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5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0"/>
      </w:tblGrid>
      <w:tr w:rsidR="008E7846" w:rsidRPr="00487162" w14:paraId="4FE9191B" w14:textId="77777777" w:rsidTr="009B3C2A">
        <w:trPr>
          <w:trHeight w:val="1863"/>
        </w:trPr>
        <w:tc>
          <w:tcPr>
            <w:tcW w:w="5070" w:type="dxa"/>
            <w:tcBorders>
              <w:top w:val="nil"/>
              <w:left w:val="nil"/>
              <w:bottom w:val="nil"/>
              <w:right w:val="nil"/>
            </w:tcBorders>
          </w:tcPr>
          <w:p w14:paraId="4FE9191A" w14:textId="06B6FA78" w:rsidR="008E7846" w:rsidRPr="00096AA7" w:rsidRDefault="009B3C2A" w:rsidP="009B3C2A">
            <w:pPr>
              <w:rPr>
                <w:rFonts w:ascii="Arial" w:hAnsi="Arial" w:cs="Arial"/>
                <w:b/>
                <w:color w:val="002C47"/>
                <w:sz w:val="36"/>
                <w:szCs w:val="36"/>
              </w:rPr>
            </w:pPr>
            <w:r>
              <w:rPr>
                <w:rFonts w:ascii="Arial" w:hAnsi="Arial" w:cs="Arial"/>
                <w:b/>
                <w:color w:val="002C47"/>
                <w:sz w:val="36"/>
                <w:szCs w:val="36"/>
              </w:rPr>
              <w:t>April</w:t>
            </w:r>
            <w:r w:rsidR="00F45E5A">
              <w:rPr>
                <w:rFonts w:ascii="Arial" w:hAnsi="Arial" w:cs="Arial"/>
                <w:b/>
                <w:color w:val="002C47"/>
                <w:sz w:val="36"/>
                <w:szCs w:val="36"/>
              </w:rPr>
              <w:t xml:space="preserve"> </w:t>
            </w:r>
            <w:r w:rsidR="007A4555">
              <w:rPr>
                <w:rFonts w:ascii="Arial" w:hAnsi="Arial" w:cs="Arial"/>
                <w:b/>
                <w:color w:val="002C47"/>
                <w:sz w:val="36"/>
                <w:szCs w:val="36"/>
              </w:rPr>
              <w:t>2018</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4FE9191D" w14:textId="77777777" w:rsidTr="0032583B">
        <w:trPr>
          <w:trHeight w:val="868"/>
        </w:trPr>
        <w:tc>
          <w:tcPr>
            <w:tcW w:w="9079" w:type="dxa"/>
          </w:tcPr>
          <w:p w14:paraId="4FE9191C" w14:textId="77777777" w:rsidR="0032583B" w:rsidRPr="00A964D1" w:rsidRDefault="0032583B" w:rsidP="002B42DE">
            <w:pPr>
              <w:pStyle w:val="Title"/>
              <w:rPr>
                <w:color w:val="FFFFFF" w:themeColor="background1"/>
              </w:rPr>
            </w:pPr>
            <w:r w:rsidRPr="00A964D1">
              <w:rPr>
                <w:color w:val="FFFFFF" w:themeColor="background1"/>
              </w:rPr>
              <w:t xml:space="preserve">Australian Public Assessment Report for </w:t>
            </w:r>
            <w:r w:rsidR="002D7A68" w:rsidRPr="00C050A1">
              <w:rPr>
                <w:color w:val="FFFFFF" w:themeColor="background1"/>
              </w:rPr>
              <w:t>Phleum pratense</w:t>
            </w:r>
            <w:r w:rsidR="00C050A1">
              <w:rPr>
                <w:color w:val="FFFFFF" w:themeColor="background1"/>
              </w:rPr>
              <w:t xml:space="preserve"> (extract)</w:t>
            </w:r>
          </w:p>
        </w:tc>
      </w:tr>
      <w:tr w:rsidR="0032583B" w:rsidRPr="00B64760" w14:paraId="4FE9191F" w14:textId="77777777" w:rsidTr="0032583B">
        <w:tc>
          <w:tcPr>
            <w:tcW w:w="9079" w:type="dxa"/>
          </w:tcPr>
          <w:p w14:paraId="4FE9191E" w14:textId="77777777" w:rsidR="0032583B" w:rsidRPr="008E7846" w:rsidRDefault="0032583B" w:rsidP="00A04128">
            <w:pPr>
              <w:pStyle w:val="Subtitle"/>
              <w:rPr>
                <w:color w:val="FFFFFF" w:themeColor="background1"/>
              </w:rPr>
            </w:pPr>
            <w:r w:rsidRPr="008E7846">
              <w:rPr>
                <w:color w:val="FFFFFF" w:themeColor="background1"/>
              </w:rPr>
              <w:t xml:space="preserve">Proprietary Product Name: </w:t>
            </w:r>
            <w:r w:rsidR="00A04128">
              <w:rPr>
                <w:color w:val="FFFFFF" w:themeColor="background1"/>
              </w:rPr>
              <w:t>Grazax</w:t>
            </w:r>
          </w:p>
        </w:tc>
      </w:tr>
      <w:tr w:rsidR="0032583B" w:rsidRPr="00B64760" w14:paraId="4FE91921" w14:textId="77777777" w:rsidTr="0032583B">
        <w:trPr>
          <w:trHeight w:val="486"/>
        </w:trPr>
        <w:tc>
          <w:tcPr>
            <w:tcW w:w="9079" w:type="dxa"/>
          </w:tcPr>
          <w:p w14:paraId="4FE91920" w14:textId="77777777" w:rsidR="0032583B" w:rsidRPr="008E7846" w:rsidRDefault="0032583B" w:rsidP="0032583B">
            <w:pPr>
              <w:pStyle w:val="Subtitle"/>
              <w:rPr>
                <w:color w:val="FFFFFF" w:themeColor="background1"/>
              </w:rPr>
            </w:pPr>
            <w:r w:rsidRPr="008E7846">
              <w:rPr>
                <w:color w:val="FFFFFF" w:themeColor="background1"/>
              </w:rPr>
              <w:t xml:space="preserve">Sponsor: </w:t>
            </w:r>
            <w:r w:rsidR="002B42DE" w:rsidRPr="002B42DE">
              <w:rPr>
                <w:color w:val="FFFFFF" w:themeColor="background1"/>
              </w:rPr>
              <w:t xml:space="preserve">Seqirus Pty Ltd </w:t>
            </w:r>
          </w:p>
        </w:tc>
      </w:tr>
    </w:tbl>
    <w:p w14:paraId="4FE91922" w14:textId="77777777" w:rsidR="008E7846" w:rsidRPr="0085156D" w:rsidRDefault="008E7846" w:rsidP="0085156D">
      <w:r w:rsidRPr="0085156D">
        <w:br w:type="page"/>
      </w:r>
    </w:p>
    <w:p w14:paraId="4FE91923" w14:textId="77777777" w:rsidR="008E7846" w:rsidRPr="001F6CBA" w:rsidRDefault="008E7846" w:rsidP="008E7846">
      <w:pPr>
        <w:pStyle w:val="NonTOCHeading2"/>
      </w:pPr>
      <w:r w:rsidRPr="001F6CBA">
        <w:lastRenderedPageBreak/>
        <w:t>About the Therapeutic Goods Administration (TGA)</w:t>
      </w:r>
    </w:p>
    <w:p w14:paraId="4FE91924" w14:textId="77777777" w:rsidR="008E7846" w:rsidRDefault="008E7846" w:rsidP="00911E2B">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4FE91925" w14:textId="77777777" w:rsidR="008E7846" w:rsidRDefault="00C80137" w:rsidP="00911E2B">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14:paraId="4FE91926" w14:textId="77777777" w:rsidR="008E7846" w:rsidRDefault="008E7846" w:rsidP="00911E2B">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14:paraId="4FE91927" w14:textId="77777777" w:rsidR="008E7846" w:rsidRDefault="008E7846" w:rsidP="00911E2B">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14:paraId="5CC78943" w14:textId="77777777" w:rsidR="00FE52E5" w:rsidRDefault="008E7846" w:rsidP="00911E2B">
      <w:pPr>
        <w:pStyle w:val="ListBullet"/>
        <w:numPr>
          <w:ilvl w:val="0"/>
          <w:numId w:val="1"/>
        </w:numPr>
        <w:ind w:left="357" w:hanging="357"/>
      </w:pPr>
      <w:r>
        <w:t xml:space="preserve">To report a problem with a medicine or medical device, please see the information on </w:t>
      </w:r>
      <w:r w:rsidR="00441C3F">
        <w:t xml:space="preserve">the </w:t>
      </w:r>
      <w:hyperlink r:id="rId13" w:history="1">
        <w:r w:rsidR="00441C3F" w:rsidRPr="00E2114A">
          <w:rPr>
            <w:rStyle w:val="Hyperlink"/>
          </w:rPr>
          <w:t>TGA website</w:t>
        </w:r>
      </w:hyperlink>
      <w:r w:rsidR="00441C3F">
        <w:t xml:space="preserve"> </w:t>
      </w:r>
      <w:r w:rsidR="00E2114A">
        <w:t>&lt;</w:t>
      </w:r>
      <w:r w:rsidR="00441C3F" w:rsidRPr="00E2114A">
        <w:t>https://www.tga.gov.au</w:t>
      </w:r>
      <w:r w:rsidR="004C74AA">
        <w:t>&gt;</w:t>
      </w:r>
      <w:r w:rsidR="00FE52E5">
        <w:t>.</w:t>
      </w:r>
    </w:p>
    <w:p w14:paraId="4FE91929" w14:textId="62D692B8" w:rsidR="008E7846" w:rsidRDefault="008E7846" w:rsidP="00875A6B">
      <w:pPr>
        <w:pStyle w:val="NonTOCHeading2"/>
      </w:pPr>
      <w:r>
        <w:t xml:space="preserve">About </w:t>
      </w:r>
      <w:proofErr w:type="spellStart"/>
      <w:r>
        <w:t>AusPARs</w:t>
      </w:r>
      <w:proofErr w:type="spellEnd"/>
    </w:p>
    <w:p w14:paraId="4FE9192A" w14:textId="77777777" w:rsidR="008E7846" w:rsidRDefault="008E7846" w:rsidP="00911E2B">
      <w:pPr>
        <w:pStyle w:val="ListBullet"/>
        <w:numPr>
          <w:ilvl w:val="0"/>
          <w:numId w:val="1"/>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14:paraId="4FE9192B" w14:textId="77777777" w:rsidR="008E7846" w:rsidRDefault="008E7846" w:rsidP="00911E2B">
      <w:pPr>
        <w:pStyle w:val="ListBullet"/>
        <w:numPr>
          <w:ilvl w:val="0"/>
          <w:numId w:val="1"/>
        </w:numPr>
        <w:ind w:left="357" w:hanging="357"/>
      </w:pPr>
      <w:proofErr w:type="spellStart"/>
      <w:r>
        <w:t>AusPARs</w:t>
      </w:r>
      <w:proofErr w:type="spellEnd"/>
      <w:r>
        <w:t xml:space="preserve"> are prepared and published by the TGA.</w:t>
      </w:r>
    </w:p>
    <w:p w14:paraId="4FE9192C" w14:textId="77777777" w:rsidR="008E7846" w:rsidRDefault="008E7846" w:rsidP="00911E2B">
      <w:pPr>
        <w:pStyle w:val="ListBullet"/>
        <w:numPr>
          <w:ilvl w:val="0"/>
          <w:numId w:val="1"/>
        </w:numPr>
        <w:ind w:left="357" w:hanging="357"/>
      </w:pPr>
      <w:r>
        <w:t>An AusPAR is prepared for submissions that relate to new chemical entities, generic medicines, major variations and extensions of indications.</w:t>
      </w:r>
    </w:p>
    <w:p w14:paraId="4FE9192D" w14:textId="77777777" w:rsidR="008E7846" w:rsidRDefault="008E7846" w:rsidP="00911E2B">
      <w:pPr>
        <w:pStyle w:val="ListBullet"/>
        <w:numPr>
          <w:ilvl w:val="0"/>
          <w:numId w:val="1"/>
        </w:numPr>
        <w:ind w:left="357" w:hanging="357"/>
      </w:pPr>
      <w:r>
        <w:t>An AusPAR is a static document</w:t>
      </w:r>
      <w:r w:rsidR="00133A1B">
        <w:t>;</w:t>
      </w:r>
      <w:r>
        <w:t xml:space="preserve"> it provide</w:t>
      </w:r>
      <w:r w:rsidR="00133A1B">
        <w:t>s</w:t>
      </w:r>
      <w:r>
        <w:t xml:space="preserve"> information that relates to a submission at a particular point in time.</w:t>
      </w:r>
    </w:p>
    <w:p w14:paraId="4FE9192E" w14:textId="77777777" w:rsidR="00B452CE" w:rsidRDefault="008E7846" w:rsidP="00911E2B">
      <w:pPr>
        <w:pStyle w:val="ListBullet"/>
        <w:numPr>
          <w:ilvl w:val="0"/>
          <w:numId w:val="1"/>
        </w:numPr>
        <w:ind w:left="357" w:hanging="357"/>
      </w:pPr>
      <w:r>
        <w:t>A new AusPAR will be developed to reflect changes to indications and/or major variations to a prescription medicine subject to evaluation by the TGA.</w:t>
      </w:r>
    </w:p>
    <w:p w14:paraId="4FE9192F" w14:textId="77777777" w:rsidR="00924482" w:rsidRPr="00DF1D7F" w:rsidRDefault="00924482" w:rsidP="00F54B65">
      <w:pPr>
        <w:pStyle w:val="LegalSubheading"/>
        <w:spacing w:before="3120"/>
      </w:pPr>
      <w:r w:rsidRPr="00DF1D7F">
        <w:t>Copyright</w:t>
      </w:r>
    </w:p>
    <w:p w14:paraId="3CD78429" w14:textId="77777777" w:rsidR="00FE52E5" w:rsidRDefault="00924482" w:rsidP="00924482">
      <w:pPr>
        <w:pStyle w:val="LegalCopy"/>
        <w:rPr>
          <w:rFonts w:cs="Arial"/>
        </w:rPr>
      </w:pPr>
      <w:r w:rsidRPr="00191B3B">
        <w:rPr>
          <w:rFonts w:cs="Arial"/>
          <w:lang w:val="en-GB"/>
        </w:rPr>
        <w:t>© Comm</w:t>
      </w:r>
      <w:r>
        <w:rPr>
          <w:rFonts w:cs="Arial"/>
          <w:lang w:val="en-GB"/>
        </w:rPr>
        <w:t>onwealth of Australia 201</w:t>
      </w:r>
      <w:r w:rsidR="007A4555">
        <w:rPr>
          <w:rFonts w:cs="Arial"/>
          <w:lang w:val="en-GB"/>
        </w:rPr>
        <w:t>8</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w:t>
      </w:r>
      <w:r w:rsidR="004C74AA">
        <w:rPr>
          <w:rFonts w:cs="Arial"/>
          <w:lang w:val="en-GB"/>
        </w:rPr>
        <w:t xml:space="preserve">&lt; </w:t>
      </w:r>
      <w:hyperlink r:id="rId14" w:history="1">
        <w:r w:rsidRPr="00191B3B">
          <w:rPr>
            <w:rStyle w:val="Hyperlink"/>
            <w:rFonts w:cs="Arial"/>
            <w:lang w:val="en-GB"/>
          </w:rPr>
          <w:t>tga.copyright@tga.gov.au</w:t>
        </w:r>
      </w:hyperlink>
      <w:r w:rsidR="004C74AA">
        <w:rPr>
          <w:rFonts w:cs="Arial"/>
        </w:rPr>
        <w:t>&gt;</w:t>
      </w:r>
      <w:r w:rsidR="00FE52E5">
        <w:rPr>
          <w:rFonts w:cs="Arial"/>
        </w:rPr>
        <w:t>.</w:t>
      </w:r>
    </w:p>
    <w:p w14:paraId="4FE91931" w14:textId="6DE9C92C" w:rsidR="00924482" w:rsidRDefault="00924482" w:rsidP="00924482">
      <w:pPr>
        <w:pStyle w:val="LegalCopy"/>
        <w:sectPr w:rsidR="00924482" w:rsidSect="003D1E62">
          <w:headerReference w:type="default" r:id="rId15"/>
          <w:footerReference w:type="default" r:id="rId16"/>
          <w:headerReference w:type="first" r:id="rId17"/>
          <w:pgSz w:w="11906" w:h="16838" w:code="9"/>
          <w:pgMar w:top="426" w:right="1701" w:bottom="0" w:left="1701" w:header="907" w:footer="142" w:gutter="0"/>
          <w:pgNumType w:fmt="lowerRoman" w:start="1"/>
          <w:cols w:space="708"/>
          <w:titlePg/>
          <w:docGrid w:linePitch="360"/>
        </w:sectPr>
      </w:pPr>
    </w:p>
    <w:sdt>
      <w:sdtPr>
        <w:rPr>
          <w:rFonts w:ascii="Cambria" w:hAnsi="Cambria"/>
          <w:b w:val="0"/>
          <w:bCs/>
          <w:sz w:val="22"/>
        </w:rPr>
        <w:id w:val="5618007"/>
        <w:docPartObj>
          <w:docPartGallery w:val="Table of Contents"/>
          <w:docPartUnique/>
        </w:docPartObj>
      </w:sdtPr>
      <w:sdtEndPr>
        <w:rPr>
          <w:b/>
          <w:bCs w:val="0"/>
          <w:sz w:val="25"/>
        </w:rPr>
      </w:sdtEndPr>
      <w:sdtContent>
        <w:p w14:paraId="4FE91932" w14:textId="77777777" w:rsidR="0089635C" w:rsidRPr="0089635C" w:rsidRDefault="0089635C" w:rsidP="0010788A">
          <w:pPr>
            <w:pStyle w:val="Contents"/>
          </w:pPr>
          <w:r w:rsidRPr="0010788A">
            <w:t>Contents</w:t>
          </w:r>
        </w:p>
        <w:p w14:paraId="26DB503F" w14:textId="77777777" w:rsidR="00C87115"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511209774" w:history="1">
            <w:r w:rsidR="00C87115" w:rsidRPr="004C3C71">
              <w:rPr>
                <w:rStyle w:val="Hyperlink"/>
                <w:noProof/>
              </w:rPr>
              <w:t>Common abbreviations</w:t>
            </w:r>
            <w:r w:rsidR="00C87115">
              <w:rPr>
                <w:noProof/>
                <w:webHidden/>
              </w:rPr>
              <w:tab/>
            </w:r>
            <w:r w:rsidR="00C87115">
              <w:rPr>
                <w:noProof/>
                <w:webHidden/>
              </w:rPr>
              <w:fldChar w:fldCharType="begin"/>
            </w:r>
            <w:r w:rsidR="00C87115">
              <w:rPr>
                <w:noProof/>
                <w:webHidden/>
              </w:rPr>
              <w:instrText xml:space="preserve"> PAGEREF _Toc511209774 \h </w:instrText>
            </w:r>
            <w:r w:rsidR="00C87115">
              <w:rPr>
                <w:noProof/>
                <w:webHidden/>
              </w:rPr>
            </w:r>
            <w:r w:rsidR="00C87115">
              <w:rPr>
                <w:noProof/>
                <w:webHidden/>
              </w:rPr>
              <w:fldChar w:fldCharType="separate"/>
            </w:r>
            <w:r w:rsidR="003D50F1">
              <w:rPr>
                <w:noProof/>
                <w:webHidden/>
              </w:rPr>
              <w:t>5</w:t>
            </w:r>
            <w:r w:rsidR="00C87115">
              <w:rPr>
                <w:noProof/>
                <w:webHidden/>
              </w:rPr>
              <w:fldChar w:fldCharType="end"/>
            </w:r>
          </w:hyperlink>
        </w:p>
        <w:p w14:paraId="46A258ED" w14:textId="77777777" w:rsidR="00C87115" w:rsidRDefault="003D50F1">
          <w:pPr>
            <w:pStyle w:val="TOC2"/>
            <w:rPr>
              <w:rFonts w:asciiTheme="minorHAnsi" w:eastAsiaTheme="minorEastAsia" w:hAnsiTheme="minorHAnsi" w:cstheme="minorBidi"/>
              <w:b w:val="0"/>
              <w:noProof/>
              <w:sz w:val="22"/>
              <w:lang w:eastAsia="en-AU"/>
            </w:rPr>
          </w:pPr>
          <w:hyperlink w:anchor="_Toc511209775" w:history="1">
            <w:r w:rsidR="00C87115" w:rsidRPr="004C3C71">
              <w:rPr>
                <w:rStyle w:val="Hyperlink"/>
                <w:noProof/>
              </w:rPr>
              <w:t>I. Introduction to product submission</w:t>
            </w:r>
            <w:r w:rsidR="00C87115">
              <w:rPr>
                <w:noProof/>
                <w:webHidden/>
              </w:rPr>
              <w:tab/>
            </w:r>
            <w:r w:rsidR="00C87115">
              <w:rPr>
                <w:noProof/>
                <w:webHidden/>
              </w:rPr>
              <w:fldChar w:fldCharType="begin"/>
            </w:r>
            <w:r w:rsidR="00C87115">
              <w:rPr>
                <w:noProof/>
                <w:webHidden/>
              </w:rPr>
              <w:instrText xml:space="preserve"> PAGEREF _Toc511209775 \h </w:instrText>
            </w:r>
            <w:r w:rsidR="00C87115">
              <w:rPr>
                <w:noProof/>
                <w:webHidden/>
              </w:rPr>
            </w:r>
            <w:r w:rsidR="00C87115">
              <w:rPr>
                <w:noProof/>
                <w:webHidden/>
              </w:rPr>
              <w:fldChar w:fldCharType="separate"/>
            </w:r>
            <w:r>
              <w:rPr>
                <w:noProof/>
                <w:webHidden/>
              </w:rPr>
              <w:t>9</w:t>
            </w:r>
            <w:r w:rsidR="00C87115">
              <w:rPr>
                <w:noProof/>
                <w:webHidden/>
              </w:rPr>
              <w:fldChar w:fldCharType="end"/>
            </w:r>
          </w:hyperlink>
        </w:p>
        <w:p w14:paraId="5D3A6658" w14:textId="77777777" w:rsidR="00C87115" w:rsidRDefault="003D50F1">
          <w:pPr>
            <w:pStyle w:val="TOC3"/>
            <w:rPr>
              <w:rFonts w:asciiTheme="minorHAnsi" w:eastAsiaTheme="minorEastAsia" w:hAnsiTheme="minorHAnsi" w:cstheme="minorBidi"/>
              <w:noProof/>
              <w:lang w:eastAsia="en-AU"/>
            </w:rPr>
          </w:pPr>
          <w:hyperlink w:anchor="_Toc511209776" w:history="1">
            <w:r w:rsidR="00C87115" w:rsidRPr="004C3C71">
              <w:rPr>
                <w:rStyle w:val="Hyperlink"/>
                <w:noProof/>
                <w:lang w:eastAsia="en-AU"/>
              </w:rPr>
              <w:t>Submission details</w:t>
            </w:r>
            <w:r w:rsidR="00C87115">
              <w:rPr>
                <w:noProof/>
                <w:webHidden/>
              </w:rPr>
              <w:tab/>
            </w:r>
            <w:r w:rsidR="00C87115">
              <w:rPr>
                <w:noProof/>
                <w:webHidden/>
              </w:rPr>
              <w:fldChar w:fldCharType="begin"/>
            </w:r>
            <w:r w:rsidR="00C87115">
              <w:rPr>
                <w:noProof/>
                <w:webHidden/>
              </w:rPr>
              <w:instrText xml:space="preserve"> PAGEREF _Toc511209776 \h </w:instrText>
            </w:r>
            <w:r w:rsidR="00C87115">
              <w:rPr>
                <w:noProof/>
                <w:webHidden/>
              </w:rPr>
            </w:r>
            <w:r w:rsidR="00C87115">
              <w:rPr>
                <w:noProof/>
                <w:webHidden/>
              </w:rPr>
              <w:fldChar w:fldCharType="separate"/>
            </w:r>
            <w:r>
              <w:rPr>
                <w:noProof/>
                <w:webHidden/>
              </w:rPr>
              <w:t>9</w:t>
            </w:r>
            <w:r w:rsidR="00C87115">
              <w:rPr>
                <w:noProof/>
                <w:webHidden/>
              </w:rPr>
              <w:fldChar w:fldCharType="end"/>
            </w:r>
          </w:hyperlink>
        </w:p>
        <w:p w14:paraId="24752D8A" w14:textId="77777777" w:rsidR="00C87115" w:rsidRDefault="003D50F1">
          <w:pPr>
            <w:pStyle w:val="TOC3"/>
            <w:rPr>
              <w:rFonts w:asciiTheme="minorHAnsi" w:eastAsiaTheme="minorEastAsia" w:hAnsiTheme="minorHAnsi" w:cstheme="minorBidi"/>
              <w:noProof/>
              <w:lang w:eastAsia="en-AU"/>
            </w:rPr>
          </w:pPr>
          <w:hyperlink w:anchor="_Toc511209777" w:history="1">
            <w:r w:rsidR="00C87115" w:rsidRPr="004C3C71">
              <w:rPr>
                <w:rStyle w:val="Hyperlink"/>
                <w:noProof/>
              </w:rPr>
              <w:t>Product background</w:t>
            </w:r>
            <w:r w:rsidR="00C87115">
              <w:rPr>
                <w:noProof/>
                <w:webHidden/>
              </w:rPr>
              <w:tab/>
            </w:r>
            <w:r w:rsidR="00C87115">
              <w:rPr>
                <w:noProof/>
                <w:webHidden/>
              </w:rPr>
              <w:fldChar w:fldCharType="begin"/>
            </w:r>
            <w:r w:rsidR="00C87115">
              <w:rPr>
                <w:noProof/>
                <w:webHidden/>
              </w:rPr>
              <w:instrText xml:space="preserve"> PAGEREF _Toc511209777 \h </w:instrText>
            </w:r>
            <w:r w:rsidR="00C87115">
              <w:rPr>
                <w:noProof/>
                <w:webHidden/>
              </w:rPr>
            </w:r>
            <w:r w:rsidR="00C87115">
              <w:rPr>
                <w:noProof/>
                <w:webHidden/>
              </w:rPr>
              <w:fldChar w:fldCharType="separate"/>
            </w:r>
            <w:r>
              <w:rPr>
                <w:noProof/>
                <w:webHidden/>
              </w:rPr>
              <w:t>9</w:t>
            </w:r>
            <w:r w:rsidR="00C87115">
              <w:rPr>
                <w:noProof/>
                <w:webHidden/>
              </w:rPr>
              <w:fldChar w:fldCharType="end"/>
            </w:r>
          </w:hyperlink>
        </w:p>
        <w:p w14:paraId="3E60CC5E" w14:textId="77777777" w:rsidR="00C87115" w:rsidRDefault="003D50F1">
          <w:pPr>
            <w:pStyle w:val="TOC3"/>
            <w:rPr>
              <w:rFonts w:asciiTheme="minorHAnsi" w:eastAsiaTheme="minorEastAsia" w:hAnsiTheme="minorHAnsi" w:cstheme="minorBidi"/>
              <w:noProof/>
              <w:lang w:eastAsia="en-AU"/>
            </w:rPr>
          </w:pPr>
          <w:hyperlink w:anchor="_Toc511209778" w:history="1">
            <w:r w:rsidR="00C87115" w:rsidRPr="004C3C71">
              <w:rPr>
                <w:rStyle w:val="Hyperlink"/>
                <w:noProof/>
              </w:rPr>
              <w:t>Regulatory status</w:t>
            </w:r>
            <w:r w:rsidR="00C87115">
              <w:rPr>
                <w:noProof/>
                <w:webHidden/>
              </w:rPr>
              <w:tab/>
            </w:r>
            <w:r w:rsidR="00C87115">
              <w:rPr>
                <w:noProof/>
                <w:webHidden/>
              </w:rPr>
              <w:fldChar w:fldCharType="begin"/>
            </w:r>
            <w:r w:rsidR="00C87115">
              <w:rPr>
                <w:noProof/>
                <w:webHidden/>
              </w:rPr>
              <w:instrText xml:space="preserve"> PAGEREF _Toc511209778 \h </w:instrText>
            </w:r>
            <w:r w:rsidR="00C87115">
              <w:rPr>
                <w:noProof/>
                <w:webHidden/>
              </w:rPr>
            </w:r>
            <w:r w:rsidR="00C87115">
              <w:rPr>
                <w:noProof/>
                <w:webHidden/>
              </w:rPr>
              <w:fldChar w:fldCharType="separate"/>
            </w:r>
            <w:r>
              <w:rPr>
                <w:noProof/>
                <w:webHidden/>
              </w:rPr>
              <w:t>10</w:t>
            </w:r>
            <w:r w:rsidR="00C87115">
              <w:rPr>
                <w:noProof/>
                <w:webHidden/>
              </w:rPr>
              <w:fldChar w:fldCharType="end"/>
            </w:r>
          </w:hyperlink>
        </w:p>
        <w:p w14:paraId="228D05B2" w14:textId="77777777" w:rsidR="00C87115" w:rsidRDefault="003D50F1">
          <w:pPr>
            <w:pStyle w:val="TOC3"/>
            <w:rPr>
              <w:rFonts w:asciiTheme="minorHAnsi" w:eastAsiaTheme="minorEastAsia" w:hAnsiTheme="minorHAnsi" w:cstheme="minorBidi"/>
              <w:noProof/>
              <w:lang w:eastAsia="en-AU"/>
            </w:rPr>
          </w:pPr>
          <w:hyperlink w:anchor="_Toc511209779" w:history="1">
            <w:r w:rsidR="00C87115" w:rsidRPr="004C3C71">
              <w:rPr>
                <w:rStyle w:val="Hyperlink"/>
                <w:noProof/>
              </w:rPr>
              <w:t>Product Information</w:t>
            </w:r>
            <w:r w:rsidR="00C87115">
              <w:rPr>
                <w:noProof/>
                <w:webHidden/>
              </w:rPr>
              <w:tab/>
            </w:r>
            <w:r w:rsidR="00C87115">
              <w:rPr>
                <w:noProof/>
                <w:webHidden/>
              </w:rPr>
              <w:fldChar w:fldCharType="begin"/>
            </w:r>
            <w:r w:rsidR="00C87115">
              <w:rPr>
                <w:noProof/>
                <w:webHidden/>
              </w:rPr>
              <w:instrText xml:space="preserve"> PAGEREF _Toc511209779 \h </w:instrText>
            </w:r>
            <w:r w:rsidR="00C87115">
              <w:rPr>
                <w:noProof/>
                <w:webHidden/>
              </w:rPr>
            </w:r>
            <w:r w:rsidR="00C87115">
              <w:rPr>
                <w:noProof/>
                <w:webHidden/>
              </w:rPr>
              <w:fldChar w:fldCharType="separate"/>
            </w:r>
            <w:r>
              <w:rPr>
                <w:noProof/>
                <w:webHidden/>
              </w:rPr>
              <w:t>11</w:t>
            </w:r>
            <w:r w:rsidR="00C87115">
              <w:rPr>
                <w:noProof/>
                <w:webHidden/>
              </w:rPr>
              <w:fldChar w:fldCharType="end"/>
            </w:r>
          </w:hyperlink>
        </w:p>
        <w:p w14:paraId="17204573" w14:textId="77777777" w:rsidR="00C87115" w:rsidRDefault="003D50F1">
          <w:pPr>
            <w:pStyle w:val="TOC2"/>
            <w:rPr>
              <w:rFonts w:asciiTheme="minorHAnsi" w:eastAsiaTheme="minorEastAsia" w:hAnsiTheme="minorHAnsi" w:cstheme="minorBidi"/>
              <w:b w:val="0"/>
              <w:noProof/>
              <w:sz w:val="22"/>
              <w:lang w:eastAsia="en-AU"/>
            </w:rPr>
          </w:pPr>
          <w:hyperlink w:anchor="_Toc511209780" w:history="1">
            <w:r w:rsidR="00C87115" w:rsidRPr="004C3C71">
              <w:rPr>
                <w:rStyle w:val="Hyperlink"/>
                <w:noProof/>
              </w:rPr>
              <w:t>II Registration timeline</w:t>
            </w:r>
            <w:r w:rsidR="00C87115">
              <w:rPr>
                <w:noProof/>
                <w:webHidden/>
              </w:rPr>
              <w:tab/>
            </w:r>
            <w:r w:rsidR="00C87115">
              <w:rPr>
                <w:noProof/>
                <w:webHidden/>
              </w:rPr>
              <w:fldChar w:fldCharType="begin"/>
            </w:r>
            <w:r w:rsidR="00C87115">
              <w:rPr>
                <w:noProof/>
                <w:webHidden/>
              </w:rPr>
              <w:instrText xml:space="preserve"> PAGEREF _Toc511209780 \h </w:instrText>
            </w:r>
            <w:r w:rsidR="00C87115">
              <w:rPr>
                <w:noProof/>
                <w:webHidden/>
              </w:rPr>
            </w:r>
            <w:r w:rsidR="00C87115">
              <w:rPr>
                <w:noProof/>
                <w:webHidden/>
              </w:rPr>
              <w:fldChar w:fldCharType="separate"/>
            </w:r>
            <w:r>
              <w:rPr>
                <w:noProof/>
                <w:webHidden/>
              </w:rPr>
              <w:t>12</w:t>
            </w:r>
            <w:r w:rsidR="00C87115">
              <w:rPr>
                <w:noProof/>
                <w:webHidden/>
              </w:rPr>
              <w:fldChar w:fldCharType="end"/>
            </w:r>
          </w:hyperlink>
        </w:p>
        <w:p w14:paraId="4C1500B4" w14:textId="77777777" w:rsidR="00C87115" w:rsidRDefault="003D50F1">
          <w:pPr>
            <w:pStyle w:val="TOC2"/>
            <w:rPr>
              <w:rFonts w:asciiTheme="minorHAnsi" w:eastAsiaTheme="minorEastAsia" w:hAnsiTheme="minorHAnsi" w:cstheme="minorBidi"/>
              <w:b w:val="0"/>
              <w:noProof/>
              <w:sz w:val="22"/>
              <w:lang w:eastAsia="en-AU"/>
            </w:rPr>
          </w:pPr>
          <w:hyperlink w:anchor="_Toc511209781" w:history="1">
            <w:r w:rsidR="00C87115" w:rsidRPr="004C3C71">
              <w:rPr>
                <w:rStyle w:val="Hyperlink"/>
                <w:noProof/>
              </w:rPr>
              <w:t>III. Quality findings</w:t>
            </w:r>
            <w:r w:rsidR="00C87115">
              <w:rPr>
                <w:noProof/>
                <w:webHidden/>
              </w:rPr>
              <w:tab/>
            </w:r>
            <w:r w:rsidR="00C87115">
              <w:rPr>
                <w:noProof/>
                <w:webHidden/>
              </w:rPr>
              <w:fldChar w:fldCharType="begin"/>
            </w:r>
            <w:r w:rsidR="00C87115">
              <w:rPr>
                <w:noProof/>
                <w:webHidden/>
              </w:rPr>
              <w:instrText xml:space="preserve"> PAGEREF _Toc511209781 \h </w:instrText>
            </w:r>
            <w:r w:rsidR="00C87115">
              <w:rPr>
                <w:noProof/>
                <w:webHidden/>
              </w:rPr>
            </w:r>
            <w:r w:rsidR="00C87115">
              <w:rPr>
                <w:noProof/>
                <w:webHidden/>
              </w:rPr>
              <w:fldChar w:fldCharType="separate"/>
            </w:r>
            <w:r>
              <w:rPr>
                <w:noProof/>
                <w:webHidden/>
              </w:rPr>
              <w:t>12</w:t>
            </w:r>
            <w:r w:rsidR="00C87115">
              <w:rPr>
                <w:noProof/>
                <w:webHidden/>
              </w:rPr>
              <w:fldChar w:fldCharType="end"/>
            </w:r>
          </w:hyperlink>
        </w:p>
        <w:p w14:paraId="5CC8CE82" w14:textId="77777777" w:rsidR="00C87115" w:rsidRDefault="003D50F1">
          <w:pPr>
            <w:pStyle w:val="TOC3"/>
            <w:rPr>
              <w:rFonts w:asciiTheme="minorHAnsi" w:eastAsiaTheme="minorEastAsia" w:hAnsiTheme="minorHAnsi" w:cstheme="minorBidi"/>
              <w:noProof/>
              <w:lang w:eastAsia="en-AU"/>
            </w:rPr>
          </w:pPr>
          <w:hyperlink w:anchor="_Toc511209782" w:history="1">
            <w:r w:rsidR="00C87115" w:rsidRPr="004C3C71">
              <w:rPr>
                <w:rStyle w:val="Hyperlink"/>
                <w:noProof/>
              </w:rPr>
              <w:t>Drug substance (active ingredient)</w:t>
            </w:r>
            <w:r w:rsidR="00C87115">
              <w:rPr>
                <w:noProof/>
                <w:webHidden/>
              </w:rPr>
              <w:tab/>
            </w:r>
            <w:r w:rsidR="00C87115">
              <w:rPr>
                <w:noProof/>
                <w:webHidden/>
              </w:rPr>
              <w:fldChar w:fldCharType="begin"/>
            </w:r>
            <w:r w:rsidR="00C87115">
              <w:rPr>
                <w:noProof/>
                <w:webHidden/>
              </w:rPr>
              <w:instrText xml:space="preserve"> PAGEREF _Toc511209782 \h </w:instrText>
            </w:r>
            <w:r w:rsidR="00C87115">
              <w:rPr>
                <w:noProof/>
                <w:webHidden/>
              </w:rPr>
            </w:r>
            <w:r w:rsidR="00C87115">
              <w:rPr>
                <w:noProof/>
                <w:webHidden/>
              </w:rPr>
              <w:fldChar w:fldCharType="separate"/>
            </w:r>
            <w:r>
              <w:rPr>
                <w:noProof/>
                <w:webHidden/>
              </w:rPr>
              <w:t>12</w:t>
            </w:r>
            <w:r w:rsidR="00C87115">
              <w:rPr>
                <w:noProof/>
                <w:webHidden/>
              </w:rPr>
              <w:fldChar w:fldCharType="end"/>
            </w:r>
          </w:hyperlink>
        </w:p>
        <w:p w14:paraId="1EA73841" w14:textId="77777777" w:rsidR="00C87115" w:rsidRDefault="003D50F1">
          <w:pPr>
            <w:pStyle w:val="TOC3"/>
            <w:rPr>
              <w:rFonts w:asciiTheme="minorHAnsi" w:eastAsiaTheme="minorEastAsia" w:hAnsiTheme="minorHAnsi" w:cstheme="minorBidi"/>
              <w:noProof/>
              <w:lang w:eastAsia="en-AU"/>
            </w:rPr>
          </w:pPr>
          <w:hyperlink w:anchor="_Toc511209783" w:history="1">
            <w:r w:rsidR="00C87115" w:rsidRPr="004C3C71">
              <w:rPr>
                <w:rStyle w:val="Hyperlink"/>
                <w:noProof/>
              </w:rPr>
              <w:t>Drug product</w:t>
            </w:r>
            <w:r w:rsidR="00C87115">
              <w:rPr>
                <w:noProof/>
                <w:webHidden/>
              </w:rPr>
              <w:tab/>
            </w:r>
            <w:r w:rsidR="00C87115">
              <w:rPr>
                <w:noProof/>
                <w:webHidden/>
              </w:rPr>
              <w:fldChar w:fldCharType="begin"/>
            </w:r>
            <w:r w:rsidR="00C87115">
              <w:rPr>
                <w:noProof/>
                <w:webHidden/>
              </w:rPr>
              <w:instrText xml:space="preserve"> PAGEREF _Toc511209783 \h </w:instrText>
            </w:r>
            <w:r w:rsidR="00C87115">
              <w:rPr>
                <w:noProof/>
                <w:webHidden/>
              </w:rPr>
            </w:r>
            <w:r w:rsidR="00C87115">
              <w:rPr>
                <w:noProof/>
                <w:webHidden/>
              </w:rPr>
              <w:fldChar w:fldCharType="separate"/>
            </w:r>
            <w:r>
              <w:rPr>
                <w:noProof/>
                <w:webHidden/>
              </w:rPr>
              <w:t>13</w:t>
            </w:r>
            <w:r w:rsidR="00C87115">
              <w:rPr>
                <w:noProof/>
                <w:webHidden/>
              </w:rPr>
              <w:fldChar w:fldCharType="end"/>
            </w:r>
          </w:hyperlink>
        </w:p>
        <w:p w14:paraId="1025E617" w14:textId="77777777" w:rsidR="00C87115" w:rsidRDefault="003D50F1">
          <w:pPr>
            <w:pStyle w:val="TOC3"/>
            <w:rPr>
              <w:rFonts w:asciiTheme="minorHAnsi" w:eastAsiaTheme="minorEastAsia" w:hAnsiTheme="minorHAnsi" w:cstheme="minorBidi"/>
              <w:noProof/>
              <w:lang w:eastAsia="en-AU"/>
            </w:rPr>
          </w:pPr>
          <w:hyperlink w:anchor="_Toc511209784" w:history="1">
            <w:r w:rsidR="00C87115" w:rsidRPr="004C3C71">
              <w:rPr>
                <w:rStyle w:val="Hyperlink"/>
                <w:noProof/>
              </w:rPr>
              <w:t>Biopharmaceutics</w:t>
            </w:r>
            <w:r w:rsidR="00C87115">
              <w:rPr>
                <w:noProof/>
                <w:webHidden/>
              </w:rPr>
              <w:tab/>
            </w:r>
            <w:r w:rsidR="00C87115">
              <w:rPr>
                <w:noProof/>
                <w:webHidden/>
              </w:rPr>
              <w:fldChar w:fldCharType="begin"/>
            </w:r>
            <w:r w:rsidR="00C87115">
              <w:rPr>
                <w:noProof/>
                <w:webHidden/>
              </w:rPr>
              <w:instrText xml:space="preserve"> PAGEREF _Toc511209784 \h </w:instrText>
            </w:r>
            <w:r w:rsidR="00C87115">
              <w:rPr>
                <w:noProof/>
                <w:webHidden/>
              </w:rPr>
            </w:r>
            <w:r w:rsidR="00C87115">
              <w:rPr>
                <w:noProof/>
                <w:webHidden/>
              </w:rPr>
              <w:fldChar w:fldCharType="separate"/>
            </w:r>
            <w:r>
              <w:rPr>
                <w:noProof/>
                <w:webHidden/>
              </w:rPr>
              <w:t>13</w:t>
            </w:r>
            <w:r w:rsidR="00C87115">
              <w:rPr>
                <w:noProof/>
                <w:webHidden/>
              </w:rPr>
              <w:fldChar w:fldCharType="end"/>
            </w:r>
          </w:hyperlink>
        </w:p>
        <w:p w14:paraId="18F8B6FB" w14:textId="77777777" w:rsidR="00C87115" w:rsidRDefault="003D50F1">
          <w:pPr>
            <w:pStyle w:val="TOC3"/>
            <w:rPr>
              <w:rFonts w:asciiTheme="minorHAnsi" w:eastAsiaTheme="minorEastAsia" w:hAnsiTheme="minorHAnsi" w:cstheme="minorBidi"/>
              <w:noProof/>
              <w:lang w:eastAsia="en-AU"/>
            </w:rPr>
          </w:pPr>
          <w:hyperlink w:anchor="_Toc511209785" w:history="1">
            <w:r w:rsidR="00C87115" w:rsidRPr="004C3C71">
              <w:rPr>
                <w:rStyle w:val="Hyperlink"/>
                <w:noProof/>
              </w:rPr>
              <w:t>Quality summary and conclusions</w:t>
            </w:r>
            <w:r w:rsidR="00C87115">
              <w:rPr>
                <w:noProof/>
                <w:webHidden/>
              </w:rPr>
              <w:tab/>
            </w:r>
            <w:r w:rsidR="00C87115">
              <w:rPr>
                <w:noProof/>
                <w:webHidden/>
              </w:rPr>
              <w:fldChar w:fldCharType="begin"/>
            </w:r>
            <w:r w:rsidR="00C87115">
              <w:rPr>
                <w:noProof/>
                <w:webHidden/>
              </w:rPr>
              <w:instrText xml:space="preserve"> PAGEREF _Toc511209785 \h </w:instrText>
            </w:r>
            <w:r w:rsidR="00C87115">
              <w:rPr>
                <w:noProof/>
                <w:webHidden/>
              </w:rPr>
            </w:r>
            <w:r w:rsidR="00C87115">
              <w:rPr>
                <w:noProof/>
                <w:webHidden/>
              </w:rPr>
              <w:fldChar w:fldCharType="separate"/>
            </w:r>
            <w:r>
              <w:rPr>
                <w:noProof/>
                <w:webHidden/>
              </w:rPr>
              <w:t>14</w:t>
            </w:r>
            <w:r w:rsidR="00C87115">
              <w:rPr>
                <w:noProof/>
                <w:webHidden/>
              </w:rPr>
              <w:fldChar w:fldCharType="end"/>
            </w:r>
          </w:hyperlink>
        </w:p>
        <w:p w14:paraId="18907E9F" w14:textId="77777777" w:rsidR="00C87115" w:rsidRDefault="003D50F1">
          <w:pPr>
            <w:pStyle w:val="TOC2"/>
            <w:rPr>
              <w:rFonts w:asciiTheme="minorHAnsi" w:eastAsiaTheme="minorEastAsia" w:hAnsiTheme="minorHAnsi" w:cstheme="minorBidi"/>
              <w:b w:val="0"/>
              <w:noProof/>
              <w:sz w:val="22"/>
              <w:lang w:eastAsia="en-AU"/>
            </w:rPr>
          </w:pPr>
          <w:hyperlink w:anchor="_Toc511209786" w:history="1">
            <w:r w:rsidR="00C87115" w:rsidRPr="004C3C71">
              <w:rPr>
                <w:rStyle w:val="Hyperlink"/>
                <w:noProof/>
              </w:rPr>
              <w:t>IV. Nonclinical findings</w:t>
            </w:r>
            <w:r w:rsidR="00C87115">
              <w:rPr>
                <w:noProof/>
                <w:webHidden/>
              </w:rPr>
              <w:tab/>
            </w:r>
            <w:r w:rsidR="00C87115">
              <w:rPr>
                <w:noProof/>
                <w:webHidden/>
              </w:rPr>
              <w:fldChar w:fldCharType="begin"/>
            </w:r>
            <w:r w:rsidR="00C87115">
              <w:rPr>
                <w:noProof/>
                <w:webHidden/>
              </w:rPr>
              <w:instrText xml:space="preserve"> PAGEREF _Toc511209786 \h </w:instrText>
            </w:r>
            <w:r w:rsidR="00C87115">
              <w:rPr>
                <w:noProof/>
                <w:webHidden/>
              </w:rPr>
            </w:r>
            <w:r w:rsidR="00C87115">
              <w:rPr>
                <w:noProof/>
                <w:webHidden/>
              </w:rPr>
              <w:fldChar w:fldCharType="separate"/>
            </w:r>
            <w:r>
              <w:rPr>
                <w:noProof/>
                <w:webHidden/>
              </w:rPr>
              <w:t>14</w:t>
            </w:r>
            <w:r w:rsidR="00C87115">
              <w:rPr>
                <w:noProof/>
                <w:webHidden/>
              </w:rPr>
              <w:fldChar w:fldCharType="end"/>
            </w:r>
          </w:hyperlink>
        </w:p>
        <w:p w14:paraId="7A565F84" w14:textId="77777777" w:rsidR="00C87115" w:rsidRDefault="003D50F1">
          <w:pPr>
            <w:pStyle w:val="TOC3"/>
            <w:rPr>
              <w:rFonts w:asciiTheme="minorHAnsi" w:eastAsiaTheme="minorEastAsia" w:hAnsiTheme="minorHAnsi" w:cstheme="minorBidi"/>
              <w:noProof/>
              <w:lang w:eastAsia="en-AU"/>
            </w:rPr>
          </w:pPr>
          <w:hyperlink w:anchor="_Toc511209787" w:history="1">
            <w:r w:rsidR="00C87115" w:rsidRPr="004C3C71">
              <w:rPr>
                <w:rStyle w:val="Hyperlink"/>
                <w:noProof/>
              </w:rPr>
              <w:t>Introduction</w:t>
            </w:r>
            <w:r w:rsidR="00C87115">
              <w:rPr>
                <w:noProof/>
                <w:webHidden/>
              </w:rPr>
              <w:tab/>
            </w:r>
            <w:r w:rsidR="00C87115">
              <w:rPr>
                <w:noProof/>
                <w:webHidden/>
              </w:rPr>
              <w:fldChar w:fldCharType="begin"/>
            </w:r>
            <w:r w:rsidR="00C87115">
              <w:rPr>
                <w:noProof/>
                <w:webHidden/>
              </w:rPr>
              <w:instrText xml:space="preserve"> PAGEREF _Toc511209787 \h </w:instrText>
            </w:r>
            <w:r w:rsidR="00C87115">
              <w:rPr>
                <w:noProof/>
                <w:webHidden/>
              </w:rPr>
            </w:r>
            <w:r w:rsidR="00C87115">
              <w:rPr>
                <w:noProof/>
                <w:webHidden/>
              </w:rPr>
              <w:fldChar w:fldCharType="separate"/>
            </w:r>
            <w:r>
              <w:rPr>
                <w:noProof/>
                <w:webHidden/>
              </w:rPr>
              <w:t>14</w:t>
            </w:r>
            <w:r w:rsidR="00C87115">
              <w:rPr>
                <w:noProof/>
                <w:webHidden/>
              </w:rPr>
              <w:fldChar w:fldCharType="end"/>
            </w:r>
          </w:hyperlink>
        </w:p>
        <w:p w14:paraId="5E9B4F46" w14:textId="77777777" w:rsidR="00C87115" w:rsidRDefault="003D50F1">
          <w:pPr>
            <w:pStyle w:val="TOC3"/>
            <w:rPr>
              <w:rFonts w:asciiTheme="minorHAnsi" w:eastAsiaTheme="minorEastAsia" w:hAnsiTheme="minorHAnsi" w:cstheme="minorBidi"/>
              <w:noProof/>
              <w:lang w:eastAsia="en-AU"/>
            </w:rPr>
          </w:pPr>
          <w:hyperlink w:anchor="_Toc511209788" w:history="1">
            <w:r w:rsidR="00C87115" w:rsidRPr="004C3C71">
              <w:rPr>
                <w:rStyle w:val="Hyperlink"/>
                <w:noProof/>
              </w:rPr>
              <w:t>Pharmacology</w:t>
            </w:r>
            <w:r w:rsidR="00C87115">
              <w:rPr>
                <w:noProof/>
                <w:webHidden/>
              </w:rPr>
              <w:tab/>
            </w:r>
            <w:r w:rsidR="00C87115">
              <w:rPr>
                <w:noProof/>
                <w:webHidden/>
              </w:rPr>
              <w:fldChar w:fldCharType="begin"/>
            </w:r>
            <w:r w:rsidR="00C87115">
              <w:rPr>
                <w:noProof/>
                <w:webHidden/>
              </w:rPr>
              <w:instrText xml:space="preserve"> PAGEREF _Toc511209788 \h </w:instrText>
            </w:r>
            <w:r w:rsidR="00C87115">
              <w:rPr>
                <w:noProof/>
                <w:webHidden/>
              </w:rPr>
            </w:r>
            <w:r w:rsidR="00C87115">
              <w:rPr>
                <w:noProof/>
                <w:webHidden/>
              </w:rPr>
              <w:fldChar w:fldCharType="separate"/>
            </w:r>
            <w:r>
              <w:rPr>
                <w:noProof/>
                <w:webHidden/>
              </w:rPr>
              <w:t>16</w:t>
            </w:r>
            <w:r w:rsidR="00C87115">
              <w:rPr>
                <w:noProof/>
                <w:webHidden/>
              </w:rPr>
              <w:fldChar w:fldCharType="end"/>
            </w:r>
          </w:hyperlink>
        </w:p>
        <w:p w14:paraId="073D2818" w14:textId="77777777" w:rsidR="00C87115" w:rsidRDefault="003D50F1">
          <w:pPr>
            <w:pStyle w:val="TOC3"/>
            <w:rPr>
              <w:rFonts w:asciiTheme="minorHAnsi" w:eastAsiaTheme="minorEastAsia" w:hAnsiTheme="minorHAnsi" w:cstheme="minorBidi"/>
              <w:noProof/>
              <w:lang w:eastAsia="en-AU"/>
            </w:rPr>
          </w:pPr>
          <w:hyperlink w:anchor="_Toc511209789" w:history="1">
            <w:r w:rsidR="00C87115" w:rsidRPr="004C3C71">
              <w:rPr>
                <w:rStyle w:val="Hyperlink"/>
                <w:noProof/>
              </w:rPr>
              <w:t>Pharmacokinetics</w:t>
            </w:r>
            <w:r w:rsidR="00C87115">
              <w:rPr>
                <w:noProof/>
                <w:webHidden/>
              </w:rPr>
              <w:tab/>
            </w:r>
            <w:r w:rsidR="00C87115">
              <w:rPr>
                <w:noProof/>
                <w:webHidden/>
              </w:rPr>
              <w:fldChar w:fldCharType="begin"/>
            </w:r>
            <w:r w:rsidR="00C87115">
              <w:rPr>
                <w:noProof/>
                <w:webHidden/>
              </w:rPr>
              <w:instrText xml:space="preserve"> PAGEREF _Toc511209789 \h </w:instrText>
            </w:r>
            <w:r w:rsidR="00C87115">
              <w:rPr>
                <w:noProof/>
                <w:webHidden/>
              </w:rPr>
            </w:r>
            <w:r w:rsidR="00C87115">
              <w:rPr>
                <w:noProof/>
                <w:webHidden/>
              </w:rPr>
              <w:fldChar w:fldCharType="separate"/>
            </w:r>
            <w:r>
              <w:rPr>
                <w:noProof/>
                <w:webHidden/>
              </w:rPr>
              <w:t>21</w:t>
            </w:r>
            <w:r w:rsidR="00C87115">
              <w:rPr>
                <w:noProof/>
                <w:webHidden/>
              </w:rPr>
              <w:fldChar w:fldCharType="end"/>
            </w:r>
          </w:hyperlink>
        </w:p>
        <w:p w14:paraId="5037D744" w14:textId="77777777" w:rsidR="00C87115" w:rsidRDefault="003D50F1">
          <w:pPr>
            <w:pStyle w:val="TOC3"/>
            <w:rPr>
              <w:rFonts w:asciiTheme="minorHAnsi" w:eastAsiaTheme="minorEastAsia" w:hAnsiTheme="minorHAnsi" w:cstheme="minorBidi"/>
              <w:noProof/>
              <w:lang w:eastAsia="en-AU"/>
            </w:rPr>
          </w:pPr>
          <w:hyperlink w:anchor="_Toc511209790" w:history="1">
            <w:r w:rsidR="00C87115" w:rsidRPr="004C3C71">
              <w:rPr>
                <w:rStyle w:val="Hyperlink"/>
                <w:noProof/>
              </w:rPr>
              <w:t>Toxicity</w:t>
            </w:r>
            <w:r w:rsidR="00C87115">
              <w:rPr>
                <w:noProof/>
                <w:webHidden/>
              </w:rPr>
              <w:tab/>
            </w:r>
            <w:r w:rsidR="00C87115">
              <w:rPr>
                <w:noProof/>
                <w:webHidden/>
              </w:rPr>
              <w:fldChar w:fldCharType="begin"/>
            </w:r>
            <w:r w:rsidR="00C87115">
              <w:rPr>
                <w:noProof/>
                <w:webHidden/>
              </w:rPr>
              <w:instrText xml:space="preserve"> PAGEREF _Toc511209790 \h </w:instrText>
            </w:r>
            <w:r w:rsidR="00C87115">
              <w:rPr>
                <w:noProof/>
                <w:webHidden/>
              </w:rPr>
            </w:r>
            <w:r w:rsidR="00C87115">
              <w:rPr>
                <w:noProof/>
                <w:webHidden/>
              </w:rPr>
              <w:fldChar w:fldCharType="separate"/>
            </w:r>
            <w:r>
              <w:rPr>
                <w:noProof/>
                <w:webHidden/>
              </w:rPr>
              <w:t>21</w:t>
            </w:r>
            <w:r w:rsidR="00C87115">
              <w:rPr>
                <w:noProof/>
                <w:webHidden/>
              </w:rPr>
              <w:fldChar w:fldCharType="end"/>
            </w:r>
          </w:hyperlink>
        </w:p>
        <w:p w14:paraId="094A2E8A" w14:textId="77777777" w:rsidR="00C87115" w:rsidRDefault="003D50F1">
          <w:pPr>
            <w:pStyle w:val="TOC3"/>
            <w:rPr>
              <w:rFonts w:asciiTheme="minorHAnsi" w:eastAsiaTheme="minorEastAsia" w:hAnsiTheme="minorHAnsi" w:cstheme="minorBidi"/>
              <w:noProof/>
              <w:lang w:eastAsia="en-AU"/>
            </w:rPr>
          </w:pPr>
          <w:hyperlink w:anchor="_Toc511209791" w:history="1">
            <w:r w:rsidR="00C87115" w:rsidRPr="004C3C71">
              <w:rPr>
                <w:rStyle w:val="Hyperlink"/>
                <w:noProof/>
              </w:rPr>
              <w:t>Nonclinical summary and conclusions</w:t>
            </w:r>
            <w:r w:rsidR="00C87115">
              <w:rPr>
                <w:noProof/>
                <w:webHidden/>
              </w:rPr>
              <w:tab/>
            </w:r>
            <w:r w:rsidR="00C87115">
              <w:rPr>
                <w:noProof/>
                <w:webHidden/>
              </w:rPr>
              <w:fldChar w:fldCharType="begin"/>
            </w:r>
            <w:r w:rsidR="00C87115">
              <w:rPr>
                <w:noProof/>
                <w:webHidden/>
              </w:rPr>
              <w:instrText xml:space="preserve"> PAGEREF _Toc511209791 \h </w:instrText>
            </w:r>
            <w:r w:rsidR="00C87115">
              <w:rPr>
                <w:noProof/>
                <w:webHidden/>
              </w:rPr>
            </w:r>
            <w:r w:rsidR="00C87115">
              <w:rPr>
                <w:noProof/>
                <w:webHidden/>
              </w:rPr>
              <w:fldChar w:fldCharType="separate"/>
            </w:r>
            <w:r>
              <w:rPr>
                <w:noProof/>
                <w:webHidden/>
              </w:rPr>
              <w:t>31</w:t>
            </w:r>
            <w:r w:rsidR="00C87115">
              <w:rPr>
                <w:noProof/>
                <w:webHidden/>
              </w:rPr>
              <w:fldChar w:fldCharType="end"/>
            </w:r>
          </w:hyperlink>
        </w:p>
        <w:p w14:paraId="7DE807A5" w14:textId="77777777" w:rsidR="00C87115" w:rsidRDefault="003D50F1">
          <w:pPr>
            <w:pStyle w:val="TOC2"/>
            <w:rPr>
              <w:rFonts w:asciiTheme="minorHAnsi" w:eastAsiaTheme="minorEastAsia" w:hAnsiTheme="minorHAnsi" w:cstheme="minorBidi"/>
              <w:b w:val="0"/>
              <w:noProof/>
              <w:sz w:val="22"/>
              <w:lang w:eastAsia="en-AU"/>
            </w:rPr>
          </w:pPr>
          <w:hyperlink w:anchor="_Toc511209792" w:history="1">
            <w:r w:rsidR="00C87115" w:rsidRPr="004C3C71">
              <w:rPr>
                <w:rStyle w:val="Hyperlink"/>
                <w:noProof/>
              </w:rPr>
              <w:t>V. Clinical findings</w:t>
            </w:r>
            <w:r w:rsidR="00C87115">
              <w:rPr>
                <w:noProof/>
                <w:webHidden/>
              </w:rPr>
              <w:tab/>
            </w:r>
            <w:r w:rsidR="00C87115">
              <w:rPr>
                <w:noProof/>
                <w:webHidden/>
              </w:rPr>
              <w:fldChar w:fldCharType="begin"/>
            </w:r>
            <w:r w:rsidR="00C87115">
              <w:rPr>
                <w:noProof/>
                <w:webHidden/>
              </w:rPr>
              <w:instrText xml:space="preserve"> PAGEREF _Toc511209792 \h </w:instrText>
            </w:r>
            <w:r w:rsidR="00C87115">
              <w:rPr>
                <w:noProof/>
                <w:webHidden/>
              </w:rPr>
            </w:r>
            <w:r w:rsidR="00C87115">
              <w:rPr>
                <w:noProof/>
                <w:webHidden/>
              </w:rPr>
              <w:fldChar w:fldCharType="separate"/>
            </w:r>
            <w:r>
              <w:rPr>
                <w:noProof/>
                <w:webHidden/>
              </w:rPr>
              <w:t>34</w:t>
            </w:r>
            <w:r w:rsidR="00C87115">
              <w:rPr>
                <w:noProof/>
                <w:webHidden/>
              </w:rPr>
              <w:fldChar w:fldCharType="end"/>
            </w:r>
          </w:hyperlink>
        </w:p>
        <w:p w14:paraId="497A48E4" w14:textId="77777777" w:rsidR="00C87115" w:rsidRDefault="003D50F1">
          <w:pPr>
            <w:pStyle w:val="TOC3"/>
            <w:rPr>
              <w:rFonts w:asciiTheme="minorHAnsi" w:eastAsiaTheme="minorEastAsia" w:hAnsiTheme="minorHAnsi" w:cstheme="minorBidi"/>
              <w:noProof/>
              <w:lang w:eastAsia="en-AU"/>
            </w:rPr>
          </w:pPr>
          <w:hyperlink w:anchor="_Toc511209793" w:history="1">
            <w:r w:rsidR="00C87115" w:rsidRPr="004C3C71">
              <w:rPr>
                <w:rStyle w:val="Hyperlink"/>
                <w:noProof/>
              </w:rPr>
              <w:t>Introduction</w:t>
            </w:r>
            <w:r w:rsidR="00C87115">
              <w:rPr>
                <w:noProof/>
                <w:webHidden/>
              </w:rPr>
              <w:tab/>
            </w:r>
            <w:r w:rsidR="00C87115">
              <w:rPr>
                <w:noProof/>
                <w:webHidden/>
              </w:rPr>
              <w:fldChar w:fldCharType="begin"/>
            </w:r>
            <w:r w:rsidR="00C87115">
              <w:rPr>
                <w:noProof/>
                <w:webHidden/>
              </w:rPr>
              <w:instrText xml:space="preserve"> PAGEREF _Toc511209793 \h </w:instrText>
            </w:r>
            <w:r w:rsidR="00C87115">
              <w:rPr>
                <w:noProof/>
                <w:webHidden/>
              </w:rPr>
            </w:r>
            <w:r w:rsidR="00C87115">
              <w:rPr>
                <w:noProof/>
                <w:webHidden/>
              </w:rPr>
              <w:fldChar w:fldCharType="separate"/>
            </w:r>
            <w:r>
              <w:rPr>
                <w:noProof/>
                <w:webHidden/>
              </w:rPr>
              <w:t>34</w:t>
            </w:r>
            <w:r w:rsidR="00C87115">
              <w:rPr>
                <w:noProof/>
                <w:webHidden/>
              </w:rPr>
              <w:fldChar w:fldCharType="end"/>
            </w:r>
          </w:hyperlink>
        </w:p>
        <w:p w14:paraId="734B27B8" w14:textId="77777777" w:rsidR="00C87115" w:rsidRDefault="003D50F1">
          <w:pPr>
            <w:pStyle w:val="TOC3"/>
            <w:rPr>
              <w:rFonts w:asciiTheme="minorHAnsi" w:eastAsiaTheme="minorEastAsia" w:hAnsiTheme="minorHAnsi" w:cstheme="minorBidi"/>
              <w:noProof/>
              <w:lang w:eastAsia="en-AU"/>
            </w:rPr>
          </w:pPr>
          <w:hyperlink w:anchor="_Toc511209794" w:history="1">
            <w:r w:rsidR="00C87115" w:rsidRPr="004C3C71">
              <w:rPr>
                <w:rStyle w:val="Hyperlink"/>
                <w:noProof/>
              </w:rPr>
              <w:t>Pharmacokinetics</w:t>
            </w:r>
            <w:r w:rsidR="00C87115">
              <w:rPr>
                <w:noProof/>
                <w:webHidden/>
              </w:rPr>
              <w:tab/>
            </w:r>
            <w:r w:rsidR="00C87115">
              <w:rPr>
                <w:noProof/>
                <w:webHidden/>
              </w:rPr>
              <w:fldChar w:fldCharType="begin"/>
            </w:r>
            <w:r w:rsidR="00C87115">
              <w:rPr>
                <w:noProof/>
                <w:webHidden/>
              </w:rPr>
              <w:instrText xml:space="preserve"> PAGEREF _Toc511209794 \h </w:instrText>
            </w:r>
            <w:r w:rsidR="00C87115">
              <w:rPr>
                <w:noProof/>
                <w:webHidden/>
              </w:rPr>
            </w:r>
            <w:r w:rsidR="00C87115">
              <w:rPr>
                <w:noProof/>
                <w:webHidden/>
              </w:rPr>
              <w:fldChar w:fldCharType="separate"/>
            </w:r>
            <w:r>
              <w:rPr>
                <w:noProof/>
                <w:webHidden/>
              </w:rPr>
              <w:t>37</w:t>
            </w:r>
            <w:r w:rsidR="00C87115">
              <w:rPr>
                <w:noProof/>
                <w:webHidden/>
              </w:rPr>
              <w:fldChar w:fldCharType="end"/>
            </w:r>
          </w:hyperlink>
        </w:p>
        <w:p w14:paraId="253FB655" w14:textId="77777777" w:rsidR="00C87115" w:rsidRDefault="003D50F1">
          <w:pPr>
            <w:pStyle w:val="TOC3"/>
            <w:rPr>
              <w:rFonts w:asciiTheme="minorHAnsi" w:eastAsiaTheme="minorEastAsia" w:hAnsiTheme="minorHAnsi" w:cstheme="minorBidi"/>
              <w:noProof/>
              <w:lang w:eastAsia="en-AU"/>
            </w:rPr>
          </w:pPr>
          <w:hyperlink w:anchor="_Toc511209795" w:history="1">
            <w:r w:rsidR="00C87115" w:rsidRPr="004C3C71">
              <w:rPr>
                <w:rStyle w:val="Hyperlink"/>
                <w:noProof/>
              </w:rPr>
              <w:t>Pharmacodynamics</w:t>
            </w:r>
            <w:r w:rsidR="00C87115">
              <w:rPr>
                <w:noProof/>
                <w:webHidden/>
              </w:rPr>
              <w:tab/>
            </w:r>
            <w:r w:rsidR="00C87115">
              <w:rPr>
                <w:noProof/>
                <w:webHidden/>
              </w:rPr>
              <w:fldChar w:fldCharType="begin"/>
            </w:r>
            <w:r w:rsidR="00C87115">
              <w:rPr>
                <w:noProof/>
                <w:webHidden/>
              </w:rPr>
              <w:instrText xml:space="preserve"> PAGEREF _Toc511209795 \h </w:instrText>
            </w:r>
            <w:r w:rsidR="00C87115">
              <w:rPr>
                <w:noProof/>
                <w:webHidden/>
              </w:rPr>
            </w:r>
            <w:r w:rsidR="00C87115">
              <w:rPr>
                <w:noProof/>
                <w:webHidden/>
              </w:rPr>
              <w:fldChar w:fldCharType="separate"/>
            </w:r>
            <w:r>
              <w:rPr>
                <w:noProof/>
                <w:webHidden/>
              </w:rPr>
              <w:t>37</w:t>
            </w:r>
            <w:r w:rsidR="00C87115">
              <w:rPr>
                <w:noProof/>
                <w:webHidden/>
              </w:rPr>
              <w:fldChar w:fldCharType="end"/>
            </w:r>
          </w:hyperlink>
        </w:p>
        <w:p w14:paraId="1842915B" w14:textId="77777777" w:rsidR="00C87115" w:rsidRDefault="003D50F1">
          <w:pPr>
            <w:pStyle w:val="TOC3"/>
            <w:rPr>
              <w:rFonts w:asciiTheme="minorHAnsi" w:eastAsiaTheme="minorEastAsia" w:hAnsiTheme="minorHAnsi" w:cstheme="minorBidi"/>
              <w:noProof/>
              <w:lang w:eastAsia="en-AU"/>
            </w:rPr>
          </w:pPr>
          <w:hyperlink w:anchor="_Toc511209796" w:history="1">
            <w:r w:rsidR="00C87115" w:rsidRPr="004C3C71">
              <w:rPr>
                <w:rStyle w:val="Hyperlink"/>
                <w:noProof/>
              </w:rPr>
              <w:t>Dosage selection for the pivotal studies</w:t>
            </w:r>
            <w:r w:rsidR="00C87115">
              <w:rPr>
                <w:noProof/>
                <w:webHidden/>
              </w:rPr>
              <w:tab/>
            </w:r>
            <w:r w:rsidR="00C87115">
              <w:rPr>
                <w:noProof/>
                <w:webHidden/>
              </w:rPr>
              <w:fldChar w:fldCharType="begin"/>
            </w:r>
            <w:r w:rsidR="00C87115">
              <w:rPr>
                <w:noProof/>
                <w:webHidden/>
              </w:rPr>
              <w:instrText xml:space="preserve"> PAGEREF _Toc511209796 \h </w:instrText>
            </w:r>
            <w:r w:rsidR="00C87115">
              <w:rPr>
                <w:noProof/>
                <w:webHidden/>
              </w:rPr>
            </w:r>
            <w:r w:rsidR="00C87115">
              <w:rPr>
                <w:noProof/>
                <w:webHidden/>
              </w:rPr>
              <w:fldChar w:fldCharType="separate"/>
            </w:r>
            <w:r>
              <w:rPr>
                <w:noProof/>
                <w:webHidden/>
              </w:rPr>
              <w:t>38</w:t>
            </w:r>
            <w:r w:rsidR="00C87115">
              <w:rPr>
                <w:noProof/>
                <w:webHidden/>
              </w:rPr>
              <w:fldChar w:fldCharType="end"/>
            </w:r>
          </w:hyperlink>
        </w:p>
        <w:p w14:paraId="4CCF058F" w14:textId="77777777" w:rsidR="00C87115" w:rsidRDefault="003D50F1">
          <w:pPr>
            <w:pStyle w:val="TOC3"/>
            <w:rPr>
              <w:rFonts w:asciiTheme="minorHAnsi" w:eastAsiaTheme="minorEastAsia" w:hAnsiTheme="minorHAnsi" w:cstheme="minorBidi"/>
              <w:noProof/>
              <w:lang w:eastAsia="en-AU"/>
            </w:rPr>
          </w:pPr>
          <w:hyperlink w:anchor="_Toc511209797" w:history="1">
            <w:r w:rsidR="00C87115" w:rsidRPr="004C3C71">
              <w:rPr>
                <w:rStyle w:val="Hyperlink"/>
                <w:noProof/>
              </w:rPr>
              <w:t>Efficacy</w:t>
            </w:r>
            <w:r w:rsidR="00C87115">
              <w:rPr>
                <w:noProof/>
                <w:webHidden/>
              </w:rPr>
              <w:tab/>
            </w:r>
            <w:r w:rsidR="00C87115">
              <w:rPr>
                <w:noProof/>
                <w:webHidden/>
              </w:rPr>
              <w:fldChar w:fldCharType="begin"/>
            </w:r>
            <w:r w:rsidR="00C87115">
              <w:rPr>
                <w:noProof/>
                <w:webHidden/>
              </w:rPr>
              <w:instrText xml:space="preserve"> PAGEREF _Toc511209797 \h </w:instrText>
            </w:r>
            <w:r w:rsidR="00C87115">
              <w:rPr>
                <w:noProof/>
                <w:webHidden/>
              </w:rPr>
            </w:r>
            <w:r w:rsidR="00C87115">
              <w:rPr>
                <w:noProof/>
                <w:webHidden/>
              </w:rPr>
              <w:fldChar w:fldCharType="separate"/>
            </w:r>
            <w:r>
              <w:rPr>
                <w:noProof/>
                <w:webHidden/>
              </w:rPr>
              <w:t>39</w:t>
            </w:r>
            <w:r w:rsidR="00C87115">
              <w:rPr>
                <w:noProof/>
                <w:webHidden/>
              </w:rPr>
              <w:fldChar w:fldCharType="end"/>
            </w:r>
          </w:hyperlink>
        </w:p>
        <w:p w14:paraId="3D150CF3" w14:textId="77777777" w:rsidR="00C87115" w:rsidRDefault="003D50F1">
          <w:pPr>
            <w:pStyle w:val="TOC3"/>
            <w:rPr>
              <w:rFonts w:asciiTheme="minorHAnsi" w:eastAsiaTheme="minorEastAsia" w:hAnsiTheme="minorHAnsi" w:cstheme="minorBidi"/>
              <w:noProof/>
              <w:lang w:eastAsia="en-AU"/>
            </w:rPr>
          </w:pPr>
          <w:hyperlink w:anchor="_Toc511209798" w:history="1">
            <w:r w:rsidR="00C87115" w:rsidRPr="004C3C71">
              <w:rPr>
                <w:rStyle w:val="Hyperlink"/>
                <w:noProof/>
              </w:rPr>
              <w:t>Safety</w:t>
            </w:r>
            <w:r w:rsidR="00C87115">
              <w:rPr>
                <w:noProof/>
                <w:webHidden/>
              </w:rPr>
              <w:tab/>
            </w:r>
            <w:r w:rsidR="00C87115">
              <w:rPr>
                <w:noProof/>
                <w:webHidden/>
              </w:rPr>
              <w:fldChar w:fldCharType="begin"/>
            </w:r>
            <w:r w:rsidR="00C87115">
              <w:rPr>
                <w:noProof/>
                <w:webHidden/>
              </w:rPr>
              <w:instrText xml:space="preserve"> PAGEREF _Toc511209798 \h </w:instrText>
            </w:r>
            <w:r w:rsidR="00C87115">
              <w:rPr>
                <w:noProof/>
                <w:webHidden/>
              </w:rPr>
            </w:r>
            <w:r w:rsidR="00C87115">
              <w:rPr>
                <w:noProof/>
                <w:webHidden/>
              </w:rPr>
              <w:fldChar w:fldCharType="separate"/>
            </w:r>
            <w:r>
              <w:rPr>
                <w:noProof/>
                <w:webHidden/>
              </w:rPr>
              <w:t>42</w:t>
            </w:r>
            <w:r w:rsidR="00C87115">
              <w:rPr>
                <w:noProof/>
                <w:webHidden/>
              </w:rPr>
              <w:fldChar w:fldCharType="end"/>
            </w:r>
          </w:hyperlink>
        </w:p>
        <w:p w14:paraId="6B9EA37C" w14:textId="77777777" w:rsidR="00C87115" w:rsidRDefault="003D50F1">
          <w:pPr>
            <w:pStyle w:val="TOC3"/>
            <w:rPr>
              <w:rFonts w:asciiTheme="minorHAnsi" w:eastAsiaTheme="minorEastAsia" w:hAnsiTheme="minorHAnsi" w:cstheme="minorBidi"/>
              <w:noProof/>
              <w:lang w:eastAsia="en-AU"/>
            </w:rPr>
          </w:pPr>
          <w:hyperlink w:anchor="_Toc511209799" w:history="1">
            <w:r w:rsidR="00C87115" w:rsidRPr="004C3C71">
              <w:rPr>
                <w:rStyle w:val="Hyperlink"/>
                <w:noProof/>
              </w:rPr>
              <w:t>First Round Benefit-Risk Assessment</w:t>
            </w:r>
            <w:r w:rsidR="00C87115">
              <w:rPr>
                <w:noProof/>
                <w:webHidden/>
              </w:rPr>
              <w:tab/>
            </w:r>
            <w:r w:rsidR="00C87115">
              <w:rPr>
                <w:noProof/>
                <w:webHidden/>
              </w:rPr>
              <w:fldChar w:fldCharType="begin"/>
            </w:r>
            <w:r w:rsidR="00C87115">
              <w:rPr>
                <w:noProof/>
                <w:webHidden/>
              </w:rPr>
              <w:instrText xml:space="preserve"> PAGEREF _Toc511209799 \h </w:instrText>
            </w:r>
            <w:r w:rsidR="00C87115">
              <w:rPr>
                <w:noProof/>
                <w:webHidden/>
              </w:rPr>
            </w:r>
            <w:r w:rsidR="00C87115">
              <w:rPr>
                <w:noProof/>
                <w:webHidden/>
              </w:rPr>
              <w:fldChar w:fldCharType="separate"/>
            </w:r>
            <w:r>
              <w:rPr>
                <w:noProof/>
                <w:webHidden/>
              </w:rPr>
              <w:t>45</w:t>
            </w:r>
            <w:r w:rsidR="00C87115">
              <w:rPr>
                <w:noProof/>
                <w:webHidden/>
              </w:rPr>
              <w:fldChar w:fldCharType="end"/>
            </w:r>
          </w:hyperlink>
        </w:p>
        <w:p w14:paraId="3FF2CAC0" w14:textId="77777777" w:rsidR="00C87115" w:rsidRDefault="003D50F1">
          <w:pPr>
            <w:pStyle w:val="TOC3"/>
            <w:rPr>
              <w:rFonts w:asciiTheme="minorHAnsi" w:eastAsiaTheme="minorEastAsia" w:hAnsiTheme="minorHAnsi" w:cstheme="minorBidi"/>
              <w:noProof/>
              <w:lang w:eastAsia="en-AU"/>
            </w:rPr>
          </w:pPr>
          <w:hyperlink w:anchor="_Toc511209800" w:history="1">
            <w:r w:rsidR="00C87115" w:rsidRPr="004C3C71">
              <w:rPr>
                <w:rStyle w:val="Hyperlink"/>
                <w:noProof/>
              </w:rPr>
              <w:t>First Round Recommendation Regarding Authorisation</w:t>
            </w:r>
            <w:r w:rsidR="00C87115">
              <w:rPr>
                <w:noProof/>
                <w:webHidden/>
              </w:rPr>
              <w:tab/>
            </w:r>
            <w:r w:rsidR="00C87115">
              <w:rPr>
                <w:noProof/>
                <w:webHidden/>
              </w:rPr>
              <w:fldChar w:fldCharType="begin"/>
            </w:r>
            <w:r w:rsidR="00C87115">
              <w:rPr>
                <w:noProof/>
                <w:webHidden/>
              </w:rPr>
              <w:instrText xml:space="preserve"> PAGEREF _Toc511209800 \h </w:instrText>
            </w:r>
            <w:r w:rsidR="00C87115">
              <w:rPr>
                <w:noProof/>
                <w:webHidden/>
              </w:rPr>
            </w:r>
            <w:r w:rsidR="00C87115">
              <w:rPr>
                <w:noProof/>
                <w:webHidden/>
              </w:rPr>
              <w:fldChar w:fldCharType="separate"/>
            </w:r>
            <w:r>
              <w:rPr>
                <w:noProof/>
                <w:webHidden/>
              </w:rPr>
              <w:t>46</w:t>
            </w:r>
            <w:r w:rsidR="00C87115">
              <w:rPr>
                <w:noProof/>
                <w:webHidden/>
              </w:rPr>
              <w:fldChar w:fldCharType="end"/>
            </w:r>
          </w:hyperlink>
        </w:p>
        <w:p w14:paraId="60590795" w14:textId="77777777" w:rsidR="00C87115" w:rsidRDefault="003D50F1">
          <w:pPr>
            <w:pStyle w:val="TOC2"/>
            <w:rPr>
              <w:rFonts w:asciiTheme="minorHAnsi" w:eastAsiaTheme="minorEastAsia" w:hAnsiTheme="minorHAnsi" w:cstheme="minorBidi"/>
              <w:b w:val="0"/>
              <w:noProof/>
              <w:sz w:val="22"/>
              <w:lang w:eastAsia="en-AU"/>
            </w:rPr>
          </w:pPr>
          <w:hyperlink w:anchor="_Toc511209801" w:history="1">
            <w:r w:rsidR="00C87115" w:rsidRPr="004C3C71">
              <w:rPr>
                <w:rStyle w:val="Hyperlink"/>
                <w:noProof/>
              </w:rPr>
              <w:t>VI. Pharmacovigilance findings</w:t>
            </w:r>
            <w:r w:rsidR="00C87115">
              <w:rPr>
                <w:noProof/>
                <w:webHidden/>
              </w:rPr>
              <w:tab/>
            </w:r>
            <w:r w:rsidR="00C87115">
              <w:rPr>
                <w:noProof/>
                <w:webHidden/>
              </w:rPr>
              <w:fldChar w:fldCharType="begin"/>
            </w:r>
            <w:r w:rsidR="00C87115">
              <w:rPr>
                <w:noProof/>
                <w:webHidden/>
              </w:rPr>
              <w:instrText xml:space="preserve"> PAGEREF _Toc511209801 \h </w:instrText>
            </w:r>
            <w:r w:rsidR="00C87115">
              <w:rPr>
                <w:noProof/>
                <w:webHidden/>
              </w:rPr>
            </w:r>
            <w:r w:rsidR="00C87115">
              <w:rPr>
                <w:noProof/>
                <w:webHidden/>
              </w:rPr>
              <w:fldChar w:fldCharType="separate"/>
            </w:r>
            <w:r>
              <w:rPr>
                <w:noProof/>
                <w:webHidden/>
              </w:rPr>
              <w:t>46</w:t>
            </w:r>
            <w:r w:rsidR="00C87115">
              <w:rPr>
                <w:noProof/>
                <w:webHidden/>
              </w:rPr>
              <w:fldChar w:fldCharType="end"/>
            </w:r>
          </w:hyperlink>
        </w:p>
        <w:p w14:paraId="5284C52E" w14:textId="77777777" w:rsidR="00C87115" w:rsidRDefault="003D50F1">
          <w:pPr>
            <w:pStyle w:val="TOC3"/>
            <w:rPr>
              <w:rFonts w:asciiTheme="minorHAnsi" w:eastAsiaTheme="minorEastAsia" w:hAnsiTheme="minorHAnsi" w:cstheme="minorBidi"/>
              <w:noProof/>
              <w:lang w:eastAsia="en-AU"/>
            </w:rPr>
          </w:pPr>
          <w:hyperlink w:anchor="_Toc511209802" w:history="1">
            <w:r w:rsidR="00C87115" w:rsidRPr="004C3C71">
              <w:rPr>
                <w:rStyle w:val="Hyperlink"/>
                <w:noProof/>
                <w:lang w:eastAsia="en-AU"/>
              </w:rPr>
              <w:t>Risk management plan</w:t>
            </w:r>
            <w:r w:rsidR="00C87115">
              <w:rPr>
                <w:noProof/>
                <w:webHidden/>
              </w:rPr>
              <w:tab/>
            </w:r>
            <w:r w:rsidR="00C87115">
              <w:rPr>
                <w:noProof/>
                <w:webHidden/>
              </w:rPr>
              <w:fldChar w:fldCharType="begin"/>
            </w:r>
            <w:r w:rsidR="00C87115">
              <w:rPr>
                <w:noProof/>
                <w:webHidden/>
              </w:rPr>
              <w:instrText xml:space="preserve"> PAGEREF _Toc511209802 \h </w:instrText>
            </w:r>
            <w:r w:rsidR="00C87115">
              <w:rPr>
                <w:noProof/>
                <w:webHidden/>
              </w:rPr>
            </w:r>
            <w:r w:rsidR="00C87115">
              <w:rPr>
                <w:noProof/>
                <w:webHidden/>
              </w:rPr>
              <w:fldChar w:fldCharType="separate"/>
            </w:r>
            <w:r>
              <w:rPr>
                <w:noProof/>
                <w:webHidden/>
              </w:rPr>
              <w:t>46</w:t>
            </w:r>
            <w:r w:rsidR="00C87115">
              <w:rPr>
                <w:noProof/>
                <w:webHidden/>
              </w:rPr>
              <w:fldChar w:fldCharType="end"/>
            </w:r>
          </w:hyperlink>
        </w:p>
        <w:p w14:paraId="4A8D5EAF" w14:textId="77777777" w:rsidR="00C87115" w:rsidRDefault="003D50F1">
          <w:pPr>
            <w:pStyle w:val="TOC3"/>
            <w:rPr>
              <w:rFonts w:asciiTheme="minorHAnsi" w:eastAsiaTheme="minorEastAsia" w:hAnsiTheme="minorHAnsi" w:cstheme="minorBidi"/>
              <w:noProof/>
              <w:lang w:eastAsia="en-AU"/>
            </w:rPr>
          </w:pPr>
          <w:hyperlink w:anchor="_Toc511209803" w:history="1">
            <w:r w:rsidR="00C87115" w:rsidRPr="004C3C71">
              <w:rPr>
                <w:rStyle w:val="Hyperlink"/>
                <w:noProof/>
              </w:rPr>
              <w:t>Safety Concerns and Risk Minimisation</w:t>
            </w:r>
            <w:r w:rsidR="00C87115">
              <w:rPr>
                <w:noProof/>
                <w:webHidden/>
              </w:rPr>
              <w:tab/>
            </w:r>
            <w:r w:rsidR="00C87115">
              <w:rPr>
                <w:noProof/>
                <w:webHidden/>
              </w:rPr>
              <w:fldChar w:fldCharType="begin"/>
            </w:r>
            <w:r w:rsidR="00C87115">
              <w:rPr>
                <w:noProof/>
                <w:webHidden/>
              </w:rPr>
              <w:instrText xml:space="preserve"> PAGEREF _Toc511209803 \h </w:instrText>
            </w:r>
            <w:r w:rsidR="00C87115">
              <w:rPr>
                <w:noProof/>
                <w:webHidden/>
              </w:rPr>
            </w:r>
            <w:r w:rsidR="00C87115">
              <w:rPr>
                <w:noProof/>
                <w:webHidden/>
              </w:rPr>
              <w:fldChar w:fldCharType="separate"/>
            </w:r>
            <w:r>
              <w:rPr>
                <w:noProof/>
                <w:webHidden/>
              </w:rPr>
              <w:t>46</w:t>
            </w:r>
            <w:r w:rsidR="00C87115">
              <w:rPr>
                <w:noProof/>
                <w:webHidden/>
              </w:rPr>
              <w:fldChar w:fldCharType="end"/>
            </w:r>
          </w:hyperlink>
        </w:p>
        <w:p w14:paraId="2C764BC6" w14:textId="77777777" w:rsidR="00C87115" w:rsidRDefault="003D50F1">
          <w:pPr>
            <w:pStyle w:val="TOC3"/>
            <w:rPr>
              <w:rFonts w:asciiTheme="minorHAnsi" w:eastAsiaTheme="minorEastAsia" w:hAnsiTheme="minorHAnsi" w:cstheme="minorBidi"/>
              <w:noProof/>
              <w:lang w:eastAsia="en-AU"/>
            </w:rPr>
          </w:pPr>
          <w:hyperlink w:anchor="_Toc511209804" w:history="1">
            <w:r w:rsidR="00C87115" w:rsidRPr="004C3C71">
              <w:rPr>
                <w:rStyle w:val="Hyperlink"/>
                <w:noProof/>
              </w:rPr>
              <w:t>New and outstanding recommendations - Round 2</w:t>
            </w:r>
            <w:r w:rsidR="00C87115">
              <w:rPr>
                <w:noProof/>
                <w:webHidden/>
              </w:rPr>
              <w:tab/>
            </w:r>
            <w:r w:rsidR="00C87115">
              <w:rPr>
                <w:noProof/>
                <w:webHidden/>
              </w:rPr>
              <w:fldChar w:fldCharType="begin"/>
            </w:r>
            <w:r w:rsidR="00C87115">
              <w:rPr>
                <w:noProof/>
                <w:webHidden/>
              </w:rPr>
              <w:instrText xml:space="preserve"> PAGEREF _Toc511209804 \h </w:instrText>
            </w:r>
            <w:r w:rsidR="00C87115">
              <w:rPr>
                <w:noProof/>
                <w:webHidden/>
              </w:rPr>
            </w:r>
            <w:r w:rsidR="00C87115">
              <w:rPr>
                <w:noProof/>
                <w:webHidden/>
              </w:rPr>
              <w:fldChar w:fldCharType="separate"/>
            </w:r>
            <w:r>
              <w:rPr>
                <w:noProof/>
                <w:webHidden/>
              </w:rPr>
              <w:t>48</w:t>
            </w:r>
            <w:r w:rsidR="00C87115">
              <w:rPr>
                <w:noProof/>
                <w:webHidden/>
              </w:rPr>
              <w:fldChar w:fldCharType="end"/>
            </w:r>
          </w:hyperlink>
        </w:p>
        <w:p w14:paraId="5145A97E" w14:textId="77777777" w:rsidR="00C87115" w:rsidRDefault="003D50F1">
          <w:pPr>
            <w:pStyle w:val="TOC3"/>
            <w:rPr>
              <w:rFonts w:asciiTheme="minorHAnsi" w:eastAsiaTheme="minorEastAsia" w:hAnsiTheme="minorHAnsi" w:cstheme="minorBidi"/>
              <w:noProof/>
              <w:lang w:eastAsia="en-AU"/>
            </w:rPr>
          </w:pPr>
          <w:hyperlink w:anchor="_Toc511209805" w:history="1">
            <w:r w:rsidR="00C87115" w:rsidRPr="004C3C71">
              <w:rPr>
                <w:rStyle w:val="Hyperlink"/>
                <w:noProof/>
              </w:rPr>
              <w:t>Wording for conditions of registration</w:t>
            </w:r>
            <w:r w:rsidR="00C87115">
              <w:rPr>
                <w:noProof/>
                <w:webHidden/>
              </w:rPr>
              <w:tab/>
            </w:r>
            <w:r w:rsidR="00C87115">
              <w:rPr>
                <w:noProof/>
                <w:webHidden/>
              </w:rPr>
              <w:fldChar w:fldCharType="begin"/>
            </w:r>
            <w:r w:rsidR="00C87115">
              <w:rPr>
                <w:noProof/>
                <w:webHidden/>
              </w:rPr>
              <w:instrText xml:space="preserve"> PAGEREF _Toc511209805 \h </w:instrText>
            </w:r>
            <w:r w:rsidR="00C87115">
              <w:rPr>
                <w:noProof/>
                <w:webHidden/>
              </w:rPr>
            </w:r>
            <w:r w:rsidR="00C87115">
              <w:rPr>
                <w:noProof/>
                <w:webHidden/>
              </w:rPr>
              <w:fldChar w:fldCharType="separate"/>
            </w:r>
            <w:r>
              <w:rPr>
                <w:noProof/>
                <w:webHidden/>
              </w:rPr>
              <w:t>48</w:t>
            </w:r>
            <w:r w:rsidR="00C87115">
              <w:rPr>
                <w:noProof/>
                <w:webHidden/>
              </w:rPr>
              <w:fldChar w:fldCharType="end"/>
            </w:r>
          </w:hyperlink>
        </w:p>
        <w:p w14:paraId="78843A4F" w14:textId="77777777" w:rsidR="00C87115" w:rsidRDefault="003D50F1">
          <w:pPr>
            <w:pStyle w:val="TOC2"/>
            <w:rPr>
              <w:rFonts w:asciiTheme="minorHAnsi" w:eastAsiaTheme="minorEastAsia" w:hAnsiTheme="minorHAnsi" w:cstheme="minorBidi"/>
              <w:b w:val="0"/>
              <w:noProof/>
              <w:sz w:val="22"/>
              <w:lang w:eastAsia="en-AU"/>
            </w:rPr>
          </w:pPr>
          <w:hyperlink w:anchor="_Toc511209806" w:history="1">
            <w:r w:rsidR="00C87115" w:rsidRPr="004C3C71">
              <w:rPr>
                <w:rStyle w:val="Hyperlink"/>
                <w:noProof/>
              </w:rPr>
              <w:t>VII. Overall conclusion and risk/benefit assessment</w:t>
            </w:r>
            <w:r w:rsidR="00C87115">
              <w:rPr>
                <w:noProof/>
                <w:webHidden/>
              </w:rPr>
              <w:tab/>
            </w:r>
            <w:r w:rsidR="00C87115">
              <w:rPr>
                <w:noProof/>
                <w:webHidden/>
              </w:rPr>
              <w:fldChar w:fldCharType="begin"/>
            </w:r>
            <w:r w:rsidR="00C87115">
              <w:rPr>
                <w:noProof/>
                <w:webHidden/>
              </w:rPr>
              <w:instrText xml:space="preserve"> PAGEREF _Toc511209806 \h </w:instrText>
            </w:r>
            <w:r w:rsidR="00C87115">
              <w:rPr>
                <w:noProof/>
                <w:webHidden/>
              </w:rPr>
            </w:r>
            <w:r w:rsidR="00C87115">
              <w:rPr>
                <w:noProof/>
                <w:webHidden/>
              </w:rPr>
              <w:fldChar w:fldCharType="separate"/>
            </w:r>
            <w:r>
              <w:rPr>
                <w:noProof/>
                <w:webHidden/>
              </w:rPr>
              <w:t>49</w:t>
            </w:r>
            <w:r w:rsidR="00C87115">
              <w:rPr>
                <w:noProof/>
                <w:webHidden/>
              </w:rPr>
              <w:fldChar w:fldCharType="end"/>
            </w:r>
          </w:hyperlink>
        </w:p>
        <w:p w14:paraId="03BDEC5A" w14:textId="77777777" w:rsidR="00C87115" w:rsidRDefault="003D50F1">
          <w:pPr>
            <w:pStyle w:val="TOC3"/>
            <w:rPr>
              <w:rFonts w:asciiTheme="minorHAnsi" w:eastAsiaTheme="minorEastAsia" w:hAnsiTheme="minorHAnsi" w:cstheme="minorBidi"/>
              <w:noProof/>
              <w:lang w:eastAsia="en-AU"/>
            </w:rPr>
          </w:pPr>
          <w:hyperlink w:anchor="_Toc511209807" w:history="1">
            <w:r w:rsidR="00C87115" w:rsidRPr="004C3C71">
              <w:rPr>
                <w:rStyle w:val="Hyperlink"/>
                <w:noProof/>
              </w:rPr>
              <w:t>Background</w:t>
            </w:r>
            <w:r w:rsidR="00C87115">
              <w:rPr>
                <w:noProof/>
                <w:webHidden/>
              </w:rPr>
              <w:tab/>
            </w:r>
            <w:r w:rsidR="00C87115">
              <w:rPr>
                <w:noProof/>
                <w:webHidden/>
              </w:rPr>
              <w:fldChar w:fldCharType="begin"/>
            </w:r>
            <w:r w:rsidR="00C87115">
              <w:rPr>
                <w:noProof/>
                <w:webHidden/>
              </w:rPr>
              <w:instrText xml:space="preserve"> PAGEREF _Toc511209807 \h </w:instrText>
            </w:r>
            <w:r w:rsidR="00C87115">
              <w:rPr>
                <w:noProof/>
                <w:webHidden/>
              </w:rPr>
            </w:r>
            <w:r w:rsidR="00C87115">
              <w:rPr>
                <w:noProof/>
                <w:webHidden/>
              </w:rPr>
              <w:fldChar w:fldCharType="separate"/>
            </w:r>
            <w:r>
              <w:rPr>
                <w:noProof/>
                <w:webHidden/>
              </w:rPr>
              <w:t>49</w:t>
            </w:r>
            <w:r w:rsidR="00C87115">
              <w:rPr>
                <w:noProof/>
                <w:webHidden/>
              </w:rPr>
              <w:fldChar w:fldCharType="end"/>
            </w:r>
          </w:hyperlink>
        </w:p>
        <w:p w14:paraId="2820F1B8" w14:textId="77777777" w:rsidR="00C87115" w:rsidRDefault="003D50F1">
          <w:pPr>
            <w:pStyle w:val="TOC3"/>
            <w:rPr>
              <w:rFonts w:asciiTheme="minorHAnsi" w:eastAsiaTheme="minorEastAsia" w:hAnsiTheme="minorHAnsi" w:cstheme="minorBidi"/>
              <w:noProof/>
              <w:lang w:eastAsia="en-AU"/>
            </w:rPr>
          </w:pPr>
          <w:hyperlink w:anchor="_Toc511209808" w:history="1">
            <w:r w:rsidR="00C87115" w:rsidRPr="004C3C71">
              <w:rPr>
                <w:rStyle w:val="Hyperlink"/>
                <w:noProof/>
              </w:rPr>
              <w:t>Quality</w:t>
            </w:r>
            <w:r w:rsidR="00C87115">
              <w:rPr>
                <w:noProof/>
                <w:webHidden/>
              </w:rPr>
              <w:tab/>
            </w:r>
            <w:r w:rsidR="00C87115">
              <w:rPr>
                <w:noProof/>
                <w:webHidden/>
              </w:rPr>
              <w:fldChar w:fldCharType="begin"/>
            </w:r>
            <w:r w:rsidR="00C87115">
              <w:rPr>
                <w:noProof/>
                <w:webHidden/>
              </w:rPr>
              <w:instrText xml:space="preserve"> PAGEREF _Toc511209808 \h </w:instrText>
            </w:r>
            <w:r w:rsidR="00C87115">
              <w:rPr>
                <w:noProof/>
                <w:webHidden/>
              </w:rPr>
            </w:r>
            <w:r w:rsidR="00C87115">
              <w:rPr>
                <w:noProof/>
                <w:webHidden/>
              </w:rPr>
              <w:fldChar w:fldCharType="separate"/>
            </w:r>
            <w:r>
              <w:rPr>
                <w:noProof/>
                <w:webHidden/>
              </w:rPr>
              <w:t>49</w:t>
            </w:r>
            <w:r w:rsidR="00C87115">
              <w:rPr>
                <w:noProof/>
                <w:webHidden/>
              </w:rPr>
              <w:fldChar w:fldCharType="end"/>
            </w:r>
          </w:hyperlink>
        </w:p>
        <w:p w14:paraId="12E5DC17" w14:textId="77777777" w:rsidR="00C87115" w:rsidRDefault="003D50F1">
          <w:pPr>
            <w:pStyle w:val="TOC3"/>
            <w:rPr>
              <w:rFonts w:asciiTheme="minorHAnsi" w:eastAsiaTheme="minorEastAsia" w:hAnsiTheme="minorHAnsi" w:cstheme="minorBidi"/>
              <w:noProof/>
              <w:lang w:eastAsia="en-AU"/>
            </w:rPr>
          </w:pPr>
          <w:hyperlink w:anchor="_Toc511209809" w:history="1">
            <w:r w:rsidR="00C87115" w:rsidRPr="004C3C71">
              <w:rPr>
                <w:rStyle w:val="Hyperlink"/>
                <w:noProof/>
              </w:rPr>
              <w:t>Nonclinical</w:t>
            </w:r>
            <w:r w:rsidR="00C87115">
              <w:rPr>
                <w:noProof/>
                <w:webHidden/>
              </w:rPr>
              <w:tab/>
            </w:r>
            <w:r w:rsidR="00C87115">
              <w:rPr>
                <w:noProof/>
                <w:webHidden/>
              </w:rPr>
              <w:fldChar w:fldCharType="begin"/>
            </w:r>
            <w:r w:rsidR="00C87115">
              <w:rPr>
                <w:noProof/>
                <w:webHidden/>
              </w:rPr>
              <w:instrText xml:space="preserve"> PAGEREF _Toc511209809 \h </w:instrText>
            </w:r>
            <w:r w:rsidR="00C87115">
              <w:rPr>
                <w:noProof/>
                <w:webHidden/>
              </w:rPr>
            </w:r>
            <w:r w:rsidR="00C87115">
              <w:rPr>
                <w:noProof/>
                <w:webHidden/>
              </w:rPr>
              <w:fldChar w:fldCharType="separate"/>
            </w:r>
            <w:r>
              <w:rPr>
                <w:noProof/>
                <w:webHidden/>
              </w:rPr>
              <w:t>50</w:t>
            </w:r>
            <w:r w:rsidR="00C87115">
              <w:rPr>
                <w:noProof/>
                <w:webHidden/>
              </w:rPr>
              <w:fldChar w:fldCharType="end"/>
            </w:r>
          </w:hyperlink>
        </w:p>
        <w:p w14:paraId="17391355" w14:textId="77777777" w:rsidR="00C87115" w:rsidRDefault="003D50F1">
          <w:pPr>
            <w:pStyle w:val="TOC3"/>
            <w:rPr>
              <w:rFonts w:asciiTheme="minorHAnsi" w:eastAsiaTheme="minorEastAsia" w:hAnsiTheme="minorHAnsi" w:cstheme="minorBidi"/>
              <w:noProof/>
              <w:lang w:eastAsia="en-AU"/>
            </w:rPr>
          </w:pPr>
          <w:hyperlink w:anchor="_Toc511209810" w:history="1">
            <w:r w:rsidR="00C87115" w:rsidRPr="004C3C71">
              <w:rPr>
                <w:rStyle w:val="Hyperlink"/>
                <w:noProof/>
              </w:rPr>
              <w:t>Clinical</w:t>
            </w:r>
            <w:r w:rsidR="00C87115">
              <w:rPr>
                <w:noProof/>
                <w:webHidden/>
              </w:rPr>
              <w:tab/>
            </w:r>
            <w:r w:rsidR="00C87115">
              <w:rPr>
                <w:noProof/>
                <w:webHidden/>
              </w:rPr>
              <w:fldChar w:fldCharType="begin"/>
            </w:r>
            <w:r w:rsidR="00C87115">
              <w:rPr>
                <w:noProof/>
                <w:webHidden/>
              </w:rPr>
              <w:instrText xml:space="preserve"> PAGEREF _Toc511209810 \h </w:instrText>
            </w:r>
            <w:r w:rsidR="00C87115">
              <w:rPr>
                <w:noProof/>
                <w:webHidden/>
              </w:rPr>
            </w:r>
            <w:r w:rsidR="00C87115">
              <w:rPr>
                <w:noProof/>
                <w:webHidden/>
              </w:rPr>
              <w:fldChar w:fldCharType="separate"/>
            </w:r>
            <w:r>
              <w:rPr>
                <w:noProof/>
                <w:webHidden/>
              </w:rPr>
              <w:t>51</w:t>
            </w:r>
            <w:r w:rsidR="00C87115">
              <w:rPr>
                <w:noProof/>
                <w:webHidden/>
              </w:rPr>
              <w:fldChar w:fldCharType="end"/>
            </w:r>
          </w:hyperlink>
        </w:p>
        <w:p w14:paraId="03A76778" w14:textId="77777777" w:rsidR="00C87115" w:rsidRDefault="003D50F1">
          <w:pPr>
            <w:pStyle w:val="TOC3"/>
            <w:rPr>
              <w:rFonts w:asciiTheme="minorHAnsi" w:eastAsiaTheme="minorEastAsia" w:hAnsiTheme="minorHAnsi" w:cstheme="minorBidi"/>
              <w:noProof/>
              <w:lang w:eastAsia="en-AU"/>
            </w:rPr>
          </w:pPr>
          <w:hyperlink w:anchor="_Toc511209811" w:history="1">
            <w:r w:rsidR="00C87115" w:rsidRPr="004C3C71">
              <w:rPr>
                <w:rStyle w:val="Hyperlink"/>
                <w:noProof/>
              </w:rPr>
              <w:t>Evaluation of Risk Management Plan (RMP)</w:t>
            </w:r>
            <w:r w:rsidR="00C87115">
              <w:rPr>
                <w:noProof/>
                <w:webHidden/>
              </w:rPr>
              <w:tab/>
            </w:r>
            <w:r w:rsidR="00C87115">
              <w:rPr>
                <w:noProof/>
                <w:webHidden/>
              </w:rPr>
              <w:fldChar w:fldCharType="begin"/>
            </w:r>
            <w:r w:rsidR="00C87115">
              <w:rPr>
                <w:noProof/>
                <w:webHidden/>
              </w:rPr>
              <w:instrText xml:space="preserve"> PAGEREF _Toc511209811 \h </w:instrText>
            </w:r>
            <w:r w:rsidR="00C87115">
              <w:rPr>
                <w:noProof/>
                <w:webHidden/>
              </w:rPr>
            </w:r>
            <w:r w:rsidR="00C87115">
              <w:rPr>
                <w:noProof/>
                <w:webHidden/>
              </w:rPr>
              <w:fldChar w:fldCharType="separate"/>
            </w:r>
            <w:r>
              <w:rPr>
                <w:noProof/>
                <w:webHidden/>
              </w:rPr>
              <w:t>65</w:t>
            </w:r>
            <w:r w:rsidR="00C87115">
              <w:rPr>
                <w:noProof/>
                <w:webHidden/>
              </w:rPr>
              <w:fldChar w:fldCharType="end"/>
            </w:r>
          </w:hyperlink>
        </w:p>
        <w:p w14:paraId="483913ED" w14:textId="77777777" w:rsidR="00C87115" w:rsidRDefault="003D50F1">
          <w:pPr>
            <w:pStyle w:val="TOC3"/>
            <w:rPr>
              <w:rFonts w:asciiTheme="minorHAnsi" w:eastAsiaTheme="minorEastAsia" w:hAnsiTheme="minorHAnsi" w:cstheme="minorBidi"/>
              <w:noProof/>
              <w:lang w:eastAsia="en-AU"/>
            </w:rPr>
          </w:pPr>
          <w:hyperlink w:anchor="_Toc511209812" w:history="1">
            <w:r w:rsidR="00C87115" w:rsidRPr="004C3C71">
              <w:rPr>
                <w:rStyle w:val="Hyperlink"/>
                <w:noProof/>
              </w:rPr>
              <w:t>Discussion</w:t>
            </w:r>
            <w:r w:rsidR="00C87115">
              <w:rPr>
                <w:noProof/>
                <w:webHidden/>
              </w:rPr>
              <w:tab/>
            </w:r>
            <w:r w:rsidR="00C87115">
              <w:rPr>
                <w:noProof/>
                <w:webHidden/>
              </w:rPr>
              <w:fldChar w:fldCharType="begin"/>
            </w:r>
            <w:r w:rsidR="00C87115">
              <w:rPr>
                <w:noProof/>
                <w:webHidden/>
              </w:rPr>
              <w:instrText xml:space="preserve"> PAGEREF _Toc511209812 \h </w:instrText>
            </w:r>
            <w:r w:rsidR="00C87115">
              <w:rPr>
                <w:noProof/>
                <w:webHidden/>
              </w:rPr>
            </w:r>
            <w:r w:rsidR="00C87115">
              <w:rPr>
                <w:noProof/>
                <w:webHidden/>
              </w:rPr>
              <w:fldChar w:fldCharType="separate"/>
            </w:r>
            <w:r>
              <w:rPr>
                <w:noProof/>
                <w:webHidden/>
              </w:rPr>
              <w:t>65</w:t>
            </w:r>
            <w:r w:rsidR="00C87115">
              <w:rPr>
                <w:noProof/>
                <w:webHidden/>
              </w:rPr>
              <w:fldChar w:fldCharType="end"/>
            </w:r>
          </w:hyperlink>
        </w:p>
        <w:p w14:paraId="50BE40D1" w14:textId="77777777" w:rsidR="00C87115" w:rsidRDefault="003D50F1">
          <w:pPr>
            <w:pStyle w:val="TOC3"/>
            <w:rPr>
              <w:rFonts w:asciiTheme="minorHAnsi" w:eastAsiaTheme="minorEastAsia" w:hAnsiTheme="minorHAnsi" w:cstheme="minorBidi"/>
              <w:noProof/>
              <w:lang w:eastAsia="en-AU"/>
            </w:rPr>
          </w:pPr>
          <w:hyperlink w:anchor="_Toc511209813" w:history="1">
            <w:r w:rsidR="00C87115" w:rsidRPr="004C3C71">
              <w:rPr>
                <w:rStyle w:val="Hyperlink"/>
                <w:noProof/>
              </w:rPr>
              <w:t>Outcome</w:t>
            </w:r>
            <w:r w:rsidR="00C87115">
              <w:rPr>
                <w:noProof/>
                <w:webHidden/>
              </w:rPr>
              <w:tab/>
            </w:r>
            <w:r w:rsidR="00C87115">
              <w:rPr>
                <w:noProof/>
                <w:webHidden/>
              </w:rPr>
              <w:fldChar w:fldCharType="begin"/>
            </w:r>
            <w:r w:rsidR="00C87115">
              <w:rPr>
                <w:noProof/>
                <w:webHidden/>
              </w:rPr>
              <w:instrText xml:space="preserve"> PAGEREF _Toc511209813 \h </w:instrText>
            </w:r>
            <w:r w:rsidR="00C87115">
              <w:rPr>
                <w:noProof/>
                <w:webHidden/>
              </w:rPr>
            </w:r>
            <w:r w:rsidR="00C87115">
              <w:rPr>
                <w:noProof/>
                <w:webHidden/>
              </w:rPr>
              <w:fldChar w:fldCharType="separate"/>
            </w:r>
            <w:r>
              <w:rPr>
                <w:noProof/>
                <w:webHidden/>
              </w:rPr>
              <w:t>82</w:t>
            </w:r>
            <w:r w:rsidR="00C87115">
              <w:rPr>
                <w:noProof/>
                <w:webHidden/>
              </w:rPr>
              <w:fldChar w:fldCharType="end"/>
            </w:r>
          </w:hyperlink>
        </w:p>
        <w:p w14:paraId="2DC963F9" w14:textId="77777777" w:rsidR="00C87115" w:rsidRDefault="003D50F1">
          <w:pPr>
            <w:pStyle w:val="TOC2"/>
            <w:rPr>
              <w:rFonts w:asciiTheme="minorHAnsi" w:eastAsiaTheme="minorEastAsia" w:hAnsiTheme="minorHAnsi" w:cstheme="minorBidi"/>
              <w:b w:val="0"/>
              <w:noProof/>
              <w:sz w:val="22"/>
              <w:lang w:eastAsia="en-AU"/>
            </w:rPr>
          </w:pPr>
          <w:hyperlink w:anchor="_Toc511209814" w:history="1">
            <w:r w:rsidR="00C87115" w:rsidRPr="004C3C71">
              <w:rPr>
                <w:rStyle w:val="Hyperlink"/>
                <w:noProof/>
              </w:rPr>
              <w:t>Attachment 1. Product Information</w:t>
            </w:r>
            <w:r w:rsidR="00C87115">
              <w:rPr>
                <w:noProof/>
                <w:webHidden/>
              </w:rPr>
              <w:tab/>
            </w:r>
            <w:r w:rsidR="00C87115">
              <w:rPr>
                <w:noProof/>
                <w:webHidden/>
              </w:rPr>
              <w:fldChar w:fldCharType="begin"/>
            </w:r>
            <w:r w:rsidR="00C87115">
              <w:rPr>
                <w:noProof/>
                <w:webHidden/>
              </w:rPr>
              <w:instrText xml:space="preserve"> PAGEREF _Toc511209814 \h </w:instrText>
            </w:r>
            <w:r w:rsidR="00C87115">
              <w:rPr>
                <w:noProof/>
                <w:webHidden/>
              </w:rPr>
            </w:r>
            <w:r w:rsidR="00C87115">
              <w:rPr>
                <w:noProof/>
                <w:webHidden/>
              </w:rPr>
              <w:fldChar w:fldCharType="separate"/>
            </w:r>
            <w:r>
              <w:rPr>
                <w:noProof/>
                <w:webHidden/>
              </w:rPr>
              <w:t>83</w:t>
            </w:r>
            <w:r w:rsidR="00C87115">
              <w:rPr>
                <w:noProof/>
                <w:webHidden/>
              </w:rPr>
              <w:fldChar w:fldCharType="end"/>
            </w:r>
          </w:hyperlink>
        </w:p>
        <w:p w14:paraId="220D1D54" w14:textId="77777777" w:rsidR="00C87115" w:rsidRDefault="003D50F1">
          <w:pPr>
            <w:pStyle w:val="TOC2"/>
            <w:rPr>
              <w:rFonts w:asciiTheme="minorHAnsi" w:eastAsiaTheme="minorEastAsia" w:hAnsiTheme="minorHAnsi" w:cstheme="minorBidi"/>
              <w:b w:val="0"/>
              <w:noProof/>
              <w:sz w:val="22"/>
              <w:lang w:eastAsia="en-AU"/>
            </w:rPr>
          </w:pPr>
          <w:hyperlink w:anchor="_Toc511209815" w:history="1">
            <w:r w:rsidR="00C87115" w:rsidRPr="004C3C71">
              <w:rPr>
                <w:rStyle w:val="Hyperlink"/>
                <w:noProof/>
                <w:lang w:eastAsia="en-AU"/>
              </w:rPr>
              <w:t>Attachment 2. Extract from the Clinical Evaluation Report</w:t>
            </w:r>
            <w:r w:rsidR="00C87115">
              <w:rPr>
                <w:noProof/>
                <w:webHidden/>
              </w:rPr>
              <w:tab/>
            </w:r>
            <w:r w:rsidR="00C87115">
              <w:rPr>
                <w:noProof/>
                <w:webHidden/>
              </w:rPr>
              <w:fldChar w:fldCharType="begin"/>
            </w:r>
            <w:r w:rsidR="00C87115">
              <w:rPr>
                <w:noProof/>
                <w:webHidden/>
              </w:rPr>
              <w:instrText xml:space="preserve"> PAGEREF _Toc511209815 \h </w:instrText>
            </w:r>
            <w:r w:rsidR="00C87115">
              <w:rPr>
                <w:noProof/>
                <w:webHidden/>
              </w:rPr>
            </w:r>
            <w:r w:rsidR="00C87115">
              <w:rPr>
                <w:noProof/>
                <w:webHidden/>
              </w:rPr>
              <w:fldChar w:fldCharType="separate"/>
            </w:r>
            <w:r>
              <w:rPr>
                <w:noProof/>
                <w:webHidden/>
              </w:rPr>
              <w:t>83</w:t>
            </w:r>
            <w:r w:rsidR="00C87115">
              <w:rPr>
                <w:noProof/>
                <w:webHidden/>
              </w:rPr>
              <w:fldChar w:fldCharType="end"/>
            </w:r>
          </w:hyperlink>
        </w:p>
        <w:p w14:paraId="4FE9195C" w14:textId="77777777" w:rsidR="003A7F6C" w:rsidRPr="00B811C6" w:rsidRDefault="00DB6124" w:rsidP="00B811C6">
          <w:pPr>
            <w:pStyle w:val="TOC2"/>
          </w:pPr>
          <w:r>
            <w:fldChar w:fldCharType="end"/>
          </w:r>
        </w:p>
      </w:sdtContent>
    </w:sdt>
    <w:bookmarkStart w:id="0" w:name="_Toc314842482" w:displacedByCustomXml="prev"/>
    <w:p w14:paraId="4FE9195E" w14:textId="77777777" w:rsidR="00FD119B" w:rsidRPr="00FD119B" w:rsidRDefault="00441C3F" w:rsidP="00E9611B">
      <w:pPr>
        <w:pStyle w:val="Heading2"/>
        <w:pageBreakBefore/>
      </w:pPr>
      <w:bookmarkStart w:id="1" w:name="_Toc351716269"/>
      <w:bookmarkStart w:id="2" w:name="_Toc351718881"/>
      <w:bookmarkStart w:id="3" w:name="_Toc355338616"/>
      <w:bookmarkStart w:id="4" w:name="_Toc356306144"/>
      <w:bookmarkStart w:id="5" w:name="_Toc511209774"/>
      <w:r>
        <w:lastRenderedPageBreak/>
        <w:t>Common</w:t>
      </w:r>
      <w:r w:rsidR="00FD119B" w:rsidRPr="00FD119B">
        <w:t xml:space="preserve"> abbreviations</w:t>
      </w:r>
      <w:bookmarkEnd w:id="1"/>
      <w:bookmarkEnd w:id="2"/>
      <w:bookmarkEnd w:id="3"/>
      <w:bookmarkEnd w:id="4"/>
      <w:bookmarkEnd w:id="5"/>
    </w:p>
    <w:tbl>
      <w:tblPr>
        <w:tblStyle w:val="TableTGAblue"/>
        <w:tblW w:w="0" w:type="auto"/>
        <w:tblLook w:val="04A0" w:firstRow="1" w:lastRow="0" w:firstColumn="1" w:lastColumn="0" w:noHBand="0" w:noVBand="1"/>
        <w:tblDescription w:val="Common abbreviations"/>
      </w:tblPr>
      <w:tblGrid>
        <w:gridCol w:w="1809"/>
        <w:gridCol w:w="6911"/>
      </w:tblGrid>
      <w:tr w:rsidR="00FD119B" w:rsidRPr="00FD119B" w14:paraId="4FE91961" w14:textId="77777777" w:rsidTr="00FD119B">
        <w:trPr>
          <w:cnfStyle w:val="100000000000" w:firstRow="1" w:lastRow="0" w:firstColumn="0" w:lastColumn="0" w:oddVBand="0" w:evenVBand="0" w:oddHBand="0" w:evenHBand="0" w:firstRowFirstColumn="0" w:firstRowLastColumn="0" w:lastRowFirstColumn="0" w:lastRowLastColumn="0"/>
        </w:trPr>
        <w:tc>
          <w:tcPr>
            <w:tcW w:w="1809" w:type="dxa"/>
          </w:tcPr>
          <w:p w14:paraId="4FE9195F" w14:textId="77777777" w:rsidR="00FD119B" w:rsidRPr="00FD119B" w:rsidRDefault="00FD119B" w:rsidP="00FD119B">
            <w:pPr>
              <w:keepNext w:val="0"/>
              <w:ind w:left="0" w:right="0"/>
              <w:rPr>
                <w:szCs w:val="22"/>
                <w:lang w:eastAsia="en-US"/>
              </w:rPr>
            </w:pPr>
            <w:r w:rsidRPr="00FD119B">
              <w:rPr>
                <w:szCs w:val="22"/>
                <w:lang w:eastAsia="en-US"/>
              </w:rPr>
              <w:t>Abbreviation</w:t>
            </w:r>
          </w:p>
        </w:tc>
        <w:tc>
          <w:tcPr>
            <w:tcW w:w="6911" w:type="dxa"/>
          </w:tcPr>
          <w:p w14:paraId="4FE91960" w14:textId="77777777" w:rsidR="00FD119B" w:rsidRPr="00FD119B" w:rsidRDefault="00FD119B" w:rsidP="00FD119B">
            <w:pPr>
              <w:keepNext w:val="0"/>
              <w:ind w:left="0" w:right="0"/>
              <w:rPr>
                <w:szCs w:val="22"/>
                <w:lang w:eastAsia="en-US"/>
              </w:rPr>
            </w:pPr>
            <w:r w:rsidRPr="00FD119B">
              <w:rPr>
                <w:szCs w:val="22"/>
                <w:lang w:eastAsia="en-US"/>
              </w:rPr>
              <w:t>Meaning</w:t>
            </w:r>
          </w:p>
        </w:tc>
      </w:tr>
      <w:tr w:rsidR="00F31124" w:rsidRPr="00FD119B" w14:paraId="4FE91964" w14:textId="77777777" w:rsidTr="00FD119B">
        <w:tc>
          <w:tcPr>
            <w:tcW w:w="1809" w:type="dxa"/>
          </w:tcPr>
          <w:p w14:paraId="4FE91962" w14:textId="77777777" w:rsidR="00F31124" w:rsidRPr="00A129C7" w:rsidRDefault="00F31124" w:rsidP="00ED7D0C">
            <w:pPr>
              <w:autoSpaceDE w:val="0"/>
              <w:autoSpaceDN w:val="0"/>
              <w:adjustRightInd w:val="0"/>
              <w:spacing w:line="276" w:lineRule="auto"/>
              <w:jc w:val="both"/>
              <w:rPr>
                <w:rFonts w:cs="Arial"/>
                <w:szCs w:val="22"/>
              </w:rPr>
            </w:pPr>
            <w:r w:rsidRPr="00A129C7">
              <w:rPr>
                <w:rFonts w:cs="Arial"/>
                <w:szCs w:val="22"/>
              </w:rPr>
              <w:t>AE</w:t>
            </w:r>
          </w:p>
        </w:tc>
        <w:tc>
          <w:tcPr>
            <w:tcW w:w="6911" w:type="dxa"/>
          </w:tcPr>
          <w:p w14:paraId="4FE91963" w14:textId="77777777" w:rsidR="00F31124" w:rsidRPr="00A129C7" w:rsidRDefault="00F31124" w:rsidP="00ED7D0C">
            <w:pPr>
              <w:autoSpaceDE w:val="0"/>
              <w:autoSpaceDN w:val="0"/>
              <w:adjustRightInd w:val="0"/>
              <w:spacing w:line="276" w:lineRule="auto"/>
              <w:jc w:val="both"/>
              <w:rPr>
                <w:rFonts w:cs="Arial"/>
                <w:szCs w:val="22"/>
              </w:rPr>
            </w:pPr>
            <w:r w:rsidRPr="00A129C7">
              <w:rPr>
                <w:rFonts w:cs="Arial"/>
                <w:szCs w:val="22"/>
              </w:rPr>
              <w:t>Adverse event</w:t>
            </w:r>
          </w:p>
        </w:tc>
      </w:tr>
      <w:tr w:rsidR="00F31124" w:rsidRPr="00FD119B" w14:paraId="4FE91967" w14:textId="77777777" w:rsidTr="00FD119B">
        <w:tc>
          <w:tcPr>
            <w:tcW w:w="1809" w:type="dxa"/>
          </w:tcPr>
          <w:p w14:paraId="4FE91965" w14:textId="77777777" w:rsidR="00F31124" w:rsidRPr="00A129C7" w:rsidRDefault="00F31124" w:rsidP="00ED7D0C">
            <w:pPr>
              <w:autoSpaceDE w:val="0"/>
              <w:autoSpaceDN w:val="0"/>
              <w:adjustRightInd w:val="0"/>
              <w:spacing w:line="276" w:lineRule="auto"/>
              <w:jc w:val="both"/>
              <w:rPr>
                <w:rFonts w:cs="Arial"/>
                <w:szCs w:val="22"/>
              </w:rPr>
            </w:pPr>
            <w:r w:rsidRPr="00A129C7">
              <w:rPr>
                <w:rFonts w:cs="Arial"/>
                <w:szCs w:val="22"/>
              </w:rPr>
              <w:t>AIT</w:t>
            </w:r>
          </w:p>
        </w:tc>
        <w:tc>
          <w:tcPr>
            <w:tcW w:w="6911" w:type="dxa"/>
          </w:tcPr>
          <w:p w14:paraId="4FE91966" w14:textId="77777777" w:rsidR="00F31124" w:rsidRPr="00A129C7" w:rsidRDefault="00F31124" w:rsidP="00ED7D0C">
            <w:pPr>
              <w:autoSpaceDE w:val="0"/>
              <w:autoSpaceDN w:val="0"/>
              <w:adjustRightInd w:val="0"/>
              <w:spacing w:line="276" w:lineRule="auto"/>
              <w:jc w:val="both"/>
              <w:rPr>
                <w:rFonts w:cs="Arial"/>
                <w:szCs w:val="22"/>
              </w:rPr>
            </w:pPr>
            <w:r w:rsidRPr="00A129C7">
              <w:rPr>
                <w:rFonts w:cs="Arial"/>
                <w:szCs w:val="22"/>
              </w:rPr>
              <w:t>Allergy immunotherapy</w:t>
            </w:r>
          </w:p>
        </w:tc>
      </w:tr>
      <w:tr w:rsidR="00093D6B" w:rsidRPr="00FD119B" w14:paraId="4FE9196A" w14:textId="77777777" w:rsidTr="00FD119B">
        <w:tc>
          <w:tcPr>
            <w:tcW w:w="1809" w:type="dxa"/>
          </w:tcPr>
          <w:p w14:paraId="4FE91968" w14:textId="77777777" w:rsidR="00093D6B" w:rsidRPr="00A129C7" w:rsidRDefault="00093D6B" w:rsidP="00ED7D0C">
            <w:pPr>
              <w:autoSpaceDE w:val="0"/>
              <w:autoSpaceDN w:val="0"/>
              <w:adjustRightInd w:val="0"/>
              <w:spacing w:line="276" w:lineRule="auto"/>
              <w:jc w:val="both"/>
              <w:rPr>
                <w:rFonts w:cs="Arial"/>
              </w:rPr>
            </w:pPr>
            <w:r w:rsidRPr="00DF4597">
              <w:t>ALK</w:t>
            </w:r>
          </w:p>
        </w:tc>
        <w:tc>
          <w:tcPr>
            <w:tcW w:w="6911" w:type="dxa"/>
          </w:tcPr>
          <w:p w14:paraId="4FE91969" w14:textId="77777777" w:rsidR="00093D6B" w:rsidRPr="001A1402" w:rsidRDefault="001A1402" w:rsidP="001A1402">
            <w:r w:rsidRPr="001A1402">
              <w:t>ALK-</w:t>
            </w:r>
            <w:proofErr w:type="spellStart"/>
            <w:r w:rsidRPr="001A1402">
              <w:t>Abelló</w:t>
            </w:r>
            <w:proofErr w:type="spellEnd"/>
            <w:r w:rsidRPr="001A1402">
              <w:t xml:space="preserve"> A/S</w:t>
            </w:r>
          </w:p>
        </w:tc>
      </w:tr>
      <w:tr w:rsidR="00F31124" w:rsidRPr="00FD119B" w14:paraId="4FE9196D" w14:textId="77777777" w:rsidTr="00FD119B">
        <w:tc>
          <w:tcPr>
            <w:tcW w:w="1809" w:type="dxa"/>
          </w:tcPr>
          <w:p w14:paraId="4FE9196B" w14:textId="77777777" w:rsidR="00F31124" w:rsidRPr="00A129C7" w:rsidRDefault="00F31124" w:rsidP="00ED7D0C">
            <w:pPr>
              <w:autoSpaceDE w:val="0"/>
              <w:autoSpaceDN w:val="0"/>
              <w:adjustRightInd w:val="0"/>
              <w:spacing w:line="276" w:lineRule="auto"/>
              <w:jc w:val="both"/>
              <w:rPr>
                <w:rFonts w:cs="Arial"/>
                <w:szCs w:val="22"/>
              </w:rPr>
            </w:pPr>
            <w:r w:rsidRPr="00A129C7">
              <w:rPr>
                <w:rFonts w:cs="Arial"/>
                <w:szCs w:val="22"/>
              </w:rPr>
              <w:t>ARIA</w:t>
            </w:r>
          </w:p>
        </w:tc>
        <w:tc>
          <w:tcPr>
            <w:tcW w:w="6911" w:type="dxa"/>
          </w:tcPr>
          <w:p w14:paraId="4FE9196C" w14:textId="77777777" w:rsidR="00F31124" w:rsidRPr="00A129C7" w:rsidRDefault="00F31124" w:rsidP="00ED7D0C">
            <w:pPr>
              <w:autoSpaceDE w:val="0"/>
              <w:autoSpaceDN w:val="0"/>
              <w:adjustRightInd w:val="0"/>
              <w:spacing w:line="276" w:lineRule="auto"/>
              <w:jc w:val="both"/>
              <w:rPr>
                <w:rFonts w:cs="Arial"/>
                <w:szCs w:val="22"/>
              </w:rPr>
            </w:pPr>
            <w:r w:rsidRPr="00A129C7">
              <w:rPr>
                <w:rFonts w:cs="Arial"/>
                <w:szCs w:val="22"/>
              </w:rPr>
              <w:t>Allergic Rhinitis and its Impact on Asthma</w:t>
            </w:r>
          </w:p>
        </w:tc>
      </w:tr>
      <w:tr w:rsidR="004C74AA" w:rsidRPr="00FD119B" w14:paraId="4FE91970" w14:textId="77777777" w:rsidTr="00FD119B">
        <w:tc>
          <w:tcPr>
            <w:tcW w:w="1809" w:type="dxa"/>
          </w:tcPr>
          <w:p w14:paraId="4FE9196E" w14:textId="77777777" w:rsidR="004C74AA" w:rsidRPr="00A129C7" w:rsidRDefault="004C74AA" w:rsidP="00ED7D0C">
            <w:pPr>
              <w:autoSpaceDE w:val="0"/>
              <w:autoSpaceDN w:val="0"/>
              <w:adjustRightInd w:val="0"/>
              <w:spacing w:line="276" w:lineRule="auto"/>
              <w:jc w:val="both"/>
              <w:rPr>
                <w:rFonts w:cs="Arial"/>
              </w:rPr>
            </w:pPr>
            <w:r w:rsidRPr="00F00957">
              <w:t>AVH</w:t>
            </w:r>
          </w:p>
        </w:tc>
        <w:tc>
          <w:tcPr>
            <w:tcW w:w="6911" w:type="dxa"/>
          </w:tcPr>
          <w:p w14:paraId="4FE9196F" w14:textId="77777777" w:rsidR="004C74AA" w:rsidRPr="00A129C7" w:rsidRDefault="004C74AA" w:rsidP="00ED7D0C">
            <w:pPr>
              <w:autoSpaceDE w:val="0"/>
              <w:autoSpaceDN w:val="0"/>
              <w:adjustRightInd w:val="0"/>
              <w:spacing w:line="276" w:lineRule="auto"/>
              <w:jc w:val="both"/>
              <w:rPr>
                <w:rFonts w:cs="Arial"/>
              </w:rPr>
            </w:pPr>
            <w:r w:rsidRPr="00F00957">
              <w:t>A</w:t>
            </w:r>
            <w:r>
              <w:t>ustralian Virtual Herbarium</w:t>
            </w:r>
          </w:p>
        </w:tc>
      </w:tr>
      <w:tr w:rsidR="002A47B8" w:rsidRPr="00FD119B" w14:paraId="4FE91973" w14:textId="77777777" w:rsidTr="00FD119B">
        <w:tc>
          <w:tcPr>
            <w:tcW w:w="1809" w:type="dxa"/>
          </w:tcPr>
          <w:p w14:paraId="4FE91971" w14:textId="77777777" w:rsidR="002A47B8" w:rsidRPr="00A129C7" w:rsidRDefault="002A47B8" w:rsidP="00ED7D0C">
            <w:pPr>
              <w:autoSpaceDE w:val="0"/>
              <w:autoSpaceDN w:val="0"/>
              <w:adjustRightInd w:val="0"/>
              <w:spacing w:line="276" w:lineRule="auto"/>
              <w:jc w:val="both"/>
              <w:rPr>
                <w:rFonts w:cs="Arial"/>
              </w:rPr>
            </w:pPr>
            <w:r w:rsidRPr="00751E03">
              <w:rPr>
                <w:lang w:val="en"/>
              </w:rPr>
              <w:t>BAL</w:t>
            </w:r>
          </w:p>
        </w:tc>
        <w:tc>
          <w:tcPr>
            <w:tcW w:w="6911" w:type="dxa"/>
          </w:tcPr>
          <w:p w14:paraId="4FE91972" w14:textId="77777777" w:rsidR="002A47B8" w:rsidRPr="00A129C7" w:rsidRDefault="002A47B8" w:rsidP="002A47B8">
            <w:pPr>
              <w:autoSpaceDE w:val="0"/>
              <w:autoSpaceDN w:val="0"/>
              <w:adjustRightInd w:val="0"/>
              <w:spacing w:line="276" w:lineRule="auto"/>
              <w:jc w:val="both"/>
              <w:rPr>
                <w:rFonts w:cs="Arial"/>
              </w:rPr>
            </w:pPr>
            <w:proofErr w:type="spellStart"/>
            <w:r>
              <w:rPr>
                <w:lang w:val="en"/>
              </w:rPr>
              <w:t>bronchoalveolar</w:t>
            </w:r>
            <w:proofErr w:type="spellEnd"/>
            <w:r>
              <w:rPr>
                <w:lang w:val="en"/>
              </w:rPr>
              <w:t xml:space="preserve"> lavage</w:t>
            </w:r>
          </w:p>
        </w:tc>
      </w:tr>
      <w:tr w:rsidR="00F31124" w:rsidRPr="00FD119B" w14:paraId="4FE91976" w14:textId="77777777" w:rsidTr="00FD119B">
        <w:tc>
          <w:tcPr>
            <w:tcW w:w="1809" w:type="dxa"/>
          </w:tcPr>
          <w:p w14:paraId="4FE91974" w14:textId="77777777" w:rsidR="00F31124" w:rsidRPr="00A129C7" w:rsidRDefault="00F31124" w:rsidP="00ED7D0C">
            <w:pPr>
              <w:autoSpaceDE w:val="0"/>
              <w:autoSpaceDN w:val="0"/>
              <w:adjustRightInd w:val="0"/>
              <w:spacing w:line="276" w:lineRule="auto"/>
              <w:jc w:val="both"/>
              <w:rPr>
                <w:rFonts w:cs="Arial"/>
                <w:szCs w:val="22"/>
              </w:rPr>
            </w:pPr>
            <w:r w:rsidRPr="00A129C7">
              <w:rPr>
                <w:rFonts w:cs="Arial"/>
                <w:szCs w:val="22"/>
              </w:rPr>
              <w:t>BAU</w:t>
            </w:r>
          </w:p>
        </w:tc>
        <w:tc>
          <w:tcPr>
            <w:tcW w:w="6911" w:type="dxa"/>
          </w:tcPr>
          <w:p w14:paraId="4FE91975" w14:textId="77777777" w:rsidR="00F31124" w:rsidRPr="00A129C7" w:rsidRDefault="00F31124" w:rsidP="00ED7D0C">
            <w:pPr>
              <w:autoSpaceDE w:val="0"/>
              <w:autoSpaceDN w:val="0"/>
              <w:adjustRightInd w:val="0"/>
              <w:spacing w:line="276" w:lineRule="auto"/>
              <w:jc w:val="both"/>
              <w:rPr>
                <w:rFonts w:cs="Arial"/>
                <w:szCs w:val="22"/>
              </w:rPr>
            </w:pPr>
            <w:r w:rsidRPr="00A129C7">
              <w:rPr>
                <w:rFonts w:cs="Arial"/>
                <w:szCs w:val="22"/>
              </w:rPr>
              <w:t>Bioequivalent Allergy Units</w:t>
            </w:r>
          </w:p>
        </w:tc>
      </w:tr>
      <w:tr w:rsidR="00AD1BB3" w:rsidRPr="00FD119B" w14:paraId="4FE91979" w14:textId="77777777" w:rsidTr="00FD119B">
        <w:tc>
          <w:tcPr>
            <w:tcW w:w="1809" w:type="dxa"/>
          </w:tcPr>
          <w:p w14:paraId="4FE91977" w14:textId="77777777" w:rsidR="00AD1BB3" w:rsidRPr="00A129C7" w:rsidRDefault="00AD1BB3" w:rsidP="00ED7D0C">
            <w:pPr>
              <w:autoSpaceDE w:val="0"/>
              <w:autoSpaceDN w:val="0"/>
              <w:adjustRightInd w:val="0"/>
              <w:spacing w:line="276" w:lineRule="auto"/>
              <w:jc w:val="both"/>
              <w:rPr>
                <w:rFonts w:cs="Arial"/>
              </w:rPr>
            </w:pPr>
            <w:r w:rsidRPr="00B45165">
              <w:t>CER</w:t>
            </w:r>
          </w:p>
        </w:tc>
        <w:tc>
          <w:tcPr>
            <w:tcW w:w="6911" w:type="dxa"/>
          </w:tcPr>
          <w:p w14:paraId="4FE91978" w14:textId="77777777" w:rsidR="00AD1BB3" w:rsidRPr="00A129C7" w:rsidRDefault="00AD1BB3" w:rsidP="00ED7D0C">
            <w:pPr>
              <w:autoSpaceDE w:val="0"/>
              <w:autoSpaceDN w:val="0"/>
              <w:adjustRightInd w:val="0"/>
              <w:spacing w:line="276" w:lineRule="auto"/>
              <w:jc w:val="both"/>
              <w:rPr>
                <w:rFonts w:cs="Arial"/>
              </w:rPr>
            </w:pPr>
            <w:r>
              <w:rPr>
                <w:rFonts w:cs="Arial"/>
              </w:rPr>
              <w:t>Clinical evaluation report</w:t>
            </w:r>
          </w:p>
        </w:tc>
      </w:tr>
      <w:tr w:rsidR="00F31124" w:rsidRPr="00FD119B" w14:paraId="4FE9197C" w14:textId="77777777" w:rsidTr="00FD119B">
        <w:tc>
          <w:tcPr>
            <w:tcW w:w="1809" w:type="dxa"/>
          </w:tcPr>
          <w:p w14:paraId="4FE9197A" w14:textId="77777777" w:rsidR="00F31124" w:rsidRPr="00A129C7" w:rsidRDefault="00F31124" w:rsidP="00ED7D0C">
            <w:pPr>
              <w:autoSpaceDE w:val="0"/>
              <w:autoSpaceDN w:val="0"/>
              <w:adjustRightInd w:val="0"/>
              <w:spacing w:line="276" w:lineRule="auto"/>
              <w:jc w:val="both"/>
              <w:rPr>
                <w:rFonts w:cs="Arial"/>
                <w:szCs w:val="22"/>
              </w:rPr>
            </w:pPr>
            <w:r w:rsidRPr="00A129C7">
              <w:rPr>
                <w:rFonts w:cs="Arial"/>
                <w:szCs w:val="22"/>
              </w:rPr>
              <w:t>CSR</w:t>
            </w:r>
          </w:p>
        </w:tc>
        <w:tc>
          <w:tcPr>
            <w:tcW w:w="6911" w:type="dxa"/>
          </w:tcPr>
          <w:p w14:paraId="4FE9197B" w14:textId="77777777" w:rsidR="00F31124" w:rsidRPr="00A129C7" w:rsidRDefault="00F31124" w:rsidP="00ED7D0C">
            <w:pPr>
              <w:autoSpaceDE w:val="0"/>
              <w:autoSpaceDN w:val="0"/>
              <w:adjustRightInd w:val="0"/>
              <w:spacing w:line="276" w:lineRule="auto"/>
              <w:jc w:val="both"/>
              <w:rPr>
                <w:rFonts w:cs="Arial"/>
                <w:szCs w:val="22"/>
              </w:rPr>
            </w:pPr>
            <w:r w:rsidRPr="00A129C7">
              <w:rPr>
                <w:rFonts w:cs="Arial"/>
                <w:szCs w:val="22"/>
              </w:rPr>
              <w:t>Clinical study report</w:t>
            </w:r>
          </w:p>
        </w:tc>
      </w:tr>
      <w:tr w:rsidR="00F31124" w:rsidRPr="00FD119B" w14:paraId="4FE9197F" w14:textId="77777777" w:rsidTr="00FD119B">
        <w:tc>
          <w:tcPr>
            <w:tcW w:w="1809" w:type="dxa"/>
          </w:tcPr>
          <w:p w14:paraId="4FE9197D" w14:textId="77777777" w:rsidR="00F31124" w:rsidRPr="00A129C7" w:rsidRDefault="00F31124" w:rsidP="00ED7D0C">
            <w:pPr>
              <w:autoSpaceDE w:val="0"/>
              <w:autoSpaceDN w:val="0"/>
              <w:adjustRightInd w:val="0"/>
              <w:spacing w:line="276" w:lineRule="auto"/>
              <w:jc w:val="both"/>
              <w:rPr>
                <w:rFonts w:cs="Arial"/>
                <w:szCs w:val="22"/>
              </w:rPr>
            </w:pPr>
            <w:r w:rsidRPr="00A129C7">
              <w:rPr>
                <w:rFonts w:cs="Arial"/>
                <w:szCs w:val="22"/>
              </w:rPr>
              <w:t>DMS</w:t>
            </w:r>
          </w:p>
        </w:tc>
        <w:tc>
          <w:tcPr>
            <w:tcW w:w="6911" w:type="dxa"/>
          </w:tcPr>
          <w:p w14:paraId="4FE9197E" w14:textId="77777777" w:rsidR="00F31124" w:rsidRPr="00A129C7" w:rsidRDefault="00F31124" w:rsidP="00ED7D0C">
            <w:pPr>
              <w:autoSpaceDE w:val="0"/>
              <w:autoSpaceDN w:val="0"/>
              <w:adjustRightInd w:val="0"/>
              <w:spacing w:line="276" w:lineRule="auto"/>
              <w:jc w:val="both"/>
              <w:rPr>
                <w:rFonts w:cs="Arial"/>
                <w:szCs w:val="22"/>
              </w:rPr>
            </w:pPr>
            <w:r w:rsidRPr="00A129C7">
              <w:rPr>
                <w:rFonts w:cs="Arial"/>
                <w:szCs w:val="22"/>
              </w:rPr>
              <w:t>Daily medication score</w:t>
            </w:r>
          </w:p>
        </w:tc>
      </w:tr>
      <w:tr w:rsidR="00F31124" w:rsidRPr="00FD119B" w14:paraId="4FE91982" w14:textId="77777777" w:rsidTr="00FD119B">
        <w:tc>
          <w:tcPr>
            <w:tcW w:w="1809" w:type="dxa"/>
          </w:tcPr>
          <w:p w14:paraId="4FE91980" w14:textId="77777777" w:rsidR="00F31124" w:rsidRPr="00A129C7" w:rsidRDefault="00F31124" w:rsidP="00ED7D0C">
            <w:pPr>
              <w:autoSpaceDE w:val="0"/>
              <w:autoSpaceDN w:val="0"/>
              <w:adjustRightInd w:val="0"/>
              <w:spacing w:line="276" w:lineRule="auto"/>
              <w:jc w:val="both"/>
              <w:rPr>
                <w:rFonts w:cs="Arial"/>
                <w:szCs w:val="22"/>
              </w:rPr>
            </w:pPr>
            <w:r w:rsidRPr="00A129C7">
              <w:rPr>
                <w:rFonts w:cs="Arial"/>
                <w:szCs w:val="22"/>
              </w:rPr>
              <w:t>DSS</w:t>
            </w:r>
          </w:p>
        </w:tc>
        <w:tc>
          <w:tcPr>
            <w:tcW w:w="6911" w:type="dxa"/>
          </w:tcPr>
          <w:p w14:paraId="4FE91981" w14:textId="77777777" w:rsidR="00F31124" w:rsidRPr="00A129C7" w:rsidRDefault="00F31124" w:rsidP="00ED7D0C">
            <w:pPr>
              <w:autoSpaceDE w:val="0"/>
              <w:autoSpaceDN w:val="0"/>
              <w:adjustRightInd w:val="0"/>
              <w:spacing w:line="276" w:lineRule="auto"/>
              <w:jc w:val="both"/>
              <w:rPr>
                <w:rFonts w:cs="Arial"/>
                <w:szCs w:val="22"/>
              </w:rPr>
            </w:pPr>
            <w:r w:rsidRPr="00A129C7">
              <w:rPr>
                <w:rFonts w:cs="Arial"/>
                <w:szCs w:val="22"/>
              </w:rPr>
              <w:t>Daily symptom score</w:t>
            </w:r>
          </w:p>
        </w:tc>
      </w:tr>
      <w:tr w:rsidR="00F31124" w:rsidRPr="00FD119B" w14:paraId="4FE91985" w14:textId="77777777" w:rsidTr="00FD119B">
        <w:tc>
          <w:tcPr>
            <w:tcW w:w="1809" w:type="dxa"/>
          </w:tcPr>
          <w:p w14:paraId="4FE91983" w14:textId="77777777" w:rsidR="00F31124" w:rsidRPr="00A129C7" w:rsidRDefault="00F31124" w:rsidP="00ED7D0C">
            <w:pPr>
              <w:autoSpaceDE w:val="0"/>
              <w:autoSpaceDN w:val="0"/>
              <w:adjustRightInd w:val="0"/>
              <w:spacing w:line="276" w:lineRule="auto"/>
              <w:jc w:val="both"/>
              <w:rPr>
                <w:rFonts w:cs="Arial"/>
                <w:szCs w:val="22"/>
              </w:rPr>
            </w:pPr>
            <w:r w:rsidRPr="00A129C7">
              <w:rPr>
                <w:rFonts w:cs="Arial"/>
                <w:szCs w:val="22"/>
              </w:rPr>
              <w:t>FAS</w:t>
            </w:r>
          </w:p>
        </w:tc>
        <w:tc>
          <w:tcPr>
            <w:tcW w:w="6911" w:type="dxa"/>
          </w:tcPr>
          <w:p w14:paraId="4FE91984" w14:textId="77777777" w:rsidR="00F31124" w:rsidRPr="00A129C7" w:rsidRDefault="00F31124" w:rsidP="00ED7D0C">
            <w:pPr>
              <w:autoSpaceDE w:val="0"/>
              <w:autoSpaceDN w:val="0"/>
              <w:adjustRightInd w:val="0"/>
              <w:spacing w:line="276" w:lineRule="auto"/>
              <w:jc w:val="both"/>
              <w:rPr>
                <w:rFonts w:cs="Arial"/>
                <w:szCs w:val="22"/>
              </w:rPr>
            </w:pPr>
            <w:r w:rsidRPr="00A129C7">
              <w:t>Full analysis set</w:t>
            </w:r>
          </w:p>
        </w:tc>
      </w:tr>
      <w:tr w:rsidR="001E1063" w:rsidRPr="00FD119B" w14:paraId="4FE91988" w14:textId="77777777" w:rsidTr="00FD119B">
        <w:tc>
          <w:tcPr>
            <w:tcW w:w="1809" w:type="dxa"/>
          </w:tcPr>
          <w:p w14:paraId="4FE91986" w14:textId="77777777" w:rsidR="001E1063" w:rsidRPr="00A129C7" w:rsidRDefault="001E1063" w:rsidP="00ED7D0C">
            <w:pPr>
              <w:autoSpaceDE w:val="0"/>
              <w:autoSpaceDN w:val="0"/>
              <w:adjustRightInd w:val="0"/>
              <w:spacing w:line="276" w:lineRule="auto"/>
              <w:jc w:val="both"/>
              <w:rPr>
                <w:rFonts w:cs="Arial"/>
              </w:rPr>
            </w:pPr>
            <w:proofErr w:type="spellStart"/>
            <w:r w:rsidRPr="00751E03">
              <w:rPr>
                <w:lang w:val="en"/>
              </w:rPr>
              <w:t>FcγRIIB</w:t>
            </w:r>
            <w:proofErr w:type="spellEnd"/>
          </w:p>
        </w:tc>
        <w:tc>
          <w:tcPr>
            <w:tcW w:w="6911" w:type="dxa"/>
          </w:tcPr>
          <w:p w14:paraId="4FE91987" w14:textId="77777777" w:rsidR="001E1063" w:rsidRPr="00A129C7" w:rsidRDefault="0089016D" w:rsidP="00ED7D0C">
            <w:pPr>
              <w:autoSpaceDE w:val="0"/>
              <w:autoSpaceDN w:val="0"/>
              <w:adjustRightInd w:val="0"/>
              <w:spacing w:line="276" w:lineRule="auto"/>
              <w:jc w:val="both"/>
            </w:pPr>
            <w:r>
              <w:rPr>
                <w:lang w:val="en"/>
              </w:rPr>
              <w:t>T</w:t>
            </w:r>
            <w:r w:rsidR="001E1063" w:rsidRPr="00751E03">
              <w:rPr>
                <w:lang w:val="en"/>
              </w:rPr>
              <w:t>he low-affinity IgG receptor</w:t>
            </w:r>
          </w:p>
        </w:tc>
      </w:tr>
      <w:tr w:rsidR="00F31124" w:rsidRPr="00FD119B" w14:paraId="4FE9198B" w14:textId="77777777" w:rsidTr="00FD119B">
        <w:tc>
          <w:tcPr>
            <w:tcW w:w="1809" w:type="dxa"/>
          </w:tcPr>
          <w:p w14:paraId="4FE91989" w14:textId="77777777" w:rsidR="00F31124" w:rsidRPr="00A129C7" w:rsidRDefault="00F31124" w:rsidP="00ED7D0C">
            <w:pPr>
              <w:autoSpaceDE w:val="0"/>
              <w:autoSpaceDN w:val="0"/>
              <w:adjustRightInd w:val="0"/>
              <w:spacing w:line="276" w:lineRule="auto"/>
              <w:jc w:val="both"/>
              <w:rPr>
                <w:rFonts w:cs="Arial"/>
                <w:szCs w:val="22"/>
              </w:rPr>
            </w:pPr>
            <w:r w:rsidRPr="00A129C7">
              <w:rPr>
                <w:rFonts w:cs="Arial"/>
                <w:szCs w:val="22"/>
              </w:rPr>
              <w:t>GINA</w:t>
            </w:r>
          </w:p>
        </w:tc>
        <w:tc>
          <w:tcPr>
            <w:tcW w:w="6911" w:type="dxa"/>
          </w:tcPr>
          <w:p w14:paraId="4FE9198A" w14:textId="77777777" w:rsidR="00F31124" w:rsidRPr="00A129C7" w:rsidRDefault="00F31124" w:rsidP="00ED7D0C">
            <w:pPr>
              <w:autoSpaceDE w:val="0"/>
              <w:autoSpaceDN w:val="0"/>
              <w:adjustRightInd w:val="0"/>
              <w:spacing w:line="276" w:lineRule="auto"/>
              <w:jc w:val="both"/>
              <w:rPr>
                <w:rFonts w:cs="Arial"/>
                <w:szCs w:val="22"/>
              </w:rPr>
            </w:pPr>
            <w:r w:rsidRPr="00A129C7">
              <w:rPr>
                <w:rFonts w:cs="Arial"/>
                <w:szCs w:val="22"/>
              </w:rPr>
              <w:t>Global Initiative for Asthma</w:t>
            </w:r>
          </w:p>
        </w:tc>
      </w:tr>
      <w:tr w:rsidR="00F31124" w:rsidRPr="00FD119B" w14:paraId="4FE9198E" w14:textId="77777777" w:rsidTr="00FD119B">
        <w:tc>
          <w:tcPr>
            <w:tcW w:w="1809" w:type="dxa"/>
          </w:tcPr>
          <w:p w14:paraId="4FE9198C" w14:textId="77777777" w:rsidR="00F31124" w:rsidRPr="00A129C7" w:rsidRDefault="00F31124" w:rsidP="00ED7D0C">
            <w:pPr>
              <w:autoSpaceDE w:val="0"/>
              <w:autoSpaceDN w:val="0"/>
              <w:adjustRightInd w:val="0"/>
              <w:spacing w:line="276" w:lineRule="auto"/>
              <w:jc w:val="both"/>
              <w:rPr>
                <w:rFonts w:cs="Arial"/>
                <w:szCs w:val="22"/>
              </w:rPr>
            </w:pPr>
            <w:r w:rsidRPr="00A129C7">
              <w:rPr>
                <w:rFonts w:cs="Arial"/>
                <w:szCs w:val="22"/>
              </w:rPr>
              <w:t>GPS</w:t>
            </w:r>
          </w:p>
        </w:tc>
        <w:tc>
          <w:tcPr>
            <w:tcW w:w="6911" w:type="dxa"/>
          </w:tcPr>
          <w:p w14:paraId="4FE9198D" w14:textId="77777777" w:rsidR="00F31124" w:rsidRPr="00A129C7" w:rsidRDefault="00F31124" w:rsidP="00ED7D0C">
            <w:pPr>
              <w:autoSpaceDE w:val="0"/>
              <w:autoSpaceDN w:val="0"/>
              <w:adjustRightInd w:val="0"/>
              <w:spacing w:line="276" w:lineRule="auto"/>
              <w:jc w:val="both"/>
              <w:rPr>
                <w:rFonts w:cs="Arial"/>
                <w:szCs w:val="22"/>
              </w:rPr>
            </w:pPr>
            <w:r w:rsidRPr="00A129C7">
              <w:rPr>
                <w:rFonts w:cs="Arial"/>
                <w:szCs w:val="22"/>
              </w:rPr>
              <w:t>Grass pollen season</w:t>
            </w:r>
          </w:p>
        </w:tc>
      </w:tr>
      <w:tr w:rsidR="00F31124" w:rsidRPr="00FD119B" w14:paraId="4FE91991" w14:textId="77777777" w:rsidTr="00FD119B">
        <w:tc>
          <w:tcPr>
            <w:tcW w:w="1809" w:type="dxa"/>
          </w:tcPr>
          <w:p w14:paraId="4FE9198F" w14:textId="77777777" w:rsidR="00F31124" w:rsidRPr="00A129C7" w:rsidRDefault="00F31124" w:rsidP="00ED7D0C">
            <w:pPr>
              <w:autoSpaceDE w:val="0"/>
              <w:autoSpaceDN w:val="0"/>
              <w:adjustRightInd w:val="0"/>
              <w:spacing w:line="276" w:lineRule="auto"/>
              <w:jc w:val="both"/>
              <w:rPr>
                <w:rFonts w:cs="Arial"/>
                <w:szCs w:val="22"/>
              </w:rPr>
            </w:pPr>
            <w:r w:rsidRPr="00A129C7">
              <w:rPr>
                <w:rFonts w:cs="Arial"/>
                <w:szCs w:val="22"/>
              </w:rPr>
              <w:t>Grazax</w:t>
            </w:r>
          </w:p>
        </w:tc>
        <w:tc>
          <w:tcPr>
            <w:tcW w:w="6911" w:type="dxa"/>
          </w:tcPr>
          <w:p w14:paraId="4FE91990" w14:textId="77777777" w:rsidR="00F31124" w:rsidRPr="00A129C7" w:rsidRDefault="00F31124" w:rsidP="00ED7D0C">
            <w:pPr>
              <w:autoSpaceDE w:val="0"/>
              <w:autoSpaceDN w:val="0"/>
              <w:adjustRightInd w:val="0"/>
              <w:spacing w:line="276" w:lineRule="auto"/>
              <w:jc w:val="both"/>
              <w:rPr>
                <w:rFonts w:cs="Arial"/>
                <w:szCs w:val="22"/>
              </w:rPr>
            </w:pPr>
            <w:r w:rsidRPr="00A129C7">
              <w:rPr>
                <w:rFonts w:cs="Arial"/>
                <w:szCs w:val="22"/>
              </w:rPr>
              <w:t xml:space="preserve">Grazax 75,000 SQ-T oral lyophilisate, also called ALK grass tablet 75,000 SQ-T, also called SCH697243 (Timothy grass allergy immunotherapy tablet [2800 BAU </w:t>
            </w:r>
            <w:r w:rsidR="002D7A68" w:rsidRPr="002D7A68">
              <w:rPr>
                <w:i/>
              </w:rPr>
              <w:t>Phleum pratense</w:t>
            </w:r>
            <w:r w:rsidRPr="00A129C7">
              <w:rPr>
                <w:rFonts w:cs="Arial"/>
                <w:szCs w:val="22"/>
              </w:rPr>
              <w:t xml:space="preserve"> grass extract (equivalent to 75,000 SQ-T)]</w:t>
            </w:r>
          </w:p>
        </w:tc>
      </w:tr>
      <w:tr w:rsidR="00F31124" w:rsidRPr="00FD119B" w14:paraId="4FE91994" w14:textId="77777777" w:rsidTr="00FD119B">
        <w:tc>
          <w:tcPr>
            <w:tcW w:w="1809" w:type="dxa"/>
          </w:tcPr>
          <w:p w14:paraId="4FE91992" w14:textId="77777777" w:rsidR="00F31124" w:rsidRPr="00A129C7" w:rsidRDefault="00F31124" w:rsidP="00ED7D0C">
            <w:pPr>
              <w:autoSpaceDE w:val="0"/>
              <w:autoSpaceDN w:val="0"/>
              <w:adjustRightInd w:val="0"/>
              <w:spacing w:line="276" w:lineRule="auto"/>
              <w:jc w:val="both"/>
              <w:rPr>
                <w:rFonts w:cs="Arial"/>
                <w:szCs w:val="22"/>
              </w:rPr>
            </w:pPr>
            <w:r w:rsidRPr="00A129C7">
              <w:rPr>
                <w:rFonts w:cs="Arial"/>
                <w:szCs w:val="22"/>
              </w:rPr>
              <w:t>ICAM-1</w:t>
            </w:r>
          </w:p>
        </w:tc>
        <w:tc>
          <w:tcPr>
            <w:tcW w:w="6911" w:type="dxa"/>
          </w:tcPr>
          <w:p w14:paraId="4FE91993" w14:textId="77777777" w:rsidR="00F31124" w:rsidRPr="00A129C7" w:rsidRDefault="00F31124" w:rsidP="00ED7D0C">
            <w:pPr>
              <w:autoSpaceDE w:val="0"/>
              <w:autoSpaceDN w:val="0"/>
              <w:adjustRightInd w:val="0"/>
              <w:spacing w:line="276" w:lineRule="auto"/>
              <w:jc w:val="both"/>
              <w:rPr>
                <w:rFonts w:cs="Arial"/>
                <w:szCs w:val="22"/>
              </w:rPr>
            </w:pPr>
            <w:r w:rsidRPr="00A129C7">
              <w:rPr>
                <w:rFonts w:cs="Arial"/>
                <w:szCs w:val="22"/>
              </w:rPr>
              <w:t>Intercellular adhesion molecule 1</w:t>
            </w:r>
          </w:p>
        </w:tc>
      </w:tr>
      <w:tr w:rsidR="00F31124" w:rsidRPr="00FD119B" w14:paraId="4FE91997" w14:textId="77777777" w:rsidTr="00FD119B">
        <w:tc>
          <w:tcPr>
            <w:tcW w:w="1809" w:type="dxa"/>
          </w:tcPr>
          <w:p w14:paraId="4FE91995" w14:textId="77777777" w:rsidR="00F31124" w:rsidRPr="00A129C7" w:rsidRDefault="00F31124" w:rsidP="00ED7D0C">
            <w:pPr>
              <w:autoSpaceDE w:val="0"/>
              <w:autoSpaceDN w:val="0"/>
              <w:adjustRightInd w:val="0"/>
              <w:spacing w:line="276" w:lineRule="auto"/>
              <w:jc w:val="both"/>
              <w:rPr>
                <w:rFonts w:cs="Arial"/>
                <w:szCs w:val="22"/>
              </w:rPr>
            </w:pPr>
            <w:r w:rsidRPr="00A129C7">
              <w:rPr>
                <w:rFonts w:cs="Arial"/>
                <w:szCs w:val="22"/>
              </w:rPr>
              <w:t>ICH</w:t>
            </w:r>
          </w:p>
        </w:tc>
        <w:tc>
          <w:tcPr>
            <w:tcW w:w="6911" w:type="dxa"/>
          </w:tcPr>
          <w:p w14:paraId="4FE91996" w14:textId="77777777" w:rsidR="00F31124" w:rsidRPr="00A129C7" w:rsidRDefault="00F31124" w:rsidP="00ED7D0C">
            <w:pPr>
              <w:autoSpaceDE w:val="0"/>
              <w:autoSpaceDN w:val="0"/>
              <w:adjustRightInd w:val="0"/>
              <w:spacing w:line="276" w:lineRule="auto"/>
              <w:jc w:val="both"/>
              <w:rPr>
                <w:rFonts w:cs="Arial"/>
                <w:szCs w:val="22"/>
              </w:rPr>
            </w:pPr>
            <w:r w:rsidRPr="00A129C7">
              <w:rPr>
                <w:rFonts w:cs="Arial"/>
                <w:szCs w:val="22"/>
              </w:rPr>
              <w:t>International Conference on Harmonisation</w:t>
            </w:r>
          </w:p>
        </w:tc>
      </w:tr>
      <w:tr w:rsidR="0089016D" w:rsidRPr="00FD119B" w14:paraId="4FE9199A" w14:textId="77777777" w:rsidTr="00FD119B">
        <w:tc>
          <w:tcPr>
            <w:tcW w:w="1809" w:type="dxa"/>
          </w:tcPr>
          <w:p w14:paraId="4FE91998" w14:textId="77777777" w:rsidR="0089016D" w:rsidRPr="00A129C7" w:rsidRDefault="0089016D" w:rsidP="00ED7D0C">
            <w:pPr>
              <w:autoSpaceDE w:val="0"/>
              <w:autoSpaceDN w:val="0"/>
              <w:adjustRightInd w:val="0"/>
              <w:spacing w:line="276" w:lineRule="auto"/>
              <w:jc w:val="both"/>
              <w:rPr>
                <w:rFonts w:cs="Arial"/>
              </w:rPr>
            </w:pPr>
            <w:r w:rsidRPr="00751E03">
              <w:rPr>
                <w:lang w:val="en"/>
              </w:rPr>
              <w:t>IL-4</w:t>
            </w:r>
          </w:p>
        </w:tc>
        <w:tc>
          <w:tcPr>
            <w:tcW w:w="6911" w:type="dxa"/>
          </w:tcPr>
          <w:p w14:paraId="4FE91999" w14:textId="77777777" w:rsidR="0089016D" w:rsidRPr="00A129C7" w:rsidRDefault="0089016D" w:rsidP="00ED7D0C">
            <w:pPr>
              <w:autoSpaceDE w:val="0"/>
              <w:autoSpaceDN w:val="0"/>
              <w:adjustRightInd w:val="0"/>
              <w:spacing w:line="276" w:lineRule="auto"/>
              <w:jc w:val="both"/>
              <w:rPr>
                <w:rFonts w:cs="Arial"/>
              </w:rPr>
            </w:pPr>
            <w:r>
              <w:rPr>
                <w:rFonts w:cs="Arial"/>
              </w:rPr>
              <w:t>Interleukin 4</w:t>
            </w:r>
          </w:p>
        </w:tc>
      </w:tr>
      <w:tr w:rsidR="0089016D" w:rsidRPr="00FD119B" w14:paraId="4FE9199D" w14:textId="77777777" w:rsidTr="00FD119B">
        <w:tc>
          <w:tcPr>
            <w:tcW w:w="1809" w:type="dxa"/>
          </w:tcPr>
          <w:p w14:paraId="4FE9199B" w14:textId="77777777" w:rsidR="0089016D" w:rsidRPr="00A129C7" w:rsidRDefault="0089016D" w:rsidP="00ED7D0C">
            <w:pPr>
              <w:autoSpaceDE w:val="0"/>
              <w:autoSpaceDN w:val="0"/>
              <w:adjustRightInd w:val="0"/>
              <w:spacing w:line="276" w:lineRule="auto"/>
              <w:jc w:val="both"/>
              <w:rPr>
                <w:rFonts w:cs="Arial"/>
              </w:rPr>
            </w:pPr>
            <w:r w:rsidRPr="00751E03">
              <w:rPr>
                <w:lang w:val="en"/>
              </w:rPr>
              <w:t>IL-5</w:t>
            </w:r>
          </w:p>
        </w:tc>
        <w:tc>
          <w:tcPr>
            <w:tcW w:w="6911" w:type="dxa"/>
          </w:tcPr>
          <w:p w14:paraId="4FE9199C" w14:textId="77777777" w:rsidR="0089016D" w:rsidRPr="00A129C7" w:rsidRDefault="0089016D" w:rsidP="00ED7D0C">
            <w:pPr>
              <w:autoSpaceDE w:val="0"/>
              <w:autoSpaceDN w:val="0"/>
              <w:adjustRightInd w:val="0"/>
              <w:spacing w:line="276" w:lineRule="auto"/>
              <w:jc w:val="both"/>
              <w:rPr>
                <w:rFonts w:cs="Arial"/>
              </w:rPr>
            </w:pPr>
            <w:r>
              <w:rPr>
                <w:rFonts w:cs="Arial"/>
              </w:rPr>
              <w:t>Interleukin 5</w:t>
            </w:r>
          </w:p>
        </w:tc>
      </w:tr>
      <w:tr w:rsidR="0089016D" w:rsidRPr="00FD119B" w14:paraId="4FE919A0" w14:textId="77777777" w:rsidTr="00FD119B">
        <w:tc>
          <w:tcPr>
            <w:tcW w:w="1809" w:type="dxa"/>
          </w:tcPr>
          <w:p w14:paraId="4FE9199E" w14:textId="77777777" w:rsidR="0089016D" w:rsidRPr="00751E03" w:rsidRDefault="0089016D" w:rsidP="00ED7D0C">
            <w:pPr>
              <w:autoSpaceDE w:val="0"/>
              <w:autoSpaceDN w:val="0"/>
              <w:adjustRightInd w:val="0"/>
              <w:spacing w:line="276" w:lineRule="auto"/>
              <w:jc w:val="both"/>
              <w:rPr>
                <w:lang w:val="en"/>
              </w:rPr>
            </w:pPr>
            <w:r w:rsidRPr="00751E03">
              <w:rPr>
                <w:lang w:val="en"/>
              </w:rPr>
              <w:t>IL-10</w:t>
            </w:r>
          </w:p>
        </w:tc>
        <w:tc>
          <w:tcPr>
            <w:tcW w:w="6911" w:type="dxa"/>
          </w:tcPr>
          <w:p w14:paraId="4FE9199F" w14:textId="77777777" w:rsidR="0089016D" w:rsidRDefault="0089016D" w:rsidP="0089016D">
            <w:pPr>
              <w:autoSpaceDE w:val="0"/>
              <w:autoSpaceDN w:val="0"/>
              <w:adjustRightInd w:val="0"/>
              <w:spacing w:line="276" w:lineRule="auto"/>
              <w:jc w:val="both"/>
              <w:rPr>
                <w:rFonts w:cs="Arial"/>
              </w:rPr>
            </w:pPr>
            <w:r>
              <w:rPr>
                <w:rFonts w:cs="Arial"/>
              </w:rPr>
              <w:t>Interleukin 10</w:t>
            </w:r>
          </w:p>
        </w:tc>
      </w:tr>
      <w:tr w:rsidR="001E1063" w:rsidRPr="00FD119B" w14:paraId="4FE919A3" w14:textId="77777777" w:rsidTr="00FD119B">
        <w:tc>
          <w:tcPr>
            <w:tcW w:w="1809" w:type="dxa"/>
          </w:tcPr>
          <w:p w14:paraId="4FE919A1" w14:textId="77777777" w:rsidR="001E1063" w:rsidRPr="00A129C7" w:rsidRDefault="001E1063" w:rsidP="00ED7D0C">
            <w:pPr>
              <w:autoSpaceDE w:val="0"/>
              <w:autoSpaceDN w:val="0"/>
              <w:adjustRightInd w:val="0"/>
              <w:spacing w:line="276" w:lineRule="auto"/>
              <w:jc w:val="both"/>
              <w:rPr>
                <w:rFonts w:cs="Arial"/>
              </w:rPr>
            </w:pPr>
            <w:r w:rsidRPr="00751E03">
              <w:rPr>
                <w:lang w:val="en"/>
              </w:rPr>
              <w:lastRenderedPageBreak/>
              <w:t>IL-12</w:t>
            </w:r>
          </w:p>
        </w:tc>
        <w:tc>
          <w:tcPr>
            <w:tcW w:w="6911" w:type="dxa"/>
          </w:tcPr>
          <w:p w14:paraId="4FE919A2" w14:textId="77777777" w:rsidR="001E1063" w:rsidRPr="00A129C7" w:rsidRDefault="001E1063" w:rsidP="0089016D">
            <w:pPr>
              <w:autoSpaceDE w:val="0"/>
              <w:autoSpaceDN w:val="0"/>
              <w:adjustRightInd w:val="0"/>
              <w:spacing w:line="276" w:lineRule="auto"/>
              <w:jc w:val="both"/>
              <w:rPr>
                <w:rFonts w:cs="Arial"/>
              </w:rPr>
            </w:pPr>
            <w:r>
              <w:rPr>
                <w:rFonts w:cs="Arial"/>
              </w:rPr>
              <w:t>Interleukin 12</w:t>
            </w:r>
          </w:p>
        </w:tc>
      </w:tr>
      <w:tr w:rsidR="0089016D" w:rsidRPr="00FD119B" w14:paraId="4FE919A6" w14:textId="77777777" w:rsidTr="00FD119B">
        <w:tc>
          <w:tcPr>
            <w:tcW w:w="1809" w:type="dxa"/>
          </w:tcPr>
          <w:p w14:paraId="4FE919A4" w14:textId="77777777" w:rsidR="0089016D" w:rsidRPr="00751E03" w:rsidRDefault="0089016D" w:rsidP="00ED7D0C">
            <w:pPr>
              <w:autoSpaceDE w:val="0"/>
              <w:autoSpaceDN w:val="0"/>
              <w:adjustRightInd w:val="0"/>
              <w:spacing w:line="276" w:lineRule="auto"/>
              <w:jc w:val="both"/>
              <w:rPr>
                <w:lang w:val="en"/>
              </w:rPr>
            </w:pPr>
            <w:r w:rsidRPr="00751E03">
              <w:rPr>
                <w:lang w:val="en"/>
              </w:rPr>
              <w:t>IL-13</w:t>
            </w:r>
          </w:p>
        </w:tc>
        <w:tc>
          <w:tcPr>
            <w:tcW w:w="6911" w:type="dxa"/>
          </w:tcPr>
          <w:p w14:paraId="4FE919A5" w14:textId="77777777" w:rsidR="0089016D" w:rsidRDefault="0089016D" w:rsidP="0089016D">
            <w:pPr>
              <w:autoSpaceDE w:val="0"/>
              <w:autoSpaceDN w:val="0"/>
              <w:adjustRightInd w:val="0"/>
              <w:spacing w:line="276" w:lineRule="auto"/>
              <w:jc w:val="both"/>
              <w:rPr>
                <w:rFonts w:cs="Arial"/>
              </w:rPr>
            </w:pPr>
            <w:r>
              <w:rPr>
                <w:rFonts w:cs="Arial"/>
              </w:rPr>
              <w:t>Interleukin 13</w:t>
            </w:r>
          </w:p>
        </w:tc>
      </w:tr>
      <w:tr w:rsidR="00F31124" w:rsidRPr="00FD119B" w14:paraId="4FE919A9" w14:textId="77777777" w:rsidTr="00FD119B">
        <w:tc>
          <w:tcPr>
            <w:tcW w:w="1809" w:type="dxa"/>
          </w:tcPr>
          <w:p w14:paraId="4FE919A7" w14:textId="77777777" w:rsidR="00F31124" w:rsidRPr="00A129C7" w:rsidRDefault="00F31124" w:rsidP="00ED7D0C">
            <w:pPr>
              <w:autoSpaceDE w:val="0"/>
              <w:autoSpaceDN w:val="0"/>
              <w:adjustRightInd w:val="0"/>
              <w:spacing w:line="276" w:lineRule="auto"/>
              <w:jc w:val="both"/>
              <w:rPr>
                <w:rFonts w:cs="Arial"/>
                <w:szCs w:val="22"/>
              </w:rPr>
            </w:pPr>
            <w:proofErr w:type="spellStart"/>
            <w:r w:rsidRPr="00A129C7">
              <w:rPr>
                <w:rFonts w:cs="Arial"/>
                <w:szCs w:val="22"/>
              </w:rPr>
              <w:t>IFNγ</w:t>
            </w:r>
            <w:proofErr w:type="spellEnd"/>
          </w:p>
        </w:tc>
        <w:tc>
          <w:tcPr>
            <w:tcW w:w="6911" w:type="dxa"/>
          </w:tcPr>
          <w:p w14:paraId="4FE919A8" w14:textId="77777777" w:rsidR="00F31124" w:rsidRPr="00A129C7" w:rsidRDefault="00F31124" w:rsidP="00ED7D0C">
            <w:pPr>
              <w:autoSpaceDE w:val="0"/>
              <w:autoSpaceDN w:val="0"/>
              <w:adjustRightInd w:val="0"/>
              <w:spacing w:line="276" w:lineRule="auto"/>
              <w:jc w:val="both"/>
              <w:rPr>
                <w:rFonts w:cs="Arial"/>
                <w:szCs w:val="22"/>
              </w:rPr>
            </w:pPr>
            <w:r w:rsidRPr="00A129C7">
              <w:rPr>
                <w:rFonts w:cs="Arial"/>
                <w:szCs w:val="22"/>
              </w:rPr>
              <w:t>Interferon Gamma</w:t>
            </w:r>
          </w:p>
        </w:tc>
      </w:tr>
      <w:tr w:rsidR="00F31124" w:rsidRPr="00FD119B" w14:paraId="4FE919AC" w14:textId="77777777" w:rsidTr="00FD119B">
        <w:tc>
          <w:tcPr>
            <w:tcW w:w="1809" w:type="dxa"/>
          </w:tcPr>
          <w:p w14:paraId="4FE919AA" w14:textId="77777777" w:rsidR="00F31124" w:rsidRPr="00A129C7" w:rsidRDefault="00F31124" w:rsidP="00ED7D0C">
            <w:pPr>
              <w:autoSpaceDE w:val="0"/>
              <w:autoSpaceDN w:val="0"/>
              <w:adjustRightInd w:val="0"/>
              <w:spacing w:line="276" w:lineRule="auto"/>
              <w:jc w:val="both"/>
              <w:rPr>
                <w:rFonts w:cs="Arial"/>
                <w:szCs w:val="22"/>
              </w:rPr>
            </w:pPr>
            <w:r w:rsidRPr="00A129C7">
              <w:rPr>
                <w:rFonts w:cs="Arial"/>
                <w:szCs w:val="22"/>
              </w:rPr>
              <w:t>IgA</w:t>
            </w:r>
          </w:p>
        </w:tc>
        <w:tc>
          <w:tcPr>
            <w:tcW w:w="6911" w:type="dxa"/>
          </w:tcPr>
          <w:p w14:paraId="4FE919AB" w14:textId="77777777" w:rsidR="00F31124" w:rsidRPr="00A129C7" w:rsidRDefault="00F31124" w:rsidP="00ED7D0C">
            <w:pPr>
              <w:autoSpaceDE w:val="0"/>
              <w:autoSpaceDN w:val="0"/>
              <w:adjustRightInd w:val="0"/>
              <w:spacing w:line="276" w:lineRule="auto"/>
              <w:jc w:val="both"/>
              <w:rPr>
                <w:rFonts w:cs="Arial"/>
                <w:szCs w:val="22"/>
              </w:rPr>
            </w:pPr>
            <w:r w:rsidRPr="00A129C7">
              <w:rPr>
                <w:rFonts w:cs="Arial"/>
                <w:szCs w:val="22"/>
              </w:rPr>
              <w:t>Immunoglobulin A</w:t>
            </w:r>
          </w:p>
        </w:tc>
      </w:tr>
      <w:tr w:rsidR="00530C71" w:rsidRPr="00FD119B" w14:paraId="4FE919AF" w14:textId="77777777" w:rsidTr="00FD119B">
        <w:tc>
          <w:tcPr>
            <w:tcW w:w="1809" w:type="dxa"/>
          </w:tcPr>
          <w:p w14:paraId="4FE919AD" w14:textId="77777777" w:rsidR="00530C71" w:rsidRPr="00A129C7" w:rsidRDefault="00530C71" w:rsidP="00ED7D0C">
            <w:pPr>
              <w:autoSpaceDE w:val="0"/>
              <w:autoSpaceDN w:val="0"/>
              <w:adjustRightInd w:val="0"/>
              <w:spacing w:line="276" w:lineRule="auto"/>
              <w:jc w:val="both"/>
              <w:rPr>
                <w:rFonts w:cs="Arial"/>
              </w:rPr>
            </w:pPr>
            <w:r>
              <w:rPr>
                <w:rFonts w:cs="Arial"/>
              </w:rPr>
              <w:t>IgA</w:t>
            </w:r>
            <w:r w:rsidRPr="00530C71">
              <w:rPr>
                <w:rFonts w:cs="Arial"/>
                <w:vertAlign w:val="subscript"/>
              </w:rPr>
              <w:t>2</w:t>
            </w:r>
          </w:p>
        </w:tc>
        <w:tc>
          <w:tcPr>
            <w:tcW w:w="6911" w:type="dxa"/>
          </w:tcPr>
          <w:p w14:paraId="4FE919AE" w14:textId="77777777" w:rsidR="00530C71" w:rsidRPr="00A129C7" w:rsidRDefault="00530C71" w:rsidP="00ED7D0C">
            <w:pPr>
              <w:autoSpaceDE w:val="0"/>
              <w:autoSpaceDN w:val="0"/>
              <w:adjustRightInd w:val="0"/>
              <w:spacing w:line="276" w:lineRule="auto"/>
              <w:jc w:val="both"/>
              <w:rPr>
                <w:rFonts w:cs="Arial"/>
              </w:rPr>
            </w:pPr>
            <w:r w:rsidRPr="00A129C7">
              <w:rPr>
                <w:rFonts w:cs="Arial"/>
                <w:szCs w:val="22"/>
              </w:rPr>
              <w:t>Immunoglobulin A</w:t>
            </w:r>
            <w:r>
              <w:rPr>
                <w:rFonts w:cs="Arial"/>
                <w:szCs w:val="22"/>
              </w:rPr>
              <w:t>2</w:t>
            </w:r>
          </w:p>
        </w:tc>
      </w:tr>
      <w:tr w:rsidR="00F31124" w:rsidRPr="00FD119B" w14:paraId="4FE919B2" w14:textId="77777777" w:rsidTr="00FD119B">
        <w:tc>
          <w:tcPr>
            <w:tcW w:w="1809" w:type="dxa"/>
          </w:tcPr>
          <w:p w14:paraId="4FE919B0" w14:textId="77777777" w:rsidR="00F31124" w:rsidRPr="00A129C7" w:rsidRDefault="00F31124" w:rsidP="00ED7D0C">
            <w:pPr>
              <w:autoSpaceDE w:val="0"/>
              <w:autoSpaceDN w:val="0"/>
              <w:adjustRightInd w:val="0"/>
              <w:spacing w:line="276" w:lineRule="auto"/>
              <w:jc w:val="both"/>
              <w:rPr>
                <w:rFonts w:cs="Arial"/>
                <w:szCs w:val="22"/>
              </w:rPr>
            </w:pPr>
            <w:proofErr w:type="spellStart"/>
            <w:r w:rsidRPr="00A129C7">
              <w:rPr>
                <w:rFonts w:cs="Arial"/>
                <w:szCs w:val="22"/>
              </w:rPr>
              <w:t>IgE</w:t>
            </w:r>
            <w:proofErr w:type="spellEnd"/>
          </w:p>
        </w:tc>
        <w:tc>
          <w:tcPr>
            <w:tcW w:w="6911" w:type="dxa"/>
          </w:tcPr>
          <w:p w14:paraId="4FE919B1" w14:textId="77777777" w:rsidR="00F31124" w:rsidRPr="00A129C7" w:rsidRDefault="00F31124" w:rsidP="00ED7D0C">
            <w:pPr>
              <w:autoSpaceDE w:val="0"/>
              <w:autoSpaceDN w:val="0"/>
              <w:adjustRightInd w:val="0"/>
              <w:spacing w:line="276" w:lineRule="auto"/>
              <w:jc w:val="both"/>
              <w:rPr>
                <w:rFonts w:cs="Arial"/>
                <w:szCs w:val="22"/>
              </w:rPr>
            </w:pPr>
            <w:r w:rsidRPr="00A129C7">
              <w:rPr>
                <w:rFonts w:cs="Arial"/>
                <w:szCs w:val="22"/>
              </w:rPr>
              <w:t>Immunoglobulin E</w:t>
            </w:r>
          </w:p>
        </w:tc>
      </w:tr>
      <w:tr w:rsidR="00F31124" w:rsidRPr="00FD119B" w14:paraId="4FE919B5" w14:textId="77777777" w:rsidTr="00FD119B">
        <w:tc>
          <w:tcPr>
            <w:tcW w:w="1809" w:type="dxa"/>
          </w:tcPr>
          <w:p w14:paraId="4FE919B3" w14:textId="77777777" w:rsidR="00F31124" w:rsidRPr="00A129C7" w:rsidRDefault="00F31124" w:rsidP="00ED7D0C">
            <w:pPr>
              <w:autoSpaceDE w:val="0"/>
              <w:autoSpaceDN w:val="0"/>
              <w:adjustRightInd w:val="0"/>
              <w:jc w:val="both"/>
              <w:rPr>
                <w:rFonts w:cs="Arial"/>
                <w:szCs w:val="22"/>
              </w:rPr>
            </w:pPr>
            <w:proofErr w:type="spellStart"/>
            <w:r w:rsidRPr="00A129C7">
              <w:rPr>
                <w:rFonts w:cs="Arial"/>
                <w:szCs w:val="22"/>
              </w:rPr>
              <w:t>IgE</w:t>
            </w:r>
            <w:proofErr w:type="spellEnd"/>
            <w:r w:rsidRPr="00A129C7">
              <w:rPr>
                <w:rFonts w:cs="Arial"/>
                <w:szCs w:val="22"/>
              </w:rPr>
              <w:t xml:space="preserve"> blocking factor</w:t>
            </w:r>
          </w:p>
        </w:tc>
        <w:tc>
          <w:tcPr>
            <w:tcW w:w="6911" w:type="dxa"/>
          </w:tcPr>
          <w:p w14:paraId="4FE919B4" w14:textId="77777777" w:rsidR="00F31124" w:rsidRPr="00A129C7" w:rsidRDefault="00F31124" w:rsidP="00ED7D0C">
            <w:pPr>
              <w:autoSpaceDE w:val="0"/>
              <w:autoSpaceDN w:val="0"/>
              <w:adjustRightInd w:val="0"/>
              <w:jc w:val="both"/>
              <w:rPr>
                <w:rFonts w:cs="Arial"/>
                <w:szCs w:val="22"/>
              </w:rPr>
            </w:pPr>
            <w:r w:rsidRPr="00A129C7">
              <w:rPr>
                <w:rFonts w:cs="Arial"/>
                <w:szCs w:val="22"/>
              </w:rPr>
              <w:t xml:space="preserve">Redefinition of the </w:t>
            </w:r>
            <w:proofErr w:type="spellStart"/>
            <w:r w:rsidRPr="00A129C7">
              <w:rPr>
                <w:rFonts w:cs="Arial"/>
                <w:szCs w:val="22"/>
              </w:rPr>
              <w:t>IgX</w:t>
            </w:r>
            <w:proofErr w:type="spellEnd"/>
            <w:r w:rsidRPr="00A129C7">
              <w:rPr>
                <w:rFonts w:cs="Arial"/>
                <w:szCs w:val="22"/>
              </w:rPr>
              <w:t xml:space="preserve"> term, calculated as: 1 – </w:t>
            </w:r>
            <w:proofErr w:type="spellStart"/>
            <w:r w:rsidRPr="00A129C7">
              <w:rPr>
                <w:rFonts w:cs="Arial"/>
                <w:szCs w:val="22"/>
              </w:rPr>
              <w:t>IgX</w:t>
            </w:r>
            <w:proofErr w:type="spellEnd"/>
            <w:r w:rsidRPr="00A129C7">
              <w:rPr>
                <w:rFonts w:cs="Arial"/>
                <w:szCs w:val="22"/>
              </w:rPr>
              <w:t xml:space="preserve">; the </w:t>
            </w:r>
            <w:proofErr w:type="spellStart"/>
            <w:r w:rsidRPr="00A129C7">
              <w:rPr>
                <w:rFonts w:cs="Arial"/>
                <w:szCs w:val="22"/>
              </w:rPr>
              <w:t>IgE</w:t>
            </w:r>
            <w:proofErr w:type="spellEnd"/>
            <w:r w:rsidRPr="00A129C7">
              <w:rPr>
                <w:rFonts w:cs="Arial"/>
                <w:szCs w:val="22"/>
              </w:rPr>
              <w:t xml:space="preserve">-blocking factor is thus a dimensionless number which varies theoretically from 0 (no presence of </w:t>
            </w:r>
            <w:proofErr w:type="spellStart"/>
            <w:r w:rsidRPr="00A129C7">
              <w:rPr>
                <w:rFonts w:cs="Arial"/>
                <w:szCs w:val="22"/>
              </w:rPr>
              <w:t>IgE</w:t>
            </w:r>
            <w:proofErr w:type="spellEnd"/>
            <w:r w:rsidRPr="00A129C7">
              <w:rPr>
                <w:rFonts w:cs="Arial"/>
                <w:szCs w:val="22"/>
              </w:rPr>
              <w:t xml:space="preserve">-blocking components) to 1 (all </w:t>
            </w:r>
            <w:proofErr w:type="spellStart"/>
            <w:r w:rsidRPr="00A129C7">
              <w:rPr>
                <w:rFonts w:cs="Arial"/>
                <w:szCs w:val="22"/>
              </w:rPr>
              <w:t>IgE</w:t>
            </w:r>
            <w:proofErr w:type="spellEnd"/>
            <w:r w:rsidRPr="00A129C7">
              <w:rPr>
                <w:rFonts w:cs="Arial"/>
                <w:szCs w:val="22"/>
              </w:rPr>
              <w:t xml:space="preserve"> blocked from binding to allergen)</w:t>
            </w:r>
          </w:p>
        </w:tc>
      </w:tr>
      <w:tr w:rsidR="00F31124" w:rsidRPr="00FD119B" w14:paraId="4FE919B8" w14:textId="77777777" w:rsidTr="00FD119B">
        <w:tc>
          <w:tcPr>
            <w:tcW w:w="1809" w:type="dxa"/>
          </w:tcPr>
          <w:p w14:paraId="4FE919B6" w14:textId="77777777" w:rsidR="00F31124" w:rsidRPr="00A129C7" w:rsidRDefault="00F31124" w:rsidP="00ED7D0C">
            <w:pPr>
              <w:autoSpaceDE w:val="0"/>
              <w:autoSpaceDN w:val="0"/>
              <w:adjustRightInd w:val="0"/>
              <w:spacing w:line="276" w:lineRule="auto"/>
              <w:jc w:val="both"/>
              <w:rPr>
                <w:rFonts w:cs="Arial"/>
                <w:szCs w:val="22"/>
              </w:rPr>
            </w:pPr>
            <w:r w:rsidRPr="00A129C7">
              <w:rPr>
                <w:rFonts w:cs="Arial"/>
                <w:szCs w:val="22"/>
              </w:rPr>
              <w:t>IgG</w:t>
            </w:r>
          </w:p>
        </w:tc>
        <w:tc>
          <w:tcPr>
            <w:tcW w:w="6911" w:type="dxa"/>
          </w:tcPr>
          <w:p w14:paraId="4FE919B7" w14:textId="77777777" w:rsidR="00F31124" w:rsidRPr="00A129C7" w:rsidRDefault="00F31124" w:rsidP="00ED7D0C">
            <w:pPr>
              <w:autoSpaceDE w:val="0"/>
              <w:autoSpaceDN w:val="0"/>
              <w:adjustRightInd w:val="0"/>
              <w:spacing w:line="276" w:lineRule="auto"/>
              <w:jc w:val="both"/>
              <w:rPr>
                <w:rFonts w:cs="Arial"/>
                <w:szCs w:val="22"/>
              </w:rPr>
            </w:pPr>
            <w:r w:rsidRPr="00A129C7">
              <w:rPr>
                <w:rFonts w:cs="Arial"/>
                <w:szCs w:val="22"/>
              </w:rPr>
              <w:t>Immunoglobulin G</w:t>
            </w:r>
          </w:p>
        </w:tc>
      </w:tr>
      <w:tr w:rsidR="00F31124" w:rsidRPr="00FD119B" w14:paraId="4FE919BB" w14:textId="77777777" w:rsidTr="00FD119B">
        <w:tc>
          <w:tcPr>
            <w:tcW w:w="1809" w:type="dxa"/>
          </w:tcPr>
          <w:p w14:paraId="4FE919B9" w14:textId="77777777" w:rsidR="00F31124" w:rsidRPr="00A129C7" w:rsidRDefault="00F31124" w:rsidP="00ED7D0C">
            <w:pPr>
              <w:autoSpaceDE w:val="0"/>
              <w:autoSpaceDN w:val="0"/>
              <w:adjustRightInd w:val="0"/>
              <w:jc w:val="both"/>
              <w:rPr>
                <w:rFonts w:cs="Arial"/>
                <w:szCs w:val="22"/>
              </w:rPr>
            </w:pPr>
            <w:r w:rsidRPr="00A129C7">
              <w:rPr>
                <w:rFonts w:cs="Arial"/>
                <w:szCs w:val="22"/>
              </w:rPr>
              <w:t>IgG</w:t>
            </w:r>
            <w:r w:rsidRPr="00530C71">
              <w:rPr>
                <w:rFonts w:cs="Arial"/>
                <w:szCs w:val="22"/>
                <w:vertAlign w:val="subscript"/>
              </w:rPr>
              <w:t>4</w:t>
            </w:r>
          </w:p>
        </w:tc>
        <w:tc>
          <w:tcPr>
            <w:tcW w:w="6911" w:type="dxa"/>
          </w:tcPr>
          <w:p w14:paraId="4FE919BA" w14:textId="77777777" w:rsidR="00F31124" w:rsidRPr="00A129C7" w:rsidRDefault="00F31124" w:rsidP="00ED7D0C">
            <w:pPr>
              <w:autoSpaceDE w:val="0"/>
              <w:autoSpaceDN w:val="0"/>
              <w:adjustRightInd w:val="0"/>
              <w:jc w:val="both"/>
              <w:rPr>
                <w:rFonts w:cs="Arial"/>
                <w:szCs w:val="22"/>
              </w:rPr>
            </w:pPr>
            <w:r w:rsidRPr="00A129C7">
              <w:rPr>
                <w:rFonts w:cs="Arial"/>
                <w:szCs w:val="22"/>
              </w:rPr>
              <w:t>Immunoglobulin G4</w:t>
            </w:r>
          </w:p>
        </w:tc>
      </w:tr>
      <w:tr w:rsidR="00F31124" w:rsidRPr="00FD119B" w14:paraId="4FE919BE" w14:textId="77777777" w:rsidTr="00FD119B">
        <w:tc>
          <w:tcPr>
            <w:tcW w:w="1809" w:type="dxa"/>
          </w:tcPr>
          <w:p w14:paraId="4FE919BC" w14:textId="77777777" w:rsidR="00F31124" w:rsidRPr="00A129C7" w:rsidRDefault="00F31124" w:rsidP="00ED7D0C">
            <w:pPr>
              <w:autoSpaceDE w:val="0"/>
              <w:autoSpaceDN w:val="0"/>
              <w:adjustRightInd w:val="0"/>
              <w:jc w:val="both"/>
              <w:rPr>
                <w:rFonts w:cs="Arial"/>
                <w:szCs w:val="22"/>
              </w:rPr>
            </w:pPr>
            <w:proofErr w:type="spellStart"/>
            <w:r w:rsidRPr="00A129C7">
              <w:rPr>
                <w:rFonts w:cs="Arial"/>
                <w:szCs w:val="22"/>
              </w:rPr>
              <w:t>IgX</w:t>
            </w:r>
            <w:proofErr w:type="spellEnd"/>
          </w:p>
        </w:tc>
        <w:tc>
          <w:tcPr>
            <w:tcW w:w="6911" w:type="dxa"/>
          </w:tcPr>
          <w:p w14:paraId="4FE919BD" w14:textId="77777777" w:rsidR="00F31124" w:rsidRPr="00A129C7" w:rsidRDefault="00F31124" w:rsidP="00ED7D0C">
            <w:pPr>
              <w:autoSpaceDE w:val="0"/>
              <w:autoSpaceDN w:val="0"/>
              <w:adjustRightInd w:val="0"/>
              <w:jc w:val="both"/>
              <w:rPr>
                <w:rFonts w:cs="Arial"/>
                <w:szCs w:val="22"/>
              </w:rPr>
            </w:pPr>
            <w:proofErr w:type="spellStart"/>
            <w:r w:rsidRPr="00A129C7">
              <w:rPr>
                <w:rFonts w:cs="Arial"/>
                <w:szCs w:val="22"/>
              </w:rPr>
              <w:t>IgE</w:t>
            </w:r>
            <w:proofErr w:type="spellEnd"/>
            <w:r w:rsidRPr="00A129C7">
              <w:rPr>
                <w:rFonts w:cs="Arial"/>
                <w:szCs w:val="22"/>
              </w:rPr>
              <w:t xml:space="preserve">-blocking antibodies/factor; </w:t>
            </w:r>
            <w:proofErr w:type="spellStart"/>
            <w:r w:rsidRPr="00A129C7">
              <w:rPr>
                <w:rFonts w:cs="Arial"/>
                <w:szCs w:val="22"/>
              </w:rPr>
              <w:t>IgX</w:t>
            </w:r>
            <w:proofErr w:type="spellEnd"/>
            <w:r w:rsidRPr="00A129C7">
              <w:rPr>
                <w:rFonts w:cs="Arial"/>
                <w:szCs w:val="22"/>
              </w:rPr>
              <w:t xml:space="preserve"> is the ratio between [allergen binding </w:t>
            </w:r>
            <w:proofErr w:type="spellStart"/>
            <w:r w:rsidRPr="00A129C7">
              <w:rPr>
                <w:rFonts w:cs="Arial"/>
                <w:szCs w:val="22"/>
              </w:rPr>
              <w:t>IgE</w:t>
            </w:r>
            <w:proofErr w:type="spellEnd"/>
            <w:r w:rsidRPr="00A129C7">
              <w:rPr>
                <w:rFonts w:cs="Arial"/>
                <w:szCs w:val="22"/>
              </w:rPr>
              <w:t xml:space="preserve">-activity in serum measured in the presence of other serum components] and [allergen binding </w:t>
            </w:r>
            <w:proofErr w:type="spellStart"/>
            <w:r w:rsidRPr="00A129C7">
              <w:rPr>
                <w:rFonts w:cs="Arial"/>
                <w:szCs w:val="22"/>
              </w:rPr>
              <w:t>IgE</w:t>
            </w:r>
            <w:proofErr w:type="spellEnd"/>
            <w:r w:rsidRPr="00A129C7">
              <w:rPr>
                <w:rFonts w:cs="Arial"/>
                <w:szCs w:val="22"/>
              </w:rPr>
              <w:t xml:space="preserve">- activity in serum measured in the absence of other serum components]. If no </w:t>
            </w:r>
            <w:proofErr w:type="spellStart"/>
            <w:r w:rsidRPr="00A129C7">
              <w:rPr>
                <w:rFonts w:cs="Arial"/>
                <w:szCs w:val="22"/>
              </w:rPr>
              <w:t>IgE</w:t>
            </w:r>
            <w:proofErr w:type="spellEnd"/>
            <w:r w:rsidRPr="00A129C7">
              <w:rPr>
                <w:rFonts w:cs="Arial"/>
                <w:szCs w:val="22"/>
              </w:rPr>
              <w:t xml:space="preserve">-blocking factor is induced the </w:t>
            </w:r>
            <w:proofErr w:type="spellStart"/>
            <w:r w:rsidRPr="00A129C7">
              <w:rPr>
                <w:rFonts w:cs="Arial"/>
                <w:szCs w:val="22"/>
              </w:rPr>
              <w:t>IgX</w:t>
            </w:r>
            <w:proofErr w:type="spellEnd"/>
            <w:r w:rsidRPr="00A129C7">
              <w:rPr>
                <w:rFonts w:cs="Arial"/>
                <w:szCs w:val="22"/>
              </w:rPr>
              <w:t xml:space="preserve"> value is close to 1, whereas the presence of </w:t>
            </w:r>
            <w:proofErr w:type="spellStart"/>
            <w:r w:rsidRPr="00A129C7">
              <w:rPr>
                <w:rFonts w:cs="Arial"/>
                <w:szCs w:val="22"/>
              </w:rPr>
              <w:t>IgE</w:t>
            </w:r>
            <w:proofErr w:type="spellEnd"/>
            <w:r w:rsidRPr="00A129C7">
              <w:rPr>
                <w:rFonts w:cs="Arial"/>
                <w:szCs w:val="22"/>
              </w:rPr>
              <w:t xml:space="preserve">-blocking factor will result in reduced </w:t>
            </w:r>
            <w:proofErr w:type="spellStart"/>
            <w:r w:rsidRPr="00A129C7">
              <w:rPr>
                <w:rFonts w:cs="Arial"/>
                <w:szCs w:val="22"/>
              </w:rPr>
              <w:t>IgX</w:t>
            </w:r>
            <w:proofErr w:type="spellEnd"/>
            <w:r w:rsidRPr="00A129C7">
              <w:rPr>
                <w:rFonts w:cs="Arial"/>
                <w:szCs w:val="22"/>
              </w:rPr>
              <w:t xml:space="preserve"> values. The assay is termed </w:t>
            </w:r>
            <w:proofErr w:type="spellStart"/>
            <w:r w:rsidRPr="00A129C7">
              <w:rPr>
                <w:rFonts w:cs="Arial"/>
                <w:szCs w:val="22"/>
              </w:rPr>
              <w:t>IgX</w:t>
            </w:r>
            <w:proofErr w:type="spellEnd"/>
            <w:r w:rsidRPr="00A129C7">
              <w:rPr>
                <w:rFonts w:cs="Arial"/>
                <w:szCs w:val="22"/>
              </w:rPr>
              <w:t xml:space="preserve"> since the isotype specificity of the competing components is not determined.</w:t>
            </w:r>
          </w:p>
        </w:tc>
      </w:tr>
      <w:tr w:rsidR="00F31124" w:rsidRPr="00FD119B" w14:paraId="4FE919C1" w14:textId="77777777" w:rsidTr="00FD119B">
        <w:tc>
          <w:tcPr>
            <w:tcW w:w="1809" w:type="dxa"/>
          </w:tcPr>
          <w:p w14:paraId="4FE919BF" w14:textId="77777777" w:rsidR="00F31124" w:rsidRPr="00A129C7" w:rsidRDefault="00F31124" w:rsidP="00ED7D0C">
            <w:pPr>
              <w:autoSpaceDE w:val="0"/>
              <w:autoSpaceDN w:val="0"/>
              <w:adjustRightInd w:val="0"/>
              <w:spacing w:line="276" w:lineRule="auto"/>
              <w:jc w:val="both"/>
              <w:rPr>
                <w:rFonts w:cs="Arial"/>
                <w:szCs w:val="22"/>
              </w:rPr>
            </w:pPr>
            <w:proofErr w:type="spellStart"/>
            <w:r w:rsidRPr="00A129C7">
              <w:rPr>
                <w:rFonts w:cs="Arial"/>
                <w:szCs w:val="22"/>
              </w:rPr>
              <w:t>IgX</w:t>
            </w:r>
            <w:proofErr w:type="spellEnd"/>
            <w:r w:rsidRPr="00A129C7">
              <w:rPr>
                <w:rFonts w:cs="Arial"/>
                <w:szCs w:val="22"/>
              </w:rPr>
              <w:t xml:space="preserve"> assay</w:t>
            </w:r>
          </w:p>
        </w:tc>
        <w:tc>
          <w:tcPr>
            <w:tcW w:w="6911" w:type="dxa"/>
          </w:tcPr>
          <w:p w14:paraId="4FE919C0" w14:textId="77777777" w:rsidR="00F31124" w:rsidRPr="00A129C7" w:rsidRDefault="00F31124" w:rsidP="00ED7D0C">
            <w:pPr>
              <w:autoSpaceDE w:val="0"/>
              <w:autoSpaceDN w:val="0"/>
              <w:adjustRightInd w:val="0"/>
              <w:spacing w:line="276" w:lineRule="auto"/>
              <w:jc w:val="both"/>
              <w:rPr>
                <w:rFonts w:cs="Arial"/>
                <w:szCs w:val="22"/>
              </w:rPr>
            </w:pPr>
            <w:r w:rsidRPr="00A129C7">
              <w:rPr>
                <w:rFonts w:cs="Arial"/>
                <w:szCs w:val="22"/>
              </w:rPr>
              <w:t xml:space="preserve">Assay designed to measure the inhibitory capacity of serum components competing with </w:t>
            </w:r>
            <w:proofErr w:type="spellStart"/>
            <w:r w:rsidRPr="00A129C7">
              <w:rPr>
                <w:rFonts w:cs="Arial"/>
                <w:szCs w:val="22"/>
              </w:rPr>
              <w:t>IgE</w:t>
            </w:r>
            <w:proofErr w:type="spellEnd"/>
            <w:r w:rsidRPr="00A129C7">
              <w:rPr>
                <w:rFonts w:cs="Arial"/>
                <w:szCs w:val="22"/>
              </w:rPr>
              <w:t xml:space="preserve"> for allergen binding. Assay read out is S/T. The assay is termed </w:t>
            </w:r>
            <w:proofErr w:type="spellStart"/>
            <w:r w:rsidRPr="00A129C7">
              <w:rPr>
                <w:rFonts w:cs="Arial"/>
                <w:szCs w:val="22"/>
              </w:rPr>
              <w:t>IgX</w:t>
            </w:r>
            <w:proofErr w:type="spellEnd"/>
            <w:r w:rsidRPr="00A129C7">
              <w:rPr>
                <w:rFonts w:cs="Arial"/>
                <w:szCs w:val="22"/>
              </w:rPr>
              <w:t xml:space="preserve"> since the isotype specificity of the competing components is not determined.</w:t>
            </w:r>
          </w:p>
        </w:tc>
      </w:tr>
      <w:tr w:rsidR="004C74AA" w:rsidRPr="00FD119B" w14:paraId="4FE919C4" w14:textId="77777777" w:rsidTr="00FD119B">
        <w:tc>
          <w:tcPr>
            <w:tcW w:w="1809" w:type="dxa"/>
          </w:tcPr>
          <w:p w14:paraId="4FE919C2" w14:textId="77777777" w:rsidR="004C74AA" w:rsidRPr="00A129C7" w:rsidRDefault="004C74AA" w:rsidP="00ED7D0C">
            <w:pPr>
              <w:autoSpaceDE w:val="0"/>
              <w:autoSpaceDN w:val="0"/>
              <w:adjustRightInd w:val="0"/>
              <w:spacing w:line="276" w:lineRule="auto"/>
              <w:jc w:val="both"/>
              <w:rPr>
                <w:rFonts w:cs="Arial"/>
              </w:rPr>
            </w:pPr>
            <w:r w:rsidRPr="00F00957">
              <w:t>IM</w:t>
            </w:r>
          </w:p>
        </w:tc>
        <w:tc>
          <w:tcPr>
            <w:tcW w:w="6911" w:type="dxa"/>
          </w:tcPr>
          <w:p w14:paraId="4FE919C3" w14:textId="77777777" w:rsidR="004C74AA" w:rsidRPr="00A129C7" w:rsidRDefault="004C74AA" w:rsidP="00ED7D0C">
            <w:pPr>
              <w:autoSpaceDE w:val="0"/>
              <w:autoSpaceDN w:val="0"/>
              <w:adjustRightInd w:val="0"/>
              <w:spacing w:line="276" w:lineRule="auto"/>
              <w:jc w:val="both"/>
              <w:rPr>
                <w:rFonts w:cs="Arial"/>
              </w:rPr>
            </w:pPr>
            <w:r>
              <w:rPr>
                <w:rFonts w:cs="Arial"/>
              </w:rPr>
              <w:t>intramuscular</w:t>
            </w:r>
          </w:p>
        </w:tc>
      </w:tr>
      <w:tr w:rsidR="00F31124" w:rsidRPr="00FD119B" w14:paraId="4FE919C7" w14:textId="77777777" w:rsidTr="00FD119B">
        <w:tc>
          <w:tcPr>
            <w:tcW w:w="1809" w:type="dxa"/>
          </w:tcPr>
          <w:p w14:paraId="4FE919C5" w14:textId="77777777" w:rsidR="00F31124" w:rsidRPr="00A129C7" w:rsidRDefault="00F31124" w:rsidP="00ED7D0C">
            <w:pPr>
              <w:autoSpaceDE w:val="0"/>
              <w:autoSpaceDN w:val="0"/>
              <w:adjustRightInd w:val="0"/>
              <w:spacing w:line="276" w:lineRule="auto"/>
              <w:jc w:val="both"/>
              <w:rPr>
                <w:rFonts w:cs="Arial"/>
                <w:szCs w:val="22"/>
              </w:rPr>
            </w:pPr>
            <w:r w:rsidRPr="00A129C7">
              <w:rPr>
                <w:rFonts w:cs="Arial"/>
                <w:szCs w:val="22"/>
              </w:rPr>
              <w:t>IMP</w:t>
            </w:r>
          </w:p>
        </w:tc>
        <w:tc>
          <w:tcPr>
            <w:tcW w:w="6911" w:type="dxa"/>
          </w:tcPr>
          <w:p w14:paraId="4FE919C6" w14:textId="77777777" w:rsidR="00F31124" w:rsidRPr="00A129C7" w:rsidRDefault="00F31124" w:rsidP="00ED7D0C">
            <w:pPr>
              <w:autoSpaceDE w:val="0"/>
              <w:autoSpaceDN w:val="0"/>
              <w:adjustRightInd w:val="0"/>
              <w:spacing w:line="276" w:lineRule="auto"/>
              <w:jc w:val="both"/>
              <w:rPr>
                <w:rFonts w:cs="Arial"/>
                <w:szCs w:val="22"/>
              </w:rPr>
            </w:pPr>
            <w:r w:rsidRPr="00A129C7">
              <w:rPr>
                <w:rFonts w:cs="Arial"/>
                <w:szCs w:val="22"/>
              </w:rPr>
              <w:t>Investigational medical product</w:t>
            </w:r>
          </w:p>
        </w:tc>
      </w:tr>
      <w:tr w:rsidR="004105E7" w:rsidRPr="00FD119B" w14:paraId="4FE919CA" w14:textId="77777777" w:rsidTr="00FD119B">
        <w:tc>
          <w:tcPr>
            <w:tcW w:w="1809" w:type="dxa"/>
          </w:tcPr>
          <w:p w14:paraId="4FE919C8" w14:textId="77777777" w:rsidR="004105E7" w:rsidRPr="00A129C7" w:rsidRDefault="004105E7" w:rsidP="00ED7D0C">
            <w:pPr>
              <w:autoSpaceDE w:val="0"/>
              <w:autoSpaceDN w:val="0"/>
              <w:adjustRightInd w:val="0"/>
              <w:spacing w:line="276" w:lineRule="auto"/>
              <w:jc w:val="both"/>
              <w:rPr>
                <w:rFonts w:cs="Arial"/>
              </w:rPr>
            </w:pPr>
            <w:r>
              <w:rPr>
                <w:rFonts w:cs="Arial"/>
              </w:rPr>
              <w:t>IV</w:t>
            </w:r>
          </w:p>
        </w:tc>
        <w:tc>
          <w:tcPr>
            <w:tcW w:w="6911" w:type="dxa"/>
          </w:tcPr>
          <w:p w14:paraId="4FE919C9" w14:textId="77777777" w:rsidR="004105E7" w:rsidRPr="00A129C7" w:rsidRDefault="004105E7" w:rsidP="00ED7D0C">
            <w:pPr>
              <w:autoSpaceDE w:val="0"/>
              <w:autoSpaceDN w:val="0"/>
              <w:adjustRightInd w:val="0"/>
              <w:spacing w:line="276" w:lineRule="auto"/>
              <w:jc w:val="both"/>
              <w:rPr>
                <w:rFonts w:cs="Arial"/>
              </w:rPr>
            </w:pPr>
            <w:r>
              <w:rPr>
                <w:rFonts w:cs="Arial"/>
              </w:rPr>
              <w:t>intravenous</w:t>
            </w:r>
          </w:p>
        </w:tc>
      </w:tr>
      <w:tr w:rsidR="004105E7" w:rsidRPr="00FD119B" w14:paraId="4FE919CD" w14:textId="77777777" w:rsidTr="00FD119B">
        <w:tc>
          <w:tcPr>
            <w:tcW w:w="1809" w:type="dxa"/>
          </w:tcPr>
          <w:p w14:paraId="4FE919CB" w14:textId="77777777" w:rsidR="004105E7" w:rsidRPr="004105E7" w:rsidRDefault="00B1428D" w:rsidP="00ED7D0C">
            <w:pPr>
              <w:autoSpaceDE w:val="0"/>
              <w:autoSpaceDN w:val="0"/>
              <w:adjustRightInd w:val="0"/>
              <w:spacing w:line="276" w:lineRule="auto"/>
              <w:jc w:val="both"/>
              <w:rPr>
                <w:rFonts w:cs="Arial"/>
                <w:szCs w:val="22"/>
              </w:rPr>
            </w:pPr>
            <w:r>
              <w:rPr>
                <w:rFonts w:cs="Arial"/>
                <w:szCs w:val="22"/>
              </w:rPr>
              <w:t>MMAD</w:t>
            </w:r>
          </w:p>
        </w:tc>
        <w:tc>
          <w:tcPr>
            <w:tcW w:w="6911" w:type="dxa"/>
          </w:tcPr>
          <w:p w14:paraId="4FE919CC" w14:textId="77777777" w:rsidR="004105E7" w:rsidRPr="00A129C7" w:rsidRDefault="00B1428D" w:rsidP="004105E7">
            <w:pPr>
              <w:autoSpaceDE w:val="0"/>
              <w:autoSpaceDN w:val="0"/>
              <w:adjustRightInd w:val="0"/>
              <w:spacing w:line="276" w:lineRule="auto"/>
              <w:jc w:val="both"/>
              <w:rPr>
                <w:rFonts w:cs="Arial"/>
              </w:rPr>
            </w:pPr>
            <w:r w:rsidRPr="00B1428D">
              <w:rPr>
                <w:color w:val="auto"/>
              </w:rPr>
              <w:t>Mass median aerodynamic diameter</w:t>
            </w:r>
          </w:p>
        </w:tc>
      </w:tr>
      <w:tr w:rsidR="00C76A34" w:rsidRPr="00FD119B" w14:paraId="4FE919D0" w14:textId="77777777" w:rsidTr="00FD119B">
        <w:tc>
          <w:tcPr>
            <w:tcW w:w="1809" w:type="dxa"/>
          </w:tcPr>
          <w:p w14:paraId="4FE919CE" w14:textId="77777777" w:rsidR="00C76A34" w:rsidRPr="00A129C7" w:rsidRDefault="00C76A34" w:rsidP="00ED7D0C">
            <w:pPr>
              <w:autoSpaceDE w:val="0"/>
              <w:autoSpaceDN w:val="0"/>
              <w:adjustRightInd w:val="0"/>
              <w:spacing w:line="276" w:lineRule="auto"/>
              <w:jc w:val="both"/>
              <w:rPr>
                <w:rFonts w:cs="Arial"/>
              </w:rPr>
            </w:pPr>
            <w:r>
              <w:t>MOA</w:t>
            </w:r>
          </w:p>
        </w:tc>
        <w:tc>
          <w:tcPr>
            <w:tcW w:w="6911" w:type="dxa"/>
          </w:tcPr>
          <w:p w14:paraId="4FE919CF" w14:textId="77777777" w:rsidR="00C76A34" w:rsidRPr="00A129C7" w:rsidRDefault="00C76A34" w:rsidP="00C76A34">
            <w:pPr>
              <w:autoSpaceDE w:val="0"/>
              <w:autoSpaceDN w:val="0"/>
              <w:adjustRightInd w:val="0"/>
              <w:spacing w:line="276" w:lineRule="auto"/>
              <w:jc w:val="both"/>
              <w:rPr>
                <w:rFonts w:cs="Arial"/>
              </w:rPr>
            </w:pPr>
            <w:r>
              <w:t>modes of action</w:t>
            </w:r>
          </w:p>
        </w:tc>
      </w:tr>
      <w:tr w:rsidR="00B1428D" w:rsidRPr="00A129C7" w14:paraId="4FE919D3" w14:textId="77777777" w:rsidTr="00F62186">
        <w:tc>
          <w:tcPr>
            <w:tcW w:w="1809" w:type="dxa"/>
          </w:tcPr>
          <w:p w14:paraId="4FE919D1" w14:textId="77777777" w:rsidR="00B1428D" w:rsidRPr="004105E7" w:rsidRDefault="00B1428D" w:rsidP="00F62186">
            <w:pPr>
              <w:autoSpaceDE w:val="0"/>
              <w:autoSpaceDN w:val="0"/>
              <w:adjustRightInd w:val="0"/>
              <w:spacing w:line="276" w:lineRule="auto"/>
              <w:jc w:val="both"/>
              <w:rPr>
                <w:rFonts w:cs="Arial"/>
                <w:szCs w:val="22"/>
              </w:rPr>
            </w:pPr>
            <w:r>
              <w:rPr>
                <w:rFonts w:asciiTheme="minorHAnsi" w:hAnsiTheme="minorHAnsi"/>
                <w:szCs w:val="22"/>
              </w:rPr>
              <w:t>MRH</w:t>
            </w:r>
            <w:r w:rsidRPr="004105E7">
              <w:rPr>
                <w:rFonts w:asciiTheme="minorHAnsi" w:hAnsiTheme="minorHAnsi"/>
                <w:szCs w:val="22"/>
              </w:rPr>
              <w:t>D</w:t>
            </w:r>
          </w:p>
        </w:tc>
        <w:tc>
          <w:tcPr>
            <w:tcW w:w="6911" w:type="dxa"/>
          </w:tcPr>
          <w:p w14:paraId="4FE919D2" w14:textId="77777777" w:rsidR="00B1428D" w:rsidRPr="00A129C7" w:rsidRDefault="00B1428D" w:rsidP="00F62186">
            <w:pPr>
              <w:autoSpaceDE w:val="0"/>
              <w:autoSpaceDN w:val="0"/>
              <w:adjustRightInd w:val="0"/>
              <w:spacing w:line="276" w:lineRule="auto"/>
              <w:jc w:val="both"/>
              <w:rPr>
                <w:rFonts w:cs="Arial"/>
              </w:rPr>
            </w:pPr>
            <w:r>
              <w:rPr>
                <w:rFonts w:cs="Arial"/>
              </w:rPr>
              <w:t>Maximum recommended human dose</w:t>
            </w:r>
          </w:p>
        </w:tc>
      </w:tr>
      <w:tr w:rsidR="002A47B8" w:rsidRPr="00FD119B" w14:paraId="4FE919D6" w14:textId="77777777" w:rsidTr="00FD119B">
        <w:tc>
          <w:tcPr>
            <w:tcW w:w="1809" w:type="dxa"/>
          </w:tcPr>
          <w:p w14:paraId="4FE919D4" w14:textId="77777777" w:rsidR="002A47B8" w:rsidRPr="00A129C7" w:rsidRDefault="002A47B8" w:rsidP="00ED7D0C">
            <w:pPr>
              <w:autoSpaceDE w:val="0"/>
              <w:autoSpaceDN w:val="0"/>
              <w:adjustRightInd w:val="0"/>
              <w:spacing w:line="276" w:lineRule="auto"/>
              <w:jc w:val="both"/>
              <w:rPr>
                <w:rFonts w:cs="Arial"/>
              </w:rPr>
            </w:pPr>
            <w:r w:rsidRPr="00751E03">
              <w:rPr>
                <w:lang w:val="en"/>
              </w:rPr>
              <w:t>NAL</w:t>
            </w:r>
          </w:p>
        </w:tc>
        <w:tc>
          <w:tcPr>
            <w:tcW w:w="6911" w:type="dxa"/>
          </w:tcPr>
          <w:p w14:paraId="4FE919D5" w14:textId="77777777" w:rsidR="002A47B8" w:rsidRPr="00A129C7" w:rsidRDefault="002A47B8" w:rsidP="002A47B8">
            <w:pPr>
              <w:autoSpaceDE w:val="0"/>
              <w:autoSpaceDN w:val="0"/>
              <w:adjustRightInd w:val="0"/>
              <w:spacing w:line="276" w:lineRule="auto"/>
              <w:jc w:val="both"/>
              <w:rPr>
                <w:rFonts w:cs="Arial"/>
              </w:rPr>
            </w:pPr>
            <w:r>
              <w:rPr>
                <w:lang w:val="en"/>
              </w:rPr>
              <w:t>nasal lavage</w:t>
            </w:r>
          </w:p>
        </w:tc>
      </w:tr>
      <w:tr w:rsidR="00F31124" w:rsidRPr="00FD119B" w14:paraId="4FE919D9" w14:textId="77777777" w:rsidTr="00FD119B">
        <w:tc>
          <w:tcPr>
            <w:tcW w:w="1809" w:type="dxa"/>
          </w:tcPr>
          <w:p w14:paraId="4FE919D7" w14:textId="77777777" w:rsidR="00F31124" w:rsidRPr="00A129C7" w:rsidRDefault="00F31124" w:rsidP="00ED7D0C">
            <w:pPr>
              <w:autoSpaceDE w:val="0"/>
              <w:autoSpaceDN w:val="0"/>
              <w:adjustRightInd w:val="0"/>
              <w:spacing w:line="276" w:lineRule="auto"/>
              <w:jc w:val="both"/>
              <w:rPr>
                <w:rFonts w:cs="Arial"/>
                <w:szCs w:val="22"/>
              </w:rPr>
            </w:pPr>
            <w:r w:rsidRPr="00A129C7">
              <w:rPr>
                <w:rFonts w:cs="Arial"/>
                <w:szCs w:val="22"/>
              </w:rPr>
              <w:lastRenderedPageBreak/>
              <w:t>Ph. Eur.</w:t>
            </w:r>
          </w:p>
        </w:tc>
        <w:tc>
          <w:tcPr>
            <w:tcW w:w="6911" w:type="dxa"/>
          </w:tcPr>
          <w:p w14:paraId="4FE919D8" w14:textId="77777777" w:rsidR="00F31124" w:rsidRPr="00A129C7" w:rsidRDefault="00F31124" w:rsidP="00ED7D0C">
            <w:pPr>
              <w:autoSpaceDE w:val="0"/>
              <w:autoSpaceDN w:val="0"/>
              <w:adjustRightInd w:val="0"/>
              <w:spacing w:line="276" w:lineRule="auto"/>
              <w:jc w:val="both"/>
              <w:rPr>
                <w:rFonts w:cs="Arial"/>
                <w:szCs w:val="22"/>
              </w:rPr>
            </w:pPr>
            <w:r w:rsidRPr="00A129C7">
              <w:rPr>
                <w:rFonts w:cs="Arial"/>
                <w:szCs w:val="22"/>
              </w:rPr>
              <w:t>European Pharmacopoeia</w:t>
            </w:r>
          </w:p>
        </w:tc>
      </w:tr>
      <w:tr w:rsidR="00F31124" w:rsidRPr="00FD119B" w14:paraId="4FE919DC" w14:textId="77777777" w:rsidTr="00FD119B">
        <w:tc>
          <w:tcPr>
            <w:tcW w:w="1809" w:type="dxa"/>
          </w:tcPr>
          <w:p w14:paraId="4FE919DA" w14:textId="77777777" w:rsidR="00F31124" w:rsidRPr="00A129C7" w:rsidRDefault="00F31124" w:rsidP="00ED7D0C">
            <w:pPr>
              <w:autoSpaceDE w:val="0"/>
              <w:autoSpaceDN w:val="0"/>
              <w:adjustRightInd w:val="0"/>
              <w:spacing w:line="276" w:lineRule="auto"/>
              <w:jc w:val="both"/>
              <w:rPr>
                <w:rFonts w:cs="Arial"/>
                <w:szCs w:val="22"/>
              </w:rPr>
            </w:pPr>
            <w:r w:rsidRPr="00A129C7">
              <w:rPr>
                <w:rFonts w:cs="Arial"/>
                <w:szCs w:val="22"/>
              </w:rPr>
              <w:t>PI</w:t>
            </w:r>
          </w:p>
        </w:tc>
        <w:tc>
          <w:tcPr>
            <w:tcW w:w="6911" w:type="dxa"/>
          </w:tcPr>
          <w:p w14:paraId="4FE919DB" w14:textId="77777777" w:rsidR="00F31124" w:rsidRPr="00A129C7" w:rsidRDefault="00F31124" w:rsidP="00ED7D0C">
            <w:pPr>
              <w:autoSpaceDE w:val="0"/>
              <w:autoSpaceDN w:val="0"/>
              <w:adjustRightInd w:val="0"/>
              <w:spacing w:line="276" w:lineRule="auto"/>
              <w:jc w:val="both"/>
              <w:rPr>
                <w:rFonts w:cs="Arial"/>
                <w:szCs w:val="22"/>
              </w:rPr>
            </w:pPr>
            <w:r w:rsidRPr="00A129C7">
              <w:rPr>
                <w:rFonts w:cs="Arial"/>
                <w:szCs w:val="22"/>
              </w:rPr>
              <w:t>Product Information</w:t>
            </w:r>
          </w:p>
        </w:tc>
      </w:tr>
      <w:tr w:rsidR="005479B1" w:rsidRPr="00FD119B" w14:paraId="4FE919DF" w14:textId="77777777" w:rsidTr="00FD119B">
        <w:tc>
          <w:tcPr>
            <w:tcW w:w="1809" w:type="dxa"/>
          </w:tcPr>
          <w:p w14:paraId="4FE919DD" w14:textId="77777777" w:rsidR="005479B1" w:rsidRPr="00A129C7" w:rsidRDefault="005479B1" w:rsidP="00ED7D0C">
            <w:pPr>
              <w:autoSpaceDE w:val="0"/>
              <w:autoSpaceDN w:val="0"/>
              <w:adjustRightInd w:val="0"/>
              <w:spacing w:line="276" w:lineRule="auto"/>
              <w:jc w:val="both"/>
              <w:rPr>
                <w:rFonts w:cs="Arial"/>
              </w:rPr>
            </w:pPr>
            <w:r w:rsidRPr="00916D58">
              <w:t>PO</w:t>
            </w:r>
          </w:p>
        </w:tc>
        <w:tc>
          <w:tcPr>
            <w:tcW w:w="6911" w:type="dxa"/>
          </w:tcPr>
          <w:p w14:paraId="4FE919DE" w14:textId="77777777" w:rsidR="005479B1" w:rsidRPr="00A129C7" w:rsidRDefault="005479B1" w:rsidP="00ED7D0C">
            <w:pPr>
              <w:autoSpaceDE w:val="0"/>
              <w:autoSpaceDN w:val="0"/>
              <w:adjustRightInd w:val="0"/>
              <w:spacing w:line="276" w:lineRule="auto"/>
              <w:jc w:val="both"/>
              <w:rPr>
                <w:rFonts w:cs="Arial"/>
              </w:rPr>
            </w:pPr>
            <w:r>
              <w:rPr>
                <w:rFonts w:cs="Arial"/>
              </w:rPr>
              <w:t>Per oral</w:t>
            </w:r>
          </w:p>
        </w:tc>
      </w:tr>
      <w:tr w:rsidR="00F31124" w:rsidRPr="00FD119B" w14:paraId="4FE919E2" w14:textId="77777777" w:rsidTr="00FD119B">
        <w:tc>
          <w:tcPr>
            <w:tcW w:w="1809" w:type="dxa"/>
          </w:tcPr>
          <w:p w14:paraId="4FE919E0" w14:textId="77777777" w:rsidR="00F31124" w:rsidRPr="00ED0147" w:rsidRDefault="00ED0147" w:rsidP="00ED7D0C">
            <w:pPr>
              <w:autoSpaceDE w:val="0"/>
              <w:autoSpaceDN w:val="0"/>
              <w:adjustRightInd w:val="0"/>
              <w:spacing w:line="276" w:lineRule="auto"/>
              <w:jc w:val="both"/>
              <w:rPr>
                <w:rFonts w:cs="Arial"/>
                <w:szCs w:val="22"/>
              </w:rPr>
            </w:pPr>
            <w:proofErr w:type="spellStart"/>
            <w:r w:rsidRPr="00ED0147">
              <w:rPr>
                <w:rFonts w:cs="Arial"/>
                <w:szCs w:val="22"/>
              </w:rPr>
              <w:t>Phl</w:t>
            </w:r>
            <w:proofErr w:type="spellEnd"/>
            <w:r w:rsidR="00F31124" w:rsidRPr="00ED0147">
              <w:rPr>
                <w:rFonts w:cs="Arial"/>
                <w:szCs w:val="22"/>
              </w:rPr>
              <w:t xml:space="preserve"> p1</w:t>
            </w:r>
          </w:p>
        </w:tc>
        <w:tc>
          <w:tcPr>
            <w:tcW w:w="6911" w:type="dxa"/>
          </w:tcPr>
          <w:p w14:paraId="4FE919E1" w14:textId="77777777" w:rsidR="00F31124" w:rsidRPr="00A129C7" w:rsidRDefault="00F31124" w:rsidP="00ED7D0C">
            <w:pPr>
              <w:autoSpaceDE w:val="0"/>
              <w:autoSpaceDN w:val="0"/>
              <w:adjustRightInd w:val="0"/>
              <w:spacing w:line="276" w:lineRule="auto"/>
              <w:jc w:val="both"/>
              <w:rPr>
                <w:rFonts w:cs="Arial"/>
                <w:szCs w:val="22"/>
              </w:rPr>
            </w:pPr>
            <w:r w:rsidRPr="00A129C7">
              <w:rPr>
                <w:rFonts w:cs="Arial"/>
                <w:szCs w:val="22"/>
              </w:rPr>
              <w:t xml:space="preserve">A major allergen of </w:t>
            </w:r>
            <w:r w:rsidR="002D7A68" w:rsidRPr="002D7A68">
              <w:rPr>
                <w:i/>
              </w:rPr>
              <w:t>Phleum pratense</w:t>
            </w:r>
            <w:r w:rsidRPr="00A129C7">
              <w:rPr>
                <w:rFonts w:cs="Arial"/>
                <w:szCs w:val="22"/>
              </w:rPr>
              <w:t xml:space="preserve"> grass pollen</w:t>
            </w:r>
          </w:p>
        </w:tc>
      </w:tr>
      <w:tr w:rsidR="00F31124" w:rsidRPr="00FD119B" w14:paraId="4FE919E5" w14:textId="77777777" w:rsidTr="00FD119B">
        <w:tc>
          <w:tcPr>
            <w:tcW w:w="1809" w:type="dxa"/>
          </w:tcPr>
          <w:p w14:paraId="4FE919E3" w14:textId="77777777" w:rsidR="00F31124" w:rsidRPr="00ED0147" w:rsidRDefault="00ED0147" w:rsidP="00ED7D0C">
            <w:pPr>
              <w:autoSpaceDE w:val="0"/>
              <w:autoSpaceDN w:val="0"/>
              <w:adjustRightInd w:val="0"/>
              <w:spacing w:line="276" w:lineRule="auto"/>
              <w:jc w:val="both"/>
              <w:rPr>
                <w:rFonts w:cs="Arial"/>
                <w:szCs w:val="22"/>
              </w:rPr>
            </w:pPr>
            <w:proofErr w:type="spellStart"/>
            <w:r w:rsidRPr="00ED0147">
              <w:rPr>
                <w:rFonts w:cs="Arial"/>
                <w:szCs w:val="22"/>
              </w:rPr>
              <w:t>Phl</w:t>
            </w:r>
            <w:proofErr w:type="spellEnd"/>
            <w:r w:rsidR="00F31124" w:rsidRPr="00ED0147">
              <w:rPr>
                <w:rFonts w:cs="Arial"/>
                <w:szCs w:val="22"/>
              </w:rPr>
              <w:t xml:space="preserve"> p5</w:t>
            </w:r>
          </w:p>
        </w:tc>
        <w:tc>
          <w:tcPr>
            <w:tcW w:w="6911" w:type="dxa"/>
          </w:tcPr>
          <w:p w14:paraId="4FE919E4" w14:textId="77777777" w:rsidR="00F31124" w:rsidRPr="00A129C7" w:rsidRDefault="00F31124" w:rsidP="00ED7D0C">
            <w:pPr>
              <w:autoSpaceDE w:val="0"/>
              <w:autoSpaceDN w:val="0"/>
              <w:adjustRightInd w:val="0"/>
              <w:spacing w:line="276" w:lineRule="auto"/>
              <w:jc w:val="both"/>
              <w:rPr>
                <w:rFonts w:cs="Arial"/>
                <w:szCs w:val="22"/>
              </w:rPr>
            </w:pPr>
            <w:r w:rsidRPr="00A129C7">
              <w:rPr>
                <w:rFonts w:cs="Arial"/>
                <w:szCs w:val="22"/>
              </w:rPr>
              <w:t xml:space="preserve">A major allergen of </w:t>
            </w:r>
            <w:r w:rsidR="002D7A68" w:rsidRPr="002D7A68">
              <w:rPr>
                <w:i/>
              </w:rPr>
              <w:t>Phleum pratense</w:t>
            </w:r>
            <w:r w:rsidRPr="00A129C7">
              <w:rPr>
                <w:rFonts w:cs="Arial"/>
                <w:szCs w:val="22"/>
              </w:rPr>
              <w:t xml:space="preserve"> grass pollen</w:t>
            </w:r>
          </w:p>
        </w:tc>
      </w:tr>
      <w:tr w:rsidR="00692C69" w:rsidRPr="00FD119B" w14:paraId="31894838" w14:textId="77777777" w:rsidTr="00FD119B">
        <w:tc>
          <w:tcPr>
            <w:tcW w:w="1809" w:type="dxa"/>
          </w:tcPr>
          <w:p w14:paraId="4C8324A0" w14:textId="7AA4625C" w:rsidR="00692C69" w:rsidRPr="00ED0147" w:rsidRDefault="00692C69" w:rsidP="00ED7D0C">
            <w:pPr>
              <w:autoSpaceDE w:val="0"/>
              <w:autoSpaceDN w:val="0"/>
              <w:adjustRightInd w:val="0"/>
              <w:spacing w:line="276" w:lineRule="auto"/>
              <w:jc w:val="both"/>
              <w:rPr>
                <w:rFonts w:cs="Arial"/>
              </w:rPr>
            </w:pPr>
            <w:proofErr w:type="spellStart"/>
            <w:r>
              <w:rPr>
                <w:rFonts w:cs="Arial"/>
              </w:rPr>
              <w:t>Phl</w:t>
            </w:r>
            <w:proofErr w:type="spellEnd"/>
            <w:r>
              <w:rPr>
                <w:rFonts w:cs="Arial"/>
              </w:rPr>
              <w:t xml:space="preserve"> p6</w:t>
            </w:r>
          </w:p>
        </w:tc>
        <w:tc>
          <w:tcPr>
            <w:tcW w:w="6911" w:type="dxa"/>
          </w:tcPr>
          <w:p w14:paraId="5E20F5F9" w14:textId="0D803E82" w:rsidR="00692C69" w:rsidRPr="00A129C7" w:rsidRDefault="00692C69" w:rsidP="00692C69">
            <w:pPr>
              <w:autoSpaceDE w:val="0"/>
              <w:autoSpaceDN w:val="0"/>
              <w:adjustRightInd w:val="0"/>
              <w:spacing w:line="276" w:lineRule="auto"/>
              <w:jc w:val="both"/>
              <w:rPr>
                <w:rFonts w:cs="Arial"/>
              </w:rPr>
            </w:pPr>
            <w:r>
              <w:rPr>
                <w:rFonts w:cs="Arial"/>
                <w:szCs w:val="22"/>
              </w:rPr>
              <w:t xml:space="preserve">A major </w:t>
            </w:r>
            <w:r w:rsidRPr="00A129C7">
              <w:rPr>
                <w:rFonts w:cs="Arial"/>
                <w:szCs w:val="22"/>
              </w:rPr>
              <w:t xml:space="preserve">allergen of </w:t>
            </w:r>
            <w:r w:rsidRPr="002D7A68">
              <w:rPr>
                <w:i/>
              </w:rPr>
              <w:t>Phleum pratense</w:t>
            </w:r>
            <w:r w:rsidRPr="00A129C7">
              <w:rPr>
                <w:rFonts w:cs="Arial"/>
                <w:szCs w:val="22"/>
              </w:rPr>
              <w:t xml:space="preserve"> grass pollen</w:t>
            </w:r>
          </w:p>
        </w:tc>
      </w:tr>
      <w:tr w:rsidR="00AD1BB3" w:rsidRPr="00FD119B" w14:paraId="4FE919E8" w14:textId="77777777" w:rsidTr="00FD119B">
        <w:tc>
          <w:tcPr>
            <w:tcW w:w="1809" w:type="dxa"/>
          </w:tcPr>
          <w:p w14:paraId="4FE919E6" w14:textId="77777777" w:rsidR="00AD1BB3" w:rsidRPr="00A129C7" w:rsidRDefault="00AD1BB3" w:rsidP="00ED7D0C">
            <w:pPr>
              <w:autoSpaceDE w:val="0"/>
              <w:autoSpaceDN w:val="0"/>
              <w:adjustRightInd w:val="0"/>
              <w:spacing w:line="276" w:lineRule="auto"/>
              <w:jc w:val="both"/>
              <w:rPr>
                <w:rFonts w:cs="Arial"/>
              </w:rPr>
            </w:pPr>
            <w:r w:rsidRPr="00B45165">
              <w:t>prn</w:t>
            </w:r>
          </w:p>
        </w:tc>
        <w:tc>
          <w:tcPr>
            <w:tcW w:w="6911" w:type="dxa"/>
          </w:tcPr>
          <w:p w14:paraId="4FE919E7" w14:textId="77777777" w:rsidR="00AD1BB3" w:rsidRPr="00A129C7" w:rsidRDefault="00AD1BB3" w:rsidP="00ED7D0C">
            <w:pPr>
              <w:autoSpaceDE w:val="0"/>
              <w:autoSpaceDN w:val="0"/>
              <w:adjustRightInd w:val="0"/>
              <w:spacing w:line="276" w:lineRule="auto"/>
              <w:jc w:val="both"/>
              <w:rPr>
                <w:rFonts w:cs="Arial"/>
              </w:rPr>
            </w:pPr>
            <w:r>
              <w:rPr>
                <w:rFonts w:cs="Arial"/>
              </w:rPr>
              <w:t>As needed</w:t>
            </w:r>
          </w:p>
        </w:tc>
      </w:tr>
      <w:tr w:rsidR="00F31124" w:rsidRPr="00FD119B" w14:paraId="4FE919EB" w14:textId="77777777" w:rsidTr="00FD119B">
        <w:tc>
          <w:tcPr>
            <w:tcW w:w="1809" w:type="dxa"/>
          </w:tcPr>
          <w:p w14:paraId="4FE919E9" w14:textId="77777777" w:rsidR="00F31124" w:rsidRPr="00A129C7" w:rsidRDefault="00F31124" w:rsidP="00ED7D0C">
            <w:pPr>
              <w:autoSpaceDE w:val="0"/>
              <w:autoSpaceDN w:val="0"/>
              <w:adjustRightInd w:val="0"/>
              <w:spacing w:line="276" w:lineRule="auto"/>
              <w:jc w:val="both"/>
              <w:rPr>
                <w:rFonts w:cs="Arial"/>
                <w:szCs w:val="22"/>
              </w:rPr>
            </w:pPr>
            <w:r w:rsidRPr="00A129C7">
              <w:rPr>
                <w:rFonts w:cs="Arial"/>
                <w:szCs w:val="22"/>
              </w:rPr>
              <w:t>PSUR</w:t>
            </w:r>
          </w:p>
        </w:tc>
        <w:tc>
          <w:tcPr>
            <w:tcW w:w="6911" w:type="dxa"/>
          </w:tcPr>
          <w:p w14:paraId="4FE919EA" w14:textId="77777777" w:rsidR="00F31124" w:rsidRPr="00A129C7" w:rsidRDefault="00F31124" w:rsidP="00ED7D0C">
            <w:pPr>
              <w:autoSpaceDE w:val="0"/>
              <w:autoSpaceDN w:val="0"/>
              <w:adjustRightInd w:val="0"/>
              <w:spacing w:line="276" w:lineRule="auto"/>
              <w:jc w:val="both"/>
              <w:rPr>
                <w:rFonts w:cs="Arial"/>
                <w:szCs w:val="22"/>
              </w:rPr>
            </w:pPr>
            <w:r w:rsidRPr="00A129C7">
              <w:rPr>
                <w:rFonts w:cs="Arial"/>
                <w:szCs w:val="22"/>
              </w:rPr>
              <w:t>Periodic safety update report</w:t>
            </w:r>
          </w:p>
        </w:tc>
      </w:tr>
      <w:tr w:rsidR="00FA2591" w:rsidRPr="00FD119B" w14:paraId="4FE919EE" w14:textId="77777777" w:rsidTr="00FD119B">
        <w:tc>
          <w:tcPr>
            <w:tcW w:w="1809" w:type="dxa"/>
          </w:tcPr>
          <w:p w14:paraId="4FE919EC" w14:textId="77777777" w:rsidR="00FA2591" w:rsidRPr="00A129C7" w:rsidRDefault="00FA2591" w:rsidP="00ED7D0C">
            <w:pPr>
              <w:autoSpaceDE w:val="0"/>
              <w:autoSpaceDN w:val="0"/>
              <w:adjustRightInd w:val="0"/>
              <w:spacing w:line="276" w:lineRule="auto"/>
              <w:jc w:val="both"/>
              <w:rPr>
                <w:rFonts w:cs="Arial"/>
              </w:rPr>
            </w:pPr>
            <w:r w:rsidRPr="00AD185D">
              <w:t>RID</w:t>
            </w:r>
          </w:p>
        </w:tc>
        <w:tc>
          <w:tcPr>
            <w:tcW w:w="6911" w:type="dxa"/>
          </w:tcPr>
          <w:p w14:paraId="4FE919ED" w14:textId="77777777" w:rsidR="00FA2591" w:rsidRPr="00A129C7" w:rsidRDefault="00FA2591" w:rsidP="00FA2591">
            <w:pPr>
              <w:autoSpaceDE w:val="0"/>
              <w:autoSpaceDN w:val="0"/>
              <w:adjustRightInd w:val="0"/>
              <w:spacing w:line="276" w:lineRule="auto"/>
              <w:jc w:val="both"/>
              <w:rPr>
                <w:rFonts w:cs="Arial"/>
              </w:rPr>
            </w:pPr>
            <w:r>
              <w:t>radial immunodiffusion</w:t>
            </w:r>
          </w:p>
        </w:tc>
      </w:tr>
      <w:tr w:rsidR="001E1063" w:rsidRPr="00FD119B" w14:paraId="4FE919F1" w14:textId="77777777" w:rsidTr="00FD119B">
        <w:tc>
          <w:tcPr>
            <w:tcW w:w="1809" w:type="dxa"/>
          </w:tcPr>
          <w:p w14:paraId="4FE919EF" w14:textId="77777777" w:rsidR="001E1063" w:rsidRPr="00AD185D" w:rsidRDefault="001E1063" w:rsidP="00ED7D0C">
            <w:pPr>
              <w:autoSpaceDE w:val="0"/>
              <w:autoSpaceDN w:val="0"/>
              <w:adjustRightInd w:val="0"/>
              <w:spacing w:line="276" w:lineRule="auto"/>
              <w:jc w:val="both"/>
            </w:pPr>
            <w:r w:rsidRPr="00751E03">
              <w:rPr>
                <w:lang w:val="en"/>
              </w:rPr>
              <w:t>RLU</w:t>
            </w:r>
          </w:p>
        </w:tc>
        <w:tc>
          <w:tcPr>
            <w:tcW w:w="6911" w:type="dxa"/>
          </w:tcPr>
          <w:p w14:paraId="4FE919F0" w14:textId="77777777" w:rsidR="001E1063" w:rsidRPr="00425CD4" w:rsidRDefault="00425CD4" w:rsidP="00425CD4">
            <w:r>
              <w:t>Relative light unit</w:t>
            </w:r>
          </w:p>
        </w:tc>
      </w:tr>
      <w:tr w:rsidR="00F31124" w:rsidRPr="00FD119B" w14:paraId="4FE919F4" w14:textId="77777777" w:rsidTr="00FD119B">
        <w:tc>
          <w:tcPr>
            <w:tcW w:w="1809" w:type="dxa"/>
          </w:tcPr>
          <w:p w14:paraId="4FE919F2" w14:textId="77777777" w:rsidR="00F31124" w:rsidRPr="00A129C7" w:rsidRDefault="00F31124" w:rsidP="00ED7D0C">
            <w:pPr>
              <w:autoSpaceDE w:val="0"/>
              <w:autoSpaceDN w:val="0"/>
              <w:adjustRightInd w:val="0"/>
              <w:spacing w:line="276" w:lineRule="auto"/>
              <w:jc w:val="both"/>
              <w:rPr>
                <w:rFonts w:cs="Arial,Bold"/>
                <w:bCs/>
                <w:szCs w:val="22"/>
              </w:rPr>
            </w:pPr>
            <w:r w:rsidRPr="00A129C7">
              <w:rPr>
                <w:rFonts w:cs="Arial,Bold"/>
                <w:bCs/>
                <w:szCs w:val="22"/>
              </w:rPr>
              <w:t>SCH 697243</w:t>
            </w:r>
          </w:p>
        </w:tc>
        <w:tc>
          <w:tcPr>
            <w:tcW w:w="6911" w:type="dxa"/>
          </w:tcPr>
          <w:p w14:paraId="4FE919F3" w14:textId="77777777" w:rsidR="00F31124" w:rsidRPr="00A129C7" w:rsidRDefault="00F31124" w:rsidP="00ED7D0C">
            <w:pPr>
              <w:autoSpaceDE w:val="0"/>
              <w:autoSpaceDN w:val="0"/>
              <w:adjustRightInd w:val="0"/>
              <w:spacing w:line="276" w:lineRule="auto"/>
              <w:jc w:val="both"/>
              <w:rPr>
                <w:rFonts w:cs="Arial"/>
                <w:szCs w:val="22"/>
              </w:rPr>
            </w:pPr>
            <w:r w:rsidRPr="00A129C7">
              <w:rPr>
                <w:rFonts w:cs="Arial,Bold"/>
                <w:bCs/>
                <w:szCs w:val="22"/>
              </w:rPr>
              <w:t xml:space="preserve">Grazax was trialled and sold by MSD, called Grastek in the USA </w:t>
            </w:r>
          </w:p>
        </w:tc>
      </w:tr>
      <w:tr w:rsidR="00F31124" w:rsidRPr="00FD119B" w14:paraId="4FE919F7" w14:textId="77777777" w:rsidTr="00FD119B">
        <w:tc>
          <w:tcPr>
            <w:tcW w:w="1809" w:type="dxa"/>
          </w:tcPr>
          <w:p w14:paraId="4FE919F5" w14:textId="77777777" w:rsidR="00F31124" w:rsidRPr="00A129C7" w:rsidRDefault="00F31124" w:rsidP="00ED7D0C">
            <w:pPr>
              <w:autoSpaceDE w:val="0"/>
              <w:autoSpaceDN w:val="0"/>
              <w:adjustRightInd w:val="0"/>
              <w:spacing w:line="276" w:lineRule="auto"/>
              <w:jc w:val="both"/>
            </w:pPr>
            <w:r w:rsidRPr="00A129C7">
              <w:t>SCIT</w:t>
            </w:r>
          </w:p>
        </w:tc>
        <w:tc>
          <w:tcPr>
            <w:tcW w:w="6911" w:type="dxa"/>
          </w:tcPr>
          <w:p w14:paraId="4FE919F6" w14:textId="77777777" w:rsidR="00F31124" w:rsidRPr="00A129C7" w:rsidRDefault="00F31124" w:rsidP="00ED7D0C">
            <w:pPr>
              <w:autoSpaceDE w:val="0"/>
              <w:autoSpaceDN w:val="0"/>
              <w:adjustRightInd w:val="0"/>
              <w:spacing w:line="276" w:lineRule="auto"/>
              <w:jc w:val="both"/>
              <w:rPr>
                <w:rFonts w:cs="Arial"/>
                <w:szCs w:val="22"/>
              </w:rPr>
            </w:pPr>
            <w:r w:rsidRPr="00A129C7">
              <w:t>Subcutaneous immunotherapy</w:t>
            </w:r>
          </w:p>
        </w:tc>
      </w:tr>
      <w:tr w:rsidR="00F31124" w:rsidRPr="00FD119B" w14:paraId="4FE919FA" w14:textId="77777777" w:rsidTr="00FD119B">
        <w:tc>
          <w:tcPr>
            <w:tcW w:w="1809" w:type="dxa"/>
          </w:tcPr>
          <w:p w14:paraId="4FE919F8" w14:textId="77777777" w:rsidR="00F31124" w:rsidRPr="00A129C7" w:rsidRDefault="00F31124" w:rsidP="00ED7D0C">
            <w:pPr>
              <w:autoSpaceDE w:val="0"/>
              <w:autoSpaceDN w:val="0"/>
              <w:adjustRightInd w:val="0"/>
              <w:spacing w:line="276" w:lineRule="auto"/>
              <w:jc w:val="both"/>
              <w:rPr>
                <w:rFonts w:cs="Arial"/>
                <w:szCs w:val="22"/>
              </w:rPr>
            </w:pPr>
            <w:r w:rsidRPr="00A129C7">
              <w:rPr>
                <w:rFonts w:cs="Arial"/>
                <w:szCs w:val="22"/>
              </w:rPr>
              <w:t>SLIT</w:t>
            </w:r>
          </w:p>
        </w:tc>
        <w:tc>
          <w:tcPr>
            <w:tcW w:w="6911" w:type="dxa"/>
          </w:tcPr>
          <w:p w14:paraId="4FE919F9" w14:textId="77777777" w:rsidR="00F31124" w:rsidRPr="00A129C7" w:rsidRDefault="00F31124" w:rsidP="00ED7D0C">
            <w:pPr>
              <w:autoSpaceDE w:val="0"/>
              <w:autoSpaceDN w:val="0"/>
              <w:adjustRightInd w:val="0"/>
              <w:spacing w:line="276" w:lineRule="auto"/>
              <w:jc w:val="both"/>
              <w:rPr>
                <w:rFonts w:cs="Arial"/>
                <w:szCs w:val="22"/>
              </w:rPr>
            </w:pPr>
            <w:r w:rsidRPr="00A129C7">
              <w:rPr>
                <w:rFonts w:cs="Arial"/>
                <w:szCs w:val="22"/>
              </w:rPr>
              <w:t>Sublingual immunotherapy</w:t>
            </w:r>
          </w:p>
        </w:tc>
      </w:tr>
      <w:tr w:rsidR="00F31124" w:rsidRPr="00FD119B" w14:paraId="4FE919FD" w14:textId="77777777" w:rsidTr="00FD119B">
        <w:tc>
          <w:tcPr>
            <w:tcW w:w="1809" w:type="dxa"/>
          </w:tcPr>
          <w:p w14:paraId="4FE919FB" w14:textId="77777777" w:rsidR="00F31124" w:rsidRPr="00A129C7" w:rsidRDefault="00F31124" w:rsidP="00ED7D0C">
            <w:pPr>
              <w:autoSpaceDE w:val="0"/>
              <w:autoSpaceDN w:val="0"/>
              <w:adjustRightInd w:val="0"/>
              <w:spacing w:line="276" w:lineRule="auto"/>
              <w:jc w:val="both"/>
              <w:rPr>
                <w:rFonts w:cs="Arial"/>
                <w:szCs w:val="22"/>
              </w:rPr>
            </w:pPr>
            <w:proofErr w:type="spellStart"/>
            <w:r w:rsidRPr="00A129C7">
              <w:rPr>
                <w:rFonts w:cs="Arial"/>
                <w:szCs w:val="22"/>
              </w:rPr>
              <w:t>SmPC</w:t>
            </w:r>
            <w:proofErr w:type="spellEnd"/>
          </w:p>
        </w:tc>
        <w:tc>
          <w:tcPr>
            <w:tcW w:w="6911" w:type="dxa"/>
          </w:tcPr>
          <w:p w14:paraId="4FE919FC" w14:textId="77777777" w:rsidR="00F31124" w:rsidRPr="00A129C7" w:rsidRDefault="00F31124" w:rsidP="00ED7D0C">
            <w:pPr>
              <w:autoSpaceDE w:val="0"/>
              <w:autoSpaceDN w:val="0"/>
              <w:adjustRightInd w:val="0"/>
              <w:spacing w:line="276" w:lineRule="auto"/>
              <w:jc w:val="both"/>
              <w:rPr>
                <w:rFonts w:cs="Arial"/>
                <w:szCs w:val="22"/>
              </w:rPr>
            </w:pPr>
            <w:r w:rsidRPr="00A129C7">
              <w:rPr>
                <w:rFonts w:cs="Arial"/>
                <w:szCs w:val="22"/>
              </w:rPr>
              <w:t>Summary of product characteristics</w:t>
            </w:r>
          </w:p>
        </w:tc>
      </w:tr>
      <w:tr w:rsidR="00F31124" w:rsidRPr="00FD119B" w14:paraId="4FE91A00" w14:textId="77777777" w:rsidTr="00FD119B">
        <w:tc>
          <w:tcPr>
            <w:tcW w:w="1809" w:type="dxa"/>
          </w:tcPr>
          <w:p w14:paraId="4FE919FE" w14:textId="77777777" w:rsidR="00F31124" w:rsidRPr="00A129C7" w:rsidRDefault="00F31124" w:rsidP="00ED7D0C">
            <w:pPr>
              <w:autoSpaceDE w:val="0"/>
              <w:autoSpaceDN w:val="0"/>
              <w:adjustRightInd w:val="0"/>
              <w:spacing w:line="276" w:lineRule="auto"/>
              <w:jc w:val="both"/>
              <w:rPr>
                <w:rFonts w:cs="Arial"/>
                <w:szCs w:val="22"/>
              </w:rPr>
            </w:pPr>
            <w:r w:rsidRPr="00A129C7">
              <w:rPr>
                <w:rFonts w:cs="Arial"/>
                <w:szCs w:val="22"/>
              </w:rPr>
              <w:t>SPT</w:t>
            </w:r>
          </w:p>
        </w:tc>
        <w:tc>
          <w:tcPr>
            <w:tcW w:w="6911" w:type="dxa"/>
          </w:tcPr>
          <w:p w14:paraId="4FE919FF" w14:textId="77777777" w:rsidR="00F31124" w:rsidRPr="00A129C7" w:rsidRDefault="00F31124" w:rsidP="00ED7D0C">
            <w:pPr>
              <w:autoSpaceDE w:val="0"/>
              <w:autoSpaceDN w:val="0"/>
              <w:adjustRightInd w:val="0"/>
              <w:spacing w:line="276" w:lineRule="auto"/>
              <w:jc w:val="both"/>
              <w:rPr>
                <w:rFonts w:cs="Arial"/>
                <w:szCs w:val="22"/>
              </w:rPr>
            </w:pPr>
            <w:r w:rsidRPr="00A129C7">
              <w:rPr>
                <w:rFonts w:cs="Arial"/>
                <w:szCs w:val="22"/>
              </w:rPr>
              <w:t>Skin prick test</w:t>
            </w:r>
          </w:p>
        </w:tc>
      </w:tr>
      <w:tr w:rsidR="00F31124" w:rsidRPr="00FD119B" w14:paraId="4FE91A03" w14:textId="77777777" w:rsidTr="00FD119B">
        <w:tc>
          <w:tcPr>
            <w:tcW w:w="1809" w:type="dxa"/>
          </w:tcPr>
          <w:p w14:paraId="4FE91A01" w14:textId="77777777" w:rsidR="00F31124" w:rsidRPr="00A129C7" w:rsidRDefault="00F31124" w:rsidP="00ED7D0C">
            <w:pPr>
              <w:autoSpaceDE w:val="0"/>
              <w:autoSpaceDN w:val="0"/>
              <w:adjustRightInd w:val="0"/>
              <w:spacing w:line="276" w:lineRule="auto"/>
              <w:jc w:val="both"/>
              <w:rPr>
                <w:rFonts w:cs="Arial"/>
                <w:szCs w:val="22"/>
              </w:rPr>
            </w:pPr>
            <w:r w:rsidRPr="00A129C7">
              <w:rPr>
                <w:rFonts w:cs="Arial"/>
                <w:szCs w:val="22"/>
              </w:rPr>
              <w:t>SQ</w:t>
            </w:r>
          </w:p>
        </w:tc>
        <w:tc>
          <w:tcPr>
            <w:tcW w:w="6911" w:type="dxa"/>
          </w:tcPr>
          <w:p w14:paraId="4FE91A02" w14:textId="77777777" w:rsidR="00F31124" w:rsidRPr="00A129C7" w:rsidRDefault="00F31124" w:rsidP="00EB112B">
            <w:pPr>
              <w:autoSpaceDE w:val="0"/>
              <w:autoSpaceDN w:val="0"/>
              <w:adjustRightInd w:val="0"/>
              <w:spacing w:line="276" w:lineRule="auto"/>
              <w:jc w:val="both"/>
              <w:rPr>
                <w:rFonts w:cs="Arial"/>
                <w:szCs w:val="22"/>
              </w:rPr>
            </w:pPr>
            <w:r w:rsidRPr="00A129C7">
              <w:rPr>
                <w:rFonts w:cs="Arial"/>
                <w:szCs w:val="22"/>
              </w:rPr>
              <w:t>Standardised quality</w:t>
            </w:r>
          </w:p>
        </w:tc>
      </w:tr>
      <w:tr w:rsidR="00F31124" w:rsidRPr="00FD119B" w14:paraId="4FE91A06" w14:textId="77777777" w:rsidTr="00FD119B">
        <w:tc>
          <w:tcPr>
            <w:tcW w:w="1809" w:type="dxa"/>
          </w:tcPr>
          <w:p w14:paraId="4FE91A04" w14:textId="77777777" w:rsidR="00F31124" w:rsidRPr="00A129C7" w:rsidRDefault="00F31124" w:rsidP="00ED7D0C">
            <w:pPr>
              <w:autoSpaceDE w:val="0"/>
              <w:autoSpaceDN w:val="0"/>
              <w:adjustRightInd w:val="0"/>
              <w:jc w:val="both"/>
              <w:rPr>
                <w:rFonts w:cs="Arial"/>
                <w:szCs w:val="22"/>
              </w:rPr>
            </w:pPr>
            <w:r w:rsidRPr="00A129C7">
              <w:rPr>
                <w:rFonts w:cs="Arial"/>
                <w:szCs w:val="22"/>
              </w:rPr>
              <w:t>SQ-T</w:t>
            </w:r>
          </w:p>
        </w:tc>
        <w:tc>
          <w:tcPr>
            <w:tcW w:w="6911" w:type="dxa"/>
          </w:tcPr>
          <w:p w14:paraId="4FE91A05" w14:textId="77777777" w:rsidR="00F31124" w:rsidRPr="00A129C7" w:rsidRDefault="00F31124" w:rsidP="00ED7D0C">
            <w:pPr>
              <w:autoSpaceDE w:val="0"/>
              <w:autoSpaceDN w:val="0"/>
              <w:adjustRightInd w:val="0"/>
              <w:jc w:val="both"/>
              <w:rPr>
                <w:rFonts w:cs="Arial"/>
                <w:szCs w:val="22"/>
              </w:rPr>
            </w:pPr>
            <w:r w:rsidRPr="00A129C7">
              <w:rPr>
                <w:rFonts w:cs="Arial"/>
                <w:szCs w:val="22"/>
              </w:rPr>
              <w:t>Standardised quality units (tablet); the SQ-T and SQ-U units express the same biological activity. SQ-U was originally introduced for products for subcutaneous administration. The SQ-U has for Grazax been substituted by the unit SQ-T to distinguish between the 2 pharmaceutical forms (</w:t>
            </w:r>
            <w:r w:rsidR="004A7F98">
              <w:rPr>
                <w:rFonts w:cs="Arial"/>
                <w:szCs w:val="22"/>
              </w:rPr>
              <w:t>that is</w:t>
            </w:r>
            <w:r w:rsidRPr="00A129C7">
              <w:rPr>
                <w:rFonts w:cs="Arial"/>
                <w:szCs w:val="22"/>
              </w:rPr>
              <w:t xml:space="preserve"> subcutaneous versus </w:t>
            </w:r>
            <w:proofErr w:type="spellStart"/>
            <w:r w:rsidRPr="00A129C7">
              <w:rPr>
                <w:rFonts w:cs="Arial"/>
                <w:szCs w:val="22"/>
              </w:rPr>
              <w:t>oromucosal</w:t>
            </w:r>
            <w:proofErr w:type="spellEnd"/>
            <w:r w:rsidRPr="00A129C7">
              <w:rPr>
                <w:rFonts w:cs="Arial"/>
                <w:szCs w:val="22"/>
              </w:rPr>
              <w:t xml:space="preserve"> use).</w:t>
            </w:r>
          </w:p>
        </w:tc>
      </w:tr>
      <w:tr w:rsidR="00F31124" w:rsidRPr="00FD119B" w14:paraId="4FE91A09" w14:textId="77777777" w:rsidTr="00FD119B">
        <w:tc>
          <w:tcPr>
            <w:tcW w:w="1809" w:type="dxa"/>
          </w:tcPr>
          <w:p w14:paraId="4FE91A07" w14:textId="77777777" w:rsidR="00F31124" w:rsidRPr="00A129C7" w:rsidRDefault="00F31124" w:rsidP="00ED7D0C">
            <w:pPr>
              <w:autoSpaceDE w:val="0"/>
              <w:autoSpaceDN w:val="0"/>
              <w:adjustRightInd w:val="0"/>
              <w:spacing w:line="276" w:lineRule="auto"/>
              <w:jc w:val="both"/>
              <w:rPr>
                <w:rFonts w:cs="Arial"/>
                <w:szCs w:val="22"/>
              </w:rPr>
            </w:pPr>
            <w:r w:rsidRPr="00A129C7">
              <w:rPr>
                <w:rFonts w:cs="Arial"/>
                <w:szCs w:val="22"/>
              </w:rPr>
              <w:t>SQ-U</w:t>
            </w:r>
          </w:p>
        </w:tc>
        <w:tc>
          <w:tcPr>
            <w:tcW w:w="6911" w:type="dxa"/>
          </w:tcPr>
          <w:p w14:paraId="4FE91A08" w14:textId="77777777" w:rsidR="00F31124" w:rsidRPr="00A129C7" w:rsidRDefault="00F31124" w:rsidP="00ED7D0C">
            <w:pPr>
              <w:autoSpaceDE w:val="0"/>
              <w:autoSpaceDN w:val="0"/>
              <w:adjustRightInd w:val="0"/>
              <w:spacing w:line="276" w:lineRule="auto"/>
              <w:jc w:val="both"/>
              <w:rPr>
                <w:rFonts w:cs="Arial"/>
                <w:szCs w:val="22"/>
              </w:rPr>
            </w:pPr>
            <w:r w:rsidRPr="00A129C7">
              <w:rPr>
                <w:rFonts w:cs="Arial"/>
                <w:szCs w:val="22"/>
              </w:rPr>
              <w:t>Standardised quality units, see SQ-T above</w:t>
            </w:r>
          </w:p>
        </w:tc>
      </w:tr>
      <w:tr w:rsidR="00F31124" w:rsidRPr="00FD119B" w14:paraId="4FE91A0E" w14:textId="77777777" w:rsidTr="00FD119B">
        <w:tc>
          <w:tcPr>
            <w:tcW w:w="1809" w:type="dxa"/>
          </w:tcPr>
          <w:p w14:paraId="4FE91A0A" w14:textId="77777777" w:rsidR="00F31124" w:rsidRPr="00A129C7" w:rsidRDefault="00F31124" w:rsidP="00ED7D0C">
            <w:pPr>
              <w:autoSpaceDE w:val="0"/>
              <w:autoSpaceDN w:val="0"/>
              <w:adjustRightInd w:val="0"/>
              <w:spacing w:line="276" w:lineRule="auto"/>
              <w:jc w:val="both"/>
              <w:rPr>
                <w:rFonts w:cs="Arial"/>
                <w:szCs w:val="22"/>
              </w:rPr>
            </w:pPr>
            <w:r w:rsidRPr="00A129C7">
              <w:rPr>
                <w:rFonts w:cs="Arial"/>
                <w:szCs w:val="22"/>
              </w:rPr>
              <w:t>S/T</w:t>
            </w:r>
          </w:p>
        </w:tc>
        <w:tc>
          <w:tcPr>
            <w:tcW w:w="6911" w:type="dxa"/>
          </w:tcPr>
          <w:p w14:paraId="4FE91A0B" w14:textId="77777777" w:rsidR="00F31124" w:rsidRPr="00425CD4" w:rsidRDefault="00F31124" w:rsidP="00425CD4">
            <w:r w:rsidRPr="00425CD4">
              <w:t>S (simultaneous) and T (2 step) describes how the analysis is performed.</w:t>
            </w:r>
          </w:p>
          <w:p w14:paraId="4FE91A0C" w14:textId="77777777" w:rsidR="00F31124" w:rsidRPr="00425CD4" w:rsidRDefault="00F31124" w:rsidP="00425CD4">
            <w:r w:rsidRPr="00425CD4">
              <w:t xml:space="preserve">S: The </w:t>
            </w:r>
            <w:proofErr w:type="spellStart"/>
            <w:r w:rsidRPr="00425CD4">
              <w:t>IgE</w:t>
            </w:r>
            <w:proofErr w:type="spellEnd"/>
            <w:r w:rsidRPr="00425CD4">
              <w:t xml:space="preserve"> is present in the assay simultaneously with competing allergen specific antibodies</w:t>
            </w:r>
          </w:p>
          <w:p w14:paraId="4FE91A0D" w14:textId="77777777" w:rsidR="00F31124" w:rsidRPr="00A129C7" w:rsidRDefault="00F31124" w:rsidP="00ED7D0C">
            <w:pPr>
              <w:autoSpaceDE w:val="0"/>
              <w:autoSpaceDN w:val="0"/>
              <w:adjustRightInd w:val="0"/>
              <w:spacing w:line="276" w:lineRule="auto"/>
              <w:jc w:val="both"/>
              <w:rPr>
                <w:rFonts w:cs="Arial"/>
                <w:szCs w:val="22"/>
              </w:rPr>
            </w:pPr>
            <w:r w:rsidRPr="00A129C7">
              <w:rPr>
                <w:rFonts w:cs="Arial"/>
                <w:szCs w:val="22"/>
              </w:rPr>
              <w:t xml:space="preserve">T: No competing allergen specific antibodies are present in the assay. The readout from the assay </w:t>
            </w:r>
            <w:r>
              <w:rPr>
                <w:rFonts w:cs="Arial"/>
                <w:szCs w:val="22"/>
              </w:rPr>
              <w:t xml:space="preserve">that is </w:t>
            </w:r>
            <w:r w:rsidRPr="00A129C7">
              <w:rPr>
                <w:rFonts w:cs="Arial"/>
                <w:szCs w:val="22"/>
              </w:rPr>
              <w:t xml:space="preserve">S/T is a measure of the inhibitory capacity of serum components competing with </w:t>
            </w:r>
            <w:proofErr w:type="spellStart"/>
            <w:r w:rsidRPr="00A129C7">
              <w:rPr>
                <w:rFonts w:cs="Arial"/>
                <w:szCs w:val="22"/>
              </w:rPr>
              <w:t>IgE</w:t>
            </w:r>
            <w:proofErr w:type="spellEnd"/>
            <w:r w:rsidRPr="00A129C7">
              <w:rPr>
                <w:rFonts w:cs="Arial"/>
                <w:szCs w:val="22"/>
              </w:rPr>
              <w:t xml:space="preserve"> for </w:t>
            </w:r>
            <w:r w:rsidRPr="00A129C7">
              <w:rPr>
                <w:rFonts w:cs="Arial"/>
                <w:szCs w:val="22"/>
              </w:rPr>
              <w:lastRenderedPageBreak/>
              <w:t>allergen binding. Thus, a decrease in S/T signifies an increase in competing antibodies</w:t>
            </w:r>
          </w:p>
        </w:tc>
      </w:tr>
      <w:tr w:rsidR="004A7F98" w:rsidRPr="00FD119B" w14:paraId="4FE91A11" w14:textId="77777777" w:rsidTr="00EB112B">
        <w:trPr>
          <w:trHeight w:val="589"/>
        </w:trPr>
        <w:tc>
          <w:tcPr>
            <w:tcW w:w="1809" w:type="dxa"/>
          </w:tcPr>
          <w:p w14:paraId="4FE91A0F" w14:textId="77777777" w:rsidR="004A7F98" w:rsidRPr="00A129C7" w:rsidRDefault="004A7F98" w:rsidP="00ED7D0C">
            <w:pPr>
              <w:autoSpaceDE w:val="0"/>
              <w:autoSpaceDN w:val="0"/>
              <w:adjustRightInd w:val="0"/>
              <w:spacing w:line="276" w:lineRule="auto"/>
              <w:jc w:val="both"/>
              <w:rPr>
                <w:rFonts w:cs="Arial"/>
              </w:rPr>
            </w:pPr>
            <w:r w:rsidRPr="00AD185D">
              <w:lastRenderedPageBreak/>
              <w:t>TACA</w:t>
            </w:r>
          </w:p>
        </w:tc>
        <w:tc>
          <w:tcPr>
            <w:tcW w:w="6911" w:type="dxa"/>
          </w:tcPr>
          <w:p w14:paraId="4FE91A10" w14:textId="77777777" w:rsidR="004A7F98" w:rsidRPr="00A129C7" w:rsidRDefault="004A7F98" w:rsidP="004A7F98">
            <w:pPr>
              <w:autoSpaceDE w:val="0"/>
              <w:autoSpaceDN w:val="0"/>
              <w:adjustRightInd w:val="0"/>
              <w:spacing w:line="276" w:lineRule="auto"/>
              <w:jc w:val="both"/>
              <w:rPr>
                <w:rFonts w:cs="Arial"/>
              </w:rPr>
            </w:pPr>
            <w:r>
              <w:t>Total Allergen Centaur Assay</w:t>
            </w:r>
          </w:p>
        </w:tc>
      </w:tr>
      <w:tr w:rsidR="00F31124" w:rsidRPr="00FD119B" w14:paraId="4FE91A14" w14:textId="77777777" w:rsidTr="00FD119B">
        <w:tc>
          <w:tcPr>
            <w:tcW w:w="1809" w:type="dxa"/>
          </w:tcPr>
          <w:p w14:paraId="4FE91A12" w14:textId="77777777" w:rsidR="00F31124" w:rsidRPr="00A129C7" w:rsidRDefault="00F31124" w:rsidP="00ED7D0C">
            <w:pPr>
              <w:autoSpaceDE w:val="0"/>
              <w:autoSpaceDN w:val="0"/>
              <w:adjustRightInd w:val="0"/>
              <w:spacing w:line="276" w:lineRule="auto"/>
              <w:jc w:val="both"/>
              <w:rPr>
                <w:rFonts w:cs="Arial"/>
                <w:szCs w:val="22"/>
              </w:rPr>
            </w:pPr>
            <w:r w:rsidRPr="00A129C7">
              <w:rPr>
                <w:rFonts w:cs="Arial"/>
                <w:szCs w:val="22"/>
              </w:rPr>
              <w:t>TGF-β</w:t>
            </w:r>
          </w:p>
        </w:tc>
        <w:tc>
          <w:tcPr>
            <w:tcW w:w="6911" w:type="dxa"/>
          </w:tcPr>
          <w:p w14:paraId="4FE91A13" w14:textId="77777777" w:rsidR="00F31124" w:rsidRPr="00A129C7" w:rsidRDefault="00F31124" w:rsidP="00ED7D0C">
            <w:pPr>
              <w:autoSpaceDE w:val="0"/>
              <w:autoSpaceDN w:val="0"/>
              <w:adjustRightInd w:val="0"/>
              <w:spacing w:line="276" w:lineRule="auto"/>
              <w:jc w:val="both"/>
              <w:rPr>
                <w:rFonts w:cs="Arial"/>
                <w:szCs w:val="22"/>
              </w:rPr>
            </w:pPr>
            <w:r w:rsidRPr="00A129C7">
              <w:rPr>
                <w:rFonts w:cs="Arial"/>
                <w:szCs w:val="22"/>
              </w:rPr>
              <w:t>Transforming growth factor β</w:t>
            </w:r>
          </w:p>
        </w:tc>
      </w:tr>
      <w:tr w:rsidR="00F31124" w:rsidRPr="00FD119B" w14:paraId="4FE91A17" w14:textId="77777777" w:rsidTr="00FD119B">
        <w:tc>
          <w:tcPr>
            <w:tcW w:w="1809" w:type="dxa"/>
          </w:tcPr>
          <w:p w14:paraId="4FE91A15" w14:textId="77777777" w:rsidR="00C76A34" w:rsidRPr="00A129C7" w:rsidRDefault="00C76A34" w:rsidP="00EB112B">
            <w:pPr>
              <w:autoSpaceDE w:val="0"/>
              <w:autoSpaceDN w:val="0"/>
              <w:adjustRightInd w:val="0"/>
              <w:spacing w:line="276" w:lineRule="auto"/>
              <w:jc w:val="both"/>
              <w:rPr>
                <w:rFonts w:cs="Arial"/>
                <w:szCs w:val="22"/>
              </w:rPr>
            </w:pPr>
            <w:r>
              <w:rPr>
                <w:rFonts w:cs="Arial"/>
                <w:szCs w:val="22"/>
              </w:rPr>
              <w:t>T</w:t>
            </w:r>
            <w:r w:rsidR="00EB112B">
              <w:rPr>
                <w:rFonts w:cs="Arial"/>
                <w:szCs w:val="22"/>
              </w:rPr>
              <w:t>h1</w:t>
            </w:r>
          </w:p>
        </w:tc>
        <w:tc>
          <w:tcPr>
            <w:tcW w:w="6911" w:type="dxa"/>
          </w:tcPr>
          <w:p w14:paraId="4FE91A16" w14:textId="77777777" w:rsidR="00F31124" w:rsidRPr="00A129C7" w:rsidRDefault="00EB112B" w:rsidP="00EB112B">
            <w:pPr>
              <w:autoSpaceDE w:val="0"/>
              <w:autoSpaceDN w:val="0"/>
              <w:adjustRightInd w:val="0"/>
              <w:spacing w:line="276" w:lineRule="auto"/>
              <w:jc w:val="both"/>
              <w:rPr>
                <w:rFonts w:cs="Arial"/>
                <w:szCs w:val="22"/>
              </w:rPr>
            </w:pPr>
            <w:r>
              <w:rPr>
                <w:rFonts w:cs="Arial"/>
                <w:szCs w:val="22"/>
              </w:rPr>
              <w:t>T-helper cells type 1</w:t>
            </w:r>
          </w:p>
        </w:tc>
      </w:tr>
      <w:tr w:rsidR="00EB112B" w:rsidRPr="00FD119B" w14:paraId="4FE91A1A" w14:textId="77777777" w:rsidTr="00FD119B">
        <w:tc>
          <w:tcPr>
            <w:tcW w:w="1809" w:type="dxa"/>
          </w:tcPr>
          <w:p w14:paraId="4FE91A18" w14:textId="77777777" w:rsidR="00EB112B" w:rsidRPr="00A129C7" w:rsidRDefault="00EB112B" w:rsidP="00ED7D0C">
            <w:pPr>
              <w:autoSpaceDE w:val="0"/>
              <w:autoSpaceDN w:val="0"/>
              <w:adjustRightInd w:val="0"/>
              <w:spacing w:line="276" w:lineRule="auto"/>
              <w:jc w:val="both"/>
              <w:rPr>
                <w:rFonts w:cs="Arial"/>
              </w:rPr>
            </w:pPr>
            <w:r>
              <w:rPr>
                <w:rFonts w:cs="Arial"/>
                <w:szCs w:val="22"/>
              </w:rPr>
              <w:t>Th</w:t>
            </w:r>
            <w:r w:rsidRPr="00A129C7">
              <w:rPr>
                <w:rFonts w:cs="Arial"/>
                <w:szCs w:val="22"/>
              </w:rPr>
              <w:t>2</w:t>
            </w:r>
          </w:p>
        </w:tc>
        <w:tc>
          <w:tcPr>
            <w:tcW w:w="6911" w:type="dxa"/>
          </w:tcPr>
          <w:p w14:paraId="4FE91A19" w14:textId="77777777" w:rsidR="00EB112B" w:rsidRPr="00A129C7" w:rsidRDefault="00EB112B" w:rsidP="00ED7D0C">
            <w:pPr>
              <w:autoSpaceDE w:val="0"/>
              <w:autoSpaceDN w:val="0"/>
              <w:adjustRightInd w:val="0"/>
              <w:spacing w:line="276" w:lineRule="auto"/>
              <w:jc w:val="both"/>
              <w:rPr>
                <w:rFonts w:cs="Arial"/>
              </w:rPr>
            </w:pPr>
            <w:r>
              <w:rPr>
                <w:rFonts w:cs="Arial"/>
                <w:szCs w:val="22"/>
              </w:rPr>
              <w:t>T-helper cells type</w:t>
            </w:r>
            <w:r w:rsidRPr="00A129C7">
              <w:rPr>
                <w:rFonts w:cs="Arial"/>
                <w:szCs w:val="22"/>
              </w:rPr>
              <w:t xml:space="preserve"> 2</w:t>
            </w:r>
          </w:p>
        </w:tc>
      </w:tr>
      <w:tr w:rsidR="00C76A34" w:rsidRPr="00FD119B" w14:paraId="4FE91A1D" w14:textId="77777777" w:rsidTr="00FD119B">
        <w:tc>
          <w:tcPr>
            <w:tcW w:w="1809" w:type="dxa"/>
          </w:tcPr>
          <w:p w14:paraId="4FE91A1B" w14:textId="77777777" w:rsidR="00C76A34" w:rsidRPr="00A129C7" w:rsidRDefault="00C76A34" w:rsidP="00ED7D0C">
            <w:pPr>
              <w:autoSpaceDE w:val="0"/>
              <w:autoSpaceDN w:val="0"/>
              <w:adjustRightInd w:val="0"/>
              <w:spacing w:line="276" w:lineRule="auto"/>
              <w:jc w:val="both"/>
              <w:rPr>
                <w:rFonts w:cs="Arial"/>
              </w:rPr>
            </w:pPr>
            <w:proofErr w:type="spellStart"/>
            <w:r>
              <w:t>Treg</w:t>
            </w:r>
            <w:proofErr w:type="spellEnd"/>
          </w:p>
        </w:tc>
        <w:tc>
          <w:tcPr>
            <w:tcW w:w="6911" w:type="dxa"/>
          </w:tcPr>
          <w:p w14:paraId="4FE91A1C" w14:textId="77777777" w:rsidR="00C76A34" w:rsidRPr="00A129C7" w:rsidRDefault="00C76A34" w:rsidP="00ED7D0C">
            <w:pPr>
              <w:autoSpaceDE w:val="0"/>
              <w:autoSpaceDN w:val="0"/>
              <w:adjustRightInd w:val="0"/>
              <w:spacing w:line="276" w:lineRule="auto"/>
              <w:jc w:val="both"/>
              <w:rPr>
                <w:rFonts w:cs="Arial"/>
              </w:rPr>
            </w:pPr>
            <w:r>
              <w:rPr>
                <w:rFonts w:cs="Arial"/>
              </w:rPr>
              <w:t>Regulatory T cells</w:t>
            </w:r>
          </w:p>
        </w:tc>
      </w:tr>
      <w:tr w:rsidR="00F31124" w:rsidRPr="00FD119B" w14:paraId="4FE91A20" w14:textId="77777777" w:rsidTr="00FD119B">
        <w:tc>
          <w:tcPr>
            <w:tcW w:w="1809" w:type="dxa"/>
          </w:tcPr>
          <w:p w14:paraId="4FE91A1E" w14:textId="77777777" w:rsidR="00F31124" w:rsidRPr="00A129C7" w:rsidRDefault="00F31124" w:rsidP="00ED7D0C">
            <w:pPr>
              <w:autoSpaceDE w:val="0"/>
              <w:autoSpaceDN w:val="0"/>
              <w:adjustRightInd w:val="0"/>
              <w:spacing w:line="276" w:lineRule="auto"/>
              <w:jc w:val="both"/>
              <w:rPr>
                <w:rFonts w:cs="Arial"/>
                <w:szCs w:val="22"/>
              </w:rPr>
            </w:pPr>
            <w:r w:rsidRPr="00A129C7">
              <w:rPr>
                <w:rFonts w:cs="Arial"/>
                <w:szCs w:val="22"/>
              </w:rPr>
              <w:t>VAS</w:t>
            </w:r>
          </w:p>
        </w:tc>
        <w:tc>
          <w:tcPr>
            <w:tcW w:w="6911" w:type="dxa"/>
          </w:tcPr>
          <w:p w14:paraId="4FE91A1F" w14:textId="77777777" w:rsidR="00F31124" w:rsidRPr="00A129C7" w:rsidRDefault="00F31124" w:rsidP="00ED7D0C">
            <w:pPr>
              <w:autoSpaceDE w:val="0"/>
              <w:autoSpaceDN w:val="0"/>
              <w:adjustRightInd w:val="0"/>
              <w:spacing w:line="276" w:lineRule="auto"/>
              <w:jc w:val="both"/>
              <w:rPr>
                <w:rFonts w:cs="Arial"/>
                <w:szCs w:val="22"/>
              </w:rPr>
            </w:pPr>
            <w:r w:rsidRPr="00A129C7">
              <w:rPr>
                <w:rFonts w:cs="Arial"/>
                <w:szCs w:val="22"/>
              </w:rPr>
              <w:t>Visual analogue scale</w:t>
            </w:r>
            <w:r w:rsidR="00EB112B">
              <w:rPr>
                <w:rFonts w:cs="Arial"/>
                <w:szCs w:val="22"/>
              </w:rPr>
              <w:t xml:space="preserve">, </w:t>
            </w:r>
            <w:r w:rsidR="00EB112B">
              <w:t>Visual Analogy Scale</w:t>
            </w:r>
          </w:p>
        </w:tc>
      </w:tr>
      <w:tr w:rsidR="00F31124" w:rsidRPr="00FD119B" w14:paraId="4FE91A23" w14:textId="77777777" w:rsidTr="00FD119B">
        <w:tc>
          <w:tcPr>
            <w:tcW w:w="1809" w:type="dxa"/>
          </w:tcPr>
          <w:p w14:paraId="4FE91A21" w14:textId="77777777" w:rsidR="00F31124" w:rsidRPr="00A129C7" w:rsidRDefault="00F31124" w:rsidP="00ED7D0C">
            <w:pPr>
              <w:autoSpaceDE w:val="0"/>
              <w:autoSpaceDN w:val="0"/>
              <w:adjustRightInd w:val="0"/>
              <w:spacing w:line="276" w:lineRule="auto"/>
              <w:jc w:val="both"/>
            </w:pPr>
            <w:r w:rsidRPr="00A129C7">
              <w:t>WHO</w:t>
            </w:r>
          </w:p>
        </w:tc>
        <w:tc>
          <w:tcPr>
            <w:tcW w:w="6911" w:type="dxa"/>
          </w:tcPr>
          <w:p w14:paraId="4FE91A22" w14:textId="77777777" w:rsidR="00F31124" w:rsidRPr="00A129C7" w:rsidRDefault="00F31124" w:rsidP="00ED7D0C">
            <w:pPr>
              <w:autoSpaceDE w:val="0"/>
              <w:autoSpaceDN w:val="0"/>
              <w:adjustRightInd w:val="0"/>
              <w:spacing w:line="276" w:lineRule="auto"/>
              <w:jc w:val="both"/>
              <w:rPr>
                <w:sz w:val="28"/>
              </w:rPr>
            </w:pPr>
            <w:r w:rsidRPr="00A129C7">
              <w:t>World Health Organisation</w:t>
            </w:r>
          </w:p>
        </w:tc>
      </w:tr>
    </w:tbl>
    <w:p w14:paraId="4FE91A26" w14:textId="77777777" w:rsidR="008E7846" w:rsidRDefault="00F53C07" w:rsidP="00E9611B">
      <w:pPr>
        <w:pStyle w:val="Heading2"/>
        <w:pageBreakBefore/>
      </w:pPr>
      <w:bookmarkStart w:id="6" w:name="_Toc511209775"/>
      <w:r>
        <w:lastRenderedPageBreak/>
        <w:t>I.</w:t>
      </w:r>
      <w:r w:rsidR="008E7846">
        <w:t xml:space="preserve"> Introduction to product submission</w:t>
      </w:r>
      <w:bookmarkEnd w:id="6"/>
      <w:bookmarkEnd w:id="0"/>
    </w:p>
    <w:p w14:paraId="4FE91A27" w14:textId="77777777" w:rsidR="008E7846" w:rsidRDefault="008E7846" w:rsidP="008E7846">
      <w:pPr>
        <w:pStyle w:val="Heading3"/>
        <w:rPr>
          <w:lang w:eastAsia="en-AU"/>
        </w:rPr>
      </w:pPr>
      <w:bookmarkStart w:id="7" w:name="_Toc247691502"/>
      <w:bookmarkStart w:id="8" w:name="_Toc314842483"/>
      <w:bookmarkStart w:id="9" w:name="_Toc511209776"/>
      <w:r>
        <w:rPr>
          <w:lang w:eastAsia="en-AU"/>
        </w:rPr>
        <w:t>Submission details</w:t>
      </w:r>
      <w:bookmarkEnd w:id="7"/>
      <w:bookmarkEnd w:id="8"/>
      <w:bookmarkEnd w:id="9"/>
    </w:p>
    <w:tbl>
      <w:tblPr>
        <w:tblW w:w="9497" w:type="dxa"/>
        <w:tblInd w:w="108" w:type="dxa"/>
        <w:tblLook w:val="01E0" w:firstRow="1" w:lastRow="1" w:firstColumn="1" w:lastColumn="1" w:noHBand="0" w:noVBand="0"/>
      </w:tblPr>
      <w:tblGrid>
        <w:gridCol w:w="2907"/>
        <w:gridCol w:w="6307"/>
        <w:gridCol w:w="283"/>
      </w:tblGrid>
      <w:tr w:rsidR="008E7846" w:rsidRPr="003D1E62" w14:paraId="4FE91A2A" w14:textId="77777777" w:rsidTr="00597A11">
        <w:trPr>
          <w:trHeight w:hRule="exact" w:val="454"/>
        </w:trPr>
        <w:tc>
          <w:tcPr>
            <w:tcW w:w="2907" w:type="dxa"/>
          </w:tcPr>
          <w:p w14:paraId="4FE91A28" w14:textId="77777777" w:rsidR="008E7846" w:rsidRPr="003D1E62" w:rsidRDefault="001B5C90" w:rsidP="001B5C90">
            <w:pPr>
              <w:rPr>
                <w:i/>
              </w:rPr>
            </w:pPr>
            <w:r>
              <w:rPr>
                <w:i/>
              </w:rPr>
              <w:t>Type of s</w:t>
            </w:r>
            <w:r w:rsidR="008E7846" w:rsidRPr="003D1E62">
              <w:rPr>
                <w:i/>
              </w:rPr>
              <w:t>ubmission</w:t>
            </w:r>
            <w:r>
              <w:rPr>
                <w:i/>
              </w:rPr>
              <w:t>:</w:t>
            </w:r>
          </w:p>
        </w:tc>
        <w:tc>
          <w:tcPr>
            <w:tcW w:w="6590" w:type="dxa"/>
            <w:gridSpan w:val="2"/>
          </w:tcPr>
          <w:p w14:paraId="4FE91A29" w14:textId="77777777" w:rsidR="008E7846" w:rsidRPr="003D1E62" w:rsidRDefault="008E7846" w:rsidP="002B42DE">
            <w:r w:rsidRPr="003D1E62">
              <w:t xml:space="preserve">New </w:t>
            </w:r>
            <w:r w:rsidR="002B42DE">
              <w:t>biological</w:t>
            </w:r>
            <w:r w:rsidRPr="003D1E62">
              <w:t xml:space="preserve"> </w:t>
            </w:r>
            <w:r w:rsidR="001B5C90">
              <w:t>e</w:t>
            </w:r>
            <w:r w:rsidR="002B42DE">
              <w:t>ntity</w:t>
            </w:r>
          </w:p>
        </w:tc>
      </w:tr>
      <w:tr w:rsidR="008E7846" w:rsidRPr="003D1E62" w14:paraId="4FE91A2D" w14:textId="77777777" w:rsidTr="00597A11">
        <w:trPr>
          <w:trHeight w:hRule="exact" w:val="454"/>
        </w:trPr>
        <w:tc>
          <w:tcPr>
            <w:tcW w:w="2907" w:type="dxa"/>
          </w:tcPr>
          <w:p w14:paraId="4FE91A2B" w14:textId="77777777" w:rsidR="008E7846" w:rsidRPr="003D1E62" w:rsidRDefault="008E7846" w:rsidP="003D1E62">
            <w:r w:rsidRPr="003D1E62">
              <w:rPr>
                <w:i/>
              </w:rPr>
              <w:t>Decision</w:t>
            </w:r>
            <w:r w:rsidRPr="003D1E62">
              <w:t>:</w:t>
            </w:r>
          </w:p>
        </w:tc>
        <w:tc>
          <w:tcPr>
            <w:tcW w:w="6590" w:type="dxa"/>
            <w:gridSpan w:val="2"/>
          </w:tcPr>
          <w:p w14:paraId="4FE91A2C" w14:textId="77777777" w:rsidR="008E7846" w:rsidRPr="003D1E62" w:rsidRDefault="002B42DE" w:rsidP="002B42DE">
            <w:r>
              <w:t>Approved</w:t>
            </w:r>
          </w:p>
        </w:tc>
      </w:tr>
      <w:tr w:rsidR="008E7846" w:rsidRPr="003D1E62" w14:paraId="4FE91A30" w14:textId="77777777" w:rsidTr="00597A11">
        <w:trPr>
          <w:trHeight w:hRule="exact" w:val="454"/>
        </w:trPr>
        <w:tc>
          <w:tcPr>
            <w:tcW w:w="2907" w:type="dxa"/>
          </w:tcPr>
          <w:p w14:paraId="4FE91A2E" w14:textId="77777777" w:rsidR="008E7846" w:rsidRPr="003D1E62" w:rsidRDefault="008E7846" w:rsidP="001B5C90">
            <w:pPr>
              <w:rPr>
                <w:i/>
              </w:rPr>
            </w:pPr>
            <w:r w:rsidRPr="003D1E62">
              <w:rPr>
                <w:i/>
              </w:rPr>
              <w:t xml:space="preserve">Date of </w:t>
            </w:r>
            <w:r w:rsidR="001B5C90">
              <w:rPr>
                <w:i/>
              </w:rPr>
              <w:t>d</w:t>
            </w:r>
            <w:r w:rsidRPr="003D1E62">
              <w:rPr>
                <w:i/>
              </w:rPr>
              <w:t>ecision:</w:t>
            </w:r>
          </w:p>
        </w:tc>
        <w:tc>
          <w:tcPr>
            <w:tcW w:w="6590" w:type="dxa"/>
            <w:gridSpan w:val="2"/>
          </w:tcPr>
          <w:p w14:paraId="4FE91A2F" w14:textId="77777777" w:rsidR="008E7846" w:rsidRPr="003D1E62" w:rsidRDefault="002B42DE" w:rsidP="001B5C90">
            <w:r>
              <w:t>24 February 2017</w:t>
            </w:r>
          </w:p>
        </w:tc>
      </w:tr>
      <w:tr w:rsidR="00ED2922" w:rsidRPr="003D1E62" w14:paraId="4FE91A33" w14:textId="77777777" w:rsidTr="00597A11">
        <w:trPr>
          <w:trHeight w:hRule="exact" w:val="454"/>
        </w:trPr>
        <w:tc>
          <w:tcPr>
            <w:tcW w:w="2907" w:type="dxa"/>
          </w:tcPr>
          <w:p w14:paraId="4FE91A31" w14:textId="77777777" w:rsidR="00ED2922" w:rsidRPr="00441C3F" w:rsidRDefault="00ED2922" w:rsidP="001B5C90">
            <w:pPr>
              <w:rPr>
                <w:i/>
              </w:rPr>
            </w:pPr>
            <w:r w:rsidRPr="00441C3F">
              <w:rPr>
                <w:i/>
              </w:rPr>
              <w:t>Date of entry onto ARTG</w:t>
            </w:r>
          </w:p>
        </w:tc>
        <w:tc>
          <w:tcPr>
            <w:tcW w:w="6590" w:type="dxa"/>
            <w:gridSpan w:val="2"/>
          </w:tcPr>
          <w:p w14:paraId="4FE91A32" w14:textId="77777777" w:rsidR="00ED2922" w:rsidRPr="00441C3F" w:rsidRDefault="002B42DE" w:rsidP="00EC463D">
            <w:pPr>
              <w:rPr>
                <w:i/>
              </w:rPr>
            </w:pPr>
            <w:r>
              <w:t xml:space="preserve">7 </w:t>
            </w:r>
            <w:r w:rsidR="002C4BA2">
              <w:t>Mar</w:t>
            </w:r>
            <w:r>
              <w:t>ch 2017</w:t>
            </w:r>
          </w:p>
        </w:tc>
      </w:tr>
      <w:tr w:rsidR="008E7846" w:rsidRPr="00487162" w14:paraId="4FE91A37" w14:textId="77777777" w:rsidTr="00597A11">
        <w:trPr>
          <w:gridAfter w:val="1"/>
          <w:wAfter w:w="283" w:type="dxa"/>
        </w:trPr>
        <w:tc>
          <w:tcPr>
            <w:tcW w:w="2907" w:type="dxa"/>
          </w:tcPr>
          <w:p w14:paraId="4FE91A35" w14:textId="77777777" w:rsidR="008E7846" w:rsidRPr="00487162" w:rsidRDefault="002B42DE" w:rsidP="00E45619">
            <w:pPr>
              <w:rPr>
                <w:i/>
              </w:rPr>
            </w:pPr>
            <w:r>
              <w:rPr>
                <w:i/>
              </w:rPr>
              <w:t>Active ingredient</w:t>
            </w:r>
            <w:r w:rsidR="001B5C90">
              <w:rPr>
                <w:i/>
              </w:rPr>
              <w:t>:</w:t>
            </w:r>
          </w:p>
        </w:tc>
        <w:tc>
          <w:tcPr>
            <w:tcW w:w="6307" w:type="dxa"/>
          </w:tcPr>
          <w:p w14:paraId="4FE91A36" w14:textId="77777777" w:rsidR="008E7846" w:rsidRPr="00487162" w:rsidRDefault="002D7A68" w:rsidP="00E45619">
            <w:r w:rsidRPr="002D7A68">
              <w:rPr>
                <w:i/>
              </w:rPr>
              <w:t>Phleum pratense</w:t>
            </w:r>
          </w:p>
        </w:tc>
      </w:tr>
      <w:tr w:rsidR="008E7846" w:rsidRPr="00487162" w14:paraId="4FE91A3A" w14:textId="77777777" w:rsidTr="00597A11">
        <w:trPr>
          <w:gridAfter w:val="1"/>
          <w:wAfter w:w="283" w:type="dxa"/>
        </w:trPr>
        <w:tc>
          <w:tcPr>
            <w:tcW w:w="2907" w:type="dxa"/>
          </w:tcPr>
          <w:p w14:paraId="4FE91A38" w14:textId="77777777" w:rsidR="008E7846" w:rsidRPr="00487162" w:rsidRDefault="008E7846" w:rsidP="001B5C90">
            <w:pPr>
              <w:rPr>
                <w:i/>
              </w:rPr>
            </w:pPr>
            <w:r w:rsidRPr="00487162">
              <w:rPr>
                <w:i/>
              </w:rPr>
              <w:t>Product</w:t>
            </w:r>
            <w:r w:rsidR="002B42DE">
              <w:rPr>
                <w:i/>
              </w:rPr>
              <w:t xml:space="preserve"> name</w:t>
            </w:r>
            <w:r w:rsidR="001B5C90">
              <w:rPr>
                <w:i/>
              </w:rPr>
              <w:t>:</w:t>
            </w:r>
          </w:p>
        </w:tc>
        <w:tc>
          <w:tcPr>
            <w:tcW w:w="6307" w:type="dxa"/>
          </w:tcPr>
          <w:p w14:paraId="4FE91A39" w14:textId="77777777" w:rsidR="008E7846" w:rsidRPr="00487162" w:rsidRDefault="002B42DE" w:rsidP="00E45619">
            <w:r>
              <w:t>Grazax</w:t>
            </w:r>
          </w:p>
        </w:tc>
      </w:tr>
      <w:tr w:rsidR="008E7846" w:rsidRPr="00487162" w14:paraId="4FE91A3F" w14:textId="77777777" w:rsidTr="00597A11">
        <w:trPr>
          <w:gridAfter w:val="1"/>
          <w:wAfter w:w="283" w:type="dxa"/>
        </w:trPr>
        <w:tc>
          <w:tcPr>
            <w:tcW w:w="2907" w:type="dxa"/>
          </w:tcPr>
          <w:p w14:paraId="4FE91A3B" w14:textId="77777777"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14:paraId="4FE91A3C" w14:textId="77777777" w:rsidR="008E7846" w:rsidRDefault="002B42DE" w:rsidP="00E45619">
            <w:r>
              <w:t>Seqirus Pty Ltd</w:t>
            </w:r>
          </w:p>
          <w:p w14:paraId="4FE91A3D" w14:textId="77777777" w:rsidR="002B42DE" w:rsidRDefault="002B42DE" w:rsidP="00E45619">
            <w:r>
              <w:t>63 Poplar Rd</w:t>
            </w:r>
          </w:p>
          <w:p w14:paraId="4FE91A3E" w14:textId="2FDD41A5" w:rsidR="002B42DE" w:rsidRPr="00487162" w:rsidRDefault="002B42DE" w:rsidP="0016562F">
            <w:r>
              <w:t xml:space="preserve">Parkville </w:t>
            </w:r>
            <w:r w:rsidR="0016562F">
              <w:t xml:space="preserve">Vic </w:t>
            </w:r>
            <w:r>
              <w:t>3052</w:t>
            </w:r>
          </w:p>
        </w:tc>
      </w:tr>
      <w:tr w:rsidR="008E7846" w:rsidRPr="00487162" w14:paraId="4FE91A42" w14:textId="77777777" w:rsidTr="00597A11">
        <w:trPr>
          <w:gridAfter w:val="1"/>
          <w:wAfter w:w="283" w:type="dxa"/>
        </w:trPr>
        <w:tc>
          <w:tcPr>
            <w:tcW w:w="2907" w:type="dxa"/>
          </w:tcPr>
          <w:p w14:paraId="4FE91A40" w14:textId="77777777" w:rsidR="008E7846" w:rsidRPr="00487162" w:rsidRDefault="002B42DE" w:rsidP="00E45619">
            <w:pPr>
              <w:rPr>
                <w:i/>
              </w:rPr>
            </w:pPr>
            <w:r>
              <w:rPr>
                <w:i/>
              </w:rPr>
              <w:t>Dose form</w:t>
            </w:r>
            <w:r w:rsidR="001B5C90">
              <w:rPr>
                <w:i/>
              </w:rPr>
              <w:t>:</w:t>
            </w:r>
          </w:p>
        </w:tc>
        <w:tc>
          <w:tcPr>
            <w:tcW w:w="6307" w:type="dxa"/>
          </w:tcPr>
          <w:p w14:paraId="4FE91A41" w14:textId="77777777" w:rsidR="008E7846" w:rsidRPr="00487162" w:rsidRDefault="005B7270" w:rsidP="00E45619">
            <w:r>
              <w:t xml:space="preserve">Tablet, orally </w:t>
            </w:r>
            <w:r w:rsidR="00AE7857">
              <w:t>disintegrating</w:t>
            </w:r>
          </w:p>
        </w:tc>
      </w:tr>
      <w:tr w:rsidR="008E7846" w:rsidRPr="00487162" w14:paraId="4FE91A45" w14:textId="77777777" w:rsidTr="00597A11">
        <w:trPr>
          <w:gridAfter w:val="1"/>
          <w:wAfter w:w="283" w:type="dxa"/>
        </w:trPr>
        <w:tc>
          <w:tcPr>
            <w:tcW w:w="2907" w:type="dxa"/>
          </w:tcPr>
          <w:p w14:paraId="4FE91A43" w14:textId="77777777" w:rsidR="008E7846" w:rsidRPr="00487162" w:rsidRDefault="002B42DE" w:rsidP="00E45619">
            <w:pPr>
              <w:rPr>
                <w:i/>
              </w:rPr>
            </w:pPr>
            <w:r>
              <w:rPr>
                <w:i/>
              </w:rPr>
              <w:t>Strength</w:t>
            </w:r>
            <w:r w:rsidR="00AE7857">
              <w:rPr>
                <w:i/>
              </w:rPr>
              <w:t>:</w:t>
            </w:r>
          </w:p>
        </w:tc>
        <w:tc>
          <w:tcPr>
            <w:tcW w:w="6307" w:type="dxa"/>
          </w:tcPr>
          <w:p w14:paraId="4FE91A44" w14:textId="77777777" w:rsidR="008E7846" w:rsidRPr="00487162" w:rsidRDefault="002B42DE" w:rsidP="00E45619">
            <w:r>
              <w:t>75,000 SQ-T</w:t>
            </w:r>
          </w:p>
        </w:tc>
      </w:tr>
      <w:tr w:rsidR="008E7846" w:rsidRPr="00487162" w14:paraId="4FE91A48" w14:textId="77777777" w:rsidTr="00597A11">
        <w:trPr>
          <w:gridAfter w:val="1"/>
          <w:wAfter w:w="283" w:type="dxa"/>
        </w:trPr>
        <w:tc>
          <w:tcPr>
            <w:tcW w:w="2907" w:type="dxa"/>
          </w:tcPr>
          <w:p w14:paraId="4FE91A46" w14:textId="77777777" w:rsidR="008E7846" w:rsidRPr="00487162" w:rsidRDefault="002B42DE" w:rsidP="00E45619">
            <w:pPr>
              <w:rPr>
                <w:i/>
              </w:rPr>
            </w:pPr>
            <w:r>
              <w:rPr>
                <w:i/>
              </w:rPr>
              <w:t>Container</w:t>
            </w:r>
            <w:r w:rsidR="008E7846" w:rsidRPr="00487162">
              <w:rPr>
                <w:i/>
              </w:rPr>
              <w:t>:</w:t>
            </w:r>
          </w:p>
        </w:tc>
        <w:tc>
          <w:tcPr>
            <w:tcW w:w="6307" w:type="dxa"/>
          </w:tcPr>
          <w:p w14:paraId="4FE91A47" w14:textId="77777777" w:rsidR="008E7846" w:rsidRPr="00487162" w:rsidRDefault="002B42DE" w:rsidP="00E45619">
            <w:r>
              <w:t>Blister pack</w:t>
            </w:r>
          </w:p>
        </w:tc>
      </w:tr>
      <w:tr w:rsidR="008E7846" w:rsidRPr="00487162" w14:paraId="4FE91A4B" w14:textId="77777777" w:rsidTr="00597A11">
        <w:trPr>
          <w:gridAfter w:val="1"/>
          <w:wAfter w:w="283" w:type="dxa"/>
        </w:trPr>
        <w:tc>
          <w:tcPr>
            <w:tcW w:w="2907" w:type="dxa"/>
          </w:tcPr>
          <w:p w14:paraId="4FE91A49" w14:textId="77777777" w:rsidR="008E7846" w:rsidRPr="00487162" w:rsidRDefault="002B42DE" w:rsidP="00E45619">
            <w:pPr>
              <w:rPr>
                <w:i/>
              </w:rPr>
            </w:pPr>
            <w:r>
              <w:rPr>
                <w:i/>
              </w:rPr>
              <w:t>Pack sizes</w:t>
            </w:r>
            <w:r w:rsidR="008E7846" w:rsidRPr="00487162">
              <w:rPr>
                <w:i/>
              </w:rPr>
              <w:t>:</w:t>
            </w:r>
          </w:p>
        </w:tc>
        <w:tc>
          <w:tcPr>
            <w:tcW w:w="6307" w:type="dxa"/>
          </w:tcPr>
          <w:p w14:paraId="4FE91A4A" w14:textId="77777777" w:rsidR="008E7846" w:rsidRPr="00487162" w:rsidRDefault="002B42DE" w:rsidP="002B42DE">
            <w:r>
              <w:t>10, 30, 90 and 100 tablets</w:t>
            </w:r>
          </w:p>
        </w:tc>
      </w:tr>
      <w:tr w:rsidR="008E7846" w:rsidRPr="00487162" w14:paraId="4FE91A4E" w14:textId="77777777" w:rsidTr="00597A11">
        <w:trPr>
          <w:gridAfter w:val="1"/>
          <w:wAfter w:w="283" w:type="dxa"/>
        </w:trPr>
        <w:tc>
          <w:tcPr>
            <w:tcW w:w="2907" w:type="dxa"/>
          </w:tcPr>
          <w:p w14:paraId="4FE91A4C" w14:textId="77777777"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14:paraId="4FE91A4D" w14:textId="77777777" w:rsidR="008E7846" w:rsidRPr="00487162" w:rsidRDefault="005B7270" w:rsidP="00E45619">
            <w:pPr>
              <w:rPr>
                <w:rFonts w:eastAsia="MS Mincho"/>
                <w:lang w:eastAsia="ja-JP"/>
              </w:rPr>
            </w:pPr>
            <w:r w:rsidRPr="005B7270">
              <w:rPr>
                <w:i/>
              </w:rPr>
              <w:t>Grazax is indicated for disease modifying treatment of grass pollen (</w:t>
            </w:r>
            <w:r w:rsidR="002D7A68" w:rsidRPr="002D7A68">
              <w:rPr>
                <w:i/>
              </w:rPr>
              <w:t>Phleum pratense</w:t>
            </w:r>
            <w:r w:rsidRPr="005B7270">
              <w:rPr>
                <w:i/>
              </w:rPr>
              <w:t xml:space="preserve"> or allergens cross reacting with P. pratense) induced allergic rhinitis with or without conjunctivitis in adults, adolescents and children above the age 5 years</w:t>
            </w:r>
            <w:r>
              <w:t>.</w:t>
            </w:r>
          </w:p>
        </w:tc>
      </w:tr>
      <w:tr w:rsidR="008E7846" w:rsidRPr="00487162" w14:paraId="4FE91A51" w14:textId="77777777" w:rsidTr="00597A11">
        <w:trPr>
          <w:gridAfter w:val="1"/>
          <w:wAfter w:w="283" w:type="dxa"/>
        </w:trPr>
        <w:tc>
          <w:tcPr>
            <w:tcW w:w="2907" w:type="dxa"/>
          </w:tcPr>
          <w:p w14:paraId="4FE91A4F" w14:textId="77777777" w:rsidR="008E7846" w:rsidRPr="00487162" w:rsidRDefault="005B7270" w:rsidP="00E45619">
            <w:pPr>
              <w:rPr>
                <w:i/>
              </w:rPr>
            </w:pPr>
            <w:r>
              <w:rPr>
                <w:i/>
              </w:rPr>
              <w:t>Route</w:t>
            </w:r>
            <w:r w:rsidR="008E7846" w:rsidRPr="00487162">
              <w:rPr>
                <w:i/>
              </w:rPr>
              <w:t xml:space="preserve"> of administration:</w:t>
            </w:r>
          </w:p>
        </w:tc>
        <w:tc>
          <w:tcPr>
            <w:tcW w:w="6307" w:type="dxa"/>
          </w:tcPr>
          <w:p w14:paraId="4FE91A50" w14:textId="77777777" w:rsidR="008E7846" w:rsidRPr="00487162" w:rsidRDefault="005B7270" w:rsidP="00E45619">
            <w:r>
              <w:t>Oral</w:t>
            </w:r>
          </w:p>
        </w:tc>
      </w:tr>
      <w:tr w:rsidR="008E7846" w:rsidRPr="00487162" w14:paraId="4FE91A54" w14:textId="77777777" w:rsidTr="00597A11">
        <w:trPr>
          <w:gridAfter w:val="1"/>
          <w:wAfter w:w="283" w:type="dxa"/>
        </w:trPr>
        <w:tc>
          <w:tcPr>
            <w:tcW w:w="2907" w:type="dxa"/>
          </w:tcPr>
          <w:p w14:paraId="4FE91A52" w14:textId="77777777" w:rsidR="008E7846" w:rsidRPr="00487162" w:rsidRDefault="008E7846" w:rsidP="00E45619">
            <w:pPr>
              <w:rPr>
                <w:i/>
              </w:rPr>
            </w:pPr>
            <w:r w:rsidRPr="00487162">
              <w:rPr>
                <w:i/>
              </w:rPr>
              <w:t>Dosage:</w:t>
            </w:r>
          </w:p>
        </w:tc>
        <w:tc>
          <w:tcPr>
            <w:tcW w:w="6307" w:type="dxa"/>
          </w:tcPr>
          <w:p w14:paraId="4FE91A53" w14:textId="77777777" w:rsidR="008E7846" w:rsidRPr="005B7270" w:rsidRDefault="002D7A68" w:rsidP="00E45619">
            <w:pPr>
              <w:rPr>
                <w:highlight w:val="yellow"/>
              </w:rPr>
            </w:pPr>
            <w:r>
              <w:t>One tablet once daily</w:t>
            </w:r>
          </w:p>
        </w:tc>
      </w:tr>
      <w:tr w:rsidR="008E7846" w:rsidRPr="00487162" w14:paraId="4FE91A57" w14:textId="77777777" w:rsidTr="00597A11">
        <w:trPr>
          <w:gridAfter w:val="1"/>
          <w:wAfter w:w="283" w:type="dxa"/>
        </w:trPr>
        <w:tc>
          <w:tcPr>
            <w:tcW w:w="2907" w:type="dxa"/>
          </w:tcPr>
          <w:p w14:paraId="4FE91A55" w14:textId="77777777" w:rsidR="008E7846" w:rsidRPr="00487162" w:rsidRDefault="008E7846" w:rsidP="001B5C90">
            <w:pPr>
              <w:rPr>
                <w:i/>
              </w:rPr>
            </w:pPr>
            <w:r w:rsidRPr="00487162">
              <w:rPr>
                <w:i/>
              </w:rPr>
              <w:t xml:space="preserve">ARTG </w:t>
            </w:r>
            <w:r w:rsidR="001B5C90">
              <w:rPr>
                <w:i/>
              </w:rPr>
              <w:t>n</w:t>
            </w:r>
            <w:r w:rsidR="005B7270">
              <w:rPr>
                <w:i/>
              </w:rPr>
              <w:t>umber</w:t>
            </w:r>
            <w:r w:rsidR="001B5C90">
              <w:rPr>
                <w:i/>
              </w:rPr>
              <w:t>:</w:t>
            </w:r>
          </w:p>
        </w:tc>
        <w:tc>
          <w:tcPr>
            <w:tcW w:w="6307" w:type="dxa"/>
          </w:tcPr>
          <w:p w14:paraId="4FE91A56" w14:textId="77777777" w:rsidR="008E7846" w:rsidRPr="00487162" w:rsidRDefault="005B7270" w:rsidP="00E45619">
            <w:r>
              <w:t>267955</w:t>
            </w:r>
          </w:p>
        </w:tc>
      </w:tr>
    </w:tbl>
    <w:p w14:paraId="4FE91A58" w14:textId="77777777" w:rsidR="008E7846" w:rsidRDefault="008E7846" w:rsidP="008E7846">
      <w:pPr>
        <w:pStyle w:val="Heading3"/>
      </w:pPr>
      <w:bookmarkStart w:id="10" w:name="_Toc247691503"/>
      <w:bookmarkStart w:id="11" w:name="_Toc314842484"/>
      <w:bookmarkStart w:id="12" w:name="_Toc511209777"/>
      <w:r>
        <w:t>Product background</w:t>
      </w:r>
      <w:bookmarkEnd w:id="10"/>
      <w:bookmarkEnd w:id="11"/>
      <w:bookmarkEnd w:id="12"/>
    </w:p>
    <w:p w14:paraId="4FE91A59" w14:textId="77777777" w:rsidR="005B7270" w:rsidRDefault="00940A89" w:rsidP="005B7270">
      <w:r w:rsidRPr="00940A89">
        <w:t>This AusPAR describes the application by</w:t>
      </w:r>
      <w:r w:rsidR="005B7270">
        <w:t xml:space="preserve"> Seqirus Pty Ltd (</w:t>
      </w:r>
      <w:r w:rsidRPr="00940A89">
        <w:t>the sponsor</w:t>
      </w:r>
      <w:r w:rsidR="005B7270">
        <w:t>)</w:t>
      </w:r>
      <w:r w:rsidRPr="00940A89">
        <w:t xml:space="preserve"> to register </w:t>
      </w:r>
      <w:r w:rsidR="00090675">
        <w:t xml:space="preserve">Grazax </w:t>
      </w:r>
      <w:r w:rsidR="005B7270">
        <w:t>standardised allergen extract of grass pollen from</w:t>
      </w:r>
      <w:r w:rsidR="00090675">
        <w:t xml:space="preserve"> </w:t>
      </w:r>
      <w:r w:rsidR="005B7270">
        <w:t>Timothy grass (</w:t>
      </w:r>
      <w:r w:rsidR="002D7A68" w:rsidRPr="002D7A68">
        <w:rPr>
          <w:i/>
        </w:rPr>
        <w:t>Phleum pratense</w:t>
      </w:r>
      <w:r w:rsidR="005B7270">
        <w:t>) 75,000 SQ-T</w:t>
      </w:r>
      <w:r w:rsidR="00425CD4">
        <w:rPr>
          <w:rStyle w:val="FootnoteReference"/>
        </w:rPr>
        <w:footnoteReference w:id="2"/>
      </w:r>
      <w:r w:rsidR="002D7A68">
        <w:t xml:space="preserve"> oral lyophilisate tablets</w:t>
      </w:r>
      <w:r w:rsidR="005B7270">
        <w:t xml:space="preserve"> </w:t>
      </w:r>
      <w:r w:rsidRPr="00940A89">
        <w:t>for the following indication</w:t>
      </w:r>
      <w:r w:rsidR="005B7270">
        <w:t>:</w:t>
      </w:r>
    </w:p>
    <w:p w14:paraId="4FE91A5A" w14:textId="77777777" w:rsidR="005B7270" w:rsidRPr="004D6762" w:rsidRDefault="005B7270" w:rsidP="004D6762">
      <w:pPr>
        <w:ind w:left="720"/>
        <w:rPr>
          <w:i/>
        </w:rPr>
      </w:pPr>
      <w:r w:rsidRPr="004D6762">
        <w:rPr>
          <w:i/>
        </w:rPr>
        <w:t>G</w:t>
      </w:r>
      <w:r w:rsidR="00FA2591" w:rsidRPr="004D6762">
        <w:rPr>
          <w:i/>
        </w:rPr>
        <w:t>razax</w:t>
      </w:r>
      <w:r w:rsidRPr="004D6762">
        <w:rPr>
          <w:i/>
        </w:rPr>
        <w:t xml:space="preserve"> is allergy immunotherapy indicated for the treatment of grass pollen-induced allergic rhinitis with or without conjunctivitis.</w:t>
      </w:r>
    </w:p>
    <w:p w14:paraId="4FE91A5B" w14:textId="77777777" w:rsidR="005B7270" w:rsidRPr="004D6762" w:rsidRDefault="005B7270" w:rsidP="004D6762">
      <w:pPr>
        <w:ind w:left="720"/>
        <w:rPr>
          <w:i/>
        </w:rPr>
      </w:pPr>
      <w:r w:rsidRPr="004D6762">
        <w:rPr>
          <w:i/>
        </w:rPr>
        <w:lastRenderedPageBreak/>
        <w:t>G</w:t>
      </w:r>
      <w:r w:rsidR="00FA2591" w:rsidRPr="004D6762">
        <w:rPr>
          <w:i/>
        </w:rPr>
        <w:t>razax</w:t>
      </w:r>
      <w:r w:rsidRPr="004D6762">
        <w:rPr>
          <w:i/>
        </w:rPr>
        <w:t xml:space="preserve"> is indicated for disease-modifying treatment o</w:t>
      </w:r>
      <w:r w:rsidR="004D6762" w:rsidRPr="004D6762">
        <w:rPr>
          <w:i/>
        </w:rPr>
        <w:t xml:space="preserve">f grass pollen induced rhinitis </w:t>
      </w:r>
      <w:r w:rsidRPr="004D6762">
        <w:rPr>
          <w:i/>
        </w:rPr>
        <w:t>and conjunctivitis.</w:t>
      </w:r>
    </w:p>
    <w:p w14:paraId="4FE91A5C" w14:textId="77777777" w:rsidR="008E7846" w:rsidRPr="004D6762" w:rsidRDefault="005B7270" w:rsidP="004D6762">
      <w:pPr>
        <w:ind w:left="720"/>
        <w:rPr>
          <w:i/>
        </w:rPr>
      </w:pPr>
      <w:r w:rsidRPr="004D6762">
        <w:rPr>
          <w:i/>
        </w:rPr>
        <w:t>G</w:t>
      </w:r>
      <w:r w:rsidR="00FA2591" w:rsidRPr="004D6762">
        <w:rPr>
          <w:i/>
        </w:rPr>
        <w:t>razax</w:t>
      </w:r>
      <w:r w:rsidRPr="004D6762">
        <w:rPr>
          <w:i/>
        </w:rPr>
        <w:t xml:space="preserve"> is approved for use in persons aged 5 years or older.</w:t>
      </w:r>
      <w:r w:rsidR="00940A89" w:rsidRPr="004D6762">
        <w:rPr>
          <w:i/>
        </w:rPr>
        <w:t>’</w:t>
      </w:r>
    </w:p>
    <w:p w14:paraId="4FE91A5D" w14:textId="77777777" w:rsidR="002D7A68" w:rsidRDefault="002D7A68" w:rsidP="002D7A68">
      <w:r w:rsidRPr="00B33A38">
        <w:t>Allergy</w:t>
      </w:r>
      <w:r w:rsidRPr="00777853">
        <w:t xml:space="preserve"> to grass pollen is one of the most common inhalant allergies in the western worl</w:t>
      </w:r>
      <w:r>
        <w:t xml:space="preserve">d. </w:t>
      </w:r>
      <w:r w:rsidRPr="00777853">
        <w:t>Allergy immunotherapy (AIT) is a treatment option for allergy that is complementary to pharmacotherapy and with a distinct mechanism of action. AIT is p</w:t>
      </w:r>
      <w:r w:rsidR="00FA2591">
        <w:t>erformed by repeated sublingual</w:t>
      </w:r>
      <w:r w:rsidRPr="00777853">
        <w:t xml:space="preserve"> or subcutaneous administration of specific allergens to an allergic person in order to gradually induce immunological tolerance towards the allergens. The objective of AIT is thus to treat the underlying allergic disease resulting in clinical effect on all manifestations of the disease. AIT modulates the basic immunologic mechanism of the allergic disease and is the only known treatment option with the potential to provide long term, post-treatment benefits and alter the natural course of allergic disease.</w:t>
      </w:r>
    </w:p>
    <w:p w14:paraId="4FE91A5E" w14:textId="5435227F" w:rsidR="005479B1" w:rsidRDefault="002D7A68" w:rsidP="00940A89">
      <w:r w:rsidRPr="006E59F9">
        <w:t xml:space="preserve">Grazax </w:t>
      </w:r>
      <w:r>
        <w:t>allergen extract</w:t>
      </w:r>
      <w:r w:rsidRPr="006E59F9">
        <w:t xml:space="preserve"> is </w:t>
      </w:r>
      <w:r w:rsidR="00605252">
        <w:t>a</w:t>
      </w:r>
      <w:r w:rsidRPr="006E59F9">
        <w:t xml:space="preserve"> complex biological mixture derived from the pollen of Timothy grass (</w:t>
      </w:r>
      <w:r w:rsidRPr="002D7A68">
        <w:rPr>
          <w:i/>
        </w:rPr>
        <w:t>Phleum pratense</w:t>
      </w:r>
      <w:r w:rsidRPr="006E59F9">
        <w:t>)</w:t>
      </w:r>
      <w:r>
        <w:t xml:space="preserve">. </w:t>
      </w:r>
      <w:r w:rsidR="00FA2591" w:rsidRPr="006D54CD">
        <w:t>Timothy grass (</w:t>
      </w:r>
      <w:r w:rsidR="00FA2591" w:rsidRPr="002D7A68">
        <w:rPr>
          <w:i/>
        </w:rPr>
        <w:t>Phleum pratense</w:t>
      </w:r>
      <w:r w:rsidR="00FA2591" w:rsidRPr="006D54CD">
        <w:t xml:space="preserve">) is a member of the </w:t>
      </w:r>
      <w:proofErr w:type="spellStart"/>
      <w:r w:rsidR="00FA2591" w:rsidRPr="006D54CD">
        <w:t>pooideae</w:t>
      </w:r>
      <w:proofErr w:type="spellEnd"/>
      <w:r w:rsidR="00FA2591" w:rsidRPr="006D54CD">
        <w:t xml:space="preserve"> family, closely related to ryegrass and other common allergenic grasses known as the temperate grasses.</w:t>
      </w:r>
      <w:r w:rsidR="00FA2591">
        <w:t xml:space="preserve"> It is not closely related to the subtropical and tropical grasses. </w:t>
      </w:r>
      <w:r>
        <w:t>It</w:t>
      </w:r>
      <w:r w:rsidRPr="006E59F9">
        <w:t xml:space="preserve"> is immunologically standard</w:t>
      </w:r>
      <w:r w:rsidR="004A7F98">
        <w:t>is</w:t>
      </w:r>
      <w:r w:rsidRPr="006E59F9">
        <w:t xml:space="preserve">ed on the basis of two of the major Timothy grass pollen allergens </w:t>
      </w:r>
      <w:r w:rsidR="00605252">
        <w:t>and the</w:t>
      </w:r>
      <w:r>
        <w:t xml:space="preserve"> </w:t>
      </w:r>
      <w:r w:rsidRPr="006E59F9">
        <w:t xml:space="preserve">“standard quality” units [SQ-T]) is ultimately </w:t>
      </w:r>
      <w:r>
        <w:t>standard</w:t>
      </w:r>
      <w:r w:rsidR="004A7F98">
        <w:t>is</w:t>
      </w:r>
      <w:r>
        <w:t xml:space="preserve">ed on </w:t>
      </w:r>
      <w:r w:rsidRPr="006E59F9">
        <w:t>human clinical desensit</w:t>
      </w:r>
      <w:r w:rsidR="004A7F98">
        <w:t>is</w:t>
      </w:r>
      <w:r w:rsidRPr="006E59F9">
        <w:t>ation efficacy</w:t>
      </w:r>
      <w:r w:rsidR="005479B1">
        <w:t>.</w:t>
      </w:r>
    </w:p>
    <w:p w14:paraId="4FE91A5F" w14:textId="77777777" w:rsidR="00605252" w:rsidRDefault="00605252" w:rsidP="00940A89">
      <w:r>
        <w:t>Grazax is presented as an oral lyophilisate tablet for once daily use.</w:t>
      </w:r>
    </w:p>
    <w:p w14:paraId="4FE91A60" w14:textId="77777777" w:rsidR="008E7846" w:rsidRPr="003F31A2" w:rsidRDefault="00386150" w:rsidP="008E7846">
      <w:pPr>
        <w:pStyle w:val="Heading3"/>
      </w:pPr>
      <w:bookmarkStart w:id="13" w:name="_Toc314842485"/>
      <w:bookmarkStart w:id="14" w:name="_Toc247691504"/>
      <w:bookmarkStart w:id="15" w:name="_Toc511209778"/>
      <w:r>
        <w:t>Regulatory s</w:t>
      </w:r>
      <w:r w:rsidR="008E7846">
        <w:t>tatus</w:t>
      </w:r>
      <w:bookmarkEnd w:id="13"/>
      <w:bookmarkEnd w:id="14"/>
      <w:bookmarkEnd w:id="15"/>
    </w:p>
    <w:p w14:paraId="4FE91A61" w14:textId="77777777" w:rsidR="00940A89" w:rsidRDefault="00940A89" w:rsidP="00940A89">
      <w:bookmarkStart w:id="16" w:name="_Toc247691505"/>
      <w:bookmarkStart w:id="17" w:name="_Toc314842486"/>
      <w:r w:rsidRPr="00940A89">
        <w:t>The product received initial registration on the Australian Register</w:t>
      </w:r>
      <w:r w:rsidR="002D7A68">
        <w:t xml:space="preserve"> of Therapeuti</w:t>
      </w:r>
      <w:r w:rsidR="00605252">
        <w:t xml:space="preserve">c Goods (ARTG) on 7 </w:t>
      </w:r>
      <w:r w:rsidR="00EB112B">
        <w:t>March</w:t>
      </w:r>
      <w:r w:rsidR="00605252">
        <w:t xml:space="preserve"> 2017.</w:t>
      </w:r>
    </w:p>
    <w:p w14:paraId="4FE91A62" w14:textId="77777777" w:rsidR="00605252" w:rsidRPr="00605252" w:rsidRDefault="00605252" w:rsidP="00940A89">
      <w:r>
        <w:t xml:space="preserve">There are several other products on the market in Australia which include extracts from </w:t>
      </w:r>
      <w:r w:rsidRPr="002D7A68">
        <w:rPr>
          <w:i/>
        </w:rPr>
        <w:t>Phleum pratense</w:t>
      </w:r>
      <w:r>
        <w:rPr>
          <w:i/>
        </w:rPr>
        <w:t xml:space="preserve">, </w:t>
      </w:r>
      <w:r>
        <w:t>including subcutaneous injection (Pollen allergen liquid extract timothy grass ARTG 32623) and sublingual tablets (Oralair, sublingual treatment (allergen pollen extract of 5 grasses) ARTG 167565 and 167566).</w:t>
      </w:r>
    </w:p>
    <w:p w14:paraId="4FE91A63" w14:textId="77777777" w:rsidR="00605252" w:rsidRPr="0086394A" w:rsidRDefault="00605252" w:rsidP="00605252">
      <w:r w:rsidRPr="0086394A">
        <w:t>G</w:t>
      </w:r>
      <w:r w:rsidR="00FA2591" w:rsidRPr="0086394A">
        <w:t>razax</w:t>
      </w:r>
      <w:r w:rsidRPr="0086394A">
        <w:t xml:space="preserve"> is the approved trade name in the </w:t>
      </w:r>
      <w:r w:rsidR="00FA2591" w:rsidRPr="0086394A">
        <w:t xml:space="preserve">European Union </w:t>
      </w:r>
      <w:r w:rsidR="00FA2591">
        <w:t>(</w:t>
      </w:r>
      <w:r w:rsidRPr="0086394A">
        <w:t>EU</w:t>
      </w:r>
      <w:r w:rsidR="00FA2591">
        <w:t>)</w:t>
      </w:r>
      <w:r w:rsidRPr="0086394A">
        <w:t>. In the US, the approved trade name is G</w:t>
      </w:r>
      <w:r w:rsidR="00FA2591" w:rsidRPr="0086394A">
        <w:t>rastek</w:t>
      </w:r>
      <w:r w:rsidRPr="0086394A">
        <w:t>. With the exception of trade nam</w:t>
      </w:r>
      <w:r w:rsidR="00FA2591">
        <w:t>e, both products are identical.</w:t>
      </w:r>
    </w:p>
    <w:p w14:paraId="4FE91A64" w14:textId="77777777" w:rsidR="00605252" w:rsidRPr="0086394A" w:rsidRDefault="00605252" w:rsidP="00605252">
      <w:r w:rsidRPr="0086394A">
        <w:t>The product was approved in many European countries in 2006/2007. The product was registered in 2006/2007 but withdrawn from the market in 2013 for commercial reasons in the following countries: Bulgaria, Estonia, Hungary, Latvia, Lithuania, Malta, Cyprus, and Romania. A submission was made in Russia in May 2014 and is still pending. No submissi</w:t>
      </w:r>
      <w:r>
        <w:t>on has been filed in Singapore.</w:t>
      </w:r>
    </w:p>
    <w:p w14:paraId="4FE91A65" w14:textId="77777777" w:rsidR="00605252" w:rsidRDefault="00605252" w:rsidP="00605252">
      <w:r w:rsidRPr="0086394A">
        <w:t xml:space="preserve">The indications approved in the European Union, the USA, and Canada </w:t>
      </w:r>
      <w:proofErr w:type="gramStart"/>
      <w:r w:rsidRPr="0086394A">
        <w:t>are</w:t>
      </w:r>
      <w:proofErr w:type="gramEnd"/>
      <w:r w:rsidRPr="0086394A">
        <w:t xml:space="preserve"> presented in </w:t>
      </w:r>
      <w:r w:rsidR="00FA2591">
        <w:t>T</w:t>
      </w:r>
      <w:r w:rsidRPr="0086394A">
        <w:t xml:space="preserve">able </w:t>
      </w:r>
      <w:r w:rsidR="00FA2591">
        <w:t>1</w:t>
      </w:r>
      <w:r w:rsidRPr="0086394A">
        <w:t>.</w:t>
      </w:r>
    </w:p>
    <w:p w14:paraId="4FE91A66" w14:textId="77777777" w:rsidR="00FA2591" w:rsidRPr="0086394A" w:rsidRDefault="00FA2591" w:rsidP="00FA2591">
      <w:pPr>
        <w:pStyle w:val="Tabletitle0"/>
      </w:pPr>
      <w:r>
        <w:lastRenderedPageBreak/>
        <w:t>Table 1: Approved indications for Grazax/Grastek in EU, USA and Canada</w:t>
      </w:r>
    </w:p>
    <w:tbl>
      <w:tblPr>
        <w:tblStyle w:val="TableTGAblue"/>
        <w:tblW w:w="4826" w:type="pct"/>
        <w:tblLayout w:type="fixed"/>
        <w:tblLook w:val="0020" w:firstRow="1" w:lastRow="0" w:firstColumn="0" w:lastColumn="0" w:noHBand="0" w:noVBand="0"/>
        <w:tblDescription w:val="Table 1 is a list of approved indications for Grazax/Grastek in EU, USA and Canada"/>
      </w:tblPr>
      <w:tblGrid>
        <w:gridCol w:w="1426"/>
        <w:gridCol w:w="1365"/>
        <w:gridCol w:w="5626"/>
      </w:tblGrid>
      <w:tr w:rsidR="00605252" w:rsidRPr="0034390F" w14:paraId="4FE91A6A" w14:textId="77777777" w:rsidTr="00605252">
        <w:trPr>
          <w:cnfStyle w:val="100000000000" w:firstRow="1" w:lastRow="0" w:firstColumn="0" w:lastColumn="0" w:oddVBand="0" w:evenVBand="0" w:oddHBand="0" w:evenHBand="0" w:firstRowFirstColumn="0" w:firstRowLastColumn="0" w:lastRowFirstColumn="0" w:lastRowLastColumn="0"/>
          <w:trHeight w:hRule="exact" w:val="1014"/>
        </w:trPr>
        <w:tc>
          <w:tcPr>
            <w:tcW w:w="847" w:type="pct"/>
          </w:tcPr>
          <w:p w14:paraId="4FE91A67" w14:textId="77777777" w:rsidR="00605252" w:rsidRPr="0034390F" w:rsidRDefault="00605252" w:rsidP="004A7F98">
            <w:pPr>
              <w:ind w:left="0" w:right="0"/>
              <w:rPr>
                <w:sz w:val="20"/>
                <w:szCs w:val="20"/>
              </w:rPr>
            </w:pPr>
            <w:r w:rsidRPr="0034390F">
              <w:rPr>
                <w:sz w:val="20"/>
                <w:szCs w:val="20"/>
              </w:rPr>
              <w:t>Country/ Region</w:t>
            </w:r>
          </w:p>
        </w:tc>
        <w:tc>
          <w:tcPr>
            <w:tcW w:w="811" w:type="pct"/>
          </w:tcPr>
          <w:p w14:paraId="4FE91A68" w14:textId="77777777" w:rsidR="00605252" w:rsidRPr="0034390F" w:rsidRDefault="00605252" w:rsidP="004A7F98">
            <w:pPr>
              <w:ind w:left="0" w:right="0"/>
              <w:rPr>
                <w:sz w:val="20"/>
                <w:szCs w:val="20"/>
              </w:rPr>
            </w:pPr>
            <w:r w:rsidRPr="0034390F">
              <w:rPr>
                <w:sz w:val="20"/>
                <w:szCs w:val="20"/>
              </w:rPr>
              <w:t>Submission date</w:t>
            </w:r>
          </w:p>
        </w:tc>
        <w:tc>
          <w:tcPr>
            <w:tcW w:w="3342" w:type="pct"/>
          </w:tcPr>
          <w:p w14:paraId="4FE91A69" w14:textId="77777777" w:rsidR="00605252" w:rsidRPr="0034390F" w:rsidRDefault="00FA2591" w:rsidP="00FA2591">
            <w:pPr>
              <w:ind w:left="0" w:right="0"/>
              <w:rPr>
                <w:sz w:val="20"/>
                <w:szCs w:val="20"/>
              </w:rPr>
            </w:pPr>
            <w:r>
              <w:rPr>
                <w:sz w:val="20"/>
                <w:szCs w:val="20"/>
              </w:rPr>
              <w:t>Indications</w:t>
            </w:r>
          </w:p>
        </w:tc>
      </w:tr>
      <w:tr w:rsidR="00605252" w:rsidRPr="0034390F" w14:paraId="4FE91A72" w14:textId="77777777" w:rsidTr="00605252">
        <w:trPr>
          <w:trHeight w:hRule="exact" w:val="2271"/>
        </w:trPr>
        <w:tc>
          <w:tcPr>
            <w:tcW w:w="847" w:type="pct"/>
          </w:tcPr>
          <w:p w14:paraId="4FE91A6B" w14:textId="77777777" w:rsidR="00605252" w:rsidRPr="0034390F" w:rsidRDefault="00605252" w:rsidP="004A7F98">
            <w:pPr>
              <w:ind w:left="0" w:right="0"/>
              <w:rPr>
                <w:sz w:val="20"/>
                <w:szCs w:val="20"/>
              </w:rPr>
            </w:pPr>
            <w:r w:rsidRPr="0034390F">
              <w:rPr>
                <w:sz w:val="20"/>
                <w:szCs w:val="20"/>
              </w:rPr>
              <w:t>European</w:t>
            </w:r>
          </w:p>
          <w:p w14:paraId="4FE91A6C" w14:textId="77777777" w:rsidR="00605252" w:rsidRDefault="00605252" w:rsidP="004A7F98">
            <w:pPr>
              <w:ind w:left="0" w:right="0"/>
              <w:rPr>
                <w:sz w:val="20"/>
                <w:szCs w:val="20"/>
              </w:rPr>
            </w:pPr>
            <w:r w:rsidRPr="0034390F">
              <w:rPr>
                <w:sz w:val="20"/>
                <w:szCs w:val="20"/>
              </w:rPr>
              <w:t>Union (EU)</w:t>
            </w:r>
          </w:p>
          <w:p w14:paraId="4FE91A6D" w14:textId="77777777" w:rsidR="00605252" w:rsidRPr="0034390F" w:rsidRDefault="00605252" w:rsidP="004A7F98">
            <w:pPr>
              <w:ind w:left="0" w:right="0"/>
              <w:rPr>
                <w:sz w:val="20"/>
                <w:szCs w:val="20"/>
              </w:rPr>
            </w:pPr>
            <w:r w:rsidRPr="0034390F">
              <w:rPr>
                <w:sz w:val="20"/>
                <w:szCs w:val="20"/>
              </w:rPr>
              <w:t>Mutual Recognition Procedure (MRP)</w:t>
            </w:r>
          </w:p>
        </w:tc>
        <w:tc>
          <w:tcPr>
            <w:tcW w:w="811" w:type="pct"/>
          </w:tcPr>
          <w:p w14:paraId="4FE91A6E" w14:textId="77777777" w:rsidR="00605252" w:rsidRPr="0034390F" w:rsidRDefault="00605252" w:rsidP="004A7F98">
            <w:pPr>
              <w:ind w:left="0" w:right="0"/>
              <w:rPr>
                <w:sz w:val="20"/>
                <w:szCs w:val="20"/>
              </w:rPr>
            </w:pPr>
            <w:r w:rsidRPr="0034390F">
              <w:rPr>
                <w:sz w:val="20"/>
                <w:szCs w:val="20"/>
              </w:rPr>
              <w:t>07 Apr 2006</w:t>
            </w:r>
          </w:p>
        </w:tc>
        <w:tc>
          <w:tcPr>
            <w:tcW w:w="3342" w:type="pct"/>
          </w:tcPr>
          <w:p w14:paraId="4FE91A6F" w14:textId="77777777" w:rsidR="00605252" w:rsidRPr="0034390F" w:rsidRDefault="00FA2591" w:rsidP="004A7F98">
            <w:pPr>
              <w:ind w:left="0" w:right="0"/>
              <w:rPr>
                <w:sz w:val="20"/>
                <w:szCs w:val="20"/>
              </w:rPr>
            </w:pPr>
            <w:r>
              <w:rPr>
                <w:sz w:val="20"/>
                <w:szCs w:val="20"/>
              </w:rPr>
              <w:t>(Approved</w:t>
            </w:r>
            <w:r w:rsidR="00605252" w:rsidRPr="0034390F">
              <w:rPr>
                <w:sz w:val="20"/>
                <w:szCs w:val="20"/>
              </w:rPr>
              <w:t xml:space="preserve"> 25 </w:t>
            </w:r>
            <w:r w:rsidR="00093D6B">
              <w:rPr>
                <w:sz w:val="20"/>
                <w:szCs w:val="20"/>
              </w:rPr>
              <w:t>September</w:t>
            </w:r>
            <w:r w:rsidR="00605252" w:rsidRPr="0034390F">
              <w:rPr>
                <w:sz w:val="20"/>
                <w:szCs w:val="20"/>
              </w:rPr>
              <w:t xml:space="preserve"> 2006)</w:t>
            </w:r>
          </w:p>
          <w:p w14:paraId="4FE91A70" w14:textId="77777777" w:rsidR="00605252" w:rsidRPr="0034390F" w:rsidRDefault="00605252" w:rsidP="004A7F98">
            <w:pPr>
              <w:ind w:left="0" w:right="0"/>
              <w:rPr>
                <w:sz w:val="20"/>
                <w:szCs w:val="20"/>
              </w:rPr>
            </w:pPr>
            <w:r w:rsidRPr="0034390F">
              <w:rPr>
                <w:sz w:val="20"/>
                <w:szCs w:val="20"/>
              </w:rPr>
              <w:t xml:space="preserve">Disease-modifying treatment of grass pollen induced rhinitis and conjunctivitis in adults and children (5 years or older), with clinically relevant symptoms and diagnosed with a positive skin prick test and/or specific </w:t>
            </w:r>
            <w:proofErr w:type="spellStart"/>
            <w:r w:rsidRPr="0034390F">
              <w:rPr>
                <w:sz w:val="20"/>
                <w:szCs w:val="20"/>
              </w:rPr>
              <w:t>IgE</w:t>
            </w:r>
            <w:proofErr w:type="spellEnd"/>
            <w:r w:rsidRPr="0034390F">
              <w:rPr>
                <w:sz w:val="20"/>
                <w:szCs w:val="20"/>
              </w:rPr>
              <w:t xml:space="preserve"> test to grass pollen.</w:t>
            </w:r>
          </w:p>
          <w:p w14:paraId="4FE91A71" w14:textId="77777777" w:rsidR="00605252" w:rsidRPr="0034390F" w:rsidRDefault="00605252" w:rsidP="004A7F98">
            <w:pPr>
              <w:ind w:left="0" w:right="0"/>
              <w:rPr>
                <w:sz w:val="20"/>
                <w:szCs w:val="20"/>
              </w:rPr>
            </w:pPr>
            <w:r w:rsidRPr="0034390F">
              <w:rPr>
                <w:sz w:val="20"/>
                <w:szCs w:val="20"/>
              </w:rPr>
              <w:t>Children should be carefully selected for treatment.</w:t>
            </w:r>
          </w:p>
        </w:tc>
      </w:tr>
      <w:tr w:rsidR="00605252" w:rsidRPr="0034390F" w14:paraId="4FE91A77" w14:textId="77777777" w:rsidTr="00605252">
        <w:trPr>
          <w:trHeight w:hRule="exact" w:val="2389"/>
        </w:trPr>
        <w:tc>
          <w:tcPr>
            <w:tcW w:w="847" w:type="pct"/>
          </w:tcPr>
          <w:p w14:paraId="4FE91A73" w14:textId="77777777" w:rsidR="00605252" w:rsidRPr="0034390F" w:rsidRDefault="00605252" w:rsidP="004A7F98">
            <w:pPr>
              <w:ind w:left="0" w:right="0"/>
              <w:rPr>
                <w:sz w:val="20"/>
                <w:szCs w:val="20"/>
              </w:rPr>
            </w:pPr>
            <w:r w:rsidRPr="0034390F">
              <w:rPr>
                <w:sz w:val="20"/>
                <w:szCs w:val="20"/>
              </w:rPr>
              <w:t>USA</w:t>
            </w:r>
          </w:p>
        </w:tc>
        <w:tc>
          <w:tcPr>
            <w:tcW w:w="811" w:type="pct"/>
          </w:tcPr>
          <w:p w14:paraId="4FE91A74" w14:textId="77777777" w:rsidR="00605252" w:rsidRPr="0034390F" w:rsidRDefault="00605252" w:rsidP="004A7F98">
            <w:pPr>
              <w:ind w:left="0" w:right="0"/>
              <w:rPr>
                <w:sz w:val="20"/>
                <w:szCs w:val="20"/>
              </w:rPr>
            </w:pPr>
            <w:r w:rsidRPr="0034390F">
              <w:rPr>
                <w:sz w:val="20"/>
                <w:szCs w:val="20"/>
              </w:rPr>
              <w:t>25 Jan 2013</w:t>
            </w:r>
          </w:p>
        </w:tc>
        <w:tc>
          <w:tcPr>
            <w:tcW w:w="3342" w:type="pct"/>
          </w:tcPr>
          <w:p w14:paraId="4FE91A75" w14:textId="77777777" w:rsidR="00605252" w:rsidRPr="0034390F" w:rsidRDefault="00FA2591" w:rsidP="004A7F98">
            <w:pPr>
              <w:ind w:left="0" w:right="0"/>
              <w:rPr>
                <w:sz w:val="20"/>
                <w:szCs w:val="20"/>
              </w:rPr>
            </w:pPr>
            <w:r>
              <w:rPr>
                <w:sz w:val="20"/>
                <w:szCs w:val="20"/>
              </w:rPr>
              <w:t>(Approved</w:t>
            </w:r>
            <w:r w:rsidR="00605252" w:rsidRPr="0034390F">
              <w:rPr>
                <w:sz w:val="20"/>
                <w:szCs w:val="20"/>
              </w:rPr>
              <w:t xml:space="preserve"> 11 Apr 2014)</w:t>
            </w:r>
          </w:p>
          <w:p w14:paraId="4FE91A76" w14:textId="77777777" w:rsidR="00605252" w:rsidRPr="0034390F" w:rsidRDefault="00FA2591" w:rsidP="004A7F98">
            <w:pPr>
              <w:ind w:left="0" w:right="0"/>
              <w:rPr>
                <w:sz w:val="20"/>
                <w:szCs w:val="20"/>
              </w:rPr>
            </w:pPr>
            <w:r>
              <w:rPr>
                <w:sz w:val="20"/>
                <w:szCs w:val="20"/>
              </w:rPr>
              <w:t>Grastek</w:t>
            </w:r>
            <w:r w:rsidR="00605252" w:rsidRPr="0034390F">
              <w:rPr>
                <w:sz w:val="20"/>
                <w:szCs w:val="20"/>
              </w:rPr>
              <w:t xml:space="preserve"> is an allergen extract indicated as immunotherapy for the treatment of grass pollen-induced allergic rhinitis with or without conjunctivitis confirmed by positive skin test or in vitro testing for pollen-specific </w:t>
            </w:r>
            <w:proofErr w:type="spellStart"/>
            <w:r w:rsidR="00605252" w:rsidRPr="0034390F">
              <w:rPr>
                <w:sz w:val="20"/>
                <w:szCs w:val="20"/>
              </w:rPr>
              <w:t>IgE</w:t>
            </w:r>
            <w:proofErr w:type="spellEnd"/>
            <w:r w:rsidR="00605252" w:rsidRPr="0034390F">
              <w:rPr>
                <w:sz w:val="20"/>
                <w:szCs w:val="20"/>
              </w:rPr>
              <w:t xml:space="preserve"> antibodies for Timothy grass or cross-reactive grass pollens. </w:t>
            </w:r>
            <w:r>
              <w:rPr>
                <w:sz w:val="20"/>
                <w:szCs w:val="20"/>
              </w:rPr>
              <w:t>Grastek</w:t>
            </w:r>
            <w:r w:rsidR="00605252" w:rsidRPr="0034390F">
              <w:rPr>
                <w:sz w:val="20"/>
                <w:szCs w:val="20"/>
              </w:rPr>
              <w:t xml:space="preserve"> is approved for use in persons 5 through 65 years of age.</w:t>
            </w:r>
          </w:p>
        </w:tc>
      </w:tr>
      <w:tr w:rsidR="00605252" w:rsidRPr="0034390F" w14:paraId="4FE91A7E" w14:textId="77777777" w:rsidTr="00605252">
        <w:trPr>
          <w:trHeight w:hRule="exact" w:val="5403"/>
        </w:trPr>
        <w:tc>
          <w:tcPr>
            <w:tcW w:w="847" w:type="pct"/>
          </w:tcPr>
          <w:p w14:paraId="4FE91A78" w14:textId="77777777" w:rsidR="00605252" w:rsidRPr="0034390F" w:rsidRDefault="00FA2591" w:rsidP="004A7F98">
            <w:pPr>
              <w:ind w:left="0" w:right="0"/>
              <w:rPr>
                <w:sz w:val="20"/>
                <w:szCs w:val="20"/>
              </w:rPr>
            </w:pPr>
            <w:r>
              <w:rPr>
                <w:sz w:val="20"/>
                <w:szCs w:val="20"/>
              </w:rPr>
              <w:t>Canada</w:t>
            </w:r>
          </w:p>
        </w:tc>
        <w:tc>
          <w:tcPr>
            <w:tcW w:w="811" w:type="pct"/>
          </w:tcPr>
          <w:p w14:paraId="4FE91A79" w14:textId="77777777" w:rsidR="00605252" w:rsidRPr="0034390F" w:rsidRDefault="00605252" w:rsidP="004A7F98">
            <w:pPr>
              <w:ind w:left="0" w:right="0"/>
              <w:rPr>
                <w:sz w:val="20"/>
                <w:szCs w:val="20"/>
              </w:rPr>
            </w:pPr>
            <w:r w:rsidRPr="0034390F">
              <w:rPr>
                <w:sz w:val="20"/>
                <w:szCs w:val="20"/>
              </w:rPr>
              <w:t>30 Jun 2011</w:t>
            </w:r>
          </w:p>
        </w:tc>
        <w:tc>
          <w:tcPr>
            <w:tcW w:w="3342" w:type="pct"/>
          </w:tcPr>
          <w:p w14:paraId="4FE91A7A" w14:textId="77777777" w:rsidR="00605252" w:rsidRPr="0034390F" w:rsidRDefault="00FA2591" w:rsidP="004A7F98">
            <w:pPr>
              <w:ind w:left="0" w:right="0"/>
              <w:rPr>
                <w:sz w:val="20"/>
                <w:szCs w:val="20"/>
              </w:rPr>
            </w:pPr>
            <w:r>
              <w:rPr>
                <w:sz w:val="20"/>
                <w:szCs w:val="20"/>
              </w:rPr>
              <w:t>(Approved</w:t>
            </w:r>
            <w:r w:rsidR="00605252" w:rsidRPr="0034390F">
              <w:rPr>
                <w:sz w:val="20"/>
                <w:szCs w:val="20"/>
              </w:rPr>
              <w:t xml:space="preserve"> 12 Dec 2013)</w:t>
            </w:r>
          </w:p>
          <w:p w14:paraId="4FE91A7B" w14:textId="77777777" w:rsidR="00605252" w:rsidRPr="0034390F" w:rsidRDefault="00FA2591" w:rsidP="004A7F98">
            <w:pPr>
              <w:ind w:left="0" w:right="0"/>
              <w:rPr>
                <w:sz w:val="20"/>
                <w:szCs w:val="20"/>
              </w:rPr>
            </w:pPr>
            <w:r>
              <w:rPr>
                <w:sz w:val="20"/>
                <w:szCs w:val="20"/>
              </w:rPr>
              <w:t>Grastek</w:t>
            </w:r>
            <w:r w:rsidR="00605252" w:rsidRPr="0034390F">
              <w:rPr>
                <w:sz w:val="20"/>
                <w:szCs w:val="20"/>
              </w:rPr>
              <w:t xml:space="preserve"> (sublingual tablet of grass pollen extract) is indicated for reducing the signs and symptoms of moderate to severe seasonal Timothy and related grass pollen induced allergic rhinitis (with or without conjunctivitis) in adults and children 5 years of age and older confirmed by clinically relevant symptoms for at least two pollen seasons and a positive skin prick test and/or a positive titre to </w:t>
            </w:r>
            <w:proofErr w:type="spellStart"/>
            <w:r w:rsidR="00605252" w:rsidRPr="002D7A68">
              <w:rPr>
                <w:i/>
              </w:rPr>
              <w:t>Phleum</w:t>
            </w:r>
            <w:proofErr w:type="spellEnd"/>
            <w:r w:rsidR="00605252" w:rsidRPr="002D7A68">
              <w:rPr>
                <w:i/>
              </w:rPr>
              <w:t xml:space="preserve"> </w:t>
            </w:r>
            <w:proofErr w:type="spellStart"/>
            <w:r w:rsidR="00605252" w:rsidRPr="002D7A68">
              <w:rPr>
                <w:i/>
              </w:rPr>
              <w:t>pratense</w:t>
            </w:r>
            <w:proofErr w:type="spellEnd"/>
            <w:r w:rsidR="00605252" w:rsidRPr="0034390F">
              <w:rPr>
                <w:sz w:val="20"/>
                <w:szCs w:val="20"/>
              </w:rPr>
              <w:t xml:space="preserve"> specific </w:t>
            </w:r>
            <w:proofErr w:type="spellStart"/>
            <w:r w:rsidR="00605252" w:rsidRPr="0034390F">
              <w:rPr>
                <w:sz w:val="20"/>
                <w:szCs w:val="20"/>
              </w:rPr>
              <w:t>IgE</w:t>
            </w:r>
            <w:proofErr w:type="spellEnd"/>
            <w:r w:rsidR="00605252" w:rsidRPr="0034390F">
              <w:rPr>
                <w:sz w:val="20"/>
                <w:szCs w:val="20"/>
              </w:rPr>
              <w:t xml:space="preserve">; and who have responded inadequately, or are intolerant to conventional pharmacotherapy Treatment with </w:t>
            </w:r>
            <w:r>
              <w:rPr>
                <w:sz w:val="20"/>
                <w:szCs w:val="20"/>
              </w:rPr>
              <w:t>Grastek</w:t>
            </w:r>
            <w:r w:rsidR="00605252" w:rsidRPr="0034390F">
              <w:rPr>
                <w:sz w:val="20"/>
                <w:szCs w:val="20"/>
              </w:rPr>
              <w:t xml:space="preserve"> should only be prescribed and initiated by physicians with adequate training and experience in the treatment of respiratory allergic diseases. For </w:t>
            </w:r>
            <w:proofErr w:type="spellStart"/>
            <w:r w:rsidR="00605252" w:rsidRPr="0034390F">
              <w:rPr>
                <w:sz w:val="20"/>
                <w:szCs w:val="20"/>
              </w:rPr>
              <w:t>pediatric</w:t>
            </w:r>
            <w:proofErr w:type="spellEnd"/>
            <w:r w:rsidR="00605252" w:rsidRPr="0034390F">
              <w:rPr>
                <w:sz w:val="20"/>
                <w:szCs w:val="20"/>
              </w:rPr>
              <w:t xml:space="preserve"> patients, physicians should have the corresponding training and experience with children.</w:t>
            </w:r>
          </w:p>
          <w:p w14:paraId="4FE91A7C" w14:textId="77777777" w:rsidR="00605252" w:rsidRPr="0034390F" w:rsidRDefault="00605252" w:rsidP="004A7F98">
            <w:pPr>
              <w:ind w:left="0" w:right="0"/>
              <w:rPr>
                <w:sz w:val="20"/>
                <w:szCs w:val="20"/>
              </w:rPr>
            </w:pPr>
            <w:proofErr w:type="spellStart"/>
            <w:r w:rsidRPr="0034390F">
              <w:rPr>
                <w:sz w:val="20"/>
                <w:szCs w:val="20"/>
              </w:rPr>
              <w:t>Pediatrics</w:t>
            </w:r>
            <w:proofErr w:type="spellEnd"/>
            <w:r w:rsidRPr="0034390F">
              <w:rPr>
                <w:sz w:val="20"/>
                <w:szCs w:val="20"/>
              </w:rPr>
              <w:t xml:space="preserve"> (</w:t>
            </w:r>
            <w:r w:rsidR="004C74AA">
              <w:rPr>
                <w:sz w:val="20"/>
                <w:szCs w:val="20"/>
              </w:rPr>
              <w:t xml:space="preserve">&lt; </w:t>
            </w:r>
            <w:r w:rsidRPr="0034390F">
              <w:rPr>
                <w:sz w:val="20"/>
                <w:szCs w:val="20"/>
              </w:rPr>
              <w:t xml:space="preserve">5 years of age): Safety and efficacy in </w:t>
            </w:r>
            <w:proofErr w:type="spellStart"/>
            <w:r w:rsidRPr="0034390F">
              <w:rPr>
                <w:sz w:val="20"/>
                <w:szCs w:val="20"/>
              </w:rPr>
              <w:t>pediatric</w:t>
            </w:r>
            <w:proofErr w:type="spellEnd"/>
            <w:r w:rsidRPr="0034390F">
              <w:rPr>
                <w:sz w:val="20"/>
                <w:szCs w:val="20"/>
              </w:rPr>
              <w:t xml:space="preserve"> patients below 5 years of age have not been established.</w:t>
            </w:r>
          </w:p>
          <w:p w14:paraId="4FE91A7D" w14:textId="77777777" w:rsidR="00605252" w:rsidRPr="0034390F" w:rsidRDefault="00605252" w:rsidP="004A7F98">
            <w:pPr>
              <w:ind w:left="0" w:right="0"/>
              <w:rPr>
                <w:sz w:val="20"/>
                <w:szCs w:val="20"/>
              </w:rPr>
            </w:pPr>
            <w:r w:rsidRPr="0034390F">
              <w:rPr>
                <w:sz w:val="20"/>
                <w:szCs w:val="20"/>
              </w:rPr>
              <w:t>Geriatrics (</w:t>
            </w:r>
            <w:r w:rsidR="004C74AA">
              <w:rPr>
                <w:sz w:val="20"/>
                <w:szCs w:val="20"/>
              </w:rPr>
              <w:t xml:space="preserve">&gt; </w:t>
            </w:r>
            <w:r w:rsidRPr="0034390F">
              <w:rPr>
                <w:sz w:val="20"/>
                <w:szCs w:val="20"/>
              </w:rPr>
              <w:t xml:space="preserve">65 years of age): There is limited experience with </w:t>
            </w:r>
            <w:r w:rsidR="00FA2591">
              <w:rPr>
                <w:sz w:val="20"/>
                <w:szCs w:val="20"/>
              </w:rPr>
              <w:t>Grastek</w:t>
            </w:r>
            <w:r w:rsidRPr="0034390F">
              <w:rPr>
                <w:sz w:val="20"/>
                <w:szCs w:val="20"/>
              </w:rPr>
              <w:t xml:space="preserve"> in patients greater than 65 years of age (See WARNINGS AND PRECAUTIONS / Geriatrics).</w:t>
            </w:r>
          </w:p>
        </w:tc>
      </w:tr>
    </w:tbl>
    <w:p w14:paraId="4FE91A80" w14:textId="77777777" w:rsidR="008E7846" w:rsidRDefault="008E7846" w:rsidP="00940A89">
      <w:pPr>
        <w:pStyle w:val="Heading3"/>
      </w:pPr>
      <w:bookmarkStart w:id="18" w:name="_Toc511209779"/>
      <w:r>
        <w:t>Product Information</w:t>
      </w:r>
      <w:bookmarkEnd w:id="16"/>
      <w:bookmarkEnd w:id="17"/>
      <w:bookmarkEnd w:id="18"/>
    </w:p>
    <w:p w14:paraId="21201FF4" w14:textId="77777777" w:rsidR="00FE52E5" w:rsidRDefault="006136D7" w:rsidP="00940A89">
      <w:bookmarkStart w:id="19" w:name="_Toc247691506"/>
      <w:bookmarkStart w:id="20" w:name="_Toc314842487"/>
      <w:r w:rsidRPr="00940A89">
        <w:t xml:space="preserve">The Product Information (PI) </w:t>
      </w:r>
      <w:r>
        <w:t xml:space="preserve">approved with the submission which is described in </w:t>
      </w:r>
      <w:r w:rsidRPr="00940A89">
        <w:t xml:space="preserve">this AusPAR can be found as Attachment 1. For the most </w:t>
      </w:r>
      <w:hyperlink r:id="rId18" w:history="1">
        <w:r w:rsidRPr="00AC31A0">
          <w:rPr>
            <w:rStyle w:val="Hyperlink"/>
          </w:rPr>
          <w:t>recent PI</w:t>
        </w:r>
      </w:hyperlink>
      <w:r>
        <w:t>,</w:t>
      </w:r>
      <w:r w:rsidRPr="00940A89">
        <w:t xml:space="preserve"> ple</w:t>
      </w:r>
      <w:r>
        <w:t>ase refer to the TGA website</w:t>
      </w:r>
      <w:r w:rsidRPr="00441C3F">
        <w:t xml:space="preserve"> at </w:t>
      </w:r>
      <w:r w:rsidR="004C74AA">
        <w:t xml:space="preserve">&lt; </w:t>
      </w:r>
      <w:r w:rsidR="00441C3F" w:rsidRPr="00AC31A0">
        <w:t>https://www.tga.gov.au/product-information-pi</w:t>
      </w:r>
      <w:r w:rsidR="004C74AA">
        <w:t>&gt;</w:t>
      </w:r>
      <w:r w:rsidR="00FE52E5">
        <w:t>.</w:t>
      </w:r>
    </w:p>
    <w:p w14:paraId="3FAB6716" w14:textId="32F5F761" w:rsidR="004B00E9" w:rsidRDefault="004B00E9" w:rsidP="008E7846">
      <w:pPr>
        <w:pStyle w:val="Heading2"/>
        <w:ind w:left="-11"/>
      </w:pPr>
      <w:bookmarkStart w:id="21" w:name="_Toc511209780"/>
      <w:r>
        <w:lastRenderedPageBreak/>
        <w:t>II Registration timeline</w:t>
      </w:r>
      <w:bookmarkEnd w:id="21"/>
    </w:p>
    <w:p w14:paraId="5A24D95D" w14:textId="264C3E17" w:rsidR="004B00E9" w:rsidRDefault="004B00E9" w:rsidP="009B3C2A">
      <w:pPr>
        <w:pStyle w:val="Tabletitle0"/>
      </w:pPr>
      <w:r>
        <w:t>Table 2 Registration timeline</w:t>
      </w:r>
    </w:p>
    <w:tbl>
      <w:tblPr>
        <w:tblStyle w:val="TableTGAblue"/>
        <w:tblW w:w="0" w:type="auto"/>
        <w:tblLook w:val="04A0" w:firstRow="1" w:lastRow="0" w:firstColumn="1" w:lastColumn="0" w:noHBand="0" w:noVBand="1"/>
        <w:tblDescription w:val="Table 2 is a list of registration timelines"/>
      </w:tblPr>
      <w:tblGrid>
        <w:gridCol w:w="6487"/>
        <w:gridCol w:w="2233"/>
      </w:tblGrid>
      <w:tr w:rsidR="004B00E9" w:rsidRPr="00F45E5A" w14:paraId="007057B7" w14:textId="77777777" w:rsidTr="009B3C2A">
        <w:trPr>
          <w:cnfStyle w:val="100000000000" w:firstRow="1" w:lastRow="0" w:firstColumn="0" w:lastColumn="0" w:oddVBand="0" w:evenVBand="0" w:oddHBand="0" w:evenHBand="0" w:firstRowFirstColumn="0" w:firstRowLastColumn="0" w:lastRowFirstColumn="0" w:lastRowLastColumn="0"/>
        </w:trPr>
        <w:tc>
          <w:tcPr>
            <w:tcW w:w="6487" w:type="dxa"/>
            <w:hideMark/>
          </w:tcPr>
          <w:p w14:paraId="4A064D83" w14:textId="77777777" w:rsidR="004B00E9" w:rsidRPr="009B3C2A" w:rsidRDefault="004B00E9" w:rsidP="009B3C2A">
            <w:pPr>
              <w:rPr>
                <w:sz w:val="20"/>
                <w:szCs w:val="20"/>
              </w:rPr>
            </w:pPr>
            <w:r w:rsidRPr="009B3C2A">
              <w:rPr>
                <w:sz w:val="20"/>
                <w:szCs w:val="20"/>
              </w:rPr>
              <w:t>Description</w:t>
            </w:r>
          </w:p>
        </w:tc>
        <w:tc>
          <w:tcPr>
            <w:tcW w:w="2233" w:type="dxa"/>
            <w:hideMark/>
          </w:tcPr>
          <w:p w14:paraId="6ED870E8" w14:textId="77777777" w:rsidR="004B00E9" w:rsidRPr="009B3C2A" w:rsidRDefault="004B00E9" w:rsidP="009B3C2A">
            <w:pPr>
              <w:rPr>
                <w:sz w:val="20"/>
                <w:szCs w:val="20"/>
              </w:rPr>
            </w:pPr>
            <w:r w:rsidRPr="009B3C2A">
              <w:rPr>
                <w:sz w:val="20"/>
                <w:szCs w:val="20"/>
              </w:rPr>
              <w:t>Date</w:t>
            </w:r>
          </w:p>
        </w:tc>
      </w:tr>
      <w:tr w:rsidR="004B00E9" w:rsidRPr="00F45E5A" w14:paraId="01628998" w14:textId="77777777" w:rsidTr="009B3C2A">
        <w:tc>
          <w:tcPr>
            <w:tcW w:w="6487"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0E1BC74" w14:textId="77777777" w:rsidR="004B00E9" w:rsidRPr="009B3C2A" w:rsidRDefault="004B00E9" w:rsidP="009B3C2A">
            <w:pPr>
              <w:rPr>
                <w:sz w:val="20"/>
                <w:szCs w:val="20"/>
              </w:rPr>
            </w:pPr>
            <w:r w:rsidRPr="009B3C2A">
              <w:rPr>
                <w:sz w:val="20"/>
                <w:szCs w:val="20"/>
              </w:rPr>
              <w:t>Submission dossier accepted and 1st round evaluation commenced</w:t>
            </w:r>
          </w:p>
        </w:tc>
        <w:tc>
          <w:tcPr>
            <w:tcW w:w="2233"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F079818" w14:textId="24A50960" w:rsidR="004B00E9" w:rsidRPr="009B3C2A" w:rsidRDefault="00500CC2" w:rsidP="009B3C2A">
            <w:pPr>
              <w:rPr>
                <w:sz w:val="20"/>
                <w:szCs w:val="20"/>
              </w:rPr>
            </w:pPr>
            <w:r w:rsidRPr="009B3C2A">
              <w:rPr>
                <w:sz w:val="20"/>
                <w:szCs w:val="20"/>
              </w:rPr>
              <w:t>29 January 2016</w:t>
            </w:r>
          </w:p>
        </w:tc>
      </w:tr>
      <w:tr w:rsidR="004B00E9" w:rsidRPr="00F45E5A" w14:paraId="0F0D7AA5" w14:textId="77777777" w:rsidTr="009B3C2A">
        <w:tc>
          <w:tcPr>
            <w:tcW w:w="6487"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C453A86" w14:textId="77777777" w:rsidR="004B00E9" w:rsidRPr="009B3C2A" w:rsidRDefault="004B00E9" w:rsidP="009B3C2A">
            <w:pPr>
              <w:rPr>
                <w:sz w:val="20"/>
                <w:szCs w:val="20"/>
              </w:rPr>
            </w:pPr>
            <w:r w:rsidRPr="009B3C2A">
              <w:rPr>
                <w:sz w:val="20"/>
                <w:szCs w:val="20"/>
              </w:rPr>
              <w:t>1st round evaluation completed</w:t>
            </w:r>
          </w:p>
        </w:tc>
        <w:tc>
          <w:tcPr>
            <w:tcW w:w="2233"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6E30A43" w14:textId="6A6570B4" w:rsidR="004B00E9" w:rsidRPr="009B3C2A" w:rsidRDefault="00500CC2" w:rsidP="009B3C2A">
            <w:pPr>
              <w:rPr>
                <w:sz w:val="20"/>
                <w:szCs w:val="20"/>
              </w:rPr>
            </w:pPr>
            <w:r w:rsidRPr="009B3C2A">
              <w:rPr>
                <w:sz w:val="20"/>
                <w:szCs w:val="20"/>
              </w:rPr>
              <w:t>8 July 2016</w:t>
            </w:r>
          </w:p>
        </w:tc>
      </w:tr>
      <w:tr w:rsidR="004B00E9" w:rsidRPr="00F45E5A" w14:paraId="76468B45" w14:textId="77777777" w:rsidTr="009B3C2A">
        <w:tc>
          <w:tcPr>
            <w:tcW w:w="6487"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326B84D" w14:textId="77777777" w:rsidR="004B00E9" w:rsidRPr="009B3C2A" w:rsidRDefault="004B00E9" w:rsidP="009B3C2A">
            <w:pPr>
              <w:rPr>
                <w:sz w:val="20"/>
                <w:szCs w:val="20"/>
              </w:rPr>
            </w:pPr>
            <w:r w:rsidRPr="009B3C2A">
              <w:rPr>
                <w:sz w:val="20"/>
                <w:szCs w:val="20"/>
              </w:rPr>
              <w:t>Sponsor provides responses on questions raised in 1st round evaluation</w:t>
            </w:r>
          </w:p>
        </w:tc>
        <w:tc>
          <w:tcPr>
            <w:tcW w:w="2233"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F7929D4" w14:textId="50A19882" w:rsidR="004B00E9" w:rsidRPr="009B3C2A" w:rsidRDefault="00500CC2" w:rsidP="009B3C2A">
            <w:pPr>
              <w:rPr>
                <w:sz w:val="20"/>
                <w:szCs w:val="20"/>
              </w:rPr>
            </w:pPr>
            <w:r w:rsidRPr="009B3C2A">
              <w:rPr>
                <w:sz w:val="20"/>
                <w:szCs w:val="20"/>
              </w:rPr>
              <w:t>31 August 2016</w:t>
            </w:r>
          </w:p>
        </w:tc>
      </w:tr>
      <w:tr w:rsidR="004B00E9" w:rsidRPr="00F45E5A" w14:paraId="7497CAD2" w14:textId="77777777" w:rsidTr="009B3C2A">
        <w:tc>
          <w:tcPr>
            <w:tcW w:w="6487"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B59CD6E" w14:textId="77777777" w:rsidR="004B00E9" w:rsidRPr="009B3C2A" w:rsidRDefault="004B00E9" w:rsidP="009B3C2A">
            <w:pPr>
              <w:rPr>
                <w:sz w:val="20"/>
                <w:szCs w:val="20"/>
              </w:rPr>
            </w:pPr>
            <w:r w:rsidRPr="009B3C2A">
              <w:rPr>
                <w:sz w:val="20"/>
                <w:szCs w:val="20"/>
              </w:rPr>
              <w:t>2nd round evaluation completed</w:t>
            </w:r>
          </w:p>
        </w:tc>
        <w:tc>
          <w:tcPr>
            <w:tcW w:w="2233"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F2AB614" w14:textId="62649B60" w:rsidR="004B00E9" w:rsidRPr="009B3C2A" w:rsidRDefault="00500CC2" w:rsidP="009B3C2A">
            <w:pPr>
              <w:rPr>
                <w:sz w:val="20"/>
                <w:szCs w:val="20"/>
              </w:rPr>
            </w:pPr>
            <w:r w:rsidRPr="009B3C2A">
              <w:rPr>
                <w:sz w:val="20"/>
                <w:szCs w:val="20"/>
              </w:rPr>
              <w:t>13 October 2016</w:t>
            </w:r>
          </w:p>
        </w:tc>
      </w:tr>
      <w:tr w:rsidR="004B00E9" w:rsidRPr="00F45E5A" w14:paraId="2848DF3D" w14:textId="77777777" w:rsidTr="009B3C2A">
        <w:tc>
          <w:tcPr>
            <w:tcW w:w="6487"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E4CC4E9" w14:textId="77777777" w:rsidR="004B00E9" w:rsidRPr="009B3C2A" w:rsidRDefault="004B00E9" w:rsidP="009B3C2A">
            <w:pPr>
              <w:rPr>
                <w:sz w:val="20"/>
                <w:szCs w:val="20"/>
              </w:rPr>
            </w:pPr>
            <w:r w:rsidRPr="009B3C2A">
              <w:rPr>
                <w:sz w:val="20"/>
                <w:szCs w:val="20"/>
              </w:rPr>
              <w:t>Delegate’s overall risk-benefit assessment and request for Advisory Committee advice</w:t>
            </w:r>
          </w:p>
        </w:tc>
        <w:tc>
          <w:tcPr>
            <w:tcW w:w="2233"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22B0AC4" w14:textId="6D42C667" w:rsidR="004B00E9" w:rsidRPr="009B3C2A" w:rsidRDefault="00500CC2" w:rsidP="009B3C2A">
            <w:pPr>
              <w:rPr>
                <w:sz w:val="20"/>
                <w:szCs w:val="20"/>
              </w:rPr>
            </w:pPr>
            <w:r w:rsidRPr="009B3C2A">
              <w:rPr>
                <w:sz w:val="20"/>
                <w:szCs w:val="20"/>
              </w:rPr>
              <w:t>1 November 2016</w:t>
            </w:r>
          </w:p>
        </w:tc>
      </w:tr>
      <w:tr w:rsidR="004B00E9" w:rsidRPr="00F45E5A" w14:paraId="517CA62B" w14:textId="77777777" w:rsidTr="009B3C2A">
        <w:tc>
          <w:tcPr>
            <w:tcW w:w="6487"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EA8FF6E" w14:textId="77777777" w:rsidR="004B00E9" w:rsidRPr="009B3C2A" w:rsidRDefault="004B00E9" w:rsidP="009B3C2A">
            <w:pPr>
              <w:rPr>
                <w:sz w:val="20"/>
                <w:szCs w:val="20"/>
              </w:rPr>
            </w:pPr>
            <w:r w:rsidRPr="009B3C2A">
              <w:rPr>
                <w:sz w:val="20"/>
                <w:szCs w:val="20"/>
              </w:rPr>
              <w:t>Sponsor’s pre-Advisory Committee meeting response</w:t>
            </w:r>
          </w:p>
        </w:tc>
        <w:tc>
          <w:tcPr>
            <w:tcW w:w="2233"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45BD164" w14:textId="35C26171" w:rsidR="004B00E9" w:rsidRPr="009B3C2A" w:rsidRDefault="00500CC2" w:rsidP="009B3C2A">
            <w:pPr>
              <w:rPr>
                <w:sz w:val="20"/>
                <w:szCs w:val="20"/>
              </w:rPr>
            </w:pPr>
            <w:r w:rsidRPr="009B3C2A">
              <w:rPr>
                <w:sz w:val="20"/>
                <w:szCs w:val="20"/>
              </w:rPr>
              <w:t>14 November 2016</w:t>
            </w:r>
          </w:p>
        </w:tc>
      </w:tr>
      <w:tr w:rsidR="004B00E9" w:rsidRPr="00F45E5A" w14:paraId="4A2A64F8" w14:textId="77777777" w:rsidTr="009B3C2A">
        <w:tc>
          <w:tcPr>
            <w:tcW w:w="6487"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5FFAC58" w14:textId="77777777" w:rsidR="004B00E9" w:rsidRPr="009B3C2A" w:rsidRDefault="004B00E9" w:rsidP="009B3C2A">
            <w:pPr>
              <w:rPr>
                <w:sz w:val="20"/>
                <w:szCs w:val="20"/>
              </w:rPr>
            </w:pPr>
            <w:r w:rsidRPr="009B3C2A">
              <w:rPr>
                <w:sz w:val="20"/>
                <w:szCs w:val="20"/>
              </w:rPr>
              <w:t>Advisory Committee meeting</w:t>
            </w:r>
          </w:p>
        </w:tc>
        <w:tc>
          <w:tcPr>
            <w:tcW w:w="2233"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C8374F3" w14:textId="7D2107D6" w:rsidR="004B00E9" w:rsidRPr="009B3C2A" w:rsidRDefault="00500CC2" w:rsidP="009B3C2A">
            <w:pPr>
              <w:rPr>
                <w:sz w:val="20"/>
                <w:szCs w:val="20"/>
              </w:rPr>
            </w:pPr>
            <w:r w:rsidRPr="009B3C2A">
              <w:rPr>
                <w:sz w:val="20"/>
                <w:szCs w:val="20"/>
              </w:rPr>
              <w:t>2 December 2016</w:t>
            </w:r>
          </w:p>
        </w:tc>
      </w:tr>
      <w:tr w:rsidR="004B00E9" w:rsidRPr="00F45E5A" w14:paraId="188D8BAC" w14:textId="77777777" w:rsidTr="009B3C2A">
        <w:tc>
          <w:tcPr>
            <w:tcW w:w="6487"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7705E00" w14:textId="77777777" w:rsidR="004B00E9" w:rsidRPr="009B3C2A" w:rsidRDefault="004B00E9" w:rsidP="009B3C2A">
            <w:pPr>
              <w:rPr>
                <w:sz w:val="20"/>
                <w:szCs w:val="20"/>
              </w:rPr>
            </w:pPr>
            <w:r w:rsidRPr="009B3C2A">
              <w:rPr>
                <w:sz w:val="20"/>
                <w:szCs w:val="20"/>
              </w:rPr>
              <w:t>Registration decision</w:t>
            </w:r>
          </w:p>
        </w:tc>
        <w:tc>
          <w:tcPr>
            <w:tcW w:w="2233"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CD31306" w14:textId="600E666C" w:rsidR="004B00E9" w:rsidRPr="009B3C2A" w:rsidRDefault="00500CC2" w:rsidP="009B3C2A">
            <w:pPr>
              <w:rPr>
                <w:sz w:val="20"/>
                <w:szCs w:val="20"/>
              </w:rPr>
            </w:pPr>
            <w:r w:rsidRPr="009B3C2A">
              <w:rPr>
                <w:sz w:val="20"/>
                <w:szCs w:val="20"/>
              </w:rPr>
              <w:t>24 February 2017</w:t>
            </w:r>
          </w:p>
        </w:tc>
      </w:tr>
      <w:tr w:rsidR="004B00E9" w:rsidRPr="00F45E5A" w14:paraId="2CBE0CB1" w14:textId="77777777" w:rsidTr="009B3C2A">
        <w:tc>
          <w:tcPr>
            <w:tcW w:w="6487"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9340BB2" w14:textId="77777777" w:rsidR="004B00E9" w:rsidRPr="009B3C2A" w:rsidRDefault="004B00E9" w:rsidP="009B3C2A">
            <w:pPr>
              <w:rPr>
                <w:sz w:val="20"/>
                <w:szCs w:val="20"/>
              </w:rPr>
            </w:pPr>
            <w:r w:rsidRPr="009B3C2A">
              <w:rPr>
                <w:sz w:val="20"/>
                <w:szCs w:val="20"/>
              </w:rPr>
              <w:t>Entry onto ARTG</w:t>
            </w:r>
          </w:p>
        </w:tc>
        <w:tc>
          <w:tcPr>
            <w:tcW w:w="2233"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CB166B6" w14:textId="52249253" w:rsidR="004B00E9" w:rsidRPr="009B3C2A" w:rsidRDefault="00500CC2" w:rsidP="009B3C2A">
            <w:pPr>
              <w:rPr>
                <w:sz w:val="20"/>
                <w:szCs w:val="20"/>
              </w:rPr>
            </w:pPr>
            <w:r w:rsidRPr="009B3C2A">
              <w:rPr>
                <w:sz w:val="20"/>
                <w:szCs w:val="20"/>
              </w:rPr>
              <w:t>7 March 2017</w:t>
            </w:r>
          </w:p>
        </w:tc>
      </w:tr>
      <w:tr w:rsidR="004B00E9" w:rsidRPr="00F45E5A" w14:paraId="6E5F6F5B" w14:textId="77777777" w:rsidTr="009B3C2A">
        <w:tc>
          <w:tcPr>
            <w:tcW w:w="6487"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1F99B19" w14:textId="77777777" w:rsidR="004B00E9" w:rsidRPr="009B3C2A" w:rsidRDefault="004B00E9" w:rsidP="009B3C2A">
            <w:pPr>
              <w:rPr>
                <w:sz w:val="20"/>
                <w:szCs w:val="20"/>
              </w:rPr>
            </w:pPr>
            <w:r w:rsidRPr="009B3C2A">
              <w:rPr>
                <w:sz w:val="20"/>
                <w:szCs w:val="20"/>
              </w:rPr>
              <w:t>Number of TGA working days from submission dossier acceptance to registration decision *</w:t>
            </w:r>
          </w:p>
        </w:tc>
        <w:tc>
          <w:tcPr>
            <w:tcW w:w="2233"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FBFDBC9" w14:textId="48A99E25" w:rsidR="004B00E9" w:rsidRPr="009B3C2A" w:rsidRDefault="00500CC2" w:rsidP="009B3C2A">
            <w:pPr>
              <w:rPr>
                <w:sz w:val="20"/>
                <w:szCs w:val="20"/>
              </w:rPr>
            </w:pPr>
            <w:r w:rsidRPr="009B3C2A">
              <w:rPr>
                <w:sz w:val="20"/>
                <w:szCs w:val="20"/>
              </w:rPr>
              <w:t>231</w:t>
            </w:r>
          </w:p>
        </w:tc>
      </w:tr>
    </w:tbl>
    <w:p w14:paraId="3A749A32" w14:textId="0F965D6D" w:rsidR="004B00E9" w:rsidRPr="004B00E9" w:rsidRDefault="00D47AC9" w:rsidP="009B3C2A">
      <w:pPr>
        <w:pStyle w:val="TableDescription"/>
      </w:pPr>
      <w:r>
        <w:t>* Statutory timeframe 255 working days</w:t>
      </w:r>
    </w:p>
    <w:p w14:paraId="4FE91A82" w14:textId="360D59BA" w:rsidR="008E7846" w:rsidRPr="003602A9" w:rsidRDefault="008E7846" w:rsidP="008E7846">
      <w:pPr>
        <w:pStyle w:val="Heading2"/>
        <w:ind w:left="-11"/>
      </w:pPr>
      <w:bookmarkStart w:id="22" w:name="_Toc511209781"/>
      <w:r>
        <w:t>II</w:t>
      </w:r>
      <w:r w:rsidR="004B00E9">
        <w:t>I</w:t>
      </w:r>
      <w:r>
        <w:t>. Quality findings</w:t>
      </w:r>
      <w:bookmarkEnd w:id="19"/>
      <w:bookmarkEnd w:id="20"/>
      <w:bookmarkEnd w:id="22"/>
    </w:p>
    <w:p w14:paraId="4FE91A83" w14:textId="77777777" w:rsidR="008E7846" w:rsidRDefault="008E7846" w:rsidP="00940A89">
      <w:pPr>
        <w:pStyle w:val="Heading3"/>
      </w:pPr>
      <w:bookmarkStart w:id="23" w:name="_Toc247691507"/>
      <w:bookmarkStart w:id="24" w:name="_Toc314842488"/>
      <w:bookmarkStart w:id="25" w:name="_Toc511209782"/>
      <w:r w:rsidRPr="008751DC">
        <w:t xml:space="preserve">Drug </w:t>
      </w:r>
      <w:r>
        <w:t>s</w:t>
      </w:r>
      <w:r w:rsidRPr="008751DC">
        <w:t>ubstance</w:t>
      </w:r>
      <w:r>
        <w:t xml:space="preserve"> (active ingredient)</w:t>
      </w:r>
      <w:bookmarkEnd w:id="23"/>
      <w:bookmarkEnd w:id="24"/>
      <w:bookmarkEnd w:id="25"/>
    </w:p>
    <w:p w14:paraId="4FE91A84" w14:textId="77777777" w:rsidR="00AD185D" w:rsidRDefault="00AD185D" w:rsidP="00AD185D">
      <w:pPr>
        <w:pStyle w:val="Heading4"/>
      </w:pPr>
      <w:bookmarkStart w:id="26" w:name="_Toc433780707"/>
      <w:r w:rsidRPr="00AD185D">
        <w:t>Structure</w:t>
      </w:r>
      <w:bookmarkEnd w:id="26"/>
    </w:p>
    <w:p w14:paraId="4FE91A85" w14:textId="4E461A85" w:rsidR="00AD185D" w:rsidRPr="00AD185D" w:rsidRDefault="00FA2591" w:rsidP="00AD185D">
      <w:r>
        <w:t xml:space="preserve">The drug substance </w:t>
      </w:r>
      <w:r w:rsidR="00AD185D" w:rsidRPr="00AD185D">
        <w:t>is a complex mixture of proteins and other biologically derived</w:t>
      </w:r>
      <w:r w:rsidR="00AD185D">
        <w:t xml:space="preserve"> </w:t>
      </w:r>
      <w:r w:rsidR="00AD185D" w:rsidRPr="00AD185D">
        <w:t xml:space="preserve">substances extracted from grass pollen that is partially purified. The </w:t>
      </w:r>
      <w:r>
        <w:t>drug substance</w:t>
      </w:r>
      <w:r w:rsidR="00AD185D" w:rsidRPr="00AD185D">
        <w:t xml:space="preserve"> contains two of the major Timothy </w:t>
      </w:r>
      <w:r>
        <w:t>g</w:t>
      </w:r>
      <w:r w:rsidR="00AD185D" w:rsidRPr="00AD185D">
        <w:t xml:space="preserve">rass pollen allergens, </w:t>
      </w:r>
      <w:proofErr w:type="spellStart"/>
      <w:r w:rsidR="00AD185D" w:rsidRPr="009B3C2A">
        <w:t>Phl</w:t>
      </w:r>
      <w:proofErr w:type="spellEnd"/>
      <w:r w:rsidR="00AD185D" w:rsidRPr="009B3C2A">
        <w:t xml:space="preserve"> p 5</w:t>
      </w:r>
      <w:r w:rsidR="00692C69">
        <w:t xml:space="preserve">and </w:t>
      </w:r>
      <w:proofErr w:type="spellStart"/>
      <w:r w:rsidR="00692C69">
        <w:t>Phl</w:t>
      </w:r>
      <w:proofErr w:type="spellEnd"/>
      <w:r w:rsidR="00692C69">
        <w:t xml:space="preserve"> p 6</w:t>
      </w:r>
      <w:r w:rsidR="00AD185D" w:rsidRPr="00AD185D">
        <w:t>, as measured by radial immunodiffusion (RID). The extra</w:t>
      </w:r>
      <w:r>
        <w:t>ct also contains other Timothy g</w:t>
      </w:r>
      <w:r w:rsidR="00AD185D" w:rsidRPr="00AD185D">
        <w:t>rass pollen allergens.</w:t>
      </w:r>
    </w:p>
    <w:p w14:paraId="4FE91A86" w14:textId="77777777" w:rsidR="00AD185D" w:rsidRPr="00AD185D" w:rsidRDefault="00AD185D" w:rsidP="00AD185D">
      <w:pPr>
        <w:pStyle w:val="Heading4"/>
      </w:pPr>
      <w:r w:rsidRPr="00AD185D">
        <w:t>Physical and Chemical Properties</w:t>
      </w:r>
    </w:p>
    <w:p w14:paraId="4FE91A87" w14:textId="57301B9B" w:rsidR="00AD185D" w:rsidRPr="00AD185D" w:rsidRDefault="00AD185D" w:rsidP="00AD185D">
      <w:r w:rsidRPr="00AD185D">
        <w:t>The drug substance is a frozen aqueous allergenic extract solution derive</w:t>
      </w:r>
      <w:r w:rsidR="00FA2591">
        <w:t>d from grass pollen of Timothy g</w:t>
      </w:r>
      <w:r w:rsidRPr="00AD185D">
        <w:t>rass (</w:t>
      </w:r>
      <w:r w:rsidR="002D7A68" w:rsidRPr="002D7A68">
        <w:rPr>
          <w:i/>
        </w:rPr>
        <w:t>Phleum pratense</w:t>
      </w:r>
      <w:r w:rsidRPr="00AD185D">
        <w:t>) containing purified water.</w:t>
      </w:r>
      <w:r w:rsidR="009B45F8">
        <w:rPr>
          <w:lang w:val="en-US"/>
        </w:rPr>
        <w:t>The allerg</w:t>
      </w:r>
      <w:r w:rsidR="004F171D">
        <w:rPr>
          <w:lang w:val="en-US"/>
        </w:rPr>
        <w:t>e</w:t>
      </w:r>
      <w:r w:rsidR="009B45F8">
        <w:rPr>
          <w:lang w:val="en-US"/>
        </w:rPr>
        <w:t>n extract normally contains at least 10% protein and 90% non-protein material such as lipids, carbohydrates or other substances based on dry matter content. The protein content of the dry matter is estimated by BCA (</w:t>
      </w:r>
      <w:proofErr w:type="spellStart"/>
      <w:r w:rsidR="009B45F8">
        <w:rPr>
          <w:lang w:val="en-US"/>
        </w:rPr>
        <w:t>bicichoninic</w:t>
      </w:r>
      <w:proofErr w:type="spellEnd"/>
      <w:r w:rsidR="009B45F8">
        <w:rPr>
          <w:lang w:val="en-US"/>
        </w:rPr>
        <w:t xml:space="preserve"> acid) method.</w:t>
      </w:r>
    </w:p>
    <w:p w14:paraId="4FE91A88" w14:textId="77777777" w:rsidR="008E7846" w:rsidRDefault="00AD185D" w:rsidP="00940A89">
      <w:r w:rsidRPr="00AD185D">
        <w:t xml:space="preserve">The </w:t>
      </w:r>
      <w:r w:rsidR="00FA2591">
        <w:t>drug substance</w:t>
      </w:r>
      <w:r w:rsidRPr="00AD185D">
        <w:t xml:space="preserve"> is light to dark yellow/brown non-adhesive frozen droplets that are soluble in a range of buffers and water. The </w:t>
      </w:r>
      <w:r w:rsidR="00FA2591">
        <w:t>drug substance</w:t>
      </w:r>
      <w:r w:rsidRPr="00AD185D">
        <w:t xml:space="preserve"> frozen droplets are non-sterile and bioburden is monitored by microbial limits.</w:t>
      </w:r>
    </w:p>
    <w:p w14:paraId="4FE91A89" w14:textId="77777777" w:rsidR="00AD185D" w:rsidRPr="00AD185D" w:rsidRDefault="00AD185D" w:rsidP="00AD185D">
      <w:r w:rsidRPr="00AD185D">
        <w:t>All manufacturing steps are validated.</w:t>
      </w:r>
    </w:p>
    <w:p w14:paraId="4FE91A8A" w14:textId="77777777" w:rsidR="00AD185D" w:rsidRPr="00AD185D" w:rsidRDefault="00FA2591" w:rsidP="00FA2591">
      <w:pPr>
        <w:pStyle w:val="Heading4"/>
      </w:pPr>
      <w:r>
        <w:lastRenderedPageBreak/>
        <w:t>Drug substance</w:t>
      </w:r>
      <w:r w:rsidR="00AD185D" w:rsidRPr="00AD185D">
        <w:t xml:space="preserve"> </w:t>
      </w:r>
      <w:r w:rsidRPr="00AD185D">
        <w:t>manufacturing process</w:t>
      </w:r>
    </w:p>
    <w:p w14:paraId="4FE91A8B" w14:textId="31A7FB9E" w:rsidR="00AD185D" w:rsidRPr="00AD185D" w:rsidRDefault="00AD185D" w:rsidP="00AD185D">
      <w:r w:rsidRPr="00AD185D">
        <w:t xml:space="preserve">The source material used for the production of the </w:t>
      </w:r>
      <w:r w:rsidR="00FA2591" w:rsidRPr="00AD185D">
        <w:t>drug s</w:t>
      </w:r>
      <w:r w:rsidRPr="00AD185D">
        <w:t>ubstance is grass pollen</w:t>
      </w:r>
      <w:r>
        <w:t xml:space="preserve"> </w:t>
      </w:r>
      <w:r w:rsidR="00FA2591">
        <w:t>from Timothy g</w:t>
      </w:r>
      <w:r w:rsidRPr="00AD185D">
        <w:t>rass (</w:t>
      </w:r>
      <w:r w:rsidR="002D7A68" w:rsidRPr="002D7A68">
        <w:rPr>
          <w:i/>
        </w:rPr>
        <w:t>Phleum pratense</w:t>
      </w:r>
      <w:r w:rsidRPr="00AD185D">
        <w:t>) cultivated and collected from grasses grown under</w:t>
      </w:r>
      <w:r>
        <w:t xml:space="preserve"> </w:t>
      </w:r>
      <w:r w:rsidRPr="00AD185D">
        <w:t xml:space="preserve">natural but controlled conditions </w:t>
      </w:r>
      <w:r w:rsidR="00C90886">
        <w:t>in the USA</w:t>
      </w:r>
      <w:r w:rsidR="00D47AC9" w:rsidRPr="009B3C2A">
        <w:t>.</w:t>
      </w:r>
    </w:p>
    <w:p w14:paraId="4FE91A8C" w14:textId="334B4B8C" w:rsidR="00AD185D" w:rsidRPr="00AD185D" w:rsidRDefault="00AD185D" w:rsidP="00AD185D">
      <w:r w:rsidRPr="00AD185D">
        <w:t>The process consists of a series of unit operations including extraction of the source pollen</w:t>
      </w:r>
      <w:r w:rsidR="00D47AC9">
        <w:t>.</w:t>
      </w:r>
    </w:p>
    <w:p w14:paraId="4FE91A8D" w14:textId="77777777" w:rsidR="00AD185D" w:rsidRDefault="00AD185D" w:rsidP="00AD185D">
      <w:pPr>
        <w:pStyle w:val="Heading5"/>
      </w:pPr>
      <w:r>
        <w:t>Specification Issues</w:t>
      </w:r>
    </w:p>
    <w:p w14:paraId="4FE91A8E" w14:textId="6A9DFC2B" w:rsidR="00AD185D" w:rsidRPr="00AD185D" w:rsidRDefault="00AD185D" w:rsidP="00AD185D">
      <w:pPr>
        <w:pStyle w:val="Heading6"/>
      </w:pPr>
      <w:r w:rsidRPr="00AD185D">
        <w:t xml:space="preserve">After consultation with the </w:t>
      </w:r>
      <w:r w:rsidR="00FA2591">
        <w:t>nonclinical</w:t>
      </w:r>
      <w:r w:rsidRPr="00AD185D">
        <w:t xml:space="preserve"> evaluator</w:t>
      </w:r>
    </w:p>
    <w:p w14:paraId="4FE91A8F" w14:textId="77777777" w:rsidR="00AD185D" w:rsidRPr="00AD185D" w:rsidRDefault="00AD185D" w:rsidP="00AD185D">
      <w:r w:rsidRPr="00AD185D">
        <w:t xml:space="preserve">It is the view of the TGA </w:t>
      </w:r>
      <w:r w:rsidR="00FA2591">
        <w:t xml:space="preserve">nonclinical </w:t>
      </w:r>
      <w:r w:rsidRPr="00AD185D">
        <w:t xml:space="preserve">evaluator that ergot alkaloids and other potential mycotoxins should be monitored in the </w:t>
      </w:r>
      <w:r w:rsidR="00FA2591" w:rsidRPr="00AD185D">
        <w:t>drug s</w:t>
      </w:r>
      <w:r w:rsidRPr="00AD185D">
        <w:t>ubstance.</w:t>
      </w:r>
    </w:p>
    <w:p w14:paraId="4FE91A90" w14:textId="3167952C" w:rsidR="00AD185D" w:rsidRPr="00AD185D" w:rsidRDefault="00AD185D" w:rsidP="00AD185D">
      <w:r w:rsidRPr="00AD185D">
        <w:t xml:space="preserve">Assuming the ultrafiltration steps are effective, ergot and other mycotoxins should be low. However, Seqirus should monitor the levels of the key mycotoxins in the drug substance since the area where the source material is grown </w:t>
      </w:r>
      <w:r w:rsidR="00C90886">
        <w:t>(USA)</w:t>
      </w:r>
      <w:r w:rsidR="00D47AC9" w:rsidRPr="009B3C2A">
        <w:t xml:space="preserve"> </w:t>
      </w:r>
      <w:r w:rsidRPr="00AD185D">
        <w:t>is known to have ergot (and probably other mycotoxins) problems from time to time.</w:t>
      </w:r>
    </w:p>
    <w:p w14:paraId="4FE91A91" w14:textId="6DD29418" w:rsidR="00AD185D" w:rsidRPr="00AD185D" w:rsidRDefault="00AD185D" w:rsidP="00AD185D">
      <w:r w:rsidRPr="00AD185D">
        <w:t>The risk is likely low, but Seqirus should not take any chances.</w:t>
      </w:r>
      <w:r w:rsidR="00FA2591">
        <w:t xml:space="preserve"> </w:t>
      </w:r>
      <w:r w:rsidRPr="00AD185D">
        <w:t>Ergot and other mycotoxins should be routinely monitored as part of their QA/QC</w:t>
      </w:r>
      <w:r w:rsidR="00D47AC9">
        <w:t xml:space="preserve">; </w:t>
      </w:r>
      <w:r w:rsidRPr="00AD185D">
        <w:t>this is not difficult to do, the assays are readily available and are routine in food safety labs around the world and are relatively inexpensive.</w:t>
      </w:r>
    </w:p>
    <w:p w14:paraId="4FE91A92" w14:textId="77777777" w:rsidR="00AD185D" w:rsidRPr="00AD185D" w:rsidRDefault="00AD185D" w:rsidP="00AD185D">
      <w:pPr>
        <w:pStyle w:val="Heading6"/>
      </w:pPr>
      <w:r>
        <w:t xml:space="preserve">Sponsor </w:t>
      </w:r>
      <w:r w:rsidRPr="00AD185D">
        <w:t>Response</w:t>
      </w:r>
    </w:p>
    <w:p w14:paraId="4FE91A93" w14:textId="6D25C91F" w:rsidR="00AD185D" w:rsidRPr="00AD185D" w:rsidRDefault="001A1402" w:rsidP="00AD185D">
      <w:r>
        <w:t>The l</w:t>
      </w:r>
      <w:r w:rsidR="00AD185D" w:rsidRPr="00AD185D">
        <w:t xml:space="preserve">icensor </w:t>
      </w:r>
      <w:r>
        <w:t>ALK-</w:t>
      </w:r>
      <w:proofErr w:type="spellStart"/>
      <w:r>
        <w:t>Abelló</w:t>
      </w:r>
      <w:proofErr w:type="spellEnd"/>
      <w:r>
        <w:t xml:space="preserve"> A/S</w:t>
      </w:r>
      <w:r w:rsidRPr="00AD185D">
        <w:t xml:space="preserve"> </w:t>
      </w:r>
      <w:r w:rsidR="00AD185D" w:rsidRPr="00AD185D">
        <w:t>(ALK) has advised when considering the lifecycle of ergot compared to pollen collection combined with the processes and controls in place, there is little to no risk of ergot being present in the pollen.</w:t>
      </w:r>
      <w:r w:rsidR="00FA2591">
        <w:t xml:space="preserve"> </w:t>
      </w:r>
      <w:r w:rsidR="00AD185D" w:rsidRPr="00AD185D">
        <w:t>The actual risk is even lower considering the source material process and drug substance process ensuring the capability to reduce any ergot toxins present in the pollen. Finally, all worst case scenarios have been considered. Only in the case where all of the dry matter in the drug substance consists of ergot, does the theoretical concentration near the acute reference dose and exceed the tolerable daily limit.</w:t>
      </w:r>
      <w:r w:rsidR="00FA2591">
        <w:t xml:space="preserve"> </w:t>
      </w:r>
      <w:r w:rsidR="00AD185D" w:rsidRPr="00AD185D">
        <w:t>Thus, it is not considered necessary to measure ergot during the manufacturing of the grass tablet.</w:t>
      </w:r>
    </w:p>
    <w:p w14:paraId="4FE91A94" w14:textId="77777777" w:rsidR="00AD185D" w:rsidRPr="00AD185D" w:rsidRDefault="00AD185D" w:rsidP="00AD185D">
      <w:r w:rsidRPr="00AD185D">
        <w:t>This issue is considered resolved.</w:t>
      </w:r>
    </w:p>
    <w:p w14:paraId="4FE91A95" w14:textId="77777777" w:rsidR="00184DE1" w:rsidRDefault="00AD185D" w:rsidP="00940A89">
      <w:r w:rsidRPr="00AD185D">
        <w:t>All analy</w:t>
      </w:r>
      <w:r w:rsidR="00FA2591">
        <w:t>tical procedures are validated.</w:t>
      </w:r>
    </w:p>
    <w:p w14:paraId="4FE91A96" w14:textId="77777777" w:rsidR="008E7846" w:rsidRDefault="008E7846" w:rsidP="008E7846">
      <w:pPr>
        <w:pStyle w:val="Heading3"/>
      </w:pPr>
      <w:bookmarkStart w:id="27" w:name="_Toc247691508"/>
      <w:bookmarkStart w:id="28" w:name="_Toc314842490"/>
      <w:bookmarkStart w:id="29" w:name="_Toc511209783"/>
      <w:r w:rsidRPr="008751DC">
        <w:t xml:space="preserve">Drug </w:t>
      </w:r>
      <w:r>
        <w:t>p</w:t>
      </w:r>
      <w:r w:rsidRPr="008751DC">
        <w:t>roduct</w:t>
      </w:r>
      <w:bookmarkEnd w:id="27"/>
      <w:bookmarkEnd w:id="28"/>
      <w:bookmarkEnd w:id="29"/>
    </w:p>
    <w:p w14:paraId="4FE91A97" w14:textId="77777777" w:rsidR="00AD185D" w:rsidRPr="00AD185D" w:rsidRDefault="00AD185D" w:rsidP="00184DE1">
      <w:pPr>
        <w:pStyle w:val="Heading4"/>
      </w:pPr>
      <w:bookmarkStart w:id="30" w:name="_Toc314842491"/>
      <w:r w:rsidRPr="00AD185D">
        <w:t>Stability</w:t>
      </w:r>
    </w:p>
    <w:p w14:paraId="4FE91A98" w14:textId="77777777" w:rsidR="00AD185D" w:rsidRPr="00AD185D" w:rsidRDefault="00AD185D" w:rsidP="00AD185D">
      <w:r w:rsidRPr="00AD185D">
        <w:t xml:space="preserve">The proposed shelf life for the </w:t>
      </w:r>
      <w:r w:rsidR="00FA2591">
        <w:t>drug product</w:t>
      </w:r>
      <w:r w:rsidRPr="00AD185D">
        <w:t xml:space="preserve"> is 4 years (48 months) at 25°C </w:t>
      </w:r>
      <w:r w:rsidR="00184DE1">
        <w:t>from the date of manufacture.</w:t>
      </w:r>
    </w:p>
    <w:p w14:paraId="4FE91A99" w14:textId="77777777" w:rsidR="00AD185D" w:rsidRPr="00AD185D" w:rsidRDefault="00AD185D" w:rsidP="00AD185D">
      <w:r w:rsidRPr="00AD185D">
        <w:t>Stability data have been generated under stressed and real time conditions to characterise the stability profile of the product.</w:t>
      </w:r>
      <w:r w:rsidR="00FA2591">
        <w:t xml:space="preserve"> </w:t>
      </w:r>
      <w:r w:rsidRPr="00AD185D">
        <w:t>Photostability data:</w:t>
      </w:r>
      <w:r w:rsidR="00FA2591">
        <w:t xml:space="preserve"> </w:t>
      </w:r>
      <w:r w:rsidRPr="00AD185D">
        <w:t>the product is</w:t>
      </w:r>
      <w:r w:rsidR="00FA2591">
        <w:t xml:space="preserve"> </w:t>
      </w:r>
      <w:r w:rsidRPr="00AD185D">
        <w:t>photo</w:t>
      </w:r>
      <w:r w:rsidR="00184DE1">
        <w:t>stable.</w:t>
      </w:r>
    </w:p>
    <w:p w14:paraId="4FE91A9A" w14:textId="77777777" w:rsidR="00AD185D" w:rsidRPr="00AD185D" w:rsidRDefault="00AD185D" w:rsidP="00AD185D">
      <w:r w:rsidRPr="00AD185D">
        <w:t>Stability studies have been conducted in accordanc</w:t>
      </w:r>
      <w:r w:rsidR="00184DE1">
        <w:t xml:space="preserve">e with relevant </w:t>
      </w:r>
      <w:r w:rsidR="0089016D">
        <w:rPr>
          <w:rFonts w:cs="Arial"/>
        </w:rPr>
        <w:t>International Conference on Harmonisation</w:t>
      </w:r>
      <w:r w:rsidR="0089016D">
        <w:t xml:space="preserve"> (</w:t>
      </w:r>
      <w:r w:rsidR="00184DE1">
        <w:t>ICH</w:t>
      </w:r>
      <w:r w:rsidR="0089016D">
        <w:t>)</w:t>
      </w:r>
      <w:r w:rsidR="00184DE1">
        <w:t xml:space="preserve"> guidelines.</w:t>
      </w:r>
    </w:p>
    <w:p w14:paraId="666413F1" w14:textId="77777777" w:rsidR="00823A3D" w:rsidRPr="00C90EF8" w:rsidRDefault="00823A3D" w:rsidP="00823A3D">
      <w:pPr>
        <w:pStyle w:val="Heading4"/>
      </w:pPr>
      <w:r w:rsidRPr="00C90EF8">
        <w:t>Potency</w:t>
      </w:r>
    </w:p>
    <w:p w14:paraId="797BE0D6" w14:textId="22DA07F8" w:rsidR="00C90886" w:rsidRPr="00C90EF8" w:rsidRDefault="00823A3D" w:rsidP="00823A3D">
      <w:r w:rsidRPr="00C90EF8">
        <w:t>This is determined by a competitive immunoassay.</w:t>
      </w:r>
    </w:p>
    <w:p w14:paraId="4FE91A9F" w14:textId="77777777" w:rsidR="008E7846" w:rsidRDefault="008E7846" w:rsidP="008E7846">
      <w:pPr>
        <w:pStyle w:val="Heading3"/>
      </w:pPr>
      <w:bookmarkStart w:id="31" w:name="_Toc511209784"/>
      <w:r>
        <w:t>Biopharmaceutics</w:t>
      </w:r>
      <w:bookmarkEnd w:id="30"/>
      <w:bookmarkEnd w:id="31"/>
    </w:p>
    <w:p w14:paraId="4FE91AA0" w14:textId="77777777" w:rsidR="008E7846" w:rsidRDefault="00184DE1" w:rsidP="008E7846">
      <w:r>
        <w:t>NA</w:t>
      </w:r>
    </w:p>
    <w:p w14:paraId="4FE91AA1" w14:textId="77777777" w:rsidR="008E7846" w:rsidRPr="008751DC" w:rsidRDefault="008E7846" w:rsidP="008E7846">
      <w:pPr>
        <w:pStyle w:val="Heading3"/>
      </w:pPr>
      <w:bookmarkStart w:id="32" w:name="_Toc247691509"/>
      <w:bookmarkStart w:id="33" w:name="_Toc314842493"/>
      <w:bookmarkStart w:id="34" w:name="_Toc511209785"/>
      <w:r>
        <w:lastRenderedPageBreak/>
        <w:t>Quality s</w:t>
      </w:r>
      <w:r w:rsidRPr="008751DC">
        <w:t>ummary</w:t>
      </w:r>
      <w:r>
        <w:t xml:space="preserve"> and conclusions</w:t>
      </w:r>
      <w:bookmarkEnd w:id="32"/>
      <w:bookmarkEnd w:id="33"/>
      <w:bookmarkEnd w:id="34"/>
    </w:p>
    <w:p w14:paraId="4FE91AA2" w14:textId="77777777" w:rsidR="008E7846" w:rsidRDefault="004A7F98" w:rsidP="008E7846">
      <w:bookmarkStart w:id="35" w:name="_Toc314842492"/>
      <w:r>
        <w:t>With respect to quality matters, the PI, CMI and labels are acceptable. There were no QC changes to PI/CMI.</w:t>
      </w:r>
      <w:bookmarkEnd w:id="35"/>
    </w:p>
    <w:p w14:paraId="4FE91AA3" w14:textId="77777777" w:rsidR="008C6D4A" w:rsidRDefault="008C6D4A" w:rsidP="008E7846">
      <w:r>
        <w:t>Conditions of registration</w:t>
      </w:r>
    </w:p>
    <w:p w14:paraId="4FE91AA4" w14:textId="77777777" w:rsidR="008C6D4A" w:rsidRDefault="008C6D4A" w:rsidP="008E7846">
      <w:r>
        <w:t xml:space="preserve">The </w:t>
      </w:r>
      <w:r w:rsidR="00B83873">
        <w:t>q</w:t>
      </w:r>
      <w:r>
        <w:t xml:space="preserve">uality </w:t>
      </w:r>
      <w:r w:rsidR="00B83873">
        <w:t>evaluator recommended to the Delegate the following conditions of registration:</w:t>
      </w:r>
    </w:p>
    <w:p w14:paraId="4FE91AA5" w14:textId="77777777" w:rsidR="00B83873" w:rsidRDefault="00B83873" w:rsidP="00B83873">
      <w:pPr>
        <w:pStyle w:val="Numberbullet0"/>
      </w:pPr>
      <w:r>
        <w:t>S14 exemption</w:t>
      </w:r>
    </w:p>
    <w:p w14:paraId="4FE91AA6" w14:textId="77777777" w:rsidR="00B83873" w:rsidRPr="00B83873" w:rsidRDefault="00B83873" w:rsidP="00B83873">
      <w:r w:rsidRPr="00B83873">
        <w:t>It is requested that the approval letter contain an S14 exemption from TGO 69 for the blister pack as follows:</w:t>
      </w:r>
    </w:p>
    <w:p w14:paraId="4FE91AA7" w14:textId="77777777" w:rsidR="00B83873" w:rsidRPr="00B83873" w:rsidRDefault="00B83873" w:rsidP="00B83873">
      <w:r w:rsidRPr="00B83873">
        <w:t>Exemptions from compliance with the Therapeutic Goods Order No. 69 (TGO 69) clauses 3(2</w:t>
      </w:r>
      <w:proofErr w:type="gramStart"/>
      <w:r w:rsidRPr="00B83873">
        <w:t>)(</w:t>
      </w:r>
      <w:proofErr w:type="gramEnd"/>
      <w:r w:rsidRPr="00B83873">
        <w:t>b) “the name(s) of all active ingredients in the goods” and 3(13)(a).</w:t>
      </w:r>
    </w:p>
    <w:p w14:paraId="4FE91AA8" w14:textId="77777777" w:rsidR="00B83873" w:rsidRPr="00B83873" w:rsidRDefault="00B83873" w:rsidP="00B83873">
      <w:r w:rsidRPr="00B83873">
        <w:t>The reason for this is as follows:</w:t>
      </w:r>
    </w:p>
    <w:p w14:paraId="4FE91AA9" w14:textId="77777777" w:rsidR="00B83873" w:rsidRPr="00B83873" w:rsidRDefault="00B83873" w:rsidP="00B83873">
      <w:pPr>
        <w:pStyle w:val="ListBullet"/>
      </w:pPr>
      <w:r w:rsidRPr="00B83873">
        <w:t>The proposed EU blister foil for the 75,000 SQ-T tablet does not:</w:t>
      </w:r>
    </w:p>
    <w:p w14:paraId="4FE91AAA" w14:textId="32BFC26A" w:rsidR="00B83873" w:rsidRPr="00B83873" w:rsidRDefault="00B83873" w:rsidP="00B83873">
      <w:pPr>
        <w:pStyle w:val="ListBullet2"/>
      </w:pPr>
      <w:r w:rsidRPr="00B83873">
        <w:t>Include the name of the active ingredient (Phleum pratense)</w:t>
      </w:r>
    </w:p>
    <w:p w14:paraId="4FE91AAB" w14:textId="77777777" w:rsidR="00B83873" w:rsidRPr="00B83873" w:rsidRDefault="00B83873" w:rsidP="00B83873">
      <w:pPr>
        <w:pStyle w:val="ListBullet2"/>
      </w:pPr>
      <w:r w:rsidRPr="00B83873">
        <w:t>Include the Seqirus name or trademark.</w:t>
      </w:r>
    </w:p>
    <w:p w14:paraId="4FE91AAC" w14:textId="77777777" w:rsidR="00B83873" w:rsidRDefault="00B83873" w:rsidP="00B83873">
      <w:pPr>
        <w:pStyle w:val="Numberbullet0"/>
      </w:pPr>
      <w:r w:rsidRPr="00B83873">
        <w:t xml:space="preserve">Batch Release Testing </w:t>
      </w:r>
      <w:r>
        <w:t>and</w:t>
      </w:r>
      <w:r w:rsidRPr="00B83873">
        <w:t xml:space="preserve"> Compliance with Certified Product Details (CPD)</w:t>
      </w:r>
    </w:p>
    <w:p w14:paraId="4FE91AAD" w14:textId="77777777" w:rsidR="00B83873" w:rsidRPr="00B83873" w:rsidRDefault="00B83873" w:rsidP="00B83873">
      <w:pPr>
        <w:pStyle w:val="ListBullet"/>
      </w:pPr>
      <w:r w:rsidRPr="008A1CCE">
        <w:t xml:space="preserve">It is a condition of registration that all batches of </w:t>
      </w:r>
      <w:r>
        <w:t>Grazax</w:t>
      </w:r>
      <w:r w:rsidRPr="003B220F">
        <w:t xml:space="preserve"> [(standardised allergen extract from Timothy grass, (</w:t>
      </w:r>
      <w:r w:rsidRPr="003B220F">
        <w:rPr>
          <w:i/>
        </w:rPr>
        <w:t>Phleum pratense</w:t>
      </w:r>
      <w:r w:rsidRPr="003B220F">
        <w:t>)], sublingual immunotherapy tablet, 75,000 SQ-T</w:t>
      </w:r>
      <w:r>
        <w:t xml:space="preserve"> </w:t>
      </w:r>
      <w:r w:rsidRPr="000C46C7">
        <w:t>imported into</w:t>
      </w:r>
      <w:r>
        <w:t xml:space="preserve"> </w:t>
      </w:r>
      <w:r w:rsidRPr="008A1CCE">
        <w:t>Australia must comply with the product details and specifications approved during evaluation and detailed in the Certified Product Details (CPD).</w:t>
      </w:r>
    </w:p>
    <w:p w14:paraId="4FE91AAE" w14:textId="77777777" w:rsidR="00B83873" w:rsidRPr="00B83873" w:rsidRDefault="00B83873" w:rsidP="00B83873">
      <w:pPr>
        <w:pStyle w:val="ListBullet"/>
      </w:pPr>
      <w:r w:rsidRPr="008A1CCE">
        <w:t xml:space="preserve">It is a condition of registration that each batch of </w:t>
      </w:r>
      <w:r>
        <w:t>Grazax</w:t>
      </w:r>
      <w:r w:rsidRPr="003B220F">
        <w:t xml:space="preserve"> [(standardised allergen extract from Timothy grass, (</w:t>
      </w:r>
      <w:r w:rsidRPr="003B220F">
        <w:rPr>
          <w:i/>
        </w:rPr>
        <w:t>Phleum pratense</w:t>
      </w:r>
      <w:r w:rsidRPr="003B220F">
        <w:t>)], sublingual immunotherapy tablet, 75,000 SQ-T</w:t>
      </w:r>
      <w:r>
        <w:t xml:space="preserve"> imported into</w:t>
      </w:r>
      <w:r w:rsidRPr="008A1CCE">
        <w:t xml:space="preserve"> Australia is not rele</w:t>
      </w:r>
      <w:r>
        <w:t>ased for sale until samples and/or</w:t>
      </w:r>
      <w:r w:rsidRPr="008A1CCE">
        <w:t xml:space="preserve"> the manufacturer’s release data have been assessed and endorsed for release </w:t>
      </w:r>
      <w:r>
        <w:t>by the TGA Laboratories Branch.</w:t>
      </w:r>
    </w:p>
    <w:p w14:paraId="4FE91AAF" w14:textId="01921CBA" w:rsidR="008E7846" w:rsidRDefault="008E7846" w:rsidP="008E7846">
      <w:pPr>
        <w:pStyle w:val="Heading2"/>
      </w:pPr>
      <w:bookmarkStart w:id="36" w:name="_Toc196046439"/>
      <w:bookmarkStart w:id="37" w:name="_Toc247691510"/>
      <w:bookmarkStart w:id="38" w:name="_Toc314842494"/>
      <w:bookmarkStart w:id="39" w:name="_Toc511209786"/>
      <w:r>
        <w:t>I</w:t>
      </w:r>
      <w:r w:rsidR="004B00E9">
        <w:t>V</w:t>
      </w:r>
      <w:r>
        <w:t>. Nonclinical</w:t>
      </w:r>
      <w:bookmarkEnd w:id="36"/>
      <w:r>
        <w:t xml:space="preserve"> findings</w:t>
      </w:r>
      <w:bookmarkEnd w:id="37"/>
      <w:bookmarkEnd w:id="38"/>
      <w:bookmarkEnd w:id="39"/>
    </w:p>
    <w:p w14:paraId="4FE91AB0" w14:textId="77777777" w:rsidR="008E7846" w:rsidRDefault="008E7846" w:rsidP="00940A89">
      <w:pPr>
        <w:pStyle w:val="Heading3"/>
      </w:pPr>
      <w:bookmarkStart w:id="40" w:name="_Toc247691511"/>
      <w:bookmarkStart w:id="41" w:name="_Toc314842495"/>
      <w:bookmarkStart w:id="42" w:name="_Toc511209787"/>
      <w:r>
        <w:t>Introduction</w:t>
      </w:r>
      <w:bookmarkEnd w:id="40"/>
      <w:bookmarkEnd w:id="41"/>
      <w:bookmarkEnd w:id="42"/>
    </w:p>
    <w:p w14:paraId="4FE91AB1" w14:textId="17D38A54" w:rsidR="00FE0277" w:rsidRDefault="00FE0277" w:rsidP="00FE0277">
      <w:r>
        <w:t>As an overall comment, the</w:t>
      </w:r>
      <w:r w:rsidRPr="00EA5930">
        <w:t xml:space="preserve"> submitted set of </w:t>
      </w:r>
      <w:r w:rsidR="004A7F98">
        <w:t>nonclinical</w:t>
      </w:r>
      <w:r w:rsidRPr="00EA5930">
        <w:t xml:space="preserve"> studies is n</w:t>
      </w:r>
      <w:r w:rsidR="00491DF0">
        <w:t>either</w:t>
      </w:r>
      <w:r w:rsidRPr="00EA5930">
        <w:t xml:space="preserve"> </w:t>
      </w:r>
      <w:r>
        <w:t>ICH M3 (R2)</w:t>
      </w:r>
      <w:r w:rsidR="004A7F98">
        <w:rPr>
          <w:rStyle w:val="FootnoteReference"/>
        </w:rPr>
        <w:footnoteReference w:id="3"/>
      </w:r>
      <w:r>
        <w:t xml:space="preserve"> compliant (allergen preparations</w:t>
      </w:r>
      <w:r w:rsidRPr="00EA5930">
        <w:t xml:space="preserve"> fall under the scope of this general guidance</w:t>
      </w:r>
      <w:r w:rsidR="00823A3D">
        <w:t>, nor is it fully compliant with other relevant ICH guidelines</w:t>
      </w:r>
      <w:r w:rsidR="00823A3D" w:rsidRPr="00EA5930">
        <w:t>.</w:t>
      </w:r>
      <w:r w:rsidRPr="00EA5930">
        <w:t xml:space="preserve"> However, the </w:t>
      </w:r>
      <w:r>
        <w:t xml:space="preserve">major </w:t>
      </w:r>
      <w:r w:rsidRPr="00EA5930">
        <w:t xml:space="preserve">focus of ICH M3 (R2) </w:t>
      </w:r>
      <w:r>
        <w:t xml:space="preserve">and other relevant ICH guidelines </w:t>
      </w:r>
      <w:r w:rsidRPr="00EA5930">
        <w:t>is predominantly traditional, highly purified, small molecule pharmaceuticals and not relatively crude, protein dominated</w:t>
      </w:r>
      <w:r>
        <w:t xml:space="preserve"> complex</w:t>
      </w:r>
      <w:r w:rsidRPr="00EA5930">
        <w:t xml:space="preserve"> plant extract</w:t>
      </w:r>
      <w:r>
        <w:t xml:space="preserve"> mixtures. T</w:t>
      </w:r>
      <w:r w:rsidRPr="00EA5930">
        <w:t>here</w:t>
      </w:r>
      <w:r w:rsidR="004A7F98">
        <w:t xml:space="preserve"> is no specific internationally </w:t>
      </w:r>
      <w:r w:rsidRPr="00EA5930">
        <w:t xml:space="preserve">accepted guidance on the nonclinical aspects of these types of </w:t>
      </w:r>
      <w:r>
        <w:t>pharmaceuticals</w:t>
      </w:r>
      <w:r w:rsidRPr="00EA5930">
        <w:t>.</w:t>
      </w:r>
      <w:r w:rsidR="00EF539B">
        <w:t xml:space="preserve"> Due to the substantial limitations of the nonclinical data package the safety properties of the product must be assessed based on human clinical data.</w:t>
      </w:r>
    </w:p>
    <w:p w14:paraId="79F511FC" w14:textId="3F733D26" w:rsidR="00EA51B2" w:rsidRDefault="00EA51B2" w:rsidP="00FE0277">
      <w:r>
        <w:t xml:space="preserve">There is </w:t>
      </w:r>
      <w:r w:rsidRPr="006D501B">
        <w:t>no clear correlation between the measured nonclinical endpoints and human clinical efficacy</w:t>
      </w:r>
      <w:r>
        <w:t xml:space="preserve"> (that is no definitive animal biomarker that is closely correlated with human clinical outcomes)</w:t>
      </w:r>
      <w:r w:rsidRPr="006D501B">
        <w:t>.</w:t>
      </w:r>
      <w:r>
        <w:t xml:space="preserve"> </w:t>
      </w:r>
      <w:r w:rsidRPr="006D501B">
        <w:t>There is also no clear relationship between the</w:t>
      </w:r>
      <w:r>
        <w:t xml:space="preserve"> </w:t>
      </w:r>
      <w:r w:rsidRPr="006D501B">
        <w:t>dose</w:t>
      </w:r>
      <w:r>
        <w:t xml:space="preserve">s used </w:t>
      </w:r>
      <w:r w:rsidRPr="006D501B">
        <w:t xml:space="preserve">in </w:t>
      </w:r>
      <w:r w:rsidRPr="006D501B">
        <w:lastRenderedPageBreak/>
        <w:t>the nonclinical studies</w:t>
      </w:r>
      <w:r>
        <w:t xml:space="preserve"> (measured as SQ units that are ultimately defined on human clinical efficacy) </w:t>
      </w:r>
      <w:r w:rsidRPr="006D501B">
        <w:t>that used normal healthy animals (</w:t>
      </w:r>
      <w:r>
        <w:t>that is</w:t>
      </w:r>
      <w:r w:rsidRPr="006D501B">
        <w:t xml:space="preserve"> not deliberately immunologically primed before </w:t>
      </w:r>
      <w:proofErr w:type="spellStart"/>
      <w:r w:rsidRPr="006D501B">
        <w:t>Phl</w:t>
      </w:r>
      <w:proofErr w:type="spellEnd"/>
      <w:r w:rsidRPr="006D501B">
        <w:t xml:space="preserve"> p allergen extract treatment), the proposed clinical dose for patients (who are previously i</w:t>
      </w:r>
      <w:r>
        <w:t>mmunologically hypersensitis</w:t>
      </w:r>
      <w:r w:rsidRPr="006D501B">
        <w:t>ed to Timothy grass pollen allergens) and the safety properties of Grazax in human patients. There is no clear nonclinical justification of the proposed clinical dose</w:t>
      </w:r>
      <w:r>
        <w:t>. Most of the nonclinical data set is suggestive of the possible situation in humans, rather than being directly and clearly indicative.</w:t>
      </w:r>
    </w:p>
    <w:p w14:paraId="4FE91AB3" w14:textId="078D2496" w:rsidR="00FE0277" w:rsidRPr="00AE7B21" w:rsidRDefault="00FE0277" w:rsidP="00FE0277">
      <w:r w:rsidRPr="006E59F9">
        <w:t>The Grazax drug substance (</w:t>
      </w:r>
      <w:r w:rsidR="004A7F98" w:rsidRPr="002D7A68">
        <w:rPr>
          <w:i/>
        </w:rPr>
        <w:t>Phleum pratense</w:t>
      </w:r>
      <w:r>
        <w:t xml:space="preserve"> allergen extract</w:t>
      </w:r>
      <w:r w:rsidRPr="006E59F9">
        <w:t>) is a</w:t>
      </w:r>
      <w:r w:rsidR="00726688">
        <w:t xml:space="preserve"> </w:t>
      </w:r>
      <w:r w:rsidR="00EF539B" w:rsidRPr="00726688">
        <w:t xml:space="preserve">solvent </w:t>
      </w:r>
      <w:r w:rsidRPr="00726688">
        <w:t>defatted</w:t>
      </w:r>
      <w:r>
        <w:t>,</w:t>
      </w:r>
      <w:r w:rsidRPr="006E59F9">
        <w:t xml:space="preserve"> </w:t>
      </w:r>
      <w:r w:rsidRPr="00726688">
        <w:t>freeze-dried complex biological mixture derived from the pollen of Timothy grass</w:t>
      </w:r>
      <w:r w:rsidRPr="0036386E">
        <w:t xml:space="preserve"> </w:t>
      </w:r>
      <w:r w:rsidRPr="006E59F9">
        <w:t>(</w:t>
      </w:r>
      <w:r w:rsidR="002D7A68" w:rsidRPr="002D7A68">
        <w:rPr>
          <w:i/>
        </w:rPr>
        <w:t>Phleum pratense</w:t>
      </w:r>
      <w:r w:rsidRPr="006E59F9">
        <w:t>)</w:t>
      </w:r>
      <w:r w:rsidR="0036386E">
        <w:t xml:space="preserve"> </w:t>
      </w:r>
      <w:r w:rsidR="007A1EA2">
        <w:t>grown in the USA</w:t>
      </w:r>
      <w:r w:rsidRPr="006E59F9">
        <w:t>.</w:t>
      </w:r>
      <w:r w:rsidRPr="006E59F9">
        <w:rPr>
          <w:rStyle w:val="FootnoteReference"/>
        </w:rPr>
        <w:footnoteReference w:id="4"/>
      </w:r>
      <w:r w:rsidRPr="006E59F9">
        <w:rPr>
          <w:rStyle w:val="FootnoteReference"/>
        </w:rPr>
        <w:t>,</w:t>
      </w:r>
      <w:r w:rsidRPr="006E59F9">
        <w:rPr>
          <w:rStyle w:val="FootnoteReference"/>
        </w:rPr>
        <w:footnoteReference w:id="5"/>
      </w:r>
      <w:r w:rsidRPr="006E59F9">
        <w:t xml:space="preserve"> </w:t>
      </w:r>
      <w:r>
        <w:t>It</w:t>
      </w:r>
      <w:r w:rsidRPr="006E59F9">
        <w:t xml:space="preserve"> is immunologically standard</w:t>
      </w:r>
      <w:r w:rsidR="004A7F98">
        <w:t>is</w:t>
      </w:r>
      <w:r w:rsidRPr="006E59F9">
        <w:t xml:space="preserve">ed on the basis of two of the major Timothy grass pollen </w:t>
      </w:r>
      <w:proofErr w:type="gramStart"/>
      <w:r w:rsidRPr="006E59F9">
        <w:t>allergens</w:t>
      </w:r>
      <w:r w:rsidR="0036386E">
        <w:t>(</w:t>
      </w:r>
      <w:proofErr w:type="spellStart"/>
      <w:proofErr w:type="gramEnd"/>
      <w:r w:rsidR="0036386E" w:rsidRPr="006E59F9">
        <w:t>Phl</w:t>
      </w:r>
      <w:proofErr w:type="spellEnd"/>
      <w:r w:rsidR="0036386E" w:rsidRPr="006E59F9">
        <w:t xml:space="preserve"> p 5 and </w:t>
      </w:r>
      <w:proofErr w:type="spellStart"/>
      <w:r w:rsidR="00692C69">
        <w:t>Phl</w:t>
      </w:r>
      <w:proofErr w:type="spellEnd"/>
      <w:r w:rsidR="00692C69">
        <w:t xml:space="preserve"> p 6)</w:t>
      </w:r>
      <w:r>
        <w:t>. The h</w:t>
      </w:r>
      <w:r w:rsidRPr="006E59F9">
        <w:t>uman dosimetry (</w:t>
      </w:r>
      <w:r w:rsidR="004A7F98">
        <w:t>that is</w:t>
      </w:r>
      <w:r w:rsidRPr="006E59F9">
        <w:t xml:space="preserve"> “standard quality” units [SQ-T]) is ultimately </w:t>
      </w:r>
      <w:r>
        <w:t>standard</w:t>
      </w:r>
      <w:r w:rsidR="004A7F98">
        <w:t>is</w:t>
      </w:r>
      <w:r>
        <w:t xml:space="preserve">ed on </w:t>
      </w:r>
      <w:r w:rsidRPr="006E59F9">
        <w:t>human clinical desensit</w:t>
      </w:r>
      <w:r w:rsidR="004A7F98">
        <w:t>is</w:t>
      </w:r>
      <w:r w:rsidRPr="006E59F9">
        <w:t xml:space="preserve">ation </w:t>
      </w:r>
      <w:proofErr w:type="gramStart"/>
      <w:r w:rsidRPr="006E59F9">
        <w:t>efficacy.</w:t>
      </w:r>
      <w:r w:rsidRPr="006E59F9">
        <w:rPr>
          <w:rStyle w:val="FootnoteReference"/>
        </w:rPr>
        <w:footnoteReference w:id="6"/>
      </w:r>
      <w:r w:rsidRPr="006E59F9">
        <w:rPr>
          <w:vertAlign w:val="superscript"/>
        </w:rPr>
        <w:t>,</w:t>
      </w:r>
      <w:proofErr w:type="gramEnd"/>
      <w:r w:rsidRPr="006E59F9">
        <w:rPr>
          <w:vertAlign w:val="superscript"/>
        </w:rPr>
        <w:t xml:space="preserve"> </w:t>
      </w:r>
      <w:r w:rsidRPr="006E59F9">
        <w:rPr>
          <w:rStyle w:val="FootnoteReference"/>
        </w:rPr>
        <w:footnoteReference w:id="7"/>
      </w:r>
      <w:r w:rsidRPr="006E59F9">
        <w:t xml:space="preserve"> The actual mass of </w:t>
      </w:r>
      <w:proofErr w:type="spellStart"/>
      <w:r w:rsidRPr="006E59F9">
        <w:t>Phl</w:t>
      </w:r>
      <w:proofErr w:type="spellEnd"/>
      <w:r w:rsidRPr="006E59F9">
        <w:t xml:space="preserve"> p</w:t>
      </w:r>
      <w:r>
        <w:t xml:space="preserve"> allergen extract</w:t>
      </w:r>
      <w:r w:rsidRPr="006E59F9">
        <w:t xml:space="preserve"> (</w:t>
      </w:r>
      <w:r w:rsidR="004A7F98">
        <w:t>that is</w:t>
      </w:r>
      <w:r w:rsidRPr="006E59F9">
        <w:t xml:space="preserve"> mg of </w:t>
      </w:r>
      <w:proofErr w:type="spellStart"/>
      <w:r w:rsidRPr="006E59F9">
        <w:t>Phl</w:t>
      </w:r>
      <w:proofErr w:type="spellEnd"/>
      <w:r w:rsidRPr="006E59F9">
        <w:t xml:space="preserve"> p</w:t>
      </w:r>
      <w:r>
        <w:t xml:space="preserve"> allergen extract</w:t>
      </w:r>
      <w:r w:rsidRPr="006E59F9">
        <w:t xml:space="preserve"> per SQ-U) that constitutes 1 SQ-U </w:t>
      </w:r>
      <w:r>
        <w:t>is variable (</w:t>
      </w:r>
      <w:r w:rsidRPr="006E59F9">
        <w:t>depend</w:t>
      </w:r>
      <w:r>
        <w:t>ent on</w:t>
      </w:r>
      <w:r w:rsidRPr="006E59F9">
        <w:t xml:space="preserve"> composition</w:t>
      </w:r>
      <w:r>
        <w:t xml:space="preserve">, </w:t>
      </w:r>
      <w:r w:rsidRPr="006E59F9">
        <w:t>biological/immunological properties</w:t>
      </w:r>
      <w:r>
        <w:t xml:space="preserve"> and </w:t>
      </w:r>
      <w:r w:rsidRPr="006E59F9">
        <w:t xml:space="preserve">clinical </w:t>
      </w:r>
      <w:r>
        <w:t>desensit</w:t>
      </w:r>
      <w:r w:rsidR="004A7F98">
        <w:t>is</w:t>
      </w:r>
      <w:r>
        <w:t xml:space="preserve">ation </w:t>
      </w:r>
      <w:r w:rsidRPr="006E59F9">
        <w:t>performance</w:t>
      </w:r>
      <w:r>
        <w:t xml:space="preserve"> of each batch</w:t>
      </w:r>
      <w:r w:rsidRPr="006E59F9">
        <w:t>).</w:t>
      </w:r>
      <w:r w:rsidR="00CA0A76">
        <w:t>[Information redacted]</w:t>
      </w:r>
      <w:r w:rsidR="00375793">
        <w:rPr>
          <w:rStyle w:val="FootnoteReference"/>
        </w:rPr>
        <w:footnoteReference w:id="8"/>
      </w:r>
      <w:r w:rsidR="00CA0A76">
        <w:t xml:space="preserve">. </w:t>
      </w:r>
      <w:r w:rsidR="00D07A91" w:rsidRPr="00726688">
        <w:t xml:space="preserve">Similar information is published </w:t>
      </w:r>
      <w:r w:rsidR="005D5BFE" w:rsidRPr="00726688">
        <w:t xml:space="preserve">in </w:t>
      </w:r>
      <w:proofErr w:type="spellStart"/>
      <w:r w:rsidR="005D5BFE" w:rsidRPr="00726688">
        <w:t>Malling</w:t>
      </w:r>
      <w:proofErr w:type="spellEnd"/>
      <w:r w:rsidR="005D5BFE" w:rsidRPr="00726688">
        <w:t xml:space="preserve"> et al</w:t>
      </w:r>
      <w:r w:rsidR="00FB2F08" w:rsidRPr="00726688">
        <w:t>,</w:t>
      </w:r>
      <w:r w:rsidR="005D5BFE" w:rsidRPr="00726688">
        <w:t xml:space="preserve"> 2006</w:t>
      </w:r>
      <w:r w:rsidR="00D07A91" w:rsidRPr="00B9117E">
        <w:rPr>
          <w:rStyle w:val="FootnoteReference"/>
        </w:rPr>
        <w:footnoteReference w:id="9"/>
      </w:r>
      <w:r w:rsidR="00A86C6A">
        <w:t xml:space="preserve"> </w:t>
      </w:r>
      <w:r w:rsidR="00D07A91" w:rsidRPr="00B9117E">
        <w:t xml:space="preserve">in which </w:t>
      </w:r>
      <w:r w:rsidR="005D5BFE" w:rsidRPr="00B9117E">
        <w:t xml:space="preserve">the </w:t>
      </w:r>
      <w:r w:rsidR="001B3259" w:rsidRPr="00B9117E">
        <w:t xml:space="preserve">dose </w:t>
      </w:r>
      <w:r w:rsidR="005D5BFE" w:rsidRPr="00B9117E">
        <w:t xml:space="preserve">unit was defined </w:t>
      </w:r>
      <w:r w:rsidR="00FB2F08" w:rsidRPr="00B9117E">
        <w:t xml:space="preserve">on the basis of the amount of P </w:t>
      </w:r>
      <w:r w:rsidR="005D5BFE" w:rsidRPr="00B9117E">
        <w:t>pratense major allergen 5 (</w:t>
      </w:r>
      <w:proofErr w:type="spellStart"/>
      <w:r w:rsidR="005D5BFE" w:rsidRPr="00B9117E">
        <w:t>Phl</w:t>
      </w:r>
      <w:proofErr w:type="spellEnd"/>
      <w:r w:rsidR="005D5BFE" w:rsidRPr="00B9117E">
        <w:t xml:space="preserve"> p 5) in the allergen extract, with 100,000 SQ-T corresponding to 20 µg </w:t>
      </w:r>
      <w:proofErr w:type="spellStart"/>
      <w:r w:rsidR="005D5BFE" w:rsidRPr="00B9117E">
        <w:t>Phl</w:t>
      </w:r>
      <w:proofErr w:type="spellEnd"/>
      <w:r w:rsidR="005D5BFE" w:rsidRPr="00B9117E">
        <w:t xml:space="preserve"> p 5.</w:t>
      </w:r>
    </w:p>
    <w:p w14:paraId="4FE91AB4" w14:textId="77777777" w:rsidR="00FE0277" w:rsidRDefault="00FE0277" w:rsidP="00FE0277">
      <w:pPr>
        <w:rPr>
          <w:kern w:val="2"/>
        </w:rPr>
      </w:pPr>
      <w:r w:rsidRPr="006E59F9">
        <w:t xml:space="preserve">The </w:t>
      </w:r>
      <w:r w:rsidR="002D7A68">
        <w:t>sponsor</w:t>
      </w:r>
      <w:r w:rsidRPr="006E59F9">
        <w:t xml:space="preserve"> has also claimed, without Grazax-specific</w:t>
      </w:r>
      <w:r w:rsidRPr="006E59F9">
        <w:rPr>
          <w:vertAlign w:val="superscript"/>
        </w:rPr>
        <w:t xml:space="preserve"> </w:t>
      </w:r>
      <w:r w:rsidRPr="006E59F9">
        <w:t>data, that once swallowed, the drug substance is completely inactivated in the gastrointestinal tract.</w:t>
      </w:r>
      <w:r w:rsidRPr="006E59F9">
        <w:rPr>
          <w:rStyle w:val="FootnoteReference"/>
        </w:rPr>
        <w:footnoteReference w:id="10"/>
      </w:r>
      <w:r w:rsidRPr="006E59F9">
        <w:t xml:space="preserve"> This is a reasonable assumption for the protein fraction of the Grazax drug substance</w:t>
      </w:r>
      <w:r>
        <w:t>;</w:t>
      </w:r>
      <w:r w:rsidRPr="006E59F9">
        <w:t xml:space="preserve"> the most likely source of </w:t>
      </w:r>
      <w:r w:rsidR="004A7F98">
        <w:t>clinically relevant</w:t>
      </w:r>
      <w:r w:rsidRPr="006E59F9">
        <w:t xml:space="preserve"> undesirable effects. </w:t>
      </w:r>
      <w:r>
        <w:t>Notably, the</w:t>
      </w:r>
      <w:r w:rsidRPr="006E59F9">
        <w:t xml:space="preserve"> published reference supplied by the </w:t>
      </w:r>
      <w:r w:rsidR="002D7A68">
        <w:rPr>
          <w:kern w:val="2"/>
        </w:rPr>
        <w:t>sponsor</w:t>
      </w:r>
      <w:r w:rsidRPr="006E59F9">
        <w:rPr>
          <w:kern w:val="2"/>
        </w:rPr>
        <w:t xml:space="preserve"> to support th</w:t>
      </w:r>
      <w:r>
        <w:rPr>
          <w:kern w:val="2"/>
        </w:rPr>
        <w:t xml:space="preserve">is </w:t>
      </w:r>
      <w:r w:rsidRPr="006E59F9">
        <w:rPr>
          <w:kern w:val="2"/>
        </w:rPr>
        <w:t>claim used a highly purified major, radiolabelled allergen (</w:t>
      </w:r>
      <w:proofErr w:type="spellStart"/>
      <w:r w:rsidRPr="006E59F9">
        <w:rPr>
          <w:i/>
          <w:kern w:val="2"/>
        </w:rPr>
        <w:t>Parietaria</w:t>
      </w:r>
      <w:proofErr w:type="spellEnd"/>
      <w:r w:rsidRPr="006E59F9">
        <w:rPr>
          <w:i/>
          <w:kern w:val="2"/>
        </w:rPr>
        <w:t xml:space="preserve"> </w:t>
      </w:r>
      <w:proofErr w:type="spellStart"/>
      <w:r w:rsidRPr="006E59F9">
        <w:rPr>
          <w:i/>
          <w:kern w:val="2"/>
        </w:rPr>
        <w:t>judaica</w:t>
      </w:r>
      <w:proofErr w:type="spellEnd"/>
      <w:r w:rsidRPr="006E59F9">
        <w:rPr>
          <w:kern w:val="2"/>
        </w:rPr>
        <w:t xml:space="preserve"> allergen [Par j 1]) that is not equivalent to the </w:t>
      </w:r>
      <w:proofErr w:type="spellStart"/>
      <w:r w:rsidRPr="006E59F9">
        <w:rPr>
          <w:kern w:val="2"/>
        </w:rPr>
        <w:t>Grazax</w:t>
      </w:r>
      <w:proofErr w:type="spellEnd"/>
      <w:r w:rsidRPr="006E59F9">
        <w:rPr>
          <w:kern w:val="2"/>
        </w:rPr>
        <w:t xml:space="preserve"> </w:t>
      </w:r>
      <w:proofErr w:type="spellStart"/>
      <w:r w:rsidRPr="006E59F9">
        <w:rPr>
          <w:kern w:val="2"/>
        </w:rPr>
        <w:t>Phl</w:t>
      </w:r>
      <w:proofErr w:type="spellEnd"/>
      <w:r w:rsidRPr="006E59F9">
        <w:rPr>
          <w:kern w:val="2"/>
        </w:rPr>
        <w:t xml:space="preserve"> p</w:t>
      </w:r>
      <w:r>
        <w:rPr>
          <w:kern w:val="2"/>
        </w:rPr>
        <w:t xml:space="preserve"> allergen extract</w:t>
      </w:r>
      <w:r w:rsidRPr="006E59F9">
        <w:rPr>
          <w:kern w:val="2"/>
        </w:rPr>
        <w:t xml:space="preserve"> drug substance.</w:t>
      </w:r>
      <w:r w:rsidRPr="006E59F9">
        <w:rPr>
          <w:rStyle w:val="FootnoteReference"/>
          <w:kern w:val="2"/>
        </w:rPr>
        <w:footnoteReference w:id="11"/>
      </w:r>
      <w:r w:rsidRPr="006E59F9">
        <w:rPr>
          <w:kern w:val="2"/>
        </w:rPr>
        <w:t xml:space="preserve"> </w:t>
      </w:r>
      <w:r>
        <w:t>However, this assumption may not be correct for the non-protein sub-fraction of the drug substance.</w:t>
      </w:r>
    </w:p>
    <w:p w14:paraId="4FE91AB5" w14:textId="452B9CEE" w:rsidR="00FE0277" w:rsidRPr="00366493" w:rsidRDefault="00FE0277" w:rsidP="00FE0277">
      <w:r w:rsidRPr="006E59F9">
        <w:t xml:space="preserve">An important source of </w:t>
      </w:r>
      <w:r>
        <w:t xml:space="preserve">nonclinical </w:t>
      </w:r>
      <w:r w:rsidRPr="006E59F9">
        <w:t>uncertainty</w:t>
      </w:r>
      <w:r>
        <w:t xml:space="preserve"> is</w:t>
      </w:r>
      <w:r w:rsidRPr="006E59F9">
        <w:t xml:space="preserve"> </w:t>
      </w:r>
      <w:r w:rsidR="0083248E" w:rsidRPr="006E59F9">
        <w:t xml:space="preserve">that </w:t>
      </w:r>
      <w:r w:rsidR="0083248E">
        <w:t>normal, healthy</w:t>
      </w:r>
      <w:r w:rsidR="0083248E" w:rsidRPr="006E59F9">
        <w:t xml:space="preserve"> animals</w:t>
      </w:r>
      <w:r w:rsidR="0083248E">
        <w:t xml:space="preserve"> (exposure to non-test article sources of timothy grass allergens was intentionally prevented in all animal studies; animals were likely immunologically naïve at the start of the study dosing phases)</w:t>
      </w:r>
      <w:r w:rsidR="0083248E" w:rsidRPr="006E59F9">
        <w:t xml:space="preserve"> were </w:t>
      </w:r>
      <w:r w:rsidR="0083248E">
        <w:t xml:space="preserve">intentionally </w:t>
      </w:r>
      <w:r w:rsidR="0083248E" w:rsidRPr="006E59F9">
        <w:t>used</w:t>
      </w:r>
      <w:r w:rsidR="0083248E">
        <w:t xml:space="preserve"> in the toxicology program</w:t>
      </w:r>
      <w:r w:rsidR="0083248E" w:rsidRPr="006E59F9">
        <w:t xml:space="preserve">. </w:t>
      </w:r>
      <w:proofErr w:type="spellStart"/>
      <w:r w:rsidR="0083248E" w:rsidRPr="006E59F9">
        <w:t>Phl</w:t>
      </w:r>
      <w:proofErr w:type="spellEnd"/>
      <w:r w:rsidR="0083248E" w:rsidRPr="006E59F9">
        <w:t xml:space="preserve"> p</w:t>
      </w:r>
      <w:r w:rsidR="0083248E">
        <w:t xml:space="preserve"> allergen extract</w:t>
      </w:r>
      <w:r w:rsidR="0083248E" w:rsidRPr="006E59F9">
        <w:t xml:space="preserve"> administration to </w:t>
      </w:r>
      <w:r w:rsidR="0083248E">
        <w:t xml:space="preserve">timothy grass allergen immunologically </w:t>
      </w:r>
      <w:r w:rsidR="0083248E" w:rsidRPr="006E59F9">
        <w:t>primed animal</w:t>
      </w:r>
      <w:r w:rsidR="0083248E">
        <w:t>s would be mo</w:t>
      </w:r>
      <w:r w:rsidR="0083248E" w:rsidRPr="006E59F9">
        <w:t>re representative of the proposed human clinical situation</w:t>
      </w:r>
      <w:r w:rsidR="0083248E">
        <w:t xml:space="preserve">. However, the use of immunologically primed animals in the toxicology program may have created technical challenges with the conduct of the studies. </w:t>
      </w:r>
      <w:r>
        <w:t>This situation is representative of the overall limitations of current nonclinical test methods in relation to allergen extracts such as Grazax.</w:t>
      </w:r>
    </w:p>
    <w:p w14:paraId="4FE91AB6" w14:textId="7ED6CD34" w:rsidR="005479B1" w:rsidRDefault="00FE0277" w:rsidP="00FE0277">
      <w:r>
        <w:t xml:space="preserve">The immunological </w:t>
      </w:r>
      <w:r w:rsidRPr="006E59F9">
        <w:t>response</w:t>
      </w:r>
      <w:r>
        <w:t>s</w:t>
      </w:r>
      <w:r w:rsidRPr="006E59F9">
        <w:t xml:space="preserve"> in </w:t>
      </w:r>
      <w:r>
        <w:t xml:space="preserve">immunologically </w:t>
      </w:r>
      <w:r w:rsidRPr="006E59F9">
        <w:t xml:space="preserve">primed versus </w:t>
      </w:r>
      <w:r>
        <w:t>normal healthy</w:t>
      </w:r>
      <w:r w:rsidRPr="006E59F9">
        <w:t xml:space="preserve"> anima</w:t>
      </w:r>
      <w:r>
        <w:t>ls were</w:t>
      </w:r>
      <w:r w:rsidRPr="006E59F9">
        <w:t xml:space="preserve"> demonstrably different. In </w:t>
      </w:r>
      <w:r>
        <w:t xml:space="preserve">normal healthy mice, </w:t>
      </w:r>
      <w:r w:rsidRPr="006E59F9">
        <w:t>high doses</w:t>
      </w:r>
      <w:r>
        <w:t xml:space="preserve"> </w:t>
      </w:r>
      <w:r w:rsidRPr="006E59F9">
        <w:t>(</w:t>
      </w:r>
      <w:r w:rsidR="0028468D">
        <w:t xml:space="preserve">approximately </w:t>
      </w:r>
      <w:r w:rsidRPr="006E59F9">
        <w:t>1522</w:t>
      </w:r>
      <w:r w:rsidR="005479B1">
        <w:t xml:space="preserve"> </w:t>
      </w:r>
      <w:r w:rsidRPr="006E59F9">
        <w:t xml:space="preserve">X the </w:t>
      </w:r>
      <w:r>
        <w:t>clinical dose/d PO for 15 weeks</w:t>
      </w:r>
      <w:r>
        <w:rPr>
          <w:rStyle w:val="FootnoteReference"/>
        </w:rPr>
        <w:footnoteReference w:id="12"/>
      </w:r>
      <w:r w:rsidRPr="006E59F9">
        <w:t>) administered over rel</w:t>
      </w:r>
      <w:r w:rsidR="005479B1">
        <w:t xml:space="preserve">atively long periods of time </w:t>
      </w:r>
      <w:r w:rsidR="005479B1">
        <w:lastRenderedPageBreak/>
        <w:t>(</w:t>
      </w:r>
      <w:r w:rsidR="00B1428D">
        <w:t>≥</w:t>
      </w:r>
      <w:r w:rsidR="00A86C6A">
        <w:t> </w:t>
      </w:r>
      <w:r w:rsidRPr="006E59F9">
        <w:t xml:space="preserve">15 </w:t>
      </w:r>
      <w:r>
        <w:t>we</w:t>
      </w:r>
      <w:r w:rsidRPr="006E59F9">
        <w:t xml:space="preserve">eks in mice) were required to produce an immunological response </w:t>
      </w:r>
      <w:r>
        <w:t xml:space="preserve">in </w:t>
      </w:r>
      <w:r w:rsidR="0028468D">
        <w:t xml:space="preserve">approximately </w:t>
      </w:r>
      <w:r>
        <w:t>⅔ of animals</w:t>
      </w:r>
      <w:r w:rsidRPr="006E59F9">
        <w:t xml:space="preserve">. However, </w:t>
      </w:r>
      <w:r>
        <w:t xml:space="preserve">in </w:t>
      </w:r>
      <w:proofErr w:type="spellStart"/>
      <w:r>
        <w:t>Phl</w:t>
      </w:r>
      <w:proofErr w:type="spellEnd"/>
      <w:r>
        <w:t xml:space="preserve"> p allergen extract </w:t>
      </w:r>
      <w:r w:rsidRPr="006E59F9">
        <w:t>immunologically primed (</w:t>
      </w:r>
      <w:r>
        <w:t>greater</w:t>
      </w:r>
      <w:r w:rsidRPr="006E59F9">
        <w:t xml:space="preserve"> </w:t>
      </w:r>
      <w:r>
        <w:t>human relevance</w:t>
      </w:r>
      <w:r w:rsidRPr="006E59F9">
        <w:t>)</w:t>
      </w:r>
      <w:r>
        <w:t xml:space="preserve"> </w:t>
      </w:r>
      <w:r w:rsidRPr="006E59F9">
        <w:t>m</w:t>
      </w:r>
      <w:r>
        <w:t>ice</w:t>
      </w:r>
      <w:r w:rsidRPr="006E59F9">
        <w:t xml:space="preserve"> pharmacologically-relevant </w:t>
      </w:r>
      <w:r>
        <w:t xml:space="preserve">immune </w:t>
      </w:r>
      <w:r w:rsidRPr="006E59F9">
        <w:t>responses were reliably achieved at much lower dose levels (</w:t>
      </w:r>
      <w:r w:rsidR="0028468D">
        <w:t xml:space="preserve">approximately </w:t>
      </w:r>
      <w:r>
        <w:t>76</w:t>
      </w:r>
      <w:r w:rsidR="005479B1">
        <w:t xml:space="preserve"> </w:t>
      </w:r>
      <w:r w:rsidR="00D47AC9">
        <w:t>x</w:t>
      </w:r>
      <w:r w:rsidR="00D47AC9" w:rsidRPr="006E59F9">
        <w:t xml:space="preserve"> </w:t>
      </w:r>
      <w:r>
        <w:t>clinical dose</w:t>
      </w:r>
      <w:r w:rsidRPr="006E59F9">
        <w:t>)</w:t>
      </w:r>
      <w:r w:rsidR="005479B1">
        <w:t>.</w:t>
      </w:r>
    </w:p>
    <w:p w14:paraId="4FE91AB7" w14:textId="31FF1C43" w:rsidR="005479B1" w:rsidRDefault="00FE0277" w:rsidP="00FE0277">
      <w:r w:rsidRPr="006E59F9">
        <w:t xml:space="preserve">The maximum doses used in most of the toxicology program </w:t>
      </w:r>
      <w:r>
        <w:t>were</w:t>
      </w:r>
      <w:r w:rsidRPr="006E59F9">
        <w:t xml:space="preserve"> the claimed highest practical experimental dose</w:t>
      </w:r>
      <w:r>
        <w:t>s</w:t>
      </w:r>
      <w:r w:rsidRPr="006E59F9">
        <w:t xml:space="preserve"> (500</w:t>
      </w:r>
      <w:r w:rsidR="00C76A34">
        <w:t>,</w:t>
      </w:r>
      <w:r w:rsidRPr="006E59F9">
        <w:t>000 SQ-U/animal/</w:t>
      </w:r>
      <w:r>
        <w:t>d PO</w:t>
      </w:r>
      <w:r w:rsidRPr="006E59F9">
        <w:t xml:space="preserve">, roughly 0.68 mg </w:t>
      </w:r>
      <w:proofErr w:type="spellStart"/>
      <w:r w:rsidRPr="006E59F9">
        <w:t>Phl</w:t>
      </w:r>
      <w:proofErr w:type="spellEnd"/>
      <w:r w:rsidRPr="006E59F9">
        <w:t xml:space="preserve"> p dry matter/animal/</w:t>
      </w:r>
      <w:r>
        <w:t>d</w:t>
      </w:r>
      <w:r w:rsidRPr="006E59F9">
        <w:t>,</w:t>
      </w:r>
      <w:r>
        <w:t xml:space="preserve"> </w:t>
      </w:r>
      <w:r w:rsidR="0028468D">
        <w:t xml:space="preserve">approximately </w:t>
      </w:r>
      <w:r w:rsidRPr="006E59F9">
        <w:t>1522</w:t>
      </w:r>
      <w:r w:rsidR="00C76A34">
        <w:t xml:space="preserve"> </w:t>
      </w:r>
      <w:r w:rsidR="00D47AC9">
        <w:t>x</w:t>
      </w:r>
      <w:r w:rsidR="00D47AC9" w:rsidRPr="006E59F9">
        <w:t xml:space="preserve"> </w:t>
      </w:r>
      <w:r>
        <w:t xml:space="preserve">clinical dose </w:t>
      </w:r>
      <w:r w:rsidRPr="006E59F9">
        <w:t xml:space="preserve">in mice and </w:t>
      </w:r>
      <w:r w:rsidR="0028468D">
        <w:t xml:space="preserve">approximately </w:t>
      </w:r>
      <w:r w:rsidRPr="006E59F9">
        <w:t>20</w:t>
      </w:r>
      <w:r w:rsidR="00C76A34">
        <w:t xml:space="preserve"> </w:t>
      </w:r>
      <w:r w:rsidR="00D47AC9">
        <w:t>x</w:t>
      </w:r>
      <w:r w:rsidR="00D47AC9" w:rsidRPr="006E59F9">
        <w:t xml:space="preserve"> </w:t>
      </w:r>
      <w:r>
        <w:t>clinical dose</w:t>
      </w:r>
      <w:r w:rsidRPr="006E59F9">
        <w:t xml:space="preserve"> in dogs; 1</w:t>
      </w:r>
      <w:r w:rsidR="00C76A34">
        <w:t>,</w:t>
      </w:r>
      <w:r w:rsidRPr="006E59F9">
        <w:t>000</w:t>
      </w:r>
      <w:r w:rsidR="00C76A34">
        <w:t>,</w:t>
      </w:r>
      <w:r w:rsidRPr="006E59F9">
        <w:t xml:space="preserve">000 SQ-U, roughly 1.36 mg/animal, </w:t>
      </w:r>
      <w:r w:rsidR="0028468D">
        <w:t xml:space="preserve">approximately </w:t>
      </w:r>
      <w:r>
        <w:t>3045</w:t>
      </w:r>
      <w:r w:rsidR="00C76A34">
        <w:t xml:space="preserve"> </w:t>
      </w:r>
      <w:r w:rsidR="00D47AC9">
        <w:t>x</w:t>
      </w:r>
      <w:r w:rsidR="00D47AC9" w:rsidRPr="006E59F9">
        <w:t xml:space="preserve"> </w:t>
      </w:r>
      <w:r>
        <w:t>clinical dose</w:t>
      </w:r>
      <w:r w:rsidRPr="006E59F9">
        <w:t xml:space="preserve"> was the maximum dose in the mouse acute toxicology studies)</w:t>
      </w:r>
      <w:r w:rsidR="005479B1">
        <w:t>.</w:t>
      </w:r>
    </w:p>
    <w:p w14:paraId="4FE91AB8" w14:textId="52D141EE" w:rsidR="005479B1" w:rsidRDefault="00FE0277" w:rsidP="00FE0277">
      <w:pPr>
        <w:rPr>
          <w:lang w:val="en"/>
        </w:rPr>
      </w:pPr>
      <w:r w:rsidRPr="00751E03">
        <w:rPr>
          <w:kern w:val="2"/>
        </w:rPr>
        <w:t xml:space="preserve">Consistent with the likely human clinical situation, the dosing volumes used in the </w:t>
      </w:r>
      <w:r>
        <w:rPr>
          <w:kern w:val="2"/>
        </w:rPr>
        <w:t xml:space="preserve">mouse </w:t>
      </w:r>
      <w:r w:rsidRPr="00751E03">
        <w:rPr>
          <w:kern w:val="2"/>
        </w:rPr>
        <w:t xml:space="preserve">studies (5 or 10 </w:t>
      </w:r>
      <w:r w:rsidR="004A7F98">
        <w:rPr>
          <w:rFonts w:eastAsia="Gulim"/>
        </w:rPr>
        <w:t>µ</w:t>
      </w:r>
      <w:r w:rsidRPr="00751E03">
        <w:rPr>
          <w:kern w:val="2"/>
        </w:rPr>
        <w:t>L</w:t>
      </w:r>
      <w:r>
        <w:rPr>
          <w:kern w:val="2"/>
        </w:rPr>
        <w:t xml:space="preserve"> of the </w:t>
      </w:r>
      <w:proofErr w:type="spellStart"/>
      <w:r>
        <w:rPr>
          <w:kern w:val="2"/>
        </w:rPr>
        <w:t>Phl</w:t>
      </w:r>
      <w:proofErr w:type="spellEnd"/>
      <w:r>
        <w:rPr>
          <w:kern w:val="2"/>
        </w:rPr>
        <w:t xml:space="preserve"> p allergen extract dissolved in distilled water</w:t>
      </w:r>
      <w:r w:rsidRPr="00751E03">
        <w:rPr>
          <w:kern w:val="2"/>
        </w:rPr>
        <w:t xml:space="preserve">) </w:t>
      </w:r>
      <w:r w:rsidRPr="00751E03">
        <w:rPr>
          <w:lang w:val="en"/>
        </w:rPr>
        <w:t>resulted in essentially the entire test article dose reaching the stomach (</w:t>
      </w:r>
      <w:r w:rsidR="004A7F98">
        <w:rPr>
          <w:lang w:val="en"/>
        </w:rPr>
        <w:t>that is</w:t>
      </w:r>
      <w:r w:rsidRPr="00751E03">
        <w:rPr>
          <w:lang w:val="en"/>
        </w:rPr>
        <w:t xml:space="preserve"> the administered material was not just confined to the </w:t>
      </w:r>
      <w:r>
        <w:rPr>
          <w:lang w:val="en"/>
        </w:rPr>
        <w:t>oral cavity</w:t>
      </w:r>
      <w:r w:rsidRPr="00751E03">
        <w:rPr>
          <w:lang w:val="en"/>
        </w:rPr>
        <w:t xml:space="preserve">), even when the animals were restrained </w:t>
      </w:r>
      <w:r>
        <w:rPr>
          <w:lang w:val="en"/>
        </w:rPr>
        <w:t xml:space="preserve">for 20 sec </w:t>
      </w:r>
      <w:r w:rsidRPr="00751E03">
        <w:rPr>
          <w:lang w:val="en"/>
        </w:rPr>
        <w:t>in an attempt to try and prevent, as far as practical, them from swallowing the dosed material (based on ALK-</w:t>
      </w:r>
      <w:proofErr w:type="spellStart"/>
      <w:r w:rsidRPr="00751E03">
        <w:rPr>
          <w:lang w:val="en"/>
        </w:rPr>
        <w:t>Abelló</w:t>
      </w:r>
      <w:proofErr w:type="spellEnd"/>
      <w:r w:rsidRPr="00751E03">
        <w:rPr>
          <w:lang w:val="en"/>
        </w:rPr>
        <w:t xml:space="preserve"> A/S’s published data).</w:t>
      </w:r>
      <w:r w:rsidRPr="00751E03">
        <w:rPr>
          <w:rStyle w:val="FootnoteReference"/>
          <w:lang w:val="en"/>
        </w:rPr>
        <w:footnoteReference w:id="13"/>
      </w:r>
      <w:r w:rsidRPr="00751E03">
        <w:rPr>
          <w:vertAlign w:val="superscript"/>
          <w:lang w:val="en"/>
        </w:rPr>
        <w:t>,</w:t>
      </w:r>
      <w:r w:rsidRPr="00751E03">
        <w:rPr>
          <w:rStyle w:val="FootnoteReference"/>
          <w:lang w:val="en"/>
        </w:rPr>
        <w:footnoteReference w:id="14"/>
      </w:r>
      <w:r w:rsidRPr="00751E03">
        <w:rPr>
          <w:vertAlign w:val="superscript"/>
          <w:lang w:val="en"/>
        </w:rPr>
        <w:t>,</w:t>
      </w:r>
      <w:r w:rsidRPr="00751E03">
        <w:rPr>
          <w:rStyle w:val="FootnoteReference"/>
        </w:rPr>
        <w:t xml:space="preserve"> </w:t>
      </w:r>
      <w:r w:rsidRPr="00751E03">
        <w:rPr>
          <w:rStyle w:val="FootnoteReference"/>
        </w:rPr>
        <w:footnoteReference w:id="15"/>
      </w:r>
      <w:r w:rsidRPr="00751E03">
        <w:rPr>
          <w:lang w:val="en"/>
        </w:rPr>
        <w:t xml:space="preserve"> </w:t>
      </w:r>
      <w:r>
        <w:rPr>
          <w:lang w:val="en"/>
        </w:rPr>
        <w:t>The intent of the 20 sec of restraint was to try and ensure adequate oral mucosal contact with the test articles (no kinetic data demonstrating the effectiveness of this was supplied.</w:t>
      </w:r>
      <w:r w:rsidR="00FA2591">
        <w:rPr>
          <w:lang w:val="en"/>
        </w:rPr>
        <w:t xml:space="preserve"> </w:t>
      </w:r>
      <w:r>
        <w:rPr>
          <w:lang w:val="en"/>
        </w:rPr>
        <w:t xml:space="preserve">Notably no differences were observed with 40 sec of restraint </w:t>
      </w:r>
      <w:r>
        <w:rPr>
          <w:i/>
          <w:lang w:val="en"/>
        </w:rPr>
        <w:t xml:space="preserve">vs </w:t>
      </w:r>
      <w:r>
        <w:rPr>
          <w:lang w:val="en"/>
        </w:rPr>
        <w:t xml:space="preserve">20 sec of restraint). A mannitol + fish </w:t>
      </w:r>
      <w:proofErr w:type="spellStart"/>
      <w:r>
        <w:rPr>
          <w:lang w:val="en"/>
        </w:rPr>
        <w:t>gelatine</w:t>
      </w:r>
      <w:proofErr w:type="spellEnd"/>
      <w:r>
        <w:rPr>
          <w:lang w:val="en"/>
        </w:rPr>
        <w:t xml:space="preserve"> + </w:t>
      </w:r>
      <w:proofErr w:type="spellStart"/>
      <w:r>
        <w:rPr>
          <w:lang w:val="en"/>
        </w:rPr>
        <w:t>lyphosilate</w:t>
      </w:r>
      <w:proofErr w:type="spellEnd"/>
      <w:r>
        <w:rPr>
          <w:lang w:val="en"/>
        </w:rPr>
        <w:t xml:space="preserve"> of </w:t>
      </w:r>
      <w:proofErr w:type="spellStart"/>
      <w:r>
        <w:rPr>
          <w:lang w:val="en"/>
        </w:rPr>
        <w:t>Phl</w:t>
      </w:r>
      <w:proofErr w:type="spellEnd"/>
      <w:r>
        <w:rPr>
          <w:lang w:val="en"/>
        </w:rPr>
        <w:t xml:space="preserve"> p allergen extract tablet formulation (similar to the proposed Grazax clinical formulation) was used in the dog studies (t</w:t>
      </w:r>
      <w:r w:rsidRPr="002C0099">
        <w:rPr>
          <w:lang w:val="en"/>
        </w:rPr>
        <w:t>he mouth of the animal</w:t>
      </w:r>
      <w:r>
        <w:rPr>
          <w:lang w:val="en"/>
        </w:rPr>
        <w:t xml:space="preserve"> </w:t>
      </w:r>
      <w:r w:rsidRPr="002C0099">
        <w:rPr>
          <w:lang w:val="en"/>
        </w:rPr>
        <w:t xml:space="preserve">was held shut for </w:t>
      </w:r>
      <w:r w:rsidR="0028468D">
        <w:rPr>
          <w:lang w:val="en"/>
        </w:rPr>
        <w:t xml:space="preserve">approximately </w:t>
      </w:r>
      <w:r w:rsidRPr="002C0099">
        <w:rPr>
          <w:lang w:val="en"/>
        </w:rPr>
        <w:t>10 seconds to allow dissoluti</w:t>
      </w:r>
      <w:r>
        <w:rPr>
          <w:lang w:val="en"/>
        </w:rPr>
        <w:t>on, mucosal contact and absorption of the tablet test articles)</w:t>
      </w:r>
      <w:r w:rsidR="005479B1">
        <w:rPr>
          <w:lang w:val="en"/>
        </w:rPr>
        <w:t>.</w:t>
      </w:r>
    </w:p>
    <w:p w14:paraId="4FE91AB9" w14:textId="00810926" w:rsidR="004334C7" w:rsidRPr="004334C7" w:rsidRDefault="00FE0277" w:rsidP="004334C7">
      <w:r w:rsidRPr="00751E03">
        <w:t>In summary, while there are notable uncertainties</w:t>
      </w:r>
      <w:r>
        <w:t xml:space="preserve"> regarding extrapolating from the nonclinical program to</w:t>
      </w:r>
      <w:r w:rsidRPr="00751E03">
        <w:t xml:space="preserve"> the proposed human clinical use of Grazax</w:t>
      </w:r>
      <w:r>
        <w:t>,</w:t>
      </w:r>
      <w:r w:rsidRPr="00751E03">
        <w:t xml:space="preserve"> </w:t>
      </w:r>
      <w:r>
        <w:t xml:space="preserve">rough </w:t>
      </w:r>
      <w:r w:rsidRPr="00751E03">
        <w:t xml:space="preserve">quantitative comparisons </w:t>
      </w:r>
      <w:r>
        <w:t xml:space="preserve">regarding non-immunological safety properties </w:t>
      </w:r>
      <w:r w:rsidRPr="00751E03">
        <w:t xml:space="preserve">can be made. Given the </w:t>
      </w:r>
      <w:r>
        <w:t xml:space="preserve">toxicologically </w:t>
      </w:r>
      <w:r w:rsidRPr="00751E03">
        <w:t xml:space="preserve">negligible levels of exposure to the non-protein components in the </w:t>
      </w:r>
      <w:proofErr w:type="spellStart"/>
      <w:r w:rsidRPr="00751E03">
        <w:t>Phl</w:t>
      </w:r>
      <w:proofErr w:type="spellEnd"/>
      <w:r w:rsidRPr="00751E03">
        <w:t xml:space="preserve"> p </w:t>
      </w:r>
      <w:r>
        <w:t>allergen extract</w:t>
      </w:r>
      <w:r w:rsidRPr="00751E03">
        <w:t>, the major potential sources of undesirable effects will</w:t>
      </w:r>
      <w:r>
        <w:t xml:space="preserve"> likely</w:t>
      </w:r>
      <w:r w:rsidRPr="00751E03">
        <w:t xml:space="preserve"> be the various immune system responses to its protein components. </w:t>
      </w:r>
      <w:r w:rsidR="0083248E">
        <w:t>A</w:t>
      </w:r>
      <w:r w:rsidRPr="00751E03">
        <w:t xml:space="preserve">nimal models </w:t>
      </w:r>
      <w:r w:rsidR="0083248E">
        <w:t xml:space="preserve">are unreliable predictors </w:t>
      </w:r>
      <w:r w:rsidRPr="00751E03">
        <w:t>of human risk for some of these immunological endpoints (</w:t>
      </w:r>
      <w:r w:rsidR="00C76A34">
        <w:t>for example</w:t>
      </w:r>
      <w:r w:rsidRPr="00751E03">
        <w:t xml:space="preserve"> anaphylaxis</w:t>
      </w:r>
      <w:r>
        <w:t>, anaphylactoid reactions</w:t>
      </w:r>
      <w:r w:rsidRPr="00751E03">
        <w:t>)</w:t>
      </w:r>
      <w:r w:rsidR="0083248E">
        <w:t>.</w:t>
      </w:r>
    </w:p>
    <w:p w14:paraId="4FE91ABA" w14:textId="77777777" w:rsidR="008E7846" w:rsidRDefault="008E7846" w:rsidP="0026014A">
      <w:pPr>
        <w:pStyle w:val="Heading3"/>
      </w:pPr>
      <w:bookmarkStart w:id="43" w:name="_Toc247691512"/>
      <w:bookmarkStart w:id="44" w:name="_Toc314842496"/>
      <w:bookmarkStart w:id="45" w:name="_Toc511209788"/>
      <w:r w:rsidRPr="00020030">
        <w:t>Pharmacology</w:t>
      </w:r>
      <w:bookmarkEnd w:id="43"/>
      <w:bookmarkEnd w:id="44"/>
      <w:bookmarkEnd w:id="45"/>
    </w:p>
    <w:p w14:paraId="4FE91ABB" w14:textId="77777777" w:rsidR="00FE0277" w:rsidRPr="00751E03" w:rsidRDefault="00FE0277" w:rsidP="00FE0277">
      <w:pPr>
        <w:pStyle w:val="Heading4"/>
      </w:pPr>
      <w:bookmarkStart w:id="46" w:name="_Toc455737030"/>
      <w:r w:rsidRPr="00751E03">
        <w:t>Primary pharmacology</w:t>
      </w:r>
      <w:bookmarkEnd w:id="46"/>
    </w:p>
    <w:p w14:paraId="4FE91ABC" w14:textId="4F9900B4" w:rsidR="00FE0277" w:rsidRPr="00BB37E6" w:rsidRDefault="00FE0277" w:rsidP="00FE0277">
      <w:r>
        <w:t>The primary phar</w:t>
      </w:r>
      <w:r w:rsidRPr="00751E03">
        <w:t xml:space="preserve">macology of </w:t>
      </w:r>
      <w:r>
        <w:t>SLIT is incompletely understood. Ther</w:t>
      </w:r>
      <w:r w:rsidRPr="00751E03">
        <w:t>e is little Grazax-</w:t>
      </w:r>
      <w:r>
        <w:t>specific data, it</w:t>
      </w:r>
      <w:r w:rsidRPr="00751E03">
        <w:t xml:space="preserve"> is assumed that </w:t>
      </w:r>
      <w:r>
        <w:t>it</w:t>
      </w:r>
      <w:r w:rsidRPr="00751E03">
        <w:t xml:space="preserve"> behaves like other SLIT products</w:t>
      </w:r>
      <w:r w:rsidRPr="00751E03">
        <w:rPr>
          <w:rStyle w:val="FootnoteReference"/>
        </w:rPr>
        <w:footnoteReference w:id="16"/>
      </w:r>
      <w:r w:rsidRPr="00751E03">
        <w:rPr>
          <w:rStyle w:val="FootnoteReference"/>
        </w:rPr>
        <w:t>,</w:t>
      </w:r>
      <w:r w:rsidRPr="00751E03">
        <w:rPr>
          <w:rStyle w:val="FootnoteReference"/>
        </w:rPr>
        <w:footnoteReference w:id="17"/>
      </w:r>
      <w:r>
        <w:t xml:space="preserve">, and the </w:t>
      </w:r>
      <w:r w:rsidR="002D7A68">
        <w:t>sponsor</w:t>
      </w:r>
      <w:r>
        <w:t xml:space="preserve">’s proposed major modes of action (MOA) are: (a) production of </w:t>
      </w:r>
      <w:r w:rsidR="00C76A34">
        <w:t>allergen specific</w:t>
      </w:r>
      <w:r w:rsidR="00EB112B">
        <w:t xml:space="preserve"> IgG and Ig</w:t>
      </w:r>
      <w:r>
        <w:t>G</w:t>
      </w:r>
      <w:r>
        <w:rPr>
          <w:vertAlign w:val="subscript"/>
        </w:rPr>
        <w:t>4</w:t>
      </w:r>
      <w:r>
        <w:t xml:space="preserve"> blocking antibodies which interfere with major aller</w:t>
      </w:r>
      <w:r w:rsidR="00530C71">
        <w:t xml:space="preserve">gen </w:t>
      </w:r>
      <w:r w:rsidR="00530C71">
        <w:rPr>
          <w:rFonts w:cs="Arial"/>
        </w:rPr>
        <w:t>Immunoglobulin E</w:t>
      </w:r>
      <w:r w:rsidR="00530C71">
        <w:t xml:space="preserve"> (</w:t>
      </w:r>
      <w:proofErr w:type="spellStart"/>
      <w:r>
        <w:t>IgE</w:t>
      </w:r>
      <w:proofErr w:type="spellEnd"/>
      <w:r w:rsidR="00530C71">
        <w:t>)</w:t>
      </w:r>
      <w:r>
        <w:t xml:space="preserve"> interactions; and (b) induction of </w:t>
      </w:r>
      <w:r w:rsidR="00EB112B">
        <w:rPr>
          <w:rFonts w:cs="Arial"/>
        </w:rPr>
        <w:t>regulatory T cells</w:t>
      </w:r>
      <w:r w:rsidR="00EB112B">
        <w:t xml:space="preserve"> (</w:t>
      </w:r>
      <w:proofErr w:type="spellStart"/>
      <w:r>
        <w:t>Treg</w:t>
      </w:r>
      <w:proofErr w:type="spellEnd"/>
      <w:r w:rsidR="00EB112B">
        <w:t xml:space="preserve">) </w:t>
      </w:r>
      <w:r>
        <w:t xml:space="preserve">mediated inhibition of Th2 cell pro-allergic responses. Total serum </w:t>
      </w:r>
      <w:r w:rsidR="00C76A34">
        <w:t>allergen specific</w:t>
      </w:r>
      <w:r>
        <w:t xml:space="preserve"> IgG and IgG</w:t>
      </w:r>
      <w:r>
        <w:rPr>
          <w:vertAlign w:val="subscript"/>
        </w:rPr>
        <w:t>4</w:t>
      </w:r>
      <w:r>
        <w:t xml:space="preserve"> levels are often used as </w:t>
      </w:r>
      <w:r>
        <w:lastRenderedPageBreak/>
        <w:t>indirect surrogate biomarkers markers for the development of blocking antibodies and monitoring of SLIT desensit</w:t>
      </w:r>
      <w:r w:rsidR="004A7F98">
        <w:t>is</w:t>
      </w:r>
      <w:r>
        <w:t>ation.</w:t>
      </w:r>
      <w:r w:rsidRPr="00596FF2">
        <w:rPr>
          <w:rStyle w:val="FootnoteReference"/>
        </w:rPr>
        <w:t xml:space="preserve"> </w:t>
      </w:r>
      <w:r>
        <w:rPr>
          <w:rStyle w:val="FootnoteReference"/>
        </w:rPr>
        <w:footnoteReference w:id="18"/>
      </w:r>
      <w:r>
        <w:t xml:space="preserve"> However, the predictive relationships between these biomarkers and clinical outcomes of SLIT are poor.</w:t>
      </w:r>
      <w:bookmarkStart w:id="47" w:name="_Ref497308411"/>
      <w:r>
        <w:rPr>
          <w:rStyle w:val="FootnoteReference"/>
        </w:rPr>
        <w:footnoteReference w:id="19"/>
      </w:r>
      <w:bookmarkEnd w:id="47"/>
      <w:r w:rsidR="00FA2591">
        <w:t xml:space="preserve"> </w:t>
      </w:r>
      <w:r w:rsidR="0083248E">
        <w:t>In general, serum anti-allergen IgG and IgG</w:t>
      </w:r>
      <w:r w:rsidR="0083248E">
        <w:rPr>
          <w:vertAlign w:val="subscript"/>
        </w:rPr>
        <w:t>4</w:t>
      </w:r>
      <w:r w:rsidR="0083248E">
        <w:t xml:space="preserve"> levels are regarded as being uncertain parameters for evaluating the clinical outcome of SLIT treatment.</w:t>
      </w:r>
      <w:r w:rsidR="00726C3F">
        <w:rPr>
          <w:rStyle w:val="FootnoteReference"/>
        </w:rPr>
        <w:footnoteReference w:id="20"/>
      </w:r>
    </w:p>
    <w:p w14:paraId="4FE91ABD" w14:textId="77777777" w:rsidR="004334C7" w:rsidRDefault="00FE0277" w:rsidP="00FE0277">
      <w:pPr>
        <w:pStyle w:val="FigureTitle"/>
      </w:pPr>
      <w:r>
        <w:t>Figure 1: Mechanisms of allergic versus healthy immune responses</w:t>
      </w:r>
      <w:r>
        <w:rPr>
          <w:rStyle w:val="FootnoteReference"/>
        </w:rPr>
        <w:footnoteReference w:id="21"/>
      </w:r>
    </w:p>
    <w:p w14:paraId="4FE91ABE" w14:textId="77777777" w:rsidR="00FE0277" w:rsidRDefault="00FE0277" w:rsidP="00FE0277">
      <w:pPr>
        <w:pStyle w:val="FigureTitle"/>
      </w:pPr>
      <w:r>
        <w:rPr>
          <w:noProof/>
          <w:lang w:eastAsia="en-AU"/>
        </w:rPr>
        <w:drawing>
          <wp:inline distT="0" distB="0" distL="0" distR="0" wp14:anchorId="4FE91EEF" wp14:editId="1D99A86B">
            <wp:extent cx="4564049" cy="3726332"/>
            <wp:effectExtent l="0" t="0" r="8255" b="7620"/>
            <wp:docPr id="16" name="Picture 16" descr="Figure 1 is a image showing the mechanisms of allergic versus healthy immune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568045" cy="3729595"/>
                    </a:xfrm>
                    <a:prstGeom prst="rect">
                      <a:avLst/>
                    </a:prstGeom>
                  </pic:spPr>
                </pic:pic>
              </a:graphicData>
            </a:graphic>
          </wp:inline>
        </w:drawing>
      </w:r>
    </w:p>
    <w:p w14:paraId="4FE91ABF" w14:textId="180B6C0A" w:rsidR="00FE0277" w:rsidRPr="00B17B44" w:rsidRDefault="00FE0277" w:rsidP="00B17B44">
      <w:pPr>
        <w:spacing w:before="0" w:after="0" w:line="240" w:lineRule="auto"/>
        <w:rPr>
          <w:rFonts w:ascii="Times New Roman" w:eastAsiaTheme="minorHAnsi" w:hAnsi="Times New Roman"/>
          <w:sz w:val="24"/>
          <w:szCs w:val="24"/>
          <w:lang w:eastAsia="en-AU"/>
        </w:rPr>
      </w:pPr>
      <w:r w:rsidRPr="00751E03">
        <w:t xml:space="preserve">The </w:t>
      </w:r>
      <w:r w:rsidR="002D7A68">
        <w:t>sponsor</w:t>
      </w:r>
      <w:r w:rsidRPr="00751E03">
        <w:t xml:space="preserve"> claims the available animal models of SLIT only partially replicate the human clinical phenomenon and that none of the currently known modes/mechanisms of action are able to explain all the observed human clinical and immunological effects. </w:t>
      </w:r>
      <w:r w:rsidR="00B04E04">
        <w:rPr>
          <w:lang w:val="en-US"/>
        </w:rPr>
        <w:t xml:space="preserve">However, </w:t>
      </w:r>
      <w:r w:rsidR="00B04E04">
        <w:t>SLITs for grass pollen allergies are currently used in a variety of veterinary species</w:t>
      </w:r>
      <w:r w:rsidR="00B04E04">
        <w:rPr>
          <w:lang w:val="en-US"/>
        </w:rPr>
        <w:t xml:space="preserve"> </w:t>
      </w:r>
      <w:r w:rsidR="00B04E04">
        <w:t>and the interspecies differences are being progressively explored</w:t>
      </w:r>
      <w:r w:rsidR="001E30EE">
        <w:t>.</w:t>
      </w:r>
      <w:r w:rsidR="001E30EE">
        <w:rPr>
          <w:rStyle w:val="FootnoteReference"/>
        </w:rPr>
        <w:footnoteReference w:id="22"/>
      </w:r>
      <w:r w:rsidR="001E30EE">
        <w:t xml:space="preserve"> </w:t>
      </w:r>
      <w:r w:rsidR="001E30EE">
        <w:rPr>
          <w:rStyle w:val="FootnoteReference"/>
        </w:rPr>
        <w:footnoteReference w:id="23"/>
      </w:r>
      <w:r w:rsidR="001E30EE">
        <w:t xml:space="preserve"> </w:t>
      </w:r>
      <w:r w:rsidR="001E30EE">
        <w:rPr>
          <w:rStyle w:val="FootnoteReference"/>
        </w:rPr>
        <w:footnoteReference w:id="24"/>
      </w:r>
      <w:r w:rsidR="001E30EE">
        <w:t xml:space="preserve"> </w:t>
      </w:r>
      <w:r w:rsidR="001E30EE">
        <w:rPr>
          <w:rStyle w:val="FootnoteReference"/>
        </w:rPr>
        <w:footnoteReference w:id="25"/>
      </w:r>
      <w:r w:rsidR="001E30EE">
        <w:t xml:space="preserve"> </w:t>
      </w:r>
      <w:bookmarkStart w:id="48" w:name="_Ref511212018"/>
      <w:r w:rsidR="001E30EE">
        <w:rPr>
          <w:rStyle w:val="FootnoteReference"/>
        </w:rPr>
        <w:footnoteReference w:id="26"/>
      </w:r>
      <w:bookmarkEnd w:id="48"/>
      <w:r w:rsidR="001E30EE">
        <w:t xml:space="preserve"> </w:t>
      </w:r>
      <w:bookmarkStart w:id="49" w:name="_Ref511212020"/>
      <w:r w:rsidR="001E30EE">
        <w:rPr>
          <w:rStyle w:val="FootnoteReference"/>
        </w:rPr>
        <w:footnoteReference w:id="27"/>
      </w:r>
      <w:bookmarkEnd w:id="49"/>
      <w:r w:rsidR="001E30EE">
        <w:t xml:space="preserve"> </w:t>
      </w:r>
      <w:bookmarkStart w:id="50" w:name="_Ref511212022"/>
      <w:r w:rsidR="001E30EE">
        <w:rPr>
          <w:rStyle w:val="FootnoteReference"/>
        </w:rPr>
        <w:footnoteReference w:id="28"/>
      </w:r>
      <w:bookmarkEnd w:id="50"/>
      <w:r w:rsidR="001E30EE">
        <w:t xml:space="preserve"> </w:t>
      </w:r>
      <w:bookmarkStart w:id="51" w:name="_Ref511212024"/>
      <w:r w:rsidR="001E30EE">
        <w:rPr>
          <w:rStyle w:val="FootnoteReference"/>
        </w:rPr>
        <w:footnoteReference w:id="29"/>
      </w:r>
      <w:bookmarkEnd w:id="51"/>
      <w:r w:rsidR="001E30EE">
        <w:t xml:space="preserve"> </w:t>
      </w:r>
      <w:bookmarkStart w:id="52" w:name="_Ref511212026"/>
      <w:r w:rsidR="001E30EE">
        <w:rPr>
          <w:rStyle w:val="FootnoteReference"/>
        </w:rPr>
        <w:footnoteReference w:id="30"/>
      </w:r>
      <w:bookmarkEnd w:id="52"/>
      <w:r w:rsidR="001E30EE">
        <w:t xml:space="preserve"> </w:t>
      </w:r>
      <w:bookmarkStart w:id="53" w:name="_Ref511212027"/>
      <w:r w:rsidR="001E30EE">
        <w:rPr>
          <w:rStyle w:val="FootnoteReference"/>
        </w:rPr>
        <w:footnoteReference w:id="31"/>
      </w:r>
      <w:bookmarkEnd w:id="53"/>
      <w:r w:rsidR="00313CF3">
        <w:t xml:space="preserve"> </w:t>
      </w:r>
      <w:bookmarkStart w:id="54" w:name="_Ref511212032"/>
      <w:r w:rsidR="00313CF3">
        <w:rPr>
          <w:rStyle w:val="FootnoteReference"/>
        </w:rPr>
        <w:footnoteReference w:id="32"/>
      </w:r>
      <w:bookmarkEnd w:id="54"/>
      <w:r w:rsidR="00B04E04">
        <w:t xml:space="preserve">Relevant </w:t>
      </w:r>
      <w:r w:rsidR="00B04E04">
        <w:lastRenderedPageBreak/>
        <w:t>pharmacology and pharmacodynamic studies are technically feasible in various animal models and are potentially important.</w:t>
      </w:r>
      <w:bookmarkStart w:id="55" w:name="_Ref511212095"/>
      <w:r w:rsidR="00313CF3">
        <w:rPr>
          <w:rStyle w:val="FootnoteReference"/>
        </w:rPr>
        <w:footnoteReference w:id="33"/>
      </w:r>
      <w:bookmarkEnd w:id="55"/>
      <w:r w:rsidR="00B04E04">
        <w:t xml:space="preserve"> </w:t>
      </w:r>
      <w:bookmarkStart w:id="56" w:name="_Ref511212096"/>
      <w:r w:rsidR="00313CF3">
        <w:rPr>
          <w:rStyle w:val="FootnoteReference"/>
        </w:rPr>
        <w:footnoteReference w:id="34"/>
      </w:r>
      <w:bookmarkEnd w:id="56"/>
      <w:r w:rsidR="00313CF3">
        <w:t xml:space="preserve"> </w:t>
      </w:r>
      <w:bookmarkStart w:id="57" w:name="_Ref511212100"/>
      <w:r w:rsidR="00313CF3">
        <w:rPr>
          <w:rStyle w:val="FootnoteReference"/>
        </w:rPr>
        <w:footnoteReference w:id="35"/>
      </w:r>
      <w:bookmarkEnd w:id="57"/>
      <w:r w:rsidR="00313CF3">
        <w:t xml:space="preserve"> </w:t>
      </w:r>
      <w:bookmarkStart w:id="58" w:name="_Ref511212102"/>
      <w:r w:rsidR="00313CF3">
        <w:rPr>
          <w:rStyle w:val="FootnoteReference"/>
        </w:rPr>
        <w:footnoteReference w:id="36"/>
      </w:r>
      <w:bookmarkEnd w:id="58"/>
      <w:r w:rsidR="00B04E04">
        <w:t>The sponsor has not fully explored these possibilities in the submitted nonclinical dossier.</w:t>
      </w:r>
    </w:p>
    <w:p w14:paraId="4FE91AC0" w14:textId="7530767A" w:rsidR="00FE0277" w:rsidRPr="00751E03" w:rsidRDefault="00FE0277" w:rsidP="00FE0277">
      <w:r w:rsidRPr="00751E03">
        <w:t>Some important general features of the SLIT</w:t>
      </w:r>
      <w:r>
        <w:t xml:space="preserve"> M</w:t>
      </w:r>
      <w:r w:rsidR="001E1063">
        <w:t>echanisms of action</w:t>
      </w:r>
      <w:r>
        <w:t>s</w:t>
      </w:r>
      <w:r w:rsidRPr="00751E03">
        <w:t>, which may apply to Grazax, are as follows</w:t>
      </w:r>
      <w:r w:rsidR="0026014A">
        <w:t xml:space="preserve">: </w:t>
      </w:r>
      <w:r>
        <w:rPr>
          <w:rStyle w:val="FootnoteReference"/>
        </w:rPr>
        <w:footnoteReference w:id="37"/>
      </w:r>
      <w:r w:rsidR="004E57C9">
        <w:t xml:space="preserve"> </w:t>
      </w:r>
      <w:bookmarkStart w:id="59" w:name="_Ref511211778"/>
      <w:r w:rsidR="004E57C9">
        <w:rPr>
          <w:rStyle w:val="FootnoteReference"/>
        </w:rPr>
        <w:footnoteReference w:id="38"/>
      </w:r>
      <w:bookmarkEnd w:id="59"/>
      <w:r w:rsidR="004E57C9">
        <w:t xml:space="preserve"> </w:t>
      </w:r>
      <w:bookmarkStart w:id="60" w:name="_Ref511211815"/>
      <w:r w:rsidR="009C5E16">
        <w:rPr>
          <w:rStyle w:val="FootnoteReference"/>
        </w:rPr>
        <w:footnoteReference w:id="39"/>
      </w:r>
      <w:bookmarkEnd w:id="60"/>
      <w:r w:rsidR="004E57C9">
        <w:t xml:space="preserve"> </w:t>
      </w:r>
      <w:bookmarkStart w:id="61" w:name="_Ref511211821"/>
      <w:r w:rsidR="009C5E16">
        <w:rPr>
          <w:rStyle w:val="FootnoteReference"/>
        </w:rPr>
        <w:footnoteReference w:id="40"/>
      </w:r>
      <w:bookmarkEnd w:id="61"/>
      <w:r w:rsidR="004E57C9">
        <w:t xml:space="preserve"> </w:t>
      </w:r>
      <w:r w:rsidR="009C5E16">
        <w:rPr>
          <w:rStyle w:val="FootnoteReference"/>
        </w:rPr>
        <w:footnoteReference w:id="41"/>
      </w:r>
      <w:r w:rsidR="004E57C9">
        <w:t xml:space="preserve"> </w:t>
      </w:r>
      <w:r w:rsidR="009C5E16">
        <w:rPr>
          <w:rStyle w:val="FootnoteReference"/>
        </w:rPr>
        <w:footnoteReference w:id="42"/>
      </w:r>
      <w:r w:rsidR="004E57C9">
        <w:t xml:space="preserve"> </w:t>
      </w:r>
      <w:r w:rsidR="001F17C0">
        <w:rPr>
          <w:rStyle w:val="FootnoteReference"/>
        </w:rPr>
        <w:footnoteReference w:id="43"/>
      </w:r>
      <w:r w:rsidR="004E57C9">
        <w:t xml:space="preserve"> </w:t>
      </w:r>
      <w:r w:rsidR="001F17C0">
        <w:rPr>
          <w:rStyle w:val="FootnoteReference"/>
        </w:rPr>
        <w:footnoteReference w:id="44"/>
      </w:r>
      <w:r w:rsidR="004E57C9">
        <w:t xml:space="preserve"> </w:t>
      </w:r>
      <w:r w:rsidR="001F17C0">
        <w:rPr>
          <w:rStyle w:val="FootnoteReference"/>
        </w:rPr>
        <w:footnoteReference w:id="45"/>
      </w:r>
      <w:r w:rsidR="004E57C9">
        <w:t xml:space="preserve"> </w:t>
      </w:r>
      <w:r w:rsidR="001F17C0">
        <w:rPr>
          <w:rStyle w:val="FootnoteReference"/>
        </w:rPr>
        <w:footnoteReference w:id="46"/>
      </w:r>
      <w:r w:rsidR="001F17C0">
        <w:t xml:space="preserve"> </w:t>
      </w:r>
      <w:r w:rsidR="001F17C0">
        <w:rPr>
          <w:rStyle w:val="FootnoteReference"/>
        </w:rPr>
        <w:footnoteReference w:id="47"/>
      </w:r>
      <w:r w:rsidR="001F17C0">
        <w:t xml:space="preserve"> </w:t>
      </w:r>
      <w:r w:rsidR="001F17C0">
        <w:rPr>
          <w:rStyle w:val="FootnoteReference"/>
        </w:rPr>
        <w:footnoteReference w:id="48"/>
      </w:r>
    </w:p>
    <w:p w14:paraId="4FE91AC1" w14:textId="666A16C3" w:rsidR="00FE0277" w:rsidRPr="00751E03" w:rsidRDefault="00FE0277" w:rsidP="004F701B">
      <w:pPr>
        <w:pStyle w:val="ListBullet"/>
      </w:pPr>
      <w:r w:rsidRPr="00751E03">
        <w:rPr>
          <w:lang w:val="en"/>
        </w:rPr>
        <w:t>As an overall general</w:t>
      </w:r>
      <w:r w:rsidR="004A7F98">
        <w:rPr>
          <w:lang w:val="en"/>
        </w:rPr>
        <w:t>is</w:t>
      </w:r>
      <w:r w:rsidRPr="00751E03">
        <w:rPr>
          <w:lang w:val="en"/>
        </w:rPr>
        <w:t xml:space="preserve">ation SLIT acts, at least in part, as </w:t>
      </w:r>
      <w:r>
        <w:rPr>
          <w:lang w:val="en"/>
        </w:rPr>
        <w:t xml:space="preserve">an </w:t>
      </w:r>
      <w:r w:rsidRPr="00751E03">
        <w:rPr>
          <w:lang w:val="en"/>
        </w:rPr>
        <w:t>immune system modifier by inducing blocking antibodies th</w:t>
      </w:r>
      <w:r w:rsidR="00530C71">
        <w:rPr>
          <w:lang w:val="en"/>
        </w:rPr>
        <w:t>at competitive</w:t>
      </w:r>
      <w:r w:rsidR="00562792">
        <w:rPr>
          <w:lang w:val="en"/>
        </w:rPr>
        <w:t>ly</w:t>
      </w:r>
      <w:r w:rsidR="00530C71">
        <w:rPr>
          <w:lang w:val="en"/>
        </w:rPr>
        <w:t xml:space="preserve"> inhibit allergen </w:t>
      </w:r>
      <w:proofErr w:type="spellStart"/>
      <w:r w:rsidRPr="00751E03">
        <w:rPr>
          <w:lang w:val="en"/>
        </w:rPr>
        <w:t>IgE</w:t>
      </w:r>
      <w:proofErr w:type="spellEnd"/>
      <w:r w:rsidRPr="00751E03">
        <w:rPr>
          <w:lang w:val="en"/>
        </w:rPr>
        <w:t xml:space="preserve"> interactions, altering the regulation of </w:t>
      </w:r>
      <w:proofErr w:type="spellStart"/>
      <w:r w:rsidRPr="00751E03">
        <w:rPr>
          <w:lang w:val="en"/>
        </w:rPr>
        <w:t>IgE</w:t>
      </w:r>
      <w:proofErr w:type="spellEnd"/>
      <w:r w:rsidRPr="00751E03">
        <w:rPr>
          <w:lang w:val="en"/>
        </w:rPr>
        <w:t xml:space="preserve"> and IgG synthesis, inducing a shift from a Th2 to Th1/</w:t>
      </w:r>
      <w:proofErr w:type="spellStart"/>
      <w:r w:rsidRPr="00751E03">
        <w:rPr>
          <w:lang w:val="en"/>
        </w:rPr>
        <w:t>Treg</w:t>
      </w:r>
      <w:proofErr w:type="spellEnd"/>
      <w:r w:rsidRPr="00751E03">
        <w:rPr>
          <w:lang w:val="en"/>
        </w:rPr>
        <w:t xml:space="preserve"> cell dominated immune/cytokine response</w:t>
      </w:r>
      <w:r>
        <w:rPr>
          <w:lang w:val="en"/>
        </w:rPr>
        <w:t>s</w:t>
      </w:r>
      <w:r w:rsidRPr="00751E03">
        <w:rPr>
          <w:lang w:val="en"/>
        </w:rPr>
        <w:t xml:space="preserve">, inhibiting T-cell antigen presentation and </w:t>
      </w:r>
      <w:r>
        <w:rPr>
          <w:lang w:val="en"/>
        </w:rPr>
        <w:t xml:space="preserve">T-cell </w:t>
      </w:r>
      <w:r w:rsidRPr="00751E03">
        <w:rPr>
          <w:lang w:val="en"/>
        </w:rPr>
        <w:t>activation, altering mast cell and eosinophil homing, and reducing the number of effector cells (mast cells, eosinophils, basophils, and others) and level of inflammation at reaction sites.</w:t>
      </w:r>
    </w:p>
    <w:p w14:paraId="4FE91AC2" w14:textId="77777777" w:rsidR="00FE0277" w:rsidRPr="00751E03" w:rsidRDefault="00FE0277" w:rsidP="004F701B">
      <w:pPr>
        <w:pStyle w:val="ListBullet"/>
      </w:pPr>
      <w:r w:rsidRPr="00751E03">
        <w:lastRenderedPageBreak/>
        <w:t>SLIT reputedly induces switching from a Th2 (</w:t>
      </w:r>
      <w:r w:rsidR="004A7F98">
        <w:t>that is</w:t>
      </w:r>
      <w:r w:rsidRPr="00751E03">
        <w:t xml:space="preserve"> pro-allergy) to a </w:t>
      </w:r>
      <w:r w:rsidRPr="00751E03">
        <w:rPr>
          <w:lang w:val="en"/>
        </w:rPr>
        <w:t>Th1</w:t>
      </w:r>
      <w:r>
        <w:rPr>
          <w:lang w:val="en"/>
        </w:rPr>
        <w:t>/</w:t>
      </w:r>
      <w:proofErr w:type="spellStart"/>
      <w:r>
        <w:rPr>
          <w:lang w:val="en"/>
        </w:rPr>
        <w:t>Treg</w:t>
      </w:r>
      <w:proofErr w:type="spellEnd"/>
      <w:r w:rsidRPr="00751E03">
        <w:rPr>
          <w:lang w:val="en"/>
        </w:rPr>
        <w:t xml:space="preserve"> dominated </w:t>
      </w:r>
      <w:r>
        <w:rPr>
          <w:lang w:val="en"/>
        </w:rPr>
        <w:t xml:space="preserve">immune </w:t>
      </w:r>
      <w:r w:rsidRPr="00751E03">
        <w:rPr>
          <w:lang w:val="en"/>
        </w:rPr>
        <w:t>response</w:t>
      </w:r>
      <w:r>
        <w:rPr>
          <w:lang w:val="en"/>
        </w:rPr>
        <w:t xml:space="preserve">. </w:t>
      </w:r>
      <w:r w:rsidRPr="00751E03">
        <w:rPr>
          <w:lang w:val="en"/>
        </w:rPr>
        <w:t xml:space="preserve">This results in </w:t>
      </w:r>
      <w:r w:rsidR="0089016D">
        <w:rPr>
          <w:rFonts w:cs="Arial"/>
        </w:rPr>
        <w:t>Interleukin 12 (</w:t>
      </w:r>
      <w:r w:rsidRPr="00751E03">
        <w:rPr>
          <w:lang w:val="en"/>
        </w:rPr>
        <w:t>IL-12</w:t>
      </w:r>
      <w:r w:rsidR="0089016D">
        <w:rPr>
          <w:lang w:val="en"/>
        </w:rPr>
        <w:t>)</w:t>
      </w:r>
      <w:r w:rsidRPr="00751E03">
        <w:rPr>
          <w:lang w:val="en"/>
        </w:rPr>
        <w:t xml:space="preserve"> and </w:t>
      </w:r>
      <w:r w:rsidR="00530C71">
        <w:rPr>
          <w:rFonts w:cs="Arial"/>
        </w:rPr>
        <w:t>Interferon Gamma</w:t>
      </w:r>
      <w:r w:rsidR="00530C71" w:rsidRPr="00751E03">
        <w:rPr>
          <w:lang w:val="en"/>
        </w:rPr>
        <w:t xml:space="preserve"> </w:t>
      </w:r>
      <w:r w:rsidR="00530C71">
        <w:rPr>
          <w:lang w:val="en"/>
        </w:rPr>
        <w:t>(</w:t>
      </w:r>
      <w:proofErr w:type="spellStart"/>
      <w:r w:rsidR="00530C71">
        <w:rPr>
          <w:lang w:val="en"/>
        </w:rPr>
        <w:t>IFN</w:t>
      </w:r>
      <w:r w:rsidR="001E1063">
        <w:rPr>
          <w:lang w:val="en"/>
        </w:rPr>
        <w:t>γ</w:t>
      </w:r>
      <w:proofErr w:type="spellEnd"/>
      <w:r w:rsidR="00530C71">
        <w:rPr>
          <w:lang w:val="en"/>
        </w:rPr>
        <w:t>)</w:t>
      </w:r>
      <w:r w:rsidRPr="00751E03">
        <w:rPr>
          <w:lang w:val="en"/>
        </w:rPr>
        <w:t xml:space="preserve"> production which, in turn, inhibit</w:t>
      </w:r>
      <w:r>
        <w:rPr>
          <w:lang w:val="en"/>
        </w:rPr>
        <w:t>s</w:t>
      </w:r>
      <w:r w:rsidRPr="00751E03">
        <w:rPr>
          <w:lang w:val="en"/>
        </w:rPr>
        <w:t xml:space="preserve"> Th2 cells and the associated </w:t>
      </w:r>
      <w:r w:rsidR="0089016D">
        <w:rPr>
          <w:rFonts w:cs="Arial"/>
        </w:rPr>
        <w:t>Interleukin 4 (</w:t>
      </w:r>
      <w:r w:rsidRPr="00751E03">
        <w:rPr>
          <w:lang w:val="en"/>
        </w:rPr>
        <w:t>IL-4</w:t>
      </w:r>
      <w:r w:rsidR="0089016D">
        <w:rPr>
          <w:lang w:val="en"/>
        </w:rPr>
        <w:t>)</w:t>
      </w:r>
      <w:r w:rsidRPr="00751E03">
        <w:rPr>
          <w:lang w:val="en"/>
        </w:rPr>
        <w:t xml:space="preserve">, </w:t>
      </w:r>
      <w:r w:rsidR="0089016D">
        <w:rPr>
          <w:rFonts w:cs="Arial"/>
        </w:rPr>
        <w:t>Interleukin 5 (</w:t>
      </w:r>
      <w:r w:rsidRPr="00751E03">
        <w:rPr>
          <w:lang w:val="en"/>
        </w:rPr>
        <w:t>IL-5</w:t>
      </w:r>
      <w:r w:rsidR="0089016D">
        <w:rPr>
          <w:lang w:val="en"/>
        </w:rPr>
        <w:t>)</w:t>
      </w:r>
      <w:r w:rsidRPr="00751E03">
        <w:rPr>
          <w:lang w:val="en"/>
        </w:rPr>
        <w:t xml:space="preserve"> and </w:t>
      </w:r>
      <w:r w:rsidR="0089016D">
        <w:rPr>
          <w:rFonts w:cs="Arial"/>
        </w:rPr>
        <w:t>Interleukin 13 (</w:t>
      </w:r>
      <w:r w:rsidRPr="00751E03">
        <w:rPr>
          <w:lang w:val="en"/>
        </w:rPr>
        <w:t>IL-13</w:t>
      </w:r>
      <w:r w:rsidR="0089016D">
        <w:rPr>
          <w:lang w:val="en"/>
        </w:rPr>
        <w:t xml:space="preserve">) </w:t>
      </w:r>
      <w:r w:rsidRPr="00751E03">
        <w:rPr>
          <w:lang w:val="en"/>
        </w:rPr>
        <w:t xml:space="preserve">dependent, pro-allergy pathways. Induction of </w:t>
      </w:r>
      <w:r w:rsidR="00C76A34">
        <w:rPr>
          <w:lang w:val="en"/>
        </w:rPr>
        <w:t>allergen specific</w:t>
      </w:r>
      <w:r w:rsidRPr="00751E03">
        <w:rPr>
          <w:lang w:val="en"/>
        </w:rPr>
        <w:t xml:space="preserve"> </w:t>
      </w:r>
      <w:proofErr w:type="spellStart"/>
      <w:r w:rsidRPr="00751E03">
        <w:rPr>
          <w:lang w:val="en"/>
        </w:rPr>
        <w:t>Treg</w:t>
      </w:r>
      <w:proofErr w:type="spellEnd"/>
      <w:r w:rsidRPr="00751E03">
        <w:rPr>
          <w:lang w:val="en"/>
        </w:rPr>
        <w:t xml:space="preserve"> cells (CD4</w:t>
      </w:r>
      <w:r w:rsidRPr="00751E03">
        <w:rPr>
          <w:vertAlign w:val="superscript"/>
          <w:lang w:val="en"/>
        </w:rPr>
        <w:t>+</w:t>
      </w:r>
      <w:r w:rsidRPr="00751E03">
        <w:rPr>
          <w:lang w:val="en"/>
        </w:rPr>
        <w:t xml:space="preserve"> CD25</w:t>
      </w:r>
      <w:r w:rsidRPr="00751E03">
        <w:rPr>
          <w:vertAlign w:val="superscript"/>
          <w:lang w:val="en"/>
        </w:rPr>
        <w:t>+</w:t>
      </w:r>
      <w:r w:rsidRPr="00751E03">
        <w:rPr>
          <w:lang w:val="en"/>
        </w:rPr>
        <w:t xml:space="preserve"> </w:t>
      </w:r>
      <w:proofErr w:type="spellStart"/>
      <w:r w:rsidRPr="00751E03">
        <w:rPr>
          <w:lang w:val="en"/>
        </w:rPr>
        <w:t>forkhead</w:t>
      </w:r>
      <w:proofErr w:type="spellEnd"/>
      <w:r w:rsidRPr="00751E03">
        <w:rPr>
          <w:lang w:val="en"/>
        </w:rPr>
        <w:t xml:space="preserve"> box P3 [Foxp3</w:t>
      </w:r>
      <w:r w:rsidRPr="00751E03">
        <w:rPr>
          <w:vertAlign w:val="superscript"/>
          <w:lang w:val="en"/>
        </w:rPr>
        <w:t>+</w:t>
      </w:r>
      <w:r w:rsidRPr="00751E03">
        <w:rPr>
          <w:lang w:val="en"/>
        </w:rPr>
        <w:t xml:space="preserve">]) that </w:t>
      </w:r>
      <w:r>
        <w:rPr>
          <w:lang w:val="en"/>
        </w:rPr>
        <w:t>secr</w:t>
      </w:r>
      <w:r w:rsidRPr="00751E03">
        <w:rPr>
          <w:lang w:val="en"/>
        </w:rPr>
        <w:t xml:space="preserve">ete </w:t>
      </w:r>
      <w:r w:rsidR="0089016D">
        <w:rPr>
          <w:rFonts w:cs="Arial"/>
        </w:rPr>
        <w:t>Interleukin 10 (</w:t>
      </w:r>
      <w:r w:rsidRPr="00751E03">
        <w:rPr>
          <w:lang w:val="en"/>
        </w:rPr>
        <w:t>IL-10</w:t>
      </w:r>
      <w:r w:rsidR="0089016D">
        <w:rPr>
          <w:lang w:val="en"/>
        </w:rPr>
        <w:t>)</w:t>
      </w:r>
      <w:r w:rsidRPr="00751E03">
        <w:rPr>
          <w:lang w:val="en"/>
        </w:rPr>
        <w:t xml:space="preserve"> (induces T cell anergy) and </w:t>
      </w:r>
      <w:proofErr w:type="gramStart"/>
      <w:r w:rsidR="00EB112B">
        <w:rPr>
          <w:rFonts w:cs="Arial"/>
        </w:rPr>
        <w:t>Transforming</w:t>
      </w:r>
      <w:proofErr w:type="gramEnd"/>
      <w:r w:rsidR="00EB112B">
        <w:rPr>
          <w:rFonts w:cs="Arial"/>
        </w:rPr>
        <w:t xml:space="preserve"> growth factor β</w:t>
      </w:r>
      <w:r w:rsidR="00EB112B" w:rsidRPr="00751E03">
        <w:rPr>
          <w:lang w:val="en"/>
        </w:rPr>
        <w:t xml:space="preserve"> </w:t>
      </w:r>
      <w:r w:rsidR="00EB112B">
        <w:rPr>
          <w:lang w:val="en"/>
        </w:rPr>
        <w:t>(</w:t>
      </w:r>
      <w:r w:rsidRPr="00751E03">
        <w:rPr>
          <w:lang w:val="en"/>
        </w:rPr>
        <w:t>TGF-β</w:t>
      </w:r>
      <w:r w:rsidR="00EB112B">
        <w:rPr>
          <w:lang w:val="en"/>
        </w:rPr>
        <w:t>)</w:t>
      </w:r>
      <w:r w:rsidRPr="00751E03">
        <w:rPr>
          <w:lang w:val="en"/>
        </w:rPr>
        <w:t xml:space="preserve"> (which inhibits co-activation during Th2-mediated B-lymphocyte activation) also occurs. </w:t>
      </w:r>
      <w:r w:rsidRPr="00751E03">
        <w:t xml:space="preserve">The net overall effect of these changes is to reduce pro-inflammatory cytokine </w:t>
      </w:r>
      <w:r>
        <w:t xml:space="preserve">production and downstream inflammatory </w:t>
      </w:r>
      <w:r w:rsidRPr="00751E03">
        <w:t>response</w:t>
      </w:r>
      <w:r>
        <w:t>s</w:t>
      </w:r>
      <w:r w:rsidRPr="00751E03">
        <w:t>.</w:t>
      </w:r>
    </w:p>
    <w:p w14:paraId="4FE91AC3" w14:textId="52B4F420" w:rsidR="00FE0277" w:rsidRPr="00A46E54" w:rsidRDefault="00C76A34" w:rsidP="004F701B">
      <w:pPr>
        <w:pStyle w:val="ListBullet"/>
        <w:rPr>
          <w:rFonts w:asciiTheme="minorHAnsi" w:hAnsiTheme="minorHAnsi" w:cs="Calibri"/>
        </w:rPr>
      </w:pPr>
      <w:r w:rsidRPr="00A46E54">
        <w:rPr>
          <w:rFonts w:asciiTheme="minorHAnsi" w:hAnsiTheme="minorHAnsi" w:cs="Calibri"/>
        </w:rPr>
        <w:t>Allergen specific</w:t>
      </w:r>
      <w:r w:rsidR="00FE0277" w:rsidRPr="00A46E54">
        <w:rPr>
          <w:rFonts w:asciiTheme="minorHAnsi" w:hAnsiTheme="minorHAnsi" w:cs="Calibri"/>
        </w:rPr>
        <w:t xml:space="preserve"> immunotherapy also induces </w:t>
      </w:r>
      <w:r w:rsidRPr="00A46E54">
        <w:rPr>
          <w:rFonts w:asciiTheme="minorHAnsi" w:hAnsiTheme="minorHAnsi" w:cs="Calibri"/>
        </w:rPr>
        <w:t>allergen specific</w:t>
      </w:r>
      <w:r w:rsidR="00FE0277" w:rsidRPr="00A46E54">
        <w:rPr>
          <w:rFonts w:asciiTheme="minorHAnsi" w:hAnsiTheme="minorHAnsi" w:cs="Calibri"/>
        </w:rPr>
        <w:t xml:space="preserve"> IgG</w:t>
      </w:r>
      <w:r w:rsidR="00FE0277" w:rsidRPr="00A46E54">
        <w:rPr>
          <w:rFonts w:asciiTheme="minorHAnsi" w:hAnsiTheme="minorHAnsi" w:cs="Calibri"/>
          <w:vertAlign w:val="subscript"/>
        </w:rPr>
        <w:t>4</w:t>
      </w:r>
      <w:r w:rsidR="00FE0277" w:rsidRPr="00A46E54">
        <w:rPr>
          <w:rFonts w:asciiTheme="minorHAnsi" w:hAnsiTheme="minorHAnsi" w:cs="Calibri"/>
        </w:rPr>
        <w:t xml:space="preserve"> and </w:t>
      </w:r>
      <w:r w:rsidRPr="00A46E54">
        <w:rPr>
          <w:rFonts w:asciiTheme="minorHAnsi" w:hAnsiTheme="minorHAnsi" w:cs="Calibri"/>
        </w:rPr>
        <w:t>allergen specific</w:t>
      </w:r>
      <w:r w:rsidR="00FE0277" w:rsidRPr="00A46E54">
        <w:rPr>
          <w:rFonts w:asciiTheme="minorHAnsi" w:hAnsiTheme="minorHAnsi" w:cs="Calibri"/>
        </w:rPr>
        <w:t xml:space="preserve"> </w:t>
      </w:r>
      <w:r w:rsidR="00530C71" w:rsidRPr="00A46E54">
        <w:rPr>
          <w:rFonts w:asciiTheme="minorHAnsi" w:hAnsiTheme="minorHAnsi" w:cs="Calibri"/>
        </w:rPr>
        <w:t>Immunoglobulin A2 (</w:t>
      </w:r>
      <w:r w:rsidR="00FE0277" w:rsidRPr="00A46E54">
        <w:rPr>
          <w:rFonts w:asciiTheme="minorHAnsi" w:hAnsiTheme="minorHAnsi" w:cs="Calibri"/>
        </w:rPr>
        <w:t>IgA</w:t>
      </w:r>
      <w:r w:rsidR="00FE0277" w:rsidRPr="00A46E54">
        <w:rPr>
          <w:rFonts w:asciiTheme="minorHAnsi" w:hAnsiTheme="minorHAnsi" w:cs="Calibri"/>
          <w:vertAlign w:val="subscript"/>
        </w:rPr>
        <w:t>2</w:t>
      </w:r>
      <w:r w:rsidR="00530C71" w:rsidRPr="00A46E54">
        <w:rPr>
          <w:rFonts w:asciiTheme="minorHAnsi" w:hAnsiTheme="minorHAnsi" w:cs="Calibri"/>
        </w:rPr>
        <w:t>)</w:t>
      </w:r>
      <w:r w:rsidR="00FE0277" w:rsidRPr="00A46E54">
        <w:rPr>
          <w:rFonts w:asciiTheme="minorHAnsi" w:hAnsiTheme="minorHAnsi" w:cs="Calibri"/>
        </w:rPr>
        <w:t>. The role of IgG</w:t>
      </w:r>
      <w:r w:rsidR="00FE0277" w:rsidRPr="00A46E54">
        <w:rPr>
          <w:rFonts w:asciiTheme="minorHAnsi" w:hAnsiTheme="minorHAnsi" w:cs="Calibri"/>
          <w:vertAlign w:val="subscript"/>
        </w:rPr>
        <w:t>4</w:t>
      </w:r>
      <w:r w:rsidR="00FE0277" w:rsidRPr="00A46E54">
        <w:rPr>
          <w:rFonts w:asciiTheme="minorHAnsi" w:hAnsiTheme="minorHAnsi" w:cs="Calibri"/>
        </w:rPr>
        <w:t xml:space="preserve"> pr</w:t>
      </w:r>
      <w:r w:rsidR="001E1063" w:rsidRPr="00A46E54">
        <w:rPr>
          <w:rFonts w:asciiTheme="minorHAnsi" w:hAnsiTheme="minorHAnsi" w:cs="Calibri"/>
        </w:rPr>
        <w:t>oduction remains controversial;</w:t>
      </w:r>
      <w:r w:rsidR="00FE0277" w:rsidRPr="00A46E54">
        <w:rPr>
          <w:rFonts w:asciiTheme="minorHAnsi" w:hAnsiTheme="minorHAnsi" w:cs="Calibri"/>
        </w:rPr>
        <w:t xml:space="preserve"> it has been </w:t>
      </w:r>
      <w:r w:rsidR="00AC3DAA">
        <w:rPr>
          <w:rFonts w:asciiTheme="minorHAnsi" w:hAnsiTheme="minorHAnsi" w:cs="Calibri"/>
        </w:rPr>
        <w:t>hypothesised</w:t>
      </w:r>
      <w:r w:rsidR="00E4200C">
        <w:rPr>
          <w:rFonts w:asciiTheme="minorHAnsi" w:hAnsiTheme="minorHAnsi" w:cs="Calibri"/>
        </w:rPr>
        <w:t xml:space="preserve"> </w:t>
      </w:r>
      <w:r w:rsidR="00FE0277" w:rsidRPr="00A46E54">
        <w:rPr>
          <w:rFonts w:asciiTheme="minorHAnsi" w:hAnsiTheme="minorHAnsi" w:cs="Calibri"/>
        </w:rPr>
        <w:t>that anti-allergen IgG</w:t>
      </w:r>
      <w:r w:rsidR="00FE0277" w:rsidRPr="00A46E54">
        <w:rPr>
          <w:rFonts w:asciiTheme="minorHAnsi" w:hAnsiTheme="minorHAnsi" w:cs="Calibri"/>
          <w:vertAlign w:val="subscript"/>
        </w:rPr>
        <w:t>4</w:t>
      </w:r>
      <w:r w:rsidR="001E1063" w:rsidRPr="00A46E54">
        <w:rPr>
          <w:rFonts w:asciiTheme="minorHAnsi" w:hAnsiTheme="minorHAnsi" w:cs="Calibri"/>
        </w:rPr>
        <w:t xml:space="preserve"> prevents allergen </w:t>
      </w:r>
      <w:r w:rsidR="00FE0277" w:rsidRPr="00A46E54">
        <w:rPr>
          <w:rFonts w:asciiTheme="minorHAnsi" w:hAnsiTheme="minorHAnsi" w:cs="Calibri"/>
        </w:rPr>
        <w:t xml:space="preserve">mast cell </w:t>
      </w:r>
      <w:proofErr w:type="spellStart"/>
      <w:r w:rsidR="00FE0277" w:rsidRPr="00A46E54">
        <w:rPr>
          <w:rFonts w:asciiTheme="minorHAnsi" w:hAnsiTheme="minorHAnsi" w:cs="Calibri"/>
        </w:rPr>
        <w:t>sIgE</w:t>
      </w:r>
      <w:proofErr w:type="spellEnd"/>
      <w:r w:rsidR="00FE0277" w:rsidRPr="00A46E54">
        <w:rPr>
          <w:rFonts w:asciiTheme="minorHAnsi" w:hAnsiTheme="minorHAnsi" w:cs="Calibri"/>
        </w:rPr>
        <w:t xml:space="preserve"> binding and subsequent mast cell activation. Alternatively (or concurrently), the </w:t>
      </w:r>
      <w:r w:rsidR="00FE0277" w:rsidRPr="00A46E54">
        <w:rPr>
          <w:rFonts w:asciiTheme="minorHAnsi" w:hAnsiTheme="minorHAnsi" w:cs="Calibri"/>
          <w:lang w:val="en"/>
        </w:rPr>
        <w:t>IgG</w:t>
      </w:r>
      <w:r w:rsidR="00FE0277" w:rsidRPr="00A46E54">
        <w:rPr>
          <w:rFonts w:asciiTheme="minorHAnsi" w:hAnsiTheme="minorHAnsi" w:cs="Calibri"/>
          <w:vertAlign w:val="subscript"/>
          <w:lang w:val="en"/>
        </w:rPr>
        <w:t>4</w:t>
      </w:r>
      <w:r w:rsidR="001E1063" w:rsidRPr="00A46E54">
        <w:rPr>
          <w:rFonts w:asciiTheme="minorHAnsi" w:hAnsiTheme="minorHAnsi" w:cs="Calibri"/>
          <w:lang w:val="en"/>
        </w:rPr>
        <w:t xml:space="preserve"> </w:t>
      </w:r>
      <w:r w:rsidR="00FE0277" w:rsidRPr="00A46E54">
        <w:rPr>
          <w:rFonts w:asciiTheme="minorHAnsi" w:hAnsiTheme="minorHAnsi" w:cs="Calibri"/>
          <w:lang w:val="en"/>
        </w:rPr>
        <w:t xml:space="preserve">allergen complex engages the B isoform of </w:t>
      </w:r>
      <w:r w:rsidR="0089016D" w:rsidRPr="00A46E54">
        <w:rPr>
          <w:rFonts w:asciiTheme="minorHAnsi" w:hAnsiTheme="minorHAnsi" w:cs="Calibri"/>
          <w:lang w:val="en"/>
        </w:rPr>
        <w:t>the low-affinity IgG receptor</w:t>
      </w:r>
      <w:r w:rsidR="00A86C6A">
        <w:rPr>
          <w:rFonts w:asciiTheme="minorHAnsi" w:hAnsiTheme="minorHAnsi" w:cs="Calibri"/>
          <w:lang w:val="en"/>
        </w:rPr>
        <w:t xml:space="preserve"> </w:t>
      </w:r>
      <w:r w:rsidR="0089016D" w:rsidRPr="00A46E54">
        <w:rPr>
          <w:rFonts w:asciiTheme="minorHAnsi" w:hAnsiTheme="minorHAnsi" w:cs="Calibri"/>
          <w:lang w:val="en"/>
        </w:rPr>
        <w:t>(</w:t>
      </w:r>
      <w:proofErr w:type="spellStart"/>
      <w:r w:rsidR="0089016D" w:rsidRPr="00A46E54">
        <w:rPr>
          <w:rFonts w:asciiTheme="minorHAnsi" w:hAnsiTheme="minorHAnsi" w:cs="Calibri"/>
          <w:lang w:val="en"/>
        </w:rPr>
        <w:t>FcγRIIB</w:t>
      </w:r>
      <w:proofErr w:type="spellEnd"/>
      <w:r w:rsidR="0089016D" w:rsidRPr="00A46E54">
        <w:rPr>
          <w:rFonts w:asciiTheme="minorHAnsi" w:hAnsiTheme="minorHAnsi" w:cs="Calibri"/>
          <w:lang w:val="en"/>
        </w:rPr>
        <w:t>)</w:t>
      </w:r>
      <w:r w:rsidR="00FE0277" w:rsidRPr="00A46E54">
        <w:rPr>
          <w:rFonts w:asciiTheme="minorHAnsi" w:hAnsiTheme="minorHAnsi" w:cs="Calibri"/>
          <w:lang w:val="en"/>
        </w:rPr>
        <w:t xml:space="preserve"> on mast cells</w:t>
      </w:r>
      <w:r w:rsidR="007464E3" w:rsidRPr="00A46E54">
        <w:rPr>
          <w:rFonts w:asciiTheme="minorHAnsi" w:hAnsiTheme="minorHAnsi" w:cs="Calibri"/>
          <w:lang w:val="en"/>
        </w:rPr>
        <w:t xml:space="preserve"> </w:t>
      </w:r>
      <w:r w:rsidR="00A46E54" w:rsidRPr="00A46E54">
        <w:rPr>
          <w:rFonts w:asciiTheme="minorHAnsi" w:hAnsiTheme="minorHAnsi" w:cs="Calibri"/>
          <w:lang w:val="en"/>
        </w:rPr>
        <w:t>(</w:t>
      </w:r>
      <w:r w:rsidR="007464E3" w:rsidRPr="00A46E54">
        <w:rPr>
          <w:rFonts w:asciiTheme="minorHAnsi" w:hAnsiTheme="minorHAnsi" w:cs="Calibri"/>
          <w:lang w:val="en"/>
        </w:rPr>
        <w:t>and basophils</w:t>
      </w:r>
      <w:r w:rsidR="00A46E54" w:rsidRPr="00A46E54">
        <w:rPr>
          <w:rFonts w:asciiTheme="minorHAnsi" w:hAnsiTheme="minorHAnsi" w:cs="Calibri"/>
          <w:lang w:val="en"/>
        </w:rPr>
        <w:t>)</w:t>
      </w:r>
      <w:r w:rsidR="00FE0277" w:rsidRPr="00A46E54">
        <w:rPr>
          <w:rFonts w:asciiTheme="minorHAnsi" w:hAnsiTheme="minorHAnsi" w:cs="Calibri"/>
          <w:lang w:val="en"/>
        </w:rPr>
        <w:t xml:space="preserve"> which may act as a deactivation signal. </w:t>
      </w:r>
      <w:r w:rsidR="00FE0277" w:rsidRPr="00A46E54">
        <w:rPr>
          <w:rFonts w:asciiTheme="minorHAnsi" w:hAnsiTheme="minorHAnsi" w:cs="Calibri"/>
        </w:rPr>
        <w:t xml:space="preserve">However, the level of </w:t>
      </w:r>
      <w:r w:rsidRPr="00A46E54">
        <w:rPr>
          <w:rFonts w:asciiTheme="minorHAnsi" w:hAnsiTheme="minorHAnsi" w:cs="Calibri"/>
        </w:rPr>
        <w:t>allergen specific</w:t>
      </w:r>
      <w:r w:rsidR="00FE0277" w:rsidRPr="00A46E54">
        <w:rPr>
          <w:rFonts w:asciiTheme="minorHAnsi" w:hAnsiTheme="minorHAnsi" w:cs="Calibri"/>
        </w:rPr>
        <w:t xml:space="preserve"> IgG (total IgG or IgG</w:t>
      </w:r>
      <w:r w:rsidR="00FE0277" w:rsidRPr="00A46E54">
        <w:rPr>
          <w:rFonts w:asciiTheme="minorHAnsi" w:hAnsiTheme="minorHAnsi" w:cs="Calibri"/>
          <w:vertAlign w:val="subscript"/>
        </w:rPr>
        <w:t>4</w:t>
      </w:r>
      <w:r w:rsidR="00FE0277" w:rsidRPr="00A46E54">
        <w:rPr>
          <w:rFonts w:asciiTheme="minorHAnsi" w:hAnsiTheme="minorHAnsi" w:cs="Calibri"/>
        </w:rPr>
        <w:t xml:space="preserve">) </w:t>
      </w:r>
      <w:r w:rsidR="00E75B1E" w:rsidRPr="00A46E54">
        <w:rPr>
          <w:rFonts w:asciiTheme="minorHAnsi" w:hAnsiTheme="minorHAnsi" w:cs="Calibri"/>
        </w:rPr>
        <w:t>neither predicts nor correlates with clinical responses. Allergen specific IgG</w:t>
      </w:r>
      <w:r w:rsidR="00E75B1E" w:rsidRPr="00A46E54">
        <w:rPr>
          <w:rFonts w:asciiTheme="minorHAnsi" w:hAnsiTheme="minorHAnsi" w:cs="Calibri"/>
          <w:vertAlign w:val="subscript"/>
        </w:rPr>
        <w:t>4</w:t>
      </w:r>
      <w:r w:rsidR="00E75B1E" w:rsidRPr="00A46E54">
        <w:rPr>
          <w:rFonts w:asciiTheme="minorHAnsi" w:hAnsiTheme="minorHAnsi" w:cs="Calibri"/>
        </w:rPr>
        <w:t xml:space="preserve"> level is still used as a biomarker of </w:t>
      </w:r>
      <w:r w:rsidR="00E75B1E" w:rsidRPr="00A46E54">
        <w:rPr>
          <w:rFonts w:asciiTheme="minorHAnsi" w:hAnsiTheme="minorHAnsi" w:cs="Calibri"/>
          <w:lang w:val="en"/>
        </w:rPr>
        <w:t>immunotherapy</w:t>
      </w:r>
      <w:r w:rsidR="00E75B1E" w:rsidRPr="00A46E54">
        <w:rPr>
          <w:rFonts w:asciiTheme="minorHAnsi" w:hAnsiTheme="minorHAnsi" w:cs="Calibri"/>
        </w:rPr>
        <w:t xml:space="preserve"> responses</w:t>
      </w:r>
      <w:r w:rsidR="00E75B1E" w:rsidRPr="00A46E54">
        <w:rPr>
          <w:rFonts w:asciiTheme="minorHAnsi" w:hAnsiTheme="minorHAnsi" w:cs="Calibri"/>
          <w:lang w:val="en"/>
        </w:rPr>
        <w:t>.</w:t>
      </w:r>
    </w:p>
    <w:p w14:paraId="4FE91AC4" w14:textId="24EC5881" w:rsidR="005479B1" w:rsidRDefault="00FE0277" w:rsidP="004F701B">
      <w:pPr>
        <w:pStyle w:val="ListBullet"/>
        <w:rPr>
          <w:lang w:val="en"/>
        </w:rPr>
      </w:pPr>
      <w:r w:rsidRPr="00751E03">
        <w:t xml:space="preserve">The oral cavity is reputedly a naturally immunologically </w:t>
      </w:r>
      <w:proofErr w:type="spellStart"/>
      <w:r w:rsidRPr="00751E03">
        <w:t>tolerogenic</w:t>
      </w:r>
      <w:proofErr w:type="spellEnd"/>
      <w:r w:rsidRPr="00751E03">
        <w:t xml:space="preserve"> environment due to TGF-β and IL-10 production by local monocytes and Langerhans cells. SLIT reputedly takes advantage of this “tolerance biased” environment in order to reduce </w:t>
      </w:r>
      <w:r>
        <w:t xml:space="preserve">allergic </w:t>
      </w:r>
      <w:r w:rsidRPr="00751E03">
        <w:t>responsiveness, to avoid new sensit</w:t>
      </w:r>
      <w:r w:rsidR="004A7F98">
        <w:t>is</w:t>
      </w:r>
      <w:r w:rsidRPr="00751E03">
        <w:t xml:space="preserve">ation and to induce long-lasting remission. </w:t>
      </w:r>
      <w:r w:rsidRPr="00751E03">
        <w:rPr>
          <w:lang w:val="en"/>
        </w:rPr>
        <w:t>This is one of the hypothes</w:t>
      </w:r>
      <w:r w:rsidR="004A7F98">
        <w:rPr>
          <w:lang w:val="en"/>
        </w:rPr>
        <w:t>is</w:t>
      </w:r>
      <w:r w:rsidRPr="00751E03">
        <w:rPr>
          <w:lang w:val="en"/>
        </w:rPr>
        <w:t>ed mechanisms for SLIT “</w:t>
      </w:r>
      <w:r w:rsidR="001E1063">
        <w:rPr>
          <w:lang w:val="en"/>
        </w:rPr>
        <w:t xml:space="preserve">rush” (tachyphylaxis like) down </w:t>
      </w:r>
      <w:r w:rsidRPr="00751E03">
        <w:rPr>
          <w:lang w:val="en"/>
        </w:rPr>
        <w:t>regulation of mast cells</w:t>
      </w:r>
      <w:r w:rsidR="005479B1">
        <w:rPr>
          <w:lang w:val="en"/>
        </w:rPr>
        <w:t>.</w:t>
      </w:r>
    </w:p>
    <w:p w14:paraId="4FE91AC5" w14:textId="77777777" w:rsidR="00FE0277" w:rsidRPr="00751E03" w:rsidRDefault="00FE0277" w:rsidP="004F701B">
      <w:pPr>
        <w:pStyle w:val="ListBullet"/>
      </w:pPr>
      <w:r w:rsidRPr="00751E03">
        <w:rPr>
          <w:lang w:val="en"/>
        </w:rPr>
        <w:t xml:space="preserve">For long-lasting effects, </w:t>
      </w:r>
      <w:proofErr w:type="spellStart"/>
      <w:r>
        <w:rPr>
          <w:lang w:val="en"/>
        </w:rPr>
        <w:t>T</w:t>
      </w:r>
      <w:r w:rsidRPr="00751E03">
        <w:rPr>
          <w:lang w:val="en"/>
        </w:rPr>
        <w:t>reg</w:t>
      </w:r>
      <w:proofErr w:type="spellEnd"/>
      <w:r w:rsidRPr="00751E03">
        <w:rPr>
          <w:lang w:val="en"/>
        </w:rPr>
        <w:t xml:space="preserve"> activation seems to be involved: </w:t>
      </w:r>
      <w:r w:rsidR="00C76A34">
        <w:rPr>
          <w:lang w:val="en"/>
        </w:rPr>
        <w:t>allergen specific</w:t>
      </w:r>
      <w:r>
        <w:rPr>
          <w:lang w:val="en"/>
        </w:rPr>
        <w:t xml:space="preserve"> </w:t>
      </w:r>
      <w:proofErr w:type="spellStart"/>
      <w:r w:rsidRPr="00751E03">
        <w:rPr>
          <w:lang w:val="en"/>
        </w:rPr>
        <w:t>Treg</w:t>
      </w:r>
      <w:proofErr w:type="spellEnd"/>
      <w:r w:rsidRPr="00751E03">
        <w:rPr>
          <w:lang w:val="en"/>
        </w:rPr>
        <w:t xml:space="preserve"> cells </w:t>
      </w:r>
      <w:r>
        <w:rPr>
          <w:lang w:val="en"/>
        </w:rPr>
        <w:t xml:space="preserve">reputedly </w:t>
      </w:r>
      <w:r w:rsidRPr="00751E03">
        <w:rPr>
          <w:lang w:val="en"/>
        </w:rPr>
        <w:t xml:space="preserve">differentiate from naïve T-cells after application of soluble antigens to the </w:t>
      </w:r>
      <w:r>
        <w:rPr>
          <w:lang w:val="en"/>
        </w:rPr>
        <w:t xml:space="preserve">oral </w:t>
      </w:r>
      <w:r w:rsidRPr="00751E03">
        <w:rPr>
          <w:lang w:val="en"/>
        </w:rPr>
        <w:t xml:space="preserve">mucosa and exert a suppressive effect on </w:t>
      </w:r>
      <w:r>
        <w:rPr>
          <w:lang w:val="en"/>
        </w:rPr>
        <w:t xml:space="preserve">Th1, </w:t>
      </w:r>
      <w:r w:rsidRPr="00751E03">
        <w:rPr>
          <w:lang w:val="en"/>
        </w:rPr>
        <w:t xml:space="preserve">Th2 </w:t>
      </w:r>
      <w:r>
        <w:rPr>
          <w:lang w:val="en"/>
        </w:rPr>
        <w:t xml:space="preserve">and downstream inflammatory and cytokine </w:t>
      </w:r>
      <w:r w:rsidRPr="00751E03">
        <w:rPr>
          <w:lang w:val="en"/>
        </w:rPr>
        <w:t xml:space="preserve">responses. </w:t>
      </w:r>
      <w:r w:rsidR="00C76A34">
        <w:rPr>
          <w:lang w:val="en"/>
        </w:rPr>
        <w:t>Allergen specific</w:t>
      </w:r>
      <w:r>
        <w:rPr>
          <w:lang w:val="en"/>
        </w:rPr>
        <w:t xml:space="preserve"> </w:t>
      </w:r>
      <w:proofErr w:type="spellStart"/>
      <w:r w:rsidR="001E1063">
        <w:rPr>
          <w:lang w:val="en"/>
        </w:rPr>
        <w:t>Treg</w:t>
      </w:r>
      <w:proofErr w:type="spellEnd"/>
      <w:r w:rsidR="001E1063">
        <w:rPr>
          <w:lang w:val="en"/>
        </w:rPr>
        <w:t xml:space="preserve"> </w:t>
      </w:r>
      <w:r w:rsidRPr="00751E03">
        <w:rPr>
          <w:lang w:val="en"/>
        </w:rPr>
        <w:t>cells are also involved in IgG</w:t>
      </w:r>
      <w:r w:rsidRPr="00751E03">
        <w:rPr>
          <w:vertAlign w:val="subscript"/>
          <w:lang w:val="en"/>
        </w:rPr>
        <w:t>4</w:t>
      </w:r>
      <w:r w:rsidRPr="00751E03">
        <w:rPr>
          <w:lang w:val="en"/>
        </w:rPr>
        <w:t xml:space="preserve"> and/or IgA induction and</w:t>
      </w:r>
      <w:r>
        <w:rPr>
          <w:lang w:val="en"/>
        </w:rPr>
        <w:t xml:space="preserve"> </w:t>
      </w:r>
      <w:r w:rsidRPr="00751E03">
        <w:rPr>
          <w:lang w:val="en"/>
        </w:rPr>
        <w:t>tissue remodeling.</w:t>
      </w:r>
    </w:p>
    <w:p w14:paraId="4FE91AC6" w14:textId="77777777" w:rsidR="005479B1" w:rsidRDefault="00FE0277" w:rsidP="004F701B">
      <w:pPr>
        <w:rPr>
          <w:lang w:val="en"/>
        </w:rPr>
      </w:pPr>
      <w:r w:rsidRPr="00751E03">
        <w:rPr>
          <w:lang w:val="en"/>
        </w:rPr>
        <w:t xml:space="preserve">Critically, none of the known </w:t>
      </w:r>
      <w:r w:rsidR="001E1063">
        <w:rPr>
          <w:lang w:val="en"/>
        </w:rPr>
        <w:t>mechanisms of actions</w:t>
      </w:r>
      <w:r w:rsidRPr="00751E03">
        <w:rPr>
          <w:lang w:val="en"/>
        </w:rPr>
        <w:t xml:space="preserve"> of SLIT explain all the observable clinical effects and immunological phenomena</w:t>
      </w:r>
      <w:r w:rsidR="005479B1">
        <w:rPr>
          <w:lang w:val="en"/>
        </w:rPr>
        <w:t>.</w:t>
      </w:r>
    </w:p>
    <w:p w14:paraId="4FE91AC7" w14:textId="77777777" w:rsidR="00FE0277" w:rsidRDefault="00FE0277" w:rsidP="004F701B">
      <w:r w:rsidRPr="00751E03">
        <w:rPr>
          <w:lang w:val="en"/>
        </w:rPr>
        <w:t xml:space="preserve">The </w:t>
      </w:r>
      <w:r w:rsidR="002D7A68">
        <w:rPr>
          <w:lang w:val="en"/>
        </w:rPr>
        <w:t>sponsor</w:t>
      </w:r>
      <w:r w:rsidRPr="00751E03">
        <w:rPr>
          <w:lang w:val="en"/>
        </w:rPr>
        <w:t xml:space="preserve">’s primary pharmacology/efficacy study in the immunologically primed </w:t>
      </w:r>
      <w:r w:rsidRPr="00751E03">
        <w:t xml:space="preserve">mouse </w:t>
      </w:r>
      <w:proofErr w:type="spellStart"/>
      <w:r w:rsidRPr="00751E03">
        <w:t>Phl</w:t>
      </w:r>
      <w:proofErr w:type="spellEnd"/>
      <w:r w:rsidRPr="00751E03">
        <w:t xml:space="preserve"> p</w:t>
      </w:r>
      <w:r>
        <w:t xml:space="preserve"> allergen extract</w:t>
      </w:r>
      <w:r w:rsidRPr="00751E03">
        <w:t xml:space="preserve"> rhinitis model</w:t>
      </w:r>
      <w:r>
        <w:t xml:space="preserve"> (dose range: 25</w:t>
      </w:r>
      <w:r w:rsidR="001E1063">
        <w:t>,</w:t>
      </w:r>
      <w:r w:rsidR="004105E7">
        <w:t>000 SQ-U/animal 1 to</w:t>
      </w:r>
      <w:r>
        <w:t>3</w:t>
      </w:r>
      <w:r w:rsidR="001E1063">
        <w:t xml:space="preserve"> </w:t>
      </w:r>
      <w:r>
        <w:t>X/w</w:t>
      </w:r>
      <w:r w:rsidR="004105E7">
        <w:t>ee</w:t>
      </w:r>
      <w:r>
        <w:t>k, 58</w:t>
      </w:r>
      <w:r w:rsidR="001E1063">
        <w:t>,</w:t>
      </w:r>
      <w:r>
        <w:t>000 SQ-U/animal 3</w:t>
      </w:r>
      <w:r w:rsidR="001E1063">
        <w:t xml:space="preserve"> </w:t>
      </w:r>
      <w:r>
        <w:t>X/w</w:t>
      </w:r>
      <w:r w:rsidR="004105E7">
        <w:t>ee</w:t>
      </w:r>
      <w:r>
        <w:t>k, 175</w:t>
      </w:r>
      <w:r w:rsidR="001E1063">
        <w:t>,</w:t>
      </w:r>
      <w:r>
        <w:t>000 SQ-U/animal 1</w:t>
      </w:r>
      <w:r w:rsidR="001E1063">
        <w:t xml:space="preserve"> X/w</w:t>
      </w:r>
      <w:r w:rsidR="004105E7">
        <w:t>ee</w:t>
      </w:r>
      <w:r w:rsidR="001E1063">
        <w:t xml:space="preserve">k; duration of exposure 2 to </w:t>
      </w:r>
      <w:r>
        <w:t>9 weeks)</w:t>
      </w:r>
      <w:r w:rsidRPr="00751E03">
        <w:t xml:space="preserve"> demonstrated the following:</w:t>
      </w:r>
    </w:p>
    <w:p w14:paraId="4FE91AC8" w14:textId="067CD4A9" w:rsidR="00FE0277" w:rsidRDefault="00FE0277" w:rsidP="004F701B">
      <w:pPr>
        <w:pStyle w:val="ListBullet"/>
        <w:rPr>
          <w:lang w:val="en"/>
        </w:rPr>
      </w:pPr>
      <w:r>
        <w:rPr>
          <w:lang w:val="en"/>
        </w:rPr>
        <w:t>PO</w:t>
      </w:r>
      <w:r w:rsidRPr="00751E03">
        <w:rPr>
          <w:lang w:val="en"/>
        </w:rPr>
        <w:t xml:space="preserve"> </w:t>
      </w:r>
      <w:proofErr w:type="spellStart"/>
      <w:r w:rsidRPr="00751E03">
        <w:rPr>
          <w:lang w:val="en"/>
        </w:rPr>
        <w:t>Phl</w:t>
      </w:r>
      <w:proofErr w:type="spellEnd"/>
      <w:r w:rsidRPr="00751E03">
        <w:rPr>
          <w:lang w:val="en"/>
        </w:rPr>
        <w:t xml:space="preserve"> p</w:t>
      </w:r>
      <w:r>
        <w:rPr>
          <w:lang w:val="en"/>
        </w:rPr>
        <w:t xml:space="preserve"> allergen extract </w:t>
      </w:r>
      <w:r w:rsidRPr="00751E03">
        <w:rPr>
          <w:lang w:val="en"/>
        </w:rPr>
        <w:t>treatment (</w:t>
      </w:r>
      <w:r>
        <w:rPr>
          <w:lang w:val="en"/>
        </w:rPr>
        <w:t>25</w:t>
      </w:r>
      <w:r w:rsidR="001E1063">
        <w:rPr>
          <w:lang w:val="en"/>
        </w:rPr>
        <w:t>,</w:t>
      </w:r>
      <w:r>
        <w:rPr>
          <w:lang w:val="en"/>
        </w:rPr>
        <w:t>000 SQ-U/animal/d</w:t>
      </w:r>
      <w:r w:rsidR="001E1063">
        <w:rPr>
          <w:lang w:val="en"/>
        </w:rPr>
        <w:t>ay</w:t>
      </w:r>
      <w:r>
        <w:rPr>
          <w:lang w:val="en"/>
        </w:rPr>
        <w:t xml:space="preserve"> for </w:t>
      </w:r>
      <w:r w:rsidRPr="00751E03">
        <w:rPr>
          <w:lang w:val="en"/>
        </w:rPr>
        <w:t>6 w</w:t>
      </w:r>
      <w:r w:rsidR="001E1063">
        <w:rPr>
          <w:lang w:val="en"/>
        </w:rPr>
        <w:t>ee</w:t>
      </w:r>
      <w:r w:rsidRPr="00751E03">
        <w:rPr>
          <w:lang w:val="en"/>
        </w:rPr>
        <w:t xml:space="preserve">ks) in previously </w:t>
      </w:r>
      <w:proofErr w:type="spellStart"/>
      <w:r w:rsidRPr="00751E03">
        <w:rPr>
          <w:lang w:val="en"/>
        </w:rPr>
        <w:t>Phl</w:t>
      </w:r>
      <w:proofErr w:type="spellEnd"/>
      <w:r w:rsidRPr="00751E03">
        <w:rPr>
          <w:lang w:val="en"/>
        </w:rPr>
        <w:t xml:space="preserve"> p</w:t>
      </w:r>
      <w:r>
        <w:rPr>
          <w:lang w:val="en"/>
        </w:rPr>
        <w:t xml:space="preserve"> allergen extract </w:t>
      </w:r>
      <w:proofErr w:type="spellStart"/>
      <w:r w:rsidRPr="00751E03">
        <w:rPr>
          <w:lang w:val="en"/>
        </w:rPr>
        <w:t>sensit</w:t>
      </w:r>
      <w:r w:rsidR="004A7F98">
        <w:rPr>
          <w:lang w:val="en"/>
        </w:rPr>
        <w:t>is</w:t>
      </w:r>
      <w:r w:rsidRPr="00751E03">
        <w:rPr>
          <w:lang w:val="en"/>
        </w:rPr>
        <w:t>ed</w:t>
      </w:r>
      <w:proofErr w:type="spellEnd"/>
      <w:r w:rsidRPr="00751E03">
        <w:rPr>
          <w:lang w:val="en"/>
        </w:rPr>
        <w:t xml:space="preserve"> </w:t>
      </w:r>
      <w:r>
        <w:rPr>
          <w:lang w:val="en"/>
        </w:rPr>
        <w:t>(IP route)</w:t>
      </w:r>
      <w:r w:rsidRPr="00751E03">
        <w:rPr>
          <w:lang w:val="en"/>
        </w:rPr>
        <w:t xml:space="preserve"> mice induced significant (</w:t>
      </w:r>
      <w:r w:rsidRPr="001E1063">
        <w:rPr>
          <w:lang w:val="en"/>
        </w:rPr>
        <w:t>p</w:t>
      </w:r>
      <w:r w:rsidR="001E1063">
        <w:rPr>
          <w:lang w:val="en"/>
        </w:rPr>
        <w:t> </w:t>
      </w:r>
      <w:r w:rsidR="004C74AA">
        <w:rPr>
          <w:lang w:val="en"/>
        </w:rPr>
        <w:t>&lt;</w:t>
      </w:r>
      <w:r w:rsidR="00E4200C">
        <w:rPr>
          <w:lang w:val="en"/>
        </w:rPr>
        <w:t> </w:t>
      </w:r>
      <w:r w:rsidRPr="00751E03">
        <w:rPr>
          <w:lang w:val="en"/>
        </w:rPr>
        <w:t>0.05)</w:t>
      </w:r>
      <w:r w:rsidR="00FA2591">
        <w:rPr>
          <w:lang w:val="en"/>
        </w:rPr>
        <w:t xml:space="preserve"> </w:t>
      </w:r>
      <w:r w:rsidRPr="00751E03">
        <w:rPr>
          <w:lang w:val="en"/>
        </w:rPr>
        <w:t xml:space="preserve">increase in mean serum </w:t>
      </w:r>
      <w:proofErr w:type="spellStart"/>
      <w:r w:rsidRPr="00751E03">
        <w:rPr>
          <w:lang w:val="en"/>
        </w:rPr>
        <w:t>Phl</w:t>
      </w:r>
      <w:proofErr w:type="spellEnd"/>
      <w:r w:rsidRPr="00751E03">
        <w:rPr>
          <w:lang w:val="en"/>
        </w:rPr>
        <w:t xml:space="preserve"> p</w:t>
      </w:r>
      <w:r>
        <w:rPr>
          <w:lang w:val="en"/>
        </w:rPr>
        <w:t xml:space="preserve"> allergen extract</w:t>
      </w:r>
      <w:r w:rsidRPr="00751E03">
        <w:rPr>
          <w:lang w:val="en"/>
        </w:rPr>
        <w:t xml:space="preserve">-specific Ig (maximum of </w:t>
      </w:r>
      <w:r w:rsidR="0028468D">
        <w:rPr>
          <w:lang w:val="en"/>
        </w:rPr>
        <w:t xml:space="preserve">approximately </w:t>
      </w:r>
      <w:r w:rsidRPr="00751E03">
        <w:rPr>
          <w:lang w:val="en"/>
        </w:rPr>
        <w:t>2</w:t>
      </w:r>
      <w:r w:rsidR="001E1063">
        <w:rPr>
          <w:lang w:val="en"/>
        </w:rPr>
        <w:t xml:space="preserve"> </w:t>
      </w:r>
      <w:r w:rsidRPr="00751E03">
        <w:rPr>
          <w:lang w:val="en"/>
        </w:rPr>
        <w:t xml:space="preserve">X </w:t>
      </w:r>
      <w:r w:rsidR="00425CD4">
        <w:t xml:space="preserve">relative light </w:t>
      </w:r>
      <w:r w:rsidR="00425CD4" w:rsidRPr="00425CD4">
        <w:t>unit</w:t>
      </w:r>
      <w:r w:rsidR="00425CD4" w:rsidRPr="00425CD4">
        <w:rPr>
          <w:lang w:val="en"/>
        </w:rPr>
        <w:t xml:space="preserve"> (</w:t>
      </w:r>
      <w:r w:rsidRPr="00425CD4">
        <w:rPr>
          <w:lang w:val="en"/>
        </w:rPr>
        <w:t>RLU</w:t>
      </w:r>
      <w:r w:rsidR="00425CD4" w:rsidRPr="00425CD4">
        <w:rPr>
          <w:lang w:val="en"/>
        </w:rPr>
        <w:t>)</w:t>
      </w:r>
      <w:r w:rsidRPr="00425CD4">
        <w:rPr>
          <w:rStyle w:val="FootnoteReference"/>
          <w:lang w:val="en"/>
        </w:rPr>
        <w:footnoteReference w:id="49"/>
      </w:r>
      <w:r w:rsidRPr="00751E03">
        <w:rPr>
          <w:lang w:val="en"/>
        </w:rPr>
        <w:t xml:space="preserve"> ↑ for </w:t>
      </w:r>
      <w:proofErr w:type="spellStart"/>
      <w:r w:rsidRPr="00751E03">
        <w:rPr>
          <w:lang w:val="en"/>
        </w:rPr>
        <w:t>IgE</w:t>
      </w:r>
      <w:proofErr w:type="spellEnd"/>
      <w:r w:rsidRPr="00751E03">
        <w:rPr>
          <w:lang w:val="en"/>
        </w:rPr>
        <w:t xml:space="preserve">, </w:t>
      </w:r>
      <w:r w:rsidR="0028468D">
        <w:rPr>
          <w:lang w:val="en"/>
        </w:rPr>
        <w:t xml:space="preserve">approximately </w:t>
      </w:r>
      <w:r w:rsidRPr="00751E03">
        <w:rPr>
          <w:lang w:val="en"/>
        </w:rPr>
        <w:t>5</w:t>
      </w:r>
      <w:r w:rsidR="002A47B8">
        <w:rPr>
          <w:lang w:val="en"/>
        </w:rPr>
        <w:t xml:space="preserve"> </w:t>
      </w:r>
      <w:r w:rsidRPr="00751E03">
        <w:rPr>
          <w:lang w:val="en"/>
        </w:rPr>
        <w:t xml:space="preserve">X RLU </w:t>
      </w:r>
      <w:r w:rsidR="002A47B8">
        <w:rPr>
          <w:lang w:val="en"/>
        </w:rPr>
        <w:t>↑</w:t>
      </w:r>
      <w:r w:rsidRPr="00751E03">
        <w:rPr>
          <w:lang w:val="en"/>
        </w:rPr>
        <w:t xml:space="preserve"> for IgA, </w:t>
      </w:r>
      <w:r w:rsidR="0028468D">
        <w:rPr>
          <w:lang w:val="en"/>
        </w:rPr>
        <w:t xml:space="preserve">approximately </w:t>
      </w:r>
      <w:r w:rsidRPr="00751E03">
        <w:rPr>
          <w:lang w:val="en"/>
        </w:rPr>
        <w:t>2</w:t>
      </w:r>
      <w:r w:rsidR="004105E7">
        <w:rPr>
          <w:lang w:val="en"/>
        </w:rPr>
        <w:t xml:space="preserve"> </w:t>
      </w:r>
      <w:r w:rsidRPr="00751E03">
        <w:rPr>
          <w:lang w:val="en"/>
        </w:rPr>
        <w:t>X RLU ↑ for IgG</w:t>
      </w:r>
      <w:r w:rsidRPr="00751E03">
        <w:rPr>
          <w:vertAlign w:val="subscript"/>
          <w:lang w:val="en"/>
        </w:rPr>
        <w:t>2a</w:t>
      </w:r>
      <w:r w:rsidRPr="00751E03">
        <w:rPr>
          <w:lang w:val="en"/>
        </w:rPr>
        <w:t>, no change for IgG</w:t>
      </w:r>
      <w:r w:rsidRPr="00751E03">
        <w:rPr>
          <w:vertAlign w:val="subscript"/>
          <w:lang w:val="en"/>
        </w:rPr>
        <w:t>1</w:t>
      </w:r>
      <w:r w:rsidRPr="00751E03">
        <w:rPr>
          <w:lang w:val="en"/>
        </w:rPr>
        <w:t xml:space="preserve"> relative to negative control treatment). The </w:t>
      </w:r>
      <w:r>
        <w:rPr>
          <w:lang w:val="en"/>
        </w:rPr>
        <w:t>re</w:t>
      </w:r>
      <w:r w:rsidRPr="00751E03">
        <w:rPr>
          <w:lang w:val="en"/>
        </w:rPr>
        <w:t>sponse was dominated by antigen-specific serum</w:t>
      </w:r>
      <w:r>
        <w:rPr>
          <w:lang w:val="en"/>
        </w:rPr>
        <w:t xml:space="preserve"> IgA production</w:t>
      </w:r>
      <w:r w:rsidRPr="00751E03">
        <w:rPr>
          <w:lang w:val="en"/>
        </w:rPr>
        <w:t>.</w:t>
      </w:r>
    </w:p>
    <w:p w14:paraId="4FE91AC9" w14:textId="7DF70C84" w:rsidR="00FE0277" w:rsidRPr="00751E03" w:rsidRDefault="00FE0277" w:rsidP="004F701B">
      <w:pPr>
        <w:pStyle w:val="ListBullet"/>
        <w:rPr>
          <w:lang w:val="en"/>
        </w:rPr>
      </w:pPr>
      <w:r w:rsidRPr="00751E03">
        <w:rPr>
          <w:lang w:val="en"/>
        </w:rPr>
        <w:lastRenderedPageBreak/>
        <w:t>Based on serum IgA</w:t>
      </w:r>
      <w:r>
        <w:rPr>
          <w:lang w:val="en"/>
        </w:rPr>
        <w:t xml:space="preserve"> responses</w:t>
      </w:r>
      <w:r w:rsidRPr="00751E03">
        <w:rPr>
          <w:lang w:val="en"/>
        </w:rPr>
        <w:t xml:space="preserve">, the optimal dosing regime was </w:t>
      </w:r>
      <w:r>
        <w:rPr>
          <w:lang w:val="en"/>
        </w:rPr>
        <w:t>25</w:t>
      </w:r>
      <w:r w:rsidR="002A47B8">
        <w:rPr>
          <w:lang w:val="en"/>
        </w:rPr>
        <w:t>,000 SQ</w:t>
      </w:r>
      <w:r w:rsidR="002A47B8">
        <w:rPr>
          <w:lang w:val="en"/>
        </w:rPr>
        <w:noBreakHyphen/>
      </w:r>
      <w:r>
        <w:rPr>
          <w:lang w:val="en"/>
        </w:rPr>
        <w:t>U/animal/day</w:t>
      </w:r>
      <w:r w:rsidRPr="00751E03">
        <w:rPr>
          <w:lang w:val="en"/>
        </w:rPr>
        <w:t>, 7</w:t>
      </w:r>
      <w:r>
        <w:rPr>
          <w:lang w:val="en"/>
        </w:rPr>
        <w:t>d</w:t>
      </w:r>
      <w:r w:rsidR="002A47B8">
        <w:rPr>
          <w:lang w:val="en"/>
        </w:rPr>
        <w:t>ays</w:t>
      </w:r>
      <w:r w:rsidRPr="00751E03">
        <w:rPr>
          <w:lang w:val="en"/>
        </w:rPr>
        <w:t xml:space="preserve"> per </w:t>
      </w:r>
      <w:r>
        <w:rPr>
          <w:lang w:val="en"/>
        </w:rPr>
        <w:t>w</w:t>
      </w:r>
      <w:r w:rsidR="002A47B8">
        <w:rPr>
          <w:lang w:val="en"/>
        </w:rPr>
        <w:t>ee</w:t>
      </w:r>
      <w:r>
        <w:rPr>
          <w:lang w:val="en"/>
        </w:rPr>
        <w:t>k</w:t>
      </w:r>
      <w:r w:rsidRPr="00751E03">
        <w:rPr>
          <w:lang w:val="en"/>
        </w:rPr>
        <w:t xml:space="preserve"> (IgA</w:t>
      </w:r>
      <w:r>
        <w:rPr>
          <w:lang w:val="en"/>
        </w:rPr>
        <w:t xml:space="preserve"> </w:t>
      </w:r>
      <w:r w:rsidRPr="00751E03">
        <w:rPr>
          <w:lang w:val="en"/>
        </w:rPr>
        <w:t xml:space="preserve">↑ </w:t>
      </w:r>
      <w:r w:rsidR="0028468D">
        <w:rPr>
          <w:lang w:val="en"/>
        </w:rPr>
        <w:t xml:space="preserve">approximately </w:t>
      </w:r>
      <w:r w:rsidRPr="00751E03">
        <w:rPr>
          <w:lang w:val="en"/>
        </w:rPr>
        <w:t>5</w:t>
      </w:r>
      <w:r w:rsidR="002A47B8">
        <w:rPr>
          <w:lang w:val="en"/>
        </w:rPr>
        <w:t xml:space="preserve"> </w:t>
      </w:r>
      <w:r w:rsidRPr="00751E03">
        <w:rPr>
          <w:lang w:val="en"/>
        </w:rPr>
        <w:t>X</w:t>
      </w:r>
      <w:r>
        <w:rPr>
          <w:lang w:val="en"/>
        </w:rPr>
        <w:t xml:space="preserve"> RLU</w:t>
      </w:r>
      <w:r w:rsidRPr="00751E03">
        <w:rPr>
          <w:lang w:val="en"/>
        </w:rPr>
        <w:t xml:space="preserve"> </w:t>
      </w:r>
      <w:r w:rsidR="002A47B8">
        <w:rPr>
          <w:i/>
          <w:lang w:val="en"/>
        </w:rPr>
        <w:t>compared with</w:t>
      </w:r>
      <w:r>
        <w:rPr>
          <w:i/>
          <w:lang w:val="en"/>
        </w:rPr>
        <w:t xml:space="preserve"> </w:t>
      </w:r>
      <w:r w:rsidRPr="00751E03">
        <w:rPr>
          <w:lang w:val="en"/>
        </w:rPr>
        <w:t xml:space="preserve">negative control treatment). Dosing at least OID for 3 </w:t>
      </w:r>
      <w:r>
        <w:rPr>
          <w:lang w:val="en"/>
        </w:rPr>
        <w:t>d</w:t>
      </w:r>
      <w:r w:rsidR="004105E7">
        <w:rPr>
          <w:lang w:val="en"/>
        </w:rPr>
        <w:t>ays</w:t>
      </w:r>
      <w:r w:rsidRPr="00751E03">
        <w:rPr>
          <w:lang w:val="en"/>
        </w:rPr>
        <w:t>/</w:t>
      </w:r>
      <w:r>
        <w:rPr>
          <w:lang w:val="en"/>
        </w:rPr>
        <w:t>w</w:t>
      </w:r>
      <w:r w:rsidR="004105E7">
        <w:rPr>
          <w:lang w:val="en"/>
        </w:rPr>
        <w:t>ee</w:t>
      </w:r>
      <w:r>
        <w:rPr>
          <w:lang w:val="en"/>
        </w:rPr>
        <w:t>k</w:t>
      </w:r>
      <w:r w:rsidRPr="00751E03">
        <w:rPr>
          <w:lang w:val="en"/>
        </w:rPr>
        <w:t xml:space="preserve"> was required to induce </w:t>
      </w:r>
      <w:r>
        <w:rPr>
          <w:lang w:val="en"/>
        </w:rPr>
        <w:t xml:space="preserve">a </w:t>
      </w:r>
      <w:r w:rsidRPr="00751E03">
        <w:rPr>
          <w:lang w:val="en"/>
        </w:rPr>
        <w:t>significant (</w:t>
      </w:r>
      <w:r w:rsidRPr="002A47B8">
        <w:rPr>
          <w:lang w:val="en"/>
        </w:rPr>
        <w:t>p</w:t>
      </w:r>
      <w:r w:rsidR="002A47B8" w:rsidRPr="002A47B8">
        <w:rPr>
          <w:lang w:val="en"/>
        </w:rPr>
        <w:t xml:space="preserve"> </w:t>
      </w:r>
      <w:r w:rsidR="004C74AA">
        <w:rPr>
          <w:lang w:val="en"/>
        </w:rPr>
        <w:t xml:space="preserve">&lt; </w:t>
      </w:r>
      <w:r w:rsidRPr="00751E03">
        <w:rPr>
          <w:lang w:val="en"/>
        </w:rPr>
        <w:t>0.05) serum IgA response.</w:t>
      </w:r>
    </w:p>
    <w:p w14:paraId="4FE91ACA" w14:textId="1140D290" w:rsidR="00FE0277" w:rsidRDefault="00FE0277" w:rsidP="004F701B">
      <w:pPr>
        <w:pStyle w:val="ListBullet"/>
        <w:rPr>
          <w:lang w:val="en"/>
        </w:rPr>
      </w:pPr>
      <w:r>
        <w:rPr>
          <w:lang w:val="en"/>
        </w:rPr>
        <w:t xml:space="preserve">A post-dosing restraint time (presumed to </w:t>
      </w:r>
      <w:r w:rsidRPr="004105E7">
        <w:t xml:space="preserve">be </w:t>
      </w:r>
      <w:r w:rsidR="0028468D">
        <w:t xml:space="preserve">approximately </w:t>
      </w:r>
      <w:r w:rsidRPr="004105E7">
        <w:t>oral</w:t>
      </w:r>
      <w:r>
        <w:rPr>
          <w:lang w:val="en"/>
        </w:rPr>
        <w:t xml:space="preserve"> mucosal contact time) of 40 s</w:t>
      </w:r>
      <w:r w:rsidR="004105E7">
        <w:rPr>
          <w:lang w:val="en"/>
        </w:rPr>
        <w:t>econds</w:t>
      </w:r>
      <w:r>
        <w:rPr>
          <w:lang w:val="en"/>
        </w:rPr>
        <w:t xml:space="preserve"> was not more efficacious than a restraint time of 20 s</w:t>
      </w:r>
      <w:r w:rsidR="004105E7">
        <w:rPr>
          <w:lang w:val="en"/>
        </w:rPr>
        <w:t>econds</w:t>
      </w:r>
      <w:r>
        <w:rPr>
          <w:lang w:val="en"/>
        </w:rPr>
        <w:t>.</w:t>
      </w:r>
    </w:p>
    <w:p w14:paraId="4FE91ACB" w14:textId="219669E0" w:rsidR="005479B1" w:rsidRDefault="00FE0277" w:rsidP="004F701B">
      <w:pPr>
        <w:pStyle w:val="ListBullet"/>
        <w:rPr>
          <w:lang w:val="en"/>
        </w:rPr>
      </w:pPr>
      <w:r>
        <w:rPr>
          <w:lang w:val="en"/>
        </w:rPr>
        <w:t xml:space="preserve">Six </w:t>
      </w:r>
      <w:r w:rsidR="002A47B8">
        <w:rPr>
          <w:lang w:val="en"/>
        </w:rPr>
        <w:t>weeks</w:t>
      </w:r>
      <w:r>
        <w:rPr>
          <w:lang w:val="en"/>
        </w:rPr>
        <w:t xml:space="preserve"> of PO dosing at </w:t>
      </w:r>
      <w:r w:rsidR="002A47B8">
        <w:rPr>
          <w:lang w:val="en"/>
        </w:rPr>
        <w:t>25,000</w:t>
      </w:r>
      <w:r>
        <w:rPr>
          <w:lang w:val="en"/>
        </w:rPr>
        <w:t xml:space="preserve"> SQ-U/animal/d resulted in a 100% incidence of animals with ↑ anti-</w:t>
      </w:r>
      <w:proofErr w:type="spellStart"/>
      <w:r>
        <w:rPr>
          <w:lang w:val="en"/>
        </w:rPr>
        <w:t>Phl</w:t>
      </w:r>
      <w:proofErr w:type="spellEnd"/>
      <w:r>
        <w:rPr>
          <w:lang w:val="en"/>
        </w:rPr>
        <w:t xml:space="preserve"> p5 serum IgA, but only a 60% i</w:t>
      </w:r>
      <w:r w:rsidR="002A47B8">
        <w:rPr>
          <w:lang w:val="en"/>
        </w:rPr>
        <w:t>ncidence of animals with ↑ anti</w:t>
      </w:r>
      <w:r w:rsidR="002A47B8">
        <w:rPr>
          <w:lang w:val="en"/>
        </w:rPr>
        <w:noBreakHyphen/>
      </w:r>
      <w:proofErr w:type="spellStart"/>
      <w:r>
        <w:rPr>
          <w:lang w:val="en"/>
        </w:rPr>
        <w:t>Phl</w:t>
      </w:r>
      <w:proofErr w:type="spellEnd"/>
      <w:r>
        <w:rPr>
          <w:lang w:val="en"/>
        </w:rPr>
        <w:t xml:space="preserve"> p6 serum IgA. Lower incidences of serum IgA responses occurred to other major allergen antigens (</w:t>
      </w:r>
      <w:proofErr w:type="spellStart"/>
      <w:r>
        <w:rPr>
          <w:lang w:val="en"/>
        </w:rPr>
        <w:t>Phl</w:t>
      </w:r>
      <w:proofErr w:type="spellEnd"/>
      <w:r>
        <w:rPr>
          <w:lang w:val="en"/>
        </w:rPr>
        <w:t xml:space="preserve"> p1, </w:t>
      </w:r>
      <w:proofErr w:type="spellStart"/>
      <w:r>
        <w:rPr>
          <w:lang w:val="en"/>
        </w:rPr>
        <w:t>Phl</w:t>
      </w:r>
      <w:proofErr w:type="spellEnd"/>
      <w:r>
        <w:rPr>
          <w:lang w:val="en"/>
        </w:rPr>
        <w:t xml:space="preserve"> p2/3). The largest increases in serum IgA responses to </w:t>
      </w:r>
      <w:proofErr w:type="spellStart"/>
      <w:r>
        <w:rPr>
          <w:lang w:val="en"/>
        </w:rPr>
        <w:t>Phl</w:t>
      </w:r>
      <w:proofErr w:type="spellEnd"/>
      <w:r>
        <w:rPr>
          <w:lang w:val="en"/>
        </w:rPr>
        <w:t xml:space="preserve"> p major antigens occurred for </w:t>
      </w:r>
      <w:proofErr w:type="spellStart"/>
      <w:r>
        <w:rPr>
          <w:lang w:val="en"/>
        </w:rPr>
        <w:t>Phl</w:t>
      </w:r>
      <w:proofErr w:type="spellEnd"/>
      <w:r>
        <w:rPr>
          <w:lang w:val="en"/>
        </w:rPr>
        <w:t xml:space="preserve"> p5 and </w:t>
      </w:r>
      <w:proofErr w:type="spellStart"/>
      <w:r>
        <w:rPr>
          <w:lang w:val="en"/>
        </w:rPr>
        <w:t>Phl</w:t>
      </w:r>
      <w:proofErr w:type="spellEnd"/>
      <w:r>
        <w:rPr>
          <w:lang w:val="en"/>
        </w:rPr>
        <w:t xml:space="preserve"> p6 (</w:t>
      </w:r>
      <w:r w:rsidR="0028468D">
        <w:rPr>
          <w:lang w:val="en"/>
        </w:rPr>
        <w:t xml:space="preserve">approximately </w:t>
      </w:r>
      <w:r w:rsidR="002A47B8">
        <w:rPr>
          <w:lang w:val="en"/>
        </w:rPr>
        <w:t xml:space="preserve">5 to </w:t>
      </w:r>
      <w:r>
        <w:rPr>
          <w:lang w:val="en"/>
        </w:rPr>
        <w:t>6</w:t>
      </w:r>
      <w:r w:rsidR="002A47B8">
        <w:rPr>
          <w:lang w:val="en"/>
        </w:rPr>
        <w:t xml:space="preserve"> </w:t>
      </w:r>
      <w:r>
        <w:rPr>
          <w:lang w:val="en"/>
        </w:rPr>
        <w:t>X RLU</w:t>
      </w:r>
      <w:r w:rsidR="002A47B8">
        <w:rPr>
          <w:lang w:val="en"/>
        </w:rPr>
        <w:t xml:space="preserve"> </w:t>
      </w:r>
      <w:r>
        <w:rPr>
          <w:lang w:val="en"/>
        </w:rPr>
        <w:t xml:space="preserve">↑) </w:t>
      </w:r>
      <w:r w:rsidR="004A7F98">
        <w:rPr>
          <w:lang w:val="en"/>
        </w:rPr>
        <w:t>that is</w:t>
      </w:r>
      <w:r>
        <w:rPr>
          <w:lang w:val="en"/>
        </w:rPr>
        <w:t xml:space="preserve"> the serum antibody response was do</w:t>
      </w:r>
      <w:r w:rsidR="002A47B8">
        <w:rPr>
          <w:lang w:val="en"/>
        </w:rPr>
        <w:t xml:space="preserve">minated by IgA responses to </w:t>
      </w:r>
      <w:proofErr w:type="spellStart"/>
      <w:r w:rsidR="002A47B8">
        <w:rPr>
          <w:lang w:val="en"/>
        </w:rPr>
        <w:t>Phl</w:t>
      </w:r>
      <w:proofErr w:type="spellEnd"/>
      <w:r w:rsidR="002A47B8">
        <w:rPr>
          <w:lang w:val="en"/>
        </w:rPr>
        <w:t> </w:t>
      </w:r>
      <w:r>
        <w:rPr>
          <w:lang w:val="en"/>
        </w:rPr>
        <w:t xml:space="preserve">p5 and </w:t>
      </w:r>
      <w:proofErr w:type="spellStart"/>
      <w:r>
        <w:rPr>
          <w:lang w:val="en"/>
        </w:rPr>
        <w:t>Phl</w:t>
      </w:r>
      <w:proofErr w:type="spellEnd"/>
      <w:r>
        <w:rPr>
          <w:lang w:val="en"/>
        </w:rPr>
        <w:t xml:space="preserve"> p6</w:t>
      </w:r>
      <w:r w:rsidR="005479B1">
        <w:rPr>
          <w:lang w:val="en"/>
        </w:rPr>
        <w:t>.</w:t>
      </w:r>
    </w:p>
    <w:p w14:paraId="4FE91ACC" w14:textId="0E974E94" w:rsidR="00FE0277" w:rsidRDefault="00FE0277" w:rsidP="004F701B">
      <w:pPr>
        <w:pStyle w:val="ListBullet"/>
        <w:rPr>
          <w:lang w:val="en"/>
        </w:rPr>
      </w:pPr>
      <w:r w:rsidRPr="00751E03">
        <w:rPr>
          <w:lang w:val="en"/>
        </w:rPr>
        <w:t>In general</w:t>
      </w:r>
      <w:r w:rsidR="00F75F72">
        <w:rPr>
          <w:lang w:val="en"/>
        </w:rPr>
        <w:t>,</w:t>
      </w:r>
      <w:r w:rsidRPr="00751E03">
        <w:rPr>
          <w:lang w:val="en"/>
        </w:rPr>
        <w:t xml:space="preserve"> </w:t>
      </w:r>
      <w:proofErr w:type="spellStart"/>
      <w:r w:rsidRPr="00751E03">
        <w:rPr>
          <w:lang w:val="en"/>
        </w:rPr>
        <w:t>bronchoalveolar</w:t>
      </w:r>
      <w:proofErr w:type="spellEnd"/>
      <w:r w:rsidRPr="00751E03">
        <w:rPr>
          <w:lang w:val="en"/>
        </w:rPr>
        <w:t xml:space="preserve"> lavage (BAL) </w:t>
      </w:r>
      <w:r>
        <w:rPr>
          <w:lang w:val="en"/>
        </w:rPr>
        <w:t xml:space="preserve">and </w:t>
      </w:r>
      <w:r w:rsidRPr="00751E03">
        <w:rPr>
          <w:lang w:val="en"/>
        </w:rPr>
        <w:t>nasal lavage (NAL) IgA (</w:t>
      </w:r>
      <w:proofErr w:type="spellStart"/>
      <w:r w:rsidRPr="00751E03">
        <w:rPr>
          <w:lang w:val="en"/>
        </w:rPr>
        <w:t>sIgA</w:t>
      </w:r>
      <w:proofErr w:type="spellEnd"/>
      <w:r w:rsidRPr="00751E03">
        <w:rPr>
          <w:lang w:val="en"/>
        </w:rPr>
        <w:t>) responses</w:t>
      </w:r>
      <w:r w:rsidR="002A47B8">
        <w:rPr>
          <w:lang w:val="en"/>
        </w:rPr>
        <w:t xml:space="preserve"> (↑ 5 to </w:t>
      </w:r>
      <w:r>
        <w:rPr>
          <w:lang w:val="en"/>
        </w:rPr>
        <w:t>130</w:t>
      </w:r>
      <w:r w:rsidR="002A47B8">
        <w:rPr>
          <w:lang w:val="en"/>
        </w:rPr>
        <w:t xml:space="preserve"> </w:t>
      </w:r>
      <w:r w:rsidRPr="00751E03">
        <w:rPr>
          <w:lang w:val="en"/>
        </w:rPr>
        <w:t>X</w:t>
      </w:r>
      <w:r>
        <w:rPr>
          <w:lang w:val="en"/>
        </w:rPr>
        <w:t xml:space="preserve"> RLU</w:t>
      </w:r>
      <w:r w:rsidRPr="00751E03">
        <w:rPr>
          <w:lang w:val="en"/>
        </w:rPr>
        <w:t xml:space="preserve"> following </w:t>
      </w:r>
      <w:proofErr w:type="spellStart"/>
      <w:r w:rsidRPr="00751E03">
        <w:rPr>
          <w:lang w:val="en"/>
        </w:rPr>
        <w:t>Phl</w:t>
      </w:r>
      <w:proofErr w:type="spellEnd"/>
      <w:r w:rsidRPr="00751E03">
        <w:rPr>
          <w:lang w:val="en"/>
        </w:rPr>
        <w:t xml:space="preserve"> p </w:t>
      </w:r>
      <w:r>
        <w:rPr>
          <w:lang w:val="en"/>
        </w:rPr>
        <w:t>allergen extract PO dosing [5</w:t>
      </w:r>
      <w:r w:rsidR="002A47B8">
        <w:rPr>
          <w:lang w:val="en"/>
        </w:rPr>
        <w:t>,</w:t>
      </w:r>
      <w:r>
        <w:rPr>
          <w:lang w:val="en"/>
        </w:rPr>
        <w:t xml:space="preserve">000, </w:t>
      </w:r>
      <w:r w:rsidR="002A47B8">
        <w:rPr>
          <w:lang w:val="en"/>
        </w:rPr>
        <w:t>25,000</w:t>
      </w:r>
      <w:r>
        <w:rPr>
          <w:lang w:val="en"/>
        </w:rPr>
        <w:t>, 1</w:t>
      </w:r>
      <w:r w:rsidR="002A47B8">
        <w:rPr>
          <w:lang w:val="en"/>
        </w:rPr>
        <w:t>25,000</w:t>
      </w:r>
      <w:r>
        <w:rPr>
          <w:lang w:val="en"/>
        </w:rPr>
        <w:t xml:space="preserve"> SQ-U/d PO for 2, 4 or 6 </w:t>
      </w:r>
      <w:r w:rsidR="002A47B8">
        <w:rPr>
          <w:lang w:val="en"/>
        </w:rPr>
        <w:t>weeks</w:t>
      </w:r>
      <w:r>
        <w:rPr>
          <w:lang w:val="en"/>
        </w:rPr>
        <w:t xml:space="preserve">] </w:t>
      </w:r>
      <w:r w:rsidR="002A47B8" w:rsidRPr="002A47B8">
        <w:rPr>
          <w:lang w:val="en"/>
        </w:rPr>
        <w:t>compared with</w:t>
      </w:r>
      <w:r>
        <w:rPr>
          <w:i/>
          <w:lang w:val="en"/>
        </w:rPr>
        <w:t xml:space="preserve"> </w:t>
      </w:r>
      <w:r>
        <w:rPr>
          <w:lang w:val="en"/>
        </w:rPr>
        <w:t xml:space="preserve">control) reflected the </w:t>
      </w:r>
      <w:r w:rsidRPr="00751E03">
        <w:rPr>
          <w:lang w:val="en"/>
        </w:rPr>
        <w:t xml:space="preserve">serum IgA response. </w:t>
      </w:r>
      <w:r>
        <w:rPr>
          <w:lang w:val="en"/>
        </w:rPr>
        <w:t xml:space="preserve">The responses were treatment duration </w:t>
      </w:r>
      <w:r w:rsidRPr="00751E03">
        <w:rPr>
          <w:lang w:val="en"/>
        </w:rPr>
        <w:t>proportional</w:t>
      </w:r>
      <w:r>
        <w:rPr>
          <w:lang w:val="en"/>
        </w:rPr>
        <w:t xml:space="preserve"> </w:t>
      </w:r>
      <w:r w:rsidRPr="00751E03">
        <w:rPr>
          <w:lang w:val="en"/>
        </w:rPr>
        <w:t xml:space="preserve">but only partly </w:t>
      </w:r>
      <w:r>
        <w:rPr>
          <w:lang w:val="en"/>
        </w:rPr>
        <w:t xml:space="preserve">dose </w:t>
      </w:r>
      <w:r w:rsidRPr="00751E03">
        <w:rPr>
          <w:lang w:val="en"/>
        </w:rPr>
        <w:t>proportional</w:t>
      </w:r>
      <w:r>
        <w:rPr>
          <w:lang w:val="en"/>
        </w:rPr>
        <w:t>.</w:t>
      </w:r>
    </w:p>
    <w:p w14:paraId="4FE91ACD" w14:textId="77777777" w:rsidR="005479B1" w:rsidRDefault="00FE0277" w:rsidP="004F701B">
      <w:pPr>
        <w:pStyle w:val="ListBullet"/>
        <w:rPr>
          <w:lang w:val="en"/>
        </w:rPr>
      </w:pPr>
      <w:r w:rsidRPr="00751E03">
        <w:rPr>
          <w:lang w:val="en"/>
        </w:rPr>
        <w:t xml:space="preserve">Pooled </w:t>
      </w:r>
      <w:r>
        <w:rPr>
          <w:lang w:val="en"/>
        </w:rPr>
        <w:t xml:space="preserve">high allergen specific </w:t>
      </w:r>
      <w:proofErr w:type="spellStart"/>
      <w:r>
        <w:rPr>
          <w:lang w:val="en"/>
        </w:rPr>
        <w:t>sIgA</w:t>
      </w:r>
      <w:proofErr w:type="spellEnd"/>
      <w:r>
        <w:rPr>
          <w:lang w:val="en"/>
        </w:rPr>
        <w:t xml:space="preserve"> </w:t>
      </w:r>
      <w:r w:rsidR="004105E7">
        <w:rPr>
          <w:lang w:val="en"/>
        </w:rPr>
        <w:t xml:space="preserve">BAL </w:t>
      </w:r>
      <w:r w:rsidRPr="00751E03">
        <w:rPr>
          <w:lang w:val="en"/>
        </w:rPr>
        <w:t xml:space="preserve">fluid from </w:t>
      </w:r>
      <w:proofErr w:type="spellStart"/>
      <w:r>
        <w:rPr>
          <w:lang w:val="en"/>
        </w:rPr>
        <w:t>Phl</w:t>
      </w:r>
      <w:proofErr w:type="spellEnd"/>
      <w:r>
        <w:rPr>
          <w:lang w:val="en"/>
        </w:rPr>
        <w:t xml:space="preserve"> p treated </w:t>
      </w:r>
      <w:r w:rsidRPr="00751E03">
        <w:rPr>
          <w:lang w:val="en"/>
        </w:rPr>
        <w:t xml:space="preserve">mice </w:t>
      </w:r>
      <w:r>
        <w:rPr>
          <w:lang w:val="en"/>
        </w:rPr>
        <w:t>reduced</w:t>
      </w:r>
      <w:r w:rsidRPr="00751E03">
        <w:rPr>
          <w:lang w:val="en"/>
        </w:rPr>
        <w:t xml:space="preserve"> the binding of </w:t>
      </w:r>
      <w:proofErr w:type="spellStart"/>
      <w:r w:rsidRPr="00751E03">
        <w:rPr>
          <w:lang w:val="en"/>
        </w:rPr>
        <w:t>IgE</w:t>
      </w:r>
      <w:proofErr w:type="spellEnd"/>
      <w:r w:rsidRPr="00751E03">
        <w:rPr>
          <w:lang w:val="en"/>
        </w:rPr>
        <w:t xml:space="preserve"> to </w:t>
      </w:r>
      <w:r>
        <w:rPr>
          <w:lang w:val="en"/>
        </w:rPr>
        <w:t xml:space="preserve">a </w:t>
      </w:r>
      <w:r w:rsidRPr="00751E03">
        <w:rPr>
          <w:lang w:val="en"/>
        </w:rPr>
        <w:t xml:space="preserve">biotinylated </w:t>
      </w:r>
      <w:proofErr w:type="spellStart"/>
      <w:r w:rsidRPr="00751E03">
        <w:rPr>
          <w:lang w:val="en"/>
        </w:rPr>
        <w:t>Phl</w:t>
      </w:r>
      <w:proofErr w:type="spellEnd"/>
      <w:r w:rsidRPr="00751E03">
        <w:rPr>
          <w:lang w:val="en"/>
        </w:rPr>
        <w:t xml:space="preserve"> p extract</w:t>
      </w:r>
      <w:r>
        <w:rPr>
          <w:lang w:val="en"/>
        </w:rPr>
        <w:t xml:space="preserve"> </w:t>
      </w:r>
      <w:r>
        <w:rPr>
          <w:i/>
          <w:lang w:val="en"/>
        </w:rPr>
        <w:t>in vitro</w:t>
      </w:r>
      <w:r w:rsidRPr="00751E03">
        <w:rPr>
          <w:lang w:val="en"/>
        </w:rPr>
        <w:t xml:space="preserve">, whereas </w:t>
      </w:r>
      <w:r>
        <w:rPr>
          <w:lang w:val="en"/>
        </w:rPr>
        <w:t xml:space="preserve">pooled low allergen specific </w:t>
      </w:r>
      <w:proofErr w:type="spellStart"/>
      <w:r>
        <w:rPr>
          <w:lang w:val="en"/>
        </w:rPr>
        <w:t>sIgA</w:t>
      </w:r>
      <w:proofErr w:type="spellEnd"/>
      <w:r>
        <w:rPr>
          <w:lang w:val="en"/>
        </w:rPr>
        <w:t xml:space="preserve"> </w:t>
      </w:r>
      <w:r w:rsidRPr="00751E03">
        <w:rPr>
          <w:lang w:val="en"/>
        </w:rPr>
        <w:t xml:space="preserve">BAL </w:t>
      </w:r>
      <w:r>
        <w:rPr>
          <w:lang w:val="en"/>
        </w:rPr>
        <w:t>fluid could not</w:t>
      </w:r>
      <w:r w:rsidR="005479B1">
        <w:rPr>
          <w:lang w:val="en"/>
        </w:rPr>
        <w:t>.</w:t>
      </w:r>
    </w:p>
    <w:p w14:paraId="4FE91ACE" w14:textId="0A80566C" w:rsidR="005479B1" w:rsidRDefault="00FE0277" w:rsidP="004F701B">
      <w:pPr>
        <w:pStyle w:val="ListBullet"/>
        <w:rPr>
          <w:lang w:val="en"/>
        </w:rPr>
      </w:pPr>
      <w:r w:rsidRPr="00751E03">
        <w:rPr>
          <w:lang w:val="en"/>
        </w:rPr>
        <w:t xml:space="preserve">In the mouse rhinitis model, daily </w:t>
      </w:r>
      <w:proofErr w:type="spellStart"/>
      <w:r w:rsidRPr="00751E03">
        <w:rPr>
          <w:lang w:val="en"/>
        </w:rPr>
        <w:t>Phl</w:t>
      </w:r>
      <w:proofErr w:type="spellEnd"/>
      <w:r w:rsidRPr="00751E03">
        <w:rPr>
          <w:lang w:val="en"/>
        </w:rPr>
        <w:t xml:space="preserve"> p </w:t>
      </w:r>
      <w:r>
        <w:rPr>
          <w:lang w:val="en"/>
        </w:rPr>
        <w:t>allergen extract PO dosing (1</w:t>
      </w:r>
      <w:r w:rsidR="002A47B8">
        <w:rPr>
          <w:lang w:val="en"/>
        </w:rPr>
        <w:t>25,000 SQ</w:t>
      </w:r>
      <w:r w:rsidR="002A47B8">
        <w:rPr>
          <w:lang w:val="en"/>
        </w:rPr>
        <w:noBreakHyphen/>
      </w:r>
      <w:r>
        <w:rPr>
          <w:lang w:val="en"/>
        </w:rPr>
        <w:t xml:space="preserve">U/animal/day) </w:t>
      </w:r>
      <w:r w:rsidR="002A47B8">
        <w:rPr>
          <w:lang w:val="en"/>
        </w:rPr>
        <w:t xml:space="preserve">for 6 to </w:t>
      </w:r>
      <w:r w:rsidRPr="00751E03">
        <w:rPr>
          <w:lang w:val="en"/>
        </w:rPr>
        <w:t xml:space="preserve">9 </w:t>
      </w:r>
      <w:r w:rsidR="002A47B8">
        <w:rPr>
          <w:lang w:val="en"/>
        </w:rPr>
        <w:t>weeks</w:t>
      </w:r>
      <w:r w:rsidRPr="00751E03">
        <w:rPr>
          <w:lang w:val="en"/>
        </w:rPr>
        <w:t xml:space="preserve"> reduc</w:t>
      </w:r>
      <w:r>
        <w:rPr>
          <w:lang w:val="en"/>
        </w:rPr>
        <w:t>ed</w:t>
      </w:r>
      <w:r w:rsidR="002A47B8">
        <w:rPr>
          <w:lang w:val="en"/>
        </w:rPr>
        <w:t xml:space="preserve"> rhinitis </w:t>
      </w:r>
      <w:r w:rsidRPr="00751E03">
        <w:rPr>
          <w:lang w:val="en"/>
        </w:rPr>
        <w:t>associated clinical signs (</w:t>
      </w:r>
      <w:r w:rsidR="002A47B8">
        <w:rPr>
          <w:lang w:val="en"/>
        </w:rPr>
        <w:t>≤</w:t>
      </w:r>
      <w:r w:rsidR="004A7F98">
        <w:rPr>
          <w:lang w:val="en"/>
        </w:rPr>
        <w:t xml:space="preserve"> </w:t>
      </w:r>
      <w:r w:rsidR="0028468D">
        <w:rPr>
          <w:lang w:val="en"/>
        </w:rPr>
        <w:t xml:space="preserve">approximately </w:t>
      </w:r>
      <w:r>
        <w:rPr>
          <w:lang w:val="en"/>
        </w:rPr>
        <w:t>0.5</w:t>
      </w:r>
      <w:r w:rsidR="002A47B8">
        <w:rPr>
          <w:lang w:val="en"/>
        </w:rPr>
        <w:t xml:space="preserve"> </w:t>
      </w:r>
      <w:r>
        <w:rPr>
          <w:lang w:val="en"/>
        </w:rPr>
        <w:t>X</w:t>
      </w:r>
      <w:r w:rsidRPr="00751E03">
        <w:rPr>
          <w:lang w:val="en"/>
        </w:rPr>
        <w:t xml:space="preserve"> </w:t>
      </w:r>
      <w:r>
        <w:rPr>
          <w:lang w:val="en"/>
        </w:rPr>
        <w:t>↓</w:t>
      </w:r>
      <w:r w:rsidRPr="00751E03">
        <w:rPr>
          <w:lang w:val="en"/>
        </w:rPr>
        <w:t>post- challenge sneezing</w:t>
      </w:r>
      <w:r>
        <w:rPr>
          <w:lang w:val="en"/>
        </w:rPr>
        <w:t xml:space="preserve"> </w:t>
      </w:r>
      <w:r w:rsidR="002A47B8">
        <w:rPr>
          <w:i/>
          <w:lang w:val="en"/>
        </w:rPr>
        <w:t>compared with</w:t>
      </w:r>
      <w:r>
        <w:rPr>
          <w:i/>
          <w:lang w:val="en"/>
        </w:rPr>
        <w:t xml:space="preserve"> </w:t>
      </w:r>
      <w:r>
        <w:rPr>
          <w:lang w:val="en"/>
        </w:rPr>
        <w:t>control</w:t>
      </w:r>
      <w:r w:rsidRPr="00751E03">
        <w:rPr>
          <w:lang w:val="en"/>
        </w:rPr>
        <w:t>), airway hypersen</w:t>
      </w:r>
      <w:r w:rsidR="004105E7">
        <w:rPr>
          <w:lang w:val="en"/>
        </w:rPr>
        <w:t xml:space="preserve">sitivity following methacholine </w:t>
      </w:r>
      <w:r w:rsidRPr="00751E03">
        <w:rPr>
          <w:lang w:val="en"/>
        </w:rPr>
        <w:t>challenge</w:t>
      </w:r>
      <w:r>
        <w:rPr>
          <w:lang w:val="en"/>
        </w:rPr>
        <w:t xml:space="preserve"> (↓</w:t>
      </w:r>
      <w:r w:rsidR="004105E7">
        <w:rPr>
          <w:lang w:val="en"/>
        </w:rPr>
        <w:t xml:space="preserve"> </w:t>
      </w:r>
      <w:r w:rsidR="004A7F98">
        <w:rPr>
          <w:lang w:val="en"/>
        </w:rPr>
        <w:t xml:space="preserve">≤ </w:t>
      </w:r>
      <w:r w:rsidR="0028468D">
        <w:rPr>
          <w:lang w:val="en"/>
        </w:rPr>
        <w:t xml:space="preserve">approximately </w:t>
      </w:r>
      <w:r w:rsidRPr="00751E03">
        <w:rPr>
          <w:lang w:val="en"/>
        </w:rPr>
        <w:t>3</w:t>
      </w:r>
      <w:r w:rsidR="004105E7">
        <w:rPr>
          <w:lang w:val="en"/>
        </w:rPr>
        <w:t xml:space="preserve"> </w:t>
      </w:r>
      <w:r w:rsidRPr="00751E03">
        <w:rPr>
          <w:lang w:val="en"/>
        </w:rPr>
        <w:t xml:space="preserve">X </w:t>
      </w:r>
      <w:r w:rsidR="002A47B8">
        <w:rPr>
          <w:i/>
          <w:lang w:val="en"/>
        </w:rPr>
        <w:t>compared with</w:t>
      </w:r>
      <w:r>
        <w:rPr>
          <w:i/>
          <w:lang w:val="en"/>
        </w:rPr>
        <w:t xml:space="preserve"> </w:t>
      </w:r>
      <w:r>
        <w:rPr>
          <w:lang w:val="en"/>
        </w:rPr>
        <w:t>control)</w:t>
      </w:r>
      <w:r w:rsidRPr="00751E03">
        <w:rPr>
          <w:lang w:val="en"/>
        </w:rPr>
        <w:t>, NAL fluid eosinophil count (</w:t>
      </w:r>
      <w:r>
        <w:rPr>
          <w:lang w:val="en"/>
        </w:rPr>
        <w:t>↓</w:t>
      </w:r>
      <w:r w:rsidR="004105E7">
        <w:rPr>
          <w:lang w:val="en"/>
        </w:rPr>
        <w:t xml:space="preserve"> </w:t>
      </w:r>
      <w:r w:rsidR="004A7F98">
        <w:rPr>
          <w:lang w:val="en"/>
        </w:rPr>
        <w:t xml:space="preserve">≤ </w:t>
      </w:r>
      <w:r w:rsidR="0028468D">
        <w:rPr>
          <w:lang w:val="en"/>
        </w:rPr>
        <w:t xml:space="preserve">approximately </w:t>
      </w:r>
      <w:r w:rsidRPr="00751E03">
        <w:rPr>
          <w:lang w:val="en"/>
        </w:rPr>
        <w:t>3</w:t>
      </w:r>
      <w:r w:rsidR="004105E7">
        <w:rPr>
          <w:lang w:val="en"/>
        </w:rPr>
        <w:t xml:space="preserve"> </w:t>
      </w:r>
      <w:r w:rsidRPr="00751E03">
        <w:rPr>
          <w:lang w:val="en"/>
        </w:rPr>
        <w:t>X</w:t>
      </w:r>
      <w:r>
        <w:rPr>
          <w:lang w:val="en"/>
        </w:rPr>
        <w:t xml:space="preserve"> </w:t>
      </w:r>
      <w:r w:rsidR="002A47B8">
        <w:rPr>
          <w:i/>
          <w:lang w:val="en"/>
        </w:rPr>
        <w:t>compared with</w:t>
      </w:r>
      <w:r>
        <w:rPr>
          <w:i/>
          <w:lang w:val="en"/>
        </w:rPr>
        <w:t xml:space="preserve"> </w:t>
      </w:r>
      <w:r>
        <w:rPr>
          <w:lang w:val="en"/>
        </w:rPr>
        <w:t>control</w:t>
      </w:r>
      <w:r w:rsidRPr="00751E03">
        <w:rPr>
          <w:lang w:val="en"/>
        </w:rPr>
        <w:t>), NAL anti-</w:t>
      </w:r>
      <w:proofErr w:type="spellStart"/>
      <w:r w:rsidRPr="00751E03">
        <w:rPr>
          <w:lang w:val="en"/>
        </w:rPr>
        <w:t>Phl</w:t>
      </w:r>
      <w:proofErr w:type="spellEnd"/>
      <w:r w:rsidRPr="00751E03">
        <w:rPr>
          <w:lang w:val="en"/>
        </w:rPr>
        <w:t xml:space="preserve"> p </w:t>
      </w:r>
      <w:proofErr w:type="spellStart"/>
      <w:r w:rsidRPr="00751E03">
        <w:rPr>
          <w:lang w:val="en"/>
        </w:rPr>
        <w:t>IgE</w:t>
      </w:r>
      <w:proofErr w:type="spellEnd"/>
      <w:r w:rsidRPr="00751E03">
        <w:rPr>
          <w:lang w:val="en"/>
        </w:rPr>
        <w:t xml:space="preserve"> and IgG</w:t>
      </w:r>
      <w:r w:rsidRPr="00751E03">
        <w:rPr>
          <w:vertAlign w:val="subscript"/>
          <w:lang w:val="en"/>
        </w:rPr>
        <w:t>1</w:t>
      </w:r>
      <w:r w:rsidRPr="00751E03">
        <w:rPr>
          <w:lang w:val="en"/>
        </w:rPr>
        <w:t xml:space="preserve"> (</w:t>
      </w:r>
      <w:r>
        <w:rPr>
          <w:lang w:val="en"/>
        </w:rPr>
        <w:t>↓</w:t>
      </w:r>
      <w:r w:rsidR="004105E7">
        <w:rPr>
          <w:lang w:val="en"/>
        </w:rPr>
        <w:t xml:space="preserve"> </w:t>
      </w:r>
      <w:r w:rsidR="004A7F98">
        <w:rPr>
          <w:lang w:val="en"/>
        </w:rPr>
        <w:t xml:space="preserve">≤ </w:t>
      </w:r>
      <w:r w:rsidR="0028468D">
        <w:rPr>
          <w:lang w:val="en"/>
        </w:rPr>
        <w:t xml:space="preserve">approximately </w:t>
      </w:r>
      <w:r>
        <w:rPr>
          <w:lang w:val="en"/>
        </w:rPr>
        <w:t>2</w:t>
      </w:r>
      <w:r w:rsidR="004105E7">
        <w:rPr>
          <w:lang w:val="en"/>
        </w:rPr>
        <w:t xml:space="preserve"> </w:t>
      </w:r>
      <w:r w:rsidRPr="00751E03">
        <w:rPr>
          <w:lang w:val="en"/>
        </w:rPr>
        <w:t xml:space="preserve">X </w:t>
      </w:r>
      <w:r w:rsidR="002A47B8">
        <w:rPr>
          <w:i/>
          <w:lang w:val="en"/>
        </w:rPr>
        <w:t>compared with</w:t>
      </w:r>
      <w:r>
        <w:rPr>
          <w:i/>
          <w:lang w:val="en"/>
        </w:rPr>
        <w:t xml:space="preserve"> </w:t>
      </w:r>
      <w:r>
        <w:rPr>
          <w:lang w:val="en"/>
        </w:rPr>
        <w:t>control</w:t>
      </w:r>
      <w:r w:rsidRPr="00751E03">
        <w:rPr>
          <w:lang w:val="en"/>
        </w:rPr>
        <w:t xml:space="preserve">), </w:t>
      </w:r>
      <w:proofErr w:type="spellStart"/>
      <w:r>
        <w:rPr>
          <w:lang w:val="en"/>
        </w:rPr>
        <w:t>s</w:t>
      </w:r>
      <w:r w:rsidR="004105E7">
        <w:rPr>
          <w:lang w:val="en"/>
        </w:rPr>
        <w:t>plenocyte</w:t>
      </w:r>
      <w:proofErr w:type="spellEnd"/>
      <w:r w:rsidR="004105E7">
        <w:rPr>
          <w:lang w:val="en"/>
        </w:rPr>
        <w:t xml:space="preserve"> antigen </w:t>
      </w:r>
      <w:r w:rsidRPr="00751E03">
        <w:rPr>
          <w:lang w:val="en"/>
        </w:rPr>
        <w:t>specific proliferation (</w:t>
      </w:r>
      <w:r>
        <w:rPr>
          <w:lang w:val="en"/>
        </w:rPr>
        <w:t>↓</w:t>
      </w:r>
      <w:r w:rsidR="004105E7">
        <w:rPr>
          <w:lang w:val="en"/>
        </w:rPr>
        <w:t xml:space="preserve"> </w:t>
      </w:r>
      <w:r w:rsidR="004A7F98">
        <w:rPr>
          <w:lang w:val="en"/>
        </w:rPr>
        <w:t xml:space="preserve">≤ </w:t>
      </w:r>
      <w:r w:rsidR="0028468D">
        <w:rPr>
          <w:lang w:val="en"/>
        </w:rPr>
        <w:t xml:space="preserve">approximately </w:t>
      </w:r>
      <w:r>
        <w:rPr>
          <w:lang w:val="en"/>
        </w:rPr>
        <w:t>0.5</w:t>
      </w:r>
      <w:r w:rsidR="004105E7">
        <w:rPr>
          <w:lang w:val="en"/>
        </w:rPr>
        <w:t xml:space="preserve"> </w:t>
      </w:r>
      <w:r>
        <w:rPr>
          <w:lang w:val="en"/>
        </w:rPr>
        <w:t xml:space="preserve">X </w:t>
      </w:r>
      <w:r w:rsidR="002A47B8">
        <w:rPr>
          <w:i/>
          <w:lang w:val="en"/>
        </w:rPr>
        <w:t>compared with</w:t>
      </w:r>
      <w:r>
        <w:rPr>
          <w:i/>
          <w:lang w:val="en"/>
        </w:rPr>
        <w:t xml:space="preserve"> </w:t>
      </w:r>
      <w:r>
        <w:rPr>
          <w:lang w:val="en"/>
        </w:rPr>
        <w:t>control),</w:t>
      </w:r>
      <w:r w:rsidRPr="00751E03">
        <w:rPr>
          <w:lang w:val="en"/>
        </w:rPr>
        <w:t xml:space="preserve"> cervical ly</w:t>
      </w:r>
      <w:r w:rsidR="004105E7">
        <w:rPr>
          <w:lang w:val="en"/>
        </w:rPr>
        <w:t xml:space="preserve">mph node antigen </w:t>
      </w:r>
      <w:r w:rsidRPr="00751E03">
        <w:rPr>
          <w:lang w:val="en"/>
        </w:rPr>
        <w:t>specific proliferation (</w:t>
      </w:r>
      <w:r>
        <w:rPr>
          <w:lang w:val="en"/>
        </w:rPr>
        <w:t>↓</w:t>
      </w:r>
      <w:r w:rsidR="004105E7">
        <w:rPr>
          <w:lang w:val="en"/>
        </w:rPr>
        <w:t xml:space="preserve"> </w:t>
      </w:r>
      <w:r w:rsidR="004A7F98">
        <w:rPr>
          <w:lang w:val="en"/>
        </w:rPr>
        <w:t xml:space="preserve">≤ </w:t>
      </w:r>
      <w:r w:rsidR="0028468D">
        <w:rPr>
          <w:lang w:val="en"/>
        </w:rPr>
        <w:t xml:space="preserve">approximately </w:t>
      </w:r>
      <w:r w:rsidRPr="00751E03">
        <w:rPr>
          <w:lang w:val="en"/>
        </w:rPr>
        <w:t>0.3</w:t>
      </w:r>
      <w:r w:rsidR="004105E7">
        <w:rPr>
          <w:lang w:val="en"/>
        </w:rPr>
        <w:t xml:space="preserve"> </w:t>
      </w:r>
      <w:r w:rsidRPr="00751E03">
        <w:rPr>
          <w:lang w:val="en"/>
        </w:rPr>
        <w:t xml:space="preserve">X) and cervical lymph node cell antigen-specific pro-Th2 cytokine (IL-10, IL-5, IL-4) </w:t>
      </w:r>
      <w:r>
        <w:rPr>
          <w:lang w:val="en"/>
        </w:rPr>
        <w:t xml:space="preserve">and IFN-γ </w:t>
      </w:r>
      <w:r w:rsidRPr="00751E03">
        <w:rPr>
          <w:lang w:val="en"/>
        </w:rPr>
        <w:t>production</w:t>
      </w:r>
      <w:r>
        <w:rPr>
          <w:lang w:val="en"/>
        </w:rPr>
        <w:t xml:space="preserve"> </w:t>
      </w:r>
      <w:r>
        <w:rPr>
          <w:i/>
          <w:lang w:val="en"/>
        </w:rPr>
        <w:t xml:space="preserve">in vitro </w:t>
      </w:r>
      <w:r>
        <w:rPr>
          <w:lang w:val="en"/>
        </w:rPr>
        <w:t>(</w:t>
      </w:r>
      <w:r w:rsidRPr="00751E03">
        <w:rPr>
          <w:lang w:val="en"/>
        </w:rPr>
        <w:t>effects were dose and treatment duration responsive</w:t>
      </w:r>
      <w:r>
        <w:rPr>
          <w:lang w:val="en"/>
        </w:rPr>
        <w:t>)</w:t>
      </w:r>
      <w:r w:rsidR="005479B1">
        <w:rPr>
          <w:lang w:val="en"/>
        </w:rPr>
        <w:t>.</w:t>
      </w:r>
    </w:p>
    <w:p w14:paraId="4FE91ACF" w14:textId="77777777" w:rsidR="00FE0277" w:rsidRPr="00E7274E" w:rsidRDefault="00FE0277" w:rsidP="004F701B">
      <w:pPr>
        <w:pStyle w:val="ListBullet"/>
        <w:rPr>
          <w:lang w:val="en"/>
        </w:rPr>
      </w:pPr>
      <w:r>
        <w:t xml:space="preserve">PO </w:t>
      </w:r>
      <w:proofErr w:type="spellStart"/>
      <w:r>
        <w:t>Phl</w:t>
      </w:r>
      <w:proofErr w:type="spellEnd"/>
      <w:r>
        <w:t xml:space="preserve"> p allergen extract treatment (1</w:t>
      </w:r>
      <w:r w:rsidR="002A47B8">
        <w:t>25,000</w:t>
      </w:r>
      <w:r>
        <w:t xml:space="preserve"> SQ-U/animal/d</w:t>
      </w:r>
      <w:r w:rsidR="004105E7">
        <w:t>ay</w:t>
      </w:r>
      <w:r>
        <w:t xml:space="preserve"> for 9 weeks) was associated with an approx. doubling of </w:t>
      </w:r>
      <w:proofErr w:type="spellStart"/>
      <w:r>
        <w:t>Phl</w:t>
      </w:r>
      <w:proofErr w:type="spellEnd"/>
      <w:r>
        <w:t xml:space="preserve"> p allergen extract-specific serum </w:t>
      </w:r>
      <w:proofErr w:type="spellStart"/>
      <w:r>
        <w:t>IgE</w:t>
      </w:r>
      <w:proofErr w:type="spellEnd"/>
      <w:r>
        <w:t xml:space="preserve"> levels. However, subsequent IP allergen challenge did not result in additional increases in </w:t>
      </w:r>
      <w:r w:rsidR="00C76A34">
        <w:t>allergen specific</w:t>
      </w:r>
      <w:r>
        <w:t xml:space="preserve"> </w:t>
      </w:r>
      <w:proofErr w:type="spellStart"/>
      <w:r>
        <w:t>IgE</w:t>
      </w:r>
      <w:proofErr w:type="spellEnd"/>
      <w:r>
        <w:t>. This implies some degree of desensit</w:t>
      </w:r>
      <w:r w:rsidR="004A7F98">
        <w:t>is</w:t>
      </w:r>
      <w:r w:rsidR="004105E7">
        <w:t xml:space="preserve">ation to downstream </w:t>
      </w:r>
      <w:proofErr w:type="spellStart"/>
      <w:r w:rsidR="004105E7">
        <w:t>IgE</w:t>
      </w:r>
      <w:proofErr w:type="spellEnd"/>
      <w:r w:rsidR="004105E7">
        <w:t> </w:t>
      </w:r>
      <w:r>
        <w:t>mediated responses (consistent with SLIT treatment expectations).</w:t>
      </w:r>
    </w:p>
    <w:p w14:paraId="4FE91AD0" w14:textId="46A18192" w:rsidR="00FE0277" w:rsidRPr="00751E03" w:rsidRDefault="004105E7" w:rsidP="00FE0277">
      <w:pPr>
        <w:rPr>
          <w:lang w:val="en-US"/>
        </w:rPr>
      </w:pPr>
      <w:r>
        <w:rPr>
          <w:kern w:val="2"/>
        </w:rPr>
        <w:t>The e</w:t>
      </w:r>
      <w:r w:rsidR="00FE0277" w:rsidRPr="00751E03">
        <w:rPr>
          <w:kern w:val="2"/>
        </w:rPr>
        <w:t xml:space="preserve">valuator notes that </w:t>
      </w:r>
      <w:r w:rsidR="00FE0277" w:rsidRPr="00751E03">
        <w:rPr>
          <w:lang w:val="en-US"/>
        </w:rPr>
        <w:t xml:space="preserve">several primary pharmacokinetic/pharmacodynamics studies have been published in relation to SLIT in animal models. These studies have demonstrated the critical importance of allergen retention in the oral cavity, allergen trafficking in the immune system, the importance of interactions with oral antigen presenting cells and bone marrow-derived dendritic cells </w:t>
      </w:r>
      <w:r>
        <w:rPr>
          <w:lang w:val="en-US"/>
        </w:rPr>
        <w:t>etcetera</w:t>
      </w:r>
      <w:r w:rsidR="00FE0277" w:rsidRPr="00751E03">
        <w:rPr>
          <w:lang w:val="en-US"/>
        </w:rPr>
        <w:t>.</w:t>
      </w:r>
      <w:r w:rsidR="00E14706" w:rsidRPr="00E14706">
        <w:rPr>
          <w:vertAlign w:val="superscript"/>
          <w:lang w:val="en-US"/>
        </w:rPr>
        <w:fldChar w:fldCharType="begin"/>
      </w:r>
      <w:r w:rsidR="00E14706" w:rsidRPr="00E14706">
        <w:rPr>
          <w:vertAlign w:val="superscript"/>
          <w:lang w:val="en-US"/>
        </w:rPr>
        <w:instrText xml:space="preserve"> NOTEREF _Ref511211778 \h  \* MERGEFORMAT </w:instrText>
      </w:r>
      <w:r w:rsidR="00E14706" w:rsidRPr="00E14706">
        <w:rPr>
          <w:vertAlign w:val="superscript"/>
          <w:lang w:val="en-US"/>
        </w:rPr>
      </w:r>
      <w:r w:rsidR="00E14706" w:rsidRPr="00E14706">
        <w:rPr>
          <w:vertAlign w:val="superscript"/>
          <w:lang w:val="en-US"/>
        </w:rPr>
        <w:fldChar w:fldCharType="separate"/>
      </w:r>
      <w:r w:rsidR="003D50F1">
        <w:rPr>
          <w:vertAlign w:val="superscript"/>
          <w:lang w:val="en-US"/>
        </w:rPr>
        <w:t>37</w:t>
      </w:r>
      <w:r w:rsidR="00E14706" w:rsidRPr="00E14706">
        <w:rPr>
          <w:vertAlign w:val="superscript"/>
          <w:lang w:val="en-US"/>
        </w:rPr>
        <w:fldChar w:fldCharType="end"/>
      </w:r>
      <w:r w:rsidR="001F17C0">
        <w:rPr>
          <w:lang w:val="en-US"/>
        </w:rPr>
        <w:t xml:space="preserve"> </w:t>
      </w:r>
      <w:r w:rsidR="00E14706" w:rsidRPr="00E14706">
        <w:rPr>
          <w:vertAlign w:val="superscript"/>
          <w:lang w:val="en-US"/>
        </w:rPr>
        <w:fldChar w:fldCharType="begin"/>
      </w:r>
      <w:r w:rsidR="00E14706" w:rsidRPr="00E14706">
        <w:rPr>
          <w:vertAlign w:val="superscript"/>
          <w:lang w:val="en-US"/>
        </w:rPr>
        <w:instrText xml:space="preserve"> NOTEREF _Ref511211815 \h </w:instrText>
      </w:r>
      <w:r w:rsidR="00E14706">
        <w:rPr>
          <w:vertAlign w:val="superscript"/>
          <w:lang w:val="en-US"/>
        </w:rPr>
        <w:instrText xml:space="preserve"> \* MERGEFORMAT </w:instrText>
      </w:r>
      <w:r w:rsidR="00E14706" w:rsidRPr="00E14706">
        <w:rPr>
          <w:vertAlign w:val="superscript"/>
          <w:lang w:val="en-US"/>
        </w:rPr>
      </w:r>
      <w:r w:rsidR="00E14706" w:rsidRPr="00E14706">
        <w:rPr>
          <w:vertAlign w:val="superscript"/>
          <w:lang w:val="en-US"/>
        </w:rPr>
        <w:fldChar w:fldCharType="separate"/>
      </w:r>
      <w:r w:rsidR="003D50F1">
        <w:rPr>
          <w:vertAlign w:val="superscript"/>
          <w:lang w:val="en-US"/>
        </w:rPr>
        <w:t>38</w:t>
      </w:r>
      <w:r w:rsidR="00E14706" w:rsidRPr="00E14706">
        <w:rPr>
          <w:vertAlign w:val="superscript"/>
          <w:lang w:val="en-US"/>
        </w:rPr>
        <w:fldChar w:fldCharType="end"/>
      </w:r>
      <w:r w:rsidR="00E14706">
        <w:rPr>
          <w:lang w:val="en-US"/>
        </w:rPr>
        <w:t xml:space="preserve"> </w:t>
      </w:r>
      <w:r w:rsidR="00E14706" w:rsidRPr="00E14706">
        <w:rPr>
          <w:vertAlign w:val="superscript"/>
          <w:lang w:val="en-US"/>
        </w:rPr>
        <w:fldChar w:fldCharType="begin"/>
      </w:r>
      <w:r w:rsidR="00E14706" w:rsidRPr="00E14706">
        <w:rPr>
          <w:vertAlign w:val="superscript"/>
          <w:lang w:val="en-US"/>
        </w:rPr>
        <w:instrText xml:space="preserve"> NOTEREF _Ref511211821 \h </w:instrText>
      </w:r>
      <w:r w:rsidR="00E14706">
        <w:rPr>
          <w:vertAlign w:val="superscript"/>
          <w:lang w:val="en-US"/>
        </w:rPr>
        <w:instrText xml:space="preserve"> \* MERGEFORMAT </w:instrText>
      </w:r>
      <w:r w:rsidR="00E14706" w:rsidRPr="00E14706">
        <w:rPr>
          <w:vertAlign w:val="superscript"/>
          <w:lang w:val="en-US"/>
        </w:rPr>
      </w:r>
      <w:r w:rsidR="00E14706" w:rsidRPr="00E14706">
        <w:rPr>
          <w:vertAlign w:val="superscript"/>
          <w:lang w:val="en-US"/>
        </w:rPr>
        <w:fldChar w:fldCharType="separate"/>
      </w:r>
      <w:r w:rsidR="003D50F1">
        <w:rPr>
          <w:vertAlign w:val="superscript"/>
          <w:lang w:val="en-US"/>
        </w:rPr>
        <w:t>39</w:t>
      </w:r>
      <w:r w:rsidR="00E14706" w:rsidRPr="00E14706">
        <w:rPr>
          <w:vertAlign w:val="superscript"/>
          <w:lang w:val="en-US"/>
        </w:rPr>
        <w:fldChar w:fldCharType="end"/>
      </w:r>
      <w:r w:rsidR="001F17C0">
        <w:rPr>
          <w:vertAlign w:val="superscript"/>
          <w:lang w:val="en-US"/>
        </w:rPr>
        <w:t xml:space="preserve"> </w:t>
      </w:r>
      <w:r w:rsidR="00FE0277" w:rsidRPr="00751E03">
        <w:rPr>
          <w:rStyle w:val="FootnoteReference"/>
          <w:lang w:val="en-US"/>
        </w:rPr>
        <w:footnoteReference w:id="50"/>
      </w:r>
      <w:r w:rsidR="00FE0277" w:rsidRPr="00751E03">
        <w:rPr>
          <w:lang w:val="en-US"/>
        </w:rPr>
        <w:t xml:space="preserve"> </w:t>
      </w:r>
      <w:proofErr w:type="gramStart"/>
      <w:r w:rsidR="00FE0277" w:rsidRPr="00A833E9">
        <w:t>These</w:t>
      </w:r>
      <w:proofErr w:type="gramEnd"/>
      <w:r w:rsidR="00FE0277" w:rsidRPr="00751E03">
        <w:t xml:space="preserve"> areas have not been explored in the </w:t>
      </w:r>
      <w:proofErr w:type="spellStart"/>
      <w:r w:rsidR="00FE0277" w:rsidRPr="00751E03">
        <w:t>Grazax</w:t>
      </w:r>
      <w:proofErr w:type="spellEnd"/>
      <w:r w:rsidR="00FE0277" w:rsidRPr="00751E03">
        <w:t xml:space="preserve"> nonclinical package.</w:t>
      </w:r>
    </w:p>
    <w:p w14:paraId="4FE91AD1" w14:textId="77777777" w:rsidR="00FE0277" w:rsidRPr="00C978C6" w:rsidRDefault="00FE0277" w:rsidP="00FE0277">
      <w:r w:rsidRPr="00E4200C">
        <w:rPr>
          <w:lang w:val="en"/>
        </w:rPr>
        <w:t xml:space="preserve">Overall, the biological pattern associated with </w:t>
      </w:r>
      <w:proofErr w:type="spellStart"/>
      <w:r w:rsidRPr="00E4200C">
        <w:rPr>
          <w:lang w:val="en"/>
        </w:rPr>
        <w:t>Phl</w:t>
      </w:r>
      <w:proofErr w:type="spellEnd"/>
      <w:r w:rsidRPr="00E4200C">
        <w:rPr>
          <w:lang w:val="en"/>
        </w:rPr>
        <w:t xml:space="preserve"> p SLIT treatment in the mouse rhinitis model was reduction of clinical signs combined with a shift away from a Th2-dominated immune response. This provides limited, basic “proof of concept” for </w:t>
      </w:r>
      <w:proofErr w:type="spellStart"/>
      <w:r w:rsidRPr="00E4200C">
        <w:rPr>
          <w:lang w:val="en"/>
        </w:rPr>
        <w:t>Phl</w:t>
      </w:r>
      <w:proofErr w:type="spellEnd"/>
      <w:r w:rsidRPr="00E4200C">
        <w:rPr>
          <w:lang w:val="en"/>
        </w:rPr>
        <w:t xml:space="preserve"> p SLIT tr</w:t>
      </w:r>
      <w:r w:rsidR="004105E7" w:rsidRPr="00E4200C">
        <w:rPr>
          <w:lang w:val="en"/>
        </w:rPr>
        <w:t xml:space="preserve">eatment of Timothy grass pollen </w:t>
      </w:r>
      <w:r w:rsidRPr="00E4200C">
        <w:rPr>
          <w:lang w:val="en"/>
        </w:rPr>
        <w:t>induced allergic rhinitis in humans.</w:t>
      </w:r>
    </w:p>
    <w:p w14:paraId="4FE91AD2" w14:textId="77777777" w:rsidR="004F701B" w:rsidRDefault="004F701B" w:rsidP="004F701B">
      <w:pPr>
        <w:pStyle w:val="Heading4"/>
      </w:pPr>
      <w:bookmarkStart w:id="62" w:name="_Toc455737031"/>
      <w:bookmarkStart w:id="63" w:name="_Toc247691513"/>
      <w:bookmarkStart w:id="64" w:name="_Toc314842497"/>
      <w:r>
        <w:lastRenderedPageBreak/>
        <w:t>Secondary pharmacodynamics</w:t>
      </w:r>
      <w:bookmarkEnd w:id="62"/>
    </w:p>
    <w:p w14:paraId="4FE91AD3" w14:textId="77777777" w:rsidR="005479B1" w:rsidRDefault="004F701B" w:rsidP="004F701B">
      <w:r w:rsidRPr="00751E03">
        <w:rPr>
          <w:kern w:val="2"/>
        </w:rPr>
        <w:t>No specific studies were supplied</w:t>
      </w:r>
      <w:r>
        <w:rPr>
          <w:kern w:val="2"/>
        </w:rPr>
        <w:t xml:space="preserve">. </w:t>
      </w:r>
      <w:r w:rsidRPr="00751E03">
        <w:rPr>
          <w:lang w:val="en-US"/>
        </w:rPr>
        <w:t xml:space="preserve">As previously discussed, </w:t>
      </w:r>
      <w:r w:rsidRPr="00751E03">
        <w:t xml:space="preserve">the very low level of exposure to </w:t>
      </w:r>
      <w:proofErr w:type="spellStart"/>
      <w:r w:rsidRPr="00751E03">
        <w:t>Phl</w:t>
      </w:r>
      <w:proofErr w:type="spellEnd"/>
      <w:r w:rsidRPr="00751E03">
        <w:t xml:space="preserve"> </w:t>
      </w:r>
      <w:r w:rsidR="004105E7">
        <w:t>p</w:t>
      </w:r>
      <w:r>
        <w:t xml:space="preserve"> allergen extract</w:t>
      </w:r>
      <w:r w:rsidRPr="00751E03">
        <w:t xml:space="preserve"> (both protein and non-protein components) at the </w:t>
      </w:r>
      <w:r>
        <w:t>clinical dose</w:t>
      </w:r>
      <w:r w:rsidRPr="00751E03">
        <w:t xml:space="preserve"> also implies that </w:t>
      </w:r>
      <w:r>
        <w:t>undesirable secondary</w:t>
      </w:r>
      <w:r w:rsidRPr="00751E03">
        <w:t xml:space="preserve"> </w:t>
      </w:r>
      <w:r>
        <w:t>pharmacodynamics effects are most</w:t>
      </w:r>
      <w:r w:rsidRPr="00751E03">
        <w:t xml:space="preserve"> likely to stem from </w:t>
      </w:r>
      <w:r>
        <w:t xml:space="preserve">adverse </w:t>
      </w:r>
      <w:r w:rsidRPr="00751E03">
        <w:t>immun</w:t>
      </w:r>
      <w:r>
        <w:t>e system</w:t>
      </w:r>
      <w:r w:rsidRPr="00751E03">
        <w:t xml:space="preserve"> reactions to the </w:t>
      </w:r>
      <w:proofErr w:type="spellStart"/>
      <w:r>
        <w:t>Phl</w:t>
      </w:r>
      <w:proofErr w:type="spellEnd"/>
      <w:r>
        <w:t xml:space="preserve"> p allergen extract </w:t>
      </w:r>
      <w:r w:rsidRPr="00751E03">
        <w:t>protein sub-fraction. The available animal models for s</w:t>
      </w:r>
      <w:r>
        <w:t>ome of these</w:t>
      </w:r>
      <w:r w:rsidRPr="00751E03">
        <w:t xml:space="preserve"> effects (</w:t>
      </w:r>
      <w:r w:rsidR="00C76A34">
        <w:t>for example</w:t>
      </w:r>
      <w:r w:rsidRPr="00751E03">
        <w:t xml:space="preserve"> anaphylaxis</w:t>
      </w:r>
      <w:r>
        <w:t xml:space="preserve"> and anaphylactoid reactions</w:t>
      </w:r>
      <w:r w:rsidRPr="00751E03">
        <w:t xml:space="preserve">) are </w:t>
      </w:r>
      <w:r>
        <w:t>often</w:t>
      </w:r>
      <w:r w:rsidRPr="00751E03">
        <w:t xml:space="preserve"> poorly predictive of human risk</w:t>
      </w:r>
      <w:r>
        <w:t>. These types of effects are best assessed using human data</w:t>
      </w:r>
      <w:r w:rsidR="005479B1">
        <w:t>.</w:t>
      </w:r>
    </w:p>
    <w:p w14:paraId="4FE91AD4" w14:textId="77777777" w:rsidR="004F701B" w:rsidRPr="00751E03" w:rsidRDefault="004F701B" w:rsidP="004F701B">
      <w:pPr>
        <w:pStyle w:val="Heading4"/>
      </w:pPr>
      <w:bookmarkStart w:id="65" w:name="_Toc455737032"/>
      <w:r>
        <w:t>S</w:t>
      </w:r>
      <w:r w:rsidRPr="00751E03">
        <w:t>afety pharmacology</w:t>
      </w:r>
      <w:bookmarkEnd w:id="65"/>
    </w:p>
    <w:p w14:paraId="4FE91AD5" w14:textId="77777777" w:rsidR="004F701B" w:rsidRDefault="004F701B" w:rsidP="004F701B">
      <w:pPr>
        <w:rPr>
          <w:kern w:val="2"/>
        </w:rPr>
      </w:pPr>
      <w:r>
        <w:rPr>
          <w:kern w:val="2"/>
        </w:rPr>
        <w:t>L</w:t>
      </w:r>
      <w:r w:rsidRPr="00751E03">
        <w:rPr>
          <w:kern w:val="2"/>
        </w:rPr>
        <w:t>imited safety pharmacology evaluations were performed as part of the repeat dose toxicology program (limited electrocardiography and bloo</w:t>
      </w:r>
      <w:r w:rsidR="004105E7">
        <w:rPr>
          <w:kern w:val="2"/>
        </w:rPr>
        <w:t>d pressure monitoring in the 52 </w:t>
      </w:r>
      <w:r>
        <w:rPr>
          <w:kern w:val="2"/>
        </w:rPr>
        <w:t>w</w:t>
      </w:r>
      <w:r w:rsidR="004105E7">
        <w:rPr>
          <w:kern w:val="2"/>
        </w:rPr>
        <w:t>ee</w:t>
      </w:r>
      <w:r>
        <w:rPr>
          <w:kern w:val="2"/>
        </w:rPr>
        <w:t>k</w:t>
      </w:r>
      <w:r w:rsidRPr="00751E03">
        <w:rPr>
          <w:kern w:val="2"/>
        </w:rPr>
        <w:t xml:space="preserve"> dog study). </w:t>
      </w:r>
      <w:r>
        <w:rPr>
          <w:kern w:val="2"/>
        </w:rPr>
        <w:t>This data, plus the data from the toxicology studies adequately covers the key safety pharmacology systems (</w:t>
      </w:r>
      <w:r w:rsidR="004A7F98">
        <w:rPr>
          <w:kern w:val="2"/>
        </w:rPr>
        <w:t>that is</w:t>
      </w:r>
      <w:r>
        <w:rPr>
          <w:kern w:val="2"/>
        </w:rPr>
        <w:t xml:space="preserve"> cardiovascular system, gastrointestinal system).</w:t>
      </w:r>
      <w:r w:rsidR="00FA2591">
        <w:rPr>
          <w:kern w:val="2"/>
        </w:rPr>
        <w:t xml:space="preserve"> </w:t>
      </w:r>
      <w:r w:rsidRPr="00751E03">
        <w:rPr>
          <w:kern w:val="2"/>
        </w:rPr>
        <w:t xml:space="preserve">The </w:t>
      </w:r>
      <w:r>
        <w:rPr>
          <w:kern w:val="2"/>
        </w:rPr>
        <w:t xml:space="preserve">available data set demonstrated </w:t>
      </w:r>
      <w:r w:rsidRPr="00751E03">
        <w:rPr>
          <w:kern w:val="2"/>
        </w:rPr>
        <w:t>no abnormalities.</w:t>
      </w:r>
    </w:p>
    <w:p w14:paraId="4FE91AD6" w14:textId="77777777" w:rsidR="004F701B" w:rsidRPr="00751E03" w:rsidRDefault="004F701B" w:rsidP="004F701B">
      <w:pPr>
        <w:pStyle w:val="Heading3"/>
      </w:pPr>
      <w:bookmarkStart w:id="66" w:name="_Toc455737033"/>
      <w:bookmarkStart w:id="67" w:name="_Toc511209789"/>
      <w:r>
        <w:t>Pharmacokinetics</w:t>
      </w:r>
      <w:bookmarkEnd w:id="66"/>
      <w:bookmarkEnd w:id="67"/>
      <w:r w:rsidRPr="00751E03">
        <w:t xml:space="preserve"> </w:t>
      </w:r>
    </w:p>
    <w:p w14:paraId="4FE91AD7" w14:textId="77777777" w:rsidR="004F701B" w:rsidRPr="004A7327" w:rsidRDefault="004F701B" w:rsidP="004F701B">
      <w:pPr>
        <w:rPr>
          <w:kern w:val="2"/>
        </w:rPr>
      </w:pPr>
      <w:r>
        <w:rPr>
          <w:kern w:val="2"/>
        </w:rPr>
        <w:t>Traditional small molecule pharmacokinetics studies are not feasible or of value for products such as Grazax.</w:t>
      </w:r>
    </w:p>
    <w:p w14:paraId="4FE91AD8" w14:textId="77777777" w:rsidR="004F701B" w:rsidRPr="00751E03" w:rsidRDefault="004F701B" w:rsidP="004F701B">
      <w:pPr>
        <w:rPr>
          <w:lang w:val="en-US"/>
        </w:rPr>
      </w:pPr>
      <w:r w:rsidRPr="00751E03">
        <w:rPr>
          <w:lang w:val="en-US"/>
        </w:rPr>
        <w:t xml:space="preserve">The </w:t>
      </w:r>
      <w:r w:rsidR="002D7A68">
        <w:rPr>
          <w:lang w:val="en-US"/>
        </w:rPr>
        <w:t>sponsor</w:t>
      </w:r>
      <w:r w:rsidRPr="00751E03">
        <w:rPr>
          <w:lang w:val="en-US"/>
        </w:rPr>
        <w:t xml:space="preserve"> provided the following waiving argument for the lack of noncl</w:t>
      </w:r>
      <w:r w:rsidR="004105E7">
        <w:rPr>
          <w:lang w:val="en-US"/>
        </w:rPr>
        <w:t>inical pharmacokinetic studies:</w:t>
      </w:r>
    </w:p>
    <w:p w14:paraId="4FE91AD9" w14:textId="77777777" w:rsidR="004F701B" w:rsidRPr="00751E03" w:rsidRDefault="004F701B" w:rsidP="004F701B">
      <w:pPr>
        <w:rPr>
          <w:i/>
          <w:lang w:val="en-US"/>
        </w:rPr>
      </w:pPr>
      <w:r w:rsidRPr="00751E03">
        <w:rPr>
          <w:i/>
          <w:lang w:val="en-US"/>
        </w:rPr>
        <w:t xml:space="preserve">“In accordance with the EMA Guideline on the clinical development of products for specific immunotherapy for the treatment of allergic diseases (CHMP/EWP/18504/2006; November 2008), traditional pharmacokinetic studies are not possible for products of allergy immunotherapy. Due to the nature of the product (proteins which will rapidly </w:t>
      </w:r>
      <w:proofErr w:type="spellStart"/>
      <w:r w:rsidRPr="00751E03">
        <w:rPr>
          <w:i/>
          <w:lang w:val="en-US"/>
        </w:rPr>
        <w:t>catabol</w:t>
      </w:r>
      <w:r w:rsidR="004A7F98">
        <w:rPr>
          <w:i/>
          <w:lang w:val="en-US"/>
        </w:rPr>
        <w:t>is</w:t>
      </w:r>
      <w:r w:rsidRPr="00751E03">
        <w:rPr>
          <w:i/>
          <w:lang w:val="en-US"/>
        </w:rPr>
        <w:t>ed</w:t>
      </w:r>
      <w:proofErr w:type="spellEnd"/>
      <w:r w:rsidRPr="00751E03">
        <w:rPr>
          <w:i/>
          <w:lang w:val="en-US"/>
        </w:rPr>
        <w:t xml:space="preserve"> to peptides and amino acids), plasma levels of the active substance are not measurable. The dossier for </w:t>
      </w:r>
      <w:r>
        <w:rPr>
          <w:i/>
          <w:lang w:val="en-US"/>
        </w:rPr>
        <w:t>Grazax</w:t>
      </w:r>
      <w:r w:rsidRPr="00751E03">
        <w:rPr>
          <w:i/>
          <w:lang w:val="en-US"/>
        </w:rPr>
        <w:t xml:space="preserve"> thus does not include pharmacokinetic studies. Rather, it contains literature references regarding the sublingual dose form.”</w:t>
      </w:r>
    </w:p>
    <w:p w14:paraId="4FE91ADA" w14:textId="77777777" w:rsidR="004F701B" w:rsidRPr="00751E03" w:rsidRDefault="004F701B" w:rsidP="004F701B">
      <w:pPr>
        <w:rPr>
          <w:i/>
          <w:lang w:val="en-US"/>
        </w:rPr>
      </w:pPr>
      <w:r w:rsidRPr="00751E03">
        <w:rPr>
          <w:lang w:val="en-US"/>
        </w:rPr>
        <w:t xml:space="preserve">CHMP/EWP/18504/2006; November 2008 (not adopted by TGA) is a </w:t>
      </w:r>
      <w:r>
        <w:rPr>
          <w:lang w:val="en-US"/>
        </w:rPr>
        <w:t>human clinical guidance document. T</w:t>
      </w:r>
      <w:r w:rsidRPr="00751E03">
        <w:rPr>
          <w:lang w:val="en-US"/>
        </w:rPr>
        <w:t xml:space="preserve">he </w:t>
      </w:r>
      <w:r>
        <w:rPr>
          <w:lang w:val="en-US"/>
        </w:rPr>
        <w:t xml:space="preserve">additional </w:t>
      </w:r>
      <w:r w:rsidRPr="00751E03">
        <w:rPr>
          <w:lang w:val="en-US"/>
        </w:rPr>
        <w:t xml:space="preserve">text of the </w:t>
      </w:r>
      <w:r>
        <w:rPr>
          <w:lang w:val="en-US"/>
        </w:rPr>
        <w:t>section of the document</w:t>
      </w:r>
      <w:r w:rsidRPr="00751E03">
        <w:rPr>
          <w:lang w:val="en-US"/>
        </w:rPr>
        <w:t xml:space="preserve"> </w:t>
      </w:r>
      <w:r>
        <w:rPr>
          <w:lang w:val="en-US"/>
        </w:rPr>
        <w:t xml:space="preserve">that was partially </w:t>
      </w:r>
      <w:r w:rsidRPr="00751E03">
        <w:rPr>
          <w:lang w:val="en-US"/>
        </w:rPr>
        <w:t xml:space="preserve">quoted by the </w:t>
      </w:r>
      <w:r w:rsidR="002D7A68">
        <w:rPr>
          <w:lang w:val="en-US"/>
        </w:rPr>
        <w:t>sponsor</w:t>
      </w:r>
      <w:r w:rsidRPr="00751E03">
        <w:rPr>
          <w:lang w:val="en-US"/>
        </w:rPr>
        <w:t xml:space="preserve"> is as follows:</w:t>
      </w:r>
    </w:p>
    <w:p w14:paraId="4FE91ADB" w14:textId="77777777" w:rsidR="004F701B" w:rsidRPr="00751E03" w:rsidRDefault="004F701B" w:rsidP="004F701B">
      <w:pPr>
        <w:rPr>
          <w:lang w:val="en-US"/>
        </w:rPr>
      </w:pPr>
      <w:r w:rsidRPr="00751E03">
        <w:rPr>
          <w:i/>
          <w:lang w:val="en-US"/>
        </w:rPr>
        <w:t>“However, to show the effect of specific immunotherapy on the immune system immunological changes (</w:t>
      </w:r>
      <w:r w:rsidR="00C76A34">
        <w:rPr>
          <w:i/>
          <w:lang w:val="en-US"/>
        </w:rPr>
        <w:t>for example</w:t>
      </w:r>
      <w:r w:rsidRPr="00751E03">
        <w:rPr>
          <w:i/>
          <w:lang w:val="en-US"/>
        </w:rPr>
        <w:t xml:space="preserve"> changes in allergen</w:t>
      </w:r>
      <w:r>
        <w:rPr>
          <w:i/>
          <w:lang w:val="en-US"/>
        </w:rPr>
        <w:t xml:space="preserve"> </w:t>
      </w:r>
      <w:r w:rsidRPr="00751E03">
        <w:rPr>
          <w:i/>
          <w:lang w:val="en-US"/>
        </w:rPr>
        <w:t>specific IgG levels, T-cell responses, and/or cytokine production) and/or modifications of the end</w:t>
      </w:r>
      <w:r>
        <w:rPr>
          <w:i/>
          <w:lang w:val="en-US"/>
        </w:rPr>
        <w:t xml:space="preserve"> </w:t>
      </w:r>
      <w:r w:rsidRPr="00751E03">
        <w:rPr>
          <w:i/>
          <w:lang w:val="en-US"/>
        </w:rPr>
        <w:t>organ specific response (</w:t>
      </w:r>
      <w:r w:rsidR="00C76A34">
        <w:rPr>
          <w:i/>
          <w:lang w:val="en-US"/>
        </w:rPr>
        <w:t>for example</w:t>
      </w:r>
      <w:r w:rsidRPr="00751E03">
        <w:rPr>
          <w:i/>
          <w:lang w:val="en-US"/>
        </w:rPr>
        <w:t xml:space="preserve"> provocation tests) should be measured. These parameters can be followed in other studies on specific immunotherapy.”</w:t>
      </w:r>
    </w:p>
    <w:p w14:paraId="4FE91ADC" w14:textId="77777777" w:rsidR="005479B1" w:rsidRDefault="004F701B" w:rsidP="004F701B">
      <w:pPr>
        <w:rPr>
          <w:lang w:val="en-US"/>
        </w:rPr>
      </w:pPr>
      <w:r w:rsidRPr="00751E03">
        <w:rPr>
          <w:kern w:val="2"/>
        </w:rPr>
        <w:t>The immune system immunological changes and end</w:t>
      </w:r>
      <w:r>
        <w:rPr>
          <w:kern w:val="2"/>
        </w:rPr>
        <w:t xml:space="preserve"> </w:t>
      </w:r>
      <w:r w:rsidRPr="00751E03">
        <w:rPr>
          <w:kern w:val="2"/>
        </w:rPr>
        <w:t xml:space="preserve">organ specific responses relevant to </w:t>
      </w:r>
      <w:r w:rsidRPr="00751E03">
        <w:rPr>
          <w:lang w:val="en-US"/>
        </w:rPr>
        <w:t xml:space="preserve">CHMP/EWP/18504/2006 have been </w:t>
      </w:r>
      <w:r>
        <w:rPr>
          <w:lang w:val="en-US"/>
        </w:rPr>
        <w:t xml:space="preserve">partially </w:t>
      </w:r>
      <w:r w:rsidRPr="00751E03">
        <w:rPr>
          <w:lang w:val="en-US"/>
        </w:rPr>
        <w:t>shown in the</w:t>
      </w:r>
      <w:r>
        <w:rPr>
          <w:lang w:val="en-US"/>
        </w:rPr>
        <w:t xml:space="preserve"> </w:t>
      </w:r>
      <w:r w:rsidRPr="00751E03">
        <w:rPr>
          <w:lang w:val="en-US"/>
        </w:rPr>
        <w:t>mouse primary pharmacology study</w:t>
      </w:r>
      <w:r>
        <w:rPr>
          <w:lang w:val="en-US"/>
        </w:rPr>
        <w:t xml:space="preserve"> and in the repeat dose toxicology studies</w:t>
      </w:r>
      <w:r w:rsidR="005479B1">
        <w:rPr>
          <w:lang w:val="en-US"/>
        </w:rPr>
        <w:t>.</w:t>
      </w:r>
    </w:p>
    <w:p w14:paraId="4FE91ADD" w14:textId="77777777" w:rsidR="004F701B" w:rsidRPr="00751E03" w:rsidRDefault="004F701B" w:rsidP="004F701B">
      <w:pPr>
        <w:pStyle w:val="Heading3"/>
      </w:pPr>
      <w:bookmarkStart w:id="68" w:name="_Toc294861726"/>
      <w:bookmarkStart w:id="69" w:name="_Toc295290867"/>
      <w:bookmarkStart w:id="70" w:name="_Toc455737034"/>
      <w:bookmarkStart w:id="71" w:name="_Toc511209790"/>
      <w:r w:rsidRPr="00751E03">
        <w:t>Toxicity</w:t>
      </w:r>
      <w:bookmarkEnd w:id="68"/>
      <w:bookmarkEnd w:id="69"/>
      <w:bookmarkEnd w:id="70"/>
      <w:bookmarkEnd w:id="71"/>
    </w:p>
    <w:p w14:paraId="4FE91ADE" w14:textId="1BA74F42" w:rsidR="004F701B" w:rsidRPr="006904F8" w:rsidRDefault="00AC3DAA" w:rsidP="004F701B">
      <w:r w:rsidRPr="00751E03">
        <w:t xml:space="preserve">Critically, all the </w:t>
      </w:r>
      <w:r w:rsidRPr="00751E03">
        <w:rPr>
          <w:i/>
        </w:rPr>
        <w:t>in vivo</w:t>
      </w:r>
      <w:r w:rsidRPr="00751E03">
        <w:t xml:space="preserve"> toxicology studies were performed in n</w:t>
      </w:r>
      <w:r>
        <w:t>ormal healthy animals</w:t>
      </w:r>
      <w:r w:rsidRPr="00751E03">
        <w:t xml:space="preserve"> (</w:t>
      </w:r>
      <w:r>
        <w:t>that is</w:t>
      </w:r>
      <w:r w:rsidRPr="00751E03">
        <w:t xml:space="preserve"> </w:t>
      </w:r>
      <w:r>
        <w:t xml:space="preserve">not deliberately immunologically primed with </w:t>
      </w:r>
      <w:proofErr w:type="spellStart"/>
      <w:r>
        <w:t>Phl</w:t>
      </w:r>
      <w:proofErr w:type="spellEnd"/>
      <w:r>
        <w:t xml:space="preserve"> p allergen extract before test article treatment; likely immunologically naïve at the start of the studies). </w:t>
      </w:r>
      <w:r w:rsidR="004F701B">
        <w:t>These studies may not accurately</w:t>
      </w:r>
      <w:r w:rsidR="004F701B" w:rsidRPr="00751E03">
        <w:t xml:space="preserve"> replicate the proposed clinical use of Grazax</w:t>
      </w:r>
      <w:r w:rsidR="004F701B">
        <w:t xml:space="preserve"> in previously hypersensit</w:t>
      </w:r>
      <w:r w:rsidR="004A7F98">
        <w:t>is</w:t>
      </w:r>
      <w:r w:rsidR="004F701B">
        <w:t>ed humans. However, the use of hypersensit</w:t>
      </w:r>
      <w:r w:rsidR="004A7F98">
        <w:t>is</w:t>
      </w:r>
      <w:r w:rsidR="004F701B">
        <w:t>ed animals in longer duration repeat dose toxicology studies also presents significant technical challenges.</w:t>
      </w:r>
      <w:r w:rsidR="00FA2591">
        <w:t xml:space="preserve"> </w:t>
      </w:r>
      <w:r w:rsidR="004F701B">
        <w:t>These circumstances again support the proposition that some of the safety and immunological properties of Grazax are best assessed using the human clinical data.</w:t>
      </w:r>
    </w:p>
    <w:p w14:paraId="4FE91ADF" w14:textId="77777777" w:rsidR="004F701B" w:rsidRDefault="004F701B" w:rsidP="004F701B">
      <w:pPr>
        <w:pStyle w:val="Heading4"/>
      </w:pPr>
      <w:bookmarkStart w:id="72" w:name="_Toc455737035"/>
      <w:r>
        <w:lastRenderedPageBreak/>
        <w:t>Test article composition</w:t>
      </w:r>
      <w:bookmarkEnd w:id="72"/>
    </w:p>
    <w:p w14:paraId="4FE91AE0" w14:textId="2C796A80" w:rsidR="004F701B" w:rsidRDefault="004F701B" w:rsidP="004F701B">
      <w:r w:rsidRPr="00751E03">
        <w:t xml:space="preserve">Notably, the test articles used in the </w:t>
      </w:r>
      <w:r w:rsidRPr="00751E03">
        <w:rPr>
          <w:i/>
        </w:rPr>
        <w:t>in vivo</w:t>
      </w:r>
      <w:r w:rsidRPr="00751E03">
        <w:t xml:space="preserve"> toxicology program were made with a different manufacturing process (initial DS process) than </w:t>
      </w:r>
      <w:r>
        <w:t xml:space="preserve">the </w:t>
      </w:r>
      <w:r w:rsidRPr="00751E03">
        <w:t>process used to produce the ultimate marketed drug substance and product (optim</w:t>
      </w:r>
      <w:r w:rsidR="004A7F98">
        <w:t>is</w:t>
      </w:r>
      <w:r w:rsidRPr="00751E03">
        <w:t xml:space="preserve">ed frozen droplet DS process). The </w:t>
      </w:r>
      <w:r w:rsidR="002D7A68">
        <w:t>sponsor</w:t>
      </w:r>
      <w:r w:rsidRPr="00751E03">
        <w:t xml:space="preserve"> has claimed, on the basis of data within </w:t>
      </w:r>
      <w:r w:rsidR="004105E7" w:rsidRPr="00751E03">
        <w:t>dossier modules</w:t>
      </w:r>
      <w:r w:rsidR="001B5AAA">
        <w:t>2.3.S.2.2</w:t>
      </w:r>
      <w:r w:rsidRPr="00751E03">
        <w:t xml:space="preserve">, </w:t>
      </w:r>
      <w:r w:rsidR="001B5AAA">
        <w:t>2.3.S.2.3</w:t>
      </w:r>
      <w:r w:rsidRPr="00751E03">
        <w:t xml:space="preserve">, 3.2.P.2.2 and 3.2.P.2.3 that the two different manufacturing processes resulted in comparable drug products. Liquid (aqueous) dosing solutions were used in the mouse </w:t>
      </w:r>
      <w:r>
        <w:t xml:space="preserve">toxicity </w:t>
      </w:r>
      <w:r w:rsidRPr="00751E03">
        <w:t xml:space="preserve">studies whereas the tablet </w:t>
      </w:r>
      <w:r>
        <w:t>lyophilisate</w:t>
      </w:r>
      <w:r w:rsidRPr="00751E03">
        <w:t xml:space="preserve"> dose form was used in the canine </w:t>
      </w:r>
      <w:r>
        <w:t xml:space="preserve">toxicity </w:t>
      </w:r>
      <w:r w:rsidRPr="00751E03">
        <w:t>studies. Given the compositional i</w:t>
      </w:r>
      <w:r>
        <w:t xml:space="preserve">ssues discussed above </w:t>
      </w:r>
      <w:r w:rsidRPr="00E4200C">
        <w:t xml:space="preserve">(in </w:t>
      </w:r>
      <w:r w:rsidR="0044384B" w:rsidRPr="00E4200C">
        <w:t>the introduction</w:t>
      </w:r>
      <w:r w:rsidRPr="00E4200C">
        <w:t>)</w:t>
      </w:r>
      <w:r w:rsidRPr="0044384B">
        <w:t>,</w:t>
      </w:r>
      <w:r w:rsidRPr="00751E03">
        <w:t xml:space="preserve"> small compositional differences in the </w:t>
      </w:r>
      <w:proofErr w:type="spellStart"/>
      <w:r w:rsidRPr="00751E03">
        <w:t>Phl</w:t>
      </w:r>
      <w:proofErr w:type="spellEnd"/>
      <w:r w:rsidRPr="00751E03">
        <w:t xml:space="preserve"> p </w:t>
      </w:r>
      <w:r>
        <w:t xml:space="preserve">allergen extract </w:t>
      </w:r>
      <w:r w:rsidRPr="00751E03">
        <w:t xml:space="preserve">dry matter </w:t>
      </w:r>
      <w:r>
        <w:t xml:space="preserve">is </w:t>
      </w:r>
      <w:r w:rsidRPr="00751E03">
        <w:t xml:space="preserve">likely to have negligible </w:t>
      </w:r>
      <w:r>
        <w:t>safety property</w:t>
      </w:r>
      <w:r w:rsidRPr="00751E03">
        <w:t xml:space="preserve"> ramifications</w:t>
      </w:r>
      <w:r>
        <w:t>.</w:t>
      </w:r>
    </w:p>
    <w:p w14:paraId="4FE91AE1" w14:textId="77777777" w:rsidR="004F701B" w:rsidRDefault="004F701B" w:rsidP="004F701B">
      <w:pPr>
        <w:pStyle w:val="Heading5"/>
      </w:pPr>
      <w:bookmarkStart w:id="73" w:name="_Toc455737036"/>
      <w:r w:rsidRPr="00751E03">
        <w:t>Relative exposure</w:t>
      </w:r>
      <w:r>
        <w:t xml:space="preserve"> to total </w:t>
      </w:r>
      <w:proofErr w:type="spellStart"/>
      <w:r>
        <w:t>Phl</w:t>
      </w:r>
      <w:proofErr w:type="spellEnd"/>
      <w:r>
        <w:t xml:space="preserve"> p allergen extract (on a dry matter basis)</w:t>
      </w:r>
      <w:bookmarkEnd w:id="73"/>
    </w:p>
    <w:p w14:paraId="4FE91AE2" w14:textId="77777777" w:rsidR="004F701B" w:rsidRDefault="004F701B" w:rsidP="004F701B">
      <w:r>
        <w:t>Relative exposures based on AUC were not possible in the absence of pharmacokinetic/toxicokinetic data, thus relative exposures have been estimated on the basis of dose per body surface area. It should be noted that the relative immunological potency of the product in animals compared with humans is unknown. It is also unknown if immunological properties/effects scale between species on the basis of body surface area. Serological analysis showed induction of specific IgG in mice, but responses were variable in dogs.</w:t>
      </w:r>
    </w:p>
    <w:p w14:paraId="72904ACE" w14:textId="2492C05E" w:rsidR="00A21CEC" w:rsidRDefault="00A21CEC" w:rsidP="004F701B">
      <w:r>
        <w:t xml:space="preserve">The </w:t>
      </w:r>
      <w:proofErr w:type="spellStart"/>
      <w:r>
        <w:t>animal</w:t>
      </w:r>
      <w:proofErr w:type="gramStart"/>
      <w:r>
        <w:t>:human</w:t>
      </w:r>
      <w:proofErr w:type="spellEnd"/>
      <w:proofErr w:type="gramEnd"/>
      <w:r>
        <w:t xml:space="preserve"> BSA ratios (see Table 3 below) were calculated by the nonclinical evaluator and based on the </w:t>
      </w:r>
      <w:proofErr w:type="spellStart"/>
      <w:r>
        <w:t>Phl</w:t>
      </w:r>
      <w:proofErr w:type="spellEnd"/>
      <w:r>
        <w:t xml:space="preserve"> dry matter (mg/kg/day) dose given to each species, in each study and at each dose level. The calculated ‘dry matter doses’ have not been included in Table 3 as they were considered commercial in confidence material by the sponsor.</w:t>
      </w:r>
    </w:p>
    <w:p w14:paraId="10D1227E" w14:textId="77777777" w:rsidR="006F1FD0" w:rsidRDefault="00500CC2" w:rsidP="00FE52E5">
      <w:pPr>
        <w:pStyle w:val="Tabletitle0"/>
      </w:pPr>
      <w:r>
        <w:t>Table 3</w:t>
      </w:r>
      <w:r w:rsidR="005E2693">
        <w:t xml:space="preserve">: Relative exposure to </w:t>
      </w:r>
      <w:proofErr w:type="spellStart"/>
      <w:r w:rsidR="005E2693">
        <w:t>Phl</w:t>
      </w:r>
      <w:proofErr w:type="spellEnd"/>
      <w:r w:rsidR="005E2693">
        <w:t xml:space="preserve"> p</w:t>
      </w:r>
    </w:p>
    <w:tbl>
      <w:tblPr>
        <w:tblStyle w:val="TableTGAblue"/>
        <w:tblW w:w="8578" w:type="dxa"/>
        <w:tblLayout w:type="fixed"/>
        <w:tblLook w:val="04A0" w:firstRow="1" w:lastRow="0" w:firstColumn="1" w:lastColumn="0" w:noHBand="0" w:noVBand="1"/>
        <w:tblDescription w:val="Table 3 is a list of relative exposure to Phl p"/>
      </w:tblPr>
      <w:tblGrid>
        <w:gridCol w:w="1452"/>
        <w:gridCol w:w="1056"/>
        <w:gridCol w:w="832"/>
        <w:gridCol w:w="945"/>
        <w:gridCol w:w="1213"/>
        <w:gridCol w:w="1079"/>
        <w:gridCol w:w="945"/>
        <w:gridCol w:w="1056"/>
      </w:tblGrid>
      <w:tr w:rsidR="006F1FD0" w:rsidRPr="004105E7" w14:paraId="195BB69A" w14:textId="77777777" w:rsidTr="00E4200C">
        <w:trPr>
          <w:cnfStyle w:val="100000000000" w:firstRow="1" w:lastRow="0" w:firstColumn="0" w:lastColumn="0" w:oddVBand="0" w:evenVBand="0" w:oddHBand="0" w:evenHBand="0" w:firstRowFirstColumn="0" w:firstRowLastColumn="0" w:lastRowFirstColumn="0" w:lastRowLastColumn="0"/>
          <w:trHeight w:val="142"/>
        </w:trPr>
        <w:tc>
          <w:tcPr>
            <w:tcW w:w="1452" w:type="dxa"/>
          </w:tcPr>
          <w:p w14:paraId="1E1ADA80" w14:textId="77777777" w:rsidR="006F1FD0" w:rsidRPr="004105E7" w:rsidRDefault="006F1FD0" w:rsidP="006F1FD0">
            <w:pPr>
              <w:pStyle w:val="Standard"/>
              <w:spacing w:after="0" w:line="240" w:lineRule="auto"/>
              <w:ind w:left="0" w:right="0"/>
              <w:jc w:val="center"/>
              <w:rPr>
                <w:rFonts w:asciiTheme="minorHAnsi" w:hAnsiTheme="minorHAnsi"/>
                <w:b w:val="0"/>
                <w:sz w:val="20"/>
                <w:szCs w:val="20"/>
              </w:rPr>
            </w:pPr>
            <w:r w:rsidRPr="004105E7">
              <w:rPr>
                <w:rFonts w:asciiTheme="minorHAnsi" w:hAnsiTheme="minorHAnsi"/>
                <w:sz w:val="20"/>
                <w:szCs w:val="20"/>
              </w:rPr>
              <w:t xml:space="preserve">Study Type </w:t>
            </w:r>
          </w:p>
          <w:p w14:paraId="073D32ED" w14:textId="77777777" w:rsidR="006F1FD0" w:rsidRPr="004105E7" w:rsidRDefault="006F1FD0" w:rsidP="006F1FD0">
            <w:pPr>
              <w:pStyle w:val="Standard"/>
              <w:spacing w:after="0" w:line="240" w:lineRule="auto"/>
              <w:ind w:left="0" w:right="0"/>
              <w:jc w:val="center"/>
              <w:rPr>
                <w:rFonts w:asciiTheme="minorHAnsi" w:hAnsiTheme="minorHAnsi"/>
                <w:b w:val="0"/>
                <w:sz w:val="20"/>
                <w:szCs w:val="20"/>
              </w:rPr>
            </w:pPr>
            <w:r w:rsidRPr="004105E7">
              <w:rPr>
                <w:rFonts w:asciiTheme="minorHAnsi" w:hAnsiTheme="minorHAnsi"/>
                <w:sz w:val="20"/>
                <w:szCs w:val="20"/>
              </w:rPr>
              <w:t>Species</w:t>
            </w:r>
          </w:p>
          <w:p w14:paraId="51D75A14" w14:textId="77777777" w:rsidR="006F1FD0" w:rsidRPr="004105E7" w:rsidRDefault="006F1FD0" w:rsidP="006F1FD0">
            <w:pPr>
              <w:pStyle w:val="Standard"/>
              <w:spacing w:after="0" w:line="240" w:lineRule="auto"/>
              <w:ind w:left="0" w:right="0"/>
              <w:jc w:val="center"/>
              <w:rPr>
                <w:rFonts w:asciiTheme="minorHAnsi" w:hAnsiTheme="minorHAnsi"/>
                <w:b w:val="0"/>
                <w:sz w:val="20"/>
                <w:szCs w:val="20"/>
              </w:rPr>
            </w:pPr>
            <w:r w:rsidRPr="004105E7">
              <w:rPr>
                <w:rFonts w:asciiTheme="minorHAnsi" w:hAnsiTheme="minorHAnsi"/>
                <w:sz w:val="20"/>
                <w:szCs w:val="20"/>
              </w:rPr>
              <w:t>Route</w:t>
            </w:r>
          </w:p>
        </w:tc>
        <w:tc>
          <w:tcPr>
            <w:tcW w:w="1056" w:type="dxa"/>
          </w:tcPr>
          <w:p w14:paraId="4DA7A302" w14:textId="77777777" w:rsidR="006F1FD0" w:rsidRPr="004105E7" w:rsidRDefault="006F1FD0" w:rsidP="006F1FD0">
            <w:pPr>
              <w:pStyle w:val="Standard"/>
              <w:spacing w:after="0" w:line="240" w:lineRule="auto"/>
              <w:ind w:left="0" w:right="0"/>
              <w:jc w:val="center"/>
              <w:rPr>
                <w:rFonts w:asciiTheme="minorHAnsi" w:hAnsiTheme="minorHAnsi"/>
                <w:b w:val="0"/>
                <w:sz w:val="20"/>
                <w:szCs w:val="20"/>
              </w:rPr>
            </w:pPr>
            <w:r w:rsidRPr="004105E7">
              <w:rPr>
                <w:rFonts w:asciiTheme="minorHAnsi" w:hAnsiTheme="minorHAnsi"/>
                <w:sz w:val="20"/>
                <w:szCs w:val="20"/>
              </w:rPr>
              <w:t>Dose</w:t>
            </w:r>
          </w:p>
          <w:p w14:paraId="3325533A" w14:textId="77777777" w:rsidR="006F1FD0" w:rsidRPr="004105E7" w:rsidRDefault="006F1FD0" w:rsidP="006F1FD0">
            <w:pPr>
              <w:pStyle w:val="Standard"/>
              <w:spacing w:after="0" w:line="240" w:lineRule="auto"/>
              <w:ind w:left="0" w:right="0"/>
              <w:jc w:val="center"/>
              <w:rPr>
                <w:rFonts w:asciiTheme="minorHAnsi" w:hAnsiTheme="minorHAnsi"/>
                <w:b w:val="0"/>
                <w:sz w:val="20"/>
                <w:szCs w:val="20"/>
              </w:rPr>
            </w:pPr>
            <w:r w:rsidRPr="004105E7">
              <w:rPr>
                <w:rFonts w:asciiTheme="minorHAnsi" w:hAnsiTheme="minorHAnsi"/>
                <w:sz w:val="20"/>
                <w:szCs w:val="20"/>
              </w:rPr>
              <w:t>SQ-U per animal per d PO</w:t>
            </w:r>
          </w:p>
        </w:tc>
        <w:tc>
          <w:tcPr>
            <w:tcW w:w="832" w:type="dxa"/>
          </w:tcPr>
          <w:p w14:paraId="39F6A732" w14:textId="77777777" w:rsidR="006F1FD0" w:rsidRPr="004105E7" w:rsidRDefault="006F1FD0" w:rsidP="006F1FD0">
            <w:pPr>
              <w:pStyle w:val="Standard"/>
              <w:spacing w:after="0" w:line="240" w:lineRule="auto"/>
              <w:ind w:left="0" w:right="0"/>
              <w:jc w:val="center"/>
              <w:rPr>
                <w:rFonts w:asciiTheme="minorHAnsi" w:hAnsiTheme="minorHAnsi"/>
                <w:b w:val="0"/>
                <w:sz w:val="20"/>
                <w:szCs w:val="20"/>
              </w:rPr>
            </w:pPr>
            <w:proofErr w:type="spellStart"/>
            <w:r w:rsidRPr="004105E7">
              <w:rPr>
                <w:rFonts w:asciiTheme="minorHAnsi" w:hAnsiTheme="minorHAnsi"/>
                <w:sz w:val="20"/>
                <w:szCs w:val="20"/>
              </w:rPr>
              <w:t>Phl</w:t>
            </w:r>
            <w:proofErr w:type="spellEnd"/>
            <w:r w:rsidRPr="004105E7">
              <w:rPr>
                <w:rFonts w:asciiTheme="minorHAnsi" w:hAnsiTheme="minorHAnsi"/>
                <w:sz w:val="20"/>
                <w:szCs w:val="20"/>
              </w:rPr>
              <w:t xml:space="preserve"> p dry matter mg/kg/d</w:t>
            </w:r>
            <w:r w:rsidRPr="004105E7">
              <w:rPr>
                <w:rFonts w:asciiTheme="minorHAnsi" w:hAnsiTheme="minorHAnsi"/>
                <w:sz w:val="20"/>
                <w:szCs w:val="20"/>
                <w:vertAlign w:val="superscript"/>
              </w:rPr>
              <w:t>†</w:t>
            </w:r>
            <w:r w:rsidRPr="004105E7">
              <w:rPr>
                <w:rFonts w:asciiTheme="minorHAnsi" w:hAnsiTheme="minorHAnsi"/>
                <w:sz w:val="20"/>
                <w:szCs w:val="20"/>
              </w:rPr>
              <w:t>*</w:t>
            </w:r>
          </w:p>
        </w:tc>
        <w:tc>
          <w:tcPr>
            <w:tcW w:w="945" w:type="dxa"/>
          </w:tcPr>
          <w:p w14:paraId="4678FBCF" w14:textId="77777777" w:rsidR="006F1FD0" w:rsidRPr="004105E7" w:rsidRDefault="006F1FD0" w:rsidP="006F1FD0">
            <w:pPr>
              <w:pStyle w:val="Standard"/>
              <w:spacing w:after="0" w:line="240" w:lineRule="auto"/>
              <w:ind w:left="0" w:right="0"/>
              <w:jc w:val="center"/>
              <w:rPr>
                <w:rFonts w:asciiTheme="minorHAnsi" w:hAnsiTheme="minorHAnsi"/>
                <w:b w:val="0"/>
                <w:sz w:val="20"/>
                <w:szCs w:val="20"/>
              </w:rPr>
            </w:pPr>
            <w:proofErr w:type="spellStart"/>
            <w:r w:rsidRPr="004105E7">
              <w:rPr>
                <w:rFonts w:asciiTheme="minorHAnsi" w:hAnsiTheme="minorHAnsi"/>
                <w:sz w:val="20"/>
                <w:szCs w:val="20"/>
              </w:rPr>
              <w:t>Phl</w:t>
            </w:r>
            <w:proofErr w:type="spellEnd"/>
            <w:r w:rsidRPr="004105E7">
              <w:rPr>
                <w:rFonts w:asciiTheme="minorHAnsi" w:hAnsiTheme="minorHAnsi"/>
                <w:sz w:val="20"/>
                <w:szCs w:val="20"/>
              </w:rPr>
              <w:t xml:space="preserve"> p dry matter mg/m</w:t>
            </w:r>
            <w:r w:rsidRPr="004105E7">
              <w:rPr>
                <w:rFonts w:asciiTheme="minorHAnsi" w:hAnsiTheme="minorHAnsi"/>
                <w:sz w:val="20"/>
                <w:szCs w:val="20"/>
                <w:vertAlign w:val="superscript"/>
              </w:rPr>
              <w:t>2</w:t>
            </w:r>
            <w:r w:rsidRPr="004105E7">
              <w:rPr>
                <w:rFonts w:asciiTheme="minorHAnsi" w:hAnsiTheme="minorHAnsi"/>
                <w:sz w:val="20"/>
                <w:szCs w:val="20"/>
              </w:rPr>
              <w:t>/ d</w:t>
            </w:r>
          </w:p>
        </w:tc>
        <w:tc>
          <w:tcPr>
            <w:tcW w:w="1213" w:type="dxa"/>
          </w:tcPr>
          <w:p w14:paraId="2A611B74" w14:textId="77777777" w:rsidR="006F1FD0" w:rsidRPr="004105E7" w:rsidRDefault="006F1FD0" w:rsidP="006F1FD0">
            <w:pPr>
              <w:pStyle w:val="Standard"/>
              <w:spacing w:after="0" w:line="240" w:lineRule="auto"/>
              <w:ind w:left="0" w:right="0"/>
              <w:jc w:val="center"/>
              <w:rPr>
                <w:rFonts w:asciiTheme="minorHAnsi" w:hAnsiTheme="minorHAnsi"/>
                <w:b w:val="0"/>
                <w:sz w:val="20"/>
                <w:szCs w:val="20"/>
              </w:rPr>
            </w:pPr>
            <w:r w:rsidRPr="004105E7">
              <w:rPr>
                <w:rFonts w:asciiTheme="minorHAnsi" w:hAnsiTheme="minorHAnsi"/>
                <w:sz w:val="20"/>
                <w:szCs w:val="20"/>
              </w:rPr>
              <w:t>Human clinical dose/d</w:t>
            </w:r>
          </w:p>
          <w:p w14:paraId="6A66F027" w14:textId="77777777" w:rsidR="006F1FD0" w:rsidRPr="004105E7" w:rsidRDefault="006F1FD0" w:rsidP="006F1FD0">
            <w:pPr>
              <w:pStyle w:val="Standard"/>
              <w:spacing w:after="0" w:line="240" w:lineRule="auto"/>
              <w:ind w:left="0" w:right="0"/>
              <w:jc w:val="center"/>
              <w:rPr>
                <w:rFonts w:asciiTheme="minorHAnsi" w:hAnsiTheme="minorHAnsi"/>
                <w:b w:val="0"/>
                <w:sz w:val="20"/>
                <w:szCs w:val="20"/>
              </w:rPr>
            </w:pPr>
            <w:r w:rsidRPr="004105E7">
              <w:rPr>
                <w:rFonts w:asciiTheme="minorHAnsi" w:hAnsiTheme="minorHAnsi"/>
                <w:sz w:val="20"/>
                <w:szCs w:val="20"/>
              </w:rPr>
              <w:t>SQ-T per d</w:t>
            </w:r>
          </w:p>
        </w:tc>
        <w:tc>
          <w:tcPr>
            <w:tcW w:w="1079" w:type="dxa"/>
          </w:tcPr>
          <w:p w14:paraId="0A17FF28" w14:textId="77777777" w:rsidR="006F1FD0" w:rsidRPr="004105E7" w:rsidRDefault="006F1FD0" w:rsidP="006F1FD0">
            <w:pPr>
              <w:pStyle w:val="Standard"/>
              <w:spacing w:after="0" w:line="240" w:lineRule="auto"/>
              <w:ind w:left="0" w:right="0"/>
              <w:jc w:val="center"/>
              <w:rPr>
                <w:rFonts w:asciiTheme="minorHAnsi" w:hAnsiTheme="minorHAnsi"/>
                <w:b w:val="0"/>
                <w:sz w:val="20"/>
                <w:szCs w:val="20"/>
              </w:rPr>
            </w:pPr>
            <w:r w:rsidRPr="004105E7">
              <w:rPr>
                <w:rFonts w:asciiTheme="minorHAnsi" w:hAnsiTheme="minorHAnsi"/>
                <w:sz w:val="20"/>
                <w:szCs w:val="20"/>
              </w:rPr>
              <w:t>Human</w:t>
            </w:r>
          </w:p>
          <w:p w14:paraId="55A46617" w14:textId="77777777" w:rsidR="006F1FD0" w:rsidRPr="004105E7" w:rsidRDefault="006F1FD0" w:rsidP="006F1FD0">
            <w:pPr>
              <w:pStyle w:val="Standard"/>
              <w:spacing w:after="0" w:line="240" w:lineRule="auto"/>
              <w:ind w:left="0" w:right="0"/>
              <w:jc w:val="center"/>
              <w:rPr>
                <w:rFonts w:asciiTheme="minorHAnsi" w:hAnsiTheme="minorHAnsi"/>
                <w:b w:val="0"/>
                <w:sz w:val="20"/>
                <w:szCs w:val="20"/>
              </w:rPr>
            </w:pPr>
            <w:proofErr w:type="spellStart"/>
            <w:r w:rsidRPr="004105E7">
              <w:rPr>
                <w:rFonts w:asciiTheme="minorHAnsi" w:hAnsiTheme="minorHAnsi"/>
                <w:sz w:val="20"/>
                <w:szCs w:val="20"/>
              </w:rPr>
              <w:t>Phl</w:t>
            </w:r>
            <w:proofErr w:type="spellEnd"/>
            <w:r w:rsidRPr="004105E7">
              <w:rPr>
                <w:rFonts w:asciiTheme="minorHAnsi" w:hAnsiTheme="minorHAnsi"/>
                <w:sz w:val="20"/>
                <w:szCs w:val="20"/>
              </w:rPr>
              <w:t xml:space="preserve"> p dry matter mg/kg/d</w:t>
            </w:r>
            <w:r w:rsidRPr="004105E7">
              <w:rPr>
                <w:rFonts w:asciiTheme="minorHAnsi" w:hAnsiTheme="minorHAnsi"/>
                <w:sz w:val="20"/>
                <w:szCs w:val="20"/>
                <w:vertAlign w:val="superscript"/>
              </w:rPr>
              <w:t>‡</w:t>
            </w:r>
          </w:p>
        </w:tc>
        <w:tc>
          <w:tcPr>
            <w:tcW w:w="945" w:type="dxa"/>
          </w:tcPr>
          <w:p w14:paraId="1EED61EA" w14:textId="77777777" w:rsidR="006F1FD0" w:rsidRPr="004105E7" w:rsidRDefault="006F1FD0" w:rsidP="006F1FD0">
            <w:pPr>
              <w:pStyle w:val="Standard"/>
              <w:spacing w:after="0" w:line="240" w:lineRule="auto"/>
              <w:ind w:left="0" w:right="0"/>
              <w:jc w:val="center"/>
              <w:rPr>
                <w:rFonts w:asciiTheme="minorHAnsi" w:hAnsiTheme="minorHAnsi"/>
                <w:b w:val="0"/>
                <w:sz w:val="20"/>
                <w:szCs w:val="20"/>
              </w:rPr>
            </w:pPr>
            <w:r w:rsidRPr="004105E7">
              <w:rPr>
                <w:rFonts w:asciiTheme="minorHAnsi" w:hAnsiTheme="minorHAnsi"/>
                <w:sz w:val="20"/>
                <w:szCs w:val="20"/>
              </w:rPr>
              <w:t>Human</w:t>
            </w:r>
          </w:p>
          <w:p w14:paraId="13D21485" w14:textId="77777777" w:rsidR="006F1FD0" w:rsidRPr="004105E7" w:rsidRDefault="006F1FD0" w:rsidP="006F1FD0">
            <w:pPr>
              <w:pStyle w:val="Standard"/>
              <w:spacing w:after="0" w:line="240" w:lineRule="auto"/>
              <w:ind w:left="0" w:right="0"/>
              <w:jc w:val="center"/>
              <w:rPr>
                <w:rFonts w:asciiTheme="minorHAnsi" w:hAnsiTheme="minorHAnsi"/>
                <w:b w:val="0"/>
                <w:sz w:val="20"/>
                <w:szCs w:val="20"/>
              </w:rPr>
            </w:pPr>
            <w:proofErr w:type="spellStart"/>
            <w:r w:rsidRPr="004105E7">
              <w:rPr>
                <w:rFonts w:asciiTheme="minorHAnsi" w:hAnsiTheme="minorHAnsi"/>
                <w:sz w:val="20"/>
                <w:szCs w:val="20"/>
              </w:rPr>
              <w:t>Phl</w:t>
            </w:r>
            <w:proofErr w:type="spellEnd"/>
            <w:r w:rsidRPr="004105E7">
              <w:rPr>
                <w:rFonts w:asciiTheme="minorHAnsi" w:hAnsiTheme="minorHAnsi"/>
                <w:sz w:val="20"/>
                <w:szCs w:val="20"/>
              </w:rPr>
              <w:t xml:space="preserve"> p dry matter mg/m</w:t>
            </w:r>
            <w:r w:rsidRPr="004105E7">
              <w:rPr>
                <w:rFonts w:asciiTheme="minorHAnsi" w:hAnsiTheme="minorHAnsi"/>
                <w:sz w:val="20"/>
                <w:szCs w:val="20"/>
                <w:vertAlign w:val="superscript"/>
              </w:rPr>
              <w:t>2</w:t>
            </w:r>
            <w:r w:rsidRPr="004105E7">
              <w:rPr>
                <w:rFonts w:asciiTheme="minorHAnsi" w:hAnsiTheme="minorHAnsi"/>
                <w:sz w:val="20"/>
                <w:szCs w:val="20"/>
              </w:rPr>
              <w:t>/d</w:t>
            </w:r>
          </w:p>
        </w:tc>
        <w:tc>
          <w:tcPr>
            <w:tcW w:w="1056" w:type="dxa"/>
          </w:tcPr>
          <w:p w14:paraId="7D69E2DE" w14:textId="77777777" w:rsidR="006F1FD0" w:rsidRPr="004105E7" w:rsidRDefault="006F1FD0" w:rsidP="006F1FD0">
            <w:pPr>
              <w:pStyle w:val="Standard"/>
              <w:spacing w:after="0" w:line="240" w:lineRule="auto"/>
              <w:ind w:left="0" w:right="0"/>
              <w:jc w:val="center"/>
              <w:rPr>
                <w:rFonts w:asciiTheme="minorHAnsi" w:hAnsiTheme="minorHAnsi"/>
                <w:b w:val="0"/>
                <w:sz w:val="20"/>
                <w:szCs w:val="20"/>
              </w:rPr>
            </w:pPr>
            <w:r w:rsidRPr="004105E7">
              <w:rPr>
                <w:rFonts w:asciiTheme="minorHAnsi" w:hAnsiTheme="minorHAnsi"/>
                <w:sz w:val="20"/>
                <w:szCs w:val="20"/>
              </w:rPr>
              <w:t>Animal:</w:t>
            </w:r>
          </w:p>
          <w:p w14:paraId="62315376" w14:textId="77777777" w:rsidR="006F1FD0" w:rsidRPr="004105E7" w:rsidRDefault="006F1FD0" w:rsidP="006F1FD0">
            <w:pPr>
              <w:pStyle w:val="Standard"/>
              <w:spacing w:after="0" w:line="240" w:lineRule="auto"/>
              <w:ind w:left="0" w:right="0"/>
              <w:jc w:val="center"/>
              <w:rPr>
                <w:rFonts w:asciiTheme="minorHAnsi" w:hAnsiTheme="minorHAnsi"/>
                <w:b w:val="0"/>
                <w:sz w:val="20"/>
                <w:szCs w:val="20"/>
              </w:rPr>
            </w:pPr>
            <w:r w:rsidRPr="004105E7">
              <w:rPr>
                <w:rFonts w:asciiTheme="minorHAnsi" w:hAnsiTheme="minorHAnsi"/>
                <w:sz w:val="20"/>
                <w:szCs w:val="20"/>
              </w:rPr>
              <w:t>Human BSA Ratio</w:t>
            </w:r>
          </w:p>
        </w:tc>
      </w:tr>
      <w:tr w:rsidR="006F1FD0" w:rsidRPr="004105E7" w14:paraId="4B181DD6" w14:textId="77777777" w:rsidTr="00E4200C">
        <w:trPr>
          <w:trHeight w:val="453"/>
        </w:trPr>
        <w:tc>
          <w:tcPr>
            <w:tcW w:w="1452" w:type="dxa"/>
            <w:vMerge w:val="restart"/>
          </w:tcPr>
          <w:p w14:paraId="6E78F886" w14:textId="77777777" w:rsidR="006F1FD0" w:rsidRPr="004105E7" w:rsidRDefault="006F1FD0" w:rsidP="006F1FD0">
            <w:pPr>
              <w:pStyle w:val="Standard"/>
              <w:spacing w:after="0" w:line="240" w:lineRule="auto"/>
              <w:ind w:left="0" w:right="0"/>
              <w:jc w:val="center"/>
              <w:rPr>
                <w:rFonts w:asciiTheme="minorHAnsi" w:hAnsiTheme="minorHAnsi"/>
                <w:sz w:val="20"/>
                <w:szCs w:val="20"/>
              </w:rPr>
            </w:pPr>
            <w:r w:rsidRPr="004105E7">
              <w:rPr>
                <w:rFonts w:asciiTheme="minorHAnsi" w:hAnsiTheme="minorHAnsi"/>
                <w:sz w:val="20"/>
                <w:szCs w:val="20"/>
              </w:rPr>
              <w:t>Acute toxicity</w:t>
            </w:r>
          </w:p>
          <w:p w14:paraId="31E330EE" w14:textId="77777777" w:rsidR="006F1FD0" w:rsidRPr="004105E7" w:rsidRDefault="006F1FD0" w:rsidP="006F1FD0">
            <w:pPr>
              <w:pStyle w:val="Standard"/>
              <w:spacing w:after="0" w:line="240" w:lineRule="auto"/>
              <w:ind w:left="0" w:right="0"/>
              <w:jc w:val="center"/>
              <w:rPr>
                <w:rFonts w:asciiTheme="minorHAnsi" w:hAnsiTheme="minorHAnsi"/>
                <w:sz w:val="20"/>
                <w:szCs w:val="20"/>
              </w:rPr>
            </w:pPr>
            <w:r w:rsidRPr="004105E7">
              <w:rPr>
                <w:rFonts w:asciiTheme="minorHAnsi" w:hAnsiTheme="minorHAnsi"/>
                <w:sz w:val="20"/>
                <w:szCs w:val="20"/>
              </w:rPr>
              <w:t>Mouse IV and PO</w:t>
            </w:r>
          </w:p>
        </w:tc>
        <w:tc>
          <w:tcPr>
            <w:tcW w:w="1056" w:type="dxa"/>
          </w:tcPr>
          <w:p w14:paraId="73D8E4DD" w14:textId="77777777" w:rsidR="006F1FD0" w:rsidRPr="004105E7" w:rsidRDefault="006F1FD0" w:rsidP="006F1FD0">
            <w:pPr>
              <w:pStyle w:val="Standard"/>
              <w:spacing w:after="0" w:line="240" w:lineRule="auto"/>
              <w:ind w:left="0" w:right="0"/>
              <w:jc w:val="center"/>
              <w:rPr>
                <w:rFonts w:asciiTheme="minorHAnsi" w:hAnsiTheme="minorHAnsi"/>
                <w:sz w:val="20"/>
                <w:szCs w:val="20"/>
              </w:rPr>
            </w:pPr>
            <w:r w:rsidRPr="004105E7">
              <w:rPr>
                <w:rFonts w:asciiTheme="minorHAnsi" w:hAnsiTheme="minorHAnsi"/>
                <w:sz w:val="20"/>
                <w:szCs w:val="20"/>
              </w:rPr>
              <w:t>750</w:t>
            </w:r>
            <w:r>
              <w:rPr>
                <w:rFonts w:asciiTheme="minorHAnsi" w:hAnsiTheme="minorHAnsi"/>
                <w:sz w:val="20"/>
                <w:szCs w:val="20"/>
              </w:rPr>
              <w:t>,</w:t>
            </w:r>
            <w:r w:rsidRPr="004105E7">
              <w:rPr>
                <w:rFonts w:asciiTheme="minorHAnsi" w:hAnsiTheme="minorHAnsi"/>
                <w:sz w:val="20"/>
                <w:szCs w:val="20"/>
              </w:rPr>
              <w:t>000</w:t>
            </w:r>
          </w:p>
        </w:tc>
        <w:tc>
          <w:tcPr>
            <w:tcW w:w="832" w:type="dxa"/>
          </w:tcPr>
          <w:p w14:paraId="62D0DA49" w14:textId="463070A0" w:rsidR="006F1FD0" w:rsidRPr="004105E7" w:rsidRDefault="006F1FD0" w:rsidP="006F1FD0">
            <w:pPr>
              <w:pStyle w:val="Standard"/>
              <w:spacing w:after="0" w:line="240" w:lineRule="auto"/>
              <w:ind w:left="0" w:right="0"/>
              <w:jc w:val="center"/>
              <w:rPr>
                <w:rFonts w:asciiTheme="minorHAnsi" w:hAnsiTheme="minorHAnsi"/>
                <w:sz w:val="20"/>
                <w:szCs w:val="20"/>
              </w:rPr>
            </w:pPr>
          </w:p>
        </w:tc>
        <w:tc>
          <w:tcPr>
            <w:tcW w:w="945" w:type="dxa"/>
          </w:tcPr>
          <w:p w14:paraId="015300DC" w14:textId="5CC8C6CB" w:rsidR="006F1FD0" w:rsidRPr="004105E7" w:rsidRDefault="006F1FD0" w:rsidP="006F1FD0">
            <w:pPr>
              <w:pStyle w:val="Standard"/>
              <w:spacing w:after="0" w:line="240" w:lineRule="auto"/>
              <w:ind w:left="0" w:right="0"/>
              <w:jc w:val="center"/>
              <w:rPr>
                <w:rFonts w:asciiTheme="minorHAnsi" w:hAnsiTheme="minorHAnsi"/>
                <w:sz w:val="20"/>
                <w:szCs w:val="20"/>
              </w:rPr>
            </w:pPr>
          </w:p>
        </w:tc>
        <w:tc>
          <w:tcPr>
            <w:tcW w:w="1213" w:type="dxa"/>
          </w:tcPr>
          <w:p w14:paraId="68549F55" w14:textId="77777777" w:rsidR="006F1FD0" w:rsidRPr="004105E7" w:rsidRDefault="006F1FD0" w:rsidP="006F1FD0">
            <w:pPr>
              <w:pStyle w:val="Standard"/>
              <w:spacing w:after="0" w:line="240" w:lineRule="auto"/>
              <w:ind w:left="0" w:right="0"/>
              <w:jc w:val="center"/>
              <w:rPr>
                <w:rFonts w:asciiTheme="minorHAnsi" w:hAnsiTheme="minorHAnsi"/>
                <w:sz w:val="20"/>
                <w:szCs w:val="20"/>
              </w:rPr>
            </w:pPr>
            <w:r w:rsidRPr="004105E7">
              <w:rPr>
                <w:rFonts w:asciiTheme="minorHAnsi" w:hAnsiTheme="minorHAnsi"/>
                <w:sz w:val="20"/>
                <w:szCs w:val="20"/>
              </w:rPr>
              <w:t>75</w:t>
            </w:r>
            <w:r>
              <w:rPr>
                <w:rFonts w:asciiTheme="minorHAnsi" w:hAnsiTheme="minorHAnsi"/>
                <w:sz w:val="20"/>
                <w:szCs w:val="20"/>
              </w:rPr>
              <w:t>,</w:t>
            </w:r>
            <w:r w:rsidRPr="004105E7">
              <w:rPr>
                <w:rFonts w:asciiTheme="minorHAnsi" w:hAnsiTheme="minorHAnsi"/>
                <w:sz w:val="20"/>
                <w:szCs w:val="20"/>
              </w:rPr>
              <w:t>000</w:t>
            </w:r>
          </w:p>
        </w:tc>
        <w:tc>
          <w:tcPr>
            <w:tcW w:w="1079" w:type="dxa"/>
          </w:tcPr>
          <w:p w14:paraId="11716E8D" w14:textId="3C5AAB55" w:rsidR="006F1FD0" w:rsidRPr="004105E7" w:rsidRDefault="006F1FD0" w:rsidP="006F1FD0">
            <w:pPr>
              <w:pStyle w:val="Standard"/>
              <w:spacing w:after="0" w:line="240" w:lineRule="auto"/>
              <w:ind w:left="0" w:right="0"/>
              <w:jc w:val="center"/>
              <w:rPr>
                <w:rFonts w:asciiTheme="minorHAnsi" w:hAnsiTheme="minorHAnsi"/>
                <w:sz w:val="20"/>
                <w:szCs w:val="20"/>
              </w:rPr>
            </w:pPr>
          </w:p>
        </w:tc>
        <w:tc>
          <w:tcPr>
            <w:tcW w:w="945" w:type="dxa"/>
          </w:tcPr>
          <w:p w14:paraId="47AAE107" w14:textId="16F89FF5" w:rsidR="006F1FD0" w:rsidRPr="004105E7" w:rsidRDefault="006F1FD0" w:rsidP="006F1FD0">
            <w:pPr>
              <w:pStyle w:val="Standard"/>
              <w:spacing w:after="0" w:line="240" w:lineRule="auto"/>
              <w:ind w:left="0" w:right="0"/>
              <w:jc w:val="center"/>
              <w:rPr>
                <w:rFonts w:asciiTheme="minorHAnsi" w:hAnsiTheme="minorHAnsi"/>
                <w:sz w:val="20"/>
                <w:szCs w:val="20"/>
              </w:rPr>
            </w:pPr>
          </w:p>
        </w:tc>
        <w:tc>
          <w:tcPr>
            <w:tcW w:w="1056" w:type="dxa"/>
          </w:tcPr>
          <w:p w14:paraId="0187A02A" w14:textId="77777777" w:rsidR="006F1FD0" w:rsidRPr="004105E7" w:rsidRDefault="006F1FD0" w:rsidP="006F1FD0">
            <w:pPr>
              <w:pStyle w:val="Standard"/>
              <w:spacing w:after="0" w:line="240" w:lineRule="auto"/>
              <w:ind w:left="0" w:right="0"/>
              <w:jc w:val="center"/>
              <w:rPr>
                <w:rFonts w:asciiTheme="minorHAnsi" w:hAnsiTheme="minorHAnsi"/>
                <w:sz w:val="20"/>
                <w:szCs w:val="20"/>
              </w:rPr>
            </w:pPr>
            <w:r>
              <w:rPr>
                <w:rFonts w:asciiTheme="minorHAnsi" w:hAnsiTheme="minorHAnsi"/>
                <w:sz w:val="20"/>
                <w:szCs w:val="20"/>
              </w:rPr>
              <w:t xml:space="preserve">approx. </w:t>
            </w:r>
            <w:r w:rsidRPr="004105E7">
              <w:rPr>
                <w:rFonts w:asciiTheme="minorHAnsi" w:hAnsiTheme="minorHAnsi"/>
                <w:sz w:val="20"/>
                <w:szCs w:val="20"/>
              </w:rPr>
              <w:t>2284</w:t>
            </w:r>
          </w:p>
        </w:tc>
      </w:tr>
      <w:tr w:rsidR="006F1FD0" w:rsidRPr="004105E7" w14:paraId="1449BA01" w14:textId="77777777" w:rsidTr="00E4200C">
        <w:trPr>
          <w:trHeight w:val="454"/>
        </w:trPr>
        <w:tc>
          <w:tcPr>
            <w:tcW w:w="1452" w:type="dxa"/>
            <w:vMerge/>
          </w:tcPr>
          <w:p w14:paraId="773D6585" w14:textId="77777777" w:rsidR="006F1FD0" w:rsidRPr="004105E7" w:rsidRDefault="006F1FD0" w:rsidP="006F1FD0">
            <w:pPr>
              <w:pStyle w:val="Standard"/>
              <w:spacing w:after="0" w:line="240" w:lineRule="auto"/>
              <w:ind w:left="0" w:right="0"/>
              <w:jc w:val="center"/>
              <w:rPr>
                <w:rFonts w:asciiTheme="minorHAnsi" w:hAnsiTheme="minorHAnsi"/>
                <w:sz w:val="20"/>
                <w:szCs w:val="20"/>
              </w:rPr>
            </w:pPr>
          </w:p>
        </w:tc>
        <w:tc>
          <w:tcPr>
            <w:tcW w:w="1056" w:type="dxa"/>
          </w:tcPr>
          <w:p w14:paraId="096C8F43" w14:textId="77777777" w:rsidR="006F1FD0" w:rsidRPr="004105E7" w:rsidRDefault="006F1FD0" w:rsidP="006F1FD0">
            <w:pPr>
              <w:pStyle w:val="Standard"/>
              <w:spacing w:after="0" w:line="240" w:lineRule="auto"/>
              <w:ind w:left="0" w:right="0"/>
              <w:jc w:val="center"/>
              <w:rPr>
                <w:rFonts w:asciiTheme="minorHAnsi" w:hAnsiTheme="minorHAnsi"/>
                <w:sz w:val="20"/>
                <w:szCs w:val="20"/>
              </w:rPr>
            </w:pPr>
            <w:r w:rsidRPr="004105E7">
              <w:rPr>
                <w:rFonts w:asciiTheme="minorHAnsi" w:hAnsiTheme="minorHAnsi"/>
                <w:sz w:val="20"/>
                <w:szCs w:val="20"/>
              </w:rPr>
              <w:t>1</w:t>
            </w:r>
            <w:r>
              <w:rPr>
                <w:rFonts w:asciiTheme="minorHAnsi" w:hAnsiTheme="minorHAnsi"/>
                <w:sz w:val="20"/>
                <w:szCs w:val="20"/>
              </w:rPr>
              <w:t>,</w:t>
            </w:r>
            <w:r w:rsidRPr="004105E7">
              <w:rPr>
                <w:rFonts w:asciiTheme="minorHAnsi" w:hAnsiTheme="minorHAnsi"/>
                <w:sz w:val="20"/>
                <w:szCs w:val="20"/>
              </w:rPr>
              <w:t>000</w:t>
            </w:r>
            <w:r>
              <w:rPr>
                <w:rFonts w:asciiTheme="minorHAnsi" w:hAnsiTheme="minorHAnsi"/>
                <w:sz w:val="20"/>
                <w:szCs w:val="20"/>
              </w:rPr>
              <w:t>,</w:t>
            </w:r>
            <w:r w:rsidRPr="004105E7">
              <w:rPr>
                <w:rFonts w:asciiTheme="minorHAnsi" w:hAnsiTheme="minorHAnsi"/>
                <w:sz w:val="20"/>
                <w:szCs w:val="20"/>
              </w:rPr>
              <w:t>000</w:t>
            </w:r>
          </w:p>
        </w:tc>
        <w:tc>
          <w:tcPr>
            <w:tcW w:w="832" w:type="dxa"/>
          </w:tcPr>
          <w:p w14:paraId="24C0BF0E" w14:textId="4B5D85FD" w:rsidR="006F1FD0" w:rsidRPr="004105E7" w:rsidRDefault="006F1FD0" w:rsidP="006F1FD0">
            <w:pPr>
              <w:pStyle w:val="Standard"/>
              <w:spacing w:after="0" w:line="240" w:lineRule="auto"/>
              <w:ind w:left="0" w:right="0"/>
              <w:jc w:val="center"/>
              <w:rPr>
                <w:rFonts w:asciiTheme="minorHAnsi" w:hAnsiTheme="minorHAnsi"/>
                <w:sz w:val="20"/>
                <w:szCs w:val="20"/>
              </w:rPr>
            </w:pPr>
          </w:p>
        </w:tc>
        <w:tc>
          <w:tcPr>
            <w:tcW w:w="945" w:type="dxa"/>
          </w:tcPr>
          <w:p w14:paraId="116E3B07" w14:textId="1D7F3EAD" w:rsidR="006F1FD0" w:rsidRPr="004105E7" w:rsidRDefault="006F1FD0" w:rsidP="006F1FD0">
            <w:pPr>
              <w:pStyle w:val="Standard"/>
              <w:spacing w:after="0" w:line="240" w:lineRule="auto"/>
              <w:ind w:left="0" w:right="0"/>
              <w:jc w:val="center"/>
              <w:rPr>
                <w:rFonts w:asciiTheme="minorHAnsi" w:hAnsiTheme="minorHAnsi"/>
                <w:sz w:val="20"/>
                <w:szCs w:val="20"/>
              </w:rPr>
            </w:pPr>
          </w:p>
        </w:tc>
        <w:tc>
          <w:tcPr>
            <w:tcW w:w="1213" w:type="dxa"/>
          </w:tcPr>
          <w:p w14:paraId="4CDB4532" w14:textId="77777777" w:rsidR="006F1FD0" w:rsidRPr="004105E7" w:rsidRDefault="006F1FD0" w:rsidP="006F1FD0">
            <w:pPr>
              <w:pStyle w:val="Standard"/>
              <w:spacing w:after="0" w:line="240" w:lineRule="auto"/>
              <w:ind w:left="0" w:right="0"/>
              <w:jc w:val="center"/>
              <w:rPr>
                <w:rFonts w:asciiTheme="minorHAnsi" w:hAnsiTheme="minorHAnsi"/>
                <w:sz w:val="20"/>
                <w:szCs w:val="20"/>
              </w:rPr>
            </w:pPr>
            <w:r w:rsidRPr="004105E7">
              <w:rPr>
                <w:rFonts w:asciiTheme="minorHAnsi" w:hAnsiTheme="minorHAnsi"/>
                <w:sz w:val="20"/>
                <w:szCs w:val="20"/>
              </w:rPr>
              <w:t>75</w:t>
            </w:r>
            <w:r>
              <w:rPr>
                <w:rFonts w:asciiTheme="minorHAnsi" w:hAnsiTheme="minorHAnsi"/>
                <w:sz w:val="20"/>
                <w:szCs w:val="20"/>
              </w:rPr>
              <w:t>,</w:t>
            </w:r>
            <w:r w:rsidRPr="004105E7">
              <w:rPr>
                <w:rFonts w:asciiTheme="minorHAnsi" w:hAnsiTheme="minorHAnsi"/>
                <w:sz w:val="20"/>
                <w:szCs w:val="20"/>
              </w:rPr>
              <w:t>000</w:t>
            </w:r>
          </w:p>
        </w:tc>
        <w:tc>
          <w:tcPr>
            <w:tcW w:w="1079" w:type="dxa"/>
          </w:tcPr>
          <w:p w14:paraId="12FA7E36" w14:textId="7D6B9FD6" w:rsidR="006F1FD0" w:rsidRPr="004105E7" w:rsidRDefault="006F1FD0" w:rsidP="006F1FD0">
            <w:pPr>
              <w:pStyle w:val="Standard"/>
              <w:spacing w:after="0" w:line="240" w:lineRule="auto"/>
              <w:ind w:left="0" w:right="0"/>
              <w:jc w:val="center"/>
              <w:rPr>
                <w:rFonts w:asciiTheme="minorHAnsi" w:hAnsiTheme="minorHAnsi"/>
                <w:sz w:val="20"/>
                <w:szCs w:val="20"/>
              </w:rPr>
            </w:pPr>
          </w:p>
        </w:tc>
        <w:tc>
          <w:tcPr>
            <w:tcW w:w="945" w:type="dxa"/>
          </w:tcPr>
          <w:p w14:paraId="2EC89870" w14:textId="5B1D302D" w:rsidR="006F1FD0" w:rsidRPr="004105E7" w:rsidRDefault="006F1FD0" w:rsidP="006F1FD0">
            <w:pPr>
              <w:pStyle w:val="Standard"/>
              <w:spacing w:after="0" w:line="240" w:lineRule="auto"/>
              <w:ind w:left="0" w:right="0"/>
              <w:jc w:val="center"/>
              <w:rPr>
                <w:rFonts w:asciiTheme="minorHAnsi" w:hAnsiTheme="minorHAnsi"/>
                <w:sz w:val="20"/>
                <w:szCs w:val="20"/>
              </w:rPr>
            </w:pPr>
          </w:p>
        </w:tc>
        <w:tc>
          <w:tcPr>
            <w:tcW w:w="1056" w:type="dxa"/>
          </w:tcPr>
          <w:p w14:paraId="608CCAB7" w14:textId="77777777" w:rsidR="006F1FD0" w:rsidRPr="004105E7" w:rsidRDefault="006F1FD0" w:rsidP="006F1FD0">
            <w:pPr>
              <w:pStyle w:val="Standard"/>
              <w:spacing w:after="0" w:line="240" w:lineRule="auto"/>
              <w:ind w:left="0" w:right="0"/>
              <w:jc w:val="center"/>
              <w:rPr>
                <w:rFonts w:asciiTheme="minorHAnsi" w:hAnsiTheme="minorHAnsi"/>
                <w:sz w:val="20"/>
                <w:szCs w:val="20"/>
              </w:rPr>
            </w:pPr>
            <w:r>
              <w:rPr>
                <w:rFonts w:asciiTheme="minorHAnsi" w:hAnsiTheme="minorHAnsi"/>
                <w:sz w:val="20"/>
                <w:szCs w:val="20"/>
              </w:rPr>
              <w:t xml:space="preserve">approx. </w:t>
            </w:r>
            <w:r w:rsidRPr="004105E7">
              <w:rPr>
                <w:rFonts w:asciiTheme="minorHAnsi" w:hAnsiTheme="minorHAnsi"/>
                <w:sz w:val="20"/>
                <w:szCs w:val="20"/>
              </w:rPr>
              <w:t>3045</w:t>
            </w:r>
          </w:p>
        </w:tc>
      </w:tr>
      <w:tr w:rsidR="006F1FD0" w:rsidRPr="004105E7" w14:paraId="42CAC9FC" w14:textId="77777777" w:rsidTr="00E4200C">
        <w:trPr>
          <w:trHeight w:val="454"/>
        </w:trPr>
        <w:tc>
          <w:tcPr>
            <w:tcW w:w="1452" w:type="dxa"/>
            <w:vMerge w:val="restart"/>
          </w:tcPr>
          <w:p w14:paraId="6B7184F0" w14:textId="77777777" w:rsidR="006F1FD0" w:rsidRPr="004105E7" w:rsidRDefault="006F1FD0" w:rsidP="006F1FD0">
            <w:pPr>
              <w:pStyle w:val="Standard"/>
              <w:spacing w:after="0" w:line="240" w:lineRule="auto"/>
              <w:ind w:left="0" w:right="0"/>
              <w:jc w:val="center"/>
              <w:rPr>
                <w:rFonts w:asciiTheme="minorHAnsi" w:hAnsiTheme="minorHAnsi"/>
                <w:sz w:val="20"/>
                <w:szCs w:val="20"/>
              </w:rPr>
            </w:pPr>
            <w:r w:rsidRPr="004105E7">
              <w:rPr>
                <w:rFonts w:asciiTheme="minorHAnsi" w:hAnsiTheme="minorHAnsi"/>
                <w:sz w:val="20"/>
                <w:szCs w:val="20"/>
              </w:rPr>
              <w:t xml:space="preserve">Repeat dose toxicity </w:t>
            </w:r>
          </w:p>
          <w:p w14:paraId="7D05DD73" w14:textId="77777777" w:rsidR="006F1FD0" w:rsidRPr="004105E7" w:rsidRDefault="006F1FD0" w:rsidP="006F1FD0">
            <w:pPr>
              <w:pStyle w:val="Standard"/>
              <w:spacing w:after="0" w:line="240" w:lineRule="auto"/>
              <w:ind w:left="0" w:right="0"/>
              <w:jc w:val="center"/>
              <w:rPr>
                <w:rFonts w:asciiTheme="minorHAnsi" w:hAnsiTheme="minorHAnsi"/>
                <w:sz w:val="20"/>
                <w:szCs w:val="20"/>
              </w:rPr>
            </w:pPr>
            <w:r w:rsidRPr="004105E7">
              <w:rPr>
                <w:rFonts w:asciiTheme="minorHAnsi" w:hAnsiTheme="minorHAnsi"/>
                <w:sz w:val="20"/>
                <w:szCs w:val="20"/>
              </w:rPr>
              <w:t>(all studies including reproduction studies)</w:t>
            </w:r>
          </w:p>
          <w:p w14:paraId="650D8521" w14:textId="77777777" w:rsidR="006F1FD0" w:rsidRPr="004105E7" w:rsidRDefault="006F1FD0" w:rsidP="006F1FD0">
            <w:pPr>
              <w:pStyle w:val="Standard"/>
              <w:spacing w:after="0" w:line="240" w:lineRule="auto"/>
              <w:ind w:left="0" w:right="0"/>
              <w:jc w:val="center"/>
              <w:rPr>
                <w:rFonts w:asciiTheme="minorHAnsi" w:hAnsiTheme="minorHAnsi"/>
                <w:sz w:val="20"/>
                <w:szCs w:val="20"/>
              </w:rPr>
            </w:pPr>
            <w:r w:rsidRPr="004105E7">
              <w:rPr>
                <w:rFonts w:asciiTheme="minorHAnsi" w:hAnsiTheme="minorHAnsi"/>
                <w:sz w:val="20"/>
                <w:szCs w:val="20"/>
              </w:rPr>
              <w:t>Mouse</w:t>
            </w:r>
          </w:p>
          <w:p w14:paraId="52B922AC" w14:textId="77777777" w:rsidR="006F1FD0" w:rsidRPr="004105E7" w:rsidRDefault="006F1FD0" w:rsidP="006F1FD0">
            <w:pPr>
              <w:pStyle w:val="Standard"/>
              <w:spacing w:after="0" w:line="240" w:lineRule="auto"/>
              <w:ind w:left="0" w:right="0"/>
              <w:jc w:val="center"/>
              <w:rPr>
                <w:rFonts w:asciiTheme="minorHAnsi" w:hAnsiTheme="minorHAnsi"/>
                <w:sz w:val="20"/>
                <w:szCs w:val="20"/>
              </w:rPr>
            </w:pPr>
            <w:r w:rsidRPr="004105E7">
              <w:rPr>
                <w:rFonts w:asciiTheme="minorHAnsi" w:hAnsiTheme="minorHAnsi"/>
                <w:sz w:val="20"/>
                <w:szCs w:val="20"/>
              </w:rPr>
              <w:t>PO</w:t>
            </w:r>
          </w:p>
        </w:tc>
        <w:tc>
          <w:tcPr>
            <w:tcW w:w="1056" w:type="dxa"/>
          </w:tcPr>
          <w:p w14:paraId="2373F89A" w14:textId="77777777" w:rsidR="006F1FD0" w:rsidRPr="004105E7" w:rsidRDefault="006F1FD0" w:rsidP="006F1FD0">
            <w:pPr>
              <w:pStyle w:val="Standard"/>
              <w:spacing w:after="0" w:line="240" w:lineRule="auto"/>
              <w:ind w:left="0" w:right="0"/>
              <w:jc w:val="center"/>
              <w:rPr>
                <w:rFonts w:asciiTheme="minorHAnsi" w:hAnsiTheme="minorHAnsi"/>
                <w:sz w:val="20"/>
                <w:szCs w:val="20"/>
              </w:rPr>
            </w:pPr>
            <w:r w:rsidRPr="004105E7">
              <w:rPr>
                <w:rFonts w:asciiTheme="minorHAnsi" w:hAnsiTheme="minorHAnsi"/>
                <w:sz w:val="20"/>
                <w:szCs w:val="20"/>
              </w:rPr>
              <w:t>25,000</w:t>
            </w:r>
          </w:p>
        </w:tc>
        <w:tc>
          <w:tcPr>
            <w:tcW w:w="832" w:type="dxa"/>
          </w:tcPr>
          <w:p w14:paraId="3314F6CD" w14:textId="5DEA08E9" w:rsidR="006F1FD0" w:rsidRPr="004105E7" w:rsidRDefault="006F1FD0" w:rsidP="006F1FD0">
            <w:pPr>
              <w:pStyle w:val="Standard"/>
              <w:spacing w:after="0" w:line="240" w:lineRule="auto"/>
              <w:ind w:left="0" w:right="0"/>
              <w:jc w:val="center"/>
              <w:rPr>
                <w:rFonts w:asciiTheme="minorHAnsi" w:hAnsiTheme="minorHAnsi"/>
                <w:sz w:val="20"/>
                <w:szCs w:val="20"/>
              </w:rPr>
            </w:pPr>
          </w:p>
        </w:tc>
        <w:tc>
          <w:tcPr>
            <w:tcW w:w="945" w:type="dxa"/>
          </w:tcPr>
          <w:p w14:paraId="464CDB8E" w14:textId="35944006" w:rsidR="006F1FD0" w:rsidRPr="004105E7" w:rsidRDefault="006F1FD0" w:rsidP="006F1FD0">
            <w:pPr>
              <w:pStyle w:val="Standard"/>
              <w:spacing w:after="0" w:line="240" w:lineRule="auto"/>
              <w:ind w:left="0" w:right="0"/>
              <w:jc w:val="center"/>
              <w:rPr>
                <w:rFonts w:asciiTheme="minorHAnsi" w:hAnsiTheme="minorHAnsi"/>
                <w:sz w:val="20"/>
                <w:szCs w:val="20"/>
              </w:rPr>
            </w:pPr>
          </w:p>
        </w:tc>
        <w:tc>
          <w:tcPr>
            <w:tcW w:w="1213" w:type="dxa"/>
          </w:tcPr>
          <w:p w14:paraId="0D8FC290" w14:textId="77777777" w:rsidR="006F1FD0" w:rsidRPr="004105E7" w:rsidRDefault="006F1FD0" w:rsidP="006F1FD0">
            <w:pPr>
              <w:pStyle w:val="Standard"/>
              <w:spacing w:after="0" w:line="240" w:lineRule="auto"/>
              <w:ind w:left="0" w:right="0"/>
              <w:jc w:val="center"/>
              <w:rPr>
                <w:rFonts w:asciiTheme="minorHAnsi" w:hAnsiTheme="minorHAnsi"/>
                <w:sz w:val="20"/>
                <w:szCs w:val="20"/>
              </w:rPr>
            </w:pPr>
            <w:r w:rsidRPr="004105E7">
              <w:rPr>
                <w:rFonts w:asciiTheme="minorHAnsi" w:hAnsiTheme="minorHAnsi"/>
                <w:sz w:val="20"/>
                <w:szCs w:val="20"/>
              </w:rPr>
              <w:t>75</w:t>
            </w:r>
            <w:r>
              <w:rPr>
                <w:rFonts w:asciiTheme="minorHAnsi" w:hAnsiTheme="minorHAnsi"/>
                <w:sz w:val="20"/>
                <w:szCs w:val="20"/>
              </w:rPr>
              <w:t>,</w:t>
            </w:r>
            <w:r w:rsidRPr="004105E7">
              <w:rPr>
                <w:rFonts w:asciiTheme="minorHAnsi" w:hAnsiTheme="minorHAnsi"/>
                <w:sz w:val="20"/>
                <w:szCs w:val="20"/>
              </w:rPr>
              <w:t>000</w:t>
            </w:r>
          </w:p>
        </w:tc>
        <w:tc>
          <w:tcPr>
            <w:tcW w:w="1079" w:type="dxa"/>
          </w:tcPr>
          <w:p w14:paraId="5F27B7F9" w14:textId="24DFCB48" w:rsidR="006F1FD0" w:rsidRPr="004105E7" w:rsidRDefault="006F1FD0" w:rsidP="006F1FD0">
            <w:pPr>
              <w:pStyle w:val="Standard"/>
              <w:spacing w:after="0" w:line="240" w:lineRule="auto"/>
              <w:ind w:left="0" w:right="0"/>
              <w:jc w:val="center"/>
              <w:rPr>
                <w:rFonts w:asciiTheme="minorHAnsi" w:hAnsiTheme="minorHAnsi"/>
                <w:sz w:val="20"/>
                <w:szCs w:val="20"/>
              </w:rPr>
            </w:pPr>
          </w:p>
        </w:tc>
        <w:tc>
          <w:tcPr>
            <w:tcW w:w="945" w:type="dxa"/>
          </w:tcPr>
          <w:p w14:paraId="11C9A500" w14:textId="09CE14B4" w:rsidR="006F1FD0" w:rsidRPr="004105E7" w:rsidRDefault="006F1FD0" w:rsidP="006F1FD0">
            <w:pPr>
              <w:pStyle w:val="Standard"/>
              <w:spacing w:after="0" w:line="240" w:lineRule="auto"/>
              <w:ind w:left="0" w:right="0"/>
              <w:jc w:val="center"/>
              <w:rPr>
                <w:rFonts w:asciiTheme="minorHAnsi" w:hAnsiTheme="minorHAnsi"/>
                <w:sz w:val="20"/>
                <w:szCs w:val="20"/>
              </w:rPr>
            </w:pPr>
          </w:p>
        </w:tc>
        <w:tc>
          <w:tcPr>
            <w:tcW w:w="1056" w:type="dxa"/>
          </w:tcPr>
          <w:p w14:paraId="7FCBA6CC" w14:textId="77777777" w:rsidR="006F1FD0" w:rsidRPr="004105E7" w:rsidRDefault="006F1FD0" w:rsidP="006F1FD0">
            <w:pPr>
              <w:pStyle w:val="Standard"/>
              <w:spacing w:after="0" w:line="240" w:lineRule="auto"/>
              <w:ind w:left="0" w:right="0"/>
              <w:jc w:val="center"/>
              <w:rPr>
                <w:rFonts w:asciiTheme="minorHAnsi" w:hAnsiTheme="minorHAnsi"/>
                <w:sz w:val="20"/>
                <w:szCs w:val="20"/>
              </w:rPr>
            </w:pPr>
            <w:r>
              <w:rPr>
                <w:rFonts w:asciiTheme="minorHAnsi" w:hAnsiTheme="minorHAnsi"/>
                <w:sz w:val="20"/>
                <w:szCs w:val="20"/>
              </w:rPr>
              <w:t xml:space="preserve">approx. </w:t>
            </w:r>
            <w:r w:rsidRPr="004105E7">
              <w:rPr>
                <w:rFonts w:asciiTheme="minorHAnsi" w:hAnsiTheme="minorHAnsi"/>
                <w:sz w:val="20"/>
                <w:szCs w:val="20"/>
              </w:rPr>
              <w:t>76</w:t>
            </w:r>
          </w:p>
        </w:tc>
      </w:tr>
      <w:tr w:rsidR="006F1FD0" w:rsidRPr="004105E7" w14:paraId="4A4E3BDE" w14:textId="77777777" w:rsidTr="00E4200C">
        <w:trPr>
          <w:trHeight w:val="454"/>
        </w:trPr>
        <w:tc>
          <w:tcPr>
            <w:tcW w:w="1452" w:type="dxa"/>
            <w:vMerge/>
          </w:tcPr>
          <w:p w14:paraId="78B39558" w14:textId="77777777" w:rsidR="006F1FD0" w:rsidRPr="004105E7" w:rsidRDefault="006F1FD0" w:rsidP="006F1FD0">
            <w:pPr>
              <w:pStyle w:val="Standard"/>
              <w:spacing w:after="0" w:line="240" w:lineRule="auto"/>
              <w:ind w:left="0" w:right="0"/>
              <w:jc w:val="center"/>
              <w:rPr>
                <w:rFonts w:asciiTheme="minorHAnsi" w:hAnsiTheme="minorHAnsi"/>
                <w:sz w:val="20"/>
                <w:szCs w:val="20"/>
              </w:rPr>
            </w:pPr>
          </w:p>
        </w:tc>
        <w:tc>
          <w:tcPr>
            <w:tcW w:w="1056" w:type="dxa"/>
          </w:tcPr>
          <w:p w14:paraId="1C755824" w14:textId="77777777" w:rsidR="006F1FD0" w:rsidRPr="004105E7" w:rsidRDefault="006F1FD0" w:rsidP="006F1FD0">
            <w:pPr>
              <w:pStyle w:val="Standard"/>
              <w:spacing w:after="0" w:line="240" w:lineRule="auto"/>
              <w:ind w:left="0" w:right="0"/>
              <w:jc w:val="center"/>
              <w:rPr>
                <w:rFonts w:asciiTheme="minorHAnsi" w:hAnsiTheme="minorHAnsi"/>
                <w:sz w:val="20"/>
                <w:szCs w:val="20"/>
              </w:rPr>
            </w:pPr>
            <w:r w:rsidRPr="004105E7">
              <w:rPr>
                <w:rFonts w:asciiTheme="minorHAnsi" w:hAnsiTheme="minorHAnsi"/>
                <w:sz w:val="20"/>
                <w:szCs w:val="20"/>
              </w:rPr>
              <w:t>75</w:t>
            </w:r>
            <w:r>
              <w:rPr>
                <w:rFonts w:asciiTheme="minorHAnsi" w:hAnsiTheme="minorHAnsi"/>
                <w:sz w:val="20"/>
                <w:szCs w:val="20"/>
              </w:rPr>
              <w:t>,</w:t>
            </w:r>
            <w:r w:rsidRPr="004105E7">
              <w:rPr>
                <w:rFonts w:asciiTheme="minorHAnsi" w:hAnsiTheme="minorHAnsi"/>
                <w:sz w:val="20"/>
                <w:szCs w:val="20"/>
              </w:rPr>
              <w:t>000</w:t>
            </w:r>
          </w:p>
        </w:tc>
        <w:tc>
          <w:tcPr>
            <w:tcW w:w="832" w:type="dxa"/>
          </w:tcPr>
          <w:p w14:paraId="5CC32AA1" w14:textId="7664AFDA" w:rsidR="006F1FD0" w:rsidRPr="004105E7" w:rsidRDefault="006F1FD0" w:rsidP="006F1FD0">
            <w:pPr>
              <w:pStyle w:val="Standard"/>
              <w:spacing w:after="0" w:line="240" w:lineRule="auto"/>
              <w:ind w:left="0" w:right="0"/>
              <w:jc w:val="center"/>
              <w:rPr>
                <w:rFonts w:asciiTheme="minorHAnsi" w:hAnsiTheme="minorHAnsi"/>
                <w:sz w:val="20"/>
                <w:szCs w:val="20"/>
              </w:rPr>
            </w:pPr>
          </w:p>
        </w:tc>
        <w:tc>
          <w:tcPr>
            <w:tcW w:w="945" w:type="dxa"/>
          </w:tcPr>
          <w:p w14:paraId="46473C41" w14:textId="13690378" w:rsidR="006F1FD0" w:rsidRPr="004105E7" w:rsidRDefault="006F1FD0" w:rsidP="006F1FD0">
            <w:pPr>
              <w:pStyle w:val="Standard"/>
              <w:spacing w:after="0" w:line="240" w:lineRule="auto"/>
              <w:ind w:left="0" w:right="0"/>
              <w:jc w:val="center"/>
              <w:rPr>
                <w:rFonts w:asciiTheme="minorHAnsi" w:hAnsiTheme="minorHAnsi"/>
                <w:sz w:val="20"/>
                <w:szCs w:val="20"/>
              </w:rPr>
            </w:pPr>
          </w:p>
        </w:tc>
        <w:tc>
          <w:tcPr>
            <w:tcW w:w="1213" w:type="dxa"/>
          </w:tcPr>
          <w:p w14:paraId="35DF5451" w14:textId="77777777" w:rsidR="006F1FD0" w:rsidRPr="004105E7" w:rsidRDefault="006F1FD0" w:rsidP="006F1FD0">
            <w:pPr>
              <w:pStyle w:val="Standard"/>
              <w:spacing w:after="0" w:line="240" w:lineRule="auto"/>
              <w:ind w:left="0" w:right="0"/>
              <w:jc w:val="center"/>
              <w:rPr>
                <w:rFonts w:asciiTheme="minorHAnsi" w:hAnsiTheme="minorHAnsi"/>
                <w:sz w:val="20"/>
                <w:szCs w:val="20"/>
              </w:rPr>
            </w:pPr>
            <w:r w:rsidRPr="004105E7">
              <w:rPr>
                <w:rFonts w:asciiTheme="minorHAnsi" w:hAnsiTheme="minorHAnsi"/>
                <w:sz w:val="20"/>
                <w:szCs w:val="20"/>
              </w:rPr>
              <w:t>75</w:t>
            </w:r>
            <w:r>
              <w:rPr>
                <w:rFonts w:asciiTheme="minorHAnsi" w:hAnsiTheme="minorHAnsi"/>
                <w:sz w:val="20"/>
                <w:szCs w:val="20"/>
              </w:rPr>
              <w:t>,</w:t>
            </w:r>
            <w:r w:rsidRPr="004105E7">
              <w:rPr>
                <w:rFonts w:asciiTheme="minorHAnsi" w:hAnsiTheme="minorHAnsi"/>
                <w:sz w:val="20"/>
                <w:szCs w:val="20"/>
              </w:rPr>
              <w:t>000</w:t>
            </w:r>
          </w:p>
        </w:tc>
        <w:tc>
          <w:tcPr>
            <w:tcW w:w="1079" w:type="dxa"/>
          </w:tcPr>
          <w:p w14:paraId="53B284EF" w14:textId="38864A45" w:rsidR="006F1FD0" w:rsidRPr="004105E7" w:rsidRDefault="006F1FD0" w:rsidP="006F1FD0">
            <w:pPr>
              <w:pStyle w:val="Standard"/>
              <w:spacing w:after="0" w:line="240" w:lineRule="auto"/>
              <w:ind w:left="0" w:right="0"/>
              <w:jc w:val="center"/>
              <w:rPr>
                <w:rFonts w:asciiTheme="minorHAnsi" w:hAnsiTheme="minorHAnsi"/>
                <w:sz w:val="20"/>
                <w:szCs w:val="20"/>
              </w:rPr>
            </w:pPr>
          </w:p>
        </w:tc>
        <w:tc>
          <w:tcPr>
            <w:tcW w:w="945" w:type="dxa"/>
          </w:tcPr>
          <w:p w14:paraId="02A2B90B" w14:textId="41FCF583" w:rsidR="006F1FD0" w:rsidRPr="004105E7" w:rsidRDefault="006F1FD0" w:rsidP="006F1FD0">
            <w:pPr>
              <w:pStyle w:val="Standard"/>
              <w:spacing w:after="0" w:line="240" w:lineRule="auto"/>
              <w:ind w:left="0" w:right="0"/>
              <w:jc w:val="center"/>
              <w:rPr>
                <w:rFonts w:asciiTheme="minorHAnsi" w:hAnsiTheme="minorHAnsi"/>
                <w:sz w:val="20"/>
                <w:szCs w:val="20"/>
              </w:rPr>
            </w:pPr>
          </w:p>
        </w:tc>
        <w:tc>
          <w:tcPr>
            <w:tcW w:w="1056" w:type="dxa"/>
          </w:tcPr>
          <w:p w14:paraId="37A183E8" w14:textId="77777777" w:rsidR="006F1FD0" w:rsidRPr="004105E7" w:rsidRDefault="006F1FD0" w:rsidP="006F1FD0">
            <w:pPr>
              <w:pStyle w:val="Standard"/>
              <w:spacing w:after="0" w:line="240" w:lineRule="auto"/>
              <w:ind w:left="0" w:right="0"/>
              <w:jc w:val="center"/>
              <w:rPr>
                <w:rFonts w:asciiTheme="minorHAnsi" w:hAnsiTheme="minorHAnsi"/>
                <w:sz w:val="20"/>
                <w:szCs w:val="20"/>
              </w:rPr>
            </w:pPr>
            <w:r>
              <w:rPr>
                <w:rFonts w:asciiTheme="minorHAnsi" w:hAnsiTheme="minorHAnsi"/>
                <w:sz w:val="20"/>
                <w:szCs w:val="20"/>
              </w:rPr>
              <w:t xml:space="preserve">approx. </w:t>
            </w:r>
            <w:r w:rsidRPr="004105E7">
              <w:rPr>
                <w:rFonts w:asciiTheme="minorHAnsi" w:hAnsiTheme="minorHAnsi"/>
                <w:sz w:val="20"/>
                <w:szCs w:val="20"/>
              </w:rPr>
              <w:t>228</w:t>
            </w:r>
          </w:p>
        </w:tc>
      </w:tr>
      <w:tr w:rsidR="006F1FD0" w:rsidRPr="004105E7" w14:paraId="75C7D054" w14:textId="77777777" w:rsidTr="00E4200C">
        <w:trPr>
          <w:trHeight w:val="453"/>
        </w:trPr>
        <w:tc>
          <w:tcPr>
            <w:tcW w:w="1452" w:type="dxa"/>
            <w:vMerge/>
          </w:tcPr>
          <w:p w14:paraId="365B834C" w14:textId="77777777" w:rsidR="006F1FD0" w:rsidRPr="004105E7" w:rsidRDefault="006F1FD0" w:rsidP="006F1FD0">
            <w:pPr>
              <w:pStyle w:val="Standard"/>
              <w:spacing w:after="0" w:line="240" w:lineRule="auto"/>
              <w:ind w:left="0" w:right="0"/>
              <w:jc w:val="center"/>
              <w:rPr>
                <w:rFonts w:asciiTheme="minorHAnsi" w:hAnsiTheme="minorHAnsi"/>
                <w:sz w:val="20"/>
                <w:szCs w:val="20"/>
              </w:rPr>
            </w:pPr>
          </w:p>
        </w:tc>
        <w:tc>
          <w:tcPr>
            <w:tcW w:w="1056" w:type="dxa"/>
          </w:tcPr>
          <w:p w14:paraId="6FC8D7AB" w14:textId="77777777" w:rsidR="006F1FD0" w:rsidRPr="004105E7" w:rsidRDefault="006F1FD0" w:rsidP="006F1FD0">
            <w:pPr>
              <w:pStyle w:val="Standard"/>
              <w:spacing w:after="0" w:line="240" w:lineRule="auto"/>
              <w:ind w:left="0" w:right="0"/>
              <w:jc w:val="center"/>
              <w:rPr>
                <w:rFonts w:asciiTheme="minorHAnsi" w:hAnsiTheme="minorHAnsi"/>
                <w:sz w:val="20"/>
                <w:szCs w:val="20"/>
              </w:rPr>
            </w:pPr>
            <w:r w:rsidRPr="004105E7">
              <w:rPr>
                <w:rFonts w:asciiTheme="minorHAnsi" w:hAnsiTheme="minorHAnsi"/>
                <w:sz w:val="20"/>
                <w:szCs w:val="20"/>
              </w:rPr>
              <w:t>500</w:t>
            </w:r>
            <w:r>
              <w:rPr>
                <w:rFonts w:asciiTheme="minorHAnsi" w:hAnsiTheme="minorHAnsi"/>
                <w:sz w:val="20"/>
                <w:szCs w:val="20"/>
              </w:rPr>
              <w:t>,</w:t>
            </w:r>
            <w:r w:rsidRPr="004105E7">
              <w:rPr>
                <w:rFonts w:asciiTheme="minorHAnsi" w:hAnsiTheme="minorHAnsi"/>
                <w:sz w:val="20"/>
                <w:szCs w:val="20"/>
              </w:rPr>
              <w:t>000</w:t>
            </w:r>
          </w:p>
        </w:tc>
        <w:tc>
          <w:tcPr>
            <w:tcW w:w="832" w:type="dxa"/>
          </w:tcPr>
          <w:p w14:paraId="0706ABE4" w14:textId="0FBB3CE7" w:rsidR="006F1FD0" w:rsidRPr="004105E7" w:rsidRDefault="006F1FD0" w:rsidP="006F1FD0">
            <w:pPr>
              <w:pStyle w:val="Standard"/>
              <w:spacing w:after="0" w:line="240" w:lineRule="auto"/>
              <w:ind w:left="0" w:right="0"/>
              <w:jc w:val="center"/>
              <w:rPr>
                <w:rFonts w:asciiTheme="minorHAnsi" w:hAnsiTheme="minorHAnsi"/>
                <w:sz w:val="20"/>
                <w:szCs w:val="20"/>
              </w:rPr>
            </w:pPr>
          </w:p>
        </w:tc>
        <w:tc>
          <w:tcPr>
            <w:tcW w:w="945" w:type="dxa"/>
          </w:tcPr>
          <w:p w14:paraId="25FD0B8B" w14:textId="3EB6CB8A" w:rsidR="006F1FD0" w:rsidRPr="004105E7" w:rsidRDefault="006F1FD0" w:rsidP="006F1FD0">
            <w:pPr>
              <w:pStyle w:val="Standard"/>
              <w:spacing w:after="0" w:line="240" w:lineRule="auto"/>
              <w:ind w:left="0" w:right="0"/>
              <w:jc w:val="center"/>
              <w:rPr>
                <w:rFonts w:asciiTheme="minorHAnsi" w:hAnsiTheme="minorHAnsi"/>
                <w:sz w:val="20"/>
                <w:szCs w:val="20"/>
              </w:rPr>
            </w:pPr>
          </w:p>
        </w:tc>
        <w:tc>
          <w:tcPr>
            <w:tcW w:w="1213" w:type="dxa"/>
          </w:tcPr>
          <w:p w14:paraId="77B0926F" w14:textId="77777777" w:rsidR="006F1FD0" w:rsidRPr="004105E7" w:rsidRDefault="006F1FD0" w:rsidP="006F1FD0">
            <w:pPr>
              <w:pStyle w:val="Standard"/>
              <w:spacing w:after="0" w:line="240" w:lineRule="auto"/>
              <w:ind w:left="0" w:right="0"/>
              <w:jc w:val="center"/>
              <w:rPr>
                <w:rFonts w:asciiTheme="minorHAnsi" w:hAnsiTheme="minorHAnsi"/>
                <w:sz w:val="20"/>
                <w:szCs w:val="20"/>
              </w:rPr>
            </w:pPr>
            <w:r w:rsidRPr="004105E7">
              <w:rPr>
                <w:rFonts w:asciiTheme="minorHAnsi" w:hAnsiTheme="minorHAnsi"/>
                <w:sz w:val="20"/>
                <w:szCs w:val="20"/>
              </w:rPr>
              <w:t>75</w:t>
            </w:r>
            <w:r>
              <w:rPr>
                <w:rFonts w:asciiTheme="minorHAnsi" w:hAnsiTheme="minorHAnsi"/>
                <w:sz w:val="20"/>
                <w:szCs w:val="20"/>
              </w:rPr>
              <w:t>,</w:t>
            </w:r>
            <w:r w:rsidRPr="004105E7">
              <w:rPr>
                <w:rFonts w:asciiTheme="minorHAnsi" w:hAnsiTheme="minorHAnsi"/>
                <w:sz w:val="20"/>
                <w:szCs w:val="20"/>
              </w:rPr>
              <w:t>000</w:t>
            </w:r>
          </w:p>
        </w:tc>
        <w:tc>
          <w:tcPr>
            <w:tcW w:w="1079" w:type="dxa"/>
          </w:tcPr>
          <w:p w14:paraId="4BEE9C57" w14:textId="12DC0CFD" w:rsidR="006F1FD0" w:rsidRPr="004105E7" w:rsidRDefault="006F1FD0" w:rsidP="006F1FD0">
            <w:pPr>
              <w:pStyle w:val="Standard"/>
              <w:spacing w:after="0" w:line="240" w:lineRule="auto"/>
              <w:ind w:left="0" w:right="0"/>
              <w:jc w:val="center"/>
              <w:rPr>
                <w:rFonts w:asciiTheme="minorHAnsi" w:hAnsiTheme="minorHAnsi"/>
                <w:sz w:val="20"/>
                <w:szCs w:val="20"/>
              </w:rPr>
            </w:pPr>
          </w:p>
        </w:tc>
        <w:tc>
          <w:tcPr>
            <w:tcW w:w="945" w:type="dxa"/>
          </w:tcPr>
          <w:p w14:paraId="1BF0A4BA" w14:textId="20637E4E" w:rsidR="006F1FD0" w:rsidRPr="004105E7" w:rsidRDefault="006F1FD0" w:rsidP="006F1FD0">
            <w:pPr>
              <w:pStyle w:val="Standard"/>
              <w:spacing w:after="0" w:line="240" w:lineRule="auto"/>
              <w:ind w:left="0" w:right="0"/>
              <w:jc w:val="center"/>
              <w:rPr>
                <w:rFonts w:asciiTheme="minorHAnsi" w:hAnsiTheme="minorHAnsi"/>
                <w:sz w:val="20"/>
                <w:szCs w:val="20"/>
              </w:rPr>
            </w:pPr>
          </w:p>
        </w:tc>
        <w:tc>
          <w:tcPr>
            <w:tcW w:w="1056" w:type="dxa"/>
          </w:tcPr>
          <w:p w14:paraId="79EC355B" w14:textId="77777777" w:rsidR="006F1FD0" w:rsidRPr="004105E7" w:rsidRDefault="006F1FD0" w:rsidP="006F1FD0">
            <w:pPr>
              <w:pStyle w:val="Standard"/>
              <w:spacing w:after="0" w:line="240" w:lineRule="auto"/>
              <w:ind w:left="0" w:right="0"/>
              <w:jc w:val="center"/>
              <w:rPr>
                <w:rFonts w:asciiTheme="minorHAnsi" w:hAnsiTheme="minorHAnsi"/>
                <w:sz w:val="20"/>
                <w:szCs w:val="20"/>
              </w:rPr>
            </w:pPr>
            <w:r>
              <w:rPr>
                <w:rFonts w:asciiTheme="minorHAnsi" w:hAnsiTheme="minorHAnsi"/>
                <w:sz w:val="20"/>
                <w:szCs w:val="20"/>
              </w:rPr>
              <w:t xml:space="preserve">approx. </w:t>
            </w:r>
            <w:r w:rsidRPr="004105E7">
              <w:rPr>
                <w:rFonts w:asciiTheme="minorHAnsi" w:hAnsiTheme="minorHAnsi"/>
                <w:sz w:val="20"/>
                <w:szCs w:val="20"/>
              </w:rPr>
              <w:t>1522</w:t>
            </w:r>
          </w:p>
        </w:tc>
      </w:tr>
      <w:tr w:rsidR="006F1FD0" w:rsidRPr="004105E7" w14:paraId="173B8929" w14:textId="77777777" w:rsidTr="00E4200C">
        <w:trPr>
          <w:trHeight w:val="454"/>
        </w:trPr>
        <w:tc>
          <w:tcPr>
            <w:tcW w:w="1452" w:type="dxa"/>
            <w:vMerge w:val="restart"/>
          </w:tcPr>
          <w:p w14:paraId="0D90127E" w14:textId="77777777" w:rsidR="006F1FD0" w:rsidRPr="004105E7" w:rsidRDefault="006F1FD0" w:rsidP="006F1FD0">
            <w:pPr>
              <w:pStyle w:val="Standard"/>
              <w:spacing w:after="0" w:line="240" w:lineRule="auto"/>
              <w:ind w:left="0" w:right="0"/>
              <w:jc w:val="center"/>
              <w:rPr>
                <w:rFonts w:asciiTheme="minorHAnsi" w:hAnsiTheme="minorHAnsi"/>
                <w:sz w:val="20"/>
                <w:szCs w:val="20"/>
              </w:rPr>
            </w:pPr>
            <w:r w:rsidRPr="004105E7">
              <w:rPr>
                <w:rFonts w:asciiTheme="minorHAnsi" w:hAnsiTheme="minorHAnsi"/>
                <w:sz w:val="20"/>
                <w:szCs w:val="20"/>
              </w:rPr>
              <w:t xml:space="preserve">Repeat dose toxicity </w:t>
            </w:r>
          </w:p>
          <w:p w14:paraId="6B221582" w14:textId="77777777" w:rsidR="006F1FD0" w:rsidRPr="004105E7" w:rsidRDefault="006F1FD0" w:rsidP="006F1FD0">
            <w:pPr>
              <w:pStyle w:val="Standard"/>
              <w:spacing w:after="0" w:line="240" w:lineRule="auto"/>
              <w:ind w:left="0" w:right="0"/>
              <w:jc w:val="center"/>
              <w:rPr>
                <w:rFonts w:asciiTheme="minorHAnsi" w:hAnsiTheme="minorHAnsi"/>
                <w:sz w:val="20"/>
                <w:szCs w:val="20"/>
              </w:rPr>
            </w:pPr>
            <w:r w:rsidRPr="004105E7">
              <w:rPr>
                <w:rFonts w:asciiTheme="minorHAnsi" w:hAnsiTheme="minorHAnsi"/>
                <w:sz w:val="20"/>
                <w:szCs w:val="20"/>
              </w:rPr>
              <w:t>(all studies)</w:t>
            </w:r>
          </w:p>
          <w:p w14:paraId="159FFCBD" w14:textId="77777777" w:rsidR="006F1FD0" w:rsidRPr="004105E7" w:rsidRDefault="006F1FD0" w:rsidP="006F1FD0">
            <w:pPr>
              <w:pStyle w:val="Standard"/>
              <w:spacing w:after="0" w:line="240" w:lineRule="auto"/>
              <w:ind w:left="0" w:right="0"/>
              <w:jc w:val="center"/>
              <w:rPr>
                <w:rFonts w:asciiTheme="minorHAnsi" w:hAnsiTheme="minorHAnsi"/>
                <w:sz w:val="20"/>
                <w:szCs w:val="20"/>
              </w:rPr>
            </w:pPr>
            <w:r w:rsidRPr="004105E7">
              <w:rPr>
                <w:rFonts w:asciiTheme="minorHAnsi" w:hAnsiTheme="minorHAnsi"/>
                <w:sz w:val="20"/>
                <w:szCs w:val="20"/>
              </w:rPr>
              <w:t>Dog</w:t>
            </w:r>
          </w:p>
          <w:p w14:paraId="35AF9057" w14:textId="77777777" w:rsidR="006F1FD0" w:rsidRPr="004105E7" w:rsidRDefault="006F1FD0" w:rsidP="006F1FD0">
            <w:pPr>
              <w:pStyle w:val="Standard"/>
              <w:spacing w:after="0" w:line="240" w:lineRule="auto"/>
              <w:ind w:left="0" w:right="0"/>
              <w:jc w:val="center"/>
              <w:rPr>
                <w:rFonts w:asciiTheme="minorHAnsi" w:hAnsiTheme="minorHAnsi"/>
                <w:sz w:val="20"/>
                <w:szCs w:val="20"/>
              </w:rPr>
            </w:pPr>
            <w:r w:rsidRPr="004105E7">
              <w:rPr>
                <w:rFonts w:asciiTheme="minorHAnsi" w:hAnsiTheme="minorHAnsi"/>
                <w:sz w:val="20"/>
                <w:szCs w:val="20"/>
              </w:rPr>
              <w:t>PO</w:t>
            </w:r>
          </w:p>
        </w:tc>
        <w:tc>
          <w:tcPr>
            <w:tcW w:w="1056" w:type="dxa"/>
          </w:tcPr>
          <w:p w14:paraId="2B411D7E" w14:textId="77777777" w:rsidR="006F1FD0" w:rsidRPr="004105E7" w:rsidRDefault="006F1FD0" w:rsidP="006F1FD0">
            <w:pPr>
              <w:pStyle w:val="Standard"/>
              <w:spacing w:after="0" w:line="240" w:lineRule="auto"/>
              <w:ind w:left="0" w:right="0"/>
              <w:jc w:val="center"/>
              <w:rPr>
                <w:rFonts w:asciiTheme="minorHAnsi" w:hAnsiTheme="minorHAnsi"/>
                <w:sz w:val="20"/>
                <w:szCs w:val="20"/>
              </w:rPr>
            </w:pPr>
            <w:r w:rsidRPr="004105E7">
              <w:rPr>
                <w:rFonts w:asciiTheme="minorHAnsi" w:hAnsiTheme="minorHAnsi"/>
                <w:sz w:val="20"/>
                <w:szCs w:val="20"/>
              </w:rPr>
              <w:t>25,000</w:t>
            </w:r>
          </w:p>
        </w:tc>
        <w:tc>
          <w:tcPr>
            <w:tcW w:w="832" w:type="dxa"/>
          </w:tcPr>
          <w:p w14:paraId="7C1533FA" w14:textId="1D1C2364" w:rsidR="006F1FD0" w:rsidRPr="004105E7" w:rsidRDefault="006F1FD0" w:rsidP="006F1FD0">
            <w:pPr>
              <w:pStyle w:val="Standard"/>
              <w:spacing w:after="0" w:line="240" w:lineRule="auto"/>
              <w:ind w:left="0" w:right="0"/>
              <w:jc w:val="center"/>
              <w:rPr>
                <w:rFonts w:asciiTheme="minorHAnsi" w:hAnsiTheme="minorHAnsi"/>
                <w:sz w:val="20"/>
                <w:szCs w:val="20"/>
              </w:rPr>
            </w:pPr>
          </w:p>
        </w:tc>
        <w:tc>
          <w:tcPr>
            <w:tcW w:w="945" w:type="dxa"/>
          </w:tcPr>
          <w:p w14:paraId="5477E96B" w14:textId="05AB48C6" w:rsidR="006F1FD0" w:rsidRPr="004105E7" w:rsidRDefault="006F1FD0" w:rsidP="006F1FD0">
            <w:pPr>
              <w:pStyle w:val="Standard"/>
              <w:spacing w:after="0" w:line="240" w:lineRule="auto"/>
              <w:ind w:left="0" w:right="0"/>
              <w:jc w:val="center"/>
              <w:rPr>
                <w:rFonts w:asciiTheme="minorHAnsi" w:hAnsiTheme="minorHAnsi"/>
                <w:sz w:val="20"/>
                <w:szCs w:val="20"/>
              </w:rPr>
            </w:pPr>
          </w:p>
        </w:tc>
        <w:tc>
          <w:tcPr>
            <w:tcW w:w="1213" w:type="dxa"/>
          </w:tcPr>
          <w:p w14:paraId="1742816B" w14:textId="77777777" w:rsidR="006F1FD0" w:rsidRPr="004105E7" w:rsidRDefault="006F1FD0" w:rsidP="006F1FD0">
            <w:pPr>
              <w:pStyle w:val="Standard"/>
              <w:spacing w:after="0" w:line="240" w:lineRule="auto"/>
              <w:ind w:left="0" w:right="0"/>
              <w:jc w:val="center"/>
              <w:rPr>
                <w:rFonts w:asciiTheme="minorHAnsi" w:hAnsiTheme="minorHAnsi"/>
                <w:sz w:val="20"/>
                <w:szCs w:val="20"/>
              </w:rPr>
            </w:pPr>
            <w:r w:rsidRPr="004105E7">
              <w:rPr>
                <w:rFonts w:asciiTheme="minorHAnsi" w:hAnsiTheme="minorHAnsi"/>
                <w:sz w:val="20"/>
                <w:szCs w:val="20"/>
              </w:rPr>
              <w:t>75</w:t>
            </w:r>
            <w:r>
              <w:rPr>
                <w:rFonts w:asciiTheme="minorHAnsi" w:hAnsiTheme="minorHAnsi"/>
                <w:sz w:val="20"/>
                <w:szCs w:val="20"/>
              </w:rPr>
              <w:t>,</w:t>
            </w:r>
            <w:r w:rsidRPr="004105E7">
              <w:rPr>
                <w:rFonts w:asciiTheme="minorHAnsi" w:hAnsiTheme="minorHAnsi"/>
                <w:sz w:val="20"/>
                <w:szCs w:val="20"/>
              </w:rPr>
              <w:t>000</w:t>
            </w:r>
          </w:p>
        </w:tc>
        <w:tc>
          <w:tcPr>
            <w:tcW w:w="1079" w:type="dxa"/>
          </w:tcPr>
          <w:p w14:paraId="6D6BADA6" w14:textId="1EEB0A2C" w:rsidR="006F1FD0" w:rsidRPr="004105E7" w:rsidRDefault="006F1FD0" w:rsidP="006F1FD0">
            <w:pPr>
              <w:pStyle w:val="Standard"/>
              <w:spacing w:after="0" w:line="240" w:lineRule="auto"/>
              <w:ind w:left="0" w:right="0"/>
              <w:jc w:val="center"/>
              <w:rPr>
                <w:rFonts w:asciiTheme="minorHAnsi" w:hAnsiTheme="minorHAnsi"/>
                <w:sz w:val="20"/>
                <w:szCs w:val="20"/>
              </w:rPr>
            </w:pPr>
          </w:p>
        </w:tc>
        <w:tc>
          <w:tcPr>
            <w:tcW w:w="945" w:type="dxa"/>
          </w:tcPr>
          <w:p w14:paraId="56F1B9F5" w14:textId="23F13667" w:rsidR="006F1FD0" w:rsidRPr="004105E7" w:rsidRDefault="006F1FD0" w:rsidP="006F1FD0">
            <w:pPr>
              <w:pStyle w:val="Standard"/>
              <w:spacing w:after="0" w:line="240" w:lineRule="auto"/>
              <w:ind w:left="0" w:right="0"/>
              <w:jc w:val="center"/>
              <w:rPr>
                <w:rFonts w:asciiTheme="minorHAnsi" w:hAnsiTheme="minorHAnsi"/>
                <w:sz w:val="20"/>
                <w:szCs w:val="20"/>
              </w:rPr>
            </w:pPr>
          </w:p>
        </w:tc>
        <w:tc>
          <w:tcPr>
            <w:tcW w:w="1056" w:type="dxa"/>
          </w:tcPr>
          <w:p w14:paraId="1277C133" w14:textId="77777777" w:rsidR="006F1FD0" w:rsidRPr="004105E7" w:rsidRDefault="006F1FD0" w:rsidP="006F1FD0">
            <w:pPr>
              <w:pStyle w:val="Standard"/>
              <w:spacing w:after="0" w:line="240" w:lineRule="auto"/>
              <w:ind w:left="0" w:right="0"/>
              <w:jc w:val="center"/>
              <w:rPr>
                <w:rFonts w:asciiTheme="minorHAnsi" w:hAnsiTheme="minorHAnsi"/>
                <w:sz w:val="20"/>
                <w:szCs w:val="20"/>
              </w:rPr>
            </w:pPr>
            <w:r>
              <w:rPr>
                <w:rFonts w:asciiTheme="minorHAnsi" w:hAnsiTheme="minorHAnsi"/>
                <w:sz w:val="20"/>
                <w:szCs w:val="20"/>
              </w:rPr>
              <w:t xml:space="preserve">approx. </w:t>
            </w:r>
            <w:r w:rsidRPr="004105E7">
              <w:rPr>
                <w:rFonts w:asciiTheme="minorHAnsi" w:hAnsiTheme="minorHAnsi"/>
                <w:sz w:val="20"/>
                <w:szCs w:val="20"/>
              </w:rPr>
              <w:t>1</w:t>
            </w:r>
          </w:p>
        </w:tc>
      </w:tr>
      <w:tr w:rsidR="006F1FD0" w:rsidRPr="004105E7" w14:paraId="025FEA0E" w14:textId="77777777" w:rsidTr="00E4200C">
        <w:trPr>
          <w:trHeight w:val="454"/>
        </w:trPr>
        <w:tc>
          <w:tcPr>
            <w:tcW w:w="1452" w:type="dxa"/>
            <w:vMerge/>
          </w:tcPr>
          <w:p w14:paraId="6209B63F" w14:textId="77777777" w:rsidR="006F1FD0" w:rsidRPr="004105E7" w:rsidRDefault="006F1FD0" w:rsidP="006F1FD0">
            <w:pPr>
              <w:pStyle w:val="Standard"/>
              <w:spacing w:after="0" w:line="240" w:lineRule="auto"/>
              <w:ind w:left="0" w:right="0"/>
              <w:jc w:val="center"/>
              <w:rPr>
                <w:rFonts w:asciiTheme="minorHAnsi" w:hAnsiTheme="minorHAnsi"/>
                <w:sz w:val="20"/>
                <w:szCs w:val="20"/>
              </w:rPr>
            </w:pPr>
          </w:p>
        </w:tc>
        <w:tc>
          <w:tcPr>
            <w:tcW w:w="1056" w:type="dxa"/>
          </w:tcPr>
          <w:p w14:paraId="29A16C40" w14:textId="77777777" w:rsidR="006F1FD0" w:rsidRPr="004105E7" w:rsidRDefault="006F1FD0" w:rsidP="006F1FD0">
            <w:pPr>
              <w:pStyle w:val="Standard"/>
              <w:spacing w:after="0" w:line="240" w:lineRule="auto"/>
              <w:ind w:left="0" w:right="0"/>
              <w:jc w:val="center"/>
              <w:rPr>
                <w:rFonts w:asciiTheme="minorHAnsi" w:hAnsiTheme="minorHAnsi"/>
                <w:sz w:val="20"/>
                <w:szCs w:val="20"/>
              </w:rPr>
            </w:pPr>
            <w:r w:rsidRPr="004105E7">
              <w:rPr>
                <w:rFonts w:asciiTheme="minorHAnsi" w:hAnsiTheme="minorHAnsi"/>
                <w:sz w:val="20"/>
                <w:szCs w:val="20"/>
              </w:rPr>
              <w:t>75</w:t>
            </w:r>
            <w:r>
              <w:rPr>
                <w:rFonts w:asciiTheme="minorHAnsi" w:hAnsiTheme="minorHAnsi"/>
                <w:sz w:val="20"/>
                <w:szCs w:val="20"/>
              </w:rPr>
              <w:t>,</w:t>
            </w:r>
            <w:r w:rsidRPr="004105E7">
              <w:rPr>
                <w:rFonts w:asciiTheme="minorHAnsi" w:hAnsiTheme="minorHAnsi"/>
                <w:sz w:val="20"/>
                <w:szCs w:val="20"/>
              </w:rPr>
              <w:t>000</w:t>
            </w:r>
          </w:p>
        </w:tc>
        <w:tc>
          <w:tcPr>
            <w:tcW w:w="832" w:type="dxa"/>
          </w:tcPr>
          <w:p w14:paraId="30C2932A" w14:textId="5B867304" w:rsidR="006F1FD0" w:rsidRPr="004105E7" w:rsidRDefault="006F1FD0" w:rsidP="006F1FD0">
            <w:pPr>
              <w:pStyle w:val="Standard"/>
              <w:spacing w:after="0" w:line="240" w:lineRule="auto"/>
              <w:ind w:left="0" w:right="0"/>
              <w:jc w:val="center"/>
              <w:rPr>
                <w:rFonts w:asciiTheme="minorHAnsi" w:hAnsiTheme="minorHAnsi"/>
                <w:sz w:val="20"/>
                <w:szCs w:val="20"/>
              </w:rPr>
            </w:pPr>
          </w:p>
        </w:tc>
        <w:tc>
          <w:tcPr>
            <w:tcW w:w="945" w:type="dxa"/>
          </w:tcPr>
          <w:p w14:paraId="339489C6" w14:textId="17138D07" w:rsidR="006F1FD0" w:rsidRPr="004105E7" w:rsidRDefault="006F1FD0" w:rsidP="006F1FD0">
            <w:pPr>
              <w:pStyle w:val="Standard"/>
              <w:spacing w:after="0" w:line="240" w:lineRule="auto"/>
              <w:ind w:left="0" w:right="0"/>
              <w:jc w:val="center"/>
              <w:rPr>
                <w:rFonts w:asciiTheme="minorHAnsi" w:hAnsiTheme="minorHAnsi"/>
                <w:sz w:val="20"/>
                <w:szCs w:val="20"/>
              </w:rPr>
            </w:pPr>
          </w:p>
        </w:tc>
        <w:tc>
          <w:tcPr>
            <w:tcW w:w="1213" w:type="dxa"/>
          </w:tcPr>
          <w:p w14:paraId="647650C3" w14:textId="77777777" w:rsidR="006F1FD0" w:rsidRPr="004105E7" w:rsidRDefault="006F1FD0" w:rsidP="006F1FD0">
            <w:pPr>
              <w:pStyle w:val="Standard"/>
              <w:spacing w:after="0" w:line="240" w:lineRule="auto"/>
              <w:ind w:left="0" w:right="0"/>
              <w:jc w:val="center"/>
              <w:rPr>
                <w:rFonts w:asciiTheme="minorHAnsi" w:hAnsiTheme="minorHAnsi"/>
                <w:sz w:val="20"/>
                <w:szCs w:val="20"/>
              </w:rPr>
            </w:pPr>
            <w:r w:rsidRPr="004105E7">
              <w:rPr>
                <w:rFonts w:asciiTheme="minorHAnsi" w:hAnsiTheme="minorHAnsi"/>
                <w:sz w:val="20"/>
                <w:szCs w:val="20"/>
              </w:rPr>
              <w:t>75</w:t>
            </w:r>
            <w:r>
              <w:rPr>
                <w:rFonts w:asciiTheme="minorHAnsi" w:hAnsiTheme="minorHAnsi"/>
                <w:sz w:val="20"/>
                <w:szCs w:val="20"/>
              </w:rPr>
              <w:t>,</w:t>
            </w:r>
            <w:r w:rsidRPr="004105E7">
              <w:rPr>
                <w:rFonts w:asciiTheme="minorHAnsi" w:hAnsiTheme="minorHAnsi"/>
                <w:sz w:val="20"/>
                <w:szCs w:val="20"/>
              </w:rPr>
              <w:t>000</w:t>
            </w:r>
          </w:p>
        </w:tc>
        <w:tc>
          <w:tcPr>
            <w:tcW w:w="1079" w:type="dxa"/>
          </w:tcPr>
          <w:p w14:paraId="2A052EE5" w14:textId="39F1FFAB" w:rsidR="006F1FD0" w:rsidRPr="004105E7" w:rsidRDefault="006F1FD0" w:rsidP="006F1FD0">
            <w:pPr>
              <w:pStyle w:val="Standard"/>
              <w:spacing w:after="0" w:line="240" w:lineRule="auto"/>
              <w:ind w:left="0" w:right="0"/>
              <w:jc w:val="center"/>
              <w:rPr>
                <w:rFonts w:asciiTheme="minorHAnsi" w:hAnsiTheme="minorHAnsi"/>
                <w:sz w:val="20"/>
                <w:szCs w:val="20"/>
              </w:rPr>
            </w:pPr>
          </w:p>
        </w:tc>
        <w:tc>
          <w:tcPr>
            <w:tcW w:w="945" w:type="dxa"/>
          </w:tcPr>
          <w:p w14:paraId="23E4C9CE" w14:textId="77C0CC81" w:rsidR="006F1FD0" w:rsidRPr="004105E7" w:rsidRDefault="006F1FD0" w:rsidP="006F1FD0">
            <w:pPr>
              <w:pStyle w:val="Standard"/>
              <w:spacing w:after="0" w:line="240" w:lineRule="auto"/>
              <w:ind w:left="0" w:right="0"/>
              <w:jc w:val="center"/>
              <w:rPr>
                <w:rFonts w:asciiTheme="minorHAnsi" w:hAnsiTheme="minorHAnsi"/>
                <w:sz w:val="20"/>
                <w:szCs w:val="20"/>
              </w:rPr>
            </w:pPr>
          </w:p>
        </w:tc>
        <w:tc>
          <w:tcPr>
            <w:tcW w:w="1056" w:type="dxa"/>
          </w:tcPr>
          <w:p w14:paraId="1B1EA9AC" w14:textId="77777777" w:rsidR="006F1FD0" w:rsidRPr="004105E7" w:rsidRDefault="006F1FD0" w:rsidP="006F1FD0">
            <w:pPr>
              <w:pStyle w:val="Standard"/>
              <w:spacing w:after="0" w:line="240" w:lineRule="auto"/>
              <w:ind w:left="0" w:right="0"/>
              <w:jc w:val="center"/>
              <w:rPr>
                <w:rFonts w:asciiTheme="minorHAnsi" w:hAnsiTheme="minorHAnsi"/>
                <w:sz w:val="20"/>
                <w:szCs w:val="20"/>
              </w:rPr>
            </w:pPr>
            <w:r>
              <w:rPr>
                <w:rFonts w:asciiTheme="minorHAnsi" w:hAnsiTheme="minorHAnsi"/>
                <w:sz w:val="20"/>
                <w:szCs w:val="20"/>
              </w:rPr>
              <w:t xml:space="preserve">approx. </w:t>
            </w:r>
            <w:r w:rsidRPr="004105E7">
              <w:rPr>
                <w:rFonts w:asciiTheme="minorHAnsi" w:hAnsiTheme="minorHAnsi"/>
                <w:sz w:val="20"/>
                <w:szCs w:val="20"/>
              </w:rPr>
              <w:t>3</w:t>
            </w:r>
          </w:p>
        </w:tc>
      </w:tr>
      <w:tr w:rsidR="006F1FD0" w:rsidRPr="004105E7" w14:paraId="2B56E893" w14:textId="77777777" w:rsidTr="00E4200C">
        <w:trPr>
          <w:trHeight w:val="454"/>
        </w:trPr>
        <w:tc>
          <w:tcPr>
            <w:tcW w:w="1452" w:type="dxa"/>
            <w:vMerge/>
          </w:tcPr>
          <w:p w14:paraId="34A2C1E6" w14:textId="77777777" w:rsidR="006F1FD0" w:rsidRPr="004105E7" w:rsidRDefault="006F1FD0" w:rsidP="006F1FD0">
            <w:pPr>
              <w:pStyle w:val="Standard"/>
              <w:spacing w:after="0" w:line="240" w:lineRule="auto"/>
              <w:ind w:left="0" w:right="0"/>
              <w:jc w:val="center"/>
              <w:rPr>
                <w:rFonts w:asciiTheme="minorHAnsi" w:hAnsiTheme="minorHAnsi"/>
                <w:sz w:val="20"/>
                <w:szCs w:val="20"/>
              </w:rPr>
            </w:pPr>
          </w:p>
        </w:tc>
        <w:tc>
          <w:tcPr>
            <w:tcW w:w="1056" w:type="dxa"/>
          </w:tcPr>
          <w:p w14:paraId="62F571D7" w14:textId="77777777" w:rsidR="006F1FD0" w:rsidRPr="004105E7" w:rsidRDefault="006F1FD0" w:rsidP="006F1FD0">
            <w:pPr>
              <w:pStyle w:val="Standard"/>
              <w:spacing w:after="0" w:line="240" w:lineRule="auto"/>
              <w:ind w:left="0" w:right="0"/>
              <w:jc w:val="center"/>
              <w:rPr>
                <w:rFonts w:asciiTheme="minorHAnsi" w:hAnsiTheme="minorHAnsi"/>
                <w:sz w:val="20"/>
                <w:szCs w:val="20"/>
              </w:rPr>
            </w:pPr>
            <w:r w:rsidRPr="004105E7">
              <w:rPr>
                <w:rFonts w:asciiTheme="minorHAnsi" w:hAnsiTheme="minorHAnsi"/>
                <w:sz w:val="20"/>
                <w:szCs w:val="20"/>
              </w:rPr>
              <w:t>500</w:t>
            </w:r>
            <w:r>
              <w:rPr>
                <w:rFonts w:asciiTheme="minorHAnsi" w:hAnsiTheme="minorHAnsi"/>
                <w:sz w:val="20"/>
                <w:szCs w:val="20"/>
              </w:rPr>
              <w:t>,</w:t>
            </w:r>
            <w:r w:rsidRPr="004105E7">
              <w:rPr>
                <w:rFonts w:asciiTheme="minorHAnsi" w:hAnsiTheme="minorHAnsi"/>
                <w:sz w:val="20"/>
                <w:szCs w:val="20"/>
              </w:rPr>
              <w:t>000</w:t>
            </w:r>
          </w:p>
        </w:tc>
        <w:tc>
          <w:tcPr>
            <w:tcW w:w="832" w:type="dxa"/>
          </w:tcPr>
          <w:p w14:paraId="7D1D3B6A" w14:textId="4FF7496D" w:rsidR="006F1FD0" w:rsidRPr="004105E7" w:rsidRDefault="006F1FD0" w:rsidP="006F1FD0">
            <w:pPr>
              <w:pStyle w:val="Standard"/>
              <w:spacing w:after="0" w:line="240" w:lineRule="auto"/>
              <w:ind w:left="0" w:right="0"/>
              <w:jc w:val="center"/>
              <w:rPr>
                <w:rFonts w:asciiTheme="minorHAnsi" w:hAnsiTheme="minorHAnsi"/>
                <w:sz w:val="20"/>
                <w:szCs w:val="20"/>
              </w:rPr>
            </w:pPr>
          </w:p>
        </w:tc>
        <w:tc>
          <w:tcPr>
            <w:tcW w:w="945" w:type="dxa"/>
          </w:tcPr>
          <w:p w14:paraId="657D4A71" w14:textId="641608C0" w:rsidR="006F1FD0" w:rsidRPr="004105E7" w:rsidRDefault="006F1FD0" w:rsidP="006F1FD0">
            <w:pPr>
              <w:pStyle w:val="Standard"/>
              <w:spacing w:after="0" w:line="240" w:lineRule="auto"/>
              <w:ind w:left="0" w:right="0"/>
              <w:jc w:val="center"/>
              <w:rPr>
                <w:rFonts w:asciiTheme="minorHAnsi" w:hAnsiTheme="minorHAnsi"/>
                <w:sz w:val="20"/>
                <w:szCs w:val="20"/>
              </w:rPr>
            </w:pPr>
          </w:p>
        </w:tc>
        <w:tc>
          <w:tcPr>
            <w:tcW w:w="1213" w:type="dxa"/>
          </w:tcPr>
          <w:p w14:paraId="129DB156" w14:textId="77777777" w:rsidR="006F1FD0" w:rsidRPr="004105E7" w:rsidRDefault="006F1FD0" w:rsidP="006F1FD0">
            <w:pPr>
              <w:pStyle w:val="Standard"/>
              <w:spacing w:after="0" w:line="240" w:lineRule="auto"/>
              <w:ind w:left="0" w:right="0"/>
              <w:jc w:val="center"/>
              <w:rPr>
                <w:rFonts w:asciiTheme="minorHAnsi" w:hAnsiTheme="minorHAnsi"/>
                <w:sz w:val="20"/>
                <w:szCs w:val="20"/>
              </w:rPr>
            </w:pPr>
            <w:r w:rsidRPr="004105E7">
              <w:rPr>
                <w:rFonts w:asciiTheme="minorHAnsi" w:hAnsiTheme="minorHAnsi"/>
                <w:sz w:val="20"/>
                <w:szCs w:val="20"/>
              </w:rPr>
              <w:t>75</w:t>
            </w:r>
            <w:r>
              <w:rPr>
                <w:rFonts w:asciiTheme="minorHAnsi" w:hAnsiTheme="minorHAnsi"/>
                <w:sz w:val="20"/>
                <w:szCs w:val="20"/>
              </w:rPr>
              <w:t>,</w:t>
            </w:r>
            <w:r w:rsidRPr="004105E7">
              <w:rPr>
                <w:rFonts w:asciiTheme="minorHAnsi" w:hAnsiTheme="minorHAnsi"/>
                <w:sz w:val="20"/>
                <w:szCs w:val="20"/>
              </w:rPr>
              <w:t>000</w:t>
            </w:r>
          </w:p>
        </w:tc>
        <w:tc>
          <w:tcPr>
            <w:tcW w:w="1079" w:type="dxa"/>
          </w:tcPr>
          <w:p w14:paraId="46A8F361" w14:textId="13EA1A1E" w:rsidR="006F1FD0" w:rsidRPr="004105E7" w:rsidRDefault="006F1FD0" w:rsidP="006F1FD0">
            <w:pPr>
              <w:pStyle w:val="Standard"/>
              <w:spacing w:after="0" w:line="240" w:lineRule="auto"/>
              <w:ind w:left="0" w:right="0"/>
              <w:jc w:val="center"/>
              <w:rPr>
                <w:rFonts w:asciiTheme="minorHAnsi" w:hAnsiTheme="minorHAnsi"/>
                <w:sz w:val="20"/>
                <w:szCs w:val="20"/>
              </w:rPr>
            </w:pPr>
          </w:p>
        </w:tc>
        <w:tc>
          <w:tcPr>
            <w:tcW w:w="945" w:type="dxa"/>
          </w:tcPr>
          <w:p w14:paraId="5A8DA07C" w14:textId="3A726ED2" w:rsidR="006F1FD0" w:rsidRPr="004105E7" w:rsidRDefault="006F1FD0" w:rsidP="006F1FD0">
            <w:pPr>
              <w:pStyle w:val="Standard"/>
              <w:spacing w:after="0" w:line="240" w:lineRule="auto"/>
              <w:ind w:left="0" w:right="0"/>
              <w:jc w:val="center"/>
              <w:rPr>
                <w:rFonts w:asciiTheme="minorHAnsi" w:hAnsiTheme="minorHAnsi"/>
                <w:sz w:val="20"/>
                <w:szCs w:val="20"/>
              </w:rPr>
            </w:pPr>
          </w:p>
        </w:tc>
        <w:tc>
          <w:tcPr>
            <w:tcW w:w="1056" w:type="dxa"/>
          </w:tcPr>
          <w:p w14:paraId="0652A37F" w14:textId="77777777" w:rsidR="006F1FD0" w:rsidRPr="004105E7" w:rsidRDefault="006F1FD0" w:rsidP="006F1FD0">
            <w:pPr>
              <w:pStyle w:val="Standard"/>
              <w:spacing w:after="0" w:line="240" w:lineRule="auto"/>
              <w:ind w:left="0" w:right="0"/>
              <w:jc w:val="center"/>
              <w:rPr>
                <w:rFonts w:asciiTheme="minorHAnsi" w:hAnsiTheme="minorHAnsi"/>
                <w:sz w:val="20"/>
                <w:szCs w:val="20"/>
              </w:rPr>
            </w:pPr>
            <w:r>
              <w:rPr>
                <w:rFonts w:asciiTheme="minorHAnsi" w:hAnsiTheme="minorHAnsi"/>
                <w:sz w:val="20"/>
                <w:szCs w:val="20"/>
              </w:rPr>
              <w:t xml:space="preserve">approx. </w:t>
            </w:r>
            <w:r w:rsidRPr="004105E7">
              <w:rPr>
                <w:rFonts w:asciiTheme="minorHAnsi" w:hAnsiTheme="minorHAnsi"/>
                <w:sz w:val="20"/>
                <w:szCs w:val="20"/>
              </w:rPr>
              <w:t>20</w:t>
            </w:r>
          </w:p>
        </w:tc>
      </w:tr>
    </w:tbl>
    <w:p w14:paraId="4FE91B43" w14:textId="65E08CD8" w:rsidR="004F701B" w:rsidRPr="00751E03" w:rsidRDefault="004F701B" w:rsidP="004F701B">
      <w:pPr>
        <w:pStyle w:val="TableDescription"/>
      </w:pPr>
      <w:r w:rsidRPr="00751E03">
        <w:t>* Mouse body weight = 20g = 20/1000 = 0.02 kg; dog body weight= 10 kg</w:t>
      </w:r>
      <w:r>
        <w:t xml:space="preserve"> K</w:t>
      </w:r>
      <w:r>
        <w:rPr>
          <w:vertAlign w:val="subscript"/>
        </w:rPr>
        <w:t>m</w:t>
      </w:r>
      <w:r w:rsidRPr="00751E03">
        <w:t xml:space="preserve"> </w:t>
      </w:r>
      <w:r>
        <w:t>mice = 3, K</w:t>
      </w:r>
      <w:r>
        <w:rPr>
          <w:vertAlign w:val="subscript"/>
        </w:rPr>
        <w:t>m</w:t>
      </w:r>
      <w:r>
        <w:t xml:space="preserve"> dog = 20, K</w:t>
      </w:r>
      <w:r>
        <w:rPr>
          <w:vertAlign w:val="subscript"/>
        </w:rPr>
        <w:t>m</w:t>
      </w:r>
      <w:r>
        <w:t xml:space="preserve"> human 50 kg = 33; K</w:t>
      </w:r>
      <w:r>
        <w:rPr>
          <w:vertAlign w:val="subscript"/>
        </w:rPr>
        <w:t>m</w:t>
      </w:r>
      <w:r>
        <w:t xml:space="preserve"> is the f</w:t>
      </w:r>
      <w:r w:rsidRPr="00A62D64">
        <w:t>actor for converting mg/kg dose to mg/m</w:t>
      </w:r>
      <w:r w:rsidRPr="00A62D64">
        <w:rPr>
          <w:vertAlign w:val="superscript"/>
        </w:rPr>
        <w:t xml:space="preserve">2 </w:t>
      </w:r>
      <w:r w:rsidRPr="00A62D64">
        <w:t>dose</w:t>
      </w:r>
      <w:r>
        <w:t xml:space="preserve"> </w:t>
      </w:r>
      <w:r w:rsidRPr="00751E03">
        <w:t>‡ Based on a 50 kg person</w:t>
      </w:r>
    </w:p>
    <w:p w14:paraId="4FE91B44" w14:textId="77777777" w:rsidR="004F701B" w:rsidRPr="00751E03" w:rsidRDefault="004F701B" w:rsidP="004F701B">
      <w:pPr>
        <w:pStyle w:val="Heading5"/>
      </w:pPr>
      <w:bookmarkStart w:id="74" w:name="_Toc455737037"/>
      <w:r w:rsidRPr="00751E03">
        <w:lastRenderedPageBreak/>
        <w:t>Acute toxicity</w:t>
      </w:r>
      <w:bookmarkEnd w:id="74"/>
    </w:p>
    <w:p w14:paraId="4FE91B45" w14:textId="0A3E657E" w:rsidR="005479B1" w:rsidRDefault="004F701B" w:rsidP="004F701B">
      <w:pPr>
        <w:rPr>
          <w:kern w:val="2"/>
        </w:rPr>
      </w:pPr>
      <w:bookmarkStart w:id="75" w:name="_Toc294861728"/>
      <w:proofErr w:type="spellStart"/>
      <w:r w:rsidRPr="00751E03">
        <w:rPr>
          <w:kern w:val="2"/>
        </w:rPr>
        <w:t>Phl</w:t>
      </w:r>
      <w:proofErr w:type="spellEnd"/>
      <w:r w:rsidRPr="00751E03">
        <w:rPr>
          <w:kern w:val="2"/>
        </w:rPr>
        <w:t xml:space="preserve"> p</w:t>
      </w:r>
      <w:r>
        <w:rPr>
          <w:kern w:val="2"/>
        </w:rPr>
        <w:t xml:space="preserve"> allergen extract</w:t>
      </w:r>
      <w:r w:rsidRPr="00751E03">
        <w:rPr>
          <w:kern w:val="2"/>
        </w:rPr>
        <w:t xml:space="preserve"> (</w:t>
      </w:r>
      <w:r w:rsidR="004A7F98">
        <w:rPr>
          <w:kern w:val="2"/>
        </w:rPr>
        <w:t xml:space="preserve">≤ </w:t>
      </w:r>
      <w:r w:rsidR="0028468D">
        <w:rPr>
          <w:kern w:val="2"/>
        </w:rPr>
        <w:t xml:space="preserve">approximately </w:t>
      </w:r>
      <w:r w:rsidRPr="00751E03">
        <w:rPr>
          <w:kern w:val="2"/>
        </w:rPr>
        <w:t>2</w:t>
      </w:r>
      <w:r w:rsidR="004105E7">
        <w:rPr>
          <w:kern w:val="2"/>
        </w:rPr>
        <w:t xml:space="preserve">,284 to </w:t>
      </w:r>
      <w:r>
        <w:rPr>
          <w:kern w:val="2"/>
        </w:rPr>
        <w:t>3</w:t>
      </w:r>
      <w:r w:rsidR="004105E7">
        <w:rPr>
          <w:kern w:val="2"/>
        </w:rPr>
        <w:t>,</w:t>
      </w:r>
      <w:r>
        <w:rPr>
          <w:kern w:val="2"/>
        </w:rPr>
        <w:t>045</w:t>
      </w:r>
      <w:r w:rsidR="004105E7">
        <w:rPr>
          <w:kern w:val="2"/>
        </w:rPr>
        <w:t xml:space="preserve"> </w:t>
      </w:r>
      <w:r w:rsidRPr="00751E03">
        <w:rPr>
          <w:kern w:val="2"/>
        </w:rPr>
        <w:t xml:space="preserve">X </w:t>
      </w:r>
      <w:r>
        <w:rPr>
          <w:kern w:val="2"/>
        </w:rPr>
        <w:t>clinical dose</w:t>
      </w:r>
      <w:r>
        <w:rPr>
          <w:rStyle w:val="FootnoteReference"/>
          <w:kern w:val="2"/>
        </w:rPr>
        <w:footnoteReference w:id="51"/>
      </w:r>
      <w:r>
        <w:rPr>
          <w:kern w:val="2"/>
        </w:rPr>
        <w:t>)</w:t>
      </w:r>
      <w:r w:rsidRPr="00751E03">
        <w:rPr>
          <w:kern w:val="2"/>
        </w:rPr>
        <w:t xml:space="preserve">, </w:t>
      </w:r>
      <w:r>
        <w:rPr>
          <w:kern w:val="2"/>
        </w:rPr>
        <w:t>has</w:t>
      </w:r>
      <w:r w:rsidRPr="00751E03">
        <w:rPr>
          <w:kern w:val="2"/>
        </w:rPr>
        <w:t xml:space="preserve"> a very low propensity for acute </w:t>
      </w:r>
      <w:r w:rsidR="00530C71">
        <w:rPr>
          <w:rFonts w:cs="Arial"/>
        </w:rPr>
        <w:t>intravenous</w:t>
      </w:r>
      <w:r w:rsidR="00530C71" w:rsidRPr="00751E03">
        <w:rPr>
          <w:kern w:val="2"/>
        </w:rPr>
        <w:t xml:space="preserve"> </w:t>
      </w:r>
      <w:r w:rsidR="00530C71">
        <w:rPr>
          <w:kern w:val="2"/>
        </w:rPr>
        <w:t>(</w:t>
      </w:r>
      <w:r w:rsidRPr="00751E03">
        <w:rPr>
          <w:kern w:val="2"/>
        </w:rPr>
        <w:t>IV</w:t>
      </w:r>
      <w:r w:rsidR="00530C71">
        <w:rPr>
          <w:kern w:val="2"/>
        </w:rPr>
        <w:t>)</w:t>
      </w:r>
      <w:r w:rsidRPr="00751E03">
        <w:rPr>
          <w:kern w:val="2"/>
        </w:rPr>
        <w:t xml:space="preserve"> and PO </w:t>
      </w:r>
      <w:r w:rsidR="004105E7">
        <w:rPr>
          <w:kern w:val="2"/>
        </w:rPr>
        <w:t xml:space="preserve">toxicity. The only test article </w:t>
      </w:r>
      <w:r w:rsidRPr="00751E03">
        <w:rPr>
          <w:kern w:val="2"/>
        </w:rPr>
        <w:t>associated adverse effect was significantly (</w:t>
      </w:r>
      <w:r w:rsidR="002A47B8" w:rsidRPr="004105E7">
        <w:rPr>
          <w:kern w:val="2"/>
        </w:rPr>
        <w:t xml:space="preserve">p </w:t>
      </w:r>
      <w:r w:rsidR="004C74AA">
        <w:rPr>
          <w:kern w:val="2"/>
        </w:rPr>
        <w:t xml:space="preserve">&lt; </w:t>
      </w:r>
      <w:r w:rsidRPr="00751E03">
        <w:rPr>
          <w:kern w:val="2"/>
        </w:rPr>
        <w:t xml:space="preserve">0.5) reduced </w:t>
      </w:r>
      <w:r>
        <w:rPr>
          <w:kern w:val="2"/>
        </w:rPr>
        <w:t>mean bodyweight gain (correlated with ↓ food consumption)</w:t>
      </w:r>
      <w:r w:rsidRPr="00751E03">
        <w:rPr>
          <w:kern w:val="2"/>
        </w:rPr>
        <w:t xml:space="preserve"> in females dosed at </w:t>
      </w:r>
      <w:r w:rsidR="0028468D">
        <w:rPr>
          <w:kern w:val="2"/>
        </w:rPr>
        <w:t xml:space="preserve">approximately </w:t>
      </w:r>
      <w:r>
        <w:rPr>
          <w:kern w:val="2"/>
        </w:rPr>
        <w:t>3</w:t>
      </w:r>
      <w:r w:rsidR="004105E7">
        <w:rPr>
          <w:kern w:val="2"/>
        </w:rPr>
        <w:t>,</w:t>
      </w:r>
      <w:r>
        <w:rPr>
          <w:kern w:val="2"/>
        </w:rPr>
        <w:t>045</w:t>
      </w:r>
      <w:r w:rsidR="004105E7">
        <w:rPr>
          <w:kern w:val="2"/>
        </w:rPr>
        <w:t xml:space="preserve"> </w:t>
      </w:r>
      <w:r w:rsidRPr="00751E03">
        <w:rPr>
          <w:kern w:val="2"/>
        </w:rPr>
        <w:t xml:space="preserve">X </w:t>
      </w:r>
      <w:r>
        <w:rPr>
          <w:kern w:val="2"/>
        </w:rPr>
        <w:t>clinical dose IV</w:t>
      </w:r>
      <w:r w:rsidRPr="00751E03">
        <w:rPr>
          <w:kern w:val="2"/>
        </w:rPr>
        <w:t xml:space="preserve">. </w:t>
      </w:r>
      <w:r w:rsidR="0089016D">
        <w:rPr>
          <w:kern w:val="2"/>
        </w:rPr>
        <w:t>Margina</w:t>
      </w:r>
      <w:r w:rsidRPr="00751E03">
        <w:rPr>
          <w:kern w:val="2"/>
        </w:rPr>
        <w:t>lly lower weight gain</w:t>
      </w:r>
      <w:r>
        <w:rPr>
          <w:kern w:val="2"/>
        </w:rPr>
        <w:t xml:space="preserve"> (correlated with ↓ food consumption) </w:t>
      </w:r>
      <w:r w:rsidRPr="00751E03">
        <w:rPr>
          <w:kern w:val="2"/>
        </w:rPr>
        <w:t xml:space="preserve">was also present in the males IV dosed with </w:t>
      </w:r>
      <w:r w:rsidR="00B1428D">
        <w:rPr>
          <w:kern w:val="2"/>
        </w:rPr>
        <w:t xml:space="preserve">≥ </w:t>
      </w:r>
      <w:r w:rsidR="0028468D">
        <w:rPr>
          <w:kern w:val="2"/>
        </w:rPr>
        <w:t xml:space="preserve">approximately </w:t>
      </w:r>
      <w:r w:rsidRPr="00751E03">
        <w:rPr>
          <w:kern w:val="2"/>
        </w:rPr>
        <w:t>2</w:t>
      </w:r>
      <w:r w:rsidR="004105E7">
        <w:rPr>
          <w:kern w:val="2"/>
        </w:rPr>
        <w:t>,</w:t>
      </w:r>
      <w:r w:rsidRPr="00751E03">
        <w:rPr>
          <w:kern w:val="2"/>
        </w:rPr>
        <w:t>284</w:t>
      </w:r>
      <w:r w:rsidR="004105E7">
        <w:rPr>
          <w:kern w:val="2"/>
        </w:rPr>
        <w:t xml:space="preserve"> </w:t>
      </w:r>
      <w:r w:rsidRPr="00751E03">
        <w:rPr>
          <w:kern w:val="2"/>
        </w:rPr>
        <w:t xml:space="preserve">X </w:t>
      </w:r>
      <w:r>
        <w:rPr>
          <w:kern w:val="2"/>
        </w:rPr>
        <w:t>clinical dose IV</w:t>
      </w:r>
      <w:r w:rsidRPr="00751E03">
        <w:rPr>
          <w:kern w:val="2"/>
        </w:rPr>
        <w:t xml:space="preserve">. </w:t>
      </w:r>
      <w:r>
        <w:rPr>
          <w:kern w:val="2"/>
        </w:rPr>
        <w:t>No local gastric toxicity noted</w:t>
      </w:r>
      <w:r w:rsidRPr="00751E03">
        <w:rPr>
          <w:kern w:val="2"/>
        </w:rPr>
        <w:t xml:space="preserve">. </w:t>
      </w:r>
      <w:proofErr w:type="spellStart"/>
      <w:r>
        <w:rPr>
          <w:kern w:val="2"/>
        </w:rPr>
        <w:t>Phl</w:t>
      </w:r>
      <w:proofErr w:type="spellEnd"/>
      <w:r>
        <w:rPr>
          <w:kern w:val="2"/>
        </w:rPr>
        <w:t xml:space="preserve"> p allergen extract single </w:t>
      </w:r>
      <w:r w:rsidRPr="00751E03">
        <w:rPr>
          <w:kern w:val="2"/>
        </w:rPr>
        <w:t>PO doses</w:t>
      </w:r>
      <w:r>
        <w:rPr>
          <w:kern w:val="2"/>
        </w:rPr>
        <w:t xml:space="preserve"> up to 3</w:t>
      </w:r>
      <w:r w:rsidR="004105E7">
        <w:rPr>
          <w:kern w:val="2"/>
        </w:rPr>
        <w:t>,</w:t>
      </w:r>
      <w:r>
        <w:rPr>
          <w:kern w:val="2"/>
        </w:rPr>
        <w:t>045</w:t>
      </w:r>
      <w:r w:rsidR="004105E7">
        <w:rPr>
          <w:kern w:val="2"/>
        </w:rPr>
        <w:t xml:space="preserve"> </w:t>
      </w:r>
      <w:r w:rsidRPr="00751E03">
        <w:rPr>
          <w:kern w:val="2"/>
        </w:rPr>
        <w:t xml:space="preserve">X </w:t>
      </w:r>
      <w:r>
        <w:rPr>
          <w:kern w:val="2"/>
        </w:rPr>
        <w:t>clinical dose PO</w:t>
      </w:r>
      <w:r w:rsidRPr="00751E03">
        <w:rPr>
          <w:kern w:val="2"/>
        </w:rPr>
        <w:t xml:space="preserve"> </w:t>
      </w:r>
      <w:r>
        <w:rPr>
          <w:kern w:val="2"/>
        </w:rPr>
        <w:t>were</w:t>
      </w:r>
      <w:r w:rsidRPr="00751E03">
        <w:rPr>
          <w:kern w:val="2"/>
        </w:rPr>
        <w:t xml:space="preserve"> </w:t>
      </w:r>
      <w:r>
        <w:rPr>
          <w:kern w:val="2"/>
        </w:rPr>
        <w:t>toxicologically innocuous</w:t>
      </w:r>
      <w:r w:rsidR="005479B1">
        <w:rPr>
          <w:kern w:val="2"/>
        </w:rPr>
        <w:t>.</w:t>
      </w:r>
    </w:p>
    <w:p w14:paraId="4FE91B46" w14:textId="77777777" w:rsidR="004F701B" w:rsidRPr="00751E03" w:rsidRDefault="004F701B" w:rsidP="004F701B">
      <w:pPr>
        <w:pStyle w:val="Heading4"/>
      </w:pPr>
      <w:bookmarkStart w:id="76" w:name="_Toc455737038"/>
      <w:r w:rsidRPr="00751E03">
        <w:t>Repeat-dose toxicity</w:t>
      </w:r>
      <w:bookmarkEnd w:id="75"/>
      <w:bookmarkEnd w:id="76"/>
    </w:p>
    <w:p w14:paraId="4FE91B47" w14:textId="77777777" w:rsidR="004F701B" w:rsidRPr="00DE45C1" w:rsidRDefault="004F701B" w:rsidP="004F701B">
      <w:pPr>
        <w:pStyle w:val="Heading5"/>
      </w:pPr>
      <w:proofErr w:type="gramStart"/>
      <w:r w:rsidRPr="00DE45C1">
        <w:t>Non-immunological endpoints.</w:t>
      </w:r>
      <w:proofErr w:type="gramEnd"/>
    </w:p>
    <w:p w14:paraId="4FE91B48" w14:textId="77777777" w:rsidR="004F701B" w:rsidRPr="00B228E2" w:rsidRDefault="004F701B" w:rsidP="004F701B">
      <w:pPr>
        <w:pStyle w:val="Heading6"/>
      </w:pPr>
      <w:r w:rsidRPr="00B228E2">
        <w:t xml:space="preserve">Sub-acute </w:t>
      </w:r>
      <w:r>
        <w:t xml:space="preserve">PO </w:t>
      </w:r>
      <w:r w:rsidRPr="00B228E2">
        <w:t>exposure</w:t>
      </w:r>
    </w:p>
    <w:p w14:paraId="4FE91B49" w14:textId="1AB208A4" w:rsidR="005479B1" w:rsidRDefault="004F701B" w:rsidP="004F701B">
      <w:pPr>
        <w:rPr>
          <w:kern w:val="2"/>
          <w:szCs w:val="20"/>
        </w:rPr>
      </w:pPr>
      <w:r>
        <w:rPr>
          <w:kern w:val="2"/>
          <w:szCs w:val="20"/>
        </w:rPr>
        <w:t>Daily PO</w:t>
      </w:r>
      <w:r w:rsidRPr="00751E03">
        <w:rPr>
          <w:kern w:val="2"/>
          <w:szCs w:val="20"/>
        </w:rPr>
        <w:t xml:space="preserve"> administration of </w:t>
      </w:r>
      <w:proofErr w:type="spellStart"/>
      <w:r w:rsidRPr="00751E03">
        <w:rPr>
          <w:kern w:val="2"/>
          <w:szCs w:val="20"/>
        </w:rPr>
        <w:t>Phl</w:t>
      </w:r>
      <w:proofErr w:type="spellEnd"/>
      <w:r w:rsidRPr="00751E03">
        <w:rPr>
          <w:kern w:val="2"/>
          <w:szCs w:val="20"/>
        </w:rPr>
        <w:t xml:space="preserve"> p </w:t>
      </w:r>
      <w:r>
        <w:rPr>
          <w:kern w:val="2"/>
          <w:szCs w:val="20"/>
        </w:rPr>
        <w:t xml:space="preserve">allergen extract </w:t>
      </w:r>
      <w:r w:rsidRPr="00751E03">
        <w:rPr>
          <w:kern w:val="2"/>
          <w:szCs w:val="20"/>
        </w:rPr>
        <w:t xml:space="preserve">(liquid dose form) to </w:t>
      </w:r>
      <w:r>
        <w:rPr>
          <w:kern w:val="2"/>
          <w:szCs w:val="20"/>
        </w:rPr>
        <w:t>normal healthy</w:t>
      </w:r>
      <w:r w:rsidRPr="00751E03">
        <w:rPr>
          <w:kern w:val="2"/>
          <w:szCs w:val="20"/>
        </w:rPr>
        <w:t xml:space="preserve"> mice at doses </w:t>
      </w:r>
      <w:r w:rsidR="004A7F98">
        <w:rPr>
          <w:kern w:val="2"/>
          <w:szCs w:val="20"/>
        </w:rPr>
        <w:t xml:space="preserve">≤ </w:t>
      </w:r>
      <w:r w:rsidR="0028468D">
        <w:rPr>
          <w:kern w:val="2"/>
          <w:szCs w:val="20"/>
        </w:rPr>
        <w:t xml:space="preserve">approximately </w:t>
      </w:r>
      <w:r w:rsidRPr="00751E03">
        <w:rPr>
          <w:kern w:val="2"/>
          <w:szCs w:val="20"/>
        </w:rPr>
        <w:t>1</w:t>
      </w:r>
      <w:r w:rsidR="004105E7">
        <w:rPr>
          <w:kern w:val="2"/>
          <w:szCs w:val="20"/>
        </w:rPr>
        <w:t>,</w:t>
      </w:r>
      <w:r w:rsidRPr="00751E03">
        <w:rPr>
          <w:kern w:val="2"/>
          <w:szCs w:val="20"/>
        </w:rPr>
        <w:t>522</w:t>
      </w:r>
      <w:r w:rsidR="004105E7">
        <w:rPr>
          <w:kern w:val="2"/>
          <w:szCs w:val="20"/>
        </w:rPr>
        <w:t xml:space="preserve"> </w:t>
      </w:r>
      <w:r w:rsidRPr="00751E03">
        <w:rPr>
          <w:kern w:val="2"/>
          <w:szCs w:val="20"/>
        </w:rPr>
        <w:t xml:space="preserve">X </w:t>
      </w:r>
      <w:r w:rsidR="004105E7">
        <w:rPr>
          <w:rFonts w:cs="Arial"/>
        </w:rPr>
        <w:t>maximum recommended</w:t>
      </w:r>
      <w:r w:rsidR="004105E7" w:rsidRPr="004105E7">
        <w:rPr>
          <w:rFonts w:cs="Arial"/>
        </w:rPr>
        <w:t xml:space="preserve"> </w:t>
      </w:r>
      <w:r w:rsidR="004105E7">
        <w:rPr>
          <w:rFonts w:cs="Arial"/>
        </w:rPr>
        <w:t xml:space="preserve">human </w:t>
      </w:r>
      <w:r w:rsidR="004105E7" w:rsidRPr="004105E7">
        <w:rPr>
          <w:rFonts w:cs="Arial"/>
        </w:rPr>
        <w:t>dose</w:t>
      </w:r>
      <w:r w:rsidR="004105E7" w:rsidRPr="004105E7">
        <w:rPr>
          <w:kern w:val="2"/>
          <w:szCs w:val="20"/>
        </w:rPr>
        <w:t xml:space="preserve"> (</w:t>
      </w:r>
      <w:r w:rsidRPr="004105E7">
        <w:rPr>
          <w:kern w:val="2"/>
          <w:szCs w:val="20"/>
        </w:rPr>
        <w:t>MRHD</w:t>
      </w:r>
      <w:r w:rsidR="004105E7" w:rsidRPr="004105E7">
        <w:rPr>
          <w:kern w:val="2"/>
          <w:szCs w:val="20"/>
        </w:rPr>
        <w:t>)</w:t>
      </w:r>
      <w:r w:rsidRPr="004105E7">
        <w:rPr>
          <w:kern w:val="2"/>
        </w:rPr>
        <w:t xml:space="preserve"> for</w:t>
      </w:r>
      <w:r w:rsidRPr="004105E7">
        <w:rPr>
          <w:kern w:val="2"/>
          <w:szCs w:val="20"/>
        </w:rPr>
        <w:t xml:space="preserve"> 4</w:t>
      </w:r>
      <w:r w:rsidR="004105E7">
        <w:rPr>
          <w:kern w:val="2"/>
          <w:szCs w:val="20"/>
        </w:rPr>
        <w:t> </w:t>
      </w:r>
      <w:r>
        <w:rPr>
          <w:kern w:val="2"/>
          <w:szCs w:val="20"/>
        </w:rPr>
        <w:t>we</w:t>
      </w:r>
      <w:r w:rsidRPr="00751E03">
        <w:rPr>
          <w:kern w:val="2"/>
          <w:szCs w:val="20"/>
        </w:rPr>
        <w:t xml:space="preserve">eks was </w:t>
      </w:r>
      <w:r>
        <w:rPr>
          <w:kern w:val="2"/>
          <w:szCs w:val="20"/>
        </w:rPr>
        <w:t xml:space="preserve">toxicologically innocuous. </w:t>
      </w:r>
      <w:r w:rsidRPr="00AF7B62">
        <w:rPr>
          <w:kern w:val="2"/>
          <w:szCs w:val="20"/>
        </w:rPr>
        <w:t xml:space="preserve">Daily PO administration of </w:t>
      </w:r>
      <w:proofErr w:type="spellStart"/>
      <w:r w:rsidRPr="00AF7B62">
        <w:rPr>
          <w:kern w:val="2"/>
          <w:szCs w:val="20"/>
        </w:rPr>
        <w:t>Phl</w:t>
      </w:r>
      <w:proofErr w:type="spellEnd"/>
      <w:r w:rsidRPr="00AF7B62">
        <w:rPr>
          <w:kern w:val="2"/>
          <w:szCs w:val="20"/>
        </w:rPr>
        <w:t xml:space="preserve"> p</w:t>
      </w:r>
      <w:r>
        <w:rPr>
          <w:kern w:val="2"/>
          <w:szCs w:val="20"/>
        </w:rPr>
        <w:t xml:space="preserve"> allergen extract</w:t>
      </w:r>
      <w:r w:rsidRPr="00AF7B62">
        <w:rPr>
          <w:kern w:val="2"/>
          <w:szCs w:val="20"/>
        </w:rPr>
        <w:t xml:space="preserve"> (tablet dose form) to non-primed dogs at doses </w:t>
      </w:r>
      <w:r w:rsidR="004A7F98">
        <w:rPr>
          <w:kern w:val="2"/>
          <w:szCs w:val="20"/>
        </w:rPr>
        <w:t xml:space="preserve">≤ </w:t>
      </w:r>
      <w:r w:rsidR="0028468D">
        <w:rPr>
          <w:kern w:val="2"/>
          <w:szCs w:val="20"/>
        </w:rPr>
        <w:t xml:space="preserve">approximately </w:t>
      </w:r>
      <w:r w:rsidRPr="00AF7B62">
        <w:rPr>
          <w:kern w:val="2"/>
          <w:szCs w:val="20"/>
        </w:rPr>
        <w:t>20</w:t>
      </w:r>
      <w:r w:rsidR="004105E7">
        <w:rPr>
          <w:kern w:val="2"/>
          <w:szCs w:val="20"/>
        </w:rPr>
        <w:t xml:space="preserve"> </w:t>
      </w:r>
      <w:r w:rsidRPr="00AF7B62">
        <w:rPr>
          <w:kern w:val="2"/>
          <w:szCs w:val="20"/>
        </w:rPr>
        <w:t xml:space="preserve">X </w:t>
      </w:r>
      <w:r>
        <w:rPr>
          <w:kern w:val="2"/>
          <w:szCs w:val="20"/>
        </w:rPr>
        <w:t>clinical dose</w:t>
      </w:r>
      <w:r w:rsidR="004105E7">
        <w:rPr>
          <w:kern w:val="2"/>
          <w:szCs w:val="20"/>
        </w:rPr>
        <w:t xml:space="preserve"> for 28 </w:t>
      </w:r>
      <w:r w:rsidRPr="00AF7B62">
        <w:rPr>
          <w:kern w:val="2"/>
          <w:szCs w:val="20"/>
        </w:rPr>
        <w:t>d</w:t>
      </w:r>
      <w:r w:rsidR="004105E7">
        <w:rPr>
          <w:kern w:val="2"/>
          <w:szCs w:val="20"/>
        </w:rPr>
        <w:t>ays</w:t>
      </w:r>
      <w:r w:rsidRPr="00AF7B62">
        <w:rPr>
          <w:kern w:val="2"/>
          <w:szCs w:val="20"/>
        </w:rPr>
        <w:t xml:space="preserve"> was </w:t>
      </w:r>
      <w:r>
        <w:rPr>
          <w:kern w:val="2"/>
          <w:szCs w:val="20"/>
        </w:rPr>
        <w:t xml:space="preserve">also </w:t>
      </w:r>
      <w:r w:rsidRPr="00AF7B62">
        <w:rPr>
          <w:kern w:val="2"/>
          <w:szCs w:val="20"/>
        </w:rPr>
        <w:t>toxicologically innocuous</w:t>
      </w:r>
      <w:r w:rsidR="005479B1">
        <w:rPr>
          <w:kern w:val="2"/>
          <w:szCs w:val="20"/>
        </w:rPr>
        <w:t>.</w:t>
      </w:r>
    </w:p>
    <w:p w14:paraId="4FE91B4A" w14:textId="77777777" w:rsidR="004F701B" w:rsidRPr="001D08A4" w:rsidRDefault="004F701B" w:rsidP="004F701B">
      <w:pPr>
        <w:pStyle w:val="Heading6"/>
      </w:pPr>
      <w:r w:rsidRPr="001D08A4">
        <w:t>Studies of longer duration</w:t>
      </w:r>
    </w:p>
    <w:p w14:paraId="4FE91B4B" w14:textId="2A568227" w:rsidR="005479B1" w:rsidRPr="00E4200C" w:rsidRDefault="004F701B" w:rsidP="00E4200C">
      <w:pPr>
        <w:rPr>
          <w:rFonts w:cstheme="minorHAnsi"/>
        </w:rPr>
      </w:pPr>
      <w:r w:rsidRPr="001D08A4">
        <w:rPr>
          <w:kern w:val="2"/>
          <w:szCs w:val="20"/>
        </w:rPr>
        <w:t xml:space="preserve">Repeated daily </w:t>
      </w:r>
      <w:r>
        <w:rPr>
          <w:kern w:val="2"/>
          <w:szCs w:val="20"/>
        </w:rPr>
        <w:t xml:space="preserve">PO </w:t>
      </w:r>
      <w:r w:rsidRPr="001D08A4">
        <w:rPr>
          <w:kern w:val="2"/>
          <w:szCs w:val="20"/>
        </w:rPr>
        <w:t xml:space="preserve">dosing (liquid [aqueous] formulation) of mice </w:t>
      </w:r>
      <w:r>
        <w:rPr>
          <w:kern w:val="2"/>
          <w:szCs w:val="20"/>
        </w:rPr>
        <w:t xml:space="preserve">at </w:t>
      </w:r>
      <w:r w:rsidR="004A7F98">
        <w:rPr>
          <w:kern w:val="2"/>
          <w:szCs w:val="20"/>
        </w:rPr>
        <w:t>≤</w:t>
      </w:r>
      <w:r w:rsidR="009F5E0B">
        <w:rPr>
          <w:kern w:val="2"/>
          <w:szCs w:val="20"/>
        </w:rPr>
        <w:t> </w:t>
      </w:r>
      <w:r w:rsidR="0028468D">
        <w:rPr>
          <w:kern w:val="2"/>
          <w:szCs w:val="20"/>
        </w:rPr>
        <w:t xml:space="preserve">approximately </w:t>
      </w:r>
      <w:r w:rsidRPr="001D08A4">
        <w:rPr>
          <w:kern w:val="2"/>
          <w:szCs w:val="20"/>
        </w:rPr>
        <w:t>1</w:t>
      </w:r>
      <w:r w:rsidR="004105E7">
        <w:rPr>
          <w:kern w:val="2"/>
          <w:szCs w:val="20"/>
        </w:rPr>
        <w:t>,</w:t>
      </w:r>
      <w:r w:rsidRPr="001D08A4">
        <w:rPr>
          <w:kern w:val="2"/>
          <w:szCs w:val="20"/>
        </w:rPr>
        <w:t>522</w:t>
      </w:r>
      <w:r w:rsidR="004105E7">
        <w:rPr>
          <w:kern w:val="2"/>
          <w:szCs w:val="20"/>
        </w:rPr>
        <w:t> </w:t>
      </w:r>
      <w:r w:rsidRPr="001D08A4">
        <w:rPr>
          <w:kern w:val="2"/>
          <w:szCs w:val="20"/>
        </w:rPr>
        <w:t xml:space="preserve">X </w:t>
      </w:r>
      <w:r>
        <w:rPr>
          <w:kern w:val="2"/>
          <w:szCs w:val="20"/>
        </w:rPr>
        <w:t>clinical dose</w:t>
      </w:r>
      <w:r w:rsidRPr="001D08A4">
        <w:rPr>
          <w:kern w:val="2"/>
          <w:szCs w:val="20"/>
        </w:rPr>
        <w:t xml:space="preserve"> for 15 </w:t>
      </w:r>
      <w:r>
        <w:rPr>
          <w:kern w:val="2"/>
          <w:szCs w:val="20"/>
        </w:rPr>
        <w:t>we</w:t>
      </w:r>
      <w:r w:rsidRPr="001D08A4">
        <w:rPr>
          <w:kern w:val="2"/>
          <w:szCs w:val="20"/>
        </w:rPr>
        <w:t xml:space="preserve">eks was not associated with mortality, adverse clinical signs, gross anatomic pathology lesions or immunotoxicity (as evaluated by measuring natural killer cell function and spleen lymphocyte subset populations). </w:t>
      </w:r>
      <w:r w:rsidR="009F5E0B" w:rsidRPr="00E4200C">
        <w:rPr>
          <w:rFonts w:cstheme="minorHAnsi"/>
        </w:rPr>
        <w:t>Statistically significant (</w:t>
      </w:r>
      <w:r w:rsidR="009F5E0B" w:rsidRPr="00E4200C">
        <w:rPr>
          <w:rFonts w:cstheme="minorHAnsi"/>
          <w:iCs/>
        </w:rPr>
        <w:t>p</w:t>
      </w:r>
      <w:r w:rsidR="0028468D">
        <w:rPr>
          <w:rFonts w:cstheme="minorHAnsi"/>
          <w:iCs/>
        </w:rPr>
        <w:t> </w:t>
      </w:r>
      <w:r w:rsidR="009F5E0B" w:rsidRPr="00E4200C">
        <w:rPr>
          <w:rFonts w:cstheme="minorHAnsi"/>
        </w:rPr>
        <w:t>&lt;</w:t>
      </w:r>
      <w:r w:rsidR="0028468D">
        <w:rPr>
          <w:rFonts w:cstheme="minorHAnsi"/>
        </w:rPr>
        <w:t> </w:t>
      </w:r>
      <w:r w:rsidR="009F5E0B" w:rsidRPr="00E4200C">
        <w:rPr>
          <w:rFonts w:cstheme="minorHAnsi"/>
        </w:rPr>
        <w:t>0.05) lower group mean bodyweight gain (</w:t>
      </w:r>
      <w:r w:rsidR="0028468D">
        <w:rPr>
          <w:rFonts w:cstheme="minorHAnsi"/>
        </w:rPr>
        <w:t xml:space="preserve">approximately </w:t>
      </w:r>
      <w:r w:rsidR="009F5E0B" w:rsidRPr="00E4200C">
        <w:rPr>
          <w:rFonts w:cstheme="minorHAnsi"/>
        </w:rPr>
        <w:t xml:space="preserve">8% reduction </w:t>
      </w:r>
      <w:r w:rsidR="009F5E0B">
        <w:rPr>
          <w:rFonts w:cstheme="minorHAnsi"/>
          <w:iCs/>
        </w:rPr>
        <w:t>compared with</w:t>
      </w:r>
      <w:r w:rsidR="009F5E0B" w:rsidRPr="00E4200C">
        <w:rPr>
          <w:rFonts w:cstheme="minorHAnsi"/>
          <w:iCs/>
        </w:rPr>
        <w:t xml:space="preserve"> </w:t>
      </w:r>
      <w:r w:rsidR="009F5E0B" w:rsidRPr="00E4200C">
        <w:rPr>
          <w:rFonts w:cstheme="minorHAnsi"/>
        </w:rPr>
        <w:t>controls) was evident in females dosed at 1</w:t>
      </w:r>
      <w:r w:rsidR="009F5E0B">
        <w:rPr>
          <w:rFonts w:cstheme="minorHAnsi"/>
        </w:rPr>
        <w:t>,</w:t>
      </w:r>
      <w:r w:rsidR="009F5E0B" w:rsidRPr="00E4200C">
        <w:rPr>
          <w:rFonts w:cstheme="minorHAnsi"/>
        </w:rPr>
        <w:t>522</w:t>
      </w:r>
      <w:r w:rsidR="009F5E0B">
        <w:rPr>
          <w:rFonts w:cstheme="minorHAnsi"/>
        </w:rPr>
        <w:t xml:space="preserve"> </w:t>
      </w:r>
      <w:r w:rsidR="0028468D">
        <w:rPr>
          <w:rFonts w:cstheme="minorHAnsi"/>
        </w:rPr>
        <w:t>x</w:t>
      </w:r>
      <w:r w:rsidR="0028468D" w:rsidRPr="00E4200C">
        <w:rPr>
          <w:rFonts w:cstheme="minorHAnsi"/>
        </w:rPr>
        <w:t xml:space="preserve"> </w:t>
      </w:r>
      <w:r w:rsidR="009F5E0B" w:rsidRPr="00E4200C">
        <w:rPr>
          <w:rFonts w:cstheme="minorHAnsi"/>
        </w:rPr>
        <w:t xml:space="preserve">clinical dose. After a 4 </w:t>
      </w:r>
      <w:proofErr w:type="spellStart"/>
      <w:r w:rsidR="009F5E0B" w:rsidRPr="00E4200C">
        <w:rPr>
          <w:rFonts w:cstheme="minorHAnsi"/>
        </w:rPr>
        <w:t>wk</w:t>
      </w:r>
      <w:proofErr w:type="spellEnd"/>
      <w:r w:rsidR="009F5E0B" w:rsidRPr="00E4200C">
        <w:rPr>
          <w:rFonts w:cstheme="minorHAnsi"/>
        </w:rPr>
        <w:t xml:space="preserve"> “drug holiday”, a</w:t>
      </w:r>
      <w:r w:rsidR="001C75EF">
        <w:rPr>
          <w:rFonts w:cstheme="minorHAnsi"/>
        </w:rPr>
        <w:t>n</w:t>
      </w:r>
      <w:r w:rsidR="009F5E0B" w:rsidRPr="00E4200C">
        <w:rPr>
          <w:rFonts w:cstheme="minorHAnsi"/>
        </w:rPr>
        <w:t xml:space="preserve"> </w:t>
      </w:r>
      <w:r w:rsidR="0028468D">
        <w:rPr>
          <w:rFonts w:cstheme="minorHAnsi"/>
        </w:rPr>
        <w:t xml:space="preserve">approximately </w:t>
      </w:r>
      <w:r w:rsidR="009F5E0B" w:rsidRPr="00E4200C">
        <w:rPr>
          <w:rFonts w:cstheme="minorHAnsi"/>
        </w:rPr>
        <w:t xml:space="preserve">9% reduction was still apparent in this group and </w:t>
      </w:r>
      <w:proofErr w:type="spellStart"/>
      <w:proofErr w:type="gramStart"/>
      <w:r w:rsidR="009F5E0B" w:rsidRPr="00E4200C">
        <w:rPr>
          <w:rFonts w:cstheme="minorHAnsi"/>
        </w:rPr>
        <w:t>a</w:t>
      </w:r>
      <w:proofErr w:type="spellEnd"/>
      <w:proofErr w:type="gramEnd"/>
      <w:r w:rsidR="009F5E0B" w:rsidRPr="00E4200C">
        <w:rPr>
          <w:rFonts w:cstheme="minorHAnsi"/>
        </w:rPr>
        <w:t xml:space="preserve"> </w:t>
      </w:r>
      <w:r w:rsidR="009F5E0B">
        <w:rPr>
          <w:rFonts w:cstheme="minorHAnsi"/>
        </w:rPr>
        <w:t>approximat</w:t>
      </w:r>
      <w:r w:rsidR="001C75EF">
        <w:rPr>
          <w:rFonts w:cstheme="minorHAnsi"/>
        </w:rPr>
        <w:t>e</w:t>
      </w:r>
      <w:r w:rsidR="009F5E0B" w:rsidRPr="001C75EF">
        <w:rPr>
          <w:rFonts w:cstheme="minorHAnsi"/>
        </w:rPr>
        <w:t xml:space="preserve"> </w:t>
      </w:r>
      <w:r w:rsidR="009F5E0B" w:rsidRPr="00E4200C">
        <w:rPr>
          <w:rFonts w:cstheme="minorHAnsi"/>
        </w:rPr>
        <w:t>12% reduction was still apparent following a subsequent w</w:t>
      </w:r>
      <w:r w:rsidR="001C75EF">
        <w:rPr>
          <w:rFonts w:cstheme="minorHAnsi"/>
        </w:rPr>
        <w:t>ee</w:t>
      </w:r>
      <w:r w:rsidR="009F5E0B" w:rsidRPr="00E4200C">
        <w:rPr>
          <w:rFonts w:cstheme="minorHAnsi"/>
        </w:rPr>
        <w:t>k of recrudescent drug treatment (</w:t>
      </w:r>
      <w:r w:rsidR="009F5E0B">
        <w:rPr>
          <w:rFonts w:cstheme="minorHAnsi"/>
        </w:rPr>
        <w:t>that is</w:t>
      </w:r>
      <w:r w:rsidR="009F5E0B" w:rsidRPr="00E4200C">
        <w:rPr>
          <w:rFonts w:cstheme="minorHAnsi"/>
        </w:rPr>
        <w:t xml:space="preserve"> no compensatory growth). </w:t>
      </w:r>
      <w:r w:rsidR="001C75EF">
        <w:rPr>
          <w:kern w:val="2"/>
          <w:szCs w:val="20"/>
        </w:rPr>
        <w:t xml:space="preserve">Over the dosing + drug holiday phase (EW0-20) </w:t>
      </w:r>
      <w:r w:rsidR="001C75EF" w:rsidRPr="00D37BA0">
        <w:rPr>
          <w:kern w:val="2"/>
          <w:szCs w:val="20"/>
        </w:rPr>
        <w:t xml:space="preserve">mean body weight gain in the </w:t>
      </w:r>
      <w:r w:rsidR="0028468D">
        <w:rPr>
          <w:kern w:val="2"/>
          <w:szCs w:val="20"/>
        </w:rPr>
        <w:t xml:space="preserve">approximately </w:t>
      </w:r>
      <w:r w:rsidR="001C75EF" w:rsidRPr="00D37BA0">
        <w:rPr>
          <w:kern w:val="2"/>
          <w:szCs w:val="20"/>
        </w:rPr>
        <w:t>1</w:t>
      </w:r>
      <w:r w:rsidR="001C75EF">
        <w:rPr>
          <w:kern w:val="2"/>
          <w:szCs w:val="20"/>
        </w:rPr>
        <w:t>,</w:t>
      </w:r>
      <w:r w:rsidR="001C75EF" w:rsidRPr="00D37BA0">
        <w:rPr>
          <w:kern w:val="2"/>
          <w:szCs w:val="20"/>
        </w:rPr>
        <w:t>522</w:t>
      </w:r>
      <w:r w:rsidR="001C75EF">
        <w:rPr>
          <w:kern w:val="2"/>
          <w:szCs w:val="20"/>
        </w:rPr>
        <w:t xml:space="preserve"> </w:t>
      </w:r>
      <w:r w:rsidR="001C75EF" w:rsidRPr="00D37BA0">
        <w:rPr>
          <w:kern w:val="2"/>
          <w:szCs w:val="20"/>
        </w:rPr>
        <w:t xml:space="preserve">X clinical dose females was </w:t>
      </w:r>
      <w:r w:rsidR="0028468D">
        <w:rPr>
          <w:kern w:val="2"/>
          <w:szCs w:val="20"/>
        </w:rPr>
        <w:t xml:space="preserve">approximately </w:t>
      </w:r>
      <w:r w:rsidR="001C75EF" w:rsidRPr="00D37BA0">
        <w:rPr>
          <w:kern w:val="2"/>
          <w:szCs w:val="20"/>
        </w:rPr>
        <w:t xml:space="preserve">65% that of the control animals (adverse effect). This was correlated with statistically significant </w:t>
      </w:r>
      <w:r w:rsidR="001C75EF" w:rsidRPr="0038733C">
        <w:rPr>
          <w:kern w:val="2"/>
          <w:szCs w:val="20"/>
        </w:rPr>
        <w:t xml:space="preserve">(p </w:t>
      </w:r>
      <w:r w:rsidR="001C75EF">
        <w:rPr>
          <w:kern w:val="2"/>
          <w:szCs w:val="20"/>
        </w:rPr>
        <w:t xml:space="preserve">&lt; </w:t>
      </w:r>
      <w:r w:rsidR="001C75EF" w:rsidRPr="0038733C">
        <w:rPr>
          <w:kern w:val="2"/>
          <w:szCs w:val="20"/>
        </w:rPr>
        <w:t>0</w:t>
      </w:r>
      <w:r w:rsidR="001C75EF" w:rsidRPr="00D37BA0">
        <w:rPr>
          <w:kern w:val="2"/>
          <w:szCs w:val="20"/>
        </w:rPr>
        <w:t xml:space="preserve">.05) reductions </w:t>
      </w:r>
      <w:r w:rsidR="001C75EF">
        <w:rPr>
          <w:kern w:val="2"/>
          <w:szCs w:val="20"/>
        </w:rPr>
        <w:t>in weekly food intake over EW0-</w:t>
      </w:r>
      <w:r w:rsidR="001C75EF" w:rsidRPr="00D37BA0">
        <w:rPr>
          <w:kern w:val="2"/>
          <w:szCs w:val="20"/>
        </w:rPr>
        <w:t>20.</w:t>
      </w:r>
      <w:r w:rsidR="001C75EF">
        <w:rPr>
          <w:kern w:val="2"/>
          <w:szCs w:val="20"/>
        </w:rPr>
        <w:t xml:space="preserve"> </w:t>
      </w:r>
      <w:r w:rsidR="001C75EF" w:rsidRPr="001D08A4">
        <w:rPr>
          <w:kern w:val="2"/>
          <w:szCs w:val="20"/>
        </w:rPr>
        <w:t xml:space="preserve">Feed conversion efficiency in females treated with </w:t>
      </w:r>
      <w:r w:rsidR="0028468D">
        <w:rPr>
          <w:kern w:val="2"/>
          <w:szCs w:val="20"/>
        </w:rPr>
        <w:t xml:space="preserve">approximately </w:t>
      </w:r>
      <w:r w:rsidR="001C75EF" w:rsidRPr="001D08A4">
        <w:rPr>
          <w:kern w:val="2"/>
          <w:szCs w:val="20"/>
        </w:rPr>
        <w:t>1</w:t>
      </w:r>
      <w:r w:rsidR="001C75EF">
        <w:rPr>
          <w:kern w:val="2"/>
          <w:szCs w:val="20"/>
        </w:rPr>
        <w:t>,</w:t>
      </w:r>
      <w:r w:rsidR="001C75EF" w:rsidRPr="001D08A4">
        <w:rPr>
          <w:kern w:val="2"/>
          <w:szCs w:val="20"/>
        </w:rPr>
        <w:t>522</w:t>
      </w:r>
      <w:r w:rsidR="001C75EF">
        <w:rPr>
          <w:kern w:val="2"/>
          <w:szCs w:val="20"/>
        </w:rPr>
        <w:t xml:space="preserve"> </w:t>
      </w:r>
      <w:r w:rsidR="001C75EF" w:rsidRPr="001D08A4">
        <w:rPr>
          <w:kern w:val="2"/>
          <w:szCs w:val="20"/>
        </w:rPr>
        <w:t xml:space="preserve">X </w:t>
      </w:r>
      <w:r w:rsidR="001C75EF">
        <w:rPr>
          <w:kern w:val="2"/>
          <w:szCs w:val="20"/>
        </w:rPr>
        <w:t>clinical dose</w:t>
      </w:r>
      <w:r w:rsidR="001C75EF" w:rsidRPr="001D08A4">
        <w:rPr>
          <w:kern w:val="2"/>
          <w:szCs w:val="20"/>
        </w:rPr>
        <w:t xml:space="preserve"> was </w:t>
      </w:r>
      <w:r w:rsidR="0028468D">
        <w:rPr>
          <w:kern w:val="2"/>
          <w:szCs w:val="20"/>
        </w:rPr>
        <w:t xml:space="preserve">approximately </w:t>
      </w:r>
      <w:r w:rsidR="001C75EF" w:rsidRPr="001D08A4">
        <w:rPr>
          <w:kern w:val="2"/>
          <w:szCs w:val="20"/>
        </w:rPr>
        <w:t xml:space="preserve">80% of that of the negative control animals </w:t>
      </w:r>
      <w:r w:rsidR="001C75EF">
        <w:rPr>
          <w:kern w:val="2"/>
          <w:szCs w:val="20"/>
        </w:rPr>
        <w:t>that is</w:t>
      </w:r>
      <w:r w:rsidR="001C75EF" w:rsidRPr="001D08A4">
        <w:rPr>
          <w:kern w:val="2"/>
          <w:szCs w:val="20"/>
        </w:rPr>
        <w:t xml:space="preserve"> the effects on body weight were, at least in part, due to lower caloric util</w:t>
      </w:r>
      <w:r w:rsidR="001C75EF">
        <w:rPr>
          <w:kern w:val="2"/>
          <w:szCs w:val="20"/>
        </w:rPr>
        <w:t>is</w:t>
      </w:r>
      <w:r w:rsidR="001C75EF" w:rsidRPr="001D08A4">
        <w:rPr>
          <w:kern w:val="2"/>
          <w:szCs w:val="20"/>
        </w:rPr>
        <w:t>ation for growth rather than solely due to reduced feed intake. These findings are suggestive of either an anti-nutritive effe</w:t>
      </w:r>
      <w:r w:rsidR="001C75EF">
        <w:rPr>
          <w:kern w:val="2"/>
          <w:szCs w:val="20"/>
        </w:rPr>
        <w:t xml:space="preserve">ct or systemic toxicity. </w:t>
      </w:r>
      <w:r w:rsidR="0038733C">
        <w:rPr>
          <w:kern w:val="2"/>
          <w:szCs w:val="20"/>
        </w:rPr>
        <w:t xml:space="preserve">A dose </w:t>
      </w:r>
      <w:r w:rsidRPr="001D08A4">
        <w:rPr>
          <w:kern w:val="2"/>
          <w:szCs w:val="20"/>
        </w:rPr>
        <w:t xml:space="preserve">related, partially reversible, reduction in heart weight (by </w:t>
      </w:r>
      <w:r w:rsidR="0028468D">
        <w:rPr>
          <w:kern w:val="2"/>
          <w:szCs w:val="20"/>
        </w:rPr>
        <w:t xml:space="preserve">approximately </w:t>
      </w:r>
      <w:r w:rsidRPr="001D08A4">
        <w:rPr>
          <w:kern w:val="2"/>
          <w:szCs w:val="20"/>
        </w:rPr>
        <w:t xml:space="preserve">17%; without anatomic pathology correlates) in animals killed at experimental </w:t>
      </w:r>
      <w:r>
        <w:rPr>
          <w:kern w:val="2"/>
          <w:szCs w:val="20"/>
        </w:rPr>
        <w:t>w</w:t>
      </w:r>
      <w:r w:rsidR="0038733C">
        <w:rPr>
          <w:kern w:val="2"/>
          <w:szCs w:val="20"/>
        </w:rPr>
        <w:t>ee</w:t>
      </w:r>
      <w:r>
        <w:rPr>
          <w:kern w:val="2"/>
          <w:szCs w:val="20"/>
        </w:rPr>
        <w:t>k</w:t>
      </w:r>
      <w:r w:rsidRPr="001D08A4">
        <w:rPr>
          <w:kern w:val="2"/>
          <w:szCs w:val="20"/>
        </w:rPr>
        <w:t xml:space="preserve"> 20 (</w:t>
      </w:r>
      <w:r w:rsidR="004A7F98">
        <w:rPr>
          <w:kern w:val="2"/>
          <w:szCs w:val="20"/>
        </w:rPr>
        <w:t>that is</w:t>
      </w:r>
      <w:r w:rsidRPr="001D08A4">
        <w:rPr>
          <w:kern w:val="2"/>
          <w:szCs w:val="20"/>
        </w:rPr>
        <w:t xml:space="preserve"> after 15 </w:t>
      </w:r>
      <w:r>
        <w:rPr>
          <w:kern w:val="2"/>
          <w:szCs w:val="20"/>
        </w:rPr>
        <w:t>we</w:t>
      </w:r>
      <w:r w:rsidRPr="001D08A4">
        <w:rPr>
          <w:kern w:val="2"/>
          <w:szCs w:val="20"/>
        </w:rPr>
        <w:t xml:space="preserve">eks of drug treatment, the 4 </w:t>
      </w:r>
      <w:r>
        <w:rPr>
          <w:kern w:val="2"/>
          <w:szCs w:val="20"/>
        </w:rPr>
        <w:t>w</w:t>
      </w:r>
      <w:r w:rsidR="0038733C">
        <w:rPr>
          <w:kern w:val="2"/>
          <w:szCs w:val="20"/>
        </w:rPr>
        <w:t>ee</w:t>
      </w:r>
      <w:r>
        <w:rPr>
          <w:kern w:val="2"/>
          <w:szCs w:val="20"/>
        </w:rPr>
        <w:t>k</w:t>
      </w:r>
      <w:r w:rsidRPr="001D08A4">
        <w:rPr>
          <w:kern w:val="2"/>
          <w:szCs w:val="20"/>
        </w:rPr>
        <w:t xml:space="preserve"> drug </w:t>
      </w:r>
      <w:r>
        <w:rPr>
          <w:kern w:val="2"/>
          <w:szCs w:val="20"/>
        </w:rPr>
        <w:t xml:space="preserve">holiday </w:t>
      </w:r>
      <w:r w:rsidRPr="001D08A4">
        <w:rPr>
          <w:kern w:val="2"/>
          <w:szCs w:val="20"/>
        </w:rPr>
        <w:t xml:space="preserve">and 1 </w:t>
      </w:r>
      <w:r>
        <w:rPr>
          <w:kern w:val="2"/>
          <w:szCs w:val="20"/>
        </w:rPr>
        <w:t>w</w:t>
      </w:r>
      <w:r w:rsidR="0038733C">
        <w:rPr>
          <w:kern w:val="2"/>
          <w:szCs w:val="20"/>
        </w:rPr>
        <w:t>ee</w:t>
      </w:r>
      <w:r>
        <w:rPr>
          <w:kern w:val="2"/>
          <w:szCs w:val="20"/>
        </w:rPr>
        <w:t>k</w:t>
      </w:r>
      <w:r w:rsidRPr="001D08A4">
        <w:rPr>
          <w:kern w:val="2"/>
          <w:szCs w:val="20"/>
        </w:rPr>
        <w:t xml:space="preserve"> of recrudescent drug treatment) which reached statistical significance (</w:t>
      </w:r>
      <w:r w:rsidRPr="0038733C">
        <w:rPr>
          <w:kern w:val="2"/>
          <w:szCs w:val="20"/>
        </w:rPr>
        <w:t>p</w:t>
      </w:r>
      <w:r w:rsidR="0038733C">
        <w:rPr>
          <w:kern w:val="2"/>
          <w:szCs w:val="20"/>
        </w:rPr>
        <w:t> </w:t>
      </w:r>
      <w:r w:rsidR="004C74AA">
        <w:rPr>
          <w:kern w:val="2"/>
          <w:szCs w:val="20"/>
        </w:rPr>
        <w:t>&lt;</w:t>
      </w:r>
      <w:r w:rsidR="001C75EF">
        <w:rPr>
          <w:kern w:val="2"/>
          <w:szCs w:val="20"/>
        </w:rPr>
        <w:t> </w:t>
      </w:r>
      <w:r w:rsidRPr="001D08A4">
        <w:rPr>
          <w:kern w:val="2"/>
          <w:szCs w:val="20"/>
        </w:rPr>
        <w:t xml:space="preserve">0.01) in the </w:t>
      </w:r>
      <w:r w:rsidR="0028468D">
        <w:rPr>
          <w:kern w:val="2"/>
          <w:szCs w:val="20"/>
        </w:rPr>
        <w:t xml:space="preserve">approximately </w:t>
      </w:r>
      <w:r w:rsidRPr="001D08A4">
        <w:rPr>
          <w:kern w:val="2"/>
          <w:szCs w:val="20"/>
        </w:rPr>
        <w:t>1</w:t>
      </w:r>
      <w:r w:rsidR="0038733C">
        <w:rPr>
          <w:kern w:val="2"/>
          <w:szCs w:val="20"/>
        </w:rPr>
        <w:t>,</w:t>
      </w:r>
      <w:r w:rsidRPr="001D08A4">
        <w:rPr>
          <w:kern w:val="2"/>
          <w:szCs w:val="20"/>
        </w:rPr>
        <w:t>522</w:t>
      </w:r>
      <w:r w:rsidR="0038733C">
        <w:rPr>
          <w:kern w:val="2"/>
          <w:szCs w:val="20"/>
        </w:rPr>
        <w:t xml:space="preserve"> </w:t>
      </w:r>
      <w:r w:rsidRPr="001D08A4">
        <w:rPr>
          <w:kern w:val="2"/>
          <w:szCs w:val="20"/>
        </w:rPr>
        <w:t xml:space="preserve">X </w:t>
      </w:r>
      <w:r>
        <w:rPr>
          <w:kern w:val="2"/>
          <w:szCs w:val="20"/>
        </w:rPr>
        <w:t>clinical dose</w:t>
      </w:r>
      <w:r w:rsidRPr="001D08A4">
        <w:rPr>
          <w:kern w:val="2"/>
          <w:szCs w:val="20"/>
        </w:rPr>
        <w:t xml:space="preserve"> females was present. Given that this effect was not replicated in any of the other repeat dose toxicology studies, the biological relevance of this finding is uncertain (most likely </w:t>
      </w:r>
      <w:r>
        <w:rPr>
          <w:kern w:val="2"/>
          <w:szCs w:val="20"/>
        </w:rPr>
        <w:t>secondary</w:t>
      </w:r>
      <w:r w:rsidRPr="001D08A4">
        <w:rPr>
          <w:kern w:val="2"/>
          <w:szCs w:val="20"/>
        </w:rPr>
        <w:t xml:space="preserve"> to reduced body weight). Significantly reduced </w:t>
      </w:r>
      <w:r w:rsidRPr="0038733C">
        <w:rPr>
          <w:kern w:val="2"/>
          <w:szCs w:val="20"/>
        </w:rPr>
        <w:t>(</w:t>
      </w:r>
      <w:r w:rsidR="002A47B8" w:rsidRPr="0038733C">
        <w:rPr>
          <w:kern w:val="2"/>
          <w:szCs w:val="20"/>
        </w:rPr>
        <w:t xml:space="preserve">p </w:t>
      </w:r>
      <w:r w:rsidR="004C74AA">
        <w:rPr>
          <w:kern w:val="2"/>
          <w:szCs w:val="20"/>
        </w:rPr>
        <w:t xml:space="preserve">&lt; </w:t>
      </w:r>
      <w:r w:rsidRPr="0038733C">
        <w:rPr>
          <w:kern w:val="2"/>
          <w:szCs w:val="20"/>
        </w:rPr>
        <w:t>0</w:t>
      </w:r>
      <w:r w:rsidRPr="001D08A4">
        <w:rPr>
          <w:kern w:val="2"/>
          <w:szCs w:val="20"/>
        </w:rPr>
        <w:t xml:space="preserve">.05) spleen weight (by </w:t>
      </w:r>
      <w:r w:rsidR="0028468D">
        <w:rPr>
          <w:kern w:val="2"/>
          <w:szCs w:val="20"/>
        </w:rPr>
        <w:t xml:space="preserve">approximately </w:t>
      </w:r>
      <w:r w:rsidRPr="001D08A4">
        <w:rPr>
          <w:kern w:val="2"/>
          <w:szCs w:val="20"/>
        </w:rPr>
        <w:t xml:space="preserve">23%) was also present in the </w:t>
      </w:r>
      <w:r w:rsidR="0028468D">
        <w:rPr>
          <w:kern w:val="2"/>
          <w:szCs w:val="20"/>
        </w:rPr>
        <w:t xml:space="preserve">approximately </w:t>
      </w:r>
      <w:r w:rsidRPr="001D08A4">
        <w:rPr>
          <w:kern w:val="2"/>
          <w:szCs w:val="20"/>
        </w:rPr>
        <w:t>1</w:t>
      </w:r>
      <w:r w:rsidR="0038733C">
        <w:rPr>
          <w:kern w:val="2"/>
          <w:szCs w:val="20"/>
        </w:rPr>
        <w:t>,</w:t>
      </w:r>
      <w:r w:rsidRPr="001D08A4">
        <w:rPr>
          <w:kern w:val="2"/>
          <w:szCs w:val="20"/>
        </w:rPr>
        <w:t>522</w:t>
      </w:r>
      <w:r w:rsidR="0038733C">
        <w:rPr>
          <w:kern w:val="2"/>
          <w:szCs w:val="20"/>
        </w:rPr>
        <w:t xml:space="preserve"> </w:t>
      </w:r>
      <w:r w:rsidRPr="001D08A4">
        <w:rPr>
          <w:kern w:val="2"/>
          <w:szCs w:val="20"/>
        </w:rPr>
        <w:t xml:space="preserve">X </w:t>
      </w:r>
      <w:r>
        <w:rPr>
          <w:kern w:val="2"/>
          <w:szCs w:val="20"/>
        </w:rPr>
        <w:t>clinical dose</w:t>
      </w:r>
      <w:r w:rsidRPr="001D08A4">
        <w:rPr>
          <w:kern w:val="2"/>
          <w:szCs w:val="20"/>
        </w:rPr>
        <w:t xml:space="preserve"> females and this was associated with </w:t>
      </w:r>
      <w:r>
        <w:rPr>
          <w:kern w:val="2"/>
          <w:szCs w:val="20"/>
        </w:rPr>
        <w:t>↓</w:t>
      </w:r>
      <w:r w:rsidRPr="001D08A4">
        <w:rPr>
          <w:kern w:val="2"/>
          <w:szCs w:val="20"/>
        </w:rPr>
        <w:t xml:space="preserve"> splenic haematopoiesis</w:t>
      </w:r>
      <w:r>
        <w:rPr>
          <w:kern w:val="2"/>
          <w:szCs w:val="20"/>
        </w:rPr>
        <w:t xml:space="preserve">. </w:t>
      </w:r>
      <w:r w:rsidRPr="001D08A4">
        <w:rPr>
          <w:kern w:val="2"/>
          <w:szCs w:val="20"/>
        </w:rPr>
        <w:t>Again the biological relevance of this finding is uncertain and it was most likely associated with reduced growth</w:t>
      </w:r>
      <w:r w:rsidR="005479B1">
        <w:rPr>
          <w:kern w:val="2"/>
          <w:szCs w:val="20"/>
        </w:rPr>
        <w:t>.</w:t>
      </w:r>
    </w:p>
    <w:p w14:paraId="4FE91B4C" w14:textId="2AF92DB3" w:rsidR="005479B1" w:rsidRDefault="004F701B" w:rsidP="004F701B">
      <w:pPr>
        <w:rPr>
          <w:kern w:val="2"/>
          <w:szCs w:val="20"/>
        </w:rPr>
      </w:pPr>
      <w:r w:rsidRPr="00D37BA0">
        <w:rPr>
          <w:kern w:val="2"/>
          <w:szCs w:val="20"/>
        </w:rPr>
        <w:t xml:space="preserve">Repeated daily PO </w:t>
      </w:r>
      <w:proofErr w:type="spellStart"/>
      <w:r w:rsidRPr="00D37BA0">
        <w:rPr>
          <w:kern w:val="2"/>
          <w:szCs w:val="20"/>
        </w:rPr>
        <w:t>Phl</w:t>
      </w:r>
      <w:proofErr w:type="spellEnd"/>
      <w:r w:rsidRPr="00D37BA0">
        <w:rPr>
          <w:kern w:val="2"/>
          <w:szCs w:val="20"/>
        </w:rPr>
        <w:t xml:space="preserve"> p allergen extract dosing (liquid [aqueous] formulation) of male mice with </w:t>
      </w:r>
      <w:r w:rsidR="0028468D">
        <w:rPr>
          <w:kern w:val="2"/>
          <w:szCs w:val="20"/>
        </w:rPr>
        <w:t xml:space="preserve">approximately </w:t>
      </w:r>
      <w:r w:rsidRPr="00D37BA0">
        <w:rPr>
          <w:kern w:val="2"/>
          <w:szCs w:val="20"/>
        </w:rPr>
        <w:t>1</w:t>
      </w:r>
      <w:r w:rsidR="0038733C">
        <w:rPr>
          <w:kern w:val="2"/>
          <w:szCs w:val="20"/>
        </w:rPr>
        <w:t>,</w:t>
      </w:r>
      <w:r w:rsidRPr="00D37BA0">
        <w:rPr>
          <w:kern w:val="2"/>
          <w:szCs w:val="20"/>
        </w:rPr>
        <w:t>522</w:t>
      </w:r>
      <w:r w:rsidR="0038733C">
        <w:rPr>
          <w:kern w:val="2"/>
          <w:szCs w:val="20"/>
        </w:rPr>
        <w:t xml:space="preserve"> </w:t>
      </w:r>
      <w:r w:rsidR="00D9441C">
        <w:rPr>
          <w:kern w:val="2"/>
          <w:szCs w:val="20"/>
        </w:rPr>
        <w:t>x</w:t>
      </w:r>
      <w:r w:rsidR="00D9441C" w:rsidRPr="00D37BA0">
        <w:rPr>
          <w:kern w:val="2"/>
          <w:szCs w:val="20"/>
        </w:rPr>
        <w:t xml:space="preserve"> </w:t>
      </w:r>
      <w:r w:rsidRPr="00D37BA0">
        <w:rPr>
          <w:kern w:val="2"/>
          <w:szCs w:val="20"/>
        </w:rPr>
        <w:t xml:space="preserve">clinical dose for 26 weeks was associated with an </w:t>
      </w:r>
      <w:r w:rsidR="0028468D">
        <w:rPr>
          <w:kern w:val="2"/>
          <w:szCs w:val="20"/>
        </w:rPr>
        <w:lastRenderedPageBreak/>
        <w:t xml:space="preserve">approximately </w:t>
      </w:r>
      <w:r w:rsidRPr="00D37BA0">
        <w:rPr>
          <w:kern w:val="2"/>
          <w:szCs w:val="20"/>
        </w:rPr>
        <w:t xml:space="preserve">20% reduction </w:t>
      </w:r>
      <w:r w:rsidRPr="0038733C">
        <w:rPr>
          <w:kern w:val="2"/>
          <w:szCs w:val="20"/>
        </w:rPr>
        <w:t>(</w:t>
      </w:r>
      <w:r w:rsidR="002A47B8" w:rsidRPr="0038733C">
        <w:rPr>
          <w:kern w:val="2"/>
          <w:szCs w:val="20"/>
        </w:rPr>
        <w:t xml:space="preserve">p </w:t>
      </w:r>
      <w:r w:rsidR="004C74AA">
        <w:rPr>
          <w:kern w:val="2"/>
          <w:szCs w:val="20"/>
        </w:rPr>
        <w:t xml:space="preserve">&lt; </w:t>
      </w:r>
      <w:r w:rsidRPr="00D37BA0">
        <w:rPr>
          <w:kern w:val="2"/>
          <w:szCs w:val="20"/>
        </w:rPr>
        <w:t>0.05) in body weight. Although not statistically significant (</w:t>
      </w:r>
      <w:r w:rsidRPr="0038733C">
        <w:rPr>
          <w:kern w:val="2"/>
          <w:szCs w:val="20"/>
        </w:rPr>
        <w:t>p</w:t>
      </w:r>
      <w:r w:rsidR="0038733C">
        <w:rPr>
          <w:kern w:val="2"/>
          <w:szCs w:val="20"/>
        </w:rPr>
        <w:t xml:space="preserve"> </w:t>
      </w:r>
      <w:r w:rsidR="004C74AA">
        <w:rPr>
          <w:kern w:val="2"/>
          <w:szCs w:val="20"/>
        </w:rPr>
        <w:t>&gt;</w:t>
      </w:r>
      <w:r w:rsidR="000F4578">
        <w:rPr>
          <w:kern w:val="2"/>
          <w:szCs w:val="20"/>
        </w:rPr>
        <w:t xml:space="preserve"> </w:t>
      </w:r>
      <w:r w:rsidRPr="0038733C">
        <w:rPr>
          <w:kern w:val="2"/>
          <w:szCs w:val="20"/>
        </w:rPr>
        <w:t>0</w:t>
      </w:r>
      <w:r w:rsidRPr="00D37BA0">
        <w:rPr>
          <w:kern w:val="2"/>
          <w:szCs w:val="20"/>
        </w:rPr>
        <w:t>.05), a</w:t>
      </w:r>
      <w:r w:rsidR="00B1428D">
        <w:rPr>
          <w:kern w:val="2"/>
          <w:szCs w:val="20"/>
        </w:rPr>
        <w:t>n</w:t>
      </w:r>
      <w:r w:rsidRPr="00D37BA0">
        <w:rPr>
          <w:kern w:val="2"/>
          <w:szCs w:val="20"/>
        </w:rPr>
        <w:t xml:space="preserve"> </w:t>
      </w:r>
      <w:r w:rsidR="0028468D">
        <w:rPr>
          <w:kern w:val="2"/>
          <w:szCs w:val="20"/>
        </w:rPr>
        <w:t xml:space="preserve">approximately </w:t>
      </w:r>
      <w:r w:rsidRPr="00D37BA0">
        <w:rPr>
          <w:kern w:val="2"/>
          <w:szCs w:val="20"/>
        </w:rPr>
        <w:t>11% reduction in body weight</w:t>
      </w:r>
      <w:r w:rsidR="001C75EF" w:rsidRPr="00D37BA0">
        <w:rPr>
          <w:kern w:val="2"/>
          <w:szCs w:val="20"/>
        </w:rPr>
        <w:t xml:space="preserve"> </w:t>
      </w:r>
      <w:r w:rsidR="001C75EF" w:rsidRPr="00FB4416">
        <w:rPr>
          <w:kern w:val="2"/>
          <w:szCs w:val="20"/>
        </w:rPr>
        <w:t>(exceeded MTD parameters)</w:t>
      </w:r>
      <w:r w:rsidRPr="00D37BA0">
        <w:rPr>
          <w:kern w:val="2"/>
          <w:szCs w:val="20"/>
        </w:rPr>
        <w:t xml:space="preserve"> was present in females at this dose level. The effect in males was correlated with effects on feed consumption but not feed conversion efficiency</w:t>
      </w:r>
      <w:r w:rsidR="001C75EF" w:rsidRPr="001C75EF">
        <w:rPr>
          <w:kern w:val="2"/>
          <w:szCs w:val="20"/>
        </w:rPr>
        <w:t xml:space="preserve"> </w:t>
      </w:r>
      <w:proofErr w:type="gramStart"/>
      <w:r w:rsidR="001C75EF" w:rsidRPr="00FB4416">
        <w:rPr>
          <w:kern w:val="2"/>
          <w:szCs w:val="20"/>
        </w:rPr>
        <w:t>In</w:t>
      </w:r>
      <w:proofErr w:type="gramEnd"/>
      <w:r w:rsidR="001C75EF" w:rsidRPr="00FB4416">
        <w:rPr>
          <w:kern w:val="2"/>
          <w:szCs w:val="20"/>
        </w:rPr>
        <w:t xml:space="preserve"> females, weight loss occurred despite the animals having a significantly (p &lt; 0.05) higher mean food consumption relative to controls (that is anti-nutritive effect and/or reduced caloric utilisation for growth)</w:t>
      </w:r>
      <w:r w:rsidR="001C75EF" w:rsidRPr="001C75EF">
        <w:rPr>
          <w:kern w:val="2"/>
          <w:szCs w:val="20"/>
        </w:rPr>
        <w:t>.</w:t>
      </w:r>
    </w:p>
    <w:p w14:paraId="4FE91B4D" w14:textId="1FD52BAA" w:rsidR="004F701B" w:rsidRDefault="004F701B" w:rsidP="004F701B">
      <w:pPr>
        <w:rPr>
          <w:kern w:val="2"/>
          <w:szCs w:val="20"/>
        </w:rPr>
      </w:pPr>
      <w:r w:rsidRPr="00595398">
        <w:rPr>
          <w:kern w:val="2"/>
          <w:szCs w:val="20"/>
        </w:rPr>
        <w:t xml:space="preserve">Repeated daily </w:t>
      </w:r>
      <w:r>
        <w:rPr>
          <w:kern w:val="2"/>
          <w:szCs w:val="20"/>
        </w:rPr>
        <w:t xml:space="preserve">PO </w:t>
      </w:r>
      <w:proofErr w:type="spellStart"/>
      <w:r>
        <w:rPr>
          <w:kern w:val="2"/>
          <w:szCs w:val="20"/>
        </w:rPr>
        <w:t>Phl</w:t>
      </w:r>
      <w:proofErr w:type="spellEnd"/>
      <w:r>
        <w:rPr>
          <w:kern w:val="2"/>
          <w:szCs w:val="20"/>
        </w:rPr>
        <w:t xml:space="preserve"> p allergen extract dosing </w:t>
      </w:r>
      <w:r w:rsidRPr="00595398">
        <w:rPr>
          <w:kern w:val="2"/>
          <w:szCs w:val="20"/>
        </w:rPr>
        <w:t>(</w:t>
      </w:r>
      <w:r w:rsidRPr="00595398">
        <w:rPr>
          <w:kern w:val="2"/>
        </w:rPr>
        <w:t>lyophilisate</w:t>
      </w:r>
      <w:r>
        <w:rPr>
          <w:kern w:val="2"/>
        </w:rPr>
        <w:t xml:space="preserve"> + mannitol + fish gelatine </w:t>
      </w:r>
      <w:r w:rsidRPr="00595398">
        <w:rPr>
          <w:kern w:val="2"/>
        </w:rPr>
        <w:t>tablet dose form</w:t>
      </w:r>
      <w:r>
        <w:rPr>
          <w:kern w:val="2"/>
        </w:rPr>
        <w:t>; similar to the proposed Grazax clinical product</w:t>
      </w:r>
      <w:r w:rsidRPr="00595398">
        <w:rPr>
          <w:kern w:val="2"/>
          <w:szCs w:val="20"/>
        </w:rPr>
        <w:t xml:space="preserve">) of dogs with </w:t>
      </w:r>
      <w:r w:rsidR="0028468D">
        <w:rPr>
          <w:kern w:val="2"/>
          <w:szCs w:val="20"/>
        </w:rPr>
        <w:t xml:space="preserve">approximately </w:t>
      </w:r>
      <w:r w:rsidR="0038733C">
        <w:rPr>
          <w:kern w:val="2"/>
          <w:szCs w:val="20"/>
        </w:rPr>
        <w:t xml:space="preserve">1 to </w:t>
      </w:r>
      <w:r w:rsidRPr="00595398">
        <w:rPr>
          <w:kern w:val="2"/>
          <w:szCs w:val="20"/>
        </w:rPr>
        <w:t xml:space="preserve">20X </w:t>
      </w:r>
      <w:r>
        <w:rPr>
          <w:kern w:val="2"/>
          <w:szCs w:val="20"/>
        </w:rPr>
        <w:t>clinical dose</w:t>
      </w:r>
      <w:r w:rsidRPr="00595398">
        <w:rPr>
          <w:kern w:val="2"/>
          <w:szCs w:val="20"/>
        </w:rPr>
        <w:t xml:space="preserve"> for 52 </w:t>
      </w:r>
      <w:r w:rsidR="0038733C">
        <w:rPr>
          <w:kern w:val="2"/>
          <w:szCs w:val="20"/>
        </w:rPr>
        <w:t xml:space="preserve">weeks did not induce human </w:t>
      </w:r>
      <w:r>
        <w:rPr>
          <w:kern w:val="2"/>
          <w:szCs w:val="20"/>
        </w:rPr>
        <w:t>relevant adverse effects</w:t>
      </w:r>
      <w:r w:rsidRPr="00595398">
        <w:rPr>
          <w:kern w:val="2"/>
          <w:szCs w:val="20"/>
        </w:rPr>
        <w:t xml:space="preserve">. In male dogs receiving </w:t>
      </w:r>
      <w:r w:rsidR="0028468D">
        <w:rPr>
          <w:kern w:val="2"/>
          <w:szCs w:val="20"/>
        </w:rPr>
        <w:t xml:space="preserve">approximately </w:t>
      </w:r>
      <w:r w:rsidRPr="00595398">
        <w:rPr>
          <w:kern w:val="2"/>
          <w:szCs w:val="20"/>
        </w:rPr>
        <w:t>20</w:t>
      </w:r>
      <w:r w:rsidR="0038733C">
        <w:rPr>
          <w:kern w:val="2"/>
          <w:szCs w:val="20"/>
        </w:rPr>
        <w:t xml:space="preserve"> </w:t>
      </w:r>
      <w:r w:rsidRPr="00595398">
        <w:rPr>
          <w:kern w:val="2"/>
          <w:szCs w:val="20"/>
        </w:rPr>
        <w:t xml:space="preserve">X </w:t>
      </w:r>
      <w:r>
        <w:rPr>
          <w:kern w:val="2"/>
          <w:szCs w:val="20"/>
        </w:rPr>
        <w:t>clinical dose,</w:t>
      </w:r>
      <w:r w:rsidRPr="00595398">
        <w:rPr>
          <w:kern w:val="2"/>
          <w:szCs w:val="20"/>
        </w:rPr>
        <w:t xml:space="preserve"> an increase</w:t>
      </w:r>
      <w:r>
        <w:rPr>
          <w:kern w:val="2"/>
          <w:szCs w:val="20"/>
        </w:rPr>
        <w:t>d</w:t>
      </w:r>
      <w:r w:rsidRPr="00595398">
        <w:rPr>
          <w:kern w:val="2"/>
          <w:szCs w:val="20"/>
        </w:rPr>
        <w:t xml:space="preserve"> degree and incidence of arteritis/</w:t>
      </w:r>
      <w:proofErr w:type="spellStart"/>
      <w:r w:rsidRPr="00595398">
        <w:rPr>
          <w:kern w:val="2"/>
          <w:szCs w:val="20"/>
        </w:rPr>
        <w:t>periarteritis</w:t>
      </w:r>
      <w:proofErr w:type="spellEnd"/>
      <w:r w:rsidRPr="00595398">
        <w:rPr>
          <w:kern w:val="2"/>
          <w:szCs w:val="20"/>
        </w:rPr>
        <w:t xml:space="preserve"> was seen in one or more tissues (</w:t>
      </w:r>
      <w:r w:rsidR="00C76A34">
        <w:rPr>
          <w:kern w:val="2"/>
          <w:szCs w:val="20"/>
        </w:rPr>
        <w:t>for example</w:t>
      </w:r>
      <w:r w:rsidRPr="00595398">
        <w:rPr>
          <w:kern w:val="2"/>
          <w:szCs w:val="20"/>
        </w:rPr>
        <w:t xml:space="preserve"> lung, thymus, heart and optic nerve). These effects were due to Beagle pain syndrome (beagle canine idio</w:t>
      </w:r>
      <w:r w:rsidR="0038733C">
        <w:rPr>
          <w:kern w:val="2"/>
          <w:szCs w:val="20"/>
        </w:rPr>
        <w:t xml:space="preserve">pathic </w:t>
      </w:r>
      <w:proofErr w:type="spellStart"/>
      <w:r w:rsidR="0038733C">
        <w:rPr>
          <w:kern w:val="2"/>
          <w:szCs w:val="20"/>
        </w:rPr>
        <w:t>polyarteritis</w:t>
      </w:r>
      <w:proofErr w:type="spellEnd"/>
      <w:r w:rsidR="0038733C">
        <w:rPr>
          <w:kern w:val="2"/>
          <w:szCs w:val="20"/>
        </w:rPr>
        <w:t xml:space="preserve">; not human </w:t>
      </w:r>
      <w:r w:rsidRPr="00595398">
        <w:rPr>
          <w:kern w:val="2"/>
          <w:szCs w:val="20"/>
        </w:rPr>
        <w:t>relevant).</w:t>
      </w:r>
      <w:r w:rsidRPr="00595398">
        <w:rPr>
          <w:kern w:val="2"/>
          <w:szCs w:val="20"/>
          <w:vertAlign w:val="superscript"/>
        </w:rPr>
        <w:footnoteReference w:id="52"/>
      </w:r>
    </w:p>
    <w:p w14:paraId="4FE91B4E" w14:textId="77777777" w:rsidR="004F701B" w:rsidRDefault="004F701B" w:rsidP="004F701B">
      <w:pPr>
        <w:pStyle w:val="Heading6"/>
      </w:pPr>
      <w:r>
        <w:t>Overall conclusions</w:t>
      </w:r>
    </w:p>
    <w:p w14:paraId="4FE91B4F" w14:textId="17BFBFF6" w:rsidR="005479B1" w:rsidRDefault="004F701B" w:rsidP="004F701B">
      <w:r>
        <w:t>Repeated oral daily dosing with</w:t>
      </w:r>
      <w:r w:rsidRPr="00595398">
        <w:t xml:space="preserve"> </w:t>
      </w:r>
      <w:proofErr w:type="spellStart"/>
      <w:r w:rsidRPr="00595398">
        <w:t>Phl</w:t>
      </w:r>
      <w:proofErr w:type="spellEnd"/>
      <w:r w:rsidRPr="00595398">
        <w:t xml:space="preserve"> p</w:t>
      </w:r>
      <w:r>
        <w:t xml:space="preserve"> allergen extract</w:t>
      </w:r>
      <w:r w:rsidRPr="00595398">
        <w:t xml:space="preserve"> in mice and dogs is toxicologically innocuous except at extreme </w:t>
      </w:r>
      <w:r>
        <w:t>doses in mice</w:t>
      </w:r>
      <w:r w:rsidRPr="00595398">
        <w:t xml:space="preserve"> (</w:t>
      </w:r>
      <w:r w:rsidR="0028468D">
        <w:t xml:space="preserve">approximately </w:t>
      </w:r>
      <w:r w:rsidRPr="00595398">
        <w:t>1</w:t>
      </w:r>
      <w:r w:rsidR="0038733C">
        <w:t>,</w:t>
      </w:r>
      <w:r w:rsidRPr="00595398">
        <w:t>522</w:t>
      </w:r>
      <w:r w:rsidR="0038733C">
        <w:t xml:space="preserve"> </w:t>
      </w:r>
      <w:r w:rsidRPr="00595398">
        <w:t xml:space="preserve">X </w:t>
      </w:r>
      <w:r>
        <w:t>clinical dose</w:t>
      </w:r>
      <w:r w:rsidRPr="00595398">
        <w:t>)</w:t>
      </w:r>
      <w:r>
        <w:t xml:space="preserve">. </w:t>
      </w:r>
      <w:r w:rsidRPr="00595398">
        <w:t>Some overt systemic toxicity, manifesting as reductions in body weight and body w</w:t>
      </w:r>
      <w:r w:rsidR="0038733C">
        <w:t xml:space="preserve">eight gain without complete </w:t>
      </w:r>
      <w:proofErr w:type="spellStart"/>
      <w:r w:rsidR="0038733C">
        <w:t>pos</w:t>
      </w:r>
      <w:proofErr w:type="spellEnd"/>
      <w:r w:rsidR="0038733C">
        <w:t xml:space="preserve"> </w:t>
      </w:r>
      <w:r w:rsidRPr="00595398">
        <w:t xml:space="preserve">-exposure compensatory growth was apparent following </w:t>
      </w:r>
      <w:r>
        <w:t>PO</w:t>
      </w:r>
      <w:r w:rsidRPr="00595398">
        <w:t xml:space="preserve"> dosing</w:t>
      </w:r>
      <w:r>
        <w:t xml:space="preserve"> of mice</w:t>
      </w:r>
      <w:r w:rsidRPr="00595398">
        <w:t xml:space="preserve"> at </w:t>
      </w:r>
      <w:r w:rsidR="0028468D">
        <w:t xml:space="preserve">approximately </w:t>
      </w:r>
      <w:r w:rsidRPr="00595398">
        <w:t>1</w:t>
      </w:r>
      <w:r w:rsidR="0038733C">
        <w:t>,</w:t>
      </w:r>
      <w:r w:rsidRPr="00595398">
        <w:t>522</w:t>
      </w:r>
      <w:r w:rsidR="0038733C">
        <w:t xml:space="preserve"> </w:t>
      </w:r>
      <w:r w:rsidRPr="00595398">
        <w:t xml:space="preserve">X </w:t>
      </w:r>
      <w:r>
        <w:t>clinical dose</w:t>
      </w:r>
      <w:r w:rsidRPr="00595398">
        <w:t xml:space="preserve"> for </w:t>
      </w:r>
      <w:r w:rsidR="00B1428D">
        <w:t xml:space="preserve">≥ </w:t>
      </w:r>
      <w:r w:rsidRPr="00595398">
        <w:t xml:space="preserve">15 </w:t>
      </w:r>
      <w:r w:rsidR="002A47B8">
        <w:t>weeks</w:t>
      </w:r>
      <w:r w:rsidR="005479B1">
        <w:t>.</w:t>
      </w:r>
    </w:p>
    <w:p w14:paraId="4FE91B50" w14:textId="77777777" w:rsidR="004F701B" w:rsidRPr="006914DC" w:rsidRDefault="0038733C" w:rsidP="004F701B">
      <w:pPr>
        <w:pStyle w:val="Heading5"/>
      </w:pPr>
      <w:r>
        <w:t>Immunological endpoints</w:t>
      </w:r>
    </w:p>
    <w:p w14:paraId="4FE91B51" w14:textId="77777777" w:rsidR="005479B1" w:rsidRDefault="004F701B" w:rsidP="004F701B">
      <w:r w:rsidRPr="00E45EE7">
        <w:t>Critically, serum and mucosal surface IgA levels (the major primary phar</w:t>
      </w:r>
      <w:r>
        <w:t xml:space="preserve">macological effect and major class of blocking antibodies in the </w:t>
      </w:r>
      <w:proofErr w:type="spellStart"/>
      <w:r>
        <w:t>Phl</w:t>
      </w:r>
      <w:proofErr w:type="spellEnd"/>
      <w:r>
        <w:t xml:space="preserve"> p allergen extract </w:t>
      </w:r>
      <w:r w:rsidRPr="00E45EE7">
        <w:t xml:space="preserve">primed mouse rhinitis model) were not determined in any of the </w:t>
      </w:r>
      <w:r>
        <w:t xml:space="preserve">toxicity </w:t>
      </w:r>
      <w:r w:rsidRPr="00E45EE7">
        <w:t xml:space="preserve">studies. Systematic and detailed evaluations of the effects of repeated PO exposure to </w:t>
      </w:r>
      <w:proofErr w:type="spellStart"/>
      <w:r w:rsidRPr="00E45EE7">
        <w:t>Phl</w:t>
      </w:r>
      <w:proofErr w:type="spellEnd"/>
      <w:r w:rsidRPr="00E45EE7">
        <w:t xml:space="preserve"> p allergen extract on the im</w:t>
      </w:r>
      <w:r>
        <w:t>mune system were not performed; however r</w:t>
      </w:r>
      <w:r w:rsidRPr="00E45EE7">
        <w:t>outine histopathology, basic serology</w:t>
      </w:r>
      <w:r>
        <w:t xml:space="preserve">, </w:t>
      </w:r>
      <w:r w:rsidRPr="00E45EE7">
        <w:t xml:space="preserve">basic </w:t>
      </w:r>
      <w:proofErr w:type="spellStart"/>
      <w:r w:rsidRPr="00E45EE7">
        <w:t>splenocyt</w:t>
      </w:r>
      <w:r>
        <w:t>e</w:t>
      </w:r>
      <w:proofErr w:type="spellEnd"/>
      <w:r>
        <w:t xml:space="preserve"> </w:t>
      </w:r>
      <w:r w:rsidRPr="00E45EE7">
        <w:t xml:space="preserve">phenotyping </w:t>
      </w:r>
      <w:r>
        <w:t xml:space="preserve">and basic measures of NK-cell function </w:t>
      </w:r>
      <w:r w:rsidRPr="00E45EE7">
        <w:t>are available</w:t>
      </w:r>
      <w:r w:rsidR="005479B1">
        <w:t>.</w:t>
      </w:r>
    </w:p>
    <w:p w14:paraId="4FE91B52" w14:textId="77777777" w:rsidR="004F701B" w:rsidRDefault="004F701B" w:rsidP="008818D2">
      <w:pPr>
        <w:pStyle w:val="Heading6"/>
      </w:pPr>
      <w:r>
        <w:t>Subacute repeat PO exposure</w:t>
      </w:r>
    </w:p>
    <w:p w14:paraId="4FE91B53" w14:textId="55025B39" w:rsidR="004F701B" w:rsidRPr="00751E03" w:rsidRDefault="004F701B" w:rsidP="004F701B">
      <w:pPr>
        <w:rPr>
          <w:kern w:val="2"/>
          <w:szCs w:val="20"/>
        </w:rPr>
      </w:pPr>
      <w:r w:rsidRPr="00751E03">
        <w:rPr>
          <w:kern w:val="2"/>
          <w:szCs w:val="20"/>
        </w:rPr>
        <w:t xml:space="preserve">Only 8.3% of </w:t>
      </w:r>
      <w:r>
        <w:rPr>
          <w:kern w:val="2"/>
          <w:szCs w:val="20"/>
        </w:rPr>
        <w:t xml:space="preserve">normal healthy </w:t>
      </w:r>
      <w:r w:rsidRPr="00751E03">
        <w:rPr>
          <w:kern w:val="2"/>
          <w:szCs w:val="20"/>
        </w:rPr>
        <w:t>mice dosed</w:t>
      </w:r>
      <w:r>
        <w:rPr>
          <w:kern w:val="2"/>
          <w:szCs w:val="20"/>
        </w:rPr>
        <w:t xml:space="preserve"> with </w:t>
      </w:r>
      <w:proofErr w:type="spellStart"/>
      <w:r>
        <w:rPr>
          <w:kern w:val="2"/>
          <w:szCs w:val="20"/>
        </w:rPr>
        <w:t>Phl</w:t>
      </w:r>
      <w:proofErr w:type="spellEnd"/>
      <w:r>
        <w:rPr>
          <w:kern w:val="2"/>
          <w:szCs w:val="20"/>
        </w:rPr>
        <w:t xml:space="preserve"> p allergen extract </w:t>
      </w:r>
      <w:r w:rsidRPr="00751E03">
        <w:rPr>
          <w:kern w:val="2"/>
          <w:szCs w:val="20"/>
        </w:rPr>
        <w:t xml:space="preserve">at </w:t>
      </w:r>
      <w:r w:rsidR="0028468D">
        <w:rPr>
          <w:kern w:val="2"/>
          <w:szCs w:val="20"/>
        </w:rPr>
        <w:t xml:space="preserve">approximately </w:t>
      </w:r>
      <w:r>
        <w:rPr>
          <w:kern w:val="2"/>
          <w:szCs w:val="20"/>
        </w:rPr>
        <w:t>76</w:t>
      </w:r>
      <w:r w:rsidR="0038733C">
        <w:rPr>
          <w:kern w:val="2"/>
          <w:szCs w:val="20"/>
        </w:rPr>
        <w:t xml:space="preserve"> to </w:t>
      </w:r>
      <w:r>
        <w:rPr>
          <w:kern w:val="2"/>
          <w:szCs w:val="20"/>
        </w:rPr>
        <w:t>228</w:t>
      </w:r>
      <w:r w:rsidR="0038733C">
        <w:rPr>
          <w:kern w:val="2"/>
          <w:szCs w:val="20"/>
        </w:rPr>
        <w:t xml:space="preserve"> </w:t>
      </w:r>
      <w:r w:rsidRPr="00751E03">
        <w:rPr>
          <w:kern w:val="2"/>
          <w:szCs w:val="20"/>
        </w:rPr>
        <w:t xml:space="preserve">X </w:t>
      </w:r>
      <w:r>
        <w:rPr>
          <w:kern w:val="2"/>
          <w:szCs w:val="20"/>
        </w:rPr>
        <w:t>clinical dose</w:t>
      </w:r>
      <w:r w:rsidRPr="00751E03">
        <w:rPr>
          <w:kern w:val="2"/>
          <w:szCs w:val="20"/>
        </w:rPr>
        <w:t xml:space="preserve"> dev</w:t>
      </w:r>
      <w:r>
        <w:rPr>
          <w:kern w:val="2"/>
          <w:szCs w:val="20"/>
        </w:rPr>
        <w:t xml:space="preserve">eloped </w:t>
      </w:r>
      <w:proofErr w:type="spellStart"/>
      <w:r>
        <w:rPr>
          <w:kern w:val="2"/>
          <w:szCs w:val="20"/>
        </w:rPr>
        <w:t>Phl</w:t>
      </w:r>
      <w:proofErr w:type="spellEnd"/>
      <w:r>
        <w:rPr>
          <w:kern w:val="2"/>
          <w:szCs w:val="20"/>
        </w:rPr>
        <w:t xml:space="preserve"> p allergen extract specific serum IgG, </w:t>
      </w:r>
      <w:r w:rsidRPr="00751E03">
        <w:rPr>
          <w:kern w:val="2"/>
          <w:szCs w:val="20"/>
        </w:rPr>
        <w:t xml:space="preserve">although a higher rate of response (66.7%) was observed at </w:t>
      </w:r>
      <w:r w:rsidR="0028468D">
        <w:rPr>
          <w:kern w:val="2"/>
          <w:szCs w:val="20"/>
        </w:rPr>
        <w:t xml:space="preserve">approximately </w:t>
      </w:r>
      <w:r w:rsidRPr="00751E03">
        <w:rPr>
          <w:kern w:val="2"/>
          <w:szCs w:val="20"/>
        </w:rPr>
        <w:t>5</w:t>
      </w:r>
      <w:r w:rsidR="0038733C">
        <w:rPr>
          <w:kern w:val="2"/>
          <w:szCs w:val="20"/>
        </w:rPr>
        <w:t>,</w:t>
      </w:r>
      <w:r w:rsidRPr="00751E03">
        <w:rPr>
          <w:kern w:val="2"/>
          <w:szCs w:val="20"/>
        </w:rPr>
        <w:t>22</w:t>
      </w:r>
      <w:r w:rsidR="0038733C">
        <w:rPr>
          <w:kern w:val="2"/>
          <w:szCs w:val="20"/>
        </w:rPr>
        <w:t xml:space="preserve"> </w:t>
      </w:r>
      <w:r w:rsidRPr="00751E03">
        <w:rPr>
          <w:kern w:val="2"/>
          <w:szCs w:val="20"/>
        </w:rPr>
        <w:t xml:space="preserve">X </w:t>
      </w:r>
      <w:r>
        <w:rPr>
          <w:kern w:val="2"/>
          <w:szCs w:val="20"/>
        </w:rPr>
        <w:t>clinical dose</w:t>
      </w:r>
      <w:r w:rsidRPr="00751E03">
        <w:rPr>
          <w:kern w:val="2"/>
          <w:szCs w:val="20"/>
        </w:rPr>
        <w:t xml:space="preserve">. </w:t>
      </w:r>
      <w:r>
        <w:rPr>
          <w:kern w:val="2"/>
          <w:szCs w:val="20"/>
        </w:rPr>
        <w:t xml:space="preserve">Overall, most of the </w:t>
      </w:r>
      <w:proofErr w:type="spellStart"/>
      <w:r>
        <w:rPr>
          <w:kern w:val="2"/>
          <w:szCs w:val="20"/>
        </w:rPr>
        <w:t>Phl</w:t>
      </w:r>
      <w:proofErr w:type="spellEnd"/>
      <w:r>
        <w:rPr>
          <w:kern w:val="2"/>
          <w:szCs w:val="20"/>
        </w:rPr>
        <w:t xml:space="preserve"> p allergen extract treated animals in this study did not seroconvert (based on serum IgG responses), even following high PO doses </w:t>
      </w:r>
      <w:r w:rsidR="002A47B8">
        <w:rPr>
          <w:i/>
          <w:kern w:val="2"/>
          <w:szCs w:val="20"/>
        </w:rPr>
        <w:t>compared with</w:t>
      </w:r>
      <w:r>
        <w:rPr>
          <w:i/>
          <w:kern w:val="2"/>
          <w:szCs w:val="20"/>
        </w:rPr>
        <w:t xml:space="preserve"> </w:t>
      </w:r>
      <w:r>
        <w:rPr>
          <w:kern w:val="2"/>
          <w:szCs w:val="20"/>
        </w:rPr>
        <w:t>the proposed clinical dose. Notably, t</w:t>
      </w:r>
      <w:r w:rsidRPr="00751E03">
        <w:rPr>
          <w:kern w:val="2"/>
          <w:szCs w:val="20"/>
        </w:rPr>
        <w:t xml:space="preserve">he incidence of </w:t>
      </w:r>
      <w:r>
        <w:rPr>
          <w:kern w:val="2"/>
          <w:szCs w:val="20"/>
        </w:rPr>
        <w:t xml:space="preserve">normal healthy </w:t>
      </w:r>
      <w:r w:rsidRPr="00751E03">
        <w:rPr>
          <w:kern w:val="2"/>
          <w:szCs w:val="20"/>
        </w:rPr>
        <w:t>mic</w:t>
      </w:r>
      <w:r>
        <w:rPr>
          <w:kern w:val="2"/>
          <w:szCs w:val="20"/>
        </w:rPr>
        <w:t xml:space="preserve">e developing an IgG response was </w:t>
      </w:r>
      <w:r w:rsidRPr="00751E03">
        <w:rPr>
          <w:kern w:val="2"/>
          <w:szCs w:val="20"/>
        </w:rPr>
        <w:t xml:space="preserve">much lower </w:t>
      </w:r>
      <w:r w:rsidR="002A47B8">
        <w:rPr>
          <w:i/>
          <w:kern w:val="2"/>
          <w:szCs w:val="20"/>
        </w:rPr>
        <w:t>compared with</w:t>
      </w:r>
      <w:r w:rsidRPr="00751E03">
        <w:rPr>
          <w:kern w:val="2"/>
          <w:szCs w:val="20"/>
        </w:rPr>
        <w:t xml:space="preserve"> </w:t>
      </w:r>
      <w:proofErr w:type="spellStart"/>
      <w:r>
        <w:rPr>
          <w:kern w:val="2"/>
          <w:szCs w:val="20"/>
        </w:rPr>
        <w:t>Phl</w:t>
      </w:r>
      <w:proofErr w:type="spellEnd"/>
      <w:r>
        <w:rPr>
          <w:kern w:val="2"/>
          <w:szCs w:val="20"/>
        </w:rPr>
        <w:t xml:space="preserve"> p allergen extract </w:t>
      </w:r>
      <w:r w:rsidRPr="00751E03">
        <w:rPr>
          <w:kern w:val="2"/>
          <w:szCs w:val="20"/>
        </w:rPr>
        <w:t>primed mice (</w:t>
      </w:r>
      <w:r w:rsidR="004A7F98">
        <w:rPr>
          <w:kern w:val="2"/>
          <w:szCs w:val="20"/>
        </w:rPr>
        <w:t>that is</w:t>
      </w:r>
      <w:r>
        <w:rPr>
          <w:kern w:val="2"/>
          <w:szCs w:val="20"/>
        </w:rPr>
        <w:t xml:space="preserve"> mouse rhinitis model </w:t>
      </w:r>
      <w:r w:rsidR="0038733C">
        <w:rPr>
          <w:kern w:val="2"/>
          <w:szCs w:val="20"/>
        </w:rPr>
        <w:t>primary</w:t>
      </w:r>
      <w:r w:rsidRPr="00751E03">
        <w:rPr>
          <w:kern w:val="2"/>
          <w:szCs w:val="20"/>
        </w:rPr>
        <w:t xml:space="preserve"> pharmacology study), even </w:t>
      </w:r>
      <w:r>
        <w:rPr>
          <w:kern w:val="2"/>
          <w:szCs w:val="20"/>
        </w:rPr>
        <w:t>though</w:t>
      </w:r>
      <w:r w:rsidRPr="00751E03">
        <w:rPr>
          <w:kern w:val="2"/>
          <w:szCs w:val="20"/>
        </w:rPr>
        <w:t xml:space="preserve"> substantially higher </w:t>
      </w:r>
      <w:r>
        <w:rPr>
          <w:kern w:val="2"/>
          <w:szCs w:val="20"/>
        </w:rPr>
        <w:t>PO</w:t>
      </w:r>
      <w:r w:rsidRPr="00751E03">
        <w:rPr>
          <w:kern w:val="2"/>
          <w:szCs w:val="20"/>
        </w:rPr>
        <w:t xml:space="preserve"> doses</w:t>
      </w:r>
      <w:r>
        <w:rPr>
          <w:kern w:val="2"/>
          <w:szCs w:val="20"/>
        </w:rPr>
        <w:t xml:space="preserve"> were used</w:t>
      </w:r>
      <w:r w:rsidRPr="00751E03">
        <w:rPr>
          <w:kern w:val="2"/>
          <w:szCs w:val="20"/>
        </w:rPr>
        <w:t xml:space="preserve">. </w:t>
      </w:r>
      <w:r>
        <w:rPr>
          <w:kern w:val="2"/>
          <w:szCs w:val="20"/>
        </w:rPr>
        <w:t>No overt hypersensitivities or histological evidence of immunotoxicity were observed in this study.</w:t>
      </w:r>
    </w:p>
    <w:p w14:paraId="4FE91B54" w14:textId="1C060BFF" w:rsidR="004F701B" w:rsidRDefault="004F701B" w:rsidP="004F701B">
      <w:pPr>
        <w:rPr>
          <w:kern w:val="2"/>
          <w:szCs w:val="20"/>
        </w:rPr>
      </w:pPr>
      <w:r>
        <w:rPr>
          <w:kern w:val="2"/>
          <w:szCs w:val="20"/>
        </w:rPr>
        <w:t>Following d</w:t>
      </w:r>
      <w:r w:rsidRPr="00AF7B62">
        <w:rPr>
          <w:kern w:val="2"/>
          <w:szCs w:val="20"/>
        </w:rPr>
        <w:t xml:space="preserve">aily PO administration of </w:t>
      </w:r>
      <w:proofErr w:type="spellStart"/>
      <w:r w:rsidRPr="00AF7B62">
        <w:rPr>
          <w:kern w:val="2"/>
          <w:szCs w:val="20"/>
        </w:rPr>
        <w:t>Phl</w:t>
      </w:r>
      <w:proofErr w:type="spellEnd"/>
      <w:r w:rsidRPr="00AF7B62">
        <w:rPr>
          <w:kern w:val="2"/>
          <w:szCs w:val="20"/>
        </w:rPr>
        <w:t xml:space="preserve"> p</w:t>
      </w:r>
      <w:r>
        <w:rPr>
          <w:kern w:val="2"/>
          <w:szCs w:val="20"/>
        </w:rPr>
        <w:t xml:space="preserve"> allergen extract</w:t>
      </w:r>
      <w:r w:rsidRPr="00AF7B62">
        <w:rPr>
          <w:kern w:val="2"/>
          <w:szCs w:val="20"/>
        </w:rPr>
        <w:t xml:space="preserve"> </w:t>
      </w:r>
      <w:r w:rsidRPr="00595398">
        <w:rPr>
          <w:kern w:val="2"/>
          <w:szCs w:val="20"/>
        </w:rPr>
        <w:t>(</w:t>
      </w:r>
      <w:r w:rsidRPr="00595398">
        <w:rPr>
          <w:kern w:val="2"/>
        </w:rPr>
        <w:t>lyophilisate</w:t>
      </w:r>
      <w:r>
        <w:rPr>
          <w:kern w:val="2"/>
        </w:rPr>
        <w:t xml:space="preserve"> + mannitol + fish gelatine </w:t>
      </w:r>
      <w:r w:rsidRPr="00595398">
        <w:rPr>
          <w:kern w:val="2"/>
        </w:rPr>
        <w:t>tablet dose form</w:t>
      </w:r>
      <w:r>
        <w:rPr>
          <w:kern w:val="2"/>
        </w:rPr>
        <w:t>; similar to the proposed Grazax clinical product</w:t>
      </w:r>
      <w:r w:rsidRPr="00595398">
        <w:rPr>
          <w:kern w:val="2"/>
          <w:szCs w:val="20"/>
        </w:rPr>
        <w:t xml:space="preserve">) </w:t>
      </w:r>
      <w:r w:rsidRPr="00AF7B62">
        <w:rPr>
          <w:kern w:val="2"/>
          <w:szCs w:val="20"/>
        </w:rPr>
        <w:t xml:space="preserve">to </w:t>
      </w:r>
      <w:r>
        <w:rPr>
          <w:kern w:val="2"/>
          <w:szCs w:val="20"/>
        </w:rPr>
        <w:t>normal healthy</w:t>
      </w:r>
      <w:r w:rsidRPr="00AF7B62">
        <w:rPr>
          <w:kern w:val="2"/>
          <w:szCs w:val="20"/>
        </w:rPr>
        <w:t xml:space="preserve"> dogs at doses </w:t>
      </w:r>
      <w:r w:rsidR="00D9441C">
        <w:rPr>
          <w:kern w:val="2"/>
          <w:szCs w:val="20"/>
        </w:rPr>
        <w:t>≤</w:t>
      </w:r>
      <w:r w:rsidR="004A7F98">
        <w:rPr>
          <w:kern w:val="2"/>
          <w:szCs w:val="20"/>
        </w:rPr>
        <w:t xml:space="preserve"> </w:t>
      </w:r>
      <w:r w:rsidR="0028468D">
        <w:rPr>
          <w:kern w:val="2"/>
          <w:szCs w:val="20"/>
        </w:rPr>
        <w:t xml:space="preserve">approximately </w:t>
      </w:r>
      <w:r w:rsidRPr="00AF7B62">
        <w:rPr>
          <w:kern w:val="2"/>
          <w:szCs w:val="20"/>
        </w:rPr>
        <w:t>20</w:t>
      </w:r>
      <w:r w:rsidR="0038733C">
        <w:rPr>
          <w:kern w:val="2"/>
          <w:szCs w:val="20"/>
        </w:rPr>
        <w:t xml:space="preserve"> X</w:t>
      </w:r>
      <w:r w:rsidRPr="00AF7B62">
        <w:rPr>
          <w:kern w:val="2"/>
          <w:szCs w:val="20"/>
        </w:rPr>
        <w:t xml:space="preserve"> </w:t>
      </w:r>
      <w:r>
        <w:rPr>
          <w:kern w:val="2"/>
          <w:szCs w:val="20"/>
        </w:rPr>
        <w:t>clinical dose</w:t>
      </w:r>
      <w:r w:rsidRPr="00AF7B62">
        <w:rPr>
          <w:kern w:val="2"/>
          <w:szCs w:val="20"/>
        </w:rPr>
        <w:t xml:space="preserve"> for 28 d</w:t>
      </w:r>
      <w:r w:rsidR="0038733C">
        <w:rPr>
          <w:kern w:val="2"/>
          <w:szCs w:val="20"/>
        </w:rPr>
        <w:t xml:space="preserve">ays, detectable serum </w:t>
      </w:r>
      <w:proofErr w:type="spellStart"/>
      <w:r w:rsidR="0038733C">
        <w:rPr>
          <w:kern w:val="2"/>
          <w:szCs w:val="20"/>
        </w:rPr>
        <w:t>Phl</w:t>
      </w:r>
      <w:proofErr w:type="spellEnd"/>
      <w:r w:rsidR="0038733C">
        <w:rPr>
          <w:kern w:val="2"/>
          <w:szCs w:val="20"/>
        </w:rPr>
        <w:t> </w:t>
      </w:r>
      <w:r>
        <w:rPr>
          <w:kern w:val="2"/>
          <w:szCs w:val="20"/>
        </w:rPr>
        <w:t xml:space="preserve">p allergen extract specific </w:t>
      </w:r>
      <w:r w:rsidR="0038733C">
        <w:rPr>
          <w:kern w:val="2"/>
          <w:szCs w:val="20"/>
        </w:rPr>
        <w:t xml:space="preserve">IgG responses (9 out of </w:t>
      </w:r>
      <w:r w:rsidRPr="00AF7B62">
        <w:rPr>
          <w:kern w:val="2"/>
          <w:szCs w:val="20"/>
        </w:rPr>
        <w:t>10 animals) only occurred a</w:t>
      </w:r>
      <w:r>
        <w:rPr>
          <w:kern w:val="2"/>
          <w:szCs w:val="20"/>
        </w:rPr>
        <w:t>t the highest dose level. No overt hypersensitivities or histological evidence of immunotoxicity were observed in this study.</w:t>
      </w:r>
    </w:p>
    <w:p w14:paraId="3AA5C476" w14:textId="65BDEE1C" w:rsidR="00A0673B" w:rsidRPr="00FB4416" w:rsidRDefault="00A0673B" w:rsidP="00A0673B">
      <w:pPr>
        <w:pStyle w:val="Heading6"/>
      </w:pPr>
      <w:r w:rsidRPr="00FB4416">
        <w:lastRenderedPageBreak/>
        <w:t>Studies of longer duration</w:t>
      </w:r>
    </w:p>
    <w:p w14:paraId="2316BEE3" w14:textId="07F7BDD9" w:rsidR="00A0673B" w:rsidRPr="002C785C" w:rsidRDefault="00A0673B" w:rsidP="00A0673B">
      <w:pPr>
        <w:rPr>
          <w:strike/>
          <w:kern w:val="2"/>
          <w:szCs w:val="20"/>
        </w:rPr>
      </w:pPr>
      <w:r w:rsidRPr="00FB4416">
        <w:rPr>
          <w:kern w:val="2"/>
          <w:szCs w:val="20"/>
        </w:rPr>
        <w:t xml:space="preserve">Repeated daily PO dosing of mice with </w:t>
      </w:r>
      <w:proofErr w:type="spellStart"/>
      <w:r w:rsidRPr="00FB4416">
        <w:rPr>
          <w:kern w:val="2"/>
          <w:szCs w:val="20"/>
        </w:rPr>
        <w:t>Phl</w:t>
      </w:r>
      <w:proofErr w:type="spellEnd"/>
      <w:r w:rsidRPr="00FB4416">
        <w:rPr>
          <w:kern w:val="2"/>
          <w:szCs w:val="20"/>
        </w:rPr>
        <w:t xml:space="preserve"> p allergen extract at doses ≤ </w:t>
      </w:r>
      <w:r w:rsidR="0028468D">
        <w:rPr>
          <w:kern w:val="2"/>
          <w:szCs w:val="20"/>
        </w:rPr>
        <w:t xml:space="preserve">approximately </w:t>
      </w:r>
      <w:r w:rsidRPr="00FB4416">
        <w:rPr>
          <w:kern w:val="2"/>
          <w:szCs w:val="20"/>
        </w:rPr>
        <w:t xml:space="preserve">1,522 X clinical dose for 15 weeks was not associated with overt immunotoxicity (as evaluated by measuring natural killer cell function and </w:t>
      </w:r>
      <w:proofErr w:type="spellStart"/>
      <w:r w:rsidRPr="00FB4416">
        <w:rPr>
          <w:kern w:val="2"/>
          <w:szCs w:val="20"/>
        </w:rPr>
        <w:t>splenocyte</w:t>
      </w:r>
      <w:proofErr w:type="spellEnd"/>
      <w:r w:rsidRPr="00FB4416">
        <w:rPr>
          <w:kern w:val="2"/>
          <w:szCs w:val="20"/>
        </w:rPr>
        <w:t xml:space="preserve"> T cell subset phenotyping) or hypersensitivity. In contrast with other repeat dose studies, PO </w:t>
      </w:r>
      <w:proofErr w:type="spellStart"/>
      <w:r w:rsidRPr="00FB4416">
        <w:rPr>
          <w:kern w:val="2"/>
          <w:szCs w:val="20"/>
        </w:rPr>
        <w:t>Phl</w:t>
      </w:r>
      <w:proofErr w:type="spellEnd"/>
      <w:r w:rsidRPr="00FB4416">
        <w:rPr>
          <w:kern w:val="2"/>
          <w:szCs w:val="20"/>
        </w:rPr>
        <w:t xml:space="preserve"> p allergen extract dosing reliably induced serum </w:t>
      </w:r>
      <w:proofErr w:type="spellStart"/>
      <w:r w:rsidRPr="00FB4416">
        <w:rPr>
          <w:kern w:val="2"/>
          <w:szCs w:val="20"/>
        </w:rPr>
        <w:t>Phl</w:t>
      </w:r>
      <w:proofErr w:type="spellEnd"/>
      <w:r w:rsidRPr="00FB4416">
        <w:rPr>
          <w:kern w:val="2"/>
          <w:szCs w:val="20"/>
        </w:rPr>
        <w:t xml:space="preserve"> p allergen specific IgG antibodies (</w:t>
      </w:r>
      <w:r w:rsidR="0028468D">
        <w:rPr>
          <w:kern w:val="2"/>
          <w:szCs w:val="20"/>
        </w:rPr>
        <w:t xml:space="preserve">approximately </w:t>
      </w:r>
      <w:r w:rsidRPr="00FB4416">
        <w:rPr>
          <w:kern w:val="2"/>
          <w:szCs w:val="20"/>
        </w:rPr>
        <w:t xml:space="preserve">84 to 97% of animals dosed at </w:t>
      </w:r>
      <w:r w:rsidR="0028468D">
        <w:rPr>
          <w:kern w:val="2"/>
          <w:szCs w:val="20"/>
        </w:rPr>
        <w:t xml:space="preserve">approximately </w:t>
      </w:r>
      <w:r w:rsidRPr="00FB4416">
        <w:rPr>
          <w:kern w:val="2"/>
          <w:szCs w:val="20"/>
        </w:rPr>
        <w:t>76 to 1,522 X clinical dose had a positive response after 15 weeks of treatment; response was not dose related). However, repeated daily PO dosing (</w:t>
      </w:r>
      <w:proofErr w:type="spellStart"/>
      <w:r w:rsidRPr="00FB4416">
        <w:rPr>
          <w:kern w:val="2"/>
          <w:szCs w:val="20"/>
        </w:rPr>
        <w:t>Phl</w:t>
      </w:r>
      <w:proofErr w:type="spellEnd"/>
      <w:r w:rsidRPr="00FB4416">
        <w:rPr>
          <w:kern w:val="2"/>
          <w:szCs w:val="20"/>
        </w:rPr>
        <w:t xml:space="preserve"> p allergen extract </w:t>
      </w:r>
      <w:r w:rsidRPr="00FB4416">
        <w:rPr>
          <w:kern w:val="2"/>
        </w:rPr>
        <w:t>lyophilisate + mannitol + fish gelatine tablet dose form; similar to the final Grazax product form</w:t>
      </w:r>
      <w:r w:rsidRPr="00FB4416">
        <w:rPr>
          <w:kern w:val="2"/>
          <w:szCs w:val="20"/>
        </w:rPr>
        <w:t xml:space="preserve">) of dogs with </w:t>
      </w:r>
      <w:r w:rsidR="0028468D">
        <w:rPr>
          <w:kern w:val="2"/>
          <w:szCs w:val="20"/>
        </w:rPr>
        <w:t xml:space="preserve">approximately </w:t>
      </w:r>
      <w:r w:rsidRPr="00FB4416">
        <w:rPr>
          <w:kern w:val="2"/>
          <w:szCs w:val="20"/>
        </w:rPr>
        <w:t>1 to 20 X clinical dose for 52 weeks did not induce serum allergen specific IgG responses. This result illustrates the lack of immunological reliability of the dosing technique in normal healthy dogs. No overt hypersensitivities were observed in this study</w:t>
      </w:r>
    </w:p>
    <w:p w14:paraId="4FE91B57" w14:textId="77777777" w:rsidR="004F701B" w:rsidRPr="0010406C" w:rsidRDefault="004F701B" w:rsidP="008818D2">
      <w:pPr>
        <w:pStyle w:val="Heading6"/>
      </w:pPr>
      <w:r w:rsidRPr="0010406C">
        <w:t>Overall conclusions</w:t>
      </w:r>
    </w:p>
    <w:p w14:paraId="4FE91B58" w14:textId="698BBBA1" w:rsidR="005479B1" w:rsidRDefault="00BD1D26" w:rsidP="004F701B">
      <w:pPr>
        <w:rPr>
          <w:kern w:val="2"/>
          <w:szCs w:val="20"/>
        </w:rPr>
      </w:pPr>
      <w:r w:rsidRPr="00611479">
        <w:rPr>
          <w:kern w:val="2"/>
          <w:szCs w:val="20"/>
        </w:rPr>
        <w:t xml:space="preserve">In terms of efficacy at induction of antigen-specific serum IgG antibody responses to </w:t>
      </w:r>
      <w:proofErr w:type="spellStart"/>
      <w:r w:rsidRPr="00611479">
        <w:rPr>
          <w:kern w:val="2"/>
          <w:szCs w:val="20"/>
        </w:rPr>
        <w:t>Phl</w:t>
      </w:r>
      <w:proofErr w:type="spellEnd"/>
      <w:r w:rsidRPr="00611479">
        <w:rPr>
          <w:kern w:val="2"/>
          <w:szCs w:val="20"/>
        </w:rPr>
        <w:t xml:space="preserve"> p allergens, PO treatment of normal healthy mice and dogs is relatively inefficient and unreliable compared with the results observed in the </w:t>
      </w:r>
      <w:proofErr w:type="spellStart"/>
      <w:r w:rsidRPr="00611479">
        <w:rPr>
          <w:kern w:val="2"/>
          <w:szCs w:val="20"/>
        </w:rPr>
        <w:t>Phl</w:t>
      </w:r>
      <w:proofErr w:type="spellEnd"/>
      <w:r w:rsidRPr="00611479">
        <w:rPr>
          <w:kern w:val="2"/>
          <w:szCs w:val="20"/>
        </w:rPr>
        <w:t xml:space="preserve"> p allergen extract primed mouse rhinitis model. As a generalisation, very high PO doses (relative to the clinical dose) and long durations of exposure unreliably resulted in a modest incidence of serum anti</w:t>
      </w:r>
      <w:r w:rsidRPr="00611479">
        <w:rPr>
          <w:kern w:val="2"/>
          <w:szCs w:val="20"/>
        </w:rPr>
        <w:noBreakHyphen/>
        <w:t>allergen IgG responses in mice.</w:t>
      </w:r>
      <w:r>
        <w:rPr>
          <w:kern w:val="2"/>
          <w:szCs w:val="20"/>
        </w:rPr>
        <w:t xml:space="preserve"> </w:t>
      </w:r>
      <w:r w:rsidR="004F701B">
        <w:rPr>
          <w:kern w:val="2"/>
          <w:szCs w:val="20"/>
        </w:rPr>
        <w:t>The results in dogs were less predictable</w:t>
      </w:r>
      <w:r w:rsidR="005479B1">
        <w:rPr>
          <w:kern w:val="2"/>
          <w:szCs w:val="20"/>
        </w:rPr>
        <w:t>.</w:t>
      </w:r>
    </w:p>
    <w:p w14:paraId="4FE91B59" w14:textId="2832EC15" w:rsidR="004F701B" w:rsidRPr="00BB37E6" w:rsidRDefault="004F701B" w:rsidP="004F701B">
      <w:r>
        <w:t xml:space="preserve">Critically, as stated above, the predictive relationship between </w:t>
      </w:r>
      <w:r w:rsidR="00C76A34">
        <w:t>allergen specific</w:t>
      </w:r>
      <w:r>
        <w:t xml:space="preserve"> serum IgG responses as a biomarker of SLIT efficacy</w:t>
      </w:r>
      <w:r w:rsidR="00BD1D26" w:rsidRPr="00BD1D26">
        <w:t xml:space="preserve"> </w:t>
      </w:r>
      <w:r w:rsidR="00BD1D26" w:rsidRPr="00E101C1">
        <w:t>is generally poor.</w:t>
      </w:r>
      <w:r w:rsidR="00BD1D26" w:rsidRPr="00E101C1">
        <w:rPr>
          <w:vertAlign w:val="superscript"/>
        </w:rPr>
        <w:fldChar w:fldCharType="begin"/>
      </w:r>
      <w:r w:rsidR="00BD1D26" w:rsidRPr="00E101C1">
        <w:rPr>
          <w:vertAlign w:val="superscript"/>
        </w:rPr>
        <w:instrText xml:space="preserve"> NOTEREF _Ref497308411 \h  \* MERGEFORMAT </w:instrText>
      </w:r>
      <w:r w:rsidR="00BD1D26" w:rsidRPr="00E101C1">
        <w:rPr>
          <w:vertAlign w:val="superscript"/>
        </w:rPr>
      </w:r>
      <w:r w:rsidR="00BD1D26" w:rsidRPr="00E101C1">
        <w:rPr>
          <w:vertAlign w:val="superscript"/>
        </w:rPr>
        <w:fldChar w:fldCharType="separate"/>
      </w:r>
      <w:r w:rsidR="003D50F1">
        <w:rPr>
          <w:vertAlign w:val="superscript"/>
        </w:rPr>
        <w:t>18</w:t>
      </w:r>
      <w:r w:rsidR="00BD1D26" w:rsidRPr="00E101C1">
        <w:rPr>
          <w:vertAlign w:val="superscript"/>
        </w:rPr>
        <w:fldChar w:fldCharType="end"/>
      </w:r>
      <w:r w:rsidR="0028468D">
        <w:rPr>
          <w:vertAlign w:val="superscript"/>
        </w:rPr>
        <w:t xml:space="preserve"> </w:t>
      </w:r>
      <w:r>
        <w:t>Serum IgG and IgG</w:t>
      </w:r>
      <w:r>
        <w:rPr>
          <w:vertAlign w:val="subscript"/>
        </w:rPr>
        <w:t>4</w:t>
      </w:r>
      <w:r>
        <w:t xml:space="preserve"> levels are regarded as being suitable parameters for evaluating the clinical outcome of SLIT treatment by some investigators.</w:t>
      </w:r>
      <w:r w:rsidR="003D50F1" w:rsidRPr="003D50F1">
        <w:rPr>
          <w:vertAlign w:val="superscript"/>
        </w:rPr>
        <w:fldChar w:fldCharType="begin"/>
      </w:r>
      <w:r w:rsidR="003D50F1" w:rsidRPr="003D50F1">
        <w:rPr>
          <w:vertAlign w:val="superscript"/>
        </w:rPr>
        <w:instrText xml:space="preserve"> NOTEREF _Ref511213025 \h </w:instrText>
      </w:r>
      <w:r w:rsidR="003D50F1" w:rsidRPr="003D50F1">
        <w:rPr>
          <w:vertAlign w:val="superscript"/>
        </w:rPr>
      </w:r>
      <w:r w:rsidR="003D50F1">
        <w:rPr>
          <w:vertAlign w:val="superscript"/>
        </w:rPr>
        <w:instrText xml:space="preserve"> \* MERGEFORMAT </w:instrText>
      </w:r>
      <w:r w:rsidR="003D50F1" w:rsidRPr="003D50F1">
        <w:rPr>
          <w:vertAlign w:val="superscript"/>
        </w:rPr>
        <w:fldChar w:fldCharType="separate"/>
      </w:r>
      <w:r w:rsidR="003D50F1" w:rsidRPr="003D50F1">
        <w:rPr>
          <w:vertAlign w:val="superscript"/>
        </w:rPr>
        <w:t>53</w:t>
      </w:r>
      <w:r w:rsidR="003D50F1" w:rsidRPr="003D50F1">
        <w:rPr>
          <w:vertAlign w:val="superscript"/>
        </w:rPr>
        <w:fldChar w:fldCharType="end"/>
      </w:r>
      <w:r w:rsidR="003D50F1" w:rsidRPr="003D50F1">
        <w:rPr>
          <w:vertAlign w:val="superscript"/>
        </w:rPr>
        <w:fldChar w:fldCharType="begin"/>
      </w:r>
      <w:r w:rsidR="003D50F1" w:rsidRPr="003D50F1">
        <w:rPr>
          <w:vertAlign w:val="superscript"/>
        </w:rPr>
        <w:instrText xml:space="preserve"> NOTEREF _Ref511212018 \h </w:instrText>
      </w:r>
      <w:r w:rsidR="003D50F1" w:rsidRPr="003D50F1">
        <w:rPr>
          <w:vertAlign w:val="superscript"/>
        </w:rPr>
      </w:r>
      <w:r w:rsidR="003D50F1">
        <w:rPr>
          <w:vertAlign w:val="superscript"/>
        </w:rPr>
        <w:instrText xml:space="preserve"> \* MERGEFORMAT </w:instrText>
      </w:r>
      <w:r w:rsidR="003D50F1" w:rsidRPr="003D50F1">
        <w:rPr>
          <w:vertAlign w:val="superscript"/>
        </w:rPr>
        <w:fldChar w:fldCharType="separate"/>
      </w:r>
      <w:r w:rsidR="003D50F1" w:rsidRPr="003D50F1">
        <w:rPr>
          <w:vertAlign w:val="superscript"/>
        </w:rPr>
        <w:fldChar w:fldCharType="end"/>
      </w:r>
    </w:p>
    <w:p w14:paraId="4FE91B5A" w14:textId="77777777" w:rsidR="004F701B" w:rsidRPr="001F17C0" w:rsidRDefault="004F701B" w:rsidP="004F701B">
      <w:pPr>
        <w:rPr>
          <w:kern w:val="2"/>
          <w:szCs w:val="20"/>
        </w:rPr>
      </w:pPr>
      <w:r w:rsidRPr="00595398">
        <w:rPr>
          <w:kern w:val="2"/>
          <w:szCs w:val="20"/>
        </w:rPr>
        <w:t xml:space="preserve">In </w:t>
      </w:r>
      <w:r>
        <w:rPr>
          <w:kern w:val="2"/>
          <w:szCs w:val="20"/>
        </w:rPr>
        <w:t xml:space="preserve">normal healthy mice and dogs, </w:t>
      </w:r>
      <w:r w:rsidRPr="00595398">
        <w:rPr>
          <w:kern w:val="2"/>
          <w:szCs w:val="20"/>
        </w:rPr>
        <w:t xml:space="preserve">repeated daily </w:t>
      </w:r>
      <w:r>
        <w:rPr>
          <w:kern w:val="2"/>
          <w:szCs w:val="20"/>
        </w:rPr>
        <w:t xml:space="preserve">PO </w:t>
      </w:r>
      <w:proofErr w:type="spellStart"/>
      <w:r w:rsidRPr="00595398">
        <w:rPr>
          <w:kern w:val="2"/>
          <w:szCs w:val="20"/>
        </w:rPr>
        <w:t>Phl</w:t>
      </w:r>
      <w:proofErr w:type="spellEnd"/>
      <w:r w:rsidRPr="00595398">
        <w:rPr>
          <w:kern w:val="2"/>
          <w:szCs w:val="20"/>
        </w:rPr>
        <w:t xml:space="preserve">-P </w:t>
      </w:r>
      <w:r>
        <w:rPr>
          <w:kern w:val="2"/>
          <w:szCs w:val="20"/>
        </w:rPr>
        <w:t xml:space="preserve">allergen extract treatment is </w:t>
      </w:r>
      <w:r w:rsidRPr="00595398">
        <w:rPr>
          <w:kern w:val="2"/>
          <w:szCs w:val="20"/>
        </w:rPr>
        <w:t xml:space="preserve">not overtly immunotoxic and </w:t>
      </w:r>
      <w:bookmarkStart w:id="77" w:name="_GoBack"/>
      <w:bookmarkEnd w:id="77"/>
      <w:r w:rsidRPr="00595398">
        <w:rPr>
          <w:kern w:val="2"/>
          <w:szCs w:val="20"/>
        </w:rPr>
        <w:t>does not induce</w:t>
      </w:r>
      <w:r>
        <w:rPr>
          <w:kern w:val="2"/>
          <w:szCs w:val="20"/>
        </w:rPr>
        <w:t xml:space="preserve"> overt</w:t>
      </w:r>
      <w:r w:rsidRPr="00595398">
        <w:rPr>
          <w:kern w:val="2"/>
          <w:szCs w:val="20"/>
        </w:rPr>
        <w:t xml:space="preserve"> hypersensitivit</w:t>
      </w:r>
      <w:r>
        <w:rPr>
          <w:kern w:val="2"/>
          <w:szCs w:val="20"/>
        </w:rPr>
        <w:t>ies</w:t>
      </w:r>
      <w:r w:rsidRPr="00595398">
        <w:rPr>
          <w:kern w:val="2"/>
          <w:szCs w:val="20"/>
        </w:rPr>
        <w:t>, based on basic screening techniques</w:t>
      </w:r>
      <w:r>
        <w:rPr>
          <w:kern w:val="2"/>
          <w:szCs w:val="20"/>
        </w:rPr>
        <w:t>.</w:t>
      </w:r>
    </w:p>
    <w:p w14:paraId="4FE91B5B" w14:textId="693175C2" w:rsidR="005479B1" w:rsidRDefault="00BD1D26" w:rsidP="004F701B">
      <w:pPr>
        <w:rPr>
          <w:kern w:val="2"/>
        </w:rPr>
      </w:pPr>
      <w:r w:rsidRPr="00E101C1">
        <w:t xml:space="preserve">Overall, the results demonstrate the general </w:t>
      </w:r>
      <w:r w:rsidRPr="00E101C1">
        <w:rPr>
          <w:kern w:val="2"/>
        </w:rPr>
        <w:t>inadequacy of the normal healthy mouse and dog models (that is likely not immunologically primed for assessing the immunological/</w:t>
      </w:r>
      <w:proofErr w:type="spellStart"/>
      <w:r w:rsidRPr="00E101C1">
        <w:rPr>
          <w:kern w:val="2"/>
        </w:rPr>
        <w:t>immunotoxicological</w:t>
      </w:r>
      <w:proofErr w:type="spellEnd"/>
      <w:r w:rsidRPr="00E101C1">
        <w:rPr>
          <w:kern w:val="2"/>
        </w:rPr>
        <w:t xml:space="preserve"> safety properties of </w:t>
      </w:r>
      <w:proofErr w:type="spellStart"/>
      <w:r w:rsidRPr="00E101C1">
        <w:rPr>
          <w:kern w:val="2"/>
        </w:rPr>
        <w:t>Phl</w:t>
      </w:r>
      <w:proofErr w:type="spellEnd"/>
      <w:r w:rsidRPr="00E101C1">
        <w:rPr>
          <w:kern w:val="2"/>
        </w:rPr>
        <w:t xml:space="preserve"> p allergen extract).</w:t>
      </w:r>
      <w:r w:rsidRPr="00BD1D26">
        <w:rPr>
          <w:kern w:val="2"/>
        </w:rPr>
        <w:t xml:space="preserve"> </w:t>
      </w:r>
      <w:r w:rsidR="004F701B" w:rsidRPr="0010406C">
        <w:rPr>
          <w:kern w:val="2"/>
        </w:rPr>
        <w:t>These aspects of safety assessment will be largely</w:t>
      </w:r>
      <w:r w:rsidR="004F701B">
        <w:rPr>
          <w:kern w:val="2"/>
        </w:rPr>
        <w:t xml:space="preserve"> assessed on the basis of</w:t>
      </w:r>
      <w:r w:rsidR="004F701B" w:rsidRPr="0010406C">
        <w:rPr>
          <w:kern w:val="2"/>
        </w:rPr>
        <w:t xml:space="preserve"> human clinical data</w:t>
      </w:r>
      <w:r w:rsidR="005479B1">
        <w:rPr>
          <w:kern w:val="2"/>
        </w:rPr>
        <w:t>.</w:t>
      </w:r>
    </w:p>
    <w:p w14:paraId="4FE91B5C" w14:textId="77777777" w:rsidR="004F701B" w:rsidRPr="00F17B57" w:rsidRDefault="004F701B" w:rsidP="008818D2">
      <w:pPr>
        <w:pStyle w:val="Heading5"/>
      </w:pPr>
      <w:bookmarkStart w:id="78" w:name="_Toc294861729"/>
      <w:bookmarkStart w:id="79" w:name="_Toc455737039"/>
      <w:r w:rsidRPr="00F17B57">
        <w:t>Genotoxicity</w:t>
      </w:r>
      <w:bookmarkEnd w:id="78"/>
      <w:bookmarkEnd w:id="79"/>
    </w:p>
    <w:p w14:paraId="4FE91B5D" w14:textId="77777777" w:rsidR="004F701B" w:rsidRDefault="004F701B" w:rsidP="004F701B">
      <w:pPr>
        <w:rPr>
          <w:lang w:val="en-US"/>
        </w:rPr>
      </w:pPr>
      <w:r w:rsidRPr="007B0347">
        <w:rPr>
          <w:lang w:val="en-US"/>
        </w:rPr>
        <w:t>Technically, the submitted genotoxicity package is not complian</w:t>
      </w:r>
      <w:r>
        <w:rPr>
          <w:lang w:val="en-US"/>
        </w:rPr>
        <w:t>t</w:t>
      </w:r>
      <w:r w:rsidRPr="007B0347">
        <w:rPr>
          <w:lang w:val="en-US"/>
        </w:rPr>
        <w:t xml:space="preserve"> with ICH S2 (R1) </w:t>
      </w:r>
      <w:r>
        <w:rPr>
          <w:lang w:val="en-US"/>
        </w:rPr>
        <w:t xml:space="preserve">(lacks an </w:t>
      </w:r>
      <w:r>
        <w:rPr>
          <w:i/>
          <w:lang w:val="en-US"/>
        </w:rPr>
        <w:t>in vivo</w:t>
      </w:r>
      <w:r>
        <w:rPr>
          <w:lang w:val="en-US"/>
        </w:rPr>
        <w:t xml:space="preserve"> screening study)</w:t>
      </w:r>
      <w:r w:rsidRPr="007B0347">
        <w:rPr>
          <w:lang w:val="en-US"/>
        </w:rPr>
        <w:t>.</w:t>
      </w:r>
      <w:r w:rsidRPr="007B0347">
        <w:rPr>
          <w:rStyle w:val="FootnoteReference"/>
          <w:lang w:val="en-US"/>
        </w:rPr>
        <w:footnoteReference w:id="53"/>
      </w:r>
      <w:r>
        <w:rPr>
          <w:lang w:val="en-US"/>
        </w:rPr>
        <w:t xml:space="preserve"> The </w:t>
      </w:r>
      <w:r w:rsidR="002D7A68">
        <w:rPr>
          <w:lang w:val="en-US"/>
        </w:rPr>
        <w:t>sponsor</w:t>
      </w:r>
      <w:r>
        <w:rPr>
          <w:lang w:val="en-US"/>
        </w:rPr>
        <w:t>’s waiving arguments for this are:</w:t>
      </w:r>
    </w:p>
    <w:p w14:paraId="4FE91B5E" w14:textId="77777777" w:rsidR="004F701B" w:rsidRDefault="004F701B" w:rsidP="008818D2">
      <w:pPr>
        <w:pStyle w:val="ListBullet"/>
        <w:rPr>
          <w:lang w:val="en-US"/>
        </w:rPr>
      </w:pPr>
      <w:r w:rsidRPr="00997369">
        <w:rPr>
          <w:lang w:val="en-US"/>
        </w:rPr>
        <w:t>“</w:t>
      </w:r>
      <w:r w:rsidRPr="008818D2">
        <w:rPr>
          <w:i/>
          <w:lang w:val="en-US"/>
        </w:rPr>
        <w:t xml:space="preserve">The </w:t>
      </w:r>
      <w:r w:rsidR="002D7A68" w:rsidRPr="002D7A68">
        <w:rPr>
          <w:i/>
        </w:rPr>
        <w:t>Phleum pratense</w:t>
      </w:r>
      <w:r w:rsidRPr="008818D2">
        <w:rPr>
          <w:i/>
          <w:lang w:val="en-US"/>
        </w:rPr>
        <w:t xml:space="preserve"> allergen extract has for decades been used by subcutaneous application to induce tolerance induction, without any </w:t>
      </w:r>
      <w:r w:rsidR="0038733C" w:rsidRPr="008818D2">
        <w:rPr>
          <w:i/>
          <w:lang w:val="en-US"/>
        </w:rPr>
        <w:t>recogn</w:t>
      </w:r>
      <w:r w:rsidR="0038733C">
        <w:rPr>
          <w:i/>
          <w:lang w:val="en-US"/>
        </w:rPr>
        <w:t>is</w:t>
      </w:r>
      <w:r w:rsidR="0038733C" w:rsidRPr="008818D2">
        <w:rPr>
          <w:i/>
          <w:lang w:val="en-US"/>
        </w:rPr>
        <w:t>ed</w:t>
      </w:r>
      <w:r w:rsidRPr="008818D2">
        <w:rPr>
          <w:i/>
          <w:lang w:val="en-US"/>
        </w:rPr>
        <w:t xml:space="preserve"> genotoxic implications however to ascertain that impurities or related substances are without mutagenic properties an Ames’ test was performed. Furthermore, genotoxicity was studied using mouse lymphoma cells.”</w:t>
      </w:r>
      <w:bookmarkStart w:id="80" w:name="_Ref511213025"/>
      <w:r w:rsidRPr="008818D2">
        <w:rPr>
          <w:rStyle w:val="FootnoteReference"/>
          <w:i/>
          <w:lang w:val="en-US"/>
        </w:rPr>
        <w:footnoteReference w:id="54"/>
      </w:r>
      <w:bookmarkEnd w:id="80"/>
    </w:p>
    <w:p w14:paraId="4FE91B5F" w14:textId="77777777" w:rsidR="004F701B" w:rsidRPr="001E3236" w:rsidRDefault="004F701B" w:rsidP="008818D2">
      <w:pPr>
        <w:pStyle w:val="ListBullet"/>
        <w:rPr>
          <w:lang w:val="en-US"/>
        </w:rPr>
      </w:pPr>
      <w:r>
        <w:rPr>
          <w:lang w:val="en-US"/>
        </w:rPr>
        <w:t xml:space="preserve">The protein components of the </w:t>
      </w:r>
      <w:proofErr w:type="spellStart"/>
      <w:r>
        <w:rPr>
          <w:lang w:val="en-US"/>
        </w:rPr>
        <w:t>Phl</w:t>
      </w:r>
      <w:proofErr w:type="spellEnd"/>
      <w:r>
        <w:rPr>
          <w:lang w:val="en-US"/>
        </w:rPr>
        <w:t xml:space="preserve"> p allergen extract will be degraded and digested in the GI </w:t>
      </w:r>
      <w:r w:rsidR="004A7F98">
        <w:rPr>
          <w:lang w:val="en-US"/>
        </w:rPr>
        <w:t>that is</w:t>
      </w:r>
      <w:r>
        <w:rPr>
          <w:lang w:val="en-US"/>
        </w:rPr>
        <w:t xml:space="preserve"> the bulk of the drug substance will not be bioavailable.</w:t>
      </w:r>
    </w:p>
    <w:p w14:paraId="4FE91B60" w14:textId="77777777" w:rsidR="005479B1" w:rsidRDefault="004F701B" w:rsidP="004F701B">
      <w:pPr>
        <w:rPr>
          <w:lang w:val="en-US"/>
        </w:rPr>
      </w:pPr>
      <w:r>
        <w:rPr>
          <w:lang w:val="en-US"/>
        </w:rPr>
        <w:t xml:space="preserve">The evaluator concurs that the protein fraction of the </w:t>
      </w:r>
      <w:proofErr w:type="spellStart"/>
      <w:r>
        <w:rPr>
          <w:lang w:val="en-US"/>
        </w:rPr>
        <w:t>Phl</w:t>
      </w:r>
      <w:proofErr w:type="spellEnd"/>
      <w:r>
        <w:rPr>
          <w:lang w:val="en-US"/>
        </w:rPr>
        <w:t xml:space="preserve"> p allergen extract will be largely not systemically bioavailable. However, this does not eliminate any potential local effects in the oral cavity and gastrointestinal tract. T</w:t>
      </w:r>
      <w:r w:rsidRPr="00F17B57">
        <w:rPr>
          <w:lang w:val="en-US"/>
        </w:rPr>
        <w:t xml:space="preserve">he </w:t>
      </w:r>
      <w:r w:rsidR="002D7A68">
        <w:rPr>
          <w:lang w:val="en-US"/>
        </w:rPr>
        <w:t>sponsor</w:t>
      </w:r>
      <w:r w:rsidRPr="00F17B57">
        <w:rPr>
          <w:lang w:val="en-US"/>
        </w:rPr>
        <w:t xml:space="preserve"> has supplied two acceptable (validity confirmed by the use of positive and negative controls) negative bacterial reverse </w:t>
      </w:r>
      <w:r w:rsidRPr="00F17B57">
        <w:rPr>
          <w:lang w:val="en-US"/>
        </w:rPr>
        <w:lastRenderedPageBreak/>
        <w:t xml:space="preserve">mutation studies </w:t>
      </w:r>
      <w:r w:rsidR="0038733C">
        <w:rPr>
          <w:lang w:val="en-US"/>
        </w:rPr>
        <w:t>(treat and</w:t>
      </w:r>
      <w:r>
        <w:rPr>
          <w:lang w:val="en-US"/>
        </w:rPr>
        <w:t xml:space="preserve"> plate method) </w:t>
      </w:r>
      <w:r w:rsidRPr="00F17B57">
        <w:rPr>
          <w:lang w:val="en-US"/>
        </w:rPr>
        <w:t xml:space="preserve">and an acceptable negative mammalian cell forward mutation study all of which </w:t>
      </w:r>
      <w:proofErr w:type="spellStart"/>
      <w:r w:rsidRPr="00F17B57">
        <w:rPr>
          <w:lang w:val="en-US"/>
        </w:rPr>
        <w:t>util</w:t>
      </w:r>
      <w:r w:rsidR="004A7F98">
        <w:rPr>
          <w:lang w:val="en-US"/>
        </w:rPr>
        <w:t>is</w:t>
      </w:r>
      <w:r w:rsidRPr="00F17B57">
        <w:rPr>
          <w:lang w:val="en-US"/>
        </w:rPr>
        <w:t>ed</w:t>
      </w:r>
      <w:proofErr w:type="spellEnd"/>
      <w:r w:rsidRPr="00F17B57">
        <w:rPr>
          <w:lang w:val="en-US"/>
        </w:rPr>
        <w:t xml:space="preserve"> </w:t>
      </w:r>
      <w:proofErr w:type="spellStart"/>
      <w:r w:rsidRPr="00F17B57">
        <w:rPr>
          <w:lang w:val="en-US"/>
        </w:rPr>
        <w:t>Phl</w:t>
      </w:r>
      <w:proofErr w:type="spellEnd"/>
      <w:r w:rsidRPr="00F17B57">
        <w:rPr>
          <w:lang w:val="en-US"/>
        </w:rPr>
        <w:t xml:space="preserve"> p </w:t>
      </w:r>
      <w:r>
        <w:rPr>
          <w:lang w:val="en-US"/>
        </w:rPr>
        <w:t>allergen extracts</w:t>
      </w:r>
      <w:r w:rsidRPr="00F17B57">
        <w:rPr>
          <w:lang w:val="en-US"/>
        </w:rPr>
        <w:t xml:space="preserve"> as the test article</w:t>
      </w:r>
      <w:r>
        <w:rPr>
          <w:lang w:val="en-US"/>
        </w:rPr>
        <w:t>s</w:t>
      </w:r>
      <w:r w:rsidRPr="00F17B57">
        <w:rPr>
          <w:lang w:val="en-US"/>
        </w:rPr>
        <w:t>.</w:t>
      </w:r>
      <w:r>
        <w:rPr>
          <w:lang w:val="en-US"/>
        </w:rPr>
        <w:t xml:space="preserve"> Furthermore,</w:t>
      </w:r>
      <w:r w:rsidRPr="00F17B57">
        <w:rPr>
          <w:lang w:val="en-US"/>
        </w:rPr>
        <w:t xml:space="preserve"> </w:t>
      </w:r>
      <w:r>
        <w:rPr>
          <w:lang w:val="en-US"/>
        </w:rPr>
        <w:t xml:space="preserve">the risk </w:t>
      </w:r>
      <w:r w:rsidR="0038733C">
        <w:rPr>
          <w:lang w:val="en-US"/>
        </w:rPr>
        <w:t xml:space="preserve">of proteins acting directly DNA </w:t>
      </w:r>
      <w:r>
        <w:rPr>
          <w:lang w:val="en-US"/>
        </w:rPr>
        <w:t xml:space="preserve">interacting mutagens is negligible and there is </w:t>
      </w:r>
      <w:r w:rsidRPr="0038733C">
        <w:rPr>
          <w:lang w:val="en-US"/>
        </w:rPr>
        <w:t>no in vitro</w:t>
      </w:r>
      <w:r>
        <w:rPr>
          <w:lang w:val="en-US"/>
        </w:rPr>
        <w:t xml:space="preserve"> evi</w:t>
      </w:r>
      <w:r w:rsidR="0038733C">
        <w:rPr>
          <w:lang w:val="en-US"/>
        </w:rPr>
        <w:t xml:space="preserve">dence of </w:t>
      </w:r>
      <w:proofErr w:type="spellStart"/>
      <w:r w:rsidR="0038733C">
        <w:rPr>
          <w:lang w:val="en-US"/>
        </w:rPr>
        <w:t>Phl</w:t>
      </w:r>
      <w:proofErr w:type="spellEnd"/>
      <w:r w:rsidR="0038733C">
        <w:rPr>
          <w:lang w:val="en-US"/>
        </w:rPr>
        <w:t xml:space="preserve"> p allergen </w:t>
      </w:r>
      <w:proofErr w:type="gramStart"/>
      <w:r w:rsidR="0038733C">
        <w:rPr>
          <w:lang w:val="en-US"/>
        </w:rPr>
        <w:t>extract</w:t>
      </w:r>
      <w:proofErr w:type="gramEnd"/>
      <w:r w:rsidR="0038733C">
        <w:rPr>
          <w:lang w:val="en-US"/>
        </w:rPr>
        <w:t xml:space="preserve"> </w:t>
      </w:r>
      <w:r>
        <w:rPr>
          <w:lang w:val="en-US"/>
        </w:rPr>
        <w:t>mediated mutagenicity</w:t>
      </w:r>
      <w:r w:rsidR="005479B1">
        <w:rPr>
          <w:lang w:val="en-US"/>
        </w:rPr>
        <w:t>.</w:t>
      </w:r>
    </w:p>
    <w:p w14:paraId="4FE91B61" w14:textId="3E442133" w:rsidR="005479B1" w:rsidRDefault="00590CE7" w:rsidP="004F701B">
      <w:r>
        <w:rPr>
          <w:lang w:val="en-US"/>
        </w:rPr>
        <w:t xml:space="preserve">The sponsor’s waiving arguments do not account for the non-protein fraction in </w:t>
      </w:r>
      <w:proofErr w:type="spellStart"/>
      <w:r>
        <w:rPr>
          <w:lang w:val="en-US"/>
        </w:rPr>
        <w:t>Phl</w:t>
      </w:r>
      <w:proofErr w:type="spellEnd"/>
      <w:r>
        <w:rPr>
          <w:lang w:val="en-US"/>
        </w:rPr>
        <w:t xml:space="preserve"> p allergen extracts and in Grazax. Notably, t</w:t>
      </w:r>
      <w:r w:rsidR="004F701B">
        <w:rPr>
          <w:lang w:val="en-US"/>
        </w:rPr>
        <w:t xml:space="preserve">he test articles used in the </w:t>
      </w:r>
      <w:r w:rsidR="004F701B" w:rsidRPr="0038733C">
        <w:rPr>
          <w:lang w:val="en-US"/>
        </w:rPr>
        <w:t>negative in vitro</w:t>
      </w:r>
      <w:r w:rsidR="004F701B">
        <w:rPr>
          <w:lang w:val="en-US"/>
        </w:rPr>
        <w:t xml:space="preserve"> ge</w:t>
      </w:r>
      <w:r w:rsidR="0038733C">
        <w:rPr>
          <w:lang w:val="en-US"/>
        </w:rPr>
        <w:t xml:space="preserve">notoxicity program contained 23 to </w:t>
      </w:r>
      <w:r w:rsidR="004F701B">
        <w:rPr>
          <w:lang w:val="en-US"/>
        </w:rPr>
        <w:t xml:space="preserve">26% of the non-protein </w:t>
      </w:r>
      <w:proofErr w:type="spellStart"/>
      <w:r w:rsidR="004F701B">
        <w:rPr>
          <w:lang w:val="en-US"/>
        </w:rPr>
        <w:t>fraction.</w:t>
      </w:r>
      <w:r w:rsidR="0027535F">
        <w:rPr>
          <w:lang w:val="en-US"/>
        </w:rPr>
        <w:t>This</w:t>
      </w:r>
      <w:proofErr w:type="spellEnd"/>
      <w:r w:rsidR="0027535F">
        <w:rPr>
          <w:lang w:val="en-US"/>
        </w:rPr>
        <w:t xml:space="preserve"> is lower than the maximum level in the drug substance (≤ 40%). </w:t>
      </w:r>
      <w:r w:rsidR="004F701B">
        <w:rPr>
          <w:lang w:val="en-US"/>
        </w:rPr>
        <w:t xml:space="preserve">In terms of the risk of systemic genotoxicity, the human clinical dose exposure to the </w:t>
      </w:r>
      <w:proofErr w:type="spellStart"/>
      <w:r w:rsidR="004F701B">
        <w:rPr>
          <w:lang w:val="en-US"/>
        </w:rPr>
        <w:t>Phl</w:t>
      </w:r>
      <w:proofErr w:type="spellEnd"/>
      <w:r w:rsidR="004F701B">
        <w:rPr>
          <w:lang w:val="en-US"/>
        </w:rPr>
        <w:t xml:space="preserve"> p allergen extract non-protein fraction is </w:t>
      </w:r>
      <w:proofErr w:type="gramStart"/>
      <w:r w:rsidR="004A7F98">
        <w:t xml:space="preserve">≤ </w:t>
      </w:r>
      <w:r w:rsidR="0028468D">
        <w:t xml:space="preserve">approximately </w:t>
      </w:r>
      <w:r w:rsidR="0027535F">
        <w:t xml:space="preserve">41 </w:t>
      </w:r>
      <w:r w:rsidR="0027535F">
        <w:rPr>
          <w:rFonts w:eastAsia="Gulim"/>
        </w:rPr>
        <w:t>µ</w:t>
      </w:r>
      <w:r w:rsidR="0027535F">
        <w:rPr>
          <w:rFonts w:asciiTheme="minorHAnsi" w:eastAsia="Gulim" w:hAnsiTheme="minorHAnsi"/>
        </w:rPr>
        <w:t>g</w:t>
      </w:r>
      <w:r w:rsidR="0027535F">
        <w:t>/day</w:t>
      </w:r>
      <w:proofErr w:type="gramEnd"/>
      <w:r w:rsidR="004F701B">
        <w:t>.</w:t>
      </w:r>
      <w:r w:rsidR="00AE45EA" w:rsidRPr="00AE45EA">
        <w:rPr>
          <w:rFonts w:asciiTheme="majorHAnsi" w:eastAsiaTheme="minorHAnsi" w:hAnsiTheme="majorHAnsi" w:cstheme="majorHAnsi"/>
          <w:i/>
          <w:sz w:val="24"/>
          <w:szCs w:val="24"/>
        </w:rPr>
        <w:t xml:space="preserve"> </w:t>
      </w:r>
      <w:r w:rsidR="004F701B">
        <w:t xml:space="preserve">Given that the </w:t>
      </w:r>
      <w:r w:rsidR="004F701B">
        <w:rPr>
          <w:lang w:val="en-US"/>
        </w:rPr>
        <w:t xml:space="preserve">non-protein sub-fraction of the </w:t>
      </w:r>
      <w:proofErr w:type="spellStart"/>
      <w:r w:rsidR="004F701B">
        <w:rPr>
          <w:lang w:val="en-US"/>
        </w:rPr>
        <w:t>Phl</w:t>
      </w:r>
      <w:proofErr w:type="spellEnd"/>
      <w:r w:rsidR="004F701B">
        <w:rPr>
          <w:lang w:val="en-US"/>
        </w:rPr>
        <w:t xml:space="preserve"> p drug substance can essentially be regarded as multiple impurities, it should be noted that the relevant ICH M7 </w:t>
      </w:r>
      <w:r w:rsidR="004F701B">
        <w:t>TTC-based acceptable intake (ADI) for multiple DNA reactive genotoxic impurities (</w:t>
      </w:r>
      <w:r w:rsidR="004A7F98">
        <w:t>that is</w:t>
      </w:r>
      <w:r w:rsidR="004F701B">
        <w:t xml:space="preserve"> the unlikely worst case scenario for the </w:t>
      </w:r>
      <w:r w:rsidR="0038733C">
        <w:rPr>
          <w:lang w:val="en-US"/>
        </w:rPr>
        <w:t>non-protein sub</w:t>
      </w:r>
      <w:r w:rsidR="0038733C">
        <w:rPr>
          <w:lang w:val="en-US"/>
        </w:rPr>
        <w:noBreakHyphen/>
      </w:r>
      <w:r w:rsidR="004F701B">
        <w:rPr>
          <w:lang w:val="en-US"/>
        </w:rPr>
        <w:t xml:space="preserve">fraction of the </w:t>
      </w:r>
      <w:proofErr w:type="spellStart"/>
      <w:r w:rsidR="004F701B">
        <w:rPr>
          <w:lang w:val="en-US"/>
        </w:rPr>
        <w:t>Phl</w:t>
      </w:r>
      <w:proofErr w:type="spellEnd"/>
      <w:r w:rsidR="004F701B">
        <w:rPr>
          <w:lang w:val="en-US"/>
        </w:rPr>
        <w:t xml:space="preserve"> p drug substance) over the 3 year maximum Grazax treatment period is 30</w:t>
      </w:r>
      <w:r w:rsidR="004A7F98">
        <w:rPr>
          <w:rFonts w:asciiTheme="minorHAnsi" w:eastAsia="Gulim" w:hAnsiTheme="minorHAnsi"/>
        </w:rPr>
        <w:t xml:space="preserve"> </w:t>
      </w:r>
      <w:r w:rsidR="004A7F98">
        <w:rPr>
          <w:rFonts w:eastAsia="Gulim"/>
        </w:rPr>
        <w:t>µ</w:t>
      </w:r>
      <w:r w:rsidR="004A7F98">
        <w:rPr>
          <w:rFonts w:asciiTheme="minorHAnsi" w:eastAsia="Gulim" w:hAnsiTheme="minorHAnsi"/>
        </w:rPr>
        <w:t>g</w:t>
      </w:r>
      <w:r w:rsidR="004F701B">
        <w:t>/d</w:t>
      </w:r>
      <w:r w:rsidR="0038733C">
        <w:t>ay</w:t>
      </w:r>
      <w:r w:rsidR="004F701B">
        <w:t xml:space="preserve"> and for individual impurities in the </w:t>
      </w:r>
      <w:r w:rsidR="004F701B">
        <w:rPr>
          <w:lang w:val="en-US"/>
        </w:rPr>
        <w:t xml:space="preserve">non-protein sub-fraction of the </w:t>
      </w:r>
      <w:proofErr w:type="spellStart"/>
      <w:r w:rsidR="004F701B">
        <w:rPr>
          <w:lang w:val="en-US"/>
        </w:rPr>
        <w:t>Phl</w:t>
      </w:r>
      <w:proofErr w:type="spellEnd"/>
      <w:r w:rsidR="0038733C">
        <w:rPr>
          <w:lang w:val="en-US"/>
        </w:rPr>
        <w:t> </w:t>
      </w:r>
      <w:r w:rsidR="004F701B">
        <w:rPr>
          <w:lang w:val="en-US"/>
        </w:rPr>
        <w:t>p drug substance it is 10</w:t>
      </w:r>
      <w:r w:rsidR="004A7F98">
        <w:rPr>
          <w:lang w:val="en-US"/>
        </w:rPr>
        <w:t xml:space="preserve"> </w:t>
      </w:r>
      <w:r w:rsidR="004A7F98">
        <w:rPr>
          <w:rFonts w:eastAsia="Gulim"/>
        </w:rPr>
        <w:t>µ</w:t>
      </w:r>
      <w:r w:rsidR="004A7F98">
        <w:rPr>
          <w:rFonts w:asciiTheme="minorHAnsi" w:eastAsia="Gulim" w:hAnsiTheme="minorHAnsi"/>
        </w:rPr>
        <w:t>g</w:t>
      </w:r>
      <w:r w:rsidR="004F701B">
        <w:t>/d</w:t>
      </w:r>
      <w:r w:rsidR="0038733C">
        <w:t>ay</w:t>
      </w:r>
      <w:r w:rsidR="004F701B">
        <w:t>. Furthermore, it is entirely possible for the non-protein fraction to have a potential for local site of contact genotoxicity (</w:t>
      </w:r>
      <w:r w:rsidR="004A7F98">
        <w:t>that is</w:t>
      </w:r>
      <w:r w:rsidR="004F701B">
        <w:t xml:space="preserve"> in the sublingual area in the mouth)</w:t>
      </w:r>
      <w:r w:rsidR="005479B1">
        <w:t>.</w:t>
      </w:r>
    </w:p>
    <w:p w14:paraId="0CEF6543" w14:textId="1D9CB4CF" w:rsidR="0027535F" w:rsidRDefault="0027535F" w:rsidP="0027535F">
      <w:pPr>
        <w:rPr>
          <w:lang w:val="en-US"/>
        </w:rPr>
      </w:pPr>
      <w:r w:rsidRPr="002D201B">
        <w:t>A</w:t>
      </w:r>
      <w:r w:rsidR="004F701B" w:rsidRPr="0038733C">
        <w:t xml:space="preserve">n </w:t>
      </w:r>
      <w:r w:rsidR="004F701B" w:rsidRPr="0038733C">
        <w:rPr>
          <w:lang w:val="en-US"/>
        </w:rPr>
        <w:t>in vivo screen</w:t>
      </w:r>
      <w:r w:rsidR="004F701B">
        <w:rPr>
          <w:lang w:val="en-US"/>
        </w:rPr>
        <w:t xml:space="preserve">ing study </w:t>
      </w:r>
      <w:r w:rsidRPr="002D201B">
        <w:rPr>
          <w:lang w:val="en-US"/>
        </w:rPr>
        <w:t>should</w:t>
      </w:r>
      <w:r w:rsidR="002D201B">
        <w:rPr>
          <w:lang w:val="en-US"/>
        </w:rPr>
        <w:t xml:space="preserve"> </w:t>
      </w:r>
      <w:r w:rsidR="004F701B" w:rsidRPr="00F17B57">
        <w:rPr>
          <w:lang w:val="en-US"/>
        </w:rPr>
        <w:t>have been performed</w:t>
      </w:r>
      <w:r w:rsidR="004F701B">
        <w:rPr>
          <w:lang w:val="en-US"/>
        </w:rPr>
        <w:t xml:space="preserve"> in order to account for any possible effects of the </w:t>
      </w:r>
      <w:proofErr w:type="spellStart"/>
      <w:r w:rsidR="004F701B">
        <w:rPr>
          <w:lang w:val="en-US"/>
        </w:rPr>
        <w:t>Phl</w:t>
      </w:r>
      <w:proofErr w:type="spellEnd"/>
      <w:r w:rsidR="004F701B">
        <w:rPr>
          <w:lang w:val="en-US"/>
        </w:rPr>
        <w:t xml:space="preserve"> p allergen extract non-protein fraction. </w:t>
      </w:r>
      <w:r>
        <w:rPr>
          <w:lang w:val="en-US"/>
        </w:rPr>
        <w:t>Ideally, one of the transgenic mouse assay methods (to allow for assessment of local mutagenesis in the oral mucosa) should have been used.</w:t>
      </w:r>
    </w:p>
    <w:p w14:paraId="6330652A" w14:textId="75141E6A" w:rsidR="0027535F" w:rsidRDefault="0027535F" w:rsidP="0027535F">
      <w:pPr>
        <w:rPr>
          <w:lang w:val="en-US"/>
        </w:rPr>
      </w:pPr>
      <w:r>
        <w:rPr>
          <w:lang w:val="en-US"/>
        </w:rPr>
        <w:t>Overall, s</w:t>
      </w:r>
      <w:r w:rsidRPr="00F17B57">
        <w:rPr>
          <w:lang w:val="en-US"/>
        </w:rPr>
        <w:t xml:space="preserve">ince </w:t>
      </w:r>
      <w:proofErr w:type="spellStart"/>
      <w:r w:rsidRPr="00F17B57">
        <w:rPr>
          <w:lang w:val="en-US"/>
        </w:rPr>
        <w:t>Phl</w:t>
      </w:r>
      <w:proofErr w:type="spellEnd"/>
      <w:r w:rsidRPr="00F17B57">
        <w:rPr>
          <w:lang w:val="en-US"/>
        </w:rPr>
        <w:t xml:space="preserve"> p does not induce reverse mutations in bacteria or forward mutations in mammalian </w:t>
      </w:r>
      <w:r w:rsidRPr="0038733C">
        <w:rPr>
          <w:lang w:val="en-US"/>
        </w:rPr>
        <w:t>cells in vitro and no in vivo data</w:t>
      </w:r>
      <w:r>
        <w:rPr>
          <w:lang w:val="en-US"/>
        </w:rPr>
        <w:t xml:space="preserve"> is available (although such studies are technically feasible and likely more reliable than </w:t>
      </w:r>
      <w:r w:rsidRPr="0038733C">
        <w:rPr>
          <w:lang w:val="en-US"/>
        </w:rPr>
        <w:t>the in vitro studies</w:t>
      </w:r>
      <w:r>
        <w:rPr>
          <w:lang w:val="en-US"/>
        </w:rPr>
        <w:t xml:space="preserve"> that were used).</w:t>
      </w:r>
    </w:p>
    <w:p w14:paraId="4FE91B64" w14:textId="01176D29" w:rsidR="004F701B" w:rsidRPr="00F17B57" w:rsidRDefault="004F701B" w:rsidP="008818D2">
      <w:pPr>
        <w:pStyle w:val="Heading5"/>
      </w:pPr>
      <w:bookmarkStart w:id="81" w:name="_Toc294861730"/>
      <w:bookmarkStart w:id="82" w:name="_Toc455737040"/>
      <w:r w:rsidRPr="00F17B57">
        <w:t>Carcinogenicity</w:t>
      </w:r>
      <w:bookmarkEnd w:id="81"/>
      <w:bookmarkEnd w:id="82"/>
    </w:p>
    <w:p w14:paraId="4FE91B65" w14:textId="77777777" w:rsidR="004F701B" w:rsidRDefault="004F701B" w:rsidP="004F701B">
      <w:pPr>
        <w:rPr>
          <w:lang w:val="en-US"/>
        </w:rPr>
      </w:pPr>
      <w:r w:rsidRPr="00F17B57">
        <w:rPr>
          <w:lang w:val="en-US"/>
        </w:rPr>
        <w:t>The proposed duration and pattern of use for Grazax</w:t>
      </w:r>
      <w:r w:rsidRPr="00F17B57">
        <w:rPr>
          <w:vertAlign w:val="superscript"/>
          <w:lang w:val="en-US"/>
        </w:rPr>
        <w:t xml:space="preserve"> </w:t>
      </w:r>
      <w:r w:rsidRPr="00F17B57">
        <w:rPr>
          <w:lang w:val="en-US"/>
        </w:rPr>
        <w:t>indicates that carcinogenesis studies are required to meet ICH S1A.</w:t>
      </w:r>
      <w:r w:rsidRPr="00F17B57">
        <w:rPr>
          <w:rStyle w:val="FootnoteReference"/>
          <w:lang w:val="en-US"/>
        </w:rPr>
        <w:footnoteReference w:id="55"/>
      </w:r>
      <w:r w:rsidR="00FA2591">
        <w:rPr>
          <w:lang w:val="en-US"/>
        </w:rPr>
        <w:t xml:space="preserve"> </w:t>
      </w:r>
      <w:r>
        <w:rPr>
          <w:lang w:val="en-US"/>
        </w:rPr>
        <w:t xml:space="preserve">The </w:t>
      </w:r>
      <w:r w:rsidR="002D7A68">
        <w:rPr>
          <w:lang w:val="en-US"/>
        </w:rPr>
        <w:t>sponsor</w:t>
      </w:r>
      <w:r>
        <w:rPr>
          <w:lang w:val="en-US"/>
        </w:rPr>
        <w:t xml:space="preserve"> has provided the following waiving arguments (</w:t>
      </w:r>
      <w:r w:rsidR="001949C3">
        <w:rPr>
          <w:lang w:val="en-US"/>
        </w:rPr>
        <w:t>m</w:t>
      </w:r>
      <w:r>
        <w:rPr>
          <w:lang w:val="en-US"/>
        </w:rPr>
        <w:t>odule 2.6) to support this decision (with the evaluator’s responses):</w:t>
      </w:r>
    </w:p>
    <w:p w14:paraId="4FE91B66" w14:textId="6C0CF29E" w:rsidR="004F701B" w:rsidRPr="00B0670E" w:rsidRDefault="004F701B" w:rsidP="008818D2">
      <w:pPr>
        <w:pStyle w:val="ListBullet"/>
      </w:pPr>
      <w:r w:rsidRPr="00B0670E">
        <w:t>Sponsor’s waiving argument 1: “Histopathological examination in the repeated dose toxicity studies showed no neoplastic changes at doses up to 500,000 SQ-T/da</w:t>
      </w:r>
      <w:r w:rsidR="001949C3">
        <w:t>y in mice (</w:t>
      </w:r>
      <w:r w:rsidR="0028468D">
        <w:t xml:space="preserve">approximately </w:t>
      </w:r>
      <w:r w:rsidR="001949C3">
        <w:t xml:space="preserve">10,000 </w:t>
      </w:r>
      <w:r w:rsidRPr="00B0670E">
        <w:t>fold higher than the maximum human therapeutic dose for a 50 kg per</w:t>
      </w:r>
      <w:r w:rsidR="0038733C">
        <w:t>son) and dogs (</w:t>
      </w:r>
      <w:r w:rsidR="0028468D">
        <w:t xml:space="preserve">approximately </w:t>
      </w:r>
      <w:r w:rsidR="0038733C">
        <w:t xml:space="preserve">33 </w:t>
      </w:r>
      <w:r w:rsidRPr="00B0670E">
        <w:t>fold higher than the maximum human therapeutic dose for a 50 kg person).”</w:t>
      </w:r>
    </w:p>
    <w:p w14:paraId="164C9FE1" w14:textId="77777777" w:rsidR="0027535F" w:rsidRDefault="0027535F" w:rsidP="0027535F">
      <w:pPr>
        <w:pStyle w:val="ListBullet2"/>
      </w:pPr>
      <w:r w:rsidRPr="00B0670E">
        <w:t>Evaluator’s response 1: None of the repeat dose toxicity studies were long enough nor of sufficient statistical power to evaluate carcinogenic effects. The longest study, a 52 week study in dogs, is not equivalent to a near life-time study</w:t>
      </w:r>
      <w:r>
        <w:t xml:space="preserve">. </w:t>
      </w:r>
      <w:r w:rsidRPr="00B0670E">
        <w:t>The n of 4/sex/dose used in this study is statistically inadequate for evaluation of carcinogenic endpoints (minimum requirement is 50/sex/dose with at least 20/sex/dose surviving a near life-time exposure to the test article)</w:t>
      </w:r>
      <w:r>
        <w:t xml:space="preserve">. </w:t>
      </w:r>
      <w:r w:rsidRPr="00B0670E">
        <w:t>The longest mouse study was 26 weeks</w:t>
      </w:r>
      <w:r>
        <w:t xml:space="preserve">. </w:t>
      </w:r>
      <w:r w:rsidRPr="00B0670E">
        <w:t>Again, this is not equivalent to a near life-time study. An n of 10/sex/dose is statistically inadequate.</w:t>
      </w:r>
      <w:r>
        <w:t xml:space="preserve"> Furthermore, the animal models used are not equivalent to the available transgenic models of carcinogenesis where a shorter duration of exposure can be justified.</w:t>
      </w:r>
    </w:p>
    <w:p w14:paraId="4FE91B68" w14:textId="2718EC7E" w:rsidR="004F701B" w:rsidRPr="00B0670E" w:rsidRDefault="004F701B" w:rsidP="008818D2">
      <w:pPr>
        <w:pStyle w:val="ListBullet"/>
      </w:pPr>
      <w:r w:rsidRPr="00B0670E">
        <w:rPr>
          <w:rFonts w:cs="Calibri,Italic"/>
          <w:iCs/>
        </w:rPr>
        <w:t xml:space="preserve">Sponsor’s waiving argument 2: “In vitro </w:t>
      </w:r>
      <w:r w:rsidRPr="00B0670E">
        <w:t xml:space="preserve">and </w:t>
      </w:r>
      <w:r w:rsidRPr="00B0670E">
        <w:rPr>
          <w:rFonts w:cs="Calibri,Italic"/>
          <w:iCs/>
        </w:rPr>
        <w:t xml:space="preserve">in vivo </w:t>
      </w:r>
      <w:r w:rsidR="001949C3">
        <w:t>nonclinical</w:t>
      </w:r>
      <w:r w:rsidRPr="00B0670E">
        <w:t xml:space="preserve"> genotoxicity data concludes that the relatively low exposure to allergy immunotherapeutic product </w:t>
      </w:r>
      <w:r w:rsidRPr="00B0670E">
        <w:lastRenderedPageBreak/>
        <w:t xml:space="preserve">prepared from the </w:t>
      </w:r>
      <w:r w:rsidR="002D7A68" w:rsidRPr="002D7A68">
        <w:rPr>
          <w:i/>
        </w:rPr>
        <w:t>Phleum pratense</w:t>
      </w:r>
      <w:r w:rsidRPr="00B0670E">
        <w:rPr>
          <w:rFonts w:cs="Calibri,Italic"/>
          <w:iCs/>
        </w:rPr>
        <w:t xml:space="preserve"> </w:t>
      </w:r>
      <w:r w:rsidRPr="00B0670E">
        <w:t>allergen extract does not pose any genotoxic risk for human patients.”</w:t>
      </w:r>
    </w:p>
    <w:p w14:paraId="0C992E95" w14:textId="77777777" w:rsidR="0027535F" w:rsidRPr="007E2DB5" w:rsidRDefault="0027535F" w:rsidP="0027535F">
      <w:pPr>
        <w:pStyle w:val="ListBullet2"/>
      </w:pPr>
      <w:r w:rsidRPr="007E2DB5">
        <w:t xml:space="preserve">Evaluator’s response 2: There was also no specific in vivo </w:t>
      </w:r>
      <w:r>
        <w:t>nonclinical</w:t>
      </w:r>
      <w:r w:rsidRPr="007E2DB5">
        <w:t xml:space="preserve"> genotoxicity data submitted. The </w:t>
      </w:r>
      <w:r>
        <w:t>sponsor</w:t>
      </w:r>
      <w:r w:rsidRPr="007E2DB5">
        <w:t xml:space="preserve">’s argument does not account for </w:t>
      </w:r>
      <w:r>
        <w:t xml:space="preserve">non-genotoxic </w:t>
      </w:r>
      <w:r w:rsidRPr="007E2DB5">
        <w:t>carcinogenic</w:t>
      </w:r>
      <w:r>
        <w:t xml:space="preserve"> modes of action; particularly at sites of contact with the concentrated material for example the oral mucosa.</w:t>
      </w:r>
    </w:p>
    <w:p w14:paraId="4FE91B6A" w14:textId="439FCA01" w:rsidR="004F701B" w:rsidRPr="007E2DB5" w:rsidRDefault="004F701B" w:rsidP="008818D2">
      <w:pPr>
        <w:pStyle w:val="ListBullet"/>
      </w:pPr>
      <w:r w:rsidRPr="007E2DB5">
        <w:t xml:space="preserve">Sponsor’s waiving argument 3: “The absence of any adverse genotoxic or carcinogenic effect(s) is supported by </w:t>
      </w:r>
      <w:r w:rsidR="0028468D">
        <w:t xml:space="preserve">approximately </w:t>
      </w:r>
      <w:r w:rsidRPr="007E2DB5">
        <w:t xml:space="preserve">30 years of clinical experience with products containing </w:t>
      </w:r>
      <w:r w:rsidR="002D7A68" w:rsidRPr="002D7A68">
        <w:rPr>
          <w:i/>
        </w:rPr>
        <w:t>Phleum pratense</w:t>
      </w:r>
      <w:r w:rsidRPr="007E2DB5">
        <w:rPr>
          <w:rFonts w:cs="Calibri,Italic"/>
          <w:iCs/>
        </w:rPr>
        <w:t xml:space="preserve"> </w:t>
      </w:r>
      <w:r w:rsidRPr="007E2DB5">
        <w:t>allergen extracts.”</w:t>
      </w:r>
    </w:p>
    <w:p w14:paraId="186ADBEA" w14:textId="6415584F" w:rsidR="00D75201" w:rsidRDefault="00D75201" w:rsidP="00D75201">
      <w:pPr>
        <w:pStyle w:val="ListBullet2"/>
      </w:pPr>
      <w:r w:rsidRPr="00B0670E">
        <w:t xml:space="preserve">Evaluators response 3: The </w:t>
      </w:r>
      <w:r>
        <w:t>sponsor</w:t>
      </w:r>
      <w:r w:rsidRPr="00B0670E">
        <w:t>’s comment relies upon three well-known scientific fallacies: (a</w:t>
      </w:r>
      <w:r>
        <w:t xml:space="preserve">) the formal anecdotal fallacy that is </w:t>
      </w:r>
      <w:r w:rsidRPr="00B0670E">
        <w:t>anecdotal information is not equivalent to scientific evidence; (b) the forma</w:t>
      </w:r>
      <w:r>
        <w:t>l appeal to probability fallacy that is</w:t>
      </w:r>
      <w:r w:rsidRPr="00B0670E">
        <w:t xml:space="preserve"> the appeal that takes something for granted because it might be the case is not equivalent to scientific evidence; and (c) the informal </w:t>
      </w:r>
      <w:r w:rsidRPr="00B0670E">
        <w:rPr>
          <w:iCs/>
          <w:lang w:val="en"/>
        </w:rPr>
        <w:t xml:space="preserve">argumentum ad </w:t>
      </w:r>
      <w:proofErr w:type="spellStart"/>
      <w:r w:rsidRPr="00B0670E">
        <w:rPr>
          <w:iCs/>
          <w:lang w:val="en"/>
        </w:rPr>
        <w:t>ignorantiam</w:t>
      </w:r>
      <w:proofErr w:type="spellEnd"/>
      <w:r>
        <w:rPr>
          <w:iCs/>
          <w:lang w:val="en"/>
        </w:rPr>
        <w:t xml:space="preserve"> fallacy that is </w:t>
      </w:r>
      <w:r w:rsidRPr="00B0670E">
        <w:rPr>
          <w:iCs/>
          <w:lang w:val="en"/>
        </w:rPr>
        <w:t>an assumption that a claim is true because it has not been</w:t>
      </w:r>
      <w:r>
        <w:rPr>
          <w:iCs/>
          <w:lang w:val="en"/>
        </w:rPr>
        <w:t xml:space="preserve"> (that is there is no definitive data)</w:t>
      </w:r>
      <w:r w:rsidRPr="00B0670E">
        <w:rPr>
          <w:iCs/>
          <w:lang w:val="en"/>
        </w:rPr>
        <w:t xml:space="preserve"> or cannot be proven false is not equivalent to scientific evidence.</w:t>
      </w:r>
      <w:r w:rsidRPr="00B0670E">
        <w:t xml:space="preserve"> </w:t>
      </w:r>
      <w:r>
        <w:t xml:space="preserve">However, on the other hand, there is also no clear and conclusive evidence </w:t>
      </w:r>
      <w:r w:rsidR="007632AE">
        <w:t>which</w:t>
      </w:r>
      <w:r>
        <w:t xml:space="preserve"> demonstrates that </w:t>
      </w:r>
      <w:r w:rsidRPr="002D7A68">
        <w:rPr>
          <w:i/>
        </w:rPr>
        <w:t>Phleum pratense</w:t>
      </w:r>
      <w:r>
        <w:t xml:space="preserve"> allergen extracts are carcinogenic. The current scientific situation is akin to that of “not even wrong” that is there is insufficient data to reach a definitive scientific conclusion.</w:t>
      </w:r>
    </w:p>
    <w:p w14:paraId="4FE91B6C" w14:textId="10FE604F" w:rsidR="004F701B" w:rsidRPr="00B0670E" w:rsidRDefault="004F701B" w:rsidP="008818D2">
      <w:pPr>
        <w:pStyle w:val="ListBullet"/>
      </w:pPr>
      <w:r w:rsidRPr="00B0670E">
        <w:t>Sponsor’s waiving argument 4: For sublingually administered allergy immunotherapy products, studies have shown that only limited absorption of the allergen through the oral mucosa occurs. Therefore, no systemic absorption of sublingually applied allergen is expected to any significant extent.”</w:t>
      </w:r>
    </w:p>
    <w:p w14:paraId="3634E3DF" w14:textId="77777777" w:rsidR="00D75201" w:rsidRDefault="00D75201" w:rsidP="00D75201">
      <w:pPr>
        <w:pStyle w:val="ListBullet2"/>
      </w:pPr>
      <w:r w:rsidRPr="00B0670E">
        <w:t xml:space="preserve">Evaluator’s response 4: The </w:t>
      </w:r>
      <w:r>
        <w:t>sponsor</w:t>
      </w:r>
      <w:r w:rsidRPr="00B0670E">
        <w:t>’s waiving argument does not account for potential local effects in the mouth (an important consideration for materials that are held within the mouth for an extended period). Furthermore, epitopes from the drug substance must be transported by dendritic cells</w:t>
      </w:r>
      <w:r>
        <w:t xml:space="preserve"> and other antigen presenting cells</w:t>
      </w:r>
      <w:r w:rsidRPr="00B0670E">
        <w:t xml:space="preserve"> to the regional lymph node in order for the primary pharmacological actions to occur </w:t>
      </w:r>
      <w:r>
        <w:t>that is</w:t>
      </w:r>
      <w:r w:rsidRPr="00B0670E">
        <w:t xml:space="preserve"> exposure to components of the drug substance at sites beyond the oral mucosa</w:t>
      </w:r>
      <w:r>
        <w:t xml:space="preserve">. </w:t>
      </w:r>
      <w:r w:rsidRPr="00B0670E">
        <w:t xml:space="preserve">Finally, the </w:t>
      </w:r>
      <w:r>
        <w:t>sponsor</w:t>
      </w:r>
      <w:r w:rsidRPr="00B0670E">
        <w:t xml:space="preserve">’s waiving argument does not account for the non-protein sub-fraction of the </w:t>
      </w:r>
      <w:proofErr w:type="spellStart"/>
      <w:r w:rsidRPr="00B0670E">
        <w:t>Phl</w:t>
      </w:r>
      <w:proofErr w:type="spellEnd"/>
      <w:r w:rsidRPr="00B0670E">
        <w:t xml:space="preserve"> p allergen extract drug substance (which may account for up to 40% of the drug substance)</w:t>
      </w:r>
      <w:r>
        <w:t>, components of which may be absorbed across the gastrointestinal barrier.</w:t>
      </w:r>
    </w:p>
    <w:p w14:paraId="4FE91B6E" w14:textId="129F06C5" w:rsidR="004F701B" w:rsidRPr="00B0670E" w:rsidRDefault="004F701B" w:rsidP="008818D2">
      <w:pPr>
        <w:pStyle w:val="ListBullet"/>
      </w:pPr>
      <w:r w:rsidRPr="00B0670E">
        <w:t>Sponsor’s waiving argument 5: The inherent properties of the product (naturally occurring proteins) makes it very unlikely that any interaction with intra-cellular DNA should occur.</w:t>
      </w:r>
    </w:p>
    <w:p w14:paraId="4FE91B6F" w14:textId="393EF47D" w:rsidR="004F701B" w:rsidRPr="00B0670E" w:rsidRDefault="004F701B" w:rsidP="001949C3">
      <w:pPr>
        <w:pStyle w:val="ListBullet2"/>
      </w:pPr>
      <w:r w:rsidRPr="00B0670E">
        <w:t xml:space="preserve">Evaluator’s response 5: </w:t>
      </w:r>
      <w:r w:rsidR="00D75201" w:rsidRPr="00B0670E">
        <w:t xml:space="preserve">This </w:t>
      </w:r>
      <w:r w:rsidR="00D75201">
        <w:t>sponsor</w:t>
      </w:r>
      <w:r w:rsidR="00D75201" w:rsidRPr="00B0670E">
        <w:t xml:space="preserve">’s argument is likely correct for the protein sub-fraction of the </w:t>
      </w:r>
      <w:proofErr w:type="spellStart"/>
      <w:r w:rsidR="00D75201" w:rsidRPr="00B0670E">
        <w:t>Phl</w:t>
      </w:r>
      <w:proofErr w:type="spellEnd"/>
      <w:r w:rsidR="00D75201" w:rsidRPr="00B0670E">
        <w:t xml:space="preserve"> p allergen extract</w:t>
      </w:r>
      <w:r w:rsidR="00D75201">
        <w:t xml:space="preserve">. </w:t>
      </w:r>
      <w:r w:rsidR="00D75201" w:rsidRPr="00B0670E">
        <w:t xml:space="preserve">However, </w:t>
      </w:r>
      <w:r w:rsidR="00D75201">
        <w:t>it does not account for the non</w:t>
      </w:r>
      <w:r w:rsidR="00D75201">
        <w:noBreakHyphen/>
      </w:r>
      <w:r w:rsidR="00D75201" w:rsidRPr="00B0670E">
        <w:t xml:space="preserve">protein sub-fraction (which may account for up to 40% of the drug substance). Furthermore, the </w:t>
      </w:r>
      <w:r w:rsidR="00D75201">
        <w:t>sponsor</w:t>
      </w:r>
      <w:r w:rsidR="00D75201" w:rsidRPr="00B0670E">
        <w:t>’s comment does not account for any potential non-genotoxic carcinogenic mode of action.</w:t>
      </w:r>
    </w:p>
    <w:p w14:paraId="4FE91B70" w14:textId="77777777" w:rsidR="004F701B" w:rsidRPr="00B0670E" w:rsidRDefault="004F701B" w:rsidP="008818D2">
      <w:pPr>
        <w:pStyle w:val="ListBullet"/>
        <w:rPr>
          <w:lang w:val="en-US"/>
        </w:rPr>
      </w:pPr>
      <w:r w:rsidRPr="00B0670E">
        <w:t xml:space="preserve">Sponsor’s waiving argument 6: </w:t>
      </w:r>
      <w:r>
        <w:t>“</w:t>
      </w:r>
      <w:r w:rsidRPr="00B0670E">
        <w:t xml:space="preserve">Although many naturally occurring materials have the potential for genotoxicity and/or carcinogenicity, despite a large proportion of the world's population being exposed to </w:t>
      </w:r>
      <w:r w:rsidR="002D7A68" w:rsidRPr="002D7A68">
        <w:rPr>
          <w:i/>
        </w:rPr>
        <w:t>Phleum pratense</w:t>
      </w:r>
      <w:r w:rsidRPr="00B0670E">
        <w:rPr>
          <w:rFonts w:cs="Calibri,Italic"/>
          <w:iCs/>
        </w:rPr>
        <w:t xml:space="preserve"> </w:t>
      </w:r>
      <w:r w:rsidRPr="00B0670E">
        <w:t>allergens on a daily basis throughout their lives, there is no recorded evidence of any adverse health conditions related to genotoxic and/or carcinogenic potential.</w:t>
      </w:r>
      <w:r>
        <w:t>”</w:t>
      </w:r>
    </w:p>
    <w:p w14:paraId="3654E221" w14:textId="2361EE40" w:rsidR="00D75201" w:rsidRDefault="004F701B" w:rsidP="002D201B">
      <w:pPr>
        <w:pStyle w:val="ListBullet2"/>
      </w:pPr>
      <w:r>
        <w:t xml:space="preserve">Evaluator’s response 6: </w:t>
      </w:r>
      <w:r w:rsidR="00D75201">
        <w:t xml:space="preserve">The evaluator could not locate any definitive epidemiological data to support the sponsor’s evaluation. Furthermore gastrointestinal exposure to concentrated Timothy grass pollen is not the norm for </w:t>
      </w:r>
      <w:r w:rsidR="00D75201">
        <w:lastRenderedPageBreak/>
        <w:t xml:space="preserve">the human population and intact Timothy grass pollen is not the same substance as a concentrated solvent-defatted pollen extract. The major route of background exposure to Timothy grass pollen is via inhalation and the major site of deposition of Timothy grass pollen within the respiratory tract is the tracheobronchial region (Timothy grass pollen antigens are predominantly associated with air particulates with a mass median aerodynamic diameter (MMAD) of ≥ 7.2 </w:t>
      </w:r>
      <w:r w:rsidR="00D75201" w:rsidRPr="00F16F5F">
        <w:rPr>
          <w:rFonts w:eastAsia="Gulim"/>
        </w:rPr>
        <w:t>µ</w:t>
      </w:r>
      <w:r w:rsidR="00D75201" w:rsidRPr="00640F7A">
        <w:t>m</w:t>
      </w:r>
      <w:r w:rsidR="00D75201">
        <w:t>).</w:t>
      </w:r>
      <w:r w:rsidR="00D75201">
        <w:rPr>
          <w:rStyle w:val="FootnoteReference"/>
          <w:rFonts w:asciiTheme="minorHAnsi" w:eastAsiaTheme="minorHAnsi" w:hAnsiTheme="minorHAnsi" w:cs="Calibri"/>
        </w:rPr>
        <w:footnoteReference w:id="56"/>
      </w:r>
      <w:r w:rsidR="00D75201">
        <w:t xml:space="preserve"> This is not toxicologically equivalent to sublingual application of Timothy grass pollen extracts, although some laryngopharyngeal/oesophageal exposure to inhaled intact pollen could be expected due to tracheobronchial </w:t>
      </w:r>
      <w:proofErr w:type="spellStart"/>
      <w:r w:rsidR="00D75201">
        <w:t>mucociliary</w:t>
      </w:r>
      <w:proofErr w:type="spellEnd"/>
      <w:r w:rsidR="00D75201">
        <w:t xml:space="preserve"> clearance.</w:t>
      </w:r>
    </w:p>
    <w:p w14:paraId="51B34DD1" w14:textId="77777777" w:rsidR="00D75201" w:rsidRDefault="00D75201" w:rsidP="00D75201">
      <w:pPr>
        <w:rPr>
          <w:rFonts w:asciiTheme="minorHAnsi" w:hAnsiTheme="minorHAnsi"/>
        </w:rPr>
      </w:pPr>
      <w:r w:rsidRPr="00E953AB">
        <w:rPr>
          <w:rFonts w:asciiTheme="minorHAnsi" w:hAnsiTheme="minorHAnsi"/>
        </w:rPr>
        <w:t>Overall, there is no definitive data.</w:t>
      </w:r>
      <w:r>
        <w:rPr>
          <w:rFonts w:asciiTheme="minorHAnsi" w:hAnsiTheme="minorHAnsi"/>
        </w:rPr>
        <w:t xml:space="preserve"> The supplied data is insufficient (statistically and experimental design wise) for the assessment of pre-neoplastic and neoplastic lesions in animals. </w:t>
      </w:r>
      <w:r w:rsidRPr="00E953AB">
        <w:rPr>
          <w:rFonts w:asciiTheme="minorHAnsi" w:hAnsiTheme="minorHAnsi"/>
        </w:rPr>
        <w:t>The lack of a carcinogenesis studies represents a limitation of the available data set.</w:t>
      </w:r>
      <w:r>
        <w:rPr>
          <w:rFonts w:asciiTheme="minorHAnsi" w:hAnsiTheme="minorHAnsi"/>
        </w:rPr>
        <w:t xml:space="preserve"> The sponsor has claimed that there is no indication of carcinogenic risk in post-market pharmacovigilance data (data not supplied or evaluated).</w:t>
      </w:r>
    </w:p>
    <w:p w14:paraId="4FE91B73" w14:textId="5540B544" w:rsidR="008818D2" w:rsidRPr="00E953AB" w:rsidRDefault="008818D2" w:rsidP="008818D2">
      <w:pPr>
        <w:pStyle w:val="Heading4"/>
      </w:pPr>
      <w:bookmarkStart w:id="83" w:name="_Toc455737041"/>
      <w:r w:rsidRPr="00E953AB">
        <w:t>Reproductive toxicity</w:t>
      </w:r>
      <w:bookmarkEnd w:id="83"/>
    </w:p>
    <w:p w14:paraId="4FE91B74" w14:textId="77777777" w:rsidR="008818D2" w:rsidRPr="00E953AB" w:rsidRDefault="001949C3" w:rsidP="008818D2">
      <w:pPr>
        <w:rPr>
          <w:lang w:val="en-US"/>
        </w:rPr>
      </w:pPr>
      <w:r>
        <w:rPr>
          <w:lang w:val="en-US"/>
        </w:rPr>
        <w:t>The dossier section is non</w:t>
      </w:r>
      <w:r w:rsidR="008818D2" w:rsidRPr="00E953AB">
        <w:rPr>
          <w:lang w:val="en-US"/>
        </w:rPr>
        <w:t xml:space="preserve"> ICH S5 (R2) compliant (lack of a non-rodent embryo-fetal development study). The </w:t>
      </w:r>
      <w:r w:rsidR="002D7A68">
        <w:rPr>
          <w:lang w:val="en-US"/>
        </w:rPr>
        <w:t>sponsor</w:t>
      </w:r>
      <w:r w:rsidR="008818D2" w:rsidRPr="00E953AB">
        <w:rPr>
          <w:lang w:val="en-US"/>
        </w:rPr>
        <w:t xml:space="preserve"> has also not performed studies in the ICH S5 (R2) preferred rodent species (rats). The </w:t>
      </w:r>
      <w:r w:rsidR="002D7A68">
        <w:rPr>
          <w:lang w:val="en-US"/>
        </w:rPr>
        <w:t>sponsor</w:t>
      </w:r>
      <w:r w:rsidR="008818D2" w:rsidRPr="00E953AB">
        <w:rPr>
          <w:lang w:val="en-US"/>
        </w:rPr>
        <w:t xml:space="preserve"> has provided the following waiving argum</w:t>
      </w:r>
      <w:r>
        <w:rPr>
          <w:lang w:val="en-US"/>
        </w:rPr>
        <w:t>ents to support this decision (m</w:t>
      </w:r>
      <w:r w:rsidR="008818D2" w:rsidRPr="00E953AB">
        <w:rPr>
          <w:lang w:val="en-US"/>
        </w:rPr>
        <w:t>odule 2.6) (with the evaluator’s responses):</w:t>
      </w:r>
    </w:p>
    <w:p w14:paraId="4FE91B75" w14:textId="77777777" w:rsidR="008818D2" w:rsidRPr="00F765DA" w:rsidRDefault="008818D2" w:rsidP="008818D2">
      <w:pPr>
        <w:pStyle w:val="ListBullet"/>
        <w:rPr>
          <w:lang w:val="en-US"/>
        </w:rPr>
      </w:pPr>
      <w:r>
        <w:rPr>
          <w:lang w:val="en-US"/>
        </w:rPr>
        <w:t>Sponsor’s waiving argument 1: “</w:t>
      </w:r>
      <w:r w:rsidRPr="00F765DA">
        <w:rPr>
          <w:lang w:val="en-US"/>
        </w:rPr>
        <w:t xml:space="preserve">ALK has extensive experience in developing therapeutic goods for </w:t>
      </w:r>
      <w:proofErr w:type="spellStart"/>
      <w:r w:rsidRPr="00F765DA">
        <w:rPr>
          <w:lang w:val="en-US"/>
        </w:rPr>
        <w:t>commercial</w:t>
      </w:r>
      <w:r w:rsidR="004A7F98">
        <w:rPr>
          <w:lang w:val="en-US"/>
        </w:rPr>
        <w:t>is</w:t>
      </w:r>
      <w:r w:rsidRPr="00F765DA">
        <w:rPr>
          <w:lang w:val="en-US"/>
        </w:rPr>
        <w:t>ation</w:t>
      </w:r>
      <w:proofErr w:type="spellEnd"/>
      <w:r w:rsidRPr="00F765DA">
        <w:rPr>
          <w:lang w:val="en-US"/>
        </w:rPr>
        <w:t xml:space="preserve"> using the mouse as an appropriate model for reproductive toxicity testing (</w:t>
      </w:r>
      <w:r w:rsidR="00C76A34">
        <w:rPr>
          <w:lang w:val="en-US"/>
        </w:rPr>
        <w:t>for example</w:t>
      </w:r>
      <w:r w:rsidRPr="00F765DA">
        <w:rPr>
          <w:lang w:val="en-US"/>
        </w:rPr>
        <w:t xml:space="preserve"> </w:t>
      </w:r>
      <w:r w:rsidR="00FA2591">
        <w:rPr>
          <w:lang w:val="en-US"/>
        </w:rPr>
        <w:t>Grastek</w:t>
      </w:r>
      <w:r w:rsidRPr="00F765DA">
        <w:rPr>
          <w:lang w:val="en-US"/>
        </w:rPr>
        <w:t xml:space="preserve"> approved in the EU, Canada and US in 2006, 2013 and 2014 respectively). The use of mice as a single </w:t>
      </w:r>
      <w:r w:rsidR="001949C3">
        <w:rPr>
          <w:lang w:val="en-US"/>
        </w:rPr>
        <w:t>species for non</w:t>
      </w:r>
      <w:r w:rsidRPr="00F765DA">
        <w:rPr>
          <w:lang w:val="en-US"/>
        </w:rPr>
        <w:t>clinical development has</w:t>
      </w:r>
      <w:r>
        <w:rPr>
          <w:lang w:val="en-US"/>
        </w:rPr>
        <w:t xml:space="preserve"> </w:t>
      </w:r>
      <w:r w:rsidRPr="00F765DA">
        <w:rPr>
          <w:lang w:val="en-US"/>
        </w:rPr>
        <w:t>previously, and on multiple occasions, been discussed with and agreed to by the Paul-Ehrlich-</w:t>
      </w:r>
      <w:proofErr w:type="spellStart"/>
      <w:r w:rsidRPr="00F765DA">
        <w:rPr>
          <w:lang w:val="en-US"/>
        </w:rPr>
        <w:t>Institut</w:t>
      </w:r>
      <w:proofErr w:type="spellEnd"/>
      <w:r w:rsidRPr="00F765DA">
        <w:rPr>
          <w:lang w:val="en-US"/>
        </w:rPr>
        <w:t xml:space="preserve"> (PEI), the German competent authority for allergen products. The most recent discussions with the PEI on the use of mice as a single species for reproductive toxicity took place in 2014.</w:t>
      </w:r>
      <w:r>
        <w:rPr>
          <w:lang w:val="en-US"/>
        </w:rPr>
        <w:t>”</w:t>
      </w:r>
    </w:p>
    <w:p w14:paraId="22C50AF2" w14:textId="293F51AA" w:rsidR="00D75201" w:rsidRPr="00AC41C6" w:rsidRDefault="008818D2" w:rsidP="007E2AF3">
      <w:pPr>
        <w:pStyle w:val="ListBullet2"/>
        <w:rPr>
          <w:lang w:val="en-US"/>
        </w:rPr>
      </w:pPr>
      <w:r>
        <w:rPr>
          <w:lang w:val="en-US"/>
        </w:rPr>
        <w:t xml:space="preserve">Evaluator’s response 1: </w:t>
      </w:r>
      <w:r w:rsidR="00D75201" w:rsidRPr="00D75201">
        <w:rPr>
          <w:lang w:val="en-US"/>
        </w:rPr>
        <w:t>This is not a waiving argument. The statement specifically does not address the issues of a lack of a non-rodent teratology study and the use of mice, rather than the ICH S5 (R2) preferred rodent species (rats).</w:t>
      </w:r>
    </w:p>
    <w:p w14:paraId="4FE91B77" w14:textId="23F5EE9D" w:rsidR="008818D2" w:rsidRPr="006F5872" w:rsidRDefault="008818D2" w:rsidP="008818D2">
      <w:pPr>
        <w:pStyle w:val="ListBullet"/>
        <w:rPr>
          <w:lang w:val="en-US"/>
        </w:rPr>
      </w:pPr>
      <w:r w:rsidRPr="006F5872">
        <w:rPr>
          <w:lang w:val="en-US"/>
        </w:rPr>
        <w:t xml:space="preserve">Sponsor’s waiving argument 2: </w:t>
      </w:r>
      <w:r>
        <w:rPr>
          <w:lang w:val="en-US"/>
        </w:rPr>
        <w:t>“</w:t>
      </w:r>
      <w:r w:rsidRPr="006F5872">
        <w:rPr>
          <w:lang w:val="en-US"/>
        </w:rPr>
        <w:t>It is widely recogn</w:t>
      </w:r>
      <w:r w:rsidR="004A7F98">
        <w:rPr>
          <w:lang w:val="en-US"/>
        </w:rPr>
        <w:t>is</w:t>
      </w:r>
      <w:r w:rsidRPr="006F5872">
        <w:rPr>
          <w:lang w:val="en-US"/>
        </w:rPr>
        <w:t xml:space="preserve">ed that the species chosen for </w:t>
      </w:r>
      <w:r w:rsidR="001949C3">
        <w:rPr>
          <w:lang w:val="en-US"/>
        </w:rPr>
        <w:t>nonclinical</w:t>
      </w:r>
      <w:r w:rsidRPr="006F5872">
        <w:rPr>
          <w:lang w:val="en-US"/>
        </w:rPr>
        <w:t xml:space="preserve"> development should reflect the relevant pharmacodynamic disease model for use of the medicinal product in humans. Bearing </w:t>
      </w:r>
      <w:r w:rsidR="001949C3">
        <w:rPr>
          <w:lang w:val="en-US"/>
        </w:rPr>
        <w:t>in mind the fact that prior non</w:t>
      </w:r>
      <w:r w:rsidRPr="006F5872">
        <w:rPr>
          <w:lang w:val="en-US"/>
        </w:rPr>
        <w:t>clinical testing of allergen extracts in other animal species is limited, it is difficult to draw conclusions from data in other species and the data may not be predictive of use in humans.</w:t>
      </w:r>
      <w:r>
        <w:rPr>
          <w:lang w:val="en-US"/>
        </w:rPr>
        <w:t>”</w:t>
      </w:r>
    </w:p>
    <w:p w14:paraId="1587B5DC" w14:textId="629B1F1B" w:rsidR="00D75201" w:rsidRPr="00AC41C6" w:rsidRDefault="008818D2" w:rsidP="007E2AF3">
      <w:pPr>
        <w:pStyle w:val="ListBullet2"/>
        <w:rPr>
          <w:lang w:val="en-US"/>
        </w:rPr>
      </w:pPr>
      <w:r w:rsidRPr="00D75201">
        <w:rPr>
          <w:lang w:val="en-US"/>
        </w:rPr>
        <w:t xml:space="preserve">Evaluator’s response 2: </w:t>
      </w:r>
      <w:r w:rsidR="00D75201" w:rsidRPr="00D75201">
        <w:rPr>
          <w:lang w:val="en-US"/>
        </w:rPr>
        <w:t>A PubMed search (27-06-2016) demonstrated 6 published studies that util</w:t>
      </w:r>
      <w:r w:rsidR="00D75201" w:rsidRPr="00AC41C6">
        <w:rPr>
          <w:lang w:val="en-US"/>
        </w:rPr>
        <w:t xml:space="preserve">ised the rat as the animal model. Furthermore, </w:t>
      </w:r>
      <w:r w:rsidR="00D75201" w:rsidRPr="00751E03">
        <w:t>SLITs for grass pollen allergies are currently used in a variety of veterinary species</w:t>
      </w:r>
      <w:r w:rsidR="00D75201" w:rsidRPr="00D75201">
        <w:rPr>
          <w:lang w:val="en-US"/>
        </w:rPr>
        <w:t xml:space="preserve"> </w:t>
      </w:r>
      <w:r w:rsidR="00D75201" w:rsidRPr="00751E03">
        <w:t>and the interspecies differences are being progressively explored.</w:t>
      </w:r>
      <w:r w:rsidR="00C82876">
        <w:fldChar w:fldCharType="begin"/>
      </w:r>
      <w:r w:rsidR="00C82876">
        <w:instrText xml:space="preserve"> NOTEREF _Ref511212018 \h  \* MERGEFORMAT </w:instrText>
      </w:r>
      <w:r w:rsidR="00C82876">
        <w:fldChar w:fldCharType="separate"/>
      </w:r>
      <w:r w:rsidR="003D50F1" w:rsidRPr="003D50F1">
        <w:rPr>
          <w:vertAlign w:val="superscript"/>
        </w:rPr>
        <w:t>25</w:t>
      </w:r>
      <w:r w:rsidR="00C82876">
        <w:fldChar w:fldCharType="end"/>
      </w:r>
      <w:r w:rsidR="00C82876">
        <w:t xml:space="preserve"> </w:t>
      </w:r>
      <w:r w:rsidR="00C82876" w:rsidRPr="00C82876">
        <w:rPr>
          <w:vertAlign w:val="superscript"/>
        </w:rPr>
        <w:fldChar w:fldCharType="begin"/>
      </w:r>
      <w:r w:rsidR="00C82876" w:rsidRPr="00C82876">
        <w:rPr>
          <w:vertAlign w:val="superscript"/>
        </w:rPr>
        <w:instrText xml:space="preserve"> NOTEREF _Ref511212020 \h </w:instrText>
      </w:r>
      <w:r w:rsidR="00C82876">
        <w:rPr>
          <w:vertAlign w:val="superscript"/>
        </w:rPr>
        <w:instrText xml:space="preserve"> \* MERGEFORMAT </w:instrText>
      </w:r>
      <w:r w:rsidR="00C82876" w:rsidRPr="00C82876">
        <w:rPr>
          <w:vertAlign w:val="superscript"/>
        </w:rPr>
      </w:r>
      <w:r w:rsidR="00C82876" w:rsidRPr="00C82876">
        <w:rPr>
          <w:vertAlign w:val="superscript"/>
        </w:rPr>
        <w:fldChar w:fldCharType="separate"/>
      </w:r>
      <w:r w:rsidR="003D50F1">
        <w:rPr>
          <w:vertAlign w:val="superscript"/>
        </w:rPr>
        <w:t>26</w:t>
      </w:r>
      <w:r w:rsidR="00C82876" w:rsidRPr="00C82876">
        <w:rPr>
          <w:vertAlign w:val="superscript"/>
        </w:rPr>
        <w:fldChar w:fldCharType="end"/>
      </w:r>
      <w:r w:rsidR="00C82876">
        <w:t xml:space="preserve"> </w:t>
      </w:r>
      <w:r w:rsidR="00C82876" w:rsidRPr="00C82876">
        <w:rPr>
          <w:vertAlign w:val="superscript"/>
        </w:rPr>
        <w:fldChar w:fldCharType="begin"/>
      </w:r>
      <w:r w:rsidR="00C82876" w:rsidRPr="00C82876">
        <w:rPr>
          <w:vertAlign w:val="superscript"/>
        </w:rPr>
        <w:instrText xml:space="preserve"> NOTEREF _Ref511212022 \h </w:instrText>
      </w:r>
      <w:r w:rsidR="00C82876">
        <w:rPr>
          <w:vertAlign w:val="superscript"/>
        </w:rPr>
        <w:instrText xml:space="preserve"> \* MERGEFORMAT </w:instrText>
      </w:r>
      <w:r w:rsidR="00C82876" w:rsidRPr="00C82876">
        <w:rPr>
          <w:vertAlign w:val="superscript"/>
        </w:rPr>
      </w:r>
      <w:r w:rsidR="00C82876" w:rsidRPr="00C82876">
        <w:rPr>
          <w:vertAlign w:val="superscript"/>
        </w:rPr>
        <w:fldChar w:fldCharType="separate"/>
      </w:r>
      <w:r w:rsidR="003D50F1">
        <w:rPr>
          <w:vertAlign w:val="superscript"/>
        </w:rPr>
        <w:t>27</w:t>
      </w:r>
      <w:r w:rsidR="00C82876" w:rsidRPr="00C82876">
        <w:rPr>
          <w:vertAlign w:val="superscript"/>
        </w:rPr>
        <w:fldChar w:fldCharType="end"/>
      </w:r>
      <w:r w:rsidR="00C82876">
        <w:rPr>
          <w:vertAlign w:val="superscript"/>
        </w:rPr>
        <w:t xml:space="preserve"> </w:t>
      </w:r>
      <w:r w:rsidR="00C82876" w:rsidRPr="00C82876">
        <w:rPr>
          <w:vertAlign w:val="superscript"/>
        </w:rPr>
        <w:fldChar w:fldCharType="begin"/>
      </w:r>
      <w:r w:rsidR="00C82876" w:rsidRPr="00C82876">
        <w:rPr>
          <w:vertAlign w:val="superscript"/>
        </w:rPr>
        <w:instrText xml:space="preserve"> NOTEREF _Ref511212024 \h </w:instrText>
      </w:r>
      <w:r w:rsidR="00C82876">
        <w:rPr>
          <w:vertAlign w:val="superscript"/>
        </w:rPr>
        <w:instrText xml:space="preserve"> \* MERGEFORMAT </w:instrText>
      </w:r>
      <w:r w:rsidR="00C82876" w:rsidRPr="00C82876">
        <w:rPr>
          <w:vertAlign w:val="superscript"/>
        </w:rPr>
      </w:r>
      <w:r w:rsidR="00C82876" w:rsidRPr="00C82876">
        <w:rPr>
          <w:vertAlign w:val="superscript"/>
        </w:rPr>
        <w:fldChar w:fldCharType="separate"/>
      </w:r>
      <w:r w:rsidR="003D50F1">
        <w:rPr>
          <w:vertAlign w:val="superscript"/>
        </w:rPr>
        <w:t>28</w:t>
      </w:r>
      <w:r w:rsidR="00C82876" w:rsidRPr="00C82876">
        <w:rPr>
          <w:vertAlign w:val="superscript"/>
        </w:rPr>
        <w:fldChar w:fldCharType="end"/>
      </w:r>
      <w:r w:rsidR="00C82876">
        <w:t xml:space="preserve"> </w:t>
      </w:r>
      <w:r w:rsidR="00C82876" w:rsidRPr="00C82876">
        <w:rPr>
          <w:vertAlign w:val="superscript"/>
        </w:rPr>
        <w:fldChar w:fldCharType="begin"/>
      </w:r>
      <w:r w:rsidR="00C82876" w:rsidRPr="00C82876">
        <w:rPr>
          <w:vertAlign w:val="superscript"/>
        </w:rPr>
        <w:instrText xml:space="preserve"> NOTEREF _Ref511212026 \h </w:instrText>
      </w:r>
      <w:r w:rsidR="00C82876">
        <w:rPr>
          <w:vertAlign w:val="superscript"/>
        </w:rPr>
        <w:instrText xml:space="preserve"> \* MERGEFORMAT </w:instrText>
      </w:r>
      <w:r w:rsidR="00C82876" w:rsidRPr="00C82876">
        <w:rPr>
          <w:vertAlign w:val="superscript"/>
        </w:rPr>
      </w:r>
      <w:r w:rsidR="00C82876" w:rsidRPr="00C82876">
        <w:rPr>
          <w:vertAlign w:val="superscript"/>
        </w:rPr>
        <w:fldChar w:fldCharType="separate"/>
      </w:r>
      <w:r w:rsidR="003D50F1">
        <w:rPr>
          <w:vertAlign w:val="superscript"/>
        </w:rPr>
        <w:t>29</w:t>
      </w:r>
      <w:r w:rsidR="00C82876" w:rsidRPr="00C82876">
        <w:rPr>
          <w:vertAlign w:val="superscript"/>
        </w:rPr>
        <w:fldChar w:fldCharType="end"/>
      </w:r>
      <w:r w:rsidR="00C82876">
        <w:t xml:space="preserve"> </w:t>
      </w:r>
      <w:r w:rsidR="00C82876">
        <w:rPr>
          <w:vertAlign w:val="superscript"/>
        </w:rPr>
        <w:t xml:space="preserve"> </w:t>
      </w:r>
      <w:r w:rsidR="00C82876" w:rsidRPr="00C82876">
        <w:rPr>
          <w:vertAlign w:val="superscript"/>
        </w:rPr>
        <w:fldChar w:fldCharType="begin"/>
      </w:r>
      <w:r w:rsidR="00C82876" w:rsidRPr="00C82876">
        <w:rPr>
          <w:vertAlign w:val="superscript"/>
        </w:rPr>
        <w:instrText xml:space="preserve"> NOTEREF _Ref511212096 \h </w:instrText>
      </w:r>
      <w:r w:rsidR="00C82876">
        <w:rPr>
          <w:vertAlign w:val="superscript"/>
        </w:rPr>
        <w:instrText xml:space="preserve"> \* MERGEFORMAT </w:instrText>
      </w:r>
      <w:r w:rsidR="00C82876" w:rsidRPr="00C82876">
        <w:rPr>
          <w:vertAlign w:val="superscript"/>
        </w:rPr>
      </w:r>
      <w:r w:rsidR="00C82876" w:rsidRPr="00C82876">
        <w:rPr>
          <w:vertAlign w:val="superscript"/>
        </w:rPr>
        <w:fldChar w:fldCharType="separate"/>
      </w:r>
      <w:r w:rsidR="003D50F1">
        <w:rPr>
          <w:vertAlign w:val="superscript"/>
        </w:rPr>
        <w:t>33</w:t>
      </w:r>
      <w:r w:rsidR="00C82876" w:rsidRPr="00C82876">
        <w:rPr>
          <w:vertAlign w:val="superscript"/>
        </w:rPr>
        <w:fldChar w:fldCharType="end"/>
      </w:r>
      <w:r w:rsidR="00C82876">
        <w:rPr>
          <w:vertAlign w:val="superscript"/>
        </w:rPr>
        <w:t xml:space="preserve">   </w:t>
      </w:r>
      <w:r w:rsidR="00C82876" w:rsidRPr="00C82876">
        <w:rPr>
          <w:vertAlign w:val="superscript"/>
        </w:rPr>
        <w:fldChar w:fldCharType="begin"/>
      </w:r>
      <w:r w:rsidR="00C82876" w:rsidRPr="00C82876">
        <w:rPr>
          <w:vertAlign w:val="superscript"/>
        </w:rPr>
        <w:instrText xml:space="preserve"> NOTEREF _Ref511212102 \h </w:instrText>
      </w:r>
      <w:r w:rsidR="00C82876">
        <w:rPr>
          <w:vertAlign w:val="superscript"/>
        </w:rPr>
        <w:instrText xml:space="preserve"> \* MERGEFORMAT </w:instrText>
      </w:r>
      <w:r w:rsidR="00C82876" w:rsidRPr="00C82876">
        <w:rPr>
          <w:vertAlign w:val="superscript"/>
        </w:rPr>
      </w:r>
      <w:r w:rsidR="00C82876" w:rsidRPr="00C82876">
        <w:rPr>
          <w:vertAlign w:val="superscript"/>
        </w:rPr>
        <w:fldChar w:fldCharType="separate"/>
      </w:r>
      <w:r w:rsidR="003D50F1">
        <w:rPr>
          <w:vertAlign w:val="superscript"/>
        </w:rPr>
        <w:t>35</w:t>
      </w:r>
      <w:r w:rsidR="00C82876" w:rsidRPr="00C82876">
        <w:rPr>
          <w:vertAlign w:val="superscript"/>
        </w:rPr>
        <w:fldChar w:fldCharType="end"/>
      </w:r>
      <w:r w:rsidR="00C82876">
        <w:t xml:space="preserve">. </w:t>
      </w:r>
      <w:r w:rsidR="00D75201">
        <w:t xml:space="preserve">The sponsor’s claims that the mouse is the only available model are not correct. Critically, the results of the only available mouse primary pharmacology study demonstrate substantial differences between this animal model and the sponsor’s claimed effects in humans for example the </w:t>
      </w:r>
      <w:proofErr w:type="spellStart"/>
      <w:r w:rsidR="00D75201">
        <w:t>dosimetric</w:t>
      </w:r>
      <w:proofErr w:type="spellEnd"/>
      <w:r w:rsidR="00D75201">
        <w:t xml:space="preserve"> relationships appear to be considerably different; and the major humoral immune response in the mouse model was the development of serum and surface IgA blocking antibodies whereas </w:t>
      </w:r>
      <w:r w:rsidR="00D75201">
        <w:lastRenderedPageBreak/>
        <w:t>the sponsor claims that the key blocking antibody class in humans is IgG, specifically IgG</w:t>
      </w:r>
      <w:r w:rsidR="00D75201" w:rsidRPr="00D75201">
        <w:rPr>
          <w:vertAlign w:val="subscript"/>
        </w:rPr>
        <w:t>4</w:t>
      </w:r>
      <w:r w:rsidR="00D75201">
        <w:t>. The sponsor has already “</w:t>
      </w:r>
      <w:r w:rsidR="00D75201" w:rsidRPr="00D75201">
        <w:rPr>
          <w:lang w:val="en-US"/>
        </w:rPr>
        <w:t>drawn conclusions from data in other species” whose responses “</w:t>
      </w:r>
      <w:r w:rsidR="00D75201" w:rsidRPr="00AC41C6">
        <w:rPr>
          <w:lang w:val="en-US"/>
        </w:rPr>
        <w:t>may not be predictive of use in humans.”</w:t>
      </w:r>
    </w:p>
    <w:p w14:paraId="4FE91B79" w14:textId="18B338B6" w:rsidR="008818D2" w:rsidRPr="00D75201" w:rsidRDefault="008818D2" w:rsidP="007E2AF3">
      <w:pPr>
        <w:pStyle w:val="ListBullet"/>
        <w:rPr>
          <w:lang w:val="en-US"/>
        </w:rPr>
      </w:pPr>
      <w:r w:rsidRPr="00D75201">
        <w:rPr>
          <w:lang w:val="en-US"/>
        </w:rPr>
        <w:t>Sponsor’s waiving argument 3: “Thus, through extensive in-house testing, and in accordance with ICH S6 (R1), ALK has identified mouse as the only established pharmacologically relevant species and the model of choice for testing of sublingual immunotherapy (SLIT).”</w:t>
      </w:r>
    </w:p>
    <w:p w14:paraId="5788C6FF" w14:textId="2E934FB9" w:rsidR="00D75201" w:rsidRPr="00AC41C6" w:rsidRDefault="008818D2" w:rsidP="007E2AF3">
      <w:pPr>
        <w:pStyle w:val="ListBullet2"/>
        <w:rPr>
          <w:lang w:val="en-US"/>
        </w:rPr>
      </w:pPr>
      <w:r>
        <w:rPr>
          <w:lang w:val="en-US"/>
        </w:rPr>
        <w:t>Evaluators response 3:</w:t>
      </w:r>
      <w:r w:rsidR="0028468D">
        <w:rPr>
          <w:lang w:val="en-US"/>
        </w:rPr>
        <w:t xml:space="preserve"> </w:t>
      </w:r>
      <w:r w:rsidR="00D75201" w:rsidRPr="00D75201">
        <w:rPr>
          <w:lang w:val="en-US"/>
        </w:rPr>
        <w:t>Allergen extracts are not ICH S6(R1) biotechnology products:</w:t>
      </w:r>
    </w:p>
    <w:p w14:paraId="354702AC" w14:textId="77777777" w:rsidR="00D75201" w:rsidRPr="00DE2074" w:rsidRDefault="00D75201" w:rsidP="00D75201">
      <w:pPr>
        <w:ind w:left="720"/>
      </w:pPr>
      <w:r w:rsidRPr="00CA3130">
        <w:rPr>
          <w:lang w:val="en-US"/>
        </w:rPr>
        <w:t>“</w:t>
      </w:r>
      <w:r w:rsidRPr="001949C3">
        <w:rPr>
          <w:i/>
        </w:rPr>
        <w:t>This document does not cover antibiotics, allergenic extracts, heparin, vitamins, cellular blood components, conventional bacterial or viral vaccines, DNA vaccines, or cellular and gene therapies.</w:t>
      </w:r>
      <w:r w:rsidRPr="00CA3130">
        <w:t>”</w:t>
      </w:r>
      <w:r>
        <w:t xml:space="preserve"> </w:t>
      </w:r>
      <w:proofErr w:type="gramStart"/>
      <w:r>
        <w:t>(1.3 [page 1] ICH S6 (R1).</w:t>
      </w:r>
      <w:proofErr w:type="gramEnd"/>
    </w:p>
    <w:p w14:paraId="003E58C1" w14:textId="77777777" w:rsidR="00D75201" w:rsidRPr="00CA3130" w:rsidRDefault="00D75201" w:rsidP="00D75201">
      <w:pPr>
        <w:ind w:left="720"/>
        <w:rPr>
          <w:lang w:val="en-US"/>
        </w:rPr>
      </w:pPr>
      <w:r>
        <w:t>Waiving arguments premised on ICH S6 (R1) are therefore inappropriate. The remainder of the sponsor’s statement is dealt with above (</w:t>
      </w:r>
      <w:r>
        <w:rPr>
          <w:i/>
        </w:rPr>
        <w:t>Evaluator’s response 2</w:t>
      </w:r>
      <w:r>
        <w:t>).</w:t>
      </w:r>
    </w:p>
    <w:p w14:paraId="4FE91B7D" w14:textId="19B54099" w:rsidR="008818D2" w:rsidRDefault="008818D2" w:rsidP="008818D2">
      <w:pPr>
        <w:pStyle w:val="ListBullet"/>
        <w:rPr>
          <w:lang w:val="en-US"/>
        </w:rPr>
      </w:pPr>
      <w:r w:rsidRPr="0043114B">
        <w:rPr>
          <w:lang w:val="en-US"/>
        </w:rPr>
        <w:t xml:space="preserve">Sponsor’s waiving argument 4: “Of note, the </w:t>
      </w:r>
      <w:r w:rsidR="001949C3">
        <w:rPr>
          <w:lang w:val="en-US"/>
        </w:rPr>
        <w:t>nonclinical</w:t>
      </w:r>
      <w:r w:rsidRPr="0043114B">
        <w:rPr>
          <w:lang w:val="en-US"/>
        </w:rPr>
        <w:t xml:space="preserve"> development program for </w:t>
      </w:r>
      <w:r>
        <w:rPr>
          <w:lang w:val="en-US"/>
        </w:rPr>
        <w:t>Grazax</w:t>
      </w:r>
      <w:r w:rsidRPr="0043114B">
        <w:rPr>
          <w:lang w:val="en-US"/>
        </w:rPr>
        <w:t xml:space="preserve">, including the use of mice as a single test species for reproductive toxicity testing, has previously been discussed with MPA, Sweden. Furthermore, </w:t>
      </w:r>
      <w:r>
        <w:rPr>
          <w:lang w:val="en-US"/>
        </w:rPr>
        <w:t>Grazax</w:t>
      </w:r>
      <w:r w:rsidRPr="0043114B">
        <w:rPr>
          <w:lang w:val="en-US"/>
        </w:rPr>
        <w:t xml:space="preserve"> is currently approved in the European Union, Switzerland, Turkey, Canada and the United States and no questions regarding the use of a single species have been raised.”</w:t>
      </w:r>
    </w:p>
    <w:p w14:paraId="4FE91B7E" w14:textId="65F573C1" w:rsidR="008818D2" w:rsidRPr="004679E5" w:rsidRDefault="008818D2" w:rsidP="001949C3">
      <w:pPr>
        <w:pStyle w:val="ListBullet2"/>
        <w:rPr>
          <w:lang w:val="en-US"/>
        </w:rPr>
      </w:pPr>
      <w:r w:rsidRPr="004679E5">
        <w:rPr>
          <w:lang w:val="en-US"/>
        </w:rPr>
        <w:t>Evaluator’s response 4</w:t>
      </w:r>
      <w:proofErr w:type="gramStart"/>
      <w:r w:rsidRPr="004679E5">
        <w:rPr>
          <w:lang w:val="en-US"/>
        </w:rPr>
        <w:t xml:space="preserve">: </w:t>
      </w:r>
      <w:r w:rsidR="00AC41C6">
        <w:rPr>
          <w:lang w:val="en-US"/>
        </w:rPr>
        <w:t>:</w:t>
      </w:r>
      <w:proofErr w:type="gramEnd"/>
      <w:r w:rsidR="00AC41C6">
        <w:rPr>
          <w:lang w:val="en-US"/>
        </w:rPr>
        <w:t xml:space="preserve"> This is exactly the same argument used in sponsor’s waiving argument 1 (above). Again, the statement specifically does not address the issues of a lack of a non-rodent teratology study and the use of mice, rather than the ICH S5 (R2) preferred rodent species (rats).</w:t>
      </w:r>
    </w:p>
    <w:p w14:paraId="4FE91B7F" w14:textId="7A695A1B" w:rsidR="005479B1" w:rsidRDefault="008818D2" w:rsidP="008818D2">
      <w:r>
        <w:rPr>
          <w:lang w:val="en-US"/>
        </w:rPr>
        <w:t>In the</w:t>
      </w:r>
      <w:r w:rsidRPr="00B92D16">
        <w:rPr>
          <w:lang w:val="en-US"/>
        </w:rPr>
        <w:t xml:space="preserve"> mouse combined fertility and embryonic development study, </w:t>
      </w:r>
      <w:r w:rsidRPr="00B92D16">
        <w:t>there was a clustering of a small number of litters</w:t>
      </w:r>
      <w:r>
        <w:t xml:space="preserve"> (</w:t>
      </w:r>
      <w:r w:rsidRPr="00B92D16">
        <w:t>4/23 litters</w:t>
      </w:r>
      <w:r>
        <w:t xml:space="preserve"> </w:t>
      </w:r>
      <w:r w:rsidR="002A47B8">
        <w:rPr>
          <w:i/>
        </w:rPr>
        <w:t>compared with</w:t>
      </w:r>
      <w:r>
        <w:rPr>
          <w:i/>
        </w:rPr>
        <w:t xml:space="preserve"> </w:t>
      </w:r>
      <w:r w:rsidRPr="00B92D16">
        <w:t>negative control</w:t>
      </w:r>
      <w:r>
        <w:t xml:space="preserve"> </w:t>
      </w:r>
      <w:r w:rsidRPr="00B92D16">
        <w:t>1/43 litters</w:t>
      </w:r>
      <w:r>
        <w:t>)</w:t>
      </w:r>
      <w:r w:rsidRPr="00B92D16">
        <w:t xml:space="preserve"> containing a single dead fetus at 1</w:t>
      </w:r>
      <w:r w:rsidR="001949C3">
        <w:t>,</w:t>
      </w:r>
      <w:r w:rsidRPr="00B92D16">
        <w:t>522</w:t>
      </w:r>
      <w:r w:rsidR="001949C3">
        <w:t xml:space="preserve"> </w:t>
      </w:r>
      <w:r w:rsidRPr="00B92D16">
        <w:t xml:space="preserve">X </w:t>
      </w:r>
      <w:r>
        <w:t xml:space="preserve">clinical dose </w:t>
      </w:r>
      <w:r w:rsidRPr="00B92D16">
        <w:t>(on a dry matter and BSA basis)</w:t>
      </w:r>
      <w:r>
        <w:t xml:space="preserve"> without any effect on the </w:t>
      </w:r>
      <w:r w:rsidRPr="00B92D16">
        <w:t>mean number of late resorptio</w:t>
      </w:r>
      <w:r w:rsidR="00B1428D">
        <w:t xml:space="preserve">ns per litter. The test article </w:t>
      </w:r>
      <w:r w:rsidRPr="00B92D16">
        <w:t xml:space="preserve">relevance of this </w:t>
      </w:r>
      <w:r>
        <w:t>is</w:t>
      </w:r>
      <w:r w:rsidRPr="00B92D16">
        <w:t xml:space="preserve"> uncertain. There was also an apparent decrease in the 1</w:t>
      </w:r>
      <w:r w:rsidR="00B1428D">
        <w:t>,</w:t>
      </w:r>
      <w:r w:rsidRPr="00B92D16">
        <w:t>522</w:t>
      </w:r>
      <w:r w:rsidR="00B1428D">
        <w:t xml:space="preserve"> </w:t>
      </w:r>
      <w:r w:rsidRPr="00B92D16">
        <w:t xml:space="preserve">X </w:t>
      </w:r>
      <w:r>
        <w:t>clinical dose</w:t>
      </w:r>
      <w:r w:rsidRPr="00B92D16">
        <w:t xml:space="preserve"> group in the proportion of </w:t>
      </w:r>
      <w:proofErr w:type="spellStart"/>
      <w:r w:rsidRPr="00B92D16">
        <w:t>fetuses</w:t>
      </w:r>
      <w:proofErr w:type="spellEnd"/>
      <w:r w:rsidRPr="00B92D16">
        <w:t xml:space="preserve"> with a skull </w:t>
      </w:r>
      <w:proofErr w:type="spellStart"/>
      <w:r w:rsidRPr="00B92D16">
        <w:t>nasofrontal</w:t>
      </w:r>
      <w:proofErr w:type="spellEnd"/>
      <w:r w:rsidRPr="00B92D16">
        <w:t xml:space="preserve"> ossification centre (17% </w:t>
      </w:r>
      <w:r w:rsidR="002A47B8" w:rsidRPr="00B1428D">
        <w:t>compared with</w:t>
      </w:r>
      <w:r w:rsidRPr="00B92D16">
        <w:t xml:space="preserve"> 40% in the control group) and with incomplete hyoid apparatus ossification (30% </w:t>
      </w:r>
      <w:r w:rsidR="002A47B8" w:rsidRPr="00B1428D">
        <w:t>compared with</w:t>
      </w:r>
      <w:r w:rsidRPr="00B92D16">
        <w:t xml:space="preserve"> 18%</w:t>
      </w:r>
      <w:r>
        <w:t xml:space="preserve"> in the control group</w:t>
      </w:r>
      <w:r w:rsidRPr="00B92D16">
        <w:t xml:space="preserve">). The incidence of </w:t>
      </w:r>
      <w:proofErr w:type="spellStart"/>
      <w:r w:rsidRPr="00B92D16">
        <w:t>nasofrontal</w:t>
      </w:r>
      <w:proofErr w:type="spellEnd"/>
      <w:r w:rsidRPr="00B92D16">
        <w:t xml:space="preserve"> ossification centres </w:t>
      </w:r>
      <w:r>
        <w:t>is</w:t>
      </w:r>
      <w:r w:rsidRPr="00B92D16">
        <w:t xml:space="preserve"> </w:t>
      </w:r>
      <w:r w:rsidR="00B1428D">
        <w:t xml:space="preserve">well within the normal range (0 to </w:t>
      </w:r>
      <w:r w:rsidRPr="00B92D16">
        <w:t>94% with a mean of 32%) in the 1</w:t>
      </w:r>
      <w:r w:rsidR="00B1428D">
        <w:t>,</w:t>
      </w:r>
      <w:r w:rsidRPr="00B92D16">
        <w:t>522</w:t>
      </w:r>
      <w:r w:rsidR="00B1428D">
        <w:t xml:space="preserve"> </w:t>
      </w:r>
      <w:r w:rsidRPr="00B92D16">
        <w:t xml:space="preserve">X </w:t>
      </w:r>
      <w:r>
        <w:t>clinical dose</w:t>
      </w:r>
      <w:r w:rsidRPr="00B92D16">
        <w:t xml:space="preserve"> and negative control groups.</w:t>
      </w:r>
      <w:r w:rsidRPr="00B92D16">
        <w:rPr>
          <w:rStyle w:val="FootnoteReference"/>
        </w:rPr>
        <w:footnoteReference w:id="57"/>
      </w:r>
      <w:r w:rsidRPr="00B92D16">
        <w:t xml:space="preserve"> The incidence of incomplete hyoid apparatus ossification (30%) in the 1</w:t>
      </w:r>
      <w:r w:rsidR="00B1428D">
        <w:t>,</w:t>
      </w:r>
      <w:r w:rsidRPr="00B92D16">
        <w:t>522</w:t>
      </w:r>
      <w:r w:rsidR="00B1428D">
        <w:t xml:space="preserve"> </w:t>
      </w:r>
      <w:r w:rsidRPr="00B92D16">
        <w:t xml:space="preserve">X </w:t>
      </w:r>
      <w:r>
        <w:t>clinical dose</w:t>
      </w:r>
      <w:r w:rsidRPr="00B92D16">
        <w:t xml:space="preserve"> group is </w:t>
      </w:r>
      <w:r w:rsidR="0028468D">
        <w:t xml:space="preserve">approximately </w:t>
      </w:r>
      <w:r w:rsidRPr="00B92D16">
        <w:t>2</w:t>
      </w:r>
      <w:r w:rsidR="00B1428D">
        <w:t xml:space="preserve"> </w:t>
      </w:r>
      <w:r w:rsidRPr="00B92D16">
        <w:t>X the upper range of the normal historical contro</w:t>
      </w:r>
      <w:r w:rsidR="00B1428D">
        <w:t xml:space="preserve">l incidence for this finding (0 to </w:t>
      </w:r>
      <w:r w:rsidRPr="00B92D16">
        <w:t>15%).</w:t>
      </w:r>
      <w:r w:rsidRPr="00B92D16">
        <w:rPr>
          <w:rStyle w:val="FootnoteReference"/>
        </w:rPr>
        <w:footnoteReference w:id="58"/>
      </w:r>
      <w:r w:rsidRPr="00B92D16">
        <w:t xml:space="preserve"> Thus, the </w:t>
      </w:r>
      <w:r>
        <w:t>effect</w:t>
      </w:r>
      <w:r w:rsidRPr="00B92D16">
        <w:t xml:space="preserve"> on the hyoid apparatus appear</w:t>
      </w:r>
      <w:r>
        <w:t>s</w:t>
      </w:r>
      <w:r w:rsidR="00B1428D">
        <w:t xml:space="preserve"> to be a minor test article </w:t>
      </w:r>
      <w:r w:rsidRPr="00B92D16">
        <w:t>related</w:t>
      </w:r>
      <w:r>
        <w:t xml:space="preserve"> developmental variant. </w:t>
      </w:r>
      <w:r w:rsidRPr="00B92D16">
        <w:t xml:space="preserve">In this study all </w:t>
      </w:r>
      <w:proofErr w:type="spellStart"/>
      <w:r w:rsidRPr="00B92D16">
        <w:t>Phl</w:t>
      </w:r>
      <w:proofErr w:type="spellEnd"/>
      <w:r w:rsidRPr="00B92D16">
        <w:t xml:space="preserve"> p treated groups showed a slight overall reduction in the general degree of ossification </w:t>
      </w:r>
      <w:r w:rsidR="002A47B8" w:rsidRPr="00B1428D">
        <w:t>compared with</w:t>
      </w:r>
      <w:r>
        <w:rPr>
          <w:i/>
        </w:rPr>
        <w:t xml:space="preserve"> </w:t>
      </w:r>
      <w:r w:rsidRPr="00B92D16">
        <w:t>control</w:t>
      </w:r>
      <w:r>
        <w:t xml:space="preserve"> (sites implicated: </w:t>
      </w:r>
      <w:r w:rsidRPr="00B92D16">
        <w:t xml:space="preserve">cranial centres and </w:t>
      </w:r>
      <w:proofErr w:type="spellStart"/>
      <w:r w:rsidRPr="00B92D16">
        <w:t>sternebrae</w:t>
      </w:r>
      <w:proofErr w:type="spellEnd"/>
      <w:r>
        <w:t xml:space="preserve">; </w:t>
      </w:r>
      <w:r w:rsidRPr="00B92D16">
        <w:t>all dose levels</w:t>
      </w:r>
      <w:r>
        <w:t>; 76</w:t>
      </w:r>
      <w:r w:rsidR="00B1428D">
        <w:t xml:space="preserve"> to </w:t>
      </w:r>
      <w:r w:rsidRPr="00B92D16">
        <w:t>1</w:t>
      </w:r>
      <w:r w:rsidR="00B1428D">
        <w:t>,</w:t>
      </w:r>
      <w:r w:rsidRPr="00B92D16">
        <w:t>522</w:t>
      </w:r>
      <w:r w:rsidR="00B1428D">
        <w:t xml:space="preserve"> </w:t>
      </w:r>
      <w:r w:rsidRPr="00B92D16">
        <w:t xml:space="preserve">X </w:t>
      </w:r>
      <w:r>
        <w:t>clinical dose</w:t>
      </w:r>
      <w:r w:rsidRPr="00B92D16">
        <w:t xml:space="preserve">). These effects and the effects on the hyoid bone </w:t>
      </w:r>
      <w:r>
        <w:t xml:space="preserve">were not secondary to overt </w:t>
      </w:r>
      <w:r w:rsidRPr="00B92D16">
        <w:t xml:space="preserve">maternotoxicity, although the study authors claim that there was a </w:t>
      </w:r>
      <w:r w:rsidRPr="00B92D16">
        <w:rPr>
          <w:i/>
        </w:rPr>
        <w:t>“slight transient impairment of maternal bodyweight gain at the start of treatment at 500</w:t>
      </w:r>
      <w:r w:rsidR="00B1428D">
        <w:rPr>
          <w:i/>
        </w:rPr>
        <w:t>,</w:t>
      </w:r>
      <w:r w:rsidRPr="00B92D16">
        <w:rPr>
          <w:i/>
        </w:rPr>
        <w:t>000 SQ-U/</w:t>
      </w:r>
      <w:r>
        <w:rPr>
          <w:i/>
        </w:rPr>
        <w:t>d</w:t>
      </w:r>
      <w:r w:rsidR="00B1428D">
        <w:rPr>
          <w:i/>
        </w:rPr>
        <w:t>ay</w:t>
      </w:r>
      <w:r w:rsidRPr="00B92D16">
        <w:rPr>
          <w:i/>
        </w:rPr>
        <w:t xml:space="preserve"> </w:t>
      </w:r>
      <w:r w:rsidRPr="00B92D16">
        <w:t>(1</w:t>
      </w:r>
      <w:r w:rsidR="00B1428D">
        <w:t>,</w:t>
      </w:r>
      <w:r w:rsidRPr="00B92D16">
        <w:t>522</w:t>
      </w:r>
      <w:r w:rsidR="00B1428D">
        <w:t xml:space="preserve"> </w:t>
      </w:r>
      <w:r w:rsidRPr="00B92D16">
        <w:t xml:space="preserve">X </w:t>
      </w:r>
      <w:r>
        <w:t>clinical dose</w:t>
      </w:r>
      <w:r w:rsidRPr="00B92D16">
        <w:t>)</w:t>
      </w:r>
      <w:r w:rsidRPr="00B92D16">
        <w:rPr>
          <w:i/>
        </w:rPr>
        <w:t>, which was not considered to represent an adverse effect.”</w:t>
      </w:r>
      <w:r w:rsidR="00FA2591">
        <w:t xml:space="preserve"> </w:t>
      </w:r>
      <w:r w:rsidRPr="00B92D16">
        <w:t xml:space="preserve">The </w:t>
      </w:r>
      <w:r w:rsidR="00B1428D">
        <w:t>e</w:t>
      </w:r>
      <w:r w:rsidRPr="00B92D16">
        <w:t>valuator concurs with the study report regarding the lack of maternotoxicity and does not regard the observed non-significant (</w:t>
      </w:r>
      <w:r w:rsidRPr="00B1428D">
        <w:t>p</w:t>
      </w:r>
      <w:r w:rsidR="00B1428D">
        <w:t xml:space="preserve"> </w:t>
      </w:r>
      <w:r w:rsidR="004C74AA">
        <w:t>&gt;</w:t>
      </w:r>
      <w:r w:rsidR="000F4578">
        <w:t xml:space="preserve"> </w:t>
      </w:r>
      <w:r w:rsidRPr="00B1428D">
        <w:t>0</w:t>
      </w:r>
      <w:r w:rsidRPr="00B92D16">
        <w:t xml:space="preserve">.05; difference </w:t>
      </w:r>
      <w:r w:rsidR="004A7F98">
        <w:t xml:space="preserve">≤ </w:t>
      </w:r>
      <w:r w:rsidR="0028468D">
        <w:t xml:space="preserve">approximately </w:t>
      </w:r>
      <w:r w:rsidRPr="00B92D16">
        <w:t>2.6% at all time points from GD0-10 for the 1</w:t>
      </w:r>
      <w:r w:rsidR="00B1428D">
        <w:t>,</w:t>
      </w:r>
      <w:r w:rsidRPr="00B92D16">
        <w:t>522</w:t>
      </w:r>
      <w:r w:rsidR="00B1428D">
        <w:t xml:space="preserve"> </w:t>
      </w:r>
      <w:r w:rsidRPr="00B92D16">
        <w:t xml:space="preserve">X </w:t>
      </w:r>
      <w:r>
        <w:t xml:space="preserve">clinical </w:t>
      </w:r>
      <w:r>
        <w:lastRenderedPageBreak/>
        <w:t>dose</w:t>
      </w:r>
      <w:r w:rsidRPr="00B92D16">
        <w:t xml:space="preserve">) reduced mean maternal weight in the high dose group as a plausible explanation for the skeletal findings. </w:t>
      </w:r>
      <w:r>
        <w:t>The s</w:t>
      </w:r>
      <w:r w:rsidRPr="00B92D16">
        <w:t xml:space="preserve">keletal findings are </w:t>
      </w:r>
      <w:r>
        <w:t xml:space="preserve">likely a developmental variation rather than being developmentally </w:t>
      </w:r>
      <w:r w:rsidRPr="00B92D16">
        <w:t>adverse</w:t>
      </w:r>
      <w:r>
        <w:t xml:space="preserve">. The findings are potentially indicative of </w:t>
      </w:r>
      <w:r w:rsidRPr="00B92D16">
        <w:t xml:space="preserve">developmental delay. These effects were not detected in the </w:t>
      </w:r>
      <w:r w:rsidRPr="00B92D16">
        <w:rPr>
          <w:lang w:val="en-US"/>
        </w:rPr>
        <w:t>in the preliminary</w:t>
      </w:r>
      <w:r>
        <w:rPr>
          <w:lang w:val="en-US"/>
        </w:rPr>
        <w:t xml:space="preserve"> study</w:t>
      </w:r>
      <w:r w:rsidRPr="00B92D16">
        <w:rPr>
          <w:lang w:val="en-US"/>
        </w:rPr>
        <w:t xml:space="preserve"> (used a different test article batch)</w:t>
      </w:r>
      <w:r>
        <w:rPr>
          <w:lang w:val="en-US"/>
        </w:rPr>
        <w:t xml:space="preserve"> at the same doses</w:t>
      </w:r>
      <w:r w:rsidRPr="00B92D16">
        <w:rPr>
          <w:lang w:val="en-US"/>
        </w:rPr>
        <w:t>. No effects on ferti</w:t>
      </w:r>
      <w:r>
        <w:rPr>
          <w:lang w:val="en-US"/>
        </w:rPr>
        <w:t>lity and pre-</w:t>
      </w:r>
      <w:r w:rsidRPr="00B92D16">
        <w:rPr>
          <w:lang w:val="en-US"/>
        </w:rPr>
        <w:t>postnatal developmen</w:t>
      </w:r>
      <w:r>
        <w:rPr>
          <w:lang w:val="en-US"/>
        </w:rPr>
        <w:t xml:space="preserve">t were noted at exposures </w:t>
      </w:r>
      <w:r w:rsidR="004A7F98">
        <w:rPr>
          <w:lang w:val="en-US"/>
        </w:rPr>
        <w:t xml:space="preserve">≤ </w:t>
      </w:r>
      <w:r w:rsidR="0028468D">
        <w:rPr>
          <w:lang w:val="en-US"/>
        </w:rPr>
        <w:t xml:space="preserve">approximately </w:t>
      </w:r>
      <w:r w:rsidRPr="00B92D16">
        <w:t>1</w:t>
      </w:r>
      <w:r w:rsidR="00B1428D">
        <w:t>,</w:t>
      </w:r>
      <w:r w:rsidRPr="00B92D16">
        <w:t>522</w:t>
      </w:r>
      <w:r w:rsidR="00B1428D">
        <w:t xml:space="preserve"> </w:t>
      </w:r>
      <w:r w:rsidRPr="00B92D16">
        <w:t xml:space="preserve">X </w:t>
      </w:r>
      <w:r>
        <w:t>clinical dose</w:t>
      </w:r>
      <w:r w:rsidR="005479B1">
        <w:t>.</w:t>
      </w:r>
    </w:p>
    <w:p w14:paraId="4FE91B80" w14:textId="38D2CB78" w:rsidR="008818D2" w:rsidRDefault="008818D2" w:rsidP="008818D2">
      <w:r>
        <w:rPr>
          <w:lang w:val="en-US"/>
        </w:rPr>
        <w:t>Notably the a</w:t>
      </w:r>
      <w:proofErr w:type="spellStart"/>
      <w:r>
        <w:t>vailable</w:t>
      </w:r>
      <w:proofErr w:type="spellEnd"/>
      <w:r>
        <w:t>, but limited, histopathology data set from the repeat dose toxicology studies demonstrates a lack of evidence of adverse effects on reproductive organs and tissues and there is no evidence of any hormonal mode of action.</w:t>
      </w:r>
    </w:p>
    <w:p w14:paraId="4FE91B81" w14:textId="77777777" w:rsidR="005479B1" w:rsidRDefault="008818D2" w:rsidP="008818D2">
      <w:pPr>
        <w:rPr>
          <w:lang w:val="en-US"/>
        </w:rPr>
      </w:pPr>
      <w:r>
        <w:rPr>
          <w:lang w:val="en-US"/>
        </w:rPr>
        <w:t>Overall the lack of reproductive data from a second, non-rodent species is a limitation of the available dataset</w:t>
      </w:r>
      <w:r w:rsidR="005479B1">
        <w:rPr>
          <w:lang w:val="en-US"/>
        </w:rPr>
        <w:t>.</w:t>
      </w:r>
    </w:p>
    <w:p w14:paraId="4FE91B82" w14:textId="77777777" w:rsidR="008818D2" w:rsidRPr="00B92D16" w:rsidRDefault="008818D2" w:rsidP="008818D2">
      <w:pPr>
        <w:pStyle w:val="Heading5"/>
      </w:pPr>
      <w:bookmarkStart w:id="84" w:name="_Toc455737042"/>
      <w:r w:rsidRPr="00B92D16">
        <w:t>Pregnancy classification</w:t>
      </w:r>
      <w:bookmarkEnd w:id="84"/>
    </w:p>
    <w:p w14:paraId="4FE91B83" w14:textId="77777777" w:rsidR="008818D2" w:rsidRDefault="008818D2" w:rsidP="008818D2">
      <w:pPr>
        <w:rPr>
          <w:kern w:val="2"/>
          <w:szCs w:val="20"/>
        </w:rPr>
      </w:pPr>
      <w:r w:rsidRPr="00B92D16">
        <w:rPr>
          <w:kern w:val="2"/>
          <w:szCs w:val="20"/>
        </w:rPr>
        <w:t>The sponsor has proposed Pregnancy Category B</w:t>
      </w:r>
      <w:r>
        <w:rPr>
          <w:kern w:val="2"/>
          <w:szCs w:val="20"/>
        </w:rPr>
        <w:t>2</w:t>
      </w:r>
      <w:r w:rsidR="00B1428D">
        <w:rPr>
          <w:rStyle w:val="FootnoteReference"/>
          <w:kern w:val="2"/>
          <w:szCs w:val="20"/>
        </w:rPr>
        <w:footnoteReference w:id="59"/>
      </w:r>
      <w:r>
        <w:rPr>
          <w:kern w:val="2"/>
          <w:szCs w:val="20"/>
        </w:rPr>
        <w:t>. The evaluator concurs with this category</w:t>
      </w:r>
      <w:r w:rsidR="00B1428D">
        <w:rPr>
          <w:kern w:val="2"/>
          <w:szCs w:val="20"/>
        </w:rPr>
        <w:t>.</w:t>
      </w:r>
    </w:p>
    <w:p w14:paraId="4FE91B84" w14:textId="77777777" w:rsidR="008818D2" w:rsidRPr="00B92D16" w:rsidRDefault="008818D2" w:rsidP="008818D2">
      <w:pPr>
        <w:rPr>
          <w:kern w:val="2"/>
          <w:szCs w:val="20"/>
        </w:rPr>
      </w:pPr>
      <w:r w:rsidRPr="001C7CAE">
        <w:rPr>
          <w:kern w:val="2"/>
          <w:szCs w:val="20"/>
        </w:rPr>
        <w:t>I</w:t>
      </w:r>
      <w:r>
        <w:rPr>
          <w:kern w:val="2"/>
          <w:szCs w:val="20"/>
        </w:rPr>
        <w:t>t should be noted that a</w:t>
      </w:r>
      <w:r w:rsidRPr="00974579">
        <w:rPr>
          <w:kern w:val="2"/>
          <w:szCs w:val="20"/>
        </w:rPr>
        <w:t>ntigen preparations for desensitisation</w:t>
      </w:r>
      <w:r>
        <w:rPr>
          <w:kern w:val="2"/>
          <w:szCs w:val="20"/>
        </w:rPr>
        <w:t xml:space="preserve"> are exempt from pregnancy categorisation.</w:t>
      </w:r>
      <w:r>
        <w:rPr>
          <w:rStyle w:val="FootnoteReference"/>
          <w:kern w:val="2"/>
          <w:szCs w:val="20"/>
        </w:rPr>
        <w:footnoteReference w:id="60"/>
      </w:r>
      <w:r>
        <w:rPr>
          <w:kern w:val="2"/>
          <w:szCs w:val="20"/>
        </w:rPr>
        <w:t xml:space="preserve"> However, since the </w:t>
      </w:r>
      <w:r w:rsidR="002D7A68">
        <w:rPr>
          <w:kern w:val="2"/>
          <w:szCs w:val="20"/>
        </w:rPr>
        <w:t>sponsor</w:t>
      </w:r>
      <w:r>
        <w:rPr>
          <w:kern w:val="2"/>
          <w:szCs w:val="20"/>
        </w:rPr>
        <w:t xml:space="preserve"> has requested a pregnancy category, it should be retained in the product information.</w:t>
      </w:r>
    </w:p>
    <w:p w14:paraId="4FE91B85" w14:textId="77777777" w:rsidR="008818D2" w:rsidRPr="00B92D16" w:rsidRDefault="008818D2" w:rsidP="008818D2">
      <w:pPr>
        <w:pStyle w:val="Heading4"/>
      </w:pPr>
      <w:bookmarkStart w:id="85" w:name="_Toc455737043"/>
      <w:r w:rsidRPr="00B92D16">
        <w:t>Local tolerance</w:t>
      </w:r>
      <w:bookmarkEnd w:id="85"/>
    </w:p>
    <w:p w14:paraId="4FE91B86" w14:textId="77777777" w:rsidR="008818D2" w:rsidRPr="00B92D16" w:rsidRDefault="008818D2" w:rsidP="008818D2">
      <w:pPr>
        <w:rPr>
          <w:kern w:val="2"/>
        </w:rPr>
      </w:pPr>
      <w:r w:rsidRPr="00B92D16">
        <w:rPr>
          <w:kern w:val="2"/>
          <w:szCs w:val="20"/>
        </w:rPr>
        <w:t xml:space="preserve">Specific local tolerance studies have not been submitted. Local tolerance following </w:t>
      </w:r>
      <w:r w:rsidRPr="00B92D16">
        <w:rPr>
          <w:kern w:val="2"/>
        </w:rPr>
        <w:t>repeated intra-buccal exposure of non-immunologically primed mice and repeated “sublingual” exposure of non-immunologically primed dogs in the toxicology program was acceptable.</w:t>
      </w:r>
    </w:p>
    <w:p w14:paraId="4FE91B87" w14:textId="77777777" w:rsidR="008818D2" w:rsidRPr="00B92D16" w:rsidRDefault="008818D2" w:rsidP="008818D2">
      <w:pPr>
        <w:pStyle w:val="Heading4"/>
      </w:pPr>
      <w:bookmarkStart w:id="86" w:name="_Toc455737044"/>
      <w:r w:rsidRPr="00B92D16">
        <w:t>Immunotoxicity</w:t>
      </w:r>
      <w:bookmarkEnd w:id="86"/>
    </w:p>
    <w:p w14:paraId="4FE91B88" w14:textId="77777777" w:rsidR="004F701B" w:rsidRPr="004F701B" w:rsidRDefault="008818D2" w:rsidP="008818D2">
      <w:r w:rsidRPr="00B92D16">
        <w:rPr>
          <w:kern w:val="2"/>
        </w:rPr>
        <w:t xml:space="preserve">The presence of fish </w:t>
      </w:r>
      <w:r>
        <w:rPr>
          <w:kern w:val="2"/>
        </w:rPr>
        <w:t>gelatine</w:t>
      </w:r>
      <w:r w:rsidRPr="00B92D16">
        <w:rPr>
          <w:kern w:val="2"/>
        </w:rPr>
        <w:t xml:space="preserve">s in Grazax is a potential cause of </w:t>
      </w:r>
      <w:r>
        <w:rPr>
          <w:kern w:val="2"/>
        </w:rPr>
        <w:t xml:space="preserve">rare, but severe </w:t>
      </w:r>
      <w:r w:rsidRPr="00B92D16">
        <w:rPr>
          <w:kern w:val="2"/>
        </w:rPr>
        <w:t xml:space="preserve">hypersensitivity reactions, including anaphylaxis, in humans. Because of the inadequacy of the available animal models, </w:t>
      </w:r>
      <w:r>
        <w:rPr>
          <w:kern w:val="2"/>
        </w:rPr>
        <w:t xml:space="preserve">these issues are largely </w:t>
      </w:r>
      <w:r w:rsidRPr="00B92D16">
        <w:rPr>
          <w:kern w:val="2"/>
        </w:rPr>
        <w:t>a human clinical concern.</w:t>
      </w:r>
    </w:p>
    <w:p w14:paraId="4FE91B89" w14:textId="77777777" w:rsidR="008818D2" w:rsidRDefault="008818D2" w:rsidP="008818D2">
      <w:pPr>
        <w:pStyle w:val="Heading4"/>
      </w:pPr>
      <w:bookmarkStart w:id="87" w:name="_Toc455737045"/>
      <w:r w:rsidRPr="00EB69F1">
        <w:t>Impurities</w:t>
      </w:r>
      <w:bookmarkEnd w:id="87"/>
    </w:p>
    <w:p w14:paraId="4FE91B8A" w14:textId="77777777" w:rsidR="008818D2" w:rsidRPr="00DB6547" w:rsidRDefault="008818D2" w:rsidP="008818D2">
      <w:r>
        <w:t xml:space="preserve">The proposed impurity limits </w:t>
      </w:r>
      <w:r w:rsidRPr="001C7CAE">
        <w:t>i</w:t>
      </w:r>
      <w:r>
        <w:t xml:space="preserve">n the </w:t>
      </w:r>
      <w:proofErr w:type="spellStart"/>
      <w:r>
        <w:t>Phl</w:t>
      </w:r>
      <w:proofErr w:type="spellEnd"/>
      <w:r>
        <w:t xml:space="preserve"> p allergen extract drug substance are acceptable.</w:t>
      </w:r>
    </w:p>
    <w:p w14:paraId="4FE91B8B" w14:textId="77777777" w:rsidR="008818D2" w:rsidRPr="00EB69F1" w:rsidRDefault="008818D2" w:rsidP="008818D2">
      <w:pPr>
        <w:pStyle w:val="Heading4"/>
      </w:pPr>
      <w:bookmarkStart w:id="88" w:name="_Toc455737046"/>
      <w:r w:rsidRPr="00EB69F1">
        <w:t>Paediatric use</w:t>
      </w:r>
      <w:bookmarkEnd w:id="88"/>
    </w:p>
    <w:p w14:paraId="4FE91B8C" w14:textId="09D49509" w:rsidR="008818D2" w:rsidRPr="00843C7A" w:rsidRDefault="008818D2" w:rsidP="008818D2">
      <w:pPr>
        <w:rPr>
          <w:lang w:val="en-US"/>
        </w:rPr>
      </w:pPr>
      <w:r w:rsidRPr="00D35C5E">
        <w:rPr>
          <w:kern w:val="2"/>
          <w:szCs w:val="20"/>
        </w:rPr>
        <w:t xml:space="preserve">Approval for Grazax in children </w:t>
      </w:r>
      <w:r w:rsidR="004C74AA">
        <w:rPr>
          <w:kern w:val="2"/>
          <w:szCs w:val="20"/>
        </w:rPr>
        <w:t xml:space="preserve">&lt; </w:t>
      </w:r>
      <w:r w:rsidRPr="00D35C5E">
        <w:rPr>
          <w:kern w:val="2"/>
          <w:szCs w:val="20"/>
        </w:rPr>
        <w:t xml:space="preserve">5 years of age has not been requested by the </w:t>
      </w:r>
      <w:r w:rsidR="002D7A68">
        <w:rPr>
          <w:kern w:val="2"/>
          <w:szCs w:val="20"/>
        </w:rPr>
        <w:t>sponsor</w:t>
      </w:r>
      <w:r>
        <w:rPr>
          <w:kern w:val="2"/>
          <w:szCs w:val="20"/>
        </w:rPr>
        <w:t xml:space="preserve">. However, Grazax is intended for use in people </w:t>
      </w:r>
      <w:r w:rsidR="00B1428D">
        <w:rPr>
          <w:kern w:val="2"/>
          <w:szCs w:val="20"/>
        </w:rPr>
        <w:t xml:space="preserve">≥ </w:t>
      </w:r>
      <w:r>
        <w:rPr>
          <w:kern w:val="2"/>
          <w:szCs w:val="20"/>
        </w:rPr>
        <w:t xml:space="preserve">5 years of age. </w:t>
      </w:r>
      <w:r>
        <w:rPr>
          <w:lang w:val="en-US"/>
        </w:rPr>
        <w:t xml:space="preserve">In the pre-/postnatal development study in mice, in which only the maternal animals were treated, no maternal or offspring adverse effects were noted at doses up to </w:t>
      </w:r>
      <w:r w:rsidR="0028468D">
        <w:rPr>
          <w:lang w:val="en-US"/>
        </w:rPr>
        <w:t xml:space="preserve">approximately </w:t>
      </w:r>
      <w:r w:rsidR="00B1428D">
        <w:t>1,522 X</w:t>
      </w:r>
      <w:r w:rsidRPr="00843C7A">
        <w:t xml:space="preserve"> </w:t>
      </w:r>
      <w:r>
        <w:t>clinical dose</w:t>
      </w:r>
      <w:r>
        <w:rPr>
          <w:lang w:val="en-US"/>
        </w:rPr>
        <w:t>. No specific studies in juveniles have been supplied.</w:t>
      </w:r>
    </w:p>
    <w:p w14:paraId="4FE91B8D" w14:textId="77777777" w:rsidR="008818D2" w:rsidRPr="00A245D8" w:rsidRDefault="008818D2" w:rsidP="008818D2">
      <w:pPr>
        <w:pStyle w:val="Heading4"/>
      </w:pPr>
      <w:bookmarkStart w:id="89" w:name="_Toc455737047"/>
      <w:r w:rsidRPr="00A245D8">
        <w:t>Comments on the Nonclinical Safety Specification of the Risk Management Plan</w:t>
      </w:r>
      <w:bookmarkEnd w:id="89"/>
    </w:p>
    <w:p w14:paraId="4AD56951" w14:textId="77777777" w:rsidR="00AC41C6" w:rsidRDefault="00AC41C6" w:rsidP="00AC41C6">
      <w:pPr>
        <w:rPr>
          <w:kern w:val="2"/>
        </w:rPr>
      </w:pPr>
      <w:r>
        <w:rPr>
          <w:kern w:val="2"/>
        </w:rPr>
        <w:t>Overall, the RMP should be largely derived from the human clinical data and not the nonclinical program. The exposure margins in the nonclinical sections of the RMP should be updated to reflect BSA comparisons and it should be noted that findings in non-</w:t>
      </w:r>
      <w:r>
        <w:rPr>
          <w:kern w:val="2"/>
        </w:rPr>
        <w:lastRenderedPageBreak/>
        <w:t>immunologically primed animals may not fully reflect the risk of undesirable effects associated with Grazax use in immunologically primed humans (the proposed human clinical situation associated with Grazax use). The lack of juvenile animal data should be taken into account in the RMP.</w:t>
      </w:r>
    </w:p>
    <w:p w14:paraId="4FE91B8F" w14:textId="2AF3EF87" w:rsidR="008E7846" w:rsidRDefault="008E7846" w:rsidP="008E7846">
      <w:pPr>
        <w:pStyle w:val="Heading3"/>
      </w:pPr>
      <w:bookmarkStart w:id="90" w:name="_Toc247691515"/>
      <w:bookmarkStart w:id="91" w:name="_Toc314842499"/>
      <w:bookmarkStart w:id="92" w:name="_Toc511209791"/>
      <w:bookmarkEnd w:id="63"/>
      <w:bookmarkEnd w:id="64"/>
      <w:r>
        <w:t>Nonclinical summary and conclusions</w:t>
      </w:r>
      <w:bookmarkEnd w:id="90"/>
      <w:bookmarkEnd w:id="91"/>
      <w:bookmarkEnd w:id="92"/>
    </w:p>
    <w:p w14:paraId="4FE91B90" w14:textId="77777777" w:rsidR="005479B1" w:rsidRDefault="00FE0277" w:rsidP="00FE0277">
      <w:pPr>
        <w:pStyle w:val="ListBullet"/>
      </w:pPr>
      <w:r w:rsidRPr="00EA5930">
        <w:rPr>
          <w:rFonts w:asciiTheme="minorHAnsi" w:hAnsiTheme="minorHAnsi"/>
        </w:rPr>
        <w:t xml:space="preserve">The </w:t>
      </w:r>
      <w:r>
        <w:rPr>
          <w:rFonts w:asciiTheme="minorHAnsi" w:hAnsiTheme="minorHAnsi"/>
        </w:rPr>
        <w:t xml:space="preserve">limitations of the submitted data set are: </w:t>
      </w:r>
      <w:r>
        <w:t>the lack of carcinogenesis studies, the use of only 1 rodent (non-preferred) species in the reproductive toxicology studies, the lack of studies in juvenile animals, t</w:t>
      </w:r>
      <w:r w:rsidRPr="00EA5930">
        <w:rPr>
          <w:rFonts w:asciiTheme="minorHAnsi" w:hAnsiTheme="minorHAnsi"/>
        </w:rPr>
        <w:t>he</w:t>
      </w:r>
      <w:r>
        <w:rPr>
          <w:rFonts w:asciiTheme="minorHAnsi" w:hAnsiTheme="minorHAnsi"/>
        </w:rPr>
        <w:t xml:space="preserve"> lack of a </w:t>
      </w:r>
      <w:r w:rsidRPr="00EA5930">
        <w:rPr>
          <w:kern w:val="2"/>
        </w:rPr>
        <w:t xml:space="preserve">clear correlation between </w:t>
      </w:r>
      <w:r>
        <w:rPr>
          <w:kern w:val="2"/>
        </w:rPr>
        <w:t xml:space="preserve">the measured </w:t>
      </w:r>
      <w:r w:rsidRPr="00EA5930">
        <w:rPr>
          <w:kern w:val="2"/>
        </w:rPr>
        <w:t>nonclinical endpoints and human clinical efficacy</w:t>
      </w:r>
      <w:r>
        <w:rPr>
          <w:kern w:val="2"/>
        </w:rPr>
        <w:t xml:space="preserve"> (no definitive nonclinical biomarker[s] of efficacy), the lack of a clear</w:t>
      </w:r>
      <w:r>
        <w:t xml:space="preserve"> relationship between the effects induced by doses used in the nonclinical studies and human clinical efficacy (1 SQ-U/SQ-T in humans is not equivalent to 1 SQ-U/SQ-T in animals in terms of claimed primary pharmacological effects), the lack of a clear nonclinical justification of the proposed human clinical dose, the use of normal healthy animals (</w:t>
      </w:r>
      <w:r w:rsidR="004A7F98">
        <w:t>that is</w:t>
      </w:r>
      <w:r>
        <w:t xml:space="preserve"> not deliberately immunologically primed) in the toxicology program (proposed clinical use is in patients with existing hypersensitivity to Timothy grass pollen), the lack of studies on allergic conjunctivitis, and the unreliability of current animal models in terms of predicting human immunological safety (anaphylactic and anaphylactoid reactions) risk. Notably, the dose ratios in this evaluation are only rough approximations</w:t>
      </w:r>
      <w:r w:rsidR="005479B1">
        <w:t>.</w:t>
      </w:r>
    </w:p>
    <w:p w14:paraId="4FE91B91" w14:textId="7219239F" w:rsidR="005479B1" w:rsidRDefault="00FE0277" w:rsidP="00FE0277">
      <w:pPr>
        <w:pStyle w:val="ListBullet"/>
        <w:rPr>
          <w:rFonts w:asciiTheme="minorHAnsi" w:hAnsiTheme="minorHAnsi"/>
        </w:rPr>
      </w:pPr>
      <w:r w:rsidRPr="00EA5930">
        <w:rPr>
          <w:rFonts w:asciiTheme="minorHAnsi" w:hAnsiTheme="minorHAnsi"/>
          <w:kern w:val="2"/>
        </w:rPr>
        <w:t xml:space="preserve">The complete primary pharmacological mode of action (MOA) of </w:t>
      </w:r>
      <w:r w:rsidRPr="00EA5930">
        <w:rPr>
          <w:rFonts w:asciiTheme="minorHAnsi" w:hAnsiTheme="minorHAnsi"/>
        </w:rPr>
        <w:t>Grazax</w:t>
      </w:r>
      <w:r w:rsidRPr="00EA5930">
        <w:rPr>
          <w:rFonts w:asciiTheme="minorHAnsi" w:hAnsiTheme="minorHAnsi"/>
          <w:kern w:val="2"/>
        </w:rPr>
        <w:t xml:space="preserve"> is unknown. No </w:t>
      </w:r>
      <w:r w:rsidRPr="00EA5930">
        <w:rPr>
          <w:rFonts w:asciiTheme="minorHAnsi" w:hAnsiTheme="minorHAnsi"/>
        </w:rPr>
        <w:t>Grazax</w:t>
      </w:r>
      <w:r w:rsidRPr="00EA5930">
        <w:rPr>
          <w:rFonts w:asciiTheme="minorHAnsi" w:hAnsiTheme="minorHAnsi"/>
          <w:kern w:val="2"/>
        </w:rPr>
        <w:t xml:space="preserve">-specific MOA studies were supplied. </w:t>
      </w:r>
      <w:r w:rsidRPr="00EA5930">
        <w:rPr>
          <w:rFonts w:asciiTheme="minorHAnsi" w:hAnsiTheme="minorHAnsi"/>
        </w:rPr>
        <w:t xml:space="preserve">In an observational study using the </w:t>
      </w:r>
      <w:proofErr w:type="spellStart"/>
      <w:r w:rsidRPr="00EA5930">
        <w:rPr>
          <w:rFonts w:asciiTheme="minorHAnsi" w:hAnsiTheme="minorHAnsi"/>
        </w:rPr>
        <w:t>Phl</w:t>
      </w:r>
      <w:proofErr w:type="spellEnd"/>
      <w:r w:rsidR="0028468D">
        <w:rPr>
          <w:rFonts w:asciiTheme="minorHAnsi" w:hAnsiTheme="minorHAnsi"/>
        </w:rPr>
        <w:t xml:space="preserve"> </w:t>
      </w:r>
      <w:r w:rsidRPr="00EA5930">
        <w:rPr>
          <w:rFonts w:asciiTheme="minorHAnsi" w:hAnsiTheme="minorHAnsi"/>
        </w:rPr>
        <w:t xml:space="preserve">p allergen extract primed mouse rhinitis model, repeated </w:t>
      </w:r>
      <w:proofErr w:type="spellStart"/>
      <w:r w:rsidRPr="00EA5930">
        <w:rPr>
          <w:rFonts w:asciiTheme="minorHAnsi" w:hAnsiTheme="minorHAnsi"/>
        </w:rPr>
        <w:t>Phl</w:t>
      </w:r>
      <w:proofErr w:type="spellEnd"/>
      <w:r w:rsidRPr="00EA5930">
        <w:rPr>
          <w:rFonts w:asciiTheme="minorHAnsi" w:hAnsiTheme="minorHAnsi"/>
        </w:rPr>
        <w:t xml:space="preserve"> P allergen extract </w:t>
      </w:r>
      <w:r w:rsidR="00AC41C6">
        <w:rPr>
          <w:rFonts w:asciiTheme="minorHAnsi" w:hAnsiTheme="minorHAnsi"/>
        </w:rPr>
        <w:t>PO</w:t>
      </w:r>
      <w:r w:rsidR="000E241F" w:rsidRPr="000E241F">
        <w:rPr>
          <w:rFonts w:asciiTheme="minorHAnsi" w:hAnsiTheme="minorHAnsi"/>
        </w:rPr>
        <w:t xml:space="preserve"> </w:t>
      </w:r>
      <w:r w:rsidRPr="00EA5930">
        <w:rPr>
          <w:rFonts w:asciiTheme="minorHAnsi" w:hAnsiTheme="minorHAnsi"/>
        </w:rPr>
        <w:t xml:space="preserve">dosing (animals restrained to maximise contact with the oral mucosa for 20 sec; whole dose swallowed) triggered ↑ anti-allergen serum and </w:t>
      </w:r>
      <w:proofErr w:type="spellStart"/>
      <w:r w:rsidRPr="00EA5930">
        <w:rPr>
          <w:rFonts w:asciiTheme="minorHAnsi" w:hAnsiTheme="minorHAnsi"/>
        </w:rPr>
        <w:t>bronchoalveolar</w:t>
      </w:r>
      <w:proofErr w:type="spellEnd"/>
      <w:r w:rsidRPr="00EA5930">
        <w:rPr>
          <w:rFonts w:asciiTheme="minorHAnsi" w:hAnsiTheme="minorHAnsi"/>
        </w:rPr>
        <w:t xml:space="preserve"> (BAL)/nasal (NAL) surface antibodies (particularly IgA) that inhibited </w:t>
      </w:r>
      <w:proofErr w:type="spellStart"/>
      <w:r w:rsidRPr="00EA5930">
        <w:rPr>
          <w:rFonts w:asciiTheme="minorHAnsi" w:hAnsiTheme="minorHAnsi"/>
        </w:rPr>
        <w:t>IgE</w:t>
      </w:r>
      <w:proofErr w:type="spellEnd"/>
      <w:r w:rsidRPr="00EA5930">
        <w:rPr>
          <w:rFonts w:asciiTheme="minorHAnsi" w:hAnsiTheme="minorHAnsi"/>
        </w:rPr>
        <w:t xml:space="preserve">-allergen binding </w:t>
      </w:r>
      <w:r w:rsidRPr="00EA5930">
        <w:rPr>
          <w:rFonts w:asciiTheme="minorHAnsi" w:hAnsiTheme="minorHAnsi"/>
          <w:i/>
        </w:rPr>
        <w:t>in vitro</w:t>
      </w:r>
      <w:r w:rsidRPr="00EA5930">
        <w:rPr>
          <w:rFonts w:asciiTheme="minorHAnsi" w:hAnsiTheme="minorHAnsi"/>
        </w:rPr>
        <w:t xml:space="preserve"> (treatment duration related effect; only partly dose responsive; </w:t>
      </w:r>
      <w:r w:rsidR="0028468D">
        <w:rPr>
          <w:rFonts w:asciiTheme="minorHAnsi" w:hAnsiTheme="minorHAnsi"/>
        </w:rPr>
        <w:t xml:space="preserve">approximately </w:t>
      </w:r>
      <w:r w:rsidRPr="00EA5930">
        <w:rPr>
          <w:rFonts w:asciiTheme="minorHAnsi" w:hAnsiTheme="minorHAnsi"/>
        </w:rPr>
        <w:t>76</w:t>
      </w:r>
      <w:r w:rsidR="00F16F5F">
        <w:rPr>
          <w:rFonts w:asciiTheme="minorHAnsi" w:hAnsiTheme="minorHAnsi"/>
        </w:rPr>
        <w:t xml:space="preserve"> </w:t>
      </w:r>
      <w:r w:rsidRPr="00EA5930">
        <w:rPr>
          <w:rFonts w:asciiTheme="minorHAnsi" w:hAnsiTheme="minorHAnsi"/>
        </w:rPr>
        <w:t>X clinical dose for 6 weeks was effective</w:t>
      </w:r>
      <w:r w:rsidRPr="005E78AC">
        <w:rPr>
          <w:rStyle w:val="FootnoteReference"/>
          <w:rFonts w:asciiTheme="minorHAnsi" w:hAnsiTheme="minorHAnsi"/>
        </w:rPr>
        <w:footnoteReference w:id="61"/>
      </w:r>
      <w:r w:rsidRPr="00EA5930">
        <w:rPr>
          <w:rFonts w:asciiTheme="minorHAnsi" w:hAnsiTheme="minorHAnsi"/>
        </w:rPr>
        <w:t xml:space="preserve">). Consistent with known SLIT modes of action, repeated </w:t>
      </w:r>
      <w:proofErr w:type="spellStart"/>
      <w:r w:rsidRPr="00EA5930">
        <w:rPr>
          <w:rFonts w:asciiTheme="minorHAnsi" w:hAnsiTheme="minorHAnsi"/>
        </w:rPr>
        <w:t>Phl</w:t>
      </w:r>
      <w:proofErr w:type="spellEnd"/>
      <w:r w:rsidRPr="00EA5930">
        <w:rPr>
          <w:rFonts w:asciiTheme="minorHAnsi" w:hAnsiTheme="minorHAnsi"/>
        </w:rPr>
        <w:t xml:space="preserve"> p allergen extract PO dosing also ↓ clinical signs of rhinitis and ↓ pro-allergy Th2 responses (↓ rhinitis-associated sneezing, ↓ airway hypersensitivity, ↓ eosinophil counts in nasal lavage fluid, ↓ anti-</w:t>
      </w:r>
      <w:proofErr w:type="spellStart"/>
      <w:r w:rsidRPr="00EA5930">
        <w:rPr>
          <w:rFonts w:asciiTheme="minorHAnsi" w:hAnsiTheme="minorHAnsi"/>
        </w:rPr>
        <w:t>Phl</w:t>
      </w:r>
      <w:proofErr w:type="spellEnd"/>
      <w:r w:rsidRPr="00EA5930">
        <w:rPr>
          <w:rFonts w:asciiTheme="minorHAnsi" w:hAnsiTheme="minorHAnsi"/>
        </w:rPr>
        <w:t xml:space="preserve"> p </w:t>
      </w:r>
      <w:proofErr w:type="spellStart"/>
      <w:r w:rsidRPr="00EA5930">
        <w:rPr>
          <w:rFonts w:asciiTheme="minorHAnsi" w:hAnsiTheme="minorHAnsi"/>
        </w:rPr>
        <w:t>IgE</w:t>
      </w:r>
      <w:proofErr w:type="spellEnd"/>
      <w:r w:rsidRPr="00EA5930">
        <w:rPr>
          <w:rFonts w:asciiTheme="minorHAnsi" w:hAnsiTheme="minorHAnsi"/>
        </w:rPr>
        <w:t xml:space="preserve"> and IgG, ↓ </w:t>
      </w:r>
      <w:proofErr w:type="spellStart"/>
      <w:r w:rsidRPr="00EA5930">
        <w:rPr>
          <w:rFonts w:asciiTheme="minorHAnsi" w:hAnsiTheme="minorHAnsi"/>
        </w:rPr>
        <w:t>splenocyte</w:t>
      </w:r>
      <w:proofErr w:type="spellEnd"/>
      <w:r w:rsidRPr="00EA5930">
        <w:rPr>
          <w:rFonts w:asciiTheme="minorHAnsi" w:hAnsiTheme="minorHAnsi"/>
        </w:rPr>
        <w:t xml:space="preserve">/lymph node cell antigen-specific proliferation , ↓ pro-Th2 cytokine [IL-10, IL-5, IL-4] production </w:t>
      </w:r>
      <w:r w:rsidRPr="00EA5930">
        <w:rPr>
          <w:rFonts w:asciiTheme="minorHAnsi" w:hAnsiTheme="minorHAnsi"/>
          <w:i/>
        </w:rPr>
        <w:t>ex vivo</w:t>
      </w:r>
      <w:r w:rsidRPr="00EA5930">
        <w:rPr>
          <w:rFonts w:asciiTheme="minorHAnsi" w:hAnsiTheme="minorHAnsi"/>
        </w:rPr>
        <w:t xml:space="preserve">). Critically, the </w:t>
      </w:r>
      <w:r w:rsidR="002D7A68">
        <w:rPr>
          <w:rFonts w:asciiTheme="minorHAnsi" w:hAnsiTheme="minorHAnsi"/>
        </w:rPr>
        <w:t>sponsor</w:t>
      </w:r>
      <w:r w:rsidRPr="00EA5930">
        <w:rPr>
          <w:rFonts w:asciiTheme="minorHAnsi" w:hAnsiTheme="minorHAnsi"/>
        </w:rPr>
        <w:t xml:space="preserve"> has claimed that a major MOA of Grazax treatment </w:t>
      </w:r>
      <w:r>
        <w:rPr>
          <w:rFonts w:asciiTheme="minorHAnsi" w:hAnsiTheme="minorHAnsi"/>
        </w:rPr>
        <w:t xml:space="preserve">in humans </w:t>
      </w:r>
      <w:r w:rsidRPr="00EA5930">
        <w:rPr>
          <w:rFonts w:asciiTheme="minorHAnsi" w:hAnsiTheme="minorHAnsi"/>
        </w:rPr>
        <w:t>is IgG and IgG</w:t>
      </w:r>
      <w:r w:rsidRPr="00EA5930">
        <w:rPr>
          <w:rFonts w:asciiTheme="minorHAnsi" w:hAnsiTheme="minorHAnsi"/>
          <w:vertAlign w:val="subscript"/>
        </w:rPr>
        <w:t>4</w:t>
      </w:r>
      <w:r w:rsidRPr="00EA5930">
        <w:rPr>
          <w:rFonts w:asciiTheme="minorHAnsi" w:hAnsiTheme="minorHAnsi"/>
        </w:rPr>
        <w:t>-</w:t>
      </w:r>
      <w:r w:rsidR="00530C71">
        <w:rPr>
          <w:rFonts w:asciiTheme="minorHAnsi" w:hAnsiTheme="minorHAnsi"/>
        </w:rPr>
        <w:t xml:space="preserve">mediated inhibition of allergen </w:t>
      </w:r>
      <w:proofErr w:type="spellStart"/>
      <w:r w:rsidRPr="00EA5930">
        <w:rPr>
          <w:rFonts w:asciiTheme="minorHAnsi" w:hAnsiTheme="minorHAnsi"/>
        </w:rPr>
        <w:t>IgE</w:t>
      </w:r>
      <w:proofErr w:type="spellEnd"/>
      <w:r w:rsidRPr="00EA5930">
        <w:rPr>
          <w:rFonts w:asciiTheme="minorHAnsi" w:hAnsiTheme="minorHAnsi"/>
        </w:rPr>
        <w:t xml:space="preserve"> binding (see Fig</w:t>
      </w:r>
      <w:r w:rsidR="00EB112B">
        <w:rPr>
          <w:rFonts w:asciiTheme="minorHAnsi" w:hAnsiTheme="minorHAnsi"/>
        </w:rPr>
        <w:t>ure</w:t>
      </w:r>
      <w:r w:rsidRPr="00EA5930">
        <w:rPr>
          <w:rFonts w:asciiTheme="minorHAnsi" w:hAnsiTheme="minorHAnsi"/>
        </w:rPr>
        <w:t xml:space="preserve"> 1, the human clinical overview and associated text).</w:t>
      </w:r>
      <w:r w:rsidR="00AC41C6" w:rsidRPr="00EA5930">
        <w:rPr>
          <w:rFonts w:asciiTheme="minorHAnsi" w:hAnsiTheme="minorHAnsi"/>
        </w:rPr>
        <w:t xml:space="preserve">This is not consistent with the findings in the </w:t>
      </w:r>
      <w:proofErr w:type="spellStart"/>
      <w:r w:rsidR="00AC41C6" w:rsidRPr="00EA5930">
        <w:rPr>
          <w:rFonts w:asciiTheme="minorHAnsi" w:hAnsiTheme="minorHAnsi"/>
        </w:rPr>
        <w:t>Phl</w:t>
      </w:r>
      <w:proofErr w:type="spellEnd"/>
      <w:r w:rsidR="00AC41C6" w:rsidRPr="00EA5930">
        <w:rPr>
          <w:rFonts w:asciiTheme="minorHAnsi" w:hAnsiTheme="minorHAnsi"/>
        </w:rPr>
        <w:t xml:space="preserve"> p allergen extract primed mouse rhinitis model where IgA is the major blocking antibody class.</w:t>
      </w:r>
      <w:r w:rsidRPr="00EA5930">
        <w:rPr>
          <w:rFonts w:asciiTheme="minorHAnsi" w:hAnsiTheme="minorHAnsi"/>
        </w:rPr>
        <w:t xml:space="preserve"> Notably, PO </w:t>
      </w:r>
      <w:proofErr w:type="spellStart"/>
      <w:r w:rsidRPr="00EA5930">
        <w:rPr>
          <w:rFonts w:asciiTheme="minorHAnsi" w:hAnsiTheme="minorHAnsi"/>
        </w:rPr>
        <w:t>Phl</w:t>
      </w:r>
      <w:proofErr w:type="spellEnd"/>
      <w:r w:rsidRPr="00EA5930">
        <w:rPr>
          <w:rFonts w:asciiTheme="minorHAnsi" w:hAnsiTheme="minorHAnsi"/>
        </w:rPr>
        <w:t xml:space="preserve"> p allergen extract treatment (1</w:t>
      </w:r>
      <w:r w:rsidR="002A47B8">
        <w:rPr>
          <w:rFonts w:asciiTheme="minorHAnsi" w:hAnsiTheme="minorHAnsi"/>
        </w:rPr>
        <w:t>25,000</w:t>
      </w:r>
      <w:r w:rsidRPr="00EA5930">
        <w:rPr>
          <w:rFonts w:asciiTheme="minorHAnsi" w:hAnsiTheme="minorHAnsi"/>
        </w:rPr>
        <w:t xml:space="preserve"> SQ-U/animal/d for 9 weeks) in </w:t>
      </w:r>
      <w:r>
        <w:rPr>
          <w:rFonts w:asciiTheme="minorHAnsi" w:hAnsiTheme="minorHAnsi"/>
        </w:rPr>
        <w:t xml:space="preserve">the </w:t>
      </w:r>
      <w:proofErr w:type="spellStart"/>
      <w:r w:rsidRPr="00EA5930">
        <w:rPr>
          <w:rFonts w:asciiTheme="minorHAnsi" w:hAnsiTheme="minorHAnsi"/>
        </w:rPr>
        <w:t>Phl</w:t>
      </w:r>
      <w:proofErr w:type="spellEnd"/>
      <w:r w:rsidRPr="00EA5930">
        <w:rPr>
          <w:rFonts w:asciiTheme="minorHAnsi" w:hAnsiTheme="minorHAnsi"/>
        </w:rPr>
        <w:t xml:space="preserve"> p allergen extract primed mouse rhinitis model was associated with an approx. doubling of </w:t>
      </w:r>
      <w:proofErr w:type="spellStart"/>
      <w:r w:rsidRPr="00EA5930">
        <w:rPr>
          <w:rFonts w:asciiTheme="minorHAnsi" w:hAnsiTheme="minorHAnsi"/>
        </w:rPr>
        <w:t>Phl</w:t>
      </w:r>
      <w:proofErr w:type="spellEnd"/>
      <w:r w:rsidRPr="00EA5930">
        <w:rPr>
          <w:rFonts w:asciiTheme="minorHAnsi" w:hAnsiTheme="minorHAnsi"/>
        </w:rPr>
        <w:t xml:space="preserve"> p allergen extract-specific serum </w:t>
      </w:r>
      <w:proofErr w:type="spellStart"/>
      <w:r w:rsidRPr="00EA5930">
        <w:rPr>
          <w:rFonts w:asciiTheme="minorHAnsi" w:hAnsiTheme="minorHAnsi"/>
        </w:rPr>
        <w:t>IgE</w:t>
      </w:r>
      <w:proofErr w:type="spellEnd"/>
      <w:r w:rsidRPr="00EA5930">
        <w:rPr>
          <w:rFonts w:asciiTheme="minorHAnsi" w:hAnsiTheme="minorHAnsi"/>
        </w:rPr>
        <w:t xml:space="preserve"> levels. However, subsequent IP allergen challenge did not result in additional increases in </w:t>
      </w:r>
      <w:r w:rsidR="00C76A34">
        <w:rPr>
          <w:rFonts w:asciiTheme="minorHAnsi" w:hAnsiTheme="minorHAnsi"/>
        </w:rPr>
        <w:t>allergen specific</w:t>
      </w:r>
      <w:r w:rsidRPr="00EA5930">
        <w:rPr>
          <w:rFonts w:asciiTheme="minorHAnsi" w:hAnsiTheme="minorHAnsi"/>
        </w:rPr>
        <w:t xml:space="preserve"> </w:t>
      </w:r>
      <w:proofErr w:type="spellStart"/>
      <w:r w:rsidRPr="00EA5930">
        <w:rPr>
          <w:rFonts w:asciiTheme="minorHAnsi" w:hAnsiTheme="minorHAnsi"/>
        </w:rPr>
        <w:t>IgE</w:t>
      </w:r>
      <w:proofErr w:type="spellEnd"/>
      <w:r w:rsidRPr="00EA5930">
        <w:rPr>
          <w:rFonts w:asciiTheme="minorHAnsi" w:hAnsiTheme="minorHAnsi"/>
        </w:rPr>
        <w:t>. This implies some degree of desensit</w:t>
      </w:r>
      <w:r w:rsidR="004A7F98">
        <w:rPr>
          <w:rFonts w:asciiTheme="minorHAnsi" w:hAnsiTheme="minorHAnsi"/>
        </w:rPr>
        <w:t>is</w:t>
      </w:r>
      <w:r w:rsidR="00530C71">
        <w:rPr>
          <w:rFonts w:asciiTheme="minorHAnsi" w:hAnsiTheme="minorHAnsi"/>
        </w:rPr>
        <w:t xml:space="preserve">ation to downstream </w:t>
      </w:r>
      <w:proofErr w:type="spellStart"/>
      <w:r w:rsidR="00530C71">
        <w:rPr>
          <w:rFonts w:asciiTheme="minorHAnsi" w:hAnsiTheme="minorHAnsi"/>
        </w:rPr>
        <w:t>IgE</w:t>
      </w:r>
      <w:proofErr w:type="spellEnd"/>
      <w:r w:rsidR="00530C71">
        <w:rPr>
          <w:rFonts w:asciiTheme="minorHAnsi" w:hAnsiTheme="minorHAnsi"/>
        </w:rPr>
        <w:t> </w:t>
      </w:r>
      <w:r w:rsidRPr="00EA5930">
        <w:rPr>
          <w:rFonts w:asciiTheme="minorHAnsi" w:hAnsiTheme="minorHAnsi"/>
        </w:rPr>
        <w:t xml:space="preserve">mediated responses (consistent with SLIT treatment expectations) despite ↑ serum </w:t>
      </w:r>
      <w:proofErr w:type="spellStart"/>
      <w:r w:rsidRPr="00EA5930">
        <w:rPr>
          <w:rFonts w:asciiTheme="minorHAnsi" w:hAnsiTheme="minorHAnsi"/>
        </w:rPr>
        <w:t>IgE</w:t>
      </w:r>
      <w:proofErr w:type="spellEnd"/>
      <w:r w:rsidRPr="00EA5930">
        <w:rPr>
          <w:rFonts w:asciiTheme="minorHAnsi" w:hAnsiTheme="minorHAnsi"/>
        </w:rPr>
        <w:t xml:space="preserve"> levels</w:t>
      </w:r>
      <w:r w:rsidR="005479B1">
        <w:rPr>
          <w:rFonts w:asciiTheme="minorHAnsi" w:hAnsiTheme="minorHAnsi"/>
        </w:rPr>
        <w:t>.</w:t>
      </w:r>
    </w:p>
    <w:p w14:paraId="4FE91B92" w14:textId="77777777" w:rsidR="005479B1" w:rsidRDefault="00FE0277" w:rsidP="00FE0277">
      <w:pPr>
        <w:pStyle w:val="ListBullet"/>
        <w:rPr>
          <w:rFonts w:asciiTheme="minorHAnsi" w:hAnsiTheme="minorHAnsi"/>
          <w:kern w:val="2"/>
        </w:rPr>
      </w:pPr>
      <w:r w:rsidRPr="00130E26">
        <w:rPr>
          <w:rFonts w:asciiTheme="minorHAnsi" w:hAnsiTheme="minorHAnsi"/>
          <w:kern w:val="2"/>
        </w:rPr>
        <w:t>No secondary pharmacodynamics data was supplied</w:t>
      </w:r>
      <w:r w:rsidR="005479B1">
        <w:rPr>
          <w:rFonts w:asciiTheme="minorHAnsi" w:hAnsiTheme="minorHAnsi"/>
          <w:kern w:val="2"/>
        </w:rPr>
        <w:t>.</w:t>
      </w:r>
    </w:p>
    <w:p w14:paraId="4FE91B93" w14:textId="497870E4" w:rsidR="005479B1" w:rsidRDefault="00FE0277" w:rsidP="00FE0277">
      <w:pPr>
        <w:pStyle w:val="ListBullet"/>
        <w:rPr>
          <w:rFonts w:asciiTheme="minorHAnsi" w:hAnsiTheme="minorHAnsi"/>
        </w:rPr>
      </w:pPr>
      <w:r w:rsidRPr="00130E26">
        <w:rPr>
          <w:rFonts w:asciiTheme="minorHAnsi" w:hAnsiTheme="minorHAnsi"/>
        </w:rPr>
        <w:t xml:space="preserve">Limited safety pharmacology endpoints (ECG, </w:t>
      </w:r>
      <w:proofErr w:type="spellStart"/>
      <w:r w:rsidRPr="00130E26">
        <w:rPr>
          <w:rFonts w:asciiTheme="minorHAnsi" w:hAnsiTheme="minorHAnsi"/>
        </w:rPr>
        <w:t>QT</w:t>
      </w:r>
      <w:r w:rsidRPr="00130E26">
        <w:rPr>
          <w:rFonts w:asciiTheme="minorHAnsi" w:hAnsiTheme="minorHAnsi"/>
          <w:vertAlign w:val="subscript"/>
        </w:rPr>
        <w:t>c</w:t>
      </w:r>
      <w:proofErr w:type="spellEnd"/>
      <w:r w:rsidRPr="00130E26">
        <w:rPr>
          <w:rFonts w:asciiTheme="minorHAnsi" w:hAnsiTheme="minorHAnsi"/>
        </w:rPr>
        <w:t xml:space="preserve">, blood pressure) following </w:t>
      </w:r>
      <w:proofErr w:type="spellStart"/>
      <w:r w:rsidRPr="00130E26">
        <w:rPr>
          <w:rFonts w:asciiTheme="minorHAnsi" w:hAnsiTheme="minorHAnsi"/>
        </w:rPr>
        <w:t>supratherapeutic</w:t>
      </w:r>
      <w:proofErr w:type="spellEnd"/>
      <w:r w:rsidRPr="00130E26">
        <w:rPr>
          <w:rFonts w:asciiTheme="minorHAnsi" w:hAnsiTheme="minorHAnsi"/>
        </w:rPr>
        <w:t xml:space="preserve"> </w:t>
      </w:r>
      <w:proofErr w:type="spellStart"/>
      <w:r w:rsidRPr="00130E26">
        <w:rPr>
          <w:rFonts w:asciiTheme="minorHAnsi" w:hAnsiTheme="minorHAnsi"/>
        </w:rPr>
        <w:t>Phl</w:t>
      </w:r>
      <w:proofErr w:type="spellEnd"/>
      <w:r w:rsidRPr="00130E26">
        <w:rPr>
          <w:rFonts w:asciiTheme="minorHAnsi" w:hAnsiTheme="minorHAnsi"/>
        </w:rPr>
        <w:t xml:space="preserve"> p allergen extract PO dosing were measured in some of the canine nonclinical toxicology studies. No adverse effects were noted at doses </w:t>
      </w:r>
      <w:r w:rsidR="004A7F98">
        <w:rPr>
          <w:rFonts w:asciiTheme="minorHAnsi" w:hAnsiTheme="minorHAnsi"/>
        </w:rPr>
        <w:t xml:space="preserve">≤ </w:t>
      </w:r>
      <w:r w:rsidR="0028468D">
        <w:rPr>
          <w:rFonts w:asciiTheme="minorHAnsi" w:hAnsiTheme="minorHAnsi"/>
        </w:rPr>
        <w:t xml:space="preserve">approximately </w:t>
      </w:r>
      <w:r w:rsidRPr="00130E26">
        <w:rPr>
          <w:rFonts w:asciiTheme="minorHAnsi" w:hAnsiTheme="minorHAnsi"/>
        </w:rPr>
        <w:t>20</w:t>
      </w:r>
      <w:r w:rsidR="00B1428D">
        <w:rPr>
          <w:rFonts w:asciiTheme="minorHAnsi" w:hAnsiTheme="minorHAnsi"/>
        </w:rPr>
        <w:t xml:space="preserve"> </w:t>
      </w:r>
      <w:r w:rsidRPr="00130E26">
        <w:rPr>
          <w:rFonts w:asciiTheme="minorHAnsi" w:hAnsiTheme="minorHAnsi"/>
        </w:rPr>
        <w:t>X</w:t>
      </w:r>
      <w:r>
        <w:rPr>
          <w:rFonts w:asciiTheme="minorHAnsi" w:hAnsiTheme="minorHAnsi"/>
        </w:rPr>
        <w:t xml:space="preserve"> the clinical dose</w:t>
      </w:r>
      <w:r w:rsidR="005479B1">
        <w:rPr>
          <w:rFonts w:asciiTheme="minorHAnsi" w:hAnsiTheme="minorHAnsi"/>
        </w:rPr>
        <w:t>.</w:t>
      </w:r>
    </w:p>
    <w:p w14:paraId="4FE91B94" w14:textId="77777777" w:rsidR="005479B1" w:rsidRDefault="00FE0277" w:rsidP="00FE0277">
      <w:pPr>
        <w:pStyle w:val="ListBullet"/>
        <w:rPr>
          <w:rFonts w:asciiTheme="minorHAnsi" w:hAnsiTheme="minorHAnsi"/>
          <w:kern w:val="2"/>
        </w:rPr>
      </w:pPr>
      <w:r w:rsidRPr="005E78AC">
        <w:rPr>
          <w:rFonts w:asciiTheme="minorHAnsi" w:hAnsiTheme="minorHAnsi"/>
          <w:kern w:val="2"/>
        </w:rPr>
        <w:lastRenderedPageBreak/>
        <w:t>No Grazax-specific pharmacokinetic data was supplied</w:t>
      </w:r>
      <w:r w:rsidR="005479B1">
        <w:rPr>
          <w:rFonts w:asciiTheme="minorHAnsi" w:hAnsiTheme="minorHAnsi"/>
          <w:kern w:val="2"/>
        </w:rPr>
        <w:t>.</w:t>
      </w:r>
    </w:p>
    <w:p w14:paraId="4FE91B95" w14:textId="1DA5F1BB" w:rsidR="00FE0277" w:rsidRDefault="00FE0277" w:rsidP="00FE0277">
      <w:pPr>
        <w:pStyle w:val="ListBullet"/>
        <w:rPr>
          <w:rFonts w:asciiTheme="minorHAnsi" w:hAnsiTheme="minorHAnsi"/>
          <w:kern w:val="2"/>
        </w:rPr>
      </w:pPr>
      <w:r w:rsidRPr="005E78AC">
        <w:rPr>
          <w:rFonts w:asciiTheme="minorHAnsi" w:hAnsiTheme="minorHAnsi"/>
          <w:kern w:val="2"/>
        </w:rPr>
        <w:t xml:space="preserve"> </w:t>
      </w:r>
      <w:proofErr w:type="spellStart"/>
      <w:r w:rsidRPr="005E78AC">
        <w:rPr>
          <w:rFonts w:asciiTheme="minorHAnsi" w:hAnsiTheme="minorHAnsi"/>
        </w:rPr>
        <w:t>Phl</w:t>
      </w:r>
      <w:proofErr w:type="spellEnd"/>
      <w:r w:rsidRPr="005E78AC">
        <w:rPr>
          <w:rFonts w:asciiTheme="minorHAnsi" w:hAnsiTheme="minorHAnsi"/>
        </w:rPr>
        <w:t xml:space="preserve"> p allergen extract </w:t>
      </w:r>
      <w:r w:rsidRPr="005E78AC">
        <w:rPr>
          <w:rFonts w:asciiTheme="minorHAnsi" w:hAnsiTheme="minorHAnsi"/>
          <w:kern w:val="2"/>
        </w:rPr>
        <w:t xml:space="preserve">(at </w:t>
      </w:r>
      <w:r w:rsidR="004A7F98">
        <w:rPr>
          <w:rFonts w:asciiTheme="minorHAnsi" w:hAnsiTheme="minorHAnsi"/>
          <w:kern w:val="2"/>
        </w:rPr>
        <w:t xml:space="preserve">≤ </w:t>
      </w:r>
      <w:r w:rsidR="0028468D">
        <w:rPr>
          <w:rFonts w:asciiTheme="minorHAnsi" w:hAnsiTheme="minorHAnsi"/>
          <w:kern w:val="2"/>
        </w:rPr>
        <w:t xml:space="preserve">approximately </w:t>
      </w:r>
      <w:r w:rsidRPr="005E78AC">
        <w:rPr>
          <w:rFonts w:asciiTheme="minorHAnsi" w:hAnsiTheme="minorHAnsi"/>
          <w:kern w:val="2"/>
        </w:rPr>
        <w:t>2</w:t>
      </w:r>
      <w:r w:rsidR="00B1428D">
        <w:rPr>
          <w:rFonts w:asciiTheme="minorHAnsi" w:hAnsiTheme="minorHAnsi"/>
          <w:kern w:val="2"/>
        </w:rPr>
        <w:t xml:space="preserve">,284 to </w:t>
      </w:r>
      <w:r w:rsidRPr="005E78AC">
        <w:rPr>
          <w:rFonts w:asciiTheme="minorHAnsi" w:hAnsiTheme="minorHAnsi"/>
          <w:kern w:val="2"/>
        </w:rPr>
        <w:t>3</w:t>
      </w:r>
      <w:r w:rsidR="00B1428D">
        <w:rPr>
          <w:rFonts w:asciiTheme="minorHAnsi" w:hAnsiTheme="minorHAnsi"/>
          <w:kern w:val="2"/>
        </w:rPr>
        <w:t>,</w:t>
      </w:r>
      <w:r w:rsidRPr="005E78AC">
        <w:rPr>
          <w:rFonts w:asciiTheme="minorHAnsi" w:hAnsiTheme="minorHAnsi"/>
          <w:kern w:val="2"/>
        </w:rPr>
        <w:t>045</w:t>
      </w:r>
      <w:r w:rsidR="00B1428D">
        <w:rPr>
          <w:rFonts w:asciiTheme="minorHAnsi" w:hAnsiTheme="minorHAnsi"/>
          <w:kern w:val="2"/>
        </w:rPr>
        <w:t xml:space="preserve"> </w:t>
      </w:r>
      <w:r w:rsidRPr="005E78AC">
        <w:rPr>
          <w:rFonts w:asciiTheme="minorHAnsi" w:hAnsiTheme="minorHAnsi"/>
          <w:kern w:val="2"/>
        </w:rPr>
        <w:t xml:space="preserve">X </w:t>
      </w:r>
      <w:r>
        <w:rPr>
          <w:rFonts w:asciiTheme="minorHAnsi" w:hAnsiTheme="minorHAnsi"/>
          <w:kern w:val="2"/>
        </w:rPr>
        <w:t>clinical dose</w:t>
      </w:r>
      <w:r w:rsidRPr="005E78AC">
        <w:rPr>
          <w:rFonts w:asciiTheme="minorHAnsi" w:hAnsiTheme="minorHAnsi"/>
          <w:kern w:val="2"/>
        </w:rPr>
        <w:t xml:space="preserve"> PO and IV), was not acutely toxic (transient effects on body weight and food consumption occurred at doses </w:t>
      </w:r>
      <w:r w:rsidR="00B1428D">
        <w:rPr>
          <w:rFonts w:asciiTheme="minorHAnsi" w:hAnsiTheme="minorHAnsi"/>
          <w:kern w:val="2"/>
        </w:rPr>
        <w:t xml:space="preserve">≥ </w:t>
      </w:r>
      <w:r w:rsidR="0028468D">
        <w:rPr>
          <w:rFonts w:asciiTheme="minorHAnsi" w:hAnsiTheme="minorHAnsi"/>
          <w:kern w:val="2"/>
        </w:rPr>
        <w:t xml:space="preserve">approximately </w:t>
      </w:r>
      <w:r w:rsidRPr="005E78AC">
        <w:rPr>
          <w:rFonts w:asciiTheme="minorHAnsi" w:hAnsiTheme="minorHAnsi"/>
          <w:kern w:val="2"/>
        </w:rPr>
        <w:t>2</w:t>
      </w:r>
      <w:r w:rsidR="00B1428D">
        <w:rPr>
          <w:rFonts w:asciiTheme="minorHAnsi" w:hAnsiTheme="minorHAnsi"/>
          <w:kern w:val="2"/>
        </w:rPr>
        <w:t>,</w:t>
      </w:r>
      <w:r w:rsidRPr="005E78AC">
        <w:rPr>
          <w:rFonts w:asciiTheme="minorHAnsi" w:hAnsiTheme="minorHAnsi"/>
          <w:kern w:val="2"/>
        </w:rPr>
        <w:t>284</w:t>
      </w:r>
      <w:r w:rsidR="00B1428D">
        <w:rPr>
          <w:rFonts w:asciiTheme="minorHAnsi" w:hAnsiTheme="minorHAnsi"/>
          <w:kern w:val="2"/>
        </w:rPr>
        <w:t xml:space="preserve"> </w:t>
      </w:r>
      <w:r w:rsidRPr="005E78AC">
        <w:rPr>
          <w:rFonts w:asciiTheme="minorHAnsi" w:hAnsiTheme="minorHAnsi"/>
          <w:kern w:val="2"/>
        </w:rPr>
        <w:t xml:space="preserve">X </w:t>
      </w:r>
      <w:r>
        <w:rPr>
          <w:rFonts w:asciiTheme="minorHAnsi" w:hAnsiTheme="minorHAnsi"/>
          <w:kern w:val="2"/>
        </w:rPr>
        <w:t>clinical dose</w:t>
      </w:r>
      <w:r w:rsidRPr="005E78AC">
        <w:rPr>
          <w:rFonts w:asciiTheme="minorHAnsi" w:hAnsiTheme="minorHAnsi"/>
          <w:kern w:val="2"/>
        </w:rPr>
        <w:t xml:space="preserve"> PO) in normal healthy animals.</w:t>
      </w:r>
    </w:p>
    <w:p w14:paraId="4FE91B96" w14:textId="02374DC2" w:rsidR="00FE0277" w:rsidRPr="001721A9" w:rsidRDefault="00FE0277" w:rsidP="00FE0277">
      <w:pPr>
        <w:pStyle w:val="ListBullet"/>
        <w:rPr>
          <w:rFonts w:asciiTheme="minorHAnsi" w:hAnsiTheme="minorHAnsi"/>
          <w:kern w:val="2"/>
        </w:rPr>
      </w:pPr>
      <w:r w:rsidRPr="004A643D">
        <w:rPr>
          <w:rFonts w:asciiTheme="minorHAnsi" w:hAnsiTheme="minorHAnsi"/>
          <w:i/>
        </w:rPr>
        <w:t xml:space="preserve">Non-immunological effects in repeat dose toxicology studies using normal healthy animals: </w:t>
      </w:r>
      <w:r w:rsidRPr="004A643D">
        <w:rPr>
          <w:rFonts w:asciiTheme="minorHAnsi" w:hAnsiTheme="minorHAnsi"/>
        </w:rPr>
        <w:t>High levels of exposure (</w:t>
      </w:r>
      <w:r w:rsidR="004C74AA">
        <w:rPr>
          <w:rFonts w:asciiTheme="minorHAnsi" w:hAnsiTheme="minorHAnsi"/>
        </w:rPr>
        <w:t>&gt;</w:t>
      </w:r>
      <w:r w:rsidR="000F4578">
        <w:rPr>
          <w:rFonts w:asciiTheme="minorHAnsi" w:hAnsiTheme="minorHAnsi"/>
        </w:rPr>
        <w:t xml:space="preserve"> </w:t>
      </w:r>
      <w:r w:rsidRPr="004A643D">
        <w:rPr>
          <w:rFonts w:asciiTheme="minorHAnsi" w:hAnsiTheme="minorHAnsi"/>
        </w:rPr>
        <w:t>1</w:t>
      </w:r>
      <w:r w:rsidR="00B1428D">
        <w:rPr>
          <w:rFonts w:asciiTheme="minorHAnsi" w:hAnsiTheme="minorHAnsi"/>
        </w:rPr>
        <w:t>,</w:t>
      </w:r>
      <w:r w:rsidRPr="004A643D">
        <w:rPr>
          <w:rFonts w:asciiTheme="minorHAnsi" w:hAnsiTheme="minorHAnsi"/>
        </w:rPr>
        <w:t>000</w:t>
      </w:r>
      <w:r w:rsidR="00B1428D">
        <w:rPr>
          <w:rFonts w:asciiTheme="minorHAnsi" w:hAnsiTheme="minorHAnsi"/>
        </w:rPr>
        <w:t xml:space="preserve"> </w:t>
      </w:r>
      <w:r>
        <w:rPr>
          <w:rFonts w:asciiTheme="minorHAnsi" w:hAnsiTheme="minorHAnsi"/>
        </w:rPr>
        <w:t>X</w:t>
      </w:r>
      <w:r w:rsidRPr="004A643D">
        <w:rPr>
          <w:rFonts w:asciiTheme="minorHAnsi" w:hAnsiTheme="minorHAnsi"/>
        </w:rPr>
        <w:t xml:space="preserve"> for </w:t>
      </w:r>
      <w:proofErr w:type="spellStart"/>
      <w:r w:rsidRPr="004A643D">
        <w:rPr>
          <w:rFonts w:asciiTheme="minorHAnsi" w:hAnsiTheme="minorHAnsi"/>
        </w:rPr>
        <w:t>Phl</w:t>
      </w:r>
      <w:proofErr w:type="spellEnd"/>
      <w:r w:rsidRPr="004A643D">
        <w:rPr>
          <w:rFonts w:asciiTheme="minorHAnsi" w:hAnsiTheme="minorHAnsi"/>
        </w:rPr>
        <w:t xml:space="preserve"> p allergen extract and its protein and non-protein sub-fractions; BSA comparisons) were achieved in the studies. </w:t>
      </w:r>
      <w:proofErr w:type="spellStart"/>
      <w:r w:rsidRPr="004A643D">
        <w:rPr>
          <w:rFonts w:asciiTheme="minorHAnsi" w:hAnsiTheme="minorHAnsi"/>
        </w:rPr>
        <w:t>Phl</w:t>
      </w:r>
      <w:proofErr w:type="spellEnd"/>
      <w:r w:rsidRPr="004A643D">
        <w:rPr>
          <w:rFonts w:asciiTheme="minorHAnsi" w:hAnsiTheme="minorHAnsi"/>
        </w:rPr>
        <w:t xml:space="preserve"> p allergen extract was mostly toxicologically innocuous in mice and dogs even at extreme doses relative to the </w:t>
      </w:r>
      <w:r>
        <w:rPr>
          <w:rFonts w:asciiTheme="minorHAnsi" w:hAnsiTheme="minorHAnsi"/>
        </w:rPr>
        <w:t>clinical dose</w:t>
      </w:r>
      <w:r w:rsidRPr="004A643D">
        <w:rPr>
          <w:rFonts w:asciiTheme="minorHAnsi" w:hAnsiTheme="minorHAnsi"/>
        </w:rPr>
        <w:t xml:space="preserve">. Mild adverse effects in mice included ↓ body weight, ↓ body weight gain, ↓ food consumption and ↓ feed conversion efficiency in mice (mostly at </w:t>
      </w:r>
      <w:r w:rsidR="0028468D">
        <w:rPr>
          <w:rFonts w:asciiTheme="minorHAnsi" w:hAnsiTheme="minorHAnsi"/>
        </w:rPr>
        <w:t xml:space="preserve">approximately </w:t>
      </w:r>
      <w:r w:rsidR="00B1428D">
        <w:rPr>
          <w:rFonts w:asciiTheme="minorHAnsi" w:hAnsiTheme="minorHAnsi"/>
        </w:rPr>
        <w:t>1,522 X</w:t>
      </w:r>
      <w:r w:rsidRPr="004A643D">
        <w:rPr>
          <w:rFonts w:asciiTheme="minorHAnsi" w:hAnsiTheme="minorHAnsi"/>
        </w:rPr>
        <w:t xml:space="preserve"> </w:t>
      </w:r>
      <w:r>
        <w:rPr>
          <w:rFonts w:asciiTheme="minorHAnsi" w:hAnsiTheme="minorHAnsi"/>
        </w:rPr>
        <w:t xml:space="preserve">clinical </w:t>
      </w:r>
      <w:proofErr w:type="gramStart"/>
      <w:r>
        <w:rPr>
          <w:rFonts w:asciiTheme="minorHAnsi" w:hAnsiTheme="minorHAnsi"/>
        </w:rPr>
        <w:t>dose</w:t>
      </w:r>
      <w:proofErr w:type="gramEnd"/>
      <w:r w:rsidRPr="004A643D">
        <w:rPr>
          <w:rFonts w:asciiTheme="minorHAnsi" w:hAnsiTheme="minorHAnsi"/>
        </w:rPr>
        <w:t xml:space="preserve"> administered for </w:t>
      </w:r>
      <w:r w:rsidR="00B1428D">
        <w:rPr>
          <w:rFonts w:asciiTheme="minorHAnsi" w:hAnsiTheme="minorHAnsi"/>
        </w:rPr>
        <w:t xml:space="preserve">≥ </w:t>
      </w:r>
      <w:r w:rsidRPr="004A643D">
        <w:rPr>
          <w:rFonts w:asciiTheme="minorHAnsi" w:hAnsiTheme="minorHAnsi"/>
        </w:rPr>
        <w:t>15 w</w:t>
      </w:r>
      <w:r>
        <w:rPr>
          <w:rFonts w:asciiTheme="minorHAnsi" w:hAnsiTheme="minorHAnsi"/>
        </w:rPr>
        <w:t>ee</w:t>
      </w:r>
      <w:r w:rsidRPr="004A643D">
        <w:rPr>
          <w:rFonts w:asciiTheme="minorHAnsi" w:hAnsiTheme="minorHAnsi"/>
        </w:rPr>
        <w:t xml:space="preserve">ks). This did not occur in dogs. The results of the studies are consistent with the likely digestive breakdown of the </w:t>
      </w:r>
      <w:proofErr w:type="spellStart"/>
      <w:r w:rsidRPr="004A643D">
        <w:rPr>
          <w:rFonts w:asciiTheme="minorHAnsi" w:hAnsiTheme="minorHAnsi"/>
        </w:rPr>
        <w:t>Phl</w:t>
      </w:r>
      <w:proofErr w:type="spellEnd"/>
      <w:r w:rsidRPr="004A643D">
        <w:rPr>
          <w:rFonts w:asciiTheme="minorHAnsi" w:hAnsiTheme="minorHAnsi"/>
        </w:rPr>
        <w:t xml:space="preserve"> p allergen extract protein sub-fraction in the gut. Any undesirable effects of Grazax</w:t>
      </w:r>
      <w:r w:rsidRPr="004A643D">
        <w:rPr>
          <w:rFonts w:asciiTheme="minorHAnsi" w:hAnsiTheme="minorHAnsi"/>
          <w:kern w:val="2"/>
        </w:rPr>
        <w:t xml:space="preserve"> </w:t>
      </w:r>
      <w:r w:rsidRPr="004A643D">
        <w:rPr>
          <w:rFonts w:asciiTheme="minorHAnsi" w:hAnsiTheme="minorHAnsi"/>
        </w:rPr>
        <w:t xml:space="preserve">are most likely to </w:t>
      </w:r>
      <w:r>
        <w:rPr>
          <w:rFonts w:asciiTheme="minorHAnsi" w:hAnsiTheme="minorHAnsi"/>
        </w:rPr>
        <w:t>be</w:t>
      </w:r>
      <w:r w:rsidRPr="004A643D">
        <w:rPr>
          <w:rFonts w:asciiTheme="minorHAnsi" w:hAnsiTheme="minorHAnsi"/>
        </w:rPr>
        <w:t xml:space="preserve"> due to adverse immune system reactions to the </w:t>
      </w:r>
      <w:proofErr w:type="spellStart"/>
      <w:r w:rsidRPr="004A643D">
        <w:rPr>
          <w:rFonts w:asciiTheme="minorHAnsi" w:hAnsiTheme="minorHAnsi"/>
        </w:rPr>
        <w:t>Phl</w:t>
      </w:r>
      <w:proofErr w:type="spellEnd"/>
      <w:r w:rsidRPr="004A643D">
        <w:rPr>
          <w:rFonts w:asciiTheme="minorHAnsi" w:hAnsiTheme="minorHAnsi"/>
        </w:rPr>
        <w:t xml:space="preserve"> p protein sub-fraction. Such effects are best evaluated </w:t>
      </w:r>
      <w:r>
        <w:rPr>
          <w:rFonts w:asciiTheme="minorHAnsi" w:hAnsiTheme="minorHAnsi"/>
        </w:rPr>
        <w:t xml:space="preserve">using </w:t>
      </w:r>
      <w:r w:rsidRPr="004A643D">
        <w:rPr>
          <w:rFonts w:asciiTheme="minorHAnsi" w:hAnsiTheme="minorHAnsi"/>
        </w:rPr>
        <w:t>human data.</w:t>
      </w:r>
    </w:p>
    <w:p w14:paraId="4FE91B97" w14:textId="73EF9F13" w:rsidR="005479B1" w:rsidRDefault="00FE0277" w:rsidP="00FE0277">
      <w:pPr>
        <w:pStyle w:val="ListBullet"/>
        <w:rPr>
          <w:rFonts w:asciiTheme="minorHAnsi" w:hAnsiTheme="minorHAnsi"/>
        </w:rPr>
      </w:pPr>
      <w:r w:rsidRPr="00407A82">
        <w:rPr>
          <w:rFonts w:asciiTheme="minorHAnsi" w:hAnsiTheme="minorHAnsi"/>
          <w:i/>
          <w:kern w:val="2"/>
        </w:rPr>
        <w:t xml:space="preserve">Immunological and </w:t>
      </w:r>
      <w:proofErr w:type="spellStart"/>
      <w:r w:rsidRPr="00407A82">
        <w:rPr>
          <w:rFonts w:asciiTheme="minorHAnsi" w:hAnsiTheme="minorHAnsi"/>
          <w:i/>
          <w:kern w:val="2"/>
        </w:rPr>
        <w:t>immunotoxicological</w:t>
      </w:r>
      <w:proofErr w:type="spellEnd"/>
      <w:r w:rsidRPr="00407A82">
        <w:rPr>
          <w:rFonts w:asciiTheme="minorHAnsi" w:hAnsiTheme="minorHAnsi"/>
          <w:i/>
          <w:kern w:val="2"/>
        </w:rPr>
        <w:t xml:space="preserve"> effects </w:t>
      </w:r>
      <w:r w:rsidRPr="004A643D">
        <w:rPr>
          <w:rFonts w:asciiTheme="minorHAnsi" w:hAnsiTheme="minorHAnsi"/>
          <w:i/>
        </w:rPr>
        <w:t>in repeat dose toxicology studies using</w:t>
      </w:r>
      <w:r w:rsidRPr="00407A82">
        <w:rPr>
          <w:rFonts w:asciiTheme="minorHAnsi" w:hAnsiTheme="minorHAnsi"/>
          <w:i/>
          <w:kern w:val="2"/>
        </w:rPr>
        <w:t xml:space="preserve"> </w:t>
      </w:r>
      <w:r w:rsidRPr="00407A82">
        <w:rPr>
          <w:rFonts w:asciiTheme="minorHAnsi" w:hAnsiTheme="minorHAnsi"/>
          <w:i/>
        </w:rPr>
        <w:t xml:space="preserve">normal healthy animals. </w:t>
      </w:r>
      <w:r w:rsidRPr="00407A82">
        <w:rPr>
          <w:rFonts w:asciiTheme="minorHAnsi" w:hAnsiTheme="minorHAnsi"/>
        </w:rPr>
        <w:t>Serological responses in normal, healthy animals (not immunologically primed</w:t>
      </w:r>
      <w:r>
        <w:rPr>
          <w:rFonts w:asciiTheme="minorHAnsi" w:hAnsiTheme="minorHAnsi"/>
        </w:rPr>
        <w:t xml:space="preserve"> before </w:t>
      </w:r>
      <w:proofErr w:type="spellStart"/>
      <w:r>
        <w:rPr>
          <w:rFonts w:asciiTheme="minorHAnsi" w:hAnsiTheme="minorHAnsi"/>
        </w:rPr>
        <w:t>Phl</w:t>
      </w:r>
      <w:proofErr w:type="spellEnd"/>
      <w:r>
        <w:rPr>
          <w:rFonts w:asciiTheme="minorHAnsi" w:hAnsiTheme="minorHAnsi"/>
        </w:rPr>
        <w:t xml:space="preserve"> p allergen extract treatment</w:t>
      </w:r>
      <w:r w:rsidRPr="00407A82">
        <w:rPr>
          <w:rFonts w:asciiTheme="minorHAnsi" w:hAnsiTheme="minorHAnsi"/>
        </w:rPr>
        <w:t xml:space="preserve">) differed from those in the </w:t>
      </w:r>
      <w:proofErr w:type="spellStart"/>
      <w:r w:rsidRPr="00407A82">
        <w:rPr>
          <w:rFonts w:asciiTheme="minorHAnsi" w:hAnsiTheme="minorHAnsi"/>
        </w:rPr>
        <w:t>Phl</w:t>
      </w:r>
      <w:proofErr w:type="spellEnd"/>
      <w:r w:rsidRPr="00407A82">
        <w:rPr>
          <w:rFonts w:asciiTheme="minorHAnsi" w:hAnsiTheme="minorHAnsi"/>
        </w:rPr>
        <w:t xml:space="preserve"> p allergen extract primed mouse rhinitis model. Four weeks of repeated daily PO dosing of mice at </w:t>
      </w:r>
      <w:r w:rsidR="0028468D">
        <w:rPr>
          <w:rFonts w:asciiTheme="minorHAnsi" w:hAnsiTheme="minorHAnsi"/>
        </w:rPr>
        <w:t xml:space="preserve">approximately </w:t>
      </w:r>
      <w:r w:rsidR="00B1428D">
        <w:rPr>
          <w:rFonts w:asciiTheme="minorHAnsi" w:hAnsiTheme="minorHAnsi"/>
        </w:rPr>
        <w:t>1,522 X</w:t>
      </w:r>
      <w:r w:rsidRPr="00407A82">
        <w:rPr>
          <w:rFonts w:asciiTheme="minorHAnsi" w:hAnsiTheme="minorHAnsi"/>
        </w:rPr>
        <w:t xml:space="preserve"> clini</w:t>
      </w:r>
      <w:r w:rsidR="00B1428D">
        <w:rPr>
          <w:rFonts w:asciiTheme="minorHAnsi" w:hAnsiTheme="minorHAnsi"/>
        </w:rPr>
        <w:t>cal dose induced serum anti-</w:t>
      </w:r>
      <w:proofErr w:type="spellStart"/>
      <w:r w:rsidR="00B1428D">
        <w:rPr>
          <w:rFonts w:asciiTheme="minorHAnsi" w:hAnsiTheme="minorHAnsi"/>
        </w:rPr>
        <w:t>Phl</w:t>
      </w:r>
      <w:proofErr w:type="spellEnd"/>
      <w:r w:rsidR="00B1428D">
        <w:rPr>
          <w:rFonts w:asciiTheme="minorHAnsi" w:hAnsiTheme="minorHAnsi"/>
        </w:rPr>
        <w:t> </w:t>
      </w:r>
      <w:r w:rsidRPr="00407A82">
        <w:rPr>
          <w:rFonts w:asciiTheme="minorHAnsi" w:hAnsiTheme="minorHAnsi"/>
        </w:rPr>
        <w:t xml:space="preserve">p IgG responses in </w:t>
      </w:r>
      <w:r w:rsidR="0028468D">
        <w:rPr>
          <w:rFonts w:asciiTheme="minorHAnsi" w:hAnsiTheme="minorHAnsi"/>
        </w:rPr>
        <w:t xml:space="preserve">approximately </w:t>
      </w:r>
      <w:r w:rsidRPr="00407A82">
        <w:rPr>
          <w:rFonts w:asciiTheme="minorHAnsi" w:hAnsiTheme="minorHAnsi"/>
        </w:rPr>
        <w:t>⅔ of animals (</w:t>
      </w:r>
      <w:r w:rsidR="0028468D">
        <w:rPr>
          <w:rFonts w:asciiTheme="minorHAnsi" w:hAnsiTheme="minorHAnsi"/>
        </w:rPr>
        <w:t xml:space="preserve">approximately </w:t>
      </w:r>
      <w:r w:rsidRPr="00407A82">
        <w:rPr>
          <w:rFonts w:asciiTheme="minorHAnsi" w:hAnsiTheme="minorHAnsi"/>
        </w:rPr>
        <w:t xml:space="preserve">8% response at </w:t>
      </w:r>
      <w:r w:rsidR="0028468D">
        <w:rPr>
          <w:rFonts w:asciiTheme="minorHAnsi" w:hAnsiTheme="minorHAnsi"/>
        </w:rPr>
        <w:t xml:space="preserve">approximately </w:t>
      </w:r>
      <w:r w:rsidR="00B1428D">
        <w:rPr>
          <w:rFonts w:asciiTheme="minorHAnsi" w:hAnsiTheme="minorHAnsi"/>
        </w:rPr>
        <w:t xml:space="preserve">76 to </w:t>
      </w:r>
      <w:r w:rsidRPr="00407A82">
        <w:rPr>
          <w:rFonts w:asciiTheme="minorHAnsi" w:hAnsiTheme="minorHAnsi"/>
        </w:rPr>
        <w:t>228</w:t>
      </w:r>
      <w:r w:rsidR="00B1428D">
        <w:rPr>
          <w:rFonts w:asciiTheme="minorHAnsi" w:hAnsiTheme="minorHAnsi"/>
        </w:rPr>
        <w:t xml:space="preserve"> </w:t>
      </w:r>
      <w:r w:rsidRPr="00407A82">
        <w:rPr>
          <w:rFonts w:asciiTheme="minorHAnsi" w:hAnsiTheme="minorHAnsi"/>
        </w:rPr>
        <w:t xml:space="preserve">X clinical dose). Sub-acute repeated daily PO dosing of dogs at </w:t>
      </w:r>
      <w:r w:rsidR="0028468D">
        <w:rPr>
          <w:rFonts w:asciiTheme="minorHAnsi" w:hAnsiTheme="minorHAnsi"/>
        </w:rPr>
        <w:t xml:space="preserve">approximately </w:t>
      </w:r>
      <w:r w:rsidR="00B1428D">
        <w:rPr>
          <w:rFonts w:asciiTheme="minorHAnsi" w:hAnsiTheme="minorHAnsi"/>
        </w:rPr>
        <w:t xml:space="preserve">20X clinical dose induced </w:t>
      </w:r>
      <w:proofErr w:type="spellStart"/>
      <w:r w:rsidR="00B1428D">
        <w:rPr>
          <w:rFonts w:asciiTheme="minorHAnsi" w:hAnsiTheme="minorHAnsi"/>
        </w:rPr>
        <w:t>Phl</w:t>
      </w:r>
      <w:proofErr w:type="spellEnd"/>
      <w:r w:rsidR="00B1428D">
        <w:rPr>
          <w:rFonts w:asciiTheme="minorHAnsi" w:hAnsiTheme="minorHAnsi"/>
        </w:rPr>
        <w:t xml:space="preserve"> p </w:t>
      </w:r>
      <w:r w:rsidRPr="00407A82">
        <w:rPr>
          <w:rFonts w:asciiTheme="minorHAnsi" w:hAnsiTheme="minorHAnsi"/>
        </w:rPr>
        <w:t xml:space="preserve">specific serum IgG responses in 90% of animals (0% response at </w:t>
      </w:r>
      <w:r w:rsidR="0028468D">
        <w:rPr>
          <w:rFonts w:asciiTheme="minorHAnsi" w:hAnsiTheme="minorHAnsi"/>
        </w:rPr>
        <w:t xml:space="preserve">approximately </w:t>
      </w:r>
      <w:r w:rsidR="00B1428D">
        <w:rPr>
          <w:rFonts w:asciiTheme="minorHAnsi" w:hAnsiTheme="minorHAnsi"/>
        </w:rPr>
        <w:t xml:space="preserve">1 to </w:t>
      </w:r>
      <w:r w:rsidRPr="00407A82">
        <w:rPr>
          <w:rFonts w:asciiTheme="minorHAnsi" w:hAnsiTheme="minorHAnsi"/>
        </w:rPr>
        <w:t>3</w:t>
      </w:r>
      <w:r w:rsidR="00B1428D">
        <w:rPr>
          <w:rFonts w:asciiTheme="minorHAnsi" w:hAnsiTheme="minorHAnsi"/>
        </w:rPr>
        <w:t xml:space="preserve"> </w:t>
      </w:r>
      <w:r w:rsidRPr="00407A82">
        <w:rPr>
          <w:rFonts w:asciiTheme="minorHAnsi" w:hAnsiTheme="minorHAnsi"/>
        </w:rPr>
        <w:t xml:space="preserve">X clinical dose). Fifteen weeks of repeated daily PO dosing of mice at </w:t>
      </w:r>
      <w:r w:rsidR="0028468D">
        <w:rPr>
          <w:rFonts w:asciiTheme="minorHAnsi" w:hAnsiTheme="minorHAnsi"/>
        </w:rPr>
        <w:t xml:space="preserve">approximately </w:t>
      </w:r>
      <w:r w:rsidR="00B1428D">
        <w:rPr>
          <w:rFonts w:asciiTheme="minorHAnsi" w:hAnsiTheme="minorHAnsi"/>
        </w:rPr>
        <w:t>1,522 X</w:t>
      </w:r>
      <w:r w:rsidRPr="00407A82">
        <w:rPr>
          <w:rFonts w:asciiTheme="minorHAnsi" w:hAnsiTheme="minorHAnsi"/>
        </w:rPr>
        <w:t xml:space="preserve"> clinical dose induced serum anti-</w:t>
      </w:r>
      <w:proofErr w:type="spellStart"/>
      <w:r w:rsidRPr="00407A82">
        <w:rPr>
          <w:rFonts w:asciiTheme="minorHAnsi" w:hAnsiTheme="minorHAnsi"/>
        </w:rPr>
        <w:t>Phl</w:t>
      </w:r>
      <w:proofErr w:type="spellEnd"/>
      <w:r w:rsidRPr="00407A82">
        <w:rPr>
          <w:rFonts w:asciiTheme="minorHAnsi" w:hAnsiTheme="minorHAnsi"/>
        </w:rPr>
        <w:t xml:space="preserve"> p IgG in </w:t>
      </w:r>
      <w:r w:rsidR="0028468D">
        <w:rPr>
          <w:rFonts w:asciiTheme="minorHAnsi" w:hAnsiTheme="minorHAnsi"/>
        </w:rPr>
        <w:t xml:space="preserve">approximately </w:t>
      </w:r>
      <w:r w:rsidR="00B1428D">
        <w:rPr>
          <w:rFonts w:asciiTheme="minorHAnsi" w:hAnsiTheme="minorHAnsi"/>
        </w:rPr>
        <w:t>84 to 97% mice (not dose responsive). However, 52 </w:t>
      </w:r>
      <w:r w:rsidRPr="00407A82">
        <w:rPr>
          <w:rFonts w:asciiTheme="minorHAnsi" w:hAnsiTheme="minorHAnsi"/>
        </w:rPr>
        <w:t xml:space="preserve">weeks of repeated daily PO dosing of dogs at </w:t>
      </w:r>
      <w:r w:rsidR="004A7F98">
        <w:rPr>
          <w:rFonts w:asciiTheme="minorHAnsi" w:hAnsiTheme="minorHAnsi"/>
        </w:rPr>
        <w:t xml:space="preserve">≤ </w:t>
      </w:r>
      <w:r w:rsidR="0028468D">
        <w:rPr>
          <w:rFonts w:asciiTheme="minorHAnsi" w:hAnsiTheme="minorHAnsi"/>
        </w:rPr>
        <w:t xml:space="preserve">approximately </w:t>
      </w:r>
      <w:r w:rsidRPr="00407A82">
        <w:rPr>
          <w:rFonts w:asciiTheme="minorHAnsi" w:hAnsiTheme="minorHAnsi"/>
        </w:rPr>
        <w:t>20</w:t>
      </w:r>
      <w:r w:rsidR="00B1428D">
        <w:rPr>
          <w:rFonts w:asciiTheme="minorHAnsi" w:hAnsiTheme="minorHAnsi"/>
        </w:rPr>
        <w:t xml:space="preserve"> </w:t>
      </w:r>
      <w:r w:rsidRPr="00407A82">
        <w:rPr>
          <w:rFonts w:asciiTheme="minorHAnsi" w:hAnsiTheme="minorHAnsi"/>
        </w:rPr>
        <w:t>X clinical dose did not induce a serum anti-allergen specific IgG response. Critically, serum and mucosal IgA levels were not measured in the toxicology studies. Specific evaluations of allergen blocking antibodies were either not performed or not reported. Repeated daily supratherapeutic oral exposure for up to 26 weeks in mice and 52 weeks in dogs was not associated with local or systemic hypersensitivity responses. However, the healthy, normal animal models used are unreliable predictors of</w:t>
      </w:r>
      <w:r>
        <w:rPr>
          <w:rFonts w:asciiTheme="minorHAnsi" w:hAnsiTheme="minorHAnsi"/>
        </w:rPr>
        <w:t xml:space="preserve"> the human risk of </w:t>
      </w:r>
      <w:r w:rsidRPr="00407A82">
        <w:rPr>
          <w:rFonts w:asciiTheme="minorHAnsi" w:hAnsiTheme="minorHAnsi"/>
        </w:rPr>
        <w:t>some forms anaphylactic/anaphylactoid/pseudoallergic</w:t>
      </w:r>
      <w:r>
        <w:rPr>
          <w:rFonts w:asciiTheme="minorHAnsi" w:hAnsiTheme="minorHAnsi"/>
        </w:rPr>
        <w:t xml:space="preserve"> reactions</w:t>
      </w:r>
      <w:r w:rsidRPr="00407A82">
        <w:rPr>
          <w:rFonts w:asciiTheme="minorHAnsi" w:hAnsiTheme="minorHAnsi"/>
        </w:rPr>
        <w:t>.</w:t>
      </w:r>
      <w:r w:rsidRPr="005E78AC">
        <w:rPr>
          <w:rStyle w:val="FootnoteReference"/>
          <w:rFonts w:asciiTheme="minorHAnsi" w:hAnsiTheme="minorHAnsi"/>
        </w:rPr>
        <w:footnoteReference w:id="62"/>
      </w:r>
      <w:r w:rsidRPr="00407A82">
        <w:rPr>
          <w:rFonts w:asciiTheme="minorHAnsi" w:hAnsiTheme="minorHAnsi"/>
        </w:rPr>
        <w:t xml:space="preserve"> Anti-</w:t>
      </w:r>
      <w:proofErr w:type="spellStart"/>
      <w:r w:rsidRPr="00407A82">
        <w:rPr>
          <w:rFonts w:asciiTheme="minorHAnsi" w:hAnsiTheme="minorHAnsi"/>
        </w:rPr>
        <w:t>Phl</w:t>
      </w:r>
      <w:proofErr w:type="spellEnd"/>
      <w:r w:rsidRPr="00407A82">
        <w:rPr>
          <w:rFonts w:asciiTheme="minorHAnsi" w:hAnsiTheme="minorHAnsi"/>
        </w:rPr>
        <w:t xml:space="preserve"> p allergen extract </w:t>
      </w:r>
      <w:proofErr w:type="spellStart"/>
      <w:r w:rsidRPr="00407A82">
        <w:rPr>
          <w:rFonts w:asciiTheme="minorHAnsi" w:hAnsiTheme="minorHAnsi"/>
        </w:rPr>
        <w:t>IgE</w:t>
      </w:r>
      <w:proofErr w:type="spellEnd"/>
      <w:r w:rsidRPr="00407A82">
        <w:rPr>
          <w:rFonts w:asciiTheme="minorHAnsi" w:hAnsiTheme="minorHAnsi"/>
        </w:rPr>
        <w:t xml:space="preserve"> serum/mucosal surface antibody levels were either not evaluated or not reported in the repeat dose toxicology studies</w:t>
      </w:r>
      <w:r w:rsidR="005479B1">
        <w:rPr>
          <w:rFonts w:asciiTheme="minorHAnsi" w:hAnsiTheme="minorHAnsi"/>
        </w:rPr>
        <w:t>.</w:t>
      </w:r>
    </w:p>
    <w:p w14:paraId="4FE91B98" w14:textId="77777777" w:rsidR="005479B1" w:rsidRPr="00B1428D" w:rsidRDefault="00FE0277" w:rsidP="00FE0277">
      <w:pPr>
        <w:pStyle w:val="ListBullet"/>
        <w:rPr>
          <w:rFonts w:asciiTheme="minorHAnsi" w:hAnsiTheme="minorHAnsi"/>
          <w:kern w:val="2"/>
        </w:rPr>
      </w:pPr>
      <w:r w:rsidRPr="00407A82">
        <w:rPr>
          <w:rFonts w:asciiTheme="minorHAnsi" w:hAnsiTheme="minorHAnsi"/>
          <w:kern w:val="2"/>
        </w:rPr>
        <w:t>The</w:t>
      </w:r>
      <w:r>
        <w:rPr>
          <w:rFonts w:asciiTheme="minorHAnsi" w:hAnsiTheme="minorHAnsi"/>
          <w:kern w:val="2"/>
        </w:rPr>
        <w:t xml:space="preserve">re is </w:t>
      </w:r>
      <w:r w:rsidRPr="00B1428D">
        <w:rPr>
          <w:rFonts w:asciiTheme="minorHAnsi" w:hAnsiTheme="minorHAnsi"/>
          <w:kern w:val="2"/>
        </w:rPr>
        <w:t>no in vivo genotoxicity</w:t>
      </w:r>
      <w:r>
        <w:rPr>
          <w:rFonts w:asciiTheme="minorHAnsi" w:hAnsiTheme="minorHAnsi"/>
          <w:kern w:val="2"/>
        </w:rPr>
        <w:t xml:space="preserve"> data. </w:t>
      </w:r>
      <w:proofErr w:type="spellStart"/>
      <w:r w:rsidR="00B1428D">
        <w:rPr>
          <w:rFonts w:asciiTheme="minorHAnsi" w:hAnsiTheme="minorHAnsi"/>
          <w:kern w:val="2"/>
        </w:rPr>
        <w:t>Phl</w:t>
      </w:r>
      <w:proofErr w:type="spellEnd"/>
      <w:r w:rsidR="00B1428D">
        <w:rPr>
          <w:rFonts w:asciiTheme="minorHAnsi" w:hAnsiTheme="minorHAnsi"/>
          <w:kern w:val="2"/>
        </w:rPr>
        <w:t xml:space="preserve"> p allergen extract (74 to 77% protein; 13 to </w:t>
      </w:r>
      <w:r w:rsidRPr="00407A82">
        <w:rPr>
          <w:rFonts w:asciiTheme="minorHAnsi" w:hAnsiTheme="minorHAnsi"/>
          <w:kern w:val="2"/>
        </w:rPr>
        <w:t xml:space="preserve">16% non-protein) did not induce reverse mutations in bacteria or forward mutations in mammalian </w:t>
      </w:r>
      <w:r w:rsidRPr="00B1428D">
        <w:rPr>
          <w:rFonts w:asciiTheme="minorHAnsi" w:hAnsiTheme="minorHAnsi"/>
          <w:kern w:val="2"/>
        </w:rPr>
        <w:t>cells in vitro</w:t>
      </w:r>
      <w:r w:rsidR="005479B1" w:rsidRPr="00B1428D">
        <w:rPr>
          <w:rFonts w:asciiTheme="minorHAnsi" w:hAnsiTheme="minorHAnsi"/>
          <w:kern w:val="2"/>
        </w:rPr>
        <w:t>.</w:t>
      </w:r>
    </w:p>
    <w:p w14:paraId="4FE91B99" w14:textId="77777777" w:rsidR="005479B1" w:rsidRDefault="00FE0277" w:rsidP="00FE0277">
      <w:pPr>
        <w:pStyle w:val="ListBullet"/>
        <w:rPr>
          <w:rFonts w:asciiTheme="minorHAnsi" w:hAnsiTheme="minorHAnsi"/>
          <w:kern w:val="2"/>
        </w:rPr>
      </w:pPr>
      <w:r w:rsidRPr="000E3850">
        <w:rPr>
          <w:rFonts w:asciiTheme="minorHAnsi" w:hAnsiTheme="minorHAnsi"/>
          <w:kern w:val="2"/>
        </w:rPr>
        <w:t xml:space="preserve">No carcinogenesis </w:t>
      </w:r>
      <w:r w:rsidRPr="001C7CAE">
        <w:rPr>
          <w:rFonts w:asciiTheme="minorHAnsi" w:hAnsiTheme="minorHAnsi"/>
          <w:kern w:val="2"/>
        </w:rPr>
        <w:t>data</w:t>
      </w:r>
      <w:r w:rsidRPr="000E3850">
        <w:rPr>
          <w:rFonts w:asciiTheme="minorHAnsi" w:hAnsiTheme="minorHAnsi"/>
          <w:kern w:val="2"/>
        </w:rPr>
        <w:t xml:space="preserve"> was supplied</w:t>
      </w:r>
      <w:r w:rsidR="005479B1">
        <w:rPr>
          <w:rFonts w:asciiTheme="minorHAnsi" w:hAnsiTheme="minorHAnsi"/>
          <w:kern w:val="2"/>
        </w:rPr>
        <w:t>.</w:t>
      </w:r>
    </w:p>
    <w:p w14:paraId="4FE91B9A" w14:textId="57F4A78F" w:rsidR="005479B1" w:rsidRDefault="00FE0277" w:rsidP="00FE0277">
      <w:pPr>
        <w:pStyle w:val="ListBullet"/>
      </w:pPr>
      <w:r>
        <w:t>R</w:t>
      </w:r>
      <w:r w:rsidRPr="005E78AC">
        <w:t xml:space="preserve">eproductive and developmental data </w:t>
      </w:r>
      <w:r>
        <w:t xml:space="preserve">are only available for one species. </w:t>
      </w:r>
      <w:r w:rsidRPr="005E78AC">
        <w:t xml:space="preserve">PO dosing with </w:t>
      </w:r>
      <w:proofErr w:type="spellStart"/>
      <w:r w:rsidRPr="005E78AC">
        <w:t>Phl</w:t>
      </w:r>
      <w:proofErr w:type="spellEnd"/>
      <w:r w:rsidRPr="005E78AC">
        <w:t xml:space="preserve"> p allergen extract at </w:t>
      </w:r>
      <w:r w:rsidR="004A7F98">
        <w:t xml:space="preserve">≤ </w:t>
      </w:r>
      <w:r w:rsidR="0028468D">
        <w:t xml:space="preserve">approximately </w:t>
      </w:r>
      <w:r w:rsidR="00B1428D">
        <w:t>1,522 X</w:t>
      </w:r>
      <w:r w:rsidRPr="005E78AC">
        <w:t xml:space="preserve"> </w:t>
      </w:r>
      <w:r>
        <w:t>clinical dose</w:t>
      </w:r>
      <w:r w:rsidRPr="005E78AC">
        <w:t xml:space="preserve"> did no</w:t>
      </w:r>
      <w:r>
        <w:t>t</w:t>
      </w:r>
      <w:r w:rsidRPr="005E78AC">
        <w:t xml:space="preserve"> adversely affect fertility, embryofetal development and pre-postnatal development in normal healthy mice. There is no direct information regarding </w:t>
      </w:r>
      <w:r>
        <w:t>lactation</w:t>
      </w:r>
      <w:r w:rsidRPr="005E78AC">
        <w:t xml:space="preserve"> (no adverse effects </w:t>
      </w:r>
      <w:r>
        <w:t xml:space="preserve">noted </w:t>
      </w:r>
      <w:r w:rsidRPr="005E78AC">
        <w:t xml:space="preserve">in the pre-postnatal study). Grazax is proposed for use in patients’ </w:t>
      </w:r>
      <w:r w:rsidR="00B1428D">
        <w:t xml:space="preserve">≥ </w:t>
      </w:r>
      <w:r w:rsidRPr="005E78AC">
        <w:t xml:space="preserve">5 years of </w:t>
      </w:r>
      <w:r w:rsidRPr="005E78AC">
        <w:lastRenderedPageBreak/>
        <w:t>age. However, no specific studies in juvenile animals (apart from the pre-postnatal study) have been supplied</w:t>
      </w:r>
      <w:r w:rsidR="005479B1">
        <w:t>.</w:t>
      </w:r>
    </w:p>
    <w:p w14:paraId="4FE91B9B" w14:textId="77777777" w:rsidR="005479B1" w:rsidRDefault="00FE0277" w:rsidP="00FE0277">
      <w:pPr>
        <w:pStyle w:val="ListBullet"/>
        <w:rPr>
          <w:kern w:val="2"/>
        </w:rPr>
      </w:pPr>
      <w:r w:rsidRPr="005E78AC">
        <w:rPr>
          <w:kern w:val="2"/>
        </w:rPr>
        <w:t xml:space="preserve">While no specific studies were performed, </w:t>
      </w:r>
      <w:proofErr w:type="spellStart"/>
      <w:r w:rsidRPr="005E78AC">
        <w:rPr>
          <w:kern w:val="2"/>
        </w:rPr>
        <w:t>Phl</w:t>
      </w:r>
      <w:proofErr w:type="spellEnd"/>
      <w:r w:rsidRPr="005E78AC">
        <w:rPr>
          <w:kern w:val="2"/>
        </w:rPr>
        <w:t xml:space="preserve"> p had adequate local tolerance in the general toxicity studies in normal healthy mice and dogs</w:t>
      </w:r>
      <w:r w:rsidR="005479B1">
        <w:rPr>
          <w:kern w:val="2"/>
        </w:rPr>
        <w:t>.</w:t>
      </w:r>
    </w:p>
    <w:p w14:paraId="4FE91B9C" w14:textId="77777777" w:rsidR="00FE0277" w:rsidRDefault="00FE0277" w:rsidP="00FE0277">
      <w:pPr>
        <w:pStyle w:val="ListBullet"/>
        <w:rPr>
          <w:kern w:val="2"/>
        </w:rPr>
      </w:pPr>
      <w:r w:rsidRPr="00D4364D">
        <w:rPr>
          <w:kern w:val="2"/>
        </w:rPr>
        <w:t>Proposed limits of pesticide residues and metals (lead) in the Grazax drug substance are acceptable.</w:t>
      </w:r>
    </w:p>
    <w:p w14:paraId="4FE91B9D" w14:textId="77777777" w:rsidR="005479B1" w:rsidRDefault="00FE0277" w:rsidP="00FE0277">
      <w:pPr>
        <w:pStyle w:val="ListBullet"/>
        <w:rPr>
          <w:kern w:val="2"/>
        </w:rPr>
      </w:pPr>
      <w:r w:rsidRPr="00D4364D">
        <w:rPr>
          <w:kern w:val="2"/>
        </w:rPr>
        <w:t>Grazax contains fish gelatines (13.5 mg per tablet), a cause of rare, but sometimes severe</w:t>
      </w:r>
      <w:r>
        <w:rPr>
          <w:kern w:val="2"/>
        </w:rPr>
        <w:t>,</w:t>
      </w:r>
      <w:r w:rsidRPr="00D4364D">
        <w:rPr>
          <w:kern w:val="2"/>
        </w:rPr>
        <w:t xml:space="preserve"> hypersensitivity reactions and anaphylaxis in fish sensit</w:t>
      </w:r>
      <w:r w:rsidR="004A7F98">
        <w:rPr>
          <w:kern w:val="2"/>
        </w:rPr>
        <w:t>is</w:t>
      </w:r>
      <w:r w:rsidRPr="00D4364D">
        <w:rPr>
          <w:kern w:val="2"/>
        </w:rPr>
        <w:t>ed humans. The PI contains a relevant warning statement</w:t>
      </w:r>
      <w:r w:rsidR="005479B1">
        <w:rPr>
          <w:kern w:val="2"/>
        </w:rPr>
        <w:t>.</w:t>
      </w:r>
    </w:p>
    <w:p w14:paraId="4FE91B9E" w14:textId="77777777" w:rsidR="00FE0277" w:rsidRPr="00FE0277" w:rsidRDefault="00FE0277" w:rsidP="00FE0277">
      <w:pPr>
        <w:pStyle w:val="Heading4"/>
      </w:pPr>
      <w:bookmarkStart w:id="93" w:name="_Toc455737026"/>
      <w:r w:rsidRPr="00FE0277">
        <w:t>Conclusions and recommendation</w:t>
      </w:r>
      <w:bookmarkEnd w:id="93"/>
    </w:p>
    <w:p w14:paraId="4FE91B9F" w14:textId="77777777" w:rsidR="00FE0277" w:rsidRPr="00FE0277" w:rsidRDefault="00FE0277" w:rsidP="00FE0277">
      <w:pPr>
        <w:pStyle w:val="ListBullet"/>
      </w:pPr>
      <w:r w:rsidRPr="00FE0277">
        <w:t>Overall, there are no nonclinical objections to the registration of Grazax with the following caveats:</w:t>
      </w:r>
    </w:p>
    <w:p w14:paraId="4FE91BA0" w14:textId="6F2FB9C1" w:rsidR="005479B1" w:rsidRDefault="00AC41C6" w:rsidP="00EF539B">
      <w:pPr>
        <w:pStyle w:val="ListBullet2"/>
      </w:pPr>
      <w:r w:rsidRPr="00FE0277">
        <w:t>The primary pharmacology section of the nonclinical dossier is limited in scope. Relevant primary pharmacology and pharmacodynamic studies are technically feasible in various animal models and are potentially important.</w:t>
      </w:r>
      <w:r>
        <w:t xml:space="preserve"> </w:t>
      </w:r>
      <w:r w:rsidRPr="00FE0277">
        <w:t xml:space="preserve">The </w:t>
      </w:r>
      <w:r>
        <w:t>sponsor</w:t>
      </w:r>
      <w:r w:rsidRPr="00FE0277">
        <w:t xml:space="preserve"> has not fully explored these possibilities. Issues pertaining to efficacy are likely to be best assessed using human data</w:t>
      </w:r>
      <w:r w:rsidR="00EF539B">
        <w:t>.</w:t>
      </w:r>
    </w:p>
    <w:p w14:paraId="4FE91BA1" w14:textId="77777777" w:rsidR="00FE0277" w:rsidRPr="00FE0277" w:rsidRDefault="00FE0277" w:rsidP="00FE0277">
      <w:pPr>
        <w:pStyle w:val="ListBullet2"/>
      </w:pPr>
      <w:r w:rsidRPr="00FE0277">
        <w:t>There is no clear correlation between nonclinical endpoints, nonclinical doses and human clinical efficacy.</w:t>
      </w:r>
      <w:r w:rsidR="00FA2591">
        <w:t xml:space="preserve"> </w:t>
      </w:r>
      <w:r w:rsidRPr="00FE0277">
        <w:t>There is no clear nonclinical justification of the human clinical dose selection. Critically, there is no specific, reliable and reproducible way of directly measuring the desired treatment effects (</w:t>
      </w:r>
      <w:r w:rsidR="004A7F98">
        <w:t>that is</w:t>
      </w:r>
      <w:r w:rsidRPr="00FE0277">
        <w:t xml:space="preserve"> clinically detectable desensit</w:t>
      </w:r>
      <w:r w:rsidR="004A7F98">
        <w:t>is</w:t>
      </w:r>
      <w:r w:rsidRPr="00FE0277">
        <w:t>ation) except by using human clinical data.</w:t>
      </w:r>
    </w:p>
    <w:p w14:paraId="4FE91BA2" w14:textId="77777777" w:rsidR="005479B1" w:rsidRDefault="00FE0277" w:rsidP="00FE0277">
      <w:pPr>
        <w:pStyle w:val="ListBullet2"/>
      </w:pPr>
      <w:r w:rsidRPr="00FE0277">
        <w:t xml:space="preserve">The major risks associated with human use of the product are most likely to arise from adverse immune-mediated responses to the protein sub-fraction of the </w:t>
      </w:r>
      <w:proofErr w:type="spellStart"/>
      <w:r w:rsidRPr="00FE0277">
        <w:t>Phl</w:t>
      </w:r>
      <w:proofErr w:type="spellEnd"/>
      <w:r w:rsidRPr="00FE0277">
        <w:t xml:space="preserve"> p allergen extract used in Grazax.</w:t>
      </w:r>
      <w:r w:rsidR="00FA2591">
        <w:t xml:space="preserve"> </w:t>
      </w:r>
      <w:r w:rsidRPr="00FE0277">
        <w:t>These risks are best assessed using human data</w:t>
      </w:r>
      <w:r w:rsidR="005479B1">
        <w:t>.</w:t>
      </w:r>
    </w:p>
    <w:p w14:paraId="7DC5A745" w14:textId="77777777" w:rsidR="00AC41C6" w:rsidRDefault="00AC41C6" w:rsidP="00AC41C6">
      <w:pPr>
        <w:pStyle w:val="ListBullet2"/>
      </w:pPr>
      <w:r w:rsidRPr="00FE0277">
        <w:t>Assessment of safety properties in immunologically hypersensit</w:t>
      </w:r>
      <w:r>
        <w:t>is</w:t>
      </w:r>
      <w:r w:rsidRPr="00FE0277">
        <w:t>ed human patients will largely depend on human clinical data since all the nonclinical in vivo toxicology was performed in normal, healthy animals (</w:t>
      </w:r>
      <w:r>
        <w:t>that is</w:t>
      </w:r>
      <w:r w:rsidRPr="00FE0277">
        <w:t xml:space="preserve"> not deliberately immunologically primed before </w:t>
      </w:r>
      <w:proofErr w:type="spellStart"/>
      <w:r w:rsidRPr="00FE0277">
        <w:t>Phl</w:t>
      </w:r>
      <w:proofErr w:type="spellEnd"/>
      <w:r w:rsidRPr="00FE0277">
        <w:t xml:space="preserve"> p allergen extract treatment)</w:t>
      </w:r>
      <w:r>
        <w:t>.</w:t>
      </w:r>
    </w:p>
    <w:p w14:paraId="093ED78A" w14:textId="77777777" w:rsidR="00AC41C6" w:rsidRPr="00FE0277" w:rsidRDefault="00AC41C6" w:rsidP="00AC41C6">
      <w:pPr>
        <w:pStyle w:val="ListBullet2"/>
      </w:pPr>
      <w:r w:rsidRPr="00FE0277">
        <w:t>The animal models used are unreliable predictors of the risk of anaphylactic, anaphylactoid and pseudoallergic reactions in humans. These aspects of safety assessment are best assessed on the basis of human clinical data.</w:t>
      </w:r>
    </w:p>
    <w:p w14:paraId="4FE91BA5" w14:textId="1C31800C" w:rsidR="00FE0277" w:rsidRPr="00FE0277" w:rsidRDefault="00FE0277" w:rsidP="00FE0277">
      <w:pPr>
        <w:pStyle w:val="ListBullet2"/>
      </w:pPr>
      <w:r w:rsidRPr="00FE0277">
        <w:t>No specific studies in juveniles have been performed. Safety assessment for this patient subpopulation will be entirely dependent on human clinical data.</w:t>
      </w:r>
    </w:p>
    <w:p w14:paraId="4FE91BA6" w14:textId="77777777" w:rsidR="00FE0277" w:rsidRPr="00FE0277" w:rsidRDefault="00FE0277" w:rsidP="00FE0277">
      <w:pPr>
        <w:pStyle w:val="ListBullet2"/>
      </w:pPr>
      <w:r w:rsidRPr="00FE0277">
        <w:t xml:space="preserve">Safety assessment in relation to the fish gelatine content of Grazax will largely depend on human clinical </w:t>
      </w:r>
      <w:r w:rsidR="001F358B">
        <w:t>data.</w:t>
      </w:r>
    </w:p>
    <w:p w14:paraId="4FE91BA7" w14:textId="77777777" w:rsidR="00FE0277" w:rsidRPr="00FE0277" w:rsidRDefault="00FE0277" w:rsidP="00FE0277">
      <w:pPr>
        <w:pStyle w:val="ListBullet"/>
      </w:pPr>
      <w:r w:rsidRPr="00FE0277">
        <w:t xml:space="preserve">Major data limitations are present in the nonclinical dossier </w:t>
      </w:r>
      <w:r w:rsidR="004A7F98">
        <w:t>that is</w:t>
      </w:r>
      <w:r w:rsidRPr="00FE0277">
        <w:t xml:space="preserve"> embryofetal development only examined in one (non-preferred) species, weak justification for not using the ICH preferred species (rats) in the </w:t>
      </w:r>
      <w:proofErr w:type="spellStart"/>
      <w:r w:rsidRPr="00FE0277">
        <w:t>embyrofetal</w:t>
      </w:r>
      <w:proofErr w:type="spellEnd"/>
      <w:r w:rsidRPr="00FE0277">
        <w:t xml:space="preserve"> development study, no in vivo genotoxicity studies, no carcinogenicity studies, and no studies in juvenile animals.</w:t>
      </w:r>
    </w:p>
    <w:p w14:paraId="4FE91BA8" w14:textId="77777777" w:rsidR="00FE0277" w:rsidRPr="00FE0277" w:rsidRDefault="00FE0277" w:rsidP="00FE0277">
      <w:r w:rsidRPr="00FE0277">
        <w:t>The</w:t>
      </w:r>
      <w:r w:rsidR="001F358B">
        <w:t xml:space="preserve"> nonclinical evaluator also made recommendations regarding the</w:t>
      </w:r>
      <w:r w:rsidRPr="00FE0277">
        <w:t xml:space="preserve"> draft </w:t>
      </w:r>
      <w:r w:rsidR="00B1428D">
        <w:t>PI</w:t>
      </w:r>
      <w:r w:rsidRPr="00FE0277">
        <w:t xml:space="preserve"> </w:t>
      </w:r>
      <w:r w:rsidR="001F358B">
        <w:t>and the</w:t>
      </w:r>
      <w:r w:rsidRPr="00FE0277">
        <w:t xml:space="preserve"> R</w:t>
      </w:r>
      <w:r w:rsidR="001F358B">
        <w:t xml:space="preserve">isk </w:t>
      </w:r>
      <w:r w:rsidRPr="00FE0277">
        <w:t>M</w:t>
      </w:r>
      <w:r w:rsidR="001F358B">
        <w:t xml:space="preserve">anagement </w:t>
      </w:r>
      <w:proofErr w:type="gramStart"/>
      <w:r w:rsidRPr="00FE0277">
        <w:t>P</w:t>
      </w:r>
      <w:r w:rsidR="001F358B">
        <w:t>lan</w:t>
      </w:r>
      <w:r w:rsidR="00B1428D">
        <w:t>(</w:t>
      </w:r>
      <w:proofErr w:type="gramEnd"/>
      <w:r w:rsidR="00B1428D">
        <w:t>RMP)</w:t>
      </w:r>
      <w:r w:rsidR="001F358B">
        <w:t xml:space="preserve"> but presentation of these is beyond the scope of the AusPAR.</w:t>
      </w:r>
    </w:p>
    <w:p w14:paraId="4FE91BA9" w14:textId="5AB38246" w:rsidR="008E7846" w:rsidRPr="00254787" w:rsidRDefault="008E7846" w:rsidP="008E7846">
      <w:pPr>
        <w:pStyle w:val="Heading2"/>
      </w:pPr>
      <w:bookmarkStart w:id="94" w:name="_Toc196046462"/>
      <w:bookmarkStart w:id="95" w:name="_Toc247691516"/>
      <w:bookmarkStart w:id="96" w:name="_Toc314842500"/>
      <w:bookmarkStart w:id="97" w:name="_Toc511209792"/>
      <w:bookmarkStart w:id="98" w:name="_Toc163441353"/>
      <w:bookmarkStart w:id="99" w:name="_Toc163441348"/>
      <w:r>
        <w:lastRenderedPageBreak/>
        <w:t xml:space="preserve">V. </w:t>
      </w:r>
      <w:r w:rsidRPr="00254787">
        <w:t>Clinical</w:t>
      </w:r>
      <w:bookmarkEnd w:id="94"/>
      <w:r>
        <w:t xml:space="preserve"> </w:t>
      </w:r>
      <w:r w:rsidR="003A7F6C">
        <w:t>f</w:t>
      </w:r>
      <w:r>
        <w:t>indings</w:t>
      </w:r>
      <w:bookmarkEnd w:id="95"/>
      <w:bookmarkEnd w:id="96"/>
      <w:bookmarkEnd w:id="97"/>
    </w:p>
    <w:p w14:paraId="4FE91BAA" w14:textId="77777777" w:rsidR="00C80137" w:rsidRDefault="00C80137" w:rsidP="00D425BB">
      <w:bookmarkStart w:id="100" w:name="_Toc196046463"/>
      <w:r>
        <w:t xml:space="preserve">A summary of the </w:t>
      </w:r>
      <w:r w:rsidRPr="00FD70B8">
        <w:t xml:space="preserve">clinical findings is presented in this section. </w:t>
      </w:r>
      <w:r>
        <w:t xml:space="preserve">Further details of these </w:t>
      </w:r>
      <w:r w:rsidRPr="00FD70B8">
        <w:t>clinical findings can be found in Attachment 2.</w:t>
      </w:r>
    </w:p>
    <w:p w14:paraId="4FE91BAB" w14:textId="77777777" w:rsidR="008E7846" w:rsidRDefault="008E7846" w:rsidP="008E7846">
      <w:pPr>
        <w:pStyle w:val="Heading3"/>
      </w:pPr>
      <w:bookmarkStart w:id="101" w:name="_Toc247691517"/>
      <w:bookmarkStart w:id="102" w:name="_Toc314842501"/>
      <w:bookmarkStart w:id="103" w:name="_Toc511209793"/>
      <w:r w:rsidRPr="00254787">
        <w:t>Introduction</w:t>
      </w:r>
      <w:bookmarkEnd w:id="100"/>
      <w:bookmarkEnd w:id="101"/>
      <w:bookmarkEnd w:id="102"/>
      <w:bookmarkEnd w:id="103"/>
    </w:p>
    <w:p w14:paraId="4FE91BAC" w14:textId="77777777" w:rsidR="00605AD4" w:rsidRDefault="00605AD4" w:rsidP="00605AD4">
      <w:pPr>
        <w:pStyle w:val="Heading4"/>
      </w:pPr>
      <w:bookmarkStart w:id="104" w:name="_Toc196046464"/>
      <w:bookmarkStart w:id="105" w:name="_Toc247691518"/>
      <w:bookmarkStart w:id="106" w:name="_Toc314842502"/>
      <w:r w:rsidRPr="00605AD4">
        <w:t xml:space="preserve">Clinical </w:t>
      </w:r>
      <w:r w:rsidR="00EF59DC">
        <w:t>r</w:t>
      </w:r>
      <w:r w:rsidRPr="00605AD4">
        <w:t>ationale</w:t>
      </w:r>
    </w:p>
    <w:p w14:paraId="4FE91BAD" w14:textId="77777777" w:rsidR="001F358B" w:rsidRPr="00777853" w:rsidRDefault="001F358B" w:rsidP="001F358B">
      <w:r w:rsidRPr="00777853">
        <w:t xml:space="preserve">The prevalence of allergic disease is increasing in most countries in the world and respiratory allergy is estimated to affect up to 50% of the population in some countries with an estimated 500 million sufferers in </w:t>
      </w:r>
      <w:r w:rsidRPr="00B33A38">
        <w:t>the world</w:t>
      </w:r>
      <w:r w:rsidR="00F62186">
        <w:t>.</w:t>
      </w:r>
      <w:bookmarkStart w:id="107" w:name="_Ref496030113"/>
      <w:r w:rsidRPr="00B33A38">
        <w:rPr>
          <w:rStyle w:val="FootnoteReference"/>
        </w:rPr>
        <w:footnoteReference w:id="63"/>
      </w:r>
      <w:bookmarkEnd w:id="107"/>
      <w:r w:rsidRPr="00B33A38">
        <w:t xml:space="preserve"> Allergy</w:t>
      </w:r>
      <w:r w:rsidRPr="00777853">
        <w:t xml:space="preserve"> to grass pollen is one of the most common inhalant allergies in the western world</w:t>
      </w:r>
      <w:r w:rsidRPr="00B33A38">
        <w:t>.</w:t>
      </w:r>
      <w:r>
        <w:rPr>
          <w:rStyle w:val="FootnoteReference"/>
        </w:rPr>
        <w:footnoteReference w:id="64"/>
      </w:r>
    </w:p>
    <w:p w14:paraId="4FE91BAE" w14:textId="77777777" w:rsidR="001F358B" w:rsidRPr="00777853" w:rsidRDefault="001F358B" w:rsidP="001F358B">
      <w:r w:rsidRPr="00777853">
        <w:t>Allergic diseases are chronic conditions which account for a significant proportion of the overall health care costs in the industrialised countries. The expenses comprise both direct expenditures in the health care system and indirect costs associated with loss of productivity and impaired quality of life.</w:t>
      </w:r>
    </w:p>
    <w:p w14:paraId="4FE91BAF" w14:textId="77777777" w:rsidR="001F358B" w:rsidRPr="00777853" w:rsidRDefault="001F358B" w:rsidP="001F358B">
      <w:r w:rsidRPr="00777853">
        <w:t>The treatment of allergic diseases is based on allergen avoidance, pharmaco</w:t>
      </w:r>
      <w:r>
        <w:t>-</w:t>
      </w:r>
      <w:r w:rsidRPr="00777853">
        <w:t>therapeutic symptom relief and specific immunotherapy:</w:t>
      </w:r>
    </w:p>
    <w:p w14:paraId="4FE91BB0" w14:textId="77777777" w:rsidR="001F358B" w:rsidRPr="00777853" w:rsidRDefault="001F358B" w:rsidP="001F358B">
      <w:r w:rsidRPr="00777853">
        <w:t xml:space="preserve">Allergen avoidance has the purpose of creating a low allergen environment, </w:t>
      </w:r>
      <w:r>
        <w:t>for example</w:t>
      </w:r>
      <w:r w:rsidRPr="00777853">
        <w:t xml:space="preserve"> in the subject’s home, but for patients allergic to grass pollen this approach is not feasible</w:t>
      </w:r>
    </w:p>
    <w:p w14:paraId="4FE91BB1" w14:textId="77777777" w:rsidR="001F358B" w:rsidRPr="00777853" w:rsidRDefault="001F358B" w:rsidP="001F358B">
      <w:r w:rsidRPr="00777853">
        <w:t xml:space="preserve">Symptom relief by conventional pharmacotherapy, </w:t>
      </w:r>
      <w:r>
        <w:t>for example</w:t>
      </w:r>
      <w:r w:rsidRPr="00777853">
        <w:t xml:space="preserve"> antihistamines and topical and/or systemic steroid preparations, is available depending on the severity of the allergic disease. Despite the more </w:t>
      </w:r>
      <w:r>
        <w:t xml:space="preserve">recent introduction of the long </w:t>
      </w:r>
      <w:r w:rsidRPr="00777853">
        <w:t>acting, non-sedative antihistamines and the ready availability of steroid nasal sprays, such treatment often fails to produce sufficient symptomatic relief in up to 60% of subjects</w:t>
      </w:r>
      <w:r w:rsidR="00F62186">
        <w:t>.</w:t>
      </w:r>
      <w:r>
        <w:rPr>
          <w:rStyle w:val="FootnoteReference"/>
        </w:rPr>
        <w:footnoteReference w:id="65"/>
      </w:r>
    </w:p>
    <w:p w14:paraId="4FE91BB2" w14:textId="77777777" w:rsidR="001F358B" w:rsidRPr="00777853" w:rsidRDefault="001F358B" w:rsidP="001F358B">
      <w:r w:rsidRPr="00777853">
        <w:t>Specific immunotherapy with allergen products is the repeated administration of allergens to allergic individuals in order to activate immunomodulatory mechanisms and provide sustained relief of symptoms and need for medications, and improvement in quality of life during subsequent natural allergen exposure</w:t>
      </w:r>
      <w:r>
        <w:t>.</w:t>
      </w:r>
    </w:p>
    <w:p w14:paraId="4FE91BB3" w14:textId="33999671" w:rsidR="001F358B" w:rsidRPr="00777853" w:rsidRDefault="001F358B" w:rsidP="001F358B">
      <w:r w:rsidRPr="00777853">
        <w:t>Seasonal allergic rhinoconjunctivitis to grass pollen may be considered a rather uncomplicated disease but it significantly influences and hampers a person’s daily life and activities during the pollen season. Concomitant ast</w:t>
      </w:r>
      <w:r>
        <w:t xml:space="preserve">hma is estimated to occur in 20 to </w:t>
      </w:r>
      <w:r w:rsidRPr="00777853">
        <w:t>50% of patients with allergic rhinoconjunctivitis (Yawn et al. 1999)</w:t>
      </w:r>
      <w:r>
        <w:rPr>
          <w:rStyle w:val="FootnoteReference"/>
        </w:rPr>
        <w:footnoteReference w:id="66"/>
      </w:r>
      <w:r w:rsidRPr="00777853">
        <w:t>, and concomitant rhinoconjunctivitis is estimated to occur in more than 80% of asthmatic patients</w:t>
      </w:r>
      <w:r w:rsidR="00F62186">
        <w:t>.</w:t>
      </w:r>
      <w:r>
        <w:rPr>
          <w:rStyle w:val="FootnoteReference"/>
        </w:rPr>
        <w:footnoteReference w:id="67"/>
      </w:r>
      <w:r w:rsidRPr="00777853">
        <w:t xml:space="preserve"> Thus, allergic rhinitis and allergic asthma is considered different stages of the same allergic disease, consistent with the “one a</w:t>
      </w:r>
      <w:r w:rsidR="00F62186">
        <w:t xml:space="preserve">irway, one disease” theory </w:t>
      </w:r>
      <w:r w:rsidRPr="00B33A38">
        <w:rPr>
          <w:vertAlign w:val="superscript"/>
        </w:rPr>
        <w:fldChar w:fldCharType="begin"/>
      </w:r>
      <w:r w:rsidRPr="00B33A38">
        <w:rPr>
          <w:vertAlign w:val="superscript"/>
        </w:rPr>
        <w:instrText xml:space="preserve"> NOTEREF _Ref496030113 \h </w:instrText>
      </w:r>
      <w:r>
        <w:rPr>
          <w:vertAlign w:val="superscript"/>
        </w:rPr>
        <w:instrText xml:space="preserve"> \* MERGEFORMAT </w:instrText>
      </w:r>
      <w:r w:rsidRPr="00B33A38">
        <w:rPr>
          <w:vertAlign w:val="superscript"/>
        </w:rPr>
      </w:r>
      <w:r w:rsidRPr="00B33A38">
        <w:rPr>
          <w:vertAlign w:val="superscript"/>
        </w:rPr>
        <w:fldChar w:fldCharType="separate"/>
      </w:r>
      <w:r w:rsidR="003D50F1">
        <w:rPr>
          <w:vertAlign w:val="superscript"/>
        </w:rPr>
        <w:t>62</w:t>
      </w:r>
      <w:r w:rsidRPr="00B33A38">
        <w:rPr>
          <w:vertAlign w:val="superscript"/>
        </w:rPr>
        <w:fldChar w:fldCharType="end"/>
      </w:r>
      <w:r>
        <w:t xml:space="preserve">, </w:t>
      </w:r>
      <w:r>
        <w:rPr>
          <w:rStyle w:val="FootnoteReference"/>
        </w:rPr>
        <w:footnoteReference w:id="68"/>
      </w:r>
      <w:r w:rsidRPr="00777853">
        <w:t xml:space="preserve"> of allergy manifesting itself in different target organs (eyes, nose and lungs).</w:t>
      </w:r>
    </w:p>
    <w:p w14:paraId="4FE91BB4" w14:textId="77777777" w:rsidR="001F358B" w:rsidRPr="00777853" w:rsidRDefault="001F358B" w:rsidP="001F358B">
      <w:r>
        <w:t xml:space="preserve">Long </w:t>
      </w:r>
      <w:r w:rsidRPr="00777853">
        <w:t xml:space="preserve">term strategies such as preventive measures and immunomodulatory treatment play an important role besides symptomatic treatment based on pharmacotherapy. Specific </w:t>
      </w:r>
      <w:r w:rsidRPr="00777853">
        <w:lastRenderedPageBreak/>
        <w:t>immunotherapy is the only treatment that affects the basic pathophysiological mechanism of the allergic disease and therefore the only available treatment that potentially has</w:t>
      </w:r>
      <w:r w:rsidR="00F62186">
        <w:t xml:space="preserve"> long-term efficacy and disease </w:t>
      </w:r>
      <w:r w:rsidRPr="00777853">
        <w:t>modifying effect</w:t>
      </w:r>
      <w:r w:rsidR="00F62186">
        <w:t xml:space="preserve">. </w:t>
      </w:r>
      <w:r>
        <w:rPr>
          <w:rStyle w:val="FootnoteReference"/>
        </w:rPr>
        <w:footnoteReference w:id="69"/>
      </w:r>
      <w:r w:rsidR="00F62186">
        <w:t>,</w:t>
      </w:r>
      <w:r>
        <w:rPr>
          <w:rStyle w:val="FootnoteReference"/>
        </w:rPr>
        <w:footnoteReference w:id="70"/>
      </w:r>
      <w:r w:rsidRPr="00777853">
        <w:t xml:space="preserve"> In this context, the EU </w:t>
      </w:r>
      <w:r w:rsidR="00F62186">
        <w:t xml:space="preserve">Guideline </w:t>
      </w:r>
      <w:bookmarkStart w:id="108" w:name="_Ref497318576"/>
      <w:r w:rsidR="00F62186">
        <w:rPr>
          <w:rStyle w:val="FootnoteReference"/>
        </w:rPr>
        <w:footnoteReference w:id="71"/>
      </w:r>
      <w:bookmarkEnd w:id="108"/>
      <w:r w:rsidRPr="00777853">
        <w:t xml:space="preserve"> has defined disease modifying effect of specific immunotherapy in allergic rhinitis/rhinoconjunctivitis as sustained significant and clinically relevant efficacy in post treatment years.</w:t>
      </w:r>
    </w:p>
    <w:p w14:paraId="4FE91BB5" w14:textId="77777777" w:rsidR="001F358B" w:rsidRDefault="001F358B" w:rsidP="001F358B">
      <w:r w:rsidRPr="00777853">
        <w:t>Allergy immunotherapy (AIT) is a treatment option for allergy that is complementary to pharmacotherapy and with a distinct mechanism of action. AIT is performed by repeated sublingual (SLIT) or subcutaneous (SCIT, not the subject of this application) administration of specific allergens to an allergic person in order to gradually induce immunological tolerance towards the allergens. The objective of AIT is thus to treat the underlying allergic disease resulting in clinical effect on all manifestations of the disease. AIT modulates the basic immunologic mechanism of the allergic disease and is the only known treatment option with the potential to provide long term, post-treatment benefits and alter the natural course of allergic disease.</w:t>
      </w:r>
    </w:p>
    <w:p w14:paraId="4FE91BB6" w14:textId="77777777" w:rsidR="009A1FAA" w:rsidRPr="006D54CD" w:rsidRDefault="009A1FAA" w:rsidP="002D7A68">
      <w:pPr>
        <w:pStyle w:val="Comment"/>
        <w:ind w:left="1134" w:hanging="1134"/>
      </w:pPr>
      <w:r w:rsidRPr="006D54CD">
        <w:rPr>
          <w:b/>
        </w:rPr>
        <w:t>Comment:</w:t>
      </w:r>
      <w:r>
        <w:t xml:space="preserve"> </w:t>
      </w:r>
      <w:r w:rsidRPr="006D54CD">
        <w:t xml:space="preserve">At the pre-submission meeting the TGA questioned the relevance of this product to Australia given that the product only contains </w:t>
      </w:r>
      <w:r w:rsidR="002D7A68" w:rsidRPr="002D7A68">
        <w:rPr>
          <w:i/>
        </w:rPr>
        <w:t>Phleum pratense</w:t>
      </w:r>
      <w:r w:rsidRPr="006D54CD">
        <w:t xml:space="preserve"> (Timothy grass) which is mainly found in the highlands of southern (temperate) Australia (parts of Tasmania and Victoria) and is considered a noxious weed.</w:t>
      </w:r>
    </w:p>
    <w:p w14:paraId="4FE91BB7" w14:textId="77777777" w:rsidR="009A1FAA" w:rsidRPr="006D54CD" w:rsidRDefault="009A1FAA" w:rsidP="009A1FAA">
      <w:pPr>
        <w:ind w:left="1134"/>
      </w:pPr>
      <w:r w:rsidRPr="006D54CD">
        <w:t>To address this</w:t>
      </w:r>
      <w:r>
        <w:t>,</w:t>
      </w:r>
      <w:r w:rsidRPr="006D54CD">
        <w:t xml:space="preserve"> the </w:t>
      </w:r>
      <w:r>
        <w:t>sponsor</w:t>
      </w:r>
      <w:r w:rsidRPr="006D54CD">
        <w:t xml:space="preserve"> has provided additional information on </w:t>
      </w:r>
      <w:r w:rsidR="002D7A68" w:rsidRPr="002D7A68">
        <w:rPr>
          <w:i/>
        </w:rPr>
        <w:t>Phleum pratense</w:t>
      </w:r>
      <w:r w:rsidRPr="006D54CD">
        <w:t xml:space="preserve"> and a letter from </w:t>
      </w:r>
      <w:r>
        <w:t>Dr [Information redacted]</w:t>
      </w:r>
      <w:r w:rsidRPr="006D54CD">
        <w:t xml:space="preserve">, Specialist in Clinical Immunology and Allergy and </w:t>
      </w:r>
      <w:r>
        <w:t>[information redacted].</w:t>
      </w:r>
    </w:p>
    <w:p w14:paraId="4FE91BB8" w14:textId="77777777" w:rsidR="009A1FAA" w:rsidRPr="006D54CD" w:rsidRDefault="009A1FAA" w:rsidP="009A1FAA">
      <w:pPr>
        <w:ind w:left="1134"/>
      </w:pPr>
      <w:r w:rsidRPr="006D54CD">
        <w:t xml:space="preserve">The </w:t>
      </w:r>
      <w:r>
        <w:t>sponsor</w:t>
      </w:r>
      <w:r w:rsidRPr="006D54CD">
        <w:t xml:space="preserve"> provides a statement that the Australian Virtual Herbarium (AVH) indicates the presence of Timothy grass in Victoria, NSW, Tasmania, South Australia and Western Australia. The reference to this is a website c</w:t>
      </w:r>
      <w:r>
        <w:t xml:space="preserve">alled </w:t>
      </w:r>
      <w:proofErr w:type="spellStart"/>
      <w:r>
        <w:t>AusGrass</w:t>
      </w:r>
      <w:proofErr w:type="spellEnd"/>
      <w:r>
        <w:t xml:space="preserve"> 2 ("Simon, B.K. and</w:t>
      </w:r>
      <w:r w:rsidRPr="006D54CD">
        <w:t xml:space="preserve"> Alfonso, Y. 2011. AusGrass2, http://ausgrass2.myspecies.info/ accessed on 10 February 2016." The date of the reference to the AVH is 2011. When the AVH (AVH 2016. Australia’s Virtual Herbarium, Council of Heads of Australasian Herbaria, </w:t>
      </w:r>
      <w:r w:rsidR="004C74AA">
        <w:t xml:space="preserve">&lt; </w:t>
      </w:r>
      <w:r w:rsidRPr="00011C50">
        <w:t>http://avh.chah.org.au</w:t>
      </w:r>
      <w:proofErr w:type="gramStart"/>
      <w:r w:rsidR="004C74AA">
        <w:t xml:space="preserve">&gt; </w:t>
      </w:r>
      <w:r w:rsidRPr="006D54CD">
        <w:t>,</w:t>
      </w:r>
      <w:proofErr w:type="gramEnd"/>
      <w:r w:rsidRPr="006D54CD">
        <w:t xml:space="preserve"> accessed 10 February 2016) was accessed directly it includes only NSW, ACT and WA as sites of presence.</w:t>
      </w:r>
    </w:p>
    <w:p w14:paraId="4FE91BB9" w14:textId="77777777" w:rsidR="009A1FAA" w:rsidRPr="006D54CD" w:rsidRDefault="009A1FAA" w:rsidP="009A1FAA">
      <w:pPr>
        <w:ind w:left="1134"/>
      </w:pPr>
      <w:r w:rsidRPr="006D54CD">
        <w:t xml:space="preserve">Dr </w:t>
      </w:r>
      <w:r>
        <w:t>[Information redacted]</w:t>
      </w:r>
      <w:r w:rsidRPr="006D54CD">
        <w:t xml:space="preserve"> provided the following comments:</w:t>
      </w:r>
    </w:p>
    <w:p w14:paraId="4FE91BBA" w14:textId="77777777" w:rsidR="009A1FAA" w:rsidRPr="006D54CD" w:rsidRDefault="009A1FAA" w:rsidP="009A1FAA">
      <w:pPr>
        <w:ind w:left="1134"/>
      </w:pPr>
      <w:r w:rsidRPr="006D54CD">
        <w:t>“Timothy grass (</w:t>
      </w:r>
      <w:r w:rsidR="002D7A68" w:rsidRPr="002D7A68">
        <w:rPr>
          <w:i/>
        </w:rPr>
        <w:t>Phleum pratense</w:t>
      </w:r>
      <w:r w:rsidRPr="006D54CD">
        <w:t xml:space="preserve">) is a member of the </w:t>
      </w:r>
      <w:proofErr w:type="spellStart"/>
      <w:r w:rsidRPr="006D54CD">
        <w:t>pooideae</w:t>
      </w:r>
      <w:proofErr w:type="spellEnd"/>
      <w:r w:rsidRPr="006D54CD">
        <w:t xml:space="preserve"> family, closely related to ryegrass and other common allergenic grasses known as the temperate grasses. </w:t>
      </w:r>
      <w:proofErr w:type="spellStart"/>
      <w:r w:rsidRPr="006D54CD">
        <w:t>Pooideae</w:t>
      </w:r>
      <w:proofErr w:type="spellEnd"/>
      <w:r w:rsidRPr="006D54CD">
        <w:t xml:space="preserve"> is a subfamily of </w:t>
      </w:r>
      <w:proofErr w:type="spellStart"/>
      <w:r w:rsidRPr="006D54CD">
        <w:t>poaceae</w:t>
      </w:r>
      <w:proofErr w:type="spellEnd"/>
      <w:r w:rsidRPr="006D54CD">
        <w:t xml:space="preserve"> which also includes subtropical grasses such as Bermuda grass (couch), </w:t>
      </w:r>
      <w:proofErr w:type="spellStart"/>
      <w:proofErr w:type="gramStart"/>
      <w:r w:rsidRPr="006D54CD">
        <w:t>bahia</w:t>
      </w:r>
      <w:proofErr w:type="spellEnd"/>
      <w:proofErr w:type="gramEnd"/>
      <w:r w:rsidRPr="006D54CD">
        <w:t xml:space="preserve"> grass (paspalum) and sorghum. Timothy grass is itself not common or widely distributed in Australia although it does occur in cooler parts such as some parts of Victoria, Tasmania and the ACT. Ryegrass is probably the most widespread and common of the temperate allergic grasses. However it is known that Timothy grass contains almost all the relevant allergenic epitopes contained in ryegrass and other common temperate grasses. Therefore Grazax should be a </w:t>
      </w:r>
      <w:r w:rsidRPr="006D54CD">
        <w:lastRenderedPageBreak/>
        <w:t>suitable therapeutic product to treat allergy to Austra</w:t>
      </w:r>
      <w:r>
        <w:t>lian temperate grasses…</w:t>
      </w:r>
      <w:r w:rsidRPr="006D54CD">
        <w:t>Many sufferers of pollen allergy are sensitised to both temperate and subtropical grass pollens. In northern parts of Australia, it is thought that the primary (initiating) sensitising pollens are subtropical, and in the southern parts, temperate. It is thought that optimal immunotherapy should target the primary sensitising allergen and generally should cover all the major pollens to which the patients is sensitised</w:t>
      </w:r>
      <w:r w:rsidR="00AD1BB3">
        <w:t>.</w:t>
      </w:r>
    </w:p>
    <w:p w14:paraId="4FE91BBB" w14:textId="77777777" w:rsidR="001F358B" w:rsidRPr="001F358B" w:rsidRDefault="009A1FAA" w:rsidP="000F4578">
      <w:pPr>
        <w:ind w:left="1134"/>
      </w:pPr>
      <w:r w:rsidRPr="006D54CD">
        <w:t>Therefore, it is unlikely that Grazax will be the optimal agent for pollen allergy sufferers in the northern parts of Australia, and in the southern parts where there is sensitisation to both temperate and subtropical grass pollens. However, it is likely to be a suitable agent for those with exclusive or predominant sensitisation to temperate grass pollens in the southern and central parts of Australia which constitute a significant subgroup.”</w:t>
      </w:r>
    </w:p>
    <w:p w14:paraId="4FE91BBC" w14:textId="77777777" w:rsidR="00605AD4" w:rsidRDefault="00605AD4" w:rsidP="00605AD4">
      <w:pPr>
        <w:pStyle w:val="Heading4"/>
      </w:pPr>
      <w:r w:rsidRPr="00605AD4">
        <w:t>Guidance</w:t>
      </w:r>
    </w:p>
    <w:p w14:paraId="4FE91BBD" w14:textId="77777777" w:rsidR="00AD1BB3" w:rsidRPr="00AD1BB3" w:rsidRDefault="00AD1BB3" w:rsidP="00AD1BB3">
      <w:r>
        <w:t>CHMP/EWP/18504/2006</w:t>
      </w:r>
      <w:r w:rsidRPr="00777853">
        <w:t xml:space="preserve"> Guideline on the clinical development of products for specific immunotherapy for the treatment of allergic diseases” (EMEA 2008)</w:t>
      </w:r>
      <w:r>
        <w:t>.</w:t>
      </w:r>
    </w:p>
    <w:p w14:paraId="4FE91BBE" w14:textId="77777777" w:rsidR="00605AD4" w:rsidRDefault="00605AD4" w:rsidP="00605AD4">
      <w:pPr>
        <w:pStyle w:val="Heading4"/>
      </w:pPr>
      <w:r w:rsidRPr="00605AD4">
        <w:t>Contents of the clinical dossier</w:t>
      </w:r>
    </w:p>
    <w:p w14:paraId="4FE91BBF" w14:textId="77777777" w:rsidR="009A1FAA" w:rsidRPr="006D54CD" w:rsidRDefault="009A1FAA" w:rsidP="009A1FAA">
      <w:r>
        <w:t>This clinical evaluation report presented</w:t>
      </w:r>
      <w:r w:rsidRPr="006D54CD">
        <w:t xml:space="preserve"> the data </w:t>
      </w:r>
      <w:r>
        <w:t xml:space="preserve">provided in the submission </w:t>
      </w:r>
      <w:r w:rsidRPr="006D54CD">
        <w:t>as follows:</w:t>
      </w:r>
    </w:p>
    <w:p w14:paraId="4FE91BC0" w14:textId="77777777" w:rsidR="009A1FAA" w:rsidRPr="009A1FAA" w:rsidRDefault="009A1FAA" w:rsidP="009A1FAA">
      <w:pPr>
        <w:pStyle w:val="ListBullet"/>
      </w:pPr>
      <w:r w:rsidRPr="009A1FAA">
        <w:t>2 x clinical pharmacology study that provided pharmacodynamic data (GT-16, GT-18). (PD data was also provided in many of the efficacy and safety studies.)</w:t>
      </w:r>
    </w:p>
    <w:p w14:paraId="4FE91BC1" w14:textId="77777777" w:rsidR="009A1FAA" w:rsidRPr="009A1FAA" w:rsidRDefault="009A1FAA" w:rsidP="009A1FAA">
      <w:pPr>
        <w:pStyle w:val="ListBullet"/>
      </w:pPr>
      <w:r w:rsidRPr="009A1FAA">
        <w:t>2 x dose finding studies (GT-01, GT-02)</w:t>
      </w:r>
    </w:p>
    <w:p w14:paraId="4FE91BC2" w14:textId="77777777" w:rsidR="009A1FAA" w:rsidRPr="009A1FAA" w:rsidRDefault="009A1FAA" w:rsidP="009A1FAA">
      <w:pPr>
        <w:pStyle w:val="ListBullet"/>
      </w:pPr>
      <w:r w:rsidRPr="009A1FAA">
        <w:t>2 x dose escalation studies (GT-03, GT-04)</w:t>
      </w:r>
    </w:p>
    <w:p w14:paraId="4FE91BC3" w14:textId="77777777" w:rsidR="009A1FAA" w:rsidRPr="009A1FAA" w:rsidRDefault="009A1FAA" w:rsidP="009A1FAA">
      <w:pPr>
        <w:pStyle w:val="ListBullet"/>
      </w:pPr>
      <w:r w:rsidRPr="009A1FAA">
        <w:t>2 x pivotal efficacy/safety studies in adults (GT-08, GT-14) – considered pivotal based on same primary endpoints and same formulation</w:t>
      </w:r>
    </w:p>
    <w:p w14:paraId="4FE91BC4" w14:textId="77777777" w:rsidR="009A1FAA" w:rsidRPr="009A1FAA" w:rsidRDefault="009A1FAA" w:rsidP="009A1FAA">
      <w:pPr>
        <w:pStyle w:val="ListBullet"/>
      </w:pPr>
      <w:r w:rsidRPr="009A1FAA">
        <w:t>2 x supporting efficacy studies in adults (GT-07, P05238)</w:t>
      </w:r>
    </w:p>
    <w:p w14:paraId="4FE91BC5" w14:textId="77777777" w:rsidR="009A1FAA" w:rsidRPr="009A1FAA" w:rsidRDefault="009A1FAA" w:rsidP="009A1FAA">
      <w:pPr>
        <w:pStyle w:val="ListBullet"/>
      </w:pPr>
      <w:r w:rsidRPr="009A1FAA">
        <w:t>1 x pivotal efficacy/safety studies in children (GT-12)</w:t>
      </w:r>
    </w:p>
    <w:p w14:paraId="4FE91BC6" w14:textId="77777777" w:rsidR="009A1FAA" w:rsidRPr="009A1FAA" w:rsidRDefault="009A1FAA" w:rsidP="009A1FAA">
      <w:pPr>
        <w:pStyle w:val="ListBullet"/>
      </w:pPr>
      <w:r w:rsidRPr="009A1FAA">
        <w:t>1 x supporting efficacy studies in children (P05239)</w:t>
      </w:r>
    </w:p>
    <w:p w14:paraId="4FE91BC7" w14:textId="77777777" w:rsidR="009A1FAA" w:rsidRPr="009A1FAA" w:rsidRDefault="009A1FAA" w:rsidP="009A1FAA">
      <w:pPr>
        <w:pStyle w:val="ListBullet"/>
      </w:pPr>
      <w:r w:rsidRPr="009A1FAA">
        <w:t>3 x other studies : efficacy/safety studies in adults (GT-10, GT-17, GT-19,)</w:t>
      </w:r>
    </w:p>
    <w:p w14:paraId="4FE91BC8" w14:textId="77777777" w:rsidR="009A1FAA" w:rsidRPr="009A1FAA" w:rsidRDefault="009A1FAA" w:rsidP="009A1FAA">
      <w:pPr>
        <w:pStyle w:val="ListBullet"/>
      </w:pPr>
      <w:r w:rsidRPr="009A1FAA">
        <w:t>2 x other efficacy/safety studies in children (GT-11 and GT-09)</w:t>
      </w:r>
    </w:p>
    <w:p w14:paraId="4FE91BC9" w14:textId="77777777" w:rsidR="009A1FAA" w:rsidRPr="009A1FAA" w:rsidRDefault="009A1FAA" w:rsidP="009A1FAA">
      <w:pPr>
        <w:pStyle w:val="ListBullet"/>
      </w:pPr>
      <w:r w:rsidRPr="009A1FAA">
        <w:t xml:space="preserve">2 x </w:t>
      </w:r>
      <w:r w:rsidR="00ED0147">
        <w:rPr>
          <w:rFonts w:cs="Arial"/>
        </w:rPr>
        <w:t>Periodic safety update reports</w:t>
      </w:r>
      <w:r w:rsidR="00ED0147" w:rsidRPr="009A1FAA">
        <w:t xml:space="preserve"> </w:t>
      </w:r>
      <w:r w:rsidR="00ED0147">
        <w:t>(</w:t>
      </w:r>
      <w:r w:rsidRPr="009A1FAA">
        <w:t>PSURs</w:t>
      </w:r>
      <w:r w:rsidR="00ED0147">
        <w:t>)</w:t>
      </w:r>
    </w:p>
    <w:p w14:paraId="4FE91BCA" w14:textId="77777777" w:rsidR="009A1FAA" w:rsidRPr="009A1FAA" w:rsidRDefault="009A1FAA" w:rsidP="009A1FAA">
      <w:r>
        <w:t xml:space="preserve">The submission also included a </w:t>
      </w:r>
      <w:r w:rsidRPr="006D54CD">
        <w:t>Clinical Overview, Summary of Clinical Pharmacology, Summary of Clinical Efficacy, Summary of Clinical Safety and literature references.</w:t>
      </w:r>
    </w:p>
    <w:p w14:paraId="4FE91BCB" w14:textId="77777777" w:rsidR="00605AD4" w:rsidRDefault="00605AD4" w:rsidP="00605AD4">
      <w:pPr>
        <w:pStyle w:val="Heading4"/>
      </w:pPr>
      <w:r w:rsidRPr="00605AD4">
        <w:t>Paediatric data</w:t>
      </w:r>
    </w:p>
    <w:p w14:paraId="4FE91BCC" w14:textId="77777777" w:rsidR="009A1FAA" w:rsidRPr="009A1FAA" w:rsidRDefault="009A1FAA" w:rsidP="009A1FAA">
      <w:r w:rsidRPr="006D54CD">
        <w:t>The submission included paediatric efficacy and safety data.</w:t>
      </w:r>
    </w:p>
    <w:p w14:paraId="4FE91BCD" w14:textId="77777777" w:rsidR="00605AD4" w:rsidRDefault="00605AD4" w:rsidP="00605AD4">
      <w:pPr>
        <w:pStyle w:val="Heading4"/>
      </w:pPr>
      <w:r w:rsidRPr="00605AD4">
        <w:t>Good clinical practice</w:t>
      </w:r>
    </w:p>
    <w:p w14:paraId="4FE91BCE" w14:textId="77777777" w:rsidR="009A1FAA" w:rsidRPr="009A1FAA" w:rsidRDefault="009A1FAA" w:rsidP="009A1FAA">
      <w:bookmarkStart w:id="109" w:name="_Toc241374282"/>
      <w:r w:rsidRPr="006D54CD">
        <w:t>The clinical study reports state that the studies were co</w:t>
      </w:r>
      <w:r>
        <w:t xml:space="preserve">nducted in accordance with the </w:t>
      </w:r>
      <w:r w:rsidRPr="006D54CD">
        <w:t>Declaration of Helsinki, the ICH guidelines on Good Clinical Practice and the applicable local regulatory requirements. Consent was obtained in writing prior to any trial-related activities.</w:t>
      </w:r>
      <w:bookmarkEnd w:id="109"/>
    </w:p>
    <w:p w14:paraId="4FE91BCF" w14:textId="77777777" w:rsidR="008E7846" w:rsidRDefault="008E7846" w:rsidP="00605AD4">
      <w:pPr>
        <w:pStyle w:val="Heading3"/>
      </w:pPr>
      <w:bookmarkStart w:id="110" w:name="_Toc511209794"/>
      <w:r w:rsidRPr="00254787">
        <w:lastRenderedPageBreak/>
        <w:t>Pharmacokinetics</w:t>
      </w:r>
      <w:bookmarkEnd w:id="98"/>
      <w:bookmarkEnd w:id="104"/>
      <w:bookmarkEnd w:id="105"/>
      <w:bookmarkEnd w:id="106"/>
      <w:bookmarkEnd w:id="110"/>
    </w:p>
    <w:p w14:paraId="4FE91BD0" w14:textId="77777777" w:rsidR="00605AD4" w:rsidRDefault="00605AD4" w:rsidP="00605AD4">
      <w:pPr>
        <w:pStyle w:val="Heading4"/>
      </w:pPr>
      <w:r>
        <w:t>Studies</w:t>
      </w:r>
      <w:r w:rsidR="009A1FAA">
        <w:t xml:space="preserve"> providing pharmacokinetic data</w:t>
      </w:r>
    </w:p>
    <w:p w14:paraId="4FE91BD1" w14:textId="262D2CD1" w:rsidR="009A1FAA" w:rsidRPr="009A1FAA" w:rsidRDefault="009A1FAA" w:rsidP="009A1FAA">
      <w:r w:rsidRPr="006D54CD">
        <w:t>In accordance with the EMA Guideline</w:t>
      </w:r>
      <w:proofErr w:type="gramStart"/>
      <w:r>
        <w:t>,</w:t>
      </w:r>
      <w:proofErr w:type="gramEnd"/>
      <w:r w:rsidR="00AD1BB3" w:rsidRPr="00AD1BB3">
        <w:rPr>
          <w:vertAlign w:val="superscript"/>
        </w:rPr>
        <w:fldChar w:fldCharType="begin"/>
      </w:r>
      <w:r w:rsidR="00AD1BB3" w:rsidRPr="00AD1BB3">
        <w:rPr>
          <w:vertAlign w:val="superscript"/>
        </w:rPr>
        <w:instrText xml:space="preserve"> NOTEREF _Ref497318576 \h </w:instrText>
      </w:r>
      <w:r w:rsidR="00AD1BB3">
        <w:rPr>
          <w:vertAlign w:val="superscript"/>
        </w:rPr>
        <w:instrText xml:space="preserve"> \* MERGEFORMAT </w:instrText>
      </w:r>
      <w:r w:rsidR="00AD1BB3" w:rsidRPr="00AD1BB3">
        <w:rPr>
          <w:vertAlign w:val="superscript"/>
        </w:rPr>
      </w:r>
      <w:r w:rsidR="00AD1BB3" w:rsidRPr="00AD1BB3">
        <w:rPr>
          <w:vertAlign w:val="superscript"/>
        </w:rPr>
        <w:fldChar w:fldCharType="separate"/>
      </w:r>
      <w:r w:rsidR="003D50F1">
        <w:rPr>
          <w:vertAlign w:val="superscript"/>
        </w:rPr>
        <w:t>70</w:t>
      </w:r>
      <w:r w:rsidR="00AD1BB3" w:rsidRPr="00AD1BB3">
        <w:rPr>
          <w:vertAlign w:val="superscript"/>
        </w:rPr>
        <w:fldChar w:fldCharType="end"/>
      </w:r>
      <w:r w:rsidR="00AD1BB3">
        <w:rPr>
          <w:vertAlign w:val="superscript"/>
        </w:rPr>
        <w:t xml:space="preserve"> </w:t>
      </w:r>
      <w:r w:rsidRPr="006D54CD">
        <w:t>traditional pharmacokinetic studies were not done as it is not possible for products of allergy immunotherapy. Due to the nature of the product (proteins which will be rapidly catabolised to peptides and amino acids), plasma levels of the active substance are not measurable.</w:t>
      </w:r>
    </w:p>
    <w:p w14:paraId="4FE91BD2" w14:textId="77777777" w:rsidR="00605AD4" w:rsidRDefault="00605AD4" w:rsidP="00605AD4">
      <w:pPr>
        <w:pStyle w:val="Heading4"/>
      </w:pPr>
      <w:r>
        <w:t>Evaluator’s conclusions on pharmacokinetics</w:t>
      </w:r>
    </w:p>
    <w:p w14:paraId="4FE91BD3" w14:textId="2E1D1782" w:rsidR="009A1FAA" w:rsidRPr="006D54CD" w:rsidRDefault="009A1FAA" w:rsidP="009A1FAA">
      <w:r w:rsidRPr="006D54CD">
        <w:t xml:space="preserve">The drug substance in Grazax is a partly purified allergen extract of grass pollen from </w:t>
      </w:r>
      <w:r w:rsidR="002D7A68" w:rsidRPr="002D7A68">
        <w:rPr>
          <w:i/>
        </w:rPr>
        <w:t>Phleum pratense</w:t>
      </w:r>
      <w:r w:rsidRPr="006D54CD">
        <w:t xml:space="preserve"> (Timothy) which contains the relevant allergens. The drug substance is a mixture of molecules and the drug substance is standardised with respect to the content of major allergens. The biological activity is controlled by measuring the total allergenic activity and is expressed in the arbitrary Standardised Quality Tablet unit: SQ-T. However, the SQ-U unit is applied in protocols and reports because this unit has been used during development. The change from SQ-U to SQ-T is based on a wish from the applicant to make a differentiation between the subcutaneous treatment products (SQ-U) and the tablets (SQ-T).</w:t>
      </w:r>
    </w:p>
    <w:p w14:paraId="4FE91BD4" w14:textId="77777777" w:rsidR="009A1FAA" w:rsidRPr="009A1FAA" w:rsidRDefault="009A1FAA" w:rsidP="009A1FAA">
      <w:r w:rsidRPr="006D54CD">
        <w:t>The sponsor has not provided any clinical trials investigating the PK of the allergens in line with the EU guideline.</w:t>
      </w:r>
    </w:p>
    <w:p w14:paraId="4FE91BD5" w14:textId="77777777" w:rsidR="008E7846" w:rsidRDefault="008E7846" w:rsidP="008E7846">
      <w:pPr>
        <w:pStyle w:val="Heading3"/>
      </w:pPr>
      <w:bookmarkStart w:id="111" w:name="_Toc196046481"/>
      <w:bookmarkStart w:id="112" w:name="_Toc247691520"/>
      <w:bookmarkStart w:id="113" w:name="_Toc314842503"/>
      <w:bookmarkStart w:id="114" w:name="_Toc511209795"/>
      <w:r w:rsidRPr="00254787">
        <w:t>Pharmacodynamics</w:t>
      </w:r>
      <w:bookmarkEnd w:id="99"/>
      <w:bookmarkEnd w:id="111"/>
      <w:bookmarkEnd w:id="112"/>
      <w:bookmarkEnd w:id="113"/>
      <w:bookmarkEnd w:id="114"/>
    </w:p>
    <w:p w14:paraId="4FE91BD6" w14:textId="77777777" w:rsidR="00605AD4" w:rsidRDefault="00605AD4" w:rsidP="00605AD4">
      <w:pPr>
        <w:pStyle w:val="Heading4"/>
      </w:pPr>
      <w:r>
        <w:t>Studies providing pharmacodynamic data</w:t>
      </w:r>
    </w:p>
    <w:p w14:paraId="4FE91BD7" w14:textId="3F3381D3" w:rsidR="009A1FAA" w:rsidRDefault="009A1FAA" w:rsidP="009A1FAA">
      <w:r w:rsidRPr="00A32FAF">
        <w:t xml:space="preserve">Summaries of the pharmacodynamic studies </w:t>
      </w:r>
      <w:r>
        <w:t>were provided</w:t>
      </w:r>
      <w:r w:rsidRPr="00A32FAF">
        <w:t xml:space="preserve">. </w:t>
      </w:r>
      <w:r>
        <w:t xml:space="preserve">Table </w:t>
      </w:r>
      <w:r w:rsidR="00500CC2">
        <w:t>4</w:t>
      </w:r>
      <w:r w:rsidRPr="007026C8">
        <w:t xml:space="preserve"> shows the studies relating to each pharmacodynamic topic.</w:t>
      </w:r>
    </w:p>
    <w:p w14:paraId="4FE91BD8" w14:textId="2D1B97F1" w:rsidR="00AD1BB3" w:rsidRDefault="002C4BA2" w:rsidP="00AD1BB3">
      <w:pPr>
        <w:pStyle w:val="TableTitle"/>
      </w:pPr>
      <w:r>
        <w:t xml:space="preserve">Table </w:t>
      </w:r>
      <w:r w:rsidR="00500CC2">
        <w:t>4</w:t>
      </w:r>
      <w:r w:rsidR="00AD1BB3">
        <w:t>: Pharmacodynamic studies</w:t>
      </w:r>
    </w:p>
    <w:tbl>
      <w:tblPr>
        <w:tblStyle w:val="TableTGAblue"/>
        <w:tblW w:w="8434" w:type="dxa"/>
        <w:tblLayout w:type="fixed"/>
        <w:tblLook w:val="04A0" w:firstRow="1" w:lastRow="0" w:firstColumn="1" w:lastColumn="0" w:noHBand="0" w:noVBand="1"/>
        <w:tblDescription w:val="Table 4 is a summary of pharmacodynamic studies"/>
      </w:tblPr>
      <w:tblGrid>
        <w:gridCol w:w="1715"/>
        <w:gridCol w:w="2984"/>
        <w:gridCol w:w="1075"/>
        <w:gridCol w:w="2660"/>
      </w:tblGrid>
      <w:tr w:rsidR="009A1FAA" w:rsidRPr="00A32FAF" w14:paraId="4FE91BDD" w14:textId="77777777" w:rsidTr="00175205">
        <w:trPr>
          <w:cnfStyle w:val="100000000000" w:firstRow="1" w:lastRow="0" w:firstColumn="0" w:lastColumn="0" w:oddVBand="0" w:evenVBand="0" w:oddHBand="0" w:evenHBand="0" w:firstRowFirstColumn="0" w:firstRowLastColumn="0" w:lastRowFirstColumn="0" w:lastRowLastColumn="0"/>
          <w:trHeight w:val="739"/>
        </w:trPr>
        <w:tc>
          <w:tcPr>
            <w:tcW w:w="1715" w:type="dxa"/>
          </w:tcPr>
          <w:p w14:paraId="4FE91BD9" w14:textId="77777777" w:rsidR="009A1FAA" w:rsidRPr="00A32FAF" w:rsidRDefault="009A1FAA" w:rsidP="000A1BF8">
            <w:pPr>
              <w:ind w:left="0"/>
            </w:pPr>
            <w:r w:rsidRPr="00A32FAF">
              <w:t>PD Topic</w:t>
            </w:r>
          </w:p>
        </w:tc>
        <w:tc>
          <w:tcPr>
            <w:tcW w:w="2984" w:type="dxa"/>
          </w:tcPr>
          <w:p w14:paraId="4FE91BDA" w14:textId="77777777" w:rsidR="009A1FAA" w:rsidRPr="00A32FAF" w:rsidRDefault="009A1FAA" w:rsidP="000A1BF8">
            <w:pPr>
              <w:ind w:left="0"/>
            </w:pPr>
            <w:r w:rsidRPr="00A32FAF">
              <w:t>Subtopic</w:t>
            </w:r>
          </w:p>
        </w:tc>
        <w:tc>
          <w:tcPr>
            <w:tcW w:w="1075" w:type="dxa"/>
          </w:tcPr>
          <w:p w14:paraId="4FE91BDB" w14:textId="77777777" w:rsidR="009A1FAA" w:rsidRPr="00A32FAF" w:rsidRDefault="009A1FAA" w:rsidP="000A1BF8">
            <w:pPr>
              <w:ind w:left="0"/>
            </w:pPr>
            <w:r w:rsidRPr="00A32FAF">
              <w:t>Study ID</w:t>
            </w:r>
          </w:p>
        </w:tc>
        <w:tc>
          <w:tcPr>
            <w:tcW w:w="2660" w:type="dxa"/>
          </w:tcPr>
          <w:p w14:paraId="4FE91BDC" w14:textId="77777777" w:rsidR="009A1FAA" w:rsidRPr="00A32FAF" w:rsidRDefault="009A1FAA" w:rsidP="000A1BF8">
            <w:pPr>
              <w:ind w:left="0"/>
            </w:pPr>
            <w:r w:rsidRPr="00A32FAF">
              <w:t>Primary Aim</w:t>
            </w:r>
          </w:p>
        </w:tc>
      </w:tr>
      <w:tr w:rsidR="009A1FAA" w:rsidRPr="00A32FAF" w14:paraId="4FE91BE2" w14:textId="77777777" w:rsidTr="00175205">
        <w:trPr>
          <w:trHeight w:val="739"/>
        </w:trPr>
        <w:tc>
          <w:tcPr>
            <w:tcW w:w="1715" w:type="dxa"/>
            <w:vMerge w:val="restart"/>
          </w:tcPr>
          <w:p w14:paraId="4FE91BDE" w14:textId="77777777" w:rsidR="009A1FAA" w:rsidRPr="00A32FAF" w:rsidRDefault="009A1FAA" w:rsidP="000A1BF8">
            <w:pPr>
              <w:ind w:left="0"/>
            </w:pPr>
            <w:r w:rsidRPr="00A32FAF">
              <w:t>Primary Pharmacology</w:t>
            </w:r>
          </w:p>
        </w:tc>
        <w:tc>
          <w:tcPr>
            <w:tcW w:w="2984" w:type="dxa"/>
          </w:tcPr>
          <w:p w14:paraId="4FE91BDF" w14:textId="77777777" w:rsidR="009A1FAA" w:rsidRPr="00A32FAF" w:rsidRDefault="009A1FAA" w:rsidP="000A1BF8">
            <w:pPr>
              <w:ind w:left="0"/>
            </w:pPr>
            <w:r w:rsidRPr="00A32FAF">
              <w:t>Effect on immunological parameters</w:t>
            </w:r>
          </w:p>
        </w:tc>
        <w:tc>
          <w:tcPr>
            <w:tcW w:w="1075" w:type="dxa"/>
          </w:tcPr>
          <w:p w14:paraId="4FE91BE0" w14:textId="77777777" w:rsidR="009A1FAA" w:rsidRPr="00A32FAF" w:rsidRDefault="009A1FAA" w:rsidP="000A1BF8">
            <w:pPr>
              <w:ind w:left="0"/>
            </w:pPr>
            <w:r w:rsidRPr="00A32FAF">
              <w:t>GT-01</w:t>
            </w:r>
          </w:p>
        </w:tc>
        <w:tc>
          <w:tcPr>
            <w:tcW w:w="2660" w:type="dxa"/>
          </w:tcPr>
          <w:p w14:paraId="4FE91BE1" w14:textId="77777777" w:rsidR="009A1FAA" w:rsidRPr="00A32FAF" w:rsidRDefault="009A1FAA" w:rsidP="000A1BF8">
            <w:pPr>
              <w:ind w:left="0"/>
            </w:pPr>
            <w:r w:rsidRPr="00A32FAF">
              <w:t>Dose finding</w:t>
            </w:r>
          </w:p>
        </w:tc>
      </w:tr>
      <w:tr w:rsidR="009A1FAA" w:rsidRPr="00A32FAF" w14:paraId="4FE91BE7" w14:textId="77777777" w:rsidTr="00175205">
        <w:trPr>
          <w:trHeight w:val="142"/>
        </w:trPr>
        <w:tc>
          <w:tcPr>
            <w:tcW w:w="1715" w:type="dxa"/>
            <w:vMerge/>
          </w:tcPr>
          <w:p w14:paraId="4FE91BE3" w14:textId="77777777" w:rsidR="009A1FAA" w:rsidRPr="00A32FAF" w:rsidRDefault="009A1FAA" w:rsidP="000A1BF8">
            <w:pPr>
              <w:ind w:left="0"/>
            </w:pPr>
          </w:p>
        </w:tc>
        <w:tc>
          <w:tcPr>
            <w:tcW w:w="2984" w:type="dxa"/>
          </w:tcPr>
          <w:p w14:paraId="4FE91BE4" w14:textId="77777777" w:rsidR="009A1FAA" w:rsidRPr="00A32FAF" w:rsidRDefault="009A1FAA" w:rsidP="000A1BF8">
            <w:pPr>
              <w:ind w:left="0"/>
            </w:pPr>
            <w:r w:rsidRPr="00A32FAF">
              <w:t>Adults</w:t>
            </w:r>
          </w:p>
        </w:tc>
        <w:tc>
          <w:tcPr>
            <w:tcW w:w="1075" w:type="dxa"/>
          </w:tcPr>
          <w:p w14:paraId="4FE91BE5" w14:textId="77777777" w:rsidR="009A1FAA" w:rsidRPr="00A32FAF" w:rsidRDefault="009A1FAA" w:rsidP="000A1BF8">
            <w:pPr>
              <w:ind w:left="0"/>
            </w:pPr>
            <w:r w:rsidRPr="00A32FAF">
              <w:t>GT-02</w:t>
            </w:r>
          </w:p>
        </w:tc>
        <w:tc>
          <w:tcPr>
            <w:tcW w:w="2660" w:type="dxa"/>
          </w:tcPr>
          <w:p w14:paraId="4FE91BE6" w14:textId="77777777" w:rsidR="009A1FAA" w:rsidRPr="00A32FAF" w:rsidRDefault="009A1FAA" w:rsidP="000A1BF8">
            <w:pPr>
              <w:ind w:left="0"/>
            </w:pPr>
            <w:r w:rsidRPr="00A32FAF">
              <w:t>Dose finding</w:t>
            </w:r>
          </w:p>
        </w:tc>
      </w:tr>
      <w:tr w:rsidR="009A1FAA" w:rsidRPr="00A32FAF" w14:paraId="4FE91BEC" w14:textId="77777777" w:rsidTr="00175205">
        <w:trPr>
          <w:trHeight w:val="142"/>
        </w:trPr>
        <w:tc>
          <w:tcPr>
            <w:tcW w:w="1715" w:type="dxa"/>
            <w:vMerge/>
          </w:tcPr>
          <w:p w14:paraId="4FE91BE8" w14:textId="77777777" w:rsidR="009A1FAA" w:rsidRPr="00A32FAF" w:rsidRDefault="009A1FAA" w:rsidP="000A1BF8">
            <w:pPr>
              <w:ind w:left="0"/>
            </w:pPr>
          </w:p>
        </w:tc>
        <w:tc>
          <w:tcPr>
            <w:tcW w:w="2984" w:type="dxa"/>
          </w:tcPr>
          <w:p w14:paraId="4FE91BE9" w14:textId="77777777" w:rsidR="009A1FAA" w:rsidRPr="00A32FAF" w:rsidRDefault="009A1FAA" w:rsidP="000A1BF8">
            <w:pPr>
              <w:ind w:left="0"/>
            </w:pPr>
          </w:p>
        </w:tc>
        <w:tc>
          <w:tcPr>
            <w:tcW w:w="1075" w:type="dxa"/>
          </w:tcPr>
          <w:p w14:paraId="4FE91BEA" w14:textId="77777777" w:rsidR="009A1FAA" w:rsidRPr="00A32FAF" w:rsidRDefault="009A1FAA" w:rsidP="000A1BF8">
            <w:pPr>
              <w:ind w:left="0"/>
            </w:pPr>
            <w:r w:rsidRPr="00A32FAF">
              <w:t>GT-03</w:t>
            </w:r>
          </w:p>
        </w:tc>
        <w:tc>
          <w:tcPr>
            <w:tcW w:w="2660" w:type="dxa"/>
          </w:tcPr>
          <w:p w14:paraId="4FE91BEB" w14:textId="77777777" w:rsidR="009A1FAA" w:rsidRPr="00A32FAF" w:rsidRDefault="009A1FAA" w:rsidP="000A1BF8">
            <w:pPr>
              <w:ind w:left="0"/>
            </w:pPr>
            <w:r w:rsidRPr="00A32FAF">
              <w:t>Dose escalation</w:t>
            </w:r>
          </w:p>
        </w:tc>
      </w:tr>
      <w:tr w:rsidR="009A1FAA" w:rsidRPr="00A32FAF" w14:paraId="4FE91BF1" w14:textId="77777777" w:rsidTr="00175205">
        <w:trPr>
          <w:trHeight w:val="142"/>
        </w:trPr>
        <w:tc>
          <w:tcPr>
            <w:tcW w:w="1715" w:type="dxa"/>
            <w:vMerge/>
          </w:tcPr>
          <w:p w14:paraId="4FE91BED" w14:textId="77777777" w:rsidR="009A1FAA" w:rsidRPr="00A32FAF" w:rsidRDefault="009A1FAA" w:rsidP="000A1BF8">
            <w:pPr>
              <w:ind w:left="0"/>
            </w:pPr>
          </w:p>
        </w:tc>
        <w:tc>
          <w:tcPr>
            <w:tcW w:w="2984" w:type="dxa"/>
          </w:tcPr>
          <w:p w14:paraId="4FE91BEE" w14:textId="77777777" w:rsidR="009A1FAA" w:rsidRPr="00A32FAF" w:rsidRDefault="009A1FAA" w:rsidP="000A1BF8">
            <w:pPr>
              <w:ind w:left="0"/>
            </w:pPr>
          </w:p>
        </w:tc>
        <w:tc>
          <w:tcPr>
            <w:tcW w:w="1075" w:type="dxa"/>
          </w:tcPr>
          <w:p w14:paraId="4FE91BEF" w14:textId="77777777" w:rsidR="009A1FAA" w:rsidRPr="00A32FAF" w:rsidRDefault="009A1FAA" w:rsidP="000A1BF8">
            <w:pPr>
              <w:ind w:left="0"/>
            </w:pPr>
            <w:r w:rsidRPr="00A32FAF">
              <w:t>GT-08</w:t>
            </w:r>
          </w:p>
        </w:tc>
        <w:tc>
          <w:tcPr>
            <w:tcW w:w="2660" w:type="dxa"/>
          </w:tcPr>
          <w:p w14:paraId="4FE91BF0" w14:textId="77777777" w:rsidR="009A1FAA" w:rsidRPr="00A32FAF" w:rsidRDefault="009A1FAA" w:rsidP="000A1BF8">
            <w:pPr>
              <w:ind w:left="0"/>
            </w:pPr>
            <w:r w:rsidRPr="00A32FAF">
              <w:t>Efficacy and safety</w:t>
            </w:r>
          </w:p>
        </w:tc>
      </w:tr>
      <w:tr w:rsidR="009A1FAA" w:rsidRPr="00A32FAF" w14:paraId="4FE91BF6" w14:textId="77777777" w:rsidTr="00175205">
        <w:trPr>
          <w:trHeight w:val="142"/>
        </w:trPr>
        <w:tc>
          <w:tcPr>
            <w:tcW w:w="1715" w:type="dxa"/>
            <w:vMerge/>
          </w:tcPr>
          <w:p w14:paraId="4FE91BF2" w14:textId="77777777" w:rsidR="009A1FAA" w:rsidRPr="00A32FAF" w:rsidRDefault="009A1FAA" w:rsidP="000A1BF8">
            <w:pPr>
              <w:ind w:left="0"/>
            </w:pPr>
          </w:p>
        </w:tc>
        <w:tc>
          <w:tcPr>
            <w:tcW w:w="2984" w:type="dxa"/>
          </w:tcPr>
          <w:p w14:paraId="4FE91BF3" w14:textId="77777777" w:rsidR="009A1FAA" w:rsidRPr="00A32FAF" w:rsidRDefault="009A1FAA" w:rsidP="000A1BF8">
            <w:pPr>
              <w:ind w:left="0"/>
            </w:pPr>
          </w:p>
        </w:tc>
        <w:tc>
          <w:tcPr>
            <w:tcW w:w="1075" w:type="dxa"/>
          </w:tcPr>
          <w:p w14:paraId="4FE91BF4" w14:textId="77777777" w:rsidR="009A1FAA" w:rsidRPr="00A32FAF" w:rsidRDefault="009A1FAA" w:rsidP="000A1BF8">
            <w:pPr>
              <w:ind w:left="0"/>
            </w:pPr>
            <w:r w:rsidRPr="00A32FAF">
              <w:t>GT-14</w:t>
            </w:r>
          </w:p>
        </w:tc>
        <w:tc>
          <w:tcPr>
            <w:tcW w:w="2660" w:type="dxa"/>
          </w:tcPr>
          <w:p w14:paraId="4FE91BF5" w14:textId="77777777" w:rsidR="009A1FAA" w:rsidRPr="00A32FAF" w:rsidRDefault="009A1FAA" w:rsidP="000A1BF8">
            <w:pPr>
              <w:ind w:left="0"/>
            </w:pPr>
            <w:r w:rsidRPr="00A32FAF">
              <w:t>Efficacy and safety</w:t>
            </w:r>
          </w:p>
        </w:tc>
      </w:tr>
      <w:tr w:rsidR="009A1FAA" w:rsidRPr="00A32FAF" w14:paraId="4FE91BFB" w14:textId="77777777" w:rsidTr="00175205">
        <w:trPr>
          <w:trHeight w:val="142"/>
        </w:trPr>
        <w:tc>
          <w:tcPr>
            <w:tcW w:w="1715" w:type="dxa"/>
            <w:vMerge/>
          </w:tcPr>
          <w:p w14:paraId="4FE91BF7" w14:textId="77777777" w:rsidR="009A1FAA" w:rsidRPr="00A32FAF" w:rsidRDefault="009A1FAA" w:rsidP="000A1BF8">
            <w:pPr>
              <w:ind w:left="0"/>
            </w:pPr>
          </w:p>
        </w:tc>
        <w:tc>
          <w:tcPr>
            <w:tcW w:w="2984" w:type="dxa"/>
          </w:tcPr>
          <w:p w14:paraId="4FE91BF8" w14:textId="77777777" w:rsidR="009A1FAA" w:rsidRPr="00A32FAF" w:rsidRDefault="009A1FAA" w:rsidP="000A1BF8">
            <w:pPr>
              <w:ind w:left="0"/>
            </w:pPr>
          </w:p>
        </w:tc>
        <w:tc>
          <w:tcPr>
            <w:tcW w:w="1075" w:type="dxa"/>
          </w:tcPr>
          <w:p w14:paraId="4FE91BF9" w14:textId="77777777" w:rsidR="009A1FAA" w:rsidRPr="00A32FAF" w:rsidRDefault="009A1FAA" w:rsidP="000A1BF8">
            <w:pPr>
              <w:ind w:left="0"/>
            </w:pPr>
            <w:r w:rsidRPr="00A32FAF">
              <w:t>GT-16</w:t>
            </w:r>
          </w:p>
        </w:tc>
        <w:tc>
          <w:tcPr>
            <w:tcW w:w="2660" w:type="dxa"/>
          </w:tcPr>
          <w:p w14:paraId="4FE91BFA" w14:textId="77777777" w:rsidR="009A1FAA" w:rsidRPr="00A32FAF" w:rsidRDefault="009A1FAA" w:rsidP="000A1BF8">
            <w:pPr>
              <w:ind w:left="0"/>
            </w:pPr>
            <w:r w:rsidRPr="00A32FAF">
              <w:t>PD</w:t>
            </w:r>
          </w:p>
        </w:tc>
      </w:tr>
      <w:tr w:rsidR="009A1FAA" w:rsidRPr="00A32FAF" w14:paraId="4FE91C00" w14:textId="77777777" w:rsidTr="00175205">
        <w:trPr>
          <w:trHeight w:val="142"/>
        </w:trPr>
        <w:tc>
          <w:tcPr>
            <w:tcW w:w="1715" w:type="dxa"/>
            <w:vMerge/>
          </w:tcPr>
          <w:p w14:paraId="4FE91BFC" w14:textId="77777777" w:rsidR="009A1FAA" w:rsidRPr="00A32FAF" w:rsidRDefault="009A1FAA" w:rsidP="000A1BF8">
            <w:pPr>
              <w:ind w:left="0"/>
            </w:pPr>
          </w:p>
        </w:tc>
        <w:tc>
          <w:tcPr>
            <w:tcW w:w="2984" w:type="dxa"/>
          </w:tcPr>
          <w:p w14:paraId="4FE91BFD" w14:textId="77777777" w:rsidR="009A1FAA" w:rsidRPr="00A32FAF" w:rsidRDefault="009A1FAA" w:rsidP="000A1BF8">
            <w:pPr>
              <w:ind w:left="0"/>
            </w:pPr>
          </w:p>
        </w:tc>
        <w:tc>
          <w:tcPr>
            <w:tcW w:w="1075" w:type="dxa"/>
          </w:tcPr>
          <w:p w14:paraId="4FE91BFE" w14:textId="77777777" w:rsidR="009A1FAA" w:rsidRPr="00A32FAF" w:rsidRDefault="009A1FAA" w:rsidP="000A1BF8">
            <w:pPr>
              <w:ind w:left="0"/>
            </w:pPr>
            <w:r w:rsidRPr="00A32FAF">
              <w:t>GT-18</w:t>
            </w:r>
          </w:p>
        </w:tc>
        <w:tc>
          <w:tcPr>
            <w:tcW w:w="2660" w:type="dxa"/>
          </w:tcPr>
          <w:p w14:paraId="4FE91BFF" w14:textId="77777777" w:rsidR="009A1FAA" w:rsidRPr="00A32FAF" w:rsidRDefault="009A1FAA" w:rsidP="000A1BF8">
            <w:pPr>
              <w:ind w:left="0"/>
            </w:pPr>
            <w:r w:rsidRPr="00A32FAF">
              <w:t>PD</w:t>
            </w:r>
          </w:p>
        </w:tc>
      </w:tr>
      <w:tr w:rsidR="009A1FAA" w:rsidRPr="00A32FAF" w14:paraId="4FE91C05" w14:textId="77777777" w:rsidTr="00175205">
        <w:trPr>
          <w:trHeight w:val="142"/>
        </w:trPr>
        <w:tc>
          <w:tcPr>
            <w:tcW w:w="1715" w:type="dxa"/>
            <w:vMerge/>
          </w:tcPr>
          <w:p w14:paraId="4FE91C01" w14:textId="77777777" w:rsidR="009A1FAA" w:rsidRPr="00A32FAF" w:rsidRDefault="009A1FAA" w:rsidP="000A1BF8">
            <w:pPr>
              <w:ind w:left="0"/>
            </w:pPr>
          </w:p>
        </w:tc>
        <w:tc>
          <w:tcPr>
            <w:tcW w:w="2984" w:type="dxa"/>
          </w:tcPr>
          <w:p w14:paraId="4FE91C02" w14:textId="77777777" w:rsidR="009A1FAA" w:rsidRPr="00A32FAF" w:rsidRDefault="009A1FAA" w:rsidP="000A1BF8">
            <w:pPr>
              <w:ind w:left="0"/>
            </w:pPr>
          </w:p>
        </w:tc>
        <w:tc>
          <w:tcPr>
            <w:tcW w:w="1075" w:type="dxa"/>
          </w:tcPr>
          <w:p w14:paraId="4FE91C03" w14:textId="77777777" w:rsidR="009A1FAA" w:rsidRPr="00A32FAF" w:rsidRDefault="009A1FAA" w:rsidP="000A1BF8">
            <w:pPr>
              <w:ind w:left="0"/>
            </w:pPr>
            <w:r w:rsidRPr="00A32FAF">
              <w:t>P05238</w:t>
            </w:r>
          </w:p>
        </w:tc>
        <w:tc>
          <w:tcPr>
            <w:tcW w:w="2660" w:type="dxa"/>
          </w:tcPr>
          <w:p w14:paraId="4FE91C04" w14:textId="77777777" w:rsidR="009A1FAA" w:rsidRPr="00A32FAF" w:rsidRDefault="009A1FAA" w:rsidP="000A1BF8">
            <w:pPr>
              <w:ind w:left="0"/>
            </w:pPr>
            <w:r w:rsidRPr="00A32FAF">
              <w:t>Efficacy and safety</w:t>
            </w:r>
          </w:p>
        </w:tc>
      </w:tr>
      <w:tr w:rsidR="009A1FAA" w:rsidRPr="00A32FAF" w14:paraId="4FE91C0A" w14:textId="77777777" w:rsidTr="00175205">
        <w:trPr>
          <w:trHeight w:val="142"/>
        </w:trPr>
        <w:tc>
          <w:tcPr>
            <w:tcW w:w="1715" w:type="dxa"/>
            <w:vMerge/>
          </w:tcPr>
          <w:p w14:paraId="4FE91C06" w14:textId="77777777" w:rsidR="009A1FAA" w:rsidRPr="00A32FAF" w:rsidRDefault="009A1FAA" w:rsidP="000A1BF8">
            <w:pPr>
              <w:ind w:left="0"/>
            </w:pPr>
          </w:p>
        </w:tc>
        <w:tc>
          <w:tcPr>
            <w:tcW w:w="2984" w:type="dxa"/>
          </w:tcPr>
          <w:p w14:paraId="4FE91C07" w14:textId="77777777" w:rsidR="009A1FAA" w:rsidRPr="00A32FAF" w:rsidRDefault="009A1FAA" w:rsidP="000A1BF8">
            <w:pPr>
              <w:ind w:left="0"/>
            </w:pPr>
            <w:r w:rsidRPr="00A32FAF">
              <w:t>Children</w:t>
            </w:r>
          </w:p>
        </w:tc>
        <w:tc>
          <w:tcPr>
            <w:tcW w:w="1075" w:type="dxa"/>
          </w:tcPr>
          <w:p w14:paraId="4FE91C08" w14:textId="77777777" w:rsidR="009A1FAA" w:rsidRPr="00A32FAF" w:rsidRDefault="009A1FAA" w:rsidP="000A1BF8">
            <w:pPr>
              <w:ind w:left="0"/>
            </w:pPr>
            <w:r w:rsidRPr="00A32FAF">
              <w:t>GT-09</w:t>
            </w:r>
          </w:p>
        </w:tc>
        <w:tc>
          <w:tcPr>
            <w:tcW w:w="2660" w:type="dxa"/>
          </w:tcPr>
          <w:p w14:paraId="4FE91C09" w14:textId="77777777" w:rsidR="009A1FAA" w:rsidRPr="00A32FAF" w:rsidRDefault="009A1FAA" w:rsidP="000A1BF8">
            <w:pPr>
              <w:ind w:left="0"/>
            </w:pPr>
            <w:r w:rsidRPr="00A32FAF">
              <w:t>Safety</w:t>
            </w:r>
          </w:p>
        </w:tc>
      </w:tr>
      <w:tr w:rsidR="009A1FAA" w:rsidRPr="00A32FAF" w14:paraId="4FE91C0F" w14:textId="77777777" w:rsidTr="00175205">
        <w:trPr>
          <w:trHeight w:val="142"/>
        </w:trPr>
        <w:tc>
          <w:tcPr>
            <w:tcW w:w="1715" w:type="dxa"/>
            <w:vMerge/>
          </w:tcPr>
          <w:p w14:paraId="4FE91C0B" w14:textId="77777777" w:rsidR="009A1FAA" w:rsidRPr="00A32FAF" w:rsidRDefault="009A1FAA" w:rsidP="000A1BF8">
            <w:pPr>
              <w:ind w:left="0"/>
            </w:pPr>
          </w:p>
        </w:tc>
        <w:tc>
          <w:tcPr>
            <w:tcW w:w="2984" w:type="dxa"/>
          </w:tcPr>
          <w:p w14:paraId="4FE91C0C" w14:textId="77777777" w:rsidR="009A1FAA" w:rsidRPr="00A32FAF" w:rsidRDefault="009A1FAA" w:rsidP="000A1BF8">
            <w:pPr>
              <w:ind w:left="0"/>
            </w:pPr>
          </w:p>
        </w:tc>
        <w:tc>
          <w:tcPr>
            <w:tcW w:w="1075" w:type="dxa"/>
          </w:tcPr>
          <w:p w14:paraId="4FE91C0D" w14:textId="77777777" w:rsidR="009A1FAA" w:rsidRPr="00A32FAF" w:rsidRDefault="009A1FAA" w:rsidP="000A1BF8">
            <w:pPr>
              <w:ind w:left="0"/>
            </w:pPr>
            <w:r w:rsidRPr="00A32FAF">
              <w:t>GT-11</w:t>
            </w:r>
          </w:p>
        </w:tc>
        <w:tc>
          <w:tcPr>
            <w:tcW w:w="2660" w:type="dxa"/>
          </w:tcPr>
          <w:p w14:paraId="4FE91C0E" w14:textId="77777777" w:rsidR="009A1FAA" w:rsidRPr="00A32FAF" w:rsidRDefault="009A1FAA" w:rsidP="000A1BF8">
            <w:pPr>
              <w:ind w:left="0"/>
            </w:pPr>
            <w:r w:rsidRPr="00A32FAF">
              <w:t>Efficacy and safety</w:t>
            </w:r>
          </w:p>
        </w:tc>
      </w:tr>
      <w:tr w:rsidR="009A1FAA" w:rsidRPr="00A32FAF" w14:paraId="4FE91C14" w14:textId="77777777" w:rsidTr="00175205">
        <w:trPr>
          <w:trHeight w:val="142"/>
        </w:trPr>
        <w:tc>
          <w:tcPr>
            <w:tcW w:w="1715" w:type="dxa"/>
            <w:vMerge/>
          </w:tcPr>
          <w:p w14:paraId="4FE91C10" w14:textId="77777777" w:rsidR="009A1FAA" w:rsidRPr="00A32FAF" w:rsidRDefault="009A1FAA" w:rsidP="000A1BF8">
            <w:pPr>
              <w:ind w:left="0"/>
            </w:pPr>
          </w:p>
        </w:tc>
        <w:tc>
          <w:tcPr>
            <w:tcW w:w="2984" w:type="dxa"/>
          </w:tcPr>
          <w:p w14:paraId="4FE91C11" w14:textId="77777777" w:rsidR="009A1FAA" w:rsidRPr="00A32FAF" w:rsidRDefault="009A1FAA" w:rsidP="000A1BF8">
            <w:pPr>
              <w:ind w:left="0"/>
            </w:pPr>
          </w:p>
        </w:tc>
        <w:tc>
          <w:tcPr>
            <w:tcW w:w="1075" w:type="dxa"/>
          </w:tcPr>
          <w:p w14:paraId="4FE91C12" w14:textId="77777777" w:rsidR="009A1FAA" w:rsidRPr="00A32FAF" w:rsidRDefault="009A1FAA" w:rsidP="000A1BF8">
            <w:pPr>
              <w:ind w:left="0"/>
            </w:pPr>
            <w:r w:rsidRPr="00A32FAF">
              <w:t>GT-12</w:t>
            </w:r>
          </w:p>
        </w:tc>
        <w:tc>
          <w:tcPr>
            <w:tcW w:w="2660" w:type="dxa"/>
          </w:tcPr>
          <w:p w14:paraId="4FE91C13" w14:textId="77777777" w:rsidR="009A1FAA" w:rsidRPr="00A32FAF" w:rsidRDefault="009A1FAA" w:rsidP="000A1BF8">
            <w:pPr>
              <w:ind w:left="0"/>
            </w:pPr>
            <w:r w:rsidRPr="00A32FAF">
              <w:t>Efficacy and safety</w:t>
            </w:r>
          </w:p>
        </w:tc>
      </w:tr>
      <w:tr w:rsidR="009A1FAA" w:rsidRPr="00A32FAF" w14:paraId="4FE91C19" w14:textId="77777777" w:rsidTr="00175205">
        <w:trPr>
          <w:trHeight w:val="142"/>
        </w:trPr>
        <w:tc>
          <w:tcPr>
            <w:tcW w:w="1715" w:type="dxa"/>
            <w:vMerge/>
          </w:tcPr>
          <w:p w14:paraId="4FE91C15" w14:textId="77777777" w:rsidR="009A1FAA" w:rsidRPr="00A32FAF" w:rsidRDefault="009A1FAA" w:rsidP="000A1BF8">
            <w:pPr>
              <w:ind w:left="0"/>
            </w:pPr>
          </w:p>
        </w:tc>
        <w:tc>
          <w:tcPr>
            <w:tcW w:w="2984" w:type="dxa"/>
          </w:tcPr>
          <w:p w14:paraId="4FE91C16" w14:textId="77777777" w:rsidR="009A1FAA" w:rsidRPr="00A32FAF" w:rsidRDefault="009A1FAA" w:rsidP="000A1BF8">
            <w:pPr>
              <w:ind w:left="0"/>
            </w:pPr>
          </w:p>
        </w:tc>
        <w:tc>
          <w:tcPr>
            <w:tcW w:w="1075" w:type="dxa"/>
          </w:tcPr>
          <w:p w14:paraId="4FE91C17" w14:textId="77777777" w:rsidR="009A1FAA" w:rsidRPr="00A32FAF" w:rsidRDefault="009A1FAA" w:rsidP="000A1BF8">
            <w:pPr>
              <w:ind w:left="0"/>
            </w:pPr>
            <w:r w:rsidRPr="00A32FAF">
              <w:t>P05239</w:t>
            </w:r>
          </w:p>
        </w:tc>
        <w:tc>
          <w:tcPr>
            <w:tcW w:w="2660" w:type="dxa"/>
          </w:tcPr>
          <w:p w14:paraId="4FE91C18" w14:textId="77777777" w:rsidR="009A1FAA" w:rsidRPr="00A32FAF" w:rsidRDefault="009A1FAA" w:rsidP="000A1BF8">
            <w:pPr>
              <w:ind w:left="0"/>
            </w:pPr>
            <w:r w:rsidRPr="00A32FAF">
              <w:t>Efficacy and safety</w:t>
            </w:r>
          </w:p>
        </w:tc>
      </w:tr>
    </w:tbl>
    <w:p w14:paraId="4FE91C1A" w14:textId="77777777" w:rsidR="009A1FAA" w:rsidRPr="00A32FAF" w:rsidRDefault="009A1FAA" w:rsidP="009A1FAA">
      <w:r w:rsidRPr="00A32FAF">
        <w:t>None of the pharmacodynamic studies had deficiencies that excluded their results from consideration.</w:t>
      </w:r>
    </w:p>
    <w:p w14:paraId="4FE91C1B" w14:textId="77777777" w:rsidR="009A1FAA" w:rsidRPr="009A1FAA" w:rsidRDefault="009A1FAA" w:rsidP="009A1FAA">
      <w:r>
        <w:t>For the full evaluation of pharmacodynamics please see Attachment 2.</w:t>
      </w:r>
    </w:p>
    <w:p w14:paraId="4FE91C1C" w14:textId="77777777" w:rsidR="00605AD4" w:rsidRDefault="00605AD4" w:rsidP="00605AD4">
      <w:pPr>
        <w:pStyle w:val="Heading4"/>
      </w:pPr>
      <w:r>
        <w:t>Evaluator’s conclusions on pharmacodynamics</w:t>
      </w:r>
    </w:p>
    <w:p w14:paraId="4FE91C1D" w14:textId="6416FEC2" w:rsidR="009A1FAA" w:rsidRPr="00A32FAF" w:rsidRDefault="009A1FAA" w:rsidP="009A1FAA">
      <w:r w:rsidRPr="00A32FAF">
        <w:t>In the studies that measured immunological parameters changes in allergen specific serum antibodies were observed</w:t>
      </w:r>
      <w:r w:rsidR="007B3373">
        <w:t>, although not quite as consistently as the sponsor claims.</w:t>
      </w:r>
    </w:p>
    <w:p w14:paraId="4FE91C1E" w14:textId="77777777" w:rsidR="009A1FAA" w:rsidRPr="00A32FAF" w:rsidRDefault="009A1FAA" w:rsidP="009A1FAA">
      <w:proofErr w:type="spellStart"/>
      <w:r w:rsidRPr="00A32FAF">
        <w:t>IgE</w:t>
      </w:r>
      <w:proofErr w:type="spellEnd"/>
      <w:r w:rsidRPr="00A32FAF">
        <w:t>-blocking antibodies (</w:t>
      </w:r>
      <w:proofErr w:type="spellStart"/>
      <w:r w:rsidRPr="00A32FAF">
        <w:t>IgX</w:t>
      </w:r>
      <w:proofErr w:type="spellEnd"/>
      <w:r w:rsidR="00530C71">
        <w:rPr>
          <w:rStyle w:val="FootnoteReference"/>
        </w:rPr>
        <w:footnoteReference w:id="72"/>
      </w:r>
      <w:r w:rsidRPr="00A32FAF">
        <w:t xml:space="preserve">) have been suggested a possible marker for clinical efficacy of specific immunotherapy. The median ratio of </w:t>
      </w:r>
      <w:proofErr w:type="spellStart"/>
      <w:r w:rsidR="002D7A68" w:rsidRPr="002D7A68">
        <w:rPr>
          <w:i/>
        </w:rPr>
        <w:t>Phleum</w:t>
      </w:r>
      <w:proofErr w:type="spellEnd"/>
      <w:r w:rsidR="002D7A68" w:rsidRPr="002D7A68">
        <w:rPr>
          <w:i/>
        </w:rPr>
        <w:t xml:space="preserve"> </w:t>
      </w:r>
      <w:proofErr w:type="spellStart"/>
      <w:r w:rsidR="002D7A68" w:rsidRPr="002D7A68">
        <w:rPr>
          <w:i/>
        </w:rPr>
        <w:t>pratense</w:t>
      </w:r>
      <w:proofErr w:type="spellEnd"/>
      <w:r w:rsidRPr="00A32FAF">
        <w:t xml:space="preserve"> specific </w:t>
      </w:r>
      <w:proofErr w:type="spellStart"/>
      <w:r w:rsidRPr="00A32FAF">
        <w:t>IgX</w:t>
      </w:r>
      <w:proofErr w:type="spellEnd"/>
      <w:r w:rsidRPr="00A32FAF">
        <w:t xml:space="preserve"> showed a decrease in the median value of the active treatment group after 4 weeks of treatment. Thus, the treatment led to higher activity of </w:t>
      </w:r>
      <w:proofErr w:type="spellStart"/>
      <w:r w:rsidRPr="00A32FAF">
        <w:t>IgE</w:t>
      </w:r>
      <w:proofErr w:type="spellEnd"/>
      <w:r w:rsidRPr="00A32FAF">
        <w:t>-blocking antibodies.</w:t>
      </w:r>
    </w:p>
    <w:p w14:paraId="4FE91C1F" w14:textId="77777777" w:rsidR="009A1FAA" w:rsidRPr="009A1FAA" w:rsidRDefault="009A1FAA" w:rsidP="009A1FAA">
      <w:r w:rsidRPr="00A32FAF">
        <w:t xml:space="preserve">Overall, a time and dose dependent response was shown for the IgG and </w:t>
      </w:r>
      <w:proofErr w:type="spellStart"/>
      <w:r w:rsidRPr="00A32FAF">
        <w:t>IgE</w:t>
      </w:r>
      <w:proofErr w:type="spellEnd"/>
      <w:r w:rsidRPr="00A32FAF">
        <w:t xml:space="preserve"> antibodies analysed in blood, indicating that the treatment had an effect on the immune system.</w:t>
      </w:r>
    </w:p>
    <w:p w14:paraId="4FE91C20" w14:textId="77777777" w:rsidR="008E7846" w:rsidRDefault="00605AD4" w:rsidP="00605AD4">
      <w:pPr>
        <w:pStyle w:val="Heading3"/>
      </w:pPr>
      <w:bookmarkStart w:id="115" w:name="_Toc511209796"/>
      <w:r>
        <w:t>Dosage selection for the pivotal studies</w:t>
      </w:r>
      <w:bookmarkEnd w:id="115"/>
    </w:p>
    <w:p w14:paraId="4FE91C21" w14:textId="77777777" w:rsidR="009A1FAA" w:rsidRPr="00A32FAF" w:rsidRDefault="009A1FAA" w:rsidP="009A1FAA">
      <w:r>
        <w:t>Two dose finding and two</w:t>
      </w:r>
      <w:r w:rsidRPr="00A32FAF">
        <w:t xml:space="preserve"> dose escalation studies were conducted to establish the safety and optimal dose of the allergens for the pivotal studies.</w:t>
      </w:r>
    </w:p>
    <w:p w14:paraId="4FE91C22" w14:textId="70535C8F" w:rsidR="009A1FAA" w:rsidRPr="00A32FAF" w:rsidRDefault="009A1FAA" w:rsidP="009A1FAA">
      <w:r>
        <w:t>Study GT-01</w:t>
      </w:r>
      <w:r w:rsidRPr="00A32FAF">
        <w:t xml:space="preserve"> was a randomised </w:t>
      </w:r>
      <w:r>
        <w:t>double blind</w:t>
      </w:r>
      <w:r w:rsidRPr="00A32FAF">
        <w:t xml:space="preserve"> </w:t>
      </w:r>
      <w:r>
        <w:t>placebo controlled</w:t>
      </w:r>
      <w:r w:rsidRPr="00A32FAF">
        <w:t xml:space="preserve"> safety trial with an 8 week </w:t>
      </w:r>
      <w:r>
        <w:t>dose escalation</w:t>
      </w:r>
      <w:r w:rsidRPr="00A32FAF">
        <w:t xml:space="preserve"> phase, followed by an optional 15 week parallel treatment group phase. </w:t>
      </w:r>
      <w:r>
        <w:t>Forty-four</w:t>
      </w:r>
      <w:r w:rsidRPr="00A32FAF">
        <w:t xml:space="preserve"> subjects completed the initial phase of the trial, and 28 subjects completed the parallel treatment group phase. Three different dose groups were included in the parallel treatment group phase (2,500 SQ-T, 25,000</w:t>
      </w:r>
      <w:r w:rsidR="001C30D0">
        <w:t xml:space="preserve"> </w:t>
      </w:r>
      <w:r w:rsidR="001C30D0" w:rsidRPr="00A32FAF">
        <w:t>SQ-T</w:t>
      </w:r>
      <w:r w:rsidRPr="00A32FAF">
        <w:t xml:space="preserve">, </w:t>
      </w:r>
      <w:proofErr w:type="gramStart"/>
      <w:r w:rsidRPr="00A32FAF">
        <w:t>75,000</w:t>
      </w:r>
      <w:proofErr w:type="gramEnd"/>
      <w:r w:rsidRPr="00A32FAF">
        <w:t xml:space="preserve"> SQ-T). Subjects were between 18 and 65 years of age and had seasonal allergic rhinoconjunctivitis with confirmed sensitivity to </w:t>
      </w:r>
      <w:r w:rsidR="002D7A68" w:rsidRPr="002D7A68">
        <w:rPr>
          <w:i/>
        </w:rPr>
        <w:t>Phleum pratense</w:t>
      </w:r>
      <w:r w:rsidRPr="00A32FAF">
        <w:t>. The results indicated that the doses 2,500 SQ-</w:t>
      </w:r>
      <w:r w:rsidR="007C0916">
        <w:t>T</w:t>
      </w:r>
      <w:r w:rsidRPr="00A32FAF">
        <w:t>, 25,000 SQ-</w:t>
      </w:r>
      <w:r w:rsidR="007C0916">
        <w:t>T</w:t>
      </w:r>
      <w:r w:rsidR="007C0916" w:rsidRPr="00A32FAF">
        <w:t xml:space="preserve"> </w:t>
      </w:r>
      <w:r w:rsidRPr="00A32FAF">
        <w:t>and 75,000 SQ-</w:t>
      </w:r>
      <w:r w:rsidR="007C0916">
        <w:t>T</w:t>
      </w:r>
      <w:r w:rsidR="007C0916" w:rsidRPr="00A32FAF">
        <w:t xml:space="preserve"> </w:t>
      </w:r>
      <w:r w:rsidRPr="00A32FAF">
        <w:t>were considered safe for further investigation in future clinical trials.</w:t>
      </w:r>
    </w:p>
    <w:p w14:paraId="4FE91C23" w14:textId="77777777" w:rsidR="009A1FAA" w:rsidRPr="00A32FAF" w:rsidRDefault="009A1FAA" w:rsidP="009A1FAA">
      <w:r w:rsidRPr="00A32FAF">
        <w:t>The primary object</w:t>
      </w:r>
      <w:r>
        <w:t>ive of the GT-02</w:t>
      </w:r>
      <w:r w:rsidRPr="00A32FAF">
        <w:t xml:space="preserve"> trial was to evaluate the efficacy of specific immunotherapy with 3 doses of Grazax, 2,500, 25,000 and 75,000 SQ-T, compared to placebo, in adult subjects with grass pollen induced allergic rhinoconjunctivitis receiving active rescue medications as needed. The results indicated that the 75,000 SQ-T </w:t>
      </w:r>
      <w:proofErr w:type="gramStart"/>
      <w:r w:rsidRPr="00A32FAF">
        <w:t>dose</w:t>
      </w:r>
      <w:proofErr w:type="gramEnd"/>
      <w:r w:rsidRPr="00A32FAF">
        <w:t xml:space="preserve"> was the only dose demonstrating a clinical effect and statistically significant differences compared to placebo.</w:t>
      </w:r>
    </w:p>
    <w:p w14:paraId="4FE91C24" w14:textId="7316957A" w:rsidR="009A1FAA" w:rsidRPr="00A32FAF" w:rsidRDefault="009A1FAA" w:rsidP="009A1FAA">
      <w:r w:rsidRPr="00A32FAF">
        <w:t xml:space="preserve">Study GT-03 was a randomised, </w:t>
      </w:r>
      <w:r>
        <w:t>double blind</w:t>
      </w:r>
      <w:r w:rsidRPr="00A32FAF">
        <w:t xml:space="preserve"> </w:t>
      </w:r>
      <w:r>
        <w:t>placebo controlled</w:t>
      </w:r>
      <w:r w:rsidRPr="00A32FAF">
        <w:t xml:space="preserve"> </w:t>
      </w:r>
      <w:r>
        <w:t xml:space="preserve">multiple dose, dose escalation </w:t>
      </w:r>
      <w:proofErr w:type="gramStart"/>
      <w:r>
        <w:t>Phase</w:t>
      </w:r>
      <w:proofErr w:type="gramEnd"/>
      <w:r>
        <w:t xml:space="preserve"> I</w:t>
      </w:r>
      <w:r w:rsidRPr="00A32FAF">
        <w:t xml:space="preserve"> safety trial with a 28 days treatment period in 84 subjects. Eight dose </w:t>
      </w:r>
      <w:r w:rsidRPr="00A32FAF">
        <w:lastRenderedPageBreak/>
        <w:t>groups received treatment with Grazax (25,000, 75,000, 150,000, 300,000, 500,000, 750,000 or 1,000,000 SQ-T) or placebo, daily for 28 days. Due to an error in the conduct of the trial, no blood samples were taken at the end of the trial and consequently evaluation of treatment induced response was not possi</w:t>
      </w:r>
      <w:r>
        <w:t xml:space="preserve">ble. Blood samples were taken 6 to </w:t>
      </w:r>
      <w:r w:rsidRPr="00A32FAF">
        <w:t>12 months after treatment. The long-term effect on the levels of antibodies (</w:t>
      </w:r>
      <w:proofErr w:type="spellStart"/>
      <w:r w:rsidR="002D7A68" w:rsidRPr="002D7A68">
        <w:rPr>
          <w:i/>
        </w:rPr>
        <w:t>Phleum</w:t>
      </w:r>
      <w:proofErr w:type="spellEnd"/>
      <w:r w:rsidR="002D7A68" w:rsidRPr="002D7A68">
        <w:rPr>
          <w:i/>
        </w:rPr>
        <w:t xml:space="preserve"> </w:t>
      </w:r>
      <w:proofErr w:type="spellStart"/>
      <w:r w:rsidR="002D7A68" w:rsidRPr="002D7A68">
        <w:rPr>
          <w:i/>
        </w:rPr>
        <w:t>pratense</w:t>
      </w:r>
      <w:proofErr w:type="spellEnd"/>
      <w:r w:rsidRPr="00A32FAF">
        <w:t xml:space="preserve"> specific </w:t>
      </w:r>
      <w:proofErr w:type="spellStart"/>
      <w:r w:rsidRPr="00A32FAF">
        <w:t>IgE</w:t>
      </w:r>
      <w:proofErr w:type="spellEnd"/>
      <w:r w:rsidRPr="00A32FAF">
        <w:t xml:space="preserve">, </w:t>
      </w:r>
      <w:proofErr w:type="spellStart"/>
      <w:r w:rsidRPr="00A32FAF">
        <w:t>IgE</w:t>
      </w:r>
      <w:proofErr w:type="spellEnd"/>
      <w:r w:rsidRPr="00A32FAF">
        <w:t xml:space="preserve">-blocking antibodies, and total </w:t>
      </w:r>
      <w:proofErr w:type="spellStart"/>
      <w:r w:rsidRPr="00A32FAF">
        <w:t>IgE</w:t>
      </w:r>
      <w:proofErr w:type="spellEnd"/>
      <w:r w:rsidRPr="00A32FAF">
        <w:t>) measured one year after a short treatment period (28 days) with different doses of Grazax was evaluated however, no significant long-term treatment ef</w:t>
      </w:r>
      <w:r>
        <w:t xml:space="preserve">fect was observed. A clear dose </w:t>
      </w:r>
      <w:r w:rsidRPr="00A32FAF">
        <w:t xml:space="preserve">dependent increase in the overall rate of </w:t>
      </w:r>
      <w:r>
        <w:t>treatment related</w:t>
      </w:r>
      <w:r w:rsidRPr="00A32FAF">
        <w:t xml:space="preserve"> </w:t>
      </w:r>
      <w:r w:rsidR="001A1402">
        <w:rPr>
          <w:rFonts w:cs="Arial"/>
        </w:rPr>
        <w:t>adverse events</w:t>
      </w:r>
      <w:r w:rsidR="001A1402" w:rsidRPr="00A32FAF">
        <w:t xml:space="preserve"> </w:t>
      </w:r>
      <w:r w:rsidR="001A1402">
        <w:t>(</w:t>
      </w:r>
      <w:r w:rsidRPr="00A32FAF">
        <w:t>AEs</w:t>
      </w:r>
      <w:r w:rsidR="001A1402">
        <w:t>)</w:t>
      </w:r>
      <w:r w:rsidRPr="00A32FAF">
        <w:t xml:space="preserve"> and in the incidence of 'gastrointestinal symptoms' (including most oral sensations) was observed. The increase for </w:t>
      </w:r>
      <w:r>
        <w:t>treatment related</w:t>
      </w:r>
      <w:r w:rsidRPr="00A32FAF">
        <w:t xml:space="preserve"> AEs as well as 'gastrointestinal symptoms' started at 75,000 SQ-</w:t>
      </w:r>
      <w:r w:rsidR="00565A24">
        <w:t>T</w:t>
      </w:r>
      <w:r w:rsidRPr="00A32FAF">
        <w:t>.</w:t>
      </w:r>
    </w:p>
    <w:p w14:paraId="4FE91C25" w14:textId="77777777" w:rsidR="009A1FAA" w:rsidRPr="00A32FAF" w:rsidRDefault="009A1FAA" w:rsidP="009A1FAA">
      <w:r>
        <w:t>Study GT-04</w:t>
      </w:r>
      <w:r w:rsidRPr="00A32FAF">
        <w:t xml:space="preserve"> was a </w:t>
      </w:r>
      <w:r>
        <w:t>double blind</w:t>
      </w:r>
      <w:r w:rsidRPr="00A32FAF">
        <w:t xml:space="preserve">, </w:t>
      </w:r>
      <w:r>
        <w:t>parallel group</w:t>
      </w:r>
      <w:r w:rsidRPr="00A32FAF">
        <w:t xml:space="preserve">, </w:t>
      </w:r>
      <w:r>
        <w:t>placebo controlled</w:t>
      </w:r>
      <w:r w:rsidRPr="00A32FAF">
        <w:t xml:space="preserve"> trial to evaluate the safety of Grazax in the dose groups 75,000, 150,000,</w:t>
      </w:r>
      <w:r w:rsidR="00AD1BB3">
        <w:t xml:space="preserve"> 300,000 and 500,000 SQ-T in 43 </w:t>
      </w:r>
      <w:r w:rsidRPr="00A32FAF">
        <w:t>subjects. The incidence of AEs appeared to be dose related but the relation was not pronounced, however the number of AEs reported in the 75,000 SQ-T groups was distinctly lower compared with the higher dose levels.</w:t>
      </w:r>
    </w:p>
    <w:p w14:paraId="4FE91C26" w14:textId="77777777" w:rsidR="009A1FAA" w:rsidRPr="00A32FAF" w:rsidRDefault="009A1FAA" w:rsidP="009A1FAA">
      <w:r w:rsidRPr="00A32FAF">
        <w:t>In children, the tolerability of 75,000 SQ-T was investigat</w:t>
      </w:r>
      <w:r>
        <w:t>ed in two</w:t>
      </w:r>
      <w:r w:rsidRPr="00A32FAF">
        <w:t xml:space="preserve"> </w:t>
      </w:r>
      <w:r>
        <w:t>Phase I</w:t>
      </w:r>
      <w:r w:rsidRPr="00A32FAF">
        <w:t xml:space="preserve"> trials (GT-09</w:t>
      </w:r>
      <w:r>
        <w:t xml:space="preserve"> </w:t>
      </w:r>
      <w:r w:rsidRPr="00A32FAF">
        <w:t xml:space="preserve">and GT-11). No indications of any significant differences between the adult and the paediatric population were observed and this was in agreement with the </w:t>
      </w:r>
      <w:r w:rsidR="00530C71">
        <w:t>well-</w:t>
      </w:r>
      <w:r w:rsidR="004C74AA">
        <w:t>established</w:t>
      </w:r>
      <w:r w:rsidRPr="00A32FAF">
        <w:t xml:space="preserve"> clinical practice of using the same dosage of immunotherapy in adults and children.</w:t>
      </w:r>
    </w:p>
    <w:p w14:paraId="4FE91C27" w14:textId="77777777" w:rsidR="009A1FAA" w:rsidRPr="009A1FAA" w:rsidRDefault="009A1FAA" w:rsidP="009A1FAA">
      <w:r w:rsidRPr="00A32FAF">
        <w:t>In conclusion, as safety is of utmost importance for a product intended for home treatment, an efficacy size markedly above what has alr</w:t>
      </w:r>
      <w:r w:rsidR="00AD1BB3">
        <w:t>eady been seen in the GT-07, GT</w:t>
      </w:r>
      <w:r w:rsidR="00AD1BB3">
        <w:noBreakHyphen/>
      </w:r>
      <w:r w:rsidRPr="00A32FAF">
        <w:t xml:space="preserve">08 and GT-12 trials probably is unrealistic for the first year with any immunotherapy treatment; the 75,000 SQ-T dose was recommended. An increased dose could lead to more AEs and thereby potentially compromise the benefit-risk profile. In addition, reduced subject compliance to the treatment due to tolerance problems at the application site could undermine the treatment regimen. In conclusion, the 75,000 SQ-T </w:t>
      </w:r>
      <w:proofErr w:type="gramStart"/>
      <w:r w:rsidRPr="00A32FAF">
        <w:t>dose</w:t>
      </w:r>
      <w:proofErr w:type="gramEnd"/>
      <w:r w:rsidRPr="00A32FAF">
        <w:t xml:space="preserve"> compared to other doses was considered having an optimal benefit-risk profile.</w:t>
      </w:r>
    </w:p>
    <w:p w14:paraId="4FE91C28" w14:textId="77777777" w:rsidR="00197984" w:rsidRDefault="008E7846" w:rsidP="008E7846">
      <w:pPr>
        <w:pStyle w:val="Heading3"/>
      </w:pPr>
      <w:bookmarkStart w:id="116" w:name="_Toc163441372"/>
      <w:bookmarkStart w:id="117" w:name="_Toc196046485"/>
      <w:bookmarkStart w:id="118" w:name="_Toc247691521"/>
      <w:bookmarkStart w:id="119" w:name="_Toc314842504"/>
      <w:bookmarkStart w:id="120" w:name="_Toc511209797"/>
      <w:r w:rsidRPr="00254787">
        <w:t>Efficacy</w:t>
      </w:r>
      <w:bookmarkEnd w:id="116"/>
      <w:bookmarkEnd w:id="117"/>
      <w:bookmarkEnd w:id="118"/>
      <w:bookmarkEnd w:id="119"/>
      <w:bookmarkEnd w:id="120"/>
    </w:p>
    <w:p w14:paraId="4FE91C29" w14:textId="77777777" w:rsidR="008E7846" w:rsidRPr="00197984" w:rsidRDefault="00197984" w:rsidP="00197984">
      <w:pPr>
        <w:pStyle w:val="Heading4"/>
      </w:pPr>
      <w:r w:rsidRPr="00197984">
        <w:t>Indication 1 (Adults), Treatment of allergic rhinitis with or without conjunctivitis in adults</w:t>
      </w:r>
    </w:p>
    <w:p w14:paraId="4FE91C2A" w14:textId="77777777" w:rsidR="00605AD4" w:rsidRDefault="00605AD4" w:rsidP="00197984">
      <w:pPr>
        <w:pStyle w:val="Heading5"/>
      </w:pPr>
      <w:bookmarkStart w:id="121" w:name="_Toc184439992"/>
      <w:bookmarkStart w:id="122" w:name="_Toc184440279"/>
      <w:bookmarkStart w:id="123" w:name="_Toc184444657"/>
      <w:bookmarkStart w:id="124" w:name="_Toc196046487"/>
      <w:r>
        <w:t>Studies providing efficacy data</w:t>
      </w:r>
    </w:p>
    <w:p w14:paraId="4FE91C2B" w14:textId="77777777" w:rsidR="00197984" w:rsidRDefault="00197984" w:rsidP="00197984">
      <w:pPr>
        <w:pStyle w:val="Heading6"/>
      </w:pPr>
      <w:bookmarkStart w:id="125" w:name="_Toc496026688"/>
      <w:r w:rsidRPr="00536BEF">
        <w:t>Pivotal efficacy studies</w:t>
      </w:r>
      <w:bookmarkEnd w:id="125"/>
    </w:p>
    <w:p w14:paraId="4FE91C2C" w14:textId="77777777" w:rsidR="00197984" w:rsidRDefault="00197984" w:rsidP="00197984">
      <w:pPr>
        <w:pStyle w:val="ListBullet"/>
      </w:pPr>
      <w:r w:rsidRPr="00197984">
        <w:t>Study GT-08</w:t>
      </w:r>
    </w:p>
    <w:p w14:paraId="4FE91C2D" w14:textId="77777777" w:rsidR="00197984" w:rsidRPr="00197984" w:rsidRDefault="00197984" w:rsidP="00197984">
      <w:pPr>
        <w:pStyle w:val="ListBullet"/>
      </w:pPr>
      <w:r w:rsidRPr="00197984">
        <w:t>Study GT-14</w:t>
      </w:r>
    </w:p>
    <w:p w14:paraId="4FE91C2E" w14:textId="77777777" w:rsidR="00197984" w:rsidRPr="00197984" w:rsidRDefault="00197984" w:rsidP="00197984">
      <w:pPr>
        <w:pStyle w:val="Heading6"/>
      </w:pPr>
      <w:bookmarkStart w:id="126" w:name="_Toc449426938"/>
      <w:bookmarkStart w:id="127" w:name="_Toc496026689"/>
      <w:r w:rsidRPr="00197984">
        <w:t>Other efficacy studies</w:t>
      </w:r>
      <w:bookmarkEnd w:id="126"/>
      <w:bookmarkEnd w:id="127"/>
    </w:p>
    <w:p w14:paraId="4FE91C2F" w14:textId="77777777" w:rsidR="00197984" w:rsidRPr="00197984" w:rsidRDefault="00197984" w:rsidP="00197984">
      <w:pPr>
        <w:pStyle w:val="ListBullet"/>
      </w:pPr>
      <w:r w:rsidRPr="00197984">
        <w:t>Study GT-07</w:t>
      </w:r>
    </w:p>
    <w:p w14:paraId="4FE91C30" w14:textId="77777777" w:rsidR="00197984" w:rsidRPr="00197984" w:rsidRDefault="00197984" w:rsidP="00197984">
      <w:pPr>
        <w:pStyle w:val="ListBullet"/>
      </w:pPr>
      <w:r w:rsidRPr="00197984">
        <w:t>Study P05238</w:t>
      </w:r>
    </w:p>
    <w:p w14:paraId="4FE91C31" w14:textId="77777777" w:rsidR="00197984" w:rsidRDefault="00197984" w:rsidP="00197984">
      <w:pPr>
        <w:pStyle w:val="ListBullet"/>
      </w:pPr>
      <w:r w:rsidRPr="00197984">
        <w:t>Other studies Study GT-10 and GT-17 which evaluated treatment compliance were summarised</w:t>
      </w:r>
      <w:r>
        <w:t xml:space="preserve"> (but no detailed evaluation was presented)</w:t>
      </w:r>
    </w:p>
    <w:p w14:paraId="4FE91C32" w14:textId="77777777" w:rsidR="00197984" w:rsidRPr="00BF558C" w:rsidRDefault="00197984" w:rsidP="00197984">
      <w:pPr>
        <w:pStyle w:val="Heading4"/>
      </w:pPr>
      <w:bookmarkStart w:id="128" w:name="_Toc449426942"/>
      <w:bookmarkStart w:id="129" w:name="_Toc496026690"/>
      <w:r w:rsidRPr="00BF558C">
        <w:lastRenderedPageBreak/>
        <w:t>Indication 2: Treatment of allergic rhinitis with or without conjunctivitis in children (</w:t>
      </w:r>
      <w:r w:rsidR="00B1428D">
        <w:t xml:space="preserve">≥ </w:t>
      </w:r>
      <w:r w:rsidRPr="00BF558C">
        <w:t>5 years)</w:t>
      </w:r>
      <w:bookmarkEnd w:id="128"/>
      <w:bookmarkEnd w:id="129"/>
    </w:p>
    <w:p w14:paraId="4FE91C33" w14:textId="77777777" w:rsidR="00197984" w:rsidRDefault="00197984" w:rsidP="00197984">
      <w:pPr>
        <w:pStyle w:val="Heading5"/>
      </w:pPr>
      <w:r>
        <w:t>Studies providing efficacy data</w:t>
      </w:r>
    </w:p>
    <w:p w14:paraId="4FE91C34" w14:textId="77777777" w:rsidR="00BA7E13" w:rsidRDefault="00BA7E13" w:rsidP="00BA7E13">
      <w:pPr>
        <w:pStyle w:val="Heading6"/>
      </w:pPr>
      <w:bookmarkStart w:id="130" w:name="_Toc449426943"/>
      <w:r w:rsidRPr="00BA7E13">
        <w:t>Pivotal efficacy study</w:t>
      </w:r>
      <w:bookmarkEnd w:id="130"/>
    </w:p>
    <w:p w14:paraId="4FE91C35" w14:textId="77777777" w:rsidR="00BA7E13" w:rsidRPr="00BA7E13" w:rsidRDefault="00BA7E13" w:rsidP="00BA7E13">
      <w:pPr>
        <w:pStyle w:val="ListBullet"/>
      </w:pPr>
      <w:r w:rsidRPr="00BA7E13">
        <w:t>Study GT-12</w:t>
      </w:r>
    </w:p>
    <w:p w14:paraId="4FE91C36" w14:textId="77777777" w:rsidR="00BA7E13" w:rsidRPr="00BA7E13" w:rsidRDefault="00BA7E13" w:rsidP="00BA7E13">
      <w:pPr>
        <w:pStyle w:val="Heading6"/>
      </w:pPr>
      <w:bookmarkStart w:id="131" w:name="_Ref271037188"/>
      <w:bookmarkStart w:id="132" w:name="_Ref271037210"/>
      <w:bookmarkStart w:id="133" w:name="_Toc272414655"/>
      <w:bookmarkStart w:id="134" w:name="_Toc290846277"/>
      <w:bookmarkStart w:id="135" w:name="_Toc449426945"/>
      <w:bookmarkStart w:id="136" w:name="_Toc241374311"/>
      <w:bookmarkStart w:id="137" w:name="_Ref243294291"/>
      <w:r w:rsidRPr="00BA7E13">
        <w:t>Other efficacy studies</w:t>
      </w:r>
      <w:bookmarkEnd w:id="131"/>
      <w:bookmarkEnd w:id="132"/>
      <w:bookmarkEnd w:id="133"/>
      <w:bookmarkEnd w:id="134"/>
      <w:bookmarkEnd w:id="135"/>
    </w:p>
    <w:p w14:paraId="4FE91C37" w14:textId="77777777" w:rsidR="00BA7E13" w:rsidRDefault="00BA7E13" w:rsidP="00BA7E13">
      <w:pPr>
        <w:pStyle w:val="ListBullet"/>
      </w:pPr>
      <w:r w:rsidRPr="00BA7E13">
        <w:t>Study P05239</w:t>
      </w:r>
    </w:p>
    <w:p w14:paraId="4FE91C38" w14:textId="77777777" w:rsidR="00AD1BB3" w:rsidRPr="00AD1BB3" w:rsidRDefault="00AD1BB3" w:rsidP="00AD1BB3">
      <w:r w:rsidRPr="00AD1BB3">
        <w:t>For the full d</w:t>
      </w:r>
      <w:r>
        <w:t>etail of the evaluation of the</w:t>
      </w:r>
      <w:r w:rsidRPr="00AD1BB3">
        <w:t xml:space="preserve"> studies please see Attachment 2.</w:t>
      </w:r>
    </w:p>
    <w:bookmarkEnd w:id="136"/>
    <w:bookmarkEnd w:id="137"/>
    <w:p w14:paraId="4FE91C39" w14:textId="77777777" w:rsidR="008E7846" w:rsidRDefault="00605AD4" w:rsidP="00605AD4">
      <w:pPr>
        <w:pStyle w:val="Heading4"/>
      </w:pPr>
      <w:r>
        <w:t>Evaluator’s conclusions on efficacy</w:t>
      </w:r>
    </w:p>
    <w:p w14:paraId="4FE91C3A" w14:textId="77777777" w:rsidR="00BA7E13" w:rsidRPr="007948A2" w:rsidRDefault="00BA7E13" w:rsidP="00BA7E13">
      <w:r w:rsidRPr="007948A2">
        <w:t>In the summary of clinical efficacy the sponsor identified 18 studies conducted with Grazax, of which 17 we</w:t>
      </w:r>
      <w:r>
        <w:t>re included in the submission (S</w:t>
      </w:r>
      <w:r w:rsidRPr="007948A2">
        <w:t>tudy PO8067 was not included). They identified 7</w:t>
      </w:r>
      <w:r>
        <w:t> </w:t>
      </w:r>
      <w:r w:rsidRPr="007948A2">
        <w:t>trials a</w:t>
      </w:r>
      <w:r>
        <w:t>s supporting clinical efficacy;</w:t>
      </w:r>
      <w:r w:rsidRPr="007948A2">
        <w:t xml:space="preserve"> GT-02, GT-07, GT-08, GT-12, GT-14, P05238, and P05239. Of these studies GT-02, GT-07, GT-08, GT-14, P05238 were conducted in adults and GT-12, P05239 are in children. The sponsor does not identify any of the studies as pivotal and appears to give equal weight to all the studies and also makes little distinction between adults and children.</w:t>
      </w:r>
    </w:p>
    <w:p w14:paraId="4FE91C3B" w14:textId="77777777" w:rsidR="00BA7E13" w:rsidRPr="007948A2" w:rsidRDefault="00BA7E13" w:rsidP="00BA7E13">
      <w:r w:rsidRPr="007948A2">
        <w:t xml:space="preserve">This evaluation has identified the adult studies GT-08 and GT-14 as pivotal studies based on having the same primary outcomes and the same formulation. The studies GT-07 and P05238 are considered supporting trials and GT-02 was primarily a dose finding study and </w:t>
      </w:r>
      <w:r>
        <w:t xml:space="preserve">therefore it was included (in this report). </w:t>
      </w:r>
      <w:r w:rsidRPr="007948A2">
        <w:t xml:space="preserve">In children, </w:t>
      </w:r>
      <w:r>
        <w:t>Study</w:t>
      </w:r>
      <w:r w:rsidRPr="007948A2">
        <w:t xml:space="preserve"> GT-12 was considered pivotal as it had the same primary outcomes as the adult trials and P05239 was considered a supporting trial.</w:t>
      </w:r>
    </w:p>
    <w:p w14:paraId="4FE91C3C" w14:textId="77777777" w:rsidR="00BA7E13" w:rsidRPr="007948A2" w:rsidRDefault="00BA7E13" w:rsidP="00BA7E13">
      <w:r w:rsidRPr="007948A2">
        <w:t>The trials had many varied outcome parameters and it is noted that most of the studies were conducted prior to the adoption of the EU Guidelines for treatment of allergic conditions but it is reasonable to consider the guidelines in reviewing the data submitted as the studies generally comply to the guidelines and the sponsor makes reference to them at different times in the summaries.</w:t>
      </w:r>
    </w:p>
    <w:p w14:paraId="4FE91C3D" w14:textId="77777777" w:rsidR="00BA7E13" w:rsidRPr="007948A2" w:rsidRDefault="00BA7E13" w:rsidP="00BA7E13">
      <w:r w:rsidRPr="007948A2">
        <w:t>In terms of the primary outcomes of the trials the EU guideline states:</w:t>
      </w:r>
    </w:p>
    <w:p w14:paraId="4FE91C3E" w14:textId="77777777" w:rsidR="00BA7E13" w:rsidRPr="00016F64" w:rsidRDefault="00BA7E13" w:rsidP="00BA7E13">
      <w:pPr>
        <w:ind w:left="720"/>
        <w:rPr>
          <w:i/>
        </w:rPr>
      </w:pPr>
      <w:r w:rsidRPr="00016F64">
        <w:rPr>
          <w:i/>
        </w:rPr>
        <w:t>Primary endpoint: The use of rescue medication has an impact on symptom severity. Therefore, the primary endpoint has to reflect both, symptom severity as well as the intake of rescue medication. ……. One approach is to combine both scores by a weighted sum of the symptom and medication score respectively. In such a situation the choice of the weights has to be justified.</w:t>
      </w:r>
    </w:p>
    <w:p w14:paraId="4FE91C3F" w14:textId="77777777" w:rsidR="00BA7E13" w:rsidRPr="007948A2" w:rsidRDefault="00BA7E13" w:rsidP="00BA7E13">
      <w:r w:rsidRPr="007948A2">
        <w:t>All of the trials have done this in some wa</w:t>
      </w:r>
      <w:r>
        <w:t>y but it differs in each trial;</w:t>
      </w:r>
      <w:r w:rsidRPr="007948A2">
        <w:t xml:space="preserve"> usually by using the co-primary endpoints of </w:t>
      </w:r>
      <w:r w:rsidR="0089016D">
        <w:rPr>
          <w:rFonts w:cs="Arial"/>
        </w:rPr>
        <w:t>daily symptom score</w:t>
      </w:r>
      <w:r w:rsidR="0089016D" w:rsidRPr="007948A2">
        <w:t xml:space="preserve"> </w:t>
      </w:r>
      <w:r w:rsidR="0089016D">
        <w:t>(</w:t>
      </w:r>
      <w:r w:rsidRPr="007948A2">
        <w:t>DSS</w:t>
      </w:r>
      <w:r w:rsidR="0089016D">
        <w:t>)</w:t>
      </w:r>
      <w:r w:rsidRPr="007948A2">
        <w:t xml:space="preserve"> and </w:t>
      </w:r>
      <w:r w:rsidR="0089016D">
        <w:rPr>
          <w:rFonts w:cs="Arial"/>
        </w:rPr>
        <w:t>daily medication score</w:t>
      </w:r>
      <w:r w:rsidR="0089016D" w:rsidRPr="007948A2">
        <w:t xml:space="preserve"> </w:t>
      </w:r>
      <w:r w:rsidR="0089016D">
        <w:t>(</w:t>
      </w:r>
      <w:r w:rsidRPr="007948A2">
        <w:t>DMS</w:t>
      </w:r>
      <w:r w:rsidR="0089016D">
        <w:t>)</w:t>
      </w:r>
      <w:r w:rsidRPr="007948A2">
        <w:t xml:space="preserve"> or a combined endpoint (with no weighting) and then DSS and DMS as secondary endpoints.</w:t>
      </w:r>
    </w:p>
    <w:p w14:paraId="40612888" w14:textId="2F1B73DB" w:rsidR="00F56370" w:rsidRPr="007948A2" w:rsidRDefault="00BA7E13" w:rsidP="00F56370">
      <w:r w:rsidRPr="007948A2">
        <w:t>The pivotal studies, GT-08 and GT-14 used DSS and DMS as th</w:t>
      </w:r>
      <w:r>
        <w:t xml:space="preserve">e primary </w:t>
      </w:r>
      <w:proofErr w:type="spellStart"/>
      <w:r>
        <w:t>endpoint</w:t>
      </w:r>
      <w:r w:rsidR="00F56370">
        <w:t>and</w:t>
      </w:r>
      <w:proofErr w:type="spellEnd"/>
      <w:r w:rsidR="00F56370">
        <w:t xml:space="preserve"> then GT</w:t>
      </w:r>
      <w:r w:rsidR="00F56370">
        <w:noBreakHyphen/>
      </w:r>
      <w:r w:rsidR="00F56370" w:rsidRPr="007948A2">
        <w:t xml:space="preserve">08 added new secondary endpoints at each of the 4 subsequent years of the trial so that by the end of </w:t>
      </w:r>
      <w:r w:rsidR="00F56370">
        <w:t>Year</w:t>
      </w:r>
      <w:r w:rsidR="00F56370" w:rsidRPr="007948A2">
        <w:t xml:space="preserve"> 5 there were 67 secondary outcomes. The EU guideline makes the point that:</w:t>
      </w:r>
    </w:p>
    <w:p w14:paraId="6A5CB65B" w14:textId="77777777" w:rsidR="00F56370" w:rsidRPr="00016F64" w:rsidRDefault="00F56370" w:rsidP="002132B5">
      <w:pPr>
        <w:ind w:left="720"/>
        <w:rPr>
          <w:i/>
        </w:rPr>
      </w:pPr>
      <w:r w:rsidRPr="00016F64">
        <w:rPr>
          <w:i/>
        </w:rPr>
        <w:t>“……..the applicant should provide a definition of a clinically meaningful effect in the primary efficacy endpoint and the basis for choosing this value. A merely statistical significant effect might not be sufficient.” (EU Guideline on Treatment of Allergic Rhinoconjunctivitis)</w:t>
      </w:r>
    </w:p>
    <w:p w14:paraId="4FE91C42" w14:textId="65943A8B" w:rsidR="00BA7E13" w:rsidRPr="007948A2" w:rsidRDefault="00F56370" w:rsidP="00D70E6C">
      <w:r w:rsidRPr="007948A2">
        <w:lastRenderedPageBreak/>
        <w:t xml:space="preserve">While this guideline is not intended to apply to specific immunotherapy and refers to the primary endpoint, the point is a good one and there is danger that </w:t>
      </w:r>
      <w:r>
        <w:t xml:space="preserve">using </w:t>
      </w:r>
      <w:r w:rsidRPr="007948A2">
        <w:t xml:space="preserve">so many secondary endpoints </w:t>
      </w:r>
      <w:r>
        <w:t>raises concern regarding selective selection of the data</w:t>
      </w:r>
      <w:r w:rsidRPr="007948A2">
        <w:t>.</w:t>
      </w:r>
    </w:p>
    <w:p w14:paraId="4FE91C43" w14:textId="2F4FBCBB" w:rsidR="00BA7E13" w:rsidRPr="007948A2" w:rsidRDefault="00BA7E13" w:rsidP="00BA7E13">
      <w:r w:rsidRPr="007948A2">
        <w:t xml:space="preserve">Looking at the primary (or key secondary) outcomes in the efficacy studies, </w:t>
      </w:r>
      <w:r w:rsidR="007B3373">
        <w:t xml:space="preserve">that sponsor claims consistent efficacy but provides very little critical discussion of the results either in the individual study reports or in the summaries. The </w:t>
      </w:r>
      <w:r w:rsidRPr="007948A2">
        <w:t xml:space="preserve">results of the efficacy studies for the entire </w:t>
      </w:r>
      <w:r w:rsidR="0082122C">
        <w:rPr>
          <w:rFonts w:cs="Arial"/>
        </w:rPr>
        <w:t>GPS</w:t>
      </w:r>
      <w:r w:rsidRPr="007948A2">
        <w:t xml:space="preserve"> are</w:t>
      </w:r>
      <w:r>
        <w:t xml:space="preserve"> as </w:t>
      </w:r>
      <w:r w:rsidRPr="002C4BA2">
        <w:t xml:space="preserve">shown in </w:t>
      </w:r>
      <w:r w:rsidR="002C4BA2" w:rsidRPr="002C4BA2">
        <w:t xml:space="preserve">Table </w:t>
      </w:r>
      <w:r w:rsidR="00500CC2">
        <w:t>5</w:t>
      </w:r>
      <w:r w:rsidR="000F75C0">
        <w:t>.</w:t>
      </w:r>
    </w:p>
    <w:p w14:paraId="4FE91C44" w14:textId="493CAD5E" w:rsidR="00BA7E13" w:rsidRDefault="00BA7E13" w:rsidP="00BA7E13">
      <w:pPr>
        <w:pStyle w:val="Tabletitle0"/>
        <w:rPr>
          <w:lang w:eastAsia="ja-JP"/>
        </w:rPr>
      </w:pPr>
      <w:r w:rsidRPr="002C4BA2">
        <w:rPr>
          <w:lang w:eastAsia="ja-JP"/>
        </w:rPr>
        <w:t xml:space="preserve">Table </w:t>
      </w:r>
      <w:r w:rsidR="00500CC2">
        <w:rPr>
          <w:lang w:eastAsia="ja-JP"/>
        </w:rPr>
        <w:t>5</w:t>
      </w:r>
      <w:r w:rsidR="002C4BA2" w:rsidRPr="002C4BA2">
        <w:rPr>
          <w:lang w:eastAsia="ja-JP"/>
        </w:rPr>
        <w:t>:</w:t>
      </w:r>
      <w:r>
        <w:rPr>
          <w:lang w:eastAsia="ja-JP"/>
        </w:rPr>
        <w:t xml:space="preserve"> </w:t>
      </w:r>
      <w:r w:rsidR="002C4BA2">
        <w:rPr>
          <w:lang w:eastAsia="ja-JP"/>
        </w:rPr>
        <w:t xml:space="preserve">Summary </w:t>
      </w:r>
      <w:r w:rsidRPr="007948A2">
        <w:t>results of the efficacy studies for the entire GPS</w:t>
      </w:r>
    </w:p>
    <w:p w14:paraId="16C134D3" w14:textId="5422B473" w:rsidR="00FC00FD" w:rsidRDefault="00BA7E13" w:rsidP="00BA7E13">
      <w:pPr>
        <w:rPr>
          <w:i/>
        </w:rPr>
      </w:pPr>
      <w:r>
        <w:rPr>
          <w:noProof/>
          <w:lang w:eastAsia="en-AU"/>
        </w:rPr>
        <w:drawing>
          <wp:inline distT="0" distB="0" distL="0" distR="0" wp14:anchorId="4FE91EF1" wp14:editId="11B601A7">
            <wp:extent cx="5400040" cy="1890591"/>
            <wp:effectExtent l="0" t="0" r="0" b="0"/>
            <wp:docPr id="23" name="Picture 23" descr="Table 5: Summary results of the efficacy studies for the entire G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00040" cy="1890591"/>
                    </a:xfrm>
                    <a:prstGeom prst="rect">
                      <a:avLst/>
                    </a:prstGeom>
                  </pic:spPr>
                </pic:pic>
              </a:graphicData>
            </a:graphic>
          </wp:inline>
        </w:drawing>
      </w:r>
    </w:p>
    <w:p w14:paraId="4FE91C46" w14:textId="48F403B4" w:rsidR="00BA7E13" w:rsidRPr="00016F64" w:rsidRDefault="00F56370" w:rsidP="00BA7E13">
      <w:r w:rsidRPr="002132B5">
        <w:t>When</w:t>
      </w:r>
      <w:r>
        <w:t xml:space="preserve"> viewing the results in this way </w:t>
      </w:r>
      <w:r w:rsidR="00BA7E13" w:rsidRPr="00016F64">
        <w:t xml:space="preserve">the studies do </w:t>
      </w:r>
      <w:r>
        <w:t xml:space="preserve">not </w:t>
      </w:r>
      <w:r w:rsidR="00BA7E13" w:rsidRPr="00016F64">
        <w:t>show a consistent benefit</w:t>
      </w:r>
      <w:r w:rsidR="0028468D">
        <w:t xml:space="preserve"> </w:t>
      </w:r>
      <w:r>
        <w:t>as claimed by the sponsor</w:t>
      </w:r>
      <w:r w:rsidR="00BA7E13" w:rsidRPr="00016F64">
        <w:t>. For adults only 2 of 5 studies show statistically significant benefit for rhinoconjunctivitis symptoms and only 1 of 5 show statistically significant benefit for DMS.</w:t>
      </w:r>
    </w:p>
    <w:p w14:paraId="4FE91C47" w14:textId="77777777" w:rsidR="00BA7E13" w:rsidRPr="00016F64" w:rsidRDefault="00BA7E13" w:rsidP="00BA7E13">
      <w:r w:rsidRPr="00016F64">
        <w:t xml:space="preserve">The sponsor argues that the reasons the primary analysis in studies GT-02 and GT-14 did not show a statistically significant difference compared to placebo was due, in </w:t>
      </w:r>
      <w:r>
        <w:t>Study</w:t>
      </w:r>
      <w:r w:rsidRPr="00016F64">
        <w:t xml:space="preserve"> GT-02, to the fact that not all subjects</w:t>
      </w:r>
      <w:r>
        <w:t xml:space="preserve"> were able to comply with the 8 </w:t>
      </w:r>
      <w:r w:rsidRPr="00016F64">
        <w:t xml:space="preserve">week pre-seasonal treatment period and in </w:t>
      </w:r>
      <w:r>
        <w:t>Study</w:t>
      </w:r>
      <w:r w:rsidRPr="00016F64">
        <w:t xml:space="preserve"> GT-14 to the subjects’ pre-seasonal symptom score, overlapping pollen seasons/allergies and/or geographical regions/pollen areas. These may be valid reasons for these studies but also reflect the real world use of the product.</w:t>
      </w:r>
    </w:p>
    <w:p w14:paraId="4FE91C48" w14:textId="543EF937" w:rsidR="00BA7E13" w:rsidRPr="00016F64" w:rsidRDefault="00BA7E13" w:rsidP="00BA7E13">
      <w:r w:rsidRPr="00016F64">
        <w:t xml:space="preserve">The question is then how much efficacy is required to register the product? Normally </w:t>
      </w:r>
      <w:proofErr w:type="gramStart"/>
      <w:r w:rsidRPr="00016F64">
        <w:t xml:space="preserve">efficacy in 2 independent trials or 1 study with significant and clinically relevant results </w:t>
      </w:r>
      <w:r w:rsidR="000963B5">
        <w:t>are</w:t>
      </w:r>
      <w:proofErr w:type="gramEnd"/>
      <w:r w:rsidRPr="00016F64">
        <w:t xml:space="preserve"> considered sufficient for acceptance of a produ</w:t>
      </w:r>
      <w:r>
        <w:t>ct’s efficacy. Grazax meets these</w:t>
      </w:r>
      <w:r w:rsidRPr="00016F64">
        <w:t xml:space="preserve"> criteria and therefore is recommended for approval for the indication of treatment of allergic rhinitis with or without conjunctivitis.</w:t>
      </w:r>
    </w:p>
    <w:p w14:paraId="4FE91C49" w14:textId="77777777" w:rsidR="00BA7E13" w:rsidRPr="00016F64" w:rsidRDefault="00BA7E13" w:rsidP="00BA7E13">
      <w:r w:rsidRPr="00016F64">
        <w:t>The sponsor is also seeking an indication of disease modifying. It is noted that this was granted in the EU but not in the USA. The EU guideline does not provide much guidance as what evidence is required for a disease modifying claim, the only guidance is that for long-term efficacy and disease modifying effect a “sustained significant and clinically relevant efficacy in post treatment years” is required (EU guideline on Treatment of allergic diseases).</w:t>
      </w:r>
    </w:p>
    <w:p w14:paraId="4FE91C4A" w14:textId="7E2FBE54" w:rsidR="00BA7E13" w:rsidRPr="00016F64" w:rsidRDefault="00BA7E13" w:rsidP="00BA7E13">
      <w:r w:rsidRPr="00016F64">
        <w:t>Only 1 study investigated the long term effect of Grazax, so the dise</w:t>
      </w:r>
      <w:r>
        <w:t>ase modifying claim rests with S</w:t>
      </w:r>
      <w:r w:rsidRPr="00016F64">
        <w:t>tudy GT-08 that treated patients for 3 yea</w:t>
      </w:r>
      <w:r w:rsidR="00AD1BB3">
        <w:t>rs and then followed them for 2 </w:t>
      </w:r>
      <w:r w:rsidRPr="00016F64">
        <w:t xml:space="preserve">years. A sustained significant and clinically relevant effect was seen for the first year but not the second (the rhinoconjunctivitis medication score was not statistically significant). The sponsor argues that the second year (2009) </w:t>
      </w:r>
      <w:r w:rsidR="0082122C">
        <w:t>GPS</w:t>
      </w:r>
      <w:r w:rsidRPr="00016F64">
        <w:t xml:space="preserve"> was significantly milder than the previous seasons and due to the confirmed influence of grass pollen exposure on the symptom and medication scores, this was inevitably influencing the size of the efficacy measurements. However, whatever the reason, the sustained benefit was not present in the second year of follow up. </w:t>
      </w:r>
      <w:proofErr w:type="gramStart"/>
      <w:r w:rsidRPr="00016F64">
        <w:t>This</w:t>
      </w:r>
      <w:r w:rsidR="000963B5">
        <w:t xml:space="preserve"> aspect, together with</w:t>
      </w:r>
      <w:r w:rsidRPr="00016F64">
        <w:t xml:space="preserve"> the variability seen in the other trials, </w:t>
      </w:r>
      <w:r w:rsidR="000963B5">
        <w:t>are</w:t>
      </w:r>
      <w:proofErr w:type="gramEnd"/>
      <w:r w:rsidRPr="00016F64">
        <w:t xml:space="preserve"> not sufficient</w:t>
      </w:r>
      <w:r w:rsidR="000963B5">
        <w:t xml:space="preserve"> enough</w:t>
      </w:r>
      <w:r w:rsidRPr="00016F64">
        <w:t xml:space="preserve"> for a claim of disease modifying.</w:t>
      </w:r>
    </w:p>
    <w:p w14:paraId="4FE91C4B" w14:textId="77777777" w:rsidR="00BA7E13" w:rsidRPr="00016F64" w:rsidRDefault="00BA7E13" w:rsidP="00BA7E13">
      <w:r w:rsidRPr="00016F64">
        <w:lastRenderedPageBreak/>
        <w:t xml:space="preserve">It is noted that the wording of the requested indication is for “grass pollen” allergy without specifying </w:t>
      </w:r>
      <w:r w:rsidR="002D7A68" w:rsidRPr="002D7A68">
        <w:rPr>
          <w:i/>
        </w:rPr>
        <w:t>Phleum pratense</w:t>
      </w:r>
      <w:r w:rsidRPr="00016F64">
        <w:t>. This should be included in the indication to reflect the studies submitted.</w:t>
      </w:r>
    </w:p>
    <w:p w14:paraId="4FE91C4C" w14:textId="77777777" w:rsidR="00BA7E13" w:rsidRPr="00016F64" w:rsidRDefault="00BA7E13" w:rsidP="00BA7E13">
      <w:r w:rsidRPr="00016F64">
        <w:t>It is recommended that the product be approved but for the amended indication:</w:t>
      </w:r>
    </w:p>
    <w:p w14:paraId="4FE91C4D" w14:textId="77777777" w:rsidR="00BA7E13" w:rsidRPr="00AD1BB3" w:rsidRDefault="00BA7E13" w:rsidP="00AD1BB3">
      <w:pPr>
        <w:ind w:left="720"/>
        <w:rPr>
          <w:i/>
        </w:rPr>
      </w:pPr>
      <w:r w:rsidRPr="00726C3F">
        <w:rPr>
          <w:i/>
        </w:rPr>
        <w:t>Grazax is indicated for treatment of Timothy grass (</w:t>
      </w:r>
      <w:r w:rsidR="002D7A68" w:rsidRPr="00726C3F">
        <w:rPr>
          <w:i/>
        </w:rPr>
        <w:t>Phleum pratense</w:t>
      </w:r>
      <w:r w:rsidRPr="00726C3F">
        <w:rPr>
          <w:i/>
        </w:rPr>
        <w:t xml:space="preserve">) pollen allergic rhinitis with or without conjunctivitis in adults, adolescents and children (above the age of 5) with clinically relevant symptoms, confirmed by a positive cutaneous test and/or a positive titre of the specific </w:t>
      </w:r>
      <w:proofErr w:type="spellStart"/>
      <w:r w:rsidRPr="00726C3F">
        <w:rPr>
          <w:i/>
        </w:rPr>
        <w:t>IgE</w:t>
      </w:r>
      <w:proofErr w:type="spellEnd"/>
      <w:r w:rsidRPr="00726C3F">
        <w:rPr>
          <w:i/>
        </w:rPr>
        <w:t xml:space="preserve"> to </w:t>
      </w:r>
      <w:proofErr w:type="spellStart"/>
      <w:r w:rsidR="002D7A68" w:rsidRPr="00726C3F">
        <w:rPr>
          <w:i/>
        </w:rPr>
        <w:t>Phleum</w:t>
      </w:r>
      <w:proofErr w:type="spellEnd"/>
      <w:r w:rsidR="002D7A68" w:rsidRPr="00726C3F">
        <w:rPr>
          <w:i/>
        </w:rPr>
        <w:t xml:space="preserve"> </w:t>
      </w:r>
      <w:proofErr w:type="spellStart"/>
      <w:r w:rsidR="002D7A68" w:rsidRPr="00726C3F">
        <w:rPr>
          <w:i/>
        </w:rPr>
        <w:t>pratense</w:t>
      </w:r>
      <w:proofErr w:type="spellEnd"/>
      <w:r w:rsidR="00AD1BB3" w:rsidRPr="00726C3F">
        <w:rPr>
          <w:i/>
        </w:rPr>
        <w:t>.</w:t>
      </w:r>
    </w:p>
    <w:p w14:paraId="4FE91C4E" w14:textId="77777777" w:rsidR="008E7846" w:rsidRPr="002E238E" w:rsidRDefault="008E7846" w:rsidP="008E7846">
      <w:pPr>
        <w:pStyle w:val="Heading3"/>
      </w:pPr>
      <w:bookmarkStart w:id="138" w:name="_Toc163441378"/>
      <w:bookmarkStart w:id="139" w:name="_Toc196046495"/>
      <w:bookmarkStart w:id="140" w:name="_Toc247691522"/>
      <w:bookmarkStart w:id="141" w:name="_Toc314842505"/>
      <w:bookmarkStart w:id="142" w:name="_Toc511209798"/>
      <w:bookmarkEnd w:id="121"/>
      <w:bookmarkEnd w:id="122"/>
      <w:bookmarkEnd w:id="123"/>
      <w:bookmarkEnd w:id="124"/>
      <w:r w:rsidRPr="002E238E">
        <w:t>Safety</w:t>
      </w:r>
      <w:bookmarkEnd w:id="138"/>
      <w:bookmarkEnd w:id="139"/>
      <w:bookmarkEnd w:id="140"/>
      <w:bookmarkEnd w:id="141"/>
      <w:bookmarkEnd w:id="142"/>
    </w:p>
    <w:p w14:paraId="4FE91C4F" w14:textId="77777777" w:rsidR="00605AD4" w:rsidRDefault="00605AD4" w:rsidP="00605AD4">
      <w:pPr>
        <w:pStyle w:val="Heading4"/>
      </w:pPr>
      <w:bookmarkStart w:id="143" w:name="_Toc247691524"/>
      <w:bookmarkStart w:id="144" w:name="_Toc314842508"/>
      <w:bookmarkStart w:id="145" w:name="_Toc196046504"/>
      <w:bookmarkStart w:id="146" w:name="_Toc163441390"/>
      <w:r w:rsidRPr="00605AD4">
        <w:t>Studies providing safety data</w:t>
      </w:r>
    </w:p>
    <w:p w14:paraId="4FE91C50" w14:textId="77777777" w:rsidR="000A1BF8" w:rsidRPr="00016F64" w:rsidRDefault="000A1BF8" w:rsidP="000A1BF8">
      <w:bookmarkStart w:id="147" w:name="_Ref268776745"/>
      <w:r w:rsidRPr="00016F64">
        <w:t>The following studies provided evaluable safety data:</w:t>
      </w:r>
    </w:p>
    <w:p w14:paraId="4FE91C51" w14:textId="06C33003" w:rsidR="000A1BF8" w:rsidRPr="00016F64" w:rsidRDefault="000A1BF8" w:rsidP="000A1BF8">
      <w:r w:rsidRPr="00016F64">
        <w:t>Pivotal efficacy studies</w:t>
      </w:r>
      <w:bookmarkEnd w:id="147"/>
      <w:r>
        <w:t>;</w:t>
      </w:r>
      <w:r w:rsidRPr="00016F64">
        <w:t xml:space="preserve"> GT-</w:t>
      </w:r>
      <w:r w:rsidR="0005428B">
        <w:t>0</w:t>
      </w:r>
      <w:r w:rsidRPr="00016F64">
        <w:t>8, GT-14 and GT-12</w:t>
      </w:r>
    </w:p>
    <w:p w14:paraId="4FE91C52" w14:textId="77777777" w:rsidR="000A1BF8" w:rsidRPr="00016F64" w:rsidRDefault="000A1BF8" w:rsidP="000A1BF8">
      <w:r w:rsidRPr="00016F64">
        <w:t>In the pivotal efficacy studies, the following safety data were collected:</w:t>
      </w:r>
    </w:p>
    <w:p w14:paraId="4FE91C53" w14:textId="77777777" w:rsidR="000A1BF8" w:rsidRPr="000A1BF8" w:rsidRDefault="001A1402" w:rsidP="000A1BF8">
      <w:pPr>
        <w:pStyle w:val="ListBullet"/>
      </w:pPr>
      <w:r>
        <w:t>General AEs</w:t>
      </w:r>
      <w:r w:rsidR="000A1BF8" w:rsidRPr="000A1BF8">
        <w:t xml:space="preserve"> were assessed by recording all AEs reported by the subjects and also which were not spontaneously reported by the subject, but were elicited by asking a non-leading question such as “How are you feeling?”</w:t>
      </w:r>
    </w:p>
    <w:p w14:paraId="4FE91C54" w14:textId="5DAC7521" w:rsidR="000A1BF8" w:rsidRPr="000A1BF8" w:rsidRDefault="000A1BF8" w:rsidP="000A1BF8">
      <w:pPr>
        <w:pStyle w:val="ListBullet"/>
      </w:pPr>
      <w:r w:rsidRPr="000A1BF8">
        <w:t>AEs of particular interest were not identified Laboratory tests, including routine haematology, blood chemistry and urinalysis were performed at baseline and at end of treatment (</w:t>
      </w:r>
      <w:r w:rsidR="0028468D">
        <w:t xml:space="preserve">approximately </w:t>
      </w:r>
      <w:r w:rsidRPr="000A1BF8">
        <w:t>1 week after end of GPS) and any unscheduled visits</w:t>
      </w:r>
    </w:p>
    <w:p w14:paraId="4FE91C55" w14:textId="42654675" w:rsidR="000A1BF8" w:rsidRPr="000A1BF8" w:rsidRDefault="000A1BF8" w:rsidP="000A1BF8">
      <w:pPr>
        <w:pStyle w:val="ListBullet"/>
      </w:pPr>
      <w:r w:rsidRPr="000A1BF8">
        <w:t>Vital signs (blood pressure and heart rate) and physical examination including the standard questioning and tests (general appearance, head (oral inspection, ears, eyes, nose and throat), respiratory [auscultation/stethoscopy examination of the lungs], heart [auscultation/stethoscopy of the heart], lymph nodes and skin) was performed at baseline and at end of treatment (</w:t>
      </w:r>
      <w:r w:rsidR="0028468D">
        <w:t xml:space="preserve">approximately </w:t>
      </w:r>
      <w:r w:rsidRPr="000A1BF8">
        <w:t>1 week after end of GPS) and any unscheduled visits</w:t>
      </w:r>
    </w:p>
    <w:p w14:paraId="4FE91C56" w14:textId="19518117" w:rsidR="000A1BF8" w:rsidRPr="000A1BF8" w:rsidRDefault="000A1BF8" w:rsidP="000A1BF8">
      <w:pPr>
        <w:pStyle w:val="ListBullet"/>
      </w:pPr>
      <w:r w:rsidRPr="000A1BF8">
        <w:t>FEV1 was performed at baseline and at end of treatment (</w:t>
      </w:r>
      <w:r w:rsidR="0028468D">
        <w:t xml:space="preserve">approximately </w:t>
      </w:r>
      <w:r w:rsidRPr="000A1BF8">
        <w:t>1 week after end of GPS) and any unscheduled visits</w:t>
      </w:r>
    </w:p>
    <w:p w14:paraId="4FE91C57" w14:textId="77777777" w:rsidR="00605AD4" w:rsidRDefault="00605AD4" w:rsidP="00605AD4">
      <w:pPr>
        <w:pStyle w:val="Heading4"/>
      </w:pPr>
      <w:r w:rsidRPr="00605AD4">
        <w:t>Patient exposure</w:t>
      </w:r>
    </w:p>
    <w:p w14:paraId="4FE91C58" w14:textId="66D20BF8" w:rsidR="000A1BF8" w:rsidRPr="00016F64" w:rsidRDefault="000A1BF8" w:rsidP="000A1BF8">
      <w:pPr>
        <w:pStyle w:val="Tabletitle0"/>
      </w:pPr>
      <w:bookmarkStart w:id="148" w:name="_Toc462582016"/>
      <w:r w:rsidRPr="00016F64">
        <w:t xml:space="preserve">Table </w:t>
      </w:r>
      <w:r w:rsidR="00500CC2">
        <w:t>6</w:t>
      </w:r>
      <w:r>
        <w:t xml:space="preserve">: </w:t>
      </w:r>
      <w:r w:rsidRPr="00016F64">
        <w:t>Patient exposure by dose</w:t>
      </w:r>
      <w:bookmarkEnd w:id="148"/>
    </w:p>
    <w:p w14:paraId="4FE91C59" w14:textId="77777777" w:rsidR="000A1BF8" w:rsidRDefault="000A1BF8" w:rsidP="000A1BF8">
      <w:r>
        <w:rPr>
          <w:noProof/>
          <w:lang w:eastAsia="en-AU"/>
        </w:rPr>
        <w:drawing>
          <wp:inline distT="0" distB="0" distL="0" distR="0" wp14:anchorId="4FE91EF3" wp14:editId="6006704D">
            <wp:extent cx="5400040" cy="2707520"/>
            <wp:effectExtent l="0" t="0" r="0" b="0"/>
            <wp:docPr id="24" name="Picture 24" descr="Table 6: Patient exposure by d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00040" cy="2707520"/>
                    </a:xfrm>
                    <a:prstGeom prst="rect">
                      <a:avLst/>
                    </a:prstGeom>
                  </pic:spPr>
                </pic:pic>
              </a:graphicData>
            </a:graphic>
          </wp:inline>
        </w:drawing>
      </w:r>
    </w:p>
    <w:p w14:paraId="4FE91C5A" w14:textId="23222746" w:rsidR="000A1BF8" w:rsidRPr="009928FC" w:rsidRDefault="002C4BA2" w:rsidP="000A1BF8">
      <w:pPr>
        <w:pStyle w:val="Tabletitle0"/>
      </w:pPr>
      <w:bookmarkStart w:id="149" w:name="_Toc462582017"/>
      <w:r>
        <w:lastRenderedPageBreak/>
        <w:t xml:space="preserve">Table </w:t>
      </w:r>
      <w:r w:rsidR="00500CC2">
        <w:t>7</w:t>
      </w:r>
      <w:r w:rsidR="000A1BF8">
        <w:t>: E</w:t>
      </w:r>
      <w:r w:rsidR="000A1BF8" w:rsidRPr="009928FC">
        <w:t xml:space="preserve">xtent of exposure to </w:t>
      </w:r>
      <w:r w:rsidR="000A1BF8">
        <w:t>G</w:t>
      </w:r>
      <w:r w:rsidR="000A1BF8" w:rsidRPr="009928FC">
        <w:t>razax by duration</w:t>
      </w:r>
      <w:bookmarkEnd w:id="149"/>
    </w:p>
    <w:p w14:paraId="4FE91C5B" w14:textId="77777777" w:rsidR="000A1BF8" w:rsidRDefault="000A1BF8" w:rsidP="000A1BF8">
      <w:r>
        <w:rPr>
          <w:noProof/>
          <w:lang w:eastAsia="en-AU"/>
        </w:rPr>
        <w:drawing>
          <wp:inline distT="0" distB="0" distL="0" distR="0" wp14:anchorId="4FE91EF5" wp14:editId="21DF8E1A">
            <wp:extent cx="5400040" cy="1151547"/>
            <wp:effectExtent l="0" t="0" r="0" b="0"/>
            <wp:docPr id="25" name="Picture 25" descr="Table 7: Extent of exposure to Grazax by 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00040" cy="1151547"/>
                    </a:xfrm>
                    <a:prstGeom prst="rect">
                      <a:avLst/>
                    </a:prstGeom>
                  </pic:spPr>
                </pic:pic>
              </a:graphicData>
            </a:graphic>
          </wp:inline>
        </w:drawing>
      </w:r>
    </w:p>
    <w:p w14:paraId="4FE91C5C" w14:textId="352EF1E4" w:rsidR="000A1BF8" w:rsidRPr="003E4680" w:rsidRDefault="002C4BA2" w:rsidP="000A1BF8">
      <w:pPr>
        <w:pStyle w:val="Tabletitle0"/>
      </w:pPr>
      <w:bookmarkStart w:id="150" w:name="_Toc462582018"/>
      <w:r>
        <w:t xml:space="preserve">Table </w:t>
      </w:r>
      <w:r w:rsidR="00500CC2">
        <w:t>8</w:t>
      </w:r>
      <w:r w:rsidR="000A1BF8">
        <w:t xml:space="preserve">: </w:t>
      </w:r>
      <w:r w:rsidR="000A1BF8" w:rsidRPr="003E4680">
        <w:t>Exposure to 75,000 SQ-T by age group and gender</w:t>
      </w:r>
      <w:bookmarkEnd w:id="150"/>
    </w:p>
    <w:p w14:paraId="4FE91C5D" w14:textId="77777777" w:rsidR="000A1BF8" w:rsidRDefault="000A1BF8" w:rsidP="000A1BF8">
      <w:r>
        <w:rPr>
          <w:noProof/>
          <w:lang w:eastAsia="en-AU"/>
        </w:rPr>
        <w:drawing>
          <wp:inline distT="0" distB="0" distL="0" distR="0" wp14:anchorId="4FE91EF7" wp14:editId="6C62D91A">
            <wp:extent cx="5400040" cy="1154432"/>
            <wp:effectExtent l="0" t="0" r="0" b="7620"/>
            <wp:docPr id="26" name="Picture 26" descr="Table 8: Exposure to 75,000 SQ-T by age group and g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00040" cy="1154432"/>
                    </a:xfrm>
                    <a:prstGeom prst="rect">
                      <a:avLst/>
                    </a:prstGeom>
                  </pic:spPr>
                </pic:pic>
              </a:graphicData>
            </a:graphic>
          </wp:inline>
        </w:drawing>
      </w:r>
    </w:p>
    <w:p w14:paraId="4FE91C5E" w14:textId="65028C7F" w:rsidR="000A1BF8" w:rsidRPr="009928FC" w:rsidRDefault="002C4BA2" w:rsidP="000A1BF8">
      <w:pPr>
        <w:pStyle w:val="Tabletitle0"/>
      </w:pPr>
      <w:bookmarkStart w:id="151" w:name="_Toc462582019"/>
      <w:r>
        <w:t xml:space="preserve">Table </w:t>
      </w:r>
      <w:r w:rsidR="00500CC2">
        <w:t>9</w:t>
      </w:r>
      <w:r w:rsidR="000A1BF8">
        <w:t xml:space="preserve">: </w:t>
      </w:r>
      <w:r w:rsidR="000A1BF8" w:rsidRPr="009928FC">
        <w:t>Exposure to 75,000 SQ-T by ethnic or racial origin</w:t>
      </w:r>
      <w:bookmarkEnd w:id="151"/>
    </w:p>
    <w:p w14:paraId="4FE91C5F" w14:textId="77777777" w:rsidR="000A1BF8" w:rsidRPr="000A1BF8" w:rsidRDefault="000A1BF8" w:rsidP="000A1BF8">
      <w:r>
        <w:rPr>
          <w:noProof/>
          <w:lang w:eastAsia="en-AU"/>
        </w:rPr>
        <w:drawing>
          <wp:inline distT="0" distB="0" distL="0" distR="0" wp14:anchorId="4FE91EF9" wp14:editId="11C61AFD">
            <wp:extent cx="5400040" cy="3026561"/>
            <wp:effectExtent l="0" t="0" r="0" b="2540"/>
            <wp:docPr id="27" name="Picture 27" descr="Table 9: Exposure to 75,000 SQ-T by ethnic or racial ori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00040" cy="3026561"/>
                    </a:xfrm>
                    <a:prstGeom prst="rect">
                      <a:avLst/>
                    </a:prstGeom>
                  </pic:spPr>
                </pic:pic>
              </a:graphicData>
            </a:graphic>
          </wp:inline>
        </w:drawing>
      </w:r>
    </w:p>
    <w:p w14:paraId="4FE91C60" w14:textId="77777777" w:rsidR="00605AD4" w:rsidRDefault="00605AD4" w:rsidP="00605AD4">
      <w:pPr>
        <w:pStyle w:val="Heading4"/>
      </w:pPr>
      <w:r w:rsidRPr="00605AD4">
        <w:t>Safety issues with the potential for major regulatory impact</w:t>
      </w:r>
    </w:p>
    <w:p w14:paraId="4FE91C61" w14:textId="77777777" w:rsidR="000A1BF8" w:rsidRPr="005C1F6B" w:rsidRDefault="000A1BF8" w:rsidP="002C4BA2">
      <w:pPr>
        <w:pStyle w:val="Heading5"/>
      </w:pPr>
      <w:bookmarkStart w:id="152" w:name="_Toc449426963"/>
      <w:r w:rsidRPr="005C1F6B">
        <w:t>Systemic allergic reactions</w:t>
      </w:r>
      <w:bookmarkEnd w:id="152"/>
    </w:p>
    <w:p w14:paraId="4FE91C62" w14:textId="77777777" w:rsidR="000A1BF8" w:rsidRPr="005C1F6B" w:rsidRDefault="000A1BF8" w:rsidP="000A1BF8">
      <w:r w:rsidRPr="005C1F6B">
        <w:t>Systemic allergic reactions are well known in relation to immunotherapy. Systemic</w:t>
      </w:r>
      <w:r>
        <w:t xml:space="preserve"> reaction may occur in 2 forms;</w:t>
      </w:r>
      <w:r w:rsidR="00AD1BB3">
        <w:t xml:space="preserve"> non life </w:t>
      </w:r>
      <w:r w:rsidRPr="005C1F6B">
        <w:t>threatening systemic allergic reaction (also called anaphylactic reactions) and the more severe condition anaphylactic shock. The definition of the 2 types of systemic reactions is different in various publications and guideline documents. Experience with sublingual immunotherapy has suggested a more favourable safety profile compared to subcutaneous immunotherapy. Sublingual immunotherapy is characterised by frequent but mild local reactions (located in the mouth and throat), and rare systemic reactions.</w:t>
      </w:r>
    </w:p>
    <w:p w14:paraId="4FE91C63" w14:textId="77777777" w:rsidR="000A1BF8" w:rsidRPr="005C1F6B" w:rsidRDefault="000A1BF8" w:rsidP="000A1BF8">
      <w:r w:rsidRPr="005C1F6B">
        <w:t xml:space="preserve">Delayed systemic reactions (most frequently urticaria and mild asthma and/or rhinoconjunctivitis) may develop after several hours or within the first day or 2 have also been reported during the use of sublingual immunotherapy, but they are not common and </w:t>
      </w:r>
      <w:r w:rsidRPr="005C1F6B">
        <w:lastRenderedPageBreak/>
        <w:t>some of these delayed reactions may be symptoms of a subject’s underlying allergic disorder.</w:t>
      </w:r>
    </w:p>
    <w:p w14:paraId="4FE91C64" w14:textId="77777777" w:rsidR="000A1BF8" w:rsidRPr="005C1F6B" w:rsidRDefault="000A1BF8" w:rsidP="000A1BF8">
      <w:r w:rsidRPr="005C1F6B">
        <w:t>In the clinical trials with Grazax, systemic allergic reactions as such were not reported; however some symptoms consistent with systemic reactions were reported.</w:t>
      </w:r>
    </w:p>
    <w:p w14:paraId="4FE91C65" w14:textId="698EFBD7" w:rsidR="000A1BF8" w:rsidRPr="005C1F6B" w:rsidRDefault="000A1BF8" w:rsidP="000A1BF8">
      <w:r w:rsidRPr="005C1F6B">
        <w:t xml:space="preserve">One case of urticaria led to withdrawal in </w:t>
      </w:r>
      <w:r>
        <w:t>Study</w:t>
      </w:r>
      <w:r w:rsidRPr="005C1F6B">
        <w:t xml:space="preserve"> GT-02 and would usually be considered a significant systemic reaction. However, the number of subjects reporting urticaria during the trial was similar between treatment groups including placebo. The same pattern was observed in </w:t>
      </w:r>
      <w:r>
        <w:t>Study</w:t>
      </w:r>
      <w:r w:rsidRPr="005C1F6B">
        <w:t xml:space="preserve"> GT-08 (1st year), where similar numbers of subjects (</w:t>
      </w:r>
      <w:r w:rsidR="0028468D">
        <w:t xml:space="preserve">approximately </w:t>
      </w:r>
      <w:r w:rsidRPr="005C1F6B">
        <w:t xml:space="preserve">1%) with urticaria were observed between treatment groups. None of the events led to withdrawal. In </w:t>
      </w:r>
      <w:r>
        <w:t>Study</w:t>
      </w:r>
      <w:r w:rsidRPr="005C1F6B">
        <w:t xml:space="preserve"> GT-10 </w:t>
      </w:r>
      <w:r w:rsidR="0028468D">
        <w:t xml:space="preserve">approximately </w:t>
      </w:r>
      <w:r w:rsidRPr="005C1F6B">
        <w:t>1% of subjects reported urticaria. Only 1 of these events (mild localised urticaria in mouth) led to withdrawal.</w:t>
      </w:r>
    </w:p>
    <w:p w14:paraId="4FE91C66" w14:textId="77777777" w:rsidR="000A1BF8" w:rsidRPr="005C1F6B" w:rsidRDefault="000A1BF8" w:rsidP="000A1BF8">
      <w:r w:rsidRPr="005C1F6B">
        <w:t xml:space="preserve">During the GT-14 trial in the US, 3 </w:t>
      </w:r>
      <w:r w:rsidR="004C74AA">
        <w:t>non serious</w:t>
      </w:r>
      <w:r w:rsidRPr="005C1F6B">
        <w:t xml:space="preserve"> significant AEs occurred (all in the Grazax group, all assessed as related to treatment) which were treated with adrenaline although none of the events included signs of hypotension. All subjects recovered from the events.</w:t>
      </w:r>
    </w:p>
    <w:p w14:paraId="4FE91C67" w14:textId="77777777" w:rsidR="000A1BF8" w:rsidRPr="005C1F6B" w:rsidRDefault="000A1BF8" w:rsidP="000A1BF8">
      <w:r>
        <w:t>One</w:t>
      </w:r>
      <w:r w:rsidRPr="005C1F6B">
        <w:t xml:space="preserve"> subject experienced a moderate (investigator’s assessment) systemic allergic reaction about 5 minutes after first intake (swelling of lips, itchy mouth, tongue and throat and dysphagia, but no abnormalities in the oral examination). </w:t>
      </w:r>
      <w:r>
        <w:t>Ten</w:t>
      </w:r>
      <w:r w:rsidRPr="005C1F6B">
        <w:t xml:space="preserve"> minutes after first symptom onset the subject was treated with 0.2 ml adrenaline SC. and 10 mg cetirizine PO.</w:t>
      </w:r>
    </w:p>
    <w:p w14:paraId="4FE91C68" w14:textId="77777777" w:rsidR="000A1BF8" w:rsidRPr="005C1F6B" w:rsidRDefault="000A1BF8" w:rsidP="000A1BF8">
      <w:r>
        <w:t>One</w:t>
      </w:r>
      <w:r w:rsidRPr="005C1F6B">
        <w:t xml:space="preserve"> subject experienced itchy throat, itchy mouth, dry cough and one hive on left side of lower lip immediately after first intake. Furthermore, uvula was reported as being red. 20 mg of loratadine and 0.3 mg </w:t>
      </w:r>
      <w:r>
        <w:t xml:space="preserve">adrenaline </w:t>
      </w:r>
      <w:r w:rsidR="00530C71">
        <w:rPr>
          <w:rFonts w:cs="Arial"/>
        </w:rPr>
        <w:t>intramuscular</w:t>
      </w:r>
      <w:r w:rsidR="00530C71">
        <w:t xml:space="preserve"> (</w:t>
      </w:r>
      <w:r>
        <w:t>IM</w:t>
      </w:r>
      <w:r w:rsidR="00530C71">
        <w:t>)</w:t>
      </w:r>
      <w:r>
        <w:t xml:space="preserve"> was administered.</w:t>
      </w:r>
    </w:p>
    <w:p w14:paraId="4FE91C69" w14:textId="77777777" w:rsidR="000A1BF8" w:rsidRPr="005C1F6B" w:rsidRDefault="000A1BF8" w:rsidP="000A1BF8">
      <w:r>
        <w:t>One</w:t>
      </w:r>
      <w:r w:rsidRPr="005C1F6B">
        <w:t xml:space="preserve"> subject experienced a systemic allergic reaction 6 minutes after first intake, described as mild by investigator. Symptoms included itching under the tongue, throat, ears and nose, sneezing, rhinorrhoea, throat irritation. The subject was treated with 0.3 mg adrenaline SC and 20 mg loratadine PO. The next day the subject experienced another episode of anaphylactic reaction. No treatment was instigated due to the second event and the subject continued in the trial.</w:t>
      </w:r>
    </w:p>
    <w:p w14:paraId="4FE91C6A" w14:textId="2BC8C1BF" w:rsidR="000A1BF8" w:rsidRPr="005C1F6B" w:rsidRDefault="000A1BF8" w:rsidP="000A1BF8">
      <w:r w:rsidRPr="005C1F6B">
        <w:t xml:space="preserve">During </w:t>
      </w:r>
      <w:r>
        <w:t>Study</w:t>
      </w:r>
      <w:r w:rsidRPr="005C1F6B">
        <w:t xml:space="preserve"> P05238 2 subjects were treated with 0.3 mg adrenaline. One of the administrations was due to an adverse reaction to </w:t>
      </w:r>
      <w:r w:rsidR="00530C71">
        <w:t xml:space="preserve">the </w:t>
      </w:r>
      <w:r w:rsidR="00530C71">
        <w:rPr>
          <w:rFonts w:cs="Arial"/>
        </w:rPr>
        <w:t>investigational medical product</w:t>
      </w:r>
      <w:r w:rsidR="00530C71">
        <w:t> (</w:t>
      </w:r>
      <w:r w:rsidRPr="005C1F6B">
        <w:t>IMP</w:t>
      </w:r>
      <w:r w:rsidR="00530C71">
        <w:t>)</w:t>
      </w:r>
      <w:r w:rsidRPr="005C1F6B">
        <w:t xml:space="preserve"> (dysphagia, uvular oedema </w:t>
      </w:r>
      <w:r w:rsidR="0016562F">
        <w:t xml:space="preserve">and </w:t>
      </w:r>
      <w:r w:rsidRPr="005C1F6B">
        <w:t>pharyngeal oedema) that occurred following the first administration of the tablet under the care of the investigator (Grazax group). The event was categorised as mild in severity by the investigator. The other administration was given inappropriately for an anxiety event unrelated to IMP (placebo group).</w:t>
      </w:r>
    </w:p>
    <w:p w14:paraId="4FE91C6B" w14:textId="77777777" w:rsidR="000A1BF8" w:rsidRPr="005C1F6B" w:rsidRDefault="000A1BF8" w:rsidP="000A1BF8">
      <w:r w:rsidRPr="005C1F6B">
        <w:t xml:space="preserve">During </w:t>
      </w:r>
      <w:r>
        <w:t>Study</w:t>
      </w:r>
      <w:r w:rsidRPr="005C1F6B">
        <w:t xml:space="preserve"> P05239, 3 subjects received adrenaline at </w:t>
      </w:r>
      <w:r>
        <w:t>Day 1, Day 23, and Day 137. On D</w:t>
      </w:r>
      <w:r w:rsidRPr="005C1F6B">
        <w:t>ay 1 the administrations was given in response to an adverse reaction to the IMP (Grazax group). The subject developed lip angioedema, slight dysphagia due to the sensation of a lump in the throat, and intermittent cough within minutes following the first IMP administration. The symptoms resolved within minutes after adrenaline administration (0.3 mg IM). The investigator graded this event as moderate in severity. The other administration (0.3 mg IM) was received for viral pharyngitis in an emergency department on Day 23, where adrenaline administration was not indicated (or medically appropriate) (Grazax group). The third adrenaline administration (0.15 mg IM) on Day 137 was in response to wheezing and suprasternal notch chest retraction (placebo group). The investigator graded the event as moderate in severity and unrelated to IMP.</w:t>
      </w:r>
    </w:p>
    <w:p w14:paraId="4FE91C6C" w14:textId="2D605BC5" w:rsidR="000A1BF8" w:rsidRPr="000A1BF8" w:rsidRDefault="000A1BF8" w:rsidP="000A1BF8">
      <w:r w:rsidRPr="005C1F6B">
        <w:t xml:space="preserve">Eight of 43 subjects (19%) in </w:t>
      </w:r>
      <w:r>
        <w:t>Study</w:t>
      </w:r>
      <w:r w:rsidRPr="005C1F6B">
        <w:t xml:space="preserve"> GT-04 reported a total of 16 </w:t>
      </w:r>
      <w:r>
        <w:t>treatment related</w:t>
      </w:r>
      <w:r w:rsidRPr="005C1F6B">
        <w:t xml:space="preserve"> AEs that could indicate changes in asthma symptoms and in </w:t>
      </w:r>
      <w:r>
        <w:t>Study</w:t>
      </w:r>
      <w:r w:rsidRPr="005C1F6B">
        <w:t xml:space="preserve"> GT-07, 26 of 114 subjects (23%) reported a total of 36 AEs related to asthma. All subjects included in the 2 trials suffered from mild to moderate grass pollen induced asthma </w:t>
      </w:r>
      <w:proofErr w:type="spellStart"/>
      <w:r w:rsidRPr="005C1F6B">
        <w:t>and</w:t>
      </w:r>
      <w:r w:rsidR="00D2159C">
        <w:t>t</w:t>
      </w:r>
      <w:r w:rsidRPr="005C1F6B">
        <w:t>here</w:t>
      </w:r>
      <w:proofErr w:type="spellEnd"/>
      <w:r w:rsidRPr="005C1F6B">
        <w:t xml:space="preserve"> were no obvious </w:t>
      </w:r>
      <w:r w:rsidRPr="005C1F6B">
        <w:lastRenderedPageBreak/>
        <w:t>differences between treatment groups in numbers or frequency of AEs and no indications of asthma aggravation in actively treated subjects compared to placebo.</w:t>
      </w:r>
    </w:p>
    <w:p w14:paraId="4FE91C6D" w14:textId="77777777" w:rsidR="00605AD4" w:rsidRDefault="00F31124" w:rsidP="00605AD4">
      <w:pPr>
        <w:pStyle w:val="Heading4"/>
      </w:pPr>
      <w:r w:rsidRPr="00605AD4">
        <w:t>Post marketing</w:t>
      </w:r>
      <w:r w:rsidR="00605AD4" w:rsidRPr="00605AD4">
        <w:t xml:space="preserve"> data</w:t>
      </w:r>
    </w:p>
    <w:p w14:paraId="4FE91C6E" w14:textId="77777777" w:rsidR="000A1BF8" w:rsidRPr="005C1F6B" w:rsidRDefault="000A1BF8" w:rsidP="000A1BF8">
      <w:r w:rsidRPr="005C1F6B">
        <w:t xml:space="preserve">Grazax was first approved on 14 </w:t>
      </w:r>
      <w:r w:rsidR="00EB112B">
        <w:t>March</w:t>
      </w:r>
      <w:r w:rsidRPr="005C1F6B">
        <w:t xml:space="preserve"> 2006 in Sweden. Subsequently, approval was granted for the 32 countries including most of Europe and the USA. The manufacturer (ALK) has withdrawn the </w:t>
      </w:r>
      <w:r>
        <w:t>marketing authorisation</w:t>
      </w:r>
      <w:r w:rsidRPr="005C1F6B">
        <w:t xml:space="preserve"> in 8 countries: Bulgaria, Cyprus, Estonia, Hungary, Latvia, Lithuania, Malta and Romania due to commercial reasons.</w:t>
      </w:r>
    </w:p>
    <w:p w14:paraId="4FE91C6F" w14:textId="77777777" w:rsidR="000A1BF8" w:rsidRPr="005C1F6B" w:rsidRDefault="000A1BF8" w:rsidP="000A1BF8">
      <w:r w:rsidRPr="005C1F6B">
        <w:t>The cumulative patient exp</w:t>
      </w:r>
      <w:r w:rsidR="00AD1BB3">
        <w:t xml:space="preserve">osure from post-marketing to 24 </w:t>
      </w:r>
      <w:r w:rsidRPr="005C1F6B">
        <w:t>Jun</w:t>
      </w:r>
      <w:r w:rsidR="00AD1BB3">
        <w:t xml:space="preserve">e </w:t>
      </w:r>
      <w:r w:rsidRPr="005C1F6B">
        <w:t xml:space="preserve">2015 is estimated to be 211,119 treatment years. The sponsor has submitted </w:t>
      </w:r>
      <w:r w:rsidRPr="00EB112B">
        <w:t>13 PSURs in</w:t>
      </w:r>
      <w:r w:rsidRPr="005C1F6B">
        <w:t xml:space="preserve"> Europe but only 2 were included in the submission in Australia (covering time frame 25 June 2014 to June 2015).</w:t>
      </w:r>
    </w:p>
    <w:p w14:paraId="4FE91C70" w14:textId="77777777" w:rsidR="000A1BF8" w:rsidRPr="005C1F6B" w:rsidRDefault="000A1BF8" w:rsidP="000A1BF8">
      <w:r w:rsidRPr="005C1F6B">
        <w:t xml:space="preserve">The sponsor states that overall, the experience gained from post-marketing use of Grazax is in general similar to what has been identified in completed clinical trials and/or what is expected for sublingual immunotherapy. The following adverse drug reactions have been added to the current EU approved </w:t>
      </w:r>
      <w:r w:rsidR="00425CD4">
        <w:rPr>
          <w:rFonts w:cs="Arial"/>
        </w:rPr>
        <w:t>summary of product characteristics</w:t>
      </w:r>
      <w:r w:rsidR="00425CD4" w:rsidRPr="005C1F6B">
        <w:t xml:space="preserve"> </w:t>
      </w:r>
      <w:r w:rsidR="00425CD4">
        <w:t>(</w:t>
      </w:r>
      <w:proofErr w:type="spellStart"/>
      <w:r w:rsidRPr="005C1F6B">
        <w:t>SmPC</w:t>
      </w:r>
      <w:proofErr w:type="spellEnd"/>
      <w:r w:rsidR="00425CD4">
        <w:t>)</w:t>
      </w:r>
      <w:r w:rsidRPr="005C1F6B">
        <w:t xml:space="preserve"> from spontaneous reports post-marketing:</w:t>
      </w:r>
    </w:p>
    <w:p w14:paraId="4FE91C71" w14:textId="77777777" w:rsidR="000A1BF8" w:rsidRPr="000A1BF8" w:rsidRDefault="000A1BF8" w:rsidP="000A1BF8">
      <w:pPr>
        <w:pStyle w:val="ListBullet"/>
      </w:pPr>
      <w:r w:rsidRPr="000A1BF8">
        <w:t>19 Jan</w:t>
      </w:r>
      <w:r w:rsidR="00AD1BB3">
        <w:t>uary</w:t>
      </w:r>
      <w:r w:rsidRPr="000A1BF8">
        <w:t xml:space="preserve"> 2009: Events of 'Palpitations' and 'Hypotension' added based on reports received post marketing</w:t>
      </w:r>
    </w:p>
    <w:p w14:paraId="4FE91C72" w14:textId="77777777" w:rsidR="000A1BF8" w:rsidRPr="000A1BF8" w:rsidRDefault="000A1BF8" w:rsidP="000A1BF8">
      <w:pPr>
        <w:pStyle w:val="ListBullet"/>
      </w:pPr>
      <w:r w:rsidRPr="000A1BF8">
        <w:t>25 Jun</w:t>
      </w:r>
      <w:r w:rsidR="00AD1BB3">
        <w:t>e</w:t>
      </w:r>
      <w:r w:rsidRPr="000A1BF8">
        <w:t xml:space="preserve"> 2015: Events of 'Eosinophilic oesophagitis' added based on reports received post marketing</w:t>
      </w:r>
    </w:p>
    <w:p w14:paraId="4FE91C73" w14:textId="77777777" w:rsidR="000A1BF8" w:rsidRPr="000A1BF8" w:rsidRDefault="000A1BF8" w:rsidP="000A1BF8">
      <w:pPr>
        <w:pStyle w:val="ListBullet"/>
      </w:pPr>
      <w:r w:rsidRPr="000A1BF8">
        <w:t>30 Jul</w:t>
      </w:r>
      <w:r w:rsidR="00AD1BB3">
        <w:t>y</w:t>
      </w:r>
      <w:r w:rsidRPr="000A1BF8">
        <w:t xml:space="preserve"> 2015: 'Systemic allergic reactions' changed to 'Anaphylactic reactions' based on a single case of anaphylactic shock reported post marketing.</w:t>
      </w:r>
    </w:p>
    <w:p w14:paraId="4FE91C74" w14:textId="77777777" w:rsidR="000A1BF8" w:rsidRPr="000A1BF8" w:rsidRDefault="000A1BF8" w:rsidP="000A1BF8">
      <w:r w:rsidRPr="005C1F6B">
        <w:t>No safety issues have been identified post-marketing which is considered to impact the overall benefit-risk profile of Grazax.</w:t>
      </w:r>
    </w:p>
    <w:p w14:paraId="4FE91C75" w14:textId="77777777" w:rsidR="00605AD4" w:rsidRPr="00605AD4" w:rsidRDefault="00605AD4" w:rsidP="00605AD4">
      <w:pPr>
        <w:pStyle w:val="Heading4"/>
      </w:pPr>
      <w:r w:rsidRPr="00605AD4">
        <w:t>Evaluator’s conclusions on safety</w:t>
      </w:r>
    </w:p>
    <w:p w14:paraId="4FE91C76" w14:textId="77777777" w:rsidR="000A1BF8" w:rsidRPr="005C1F6B" w:rsidRDefault="000A1BF8" w:rsidP="000A1BF8">
      <w:r w:rsidRPr="005C1F6B">
        <w:t>The total number of subjects exposed to Grazax in the clinical development program was 2,482. Overall, 72% of subjects receiving Grazax reported treatment related AEs. These AEs were primarily reported during the first 3 months of treatment (56% reported AEs within the first 3 months of treatment).</w:t>
      </w:r>
    </w:p>
    <w:p w14:paraId="4FE91C77" w14:textId="69DBF140" w:rsidR="000A1BF8" w:rsidRPr="005C1F6B" w:rsidRDefault="000A1BF8" w:rsidP="000A1BF8">
      <w:r w:rsidRPr="005C1F6B">
        <w:t>Oral pruritus was the most frequently reported related AE, experienced by 30% of the subjects treated with Grazax. Throat irritation, mouth oedema and ear pruritus were a</w:t>
      </w:r>
      <w:r>
        <w:t xml:space="preserve">lso frequently reported (by 8 to </w:t>
      </w:r>
      <w:r w:rsidRPr="005C1F6B">
        <w:t xml:space="preserve">16% of the subjects treated with </w:t>
      </w:r>
      <w:r w:rsidR="008B4CBA" w:rsidRPr="005C1F6B">
        <w:t>Grazax</w:t>
      </w:r>
      <w:r w:rsidRPr="005C1F6B">
        <w:t>). These side effects</w:t>
      </w:r>
      <w:r w:rsidR="00FE52E5">
        <w:t xml:space="preserve"> </w:t>
      </w:r>
      <w:r w:rsidR="008B4CBA">
        <w:t>may be sufficiently bothersome to lead to discontinuation of therapy</w:t>
      </w:r>
      <w:r w:rsidRPr="005C1F6B">
        <w:t>.</w:t>
      </w:r>
    </w:p>
    <w:p w14:paraId="4FE91C78" w14:textId="77777777" w:rsidR="000A1BF8" w:rsidRPr="005C1F6B" w:rsidRDefault="000A1BF8" w:rsidP="000A1BF8">
      <w:r w:rsidRPr="005C1F6B">
        <w:t xml:space="preserve">In </w:t>
      </w:r>
      <w:r>
        <w:t>Study</w:t>
      </w:r>
      <w:r w:rsidRPr="005C1F6B">
        <w:t xml:space="preserve"> GT-19 which used antihistamines in addition to Grazax there was no statistically significant difference in the number of subjects reporting local allergic reactions when treated with antihistamine or placebo antihistamine.</w:t>
      </w:r>
    </w:p>
    <w:p w14:paraId="4FE91C79" w14:textId="15D0FC10" w:rsidR="00605AD4" w:rsidRPr="00605AD4" w:rsidRDefault="000A1BF8" w:rsidP="00605AD4">
      <w:r w:rsidRPr="005C1F6B">
        <w:t>Systemic allergic reactions were uncommon but did occur during the studies. No</w:t>
      </w:r>
      <w:r w:rsidR="00FE52E5">
        <w:t xml:space="preserve"> </w:t>
      </w:r>
      <w:r w:rsidR="00B260D2" w:rsidRPr="00B260D2">
        <w:t>anaphylactic shock</w:t>
      </w:r>
      <w:r w:rsidR="00B260D2" w:rsidRPr="00B260D2" w:rsidDel="00C6414E">
        <w:t xml:space="preserve"> </w:t>
      </w:r>
      <w:r w:rsidRPr="005C1F6B">
        <w:t>was reported in any of the clinical studies but has been reported as a spontaneous post marketing event.</w:t>
      </w:r>
    </w:p>
    <w:p w14:paraId="4FE91C7A" w14:textId="77777777" w:rsidR="00605AD4" w:rsidRPr="00605AD4" w:rsidRDefault="00605AD4" w:rsidP="00605AD4">
      <w:pPr>
        <w:pStyle w:val="Heading3"/>
        <w:rPr>
          <w:rFonts w:eastAsia="Cambria"/>
        </w:rPr>
      </w:pPr>
      <w:bookmarkStart w:id="153" w:name="_Toc511209799"/>
      <w:r w:rsidRPr="00605AD4">
        <w:rPr>
          <w:rFonts w:eastAsia="Cambria"/>
        </w:rPr>
        <w:t>First Round Benefit-Risk Assessment</w:t>
      </w:r>
      <w:bookmarkEnd w:id="153"/>
    </w:p>
    <w:p w14:paraId="4FE91C7B" w14:textId="77777777" w:rsidR="00605AD4" w:rsidRDefault="00605AD4" w:rsidP="00605AD4">
      <w:pPr>
        <w:pStyle w:val="Heading4"/>
      </w:pPr>
      <w:r w:rsidRPr="00605AD4">
        <w:t>First round assessment of benefits</w:t>
      </w:r>
    </w:p>
    <w:p w14:paraId="4FE91C7C" w14:textId="77777777" w:rsidR="000A1BF8" w:rsidRPr="009415AF" w:rsidRDefault="000A1BF8" w:rsidP="000A1BF8">
      <w:r w:rsidRPr="009415AF">
        <w:t>The benefits of Grazax in the proposed usage are:</w:t>
      </w:r>
    </w:p>
    <w:p w14:paraId="4FE91C7D" w14:textId="77777777" w:rsidR="000A1BF8" w:rsidRPr="000A1BF8" w:rsidRDefault="000A1BF8" w:rsidP="000A1BF8">
      <w:pPr>
        <w:pStyle w:val="ListBullet"/>
      </w:pPr>
      <w:r w:rsidRPr="000A1BF8">
        <w:t xml:space="preserve">Effectiveness in relieving symptoms of rhinoconjunctivitis symptoms and to lesser extent use of rescue medication was shown in 2 studies in adults and 2 studies in </w:t>
      </w:r>
      <w:r w:rsidRPr="000A1BF8">
        <w:lastRenderedPageBreak/>
        <w:t xml:space="preserve">children with clinically relevant symptoms and diagnosed with a positive skin prick test and specific </w:t>
      </w:r>
      <w:proofErr w:type="spellStart"/>
      <w:r w:rsidRPr="000A1BF8">
        <w:t>IgE</w:t>
      </w:r>
      <w:proofErr w:type="spellEnd"/>
      <w:r w:rsidRPr="000A1BF8">
        <w:t xml:space="preserve"> test to Timothy grass pollen.</w:t>
      </w:r>
    </w:p>
    <w:p w14:paraId="4FE91C7E" w14:textId="77777777" w:rsidR="000A1BF8" w:rsidRPr="000A1BF8" w:rsidRDefault="000A1BF8" w:rsidP="000A1BF8">
      <w:pPr>
        <w:pStyle w:val="ListBullet"/>
      </w:pPr>
      <w:r w:rsidRPr="000A1BF8">
        <w:t>In most of the studies where immunological endpoints were included, the immunological changes of Grazax immunotherapy have been consistent and statistically significant although the exact clinical significance of the findings remains to be elucidated.</w:t>
      </w:r>
    </w:p>
    <w:p w14:paraId="4FE91C7F" w14:textId="77777777" w:rsidR="00605AD4" w:rsidRDefault="00605AD4" w:rsidP="00605AD4">
      <w:pPr>
        <w:pStyle w:val="Heading4"/>
      </w:pPr>
      <w:r w:rsidRPr="00605AD4">
        <w:t>First round assessment of risks</w:t>
      </w:r>
    </w:p>
    <w:p w14:paraId="4FE91C80" w14:textId="77777777" w:rsidR="000A1BF8" w:rsidRPr="009415AF" w:rsidRDefault="000A1BF8" w:rsidP="000A1BF8">
      <w:r w:rsidRPr="009415AF">
        <w:t>The risks of Grazax in the proposed usage are:</w:t>
      </w:r>
    </w:p>
    <w:p w14:paraId="4FE91C81" w14:textId="77777777" w:rsidR="000A1BF8" w:rsidRPr="000A1BF8" w:rsidRDefault="000A1BF8" w:rsidP="000A1BF8">
      <w:pPr>
        <w:pStyle w:val="ListBullet"/>
      </w:pPr>
      <w:r w:rsidRPr="000A1BF8">
        <w:t>Anaphylactic reactions including anaphylactic shock have been observed with Grazax during post-marketing surveillance. The risk of systemic allergic reactions with Grazax is small and most likely to occur at the first does and may be manageable with appropriate supervision of the initial doing.</w:t>
      </w:r>
    </w:p>
    <w:p w14:paraId="4FE91C82" w14:textId="77777777" w:rsidR="000A1BF8" w:rsidRPr="000A1BF8" w:rsidRDefault="000A1BF8" w:rsidP="000A1BF8">
      <w:pPr>
        <w:pStyle w:val="ListBullet"/>
      </w:pPr>
      <w:r w:rsidRPr="000A1BF8">
        <w:t>Local allergic reactions of varying severity are common particularly oral pruritus, throat irritation, mouth oedema and ear pruritus.</w:t>
      </w:r>
    </w:p>
    <w:p w14:paraId="4FE91C83" w14:textId="77777777" w:rsidR="000A1BF8" w:rsidRPr="000A1BF8" w:rsidRDefault="000A1BF8" w:rsidP="000A1BF8">
      <w:pPr>
        <w:pStyle w:val="ListBullet"/>
      </w:pPr>
      <w:r w:rsidRPr="000A1BF8">
        <w:t>Acute asthma may occur.</w:t>
      </w:r>
    </w:p>
    <w:p w14:paraId="4FE91C84" w14:textId="77777777" w:rsidR="000A1BF8" w:rsidRPr="000A1BF8" w:rsidRDefault="000A1BF8" w:rsidP="000A1BF8">
      <w:pPr>
        <w:pStyle w:val="ListBullet"/>
      </w:pPr>
      <w:r w:rsidRPr="000A1BF8">
        <w:t xml:space="preserve">Use in children below 5 years of age and in elderly above 65 years of age as well as use in pregnant and lactating women was excluded from the trials and so is unknown. Use in children </w:t>
      </w:r>
      <w:r w:rsidR="004C74AA">
        <w:t xml:space="preserve">&lt; </w:t>
      </w:r>
      <w:r w:rsidRPr="000A1BF8">
        <w:t>5 is not requested and is unlikely but efficacy and safety in the elderly is unknown.</w:t>
      </w:r>
    </w:p>
    <w:p w14:paraId="4FE91C85" w14:textId="77777777" w:rsidR="00605AD4" w:rsidRPr="00605AD4" w:rsidRDefault="00605AD4" w:rsidP="00605AD4">
      <w:pPr>
        <w:pStyle w:val="Heading4"/>
      </w:pPr>
      <w:r w:rsidRPr="00605AD4">
        <w:t>First round assessment of benefit-risk balance</w:t>
      </w:r>
    </w:p>
    <w:p w14:paraId="4FE91C86" w14:textId="77777777" w:rsidR="00605AD4" w:rsidRPr="00605AD4" w:rsidRDefault="000A1BF8" w:rsidP="00605AD4">
      <w:r w:rsidRPr="009415AF">
        <w:t>The benefit-risk balance of Grazax, given the proposed usage, is favourable.</w:t>
      </w:r>
    </w:p>
    <w:p w14:paraId="4FE91C87" w14:textId="77777777" w:rsidR="00605AD4" w:rsidRPr="00605AD4" w:rsidRDefault="00605AD4" w:rsidP="00605AD4">
      <w:pPr>
        <w:pStyle w:val="Heading3"/>
        <w:rPr>
          <w:rFonts w:eastAsia="Cambria"/>
        </w:rPr>
      </w:pPr>
      <w:bookmarkStart w:id="154" w:name="_Toc511209800"/>
      <w:r w:rsidRPr="00605AD4">
        <w:rPr>
          <w:rFonts w:eastAsia="Cambria"/>
        </w:rPr>
        <w:t>First Round Recommendation Regarding Authorisation</w:t>
      </w:r>
      <w:bookmarkEnd w:id="154"/>
    </w:p>
    <w:p w14:paraId="4FE91C88" w14:textId="77777777" w:rsidR="000A1BF8" w:rsidRPr="009415AF" w:rsidRDefault="000A1BF8" w:rsidP="000A1BF8">
      <w:r w:rsidRPr="009415AF">
        <w:t>Based on the clinical data submitted it is recommended that Grazax be approved for the following indication:</w:t>
      </w:r>
    </w:p>
    <w:p w14:paraId="4FE91C89" w14:textId="4A6A94B9" w:rsidR="00605AD4" w:rsidRPr="000A1BF8" w:rsidRDefault="000A1BF8" w:rsidP="000A1BF8">
      <w:pPr>
        <w:ind w:left="567"/>
        <w:rPr>
          <w:i/>
        </w:rPr>
      </w:pPr>
      <w:r w:rsidRPr="00726C3F">
        <w:rPr>
          <w:i/>
        </w:rPr>
        <w:t xml:space="preserve">Grazax is indicated for treatment of Timothy grass </w:t>
      </w:r>
      <w:r w:rsidR="00726C3F" w:rsidRPr="00726C3F">
        <w:rPr>
          <w:i/>
        </w:rPr>
        <w:t xml:space="preserve">(Phleum pratense) </w:t>
      </w:r>
      <w:r w:rsidRPr="00726C3F">
        <w:rPr>
          <w:i/>
        </w:rPr>
        <w:t xml:space="preserve">pollen allergic rhinitis with our without conjunctivitis in adults, adolescents and children (above the age of 5) with clinically relevant symptoms, confirmed by a positive cutaneous test and/or a positive titre of the specific </w:t>
      </w:r>
      <w:proofErr w:type="spellStart"/>
      <w:r w:rsidRPr="00726C3F">
        <w:rPr>
          <w:i/>
        </w:rPr>
        <w:t>IgE</w:t>
      </w:r>
      <w:proofErr w:type="spellEnd"/>
      <w:r w:rsidRPr="00726C3F">
        <w:rPr>
          <w:i/>
        </w:rPr>
        <w:t xml:space="preserve"> to </w:t>
      </w:r>
      <w:proofErr w:type="spellStart"/>
      <w:r w:rsidR="002D7A68" w:rsidRPr="00726C3F">
        <w:rPr>
          <w:i/>
        </w:rPr>
        <w:t>Phleum</w:t>
      </w:r>
      <w:proofErr w:type="spellEnd"/>
      <w:r w:rsidR="002D7A68" w:rsidRPr="00726C3F">
        <w:rPr>
          <w:i/>
        </w:rPr>
        <w:t xml:space="preserve"> </w:t>
      </w:r>
      <w:proofErr w:type="spellStart"/>
      <w:r w:rsidR="002D7A68" w:rsidRPr="00726C3F">
        <w:rPr>
          <w:i/>
        </w:rPr>
        <w:t>pratense</w:t>
      </w:r>
      <w:proofErr w:type="spellEnd"/>
      <w:r w:rsidRPr="00726C3F">
        <w:rPr>
          <w:i/>
        </w:rPr>
        <w:t>.</w:t>
      </w:r>
    </w:p>
    <w:p w14:paraId="4FE91C8A" w14:textId="33C4C3E4" w:rsidR="008E7846" w:rsidRPr="00E41208" w:rsidRDefault="008E7846" w:rsidP="00546154">
      <w:pPr>
        <w:pStyle w:val="Heading2"/>
      </w:pPr>
      <w:bookmarkStart w:id="155" w:name="_Toc511209801"/>
      <w:r w:rsidRPr="00E41208">
        <w:t>V</w:t>
      </w:r>
      <w:r w:rsidR="004B00E9">
        <w:t>I</w:t>
      </w:r>
      <w:r w:rsidRPr="00E41208">
        <w:t xml:space="preserve">. Pharmacovigilance </w:t>
      </w:r>
      <w:r>
        <w:t>f</w:t>
      </w:r>
      <w:r w:rsidRPr="00E41208">
        <w:t>indings</w:t>
      </w:r>
      <w:bookmarkEnd w:id="143"/>
      <w:bookmarkEnd w:id="144"/>
      <w:bookmarkEnd w:id="155"/>
    </w:p>
    <w:p w14:paraId="4FE91C8B" w14:textId="77777777" w:rsidR="008E7846" w:rsidRDefault="00386150" w:rsidP="008E7846">
      <w:pPr>
        <w:pStyle w:val="Heading3"/>
        <w:rPr>
          <w:lang w:eastAsia="en-AU"/>
        </w:rPr>
      </w:pPr>
      <w:bookmarkStart w:id="156" w:name="_Toc247691526"/>
      <w:bookmarkStart w:id="157" w:name="_Toc314842509"/>
      <w:bookmarkStart w:id="158" w:name="_Toc511209802"/>
      <w:r>
        <w:rPr>
          <w:lang w:eastAsia="en-AU"/>
        </w:rPr>
        <w:t>Risk m</w:t>
      </w:r>
      <w:r w:rsidR="008E7846">
        <w:rPr>
          <w:lang w:eastAsia="en-AU"/>
        </w:rPr>
        <w:t xml:space="preserve">anagement </w:t>
      </w:r>
      <w:r>
        <w:rPr>
          <w:lang w:eastAsia="en-AU"/>
        </w:rPr>
        <w:t>p</w:t>
      </w:r>
      <w:r w:rsidR="008E7846">
        <w:rPr>
          <w:lang w:eastAsia="en-AU"/>
        </w:rPr>
        <w:t>lan</w:t>
      </w:r>
      <w:bookmarkEnd w:id="156"/>
      <w:bookmarkEnd w:id="157"/>
      <w:bookmarkEnd w:id="158"/>
    </w:p>
    <w:p w14:paraId="4FE91C8C" w14:textId="77777777" w:rsidR="005479B1" w:rsidRDefault="00007FFB" w:rsidP="00007FFB">
      <w:r w:rsidRPr="00007FFB">
        <w:t xml:space="preserve">Seqirus Pty Ltd has submitted EU-RMP version 8 (10 </w:t>
      </w:r>
      <w:r w:rsidR="00EB112B">
        <w:t>March</w:t>
      </w:r>
      <w:r w:rsidRPr="00007FFB">
        <w:t xml:space="preserve"> 2015; DLP 24 June 2013) and A</w:t>
      </w:r>
      <w:r w:rsidR="00AD1BB3">
        <w:t xml:space="preserve">ustralian </w:t>
      </w:r>
      <w:r w:rsidRPr="00007FFB">
        <w:t>S</w:t>
      </w:r>
      <w:r w:rsidR="00AD1BB3">
        <w:t xml:space="preserve">pecific </w:t>
      </w:r>
      <w:r w:rsidRPr="00007FFB">
        <w:t>A</w:t>
      </w:r>
      <w:r w:rsidR="00AD1BB3">
        <w:t xml:space="preserve">nnex (ASA) </w:t>
      </w:r>
      <w:r w:rsidRPr="00007FFB">
        <w:t xml:space="preserve">version 1 (10 November 2015) in support of this application. The </w:t>
      </w:r>
      <w:r w:rsidR="002D7A68">
        <w:t>sponsor</w:t>
      </w:r>
      <w:r w:rsidRPr="00007FFB">
        <w:t xml:space="preserve"> submitted ASA version 2 (23 August 2016) with </w:t>
      </w:r>
      <w:r>
        <w:t>the response to issues raised in the first round evaluation</w:t>
      </w:r>
      <w:r w:rsidR="005479B1">
        <w:t>.</w:t>
      </w:r>
    </w:p>
    <w:p w14:paraId="4FE91C8D" w14:textId="77777777" w:rsidR="00776CB9" w:rsidRDefault="00776CB9" w:rsidP="00776CB9">
      <w:pPr>
        <w:pStyle w:val="Heading3"/>
      </w:pPr>
      <w:bookmarkStart w:id="159" w:name="_Toc511209803"/>
      <w:r>
        <w:t>Safety Concerns and Risk Minimisation</w:t>
      </w:r>
      <w:bookmarkEnd w:id="159"/>
    </w:p>
    <w:p w14:paraId="4FE91C8E" w14:textId="5F7ABAE6" w:rsidR="00007FFB" w:rsidRDefault="00007FFB" w:rsidP="00007FFB">
      <w:r w:rsidRPr="00007FFB">
        <w:t xml:space="preserve">The </w:t>
      </w:r>
      <w:r w:rsidR="00AD1BB3" w:rsidRPr="00007FFB">
        <w:t xml:space="preserve">proposed summary of safety concerns </w:t>
      </w:r>
      <w:r w:rsidRPr="00007FFB">
        <w:t xml:space="preserve">and their associated risk monitoring and mitigation strategies are summarised </w:t>
      </w:r>
      <w:r w:rsidR="00776CB9">
        <w:t xml:space="preserve">in Table </w:t>
      </w:r>
      <w:r w:rsidR="00500CC2">
        <w:t>10</w:t>
      </w:r>
      <w:r w:rsidR="00776CB9">
        <w:t>.</w:t>
      </w:r>
    </w:p>
    <w:p w14:paraId="4FE91C8F" w14:textId="0260FC46" w:rsidR="00776CB9" w:rsidRPr="00007FFB" w:rsidRDefault="00776CB9" w:rsidP="00776CB9">
      <w:pPr>
        <w:pStyle w:val="TableTitle"/>
      </w:pPr>
      <w:r>
        <w:lastRenderedPageBreak/>
        <w:t xml:space="preserve">Table </w:t>
      </w:r>
      <w:r w:rsidR="00500CC2">
        <w:t>10</w:t>
      </w:r>
      <w:r>
        <w:t>: Summary of safety concerns and risk minimisation activities</w:t>
      </w:r>
      <w:r>
        <w:rPr>
          <w:rStyle w:val="FootnoteReference"/>
        </w:rPr>
        <w:footnoteReference w:id="73"/>
      </w:r>
      <w:r w:rsidR="001F358B">
        <w:rPr>
          <w:rStyle w:val="FootnoteReference"/>
        </w:rPr>
        <w:footnoteReference w:id="74"/>
      </w:r>
    </w:p>
    <w:tbl>
      <w:tblPr>
        <w:tblStyle w:val="TableTGAblue"/>
        <w:tblW w:w="8613" w:type="dxa"/>
        <w:tblLayout w:type="fixed"/>
        <w:tblLook w:val="04A0" w:firstRow="1" w:lastRow="0" w:firstColumn="1" w:lastColumn="0" w:noHBand="0" w:noVBand="1"/>
        <w:tblDescription w:val="Table 10 is a summary of safety concerns and risk minimisation activities"/>
      </w:tblPr>
      <w:tblGrid>
        <w:gridCol w:w="1243"/>
        <w:gridCol w:w="2834"/>
        <w:gridCol w:w="1276"/>
        <w:gridCol w:w="1134"/>
        <w:gridCol w:w="992"/>
        <w:gridCol w:w="1134"/>
      </w:tblGrid>
      <w:tr w:rsidR="00007FFB" w:rsidRPr="00007FFB" w14:paraId="4FE91C93" w14:textId="77777777" w:rsidTr="00FE52E5">
        <w:trPr>
          <w:cnfStyle w:val="100000000000" w:firstRow="1" w:lastRow="0" w:firstColumn="0" w:lastColumn="0" w:oddVBand="0" w:evenVBand="0" w:oddHBand="0" w:evenHBand="0" w:firstRowFirstColumn="0" w:firstRowLastColumn="0" w:lastRowFirstColumn="0" w:lastRowLastColumn="0"/>
          <w:trHeight w:val="131"/>
        </w:trPr>
        <w:tc>
          <w:tcPr>
            <w:tcW w:w="4077" w:type="dxa"/>
            <w:gridSpan w:val="2"/>
            <w:vMerge w:val="restart"/>
          </w:tcPr>
          <w:p w14:paraId="4FE91C90" w14:textId="77777777" w:rsidR="00007FFB" w:rsidRPr="00007FFB" w:rsidRDefault="00007FFB" w:rsidP="00007FFB">
            <w:pPr>
              <w:ind w:left="0" w:right="0"/>
              <w:rPr>
                <w:sz w:val="20"/>
                <w:szCs w:val="20"/>
              </w:rPr>
            </w:pPr>
            <w:r w:rsidRPr="00007FFB">
              <w:rPr>
                <w:sz w:val="20"/>
                <w:szCs w:val="20"/>
              </w:rPr>
              <w:t>Summary of safety concerns</w:t>
            </w:r>
          </w:p>
        </w:tc>
        <w:tc>
          <w:tcPr>
            <w:tcW w:w="2410" w:type="dxa"/>
            <w:gridSpan w:val="2"/>
          </w:tcPr>
          <w:p w14:paraId="4FE91C91" w14:textId="77777777" w:rsidR="00007FFB" w:rsidRPr="00007FFB" w:rsidRDefault="00007FFB" w:rsidP="00007FFB">
            <w:pPr>
              <w:ind w:left="0" w:right="0"/>
              <w:rPr>
                <w:sz w:val="20"/>
                <w:szCs w:val="20"/>
              </w:rPr>
            </w:pPr>
            <w:r w:rsidRPr="00007FFB">
              <w:rPr>
                <w:sz w:val="20"/>
                <w:szCs w:val="20"/>
              </w:rPr>
              <w:t>Pharmacovigilance</w:t>
            </w:r>
          </w:p>
        </w:tc>
        <w:tc>
          <w:tcPr>
            <w:tcW w:w="2126" w:type="dxa"/>
            <w:gridSpan w:val="2"/>
          </w:tcPr>
          <w:p w14:paraId="4FE91C92" w14:textId="77777777" w:rsidR="00007FFB" w:rsidRPr="00007FFB" w:rsidRDefault="00007FFB" w:rsidP="00007FFB">
            <w:pPr>
              <w:ind w:left="0" w:right="0"/>
              <w:rPr>
                <w:sz w:val="20"/>
                <w:szCs w:val="20"/>
              </w:rPr>
            </w:pPr>
            <w:r w:rsidRPr="00007FFB">
              <w:rPr>
                <w:sz w:val="20"/>
                <w:szCs w:val="20"/>
              </w:rPr>
              <w:t>Risk Minimisation</w:t>
            </w:r>
          </w:p>
        </w:tc>
      </w:tr>
      <w:tr w:rsidR="00007FFB" w:rsidRPr="00007FFB" w14:paraId="4FE91C99" w14:textId="77777777" w:rsidTr="00FE52E5">
        <w:trPr>
          <w:trHeight w:val="150"/>
        </w:trPr>
        <w:tc>
          <w:tcPr>
            <w:tcW w:w="4077" w:type="dxa"/>
            <w:gridSpan w:val="2"/>
            <w:vMerge/>
          </w:tcPr>
          <w:p w14:paraId="4FE91C94" w14:textId="77777777" w:rsidR="00007FFB" w:rsidRPr="00007FFB" w:rsidRDefault="00007FFB" w:rsidP="00007FFB">
            <w:pPr>
              <w:ind w:left="0" w:right="0"/>
              <w:rPr>
                <w:sz w:val="20"/>
                <w:szCs w:val="20"/>
              </w:rPr>
            </w:pPr>
          </w:p>
        </w:tc>
        <w:tc>
          <w:tcPr>
            <w:tcW w:w="1276" w:type="dxa"/>
          </w:tcPr>
          <w:p w14:paraId="4FE91C95" w14:textId="77777777" w:rsidR="00007FFB" w:rsidRPr="00007FFB" w:rsidRDefault="00007FFB" w:rsidP="00007FFB">
            <w:pPr>
              <w:ind w:left="0" w:right="0"/>
              <w:rPr>
                <w:sz w:val="20"/>
                <w:szCs w:val="20"/>
              </w:rPr>
            </w:pPr>
            <w:r w:rsidRPr="00007FFB">
              <w:rPr>
                <w:sz w:val="20"/>
                <w:szCs w:val="20"/>
              </w:rPr>
              <w:t>Routine</w:t>
            </w:r>
          </w:p>
        </w:tc>
        <w:tc>
          <w:tcPr>
            <w:tcW w:w="1134" w:type="dxa"/>
          </w:tcPr>
          <w:p w14:paraId="4FE91C96" w14:textId="77777777" w:rsidR="00007FFB" w:rsidRPr="00007FFB" w:rsidRDefault="00007FFB" w:rsidP="00007FFB">
            <w:pPr>
              <w:ind w:left="0" w:right="0"/>
              <w:rPr>
                <w:sz w:val="20"/>
                <w:szCs w:val="20"/>
              </w:rPr>
            </w:pPr>
            <w:r w:rsidRPr="00007FFB">
              <w:rPr>
                <w:sz w:val="20"/>
                <w:szCs w:val="20"/>
              </w:rPr>
              <w:t>Additional</w:t>
            </w:r>
          </w:p>
        </w:tc>
        <w:tc>
          <w:tcPr>
            <w:tcW w:w="992" w:type="dxa"/>
          </w:tcPr>
          <w:p w14:paraId="4FE91C97" w14:textId="77777777" w:rsidR="00007FFB" w:rsidRPr="00007FFB" w:rsidRDefault="00007FFB" w:rsidP="00007FFB">
            <w:pPr>
              <w:ind w:left="0" w:right="0"/>
              <w:rPr>
                <w:sz w:val="20"/>
                <w:szCs w:val="20"/>
              </w:rPr>
            </w:pPr>
            <w:r w:rsidRPr="00007FFB">
              <w:rPr>
                <w:sz w:val="20"/>
                <w:szCs w:val="20"/>
              </w:rPr>
              <w:t>Routine</w:t>
            </w:r>
          </w:p>
        </w:tc>
        <w:tc>
          <w:tcPr>
            <w:tcW w:w="1134" w:type="dxa"/>
          </w:tcPr>
          <w:p w14:paraId="4FE91C98" w14:textId="77777777" w:rsidR="00007FFB" w:rsidRPr="00007FFB" w:rsidRDefault="00007FFB" w:rsidP="00007FFB">
            <w:pPr>
              <w:ind w:left="0" w:right="0"/>
              <w:rPr>
                <w:sz w:val="20"/>
                <w:szCs w:val="20"/>
              </w:rPr>
            </w:pPr>
            <w:r w:rsidRPr="00007FFB">
              <w:rPr>
                <w:sz w:val="20"/>
                <w:szCs w:val="20"/>
              </w:rPr>
              <w:t>Additional</w:t>
            </w:r>
          </w:p>
        </w:tc>
      </w:tr>
      <w:tr w:rsidR="00007FFB" w:rsidRPr="00007FFB" w14:paraId="4FE91CA0" w14:textId="77777777" w:rsidTr="00A13958">
        <w:trPr>
          <w:trHeight w:val="137"/>
        </w:trPr>
        <w:tc>
          <w:tcPr>
            <w:tcW w:w="1243" w:type="dxa"/>
            <w:vMerge w:val="restart"/>
          </w:tcPr>
          <w:p w14:paraId="4FE91C9A" w14:textId="77777777" w:rsidR="00007FFB" w:rsidRPr="00007FFB" w:rsidRDefault="00007FFB" w:rsidP="00007FFB">
            <w:pPr>
              <w:ind w:left="0" w:right="0"/>
              <w:rPr>
                <w:b/>
                <w:sz w:val="20"/>
                <w:szCs w:val="20"/>
              </w:rPr>
            </w:pPr>
            <w:r w:rsidRPr="00007FFB">
              <w:rPr>
                <w:b/>
                <w:sz w:val="20"/>
                <w:szCs w:val="20"/>
              </w:rPr>
              <w:t>Important identified risks</w:t>
            </w:r>
          </w:p>
        </w:tc>
        <w:tc>
          <w:tcPr>
            <w:tcW w:w="2834" w:type="dxa"/>
          </w:tcPr>
          <w:p w14:paraId="4FE91C9B" w14:textId="77777777" w:rsidR="00007FFB" w:rsidRPr="00007FFB" w:rsidRDefault="00007FFB" w:rsidP="00007FFB">
            <w:pPr>
              <w:ind w:left="0" w:right="0"/>
              <w:rPr>
                <w:sz w:val="20"/>
                <w:szCs w:val="20"/>
              </w:rPr>
            </w:pPr>
            <w:r w:rsidRPr="00007FFB">
              <w:rPr>
                <w:sz w:val="20"/>
                <w:szCs w:val="20"/>
              </w:rPr>
              <w:t>Anaphylactic reaction including anaphylactic shock</w:t>
            </w:r>
          </w:p>
        </w:tc>
        <w:tc>
          <w:tcPr>
            <w:tcW w:w="1276" w:type="dxa"/>
            <w:vAlign w:val="center"/>
          </w:tcPr>
          <w:p w14:paraId="4FE91C9C" w14:textId="77777777" w:rsidR="00007FFB" w:rsidRPr="00007FFB" w:rsidRDefault="00007FFB" w:rsidP="00007FFB">
            <w:pPr>
              <w:ind w:left="0" w:right="0"/>
              <w:jc w:val="center"/>
              <w:rPr>
                <w:sz w:val="20"/>
                <w:szCs w:val="20"/>
              </w:rPr>
            </w:pPr>
            <w:r w:rsidRPr="00007FFB">
              <w:rPr>
                <w:sz w:val="20"/>
                <w:szCs w:val="20"/>
              </w:rPr>
              <w:sym w:font="Wingdings" w:char="F0FC"/>
            </w:r>
          </w:p>
        </w:tc>
        <w:tc>
          <w:tcPr>
            <w:tcW w:w="1134" w:type="dxa"/>
            <w:vAlign w:val="center"/>
          </w:tcPr>
          <w:p w14:paraId="4FE91C9D" w14:textId="77777777" w:rsidR="00007FFB" w:rsidRPr="00007FFB" w:rsidRDefault="00007FFB" w:rsidP="00007FFB">
            <w:pPr>
              <w:ind w:left="0" w:right="0"/>
              <w:jc w:val="center"/>
              <w:rPr>
                <w:sz w:val="20"/>
                <w:szCs w:val="20"/>
              </w:rPr>
            </w:pPr>
            <w:r w:rsidRPr="00007FFB">
              <w:rPr>
                <w:sz w:val="20"/>
                <w:szCs w:val="20"/>
              </w:rPr>
              <w:t>–</w:t>
            </w:r>
          </w:p>
        </w:tc>
        <w:tc>
          <w:tcPr>
            <w:tcW w:w="992" w:type="dxa"/>
            <w:vAlign w:val="center"/>
          </w:tcPr>
          <w:p w14:paraId="4FE91C9E" w14:textId="77777777" w:rsidR="00007FFB" w:rsidRPr="00007FFB" w:rsidRDefault="00007FFB" w:rsidP="00007FFB">
            <w:pPr>
              <w:ind w:left="0" w:right="0"/>
              <w:jc w:val="center"/>
              <w:rPr>
                <w:sz w:val="20"/>
                <w:szCs w:val="20"/>
              </w:rPr>
            </w:pPr>
            <w:r w:rsidRPr="00007FFB">
              <w:rPr>
                <w:sz w:val="20"/>
                <w:szCs w:val="20"/>
              </w:rPr>
              <w:sym w:font="Wingdings" w:char="F0FC"/>
            </w:r>
          </w:p>
        </w:tc>
        <w:tc>
          <w:tcPr>
            <w:tcW w:w="1134" w:type="dxa"/>
            <w:vAlign w:val="center"/>
          </w:tcPr>
          <w:p w14:paraId="4FE91C9F" w14:textId="77777777" w:rsidR="00007FFB" w:rsidRPr="00007FFB" w:rsidRDefault="00007FFB" w:rsidP="00007FFB">
            <w:pPr>
              <w:ind w:left="0" w:right="0"/>
              <w:jc w:val="center"/>
              <w:rPr>
                <w:sz w:val="20"/>
                <w:szCs w:val="20"/>
              </w:rPr>
            </w:pPr>
            <w:r w:rsidRPr="00007FFB">
              <w:rPr>
                <w:sz w:val="20"/>
                <w:szCs w:val="20"/>
              </w:rPr>
              <w:t>–</w:t>
            </w:r>
          </w:p>
        </w:tc>
      </w:tr>
      <w:tr w:rsidR="00007FFB" w:rsidRPr="00007FFB" w14:paraId="4FE91CA7" w14:textId="77777777" w:rsidTr="00A13958">
        <w:trPr>
          <w:trHeight w:val="94"/>
        </w:trPr>
        <w:tc>
          <w:tcPr>
            <w:tcW w:w="1243" w:type="dxa"/>
            <w:vMerge/>
          </w:tcPr>
          <w:p w14:paraId="4FE91CA1" w14:textId="77777777" w:rsidR="00007FFB" w:rsidRPr="00007FFB" w:rsidRDefault="00007FFB" w:rsidP="00007FFB">
            <w:pPr>
              <w:ind w:left="0" w:right="0"/>
              <w:rPr>
                <w:sz w:val="20"/>
                <w:szCs w:val="20"/>
              </w:rPr>
            </w:pPr>
          </w:p>
        </w:tc>
        <w:tc>
          <w:tcPr>
            <w:tcW w:w="2834" w:type="dxa"/>
          </w:tcPr>
          <w:p w14:paraId="4FE91CA2" w14:textId="77777777" w:rsidR="00007FFB" w:rsidRPr="00007FFB" w:rsidRDefault="00007FFB" w:rsidP="00007FFB">
            <w:pPr>
              <w:ind w:left="0" w:right="0"/>
              <w:rPr>
                <w:sz w:val="20"/>
                <w:szCs w:val="20"/>
              </w:rPr>
            </w:pPr>
            <w:r w:rsidRPr="00007FFB">
              <w:rPr>
                <w:sz w:val="20"/>
                <w:szCs w:val="20"/>
              </w:rPr>
              <w:t>Progression of oral reaction into the throat</w:t>
            </w:r>
          </w:p>
        </w:tc>
        <w:tc>
          <w:tcPr>
            <w:tcW w:w="1276" w:type="dxa"/>
            <w:vAlign w:val="center"/>
          </w:tcPr>
          <w:p w14:paraId="4FE91CA3" w14:textId="77777777" w:rsidR="00007FFB" w:rsidRPr="00007FFB" w:rsidRDefault="00007FFB" w:rsidP="00007FFB">
            <w:pPr>
              <w:ind w:left="0" w:right="0"/>
              <w:jc w:val="center"/>
              <w:rPr>
                <w:sz w:val="20"/>
                <w:szCs w:val="20"/>
              </w:rPr>
            </w:pPr>
            <w:r w:rsidRPr="00007FFB">
              <w:rPr>
                <w:sz w:val="20"/>
                <w:szCs w:val="20"/>
              </w:rPr>
              <w:sym w:font="Wingdings" w:char="F0FC"/>
            </w:r>
          </w:p>
        </w:tc>
        <w:tc>
          <w:tcPr>
            <w:tcW w:w="1134" w:type="dxa"/>
            <w:vAlign w:val="center"/>
          </w:tcPr>
          <w:p w14:paraId="4FE91CA4" w14:textId="77777777" w:rsidR="00007FFB" w:rsidRPr="00007FFB" w:rsidRDefault="00007FFB" w:rsidP="00007FFB">
            <w:pPr>
              <w:ind w:left="0" w:right="0"/>
              <w:jc w:val="center"/>
              <w:rPr>
                <w:sz w:val="20"/>
                <w:szCs w:val="20"/>
              </w:rPr>
            </w:pPr>
            <w:r w:rsidRPr="00007FFB">
              <w:rPr>
                <w:sz w:val="20"/>
                <w:szCs w:val="20"/>
              </w:rPr>
              <w:t>–</w:t>
            </w:r>
          </w:p>
        </w:tc>
        <w:tc>
          <w:tcPr>
            <w:tcW w:w="992" w:type="dxa"/>
            <w:vAlign w:val="center"/>
          </w:tcPr>
          <w:p w14:paraId="4FE91CA5" w14:textId="77777777" w:rsidR="00007FFB" w:rsidRPr="00007FFB" w:rsidRDefault="00007FFB" w:rsidP="00007FFB">
            <w:pPr>
              <w:ind w:left="0" w:right="0"/>
              <w:jc w:val="center"/>
              <w:rPr>
                <w:sz w:val="20"/>
                <w:szCs w:val="20"/>
              </w:rPr>
            </w:pPr>
            <w:r w:rsidRPr="00007FFB">
              <w:rPr>
                <w:sz w:val="20"/>
                <w:szCs w:val="20"/>
              </w:rPr>
              <w:sym w:font="Wingdings" w:char="F0FC"/>
            </w:r>
          </w:p>
        </w:tc>
        <w:tc>
          <w:tcPr>
            <w:tcW w:w="1134" w:type="dxa"/>
            <w:vAlign w:val="center"/>
          </w:tcPr>
          <w:p w14:paraId="4FE91CA6" w14:textId="77777777" w:rsidR="00007FFB" w:rsidRPr="00007FFB" w:rsidRDefault="00007FFB" w:rsidP="00007FFB">
            <w:pPr>
              <w:ind w:left="0" w:right="0"/>
              <w:jc w:val="center"/>
              <w:rPr>
                <w:sz w:val="20"/>
                <w:szCs w:val="20"/>
              </w:rPr>
            </w:pPr>
            <w:r w:rsidRPr="00007FFB">
              <w:rPr>
                <w:sz w:val="20"/>
                <w:szCs w:val="20"/>
              </w:rPr>
              <w:t>–</w:t>
            </w:r>
          </w:p>
        </w:tc>
      </w:tr>
      <w:tr w:rsidR="00007FFB" w:rsidRPr="00007FFB" w14:paraId="4FE91CAE" w14:textId="77777777" w:rsidTr="00A13958">
        <w:trPr>
          <w:trHeight w:val="187"/>
        </w:trPr>
        <w:tc>
          <w:tcPr>
            <w:tcW w:w="1243" w:type="dxa"/>
            <w:vMerge/>
          </w:tcPr>
          <w:p w14:paraId="4FE91CA8" w14:textId="77777777" w:rsidR="00007FFB" w:rsidRPr="00007FFB" w:rsidRDefault="00007FFB" w:rsidP="00007FFB">
            <w:pPr>
              <w:ind w:left="0" w:right="0"/>
              <w:rPr>
                <w:sz w:val="20"/>
                <w:szCs w:val="20"/>
              </w:rPr>
            </w:pPr>
          </w:p>
        </w:tc>
        <w:tc>
          <w:tcPr>
            <w:tcW w:w="2834" w:type="dxa"/>
          </w:tcPr>
          <w:p w14:paraId="4FE91CA9" w14:textId="77777777" w:rsidR="00007FFB" w:rsidRPr="00007FFB" w:rsidRDefault="00007FFB" w:rsidP="00007FFB">
            <w:pPr>
              <w:ind w:left="0" w:right="0"/>
              <w:rPr>
                <w:sz w:val="20"/>
                <w:szCs w:val="20"/>
              </w:rPr>
            </w:pPr>
            <w:r w:rsidRPr="00007FFB">
              <w:rPr>
                <w:sz w:val="20"/>
                <w:szCs w:val="20"/>
              </w:rPr>
              <w:t>Acute asthma</w:t>
            </w:r>
          </w:p>
        </w:tc>
        <w:tc>
          <w:tcPr>
            <w:tcW w:w="1276" w:type="dxa"/>
            <w:vAlign w:val="center"/>
          </w:tcPr>
          <w:p w14:paraId="4FE91CAA" w14:textId="77777777" w:rsidR="00007FFB" w:rsidRPr="00007FFB" w:rsidRDefault="00007FFB" w:rsidP="00007FFB">
            <w:pPr>
              <w:ind w:left="0" w:right="0"/>
              <w:jc w:val="center"/>
              <w:rPr>
                <w:sz w:val="20"/>
                <w:szCs w:val="20"/>
              </w:rPr>
            </w:pPr>
            <w:r w:rsidRPr="00007FFB">
              <w:rPr>
                <w:sz w:val="20"/>
                <w:szCs w:val="20"/>
              </w:rPr>
              <w:sym w:font="Wingdings" w:char="F0FC"/>
            </w:r>
          </w:p>
        </w:tc>
        <w:tc>
          <w:tcPr>
            <w:tcW w:w="1134" w:type="dxa"/>
            <w:vAlign w:val="center"/>
          </w:tcPr>
          <w:p w14:paraId="4FE91CAB" w14:textId="77777777" w:rsidR="00007FFB" w:rsidRPr="00007FFB" w:rsidRDefault="00007FFB" w:rsidP="00007FFB">
            <w:pPr>
              <w:ind w:left="0" w:right="0"/>
              <w:jc w:val="center"/>
              <w:rPr>
                <w:sz w:val="20"/>
                <w:szCs w:val="20"/>
              </w:rPr>
            </w:pPr>
            <w:r w:rsidRPr="00007FFB">
              <w:rPr>
                <w:sz w:val="20"/>
                <w:szCs w:val="20"/>
              </w:rPr>
              <w:t>–</w:t>
            </w:r>
          </w:p>
        </w:tc>
        <w:tc>
          <w:tcPr>
            <w:tcW w:w="992" w:type="dxa"/>
            <w:vAlign w:val="center"/>
          </w:tcPr>
          <w:p w14:paraId="4FE91CAC" w14:textId="77777777" w:rsidR="00007FFB" w:rsidRPr="00007FFB" w:rsidRDefault="00007FFB" w:rsidP="00007FFB">
            <w:pPr>
              <w:ind w:left="0" w:right="0"/>
              <w:jc w:val="center"/>
              <w:rPr>
                <w:sz w:val="20"/>
                <w:szCs w:val="20"/>
              </w:rPr>
            </w:pPr>
            <w:r w:rsidRPr="00007FFB">
              <w:rPr>
                <w:sz w:val="20"/>
                <w:szCs w:val="20"/>
              </w:rPr>
              <w:sym w:font="Wingdings" w:char="F0FC"/>
            </w:r>
          </w:p>
        </w:tc>
        <w:tc>
          <w:tcPr>
            <w:tcW w:w="1134" w:type="dxa"/>
            <w:vAlign w:val="center"/>
          </w:tcPr>
          <w:p w14:paraId="4FE91CAD" w14:textId="77777777" w:rsidR="00007FFB" w:rsidRPr="00007FFB" w:rsidRDefault="00007FFB" w:rsidP="00007FFB">
            <w:pPr>
              <w:ind w:left="0" w:right="0"/>
              <w:jc w:val="center"/>
              <w:rPr>
                <w:sz w:val="20"/>
                <w:szCs w:val="20"/>
              </w:rPr>
            </w:pPr>
            <w:r w:rsidRPr="00007FFB">
              <w:rPr>
                <w:sz w:val="20"/>
                <w:szCs w:val="20"/>
              </w:rPr>
              <w:t>–</w:t>
            </w:r>
          </w:p>
        </w:tc>
      </w:tr>
      <w:tr w:rsidR="00007FFB" w:rsidRPr="00007FFB" w14:paraId="4FE91CB5" w14:textId="77777777" w:rsidTr="00A13958">
        <w:trPr>
          <w:trHeight w:val="159"/>
        </w:trPr>
        <w:tc>
          <w:tcPr>
            <w:tcW w:w="1243" w:type="dxa"/>
          </w:tcPr>
          <w:p w14:paraId="4FE91CAF" w14:textId="77777777" w:rsidR="00007FFB" w:rsidRPr="00007FFB" w:rsidRDefault="00007FFB" w:rsidP="00007FFB">
            <w:pPr>
              <w:ind w:left="0" w:right="0"/>
              <w:rPr>
                <w:b/>
                <w:sz w:val="20"/>
                <w:szCs w:val="20"/>
              </w:rPr>
            </w:pPr>
            <w:r w:rsidRPr="00007FFB">
              <w:rPr>
                <w:b/>
                <w:sz w:val="20"/>
                <w:szCs w:val="20"/>
              </w:rPr>
              <w:t>Important potential risks</w:t>
            </w:r>
          </w:p>
        </w:tc>
        <w:tc>
          <w:tcPr>
            <w:tcW w:w="2834" w:type="dxa"/>
          </w:tcPr>
          <w:p w14:paraId="4FE91CB0" w14:textId="77777777" w:rsidR="00007FFB" w:rsidRPr="00007FFB" w:rsidRDefault="00007FFB" w:rsidP="00007FFB">
            <w:pPr>
              <w:ind w:left="0" w:right="0"/>
              <w:rPr>
                <w:sz w:val="20"/>
                <w:szCs w:val="20"/>
              </w:rPr>
            </w:pPr>
            <w:r w:rsidRPr="00007FFB">
              <w:rPr>
                <w:sz w:val="20"/>
                <w:szCs w:val="20"/>
              </w:rPr>
              <w:t>None identified</w:t>
            </w:r>
          </w:p>
        </w:tc>
        <w:tc>
          <w:tcPr>
            <w:tcW w:w="1276" w:type="dxa"/>
            <w:vAlign w:val="center"/>
          </w:tcPr>
          <w:p w14:paraId="4FE91CB1" w14:textId="77777777" w:rsidR="00007FFB" w:rsidRPr="00007FFB" w:rsidRDefault="00007FFB" w:rsidP="00007FFB">
            <w:pPr>
              <w:ind w:left="0" w:right="0"/>
              <w:jc w:val="center"/>
              <w:rPr>
                <w:sz w:val="20"/>
                <w:szCs w:val="20"/>
              </w:rPr>
            </w:pPr>
          </w:p>
        </w:tc>
        <w:tc>
          <w:tcPr>
            <w:tcW w:w="1134" w:type="dxa"/>
            <w:vAlign w:val="center"/>
          </w:tcPr>
          <w:p w14:paraId="4FE91CB2" w14:textId="77777777" w:rsidR="00007FFB" w:rsidRPr="00007FFB" w:rsidRDefault="00007FFB" w:rsidP="00007FFB">
            <w:pPr>
              <w:ind w:left="0" w:right="0"/>
              <w:jc w:val="center"/>
              <w:rPr>
                <w:sz w:val="20"/>
                <w:szCs w:val="20"/>
              </w:rPr>
            </w:pPr>
          </w:p>
        </w:tc>
        <w:tc>
          <w:tcPr>
            <w:tcW w:w="992" w:type="dxa"/>
            <w:vAlign w:val="center"/>
          </w:tcPr>
          <w:p w14:paraId="4FE91CB3" w14:textId="77777777" w:rsidR="00007FFB" w:rsidRPr="00007FFB" w:rsidRDefault="00007FFB" w:rsidP="00007FFB">
            <w:pPr>
              <w:ind w:left="0" w:right="0"/>
              <w:jc w:val="center"/>
              <w:rPr>
                <w:sz w:val="20"/>
                <w:szCs w:val="20"/>
              </w:rPr>
            </w:pPr>
          </w:p>
        </w:tc>
        <w:tc>
          <w:tcPr>
            <w:tcW w:w="1134" w:type="dxa"/>
            <w:vAlign w:val="center"/>
          </w:tcPr>
          <w:p w14:paraId="4FE91CB4" w14:textId="77777777" w:rsidR="00007FFB" w:rsidRPr="00007FFB" w:rsidRDefault="00007FFB" w:rsidP="00007FFB">
            <w:pPr>
              <w:ind w:left="0" w:right="0"/>
              <w:jc w:val="center"/>
              <w:rPr>
                <w:sz w:val="20"/>
                <w:szCs w:val="20"/>
              </w:rPr>
            </w:pPr>
          </w:p>
        </w:tc>
      </w:tr>
      <w:tr w:rsidR="00007FFB" w:rsidRPr="00007FFB" w14:paraId="4FE91CBC" w14:textId="77777777" w:rsidTr="00A13958">
        <w:trPr>
          <w:trHeight w:val="178"/>
        </w:trPr>
        <w:tc>
          <w:tcPr>
            <w:tcW w:w="1243" w:type="dxa"/>
            <w:vMerge w:val="restart"/>
          </w:tcPr>
          <w:p w14:paraId="4FE91CB6" w14:textId="77777777" w:rsidR="00007FFB" w:rsidRPr="00007FFB" w:rsidRDefault="00007FFB" w:rsidP="00007FFB">
            <w:pPr>
              <w:ind w:left="0" w:right="0"/>
              <w:rPr>
                <w:b/>
                <w:sz w:val="20"/>
                <w:szCs w:val="20"/>
              </w:rPr>
            </w:pPr>
            <w:r w:rsidRPr="00007FFB">
              <w:rPr>
                <w:b/>
                <w:sz w:val="20"/>
                <w:szCs w:val="20"/>
              </w:rPr>
              <w:t>Missing information</w:t>
            </w:r>
          </w:p>
        </w:tc>
        <w:tc>
          <w:tcPr>
            <w:tcW w:w="2834" w:type="dxa"/>
          </w:tcPr>
          <w:p w14:paraId="4FE91CB7" w14:textId="77777777" w:rsidR="00007FFB" w:rsidRPr="00007FFB" w:rsidRDefault="00007FFB" w:rsidP="00007FFB">
            <w:pPr>
              <w:ind w:left="0" w:right="0"/>
              <w:rPr>
                <w:sz w:val="20"/>
                <w:szCs w:val="20"/>
              </w:rPr>
            </w:pPr>
            <w:r w:rsidRPr="00007FFB">
              <w:rPr>
                <w:sz w:val="20"/>
                <w:szCs w:val="20"/>
              </w:rPr>
              <w:t>Use in children below 5 years of age</w:t>
            </w:r>
          </w:p>
        </w:tc>
        <w:tc>
          <w:tcPr>
            <w:tcW w:w="1276" w:type="dxa"/>
            <w:vAlign w:val="center"/>
          </w:tcPr>
          <w:p w14:paraId="4FE91CB8" w14:textId="77777777" w:rsidR="00007FFB" w:rsidRPr="00007FFB" w:rsidRDefault="00007FFB" w:rsidP="00007FFB">
            <w:pPr>
              <w:ind w:left="0" w:right="0"/>
              <w:jc w:val="center"/>
              <w:rPr>
                <w:sz w:val="20"/>
                <w:szCs w:val="20"/>
              </w:rPr>
            </w:pPr>
            <w:r w:rsidRPr="00007FFB">
              <w:rPr>
                <w:sz w:val="20"/>
                <w:szCs w:val="20"/>
              </w:rPr>
              <w:sym w:font="Wingdings" w:char="F0FC"/>
            </w:r>
          </w:p>
        </w:tc>
        <w:tc>
          <w:tcPr>
            <w:tcW w:w="1134" w:type="dxa"/>
            <w:vAlign w:val="center"/>
          </w:tcPr>
          <w:p w14:paraId="4FE91CB9" w14:textId="77777777" w:rsidR="00007FFB" w:rsidRPr="00007FFB" w:rsidRDefault="00007FFB" w:rsidP="00007FFB">
            <w:pPr>
              <w:ind w:left="0" w:right="0"/>
              <w:jc w:val="center"/>
              <w:rPr>
                <w:sz w:val="20"/>
                <w:szCs w:val="20"/>
              </w:rPr>
            </w:pPr>
            <w:r w:rsidRPr="00007FFB">
              <w:rPr>
                <w:sz w:val="20"/>
                <w:szCs w:val="20"/>
              </w:rPr>
              <w:t>–</w:t>
            </w:r>
          </w:p>
        </w:tc>
        <w:tc>
          <w:tcPr>
            <w:tcW w:w="992" w:type="dxa"/>
            <w:vAlign w:val="center"/>
          </w:tcPr>
          <w:p w14:paraId="4FE91CBA" w14:textId="77777777" w:rsidR="00007FFB" w:rsidRPr="00007FFB" w:rsidRDefault="00007FFB" w:rsidP="00007FFB">
            <w:pPr>
              <w:ind w:left="0" w:right="0"/>
              <w:jc w:val="center"/>
              <w:rPr>
                <w:sz w:val="20"/>
                <w:szCs w:val="20"/>
              </w:rPr>
            </w:pPr>
            <w:r w:rsidRPr="00007FFB">
              <w:rPr>
                <w:sz w:val="20"/>
                <w:szCs w:val="20"/>
              </w:rPr>
              <w:sym w:font="Wingdings" w:char="F0FC"/>
            </w:r>
          </w:p>
        </w:tc>
        <w:tc>
          <w:tcPr>
            <w:tcW w:w="1134" w:type="dxa"/>
            <w:vAlign w:val="center"/>
          </w:tcPr>
          <w:p w14:paraId="4FE91CBB" w14:textId="77777777" w:rsidR="00007FFB" w:rsidRPr="00007FFB" w:rsidRDefault="00007FFB" w:rsidP="00007FFB">
            <w:pPr>
              <w:ind w:left="0" w:right="0"/>
              <w:jc w:val="center"/>
              <w:rPr>
                <w:sz w:val="20"/>
                <w:szCs w:val="20"/>
              </w:rPr>
            </w:pPr>
            <w:r w:rsidRPr="00007FFB">
              <w:rPr>
                <w:sz w:val="20"/>
                <w:szCs w:val="20"/>
              </w:rPr>
              <w:t>–</w:t>
            </w:r>
          </w:p>
        </w:tc>
      </w:tr>
      <w:tr w:rsidR="00007FFB" w:rsidRPr="00007FFB" w14:paraId="4FE91CC3" w14:textId="77777777" w:rsidTr="00A13958">
        <w:trPr>
          <w:trHeight w:val="103"/>
        </w:trPr>
        <w:tc>
          <w:tcPr>
            <w:tcW w:w="1243" w:type="dxa"/>
            <w:vMerge/>
          </w:tcPr>
          <w:p w14:paraId="4FE91CBD" w14:textId="77777777" w:rsidR="00007FFB" w:rsidRPr="00007FFB" w:rsidRDefault="00007FFB" w:rsidP="00007FFB">
            <w:pPr>
              <w:ind w:left="0" w:right="0"/>
              <w:rPr>
                <w:sz w:val="20"/>
                <w:szCs w:val="20"/>
              </w:rPr>
            </w:pPr>
          </w:p>
        </w:tc>
        <w:tc>
          <w:tcPr>
            <w:tcW w:w="2834" w:type="dxa"/>
          </w:tcPr>
          <w:p w14:paraId="4FE91CBE" w14:textId="77777777" w:rsidR="00007FFB" w:rsidRPr="00007FFB" w:rsidRDefault="00007FFB" w:rsidP="00007FFB">
            <w:pPr>
              <w:ind w:left="0" w:right="0"/>
              <w:rPr>
                <w:sz w:val="20"/>
                <w:szCs w:val="20"/>
              </w:rPr>
            </w:pPr>
            <w:r w:rsidRPr="00007FFB">
              <w:rPr>
                <w:sz w:val="20"/>
                <w:szCs w:val="20"/>
              </w:rPr>
              <w:t>Use in elderly above 65 years of age</w:t>
            </w:r>
          </w:p>
        </w:tc>
        <w:tc>
          <w:tcPr>
            <w:tcW w:w="1276" w:type="dxa"/>
            <w:vAlign w:val="center"/>
          </w:tcPr>
          <w:p w14:paraId="4FE91CBF" w14:textId="77777777" w:rsidR="00007FFB" w:rsidRPr="00007FFB" w:rsidRDefault="00007FFB" w:rsidP="00007FFB">
            <w:pPr>
              <w:ind w:left="0" w:right="0"/>
              <w:jc w:val="center"/>
              <w:rPr>
                <w:sz w:val="20"/>
                <w:szCs w:val="20"/>
              </w:rPr>
            </w:pPr>
            <w:r w:rsidRPr="00007FFB">
              <w:rPr>
                <w:sz w:val="20"/>
                <w:szCs w:val="20"/>
              </w:rPr>
              <w:sym w:font="Wingdings" w:char="F0FC"/>
            </w:r>
          </w:p>
        </w:tc>
        <w:tc>
          <w:tcPr>
            <w:tcW w:w="1134" w:type="dxa"/>
            <w:vAlign w:val="center"/>
          </w:tcPr>
          <w:p w14:paraId="4FE91CC0" w14:textId="77777777" w:rsidR="00007FFB" w:rsidRPr="00007FFB" w:rsidRDefault="00007FFB" w:rsidP="00007FFB">
            <w:pPr>
              <w:ind w:left="0" w:right="0"/>
              <w:jc w:val="center"/>
              <w:rPr>
                <w:sz w:val="20"/>
                <w:szCs w:val="20"/>
              </w:rPr>
            </w:pPr>
            <w:r w:rsidRPr="00007FFB">
              <w:rPr>
                <w:sz w:val="20"/>
                <w:szCs w:val="20"/>
              </w:rPr>
              <w:t>–</w:t>
            </w:r>
          </w:p>
        </w:tc>
        <w:tc>
          <w:tcPr>
            <w:tcW w:w="992" w:type="dxa"/>
            <w:vAlign w:val="center"/>
          </w:tcPr>
          <w:p w14:paraId="4FE91CC1" w14:textId="77777777" w:rsidR="00007FFB" w:rsidRPr="00007FFB" w:rsidRDefault="00007FFB" w:rsidP="00007FFB">
            <w:pPr>
              <w:ind w:left="0" w:right="0"/>
              <w:jc w:val="center"/>
              <w:rPr>
                <w:sz w:val="20"/>
                <w:szCs w:val="20"/>
              </w:rPr>
            </w:pPr>
            <w:r w:rsidRPr="00007FFB">
              <w:rPr>
                <w:sz w:val="20"/>
                <w:szCs w:val="20"/>
              </w:rPr>
              <w:sym w:font="Wingdings" w:char="F0FC"/>
            </w:r>
          </w:p>
        </w:tc>
        <w:tc>
          <w:tcPr>
            <w:tcW w:w="1134" w:type="dxa"/>
            <w:vAlign w:val="center"/>
          </w:tcPr>
          <w:p w14:paraId="4FE91CC2" w14:textId="77777777" w:rsidR="00007FFB" w:rsidRPr="00007FFB" w:rsidRDefault="00007FFB" w:rsidP="00007FFB">
            <w:pPr>
              <w:ind w:left="0" w:right="0"/>
              <w:jc w:val="center"/>
              <w:rPr>
                <w:sz w:val="20"/>
                <w:szCs w:val="20"/>
              </w:rPr>
            </w:pPr>
            <w:r w:rsidRPr="00007FFB">
              <w:rPr>
                <w:sz w:val="20"/>
                <w:szCs w:val="20"/>
              </w:rPr>
              <w:t>–</w:t>
            </w:r>
          </w:p>
        </w:tc>
      </w:tr>
      <w:tr w:rsidR="00007FFB" w:rsidRPr="00007FFB" w14:paraId="4FE91CCA" w14:textId="77777777" w:rsidTr="00A13958">
        <w:trPr>
          <w:trHeight w:val="225"/>
        </w:trPr>
        <w:tc>
          <w:tcPr>
            <w:tcW w:w="1243" w:type="dxa"/>
            <w:vMerge/>
          </w:tcPr>
          <w:p w14:paraId="4FE91CC4" w14:textId="77777777" w:rsidR="00007FFB" w:rsidRPr="00007FFB" w:rsidRDefault="00007FFB" w:rsidP="00007FFB">
            <w:pPr>
              <w:ind w:left="0" w:right="0"/>
              <w:rPr>
                <w:sz w:val="20"/>
                <w:szCs w:val="20"/>
              </w:rPr>
            </w:pPr>
          </w:p>
        </w:tc>
        <w:tc>
          <w:tcPr>
            <w:tcW w:w="2834" w:type="dxa"/>
          </w:tcPr>
          <w:p w14:paraId="4FE91CC5" w14:textId="77777777" w:rsidR="00007FFB" w:rsidRPr="00007FFB" w:rsidRDefault="00007FFB" w:rsidP="00007FFB">
            <w:pPr>
              <w:ind w:left="0" w:right="0"/>
              <w:rPr>
                <w:sz w:val="20"/>
                <w:szCs w:val="20"/>
              </w:rPr>
            </w:pPr>
            <w:r w:rsidRPr="00007FFB">
              <w:rPr>
                <w:sz w:val="20"/>
                <w:szCs w:val="20"/>
              </w:rPr>
              <w:t>Use in pregnant and lactating women</w:t>
            </w:r>
          </w:p>
        </w:tc>
        <w:tc>
          <w:tcPr>
            <w:tcW w:w="1276" w:type="dxa"/>
            <w:vAlign w:val="center"/>
          </w:tcPr>
          <w:p w14:paraId="4FE91CC6" w14:textId="77777777" w:rsidR="00007FFB" w:rsidRPr="00007FFB" w:rsidRDefault="00007FFB" w:rsidP="00007FFB">
            <w:pPr>
              <w:ind w:left="0" w:right="0"/>
              <w:jc w:val="center"/>
              <w:rPr>
                <w:sz w:val="20"/>
                <w:szCs w:val="20"/>
              </w:rPr>
            </w:pPr>
            <w:r w:rsidRPr="00007FFB">
              <w:rPr>
                <w:sz w:val="20"/>
                <w:szCs w:val="20"/>
              </w:rPr>
              <w:sym w:font="Wingdings" w:char="F0FC"/>
            </w:r>
          </w:p>
        </w:tc>
        <w:tc>
          <w:tcPr>
            <w:tcW w:w="1134" w:type="dxa"/>
            <w:vAlign w:val="center"/>
          </w:tcPr>
          <w:p w14:paraId="4FE91CC7" w14:textId="77777777" w:rsidR="00007FFB" w:rsidRPr="00007FFB" w:rsidRDefault="00007FFB" w:rsidP="00007FFB">
            <w:pPr>
              <w:ind w:left="0" w:right="0"/>
              <w:jc w:val="center"/>
              <w:rPr>
                <w:sz w:val="20"/>
                <w:szCs w:val="20"/>
              </w:rPr>
            </w:pPr>
            <w:r w:rsidRPr="00007FFB">
              <w:rPr>
                <w:sz w:val="20"/>
                <w:szCs w:val="20"/>
              </w:rPr>
              <w:t>–</w:t>
            </w:r>
          </w:p>
        </w:tc>
        <w:tc>
          <w:tcPr>
            <w:tcW w:w="992" w:type="dxa"/>
            <w:vAlign w:val="center"/>
          </w:tcPr>
          <w:p w14:paraId="4FE91CC8" w14:textId="77777777" w:rsidR="00007FFB" w:rsidRPr="00007FFB" w:rsidRDefault="00007FFB" w:rsidP="00007FFB">
            <w:pPr>
              <w:ind w:left="0" w:right="0"/>
              <w:jc w:val="center"/>
              <w:rPr>
                <w:sz w:val="20"/>
                <w:szCs w:val="20"/>
              </w:rPr>
            </w:pPr>
            <w:r w:rsidRPr="00007FFB">
              <w:rPr>
                <w:sz w:val="20"/>
                <w:szCs w:val="20"/>
              </w:rPr>
              <w:sym w:font="Wingdings" w:char="F0FC"/>
            </w:r>
          </w:p>
        </w:tc>
        <w:tc>
          <w:tcPr>
            <w:tcW w:w="1134" w:type="dxa"/>
            <w:vAlign w:val="center"/>
          </w:tcPr>
          <w:p w14:paraId="4FE91CC9" w14:textId="77777777" w:rsidR="00007FFB" w:rsidRPr="00007FFB" w:rsidRDefault="00007FFB" w:rsidP="00007FFB">
            <w:pPr>
              <w:ind w:left="0" w:right="0"/>
              <w:jc w:val="center"/>
              <w:rPr>
                <w:sz w:val="20"/>
                <w:szCs w:val="20"/>
              </w:rPr>
            </w:pPr>
            <w:r w:rsidRPr="00007FFB">
              <w:rPr>
                <w:sz w:val="20"/>
                <w:szCs w:val="20"/>
              </w:rPr>
              <w:t>–</w:t>
            </w:r>
          </w:p>
        </w:tc>
      </w:tr>
      <w:tr w:rsidR="00007FFB" w:rsidRPr="00007FFB" w14:paraId="4FE91CD1" w14:textId="77777777" w:rsidTr="00A13958">
        <w:trPr>
          <w:trHeight w:val="182"/>
        </w:trPr>
        <w:tc>
          <w:tcPr>
            <w:tcW w:w="1243" w:type="dxa"/>
            <w:vMerge/>
          </w:tcPr>
          <w:p w14:paraId="4FE91CCB" w14:textId="77777777" w:rsidR="00007FFB" w:rsidRPr="00007FFB" w:rsidRDefault="00007FFB" w:rsidP="00007FFB">
            <w:pPr>
              <w:ind w:left="0" w:right="0"/>
              <w:rPr>
                <w:sz w:val="20"/>
                <w:szCs w:val="20"/>
              </w:rPr>
            </w:pPr>
          </w:p>
        </w:tc>
        <w:tc>
          <w:tcPr>
            <w:tcW w:w="2834" w:type="dxa"/>
          </w:tcPr>
          <w:p w14:paraId="4FE91CCC" w14:textId="77777777" w:rsidR="00007FFB" w:rsidRPr="00007FFB" w:rsidRDefault="00007FFB" w:rsidP="00007FFB">
            <w:pPr>
              <w:ind w:left="0" w:right="0"/>
              <w:rPr>
                <w:sz w:val="20"/>
                <w:szCs w:val="20"/>
              </w:rPr>
            </w:pPr>
            <w:r w:rsidRPr="00007FFB">
              <w:rPr>
                <w:sz w:val="20"/>
                <w:szCs w:val="20"/>
              </w:rPr>
              <w:t>Inflammatory condition in the oral cavity</w:t>
            </w:r>
            <w:r>
              <w:rPr>
                <w:sz w:val="20"/>
                <w:szCs w:val="20"/>
              </w:rPr>
              <w:t>#</w:t>
            </w:r>
          </w:p>
        </w:tc>
        <w:tc>
          <w:tcPr>
            <w:tcW w:w="1276" w:type="dxa"/>
            <w:vAlign w:val="center"/>
          </w:tcPr>
          <w:p w14:paraId="4FE91CCD" w14:textId="77777777" w:rsidR="00007FFB" w:rsidRPr="00007FFB" w:rsidRDefault="00007FFB" w:rsidP="00007FFB">
            <w:pPr>
              <w:ind w:left="0" w:right="0"/>
              <w:jc w:val="center"/>
              <w:rPr>
                <w:sz w:val="20"/>
                <w:szCs w:val="20"/>
              </w:rPr>
            </w:pPr>
            <w:r w:rsidRPr="00007FFB">
              <w:rPr>
                <w:sz w:val="20"/>
                <w:szCs w:val="20"/>
              </w:rPr>
              <w:sym w:font="Wingdings" w:char="F0FC"/>
            </w:r>
          </w:p>
        </w:tc>
        <w:tc>
          <w:tcPr>
            <w:tcW w:w="1134" w:type="dxa"/>
            <w:vAlign w:val="center"/>
          </w:tcPr>
          <w:p w14:paraId="4FE91CCE" w14:textId="77777777" w:rsidR="00007FFB" w:rsidRPr="00007FFB" w:rsidRDefault="00007FFB" w:rsidP="00007FFB">
            <w:pPr>
              <w:ind w:left="0" w:right="0"/>
              <w:jc w:val="center"/>
              <w:rPr>
                <w:sz w:val="20"/>
                <w:szCs w:val="20"/>
              </w:rPr>
            </w:pPr>
            <w:r w:rsidRPr="00007FFB">
              <w:rPr>
                <w:sz w:val="20"/>
                <w:szCs w:val="20"/>
              </w:rPr>
              <w:t>–</w:t>
            </w:r>
          </w:p>
        </w:tc>
        <w:tc>
          <w:tcPr>
            <w:tcW w:w="992" w:type="dxa"/>
            <w:vAlign w:val="center"/>
          </w:tcPr>
          <w:p w14:paraId="4FE91CCF" w14:textId="77777777" w:rsidR="00007FFB" w:rsidRPr="00007FFB" w:rsidRDefault="00007FFB" w:rsidP="00007FFB">
            <w:pPr>
              <w:ind w:left="0" w:right="0"/>
              <w:jc w:val="center"/>
              <w:rPr>
                <w:sz w:val="20"/>
                <w:szCs w:val="20"/>
              </w:rPr>
            </w:pPr>
            <w:r w:rsidRPr="00007FFB">
              <w:rPr>
                <w:sz w:val="20"/>
                <w:szCs w:val="20"/>
              </w:rPr>
              <w:sym w:font="Wingdings" w:char="F0FC"/>
            </w:r>
          </w:p>
        </w:tc>
        <w:tc>
          <w:tcPr>
            <w:tcW w:w="1134" w:type="dxa"/>
            <w:vAlign w:val="center"/>
          </w:tcPr>
          <w:p w14:paraId="4FE91CD0" w14:textId="77777777" w:rsidR="00007FFB" w:rsidRPr="00007FFB" w:rsidRDefault="00007FFB" w:rsidP="00007FFB">
            <w:pPr>
              <w:ind w:left="0" w:right="0"/>
              <w:jc w:val="center"/>
              <w:rPr>
                <w:sz w:val="20"/>
                <w:szCs w:val="20"/>
              </w:rPr>
            </w:pPr>
            <w:r w:rsidRPr="00007FFB">
              <w:rPr>
                <w:sz w:val="20"/>
                <w:szCs w:val="20"/>
              </w:rPr>
              <w:t>–</w:t>
            </w:r>
          </w:p>
        </w:tc>
      </w:tr>
      <w:tr w:rsidR="00007FFB" w:rsidRPr="00007FFB" w14:paraId="4FE91CD8" w14:textId="77777777" w:rsidTr="00A13958">
        <w:trPr>
          <w:trHeight w:val="182"/>
        </w:trPr>
        <w:tc>
          <w:tcPr>
            <w:tcW w:w="1243" w:type="dxa"/>
            <w:vMerge/>
          </w:tcPr>
          <w:p w14:paraId="4FE91CD2" w14:textId="77777777" w:rsidR="00007FFB" w:rsidRPr="00007FFB" w:rsidRDefault="00007FFB" w:rsidP="00007FFB">
            <w:pPr>
              <w:ind w:left="0" w:right="0"/>
              <w:rPr>
                <w:sz w:val="20"/>
                <w:szCs w:val="20"/>
              </w:rPr>
            </w:pPr>
          </w:p>
        </w:tc>
        <w:tc>
          <w:tcPr>
            <w:tcW w:w="2834" w:type="dxa"/>
          </w:tcPr>
          <w:p w14:paraId="4FE91CD3" w14:textId="77777777" w:rsidR="00007FFB" w:rsidRPr="00007FFB" w:rsidRDefault="00007FFB" w:rsidP="00007FFB">
            <w:pPr>
              <w:ind w:left="0" w:right="0"/>
              <w:rPr>
                <w:sz w:val="20"/>
                <w:szCs w:val="20"/>
              </w:rPr>
            </w:pPr>
            <w:r w:rsidRPr="00007FFB">
              <w:rPr>
                <w:sz w:val="20"/>
                <w:szCs w:val="20"/>
              </w:rPr>
              <w:t xml:space="preserve">Forced expiratory volume in 1 second (FEV1) </w:t>
            </w:r>
            <w:r w:rsidR="004C74AA">
              <w:rPr>
                <w:sz w:val="20"/>
                <w:szCs w:val="20"/>
              </w:rPr>
              <w:t xml:space="preserve">&lt; </w:t>
            </w:r>
            <w:r>
              <w:rPr>
                <w:sz w:val="20"/>
                <w:szCs w:val="20"/>
              </w:rPr>
              <w:t>70% of predicted value (adults)#</w:t>
            </w:r>
          </w:p>
        </w:tc>
        <w:tc>
          <w:tcPr>
            <w:tcW w:w="1276" w:type="dxa"/>
            <w:vAlign w:val="center"/>
          </w:tcPr>
          <w:p w14:paraId="4FE91CD4" w14:textId="77777777" w:rsidR="00007FFB" w:rsidRPr="00007FFB" w:rsidRDefault="00007FFB" w:rsidP="00007FFB">
            <w:pPr>
              <w:ind w:left="0" w:right="0"/>
              <w:jc w:val="center"/>
              <w:rPr>
                <w:sz w:val="20"/>
                <w:szCs w:val="20"/>
              </w:rPr>
            </w:pPr>
            <w:r w:rsidRPr="00007FFB">
              <w:rPr>
                <w:sz w:val="20"/>
                <w:szCs w:val="20"/>
              </w:rPr>
              <w:sym w:font="Wingdings" w:char="F0FC"/>
            </w:r>
          </w:p>
        </w:tc>
        <w:tc>
          <w:tcPr>
            <w:tcW w:w="1134" w:type="dxa"/>
            <w:vAlign w:val="center"/>
          </w:tcPr>
          <w:p w14:paraId="4FE91CD5" w14:textId="77777777" w:rsidR="00007FFB" w:rsidRPr="00007FFB" w:rsidRDefault="00007FFB" w:rsidP="00007FFB">
            <w:pPr>
              <w:ind w:left="0" w:right="0"/>
              <w:jc w:val="center"/>
              <w:rPr>
                <w:sz w:val="20"/>
                <w:szCs w:val="20"/>
              </w:rPr>
            </w:pPr>
            <w:r w:rsidRPr="00007FFB">
              <w:rPr>
                <w:sz w:val="20"/>
                <w:szCs w:val="20"/>
              </w:rPr>
              <w:t>–</w:t>
            </w:r>
          </w:p>
        </w:tc>
        <w:tc>
          <w:tcPr>
            <w:tcW w:w="992" w:type="dxa"/>
            <w:vAlign w:val="center"/>
          </w:tcPr>
          <w:p w14:paraId="4FE91CD6" w14:textId="77777777" w:rsidR="00007FFB" w:rsidRPr="00007FFB" w:rsidRDefault="00007FFB" w:rsidP="00007FFB">
            <w:pPr>
              <w:ind w:left="0" w:right="0"/>
              <w:jc w:val="center"/>
              <w:rPr>
                <w:sz w:val="20"/>
                <w:szCs w:val="20"/>
              </w:rPr>
            </w:pPr>
            <w:r w:rsidRPr="00007FFB">
              <w:rPr>
                <w:sz w:val="20"/>
                <w:szCs w:val="20"/>
              </w:rPr>
              <w:sym w:font="Wingdings" w:char="F0FC"/>
            </w:r>
          </w:p>
        </w:tc>
        <w:tc>
          <w:tcPr>
            <w:tcW w:w="1134" w:type="dxa"/>
            <w:vAlign w:val="center"/>
          </w:tcPr>
          <w:p w14:paraId="4FE91CD7" w14:textId="77777777" w:rsidR="00007FFB" w:rsidRPr="00007FFB" w:rsidRDefault="00007FFB" w:rsidP="00007FFB">
            <w:pPr>
              <w:ind w:left="0" w:right="0"/>
              <w:jc w:val="center"/>
              <w:rPr>
                <w:sz w:val="20"/>
                <w:szCs w:val="20"/>
              </w:rPr>
            </w:pPr>
            <w:r w:rsidRPr="00007FFB">
              <w:rPr>
                <w:sz w:val="20"/>
                <w:szCs w:val="20"/>
              </w:rPr>
              <w:t>–</w:t>
            </w:r>
          </w:p>
        </w:tc>
      </w:tr>
      <w:tr w:rsidR="00007FFB" w:rsidRPr="00007FFB" w14:paraId="4FE91CDF" w14:textId="77777777" w:rsidTr="00A13958">
        <w:trPr>
          <w:trHeight w:val="96"/>
        </w:trPr>
        <w:tc>
          <w:tcPr>
            <w:tcW w:w="1243" w:type="dxa"/>
            <w:vMerge/>
          </w:tcPr>
          <w:p w14:paraId="4FE91CD9" w14:textId="77777777" w:rsidR="00007FFB" w:rsidRPr="00007FFB" w:rsidRDefault="00007FFB" w:rsidP="00007FFB">
            <w:pPr>
              <w:ind w:left="0" w:right="0"/>
              <w:rPr>
                <w:sz w:val="20"/>
                <w:szCs w:val="20"/>
              </w:rPr>
            </w:pPr>
          </w:p>
        </w:tc>
        <w:tc>
          <w:tcPr>
            <w:tcW w:w="2834" w:type="dxa"/>
          </w:tcPr>
          <w:p w14:paraId="4FE91CDA" w14:textId="77777777" w:rsidR="00007FFB" w:rsidRPr="00007FFB" w:rsidRDefault="00007FFB" w:rsidP="00007FFB">
            <w:pPr>
              <w:ind w:left="0" w:right="0"/>
              <w:rPr>
                <w:sz w:val="20"/>
                <w:szCs w:val="20"/>
              </w:rPr>
            </w:pPr>
            <w:r w:rsidRPr="00007FFB">
              <w:rPr>
                <w:sz w:val="20"/>
                <w:szCs w:val="20"/>
              </w:rPr>
              <w:t>Severe asthma (children)</w:t>
            </w:r>
            <w:r>
              <w:rPr>
                <w:sz w:val="20"/>
                <w:szCs w:val="20"/>
              </w:rPr>
              <w:t>#</w:t>
            </w:r>
          </w:p>
        </w:tc>
        <w:tc>
          <w:tcPr>
            <w:tcW w:w="1276" w:type="dxa"/>
            <w:vAlign w:val="center"/>
          </w:tcPr>
          <w:p w14:paraId="4FE91CDB" w14:textId="77777777" w:rsidR="00007FFB" w:rsidRPr="00007FFB" w:rsidRDefault="00007FFB" w:rsidP="00007FFB">
            <w:pPr>
              <w:ind w:left="0" w:right="0"/>
              <w:jc w:val="center"/>
              <w:rPr>
                <w:sz w:val="20"/>
                <w:szCs w:val="20"/>
              </w:rPr>
            </w:pPr>
            <w:r w:rsidRPr="00007FFB">
              <w:rPr>
                <w:sz w:val="20"/>
                <w:szCs w:val="20"/>
              </w:rPr>
              <w:sym w:font="Wingdings" w:char="F0FC"/>
            </w:r>
          </w:p>
        </w:tc>
        <w:tc>
          <w:tcPr>
            <w:tcW w:w="1134" w:type="dxa"/>
            <w:vAlign w:val="center"/>
          </w:tcPr>
          <w:p w14:paraId="4FE91CDC" w14:textId="77777777" w:rsidR="00007FFB" w:rsidRPr="00007FFB" w:rsidRDefault="00007FFB" w:rsidP="00007FFB">
            <w:pPr>
              <w:ind w:left="0" w:right="0"/>
              <w:jc w:val="center"/>
              <w:rPr>
                <w:sz w:val="20"/>
                <w:szCs w:val="20"/>
              </w:rPr>
            </w:pPr>
            <w:r w:rsidRPr="00007FFB">
              <w:rPr>
                <w:sz w:val="20"/>
                <w:szCs w:val="20"/>
              </w:rPr>
              <w:t>–</w:t>
            </w:r>
          </w:p>
        </w:tc>
        <w:tc>
          <w:tcPr>
            <w:tcW w:w="992" w:type="dxa"/>
            <w:vAlign w:val="center"/>
          </w:tcPr>
          <w:p w14:paraId="4FE91CDD" w14:textId="77777777" w:rsidR="00007FFB" w:rsidRPr="00007FFB" w:rsidRDefault="00007FFB" w:rsidP="00007FFB">
            <w:pPr>
              <w:ind w:left="0" w:right="0"/>
              <w:jc w:val="center"/>
              <w:rPr>
                <w:sz w:val="20"/>
                <w:szCs w:val="20"/>
              </w:rPr>
            </w:pPr>
            <w:r w:rsidRPr="00007FFB">
              <w:rPr>
                <w:sz w:val="20"/>
                <w:szCs w:val="20"/>
              </w:rPr>
              <w:sym w:font="Wingdings" w:char="F0FC"/>
            </w:r>
          </w:p>
        </w:tc>
        <w:tc>
          <w:tcPr>
            <w:tcW w:w="1134" w:type="dxa"/>
            <w:vAlign w:val="center"/>
          </w:tcPr>
          <w:p w14:paraId="4FE91CDE" w14:textId="77777777" w:rsidR="00007FFB" w:rsidRPr="00007FFB" w:rsidRDefault="00007FFB" w:rsidP="00007FFB">
            <w:pPr>
              <w:ind w:left="0" w:right="0"/>
              <w:jc w:val="center"/>
              <w:rPr>
                <w:sz w:val="20"/>
                <w:szCs w:val="20"/>
              </w:rPr>
            </w:pPr>
            <w:r w:rsidRPr="00007FFB">
              <w:rPr>
                <w:sz w:val="20"/>
                <w:szCs w:val="20"/>
              </w:rPr>
              <w:t>–</w:t>
            </w:r>
          </w:p>
        </w:tc>
      </w:tr>
      <w:tr w:rsidR="00007FFB" w:rsidRPr="00007FFB" w14:paraId="4FE91CE6" w14:textId="77777777" w:rsidTr="00A13958">
        <w:trPr>
          <w:trHeight w:val="139"/>
        </w:trPr>
        <w:tc>
          <w:tcPr>
            <w:tcW w:w="1243" w:type="dxa"/>
            <w:vMerge/>
          </w:tcPr>
          <w:p w14:paraId="4FE91CE0" w14:textId="77777777" w:rsidR="00007FFB" w:rsidRPr="00007FFB" w:rsidRDefault="00007FFB" w:rsidP="00007FFB">
            <w:pPr>
              <w:ind w:left="0" w:right="0"/>
              <w:rPr>
                <w:sz w:val="20"/>
                <w:szCs w:val="20"/>
              </w:rPr>
            </w:pPr>
          </w:p>
        </w:tc>
        <w:tc>
          <w:tcPr>
            <w:tcW w:w="2834" w:type="dxa"/>
          </w:tcPr>
          <w:p w14:paraId="4FE91CE1" w14:textId="77777777" w:rsidR="00007FFB" w:rsidRPr="00007FFB" w:rsidRDefault="00007FFB" w:rsidP="00007FFB">
            <w:pPr>
              <w:ind w:left="0" w:right="0"/>
              <w:rPr>
                <w:sz w:val="20"/>
                <w:szCs w:val="20"/>
              </w:rPr>
            </w:pPr>
            <w:r w:rsidRPr="00007FFB">
              <w:rPr>
                <w:sz w:val="20"/>
                <w:szCs w:val="20"/>
              </w:rPr>
              <w:t>Malignancy or systemic diseases affecting the immune system (</w:t>
            </w:r>
            <w:r w:rsidR="00C76A34">
              <w:rPr>
                <w:sz w:val="20"/>
                <w:szCs w:val="20"/>
              </w:rPr>
              <w:t>for example</w:t>
            </w:r>
            <w:r w:rsidRPr="00007FFB">
              <w:rPr>
                <w:sz w:val="20"/>
                <w:szCs w:val="20"/>
              </w:rPr>
              <w:t xml:space="preserve"> autoimmune diseases, immune complex diseases or immune deficiency diseases)</w:t>
            </w:r>
            <w:r>
              <w:rPr>
                <w:sz w:val="20"/>
                <w:szCs w:val="20"/>
              </w:rPr>
              <w:t>#</w:t>
            </w:r>
          </w:p>
        </w:tc>
        <w:tc>
          <w:tcPr>
            <w:tcW w:w="1276" w:type="dxa"/>
            <w:vAlign w:val="center"/>
          </w:tcPr>
          <w:p w14:paraId="4FE91CE2" w14:textId="77777777" w:rsidR="00007FFB" w:rsidRPr="00007FFB" w:rsidRDefault="00007FFB" w:rsidP="00007FFB">
            <w:pPr>
              <w:ind w:left="0" w:right="0"/>
              <w:jc w:val="center"/>
              <w:rPr>
                <w:sz w:val="20"/>
                <w:szCs w:val="20"/>
              </w:rPr>
            </w:pPr>
            <w:r w:rsidRPr="00007FFB">
              <w:rPr>
                <w:sz w:val="20"/>
                <w:szCs w:val="20"/>
              </w:rPr>
              <w:sym w:font="Wingdings" w:char="F0FC"/>
            </w:r>
          </w:p>
        </w:tc>
        <w:tc>
          <w:tcPr>
            <w:tcW w:w="1134" w:type="dxa"/>
            <w:vAlign w:val="center"/>
          </w:tcPr>
          <w:p w14:paraId="4FE91CE3" w14:textId="77777777" w:rsidR="00007FFB" w:rsidRPr="00007FFB" w:rsidRDefault="00007FFB" w:rsidP="00007FFB">
            <w:pPr>
              <w:ind w:left="0" w:right="0"/>
              <w:jc w:val="center"/>
              <w:rPr>
                <w:sz w:val="20"/>
                <w:szCs w:val="20"/>
              </w:rPr>
            </w:pPr>
            <w:r w:rsidRPr="00007FFB">
              <w:rPr>
                <w:sz w:val="20"/>
                <w:szCs w:val="20"/>
              </w:rPr>
              <w:t>–</w:t>
            </w:r>
          </w:p>
        </w:tc>
        <w:tc>
          <w:tcPr>
            <w:tcW w:w="992" w:type="dxa"/>
            <w:vAlign w:val="center"/>
          </w:tcPr>
          <w:p w14:paraId="4FE91CE4" w14:textId="77777777" w:rsidR="00007FFB" w:rsidRPr="00007FFB" w:rsidRDefault="00007FFB" w:rsidP="00007FFB">
            <w:pPr>
              <w:ind w:left="0" w:right="0"/>
              <w:jc w:val="center"/>
              <w:rPr>
                <w:sz w:val="20"/>
                <w:szCs w:val="20"/>
              </w:rPr>
            </w:pPr>
            <w:r w:rsidRPr="00007FFB">
              <w:rPr>
                <w:sz w:val="20"/>
                <w:szCs w:val="20"/>
              </w:rPr>
              <w:sym w:font="Wingdings" w:char="F0FC"/>
            </w:r>
          </w:p>
        </w:tc>
        <w:tc>
          <w:tcPr>
            <w:tcW w:w="1134" w:type="dxa"/>
            <w:vAlign w:val="center"/>
          </w:tcPr>
          <w:p w14:paraId="4FE91CE5" w14:textId="77777777" w:rsidR="00007FFB" w:rsidRPr="00007FFB" w:rsidRDefault="00007FFB" w:rsidP="00007FFB">
            <w:pPr>
              <w:ind w:left="0" w:right="0"/>
              <w:jc w:val="center"/>
              <w:rPr>
                <w:sz w:val="20"/>
                <w:szCs w:val="20"/>
              </w:rPr>
            </w:pPr>
            <w:r w:rsidRPr="00007FFB">
              <w:rPr>
                <w:sz w:val="20"/>
                <w:szCs w:val="20"/>
              </w:rPr>
              <w:t>–</w:t>
            </w:r>
          </w:p>
        </w:tc>
      </w:tr>
      <w:tr w:rsidR="00007FFB" w:rsidRPr="00007FFB" w14:paraId="4FE91CED" w14:textId="77777777" w:rsidTr="00A13958">
        <w:trPr>
          <w:trHeight w:val="136"/>
        </w:trPr>
        <w:tc>
          <w:tcPr>
            <w:tcW w:w="1243" w:type="dxa"/>
            <w:vMerge/>
          </w:tcPr>
          <w:p w14:paraId="4FE91CE7" w14:textId="77777777" w:rsidR="00007FFB" w:rsidRPr="00007FFB" w:rsidRDefault="00007FFB" w:rsidP="00007FFB">
            <w:pPr>
              <w:ind w:left="0" w:right="0"/>
              <w:rPr>
                <w:sz w:val="20"/>
                <w:szCs w:val="20"/>
              </w:rPr>
            </w:pPr>
          </w:p>
        </w:tc>
        <w:tc>
          <w:tcPr>
            <w:tcW w:w="2834" w:type="dxa"/>
          </w:tcPr>
          <w:p w14:paraId="4FE91CE8" w14:textId="77777777" w:rsidR="00007FFB" w:rsidRPr="00007FFB" w:rsidRDefault="00007FFB" w:rsidP="00007FFB">
            <w:pPr>
              <w:ind w:left="0" w:right="0"/>
              <w:rPr>
                <w:sz w:val="20"/>
                <w:szCs w:val="20"/>
              </w:rPr>
            </w:pPr>
            <w:r w:rsidRPr="00007FFB">
              <w:rPr>
                <w:sz w:val="20"/>
                <w:szCs w:val="20"/>
              </w:rPr>
              <w:t xml:space="preserve">Children with symptoms of, or treatment for, upper </w:t>
            </w:r>
            <w:r w:rsidRPr="00007FFB">
              <w:rPr>
                <w:sz w:val="20"/>
                <w:szCs w:val="20"/>
              </w:rPr>
              <w:lastRenderedPageBreak/>
              <w:t>respiratory tract infection, acute sinusitis, acute otitis media or other relevant infectious process at randomisation have been excluded from clinical trials as inter</w:t>
            </w:r>
            <w:r w:rsidR="00AD1BB3">
              <w:rPr>
                <w:sz w:val="20"/>
                <w:szCs w:val="20"/>
              </w:rPr>
              <w:t>-</w:t>
            </w:r>
            <w:r w:rsidRPr="00007FFB">
              <w:rPr>
                <w:sz w:val="20"/>
                <w:szCs w:val="20"/>
              </w:rPr>
              <w:t>current infections are a concern at initiation of treatment before the patient has developed tolerance.</w:t>
            </w:r>
            <w:r w:rsidRPr="00AD1BB3">
              <w:rPr>
                <w:sz w:val="20"/>
                <w:szCs w:val="20"/>
                <w:vertAlign w:val="superscript"/>
              </w:rPr>
              <w:t>#</w:t>
            </w:r>
          </w:p>
        </w:tc>
        <w:tc>
          <w:tcPr>
            <w:tcW w:w="1276" w:type="dxa"/>
            <w:vAlign w:val="center"/>
          </w:tcPr>
          <w:p w14:paraId="4FE91CE9" w14:textId="77777777" w:rsidR="00007FFB" w:rsidRPr="00007FFB" w:rsidRDefault="00007FFB" w:rsidP="00007FFB">
            <w:pPr>
              <w:ind w:left="0" w:right="0"/>
              <w:jc w:val="center"/>
              <w:rPr>
                <w:sz w:val="20"/>
                <w:szCs w:val="20"/>
              </w:rPr>
            </w:pPr>
            <w:r w:rsidRPr="00007FFB">
              <w:rPr>
                <w:sz w:val="20"/>
                <w:szCs w:val="20"/>
              </w:rPr>
              <w:lastRenderedPageBreak/>
              <w:sym w:font="Wingdings" w:char="F0FC"/>
            </w:r>
          </w:p>
        </w:tc>
        <w:tc>
          <w:tcPr>
            <w:tcW w:w="1134" w:type="dxa"/>
            <w:vAlign w:val="center"/>
          </w:tcPr>
          <w:p w14:paraId="4FE91CEA" w14:textId="77777777" w:rsidR="00007FFB" w:rsidRPr="00007FFB" w:rsidRDefault="00007FFB" w:rsidP="00007FFB">
            <w:pPr>
              <w:ind w:left="0" w:right="0"/>
              <w:jc w:val="center"/>
              <w:rPr>
                <w:sz w:val="20"/>
                <w:szCs w:val="20"/>
              </w:rPr>
            </w:pPr>
            <w:r w:rsidRPr="00007FFB">
              <w:rPr>
                <w:sz w:val="20"/>
                <w:szCs w:val="20"/>
              </w:rPr>
              <w:t>–</w:t>
            </w:r>
          </w:p>
        </w:tc>
        <w:tc>
          <w:tcPr>
            <w:tcW w:w="992" w:type="dxa"/>
            <w:vAlign w:val="center"/>
          </w:tcPr>
          <w:p w14:paraId="4FE91CEB" w14:textId="77777777" w:rsidR="00007FFB" w:rsidRPr="00007FFB" w:rsidRDefault="00007FFB" w:rsidP="00007FFB">
            <w:pPr>
              <w:ind w:left="0" w:right="0"/>
              <w:jc w:val="center"/>
              <w:rPr>
                <w:sz w:val="20"/>
                <w:szCs w:val="20"/>
              </w:rPr>
            </w:pPr>
            <w:r w:rsidRPr="00007FFB">
              <w:rPr>
                <w:sz w:val="20"/>
                <w:szCs w:val="20"/>
              </w:rPr>
              <w:sym w:font="Wingdings" w:char="F0FC"/>
            </w:r>
          </w:p>
        </w:tc>
        <w:tc>
          <w:tcPr>
            <w:tcW w:w="1134" w:type="dxa"/>
            <w:vAlign w:val="center"/>
          </w:tcPr>
          <w:p w14:paraId="4FE91CEC" w14:textId="77777777" w:rsidR="00007FFB" w:rsidRPr="00007FFB" w:rsidRDefault="00007FFB" w:rsidP="00007FFB">
            <w:pPr>
              <w:ind w:left="0" w:right="0"/>
              <w:jc w:val="center"/>
              <w:rPr>
                <w:sz w:val="20"/>
                <w:szCs w:val="20"/>
              </w:rPr>
            </w:pPr>
            <w:r w:rsidRPr="00007FFB">
              <w:rPr>
                <w:sz w:val="20"/>
                <w:szCs w:val="20"/>
              </w:rPr>
              <w:t>–</w:t>
            </w:r>
          </w:p>
        </w:tc>
      </w:tr>
      <w:tr w:rsidR="000F75C0" w:rsidRPr="00007FFB" w14:paraId="4FE91CF4" w14:textId="77777777" w:rsidTr="00A13958">
        <w:trPr>
          <w:trHeight w:val="1320"/>
        </w:trPr>
        <w:tc>
          <w:tcPr>
            <w:tcW w:w="1243" w:type="dxa"/>
            <w:vMerge/>
          </w:tcPr>
          <w:p w14:paraId="4FE91CEE" w14:textId="77777777" w:rsidR="000F75C0" w:rsidRPr="00007FFB" w:rsidRDefault="000F75C0" w:rsidP="00007FFB">
            <w:pPr>
              <w:ind w:left="0" w:right="0"/>
              <w:rPr>
                <w:sz w:val="20"/>
                <w:szCs w:val="20"/>
              </w:rPr>
            </w:pPr>
          </w:p>
        </w:tc>
        <w:tc>
          <w:tcPr>
            <w:tcW w:w="2834" w:type="dxa"/>
          </w:tcPr>
          <w:p w14:paraId="4FE91CEF" w14:textId="5BE3AA1B" w:rsidR="000F75C0" w:rsidRPr="00007FFB" w:rsidRDefault="000F75C0" w:rsidP="00007FFB">
            <w:pPr>
              <w:ind w:left="0" w:right="0"/>
              <w:rPr>
                <w:sz w:val="20"/>
                <w:szCs w:val="20"/>
              </w:rPr>
            </w:pPr>
            <w:r w:rsidRPr="00007FFB">
              <w:rPr>
                <w:sz w:val="20"/>
                <w:szCs w:val="20"/>
              </w:rPr>
              <w:t>Simultaneous immunotherapy with other allergens</w:t>
            </w:r>
            <w:r>
              <w:rPr>
                <w:sz w:val="20"/>
                <w:szCs w:val="20"/>
              </w:rPr>
              <w:t>#</w:t>
            </w:r>
          </w:p>
        </w:tc>
        <w:tc>
          <w:tcPr>
            <w:tcW w:w="1276" w:type="dxa"/>
            <w:vAlign w:val="center"/>
          </w:tcPr>
          <w:p w14:paraId="4FE91CF0" w14:textId="4801A82C" w:rsidR="000F75C0" w:rsidRPr="00007FFB" w:rsidRDefault="000F75C0" w:rsidP="00A13958">
            <w:pPr>
              <w:ind w:left="0" w:right="0"/>
              <w:jc w:val="center"/>
              <w:rPr>
                <w:sz w:val="20"/>
                <w:szCs w:val="20"/>
              </w:rPr>
            </w:pPr>
            <w:r w:rsidRPr="00007FFB">
              <w:rPr>
                <w:sz w:val="20"/>
                <w:szCs w:val="20"/>
              </w:rPr>
              <w:sym w:font="Wingdings" w:char="F0FC"/>
            </w:r>
          </w:p>
        </w:tc>
        <w:tc>
          <w:tcPr>
            <w:tcW w:w="1134" w:type="dxa"/>
            <w:vAlign w:val="center"/>
          </w:tcPr>
          <w:p w14:paraId="4FE91CF1" w14:textId="029D7C13" w:rsidR="000F75C0" w:rsidRPr="00007FFB" w:rsidRDefault="000F75C0" w:rsidP="00A13958">
            <w:pPr>
              <w:ind w:left="0" w:right="0"/>
              <w:jc w:val="center"/>
              <w:rPr>
                <w:sz w:val="20"/>
                <w:szCs w:val="20"/>
              </w:rPr>
            </w:pPr>
            <w:r w:rsidRPr="00007FFB">
              <w:rPr>
                <w:sz w:val="20"/>
                <w:szCs w:val="20"/>
              </w:rPr>
              <w:t>–</w:t>
            </w:r>
          </w:p>
        </w:tc>
        <w:tc>
          <w:tcPr>
            <w:tcW w:w="992" w:type="dxa"/>
            <w:vAlign w:val="center"/>
          </w:tcPr>
          <w:p w14:paraId="4FE91CF2" w14:textId="6EADA171" w:rsidR="000F75C0" w:rsidRPr="00007FFB" w:rsidRDefault="000F75C0" w:rsidP="00A13958">
            <w:pPr>
              <w:ind w:left="0" w:right="0"/>
              <w:jc w:val="center"/>
              <w:rPr>
                <w:sz w:val="20"/>
                <w:szCs w:val="20"/>
              </w:rPr>
            </w:pPr>
            <w:r w:rsidRPr="00007FFB">
              <w:rPr>
                <w:sz w:val="20"/>
                <w:szCs w:val="20"/>
              </w:rPr>
              <w:sym w:font="Wingdings" w:char="F0FC"/>
            </w:r>
          </w:p>
        </w:tc>
        <w:tc>
          <w:tcPr>
            <w:tcW w:w="1134" w:type="dxa"/>
            <w:vAlign w:val="center"/>
          </w:tcPr>
          <w:p w14:paraId="4FE91CF3" w14:textId="16176344" w:rsidR="000F75C0" w:rsidRPr="00007FFB" w:rsidRDefault="000F75C0" w:rsidP="00A13958">
            <w:pPr>
              <w:ind w:left="0" w:right="0"/>
              <w:jc w:val="center"/>
              <w:rPr>
                <w:sz w:val="20"/>
                <w:szCs w:val="20"/>
              </w:rPr>
            </w:pPr>
            <w:r w:rsidRPr="00007FFB">
              <w:rPr>
                <w:sz w:val="20"/>
                <w:szCs w:val="20"/>
              </w:rPr>
              <w:t>–</w:t>
            </w:r>
          </w:p>
        </w:tc>
      </w:tr>
    </w:tbl>
    <w:p w14:paraId="4FE91CFC" w14:textId="77777777" w:rsidR="00007FFB" w:rsidRDefault="00007FFB" w:rsidP="00AD1BB3">
      <w:pPr>
        <w:pStyle w:val="TableDescription"/>
      </w:pPr>
      <w:r>
        <w:t>#</w:t>
      </w:r>
      <w:r w:rsidRPr="00007FFB">
        <w:t xml:space="preserve"> </w:t>
      </w:r>
      <w:r w:rsidRPr="00943595">
        <w:t xml:space="preserve">indicates safety concerns that were recommended for inclusion by the RMP evaluator, and which the </w:t>
      </w:r>
      <w:r w:rsidR="002D7A68">
        <w:t>sponsor</w:t>
      </w:r>
      <w:r w:rsidRPr="00943595">
        <w:t xml:space="preserve"> has committed to including at the next revision of the EU-RMP and ASA.</w:t>
      </w:r>
      <w:r>
        <w:t xml:space="preserve"> Adequate risk minimisation statements are included in the current version of the PI.</w:t>
      </w:r>
    </w:p>
    <w:p w14:paraId="4FE91CFD" w14:textId="77777777" w:rsidR="00007FFB" w:rsidRPr="00007FFB" w:rsidRDefault="00007FFB" w:rsidP="00007FFB">
      <w:pPr>
        <w:pStyle w:val="Heading3"/>
      </w:pPr>
      <w:bookmarkStart w:id="160" w:name="_Toc464135076"/>
      <w:bookmarkStart w:id="161" w:name="_Toc511209804"/>
      <w:r w:rsidRPr="00007FFB">
        <w:t>New and outstanding recommendations - Round 2</w:t>
      </w:r>
      <w:bookmarkEnd w:id="160"/>
      <w:bookmarkEnd w:id="161"/>
    </w:p>
    <w:p w14:paraId="4FE91CFE" w14:textId="77777777" w:rsidR="00007FFB" w:rsidRPr="00007FFB" w:rsidRDefault="00007FFB" w:rsidP="00007FFB">
      <w:r w:rsidRPr="00007FFB">
        <w:t xml:space="preserve">The sponsor has adequately addressed the recommendations made in the first round RMP evaluation. The </w:t>
      </w:r>
      <w:r w:rsidR="002D7A68">
        <w:t>sponsor</w:t>
      </w:r>
      <w:r w:rsidRPr="00007FFB">
        <w:t xml:space="preserve"> has committed to update the Summary of Safety Concerns in accordance with the recommendations of the RMP </w:t>
      </w:r>
      <w:r w:rsidR="00AD1BB3">
        <w:t>evaluator</w:t>
      </w:r>
      <w:r w:rsidRPr="00007FFB">
        <w:t xml:space="preserve">. Specifically, it is noted that the </w:t>
      </w:r>
      <w:r w:rsidR="002D7A68">
        <w:t>sponsor</w:t>
      </w:r>
      <w:r w:rsidRPr="00007FFB">
        <w:t xml:space="preserve"> has committed to add the following safety concerns as missing information:</w:t>
      </w:r>
    </w:p>
    <w:p w14:paraId="4FE91CFF" w14:textId="77777777" w:rsidR="00007FFB" w:rsidRPr="00007FFB" w:rsidRDefault="00007FFB" w:rsidP="00007FFB">
      <w:pPr>
        <w:pStyle w:val="ListBullet"/>
      </w:pPr>
      <w:r w:rsidRPr="00007FFB">
        <w:t>inflammatory condition in the oral cavity</w:t>
      </w:r>
    </w:p>
    <w:p w14:paraId="4FE91D00" w14:textId="77777777" w:rsidR="00007FFB" w:rsidRPr="00007FFB" w:rsidRDefault="00007FFB" w:rsidP="00007FFB">
      <w:pPr>
        <w:pStyle w:val="ListBullet"/>
      </w:pPr>
      <w:r w:rsidRPr="00007FFB">
        <w:t xml:space="preserve">Forced expiratory volume in 1 second (FEV1) </w:t>
      </w:r>
      <w:r w:rsidR="004C74AA">
        <w:t xml:space="preserve">&lt; </w:t>
      </w:r>
      <w:r w:rsidR="00AD1BB3">
        <w:t>70% of predicted value (adults)</w:t>
      </w:r>
    </w:p>
    <w:p w14:paraId="4FE91D01" w14:textId="77777777" w:rsidR="00007FFB" w:rsidRPr="00007FFB" w:rsidRDefault="00007FFB" w:rsidP="00007FFB">
      <w:pPr>
        <w:pStyle w:val="ListBullet"/>
      </w:pPr>
      <w:r w:rsidRPr="00007FFB">
        <w:t>severe asthma (children)</w:t>
      </w:r>
    </w:p>
    <w:p w14:paraId="4FE91D02" w14:textId="77777777" w:rsidR="00007FFB" w:rsidRPr="00007FFB" w:rsidRDefault="00007FFB" w:rsidP="00007FFB">
      <w:pPr>
        <w:pStyle w:val="ListBullet"/>
      </w:pPr>
      <w:r w:rsidRPr="00007FFB">
        <w:t>Malignancy or systemic diseases affecting the immune system (</w:t>
      </w:r>
      <w:r w:rsidR="00C76A34">
        <w:t>for example</w:t>
      </w:r>
      <w:r w:rsidRPr="00007FFB">
        <w:t xml:space="preserve"> autoimmune diseases, immune complex diseases or immune deficiency diseases)</w:t>
      </w:r>
    </w:p>
    <w:p w14:paraId="4FE91D03" w14:textId="77777777" w:rsidR="00007FFB" w:rsidRPr="00007FFB" w:rsidRDefault="00007FFB" w:rsidP="00007FFB">
      <w:pPr>
        <w:pStyle w:val="ListBullet"/>
      </w:pPr>
      <w:r w:rsidRPr="00007FFB">
        <w:t>Children with symptoms of, or treatment for, upper respiratory tract infection, acute sinusitis, acute otitis media or other relevant infectious process at randomisation have been excluded from clinical trials as inter</w:t>
      </w:r>
      <w:r>
        <w:t>-</w:t>
      </w:r>
      <w:r w:rsidRPr="00007FFB">
        <w:t>current infections are a concern at initiation of treatment before the patient has developed tolerance.</w:t>
      </w:r>
    </w:p>
    <w:p w14:paraId="4FE91D04" w14:textId="77777777" w:rsidR="00007FFB" w:rsidRPr="00007FFB" w:rsidRDefault="00007FFB" w:rsidP="00007FFB">
      <w:pPr>
        <w:pStyle w:val="ListBullet"/>
      </w:pPr>
      <w:r w:rsidRPr="00007FFB">
        <w:t>simultaneous immunotherapy with other allergens</w:t>
      </w:r>
    </w:p>
    <w:p w14:paraId="4FE91D05" w14:textId="77777777" w:rsidR="005479B1" w:rsidRDefault="00007FFB" w:rsidP="00007FFB">
      <w:r w:rsidRPr="00007FFB">
        <w:t>The revised EU-RMP and ASA should also document the pharmacovigilance and risk minimisation activities for these items of missing information, noting that the current version of the PI includes adequate risk minimisation measures</w:t>
      </w:r>
      <w:r w:rsidR="005479B1">
        <w:t>.</w:t>
      </w:r>
    </w:p>
    <w:p w14:paraId="4FE91D06" w14:textId="77777777" w:rsidR="00007FFB" w:rsidRPr="00007FFB" w:rsidRDefault="00007FFB" w:rsidP="00007FFB">
      <w:r w:rsidRPr="00007FFB">
        <w:t xml:space="preserve">The PI and the CMI have been revised incorporating recommendations made by the RMP </w:t>
      </w:r>
      <w:r w:rsidR="00AD1BB3">
        <w:t>evaluator</w:t>
      </w:r>
      <w:r w:rsidRPr="00007FFB">
        <w:t xml:space="preserve"> and the ASA has been updated with the corresponding PI changes. However, the RMP </w:t>
      </w:r>
      <w:r w:rsidR="00AD1BB3">
        <w:t>evaluator</w:t>
      </w:r>
      <w:r w:rsidRPr="00007FFB">
        <w:t xml:space="preserve"> notes that there are outstanding recommendations including changes to the PI and CMI that were raised in the first </w:t>
      </w:r>
      <w:r w:rsidR="00AD1BB3" w:rsidRPr="00007FFB">
        <w:t>round clinical evaluation report</w:t>
      </w:r>
      <w:r w:rsidRPr="00007FFB">
        <w:t>.</w:t>
      </w:r>
    </w:p>
    <w:p w14:paraId="4FE91D07" w14:textId="77777777" w:rsidR="00007FFB" w:rsidRPr="00007FFB" w:rsidRDefault="00007FFB" w:rsidP="00007FFB">
      <w:pPr>
        <w:pStyle w:val="Heading3"/>
      </w:pPr>
      <w:bookmarkStart w:id="162" w:name="_Toc464135077"/>
      <w:bookmarkStart w:id="163" w:name="_Toc511209805"/>
      <w:r w:rsidRPr="00007FFB">
        <w:t>Wording for conditions of registration</w:t>
      </w:r>
      <w:bookmarkEnd w:id="162"/>
      <w:bookmarkEnd w:id="163"/>
    </w:p>
    <w:p w14:paraId="4FE91D08" w14:textId="77777777" w:rsidR="00007FFB" w:rsidRPr="00007FFB" w:rsidRDefault="00007FFB" w:rsidP="00007FFB">
      <w:r w:rsidRPr="00007FFB">
        <w:t>Any changes to which the sponsor has agreed should be included in a revised RMP and ASA. However, irrespective of whether or not they are included in the currently available version of the RMP document, the agreed changes become part of the risk management system</w:t>
      </w:r>
      <w:r>
        <w:t>.</w:t>
      </w:r>
    </w:p>
    <w:p w14:paraId="4FE91D09" w14:textId="77777777" w:rsidR="00007FFB" w:rsidRPr="00007FFB" w:rsidRDefault="00007FFB" w:rsidP="00007FFB">
      <w:r w:rsidRPr="00007FFB">
        <w:lastRenderedPageBreak/>
        <w:t xml:space="preserve">The suggested wording is: Implement EU-RMP (version 8; 10 </w:t>
      </w:r>
      <w:r w:rsidR="00EB112B">
        <w:t>March</w:t>
      </w:r>
      <w:r w:rsidRPr="00007FFB">
        <w:t xml:space="preserve"> 2015; DLP 24 June 2013) with Australian Specific Annex (version 2; date 23 August 2016), submitted with application PM-2015-03979-1-2, and any future updates as a condition of registration.</w:t>
      </w:r>
    </w:p>
    <w:p w14:paraId="4FE91D0A" w14:textId="1E9BCD6F" w:rsidR="008E7846" w:rsidRPr="00792A32" w:rsidRDefault="008E7846" w:rsidP="008E7846">
      <w:pPr>
        <w:pStyle w:val="Heading2"/>
      </w:pPr>
      <w:bookmarkStart w:id="164" w:name="_Toc247691527"/>
      <w:bookmarkStart w:id="165" w:name="_Toc314842510"/>
      <w:bookmarkStart w:id="166" w:name="_Toc511209806"/>
      <w:r>
        <w:t>VI</w:t>
      </w:r>
      <w:r w:rsidR="004B00E9">
        <w:t>I</w:t>
      </w:r>
      <w:r>
        <w:t xml:space="preserve">.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145"/>
      <w:bookmarkEnd w:id="164"/>
      <w:bookmarkEnd w:id="165"/>
      <w:bookmarkEnd w:id="166"/>
    </w:p>
    <w:p w14:paraId="4FE91D0B" w14:textId="77777777" w:rsidR="008E7846" w:rsidRDefault="008E7846" w:rsidP="008E7846">
      <w:bookmarkStart w:id="167" w:name="_Toc247691528"/>
      <w:r>
        <w:t xml:space="preserve">The submission was summarised in the following </w:t>
      </w:r>
      <w:r w:rsidRPr="00EF5C48">
        <w:t xml:space="preserve">Delegate’s </w:t>
      </w:r>
      <w:r>
        <w:t>overview</w:t>
      </w:r>
      <w:r w:rsidRPr="00EF5C48">
        <w:t xml:space="preserve"> and recommendation</w:t>
      </w:r>
      <w:r>
        <w:t>s:</w:t>
      </w:r>
    </w:p>
    <w:p w14:paraId="4FE91D0C" w14:textId="77777777" w:rsidR="0086394A" w:rsidRPr="0086394A" w:rsidRDefault="0086394A" w:rsidP="001E049B">
      <w:pPr>
        <w:pStyle w:val="Heading3"/>
      </w:pPr>
      <w:bookmarkStart w:id="168" w:name="_Toc511209807"/>
      <w:r w:rsidRPr="0086394A">
        <w:t>Background</w:t>
      </w:r>
      <w:bookmarkEnd w:id="168"/>
    </w:p>
    <w:p w14:paraId="4FE91D0D" w14:textId="77777777" w:rsidR="0086394A" w:rsidRPr="0086394A" w:rsidRDefault="0086394A" w:rsidP="0086394A">
      <w:r w:rsidRPr="0086394A">
        <w:t>This submission seeks the registration of a new biological substance, Grazax. Grazax is an allergen extract of grass pollen from Timothy grass (</w:t>
      </w:r>
      <w:r w:rsidR="002D7A68" w:rsidRPr="002D7A68">
        <w:rPr>
          <w:i/>
        </w:rPr>
        <w:t>Phleum pratense</w:t>
      </w:r>
      <w:r w:rsidRPr="0086394A">
        <w:t>). The proposed indications are:</w:t>
      </w:r>
    </w:p>
    <w:p w14:paraId="4FE91D0E" w14:textId="77777777" w:rsidR="0086394A" w:rsidRPr="0086394A" w:rsidRDefault="00FA2591" w:rsidP="0086394A">
      <w:pPr>
        <w:ind w:left="720"/>
        <w:rPr>
          <w:i/>
        </w:rPr>
      </w:pPr>
      <w:r>
        <w:rPr>
          <w:i/>
        </w:rPr>
        <w:t>Grazax</w:t>
      </w:r>
      <w:r w:rsidR="0086394A" w:rsidRPr="0086394A">
        <w:rPr>
          <w:i/>
        </w:rPr>
        <w:t xml:space="preserve"> is indicated for treatment and disease-modification of diagnosed grass pollen allergic rhinitis with or without conjunctivitis. </w:t>
      </w:r>
      <w:r>
        <w:rPr>
          <w:i/>
        </w:rPr>
        <w:t>Grazax</w:t>
      </w:r>
      <w:r w:rsidR="0086394A" w:rsidRPr="0086394A">
        <w:rPr>
          <w:i/>
        </w:rPr>
        <w:t xml:space="preserve"> is approved for use in persons aged 5 years or older.</w:t>
      </w:r>
    </w:p>
    <w:p w14:paraId="4FE91D0F" w14:textId="77777777" w:rsidR="0086394A" w:rsidRPr="0086394A" w:rsidRDefault="0086394A" w:rsidP="0086394A">
      <w:r w:rsidRPr="0086394A">
        <w:t>The submission proposes registration of the following dosag</w:t>
      </w:r>
      <w:r>
        <w:t>e form and strength:</w:t>
      </w:r>
    </w:p>
    <w:p w14:paraId="4FE91D10" w14:textId="77777777" w:rsidR="0086394A" w:rsidRPr="0086394A" w:rsidRDefault="0086394A" w:rsidP="00AD1BB3">
      <w:pPr>
        <w:ind w:left="720"/>
      </w:pPr>
      <w:r w:rsidRPr="0086394A">
        <w:t>Allergenic extract of standardised grass pollen extract, Timothy grass (</w:t>
      </w:r>
      <w:r w:rsidR="002D7A68" w:rsidRPr="002D7A68">
        <w:rPr>
          <w:i/>
        </w:rPr>
        <w:t>Phleum pratense</w:t>
      </w:r>
      <w:r w:rsidRPr="0086394A">
        <w:t>) 75,000 SQ-T in pack sizes of 10, 30, 90 and 100 tablets</w:t>
      </w:r>
      <w:r w:rsidR="00AD1BB3">
        <w:t>.</w:t>
      </w:r>
    </w:p>
    <w:p w14:paraId="4FE91D11" w14:textId="77777777" w:rsidR="0086394A" w:rsidRPr="0086394A" w:rsidRDefault="0086394A" w:rsidP="0086394A">
      <w:r w:rsidRPr="0086394A">
        <w:t xml:space="preserve">The proposed </w:t>
      </w:r>
      <w:bookmarkStart w:id="169" w:name="_Toc272414598"/>
      <w:bookmarkStart w:id="170" w:name="_Toc290846220"/>
      <w:bookmarkStart w:id="171" w:name="_Toc449426902"/>
      <w:r w:rsidRPr="0086394A">
        <w:t>Dosage and Administration</w:t>
      </w:r>
      <w:bookmarkEnd w:id="169"/>
      <w:bookmarkEnd w:id="170"/>
      <w:bookmarkEnd w:id="171"/>
      <w:r w:rsidRPr="0086394A">
        <w:t xml:space="preserve"> in the Product Information (PI):</w:t>
      </w:r>
    </w:p>
    <w:p w14:paraId="4FE91D12" w14:textId="77777777" w:rsidR="0086394A" w:rsidRPr="0086394A" w:rsidRDefault="0086394A" w:rsidP="00AD1BB3">
      <w:pPr>
        <w:ind w:left="720"/>
      </w:pPr>
      <w:r w:rsidRPr="0086394A">
        <w:t xml:space="preserve">Treatment with </w:t>
      </w:r>
      <w:r w:rsidR="00FA2591">
        <w:t>Grazax</w:t>
      </w:r>
      <w:r w:rsidRPr="0086394A">
        <w:t xml:space="preserve"> should be initiated by a clinician with experience in treatment of allergies. Patients should have a confirmed clinical history and a positive test of grass pollen sensitisation (skin prick test and/or specific </w:t>
      </w:r>
      <w:proofErr w:type="spellStart"/>
      <w:r w:rsidRPr="0086394A">
        <w:t>IgE</w:t>
      </w:r>
      <w:proofErr w:type="spellEnd"/>
      <w:r w:rsidRPr="0086394A">
        <w:t>) prior to treatment.</w:t>
      </w:r>
    </w:p>
    <w:p w14:paraId="4FE91D13" w14:textId="77777777" w:rsidR="0086394A" w:rsidRPr="0086394A" w:rsidRDefault="0086394A" w:rsidP="00AD1BB3">
      <w:pPr>
        <w:ind w:left="720"/>
      </w:pPr>
      <w:r w:rsidRPr="0086394A">
        <w:t>The recommended dose is one oral lyophilisate (75,000 SQ-T) daily.</w:t>
      </w:r>
    </w:p>
    <w:p w14:paraId="4FE91D14" w14:textId="77777777" w:rsidR="0086394A" w:rsidRPr="0086394A" w:rsidRDefault="0086394A" w:rsidP="00AD1BB3">
      <w:pPr>
        <w:ind w:left="720"/>
      </w:pPr>
      <w:r w:rsidRPr="0086394A">
        <w:t>It is recommended that the first oral lyophilisate is taken under medical supervision and that the patient is monitored for half an hour, to enable discussion and possible treatment of any immediate side effects.</w:t>
      </w:r>
    </w:p>
    <w:p w14:paraId="4FE91D15" w14:textId="2FC110BC" w:rsidR="0086394A" w:rsidRPr="0086394A" w:rsidRDefault="0086394A" w:rsidP="00AD1BB3">
      <w:pPr>
        <w:ind w:left="720"/>
      </w:pPr>
      <w:r w:rsidRPr="0086394A">
        <w:t xml:space="preserve">The oral lyophilisate should be taken with dry fingers from the blister unit immediately after opening the blister and placed under the tongue, where it will disperse. Swallowing should be avoided for </w:t>
      </w:r>
      <w:r w:rsidR="0028468D">
        <w:t xml:space="preserve">approximately </w:t>
      </w:r>
      <w:r w:rsidRPr="0086394A">
        <w:t>1 minute. Food and beverage should not be consumed for the following 5 minutes.</w:t>
      </w:r>
    </w:p>
    <w:p w14:paraId="4FE91D16" w14:textId="77777777" w:rsidR="0086394A" w:rsidRPr="0086394A" w:rsidRDefault="0086394A" w:rsidP="00AD1BB3">
      <w:pPr>
        <w:ind w:left="720"/>
      </w:pPr>
      <w:r w:rsidRPr="0086394A">
        <w:t xml:space="preserve">For seasonal treatment, treatment should be initiated at least 16 weeks before the </w:t>
      </w:r>
      <w:r w:rsidR="0082122C">
        <w:t>GPS</w:t>
      </w:r>
      <w:r w:rsidRPr="0086394A">
        <w:t xml:space="preserve"> and continue daily until the end of the </w:t>
      </w:r>
      <w:r w:rsidR="0082122C">
        <w:t>GPS</w:t>
      </w:r>
      <w:r w:rsidRPr="0086394A">
        <w:t xml:space="preserve">. If treatment is initiated 2-3 months before the </w:t>
      </w:r>
      <w:r w:rsidR="0082122C">
        <w:t>GPS</w:t>
      </w:r>
      <w:r w:rsidRPr="0086394A">
        <w:t xml:space="preserve"> some efficacy may also be obtained.</w:t>
      </w:r>
    </w:p>
    <w:p w14:paraId="4FE91D17" w14:textId="77777777" w:rsidR="0086394A" w:rsidRPr="0086394A" w:rsidRDefault="0086394A" w:rsidP="00AD1BB3">
      <w:pPr>
        <w:ind w:left="720"/>
      </w:pPr>
      <w:r w:rsidRPr="0086394A">
        <w:t xml:space="preserve">For sustained effect and disease modification treatment should be continued daily for 3 consecutive years. See also </w:t>
      </w:r>
      <w:r w:rsidR="0082122C" w:rsidRPr="0086394A">
        <w:t>clinical trials</w:t>
      </w:r>
      <w:r w:rsidRPr="0086394A">
        <w:t>.</w:t>
      </w:r>
    </w:p>
    <w:p w14:paraId="4FE91D18" w14:textId="77777777" w:rsidR="0086394A" w:rsidRPr="0086394A" w:rsidRDefault="0086394A" w:rsidP="00AD1BB3">
      <w:pPr>
        <w:ind w:left="720"/>
      </w:pPr>
      <w:r w:rsidRPr="0086394A">
        <w:t xml:space="preserve">Efficacy data is available for 3 years of treatment and 2 years of follow-up in adults (see </w:t>
      </w:r>
      <w:r w:rsidR="0082122C" w:rsidRPr="0086394A">
        <w:t>clinical trials</w:t>
      </w:r>
      <w:r w:rsidRPr="0086394A">
        <w:t xml:space="preserve">). If no improvement is observed during the first year of treatment with </w:t>
      </w:r>
      <w:r w:rsidR="00FA2591">
        <w:t>Grazax</w:t>
      </w:r>
      <w:r w:rsidRPr="0086394A">
        <w:t xml:space="preserve"> there is no indication for continuing treatment.</w:t>
      </w:r>
    </w:p>
    <w:p w14:paraId="4FE91D19" w14:textId="77777777" w:rsidR="0086394A" w:rsidRPr="0086394A" w:rsidRDefault="00FA2591" w:rsidP="00AD1BB3">
      <w:pPr>
        <w:ind w:left="720"/>
      </w:pPr>
      <w:r>
        <w:t>Grazax</w:t>
      </w:r>
      <w:r w:rsidR="0086394A" w:rsidRPr="0086394A">
        <w:t xml:space="preserve"> is not recommended for use in patients below 5 years of age due to insufficient data on safety and efficacy in this population (see </w:t>
      </w:r>
      <w:r w:rsidR="0082122C" w:rsidRPr="0086394A">
        <w:t>precautions</w:t>
      </w:r>
      <w:r w:rsidR="0086394A" w:rsidRPr="0086394A">
        <w:t>).</w:t>
      </w:r>
    </w:p>
    <w:p w14:paraId="4FE91D1A" w14:textId="77777777" w:rsidR="00725C00" w:rsidRPr="0086394A" w:rsidRDefault="008E7846" w:rsidP="0086394A">
      <w:pPr>
        <w:pStyle w:val="Heading3"/>
      </w:pPr>
      <w:bookmarkStart w:id="172" w:name="_Toc314842511"/>
      <w:bookmarkStart w:id="173" w:name="_Toc511209808"/>
      <w:r>
        <w:t>Quality</w:t>
      </w:r>
      <w:bookmarkEnd w:id="167"/>
      <w:bookmarkEnd w:id="172"/>
      <w:bookmarkEnd w:id="173"/>
    </w:p>
    <w:p w14:paraId="4FE91D1B" w14:textId="77777777" w:rsidR="00725C00" w:rsidRPr="00725C00" w:rsidRDefault="00725C00" w:rsidP="00725C00">
      <w:r w:rsidRPr="00725C00">
        <w:t xml:space="preserve">There are no objections on quality grounds to the approval of </w:t>
      </w:r>
      <w:r w:rsidR="00FA2591">
        <w:t>Grazax</w:t>
      </w:r>
      <w:r w:rsidRPr="00725C00">
        <w:t xml:space="preserve"> [(standardised allerge</w:t>
      </w:r>
      <w:r w:rsidR="002D7A68">
        <w:t>n extract from Timothy grass, (</w:t>
      </w:r>
      <w:r w:rsidR="002D7A68" w:rsidRPr="002D7A68">
        <w:rPr>
          <w:i/>
        </w:rPr>
        <w:t>Phleum pratense</w:t>
      </w:r>
      <w:r w:rsidRPr="00725C00">
        <w:t>)], sublingual immunotherapy tablet, 75,000 SQ-T.</w:t>
      </w:r>
    </w:p>
    <w:p w14:paraId="4FE91D1C" w14:textId="77777777" w:rsidR="00725C00" w:rsidRDefault="00725C00" w:rsidP="00725C00">
      <w:r w:rsidRPr="00725C00">
        <w:lastRenderedPageBreak/>
        <w:t>Prop</w:t>
      </w:r>
      <w:r w:rsidR="00AD1BB3">
        <w:t xml:space="preserve">osed </w:t>
      </w:r>
      <w:r w:rsidR="0082122C">
        <w:t>conditions of registration</w:t>
      </w:r>
    </w:p>
    <w:p w14:paraId="4FE91D1D" w14:textId="77777777" w:rsidR="00725C00" w:rsidRDefault="00725C00" w:rsidP="00911E2B">
      <w:pPr>
        <w:pStyle w:val="Numberbullet0"/>
        <w:numPr>
          <w:ilvl w:val="0"/>
          <w:numId w:val="11"/>
        </w:numPr>
      </w:pPr>
      <w:r w:rsidRPr="00725C00">
        <w:t>Condition(s) of Registration res</w:t>
      </w:r>
      <w:r w:rsidR="00AD1BB3">
        <w:t>ulting from primary evaluation:</w:t>
      </w:r>
    </w:p>
    <w:p w14:paraId="4FE91D1E" w14:textId="77777777" w:rsidR="00725C00" w:rsidRPr="00725C00" w:rsidRDefault="00725C00" w:rsidP="00AD1BB3">
      <w:pPr>
        <w:ind w:left="425"/>
      </w:pPr>
      <w:r w:rsidRPr="00725C00">
        <w:t>It is requested that the approval letter contain an S14 exemption from TGO 69 for the blister pack as follows:</w:t>
      </w:r>
    </w:p>
    <w:p w14:paraId="4FE91D1F" w14:textId="77777777" w:rsidR="00725C00" w:rsidRPr="00725C00" w:rsidRDefault="00725C00" w:rsidP="00AD1BB3">
      <w:pPr>
        <w:ind w:left="425"/>
      </w:pPr>
      <w:r w:rsidRPr="00725C00">
        <w:t>Exemptions from compliance with the Therapeutic Goods Order No. 69 (TGO 69) clauses 3(2</w:t>
      </w:r>
      <w:proofErr w:type="gramStart"/>
      <w:r w:rsidRPr="00725C00">
        <w:t>)(</w:t>
      </w:r>
      <w:proofErr w:type="gramEnd"/>
      <w:r w:rsidRPr="00725C00">
        <w:t>b) “the name(s) of all active ingredients in the goods” and 3(13)(a).</w:t>
      </w:r>
    </w:p>
    <w:p w14:paraId="4FE91D20" w14:textId="77777777" w:rsidR="00725C00" w:rsidRPr="00725C00" w:rsidRDefault="00725C00" w:rsidP="00AD1BB3">
      <w:pPr>
        <w:ind w:left="425"/>
      </w:pPr>
      <w:r w:rsidRPr="00725C00">
        <w:t>The reason for this is as follows:</w:t>
      </w:r>
    </w:p>
    <w:p w14:paraId="4FE91D21" w14:textId="77777777" w:rsidR="00725C00" w:rsidRPr="00725C00" w:rsidRDefault="00725C00" w:rsidP="00AD1BB3">
      <w:pPr>
        <w:pStyle w:val="ListBullet"/>
        <w:ind w:left="785"/>
      </w:pPr>
      <w:r w:rsidRPr="00725C00">
        <w:t>The proposed EU blister foil for the 75,000 SQ-T tablet does not:</w:t>
      </w:r>
    </w:p>
    <w:p w14:paraId="4FE91D22" w14:textId="77777777" w:rsidR="00725C00" w:rsidRPr="00725C00" w:rsidRDefault="00725C00" w:rsidP="00AD1BB3">
      <w:pPr>
        <w:pStyle w:val="ListBullet2"/>
        <w:ind w:left="1145"/>
      </w:pPr>
      <w:r w:rsidRPr="00725C00">
        <w:t>Include the name of the active ingredient (</w:t>
      </w:r>
      <w:r w:rsidR="002D7A68" w:rsidRPr="002D7A68">
        <w:rPr>
          <w:i/>
        </w:rPr>
        <w:t>Phleum pratense</w:t>
      </w:r>
      <w:r w:rsidRPr="00725C00">
        <w:t xml:space="preserve">) </w:t>
      </w:r>
    </w:p>
    <w:p w14:paraId="4FE91D23" w14:textId="77777777" w:rsidR="00725C00" w:rsidRPr="00725C00" w:rsidRDefault="00725C00" w:rsidP="00AD1BB3">
      <w:pPr>
        <w:pStyle w:val="ListBullet2"/>
        <w:ind w:left="1145"/>
      </w:pPr>
      <w:r w:rsidRPr="00725C00">
        <w:t>Include the Seqirus name or trademark.</w:t>
      </w:r>
    </w:p>
    <w:p w14:paraId="4FE91D24" w14:textId="77777777" w:rsidR="00725C00" w:rsidRPr="00725C00" w:rsidRDefault="00AD1BB3" w:rsidP="00AD1BB3">
      <w:pPr>
        <w:pStyle w:val="Numberbullet0"/>
      </w:pPr>
      <w:r>
        <w:t>Batch release testing and</w:t>
      </w:r>
      <w:r w:rsidRPr="00725C00">
        <w:t xml:space="preserve"> compliance with certified product </w:t>
      </w:r>
      <w:r>
        <w:t>details.</w:t>
      </w:r>
    </w:p>
    <w:p w14:paraId="4FE91D25" w14:textId="77777777" w:rsidR="008E7846" w:rsidRDefault="008E7846" w:rsidP="008E7846">
      <w:pPr>
        <w:pStyle w:val="Heading3"/>
      </w:pPr>
      <w:bookmarkStart w:id="174" w:name="_Toc314842512"/>
      <w:bookmarkStart w:id="175" w:name="_Toc511209809"/>
      <w:r>
        <w:t>Nonclinical</w:t>
      </w:r>
      <w:bookmarkEnd w:id="174"/>
      <w:bookmarkEnd w:id="175"/>
    </w:p>
    <w:p w14:paraId="4FE91D26" w14:textId="77777777" w:rsidR="004A1412" w:rsidRPr="004A1412" w:rsidRDefault="004A1412" w:rsidP="004A1412">
      <w:r w:rsidRPr="004A1412">
        <w:t>There is no nonclinical objection to the registration of Grazax with the following caveats:</w:t>
      </w:r>
    </w:p>
    <w:p w14:paraId="4FE91D27" w14:textId="77777777" w:rsidR="005479B1" w:rsidRDefault="004A1412" w:rsidP="004A1412">
      <w:pPr>
        <w:pStyle w:val="ListBullet"/>
      </w:pPr>
      <w:r w:rsidRPr="004A1412">
        <w:t>The primary pharmacology section of the nonclinical dossier is limited in scope. Relevant primary pharmacology and pharmacodynamic studies are technically feasible in various animal models and are potentially important.</w:t>
      </w:r>
      <w:r w:rsidR="00FA2591">
        <w:t xml:space="preserve"> </w:t>
      </w:r>
      <w:r w:rsidRPr="004A1412">
        <w:t xml:space="preserve">The </w:t>
      </w:r>
      <w:r w:rsidR="002D7A68">
        <w:t>sponsor</w:t>
      </w:r>
      <w:r w:rsidRPr="004A1412">
        <w:t xml:space="preserve"> has not fully explored these possibilities. Issues pertaining to efficacy are likely to be best assessed using human data</w:t>
      </w:r>
      <w:r w:rsidR="005479B1">
        <w:t>.</w:t>
      </w:r>
    </w:p>
    <w:p w14:paraId="4FE91D28" w14:textId="77777777" w:rsidR="004A1412" w:rsidRPr="004A1412" w:rsidRDefault="004A1412" w:rsidP="004A1412">
      <w:pPr>
        <w:pStyle w:val="ListBullet"/>
      </w:pPr>
      <w:r w:rsidRPr="004A1412">
        <w:t>There is no clear correlation between nonclinical endpoints, nonclinical doses and human clinical efficacy.</w:t>
      </w:r>
      <w:r w:rsidR="00FA2591">
        <w:t xml:space="preserve"> </w:t>
      </w:r>
      <w:r w:rsidRPr="004A1412">
        <w:t>There is no clear nonclinical justification of the human clinical dose selection. Critically, there is no specific, reliable and reproducible way of directly measuring the desired treatment effects (</w:t>
      </w:r>
      <w:r w:rsidR="004A7F98">
        <w:t>that is</w:t>
      </w:r>
      <w:r w:rsidRPr="004A1412">
        <w:t xml:space="preserve"> clinically detectable desensit</w:t>
      </w:r>
      <w:r w:rsidR="004A7F98">
        <w:t>is</w:t>
      </w:r>
      <w:r w:rsidRPr="004A1412">
        <w:t>ation) except by using human clinical data.</w:t>
      </w:r>
    </w:p>
    <w:p w14:paraId="4FE91D29" w14:textId="77777777" w:rsidR="005479B1" w:rsidRDefault="004A1412" w:rsidP="004A1412">
      <w:pPr>
        <w:pStyle w:val="ListBullet"/>
      </w:pPr>
      <w:r w:rsidRPr="004A1412">
        <w:t>The major risks associated with human use of the product are most like</w:t>
      </w:r>
      <w:r w:rsidR="00AD1BB3">
        <w:t xml:space="preserve">ly to arise from adverse immune </w:t>
      </w:r>
      <w:r w:rsidRPr="004A1412">
        <w:t xml:space="preserve">mediated responses to the protein sub-fraction of the </w:t>
      </w:r>
      <w:proofErr w:type="spellStart"/>
      <w:r w:rsidRPr="004A1412">
        <w:t>Phl</w:t>
      </w:r>
      <w:proofErr w:type="spellEnd"/>
      <w:r w:rsidRPr="004A1412">
        <w:t xml:space="preserve"> p allergen extract used in Grazax.</w:t>
      </w:r>
      <w:r w:rsidR="00FA2591">
        <w:t xml:space="preserve"> </w:t>
      </w:r>
      <w:r w:rsidRPr="004A1412">
        <w:t>These risks are best assessed using human data</w:t>
      </w:r>
      <w:r w:rsidR="005479B1">
        <w:t>.</w:t>
      </w:r>
    </w:p>
    <w:p w14:paraId="4FE91D2A" w14:textId="77777777" w:rsidR="004A1412" w:rsidRPr="004A1412" w:rsidRDefault="004A1412" w:rsidP="004A1412">
      <w:pPr>
        <w:pStyle w:val="ListBullet"/>
      </w:pPr>
      <w:r w:rsidRPr="004A1412">
        <w:t>Assessment of safety properties in immunologically hypersensit</w:t>
      </w:r>
      <w:r w:rsidR="004A7F98">
        <w:t>is</w:t>
      </w:r>
      <w:r w:rsidRPr="004A1412">
        <w:t>ed human patients will largely depend on human clinical data since all the nonclinical in vivo toxicology was performed in normal, healthy animals.</w:t>
      </w:r>
    </w:p>
    <w:p w14:paraId="4FE91D2B" w14:textId="77777777" w:rsidR="004A1412" w:rsidRPr="004A1412" w:rsidRDefault="004A1412" w:rsidP="004A1412">
      <w:pPr>
        <w:pStyle w:val="ListBullet"/>
      </w:pPr>
      <w:r w:rsidRPr="004A1412">
        <w:t>The animal models used are unreliable predictors of the risk of anaphylactic, anaphylactoid and pseudoallergic reactions in humans. These aspects of safety assessment are best assessed on the basis of human clinical data.</w:t>
      </w:r>
    </w:p>
    <w:p w14:paraId="4FE91D2C" w14:textId="77777777" w:rsidR="004A1412" w:rsidRPr="004A1412" w:rsidRDefault="004A1412" w:rsidP="004A1412">
      <w:pPr>
        <w:pStyle w:val="ListBullet"/>
      </w:pPr>
      <w:r w:rsidRPr="004A1412">
        <w:t>No specific studies in juveniles have been performed. Safety assessment for this patient subpopulation will be entirely dependent on human clinical data.</w:t>
      </w:r>
    </w:p>
    <w:p w14:paraId="4FE91D2D" w14:textId="77777777" w:rsidR="004A1412" w:rsidRPr="004A1412" w:rsidRDefault="004A1412" w:rsidP="004A1412">
      <w:pPr>
        <w:pStyle w:val="ListBullet"/>
      </w:pPr>
      <w:r w:rsidRPr="004A1412">
        <w:t xml:space="preserve">Safety assessment in relation to the fish gelatine content of Grazax will largely </w:t>
      </w:r>
      <w:r w:rsidR="00B45165">
        <w:t>depend on human clinical data.</w:t>
      </w:r>
    </w:p>
    <w:p w14:paraId="4FE91D2E" w14:textId="77777777" w:rsidR="004A1412" w:rsidRPr="004A1412" w:rsidRDefault="004A1412" w:rsidP="004A1412">
      <w:pPr>
        <w:pStyle w:val="ListBullet"/>
      </w:pPr>
      <w:r w:rsidRPr="004A1412">
        <w:t xml:space="preserve">Major data limitations are present in the nonclinical dossier </w:t>
      </w:r>
      <w:r w:rsidR="004A7F98">
        <w:t>that is</w:t>
      </w:r>
      <w:r w:rsidRPr="004A1412">
        <w:t xml:space="preserve"> embryofetal development only examined in one (non-preferred) species, weak justification for not using the ICH preferred species (rats) in the </w:t>
      </w:r>
      <w:r w:rsidR="00AD1BB3" w:rsidRPr="004A1412">
        <w:t>embryofetal</w:t>
      </w:r>
      <w:r w:rsidRPr="004A1412">
        <w:t xml:space="preserve"> development study, no in vivo genotoxicity studies, no carcinogenicity studies, and no studies in juvenile animals.</w:t>
      </w:r>
    </w:p>
    <w:p w14:paraId="4FE91D2F" w14:textId="77777777" w:rsidR="004A1412" w:rsidRPr="004A1412" w:rsidRDefault="004A1412" w:rsidP="004A1412">
      <w:pPr>
        <w:pStyle w:val="ListBullet"/>
      </w:pPr>
      <w:r w:rsidRPr="004A1412">
        <w:t>The</w:t>
      </w:r>
      <w:r w:rsidR="00B45165">
        <w:t xml:space="preserve"> </w:t>
      </w:r>
      <w:r>
        <w:t xml:space="preserve">nonclinical evaluator also made recommendations with regard to the </w:t>
      </w:r>
      <w:r w:rsidRPr="004A1412">
        <w:t xml:space="preserve">draft Product Information </w:t>
      </w:r>
      <w:r w:rsidR="00B45165">
        <w:t>but these are beyond the scope of the AusPAR.</w:t>
      </w:r>
    </w:p>
    <w:p w14:paraId="4FE91D30" w14:textId="77777777" w:rsidR="008E7846" w:rsidRDefault="008E7846" w:rsidP="008E7846">
      <w:pPr>
        <w:pStyle w:val="Heading3"/>
      </w:pPr>
      <w:bookmarkStart w:id="176" w:name="_Toc247691530"/>
      <w:bookmarkStart w:id="177" w:name="_Toc314842513"/>
      <w:bookmarkStart w:id="178" w:name="_Toc511209810"/>
      <w:r>
        <w:lastRenderedPageBreak/>
        <w:t>Clinical</w:t>
      </w:r>
      <w:bookmarkEnd w:id="176"/>
      <w:bookmarkEnd w:id="177"/>
      <w:bookmarkEnd w:id="178"/>
    </w:p>
    <w:p w14:paraId="4FE91D31" w14:textId="77777777" w:rsidR="00B45165" w:rsidRPr="00B45165" w:rsidRDefault="00B45165" w:rsidP="00B45165">
      <w:bookmarkStart w:id="179" w:name="_Toc314842514"/>
      <w:r w:rsidRPr="00B45165">
        <w:t xml:space="preserve">The </w:t>
      </w:r>
      <w:r w:rsidR="002D7A68">
        <w:t>clinical dossier included</w:t>
      </w:r>
      <w:r w:rsidRPr="00B45165">
        <w:t xml:space="preserve"> the following clinical studies:</w:t>
      </w:r>
    </w:p>
    <w:p w14:paraId="4FE91D32" w14:textId="77777777" w:rsidR="00B45165" w:rsidRPr="00B45165" w:rsidRDefault="00B45165" w:rsidP="00B45165">
      <w:pPr>
        <w:pStyle w:val="ListBullet"/>
      </w:pPr>
      <w:r w:rsidRPr="00B45165">
        <w:t>2 clinical pharmacology studies that provided pharmacodynamic (PD) data (GT-16, GT-18). (PD data was also provided in many of the efficacy and safety studies)</w:t>
      </w:r>
    </w:p>
    <w:p w14:paraId="4FE91D33" w14:textId="77777777" w:rsidR="00B45165" w:rsidRPr="00B45165" w:rsidRDefault="00B45165" w:rsidP="00B45165">
      <w:pPr>
        <w:pStyle w:val="ListBullet"/>
      </w:pPr>
      <w:r w:rsidRPr="00B45165">
        <w:t>2 dose finding studies (GT-01, GT-02)</w:t>
      </w:r>
    </w:p>
    <w:p w14:paraId="4FE91D34" w14:textId="77777777" w:rsidR="00B45165" w:rsidRPr="00B45165" w:rsidRDefault="00B45165" w:rsidP="00B45165">
      <w:pPr>
        <w:pStyle w:val="ListBullet"/>
      </w:pPr>
      <w:r w:rsidRPr="00B45165">
        <w:t>2 dose escalation studies (GT-03, GT-04)</w:t>
      </w:r>
    </w:p>
    <w:p w14:paraId="4FE91D35" w14:textId="77777777" w:rsidR="00B45165" w:rsidRPr="00B45165" w:rsidRDefault="00B45165" w:rsidP="00B45165">
      <w:pPr>
        <w:pStyle w:val="ListBullet"/>
      </w:pPr>
      <w:r w:rsidRPr="00B45165">
        <w:t>2 pivotal efficacy/safety studies in adults (GT-08, GT-14) – considered pivotal based on same primary endpoints and same formulation</w:t>
      </w:r>
    </w:p>
    <w:p w14:paraId="4FE91D36" w14:textId="77777777" w:rsidR="00B45165" w:rsidRPr="00B45165" w:rsidRDefault="00B45165" w:rsidP="00B45165">
      <w:pPr>
        <w:pStyle w:val="ListBullet"/>
      </w:pPr>
      <w:r w:rsidRPr="00B45165">
        <w:t>2 supporting efficacy studies in adults (GT-07, P05238)</w:t>
      </w:r>
    </w:p>
    <w:p w14:paraId="4FE91D37" w14:textId="77777777" w:rsidR="00B45165" w:rsidRPr="00B45165" w:rsidRDefault="00B45165" w:rsidP="00B45165">
      <w:pPr>
        <w:pStyle w:val="ListBullet"/>
      </w:pPr>
      <w:r w:rsidRPr="00B45165">
        <w:t>1 pivotal efficacy/safety studies in children (GT-12)</w:t>
      </w:r>
    </w:p>
    <w:p w14:paraId="4FE91D38" w14:textId="77777777" w:rsidR="00B45165" w:rsidRPr="00B45165" w:rsidRDefault="00B45165" w:rsidP="00B45165">
      <w:pPr>
        <w:pStyle w:val="ListBullet"/>
      </w:pPr>
      <w:r w:rsidRPr="00B45165">
        <w:t>1 supporting efficacy studies in children (P05239)</w:t>
      </w:r>
    </w:p>
    <w:p w14:paraId="4FE91D39" w14:textId="77777777" w:rsidR="00B45165" w:rsidRPr="00B45165" w:rsidRDefault="00B45165" w:rsidP="00B45165">
      <w:pPr>
        <w:pStyle w:val="ListBullet"/>
      </w:pPr>
      <w:r w:rsidRPr="00B45165">
        <w:t>3 other studies : efficacy/safety studies in adults (GT-10, GT-17, GT-19)</w:t>
      </w:r>
    </w:p>
    <w:p w14:paraId="4FE91D3A" w14:textId="77777777" w:rsidR="00B45165" w:rsidRPr="00B45165" w:rsidRDefault="00B45165" w:rsidP="00B45165">
      <w:pPr>
        <w:pStyle w:val="ListBullet"/>
      </w:pPr>
      <w:r w:rsidRPr="00B45165">
        <w:t>2 other efficacy/safety studies in children (GT-11 and GT-09)</w:t>
      </w:r>
    </w:p>
    <w:p w14:paraId="4FE91D3B" w14:textId="77777777" w:rsidR="00B45165" w:rsidRPr="00B45165" w:rsidRDefault="00B45165" w:rsidP="00B45165">
      <w:pPr>
        <w:pStyle w:val="ListBullet"/>
      </w:pPr>
      <w:r w:rsidRPr="00B45165">
        <w:t>2 PSURs</w:t>
      </w:r>
    </w:p>
    <w:p w14:paraId="4FE91D3C" w14:textId="77777777" w:rsidR="00B45165" w:rsidRPr="00B45165" w:rsidRDefault="00B45165" w:rsidP="00B45165">
      <w:pPr>
        <w:pStyle w:val="Heading4"/>
      </w:pPr>
      <w:bookmarkStart w:id="180" w:name="_Toc272414614"/>
      <w:bookmarkStart w:id="181" w:name="_Toc290846238"/>
      <w:bookmarkStart w:id="182" w:name="_Toc449426920"/>
      <w:r w:rsidRPr="00B45165">
        <w:t>Pharmacokinetic (PK) data</w:t>
      </w:r>
      <w:bookmarkEnd w:id="180"/>
      <w:bookmarkEnd w:id="181"/>
      <w:bookmarkEnd w:id="182"/>
    </w:p>
    <w:p w14:paraId="4FE91D3D" w14:textId="1CABD2B1" w:rsidR="00B45165" w:rsidRPr="00B45165" w:rsidRDefault="00B45165" w:rsidP="00B45165">
      <w:r w:rsidRPr="00B45165">
        <w:t>In accordance with the EMA Guideline</w:t>
      </w:r>
      <w:proofErr w:type="gramStart"/>
      <w:r w:rsidR="00AD1BB3">
        <w:t>,</w:t>
      </w:r>
      <w:proofErr w:type="gramEnd"/>
      <w:r w:rsidR="00AD1BB3" w:rsidRPr="00AD1BB3">
        <w:rPr>
          <w:vertAlign w:val="superscript"/>
        </w:rPr>
        <w:fldChar w:fldCharType="begin"/>
      </w:r>
      <w:r w:rsidR="00AD1BB3" w:rsidRPr="00AD1BB3">
        <w:rPr>
          <w:vertAlign w:val="superscript"/>
        </w:rPr>
        <w:instrText xml:space="preserve"> NOTEREF _Ref497318576 \h </w:instrText>
      </w:r>
      <w:r w:rsidR="00AD1BB3">
        <w:rPr>
          <w:vertAlign w:val="superscript"/>
        </w:rPr>
        <w:instrText xml:space="preserve"> \* MERGEFORMAT </w:instrText>
      </w:r>
      <w:r w:rsidR="00AD1BB3" w:rsidRPr="00AD1BB3">
        <w:rPr>
          <w:vertAlign w:val="superscript"/>
        </w:rPr>
      </w:r>
      <w:r w:rsidR="00AD1BB3" w:rsidRPr="00AD1BB3">
        <w:rPr>
          <w:vertAlign w:val="superscript"/>
        </w:rPr>
        <w:fldChar w:fldCharType="separate"/>
      </w:r>
      <w:r w:rsidR="003D50F1">
        <w:rPr>
          <w:vertAlign w:val="superscript"/>
        </w:rPr>
        <w:t>70</w:t>
      </w:r>
      <w:r w:rsidR="00AD1BB3" w:rsidRPr="00AD1BB3">
        <w:rPr>
          <w:vertAlign w:val="superscript"/>
        </w:rPr>
        <w:fldChar w:fldCharType="end"/>
      </w:r>
      <w:r w:rsidRPr="00B45165">
        <w:t xml:space="preserve"> traditional PK studies were not done as it is not possible for products of allergy immunotherapy. Due to the nature of the product, plasma levels of the active substance are not measurable. The submitted PK information is derived from literature references</w:t>
      </w:r>
      <w:r>
        <w:t>.</w:t>
      </w:r>
    </w:p>
    <w:p w14:paraId="4FE91D3E" w14:textId="77777777" w:rsidR="00B45165" w:rsidRPr="00B45165" w:rsidRDefault="00B45165" w:rsidP="00B45165">
      <w:pPr>
        <w:pStyle w:val="Heading4"/>
      </w:pPr>
      <w:bookmarkStart w:id="183" w:name="_Toc272414637"/>
      <w:bookmarkStart w:id="184" w:name="_Toc290846260"/>
      <w:bookmarkStart w:id="185" w:name="_Toc449426925"/>
      <w:r w:rsidRPr="00B45165">
        <w:t xml:space="preserve">Pharmacodynamics </w:t>
      </w:r>
      <w:bookmarkEnd w:id="183"/>
      <w:bookmarkEnd w:id="184"/>
      <w:bookmarkEnd w:id="185"/>
      <w:r w:rsidRPr="00B45165">
        <w:t>(PD) data</w:t>
      </w:r>
    </w:p>
    <w:p w14:paraId="4FE91D3F" w14:textId="77777777" w:rsidR="00B45165" w:rsidRDefault="00B45165" w:rsidP="00B45165">
      <w:r w:rsidRPr="00B45165">
        <w:t xml:space="preserve">The sponsor makes the statement that “the immunological effect of specific immunotherapy is equivalent to a PD effect”. In the studies that measured immunological parameters, changes in allergen specific serum antibodies were observed. Overall, a time and dose dependent response was shown for the IgG and </w:t>
      </w:r>
      <w:proofErr w:type="spellStart"/>
      <w:r w:rsidRPr="00B45165">
        <w:t>IgE</w:t>
      </w:r>
      <w:proofErr w:type="spellEnd"/>
      <w:r w:rsidRPr="00B45165">
        <w:t xml:space="preserve"> antibodies, this may indicate that the treatment had an effect on the immune system.</w:t>
      </w:r>
    </w:p>
    <w:p w14:paraId="4FE91D40" w14:textId="77777777" w:rsidR="00B45165" w:rsidRPr="00B45165" w:rsidRDefault="004C74AA" w:rsidP="00B45165">
      <w:pPr>
        <w:pStyle w:val="Heading4"/>
      </w:pPr>
      <w:r>
        <w:t>Dose finding</w:t>
      </w:r>
      <w:r w:rsidR="00B45165" w:rsidRPr="00B45165">
        <w:t xml:space="preserve"> studies</w:t>
      </w:r>
    </w:p>
    <w:p w14:paraId="4FE91D41" w14:textId="77777777" w:rsidR="00B45165" w:rsidRPr="00B45165" w:rsidRDefault="00AD1BB3" w:rsidP="00B45165">
      <w:r>
        <w:t xml:space="preserve">A number of dose </w:t>
      </w:r>
      <w:r w:rsidR="00B45165" w:rsidRPr="00B45165">
        <w:t xml:space="preserve">finding studies (Study GT-01, GT-02, GT-03, and GT-04) were conducted to explore the safety and optimal dose of the allergens for the pivotal studies. These studies were discussed in the </w:t>
      </w:r>
      <w:r>
        <w:t>clinical evaluation report (see Attachment 2)</w:t>
      </w:r>
      <w:r w:rsidR="00B45165" w:rsidRPr="00B45165">
        <w:t>. The dose of 75,000 SQ-T was considered having an optimal benefit-risk profile.</w:t>
      </w:r>
    </w:p>
    <w:p w14:paraId="4FE91D42" w14:textId="77777777" w:rsidR="00B45165" w:rsidRPr="00B45165" w:rsidRDefault="00AD1BB3" w:rsidP="00B45165">
      <w:pPr>
        <w:pStyle w:val="Heading4"/>
      </w:pPr>
      <w:bookmarkStart w:id="186" w:name="_Ref271037274"/>
      <w:bookmarkStart w:id="187" w:name="_Toc272414652"/>
      <w:bookmarkStart w:id="188" w:name="_Toc290846274"/>
      <w:bookmarkStart w:id="189" w:name="_Toc449426935"/>
      <w:r>
        <w:t>Clinical efficacy</w:t>
      </w:r>
    </w:p>
    <w:p w14:paraId="4FE91D43" w14:textId="77777777" w:rsidR="00B45165" w:rsidRPr="00B45165" w:rsidRDefault="00B45165" w:rsidP="00B45165">
      <w:r w:rsidRPr="00B45165">
        <w:t xml:space="preserve">The clinical evaluator has identified the adult studies GT-08 and GT-14 as pivotal studies. The studies GT-07 and P05238 are considered supporting trials and GT-02 was primarily a dose finding study. In children, </w:t>
      </w:r>
      <w:r w:rsidR="004C74AA">
        <w:t>Study</w:t>
      </w:r>
      <w:r w:rsidRPr="00B45165">
        <w:t xml:space="preserve"> GT-12 was considered pivotal as it had the same primary outcomes as the adult trials and P05239 was considered a supporting trial.</w:t>
      </w:r>
    </w:p>
    <w:p w14:paraId="4FE91D44" w14:textId="77777777" w:rsidR="00B45165" w:rsidRPr="00B45165" w:rsidRDefault="00B45165" w:rsidP="00B45165">
      <w:pPr>
        <w:pStyle w:val="Heading5"/>
      </w:pPr>
      <w:bookmarkStart w:id="190" w:name="_Ref243301615"/>
      <w:bookmarkStart w:id="191" w:name="_Ref271040927"/>
      <w:bookmarkStart w:id="192" w:name="_Ref271040932"/>
      <w:bookmarkStart w:id="193" w:name="_Toc272414653"/>
      <w:bookmarkStart w:id="194" w:name="_Toc290846275"/>
      <w:bookmarkStart w:id="195" w:name="_Ref448246432"/>
      <w:bookmarkStart w:id="196" w:name="_Toc449426936"/>
      <w:bookmarkEnd w:id="186"/>
      <w:bookmarkEnd w:id="187"/>
      <w:bookmarkEnd w:id="188"/>
      <w:bookmarkEnd w:id="189"/>
      <w:r w:rsidRPr="00B45165">
        <w:t xml:space="preserve">Study </w:t>
      </w:r>
      <w:bookmarkEnd w:id="190"/>
      <w:bookmarkEnd w:id="191"/>
      <w:bookmarkEnd w:id="192"/>
      <w:bookmarkEnd w:id="193"/>
      <w:bookmarkEnd w:id="194"/>
      <w:r w:rsidRPr="00B45165">
        <w:t>GT-08</w:t>
      </w:r>
      <w:bookmarkEnd w:id="195"/>
      <w:bookmarkEnd w:id="196"/>
      <w:r w:rsidRPr="00B45165">
        <w:t xml:space="preserve"> (adults)</w:t>
      </w:r>
    </w:p>
    <w:p w14:paraId="4FE91D45" w14:textId="77777777" w:rsidR="00B45165" w:rsidRPr="00B45165" w:rsidRDefault="00B45165" w:rsidP="00B45165">
      <w:r w:rsidRPr="00B45165">
        <w:t xml:space="preserve">This </w:t>
      </w:r>
      <w:r w:rsidR="001835F8">
        <w:t>wa</w:t>
      </w:r>
      <w:r w:rsidR="00D7132E">
        <w:t>s</w:t>
      </w:r>
      <w:r w:rsidRPr="00B45165">
        <w:t xml:space="preserve"> a randomised, parallel group, double blind, placebo controlled studied conducted in Europe. The primary objectives were to evaluate the efficacy of the 75,000 SQ-T Grazax (ALK grass tablet) compared to placebo in subjects with grass pollen induced rhinoconjunctivitis, based on the rhinoconjunctivitis symptom score as well as the rhinoconjunctivitis medication score during the </w:t>
      </w:r>
      <w:r w:rsidR="0082122C">
        <w:t>GPS</w:t>
      </w:r>
      <w:r w:rsidRPr="00B45165">
        <w:t xml:space="preserve"> 2005</w:t>
      </w:r>
      <w:r w:rsidR="00FA2591">
        <w:t xml:space="preserve"> </w:t>
      </w:r>
      <w:r w:rsidRPr="00B45165">
        <w:t xml:space="preserve">(Year </w:t>
      </w:r>
      <w:r w:rsidR="00AD1BB3">
        <w:t xml:space="preserve">1) and in subsequent years 2006 to </w:t>
      </w:r>
      <w:r w:rsidRPr="00B45165">
        <w:t>2009 (extension study).</w:t>
      </w:r>
    </w:p>
    <w:p w14:paraId="4FE91D46" w14:textId="77777777" w:rsidR="00B45165" w:rsidRPr="00B45165" w:rsidRDefault="00B45165" w:rsidP="00B45165">
      <w:r w:rsidRPr="00B45165">
        <w:lastRenderedPageBreak/>
        <w:t>The trial was initiated in the autumn 2004 and subjects re</w:t>
      </w:r>
      <w:r w:rsidR="00AD1BB3">
        <w:t>ceived Grazax or placebo 4 to 8 </w:t>
      </w:r>
      <w:r w:rsidRPr="00B45165">
        <w:t xml:space="preserve">months prior to the </w:t>
      </w:r>
      <w:r w:rsidR="0082122C">
        <w:t>GPS</w:t>
      </w:r>
      <w:r w:rsidRPr="00B45165">
        <w:t xml:space="preserve"> and during the season in 2005. At the end of the initial study the participants were offered continued treatment for an additional 2 years (2006 and 2007) with</w:t>
      </w:r>
      <w:r w:rsidR="00FA2591">
        <w:t xml:space="preserve"> </w:t>
      </w:r>
      <w:r w:rsidRPr="00B45165">
        <w:t>an additional 2 years of follow up ( 2008 and 2009).</w:t>
      </w:r>
    </w:p>
    <w:p w14:paraId="4FE91D47" w14:textId="77777777" w:rsidR="00B45165" w:rsidRDefault="00B45165" w:rsidP="00B45165">
      <w:pPr>
        <w:pStyle w:val="FigureTitle"/>
      </w:pPr>
      <w:r>
        <w:t xml:space="preserve">Figure </w:t>
      </w:r>
      <w:r w:rsidR="00B83873">
        <w:t>2</w:t>
      </w:r>
      <w:r>
        <w:t xml:space="preserve">: </w:t>
      </w:r>
      <w:r w:rsidRPr="0043655B">
        <w:t xml:space="preserve">Study GT-08: Overall </w:t>
      </w:r>
      <w:r w:rsidR="00B83873" w:rsidRPr="0043655B">
        <w:t>trial design</w:t>
      </w:r>
    </w:p>
    <w:p w14:paraId="4FE91D48" w14:textId="77777777" w:rsidR="00B45165" w:rsidRDefault="00B45165" w:rsidP="00B45165">
      <w:r>
        <w:rPr>
          <w:noProof/>
          <w:lang w:eastAsia="en-AU"/>
        </w:rPr>
        <w:drawing>
          <wp:inline distT="0" distB="0" distL="0" distR="0" wp14:anchorId="4FE91EFB" wp14:editId="7A8B1E6D">
            <wp:extent cx="5400040" cy="1559435"/>
            <wp:effectExtent l="0" t="0" r="0" b="3175"/>
            <wp:docPr id="1" name="Picture 1" descr="Figure 2: Study GT-08: Overall trial design&#10;Original GT-08 Trial. Year 2005  n = 316 (grazax) N = 318 (placebo) Total n = 634.&#10;Year 2006 Grazax = 189 placebo = 162&#10;Year 2007 Grazax n =  170 placebo n = 138&#10;Year 2008 follow up Grazax n = 157 placebo n= 126&#10;Year 2009 follow up Grazax n =  145 placebo n =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00040" cy="1559435"/>
                    </a:xfrm>
                    <a:prstGeom prst="rect">
                      <a:avLst/>
                    </a:prstGeom>
                  </pic:spPr>
                </pic:pic>
              </a:graphicData>
            </a:graphic>
          </wp:inline>
        </w:drawing>
      </w:r>
    </w:p>
    <w:p w14:paraId="4FE91D49" w14:textId="77777777" w:rsidR="00B45165" w:rsidRPr="00B45165" w:rsidRDefault="00B45165" w:rsidP="00B45165">
      <w:r w:rsidRPr="00B45165">
        <w:t>The stud</w:t>
      </w:r>
      <w:r w:rsidR="00AD1BB3">
        <w:t xml:space="preserve">y enrolled healthy subjects (18 to </w:t>
      </w:r>
      <w:r w:rsidRPr="00B45165">
        <w:t xml:space="preserve">65 years) with a history of grass pollen induced allergic rhinoconjunctivitis of 2 years or more requiring treatment; a history of severe rhinoconjunctivitis symptoms, which remain troublesome despite treatment with anti-allergic drugs; a positive </w:t>
      </w:r>
      <w:r w:rsidR="00AD1BB3" w:rsidRPr="00B45165">
        <w:t xml:space="preserve">skin prick test </w:t>
      </w:r>
      <w:r w:rsidRPr="00B45165">
        <w:t xml:space="preserve">(SPT) response to </w:t>
      </w:r>
      <w:r w:rsidR="002D7A68" w:rsidRPr="002D7A68">
        <w:rPr>
          <w:i/>
        </w:rPr>
        <w:t>Phleum pratense</w:t>
      </w:r>
      <w:r w:rsidRPr="00B45165">
        <w:t xml:space="preserve"> and positive specific </w:t>
      </w:r>
      <w:proofErr w:type="spellStart"/>
      <w:r w:rsidRPr="00B45165">
        <w:t>IgE</w:t>
      </w:r>
      <w:proofErr w:type="spellEnd"/>
      <w:r w:rsidRPr="00B45165">
        <w:t xml:space="preserve"> against </w:t>
      </w:r>
      <w:proofErr w:type="spellStart"/>
      <w:r w:rsidR="002D7A68" w:rsidRPr="002D7A68">
        <w:rPr>
          <w:i/>
        </w:rPr>
        <w:t>Phleum</w:t>
      </w:r>
      <w:proofErr w:type="spellEnd"/>
      <w:r w:rsidR="002D7A68" w:rsidRPr="002D7A68">
        <w:rPr>
          <w:i/>
        </w:rPr>
        <w:t xml:space="preserve"> </w:t>
      </w:r>
      <w:proofErr w:type="spellStart"/>
      <w:r w:rsidR="002D7A68" w:rsidRPr="002D7A68">
        <w:rPr>
          <w:i/>
        </w:rPr>
        <w:t>pratense</w:t>
      </w:r>
      <w:proofErr w:type="spellEnd"/>
      <w:r w:rsidRPr="00B45165">
        <w:t xml:space="preserve"> and FEV1 </w:t>
      </w:r>
      <w:r w:rsidR="00B1428D">
        <w:t xml:space="preserve">≥ </w:t>
      </w:r>
      <w:r w:rsidRPr="00B45165">
        <w:t xml:space="preserve">70% of predicted value. See the </w:t>
      </w:r>
      <w:r w:rsidR="00AD1BB3">
        <w:t>clinical evaluation report (Attachment 2)</w:t>
      </w:r>
      <w:r w:rsidRPr="00B45165">
        <w:t xml:space="preserve"> for exclusion criteria.</w:t>
      </w:r>
    </w:p>
    <w:p w14:paraId="4FE91D4A" w14:textId="77777777" w:rsidR="00B45165" w:rsidRPr="00B45165" w:rsidRDefault="00B45165" w:rsidP="00B45165">
      <w:r w:rsidRPr="00B45165">
        <w:t xml:space="preserve">During the treatment </w:t>
      </w:r>
      <w:r w:rsidR="000F4578">
        <w:t>Year</w:t>
      </w:r>
      <w:r w:rsidRPr="00B45165">
        <w:t xml:space="preserve"> 2005 the sub</w:t>
      </w:r>
      <w:r w:rsidR="00AD1BB3">
        <w:t xml:space="preserve">jects were randomised to double </w:t>
      </w:r>
      <w:r w:rsidRPr="00B45165">
        <w:t>blind Grazax or placebo once daily. The tablet was placed under the tongue and swallowing to be avoided for 1 minute. First dose was taken at the clinic and the subj</w:t>
      </w:r>
      <w:r w:rsidR="00AD1BB3">
        <w:t>ect stayed at the clinic for 60 </w:t>
      </w:r>
      <w:r w:rsidRPr="00B45165">
        <w:t>minutes for observation. Following doses were taken at home. Treatment was for total of 3 years.</w:t>
      </w:r>
    </w:p>
    <w:p w14:paraId="4FE91D4B" w14:textId="77777777" w:rsidR="00B45165" w:rsidRPr="00B45165" w:rsidRDefault="00B45165" w:rsidP="00B45165">
      <w:r w:rsidRPr="00B45165">
        <w:t>Rescue medication for rhinoconjunctivitis was provided in the following steps:</w:t>
      </w:r>
    </w:p>
    <w:p w14:paraId="4FE91D4C" w14:textId="77777777" w:rsidR="00B45165" w:rsidRPr="00B45165" w:rsidRDefault="00B45165" w:rsidP="00B45165">
      <w:pPr>
        <w:pStyle w:val="ListBullet"/>
      </w:pPr>
      <w:r w:rsidRPr="00B45165">
        <w:t xml:space="preserve">Step 1: </w:t>
      </w:r>
      <w:proofErr w:type="spellStart"/>
      <w:r w:rsidRPr="00B45165">
        <w:t>Desloratadine</w:t>
      </w:r>
      <w:proofErr w:type="spellEnd"/>
      <w:r w:rsidRPr="00B45165">
        <w:t xml:space="preserve"> 5 mg tablets.</w:t>
      </w:r>
      <w:r>
        <w:t xml:space="preserve"> </w:t>
      </w:r>
      <w:r w:rsidRPr="00B45165">
        <w:t xml:space="preserve">Dosing: 1 tablet daily </w:t>
      </w:r>
      <w:r w:rsidR="00AD1BB3">
        <w:rPr>
          <w:rFonts w:cs="Arial"/>
        </w:rPr>
        <w:t>as needed</w:t>
      </w:r>
      <w:r w:rsidR="00AD1BB3" w:rsidRPr="00B45165">
        <w:t xml:space="preserve"> </w:t>
      </w:r>
      <w:r w:rsidR="00AD1BB3">
        <w:t>(</w:t>
      </w:r>
      <w:r w:rsidRPr="00B45165">
        <w:t>prn</w:t>
      </w:r>
      <w:r w:rsidR="00AD1BB3">
        <w:t>)</w:t>
      </w:r>
      <w:r w:rsidRPr="00B45165">
        <w:t>.</w:t>
      </w:r>
    </w:p>
    <w:p w14:paraId="4FE91D4D" w14:textId="77777777" w:rsidR="00B45165" w:rsidRPr="00B45165" w:rsidRDefault="00B45165" w:rsidP="00B45165">
      <w:pPr>
        <w:pStyle w:val="ListBullet"/>
      </w:pPr>
      <w:r w:rsidRPr="00B45165">
        <w:t>Step 2:</w:t>
      </w:r>
      <w:r>
        <w:t xml:space="preserve"> </w:t>
      </w:r>
      <w:r w:rsidRPr="00B45165">
        <w:t>Budesonide nasal spray 32</w:t>
      </w:r>
      <w:r w:rsidR="004A7F98">
        <w:t xml:space="preserve"> </w:t>
      </w:r>
      <w:r w:rsidR="004A7F98">
        <w:rPr>
          <w:rFonts w:eastAsia="Gulim"/>
        </w:rPr>
        <w:t>µ</w:t>
      </w:r>
      <w:r w:rsidR="004A7F98">
        <w:t>g</w:t>
      </w:r>
      <w:r w:rsidRPr="00B45165">
        <w:t xml:space="preserve"> micronised budesonide per actuation.</w:t>
      </w:r>
      <w:r>
        <w:t xml:space="preserve"> </w:t>
      </w:r>
      <w:r w:rsidRPr="00B45165">
        <w:t>Dosing: Up to 2 actuations per nostril twice daily, prn.</w:t>
      </w:r>
    </w:p>
    <w:p w14:paraId="4FE91D4E" w14:textId="77777777" w:rsidR="00B45165" w:rsidRPr="00B45165" w:rsidRDefault="00B45165" w:rsidP="00B45165">
      <w:pPr>
        <w:pStyle w:val="ListBullet"/>
      </w:pPr>
      <w:r w:rsidRPr="00B45165">
        <w:t>Step 3:</w:t>
      </w:r>
      <w:r>
        <w:t xml:space="preserve"> </w:t>
      </w:r>
      <w:r w:rsidRPr="00B45165">
        <w:t>Prednisone 5 mg tablets.</w:t>
      </w:r>
      <w:r>
        <w:t xml:space="preserve"> </w:t>
      </w:r>
      <w:r w:rsidRPr="00B45165">
        <w:t>Dosing: Up to 50 mg daily for 3 days.</w:t>
      </w:r>
    </w:p>
    <w:p w14:paraId="4FE91D4F" w14:textId="77777777" w:rsidR="005479B1" w:rsidRDefault="00B45165" w:rsidP="00B45165">
      <w:r w:rsidRPr="00B45165">
        <w:t xml:space="preserve">The co-primary efficacy endpoints were the average rhinoconjunctivitis </w:t>
      </w:r>
      <w:r w:rsidR="0089016D">
        <w:t>DSS</w:t>
      </w:r>
      <w:r w:rsidRPr="00B45165">
        <w:t xml:space="preserve"> and the average rhinoconjunctivitis </w:t>
      </w:r>
      <w:r w:rsidR="0089016D">
        <w:t>DMS</w:t>
      </w:r>
      <w:r w:rsidRPr="00B45165">
        <w:t>. O</w:t>
      </w:r>
      <w:r w:rsidR="00AD1BB3">
        <w:t>ther efficacy outcomes include r</w:t>
      </w:r>
      <w:r w:rsidRPr="00B45165">
        <w:t xml:space="preserve">hinoconjunctivitis symptoms scored on </w:t>
      </w:r>
      <w:r w:rsidR="00EB112B" w:rsidRPr="00B45165">
        <w:t>Visual Analogy</w:t>
      </w:r>
      <w:r w:rsidR="00EB112B">
        <w:t xml:space="preserve"> Scale</w:t>
      </w:r>
      <w:r w:rsidR="00EB112B" w:rsidRPr="00B45165">
        <w:t xml:space="preserve"> </w:t>
      </w:r>
      <w:r w:rsidR="00EB112B">
        <w:t>(</w:t>
      </w:r>
      <w:r w:rsidRPr="00B45165">
        <w:t>VAS</w:t>
      </w:r>
      <w:r w:rsidR="00EB112B">
        <w:t>)</w:t>
      </w:r>
      <w:r w:rsidR="00AD1BB3">
        <w:t>, Number of well days, g</w:t>
      </w:r>
      <w:r w:rsidRPr="00B45165">
        <w:t>lobal evaluation of</w:t>
      </w:r>
      <w:r w:rsidR="00AD1BB3">
        <w:t xml:space="preserve"> rhinoconjunctivitis symptoms, i</w:t>
      </w:r>
      <w:r w:rsidRPr="00B45165">
        <w:t>mmunological markers</w:t>
      </w:r>
      <w:r w:rsidR="00AD1BB3">
        <w:t xml:space="preserve">, Quality of Life Assessments; </w:t>
      </w:r>
      <w:r w:rsidRPr="00B45165">
        <w:t xml:space="preserve">determined using the Juniper’s Rhinoconjunctivitis Quality of Life (RQLQ). See </w:t>
      </w:r>
      <w:r w:rsidR="001A1402">
        <w:rPr>
          <w:rFonts w:cs="Arial"/>
        </w:rPr>
        <w:t>clinical evaluation report</w:t>
      </w:r>
      <w:r w:rsidR="001A1402" w:rsidRPr="00B45165">
        <w:t xml:space="preserve"> </w:t>
      </w:r>
      <w:r w:rsidR="001A1402">
        <w:t>(</w:t>
      </w:r>
      <w:r w:rsidRPr="00B45165">
        <w:t>CER</w:t>
      </w:r>
      <w:r w:rsidR="001A1402">
        <w:t>)</w:t>
      </w:r>
      <w:r w:rsidR="00AD1BB3">
        <w:t xml:space="preserve"> (Attachment 2)</w:t>
      </w:r>
      <w:r w:rsidR="0089016D">
        <w:t xml:space="preserve"> for definition of Full </w:t>
      </w:r>
      <w:r w:rsidRPr="00B45165">
        <w:t>Analysis Set (FAS) and Per-Protocol Set (PP). Summary of subject disposition in Year 1 are presented in the CER. The trial population comprised slightly more males (59%) than females (41%). The subjects had moderate (44%) or severe (56%) allergy to grass pollen and had a mean duration of grass pollen allergy of 16 years</w:t>
      </w:r>
      <w:r w:rsidR="005479B1">
        <w:t>.</w:t>
      </w:r>
    </w:p>
    <w:p w14:paraId="4FE91D50" w14:textId="77777777" w:rsidR="00B45165" w:rsidRPr="00B45165" w:rsidRDefault="00B45165" w:rsidP="00B45165">
      <w:pPr>
        <w:pStyle w:val="Heading6"/>
      </w:pPr>
      <w:r w:rsidRPr="00B45165">
        <w:t>Results for Year 1 (2005)</w:t>
      </w:r>
    </w:p>
    <w:p w14:paraId="4FE91D51" w14:textId="77777777" w:rsidR="005479B1" w:rsidRDefault="00B45165" w:rsidP="00B45165">
      <w:r w:rsidRPr="00B45165">
        <w:t xml:space="preserve">The analysis of average rhinoconjunctivitis </w:t>
      </w:r>
      <w:r w:rsidR="0089016D">
        <w:t>DSS</w:t>
      </w:r>
      <w:r w:rsidRPr="00B45165">
        <w:t xml:space="preserve"> showed that Grazax provided a reduction of the symptoms of 31% when compared to placebo (</w:t>
      </w:r>
      <w:r w:rsidR="00AD1BB3">
        <w:t>p </w:t>
      </w:r>
      <w:r w:rsidR="004C74AA">
        <w:t xml:space="preserve">&lt; </w:t>
      </w:r>
      <w:r w:rsidRPr="00B45165">
        <w:t xml:space="preserve">0.0001). The analysis of </w:t>
      </w:r>
      <w:r w:rsidR="0089016D">
        <w:t>DMS</w:t>
      </w:r>
      <w:r w:rsidRPr="00B45165">
        <w:t xml:space="preserve"> showed that Grazax reduced the use of rescue medication by 39% when compared to placebo (</w:t>
      </w:r>
      <w:r w:rsidR="002A47B8">
        <w:t xml:space="preserve">p </w:t>
      </w:r>
      <w:r w:rsidR="004C74AA">
        <w:t xml:space="preserve">&lt; </w:t>
      </w:r>
      <w:r w:rsidRPr="00B45165">
        <w:t>0.0001)</w:t>
      </w:r>
      <w:r w:rsidR="005479B1">
        <w:t>.</w:t>
      </w:r>
    </w:p>
    <w:p w14:paraId="4FE91D52" w14:textId="461B2492" w:rsidR="00B45165" w:rsidRPr="00B45165" w:rsidRDefault="00B45165" w:rsidP="00B45165">
      <w:pPr>
        <w:pStyle w:val="TableTitle"/>
      </w:pPr>
      <w:bookmarkStart w:id="197" w:name="_Toc449426728"/>
      <w:r>
        <w:lastRenderedPageBreak/>
        <w:t xml:space="preserve">Table </w:t>
      </w:r>
      <w:r w:rsidR="002C4BA2">
        <w:t>1</w:t>
      </w:r>
      <w:r w:rsidR="00500CC2">
        <w:t>1</w:t>
      </w:r>
      <w:r>
        <w:t xml:space="preserve">: </w:t>
      </w:r>
      <w:r w:rsidR="00D7132E">
        <w:t xml:space="preserve">Study GT-08. </w:t>
      </w:r>
      <w:r w:rsidRPr="00B45165">
        <w:t>Analysis of average symptom and medication score during the pollen season (FAS)</w:t>
      </w:r>
      <w:bookmarkEnd w:id="197"/>
    </w:p>
    <w:tbl>
      <w:tblPr>
        <w:tblStyle w:val="TableTGAblue"/>
        <w:tblW w:w="8374" w:type="dxa"/>
        <w:tblLayout w:type="fixed"/>
        <w:tblLook w:val="04A0" w:firstRow="1" w:lastRow="0" w:firstColumn="1" w:lastColumn="0" w:noHBand="0" w:noVBand="1"/>
        <w:tblDescription w:val="Table 11 is a summary of GT-08 studies and is the analysis of average symptom and medication score during the pollen season (FAS)"/>
      </w:tblPr>
      <w:tblGrid>
        <w:gridCol w:w="2057"/>
        <w:gridCol w:w="1350"/>
        <w:gridCol w:w="1350"/>
        <w:gridCol w:w="1350"/>
        <w:gridCol w:w="1350"/>
        <w:gridCol w:w="917"/>
      </w:tblGrid>
      <w:tr w:rsidR="00B45165" w:rsidRPr="00AD1BB3" w14:paraId="4FE91D5A" w14:textId="77777777" w:rsidTr="00175205">
        <w:trPr>
          <w:cnfStyle w:val="100000000000" w:firstRow="1" w:lastRow="0" w:firstColumn="0" w:lastColumn="0" w:oddVBand="0" w:evenVBand="0" w:oddHBand="0" w:evenHBand="0" w:firstRowFirstColumn="0" w:firstRowLastColumn="0" w:lastRowFirstColumn="0" w:lastRowLastColumn="0"/>
          <w:trHeight w:val="1024"/>
        </w:trPr>
        <w:tc>
          <w:tcPr>
            <w:tcW w:w="2057" w:type="dxa"/>
          </w:tcPr>
          <w:p w14:paraId="4FE91D53" w14:textId="77777777" w:rsidR="00B45165" w:rsidRPr="00AD1BB3" w:rsidRDefault="00B45165" w:rsidP="00AD1BB3">
            <w:pPr>
              <w:ind w:left="0" w:right="0"/>
              <w:rPr>
                <w:sz w:val="20"/>
                <w:szCs w:val="20"/>
              </w:rPr>
            </w:pPr>
            <w:r w:rsidRPr="00AD1BB3">
              <w:rPr>
                <w:sz w:val="20"/>
                <w:szCs w:val="20"/>
              </w:rPr>
              <w:t>Treatment Group</w:t>
            </w:r>
          </w:p>
        </w:tc>
        <w:tc>
          <w:tcPr>
            <w:tcW w:w="1350" w:type="dxa"/>
          </w:tcPr>
          <w:p w14:paraId="4FE91D54" w14:textId="77777777" w:rsidR="00B45165" w:rsidRPr="00AD1BB3" w:rsidRDefault="00B45165" w:rsidP="00AD1BB3">
            <w:pPr>
              <w:ind w:left="0" w:right="0"/>
              <w:rPr>
                <w:sz w:val="20"/>
                <w:szCs w:val="20"/>
              </w:rPr>
            </w:pPr>
            <w:r w:rsidRPr="00AD1BB3">
              <w:rPr>
                <w:sz w:val="20"/>
                <w:szCs w:val="20"/>
              </w:rPr>
              <w:t>Adjusted Mean</w:t>
            </w:r>
          </w:p>
          <w:p w14:paraId="4FE91D55" w14:textId="77777777" w:rsidR="00B45165" w:rsidRPr="00AD1BB3" w:rsidRDefault="00B45165" w:rsidP="00AD1BB3">
            <w:pPr>
              <w:ind w:left="0" w:right="0"/>
              <w:rPr>
                <w:sz w:val="20"/>
                <w:szCs w:val="20"/>
              </w:rPr>
            </w:pPr>
            <w:r w:rsidRPr="00AD1BB3">
              <w:rPr>
                <w:sz w:val="20"/>
                <w:szCs w:val="20"/>
              </w:rPr>
              <w:t>75,000 SQ-T</w:t>
            </w:r>
          </w:p>
        </w:tc>
        <w:tc>
          <w:tcPr>
            <w:tcW w:w="1350" w:type="dxa"/>
          </w:tcPr>
          <w:p w14:paraId="4FE91D56" w14:textId="77777777" w:rsidR="00B45165" w:rsidRPr="00AD1BB3" w:rsidRDefault="00B45165" w:rsidP="00AD1BB3">
            <w:pPr>
              <w:ind w:left="0" w:right="0"/>
              <w:rPr>
                <w:sz w:val="20"/>
                <w:szCs w:val="20"/>
              </w:rPr>
            </w:pPr>
            <w:r w:rsidRPr="00AD1BB3">
              <w:rPr>
                <w:sz w:val="20"/>
                <w:szCs w:val="20"/>
              </w:rPr>
              <w:t>Adjusted Mean Placebo</w:t>
            </w:r>
          </w:p>
        </w:tc>
        <w:tc>
          <w:tcPr>
            <w:tcW w:w="1350" w:type="dxa"/>
          </w:tcPr>
          <w:p w14:paraId="4FE91D57" w14:textId="77777777" w:rsidR="00B45165" w:rsidRPr="00AD1BB3" w:rsidRDefault="00B45165" w:rsidP="00AD1BB3">
            <w:pPr>
              <w:ind w:left="0" w:right="0"/>
              <w:rPr>
                <w:sz w:val="20"/>
                <w:szCs w:val="20"/>
              </w:rPr>
            </w:pPr>
            <w:r w:rsidRPr="00AD1BB3">
              <w:rPr>
                <w:sz w:val="20"/>
                <w:szCs w:val="20"/>
              </w:rPr>
              <w:t>Difference Adjusted Mean (%)</w:t>
            </w:r>
          </w:p>
        </w:tc>
        <w:tc>
          <w:tcPr>
            <w:tcW w:w="1350" w:type="dxa"/>
          </w:tcPr>
          <w:p w14:paraId="4FE91D58" w14:textId="77777777" w:rsidR="00B45165" w:rsidRPr="00AD1BB3" w:rsidRDefault="00B45165" w:rsidP="00AD1BB3">
            <w:pPr>
              <w:ind w:left="0" w:right="0"/>
              <w:rPr>
                <w:sz w:val="20"/>
                <w:szCs w:val="20"/>
              </w:rPr>
            </w:pPr>
            <w:r w:rsidRPr="00AD1BB3">
              <w:rPr>
                <w:sz w:val="20"/>
                <w:szCs w:val="20"/>
              </w:rPr>
              <w:t>95% CL Diff. Adjusted Mean</w:t>
            </w:r>
          </w:p>
        </w:tc>
        <w:tc>
          <w:tcPr>
            <w:tcW w:w="916" w:type="dxa"/>
          </w:tcPr>
          <w:p w14:paraId="4FE91D59" w14:textId="77777777" w:rsidR="00B45165" w:rsidRPr="00AD1BB3" w:rsidRDefault="004C74AA" w:rsidP="00AD1BB3">
            <w:pPr>
              <w:ind w:left="0" w:right="0"/>
              <w:rPr>
                <w:sz w:val="20"/>
                <w:szCs w:val="20"/>
              </w:rPr>
            </w:pPr>
            <w:r>
              <w:rPr>
                <w:sz w:val="20"/>
                <w:szCs w:val="20"/>
              </w:rPr>
              <w:t>p value</w:t>
            </w:r>
          </w:p>
        </w:tc>
      </w:tr>
      <w:tr w:rsidR="00B45165" w:rsidRPr="00AD1BB3" w14:paraId="4FE91D5C" w14:textId="77777777" w:rsidTr="00175205">
        <w:trPr>
          <w:trHeight w:val="216"/>
        </w:trPr>
        <w:tc>
          <w:tcPr>
            <w:tcW w:w="8374" w:type="dxa"/>
            <w:gridSpan w:val="6"/>
          </w:tcPr>
          <w:p w14:paraId="4FE91D5B" w14:textId="77777777" w:rsidR="00B45165" w:rsidRPr="00AD1BB3" w:rsidRDefault="00B45165" w:rsidP="00AD1BB3">
            <w:pPr>
              <w:ind w:left="0" w:right="0"/>
              <w:rPr>
                <w:sz w:val="20"/>
                <w:szCs w:val="20"/>
              </w:rPr>
            </w:pPr>
            <w:r w:rsidRPr="00AD1BB3">
              <w:rPr>
                <w:sz w:val="20"/>
                <w:szCs w:val="20"/>
              </w:rPr>
              <w:t>Rhinoconjunctivitis Symptom Score:</w:t>
            </w:r>
          </w:p>
        </w:tc>
      </w:tr>
      <w:tr w:rsidR="00B45165" w:rsidRPr="00AD1BB3" w14:paraId="4FE91D63" w14:textId="77777777" w:rsidTr="00175205">
        <w:trPr>
          <w:trHeight w:val="216"/>
        </w:trPr>
        <w:tc>
          <w:tcPr>
            <w:tcW w:w="2057" w:type="dxa"/>
          </w:tcPr>
          <w:p w14:paraId="4FE91D5D" w14:textId="77777777" w:rsidR="00B45165" w:rsidRPr="00AD1BB3" w:rsidRDefault="00B45165" w:rsidP="00AD1BB3">
            <w:pPr>
              <w:ind w:left="0" w:right="0"/>
              <w:rPr>
                <w:sz w:val="20"/>
                <w:szCs w:val="20"/>
              </w:rPr>
            </w:pPr>
            <w:r w:rsidRPr="00AD1BB3">
              <w:rPr>
                <w:sz w:val="20"/>
                <w:szCs w:val="20"/>
              </w:rPr>
              <w:t>Number of Subjects</w:t>
            </w:r>
          </w:p>
        </w:tc>
        <w:tc>
          <w:tcPr>
            <w:tcW w:w="1350" w:type="dxa"/>
          </w:tcPr>
          <w:p w14:paraId="4FE91D5E" w14:textId="77777777" w:rsidR="00B45165" w:rsidRPr="00AD1BB3" w:rsidRDefault="00B45165" w:rsidP="00AD1BB3">
            <w:pPr>
              <w:ind w:left="0" w:right="0"/>
              <w:rPr>
                <w:sz w:val="20"/>
                <w:szCs w:val="20"/>
              </w:rPr>
            </w:pPr>
            <w:r w:rsidRPr="00AD1BB3">
              <w:rPr>
                <w:sz w:val="20"/>
                <w:szCs w:val="20"/>
              </w:rPr>
              <w:t>282</w:t>
            </w:r>
          </w:p>
        </w:tc>
        <w:tc>
          <w:tcPr>
            <w:tcW w:w="1350" w:type="dxa"/>
          </w:tcPr>
          <w:p w14:paraId="4FE91D5F" w14:textId="77777777" w:rsidR="00B45165" w:rsidRPr="00AD1BB3" w:rsidRDefault="00B45165" w:rsidP="00AD1BB3">
            <w:pPr>
              <w:ind w:left="0" w:right="0"/>
              <w:rPr>
                <w:sz w:val="20"/>
                <w:szCs w:val="20"/>
              </w:rPr>
            </w:pPr>
            <w:r w:rsidRPr="00AD1BB3">
              <w:rPr>
                <w:sz w:val="20"/>
                <w:szCs w:val="20"/>
              </w:rPr>
              <w:t>286</w:t>
            </w:r>
          </w:p>
        </w:tc>
        <w:tc>
          <w:tcPr>
            <w:tcW w:w="1350" w:type="dxa"/>
          </w:tcPr>
          <w:p w14:paraId="4FE91D60" w14:textId="77777777" w:rsidR="00B45165" w:rsidRPr="00AD1BB3" w:rsidRDefault="00B45165" w:rsidP="00AD1BB3">
            <w:pPr>
              <w:ind w:left="0" w:right="0"/>
              <w:rPr>
                <w:sz w:val="20"/>
                <w:szCs w:val="20"/>
              </w:rPr>
            </w:pPr>
          </w:p>
        </w:tc>
        <w:tc>
          <w:tcPr>
            <w:tcW w:w="1350" w:type="dxa"/>
          </w:tcPr>
          <w:p w14:paraId="4FE91D61" w14:textId="77777777" w:rsidR="00B45165" w:rsidRPr="00AD1BB3" w:rsidRDefault="00B45165" w:rsidP="00AD1BB3">
            <w:pPr>
              <w:ind w:left="0" w:right="0"/>
              <w:rPr>
                <w:sz w:val="20"/>
                <w:szCs w:val="20"/>
              </w:rPr>
            </w:pPr>
          </w:p>
        </w:tc>
        <w:tc>
          <w:tcPr>
            <w:tcW w:w="916" w:type="dxa"/>
          </w:tcPr>
          <w:p w14:paraId="4FE91D62" w14:textId="77777777" w:rsidR="00B45165" w:rsidRPr="00AD1BB3" w:rsidRDefault="00B45165" w:rsidP="00AD1BB3">
            <w:pPr>
              <w:ind w:left="0" w:right="0"/>
              <w:rPr>
                <w:sz w:val="20"/>
                <w:szCs w:val="20"/>
              </w:rPr>
            </w:pPr>
          </w:p>
        </w:tc>
      </w:tr>
      <w:tr w:rsidR="00B45165" w:rsidRPr="00AD1BB3" w14:paraId="4FE91D6A" w14:textId="77777777" w:rsidTr="00175205">
        <w:trPr>
          <w:trHeight w:val="216"/>
        </w:trPr>
        <w:tc>
          <w:tcPr>
            <w:tcW w:w="2057" w:type="dxa"/>
          </w:tcPr>
          <w:p w14:paraId="4FE91D64" w14:textId="77777777" w:rsidR="00B45165" w:rsidRPr="00AD1BB3" w:rsidRDefault="00B45165" w:rsidP="00AD1BB3">
            <w:pPr>
              <w:ind w:left="0" w:right="0"/>
              <w:rPr>
                <w:sz w:val="20"/>
                <w:szCs w:val="20"/>
              </w:rPr>
            </w:pPr>
            <w:r w:rsidRPr="00AD1BB3">
              <w:rPr>
                <w:sz w:val="20"/>
                <w:szCs w:val="20"/>
              </w:rPr>
              <w:t>Treatment Effect</w:t>
            </w:r>
          </w:p>
        </w:tc>
        <w:tc>
          <w:tcPr>
            <w:tcW w:w="1350" w:type="dxa"/>
          </w:tcPr>
          <w:p w14:paraId="4FE91D65" w14:textId="77777777" w:rsidR="00B45165" w:rsidRPr="00AD1BB3" w:rsidRDefault="00B45165" w:rsidP="00AD1BB3">
            <w:pPr>
              <w:ind w:left="0" w:right="0"/>
              <w:rPr>
                <w:sz w:val="20"/>
                <w:szCs w:val="20"/>
              </w:rPr>
            </w:pPr>
            <w:r w:rsidRPr="00AD1BB3">
              <w:rPr>
                <w:sz w:val="20"/>
                <w:szCs w:val="20"/>
              </w:rPr>
              <w:t>2.85</w:t>
            </w:r>
          </w:p>
        </w:tc>
        <w:tc>
          <w:tcPr>
            <w:tcW w:w="1350" w:type="dxa"/>
          </w:tcPr>
          <w:p w14:paraId="4FE91D66" w14:textId="77777777" w:rsidR="00B45165" w:rsidRPr="00AD1BB3" w:rsidRDefault="00B45165" w:rsidP="00AD1BB3">
            <w:pPr>
              <w:ind w:left="0" w:right="0"/>
              <w:rPr>
                <w:sz w:val="20"/>
                <w:szCs w:val="20"/>
              </w:rPr>
            </w:pPr>
            <w:r w:rsidRPr="00AD1BB3">
              <w:rPr>
                <w:sz w:val="20"/>
                <w:szCs w:val="20"/>
              </w:rPr>
              <w:t>4.14</w:t>
            </w:r>
          </w:p>
        </w:tc>
        <w:tc>
          <w:tcPr>
            <w:tcW w:w="1350" w:type="dxa"/>
          </w:tcPr>
          <w:p w14:paraId="4FE91D67" w14:textId="77777777" w:rsidR="00B45165" w:rsidRPr="00AD1BB3" w:rsidRDefault="00B45165" w:rsidP="00AD1BB3">
            <w:pPr>
              <w:ind w:left="0" w:right="0"/>
              <w:rPr>
                <w:sz w:val="20"/>
                <w:szCs w:val="20"/>
              </w:rPr>
            </w:pPr>
            <w:r w:rsidRPr="00AD1BB3">
              <w:rPr>
                <w:sz w:val="20"/>
                <w:szCs w:val="20"/>
              </w:rPr>
              <w:t>-1.29(-31%)</w:t>
            </w:r>
          </w:p>
        </w:tc>
        <w:tc>
          <w:tcPr>
            <w:tcW w:w="1350" w:type="dxa"/>
          </w:tcPr>
          <w:p w14:paraId="4FE91D68" w14:textId="77777777" w:rsidR="00B45165" w:rsidRPr="00AD1BB3" w:rsidRDefault="00B45165" w:rsidP="00AD1BB3">
            <w:pPr>
              <w:ind w:left="0" w:right="0"/>
              <w:rPr>
                <w:sz w:val="20"/>
                <w:szCs w:val="20"/>
              </w:rPr>
            </w:pPr>
            <w:r w:rsidRPr="00AD1BB3">
              <w:rPr>
                <w:sz w:val="20"/>
                <w:szCs w:val="20"/>
              </w:rPr>
              <w:t>[-1.68 ; -0.90]</w:t>
            </w:r>
          </w:p>
        </w:tc>
        <w:tc>
          <w:tcPr>
            <w:tcW w:w="916" w:type="dxa"/>
          </w:tcPr>
          <w:p w14:paraId="4FE91D69" w14:textId="77777777" w:rsidR="00B45165" w:rsidRPr="00AD1BB3" w:rsidRDefault="004C74AA" w:rsidP="00AD1BB3">
            <w:pPr>
              <w:ind w:left="0" w:right="0"/>
              <w:rPr>
                <w:sz w:val="20"/>
                <w:szCs w:val="20"/>
              </w:rPr>
            </w:pPr>
            <w:r>
              <w:rPr>
                <w:sz w:val="20"/>
                <w:szCs w:val="20"/>
              </w:rPr>
              <w:t xml:space="preserve">&lt; </w:t>
            </w:r>
            <w:r w:rsidR="00B45165" w:rsidRPr="00AD1BB3">
              <w:rPr>
                <w:sz w:val="20"/>
                <w:szCs w:val="20"/>
              </w:rPr>
              <w:t>0.0001</w:t>
            </w:r>
          </w:p>
        </w:tc>
      </w:tr>
      <w:tr w:rsidR="00B45165" w:rsidRPr="00AD1BB3" w14:paraId="4FE91D6C" w14:textId="77777777" w:rsidTr="00175205">
        <w:trPr>
          <w:trHeight w:val="216"/>
        </w:trPr>
        <w:tc>
          <w:tcPr>
            <w:tcW w:w="8374" w:type="dxa"/>
            <w:gridSpan w:val="6"/>
          </w:tcPr>
          <w:p w14:paraId="4FE91D6B" w14:textId="77777777" w:rsidR="00B45165" w:rsidRPr="00AD1BB3" w:rsidRDefault="00B45165" w:rsidP="00AD1BB3">
            <w:pPr>
              <w:ind w:left="0" w:right="0"/>
              <w:rPr>
                <w:sz w:val="20"/>
                <w:szCs w:val="20"/>
              </w:rPr>
            </w:pPr>
            <w:r w:rsidRPr="00AD1BB3">
              <w:rPr>
                <w:sz w:val="20"/>
                <w:szCs w:val="20"/>
              </w:rPr>
              <w:t>Rhinoconjunctivitis Medication Score:</w:t>
            </w:r>
          </w:p>
        </w:tc>
      </w:tr>
      <w:tr w:rsidR="00B45165" w:rsidRPr="00AD1BB3" w14:paraId="4FE91D73" w14:textId="77777777" w:rsidTr="00175205">
        <w:trPr>
          <w:trHeight w:val="216"/>
        </w:trPr>
        <w:tc>
          <w:tcPr>
            <w:tcW w:w="2057" w:type="dxa"/>
          </w:tcPr>
          <w:p w14:paraId="4FE91D6D" w14:textId="77777777" w:rsidR="00B45165" w:rsidRPr="00AD1BB3" w:rsidRDefault="00B45165" w:rsidP="00AD1BB3">
            <w:pPr>
              <w:ind w:left="0" w:right="0"/>
              <w:rPr>
                <w:sz w:val="20"/>
                <w:szCs w:val="20"/>
              </w:rPr>
            </w:pPr>
            <w:r w:rsidRPr="00AD1BB3">
              <w:rPr>
                <w:sz w:val="20"/>
                <w:szCs w:val="20"/>
              </w:rPr>
              <w:t>Number of Subjects</w:t>
            </w:r>
          </w:p>
        </w:tc>
        <w:tc>
          <w:tcPr>
            <w:tcW w:w="1350" w:type="dxa"/>
          </w:tcPr>
          <w:p w14:paraId="4FE91D6E" w14:textId="77777777" w:rsidR="00B45165" w:rsidRPr="00AD1BB3" w:rsidRDefault="00B45165" w:rsidP="00AD1BB3">
            <w:pPr>
              <w:ind w:left="0" w:right="0"/>
              <w:rPr>
                <w:sz w:val="20"/>
                <w:szCs w:val="20"/>
              </w:rPr>
            </w:pPr>
            <w:r w:rsidRPr="00AD1BB3">
              <w:rPr>
                <w:sz w:val="20"/>
                <w:szCs w:val="20"/>
              </w:rPr>
              <w:t>282</w:t>
            </w:r>
          </w:p>
        </w:tc>
        <w:tc>
          <w:tcPr>
            <w:tcW w:w="1350" w:type="dxa"/>
          </w:tcPr>
          <w:p w14:paraId="4FE91D6F" w14:textId="77777777" w:rsidR="00B45165" w:rsidRPr="00AD1BB3" w:rsidRDefault="00B45165" w:rsidP="00AD1BB3">
            <w:pPr>
              <w:ind w:left="0" w:right="0"/>
              <w:rPr>
                <w:sz w:val="20"/>
                <w:szCs w:val="20"/>
              </w:rPr>
            </w:pPr>
            <w:r w:rsidRPr="00AD1BB3">
              <w:rPr>
                <w:sz w:val="20"/>
                <w:szCs w:val="20"/>
              </w:rPr>
              <w:t>286</w:t>
            </w:r>
          </w:p>
        </w:tc>
        <w:tc>
          <w:tcPr>
            <w:tcW w:w="1350" w:type="dxa"/>
          </w:tcPr>
          <w:p w14:paraId="4FE91D70" w14:textId="77777777" w:rsidR="00B45165" w:rsidRPr="00AD1BB3" w:rsidRDefault="00B45165" w:rsidP="00AD1BB3">
            <w:pPr>
              <w:ind w:left="0" w:right="0"/>
              <w:rPr>
                <w:sz w:val="20"/>
                <w:szCs w:val="20"/>
              </w:rPr>
            </w:pPr>
          </w:p>
        </w:tc>
        <w:tc>
          <w:tcPr>
            <w:tcW w:w="1350" w:type="dxa"/>
          </w:tcPr>
          <w:p w14:paraId="4FE91D71" w14:textId="77777777" w:rsidR="00B45165" w:rsidRPr="00AD1BB3" w:rsidRDefault="00B45165" w:rsidP="00AD1BB3">
            <w:pPr>
              <w:ind w:left="0" w:right="0"/>
              <w:rPr>
                <w:sz w:val="20"/>
                <w:szCs w:val="20"/>
              </w:rPr>
            </w:pPr>
          </w:p>
        </w:tc>
        <w:tc>
          <w:tcPr>
            <w:tcW w:w="916" w:type="dxa"/>
          </w:tcPr>
          <w:p w14:paraId="4FE91D72" w14:textId="77777777" w:rsidR="00B45165" w:rsidRPr="00AD1BB3" w:rsidRDefault="00B45165" w:rsidP="00AD1BB3">
            <w:pPr>
              <w:ind w:left="0" w:right="0"/>
              <w:rPr>
                <w:sz w:val="20"/>
                <w:szCs w:val="20"/>
              </w:rPr>
            </w:pPr>
          </w:p>
        </w:tc>
      </w:tr>
      <w:tr w:rsidR="00B45165" w:rsidRPr="00AD1BB3" w14:paraId="4FE91D7A" w14:textId="77777777" w:rsidTr="00175205">
        <w:trPr>
          <w:trHeight w:val="216"/>
        </w:trPr>
        <w:tc>
          <w:tcPr>
            <w:tcW w:w="2057" w:type="dxa"/>
          </w:tcPr>
          <w:p w14:paraId="4FE91D74" w14:textId="77777777" w:rsidR="00B45165" w:rsidRPr="00AD1BB3" w:rsidRDefault="00B45165" w:rsidP="00AD1BB3">
            <w:pPr>
              <w:ind w:left="0" w:right="0"/>
              <w:rPr>
                <w:sz w:val="20"/>
                <w:szCs w:val="20"/>
              </w:rPr>
            </w:pPr>
            <w:r w:rsidRPr="00AD1BB3">
              <w:rPr>
                <w:sz w:val="20"/>
                <w:szCs w:val="20"/>
              </w:rPr>
              <w:t>Treatment Effect</w:t>
            </w:r>
          </w:p>
        </w:tc>
        <w:tc>
          <w:tcPr>
            <w:tcW w:w="1350" w:type="dxa"/>
          </w:tcPr>
          <w:p w14:paraId="4FE91D75" w14:textId="77777777" w:rsidR="00B45165" w:rsidRPr="00AD1BB3" w:rsidRDefault="00B45165" w:rsidP="00AD1BB3">
            <w:pPr>
              <w:ind w:left="0" w:right="0"/>
              <w:rPr>
                <w:sz w:val="20"/>
                <w:szCs w:val="20"/>
              </w:rPr>
            </w:pPr>
            <w:r w:rsidRPr="00AD1BB3">
              <w:rPr>
                <w:sz w:val="20"/>
                <w:szCs w:val="20"/>
              </w:rPr>
              <w:t>1.65</w:t>
            </w:r>
          </w:p>
        </w:tc>
        <w:tc>
          <w:tcPr>
            <w:tcW w:w="1350" w:type="dxa"/>
          </w:tcPr>
          <w:p w14:paraId="4FE91D76" w14:textId="77777777" w:rsidR="00B45165" w:rsidRPr="00AD1BB3" w:rsidRDefault="00B45165" w:rsidP="00AD1BB3">
            <w:pPr>
              <w:ind w:left="0" w:right="0"/>
              <w:rPr>
                <w:sz w:val="20"/>
                <w:szCs w:val="20"/>
              </w:rPr>
            </w:pPr>
            <w:r w:rsidRPr="00AD1BB3">
              <w:rPr>
                <w:sz w:val="20"/>
                <w:szCs w:val="20"/>
              </w:rPr>
              <w:t>2.68</w:t>
            </w:r>
          </w:p>
        </w:tc>
        <w:tc>
          <w:tcPr>
            <w:tcW w:w="1350" w:type="dxa"/>
          </w:tcPr>
          <w:p w14:paraId="4FE91D77" w14:textId="77777777" w:rsidR="00B45165" w:rsidRPr="00AD1BB3" w:rsidRDefault="00B45165" w:rsidP="00AD1BB3">
            <w:pPr>
              <w:ind w:left="0" w:right="0"/>
              <w:rPr>
                <w:sz w:val="20"/>
                <w:szCs w:val="20"/>
              </w:rPr>
            </w:pPr>
            <w:r w:rsidRPr="00AD1BB3">
              <w:rPr>
                <w:sz w:val="20"/>
                <w:szCs w:val="20"/>
              </w:rPr>
              <w:t>-1.03(-39%)</w:t>
            </w:r>
          </w:p>
        </w:tc>
        <w:tc>
          <w:tcPr>
            <w:tcW w:w="1350" w:type="dxa"/>
          </w:tcPr>
          <w:p w14:paraId="4FE91D78" w14:textId="77777777" w:rsidR="00B45165" w:rsidRPr="00AD1BB3" w:rsidRDefault="00B45165" w:rsidP="00AD1BB3">
            <w:pPr>
              <w:ind w:left="0" w:right="0"/>
              <w:rPr>
                <w:sz w:val="20"/>
                <w:szCs w:val="20"/>
              </w:rPr>
            </w:pPr>
            <w:r w:rsidRPr="00AD1BB3">
              <w:rPr>
                <w:sz w:val="20"/>
                <w:szCs w:val="20"/>
              </w:rPr>
              <w:t>[-1.44 ; -0.63]</w:t>
            </w:r>
          </w:p>
        </w:tc>
        <w:tc>
          <w:tcPr>
            <w:tcW w:w="916" w:type="dxa"/>
          </w:tcPr>
          <w:p w14:paraId="4FE91D79" w14:textId="77777777" w:rsidR="00B45165" w:rsidRPr="00AD1BB3" w:rsidRDefault="004C74AA" w:rsidP="00AD1BB3">
            <w:pPr>
              <w:ind w:left="0" w:right="0"/>
              <w:rPr>
                <w:sz w:val="20"/>
                <w:szCs w:val="20"/>
              </w:rPr>
            </w:pPr>
            <w:r>
              <w:rPr>
                <w:sz w:val="20"/>
                <w:szCs w:val="20"/>
              </w:rPr>
              <w:t xml:space="preserve">&lt; </w:t>
            </w:r>
            <w:r w:rsidR="00B45165" w:rsidRPr="00AD1BB3">
              <w:rPr>
                <w:sz w:val="20"/>
                <w:szCs w:val="20"/>
              </w:rPr>
              <w:t>0.0001</w:t>
            </w:r>
          </w:p>
        </w:tc>
      </w:tr>
    </w:tbl>
    <w:p w14:paraId="4FE91D7B" w14:textId="77777777" w:rsidR="00B45165" w:rsidRPr="00B45165" w:rsidRDefault="00B45165" w:rsidP="00B45165">
      <w:pPr>
        <w:pStyle w:val="TableDescription"/>
      </w:pPr>
      <w:r w:rsidRPr="00B45165">
        <w:t>CL = confidence limits % = Percent reduction in the 75,000 SQ-T group compared to placebo.</w:t>
      </w:r>
    </w:p>
    <w:p w14:paraId="4FE91D7C" w14:textId="1A56E150" w:rsidR="00B45165" w:rsidRPr="00B45165" w:rsidRDefault="002C4BA2" w:rsidP="00B45165">
      <w:pPr>
        <w:pStyle w:val="TableTitle"/>
      </w:pPr>
      <w:r>
        <w:t>Table 1</w:t>
      </w:r>
      <w:r w:rsidR="00500CC2">
        <w:t>2</w:t>
      </w:r>
      <w:r>
        <w:t xml:space="preserve">: </w:t>
      </w:r>
      <w:r w:rsidR="00D7132E">
        <w:t xml:space="preserve">Study GT-08. </w:t>
      </w:r>
      <w:r w:rsidR="00B45165" w:rsidRPr="00B45165">
        <w:t>Summary of p</w:t>
      </w:r>
      <w:r>
        <w:t xml:space="preserve">rimary and secondary outcomes; </w:t>
      </w:r>
      <w:r w:rsidR="00B45165" w:rsidRPr="00B45165">
        <w:t>Year 1</w:t>
      </w:r>
    </w:p>
    <w:tbl>
      <w:tblPr>
        <w:tblStyle w:val="TableTGAblue"/>
        <w:tblW w:w="4642" w:type="pct"/>
        <w:tblLayout w:type="fixed"/>
        <w:tblLook w:val="0020" w:firstRow="1" w:lastRow="0" w:firstColumn="0" w:lastColumn="0" w:noHBand="0" w:noVBand="0"/>
        <w:tblDescription w:val="Table 12 is the summary of the GT-08 study providing a summary of primary and secondary outcomes; Year 1."/>
      </w:tblPr>
      <w:tblGrid>
        <w:gridCol w:w="3510"/>
        <w:gridCol w:w="916"/>
        <w:gridCol w:w="1180"/>
        <w:gridCol w:w="1049"/>
        <w:gridCol w:w="1441"/>
      </w:tblGrid>
      <w:tr w:rsidR="00515527" w:rsidRPr="00AD1BB3" w14:paraId="4FE91D84" w14:textId="77777777" w:rsidTr="00175205">
        <w:trPr>
          <w:cnfStyle w:val="100000000000" w:firstRow="1" w:lastRow="0" w:firstColumn="0" w:lastColumn="0" w:oddVBand="0" w:evenVBand="0" w:oddHBand="0" w:evenHBand="0" w:firstRowFirstColumn="0" w:firstRowLastColumn="0" w:lastRowFirstColumn="0" w:lastRowLastColumn="0"/>
          <w:trHeight w:hRule="exact" w:val="1061"/>
        </w:trPr>
        <w:tc>
          <w:tcPr>
            <w:tcW w:w="2167" w:type="pct"/>
          </w:tcPr>
          <w:p w14:paraId="4FE91D7D" w14:textId="77777777" w:rsidR="00B45165" w:rsidRPr="00AD1BB3" w:rsidRDefault="00B45165" w:rsidP="00AD1BB3">
            <w:pPr>
              <w:ind w:left="0" w:right="0"/>
              <w:rPr>
                <w:sz w:val="20"/>
                <w:szCs w:val="20"/>
              </w:rPr>
            </w:pPr>
            <w:r w:rsidRPr="00AD1BB3">
              <w:rPr>
                <w:sz w:val="20"/>
                <w:szCs w:val="20"/>
              </w:rPr>
              <w:t>Endpoint (FAS)</w:t>
            </w:r>
          </w:p>
        </w:tc>
        <w:tc>
          <w:tcPr>
            <w:tcW w:w="566" w:type="pct"/>
          </w:tcPr>
          <w:p w14:paraId="4FE91D7E" w14:textId="77777777" w:rsidR="00B45165" w:rsidRPr="00AD1BB3" w:rsidRDefault="00B45165" w:rsidP="00AD1BB3">
            <w:pPr>
              <w:ind w:left="0" w:right="0"/>
              <w:rPr>
                <w:sz w:val="20"/>
                <w:szCs w:val="20"/>
              </w:rPr>
            </w:pPr>
            <w:r w:rsidRPr="00AD1BB3">
              <w:rPr>
                <w:sz w:val="20"/>
                <w:szCs w:val="20"/>
              </w:rPr>
              <w:t>75,000 SQ-T</w:t>
            </w:r>
          </w:p>
          <w:p w14:paraId="4FE91D7F" w14:textId="77777777" w:rsidR="00B45165" w:rsidRPr="00AD1BB3" w:rsidRDefault="00B45165" w:rsidP="00AD1BB3">
            <w:pPr>
              <w:ind w:left="0" w:right="0"/>
              <w:rPr>
                <w:sz w:val="20"/>
                <w:szCs w:val="20"/>
              </w:rPr>
            </w:pPr>
            <w:r w:rsidRPr="00AD1BB3">
              <w:rPr>
                <w:sz w:val="20"/>
                <w:szCs w:val="20"/>
              </w:rPr>
              <w:t>(mean)</w:t>
            </w:r>
          </w:p>
        </w:tc>
        <w:tc>
          <w:tcPr>
            <w:tcW w:w="729" w:type="pct"/>
          </w:tcPr>
          <w:p w14:paraId="4FE91D80" w14:textId="77777777" w:rsidR="00B45165" w:rsidRPr="00AD1BB3" w:rsidRDefault="00B45165" w:rsidP="00AD1BB3">
            <w:pPr>
              <w:ind w:left="0" w:right="0"/>
              <w:rPr>
                <w:sz w:val="20"/>
                <w:szCs w:val="20"/>
              </w:rPr>
            </w:pPr>
            <w:r w:rsidRPr="00AD1BB3">
              <w:rPr>
                <w:sz w:val="20"/>
                <w:szCs w:val="20"/>
              </w:rPr>
              <w:t>Placebo</w:t>
            </w:r>
          </w:p>
          <w:p w14:paraId="4FE91D81" w14:textId="77777777" w:rsidR="00B45165" w:rsidRPr="00AD1BB3" w:rsidRDefault="00B45165" w:rsidP="00AD1BB3">
            <w:pPr>
              <w:ind w:left="0" w:right="0"/>
              <w:rPr>
                <w:sz w:val="20"/>
                <w:szCs w:val="20"/>
              </w:rPr>
            </w:pPr>
            <w:r w:rsidRPr="00AD1BB3">
              <w:rPr>
                <w:sz w:val="20"/>
                <w:szCs w:val="20"/>
              </w:rPr>
              <w:t>(mean)</w:t>
            </w:r>
          </w:p>
        </w:tc>
        <w:tc>
          <w:tcPr>
            <w:tcW w:w="648" w:type="pct"/>
          </w:tcPr>
          <w:p w14:paraId="4FE91D82" w14:textId="77777777" w:rsidR="00B45165" w:rsidRPr="00AD1BB3" w:rsidRDefault="004C74AA" w:rsidP="00AD1BB3">
            <w:pPr>
              <w:ind w:left="0" w:right="0"/>
              <w:rPr>
                <w:sz w:val="20"/>
                <w:szCs w:val="20"/>
              </w:rPr>
            </w:pPr>
            <w:r>
              <w:rPr>
                <w:sz w:val="20"/>
                <w:szCs w:val="20"/>
              </w:rPr>
              <w:t>p value</w:t>
            </w:r>
          </w:p>
        </w:tc>
        <w:tc>
          <w:tcPr>
            <w:tcW w:w="890" w:type="pct"/>
          </w:tcPr>
          <w:p w14:paraId="4FE91D83" w14:textId="77777777" w:rsidR="00B45165" w:rsidRPr="00AD1BB3" w:rsidRDefault="00B45165" w:rsidP="00AD1BB3">
            <w:pPr>
              <w:ind w:left="0" w:right="0"/>
              <w:rPr>
                <w:sz w:val="20"/>
                <w:szCs w:val="20"/>
              </w:rPr>
            </w:pPr>
            <w:r w:rsidRPr="00AD1BB3">
              <w:rPr>
                <w:sz w:val="20"/>
                <w:szCs w:val="20"/>
              </w:rPr>
              <w:t>Reduction*</w:t>
            </w:r>
          </w:p>
        </w:tc>
      </w:tr>
      <w:tr w:rsidR="00515527" w:rsidRPr="00AD1BB3" w14:paraId="4FE91D8A" w14:textId="77777777" w:rsidTr="00175205">
        <w:trPr>
          <w:trHeight w:hRule="exact" w:val="849"/>
        </w:trPr>
        <w:tc>
          <w:tcPr>
            <w:tcW w:w="2167" w:type="pct"/>
          </w:tcPr>
          <w:p w14:paraId="4FE91D85" w14:textId="77777777" w:rsidR="00B45165" w:rsidRPr="00AD1BB3" w:rsidRDefault="00B45165" w:rsidP="00AD1BB3">
            <w:pPr>
              <w:ind w:left="0" w:right="0"/>
              <w:rPr>
                <w:sz w:val="20"/>
                <w:szCs w:val="20"/>
              </w:rPr>
            </w:pPr>
            <w:r w:rsidRPr="00AD1BB3">
              <w:rPr>
                <w:sz w:val="20"/>
                <w:szCs w:val="20"/>
              </w:rPr>
              <w:t>Rhinoconjunctivitis symptom score</w:t>
            </w:r>
          </w:p>
        </w:tc>
        <w:tc>
          <w:tcPr>
            <w:tcW w:w="566" w:type="pct"/>
          </w:tcPr>
          <w:p w14:paraId="4FE91D86" w14:textId="77777777" w:rsidR="00B45165" w:rsidRPr="00AD1BB3" w:rsidRDefault="00B45165" w:rsidP="00AD1BB3">
            <w:pPr>
              <w:ind w:left="0" w:right="0"/>
              <w:rPr>
                <w:sz w:val="20"/>
                <w:szCs w:val="20"/>
              </w:rPr>
            </w:pPr>
            <w:r w:rsidRPr="00AD1BB3">
              <w:rPr>
                <w:sz w:val="20"/>
                <w:szCs w:val="20"/>
              </w:rPr>
              <w:t>2.85</w:t>
            </w:r>
          </w:p>
        </w:tc>
        <w:tc>
          <w:tcPr>
            <w:tcW w:w="729" w:type="pct"/>
          </w:tcPr>
          <w:p w14:paraId="4FE91D87" w14:textId="77777777" w:rsidR="00B45165" w:rsidRPr="00AD1BB3" w:rsidRDefault="00B45165" w:rsidP="00AD1BB3">
            <w:pPr>
              <w:ind w:left="0" w:right="0"/>
              <w:rPr>
                <w:sz w:val="20"/>
                <w:szCs w:val="20"/>
              </w:rPr>
            </w:pPr>
            <w:r w:rsidRPr="00AD1BB3">
              <w:rPr>
                <w:sz w:val="20"/>
                <w:szCs w:val="20"/>
              </w:rPr>
              <w:t>4.14</w:t>
            </w:r>
          </w:p>
        </w:tc>
        <w:tc>
          <w:tcPr>
            <w:tcW w:w="648" w:type="pct"/>
          </w:tcPr>
          <w:p w14:paraId="4FE91D88" w14:textId="77777777" w:rsidR="00B45165" w:rsidRPr="00AD1BB3" w:rsidRDefault="004C74AA" w:rsidP="00AD1BB3">
            <w:pPr>
              <w:ind w:left="0" w:right="0"/>
              <w:rPr>
                <w:sz w:val="20"/>
                <w:szCs w:val="20"/>
              </w:rPr>
            </w:pPr>
            <w:r>
              <w:rPr>
                <w:sz w:val="20"/>
                <w:szCs w:val="20"/>
              </w:rPr>
              <w:t xml:space="preserve">&lt; </w:t>
            </w:r>
            <w:r w:rsidR="00B45165" w:rsidRPr="00AD1BB3">
              <w:rPr>
                <w:sz w:val="20"/>
                <w:szCs w:val="20"/>
              </w:rPr>
              <w:t>0.0001</w:t>
            </w:r>
          </w:p>
        </w:tc>
        <w:tc>
          <w:tcPr>
            <w:tcW w:w="890" w:type="pct"/>
          </w:tcPr>
          <w:p w14:paraId="4FE91D89" w14:textId="77777777" w:rsidR="00B45165" w:rsidRPr="00AD1BB3" w:rsidRDefault="00B45165" w:rsidP="00AD1BB3">
            <w:pPr>
              <w:ind w:left="0" w:right="0"/>
              <w:rPr>
                <w:sz w:val="20"/>
                <w:szCs w:val="20"/>
              </w:rPr>
            </w:pPr>
            <w:r w:rsidRPr="00AD1BB3">
              <w:rPr>
                <w:sz w:val="20"/>
                <w:szCs w:val="20"/>
              </w:rPr>
              <w:t>31%</w:t>
            </w:r>
          </w:p>
        </w:tc>
      </w:tr>
      <w:tr w:rsidR="00515527" w:rsidRPr="00AD1BB3" w14:paraId="4FE91D90" w14:textId="77777777" w:rsidTr="00175205">
        <w:trPr>
          <w:trHeight w:hRule="exact" w:val="818"/>
        </w:trPr>
        <w:tc>
          <w:tcPr>
            <w:tcW w:w="2167" w:type="pct"/>
          </w:tcPr>
          <w:p w14:paraId="4FE91D8B" w14:textId="77777777" w:rsidR="00B45165" w:rsidRPr="00AD1BB3" w:rsidRDefault="00B45165" w:rsidP="00AD1BB3">
            <w:pPr>
              <w:ind w:left="0" w:right="0"/>
              <w:rPr>
                <w:sz w:val="20"/>
                <w:szCs w:val="20"/>
              </w:rPr>
            </w:pPr>
            <w:r w:rsidRPr="00AD1BB3">
              <w:rPr>
                <w:sz w:val="20"/>
                <w:szCs w:val="20"/>
              </w:rPr>
              <w:t>Rhinoconjunctivitis symptom score (peak pollen season)</w:t>
            </w:r>
          </w:p>
        </w:tc>
        <w:tc>
          <w:tcPr>
            <w:tcW w:w="566" w:type="pct"/>
          </w:tcPr>
          <w:p w14:paraId="4FE91D8C" w14:textId="77777777" w:rsidR="00B45165" w:rsidRPr="00AD1BB3" w:rsidRDefault="00B45165" w:rsidP="00AD1BB3">
            <w:pPr>
              <w:ind w:left="0" w:right="0"/>
              <w:rPr>
                <w:sz w:val="20"/>
                <w:szCs w:val="20"/>
              </w:rPr>
            </w:pPr>
            <w:r w:rsidRPr="00AD1BB3">
              <w:rPr>
                <w:sz w:val="20"/>
                <w:szCs w:val="20"/>
              </w:rPr>
              <w:t>3.81</w:t>
            </w:r>
          </w:p>
        </w:tc>
        <w:tc>
          <w:tcPr>
            <w:tcW w:w="729" w:type="pct"/>
          </w:tcPr>
          <w:p w14:paraId="4FE91D8D" w14:textId="77777777" w:rsidR="00B45165" w:rsidRPr="00AD1BB3" w:rsidRDefault="00B45165" w:rsidP="00AD1BB3">
            <w:pPr>
              <w:ind w:left="0" w:right="0"/>
              <w:rPr>
                <w:sz w:val="20"/>
                <w:szCs w:val="20"/>
              </w:rPr>
            </w:pPr>
            <w:r w:rsidRPr="00AD1BB3">
              <w:rPr>
                <w:sz w:val="20"/>
                <w:szCs w:val="20"/>
              </w:rPr>
              <w:t>5.27</w:t>
            </w:r>
          </w:p>
        </w:tc>
        <w:tc>
          <w:tcPr>
            <w:tcW w:w="648" w:type="pct"/>
          </w:tcPr>
          <w:p w14:paraId="4FE91D8E" w14:textId="77777777" w:rsidR="00B45165" w:rsidRPr="00AD1BB3" w:rsidRDefault="004C74AA" w:rsidP="00AD1BB3">
            <w:pPr>
              <w:ind w:left="0" w:right="0"/>
              <w:rPr>
                <w:sz w:val="20"/>
                <w:szCs w:val="20"/>
              </w:rPr>
            </w:pPr>
            <w:r>
              <w:rPr>
                <w:sz w:val="20"/>
                <w:szCs w:val="20"/>
              </w:rPr>
              <w:t xml:space="preserve">&lt; </w:t>
            </w:r>
            <w:r w:rsidR="00B45165" w:rsidRPr="00AD1BB3">
              <w:rPr>
                <w:sz w:val="20"/>
                <w:szCs w:val="20"/>
              </w:rPr>
              <w:t>0.0001</w:t>
            </w:r>
          </w:p>
        </w:tc>
        <w:tc>
          <w:tcPr>
            <w:tcW w:w="890" w:type="pct"/>
          </w:tcPr>
          <w:p w14:paraId="4FE91D8F" w14:textId="77777777" w:rsidR="00B45165" w:rsidRPr="00AD1BB3" w:rsidRDefault="00B45165" w:rsidP="00AD1BB3">
            <w:pPr>
              <w:ind w:left="0" w:right="0"/>
              <w:rPr>
                <w:sz w:val="20"/>
                <w:szCs w:val="20"/>
              </w:rPr>
            </w:pPr>
            <w:r w:rsidRPr="00AD1BB3">
              <w:rPr>
                <w:sz w:val="20"/>
                <w:szCs w:val="20"/>
              </w:rPr>
              <w:t>28%</w:t>
            </w:r>
          </w:p>
        </w:tc>
      </w:tr>
      <w:tr w:rsidR="00515527" w:rsidRPr="00AD1BB3" w14:paraId="4FE91D96" w14:textId="77777777" w:rsidTr="00175205">
        <w:trPr>
          <w:trHeight w:hRule="exact" w:val="625"/>
        </w:trPr>
        <w:tc>
          <w:tcPr>
            <w:tcW w:w="2167" w:type="pct"/>
          </w:tcPr>
          <w:p w14:paraId="4FE91D91" w14:textId="77777777" w:rsidR="00B45165" w:rsidRPr="00AD1BB3" w:rsidRDefault="00B45165" w:rsidP="00AD1BB3">
            <w:pPr>
              <w:ind w:left="0" w:right="0"/>
              <w:rPr>
                <w:sz w:val="20"/>
                <w:szCs w:val="20"/>
              </w:rPr>
            </w:pPr>
            <w:r w:rsidRPr="00AD1BB3">
              <w:rPr>
                <w:sz w:val="20"/>
                <w:szCs w:val="20"/>
              </w:rPr>
              <w:t>Rhinoconjunctivitis medication score</w:t>
            </w:r>
          </w:p>
        </w:tc>
        <w:tc>
          <w:tcPr>
            <w:tcW w:w="566" w:type="pct"/>
          </w:tcPr>
          <w:p w14:paraId="4FE91D92" w14:textId="77777777" w:rsidR="00B45165" w:rsidRPr="00AD1BB3" w:rsidRDefault="00B45165" w:rsidP="00AD1BB3">
            <w:pPr>
              <w:ind w:left="0" w:right="0"/>
              <w:rPr>
                <w:sz w:val="20"/>
                <w:szCs w:val="20"/>
              </w:rPr>
            </w:pPr>
            <w:r w:rsidRPr="00AD1BB3">
              <w:rPr>
                <w:sz w:val="20"/>
                <w:szCs w:val="20"/>
              </w:rPr>
              <w:t>1.65</w:t>
            </w:r>
          </w:p>
        </w:tc>
        <w:tc>
          <w:tcPr>
            <w:tcW w:w="729" w:type="pct"/>
          </w:tcPr>
          <w:p w14:paraId="4FE91D93" w14:textId="77777777" w:rsidR="00B45165" w:rsidRPr="00AD1BB3" w:rsidRDefault="00B45165" w:rsidP="00AD1BB3">
            <w:pPr>
              <w:ind w:left="0" w:right="0"/>
              <w:rPr>
                <w:sz w:val="20"/>
                <w:szCs w:val="20"/>
              </w:rPr>
            </w:pPr>
            <w:r w:rsidRPr="00AD1BB3">
              <w:rPr>
                <w:sz w:val="20"/>
                <w:szCs w:val="20"/>
              </w:rPr>
              <w:t>2.68</w:t>
            </w:r>
          </w:p>
        </w:tc>
        <w:tc>
          <w:tcPr>
            <w:tcW w:w="648" w:type="pct"/>
          </w:tcPr>
          <w:p w14:paraId="4FE91D94" w14:textId="77777777" w:rsidR="00B45165" w:rsidRPr="00AD1BB3" w:rsidRDefault="004C74AA" w:rsidP="00AD1BB3">
            <w:pPr>
              <w:ind w:left="0" w:right="0"/>
              <w:rPr>
                <w:sz w:val="20"/>
                <w:szCs w:val="20"/>
              </w:rPr>
            </w:pPr>
            <w:r>
              <w:rPr>
                <w:sz w:val="20"/>
                <w:szCs w:val="20"/>
              </w:rPr>
              <w:t xml:space="preserve">&lt; </w:t>
            </w:r>
            <w:r w:rsidR="00B45165" w:rsidRPr="00AD1BB3">
              <w:rPr>
                <w:sz w:val="20"/>
                <w:szCs w:val="20"/>
              </w:rPr>
              <w:t>0.0001</w:t>
            </w:r>
          </w:p>
        </w:tc>
        <w:tc>
          <w:tcPr>
            <w:tcW w:w="890" w:type="pct"/>
          </w:tcPr>
          <w:p w14:paraId="4FE91D95" w14:textId="77777777" w:rsidR="00B45165" w:rsidRPr="00AD1BB3" w:rsidRDefault="00B45165" w:rsidP="00AD1BB3">
            <w:pPr>
              <w:ind w:left="0" w:right="0"/>
              <w:rPr>
                <w:sz w:val="20"/>
                <w:szCs w:val="20"/>
              </w:rPr>
            </w:pPr>
            <w:r w:rsidRPr="00AD1BB3">
              <w:rPr>
                <w:sz w:val="20"/>
                <w:szCs w:val="20"/>
              </w:rPr>
              <w:t>39%</w:t>
            </w:r>
          </w:p>
        </w:tc>
      </w:tr>
      <w:tr w:rsidR="00515527" w:rsidRPr="00AD1BB3" w14:paraId="4FE91D9C" w14:textId="77777777" w:rsidTr="00175205">
        <w:trPr>
          <w:trHeight w:hRule="exact" w:val="688"/>
        </w:trPr>
        <w:tc>
          <w:tcPr>
            <w:tcW w:w="2167" w:type="pct"/>
          </w:tcPr>
          <w:p w14:paraId="4FE91D97" w14:textId="77777777" w:rsidR="00B45165" w:rsidRPr="00AD1BB3" w:rsidRDefault="00B45165" w:rsidP="00AD1BB3">
            <w:pPr>
              <w:ind w:left="0" w:right="0"/>
              <w:rPr>
                <w:sz w:val="20"/>
                <w:szCs w:val="20"/>
              </w:rPr>
            </w:pPr>
            <w:r w:rsidRPr="00AD1BB3">
              <w:rPr>
                <w:sz w:val="20"/>
                <w:szCs w:val="20"/>
              </w:rPr>
              <w:t>Rhinoconjunctivitis medication score (peak pollen season)</w:t>
            </w:r>
          </w:p>
        </w:tc>
        <w:tc>
          <w:tcPr>
            <w:tcW w:w="566" w:type="pct"/>
          </w:tcPr>
          <w:p w14:paraId="4FE91D98" w14:textId="77777777" w:rsidR="00B45165" w:rsidRPr="00AD1BB3" w:rsidRDefault="00B45165" w:rsidP="00AD1BB3">
            <w:pPr>
              <w:ind w:left="0" w:right="0"/>
              <w:rPr>
                <w:sz w:val="20"/>
                <w:szCs w:val="20"/>
              </w:rPr>
            </w:pPr>
            <w:r w:rsidRPr="00AD1BB3">
              <w:rPr>
                <w:sz w:val="20"/>
                <w:szCs w:val="20"/>
              </w:rPr>
              <w:t>2.12</w:t>
            </w:r>
          </w:p>
        </w:tc>
        <w:tc>
          <w:tcPr>
            <w:tcW w:w="729" w:type="pct"/>
          </w:tcPr>
          <w:p w14:paraId="4FE91D99" w14:textId="77777777" w:rsidR="00B45165" w:rsidRPr="00AD1BB3" w:rsidRDefault="00B45165" w:rsidP="00AD1BB3">
            <w:pPr>
              <w:ind w:left="0" w:right="0"/>
              <w:rPr>
                <w:sz w:val="20"/>
                <w:szCs w:val="20"/>
              </w:rPr>
            </w:pPr>
            <w:r w:rsidRPr="00AD1BB3">
              <w:rPr>
                <w:sz w:val="20"/>
                <w:szCs w:val="20"/>
              </w:rPr>
              <w:t>3.46</w:t>
            </w:r>
          </w:p>
        </w:tc>
        <w:tc>
          <w:tcPr>
            <w:tcW w:w="648" w:type="pct"/>
          </w:tcPr>
          <w:p w14:paraId="4FE91D9A" w14:textId="77777777" w:rsidR="00B45165" w:rsidRPr="00AD1BB3" w:rsidRDefault="004C74AA" w:rsidP="00AD1BB3">
            <w:pPr>
              <w:ind w:left="0" w:right="0"/>
              <w:rPr>
                <w:sz w:val="20"/>
                <w:szCs w:val="20"/>
              </w:rPr>
            </w:pPr>
            <w:r>
              <w:rPr>
                <w:sz w:val="20"/>
                <w:szCs w:val="20"/>
              </w:rPr>
              <w:t xml:space="preserve">&lt; </w:t>
            </w:r>
            <w:r w:rsidR="00B45165" w:rsidRPr="00AD1BB3">
              <w:rPr>
                <w:sz w:val="20"/>
                <w:szCs w:val="20"/>
              </w:rPr>
              <w:t>0.0001</w:t>
            </w:r>
          </w:p>
        </w:tc>
        <w:tc>
          <w:tcPr>
            <w:tcW w:w="890" w:type="pct"/>
          </w:tcPr>
          <w:p w14:paraId="4FE91D9B" w14:textId="77777777" w:rsidR="00B45165" w:rsidRPr="00AD1BB3" w:rsidRDefault="00B45165" w:rsidP="00AD1BB3">
            <w:pPr>
              <w:ind w:left="0" w:right="0"/>
              <w:rPr>
                <w:sz w:val="20"/>
                <w:szCs w:val="20"/>
              </w:rPr>
            </w:pPr>
            <w:r w:rsidRPr="00AD1BB3">
              <w:rPr>
                <w:sz w:val="20"/>
                <w:szCs w:val="20"/>
              </w:rPr>
              <w:t>39%</w:t>
            </w:r>
          </w:p>
        </w:tc>
      </w:tr>
      <w:tr w:rsidR="00515527" w:rsidRPr="00AD1BB3" w14:paraId="4FE91DA2" w14:textId="77777777" w:rsidTr="00175205">
        <w:trPr>
          <w:trHeight w:hRule="exact" w:val="547"/>
        </w:trPr>
        <w:tc>
          <w:tcPr>
            <w:tcW w:w="2167" w:type="pct"/>
          </w:tcPr>
          <w:p w14:paraId="4FE91D9D" w14:textId="77777777" w:rsidR="00B45165" w:rsidRPr="00AD1BB3" w:rsidRDefault="00B45165" w:rsidP="00AD1BB3">
            <w:pPr>
              <w:ind w:left="0" w:right="0"/>
              <w:rPr>
                <w:sz w:val="20"/>
                <w:szCs w:val="20"/>
              </w:rPr>
            </w:pPr>
            <w:r w:rsidRPr="00AD1BB3">
              <w:rPr>
                <w:sz w:val="20"/>
                <w:szCs w:val="20"/>
              </w:rPr>
              <w:t>Percentage well days</w:t>
            </w:r>
          </w:p>
        </w:tc>
        <w:tc>
          <w:tcPr>
            <w:tcW w:w="566" w:type="pct"/>
          </w:tcPr>
          <w:p w14:paraId="4FE91D9E" w14:textId="77777777" w:rsidR="00B45165" w:rsidRPr="00AD1BB3" w:rsidRDefault="00B45165" w:rsidP="00AD1BB3">
            <w:pPr>
              <w:ind w:left="0" w:right="0"/>
              <w:rPr>
                <w:sz w:val="20"/>
                <w:szCs w:val="20"/>
              </w:rPr>
            </w:pPr>
            <w:r w:rsidRPr="00AD1BB3">
              <w:rPr>
                <w:sz w:val="20"/>
                <w:szCs w:val="20"/>
              </w:rPr>
              <w:t>45%</w:t>
            </w:r>
          </w:p>
        </w:tc>
        <w:tc>
          <w:tcPr>
            <w:tcW w:w="729" w:type="pct"/>
          </w:tcPr>
          <w:p w14:paraId="4FE91D9F" w14:textId="77777777" w:rsidR="00B45165" w:rsidRPr="00AD1BB3" w:rsidRDefault="00B45165" w:rsidP="00AD1BB3">
            <w:pPr>
              <w:ind w:left="0" w:right="0"/>
              <w:rPr>
                <w:sz w:val="20"/>
                <w:szCs w:val="20"/>
              </w:rPr>
            </w:pPr>
            <w:r w:rsidRPr="00AD1BB3">
              <w:rPr>
                <w:sz w:val="20"/>
                <w:szCs w:val="20"/>
              </w:rPr>
              <w:t>33%</w:t>
            </w:r>
          </w:p>
        </w:tc>
        <w:tc>
          <w:tcPr>
            <w:tcW w:w="648" w:type="pct"/>
          </w:tcPr>
          <w:p w14:paraId="4FE91DA0" w14:textId="77777777" w:rsidR="00B45165" w:rsidRPr="00AD1BB3" w:rsidRDefault="004C74AA" w:rsidP="00AD1BB3">
            <w:pPr>
              <w:ind w:left="0" w:right="0"/>
              <w:rPr>
                <w:sz w:val="20"/>
                <w:szCs w:val="20"/>
              </w:rPr>
            </w:pPr>
            <w:r>
              <w:rPr>
                <w:sz w:val="20"/>
                <w:szCs w:val="20"/>
              </w:rPr>
              <w:t xml:space="preserve">&lt; </w:t>
            </w:r>
            <w:r w:rsidR="00B45165" w:rsidRPr="00AD1BB3">
              <w:rPr>
                <w:sz w:val="20"/>
                <w:szCs w:val="20"/>
              </w:rPr>
              <w:t>0.0001</w:t>
            </w:r>
          </w:p>
        </w:tc>
        <w:tc>
          <w:tcPr>
            <w:tcW w:w="890" w:type="pct"/>
          </w:tcPr>
          <w:p w14:paraId="4FE91DA1" w14:textId="77777777" w:rsidR="00B45165" w:rsidRPr="00AD1BB3" w:rsidRDefault="00B45165" w:rsidP="00AD1BB3">
            <w:pPr>
              <w:ind w:left="0" w:right="0"/>
              <w:rPr>
                <w:sz w:val="20"/>
                <w:szCs w:val="20"/>
              </w:rPr>
            </w:pPr>
            <w:r w:rsidRPr="00AD1BB3">
              <w:rPr>
                <w:sz w:val="20"/>
                <w:szCs w:val="20"/>
              </w:rPr>
              <w:t>38%</w:t>
            </w:r>
          </w:p>
        </w:tc>
      </w:tr>
      <w:tr w:rsidR="00515527" w:rsidRPr="00AD1BB3" w14:paraId="4FE91DA8" w14:textId="77777777" w:rsidTr="00175205">
        <w:trPr>
          <w:trHeight w:hRule="exact" w:val="692"/>
        </w:trPr>
        <w:tc>
          <w:tcPr>
            <w:tcW w:w="2167" w:type="pct"/>
          </w:tcPr>
          <w:p w14:paraId="4FE91DA3" w14:textId="77777777" w:rsidR="00B45165" w:rsidRPr="00AD1BB3" w:rsidRDefault="00B45165" w:rsidP="00AD1BB3">
            <w:pPr>
              <w:ind w:left="0" w:right="0"/>
              <w:rPr>
                <w:sz w:val="20"/>
                <w:szCs w:val="20"/>
              </w:rPr>
            </w:pPr>
            <w:r w:rsidRPr="00AD1BB3">
              <w:rPr>
                <w:sz w:val="20"/>
                <w:szCs w:val="20"/>
              </w:rPr>
              <w:t>Percentage well days (peak pollen season)</w:t>
            </w:r>
          </w:p>
        </w:tc>
        <w:tc>
          <w:tcPr>
            <w:tcW w:w="566" w:type="pct"/>
          </w:tcPr>
          <w:p w14:paraId="4FE91DA4" w14:textId="77777777" w:rsidR="00B45165" w:rsidRPr="00AD1BB3" w:rsidRDefault="00B45165" w:rsidP="00AD1BB3">
            <w:pPr>
              <w:ind w:left="0" w:right="0"/>
              <w:rPr>
                <w:sz w:val="20"/>
                <w:szCs w:val="20"/>
              </w:rPr>
            </w:pPr>
            <w:r w:rsidRPr="00AD1BB3">
              <w:rPr>
                <w:sz w:val="20"/>
                <w:szCs w:val="20"/>
              </w:rPr>
              <w:t>33%</w:t>
            </w:r>
          </w:p>
        </w:tc>
        <w:tc>
          <w:tcPr>
            <w:tcW w:w="729" w:type="pct"/>
          </w:tcPr>
          <w:p w14:paraId="4FE91DA5" w14:textId="77777777" w:rsidR="00B45165" w:rsidRPr="00AD1BB3" w:rsidRDefault="00B45165" w:rsidP="00AD1BB3">
            <w:pPr>
              <w:ind w:left="0" w:right="0"/>
              <w:rPr>
                <w:sz w:val="20"/>
                <w:szCs w:val="20"/>
              </w:rPr>
            </w:pPr>
            <w:r w:rsidRPr="00AD1BB3">
              <w:rPr>
                <w:sz w:val="20"/>
                <w:szCs w:val="20"/>
              </w:rPr>
              <w:t>22%</w:t>
            </w:r>
          </w:p>
        </w:tc>
        <w:tc>
          <w:tcPr>
            <w:tcW w:w="648" w:type="pct"/>
          </w:tcPr>
          <w:p w14:paraId="4FE91DA6" w14:textId="77777777" w:rsidR="00B45165" w:rsidRPr="00AD1BB3" w:rsidRDefault="004C74AA" w:rsidP="00AD1BB3">
            <w:pPr>
              <w:ind w:left="0" w:right="0"/>
              <w:rPr>
                <w:sz w:val="20"/>
                <w:szCs w:val="20"/>
              </w:rPr>
            </w:pPr>
            <w:r>
              <w:rPr>
                <w:sz w:val="20"/>
                <w:szCs w:val="20"/>
              </w:rPr>
              <w:t xml:space="preserve">&lt; </w:t>
            </w:r>
            <w:r w:rsidR="00B45165" w:rsidRPr="00AD1BB3">
              <w:rPr>
                <w:sz w:val="20"/>
                <w:szCs w:val="20"/>
              </w:rPr>
              <w:t>0.0001</w:t>
            </w:r>
          </w:p>
        </w:tc>
        <w:tc>
          <w:tcPr>
            <w:tcW w:w="890" w:type="pct"/>
          </w:tcPr>
          <w:p w14:paraId="4FE91DA7" w14:textId="77777777" w:rsidR="00B45165" w:rsidRPr="00AD1BB3" w:rsidRDefault="00B45165" w:rsidP="00AD1BB3">
            <w:pPr>
              <w:ind w:left="0" w:right="0"/>
              <w:rPr>
                <w:sz w:val="20"/>
                <w:szCs w:val="20"/>
              </w:rPr>
            </w:pPr>
            <w:r w:rsidRPr="00AD1BB3">
              <w:rPr>
                <w:sz w:val="20"/>
                <w:szCs w:val="20"/>
              </w:rPr>
              <w:t>46%</w:t>
            </w:r>
          </w:p>
        </w:tc>
      </w:tr>
      <w:tr w:rsidR="00515527" w:rsidRPr="00AD1BB3" w14:paraId="4FE91DAE" w14:textId="77777777" w:rsidTr="00175205">
        <w:trPr>
          <w:trHeight w:hRule="exact" w:val="813"/>
        </w:trPr>
        <w:tc>
          <w:tcPr>
            <w:tcW w:w="2167" w:type="pct"/>
          </w:tcPr>
          <w:p w14:paraId="4FE91DA9" w14:textId="77777777" w:rsidR="00B45165" w:rsidRPr="00AD1BB3" w:rsidRDefault="00B45165" w:rsidP="00AD1BB3">
            <w:pPr>
              <w:ind w:left="0" w:right="0"/>
              <w:rPr>
                <w:sz w:val="20"/>
                <w:szCs w:val="20"/>
              </w:rPr>
            </w:pPr>
            <w:r w:rsidRPr="00AD1BB3">
              <w:rPr>
                <w:sz w:val="20"/>
                <w:szCs w:val="20"/>
              </w:rPr>
              <w:t>Rhinoconjunctivitis symptom VAS score</w:t>
            </w:r>
          </w:p>
        </w:tc>
        <w:tc>
          <w:tcPr>
            <w:tcW w:w="566" w:type="pct"/>
          </w:tcPr>
          <w:p w14:paraId="4FE91DAA" w14:textId="77777777" w:rsidR="00B45165" w:rsidRPr="00AD1BB3" w:rsidRDefault="00B45165" w:rsidP="00AD1BB3">
            <w:pPr>
              <w:ind w:left="0" w:right="0"/>
              <w:rPr>
                <w:sz w:val="20"/>
                <w:szCs w:val="20"/>
              </w:rPr>
            </w:pPr>
            <w:r w:rsidRPr="00AD1BB3">
              <w:rPr>
                <w:sz w:val="20"/>
                <w:szCs w:val="20"/>
              </w:rPr>
              <w:t>15</w:t>
            </w:r>
          </w:p>
        </w:tc>
        <w:tc>
          <w:tcPr>
            <w:tcW w:w="729" w:type="pct"/>
          </w:tcPr>
          <w:p w14:paraId="4FE91DAB" w14:textId="77777777" w:rsidR="00B45165" w:rsidRPr="00AD1BB3" w:rsidRDefault="00B45165" w:rsidP="00AD1BB3">
            <w:pPr>
              <w:ind w:left="0" w:right="0"/>
              <w:rPr>
                <w:sz w:val="20"/>
                <w:szCs w:val="20"/>
              </w:rPr>
            </w:pPr>
            <w:r w:rsidRPr="00AD1BB3">
              <w:rPr>
                <w:sz w:val="20"/>
                <w:szCs w:val="20"/>
              </w:rPr>
              <w:t>21</w:t>
            </w:r>
          </w:p>
        </w:tc>
        <w:tc>
          <w:tcPr>
            <w:tcW w:w="648" w:type="pct"/>
          </w:tcPr>
          <w:p w14:paraId="4FE91DAC" w14:textId="77777777" w:rsidR="00B45165" w:rsidRPr="00AD1BB3" w:rsidRDefault="004C74AA" w:rsidP="00AD1BB3">
            <w:pPr>
              <w:ind w:left="0" w:right="0"/>
              <w:rPr>
                <w:sz w:val="20"/>
                <w:szCs w:val="20"/>
              </w:rPr>
            </w:pPr>
            <w:r>
              <w:rPr>
                <w:sz w:val="20"/>
                <w:szCs w:val="20"/>
              </w:rPr>
              <w:t xml:space="preserve">&lt; </w:t>
            </w:r>
            <w:r w:rsidR="00B45165" w:rsidRPr="00AD1BB3">
              <w:rPr>
                <w:sz w:val="20"/>
                <w:szCs w:val="20"/>
              </w:rPr>
              <w:t>0.0001</w:t>
            </w:r>
          </w:p>
        </w:tc>
        <w:tc>
          <w:tcPr>
            <w:tcW w:w="890" w:type="pct"/>
          </w:tcPr>
          <w:p w14:paraId="4FE91DAD" w14:textId="77777777" w:rsidR="00B45165" w:rsidRPr="00AD1BB3" w:rsidRDefault="00B45165" w:rsidP="00AD1BB3">
            <w:pPr>
              <w:ind w:left="0" w:right="0"/>
              <w:rPr>
                <w:sz w:val="20"/>
                <w:szCs w:val="20"/>
              </w:rPr>
            </w:pPr>
            <w:r w:rsidRPr="00AD1BB3">
              <w:rPr>
                <w:sz w:val="20"/>
                <w:szCs w:val="20"/>
              </w:rPr>
              <w:t>31%</w:t>
            </w:r>
          </w:p>
        </w:tc>
      </w:tr>
      <w:tr w:rsidR="00515527" w:rsidRPr="00AD1BB3" w14:paraId="4FE91DB4" w14:textId="77777777" w:rsidTr="00175205">
        <w:trPr>
          <w:trHeight w:hRule="exact" w:val="687"/>
        </w:trPr>
        <w:tc>
          <w:tcPr>
            <w:tcW w:w="2167" w:type="pct"/>
          </w:tcPr>
          <w:p w14:paraId="4FE91DAF" w14:textId="77777777" w:rsidR="00B45165" w:rsidRPr="00AD1BB3" w:rsidRDefault="00B45165" w:rsidP="00AD1BB3">
            <w:pPr>
              <w:ind w:left="0" w:right="0"/>
              <w:rPr>
                <w:sz w:val="20"/>
                <w:szCs w:val="20"/>
              </w:rPr>
            </w:pPr>
            <w:r w:rsidRPr="00AD1BB3">
              <w:rPr>
                <w:sz w:val="20"/>
                <w:szCs w:val="20"/>
              </w:rPr>
              <w:t>Rhinoconjunctivitis symptom VAS score (peak pollen season)</w:t>
            </w:r>
          </w:p>
        </w:tc>
        <w:tc>
          <w:tcPr>
            <w:tcW w:w="566" w:type="pct"/>
          </w:tcPr>
          <w:p w14:paraId="4FE91DB0" w14:textId="77777777" w:rsidR="00B45165" w:rsidRPr="00AD1BB3" w:rsidRDefault="00B45165" w:rsidP="00AD1BB3">
            <w:pPr>
              <w:ind w:left="0" w:right="0"/>
              <w:rPr>
                <w:sz w:val="20"/>
                <w:szCs w:val="20"/>
              </w:rPr>
            </w:pPr>
            <w:r w:rsidRPr="00AD1BB3">
              <w:rPr>
                <w:sz w:val="20"/>
                <w:szCs w:val="20"/>
              </w:rPr>
              <w:t>19</w:t>
            </w:r>
          </w:p>
        </w:tc>
        <w:tc>
          <w:tcPr>
            <w:tcW w:w="729" w:type="pct"/>
          </w:tcPr>
          <w:p w14:paraId="4FE91DB1" w14:textId="77777777" w:rsidR="00B45165" w:rsidRPr="00AD1BB3" w:rsidRDefault="00B45165" w:rsidP="00AD1BB3">
            <w:pPr>
              <w:ind w:left="0" w:right="0"/>
              <w:rPr>
                <w:sz w:val="20"/>
                <w:szCs w:val="20"/>
              </w:rPr>
            </w:pPr>
            <w:r w:rsidRPr="00AD1BB3">
              <w:rPr>
                <w:sz w:val="20"/>
                <w:szCs w:val="20"/>
              </w:rPr>
              <w:t>28</w:t>
            </w:r>
          </w:p>
        </w:tc>
        <w:tc>
          <w:tcPr>
            <w:tcW w:w="648" w:type="pct"/>
          </w:tcPr>
          <w:p w14:paraId="4FE91DB2" w14:textId="77777777" w:rsidR="00B45165" w:rsidRPr="00AD1BB3" w:rsidRDefault="004C74AA" w:rsidP="00AD1BB3">
            <w:pPr>
              <w:ind w:left="0" w:right="0"/>
              <w:rPr>
                <w:sz w:val="20"/>
                <w:szCs w:val="20"/>
              </w:rPr>
            </w:pPr>
            <w:r>
              <w:rPr>
                <w:sz w:val="20"/>
                <w:szCs w:val="20"/>
              </w:rPr>
              <w:t xml:space="preserve">&lt; </w:t>
            </w:r>
            <w:r w:rsidR="00B45165" w:rsidRPr="00AD1BB3">
              <w:rPr>
                <w:sz w:val="20"/>
                <w:szCs w:val="20"/>
              </w:rPr>
              <w:t>0.0001</w:t>
            </w:r>
          </w:p>
        </w:tc>
        <w:tc>
          <w:tcPr>
            <w:tcW w:w="890" w:type="pct"/>
          </w:tcPr>
          <w:p w14:paraId="4FE91DB3" w14:textId="77777777" w:rsidR="00B45165" w:rsidRPr="00AD1BB3" w:rsidRDefault="00B45165" w:rsidP="00AD1BB3">
            <w:pPr>
              <w:ind w:left="0" w:right="0"/>
              <w:rPr>
                <w:sz w:val="20"/>
                <w:szCs w:val="20"/>
              </w:rPr>
            </w:pPr>
            <w:r w:rsidRPr="00AD1BB3">
              <w:rPr>
                <w:sz w:val="20"/>
                <w:szCs w:val="20"/>
              </w:rPr>
              <w:t>31%</w:t>
            </w:r>
          </w:p>
        </w:tc>
      </w:tr>
      <w:tr w:rsidR="00515527" w:rsidRPr="00AD1BB3" w14:paraId="4FE91DBA" w14:textId="77777777" w:rsidTr="00175205">
        <w:trPr>
          <w:trHeight w:hRule="exact" w:val="683"/>
        </w:trPr>
        <w:tc>
          <w:tcPr>
            <w:tcW w:w="2167" w:type="pct"/>
          </w:tcPr>
          <w:p w14:paraId="4FE91DB5" w14:textId="77777777" w:rsidR="00B45165" w:rsidRPr="00AD1BB3" w:rsidRDefault="00B45165" w:rsidP="00AD1BB3">
            <w:pPr>
              <w:ind w:left="0" w:right="0"/>
              <w:rPr>
                <w:sz w:val="20"/>
                <w:szCs w:val="20"/>
              </w:rPr>
            </w:pPr>
            <w:r w:rsidRPr="00AD1BB3">
              <w:rPr>
                <w:sz w:val="20"/>
                <w:szCs w:val="20"/>
              </w:rPr>
              <w:t>RQLQ score (</w:t>
            </w:r>
            <w:r w:rsidR="004A7F98" w:rsidRPr="00AD1BB3">
              <w:rPr>
                <w:sz w:val="20"/>
                <w:szCs w:val="20"/>
              </w:rPr>
              <w:t>that is</w:t>
            </w:r>
            <w:r w:rsidRPr="00AD1BB3">
              <w:rPr>
                <w:sz w:val="20"/>
                <w:szCs w:val="20"/>
              </w:rPr>
              <w:t xml:space="preserve"> rhinoconjunctivitis quality of life)</w:t>
            </w:r>
          </w:p>
        </w:tc>
        <w:tc>
          <w:tcPr>
            <w:tcW w:w="566" w:type="pct"/>
          </w:tcPr>
          <w:p w14:paraId="4FE91DB6" w14:textId="77777777" w:rsidR="00B45165" w:rsidRPr="00AD1BB3" w:rsidRDefault="00B45165" w:rsidP="00AD1BB3">
            <w:pPr>
              <w:ind w:left="0" w:right="0"/>
              <w:rPr>
                <w:sz w:val="20"/>
                <w:szCs w:val="20"/>
              </w:rPr>
            </w:pPr>
            <w:r w:rsidRPr="00AD1BB3">
              <w:rPr>
                <w:sz w:val="20"/>
                <w:szCs w:val="20"/>
              </w:rPr>
              <w:t>1.03</w:t>
            </w:r>
          </w:p>
        </w:tc>
        <w:tc>
          <w:tcPr>
            <w:tcW w:w="729" w:type="pct"/>
          </w:tcPr>
          <w:p w14:paraId="4FE91DB7" w14:textId="77777777" w:rsidR="00B45165" w:rsidRPr="00AD1BB3" w:rsidRDefault="00B45165" w:rsidP="00AD1BB3">
            <w:pPr>
              <w:ind w:left="0" w:right="0"/>
              <w:rPr>
                <w:sz w:val="20"/>
                <w:szCs w:val="20"/>
              </w:rPr>
            </w:pPr>
            <w:r w:rsidRPr="00AD1BB3">
              <w:rPr>
                <w:sz w:val="20"/>
                <w:szCs w:val="20"/>
              </w:rPr>
              <w:t>1.40</w:t>
            </w:r>
          </w:p>
        </w:tc>
        <w:tc>
          <w:tcPr>
            <w:tcW w:w="648" w:type="pct"/>
          </w:tcPr>
          <w:p w14:paraId="4FE91DB8" w14:textId="77777777" w:rsidR="00B45165" w:rsidRPr="00AD1BB3" w:rsidRDefault="004C74AA" w:rsidP="00AD1BB3">
            <w:pPr>
              <w:ind w:left="0" w:right="0"/>
              <w:rPr>
                <w:sz w:val="20"/>
                <w:szCs w:val="20"/>
              </w:rPr>
            </w:pPr>
            <w:r>
              <w:rPr>
                <w:sz w:val="20"/>
                <w:szCs w:val="20"/>
              </w:rPr>
              <w:t xml:space="preserve">&lt; </w:t>
            </w:r>
            <w:r w:rsidR="00B45165" w:rsidRPr="00AD1BB3">
              <w:rPr>
                <w:sz w:val="20"/>
                <w:szCs w:val="20"/>
              </w:rPr>
              <w:t>0.0001</w:t>
            </w:r>
          </w:p>
        </w:tc>
        <w:tc>
          <w:tcPr>
            <w:tcW w:w="890" w:type="pct"/>
          </w:tcPr>
          <w:p w14:paraId="4FE91DB9" w14:textId="77777777" w:rsidR="00B45165" w:rsidRPr="00AD1BB3" w:rsidRDefault="00B45165" w:rsidP="00AD1BB3">
            <w:pPr>
              <w:ind w:left="0" w:right="0"/>
              <w:rPr>
                <w:sz w:val="20"/>
                <w:szCs w:val="20"/>
              </w:rPr>
            </w:pPr>
            <w:r w:rsidRPr="00AD1BB3">
              <w:rPr>
                <w:sz w:val="20"/>
                <w:szCs w:val="20"/>
              </w:rPr>
              <w:t>26%</w:t>
            </w:r>
          </w:p>
        </w:tc>
      </w:tr>
      <w:tr w:rsidR="00515527" w:rsidRPr="00AD1BB3" w14:paraId="4FE91DC0" w14:textId="77777777" w:rsidTr="00175205">
        <w:trPr>
          <w:trHeight w:hRule="exact" w:val="830"/>
        </w:trPr>
        <w:tc>
          <w:tcPr>
            <w:tcW w:w="2167" w:type="pct"/>
          </w:tcPr>
          <w:p w14:paraId="4FE91DBB" w14:textId="77777777" w:rsidR="00B45165" w:rsidRPr="00AD1BB3" w:rsidRDefault="00B45165" w:rsidP="00AD1BB3">
            <w:pPr>
              <w:ind w:left="0" w:right="0"/>
              <w:rPr>
                <w:sz w:val="20"/>
                <w:szCs w:val="20"/>
              </w:rPr>
            </w:pPr>
            <w:r w:rsidRPr="00AD1BB3">
              <w:rPr>
                <w:sz w:val="20"/>
                <w:szCs w:val="20"/>
              </w:rPr>
              <w:lastRenderedPageBreak/>
              <w:t>Global evaluation of rhinoconjunctivitis symptoms</w:t>
            </w:r>
          </w:p>
        </w:tc>
        <w:tc>
          <w:tcPr>
            <w:tcW w:w="566" w:type="pct"/>
          </w:tcPr>
          <w:p w14:paraId="4FE91DBC" w14:textId="77777777" w:rsidR="00B45165" w:rsidRPr="00AD1BB3" w:rsidRDefault="00B45165" w:rsidP="00AD1BB3">
            <w:pPr>
              <w:ind w:left="0" w:right="0"/>
              <w:rPr>
                <w:sz w:val="20"/>
                <w:szCs w:val="20"/>
              </w:rPr>
            </w:pPr>
            <w:r w:rsidRPr="00AD1BB3">
              <w:rPr>
                <w:sz w:val="20"/>
                <w:szCs w:val="20"/>
              </w:rPr>
              <w:t>7.09</w:t>
            </w:r>
          </w:p>
        </w:tc>
        <w:tc>
          <w:tcPr>
            <w:tcW w:w="729" w:type="pct"/>
          </w:tcPr>
          <w:p w14:paraId="4FE91DBD" w14:textId="77777777" w:rsidR="00B45165" w:rsidRPr="00AD1BB3" w:rsidRDefault="00B45165" w:rsidP="00AD1BB3">
            <w:pPr>
              <w:ind w:left="0" w:right="0"/>
              <w:rPr>
                <w:sz w:val="20"/>
                <w:szCs w:val="20"/>
              </w:rPr>
            </w:pPr>
            <w:r w:rsidRPr="00AD1BB3">
              <w:rPr>
                <w:sz w:val="20"/>
                <w:szCs w:val="20"/>
              </w:rPr>
              <w:t>8.95</w:t>
            </w:r>
          </w:p>
        </w:tc>
        <w:tc>
          <w:tcPr>
            <w:tcW w:w="648" w:type="pct"/>
          </w:tcPr>
          <w:p w14:paraId="4FE91DBE" w14:textId="77777777" w:rsidR="00B45165" w:rsidRPr="00AD1BB3" w:rsidRDefault="004C74AA" w:rsidP="00AD1BB3">
            <w:pPr>
              <w:ind w:left="0" w:right="0"/>
              <w:rPr>
                <w:sz w:val="20"/>
                <w:szCs w:val="20"/>
              </w:rPr>
            </w:pPr>
            <w:r>
              <w:rPr>
                <w:sz w:val="20"/>
                <w:szCs w:val="20"/>
              </w:rPr>
              <w:t xml:space="preserve">&lt; </w:t>
            </w:r>
            <w:r w:rsidR="00B45165" w:rsidRPr="00AD1BB3">
              <w:rPr>
                <w:sz w:val="20"/>
                <w:szCs w:val="20"/>
              </w:rPr>
              <w:t>0.0001</w:t>
            </w:r>
          </w:p>
        </w:tc>
        <w:tc>
          <w:tcPr>
            <w:tcW w:w="890" w:type="pct"/>
          </w:tcPr>
          <w:p w14:paraId="4FE91DBF" w14:textId="77777777" w:rsidR="00B45165" w:rsidRPr="00AD1BB3" w:rsidRDefault="00B45165" w:rsidP="00AD1BB3">
            <w:pPr>
              <w:ind w:left="0" w:right="0"/>
              <w:rPr>
                <w:sz w:val="20"/>
                <w:szCs w:val="20"/>
              </w:rPr>
            </w:pPr>
            <w:r w:rsidRPr="00AD1BB3">
              <w:rPr>
                <w:sz w:val="20"/>
                <w:szCs w:val="20"/>
              </w:rPr>
              <w:t>21%</w:t>
            </w:r>
          </w:p>
        </w:tc>
      </w:tr>
      <w:tr w:rsidR="00515527" w:rsidRPr="00AD1BB3" w14:paraId="4FE91DC6" w14:textId="77777777" w:rsidTr="00175205">
        <w:trPr>
          <w:trHeight w:hRule="exact" w:val="828"/>
        </w:trPr>
        <w:tc>
          <w:tcPr>
            <w:tcW w:w="2167" w:type="pct"/>
          </w:tcPr>
          <w:p w14:paraId="4FE91DC1" w14:textId="77777777" w:rsidR="00B45165" w:rsidRPr="00AD1BB3" w:rsidRDefault="00B45165" w:rsidP="00AD1BB3">
            <w:pPr>
              <w:ind w:left="0" w:right="0"/>
              <w:rPr>
                <w:sz w:val="20"/>
                <w:szCs w:val="20"/>
              </w:rPr>
            </w:pPr>
            <w:r w:rsidRPr="00AD1BB3">
              <w:rPr>
                <w:sz w:val="20"/>
                <w:szCs w:val="20"/>
              </w:rPr>
              <w:t>Global improvement of rhinoconjunctivitis symptoms</w:t>
            </w:r>
          </w:p>
        </w:tc>
        <w:tc>
          <w:tcPr>
            <w:tcW w:w="566" w:type="pct"/>
          </w:tcPr>
          <w:p w14:paraId="4FE91DC2" w14:textId="77777777" w:rsidR="00B45165" w:rsidRPr="00AD1BB3" w:rsidRDefault="00B45165" w:rsidP="00AD1BB3">
            <w:pPr>
              <w:ind w:left="0" w:right="0"/>
              <w:rPr>
                <w:sz w:val="20"/>
                <w:szCs w:val="20"/>
              </w:rPr>
            </w:pPr>
            <w:r w:rsidRPr="00AD1BB3">
              <w:rPr>
                <w:sz w:val="20"/>
                <w:szCs w:val="20"/>
              </w:rPr>
              <w:t>0.82</w:t>
            </w:r>
          </w:p>
        </w:tc>
        <w:tc>
          <w:tcPr>
            <w:tcW w:w="729" w:type="pct"/>
          </w:tcPr>
          <w:p w14:paraId="4FE91DC3" w14:textId="77777777" w:rsidR="00B45165" w:rsidRPr="00AD1BB3" w:rsidRDefault="00B45165" w:rsidP="00AD1BB3">
            <w:pPr>
              <w:ind w:left="0" w:right="0"/>
              <w:rPr>
                <w:sz w:val="20"/>
                <w:szCs w:val="20"/>
              </w:rPr>
            </w:pPr>
            <w:r w:rsidRPr="00AD1BB3">
              <w:rPr>
                <w:sz w:val="20"/>
                <w:szCs w:val="20"/>
              </w:rPr>
              <w:t>0.55</w:t>
            </w:r>
          </w:p>
        </w:tc>
        <w:tc>
          <w:tcPr>
            <w:tcW w:w="648" w:type="pct"/>
          </w:tcPr>
          <w:p w14:paraId="4FE91DC4" w14:textId="77777777" w:rsidR="00B45165" w:rsidRPr="00AD1BB3" w:rsidRDefault="004C74AA" w:rsidP="00AD1BB3">
            <w:pPr>
              <w:ind w:left="0" w:right="0"/>
              <w:rPr>
                <w:sz w:val="20"/>
                <w:szCs w:val="20"/>
              </w:rPr>
            </w:pPr>
            <w:r>
              <w:rPr>
                <w:sz w:val="20"/>
                <w:szCs w:val="20"/>
              </w:rPr>
              <w:t xml:space="preserve">&lt; </w:t>
            </w:r>
            <w:r w:rsidR="00B45165" w:rsidRPr="00AD1BB3">
              <w:rPr>
                <w:sz w:val="20"/>
                <w:szCs w:val="20"/>
              </w:rPr>
              <w:t>0.0001</w:t>
            </w:r>
          </w:p>
        </w:tc>
        <w:tc>
          <w:tcPr>
            <w:tcW w:w="890" w:type="pct"/>
          </w:tcPr>
          <w:p w14:paraId="4FE91DC5" w14:textId="77777777" w:rsidR="00B45165" w:rsidRPr="00AD1BB3" w:rsidRDefault="00B45165" w:rsidP="00AD1BB3">
            <w:pPr>
              <w:ind w:left="0" w:right="0"/>
              <w:rPr>
                <w:sz w:val="20"/>
                <w:szCs w:val="20"/>
              </w:rPr>
            </w:pPr>
            <w:r w:rsidRPr="00AD1BB3">
              <w:rPr>
                <w:sz w:val="20"/>
                <w:szCs w:val="20"/>
              </w:rPr>
              <w:t>49%</w:t>
            </w:r>
          </w:p>
        </w:tc>
      </w:tr>
      <w:tr w:rsidR="00515527" w:rsidRPr="00AD1BB3" w14:paraId="4FE91DCC" w14:textId="77777777" w:rsidTr="00175205">
        <w:trPr>
          <w:trHeight w:hRule="exact" w:val="826"/>
        </w:trPr>
        <w:tc>
          <w:tcPr>
            <w:tcW w:w="2167" w:type="pct"/>
          </w:tcPr>
          <w:p w14:paraId="4FE91DC7" w14:textId="77777777" w:rsidR="00B45165" w:rsidRPr="00AD1BB3" w:rsidRDefault="00B45165" w:rsidP="00AD1BB3">
            <w:pPr>
              <w:ind w:left="0" w:right="0"/>
              <w:rPr>
                <w:sz w:val="20"/>
                <w:szCs w:val="20"/>
              </w:rPr>
            </w:pPr>
            <w:r w:rsidRPr="00AD1BB3">
              <w:rPr>
                <w:sz w:val="20"/>
                <w:szCs w:val="20"/>
              </w:rPr>
              <w:t>Excellent rhinoconjunctivitis control</w:t>
            </w:r>
          </w:p>
        </w:tc>
        <w:tc>
          <w:tcPr>
            <w:tcW w:w="566" w:type="pct"/>
          </w:tcPr>
          <w:p w14:paraId="4FE91DC8" w14:textId="77777777" w:rsidR="00B45165" w:rsidRPr="00AD1BB3" w:rsidRDefault="00B45165" w:rsidP="00AD1BB3">
            <w:pPr>
              <w:ind w:left="0" w:right="0"/>
              <w:rPr>
                <w:sz w:val="20"/>
                <w:szCs w:val="20"/>
              </w:rPr>
            </w:pPr>
            <w:r w:rsidRPr="00AD1BB3">
              <w:rPr>
                <w:sz w:val="20"/>
                <w:szCs w:val="20"/>
              </w:rPr>
              <w:t>0.401</w:t>
            </w:r>
          </w:p>
        </w:tc>
        <w:tc>
          <w:tcPr>
            <w:tcW w:w="729" w:type="pct"/>
          </w:tcPr>
          <w:p w14:paraId="4FE91DC9" w14:textId="77777777" w:rsidR="00B45165" w:rsidRPr="00AD1BB3" w:rsidRDefault="00B45165" w:rsidP="00AD1BB3">
            <w:pPr>
              <w:ind w:left="0" w:right="0"/>
              <w:rPr>
                <w:sz w:val="20"/>
                <w:szCs w:val="20"/>
              </w:rPr>
            </w:pPr>
            <w:r w:rsidRPr="00AD1BB3">
              <w:rPr>
                <w:sz w:val="20"/>
                <w:szCs w:val="20"/>
              </w:rPr>
              <w:t>0.241</w:t>
            </w:r>
          </w:p>
        </w:tc>
        <w:tc>
          <w:tcPr>
            <w:tcW w:w="648" w:type="pct"/>
          </w:tcPr>
          <w:p w14:paraId="4FE91DCA" w14:textId="77777777" w:rsidR="00B45165" w:rsidRPr="00AD1BB3" w:rsidRDefault="004C74AA" w:rsidP="00AD1BB3">
            <w:pPr>
              <w:ind w:left="0" w:right="0"/>
              <w:rPr>
                <w:sz w:val="20"/>
                <w:szCs w:val="20"/>
              </w:rPr>
            </w:pPr>
            <w:r>
              <w:rPr>
                <w:sz w:val="20"/>
                <w:szCs w:val="20"/>
              </w:rPr>
              <w:t xml:space="preserve">&lt; </w:t>
            </w:r>
            <w:r w:rsidR="00B45165" w:rsidRPr="00AD1BB3">
              <w:rPr>
                <w:sz w:val="20"/>
                <w:szCs w:val="20"/>
              </w:rPr>
              <w:t>0.0001</w:t>
            </w:r>
          </w:p>
        </w:tc>
        <w:tc>
          <w:tcPr>
            <w:tcW w:w="890" w:type="pct"/>
          </w:tcPr>
          <w:p w14:paraId="4FE91DCB" w14:textId="77777777" w:rsidR="00B45165" w:rsidRPr="00AD1BB3" w:rsidRDefault="00B45165" w:rsidP="00AD1BB3">
            <w:pPr>
              <w:ind w:left="0" w:right="0"/>
              <w:rPr>
                <w:sz w:val="20"/>
                <w:szCs w:val="20"/>
              </w:rPr>
            </w:pPr>
            <w:r w:rsidRPr="00AD1BB3">
              <w:rPr>
                <w:sz w:val="20"/>
                <w:szCs w:val="20"/>
              </w:rPr>
              <w:t>66%</w:t>
            </w:r>
          </w:p>
        </w:tc>
      </w:tr>
    </w:tbl>
    <w:p w14:paraId="4FE91DCD" w14:textId="77777777" w:rsidR="00515527" w:rsidRPr="00515527" w:rsidRDefault="00515527" w:rsidP="00515527">
      <w:pPr>
        <w:pStyle w:val="TableDescription"/>
      </w:pPr>
      <w:r w:rsidRPr="00515527">
        <w:t>FAS=full analysis set, VAS=visual analogue scale, RQLQ=rhinoconjunctiviti</w:t>
      </w:r>
      <w:r>
        <w:t xml:space="preserve">s quality of life questionnaire; </w:t>
      </w:r>
      <w:r w:rsidRPr="00515527">
        <w:t xml:space="preserve">*Reduction = (Active –Placebo) </w:t>
      </w:r>
      <w:r>
        <w:t>÷</w:t>
      </w:r>
      <w:r w:rsidRPr="00515527">
        <w:t xml:space="preserve"> Placebo </w:t>
      </w:r>
      <w:r>
        <w:t>x</w:t>
      </w:r>
      <w:r w:rsidRPr="00515527">
        <w:t xml:space="preserve"> 100</w:t>
      </w:r>
    </w:p>
    <w:p w14:paraId="4FE91DCE" w14:textId="77777777" w:rsidR="00515527" w:rsidRPr="00515527" w:rsidRDefault="00515527" w:rsidP="00515527">
      <w:pPr>
        <w:pStyle w:val="Heading6"/>
      </w:pPr>
      <w:r w:rsidRPr="00515527">
        <w:t>Results for Treatment Year 2 (2006)</w:t>
      </w:r>
    </w:p>
    <w:p w14:paraId="4FE91DCF" w14:textId="77777777" w:rsidR="005479B1" w:rsidRDefault="00515527" w:rsidP="00515527">
      <w:r w:rsidRPr="00515527">
        <w:t>The trial was amended to extend the treatment to 3 years with 2 years of follow-up to assess long-term and sustained efficacy and safety of Grazax</w:t>
      </w:r>
      <w:r w:rsidR="005479B1">
        <w:t>.</w:t>
      </w:r>
    </w:p>
    <w:p w14:paraId="4FE91DD0" w14:textId="77777777" w:rsidR="00515527" w:rsidRPr="00515527" w:rsidRDefault="00515527" w:rsidP="00515527">
      <w:r w:rsidRPr="00515527">
        <w:t xml:space="preserve">All individual nose and eye symptoms showed statistically significant improvements in the Grazax group relative to placebo of 32%-51% (all </w:t>
      </w:r>
      <w:r w:rsidR="00AD1BB3">
        <w:t xml:space="preserve">p values </w:t>
      </w:r>
      <w:r w:rsidR="004A7F98">
        <w:t xml:space="preserve">≤ </w:t>
      </w:r>
      <w:r w:rsidRPr="00515527">
        <w:t xml:space="preserve">0.001) during the entire </w:t>
      </w:r>
      <w:r w:rsidR="0082122C">
        <w:t>GPS</w:t>
      </w:r>
      <w:r w:rsidRPr="00515527">
        <w:t xml:space="preserve">. Similar results were found for peak </w:t>
      </w:r>
      <w:r w:rsidR="0082122C">
        <w:t>GPS</w:t>
      </w:r>
      <w:r w:rsidR="00AD1BB3">
        <w:t xml:space="preserve"> (differences: 30 to </w:t>
      </w:r>
      <w:r w:rsidRPr="00515527">
        <w:t xml:space="preserve">50%; all </w:t>
      </w:r>
      <w:r w:rsidR="00AD1BB3">
        <w:t xml:space="preserve">p values </w:t>
      </w:r>
      <w:r w:rsidR="004A7F98">
        <w:t xml:space="preserve">≤ </w:t>
      </w:r>
      <w:r w:rsidRPr="00515527">
        <w:t>0.002).</w:t>
      </w:r>
    </w:p>
    <w:p w14:paraId="4FE91DD1" w14:textId="77777777" w:rsidR="00515527" w:rsidRPr="00515527" w:rsidRDefault="00515527" w:rsidP="00515527">
      <w:r w:rsidRPr="00515527">
        <w:t>The comparison to the symptom scores</w:t>
      </w:r>
      <w:r w:rsidR="00FA2591">
        <w:t xml:space="preserve"> </w:t>
      </w:r>
      <w:r w:rsidRPr="00515527">
        <w:t xml:space="preserve">and medication use reported by the same subjects in the </w:t>
      </w:r>
      <w:r w:rsidR="0082122C">
        <w:t>GPS</w:t>
      </w:r>
      <w:r w:rsidRPr="00515527">
        <w:t xml:space="preserve"> 2005 showed that the difference in treatment effect between the two </w:t>
      </w:r>
      <w:r w:rsidR="0082122C">
        <w:t>GPS</w:t>
      </w:r>
      <w:r w:rsidRPr="00515527">
        <w:t>s was not statistically significant (</w:t>
      </w:r>
      <w:r w:rsidR="00AD1BB3">
        <w:t xml:space="preserve">p = 0.95 and p </w:t>
      </w:r>
      <w:r w:rsidRPr="00515527">
        <w:t>=</w:t>
      </w:r>
      <w:r w:rsidR="00AD1BB3">
        <w:t xml:space="preserve"> </w:t>
      </w:r>
      <w:r w:rsidRPr="00515527">
        <w:t>0.27 respectively).</w:t>
      </w:r>
    </w:p>
    <w:p w14:paraId="4FE91DD2" w14:textId="120E7F99" w:rsidR="00515527" w:rsidRPr="00515527" w:rsidRDefault="00515527" w:rsidP="00515527">
      <w:pPr>
        <w:pStyle w:val="TableTitle"/>
      </w:pPr>
      <w:bookmarkStart w:id="198" w:name="_Toc449426730"/>
      <w:r>
        <w:t xml:space="preserve">Table </w:t>
      </w:r>
      <w:r w:rsidR="002C4BA2">
        <w:t>1</w:t>
      </w:r>
      <w:r w:rsidR="00500CC2">
        <w:t>3</w:t>
      </w:r>
      <w:r>
        <w:t xml:space="preserve">: </w:t>
      </w:r>
      <w:r w:rsidR="00D7132E">
        <w:t xml:space="preserve">Study GT-08. </w:t>
      </w:r>
      <w:r w:rsidRPr="00515527">
        <w:t>Average symptom and medication score during the entire 2006 season (FAS) and comparison to 2005 (extension cohort)</w:t>
      </w:r>
      <w:bookmarkEnd w:id="198"/>
    </w:p>
    <w:p w14:paraId="4FE91DD3" w14:textId="77777777" w:rsidR="00B45165" w:rsidRPr="00515527" w:rsidRDefault="00515527" w:rsidP="00515527">
      <w:r>
        <w:rPr>
          <w:noProof/>
          <w:lang w:eastAsia="en-AU"/>
        </w:rPr>
        <w:drawing>
          <wp:inline distT="0" distB="0" distL="0" distR="0" wp14:anchorId="4FE91EFD" wp14:editId="451D03AF">
            <wp:extent cx="5400040" cy="1645397"/>
            <wp:effectExtent l="0" t="0" r="0" b="0"/>
            <wp:docPr id="2" name="Picture 2" descr="Table 13 :Study GT-08.  Average symptom and medication score during the entire 2006 season (FAS) and comparison to 2005 (extension co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00040" cy="1645397"/>
                    </a:xfrm>
                    <a:prstGeom prst="rect">
                      <a:avLst/>
                    </a:prstGeom>
                  </pic:spPr>
                </pic:pic>
              </a:graphicData>
            </a:graphic>
          </wp:inline>
        </w:drawing>
      </w:r>
    </w:p>
    <w:p w14:paraId="4FE91DD4" w14:textId="5141D9A3" w:rsidR="00515527" w:rsidRPr="00515527" w:rsidRDefault="00515527" w:rsidP="00515527">
      <w:pPr>
        <w:pStyle w:val="TableTitle"/>
      </w:pPr>
      <w:r w:rsidRPr="00515527">
        <w:t xml:space="preserve">Table </w:t>
      </w:r>
      <w:r w:rsidR="002C4BA2">
        <w:t>1</w:t>
      </w:r>
      <w:r w:rsidR="00500CC2">
        <w:t>4</w:t>
      </w:r>
      <w:r w:rsidRPr="00515527">
        <w:t>:</w:t>
      </w:r>
      <w:r w:rsidR="00D7132E" w:rsidRPr="00D7132E">
        <w:t xml:space="preserve"> </w:t>
      </w:r>
      <w:r w:rsidR="00D7132E">
        <w:t>Study GT-08.</w:t>
      </w:r>
      <w:r w:rsidRPr="00515527">
        <w:t xml:space="preserve"> Overview of Efficacy Results in Year 1 (2005) and Year 2 (2006) (FAS)</w:t>
      </w:r>
    </w:p>
    <w:p w14:paraId="4FE91DD5" w14:textId="77777777" w:rsidR="00B45165" w:rsidRPr="00B45165" w:rsidRDefault="00515527" w:rsidP="00B45165">
      <w:r>
        <w:rPr>
          <w:noProof/>
          <w:lang w:eastAsia="en-AU"/>
        </w:rPr>
        <w:drawing>
          <wp:inline distT="0" distB="0" distL="0" distR="0" wp14:anchorId="4FE91EFF" wp14:editId="4FD9024A">
            <wp:extent cx="5139205" cy="1733384"/>
            <wp:effectExtent l="0" t="0" r="4445" b="635"/>
            <wp:docPr id="3" name="Picture 3" descr="Table 14: Study GT-08. Overview of Efficacy Results in Year 1 (2005) and Year 2 (2006)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140650" cy="1733871"/>
                    </a:xfrm>
                    <a:prstGeom prst="rect">
                      <a:avLst/>
                    </a:prstGeom>
                  </pic:spPr>
                </pic:pic>
              </a:graphicData>
            </a:graphic>
          </wp:inline>
        </w:drawing>
      </w:r>
    </w:p>
    <w:p w14:paraId="4FE91DD6" w14:textId="77777777" w:rsidR="00515527" w:rsidRPr="00515527" w:rsidRDefault="00515527" w:rsidP="00515527">
      <w:pPr>
        <w:pStyle w:val="Heading6"/>
      </w:pPr>
      <w:r w:rsidRPr="00515527">
        <w:lastRenderedPageBreak/>
        <w:t xml:space="preserve">Results for </w:t>
      </w:r>
      <w:r w:rsidR="00AD1BB3" w:rsidRPr="00515527">
        <w:t>treatmen</w:t>
      </w:r>
      <w:r w:rsidRPr="00515527">
        <w:t>t Year 3 (2007)</w:t>
      </w:r>
    </w:p>
    <w:p w14:paraId="4FE91DD7" w14:textId="77777777" w:rsidR="00515527" w:rsidRPr="009A20FE" w:rsidRDefault="00515527" w:rsidP="00515527">
      <w:r w:rsidRPr="00515527">
        <w:t xml:space="preserve">The average symptom and medication scores were calculated for each subject as the average of the observed total daily scores throughout the entire </w:t>
      </w:r>
      <w:r w:rsidR="0082122C">
        <w:t>GPS</w:t>
      </w:r>
      <w:r w:rsidRPr="00515527">
        <w:t xml:space="preserve"> 2007. Compared to Placebo, Grazax treated subjects had a 29% reduction in average daily symptom score with a reduction in both nose symptoms and eye symptoms over the entire </w:t>
      </w:r>
      <w:r w:rsidR="0082122C">
        <w:t>GPS</w:t>
      </w:r>
      <w:r w:rsidRPr="00515527">
        <w:t xml:space="preserve"> 2007</w:t>
      </w:r>
      <w:r>
        <w:t>.</w:t>
      </w:r>
    </w:p>
    <w:p w14:paraId="4FE91DD8" w14:textId="2FF86D7E" w:rsidR="00515527" w:rsidRPr="00515527" w:rsidRDefault="00515527" w:rsidP="00515527">
      <w:pPr>
        <w:pStyle w:val="TableTitle"/>
      </w:pPr>
      <w:bookmarkStart w:id="199" w:name="_Toc449426732"/>
      <w:r>
        <w:t xml:space="preserve">Table </w:t>
      </w:r>
      <w:r w:rsidR="002C4BA2">
        <w:t>1</w:t>
      </w:r>
      <w:r w:rsidR="00500CC2">
        <w:t>5</w:t>
      </w:r>
      <w:r>
        <w:t xml:space="preserve">: </w:t>
      </w:r>
      <w:r w:rsidR="00D7132E">
        <w:t xml:space="preserve">Study GT-08. </w:t>
      </w:r>
      <w:r w:rsidRPr="00515527">
        <w:t xml:space="preserve">Average daily symptom and medication scores entire </w:t>
      </w:r>
      <w:r w:rsidR="0082122C">
        <w:t>GPS</w:t>
      </w:r>
      <w:r w:rsidRPr="00515527">
        <w:t xml:space="preserve"> 2007</w:t>
      </w:r>
      <w:bookmarkEnd w:id="199"/>
    </w:p>
    <w:p w14:paraId="4FE91DD9" w14:textId="77777777" w:rsidR="00515527" w:rsidRPr="00515527" w:rsidRDefault="00515527" w:rsidP="00515527">
      <w:r>
        <w:rPr>
          <w:noProof/>
          <w:lang w:eastAsia="en-AU"/>
        </w:rPr>
        <w:drawing>
          <wp:inline distT="0" distB="0" distL="0" distR="0" wp14:anchorId="4FE91F01" wp14:editId="51AE8A31">
            <wp:extent cx="5136543" cy="1595841"/>
            <wp:effectExtent l="0" t="0" r="6985" b="4445"/>
            <wp:docPr id="4" name="Picture 4" descr="Table 15: Study GT-08.  Average daily symptom and medication scores entire grass pollen season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137593" cy="1596167"/>
                    </a:xfrm>
                    <a:prstGeom prst="rect">
                      <a:avLst/>
                    </a:prstGeom>
                  </pic:spPr>
                </pic:pic>
              </a:graphicData>
            </a:graphic>
          </wp:inline>
        </w:drawing>
      </w:r>
    </w:p>
    <w:p w14:paraId="4FE91DDA" w14:textId="293EB055" w:rsidR="00515527" w:rsidRPr="00515527" w:rsidRDefault="00515527" w:rsidP="00515527">
      <w:pPr>
        <w:pStyle w:val="TableTitle"/>
      </w:pPr>
      <w:bookmarkStart w:id="200" w:name="_Toc449426733"/>
      <w:r>
        <w:t xml:space="preserve">Table </w:t>
      </w:r>
      <w:r w:rsidR="002C4BA2">
        <w:t>1</w:t>
      </w:r>
      <w:r w:rsidR="00500CC2">
        <w:t>6</w:t>
      </w:r>
      <w:r>
        <w:t xml:space="preserve">: </w:t>
      </w:r>
      <w:r w:rsidR="00D7132E">
        <w:t xml:space="preserve">Study GT-08. </w:t>
      </w:r>
      <w:r w:rsidRPr="00515527">
        <w:t>Efficacy overview of endpoint analysis results 3rd year of treatment</w:t>
      </w:r>
      <w:bookmarkEnd w:id="200"/>
      <w:r w:rsidRPr="00515527">
        <w:t xml:space="preserve"> (2007)</w:t>
      </w:r>
    </w:p>
    <w:p w14:paraId="4FE91DDB" w14:textId="77777777" w:rsidR="00515527" w:rsidRPr="00515527" w:rsidRDefault="00515527" w:rsidP="00515527">
      <w:r>
        <w:rPr>
          <w:noProof/>
          <w:lang w:eastAsia="en-AU"/>
        </w:rPr>
        <w:drawing>
          <wp:inline distT="0" distB="0" distL="0" distR="0" wp14:anchorId="4FE91F03" wp14:editId="2233688D">
            <wp:extent cx="5176300" cy="652015"/>
            <wp:effectExtent l="0" t="0" r="5715" b="0"/>
            <wp:docPr id="5" name="Picture 5" descr="Table 16: Study GT-08.  Efficacy overview of endpoint analysis results 3rd year of treatment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257781" cy="662278"/>
                    </a:xfrm>
                    <a:prstGeom prst="rect">
                      <a:avLst/>
                    </a:prstGeom>
                  </pic:spPr>
                </pic:pic>
              </a:graphicData>
            </a:graphic>
          </wp:inline>
        </w:drawing>
      </w:r>
    </w:p>
    <w:p w14:paraId="4FE91DDC" w14:textId="77777777" w:rsidR="00515527" w:rsidRPr="00515527" w:rsidRDefault="00515527" w:rsidP="00DF4597">
      <w:pPr>
        <w:pStyle w:val="Heading6"/>
      </w:pPr>
      <w:r w:rsidRPr="00515527">
        <w:t>Results for Year 4 (2008, 1st year follow up after 3 years treatment)</w:t>
      </w:r>
      <w:bookmarkStart w:id="201" w:name="_Toc449426734"/>
    </w:p>
    <w:p w14:paraId="4FE91DDD" w14:textId="77777777" w:rsidR="00515527" w:rsidRPr="00515527" w:rsidRDefault="00515527" w:rsidP="00515527">
      <w:r w:rsidRPr="00515527">
        <w:t>A clinically relevant effect in terms of reduced average daily symptom and medication scores</w:t>
      </w:r>
      <w:r w:rsidR="00DF4597">
        <w:t xml:space="preserve"> </w:t>
      </w:r>
      <w:r w:rsidRPr="00515527">
        <w:t xml:space="preserve">during entire </w:t>
      </w:r>
      <w:r w:rsidR="0082122C">
        <w:t>GPS</w:t>
      </w:r>
      <w:r w:rsidRPr="00515527">
        <w:t xml:space="preserve"> was seen for the first follow up year</w:t>
      </w:r>
      <w:r w:rsidR="00DF4597">
        <w:t xml:space="preserve"> (</w:t>
      </w:r>
      <w:r w:rsidR="000F4578">
        <w:t>Year</w:t>
      </w:r>
      <w:r w:rsidR="00DF4597">
        <w:t xml:space="preserve"> 2008)</w:t>
      </w:r>
    </w:p>
    <w:p w14:paraId="4FE91DDE" w14:textId="64FF6ED0" w:rsidR="00515527" w:rsidRPr="009F1932" w:rsidRDefault="00DF4597" w:rsidP="00DF4597">
      <w:pPr>
        <w:pStyle w:val="TableTitle"/>
        <w:rPr>
          <w:rFonts w:asciiTheme="majorHAnsi" w:hAnsiTheme="majorHAnsi"/>
          <w:sz w:val="18"/>
          <w:szCs w:val="18"/>
        </w:rPr>
      </w:pPr>
      <w:r>
        <w:t xml:space="preserve">Table </w:t>
      </w:r>
      <w:r w:rsidR="002C4BA2">
        <w:t>1</w:t>
      </w:r>
      <w:r w:rsidR="00500CC2">
        <w:t>7</w:t>
      </w:r>
      <w:r>
        <w:t>:</w:t>
      </w:r>
      <w:r w:rsidR="00D7132E" w:rsidRPr="00D7132E">
        <w:t xml:space="preserve"> </w:t>
      </w:r>
      <w:r w:rsidR="00D7132E">
        <w:t>Study GT-08.</w:t>
      </w:r>
      <w:r>
        <w:t xml:space="preserve"> </w:t>
      </w:r>
      <w:r w:rsidR="00515527" w:rsidRPr="00515527">
        <w:t xml:space="preserve">Average daily symptom and medication scores entire </w:t>
      </w:r>
      <w:r w:rsidR="0082122C">
        <w:t>GPS</w:t>
      </w:r>
      <w:r w:rsidR="00515527" w:rsidRPr="00515527">
        <w:t xml:space="preserve"> 2008</w:t>
      </w:r>
      <w:bookmarkEnd w:id="201"/>
      <w:r w:rsidR="00515527" w:rsidRPr="00515527">
        <w:t xml:space="preserve"> (Year 4</w:t>
      </w:r>
      <w:r w:rsidR="00515527">
        <w:rPr>
          <w:rFonts w:asciiTheme="majorHAnsi" w:hAnsiTheme="majorHAnsi"/>
          <w:sz w:val="18"/>
          <w:szCs w:val="18"/>
        </w:rPr>
        <w:t>)</w:t>
      </w:r>
    </w:p>
    <w:p w14:paraId="4FE91DDF" w14:textId="77777777" w:rsidR="00515527" w:rsidRPr="00515527" w:rsidRDefault="00DF4597" w:rsidP="00515527">
      <w:r>
        <w:rPr>
          <w:noProof/>
          <w:lang w:eastAsia="en-AU"/>
        </w:rPr>
        <w:drawing>
          <wp:inline distT="0" distB="0" distL="0" distR="0" wp14:anchorId="4FE91F05" wp14:editId="12F86DD5">
            <wp:extent cx="5400040" cy="1526550"/>
            <wp:effectExtent l="0" t="0" r="0" b="0"/>
            <wp:docPr id="6" name="Picture 6" descr="Table 17: Study GT-08. Average daily symptom and medication scores entire grass pollen season 2008 (Ye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400040" cy="1526550"/>
                    </a:xfrm>
                    <a:prstGeom prst="rect">
                      <a:avLst/>
                    </a:prstGeom>
                  </pic:spPr>
                </pic:pic>
              </a:graphicData>
            </a:graphic>
          </wp:inline>
        </w:drawing>
      </w:r>
    </w:p>
    <w:p w14:paraId="4FE91DE0" w14:textId="364B1BC5" w:rsidR="00DF4597" w:rsidRPr="00C10ADA" w:rsidRDefault="00DF4597" w:rsidP="00DF4597">
      <w:pPr>
        <w:pStyle w:val="TableTitle"/>
      </w:pPr>
      <w:r>
        <w:t xml:space="preserve">Table </w:t>
      </w:r>
      <w:r w:rsidR="00D7132E">
        <w:t>1</w:t>
      </w:r>
      <w:r w:rsidR="00500CC2">
        <w:t>8</w:t>
      </w:r>
      <w:r>
        <w:t>:</w:t>
      </w:r>
      <w:r w:rsidRPr="003F0DD0">
        <w:t xml:space="preserve"> </w:t>
      </w:r>
      <w:bookmarkStart w:id="202" w:name="_Toc449426735"/>
      <w:r w:rsidR="00D7132E">
        <w:t xml:space="preserve">Study GT-08. </w:t>
      </w:r>
      <w:r w:rsidRPr="00C10ADA">
        <w:t>Overview of Efficacy Results from the Grass Pollen Season 2008</w:t>
      </w:r>
      <w:bookmarkEnd w:id="202"/>
      <w:r>
        <w:t xml:space="preserve"> (Year 4)</w:t>
      </w:r>
    </w:p>
    <w:p w14:paraId="4FE91DE1" w14:textId="77777777" w:rsidR="00515527" w:rsidRPr="00515527" w:rsidRDefault="00DF4597" w:rsidP="00515527">
      <w:r>
        <w:rPr>
          <w:noProof/>
          <w:lang w:eastAsia="en-AU"/>
        </w:rPr>
        <w:drawing>
          <wp:inline distT="0" distB="0" distL="0" distR="0" wp14:anchorId="4FE91F07" wp14:editId="4C389356">
            <wp:extent cx="5400040" cy="644428"/>
            <wp:effectExtent l="0" t="0" r="0" b="3810"/>
            <wp:docPr id="7" name="Picture 7" descr="Table 18: Study GT-08. Overview of Efficacy Results from the Grass Pollen Season 2008 (Ye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400040" cy="644428"/>
                    </a:xfrm>
                    <a:prstGeom prst="rect">
                      <a:avLst/>
                    </a:prstGeom>
                  </pic:spPr>
                </pic:pic>
              </a:graphicData>
            </a:graphic>
          </wp:inline>
        </w:drawing>
      </w:r>
    </w:p>
    <w:p w14:paraId="4FE91DE2" w14:textId="77777777" w:rsidR="00DF4597" w:rsidRPr="00DF4597" w:rsidRDefault="00DF4597" w:rsidP="00DF4597">
      <w:pPr>
        <w:pStyle w:val="Heading6"/>
      </w:pPr>
      <w:r w:rsidRPr="00DF4597">
        <w:t xml:space="preserve">Results for Year 5 (2009, </w:t>
      </w:r>
      <w:r w:rsidR="002F3CBA">
        <w:t>second</w:t>
      </w:r>
      <w:r w:rsidRPr="00DF4597">
        <w:t xml:space="preserve"> year follow up after 3 years treatment)</w:t>
      </w:r>
    </w:p>
    <w:p w14:paraId="4FE91DE3" w14:textId="77777777" w:rsidR="00DF4597" w:rsidRPr="00DF4597" w:rsidRDefault="00DF4597" w:rsidP="00DF4597">
      <w:r w:rsidRPr="00DF4597">
        <w:t xml:space="preserve">The analysis of average symptom scores showed that 2 years after completion of 3 years of treatment, the Grazax group had a reduction of the symptom score of 25% during the entire </w:t>
      </w:r>
      <w:r w:rsidR="0082122C">
        <w:t>GPS</w:t>
      </w:r>
      <w:r w:rsidRPr="00DF4597">
        <w:t xml:space="preserve"> when compared to placebo. This difference was statistically significant (</w:t>
      </w:r>
      <w:r w:rsidR="00AD1BB3">
        <w:t xml:space="preserve">p = </w:t>
      </w:r>
      <w:r w:rsidRPr="00DF4597">
        <w:t>0.0037).</w:t>
      </w:r>
    </w:p>
    <w:p w14:paraId="4FE91DE4" w14:textId="77777777" w:rsidR="00DF4597" w:rsidRPr="00DF4597" w:rsidRDefault="00DF4597" w:rsidP="00DF4597">
      <w:r w:rsidRPr="00DF4597">
        <w:lastRenderedPageBreak/>
        <w:t>The analysis of medication score showed that</w:t>
      </w:r>
      <w:r w:rsidR="00AD1BB3">
        <w:t>,</w:t>
      </w:r>
      <w:r w:rsidRPr="00DF4597">
        <w:t xml:space="preserve"> 2 years after the end of 3 years of treatment, the Grazax group had a slightly reduced use of rhinoconjunctivitis symptomatic medications of 20% during the entire </w:t>
      </w:r>
      <w:r w:rsidR="0082122C">
        <w:t>GPS</w:t>
      </w:r>
      <w:r w:rsidRPr="00DF4597">
        <w:t xml:space="preserve"> when compared to placebo. However, this difference was not statistically significant (</w:t>
      </w:r>
      <w:r w:rsidR="00AD1BB3">
        <w:t xml:space="preserve">p = </w:t>
      </w:r>
      <w:r w:rsidRPr="00DF4597">
        <w:t>0.1136).</w:t>
      </w:r>
    </w:p>
    <w:p w14:paraId="4FE91DE5" w14:textId="7A753838" w:rsidR="00DF4597" w:rsidRPr="00DF4597" w:rsidRDefault="00DF4597" w:rsidP="00DF4597">
      <w:pPr>
        <w:pStyle w:val="TableTitle"/>
      </w:pPr>
      <w:bookmarkStart w:id="203" w:name="_Toc449426736"/>
      <w:r>
        <w:t xml:space="preserve">Table </w:t>
      </w:r>
      <w:r w:rsidR="00D7132E">
        <w:t>1</w:t>
      </w:r>
      <w:r w:rsidR="00500CC2">
        <w:t>9</w:t>
      </w:r>
      <w:r>
        <w:t>:</w:t>
      </w:r>
      <w:r w:rsidR="00D7132E" w:rsidRPr="00D7132E">
        <w:t xml:space="preserve"> </w:t>
      </w:r>
      <w:r w:rsidR="00D7132E">
        <w:t>Study GT-08.</w:t>
      </w:r>
      <w:r>
        <w:t xml:space="preserve"> </w:t>
      </w:r>
      <w:r w:rsidRPr="00DF4597">
        <w:t xml:space="preserve">Average daily symptom and medication scores entire </w:t>
      </w:r>
      <w:r w:rsidR="0082122C">
        <w:t>GPS</w:t>
      </w:r>
      <w:r w:rsidRPr="00DF4597">
        <w:t xml:space="preserve"> 2009</w:t>
      </w:r>
      <w:bookmarkEnd w:id="203"/>
      <w:r w:rsidRPr="00DF4597">
        <w:t xml:space="preserve"> (Year 5)</w:t>
      </w:r>
    </w:p>
    <w:p w14:paraId="4FE91DE6" w14:textId="77777777" w:rsidR="00DF4597" w:rsidRDefault="00DF4597" w:rsidP="00DF4597">
      <w:pPr>
        <w:rPr>
          <w:sz w:val="20"/>
          <w:szCs w:val="20"/>
        </w:rPr>
      </w:pPr>
      <w:r>
        <w:rPr>
          <w:noProof/>
          <w:lang w:eastAsia="en-AU"/>
        </w:rPr>
        <w:drawing>
          <wp:inline distT="0" distB="0" distL="0" distR="0" wp14:anchorId="4FE91F09" wp14:editId="492E2914">
            <wp:extent cx="5400040" cy="1591166"/>
            <wp:effectExtent l="0" t="0" r="0" b="9525"/>
            <wp:docPr id="8" name="Picture 8" descr="Table 19: Study GT-08. Average daily symptom and medication scores entire grass pollen season 2009 (Yea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400040" cy="1591166"/>
                    </a:xfrm>
                    <a:prstGeom prst="rect">
                      <a:avLst/>
                    </a:prstGeom>
                  </pic:spPr>
                </pic:pic>
              </a:graphicData>
            </a:graphic>
          </wp:inline>
        </w:drawing>
      </w:r>
      <w:bookmarkStart w:id="204" w:name="_Toc449426737"/>
    </w:p>
    <w:p w14:paraId="4FE91DE7" w14:textId="7DFAAC82" w:rsidR="00DF4597" w:rsidRPr="00DF4597" w:rsidRDefault="00DF4597" w:rsidP="00DF4597">
      <w:pPr>
        <w:pStyle w:val="TableTitle"/>
      </w:pPr>
      <w:r>
        <w:t xml:space="preserve">Table </w:t>
      </w:r>
      <w:r w:rsidR="00500CC2">
        <w:t>20</w:t>
      </w:r>
      <w:r>
        <w:t xml:space="preserve">: </w:t>
      </w:r>
      <w:r w:rsidR="00D7132E">
        <w:t xml:space="preserve">Study GT-08. </w:t>
      </w:r>
      <w:r w:rsidRPr="00547198">
        <w:t xml:space="preserve">Overview of efficacy results, </w:t>
      </w:r>
      <w:r w:rsidR="0082122C">
        <w:t>GPS</w:t>
      </w:r>
      <w:r w:rsidRPr="00547198">
        <w:t xml:space="preserve"> 2009</w:t>
      </w:r>
      <w:bookmarkEnd w:id="204"/>
      <w:r w:rsidRPr="00547198">
        <w:t xml:space="preserve"> (Year 5)</w:t>
      </w:r>
    </w:p>
    <w:p w14:paraId="4FE91DE8" w14:textId="77777777" w:rsidR="00DF4597" w:rsidRDefault="00DF4597" w:rsidP="00515527">
      <w:r>
        <w:rPr>
          <w:noProof/>
          <w:lang w:eastAsia="en-AU"/>
        </w:rPr>
        <w:drawing>
          <wp:inline distT="0" distB="0" distL="0" distR="0" wp14:anchorId="4FE91F0B" wp14:editId="5FCD4893">
            <wp:extent cx="5400040" cy="660582"/>
            <wp:effectExtent l="0" t="0" r="0" b="6350"/>
            <wp:docPr id="9" name="Picture 9" descr="Table 20: Study GT-08. Overview of efficacy results, grass pollen season 2009 (Yea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400040" cy="660582"/>
                    </a:xfrm>
                    <a:prstGeom prst="rect">
                      <a:avLst/>
                    </a:prstGeom>
                  </pic:spPr>
                </pic:pic>
              </a:graphicData>
            </a:graphic>
          </wp:inline>
        </w:drawing>
      </w:r>
    </w:p>
    <w:p w14:paraId="4FE91DE9" w14:textId="77777777" w:rsidR="00DF4597" w:rsidRPr="00DF4597" w:rsidRDefault="00DF4597" w:rsidP="00DF4597">
      <w:pPr>
        <w:pStyle w:val="Heading5"/>
      </w:pPr>
      <w:bookmarkStart w:id="205" w:name="_Toc290846276"/>
      <w:bookmarkStart w:id="206" w:name="_Ref448241045"/>
      <w:bookmarkStart w:id="207" w:name="_Toc449426937"/>
      <w:r w:rsidRPr="00DF4597">
        <w:t xml:space="preserve">Study </w:t>
      </w:r>
      <w:bookmarkEnd w:id="205"/>
      <w:r w:rsidRPr="00DF4597">
        <w:t>GT-14</w:t>
      </w:r>
      <w:bookmarkEnd w:id="206"/>
      <w:bookmarkEnd w:id="207"/>
    </w:p>
    <w:p w14:paraId="4FE91DEA" w14:textId="77777777" w:rsidR="00DF4597" w:rsidRPr="00DF4597" w:rsidRDefault="00DF4597" w:rsidP="00DF4597">
      <w:r w:rsidRPr="00DF4597">
        <w:t xml:space="preserve">This </w:t>
      </w:r>
      <w:r w:rsidR="001835F8">
        <w:t>wa</w:t>
      </w:r>
      <w:r w:rsidRPr="00DF4597">
        <w:t>s a Phase III, randomised, double</w:t>
      </w:r>
      <w:r w:rsidR="001835F8">
        <w:t xml:space="preserve"> blind, parallel group, placebo </w:t>
      </w:r>
      <w:r w:rsidRPr="00DF4597">
        <w:t xml:space="preserve">controlled trial. The trial was conducted in the USA. The primary objective was to assess the efficacy of Grazax versus placebo during the entire </w:t>
      </w:r>
      <w:r w:rsidR="0082122C">
        <w:t>GPS</w:t>
      </w:r>
      <w:r w:rsidRPr="00DF4597">
        <w:t xml:space="preserve"> based on the rhinoconjunctivitis symptom score. Tr</w:t>
      </w:r>
      <w:r w:rsidR="001835F8">
        <w:t xml:space="preserve">eatment duration was at least 8 to </w:t>
      </w:r>
      <w:r w:rsidRPr="00DF4597">
        <w:t xml:space="preserve">16 weeks pre-seasonal treatment and continuous treatment throughout the </w:t>
      </w:r>
      <w:r w:rsidR="0082122C">
        <w:t>GPS</w:t>
      </w:r>
      <w:r w:rsidRPr="00DF4597">
        <w:t xml:space="preserve"> 2007.</w:t>
      </w:r>
    </w:p>
    <w:p w14:paraId="4FE91DEB" w14:textId="77777777" w:rsidR="00DF4597" w:rsidRPr="00DF4597" w:rsidRDefault="001835F8" w:rsidP="00DF4597">
      <w:r>
        <w:t xml:space="preserve">Healthy subjects (18 to </w:t>
      </w:r>
      <w:r w:rsidR="00DF4597" w:rsidRPr="00DF4597">
        <w:t xml:space="preserve">65 years) with a history of grass pollen induced allergic rhinoconjunctivitis of at least 2 years requiring treatment during the </w:t>
      </w:r>
      <w:r w:rsidR="0082122C">
        <w:t>GPS</w:t>
      </w:r>
      <w:r w:rsidR="00DF4597" w:rsidRPr="00DF4597">
        <w:t xml:space="preserve">; with a history of significant rhinoconjunctivitis symptoms, which remain troublesome despite treatment with anti-allergic drugs during the </w:t>
      </w:r>
      <w:r w:rsidR="0082122C">
        <w:t>GPS</w:t>
      </w:r>
      <w:r w:rsidR="00DF4597" w:rsidRPr="00DF4597">
        <w:t xml:space="preserve">; with positive skin prick test (SPT) to </w:t>
      </w:r>
      <w:r w:rsidR="002D7A68" w:rsidRPr="002D7A68">
        <w:rPr>
          <w:i/>
        </w:rPr>
        <w:t>Phleum pratense</w:t>
      </w:r>
      <w:r w:rsidR="00DF4597" w:rsidRPr="00DF4597">
        <w:t xml:space="preserve"> and with positive specific </w:t>
      </w:r>
      <w:proofErr w:type="spellStart"/>
      <w:r w:rsidR="00DF4597" w:rsidRPr="00DF4597">
        <w:t>IgE</w:t>
      </w:r>
      <w:proofErr w:type="spellEnd"/>
      <w:r w:rsidR="00DF4597" w:rsidRPr="00DF4597">
        <w:t xml:space="preserve"> against </w:t>
      </w:r>
      <w:proofErr w:type="spellStart"/>
      <w:r w:rsidR="002D7A68" w:rsidRPr="002D7A68">
        <w:rPr>
          <w:i/>
        </w:rPr>
        <w:t>Phleum</w:t>
      </w:r>
      <w:proofErr w:type="spellEnd"/>
      <w:r w:rsidR="002D7A68" w:rsidRPr="002D7A68">
        <w:rPr>
          <w:i/>
        </w:rPr>
        <w:t xml:space="preserve"> </w:t>
      </w:r>
      <w:proofErr w:type="spellStart"/>
      <w:r w:rsidR="002D7A68" w:rsidRPr="002D7A68">
        <w:rPr>
          <w:i/>
        </w:rPr>
        <w:t>pratense</w:t>
      </w:r>
      <w:proofErr w:type="spellEnd"/>
      <w:r w:rsidR="00DF4597" w:rsidRPr="00DF4597">
        <w:t xml:space="preserve"> (</w:t>
      </w:r>
      <w:r w:rsidR="00B1428D">
        <w:t xml:space="preserve">≥ </w:t>
      </w:r>
      <w:proofErr w:type="spellStart"/>
      <w:r w:rsidR="00DF4597" w:rsidRPr="00DF4597">
        <w:t>IgE</w:t>
      </w:r>
      <w:proofErr w:type="spellEnd"/>
      <w:r w:rsidR="00DF4597" w:rsidRPr="00DF4597">
        <w:t xml:space="preserve"> class 2). Subjects were randomised to Grazax or placebo. The rescue medication was provided to subjects as predefined, open labelled medication in a </w:t>
      </w:r>
      <w:r w:rsidR="004C74AA">
        <w:t>step wise</w:t>
      </w:r>
      <w:r w:rsidR="00DF4597" w:rsidRPr="00DF4597">
        <w:t xml:space="preserve"> fashion (see CER </w:t>
      </w:r>
      <w:r>
        <w:t xml:space="preserve">(Attachment 2) </w:t>
      </w:r>
      <w:r w:rsidR="00DF4597" w:rsidRPr="00DF4597">
        <w:t>for details). No major differences between treatment groups were observed.</w:t>
      </w:r>
    </w:p>
    <w:p w14:paraId="4FE91DEC" w14:textId="77777777" w:rsidR="005479B1" w:rsidRDefault="00DF4597" w:rsidP="00DF4597">
      <w:r w:rsidRPr="00DF4597">
        <w:t xml:space="preserve">The primary efficacy endpoint was the average rhinoconjunctivitis symptom score during the entire </w:t>
      </w:r>
      <w:r w:rsidR="0082122C">
        <w:t>GPS</w:t>
      </w:r>
      <w:r w:rsidRPr="00DF4597">
        <w:t xml:space="preserve"> calculated for each subject as the sum of the individual daily rhinoconjunctivitis symptom scores during the entire </w:t>
      </w:r>
      <w:r w:rsidR="0082122C">
        <w:t>GPS</w:t>
      </w:r>
      <w:r w:rsidRPr="00DF4597">
        <w:t xml:space="preserve">, divided by the number of rhinoconjunctivitis symptoms dairy recordings during the entire </w:t>
      </w:r>
      <w:r w:rsidR="0082122C">
        <w:t>GPS</w:t>
      </w:r>
      <w:r w:rsidR="005479B1">
        <w:t>.</w:t>
      </w:r>
    </w:p>
    <w:p w14:paraId="4FE91DED" w14:textId="77777777" w:rsidR="00DF4597" w:rsidRPr="00DF4597" w:rsidRDefault="00DF4597" w:rsidP="00DF4597">
      <w:pPr>
        <w:pStyle w:val="Heading6"/>
      </w:pPr>
      <w:r w:rsidRPr="00DF4597">
        <w:t>Results of the Primary Efficacy Endpoints</w:t>
      </w:r>
    </w:p>
    <w:p w14:paraId="4FE91DEE" w14:textId="77777777" w:rsidR="00DF4597" w:rsidRPr="00DF4597" w:rsidRDefault="00DF4597" w:rsidP="00DF4597">
      <w:r w:rsidRPr="00DF4597">
        <w:t>Average rhinoconjunctivitis symptom scores: the analysis showed there was no statistically significant differences between Grazax and placebo (</w:t>
      </w:r>
      <w:r w:rsidR="00AD1BB3">
        <w:t xml:space="preserve">p = </w:t>
      </w:r>
      <w:r w:rsidRPr="00DF4597">
        <w:t>0.3475).</w:t>
      </w:r>
    </w:p>
    <w:p w14:paraId="4FE91DEF" w14:textId="14B8F449" w:rsidR="00DF4597" w:rsidRPr="00DF4597" w:rsidRDefault="00DF4597" w:rsidP="00DF4597">
      <w:pPr>
        <w:pStyle w:val="TableTitle"/>
      </w:pPr>
      <w:bookmarkStart w:id="208" w:name="_Toc449426740"/>
      <w:r>
        <w:t xml:space="preserve">Table </w:t>
      </w:r>
      <w:r w:rsidR="00D7132E">
        <w:t>2</w:t>
      </w:r>
      <w:r w:rsidR="00500CC2">
        <w:t>1</w:t>
      </w:r>
      <w:r>
        <w:t xml:space="preserve">: </w:t>
      </w:r>
      <w:r w:rsidR="00D7132E">
        <w:t xml:space="preserve">Study GT-14. </w:t>
      </w:r>
      <w:r w:rsidRPr="00DF4597">
        <w:t xml:space="preserve">Average symptom score during the entire </w:t>
      </w:r>
      <w:r w:rsidR="0082122C">
        <w:t>GPS</w:t>
      </w:r>
      <w:r w:rsidRPr="00DF4597">
        <w:t xml:space="preserve"> (FAS)</w:t>
      </w:r>
      <w:bookmarkEnd w:id="208"/>
    </w:p>
    <w:p w14:paraId="4FE91DF0" w14:textId="77777777" w:rsidR="00DF4597" w:rsidRDefault="00DF4597" w:rsidP="00515527">
      <w:r>
        <w:rPr>
          <w:noProof/>
          <w:lang w:eastAsia="en-AU"/>
        </w:rPr>
        <w:drawing>
          <wp:inline distT="0" distB="0" distL="0" distR="0" wp14:anchorId="4FE91F0D" wp14:editId="56177F88">
            <wp:extent cx="5400040" cy="1007892"/>
            <wp:effectExtent l="0" t="0" r="0" b="1905"/>
            <wp:docPr id="10" name="Picture 10" descr="Table 21: Study GT-14. Average symptom score during the entire grass pollen season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400040" cy="1007892"/>
                    </a:xfrm>
                    <a:prstGeom prst="rect">
                      <a:avLst/>
                    </a:prstGeom>
                  </pic:spPr>
                </pic:pic>
              </a:graphicData>
            </a:graphic>
          </wp:inline>
        </w:drawing>
      </w:r>
    </w:p>
    <w:p w14:paraId="4FE91DF1" w14:textId="77777777" w:rsidR="00DF4597" w:rsidRPr="00DF4597" w:rsidRDefault="00DF4597" w:rsidP="00DF4597">
      <w:r w:rsidRPr="00DF4597">
        <w:lastRenderedPageBreak/>
        <w:t>Average rescue medication score:</w:t>
      </w:r>
      <w:r w:rsidR="00FA2591">
        <w:t xml:space="preserve"> </w:t>
      </w:r>
      <w:r w:rsidRPr="00DF4597">
        <w:t>the analysis showed there was no statistically significant differences between Grazax and placebo (</w:t>
      </w:r>
      <w:r w:rsidR="00AD1BB3">
        <w:t xml:space="preserve">p = </w:t>
      </w:r>
      <w:r w:rsidRPr="00DF4597">
        <w:t>0.0827). The non-parametric test of the average rhinoconjunctivitis medication score showed no differences between treatments (</w:t>
      </w:r>
      <w:r w:rsidR="00AD1BB3">
        <w:t xml:space="preserve">p = </w:t>
      </w:r>
      <w:r w:rsidRPr="00DF4597">
        <w:t>0.2141).</w:t>
      </w:r>
    </w:p>
    <w:p w14:paraId="4FE91DF2" w14:textId="16804E24" w:rsidR="00DF4597" w:rsidRPr="00DF4597" w:rsidRDefault="00DF4597" w:rsidP="00DF4597">
      <w:pPr>
        <w:pStyle w:val="TableTitle"/>
      </w:pPr>
      <w:bookmarkStart w:id="209" w:name="_Toc449426742"/>
      <w:r>
        <w:t xml:space="preserve">Table </w:t>
      </w:r>
      <w:r w:rsidR="00D7132E">
        <w:t>2</w:t>
      </w:r>
      <w:r w:rsidR="00500CC2">
        <w:t>2</w:t>
      </w:r>
      <w:r>
        <w:t xml:space="preserve">: </w:t>
      </w:r>
      <w:r w:rsidR="00D7132E">
        <w:t xml:space="preserve">Study GT-14. </w:t>
      </w:r>
      <w:r w:rsidRPr="00DF4597">
        <w:t xml:space="preserve">Average rescue medication score during the entire </w:t>
      </w:r>
      <w:r w:rsidR="0082122C">
        <w:t>GPS</w:t>
      </w:r>
      <w:r w:rsidRPr="00DF4597">
        <w:t xml:space="preserve"> (FAS)</w:t>
      </w:r>
      <w:bookmarkEnd w:id="209"/>
    </w:p>
    <w:p w14:paraId="4FE91DF3" w14:textId="77777777" w:rsidR="00DF4597" w:rsidRDefault="00DF4597" w:rsidP="00515527">
      <w:r>
        <w:rPr>
          <w:noProof/>
          <w:lang w:eastAsia="en-AU"/>
        </w:rPr>
        <w:drawing>
          <wp:inline distT="0" distB="0" distL="0" distR="0" wp14:anchorId="4FE91F0F" wp14:editId="6662F925">
            <wp:extent cx="5400040" cy="1018277"/>
            <wp:effectExtent l="0" t="0" r="0" b="0"/>
            <wp:docPr id="11" name="Picture 11" descr="Table 22: Study GT-14. Average rescue medication score during the entire grass pollen season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400040" cy="1018277"/>
                    </a:xfrm>
                    <a:prstGeom prst="rect">
                      <a:avLst/>
                    </a:prstGeom>
                  </pic:spPr>
                </pic:pic>
              </a:graphicData>
            </a:graphic>
          </wp:inline>
        </w:drawing>
      </w:r>
    </w:p>
    <w:p w14:paraId="4FE91DF4" w14:textId="77777777" w:rsidR="00DF4597" w:rsidRPr="00DF4597" w:rsidRDefault="00DF4597" w:rsidP="00DF4597">
      <w:pPr>
        <w:pStyle w:val="Heading5"/>
      </w:pPr>
      <w:bookmarkStart w:id="210" w:name="_Toc449426939"/>
      <w:r w:rsidRPr="00DF4597">
        <w:t>Study GT-07</w:t>
      </w:r>
      <w:bookmarkEnd w:id="210"/>
    </w:p>
    <w:p w14:paraId="4FE91DF5" w14:textId="01FB6204" w:rsidR="005479B1" w:rsidRDefault="00DF4597" w:rsidP="00DF4597">
      <w:r w:rsidRPr="00DF4597">
        <w:t xml:space="preserve">This </w:t>
      </w:r>
      <w:r w:rsidR="001835F8">
        <w:t>was</w:t>
      </w:r>
      <w:r w:rsidRPr="00DF4597">
        <w:t xml:space="preserve"> a randomised, parallel group, double blind; placebo controlled Phase </w:t>
      </w:r>
      <w:r w:rsidR="001835F8">
        <w:t>II</w:t>
      </w:r>
      <w:r w:rsidRPr="00DF4597">
        <w:t xml:space="preserve"> study conducted in Denmark and Sweden in 2004. It is noted that the formulation used was not the final formulation</w:t>
      </w:r>
      <w:r w:rsidR="009E06D6">
        <w:t>.</w:t>
      </w:r>
      <w:r w:rsidRPr="00DF4597">
        <w:t xml:space="preserve"> The primary objective of the study was to evaluate the safety of the ALK Grass tablet as compared to placebo in subjects diagnosed with mild to moderate grass pollen induced asthma as well as grass pollen induced rhinoconjunctivitis</w:t>
      </w:r>
      <w:r w:rsidR="005479B1">
        <w:t>.</w:t>
      </w:r>
    </w:p>
    <w:p w14:paraId="4FE91DF6" w14:textId="77777777" w:rsidR="00DF4597" w:rsidRPr="00DF4597" w:rsidRDefault="00093D6B" w:rsidP="00DF4597">
      <w:r>
        <w:t xml:space="preserve">Adult subjects (18 to </w:t>
      </w:r>
      <w:r w:rsidR="00DF4597" w:rsidRPr="00DF4597">
        <w:t xml:space="preserve">65 years) with a history of significant grass pollen induced allergic rhinoconjunctivitis and mild to moderate grass pollen induced asthma of 2 years or more, a positive skin prick test and specific </w:t>
      </w:r>
      <w:proofErr w:type="spellStart"/>
      <w:r w:rsidR="00DF4597" w:rsidRPr="00DF4597">
        <w:t>IgE</w:t>
      </w:r>
      <w:proofErr w:type="spellEnd"/>
      <w:r w:rsidR="00DF4597" w:rsidRPr="00DF4597">
        <w:t xml:space="preserve"> to </w:t>
      </w:r>
      <w:proofErr w:type="spellStart"/>
      <w:r w:rsidR="002D7A68" w:rsidRPr="002D7A68">
        <w:rPr>
          <w:i/>
        </w:rPr>
        <w:t>Phleum</w:t>
      </w:r>
      <w:proofErr w:type="spellEnd"/>
      <w:r w:rsidR="002D7A68" w:rsidRPr="002D7A68">
        <w:rPr>
          <w:i/>
        </w:rPr>
        <w:t xml:space="preserve"> </w:t>
      </w:r>
      <w:proofErr w:type="spellStart"/>
      <w:r w:rsidR="002D7A68" w:rsidRPr="002D7A68">
        <w:rPr>
          <w:i/>
        </w:rPr>
        <w:t>pratense</w:t>
      </w:r>
      <w:proofErr w:type="spellEnd"/>
      <w:r w:rsidR="00DF4597" w:rsidRPr="00DF4597">
        <w:t xml:space="preserve"> and a history of mild to moderate grass pollen induced asthma during the last 2 seasons controlled by appropriate medications. Subjects were randomised to ALK grass tablet or placebo for 12 weeks. Stepwise rescue medication for rhinoconjunctivitis was detailed in the CER. Efficacy was a secondary objective. The efficacy endpoint was average daily rhinoconjunctivitis symptom score as well as average rhinoconjunctivitis medication score for the </w:t>
      </w:r>
      <w:r w:rsidR="0082122C">
        <w:t>GPS</w:t>
      </w:r>
      <w:r w:rsidR="00DF4597" w:rsidRPr="00DF4597">
        <w:t>. No formal statistical sample size and power calculations were made. Outcome measures are described by treatment group displaying number of subjects, mean, SD, median, 5%-quantile, 95%- quantile, minimum and maximum. A total of 114 subjects were included with 40 subjects in the placebo group and 74 in the active group. The demography and baseline characteristics were comparable for the 2 groups. All had suffered from grass pollen induced asthma for 2 to 45 years, and grass pollen induced allergy for 2 to 51 years.</w:t>
      </w:r>
    </w:p>
    <w:p w14:paraId="4FE91DF7" w14:textId="77777777" w:rsidR="00DF4597" w:rsidRPr="00DF4597" w:rsidRDefault="00DF4597" w:rsidP="00DF4597">
      <w:r w:rsidRPr="00DF4597">
        <w:t xml:space="preserve">The efficacy analysis showed that both symptom and medication score were lower for subjects in the active treatment group compared to that in the placebo group (ITT population) in the </w:t>
      </w:r>
      <w:r w:rsidR="0082122C">
        <w:t>GPS</w:t>
      </w:r>
      <w:r w:rsidRPr="00DF4597">
        <w:t xml:space="preserve"> (average symptom score 2.27 versus 3.04 and average medication score 2.60 versus 3.81). Results were similar for the PP population. Post hoc it was decided to test the observed differences in the efficacy endpoints. Neither the rhinoconjunctivitis score nor the medication score were statistically significant for the full analysis set. No immunological testing was done in this study.</w:t>
      </w:r>
      <w:bookmarkStart w:id="211" w:name="_Ref448241112"/>
      <w:bookmarkStart w:id="212" w:name="_Toc449426940"/>
    </w:p>
    <w:p w14:paraId="4FE91DF8" w14:textId="77777777" w:rsidR="00DF4597" w:rsidRPr="00DF4597" w:rsidRDefault="00DF4597" w:rsidP="00DF4597">
      <w:pPr>
        <w:pStyle w:val="Heading5"/>
      </w:pPr>
      <w:r w:rsidRPr="00DF4597">
        <w:t>Study P05238</w:t>
      </w:r>
      <w:bookmarkEnd w:id="211"/>
      <w:bookmarkEnd w:id="212"/>
    </w:p>
    <w:p w14:paraId="4FE91DF9" w14:textId="77777777" w:rsidR="00DF4597" w:rsidRPr="00DF4597" w:rsidRDefault="00DF4597" w:rsidP="00DF4597">
      <w:r w:rsidRPr="00DF4597">
        <w:t xml:space="preserve">This is a multicentre, </w:t>
      </w:r>
      <w:r w:rsidR="004C74AA">
        <w:t>double blind</w:t>
      </w:r>
      <w:r w:rsidRPr="00DF4597">
        <w:t>, randomised, placebo-controlled study. The study evaluated the sublingual tablet (SCH 697243</w:t>
      </w:r>
      <w:r w:rsidR="00425CD4">
        <w:t xml:space="preserve"> (</w:t>
      </w:r>
      <w:r w:rsidR="00425CD4">
        <w:rPr>
          <w:rFonts w:cs="Arial,Bold"/>
          <w:bCs/>
        </w:rPr>
        <w:t>Grazax)</w:t>
      </w:r>
      <w:r w:rsidRPr="00DF4597">
        <w:t>) in adult subjects with a history of grass pollen induced rhinoconjunctivitis with or without</w:t>
      </w:r>
      <w:r w:rsidR="00425CD4">
        <w:t xml:space="preserve"> asthma. The formulation of SCH </w:t>
      </w:r>
      <w:r w:rsidRPr="00DF4597">
        <w:t xml:space="preserve">697243 is the same as Grazax. The study consisted of observational period in 2008 where no investigational product was given. Open-label rescue medications for the rhinoconjunctivitis and asthma symptoms were provided. In 2009 (the treatment period), the subjects were treated with either SCH 697243 or placebo for about 16 weeks prior to and during the </w:t>
      </w:r>
      <w:r w:rsidR="0089016D">
        <w:t>GPS</w:t>
      </w:r>
      <w:r w:rsidRPr="00DF4597">
        <w:t>. The primary objective was to evaluate the efficacy of SCH 697243 for grass pollen induced rhinoconjunctivitis based on the total combined (sum of) rhinoconjunctivitis daily symptom score and rhinoconjunctivitis daily medication score averaged over the entire GPS. The treatment duration was for 24 weeks.</w:t>
      </w:r>
    </w:p>
    <w:p w14:paraId="4FE91DFA" w14:textId="77777777" w:rsidR="005479B1" w:rsidRDefault="00DF4597" w:rsidP="00DF4597">
      <w:r w:rsidRPr="00DF4597">
        <w:lastRenderedPageBreak/>
        <w:t xml:space="preserve">Healthy adults (aged 18 to 65) with a history of significant allergic rhinoconjunctivitis to grass and with a positive skin prick test (average wheal </w:t>
      </w:r>
      <w:r w:rsidR="00B1428D">
        <w:t xml:space="preserve">≥ </w:t>
      </w:r>
      <w:r w:rsidRPr="00DF4597">
        <w:t xml:space="preserve">5 mm) and positive for specific </w:t>
      </w:r>
      <w:proofErr w:type="spellStart"/>
      <w:r w:rsidRPr="00DF4597">
        <w:t>IgE</w:t>
      </w:r>
      <w:proofErr w:type="spellEnd"/>
      <w:r w:rsidRPr="00DF4597">
        <w:t xml:space="preserve"> against </w:t>
      </w:r>
      <w:proofErr w:type="spellStart"/>
      <w:r w:rsidR="002D7A68" w:rsidRPr="002D7A68">
        <w:rPr>
          <w:i/>
        </w:rPr>
        <w:t>Phleum</w:t>
      </w:r>
      <w:proofErr w:type="spellEnd"/>
      <w:r w:rsidR="002D7A68" w:rsidRPr="002D7A68">
        <w:rPr>
          <w:i/>
        </w:rPr>
        <w:t xml:space="preserve"> </w:t>
      </w:r>
      <w:proofErr w:type="spellStart"/>
      <w:r w:rsidR="002D7A68" w:rsidRPr="002D7A68">
        <w:rPr>
          <w:i/>
        </w:rPr>
        <w:t>pratense</w:t>
      </w:r>
      <w:proofErr w:type="spellEnd"/>
      <w:r w:rsidRPr="00DF4597">
        <w:t xml:space="preserve"> (</w:t>
      </w:r>
      <w:r w:rsidR="00B1428D">
        <w:t xml:space="preserve">≥ </w:t>
      </w:r>
      <w:proofErr w:type="spellStart"/>
      <w:r w:rsidRPr="00DF4597">
        <w:t>IgE</w:t>
      </w:r>
      <w:proofErr w:type="spellEnd"/>
      <w:r w:rsidRPr="00DF4597">
        <w:t xml:space="preserve"> Class 2) and FEV1 </w:t>
      </w:r>
      <w:r w:rsidR="00B1428D">
        <w:t xml:space="preserve">≥ </w:t>
      </w:r>
      <w:r w:rsidRPr="00DF4597">
        <w:t xml:space="preserve">70% predicted. Subjects were randomised 1:1 to receive either SCH697243 or </w:t>
      </w:r>
      <w:r w:rsidR="00093D6B">
        <w:t xml:space="preserve">placebo. The 2 groups were well </w:t>
      </w:r>
      <w:r w:rsidRPr="00DF4597">
        <w:t>balanced regarding the baseline characteristics</w:t>
      </w:r>
      <w:r w:rsidR="005479B1">
        <w:t>.</w:t>
      </w:r>
    </w:p>
    <w:p w14:paraId="4FE91DFB" w14:textId="77777777" w:rsidR="00DF4597" w:rsidRPr="00DF4597" w:rsidRDefault="00DF4597" w:rsidP="00DF4597">
      <w:r w:rsidRPr="00DF4597">
        <w:t xml:space="preserve">The primary efficacy endpoint was the </w:t>
      </w:r>
      <w:r w:rsidR="00093D6B" w:rsidRPr="00DF4597">
        <w:t xml:space="preserve">total combined score </w:t>
      </w:r>
      <w:r w:rsidRPr="00DF4597">
        <w:t>(TCS) based upon the combined (sum of) rhinoconjunctivitis D</w:t>
      </w:r>
      <w:r w:rsidR="0089016D">
        <w:t>SS and DMS</w:t>
      </w:r>
      <w:r w:rsidRPr="00DF4597">
        <w:t xml:space="preserve"> averaged over the entire GPS. A total of 438 subjects were treated with 213 in the active group and 225 in the placebo group. The results of the TCS analysis showed a lower adjusted mean TCS for the active group (5.08) when compared to the placebo group (6.39) [difference = -1.31]. The difference in mean TCS was statistically significant (</w:t>
      </w:r>
      <w:r w:rsidR="00093D6B">
        <w:t>p = </w:t>
      </w:r>
      <w:r w:rsidRPr="00DF4597">
        <w:t>0.005), and the active treatment provided a 20% improvement over the placebo during the GPS. Similar results were seen with the PP population.</w:t>
      </w:r>
    </w:p>
    <w:p w14:paraId="4FE91DFC" w14:textId="23EBE8F4" w:rsidR="00DF4597" w:rsidRPr="00DF4597" w:rsidRDefault="00E074B2" w:rsidP="00D7132E">
      <w:pPr>
        <w:pStyle w:val="TableTitle"/>
      </w:pPr>
      <w:bookmarkStart w:id="213" w:name="_Toc449426750"/>
      <w:r>
        <w:t xml:space="preserve">Table </w:t>
      </w:r>
      <w:r w:rsidR="00D7132E">
        <w:t>2</w:t>
      </w:r>
      <w:r w:rsidR="00500CC2">
        <w:t>3</w:t>
      </w:r>
      <w:r>
        <w:t xml:space="preserve">: </w:t>
      </w:r>
      <w:r w:rsidR="00D7132E" w:rsidRPr="00DF4597">
        <w:t>Study P05238</w:t>
      </w:r>
      <w:r w:rsidR="00D7132E">
        <w:t xml:space="preserve"> </w:t>
      </w:r>
      <w:r w:rsidR="00DF4597" w:rsidRPr="00DF4597">
        <w:t>Results of primary efficacy endpoint: TCS during the entire GPS (FAS)</w:t>
      </w:r>
      <w:bookmarkEnd w:id="213"/>
    </w:p>
    <w:p w14:paraId="4FE91DFD" w14:textId="77777777" w:rsidR="00DF4597" w:rsidRDefault="00E074B2" w:rsidP="00515527">
      <w:r>
        <w:rPr>
          <w:noProof/>
          <w:lang w:eastAsia="en-AU"/>
        </w:rPr>
        <w:drawing>
          <wp:inline distT="0" distB="0" distL="0" distR="0" wp14:anchorId="4FE91F11" wp14:editId="3D27FB5C">
            <wp:extent cx="5400040" cy="2211363"/>
            <wp:effectExtent l="0" t="0" r="0" b="0"/>
            <wp:docPr id="12" name="Picture 12" descr="Table 23: Study P05238 Results of primary efficacy endpoint: TCS during the entire GPS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400040" cy="2211363"/>
                    </a:xfrm>
                    <a:prstGeom prst="rect">
                      <a:avLst/>
                    </a:prstGeom>
                  </pic:spPr>
                </pic:pic>
              </a:graphicData>
            </a:graphic>
          </wp:inline>
        </w:drawing>
      </w:r>
    </w:p>
    <w:p w14:paraId="4FE91DFE" w14:textId="77777777" w:rsidR="00E074B2" w:rsidRPr="00E074B2" w:rsidRDefault="00E074B2" w:rsidP="00E074B2">
      <w:pPr>
        <w:pStyle w:val="Heading5"/>
      </w:pPr>
      <w:r w:rsidRPr="00E074B2">
        <w:t>Results for other efficacy outcomes</w:t>
      </w:r>
    </w:p>
    <w:p w14:paraId="4FE91DFF" w14:textId="77777777" w:rsidR="00E074B2" w:rsidRPr="00E074B2" w:rsidRDefault="00E074B2" w:rsidP="00E074B2">
      <w:r w:rsidRPr="00E074B2">
        <w:t xml:space="preserve">Rhinoconjunctivitis </w:t>
      </w:r>
      <w:r w:rsidR="0089016D" w:rsidRPr="00E074B2">
        <w:t xml:space="preserve">daily </w:t>
      </w:r>
      <w:r w:rsidR="0089016D">
        <w:t xml:space="preserve">symptom </w:t>
      </w:r>
      <w:r w:rsidR="0089016D" w:rsidRPr="00E074B2">
        <w:t xml:space="preserve">score </w:t>
      </w:r>
      <w:r w:rsidRPr="00E074B2">
        <w:t xml:space="preserve">(DSS) during GPS: in the pre-seasonal period, subjects in both groups had low levels of symptoms (3.14 in the active group and 3.45 in placebo group; </w:t>
      </w:r>
      <w:r w:rsidR="00AD1BB3">
        <w:t xml:space="preserve">p = </w:t>
      </w:r>
      <w:r w:rsidRPr="00E074B2">
        <w:t xml:space="preserve">0.340). As the </w:t>
      </w:r>
      <w:r w:rsidR="0082122C">
        <w:t>GPS</w:t>
      </w:r>
      <w:r w:rsidRPr="00E074B2">
        <w:t xml:space="preserve"> began, the rhinoconjunctivitis </w:t>
      </w:r>
      <w:r w:rsidR="00400058">
        <w:t>DSS</w:t>
      </w:r>
      <w:r w:rsidRPr="00E074B2">
        <w:t xml:space="preserve"> increased in both groups, but to a lesser extent for the group on SCH 697243. Analysis of the rhinoconjunctivitis DSS results during the GPS showed a lower adjusted mean DSS for the active group (3.83) compared to the placebo group (4.69). Treatment with SCH 697243 provided statistically significantly lower rhinoconjunctivitis symptoms (18%; difference = -0.86; </w:t>
      </w:r>
      <w:r w:rsidR="00AD1BB3">
        <w:t xml:space="preserve">p = </w:t>
      </w:r>
      <w:r w:rsidRPr="00E074B2">
        <w:t>0.015, adjusted for multiplicity) compared with placebo.</w:t>
      </w:r>
    </w:p>
    <w:p w14:paraId="4FE91E00" w14:textId="77777777" w:rsidR="00E074B2" w:rsidRPr="00E074B2" w:rsidRDefault="00E074B2" w:rsidP="00E074B2">
      <w:r w:rsidRPr="00E074B2">
        <w:t xml:space="preserve">Average rhinoconjunctivitis DMS during GPS: the use of rescue medication was limited during the treatment period, most probably related to the weak 2009 </w:t>
      </w:r>
      <w:r w:rsidR="0082122C">
        <w:t>GPS</w:t>
      </w:r>
      <w:r w:rsidRPr="00E074B2">
        <w:t xml:space="preserve">. The mean DMS for SCH 697243 was not significantly different from that of placebo (difference = -0.45; </w:t>
      </w:r>
      <w:r w:rsidR="00AD1BB3">
        <w:t xml:space="preserve">p = </w:t>
      </w:r>
      <w:r w:rsidRPr="00E074B2">
        <w:t>0.084).</w:t>
      </w:r>
    </w:p>
    <w:p w14:paraId="4FE91E01" w14:textId="77777777" w:rsidR="00E074B2" w:rsidRPr="00E074B2" w:rsidRDefault="00E074B2" w:rsidP="00E074B2">
      <w:r w:rsidRPr="00E074B2">
        <w:t xml:space="preserve">Average Weekly Quality of Life Total Score during GPS: the analysis of the average weekly RQLQ(S) total score during the GPS showed a statistically significantly lower total score for subjects treated with SCH 697243 compared to placebo (mean total scores of 1.30 and 1.57, respectively; </w:t>
      </w:r>
      <w:r w:rsidR="00AD1BB3">
        <w:t xml:space="preserve">p = </w:t>
      </w:r>
      <w:r w:rsidRPr="00E074B2">
        <w:t>0.022, adjusted for multiplicity). Subjects treated with SCH 697243 demonstrated a 17% lower total score compared to placebo.</w:t>
      </w:r>
    </w:p>
    <w:p w14:paraId="4FE91E02" w14:textId="77777777" w:rsidR="00E074B2" w:rsidRPr="00E074B2" w:rsidRDefault="00E074B2" w:rsidP="00E074B2">
      <w:r w:rsidRPr="00E074B2">
        <w:t>The change from baseline to the average total score during the GPS in RQLQ(S) was found to be statistically significantly different between treatment groups (</w:t>
      </w:r>
      <w:r w:rsidR="00AD1BB3">
        <w:t xml:space="preserve">p = </w:t>
      </w:r>
      <w:r w:rsidRPr="00E074B2">
        <w:t>0.020); treatment with SCH 697243 provided 34% less impairment from baseline in quality of life domain symptoms compared to the placebo group (0.41 versus 0.62, respectively)</w:t>
      </w:r>
    </w:p>
    <w:p w14:paraId="4FE91E03" w14:textId="77777777" w:rsidR="00E074B2" w:rsidRPr="00E074B2" w:rsidRDefault="00E074B2" w:rsidP="00E074B2">
      <w:pPr>
        <w:pStyle w:val="Heading5"/>
      </w:pPr>
      <w:bookmarkStart w:id="214" w:name="_Toc449426941"/>
      <w:r w:rsidRPr="00E074B2">
        <w:lastRenderedPageBreak/>
        <w:t>Other studies</w:t>
      </w:r>
      <w:bookmarkEnd w:id="214"/>
    </w:p>
    <w:p w14:paraId="4FE91E04" w14:textId="77777777" w:rsidR="00E074B2" w:rsidRPr="00E074B2" w:rsidRDefault="00E074B2" w:rsidP="00E074B2">
      <w:r w:rsidRPr="00E074B2">
        <w:t>Study GT-10 and GT-17 which evaluated treatment compliance are summarised in CER</w:t>
      </w:r>
      <w:r w:rsidR="00093D6B">
        <w:t xml:space="preserve"> (Attachment 2)</w:t>
      </w:r>
      <w:r w:rsidRPr="00E074B2">
        <w:t>.</w:t>
      </w:r>
    </w:p>
    <w:p w14:paraId="4FE91E05" w14:textId="77777777" w:rsidR="00E074B2" w:rsidRPr="00E074B2" w:rsidRDefault="00E074B2" w:rsidP="00E074B2">
      <w:pPr>
        <w:pStyle w:val="Heading5"/>
      </w:pPr>
      <w:bookmarkStart w:id="215" w:name="_Ref448241169"/>
      <w:bookmarkStart w:id="216" w:name="_Ref448246111"/>
      <w:bookmarkStart w:id="217" w:name="_Toc449426944"/>
      <w:r w:rsidRPr="00E074B2">
        <w:t>Study GT-12</w:t>
      </w:r>
      <w:bookmarkEnd w:id="215"/>
      <w:bookmarkEnd w:id="216"/>
      <w:bookmarkEnd w:id="217"/>
      <w:r w:rsidRPr="00E074B2">
        <w:t xml:space="preserve"> (children </w:t>
      </w:r>
      <w:r w:rsidR="00B1428D">
        <w:t xml:space="preserve">≥ </w:t>
      </w:r>
      <w:r w:rsidRPr="00E074B2">
        <w:t>5 years)</w:t>
      </w:r>
    </w:p>
    <w:p w14:paraId="4FE91E06" w14:textId="77777777" w:rsidR="00E074B2" w:rsidRPr="00E074B2" w:rsidRDefault="00E074B2" w:rsidP="00E074B2">
      <w:r w:rsidRPr="00E074B2">
        <w:t>This is a Phase III randomised, parallel group, double blind, placebo controlled study</w:t>
      </w:r>
      <w:r w:rsidR="00FA2591">
        <w:t xml:space="preserve"> </w:t>
      </w:r>
      <w:r w:rsidR="00093D6B">
        <w:t xml:space="preserve">conducted in in children aged 5 to </w:t>
      </w:r>
      <w:r w:rsidRPr="00E074B2">
        <w:t>16 years with grass pollen induced rhinoconjunctivitis with or without asthma. The study was done in Germany (</w:t>
      </w:r>
      <w:r w:rsidR="00093D6B">
        <w:t>November</w:t>
      </w:r>
      <w:r w:rsidRPr="00E074B2">
        <w:t xml:space="preserve"> 2006 to </w:t>
      </w:r>
      <w:r w:rsidR="00093D6B">
        <w:t>September</w:t>
      </w:r>
      <w:r w:rsidRPr="00E074B2">
        <w:t xml:space="preserve"> 2007). The primary objective was to evaluate the ef</w:t>
      </w:r>
      <w:r w:rsidR="00093D6B">
        <w:t xml:space="preserve">ficacy of Grazax in children (5 to </w:t>
      </w:r>
      <w:r w:rsidRPr="00E074B2">
        <w:t>16 years) with grass pollen induced rhinoconjunctivitis.</w:t>
      </w:r>
    </w:p>
    <w:p w14:paraId="4FE91E07" w14:textId="77777777" w:rsidR="005479B1" w:rsidRDefault="00093D6B" w:rsidP="00E074B2">
      <w:r>
        <w:t xml:space="preserve">Healthy children (5 to </w:t>
      </w:r>
      <w:r w:rsidR="00E074B2" w:rsidRPr="00E074B2">
        <w:t xml:space="preserve">16 years) with a history of grass pollen induced allergic rhinoconjunctivitis (with or without asthma) having received treatment during the previous </w:t>
      </w:r>
      <w:r w:rsidR="0082122C">
        <w:t>GPS</w:t>
      </w:r>
      <w:r w:rsidR="00E074B2" w:rsidRPr="00E074B2">
        <w:t xml:space="preserve">; with positive SPT response (wheal diameter </w:t>
      </w:r>
      <w:r w:rsidR="004C74AA">
        <w:t>&gt;</w:t>
      </w:r>
      <w:r w:rsidR="000F4578">
        <w:t xml:space="preserve"> </w:t>
      </w:r>
      <w:r w:rsidR="00E074B2" w:rsidRPr="00E074B2">
        <w:t xml:space="preserve">3 mm) to </w:t>
      </w:r>
      <w:r w:rsidR="002D7A68" w:rsidRPr="002D7A68">
        <w:rPr>
          <w:i/>
        </w:rPr>
        <w:t>Phleum pratense</w:t>
      </w:r>
      <w:r w:rsidR="00E074B2" w:rsidRPr="00E074B2">
        <w:t xml:space="preserve"> and positive specific </w:t>
      </w:r>
      <w:proofErr w:type="spellStart"/>
      <w:r w:rsidR="00E074B2" w:rsidRPr="00E074B2">
        <w:t>IgE</w:t>
      </w:r>
      <w:proofErr w:type="spellEnd"/>
      <w:r w:rsidR="00E074B2" w:rsidRPr="00E074B2">
        <w:t xml:space="preserve"> against </w:t>
      </w:r>
      <w:proofErr w:type="spellStart"/>
      <w:r w:rsidR="002D7A68" w:rsidRPr="002D7A68">
        <w:rPr>
          <w:i/>
        </w:rPr>
        <w:t>Phleum</w:t>
      </w:r>
      <w:proofErr w:type="spellEnd"/>
      <w:r w:rsidR="002D7A68" w:rsidRPr="002D7A68">
        <w:rPr>
          <w:i/>
        </w:rPr>
        <w:t xml:space="preserve"> </w:t>
      </w:r>
      <w:proofErr w:type="spellStart"/>
      <w:r w:rsidR="002D7A68" w:rsidRPr="002D7A68">
        <w:rPr>
          <w:i/>
        </w:rPr>
        <w:t>pratense</w:t>
      </w:r>
      <w:proofErr w:type="spellEnd"/>
      <w:r w:rsidR="00E074B2" w:rsidRPr="00E074B2">
        <w:t xml:space="preserve"> (</w:t>
      </w:r>
      <w:r w:rsidR="00B1428D">
        <w:t xml:space="preserve">≥ </w:t>
      </w:r>
      <w:proofErr w:type="spellStart"/>
      <w:r w:rsidR="00E074B2" w:rsidRPr="00E074B2">
        <w:t>IgE</w:t>
      </w:r>
      <w:proofErr w:type="spellEnd"/>
      <w:r w:rsidR="00E074B2" w:rsidRPr="00E074B2">
        <w:t xml:space="preserve"> class 2). Subjects were randomised to receive either Grazax 75,000 SQ-T or placebo once daily. Treatment was for 16 weeks prior to and then during the entire GPS of 2007 (26 weeks). Rescue medication was provided to subjects as pre-defined, open-labe</w:t>
      </w:r>
      <w:r>
        <w:t xml:space="preserve">l medication in a step </w:t>
      </w:r>
      <w:r w:rsidR="00E074B2" w:rsidRPr="00E074B2">
        <w:t>wise fashion depending on the severity, persistency and type of symptoms</w:t>
      </w:r>
      <w:r w:rsidR="005479B1">
        <w:t>.</w:t>
      </w:r>
    </w:p>
    <w:p w14:paraId="4FE91E08" w14:textId="77777777" w:rsidR="005479B1" w:rsidRDefault="00E074B2" w:rsidP="00E074B2">
      <w:r w:rsidRPr="00E074B2">
        <w:t xml:space="preserve">The primary efficacy outcomes were the average daily rhinoconjunctivitis symptom and medication scores. These two average scores were calculated as the sum of the individual daily scores for each subject during the entire </w:t>
      </w:r>
      <w:r w:rsidR="0082122C">
        <w:t>GPS</w:t>
      </w:r>
      <w:r w:rsidRPr="00E074B2">
        <w:t xml:space="preserve"> 2007 divided by the number of subject diary recordings of that score during the entire </w:t>
      </w:r>
      <w:r w:rsidR="0082122C">
        <w:t>GPS</w:t>
      </w:r>
      <w:r w:rsidR="005479B1">
        <w:t>.</w:t>
      </w:r>
    </w:p>
    <w:p w14:paraId="4FE91E09" w14:textId="77777777" w:rsidR="00E074B2" w:rsidRPr="00E074B2" w:rsidRDefault="00E074B2" w:rsidP="00E074B2">
      <w:r w:rsidRPr="00E074B2">
        <w:t>Detailed statistical approach is discussed in the CER</w:t>
      </w:r>
      <w:r w:rsidR="00093D6B">
        <w:t xml:space="preserve"> (Attachment 2)</w:t>
      </w:r>
      <w:r w:rsidRPr="00E074B2">
        <w:t>. The full analysis set included 126 subjects in Grazax group and 127 in the placebo group. The per-protocol gro</w:t>
      </w:r>
      <w:r w:rsidR="00093D6B">
        <w:t>up included 91 subjects in the G</w:t>
      </w:r>
      <w:r w:rsidRPr="00E074B2">
        <w:t>razax group and 100 subjects in the placebo group.</w:t>
      </w:r>
    </w:p>
    <w:p w14:paraId="4FE91E0A" w14:textId="77777777" w:rsidR="00E074B2" w:rsidRPr="00E074B2" w:rsidRDefault="00E074B2" w:rsidP="00E074B2">
      <w:pPr>
        <w:pStyle w:val="Heading6"/>
      </w:pPr>
      <w:r w:rsidRPr="00E074B2">
        <w:t>Results for the primary efficacy outcome</w:t>
      </w:r>
    </w:p>
    <w:p w14:paraId="4FE91E0B" w14:textId="77777777" w:rsidR="00E074B2" w:rsidRPr="00E074B2" w:rsidRDefault="00E074B2" w:rsidP="00E074B2">
      <w:pPr>
        <w:pStyle w:val="Heading7"/>
      </w:pPr>
      <w:r w:rsidRPr="00E074B2">
        <w:t>Average daily symptom (DSS) score</w:t>
      </w:r>
    </w:p>
    <w:p w14:paraId="4FE91E0C" w14:textId="77777777" w:rsidR="00E074B2" w:rsidRPr="00E074B2" w:rsidRDefault="00E074B2" w:rsidP="00E074B2">
      <w:r w:rsidRPr="00E074B2">
        <w:t>The parametric analysis of the average symptom score showed a statistically significant difference in favour of the Grazax group (</w:t>
      </w:r>
      <w:r w:rsidR="00AD1BB3">
        <w:t xml:space="preserve">p = </w:t>
      </w:r>
      <w:r w:rsidRPr="00E074B2">
        <w:t>0.0215). The difference relat</w:t>
      </w:r>
      <w:r w:rsidR="00093D6B">
        <w:t xml:space="preserve">ive to placebo between the back </w:t>
      </w:r>
      <w:r w:rsidRPr="00E074B2">
        <w:t xml:space="preserve">transformed, adjusted means for the 2 groups was 22%. In addition, a non-parametric analysis for the FAS of the symptom score over the entire </w:t>
      </w:r>
      <w:r w:rsidR="0082122C">
        <w:t>GPS</w:t>
      </w:r>
      <w:r w:rsidRPr="00E074B2">
        <w:t xml:space="preserve"> confirmed the observed treatment effect, with a difference relative to placebo between the medians of the two treatment groups of 24%. The results were similar for the PP analysis.</w:t>
      </w:r>
    </w:p>
    <w:p w14:paraId="4FE91E0D" w14:textId="2C54A6A5" w:rsidR="00E074B2" w:rsidRPr="00E074B2" w:rsidRDefault="00E074B2" w:rsidP="00E074B2">
      <w:pPr>
        <w:pStyle w:val="TableTitle"/>
      </w:pPr>
      <w:bookmarkStart w:id="218" w:name="_Toc449426758"/>
      <w:r>
        <w:t xml:space="preserve">Table </w:t>
      </w:r>
      <w:r w:rsidR="00D7132E">
        <w:t>2</w:t>
      </w:r>
      <w:r w:rsidR="00500CC2">
        <w:t>4</w:t>
      </w:r>
      <w:r>
        <w:t xml:space="preserve">: </w:t>
      </w:r>
      <w:r w:rsidR="00D7132E">
        <w:t xml:space="preserve">Study GT-12. </w:t>
      </w:r>
      <w:r w:rsidRPr="00E074B2">
        <w:t xml:space="preserve">Analysis of average symptom score, entire </w:t>
      </w:r>
      <w:r w:rsidR="0082122C">
        <w:t>GPS</w:t>
      </w:r>
      <w:r w:rsidRPr="00E074B2">
        <w:t xml:space="preserve"> (FAS)</w:t>
      </w:r>
      <w:bookmarkEnd w:id="218"/>
    </w:p>
    <w:p w14:paraId="4FE91E0E" w14:textId="77777777" w:rsidR="00DF4597" w:rsidRDefault="00E074B2" w:rsidP="00515527">
      <w:r>
        <w:rPr>
          <w:noProof/>
          <w:lang w:eastAsia="en-AU"/>
        </w:rPr>
        <w:drawing>
          <wp:inline distT="0" distB="0" distL="0" distR="0" wp14:anchorId="4FE91F13" wp14:editId="6219BB04">
            <wp:extent cx="5400040" cy="1992707"/>
            <wp:effectExtent l="0" t="0" r="0" b="7620"/>
            <wp:docPr id="13" name="Picture 13" descr="Table 24: Study GT-12. Analysis of average symptom score, entire grass pollen season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400040" cy="1992707"/>
                    </a:xfrm>
                    <a:prstGeom prst="rect">
                      <a:avLst/>
                    </a:prstGeom>
                  </pic:spPr>
                </pic:pic>
              </a:graphicData>
            </a:graphic>
          </wp:inline>
        </w:drawing>
      </w:r>
    </w:p>
    <w:p w14:paraId="4FE91E0F" w14:textId="77777777" w:rsidR="00E074B2" w:rsidRPr="006C0963" w:rsidRDefault="00E074B2" w:rsidP="00E074B2">
      <w:pPr>
        <w:pStyle w:val="Heading7"/>
        <w:rPr>
          <w:lang w:val="fr-FR"/>
        </w:rPr>
      </w:pPr>
      <w:proofErr w:type="spellStart"/>
      <w:r w:rsidRPr="006C0963">
        <w:rPr>
          <w:lang w:val="fr-FR"/>
        </w:rPr>
        <w:lastRenderedPageBreak/>
        <w:t>Rhinoconjunctivitis</w:t>
      </w:r>
      <w:proofErr w:type="spellEnd"/>
      <w:r w:rsidRPr="006C0963">
        <w:rPr>
          <w:lang w:val="fr-FR"/>
        </w:rPr>
        <w:t xml:space="preserve"> </w:t>
      </w:r>
      <w:proofErr w:type="spellStart"/>
      <w:r w:rsidRPr="006C0963">
        <w:rPr>
          <w:lang w:val="fr-FR"/>
        </w:rPr>
        <w:t>rescue</w:t>
      </w:r>
      <w:proofErr w:type="spellEnd"/>
      <w:r w:rsidRPr="006C0963">
        <w:rPr>
          <w:lang w:val="fr-FR"/>
        </w:rPr>
        <w:t xml:space="preserve"> </w:t>
      </w:r>
      <w:proofErr w:type="spellStart"/>
      <w:r w:rsidRPr="006C0963">
        <w:rPr>
          <w:lang w:val="fr-FR"/>
        </w:rPr>
        <w:t>medication</w:t>
      </w:r>
      <w:proofErr w:type="spellEnd"/>
      <w:r w:rsidRPr="006C0963">
        <w:rPr>
          <w:lang w:val="fr-FR"/>
        </w:rPr>
        <w:t xml:space="preserve"> score (DMS)</w:t>
      </w:r>
    </w:p>
    <w:p w14:paraId="4FE91E10" w14:textId="77777777" w:rsidR="00E074B2" w:rsidRPr="00E074B2" w:rsidRDefault="00E074B2" w:rsidP="00E074B2">
      <w:r w:rsidRPr="00E074B2">
        <w:t>Subjects treated with Grazax had an overall lower medication intake than subjects treated with placebo, mainly due to a reduction in the use of loratadine tablets. The results were similar for the PP analysis.</w:t>
      </w:r>
    </w:p>
    <w:p w14:paraId="4FE91E11" w14:textId="69367FF0" w:rsidR="00E074B2" w:rsidRPr="00E074B2" w:rsidRDefault="00E074B2" w:rsidP="00E074B2">
      <w:pPr>
        <w:pStyle w:val="TableTitle"/>
      </w:pPr>
      <w:bookmarkStart w:id="219" w:name="_Toc449426759"/>
      <w:r>
        <w:t xml:space="preserve">Table </w:t>
      </w:r>
      <w:r w:rsidR="00D7132E">
        <w:t>2</w:t>
      </w:r>
      <w:r w:rsidR="00500CC2">
        <w:t>5</w:t>
      </w:r>
      <w:r>
        <w:t xml:space="preserve">: </w:t>
      </w:r>
      <w:r w:rsidR="00D7132E">
        <w:t xml:space="preserve">Study GT-12. </w:t>
      </w:r>
      <w:r w:rsidRPr="00E074B2">
        <w:t xml:space="preserve">Average medication score, entire </w:t>
      </w:r>
      <w:r w:rsidR="0082122C">
        <w:t>GPS</w:t>
      </w:r>
      <w:r w:rsidRPr="00E074B2">
        <w:t xml:space="preserve"> (FAS)</w:t>
      </w:r>
      <w:bookmarkEnd w:id="219"/>
    </w:p>
    <w:p w14:paraId="4FE91E12" w14:textId="77777777" w:rsidR="00DF4597" w:rsidRDefault="00E074B2" w:rsidP="00515527">
      <w:r>
        <w:rPr>
          <w:noProof/>
          <w:lang w:eastAsia="en-AU"/>
        </w:rPr>
        <w:drawing>
          <wp:inline distT="0" distB="0" distL="0" distR="0" wp14:anchorId="4FE91F15" wp14:editId="32665661">
            <wp:extent cx="5400040" cy="1250202"/>
            <wp:effectExtent l="0" t="0" r="0" b="7620"/>
            <wp:docPr id="14" name="Picture 14" descr="Table 25: Study GT-12. Average medication score, entire grass pollen season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400040" cy="1250202"/>
                    </a:xfrm>
                    <a:prstGeom prst="rect">
                      <a:avLst/>
                    </a:prstGeom>
                  </pic:spPr>
                </pic:pic>
              </a:graphicData>
            </a:graphic>
          </wp:inline>
        </w:drawing>
      </w:r>
    </w:p>
    <w:p w14:paraId="4FE91E13" w14:textId="77777777" w:rsidR="00E074B2" w:rsidRPr="00E074B2" w:rsidRDefault="00E074B2" w:rsidP="00E074B2">
      <w:r w:rsidRPr="00E074B2">
        <w:t xml:space="preserve">An amendment to the </w:t>
      </w:r>
      <w:r w:rsidR="001A1402">
        <w:rPr>
          <w:rFonts w:cs="Arial"/>
        </w:rPr>
        <w:t>clinical study report</w:t>
      </w:r>
      <w:r w:rsidR="001A1402" w:rsidRPr="00E074B2">
        <w:t xml:space="preserve"> </w:t>
      </w:r>
      <w:r w:rsidR="001A1402">
        <w:t>(</w:t>
      </w:r>
      <w:r w:rsidRPr="00E074B2">
        <w:t>CSR</w:t>
      </w:r>
      <w:r w:rsidR="001A1402">
        <w:t>)</w:t>
      </w:r>
      <w:r w:rsidRPr="00E074B2">
        <w:t xml:space="preserve"> was submitted in which the results of the medication score were further analysed. This was due to the finding of a configuration deficiency in the programming of the electronic log pads used for assessment of symptoms and medication use. This deficiency resulted in 42 diary records with inconsistent responses to 2 questions regarding the use of rescue medication. The amendment provided a sensitivity analysis for the impact of this deficiency on the statistical analysis of the medication score. The result of the sensitivity analysis was that the medians for the medication score was slightly lower for both groups in the sensitivity analysis compared to the original analysis. This led to a slightly lower absolute difference between the 2 groups, giving a relative difference of 33% in the sensitivity analysis instead of 34%. For both analysis, the difference between the 2 treatment groups is highly statistically significant (</w:t>
      </w:r>
      <w:r w:rsidR="00AD1BB3">
        <w:t xml:space="preserve">p = </w:t>
      </w:r>
      <w:r w:rsidRPr="00E074B2">
        <w:t xml:space="preserve">0.0156 compared with </w:t>
      </w:r>
      <w:r w:rsidR="00AD1BB3">
        <w:t xml:space="preserve">p = </w:t>
      </w:r>
      <w:r w:rsidRPr="00E074B2">
        <w:t>0.0175), indicating only very small difference for the 2 analytical approaches.</w:t>
      </w:r>
    </w:p>
    <w:p w14:paraId="4FE91E14" w14:textId="77777777" w:rsidR="00E074B2" w:rsidRPr="00E074B2" w:rsidRDefault="00E074B2" w:rsidP="00E074B2">
      <w:r w:rsidRPr="00E074B2">
        <w:t>The results for other efficacy outcomes are presented in the CER</w:t>
      </w:r>
      <w:r w:rsidR="004C74AA">
        <w:t xml:space="preserve"> (Attachment 2)</w:t>
      </w:r>
      <w:r w:rsidRPr="00E074B2">
        <w:t>.</w:t>
      </w:r>
    </w:p>
    <w:p w14:paraId="4FE91E15" w14:textId="77777777" w:rsidR="00E074B2" w:rsidRPr="00E074B2" w:rsidRDefault="00E074B2" w:rsidP="00E074B2">
      <w:pPr>
        <w:pStyle w:val="Heading5"/>
      </w:pPr>
      <w:bookmarkStart w:id="220" w:name="_Toc290846278"/>
      <w:bookmarkStart w:id="221" w:name="_Ref448241179"/>
      <w:bookmarkStart w:id="222" w:name="_Ref448246136"/>
      <w:bookmarkStart w:id="223" w:name="_Toc449426946"/>
      <w:r w:rsidRPr="00E074B2">
        <w:t xml:space="preserve">Study </w:t>
      </w:r>
      <w:bookmarkEnd w:id="220"/>
      <w:r w:rsidRPr="00E074B2">
        <w:t>P05239</w:t>
      </w:r>
      <w:bookmarkEnd w:id="221"/>
      <w:bookmarkEnd w:id="222"/>
      <w:bookmarkEnd w:id="223"/>
      <w:r w:rsidRPr="00E074B2">
        <w:t xml:space="preserve"> (children)</w:t>
      </w:r>
    </w:p>
    <w:p w14:paraId="4FE91E16" w14:textId="77777777" w:rsidR="005479B1" w:rsidRDefault="00E074B2" w:rsidP="00E074B2">
      <w:r w:rsidRPr="00E074B2">
        <w:t xml:space="preserve">This was a </w:t>
      </w:r>
      <w:r w:rsidR="004C74AA">
        <w:t>double blind</w:t>
      </w:r>
      <w:r w:rsidRPr="00E074B2">
        <w:t xml:space="preserve">, randomised, placebo-controlled, parallel group study conducted in children (5 to </w:t>
      </w:r>
      <w:r w:rsidR="004C74AA">
        <w:t xml:space="preserve">&lt; </w:t>
      </w:r>
      <w:r w:rsidRPr="00E074B2">
        <w:t>18 years) with a history of grass pollen induced rhinoconjunctivitis with or without asthma. The study was done in USA and Canada from January 2008 to September 2009. The primary objective was to evaluate the efficacy of the sublingual tablet (SCH 697243) versus placebo in the treatment of grass pollen induced rhinoconjunctivitis based on the total combined (sum of) rhinoconj</w:t>
      </w:r>
      <w:r w:rsidR="0089016D">
        <w:t>unctivitis DSS</w:t>
      </w:r>
      <w:r w:rsidRPr="00E074B2">
        <w:t xml:space="preserve"> and rhinoconjunctivitis </w:t>
      </w:r>
      <w:r w:rsidR="0089016D">
        <w:t>DMS</w:t>
      </w:r>
      <w:r w:rsidRPr="00E074B2">
        <w:t xml:space="preserve"> averaged over the </w:t>
      </w:r>
      <w:r w:rsidR="0089016D">
        <w:t>GPS</w:t>
      </w:r>
      <w:r w:rsidRPr="00E074B2">
        <w:t>. Please see the CER for the list of the secondary objectives</w:t>
      </w:r>
      <w:r w:rsidR="005479B1">
        <w:t>.</w:t>
      </w:r>
    </w:p>
    <w:p w14:paraId="4FE91E17" w14:textId="56AC7C10" w:rsidR="00E074B2" w:rsidRPr="00E074B2" w:rsidRDefault="004C74AA" w:rsidP="00E074B2">
      <w:r>
        <w:t xml:space="preserve">This was an </w:t>
      </w:r>
      <w:r w:rsidR="0028468D">
        <w:t xml:space="preserve">approximately </w:t>
      </w:r>
      <w:r>
        <w:t xml:space="preserve">19 </w:t>
      </w:r>
      <w:r w:rsidR="00E074B2" w:rsidRPr="00E074B2">
        <w:t xml:space="preserve">month study including an observational period during 2008 </w:t>
      </w:r>
      <w:r w:rsidR="0089016D">
        <w:t>GPS</w:t>
      </w:r>
      <w:r w:rsidR="00E074B2" w:rsidRPr="00E074B2">
        <w:t xml:space="preserve"> with no administration of investigational medicinal product (IMP), and a treatment period during 2009 GPS, with randomisation to either SCH 697243 or placebo. Healthy subjects aged 5 to </w:t>
      </w:r>
      <w:r>
        <w:t xml:space="preserve">&lt; </w:t>
      </w:r>
      <w:r w:rsidR="00E074B2" w:rsidRPr="00E074B2">
        <w:t xml:space="preserve">18 years, with a history of significant allergic rhinoconjunctivitis to grass and having received treatment during the previous GPS and with a positive SPT (average wheal </w:t>
      </w:r>
      <w:r w:rsidR="00B1428D">
        <w:t xml:space="preserve">≥ </w:t>
      </w:r>
      <w:r w:rsidR="00E074B2" w:rsidRPr="00E074B2">
        <w:t xml:space="preserve">5 mm) and positive </w:t>
      </w:r>
      <w:proofErr w:type="spellStart"/>
      <w:r w:rsidR="002D7A68" w:rsidRPr="002D7A68">
        <w:rPr>
          <w:i/>
        </w:rPr>
        <w:t>Phleum</w:t>
      </w:r>
      <w:proofErr w:type="spellEnd"/>
      <w:r w:rsidR="002D7A68" w:rsidRPr="002D7A68">
        <w:rPr>
          <w:i/>
        </w:rPr>
        <w:t xml:space="preserve"> </w:t>
      </w:r>
      <w:proofErr w:type="spellStart"/>
      <w:r w:rsidR="002D7A68" w:rsidRPr="002D7A68">
        <w:rPr>
          <w:i/>
        </w:rPr>
        <w:t>pratense</w:t>
      </w:r>
      <w:proofErr w:type="spellEnd"/>
      <w:r w:rsidR="00E074B2" w:rsidRPr="00E074B2">
        <w:t xml:space="preserve"> specific </w:t>
      </w:r>
      <w:proofErr w:type="spellStart"/>
      <w:r w:rsidR="00E074B2" w:rsidRPr="00E074B2">
        <w:t>IgE</w:t>
      </w:r>
      <w:proofErr w:type="spellEnd"/>
      <w:r w:rsidR="00E074B2" w:rsidRPr="00E074B2">
        <w:t xml:space="preserve"> (</w:t>
      </w:r>
      <w:r>
        <w:t>≥ </w:t>
      </w:r>
      <w:proofErr w:type="spellStart"/>
      <w:r w:rsidR="00E074B2" w:rsidRPr="00E074B2">
        <w:t>IgE</w:t>
      </w:r>
      <w:proofErr w:type="spellEnd"/>
      <w:r w:rsidR="00E074B2" w:rsidRPr="00E074B2">
        <w:t xml:space="preserve"> Class 2) and FEV1 </w:t>
      </w:r>
      <w:r w:rsidR="00B1428D">
        <w:t xml:space="preserve">≥ </w:t>
      </w:r>
      <w:r w:rsidR="00E074B2" w:rsidRPr="00E074B2">
        <w:t>70%.</w:t>
      </w:r>
    </w:p>
    <w:p w14:paraId="4FE91E18" w14:textId="1DBDC36D" w:rsidR="00E074B2" w:rsidRPr="00E074B2" w:rsidRDefault="00E074B2" w:rsidP="00E074B2">
      <w:r w:rsidRPr="00E074B2">
        <w:t xml:space="preserve">At the start of the treatment the subjects were randomised 1:1 to SCH697243 or placebo. Study drugs were taken for </w:t>
      </w:r>
      <w:r w:rsidR="0028468D">
        <w:t xml:space="preserve">approximately </w:t>
      </w:r>
      <w:r w:rsidRPr="00E074B2">
        <w:t xml:space="preserve">16 weeks prior to and during the GPS. Rescue medication was provided and given to the subjects as predefined, open label medication taken in a </w:t>
      </w:r>
      <w:r w:rsidR="004C74AA">
        <w:t>step wise</w:t>
      </w:r>
      <w:r w:rsidRPr="00E074B2">
        <w:t xml:space="preserve"> fashion depending on the magnitude, severity, and type of symptoms.</w:t>
      </w:r>
    </w:p>
    <w:p w14:paraId="4FE91E19" w14:textId="77777777" w:rsidR="005479B1" w:rsidRDefault="00E074B2" w:rsidP="00E074B2">
      <w:r w:rsidRPr="00E074B2">
        <w:t xml:space="preserve">Primary efficacy outcome was the total combined (sum of) </w:t>
      </w:r>
      <w:r w:rsidR="0089016D">
        <w:t>DSS</w:t>
      </w:r>
      <w:r w:rsidRPr="00E074B2">
        <w:t xml:space="preserve"> </w:t>
      </w:r>
      <w:r w:rsidR="0089016D">
        <w:t>and the DMS</w:t>
      </w:r>
      <w:r w:rsidRPr="00E074B2">
        <w:t xml:space="preserve"> averaged over the entire </w:t>
      </w:r>
      <w:r w:rsidR="0089016D">
        <w:t>GPS</w:t>
      </w:r>
      <w:r w:rsidRPr="00E074B2">
        <w:t xml:space="preserve">. A total of 344 subjects were randomised into the treatment and </w:t>
      </w:r>
      <w:r w:rsidRPr="00E074B2">
        <w:lastRenderedPageBreak/>
        <w:t xml:space="preserve">received study drug. The </w:t>
      </w:r>
      <w:r w:rsidR="004C74AA">
        <w:t>two</w:t>
      </w:r>
      <w:r w:rsidRPr="00E074B2">
        <w:t xml:space="preserve"> groups were </w:t>
      </w:r>
      <w:r w:rsidR="004C74AA">
        <w:t>well balanced</w:t>
      </w:r>
      <w:r w:rsidRPr="00E074B2">
        <w:t xml:space="preserve"> regarding the baseline characteristics</w:t>
      </w:r>
      <w:r w:rsidR="005479B1">
        <w:t>.</w:t>
      </w:r>
    </w:p>
    <w:p w14:paraId="4FE91E1A" w14:textId="77777777" w:rsidR="00E074B2" w:rsidRPr="00E074B2" w:rsidRDefault="00E074B2" w:rsidP="00E074B2">
      <w:r w:rsidRPr="00E074B2">
        <w:t>The results of the primary endpoint of Total Combined</w:t>
      </w:r>
      <w:r w:rsidR="004C74AA">
        <w:t xml:space="preserve"> Score (</w:t>
      </w:r>
      <w:r w:rsidR="004C74AA" w:rsidRPr="00E074B2">
        <w:t>TCS</w:t>
      </w:r>
      <w:r w:rsidR="004C74AA">
        <w:t>) of the DSS</w:t>
      </w:r>
      <w:r w:rsidRPr="00E074B2">
        <w:t xml:space="preserve"> </w:t>
      </w:r>
      <w:r w:rsidR="004C74AA">
        <w:t>and the DMS</w:t>
      </w:r>
      <w:r w:rsidRPr="00E074B2">
        <w:t xml:space="preserve"> averaged over the GPS are as follows:</w:t>
      </w:r>
    </w:p>
    <w:p w14:paraId="4FE91E1B" w14:textId="77777777" w:rsidR="00E074B2" w:rsidRPr="00E074B2" w:rsidRDefault="00E074B2" w:rsidP="00E074B2">
      <w:r w:rsidRPr="00E074B2">
        <w:t>Total Combined Score (TCS): the TCS analysis showed a lower adjusted mean TCS for the SCH 697243 group (4.62) when compared with the plac</w:t>
      </w:r>
      <w:r w:rsidR="004C74AA">
        <w:t xml:space="preserve">ebo group (6.25) [difference = </w:t>
      </w:r>
      <w:r w:rsidR="004C74AA">
        <w:noBreakHyphen/>
      </w:r>
      <w:r w:rsidRPr="00E074B2">
        <w:t>1.63]. The difference in mean TCS was statistically significant (</w:t>
      </w:r>
      <w:r w:rsidR="00AD1BB3">
        <w:t xml:space="preserve">p = </w:t>
      </w:r>
      <w:r w:rsidRPr="00E074B2">
        <w:t>0.001), and treatment with SCH 697243 provided a 26% improvement over treatment with placebo during the GPS.</w:t>
      </w:r>
    </w:p>
    <w:p w14:paraId="4FE91E1C" w14:textId="13FEF129" w:rsidR="00E074B2" w:rsidRPr="00E074B2" w:rsidRDefault="00E074B2" w:rsidP="00E074B2">
      <w:pPr>
        <w:pStyle w:val="TableTitle"/>
      </w:pPr>
      <w:bookmarkStart w:id="224" w:name="_Toc449426764"/>
      <w:r>
        <w:t xml:space="preserve">Table </w:t>
      </w:r>
      <w:r w:rsidR="00D7132E">
        <w:t>2</w:t>
      </w:r>
      <w:r w:rsidR="00500CC2">
        <w:t>6</w:t>
      </w:r>
      <w:r>
        <w:t xml:space="preserve">: </w:t>
      </w:r>
      <w:r w:rsidR="00D7132E">
        <w:t xml:space="preserve">Study P05239. </w:t>
      </w:r>
      <w:r w:rsidRPr="00E074B2">
        <w:t>Analysis of the Total Combined Score (TCS) during the Entire GPS (FAS)</w:t>
      </w:r>
      <w:bookmarkEnd w:id="224"/>
    </w:p>
    <w:p w14:paraId="4FE91E1D" w14:textId="77777777" w:rsidR="00DF4597" w:rsidRPr="00E074B2" w:rsidRDefault="00E14E44" w:rsidP="00E074B2">
      <w:r>
        <w:rPr>
          <w:noProof/>
          <w:lang w:eastAsia="en-AU"/>
        </w:rPr>
        <w:drawing>
          <wp:inline distT="0" distB="0" distL="0" distR="0" wp14:anchorId="4FE91F17" wp14:editId="65FC5093">
            <wp:extent cx="5400040" cy="2023861"/>
            <wp:effectExtent l="0" t="0" r="0" b="0"/>
            <wp:docPr id="15" name="Picture 15" descr="Table 26: Study P05239. Analysis of the Total Combined Score (TCS) during the Entire GPS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400040" cy="2023861"/>
                    </a:xfrm>
                    <a:prstGeom prst="rect">
                      <a:avLst/>
                    </a:prstGeom>
                  </pic:spPr>
                </pic:pic>
              </a:graphicData>
            </a:graphic>
          </wp:inline>
        </w:drawing>
      </w:r>
    </w:p>
    <w:p w14:paraId="4FE91E1E" w14:textId="77777777" w:rsidR="00E14E44" w:rsidRPr="00E14E44" w:rsidRDefault="00E14E44" w:rsidP="00E14E44">
      <w:r w:rsidRPr="00E14E44">
        <w:t xml:space="preserve">The SCH 697243 group had a statistically significantly lower mean TCS value compared to the placebo group during the preseason (defined as the last 14 days prior to GPS) (3.13 versus 4.52, respectively; </w:t>
      </w:r>
      <w:r w:rsidR="002A47B8">
        <w:t xml:space="preserve">p </w:t>
      </w:r>
      <w:r w:rsidR="004C74AA">
        <w:t xml:space="preserve">&lt; </w:t>
      </w:r>
      <w:r w:rsidRPr="00E14E44">
        <w:t>0.001). Similar results were seen with the PP population.</w:t>
      </w:r>
    </w:p>
    <w:p w14:paraId="4FE91E1F" w14:textId="77777777" w:rsidR="00E14E44" w:rsidRPr="00E14E44" w:rsidRDefault="00E14E44" w:rsidP="00E14E44">
      <w:r w:rsidRPr="00E14E44">
        <w:t xml:space="preserve">Rhinoconjunctivitis Daily Symptom Score (DSS): the analysis of the rhinoconjunctivitis DSS results during the entire GPS showed a lower adjusted mean DSS for the SCH 697243 group (3.71) compared to the placebo group (4.91). Treatment with SCH 697243 provided statistically significantly lower rhinoconjunctivitis symptoms (-25%; difference = -1.20; </w:t>
      </w:r>
      <w:r w:rsidR="004C74AA">
        <w:t>p </w:t>
      </w:r>
      <w:r w:rsidR="00AD1BB3">
        <w:t xml:space="preserve">= </w:t>
      </w:r>
      <w:r w:rsidRPr="00E14E44">
        <w:t>0.005, adjusted for multiplicity) compared with placebo.</w:t>
      </w:r>
    </w:p>
    <w:p w14:paraId="4FE91E20" w14:textId="36766D17" w:rsidR="00E14E44" w:rsidRDefault="00E14E44" w:rsidP="00E14E44">
      <w:pPr>
        <w:pStyle w:val="TableTitle"/>
      </w:pPr>
      <w:bookmarkStart w:id="225" w:name="_Toc449426765"/>
      <w:r>
        <w:t xml:space="preserve">Table </w:t>
      </w:r>
      <w:r w:rsidR="00D7132E">
        <w:t>2</w:t>
      </w:r>
      <w:r w:rsidR="00500CC2">
        <w:t>7</w:t>
      </w:r>
      <w:r>
        <w:t xml:space="preserve">: </w:t>
      </w:r>
      <w:r w:rsidR="00D7132E">
        <w:t xml:space="preserve">Study P05239 </w:t>
      </w:r>
      <w:r w:rsidRPr="00E14E44">
        <w:t>Summary and Analysis of the DSS during the Entire GPS (FAS)</w:t>
      </w:r>
      <w:bookmarkEnd w:id="225"/>
    </w:p>
    <w:p w14:paraId="4FE91E21" w14:textId="77777777" w:rsidR="00E14E44" w:rsidRPr="00E14E44" w:rsidRDefault="00E14E44" w:rsidP="00E14E44">
      <w:pPr>
        <w:pStyle w:val="TableTitle"/>
      </w:pPr>
      <w:r>
        <w:rPr>
          <w:noProof/>
          <w:lang w:eastAsia="en-AU"/>
        </w:rPr>
        <w:drawing>
          <wp:inline distT="0" distB="0" distL="0" distR="0" wp14:anchorId="4FE91F19" wp14:editId="245F0A83">
            <wp:extent cx="5400040" cy="1990976"/>
            <wp:effectExtent l="0" t="0" r="0" b="9525"/>
            <wp:docPr id="17" name="Picture 17" descr="Table 27: Study P05239 Summary and Analysis of the DSS during the Entire GPS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400040" cy="1990976"/>
                    </a:xfrm>
                    <a:prstGeom prst="rect">
                      <a:avLst/>
                    </a:prstGeom>
                  </pic:spPr>
                </pic:pic>
              </a:graphicData>
            </a:graphic>
          </wp:inline>
        </w:drawing>
      </w:r>
    </w:p>
    <w:p w14:paraId="4FE91E22" w14:textId="77777777" w:rsidR="00F00957" w:rsidRPr="00F00957" w:rsidRDefault="00F00957" w:rsidP="00F00957">
      <w:r w:rsidRPr="00F00957">
        <w:t xml:space="preserve">Average Rhinoconjunctivitis DMS during GPS: Analysis of the rhinoconjunctivitis DMS results showed a lower adjusted mean DMS for the SCH 697243 group (0.91) compared to the placebo group (1.33); indicating the active drug group used less rescue medication for allergic rhinoconjunctivitis symptoms. Although the difference in medication score was </w:t>
      </w:r>
      <w:r w:rsidRPr="00F00957">
        <w:lastRenderedPageBreak/>
        <w:t xml:space="preserve">32% in favour of SCH 697243, the mean DMS for SCH 697243 was not significantly different from that of placebo (difference = -0.42; </w:t>
      </w:r>
      <w:r w:rsidR="00AD1BB3">
        <w:t xml:space="preserve">p = </w:t>
      </w:r>
      <w:r w:rsidRPr="00F00957">
        <w:t>0.066).</w:t>
      </w:r>
    </w:p>
    <w:p w14:paraId="4FE91E23" w14:textId="7843D1DC" w:rsidR="00F00957" w:rsidRPr="00F00957" w:rsidRDefault="00F00957" w:rsidP="00F00957">
      <w:pPr>
        <w:pStyle w:val="TableTitle"/>
      </w:pPr>
      <w:bookmarkStart w:id="226" w:name="_Toc449426766"/>
      <w:r>
        <w:t xml:space="preserve">Table </w:t>
      </w:r>
      <w:r w:rsidR="00D7132E">
        <w:t>2</w:t>
      </w:r>
      <w:r w:rsidR="00500CC2">
        <w:t>8</w:t>
      </w:r>
      <w:r>
        <w:t xml:space="preserve">: </w:t>
      </w:r>
      <w:r w:rsidR="00D7132E">
        <w:t xml:space="preserve">Study P05239. </w:t>
      </w:r>
      <w:r w:rsidRPr="00F00957">
        <w:t xml:space="preserve">Analysis of the DMS during the Entire </w:t>
      </w:r>
      <w:r w:rsidR="00400058">
        <w:t>GPS</w:t>
      </w:r>
      <w:r w:rsidRPr="00F00957">
        <w:t xml:space="preserve"> (FAS)</w:t>
      </w:r>
      <w:bookmarkEnd w:id="226"/>
    </w:p>
    <w:p w14:paraId="4FE91E24" w14:textId="77777777" w:rsidR="00DF4597" w:rsidRDefault="00F00957" w:rsidP="00515527">
      <w:r>
        <w:rPr>
          <w:noProof/>
          <w:lang w:eastAsia="en-AU"/>
        </w:rPr>
        <w:drawing>
          <wp:inline distT="0" distB="0" distL="0" distR="0" wp14:anchorId="4FE91F1B" wp14:editId="6D9F7EF0">
            <wp:extent cx="5400040" cy="1870398"/>
            <wp:effectExtent l="0" t="0" r="0" b="0"/>
            <wp:docPr id="18" name="Picture 18" descr="Table 28: Study P05239. Analysis of the DMS during the Entire Grass Pollen Season (GPS)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400040" cy="1870398"/>
                    </a:xfrm>
                    <a:prstGeom prst="rect">
                      <a:avLst/>
                    </a:prstGeom>
                  </pic:spPr>
                </pic:pic>
              </a:graphicData>
            </a:graphic>
          </wp:inline>
        </w:drawing>
      </w:r>
    </w:p>
    <w:p w14:paraId="4FE91E25" w14:textId="77777777" w:rsidR="00F00957" w:rsidRPr="00F00957" w:rsidRDefault="00F00957" w:rsidP="00F00957">
      <w:r w:rsidRPr="00F00957">
        <w:t xml:space="preserve">The result was different in the PP subset analysis. In the PP subset, the SCH 697243 group had a lower adjusted mean rhinoconjunctivitis DMS (0.99) compared to the placebo group (1.50), a 34% reduction, and this difference was statistically significant (difference = -0.51; </w:t>
      </w:r>
      <w:r w:rsidR="00AD1BB3">
        <w:t xml:space="preserve">p = </w:t>
      </w:r>
      <w:r w:rsidRPr="00F00957">
        <w:t>0.044).</w:t>
      </w:r>
      <w:bookmarkStart w:id="227" w:name="_Toc449426768"/>
    </w:p>
    <w:p w14:paraId="4FE91E26" w14:textId="77777777" w:rsidR="00F00957" w:rsidRPr="00F00957" w:rsidRDefault="00F00957" w:rsidP="00F00957">
      <w:r w:rsidRPr="00F00957">
        <w:t>The results for other and additional efficacy outcomes</w:t>
      </w:r>
      <w:bookmarkEnd w:id="227"/>
      <w:r w:rsidRPr="00F00957">
        <w:t xml:space="preserve"> are presented in the CER</w:t>
      </w:r>
      <w:r w:rsidR="004C74AA">
        <w:t xml:space="preserve"> (Attachment 2)</w:t>
      </w:r>
      <w:r w:rsidRPr="00F00957">
        <w:t>.</w:t>
      </w:r>
    </w:p>
    <w:p w14:paraId="4FE91E27" w14:textId="77777777" w:rsidR="00F00957" w:rsidRPr="00F00957" w:rsidRDefault="00F00957" w:rsidP="00F00957">
      <w:pPr>
        <w:pStyle w:val="Heading5"/>
      </w:pPr>
      <w:bookmarkStart w:id="228" w:name="_Toc241374312"/>
      <w:bookmarkStart w:id="229" w:name="_Toc272414656"/>
      <w:bookmarkStart w:id="230" w:name="_Toc290846281"/>
      <w:bookmarkStart w:id="231" w:name="_Toc449426947"/>
      <w:r w:rsidRPr="00F00957">
        <w:t>Analyses performed across trials</w:t>
      </w:r>
      <w:bookmarkEnd w:id="228"/>
      <w:bookmarkEnd w:id="229"/>
      <w:bookmarkEnd w:id="230"/>
      <w:bookmarkEnd w:id="231"/>
    </w:p>
    <w:p w14:paraId="4FE91E28" w14:textId="77777777" w:rsidR="00F00957" w:rsidRPr="00F00957" w:rsidRDefault="00F00957" w:rsidP="00F00957">
      <w:r w:rsidRPr="00F00957">
        <w:t>No pooled analysis was submitted by the sponsor, with the exception of a discussion of the length of time pre GPS was optimal for treatment. The reduction in symptom and medication score for patients receiving Grazax compared to placebo was estimated for 1, 2, 3,…, 24 weeks of pre-treatment (thus treatment effec</w:t>
      </w:r>
      <w:r w:rsidR="004C74AA">
        <w:t>t at both 8 and 16 weeks of pre</w:t>
      </w:r>
      <w:r w:rsidR="004C74AA">
        <w:noBreakHyphen/>
      </w:r>
      <w:r w:rsidRPr="00F00957">
        <w:t xml:space="preserve">treatment was estimated). In </w:t>
      </w:r>
      <w:r w:rsidRPr="00B83873">
        <w:t xml:space="preserve">the Figure </w:t>
      </w:r>
      <w:r w:rsidR="00B83873" w:rsidRPr="00B83873">
        <w:t>3</w:t>
      </w:r>
      <w:r w:rsidR="004C74AA" w:rsidRPr="00B83873">
        <w:t xml:space="preserve"> </w:t>
      </w:r>
      <w:r w:rsidRPr="00B83873">
        <w:t>below</w:t>
      </w:r>
      <w:r w:rsidRPr="00F00957">
        <w:t xml:space="preserve"> the </w:t>
      </w:r>
      <w:r w:rsidR="004C74AA">
        <w:t>p value</w:t>
      </w:r>
      <w:r w:rsidRPr="00F00957">
        <w:t xml:space="preserve"> for treatment difference (right </w:t>
      </w:r>
      <w:r w:rsidR="004C74AA">
        <w:t>y axis</w:t>
      </w:r>
      <w:r w:rsidRPr="00F00957">
        <w:t xml:space="preserve">) and the estimated reduction in rhinoconjunctivitis symptom and medication score compared to placebo (left </w:t>
      </w:r>
      <w:r w:rsidR="004C74AA">
        <w:t>y axis</w:t>
      </w:r>
      <w:r w:rsidRPr="00F00957">
        <w:t>) is shown.</w:t>
      </w:r>
    </w:p>
    <w:p w14:paraId="4FE91E29" w14:textId="3AB0B357" w:rsidR="00F00957" w:rsidRPr="00F00957" w:rsidRDefault="00F00957" w:rsidP="00F00957">
      <w:r w:rsidRPr="00F00957">
        <w:t xml:space="preserve">From the figure it is evident that a statistically significant reduction in the average daily symptom and medication score in the </w:t>
      </w:r>
      <w:r w:rsidR="0082122C">
        <w:t>GPS</w:t>
      </w:r>
      <w:r w:rsidRPr="00F00957">
        <w:t xml:space="preserve"> for patients treated with Grazax versus patients treated with placebo was obtained wi</w:t>
      </w:r>
      <w:r w:rsidR="004C74AA">
        <w:t xml:space="preserve">th </w:t>
      </w:r>
      <w:r w:rsidR="0028468D">
        <w:t xml:space="preserve">approximately </w:t>
      </w:r>
      <w:r w:rsidR="004C74AA">
        <w:t>8 weeks of pre</w:t>
      </w:r>
      <w:r w:rsidR="004C74AA">
        <w:noBreakHyphen/>
      </w:r>
      <w:r w:rsidRPr="00F00957">
        <w:t>treatment (</w:t>
      </w:r>
      <w:r w:rsidR="002A47B8">
        <w:t xml:space="preserve">p </w:t>
      </w:r>
      <w:r w:rsidR="004C74AA">
        <w:t xml:space="preserve">&lt; </w:t>
      </w:r>
      <w:r w:rsidRPr="00F00957">
        <w:t>0.05). Further, it can also be derived that the symptom as well as the medi</w:t>
      </w:r>
      <w:r w:rsidR="004C74AA">
        <w:t xml:space="preserve">cation score was reduced by 17% to </w:t>
      </w:r>
      <w:r w:rsidRPr="00F00957">
        <w:t xml:space="preserve">23% after 8 weeks, which is considered to be clinically relevant. The reduction in the average daily symptom and medication score increases with longer period of pre-treatment, which is reflected in the </w:t>
      </w:r>
      <w:r w:rsidR="004C74AA">
        <w:t>p value</w:t>
      </w:r>
      <w:r w:rsidRPr="00F00957">
        <w:t xml:space="preserve"> approaching null.</w:t>
      </w:r>
    </w:p>
    <w:p w14:paraId="4FE91E2A" w14:textId="77777777" w:rsidR="00F00957" w:rsidRPr="00F00957" w:rsidRDefault="00F00957" w:rsidP="00F00957">
      <w:pPr>
        <w:pStyle w:val="FigureTitle"/>
      </w:pPr>
      <w:bookmarkStart w:id="232" w:name="_Toc449426872"/>
      <w:r>
        <w:lastRenderedPageBreak/>
        <w:t xml:space="preserve">Figure </w:t>
      </w:r>
      <w:r w:rsidR="00B83873">
        <w:t>3</w:t>
      </w:r>
      <w:r>
        <w:t xml:space="preserve">: </w:t>
      </w:r>
      <w:r w:rsidRPr="00F00957">
        <w:t>Effect of Grazax pre-treatment duration on reduction in rhinoconjunctivitis symptom and medication score (GT-02, GT-07 and GT-08 1st GPS Combined)</w:t>
      </w:r>
      <w:bookmarkEnd w:id="232"/>
    </w:p>
    <w:p w14:paraId="4FE91E2B" w14:textId="77777777" w:rsidR="00E14E44" w:rsidRDefault="00F00957" w:rsidP="00515527">
      <w:r>
        <w:rPr>
          <w:noProof/>
          <w:lang w:eastAsia="en-AU"/>
        </w:rPr>
        <w:drawing>
          <wp:inline distT="0" distB="0" distL="0" distR="0" wp14:anchorId="4FE91F1D" wp14:editId="4FE91F1E">
            <wp:extent cx="5404019" cy="2040941"/>
            <wp:effectExtent l="0" t="0" r="6350" b="0"/>
            <wp:docPr id="19" name="Picture 19" descr="Figure 3: Effect of Grazax pre-treatment duration on reduction in rhinoconjunctivitis symptom and medication score (GT-02, GT-07 and GT-08 1st GPS Comb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405443" cy="2041479"/>
                    </a:xfrm>
                    <a:prstGeom prst="rect">
                      <a:avLst/>
                    </a:prstGeom>
                  </pic:spPr>
                </pic:pic>
              </a:graphicData>
            </a:graphic>
          </wp:inline>
        </w:drawing>
      </w:r>
    </w:p>
    <w:p w14:paraId="4FE91E2C" w14:textId="77777777" w:rsidR="00F00957" w:rsidRPr="00F00957" w:rsidRDefault="00F00957" w:rsidP="00F00957">
      <w:pPr>
        <w:pStyle w:val="Heading4"/>
      </w:pPr>
      <w:bookmarkStart w:id="233" w:name="_Toc272414659"/>
      <w:bookmarkStart w:id="234" w:name="_Toc290846284"/>
      <w:bookmarkStart w:id="235" w:name="_Toc449426950"/>
      <w:r w:rsidRPr="00F00957">
        <w:t>Clinical Safety</w:t>
      </w:r>
      <w:bookmarkEnd w:id="233"/>
      <w:bookmarkEnd w:id="234"/>
      <w:bookmarkEnd w:id="235"/>
    </w:p>
    <w:p w14:paraId="4FE91E2D" w14:textId="77777777" w:rsidR="00F00957" w:rsidRPr="00F00957" w:rsidRDefault="00F00957" w:rsidP="00F00957">
      <w:bookmarkStart w:id="236" w:name="_Toc241374328"/>
      <w:bookmarkStart w:id="237" w:name="_Toc272414691"/>
      <w:bookmarkStart w:id="238" w:name="_Toc290846329"/>
      <w:bookmarkStart w:id="239" w:name="_Toc449426965"/>
      <w:r w:rsidRPr="00F00957">
        <w:t xml:space="preserve">Please refer to the CER </w:t>
      </w:r>
      <w:r w:rsidR="004C74AA">
        <w:t xml:space="preserve">(Attachment 2) </w:t>
      </w:r>
      <w:r w:rsidRPr="00F00957">
        <w:t>for detailed patients’ exposure and safety eva</w:t>
      </w:r>
      <w:r w:rsidR="004C74AA">
        <w:t>luation. S</w:t>
      </w:r>
      <w:r>
        <w:t xml:space="preserve">afety issues with </w:t>
      </w:r>
      <w:r w:rsidRPr="00F00957">
        <w:t xml:space="preserve">the potential for major regulatory impact </w:t>
      </w:r>
      <w:r w:rsidR="004C74AA">
        <w:t>are</w:t>
      </w:r>
      <w:r w:rsidRPr="00F00957">
        <w:t xml:space="preserve"> discussed below.</w:t>
      </w:r>
    </w:p>
    <w:p w14:paraId="4FE91E2E" w14:textId="77777777" w:rsidR="00F00957" w:rsidRPr="00F00957" w:rsidRDefault="00F00957" w:rsidP="00F00957">
      <w:pPr>
        <w:pStyle w:val="Heading5"/>
      </w:pPr>
      <w:r>
        <w:t>Systemic allergic reactions</w:t>
      </w:r>
    </w:p>
    <w:p w14:paraId="4FE91E2F" w14:textId="2DF3E64C" w:rsidR="00F00957" w:rsidRPr="00F00957" w:rsidRDefault="00F00957" w:rsidP="00F00957">
      <w:r w:rsidRPr="00F00957">
        <w:t>Systemic allergic reactions are well known in relation to immunotherapy. Systemic</w:t>
      </w:r>
      <w:r w:rsidR="004C74AA">
        <w:t xml:space="preserve"> </w:t>
      </w:r>
      <w:r w:rsidR="00EB448F">
        <w:t xml:space="preserve">allergic </w:t>
      </w:r>
      <w:r w:rsidR="004C74AA">
        <w:t xml:space="preserve">reaction may occur in 2 forms; non life </w:t>
      </w:r>
      <w:r w:rsidRPr="00F00957">
        <w:t xml:space="preserve">threatening systemic allergic reaction (also called anaphylactic reactions) and the more severe condition anaphylactic shock. Experience with sublingual immunotherapy has suggested a more favourable safety profile compared to subcutaneous immunotherapy. Sublingual immunotherapy is characterised by frequent but mild local reactions (located in the mouth and throat), and rare systemic reactions. Delayed systemic reactions (most frequently urticaria and mild asthma and/or rhinoconjunctivitis) </w:t>
      </w:r>
      <w:r w:rsidR="00204FDF">
        <w:t xml:space="preserve">that </w:t>
      </w:r>
      <w:r w:rsidRPr="00F00957">
        <w:t>may develop after several hours or within the first day or 2 have also been reported during the use of sublingual immunotherapy, but they are not common and some of these delayed reactions may be symptoms of a subject’s underlying allergic disorder.</w:t>
      </w:r>
    </w:p>
    <w:p w14:paraId="4FE91E30" w14:textId="77777777" w:rsidR="00F00957" w:rsidRPr="00F00957" w:rsidRDefault="00F00957" w:rsidP="00F00957">
      <w:r w:rsidRPr="00F00957">
        <w:t>In the clinical trials with Grazax, systemic allergic reactions were not reported; however some symptoms consistent with systemic reactions were reported.</w:t>
      </w:r>
    </w:p>
    <w:p w14:paraId="4FE91E31" w14:textId="23CE0D6B" w:rsidR="00F00957" w:rsidRPr="00F00957" w:rsidRDefault="00F00957" w:rsidP="00F00957">
      <w:r w:rsidRPr="00F00957">
        <w:t xml:space="preserve">One case of urticaria led to withdrawal in </w:t>
      </w:r>
      <w:r w:rsidR="004C74AA">
        <w:t>Study</w:t>
      </w:r>
      <w:r w:rsidRPr="00F00957">
        <w:t xml:space="preserve"> GT-02 and would usually be considered a significant systemic reaction. However, the number of subjects reporting urticaria during the trial was similar between treatment groups including placebo. The same pattern was observed in </w:t>
      </w:r>
      <w:r w:rsidR="004C74AA">
        <w:t>Study</w:t>
      </w:r>
      <w:r w:rsidRPr="00F00957">
        <w:t xml:space="preserve"> GT-08 (1st year), where similar numbers of subjects (</w:t>
      </w:r>
      <w:r w:rsidR="0028468D">
        <w:t xml:space="preserve">approximately </w:t>
      </w:r>
      <w:r w:rsidRPr="00F00957">
        <w:t xml:space="preserve">1%) with urticaria were observed between treatment groups. None of the events led to withdrawal. In </w:t>
      </w:r>
      <w:r w:rsidR="004C74AA">
        <w:t>Study</w:t>
      </w:r>
      <w:r w:rsidRPr="00F00957">
        <w:t xml:space="preserve"> GT-10 </w:t>
      </w:r>
      <w:r w:rsidR="0028468D">
        <w:t xml:space="preserve">approximately </w:t>
      </w:r>
      <w:r w:rsidRPr="00F00957">
        <w:t xml:space="preserve">1% of subjects reported urticaria. Only </w:t>
      </w:r>
      <w:r w:rsidR="004C74AA">
        <w:t>one</w:t>
      </w:r>
      <w:r w:rsidRPr="00F00957">
        <w:t xml:space="preserve"> of these events (mild localised urticaria in mouth) led to withdrawal.</w:t>
      </w:r>
    </w:p>
    <w:p w14:paraId="4FE91E32" w14:textId="77777777" w:rsidR="00F00957" w:rsidRPr="00F00957" w:rsidRDefault="00F00957" w:rsidP="00F00957">
      <w:r w:rsidRPr="00F00957">
        <w:t xml:space="preserve">During the GT-14 trial in the US, 3 </w:t>
      </w:r>
      <w:r w:rsidR="004C74AA">
        <w:t>non serious</w:t>
      </w:r>
      <w:r w:rsidRPr="00F00957">
        <w:t xml:space="preserve"> significant AEs occurred (all in the Grazax group, all assessed as related to treatment) which were treated with adrenaline although none of the events included signs of hypotension. All subjects recovered from the events.</w:t>
      </w:r>
    </w:p>
    <w:p w14:paraId="4FE91E33" w14:textId="12419023" w:rsidR="00F00957" w:rsidRPr="00F00957" w:rsidRDefault="00F00957" w:rsidP="00F00957">
      <w:r w:rsidRPr="00F00957">
        <w:t xml:space="preserve">During </w:t>
      </w:r>
      <w:r w:rsidR="004C74AA">
        <w:t>Study</w:t>
      </w:r>
      <w:r w:rsidRPr="00F00957">
        <w:t xml:space="preserve"> P05238, two subjects were treated with 0.3 mg adrenaline. One of the administrations was due to an adverse reaction to IMP (dysphagia, uvular oedema</w:t>
      </w:r>
      <w:r w:rsidR="001B6660">
        <w:t xml:space="preserve"> and</w:t>
      </w:r>
      <w:r w:rsidRPr="00F00957">
        <w:t xml:space="preserve"> pharyngeal oedema) that occurred following the first administration of the tablet under the care of the investigator (Grazax group). The event was categorised as mild in severity by the investigator. The other administration was given inappropriately for an anxiety event unrelated to IMP (placebo group).</w:t>
      </w:r>
    </w:p>
    <w:p w14:paraId="4FE91E34" w14:textId="77777777" w:rsidR="00F00957" w:rsidRPr="00F00957" w:rsidRDefault="00F00957" w:rsidP="00F00957">
      <w:r w:rsidRPr="00F00957">
        <w:lastRenderedPageBreak/>
        <w:t xml:space="preserve">During </w:t>
      </w:r>
      <w:r w:rsidR="004C74AA">
        <w:t>Study</w:t>
      </w:r>
      <w:r w:rsidRPr="00F00957">
        <w:t xml:space="preserve"> P05239, 3 subjects received adrenaline at Day 1, Day 23, and Day 137. On </w:t>
      </w:r>
      <w:r w:rsidR="004C74AA">
        <w:t>Day</w:t>
      </w:r>
      <w:r w:rsidRPr="00F00957">
        <w:t xml:space="preserve"> 1 the administrations was given in response to an adverse reaction to the IMP (Grazax group). The subject developed lip angioedema, slight dysphagia due to the sensation of a lump in the throat, and intermittent cough within minutes following the first IMP administration. The symptoms resolved within minutes after adrenaline administration (0.3 mg IM). The investigator graded this event as moderate in severity. The other administration (0.3 mg IM) was received for viral pharyngitis in an emergency department on Day 23, where adrenaline administration was not indicated (or medically appropriate) (Grazax group). The third adrenaline administration (0.15 mg IM) on Day 137 was in response to wheezing and suprasternal notch chest retraction (placebo group). The investigator graded the event as moderate in severity and unrelated to IMP.</w:t>
      </w:r>
    </w:p>
    <w:p w14:paraId="4FE91E35" w14:textId="77777777" w:rsidR="00F00957" w:rsidRPr="00F00957" w:rsidRDefault="00F00957" w:rsidP="00F00957">
      <w:r w:rsidRPr="00F00957">
        <w:t xml:space="preserve">Eight of 43 subjects (19%) in </w:t>
      </w:r>
      <w:r w:rsidR="004C74AA">
        <w:t>Study</w:t>
      </w:r>
      <w:r w:rsidRPr="00F00957">
        <w:t xml:space="preserve"> GT-04 reported a total of 16 </w:t>
      </w:r>
      <w:r w:rsidR="004C74AA">
        <w:t>treatment related</w:t>
      </w:r>
      <w:r w:rsidRPr="00F00957">
        <w:t xml:space="preserve"> AEs that could indicate changes in asthma symptoms and in </w:t>
      </w:r>
      <w:r w:rsidR="004C74AA">
        <w:t>Study</w:t>
      </w:r>
      <w:r w:rsidRPr="00F00957">
        <w:t xml:space="preserve"> GT-07, 26 of 114 subjects (23%) reported a total of 36 AEs related to asthma</w:t>
      </w:r>
      <w:r w:rsidR="004C74AA">
        <w:t>. All subjects included in the two</w:t>
      </w:r>
      <w:r w:rsidRPr="00F00957">
        <w:t xml:space="preserve"> trials suffered from mild to moderate grass pollen induced asthma and. There were no obvious differences between treatment groups in numbers or frequency of AEs and no indications of asthma aggravation in actively treated subjects compared to placebo.</w:t>
      </w:r>
    </w:p>
    <w:p w14:paraId="4FE91E36" w14:textId="77777777" w:rsidR="00F00957" w:rsidRPr="00F00957" w:rsidRDefault="00F00957" w:rsidP="00F00957">
      <w:pPr>
        <w:pStyle w:val="Heading5"/>
      </w:pPr>
      <w:r w:rsidRPr="00F00957">
        <w:t>Safety related to drug-drug interactions and other interactions</w:t>
      </w:r>
    </w:p>
    <w:p w14:paraId="4FE91E37" w14:textId="77777777" w:rsidR="00F00957" w:rsidRPr="00F00957" w:rsidRDefault="00F00957" w:rsidP="00F00957">
      <w:r w:rsidRPr="00F00957">
        <w:t>Drug interactions were not studied. No drugs have been contraindicated in the proposed PI due to drug interaction.</w:t>
      </w:r>
    </w:p>
    <w:p w14:paraId="4FE91E38" w14:textId="77777777" w:rsidR="00F00957" w:rsidRPr="00F00957" w:rsidRDefault="00F00957" w:rsidP="00F00957">
      <w:pPr>
        <w:pStyle w:val="Heading5"/>
      </w:pPr>
      <w:r w:rsidRPr="00F00957">
        <w:t>Post-marketing experience</w:t>
      </w:r>
    </w:p>
    <w:p w14:paraId="4FE91E39" w14:textId="79B747EB" w:rsidR="00F00957" w:rsidRPr="00E733B5" w:rsidRDefault="00F00957" w:rsidP="00F00957">
      <w:r w:rsidRPr="00F00957">
        <w:t xml:space="preserve">Grazax was first approved on 14 </w:t>
      </w:r>
      <w:r w:rsidR="00EB112B">
        <w:t>March</w:t>
      </w:r>
      <w:r w:rsidRPr="00F00957">
        <w:t xml:space="preserve"> 2006 in Sweden. Subsequently, approval was granted for the 32 countries including most of Europe and the USA. The manufacturer (ALK) has withdrawn the </w:t>
      </w:r>
      <w:r w:rsidR="004C74AA">
        <w:t>marketing authorisation</w:t>
      </w:r>
      <w:r w:rsidRPr="00F00957">
        <w:t xml:space="preserve"> in 8 countries: Bulgaria, Cyprus, Estonia, Hungary, Latvia, Lithuania, Malta and Romania due to commercial reasons. The cumulative patient exposure</w:t>
      </w:r>
      <w:r w:rsidR="004C74AA">
        <w:t xml:space="preserve"> from post-marketing to 24 </w:t>
      </w:r>
      <w:r w:rsidRPr="00F00957">
        <w:t>Jun</w:t>
      </w:r>
      <w:r w:rsidR="004C74AA">
        <w:t xml:space="preserve">e </w:t>
      </w:r>
      <w:r w:rsidRPr="00F00957">
        <w:t>2015 is estimated to be 211,119 treatment years. The sponsor has submitted 13 PSURs in Europe but only 2 were included in the submission in Australia (covering 25 June 2014 to June 2015).</w:t>
      </w:r>
      <w:r w:rsidR="00FD5C98">
        <w:rPr>
          <w:rStyle w:val="FootnoteReference"/>
        </w:rPr>
        <w:footnoteReference w:id="75"/>
      </w:r>
    </w:p>
    <w:p w14:paraId="4FE91E3A" w14:textId="77777777" w:rsidR="00F00957" w:rsidRPr="00F00957" w:rsidRDefault="00F00957" w:rsidP="00F00957">
      <w:r w:rsidRPr="009C59FA">
        <w:t xml:space="preserve">The sponsor states that overall, the experience </w:t>
      </w:r>
      <w:r w:rsidRPr="00F00957">
        <w:t xml:space="preserve">gained from post-marketing use of Grazax is similar to what has been identified in completed clinical trials and/or what is expected for sublingual immunotherapy. The following adverse drug reactions have been added to the current EU approved </w:t>
      </w:r>
      <w:proofErr w:type="spellStart"/>
      <w:r w:rsidRPr="00F00957">
        <w:t>SmPC</w:t>
      </w:r>
      <w:proofErr w:type="spellEnd"/>
      <w:r w:rsidRPr="00F00957">
        <w:t xml:space="preserve"> from spontaneous reports post-marketing: palpitations, hypotension, eosinophilic oesophagitis, and anaphylactic reactions. No safety issues have been identified post-marketing which is considered to impact the overall benefit-risk profile of Grazax.</w:t>
      </w:r>
    </w:p>
    <w:p w14:paraId="4FE91E3B" w14:textId="77777777" w:rsidR="00F00957" w:rsidRPr="00F00957" w:rsidRDefault="00F00957" w:rsidP="00F00957">
      <w:pPr>
        <w:pStyle w:val="Heading5"/>
      </w:pPr>
      <w:r w:rsidRPr="00F00957">
        <w:t>Overall conclusions on clinical safety</w:t>
      </w:r>
      <w:bookmarkEnd w:id="236"/>
      <w:bookmarkEnd w:id="237"/>
      <w:bookmarkEnd w:id="238"/>
      <w:bookmarkEnd w:id="239"/>
    </w:p>
    <w:p w14:paraId="4FE91E3C" w14:textId="77777777" w:rsidR="00F00957" w:rsidRPr="00F00957" w:rsidRDefault="00F00957" w:rsidP="00F00957">
      <w:r w:rsidRPr="00F00957">
        <w:t xml:space="preserve">The total number of subjects exposed to Grazax in the clinical development program was 2,482. Overall, 72% of subjects receiving Grazax reported treatment related AEs. These AEs were primarily reported during the first 3 months of treatment (56% reported AEs within the first 3 </w:t>
      </w:r>
      <w:r>
        <w:t>months of treatment).</w:t>
      </w:r>
    </w:p>
    <w:p w14:paraId="4FE91E3D" w14:textId="77777777" w:rsidR="00F00957" w:rsidRPr="00F00957" w:rsidRDefault="00F00957" w:rsidP="00F00957">
      <w:r w:rsidRPr="00F00957">
        <w:t>Oral pruritus was the most frequently reported related AE, experienced by 30% of the subjects treated with Grazax. Throat irritation, mouth oedema and ear pruritus were also fr</w:t>
      </w:r>
      <w:r w:rsidR="004C74AA">
        <w:t xml:space="preserve">equently reported (by 8 to </w:t>
      </w:r>
      <w:r w:rsidRPr="00F00957">
        <w:t>16% of the subjects treated with Grazax). These side effects may be sufficiently bothersome to lead</w:t>
      </w:r>
      <w:r>
        <w:t xml:space="preserve"> to discontinuation of therapy.</w:t>
      </w:r>
    </w:p>
    <w:p w14:paraId="4FE91E3E" w14:textId="77777777" w:rsidR="00F00957" w:rsidRPr="00F00957" w:rsidRDefault="00F00957" w:rsidP="00F00957">
      <w:r w:rsidRPr="00F00957">
        <w:lastRenderedPageBreak/>
        <w:t>In Study GT-19 which used antihistamines in addition to Grazax there was no statistically significant difference in the number of subjects reporting local allergic reactions when treated with antihistamine or</w:t>
      </w:r>
      <w:r>
        <w:t xml:space="preserve"> placebo antihistamine.</w:t>
      </w:r>
    </w:p>
    <w:p w14:paraId="4FE91E3F" w14:textId="77777777" w:rsidR="00F00957" w:rsidRPr="00F00957" w:rsidRDefault="00F00957" w:rsidP="00F00957">
      <w:r w:rsidRPr="00F00957">
        <w:t xml:space="preserve">In </w:t>
      </w:r>
      <w:r w:rsidR="004C74AA">
        <w:t>Phase I</w:t>
      </w:r>
      <w:r w:rsidRPr="00F00957">
        <w:t xml:space="preserve"> trial GT-09 and GT-11, the tolerability of 75,000 SQ-T was assessed in children. No indications of any significant differences between the adult and the paediatric population were observed and this was in agreement with the </w:t>
      </w:r>
      <w:r w:rsidR="004C74AA">
        <w:t>well-established</w:t>
      </w:r>
      <w:r w:rsidRPr="00F00957">
        <w:t xml:space="preserve"> clinical practice of using the same dosage of immunotherapy in adults and children</w:t>
      </w:r>
      <w:r>
        <w:t>.</w:t>
      </w:r>
    </w:p>
    <w:p w14:paraId="4FE91E40" w14:textId="77777777" w:rsidR="00F00957" w:rsidRPr="00F00957" w:rsidRDefault="00F00957" w:rsidP="00F00957">
      <w:r w:rsidRPr="00F00957">
        <w:t>Systemic allergic reactions were uncommon but did occur during the studies. No anaphylaxis was reported in any of the clinical studies but has been reported as a sp</w:t>
      </w:r>
      <w:r>
        <w:t>ontaneous post marketing event.</w:t>
      </w:r>
    </w:p>
    <w:p w14:paraId="4FE91E41" w14:textId="77777777" w:rsidR="00F00957" w:rsidRPr="00F00957" w:rsidRDefault="00F00957" w:rsidP="00F00957">
      <w:pPr>
        <w:pStyle w:val="Heading3"/>
      </w:pPr>
      <w:bookmarkStart w:id="240" w:name="_Toc511209811"/>
      <w:bookmarkStart w:id="241" w:name="_Ref271126605"/>
      <w:bookmarkStart w:id="242" w:name="_Toc272414657"/>
      <w:bookmarkStart w:id="243" w:name="_Toc290846282"/>
      <w:bookmarkStart w:id="244" w:name="_Toc449426948"/>
      <w:r w:rsidRPr="00F00957">
        <w:t>Evaluation of Risk Management Plan (RMP)</w:t>
      </w:r>
      <w:bookmarkEnd w:id="240"/>
    </w:p>
    <w:p w14:paraId="4FE91E42" w14:textId="77777777" w:rsidR="00F00957" w:rsidRPr="00F00957" w:rsidRDefault="00F00957" w:rsidP="00F00957">
      <w:r w:rsidRPr="00F00957">
        <w:t xml:space="preserve">The </w:t>
      </w:r>
      <w:r w:rsidR="004C74AA">
        <w:t>second</w:t>
      </w:r>
      <w:r w:rsidRPr="00F00957">
        <w:t xml:space="preserve"> round RMP evaluation </w:t>
      </w:r>
      <w:r w:rsidR="004C74AA">
        <w:t>was</w:t>
      </w:r>
      <w:r w:rsidRPr="00F00957">
        <w:t xml:space="preserve"> included for ACPM information</w:t>
      </w:r>
      <w:r w:rsidR="004C74AA">
        <w:t xml:space="preserve">. </w:t>
      </w:r>
      <w:r w:rsidRPr="00F00957">
        <w:t xml:space="preserve">The </w:t>
      </w:r>
      <w:r>
        <w:t xml:space="preserve">sponsor has </w:t>
      </w:r>
      <w:r w:rsidRPr="00F00957">
        <w:t xml:space="preserve">addressed the recommendations made in the </w:t>
      </w:r>
      <w:r w:rsidR="004C74AA">
        <w:t>first</w:t>
      </w:r>
      <w:r w:rsidRPr="00F00957">
        <w:t xml:space="preserve"> round RMP evaluation, and is committe</w:t>
      </w:r>
      <w:r>
        <w:t xml:space="preserve">d to </w:t>
      </w:r>
      <w:r w:rsidRPr="00F00957">
        <w:t xml:space="preserve">update </w:t>
      </w:r>
      <w:r w:rsidR="004C74AA" w:rsidRPr="00F00957">
        <w:t>the summary</w:t>
      </w:r>
      <w:r w:rsidR="004C74AA">
        <w:t xml:space="preserve"> </w:t>
      </w:r>
      <w:r w:rsidR="004C74AA" w:rsidRPr="00F00957">
        <w:t xml:space="preserve">safety concerns </w:t>
      </w:r>
      <w:r w:rsidRPr="00F00957">
        <w:t>in accordance with the recommendations of the evaluator.</w:t>
      </w:r>
    </w:p>
    <w:p w14:paraId="4FE91E43" w14:textId="77777777" w:rsidR="005479B1" w:rsidRDefault="00F00957" w:rsidP="00F00957">
      <w:r w:rsidRPr="00F00957">
        <w:t>Any changes to which the sponsor has agreed should be included in a revised RMP and ASA. However, irrespective of whether or not they are included in the currently available version of the RMP document, the agreed changes become part of the risk management system</w:t>
      </w:r>
      <w:r w:rsidR="005479B1">
        <w:t>.</w:t>
      </w:r>
    </w:p>
    <w:p w14:paraId="4FE91E44" w14:textId="77777777" w:rsidR="00F00957" w:rsidRPr="00F00957" w:rsidRDefault="00F00957" w:rsidP="00F00957">
      <w:r w:rsidRPr="00F00957">
        <w:t>Condition of registration should in</w:t>
      </w:r>
      <w:r w:rsidR="004C74AA">
        <w:t>clude the following</w:t>
      </w:r>
      <w:r w:rsidRPr="00F00957">
        <w:t>:</w:t>
      </w:r>
    </w:p>
    <w:p w14:paraId="4FE91E45" w14:textId="77777777" w:rsidR="00F00957" w:rsidRPr="00F00957" w:rsidRDefault="00F00957" w:rsidP="00F00957">
      <w:r w:rsidRPr="00F00957">
        <w:t xml:space="preserve">Implement EU-RMP (version 8; 10 </w:t>
      </w:r>
      <w:r w:rsidR="00EB112B">
        <w:t>March</w:t>
      </w:r>
      <w:r w:rsidRPr="00F00957">
        <w:t xml:space="preserve"> 2015; DLP 24 June 2013) with Australian Specific Annex (version 2; date 23 August 2016), submitted with application PM-2015-03979-1-2, and any future updates as a co</w:t>
      </w:r>
      <w:r>
        <w:t>ndition of registration.</w:t>
      </w:r>
    </w:p>
    <w:p w14:paraId="4FE91E46" w14:textId="77777777" w:rsidR="00F00957" w:rsidRPr="00F00957" w:rsidRDefault="00F00957" w:rsidP="00F00957">
      <w:pPr>
        <w:pStyle w:val="Heading3"/>
      </w:pPr>
      <w:bookmarkStart w:id="245" w:name="_Toc511209812"/>
      <w:r w:rsidRPr="00F00957">
        <w:t>Discussion</w:t>
      </w:r>
      <w:bookmarkEnd w:id="245"/>
    </w:p>
    <w:bookmarkEnd w:id="241"/>
    <w:bookmarkEnd w:id="242"/>
    <w:bookmarkEnd w:id="243"/>
    <w:bookmarkEnd w:id="244"/>
    <w:p w14:paraId="4FE91E47" w14:textId="77777777" w:rsidR="005479B1" w:rsidRDefault="00F00957" w:rsidP="00F00957">
      <w:r w:rsidRPr="00F00957">
        <w:t xml:space="preserve">A number of </w:t>
      </w:r>
      <w:proofErr w:type="gramStart"/>
      <w:r w:rsidR="004C74AA">
        <w:t>dose</w:t>
      </w:r>
      <w:proofErr w:type="gramEnd"/>
      <w:r w:rsidR="004C74AA">
        <w:t xml:space="preserve"> finding</w:t>
      </w:r>
      <w:r w:rsidRPr="00F00957">
        <w:t>, pivotal, and supportive clinical studies are provided to demonstrate the efficacy and safety of Grazax for the proposed indication.</w:t>
      </w:r>
      <w:r w:rsidR="00FA2591">
        <w:t xml:space="preserve"> </w:t>
      </w:r>
      <w:r w:rsidRPr="00F00957">
        <w:t>Studies GT-08 and GT-14 were considered as pivotal and GT-07 and P05238 as supportive for adult studies.</w:t>
      </w:r>
      <w:r w:rsidR="00FA2591">
        <w:t xml:space="preserve"> </w:t>
      </w:r>
      <w:r w:rsidRPr="00F00957">
        <w:t>Study GT-12 was considered as pivotal and P05239 as a supporting study for children</w:t>
      </w:r>
      <w:r w:rsidR="005479B1">
        <w:t>.</w:t>
      </w:r>
    </w:p>
    <w:p w14:paraId="4FE91E48" w14:textId="074EF3D1" w:rsidR="00F00957" w:rsidRPr="00F00957" w:rsidRDefault="00F00957" w:rsidP="00F00957">
      <w:r w:rsidRPr="00F00957">
        <w:t>Different efficacy endpoints were used in these studies. Most of these studies were conducted prior to the adoption of the EU Guidelines for treatment of allergic conditions</w:t>
      </w:r>
      <w:r w:rsidR="004C74AA">
        <w:t>.</w:t>
      </w:r>
      <w:r w:rsidR="004C74AA" w:rsidRPr="004C74AA">
        <w:rPr>
          <w:vertAlign w:val="superscript"/>
        </w:rPr>
        <w:fldChar w:fldCharType="begin"/>
      </w:r>
      <w:r w:rsidR="004C74AA" w:rsidRPr="004C74AA">
        <w:rPr>
          <w:vertAlign w:val="superscript"/>
        </w:rPr>
        <w:instrText xml:space="preserve"> NOTEREF _Ref497318576 \h </w:instrText>
      </w:r>
      <w:r w:rsidR="004C74AA">
        <w:rPr>
          <w:vertAlign w:val="superscript"/>
        </w:rPr>
        <w:instrText xml:space="preserve"> \* MERGEFORMAT </w:instrText>
      </w:r>
      <w:r w:rsidR="004C74AA" w:rsidRPr="004C74AA">
        <w:rPr>
          <w:vertAlign w:val="superscript"/>
        </w:rPr>
      </w:r>
      <w:r w:rsidR="004C74AA" w:rsidRPr="004C74AA">
        <w:rPr>
          <w:vertAlign w:val="superscript"/>
        </w:rPr>
        <w:fldChar w:fldCharType="separate"/>
      </w:r>
      <w:r w:rsidR="003D50F1">
        <w:rPr>
          <w:vertAlign w:val="superscript"/>
        </w:rPr>
        <w:t>70</w:t>
      </w:r>
      <w:r w:rsidR="004C74AA" w:rsidRPr="004C74AA">
        <w:rPr>
          <w:vertAlign w:val="superscript"/>
        </w:rPr>
        <w:fldChar w:fldCharType="end"/>
      </w:r>
      <w:r w:rsidRPr="00F00957">
        <w:t xml:space="preserve"> In terms of the primary endpoints of the trials,</w:t>
      </w:r>
      <w:r>
        <w:t xml:space="preserve"> the EU guideline states:</w:t>
      </w:r>
    </w:p>
    <w:p w14:paraId="4FE91E49" w14:textId="77777777" w:rsidR="00F00957" w:rsidRPr="004C74AA" w:rsidRDefault="00F00957" w:rsidP="004C74AA">
      <w:pPr>
        <w:ind w:left="720"/>
        <w:rPr>
          <w:i/>
        </w:rPr>
      </w:pPr>
      <w:r w:rsidRPr="004C74AA">
        <w:rPr>
          <w:i/>
        </w:rPr>
        <w:t>Primary endpoint: The use of rescue medication has an impact on symptom severity. Therefore, the primary endpoint has to reflect both, symptom severity as well as the intake of rescue medication. ……. One approach is to combine both scores by a weighted sum of the symptom and medication score respectively. In such a situation the choice of the weights has to be justified.</w:t>
      </w:r>
    </w:p>
    <w:p w14:paraId="4FE91E4A" w14:textId="77777777" w:rsidR="005479B1" w:rsidRDefault="00F00957" w:rsidP="00F00957">
      <w:r w:rsidRPr="00F00957">
        <w:t>All of the studies have done this in some wa</w:t>
      </w:r>
      <w:r w:rsidR="004C74AA">
        <w:t>y but it differs in each trial;</w:t>
      </w:r>
      <w:r w:rsidRPr="00F00957">
        <w:t xml:space="preserve"> usually by using the co-primary endpoints of </w:t>
      </w:r>
      <w:r w:rsidR="004C74AA">
        <w:t>DSS</w:t>
      </w:r>
      <w:r w:rsidRPr="00F00957">
        <w:t xml:space="preserve"> and </w:t>
      </w:r>
      <w:r w:rsidR="004C74AA">
        <w:t>DMS</w:t>
      </w:r>
      <w:r w:rsidRPr="00F00957">
        <w:t xml:space="preserve"> or a combined endpoint (with no weighting) and then DSS and DMS as secondary endpoints. The pivotal studies, GT-08 and GT-14 used DSS and DMS as the co-primary endpoint, and GT-08 added new secondary endpoints at each of the 4 subsequent years</w:t>
      </w:r>
      <w:r w:rsidR="005479B1">
        <w:t>.</w:t>
      </w:r>
    </w:p>
    <w:p w14:paraId="4FE91E4B" w14:textId="7AEC4C8C" w:rsidR="00E14E44" w:rsidRDefault="00F00957" w:rsidP="00515527">
      <w:r w:rsidRPr="00F00957">
        <w:t xml:space="preserve">The efficacy results of these key studies are summarised in </w:t>
      </w:r>
      <w:r w:rsidR="004C74AA">
        <w:t>T</w:t>
      </w:r>
      <w:r w:rsidRPr="00F00957">
        <w:t xml:space="preserve">able </w:t>
      </w:r>
      <w:r w:rsidR="00500CC2">
        <w:t>5</w:t>
      </w:r>
      <w:r w:rsidR="00D7132E">
        <w:t xml:space="preserve"> above</w:t>
      </w:r>
      <w:r w:rsidR="004C74AA">
        <w:t>.</w:t>
      </w:r>
    </w:p>
    <w:p w14:paraId="4FE91E4C" w14:textId="77777777" w:rsidR="00F00957" w:rsidRPr="00F00957" w:rsidRDefault="00F00957" w:rsidP="00F00957">
      <w:r w:rsidRPr="00F00957">
        <w:t xml:space="preserve">The clinical evaluator commented that the submitted studies do not appear to show a consistent benefit as claimed by the </w:t>
      </w:r>
      <w:r w:rsidR="002D7A68">
        <w:t>sponsor</w:t>
      </w:r>
      <w:r w:rsidRPr="00F00957">
        <w:t xml:space="preserve">. For the studies in adults, only 2 of 5 studies </w:t>
      </w:r>
      <w:r w:rsidRPr="00F00957">
        <w:lastRenderedPageBreak/>
        <w:t xml:space="preserve">show statistically significant benefit for rhinoconjunctivitis symptoms and only 1 of 5 show statistically significant benefit for </w:t>
      </w:r>
      <w:r w:rsidR="004C74AA">
        <w:t>DMS</w:t>
      </w:r>
      <w:r w:rsidRPr="00F00957">
        <w:t>.</w:t>
      </w:r>
    </w:p>
    <w:p w14:paraId="4FE91E4D" w14:textId="2F7B69ED" w:rsidR="00F00957" w:rsidRPr="00F00957" w:rsidRDefault="00F00957" w:rsidP="00F00957">
      <w:r w:rsidRPr="00F00957">
        <w:t xml:space="preserve">The sponsor argues that the reasons the primary analysis in </w:t>
      </w:r>
      <w:r w:rsidR="004C74AA">
        <w:t>S</w:t>
      </w:r>
      <w:r w:rsidRPr="00F00957">
        <w:t xml:space="preserve">tudies GT-02 and GT-14 did not show a statistically significant difference compared to placebo was due, in </w:t>
      </w:r>
      <w:r w:rsidR="004C74AA">
        <w:t>Study GT</w:t>
      </w:r>
      <w:r w:rsidR="004C74AA">
        <w:noBreakHyphen/>
      </w:r>
      <w:r w:rsidRPr="00F00957">
        <w:t>02, to the fact that not all subjects</w:t>
      </w:r>
      <w:r w:rsidR="004C74AA">
        <w:t xml:space="preserve"> were able to comply with the 8 week pre</w:t>
      </w:r>
      <w:r w:rsidR="004C74AA">
        <w:noBreakHyphen/>
      </w:r>
      <w:r w:rsidRPr="00F00957">
        <w:t xml:space="preserve">seasonal treatment period and in </w:t>
      </w:r>
      <w:r w:rsidR="004C74AA">
        <w:t>Study</w:t>
      </w:r>
      <w:r w:rsidRPr="00F00957">
        <w:t xml:space="preserve"> GT-14 to the subjects’ pre-seasonal symptom score, overlapping pollen seasons/allergies and/or geographical regions/pollen areas. These may be valid reasons for</w:t>
      </w:r>
      <w:r w:rsidR="002F1053">
        <w:t xml:space="preserve"> outcomes of</w:t>
      </w:r>
      <w:r w:rsidRPr="00F00957">
        <w:t xml:space="preserve"> these studies but also reflect the</w:t>
      </w:r>
      <w:r>
        <w:t xml:space="preserve"> real world use of the product.</w:t>
      </w:r>
    </w:p>
    <w:p w14:paraId="4FE91E4E" w14:textId="77777777" w:rsidR="00F00957" w:rsidRPr="00F00957" w:rsidRDefault="00F00957" w:rsidP="00F00957">
      <w:r w:rsidRPr="00F00957">
        <w:t>Normally efficacy demonstrated in two independent studies or in single pivotal study with significant and clinically relevant results is considered sufficient for acceptance of a product’s efficacy.</w:t>
      </w:r>
      <w:r w:rsidR="00FA2591">
        <w:t xml:space="preserve"> </w:t>
      </w:r>
      <w:r w:rsidRPr="00F00957">
        <w:t>Grazax meets this criterion and the clinical evaluator accepts that the efficacy of the product in treating allergic rhinitis with or without conjunctivitis has been demonstrated</w:t>
      </w:r>
      <w:r>
        <w:t>.</w:t>
      </w:r>
    </w:p>
    <w:p w14:paraId="4FE91E4F" w14:textId="56419CD5" w:rsidR="00F00957" w:rsidRPr="00F00957" w:rsidRDefault="00F00957" w:rsidP="00F00957">
      <w:r w:rsidRPr="00F00957">
        <w:t>The sponsor is also seeking an indication of disease modifying effect. It is noted that this was granted in the EU but not in the USA. The EU guideline does not provide much guidance as to what evidence is required for a disease modifying claim, the only guidance is that for long-term efficacy and disease modifying effect a “</w:t>
      </w:r>
      <w:r w:rsidRPr="004C74AA">
        <w:rPr>
          <w:i/>
        </w:rPr>
        <w:t>sustained significant and clinically relevant efficacy in post treatment years</w:t>
      </w:r>
      <w:r w:rsidRPr="00F00957">
        <w:t>” is required</w:t>
      </w:r>
      <w:r w:rsidR="004C74AA">
        <w:t>.</w:t>
      </w:r>
      <w:r w:rsidR="004C74AA" w:rsidRPr="004C74AA">
        <w:rPr>
          <w:vertAlign w:val="superscript"/>
        </w:rPr>
        <w:fldChar w:fldCharType="begin"/>
      </w:r>
      <w:r w:rsidR="004C74AA" w:rsidRPr="004C74AA">
        <w:rPr>
          <w:vertAlign w:val="superscript"/>
        </w:rPr>
        <w:instrText xml:space="preserve"> NOTEREF _Ref497318576 \h </w:instrText>
      </w:r>
      <w:r w:rsidR="004C74AA">
        <w:rPr>
          <w:vertAlign w:val="superscript"/>
        </w:rPr>
        <w:instrText xml:space="preserve"> \* MERGEFORMAT </w:instrText>
      </w:r>
      <w:r w:rsidR="004C74AA" w:rsidRPr="004C74AA">
        <w:rPr>
          <w:vertAlign w:val="superscript"/>
        </w:rPr>
      </w:r>
      <w:r w:rsidR="004C74AA" w:rsidRPr="004C74AA">
        <w:rPr>
          <w:vertAlign w:val="superscript"/>
        </w:rPr>
        <w:fldChar w:fldCharType="separate"/>
      </w:r>
      <w:r w:rsidR="003D50F1">
        <w:rPr>
          <w:vertAlign w:val="superscript"/>
        </w:rPr>
        <w:t>70</w:t>
      </w:r>
      <w:r w:rsidR="004C74AA" w:rsidRPr="004C74AA">
        <w:rPr>
          <w:vertAlign w:val="superscript"/>
        </w:rPr>
        <w:fldChar w:fldCharType="end"/>
      </w:r>
    </w:p>
    <w:p w14:paraId="4FE91E50" w14:textId="77777777" w:rsidR="00F00957" w:rsidRPr="00F00957" w:rsidRDefault="00F00957" w:rsidP="00F00957">
      <w:r w:rsidRPr="00F00957">
        <w:t>The long term effect of Grazax was assessed in Study GT-08, and the disease modifying claim rests with this study that treated patients for 3 years and then followed them for 2 years. A sustained significant and clinically relevant effect was seen</w:t>
      </w:r>
      <w:r w:rsidR="004C74AA">
        <w:t xml:space="preserve"> for the first follow up year (Y</w:t>
      </w:r>
      <w:r w:rsidRPr="00F00957">
        <w:t xml:space="preserve">ear 2008) but not the second (the rhinoconjunctivitis medication score was not statistically significant). The sponsor argues that the second year (2009) </w:t>
      </w:r>
      <w:r w:rsidR="0082122C">
        <w:t>GPS</w:t>
      </w:r>
      <w:r w:rsidRPr="00F00957">
        <w:t xml:space="preserve"> was significantly milder than the previous seasons and due to the influence of grass pollen exposure on the symptom and medication scores, this was inevitably influencing the size of the efficacy measurements. However, whatever the reason, the sustained benefit was not present in the second year of follow up. In view of this and the variability seen in the other trials, the evaluator considers that the evidence is not sufficient to support the claim of disease modifying effect. It cannot be established if the decrease in grass pollen exposure is the sole explanation for the trend towards a gradual decrease in treatment effect.</w:t>
      </w:r>
    </w:p>
    <w:p w14:paraId="4FE91E51" w14:textId="77777777" w:rsidR="005479B1" w:rsidRDefault="00F00957" w:rsidP="00F00957">
      <w:r w:rsidRPr="00F00957">
        <w:t xml:space="preserve">The sponsor does not agree to the revised indication or to the inclusion of the need for confirmation of cutaneous testing or positive titre in the </w:t>
      </w:r>
      <w:r w:rsidR="004C74AA">
        <w:t>i</w:t>
      </w:r>
      <w:r w:rsidRPr="00F00957">
        <w:t xml:space="preserve">ndications section. They cite recent decisions for Acarizax and Actair in which the need for confirmatory tests was included in </w:t>
      </w:r>
      <w:r w:rsidR="004C74AA" w:rsidRPr="00F00957">
        <w:t xml:space="preserve">the dosage and administration </w:t>
      </w:r>
      <w:r w:rsidRPr="00F00957">
        <w:t>section of the PI. However, given the marked difference in the prevalence of Timothy grass allergy and house dust mite allergy, the evaluator considers it is important that only those patients with specific Timothy grass allergy receive Grazax and therefore the indication should reinforce this requirement by including this in the indication</w:t>
      </w:r>
      <w:r w:rsidR="005479B1">
        <w:t>.</w:t>
      </w:r>
    </w:p>
    <w:p w14:paraId="4FE91E52" w14:textId="77777777" w:rsidR="00F00957" w:rsidRPr="00F00957" w:rsidRDefault="00F00957" w:rsidP="00F00957">
      <w:r w:rsidRPr="00F00957">
        <w:t xml:space="preserve">The TGA toxicology evaluator questioned the relevance of this product to Australia given that the product only contains </w:t>
      </w:r>
      <w:r w:rsidR="002D7A68" w:rsidRPr="002D7A68">
        <w:rPr>
          <w:i/>
        </w:rPr>
        <w:t>Phleum pratense</w:t>
      </w:r>
      <w:r w:rsidRPr="00F00957">
        <w:t xml:space="preserve"> (Timothy grass) which is mainly found in the highlands of southern (temperate) Australia (parts of Tasmania and Victoria) and is considered a noxious weed. To address this, the sponsor has provided additional information on </w:t>
      </w:r>
      <w:r w:rsidR="002D7A68" w:rsidRPr="002D7A68">
        <w:rPr>
          <w:i/>
        </w:rPr>
        <w:t>Phleum pratense</w:t>
      </w:r>
      <w:r w:rsidRPr="00F00957">
        <w:t xml:space="preserve"> and a letter from Dr </w:t>
      </w:r>
      <w:r w:rsidR="004C74AA">
        <w:t>[information redacted],</w:t>
      </w:r>
      <w:r w:rsidRPr="00F00957">
        <w:t xml:space="preserve"> a </w:t>
      </w:r>
      <w:r w:rsidR="004C74AA" w:rsidRPr="00F00957">
        <w:t xml:space="preserve">specialist in clinical immunology and allergy </w:t>
      </w:r>
      <w:r w:rsidRPr="00F00957">
        <w:t xml:space="preserve">and </w:t>
      </w:r>
      <w:r w:rsidR="004C74AA">
        <w:t>[information redacted]</w:t>
      </w:r>
      <w:r w:rsidRPr="00F00957">
        <w:t xml:space="preserve"> of the Australian Society of C</w:t>
      </w:r>
      <w:r>
        <w:t>linical Immunology and Allergy.</w:t>
      </w:r>
    </w:p>
    <w:p w14:paraId="4FE91E53" w14:textId="77777777" w:rsidR="00F00957" w:rsidRPr="00F00957" w:rsidRDefault="00F00957" w:rsidP="00F00957">
      <w:r w:rsidRPr="00F00957">
        <w:lastRenderedPageBreak/>
        <w:t xml:space="preserve">The sponsor states that the Australian Virtual Herbarium (AVH) indicates the presence of Timothy grass in Victoria, NSW, Tasmania, South Australia and Western Australia. The reference to this is a website called </w:t>
      </w:r>
      <w:proofErr w:type="spellStart"/>
      <w:r w:rsidRPr="00F00957">
        <w:t>AusGrass</w:t>
      </w:r>
      <w:proofErr w:type="spellEnd"/>
      <w:r w:rsidRPr="00F00957">
        <w:t xml:space="preserve"> 2</w:t>
      </w:r>
      <w:r w:rsidR="004C74AA">
        <w:rPr>
          <w:rStyle w:val="FootnoteReference"/>
        </w:rPr>
        <w:footnoteReference w:id="76"/>
      </w:r>
      <w:r w:rsidRPr="00F00957">
        <w:t xml:space="preserve"> </w:t>
      </w:r>
      <w:proofErr w:type="gramStart"/>
      <w:r w:rsidRPr="00F00957">
        <w:t>The</w:t>
      </w:r>
      <w:proofErr w:type="gramEnd"/>
      <w:r w:rsidRPr="00F00957">
        <w:t xml:space="preserve"> date of the reference to the AVH is 2011. When the AVH (AVH 2016. Australia’s Virtual Herbarium, Council of Heads of Australasian Herbaria) was accessed directly it includes only NSW, A</w:t>
      </w:r>
      <w:r>
        <w:t>CT and WA as sites of presence</w:t>
      </w:r>
      <w:r w:rsidR="004C74AA">
        <w:t xml:space="preserve"> (of Timothy grass)</w:t>
      </w:r>
      <w:r>
        <w:t>.</w:t>
      </w:r>
    </w:p>
    <w:p w14:paraId="4FE91E54" w14:textId="77777777" w:rsidR="00F00957" w:rsidRPr="00F00957" w:rsidRDefault="00F00957" w:rsidP="00F00957">
      <w:r w:rsidRPr="00F00957">
        <w:t xml:space="preserve">The following comments were provided by Dr </w:t>
      </w:r>
      <w:r w:rsidR="004C74AA">
        <w:t>[information redacted]</w:t>
      </w:r>
      <w:r w:rsidRPr="00F00957">
        <w:t>:</w:t>
      </w:r>
    </w:p>
    <w:p w14:paraId="4FE91E55" w14:textId="77777777" w:rsidR="00F00957" w:rsidRPr="00F00957" w:rsidRDefault="00F00957" w:rsidP="00F00957">
      <w:pPr>
        <w:ind w:left="720"/>
        <w:rPr>
          <w:i/>
        </w:rPr>
      </w:pPr>
      <w:r w:rsidRPr="00F00957">
        <w:rPr>
          <w:i/>
        </w:rPr>
        <w:t>“Timothy grass (</w:t>
      </w:r>
      <w:r w:rsidR="002D7A68" w:rsidRPr="002D7A68">
        <w:rPr>
          <w:i/>
        </w:rPr>
        <w:t>Phleum pratense</w:t>
      </w:r>
      <w:r w:rsidRPr="00F00957">
        <w:rPr>
          <w:i/>
        </w:rPr>
        <w:t xml:space="preserve">) is a member of the </w:t>
      </w:r>
      <w:proofErr w:type="spellStart"/>
      <w:r w:rsidRPr="00F00957">
        <w:rPr>
          <w:i/>
        </w:rPr>
        <w:t>pooideae</w:t>
      </w:r>
      <w:proofErr w:type="spellEnd"/>
      <w:r w:rsidRPr="00F00957">
        <w:rPr>
          <w:i/>
        </w:rPr>
        <w:t xml:space="preserve"> family, closely related to ryegrass and other common allergenic grasses known as the temperate grasses. </w:t>
      </w:r>
      <w:proofErr w:type="spellStart"/>
      <w:r w:rsidRPr="00F00957">
        <w:rPr>
          <w:i/>
        </w:rPr>
        <w:t>Pooideae</w:t>
      </w:r>
      <w:proofErr w:type="spellEnd"/>
      <w:r w:rsidRPr="00F00957">
        <w:rPr>
          <w:i/>
        </w:rPr>
        <w:t xml:space="preserve"> is a subfamily of </w:t>
      </w:r>
      <w:proofErr w:type="spellStart"/>
      <w:r w:rsidRPr="00F00957">
        <w:rPr>
          <w:i/>
        </w:rPr>
        <w:t>poaceae</w:t>
      </w:r>
      <w:proofErr w:type="spellEnd"/>
      <w:r w:rsidRPr="00F00957">
        <w:rPr>
          <w:i/>
        </w:rPr>
        <w:t xml:space="preserve"> which also includes subtropical grasses such as Bermuda grass (couch), </w:t>
      </w:r>
      <w:proofErr w:type="spellStart"/>
      <w:proofErr w:type="gramStart"/>
      <w:r w:rsidRPr="00F00957">
        <w:rPr>
          <w:i/>
        </w:rPr>
        <w:t>bahia</w:t>
      </w:r>
      <w:proofErr w:type="spellEnd"/>
      <w:proofErr w:type="gramEnd"/>
      <w:r w:rsidRPr="00F00957">
        <w:rPr>
          <w:i/>
        </w:rPr>
        <w:t xml:space="preserve"> grass (paspalum) and sorghum. Timothy grass is itself not common or widely distributed in Australia although it does occur in cooler parts such as some parts of Victoria, Tasmania and the ACT. Ryegrass is probably the most widespread and common of the temperate allergic grasses. However it is known that Timothy grass contains almost all the relevant allergenic epitopes contained in ryegrass and other common temperate grasses. Therefore Grazax should be a suitable therapeutic product to treat allergy to Australian temperate grasses. Many sufferers of pollen allergy are sensitised to both temperate and subtropical grass pollens. In northern parts of Australia, it is thought that the primary (initiating) sensitising pollens are subtropical, and in the southern parts, temperate. It is thought that optimal immunotherapy should target the primary sensitising allergen and generally should cover all the major pollens to which the patients is sensitised.</w:t>
      </w:r>
    </w:p>
    <w:p w14:paraId="4FE91E56" w14:textId="77777777" w:rsidR="00F00957" w:rsidRPr="00F00957" w:rsidRDefault="00F00957" w:rsidP="00F00957">
      <w:pPr>
        <w:ind w:left="720"/>
        <w:rPr>
          <w:i/>
        </w:rPr>
      </w:pPr>
      <w:r w:rsidRPr="00F00957">
        <w:rPr>
          <w:i/>
        </w:rPr>
        <w:t>Therefore, it is unlikely that Grazax will be the optimal agent for pollen allergy sufferers in the northern parts of Australia, and in the southern parts where there is sensitisation to both temperate and subtropical grass pollens. However, it is likely to be a suitable agent for those with exclusive or predominant sensitisation to temperate grass pollens in the southern and central parts of Australia which constitute a significant subgroup.”</w:t>
      </w:r>
    </w:p>
    <w:p w14:paraId="4FE91E57" w14:textId="77777777" w:rsidR="00F00957" w:rsidRPr="00F00957" w:rsidRDefault="00F00957" w:rsidP="00F00957">
      <w:r w:rsidRPr="00F00957">
        <w:t xml:space="preserve">In view of the above comments, the </w:t>
      </w:r>
      <w:r w:rsidR="004C74AA">
        <w:t>Delegate</w:t>
      </w:r>
      <w:r w:rsidRPr="00F00957">
        <w:t xml:space="preserve"> recommends that Australia </w:t>
      </w:r>
      <w:r w:rsidR="004C74AA">
        <w:t>PI</w:t>
      </w:r>
      <w:r w:rsidRPr="00F00957">
        <w:t xml:space="preserve"> should include the information about Australia geographical distribution of Timothy grass given that the product only contains allergen extract of grass pollen from Timothy grass.</w:t>
      </w:r>
    </w:p>
    <w:p w14:paraId="4FE91E58" w14:textId="77777777" w:rsidR="00F00957" w:rsidRPr="00F00957" w:rsidRDefault="00F00957" w:rsidP="0086394A">
      <w:pPr>
        <w:pStyle w:val="Heading4"/>
      </w:pPr>
      <w:r w:rsidRPr="00F00957">
        <w:t xml:space="preserve">The preliminary action proposed by the </w:t>
      </w:r>
      <w:r w:rsidR="004C74AA">
        <w:t>Delegate</w:t>
      </w:r>
    </w:p>
    <w:p w14:paraId="4FE91E59" w14:textId="77777777" w:rsidR="00F00957" w:rsidRPr="00F00957" w:rsidRDefault="00F00957" w:rsidP="00F00957">
      <w:r w:rsidRPr="00F00957">
        <w:t xml:space="preserve">Overall, the effectiveness of Grazax in relieving symptoms of rhinoconjunctivitis symptoms and to lesser extent use of rescue medication was shown in </w:t>
      </w:r>
      <w:r w:rsidR="004C74AA">
        <w:t>two</w:t>
      </w:r>
      <w:r w:rsidRPr="00F00957">
        <w:t xml:space="preserve"> studies in adults and </w:t>
      </w:r>
      <w:r w:rsidR="004C74AA">
        <w:t>two</w:t>
      </w:r>
      <w:r w:rsidRPr="00F00957">
        <w:t xml:space="preserve"> studies in children with clinically relevant symptoms, confirmed by a positive cutaneous test and/or a positive titre of the specific </w:t>
      </w:r>
      <w:proofErr w:type="spellStart"/>
      <w:r w:rsidRPr="00F00957">
        <w:t>IgE</w:t>
      </w:r>
      <w:proofErr w:type="spellEnd"/>
      <w:r w:rsidRPr="00F00957">
        <w:t xml:space="preserve"> to </w:t>
      </w:r>
      <w:proofErr w:type="spellStart"/>
      <w:r w:rsidR="002D7A68" w:rsidRPr="002D7A68">
        <w:rPr>
          <w:i/>
        </w:rPr>
        <w:t>Phleum</w:t>
      </w:r>
      <w:proofErr w:type="spellEnd"/>
      <w:r w:rsidR="002D7A68" w:rsidRPr="002D7A68">
        <w:rPr>
          <w:i/>
        </w:rPr>
        <w:t xml:space="preserve"> </w:t>
      </w:r>
      <w:proofErr w:type="spellStart"/>
      <w:r w:rsidR="002D7A68" w:rsidRPr="002D7A68">
        <w:rPr>
          <w:i/>
        </w:rPr>
        <w:t>pratense</w:t>
      </w:r>
      <w:proofErr w:type="spellEnd"/>
      <w:r w:rsidRPr="00F00957">
        <w:t>. In most of the studies where immunological endpoints were included, the immunological changes of Grazax immunotherapy have been consistent and statistically significant, although the clinical significance of these findings has not been established.</w:t>
      </w:r>
    </w:p>
    <w:p w14:paraId="4FE91E5A" w14:textId="2E2A6887" w:rsidR="00F00957" w:rsidRPr="00F00957" w:rsidRDefault="00F00957" w:rsidP="00F00957">
      <w:r w:rsidRPr="00F00957">
        <w:t>There is a possible risk of anaphylactic reactions associated with the use of Grazax, including anaphylactic shock. The risk of systemic allergic reactions</w:t>
      </w:r>
      <w:r w:rsidR="00FA2591">
        <w:t xml:space="preserve"> </w:t>
      </w:r>
      <w:r w:rsidRPr="00F00957">
        <w:t>is most likely to occur at the first do</w:t>
      </w:r>
      <w:r w:rsidR="0024738B">
        <w:t>se</w:t>
      </w:r>
      <w:r w:rsidRPr="00F00957">
        <w:t>. Local allergic reactions of varying severity are common particularly oral pruritus, throat irritation, mouth oedema and ear pruritus. Acute asthma may occur with the use of Grazax.</w:t>
      </w:r>
    </w:p>
    <w:p w14:paraId="4FE91E5B" w14:textId="77777777" w:rsidR="005479B1" w:rsidRDefault="00F00957" w:rsidP="00F00957">
      <w:r w:rsidRPr="00F00957">
        <w:t xml:space="preserve">There remain questions as to the adequacy of evidence in supporting the disease-modifying effect. The product Information should include the information with regards to </w:t>
      </w:r>
      <w:r w:rsidRPr="00F00957">
        <w:lastRenderedPageBreak/>
        <w:t>the geographical distribution of Timothy grass in Australia given that the product only contains allergen extract of grass pollen from Timothy grass pollen (</w:t>
      </w:r>
      <w:r w:rsidR="002D7A68" w:rsidRPr="002D7A68">
        <w:rPr>
          <w:i/>
        </w:rPr>
        <w:t>Phleum pratense</w:t>
      </w:r>
      <w:r w:rsidRPr="00F00957">
        <w:t>)</w:t>
      </w:r>
      <w:r w:rsidR="005479B1">
        <w:t>.</w:t>
      </w:r>
    </w:p>
    <w:p w14:paraId="4FE91E5C" w14:textId="77777777" w:rsidR="00F00957" w:rsidRPr="00F00957" w:rsidRDefault="00F00957" w:rsidP="00F00957">
      <w:r w:rsidRPr="00F00957">
        <w:t xml:space="preserve">The overall benefit-risk balance of Grazax, given the proposed usage, is considered favourable. It is noted that the wording of the requested indication is for “grass pollen” allergy without specifying </w:t>
      </w:r>
      <w:r w:rsidR="002D7A68" w:rsidRPr="002D7A68">
        <w:rPr>
          <w:i/>
        </w:rPr>
        <w:t>Phleum pratense</w:t>
      </w:r>
      <w:r w:rsidRPr="00F00957">
        <w:t xml:space="preserve">. </w:t>
      </w:r>
      <w:r w:rsidR="002D7A68" w:rsidRPr="002D7A68">
        <w:rPr>
          <w:i/>
        </w:rPr>
        <w:t>Phleum pratense</w:t>
      </w:r>
      <w:r w:rsidRPr="00F00957">
        <w:t xml:space="preserve"> should be included in the indication to reflect the studies submitted.</w:t>
      </w:r>
      <w:r w:rsidR="00FA2591">
        <w:t xml:space="preserve"> </w:t>
      </w:r>
      <w:r w:rsidRPr="00F00957">
        <w:t xml:space="preserve">Based on the submitted data, the </w:t>
      </w:r>
      <w:r w:rsidR="004C74AA">
        <w:t>Delegate</w:t>
      </w:r>
      <w:r w:rsidRPr="00F00957">
        <w:t xml:space="preserve"> recommends that Grazax be approved for the indication below:</w:t>
      </w:r>
    </w:p>
    <w:p w14:paraId="4FE91E5D" w14:textId="77777777" w:rsidR="00F00957" w:rsidRPr="0086394A" w:rsidRDefault="00F00957" w:rsidP="0086394A">
      <w:pPr>
        <w:ind w:left="720"/>
        <w:rPr>
          <w:i/>
        </w:rPr>
      </w:pPr>
      <w:r w:rsidRPr="0086394A">
        <w:rPr>
          <w:i/>
        </w:rPr>
        <w:t>Grazax is indicated for treatment of Timothy grass (</w:t>
      </w:r>
      <w:r w:rsidR="002D7A68" w:rsidRPr="002D7A68">
        <w:rPr>
          <w:i/>
        </w:rPr>
        <w:t>Phleum pratense</w:t>
      </w:r>
      <w:r w:rsidRPr="0086394A">
        <w:rPr>
          <w:i/>
        </w:rPr>
        <w:t xml:space="preserve">) pollen allergic rhinitis with or without conjunctivitis in adults, adolescents and children above the age of 5 with clinically relevant symptoms, confirmed by a positive cutaneous test and/or a positive titre of the specific </w:t>
      </w:r>
      <w:proofErr w:type="spellStart"/>
      <w:r w:rsidRPr="0086394A">
        <w:rPr>
          <w:i/>
        </w:rPr>
        <w:t>IgE</w:t>
      </w:r>
      <w:proofErr w:type="spellEnd"/>
      <w:r w:rsidRPr="0086394A">
        <w:rPr>
          <w:i/>
        </w:rPr>
        <w:t xml:space="preserve"> to </w:t>
      </w:r>
      <w:proofErr w:type="spellStart"/>
      <w:r w:rsidR="002D7A68" w:rsidRPr="002D7A68">
        <w:rPr>
          <w:i/>
        </w:rPr>
        <w:t>Phleum</w:t>
      </w:r>
      <w:proofErr w:type="spellEnd"/>
      <w:r w:rsidR="002D7A68" w:rsidRPr="002D7A68">
        <w:rPr>
          <w:i/>
        </w:rPr>
        <w:t xml:space="preserve"> </w:t>
      </w:r>
      <w:proofErr w:type="spellStart"/>
      <w:r w:rsidR="002D7A68" w:rsidRPr="002D7A68">
        <w:rPr>
          <w:i/>
        </w:rPr>
        <w:t>pratense</w:t>
      </w:r>
      <w:proofErr w:type="spellEnd"/>
      <w:r w:rsidRPr="0086394A">
        <w:rPr>
          <w:i/>
        </w:rPr>
        <w:t>.</w:t>
      </w:r>
    </w:p>
    <w:p w14:paraId="4FE91E5E" w14:textId="77777777" w:rsidR="00E14E44" w:rsidRDefault="0086394A" w:rsidP="0086394A">
      <w:pPr>
        <w:pStyle w:val="Heading4"/>
      </w:pPr>
      <w:r>
        <w:t>Summary of issues</w:t>
      </w:r>
    </w:p>
    <w:p w14:paraId="4FE91E5F" w14:textId="77777777" w:rsidR="0086394A" w:rsidRPr="0086394A" w:rsidRDefault="0086394A" w:rsidP="0086394A">
      <w:r w:rsidRPr="0086394A">
        <w:t xml:space="preserve">A number of </w:t>
      </w:r>
      <w:proofErr w:type="gramStart"/>
      <w:r w:rsidR="004C74AA">
        <w:t>dose</w:t>
      </w:r>
      <w:proofErr w:type="gramEnd"/>
      <w:r w:rsidR="004C74AA">
        <w:t xml:space="preserve"> finding</w:t>
      </w:r>
      <w:r w:rsidRPr="0086394A">
        <w:t>, pivotal, and supportive clinical studies are provided to demonstrate the efficacy and safety of Grazax for the proposed indication.</w:t>
      </w:r>
      <w:r w:rsidR="00FA2591">
        <w:t xml:space="preserve"> </w:t>
      </w:r>
      <w:r w:rsidRPr="0086394A">
        <w:t>The effectiveness of Grazax in relieving symptoms of rhinoconjunctivitis symptoms and to lesser extent use of rescue medication was shown in 2 studies in adults and 2 studies in children. In most of the studies where immunological endpoints were included, the immunological changes have been consistent and statistically significant, however clinical significance of the findings remains to be elucidated.</w:t>
      </w:r>
    </w:p>
    <w:p w14:paraId="4FE91E60" w14:textId="77777777" w:rsidR="0086394A" w:rsidRPr="0086394A" w:rsidRDefault="0086394A" w:rsidP="0086394A">
      <w:r w:rsidRPr="0086394A">
        <w:t>The relevance of this product to Australia has been questioned, given that the product only contains allergen extract of grass pollen from Timothy grass.</w:t>
      </w:r>
    </w:p>
    <w:p w14:paraId="4FE91E61" w14:textId="66A6AE9C" w:rsidR="0086394A" w:rsidRPr="0086394A" w:rsidRDefault="0086394A" w:rsidP="0086394A">
      <w:r w:rsidRPr="0086394A">
        <w:t>There is a risk of anaphylactic reactions associated with the use of Grazax, including anaphylactic shock. The</w:t>
      </w:r>
      <w:r w:rsidR="002F1053">
        <w:t>re is a</w:t>
      </w:r>
      <w:r w:rsidR="0028468D">
        <w:t xml:space="preserve"> </w:t>
      </w:r>
      <w:r w:rsidRPr="0086394A">
        <w:t>risk of systemic allergic reactions w</w:t>
      </w:r>
      <w:r w:rsidR="002F1053">
        <w:t>hich</w:t>
      </w:r>
      <w:r w:rsidRPr="0086394A">
        <w:t xml:space="preserve"> is most likely to occur at the first do</w:t>
      </w:r>
      <w:r w:rsidR="002F1053">
        <w:t>se</w:t>
      </w:r>
      <w:r w:rsidRPr="0086394A">
        <w:t>. Local allergic reactions of varying severity are common particularly oral pruritus, throat irritation, mouth oedema and ear pruritus. Acute asthma may occur with the use of Grazax.</w:t>
      </w:r>
    </w:p>
    <w:p w14:paraId="4FE91E62" w14:textId="77777777" w:rsidR="00E14E44" w:rsidRDefault="0086394A" w:rsidP="0086394A">
      <w:r w:rsidRPr="0086394A">
        <w:t>There remain questions as to the adequacy of evi</w:t>
      </w:r>
      <w:r w:rsidR="004C74AA">
        <w:t xml:space="preserve">dence in supporting the disease </w:t>
      </w:r>
      <w:r w:rsidRPr="0086394A">
        <w:t>modifying effect of Grazax.</w:t>
      </w:r>
    </w:p>
    <w:p w14:paraId="4FE91E63" w14:textId="77777777" w:rsidR="004D7EAE" w:rsidRDefault="004D7EAE" w:rsidP="004D7EAE">
      <w:pPr>
        <w:pStyle w:val="Heading4"/>
      </w:pPr>
      <w:r w:rsidRPr="00D23139">
        <w:t>Proposed action</w:t>
      </w:r>
    </w:p>
    <w:p w14:paraId="4FE91E64" w14:textId="238594B4" w:rsidR="004C74AA" w:rsidRDefault="004C74AA" w:rsidP="004D7EAE">
      <w:r>
        <w:t>The Delegate had</w:t>
      </w:r>
      <w:r w:rsidR="004D7EAE" w:rsidRPr="0086394A">
        <w:t xml:space="preserve"> no reason to say, that the application should not be approved for the treatment of Timothy grass (</w:t>
      </w:r>
      <w:r w:rsidR="002D7A68" w:rsidRPr="002D7A68">
        <w:rPr>
          <w:i/>
        </w:rPr>
        <w:t>Phleum pratense</w:t>
      </w:r>
      <w:r w:rsidR="004D7EAE" w:rsidRPr="0086394A">
        <w:t xml:space="preserve">) pollen allergic rhinitis with or without conjunctivitis in adults, adolescents and children above the age of 5 with clinically relevant symptoms, confirmed by a positive cutaneous test and/or a positive titre of the specific </w:t>
      </w:r>
      <w:proofErr w:type="spellStart"/>
      <w:r w:rsidR="004D7EAE" w:rsidRPr="0086394A">
        <w:t>IgE</w:t>
      </w:r>
      <w:proofErr w:type="spellEnd"/>
      <w:r w:rsidR="004D7EAE" w:rsidRPr="0086394A">
        <w:t xml:space="preserve"> to </w:t>
      </w:r>
      <w:proofErr w:type="spellStart"/>
      <w:r w:rsidR="002D7A68" w:rsidRPr="002D7A68">
        <w:rPr>
          <w:i/>
        </w:rPr>
        <w:t>Phleum</w:t>
      </w:r>
      <w:proofErr w:type="spellEnd"/>
      <w:r w:rsidR="002D7A68" w:rsidRPr="002D7A68">
        <w:rPr>
          <w:i/>
        </w:rPr>
        <w:t xml:space="preserve"> </w:t>
      </w:r>
      <w:proofErr w:type="spellStart"/>
      <w:r w:rsidR="002D7A68" w:rsidRPr="002D7A68">
        <w:rPr>
          <w:i/>
        </w:rPr>
        <w:t>pratense</w:t>
      </w:r>
      <w:proofErr w:type="spellEnd"/>
      <w:r w:rsidR="004D7EAE" w:rsidRPr="0086394A">
        <w:t>.</w:t>
      </w:r>
    </w:p>
    <w:p w14:paraId="4FE91E65" w14:textId="66B60BAA" w:rsidR="004D7EAE" w:rsidRDefault="004D7EAE" w:rsidP="004D7EAE">
      <w:r w:rsidRPr="0086394A">
        <w:t>The condition</w:t>
      </w:r>
      <w:r w:rsidR="0088383D">
        <w:t>s</w:t>
      </w:r>
      <w:r w:rsidRPr="0086394A">
        <w:t xml:space="preserve"> of registration</w:t>
      </w:r>
      <w:r w:rsidR="004C74AA">
        <w:t xml:space="preserve"> should include the following</w:t>
      </w:r>
      <w:r>
        <w:t>:</w:t>
      </w:r>
    </w:p>
    <w:p w14:paraId="4FE91E66" w14:textId="77777777" w:rsidR="004C74AA" w:rsidRDefault="004C74AA" w:rsidP="004C74AA">
      <w:r w:rsidRPr="0086394A">
        <w:t>Any changes to which the sponsor has agreed should be included in a revised RMP and ASA. However, irrespective of whether or not they are included in the currently available version of the RMP document, the agreed changes become part of the risk management system</w:t>
      </w:r>
      <w:r>
        <w:t>.</w:t>
      </w:r>
    </w:p>
    <w:p w14:paraId="4FE91E67" w14:textId="77777777" w:rsidR="004C74AA" w:rsidRPr="004D7EAE" w:rsidRDefault="004C74AA" w:rsidP="004D7EAE">
      <w:r w:rsidRPr="0086394A">
        <w:t xml:space="preserve">Implement EU-RMP (version 8; 10 </w:t>
      </w:r>
      <w:r w:rsidR="00EB112B">
        <w:t>March</w:t>
      </w:r>
      <w:r w:rsidRPr="0086394A">
        <w:t xml:space="preserve"> 2015; DLP 24 June 2013) with Australian Specific Annex (version 2; date 23 August 2016), submitted with application PM-2015-03979-1-2, and any future updates as a condition of registration.</w:t>
      </w:r>
      <w:r w:rsidRPr="0086394A">
        <w:br/>
        <w:t>The final approval is subject to satisfactory resolutions of any issues relating to the Product Information (PI) and the Risk Management Plan (RMP/ASA).</w:t>
      </w:r>
    </w:p>
    <w:p w14:paraId="4FE91E68" w14:textId="77777777" w:rsidR="004D7EAE" w:rsidRPr="00D23139" w:rsidRDefault="004D7EAE" w:rsidP="004D7EAE">
      <w:pPr>
        <w:pStyle w:val="Heading4"/>
      </w:pPr>
      <w:r w:rsidRPr="00D23139">
        <w:t>Request for ACPM advice</w:t>
      </w:r>
    </w:p>
    <w:p w14:paraId="4FE91E69" w14:textId="77777777" w:rsidR="0086394A" w:rsidRPr="0086394A" w:rsidRDefault="0086394A" w:rsidP="0086394A">
      <w:r w:rsidRPr="0086394A">
        <w:t xml:space="preserve">The </w:t>
      </w:r>
      <w:r w:rsidR="004C74AA">
        <w:t>c</w:t>
      </w:r>
      <w:r w:rsidRPr="0086394A">
        <w:t>ommittee is requested to provide advice on the following specific issues:</w:t>
      </w:r>
    </w:p>
    <w:p w14:paraId="4FE91E6A" w14:textId="77777777" w:rsidR="0086394A" w:rsidRPr="0086394A" w:rsidRDefault="0086394A" w:rsidP="00911E2B">
      <w:pPr>
        <w:pStyle w:val="Numberbullet0"/>
        <w:numPr>
          <w:ilvl w:val="0"/>
          <w:numId w:val="10"/>
        </w:numPr>
      </w:pPr>
      <w:r w:rsidRPr="0086394A">
        <w:lastRenderedPageBreak/>
        <w:t>Could ACPM please comment on the relevance of this product to Australia, given that the product only contains allergen extract of grass pollen from Timothy grass (</w:t>
      </w:r>
      <w:r w:rsidR="002D7A68" w:rsidRPr="004C74AA">
        <w:rPr>
          <w:i/>
        </w:rPr>
        <w:t>Phleum pratense</w:t>
      </w:r>
      <w:r w:rsidRPr="0086394A">
        <w:t>)? Should the product Information include the information about the geographical distribution of Timothy grass in Australia?</w:t>
      </w:r>
    </w:p>
    <w:p w14:paraId="4FE91E6B" w14:textId="77777777" w:rsidR="0086394A" w:rsidRPr="0086394A" w:rsidRDefault="0086394A" w:rsidP="00911E2B">
      <w:pPr>
        <w:pStyle w:val="Numberbullet0"/>
        <w:numPr>
          <w:ilvl w:val="0"/>
          <w:numId w:val="10"/>
        </w:numPr>
      </w:pPr>
      <w:r w:rsidRPr="0086394A">
        <w:t>Does ACPM consider the submitted data support t</w:t>
      </w:r>
      <w:r w:rsidR="004C74AA">
        <w:t xml:space="preserve">he disease </w:t>
      </w:r>
      <w:r w:rsidRPr="0086394A">
        <w:t>modifying effect of Grazax for the treatment of grass pollen induced rhinitis and conjunctivitis?</w:t>
      </w:r>
    </w:p>
    <w:p w14:paraId="4FE91E6C" w14:textId="77777777" w:rsidR="0086394A" w:rsidRPr="0086394A" w:rsidRDefault="0086394A" w:rsidP="00911E2B">
      <w:pPr>
        <w:pStyle w:val="Numberbullet0"/>
        <w:numPr>
          <w:ilvl w:val="0"/>
          <w:numId w:val="10"/>
        </w:numPr>
      </w:pPr>
      <w:r w:rsidRPr="0086394A">
        <w:t>Does the ACPM consider there is a need for a more prominent warning in the PI regarding the possibility of serious anaphylactic reactions?</w:t>
      </w:r>
    </w:p>
    <w:p w14:paraId="4FE91E6D" w14:textId="77777777" w:rsidR="0086394A" w:rsidRPr="0086394A" w:rsidRDefault="0086394A" w:rsidP="00911E2B">
      <w:pPr>
        <w:pStyle w:val="Numberbullet0"/>
        <w:numPr>
          <w:ilvl w:val="0"/>
          <w:numId w:val="10"/>
        </w:numPr>
      </w:pPr>
      <w:r w:rsidRPr="0086394A">
        <w:t>Does ACPM support the following indication proposed by the evaluator?</w:t>
      </w:r>
    </w:p>
    <w:p w14:paraId="4FE91E6E" w14:textId="77777777" w:rsidR="0086394A" w:rsidRPr="0086394A" w:rsidRDefault="0086394A" w:rsidP="00911E2B">
      <w:pPr>
        <w:pStyle w:val="Numberbullet0"/>
        <w:numPr>
          <w:ilvl w:val="0"/>
          <w:numId w:val="10"/>
        </w:numPr>
      </w:pPr>
      <w:r w:rsidRPr="0086394A">
        <w:t>Grazax is indicated for treatment of Timothy grass (</w:t>
      </w:r>
      <w:r w:rsidR="002D7A68" w:rsidRPr="004C74AA">
        <w:rPr>
          <w:i/>
        </w:rPr>
        <w:t>Phleum pratense</w:t>
      </w:r>
      <w:r w:rsidRPr="0086394A">
        <w:t>) pollen allergic rhinitis with or without conjunctivitis in adults, adolescents and children above the age of 5 with clinically relevant symptoms, confirmed by a positive cutaneous test and/or a positive titre of the s</w:t>
      </w:r>
      <w:r>
        <w:t xml:space="preserve">pecific </w:t>
      </w:r>
      <w:proofErr w:type="spellStart"/>
      <w:r>
        <w:t>IgE</w:t>
      </w:r>
      <w:proofErr w:type="spellEnd"/>
      <w:r>
        <w:t xml:space="preserve"> to </w:t>
      </w:r>
      <w:proofErr w:type="spellStart"/>
      <w:r w:rsidR="002D7A68" w:rsidRPr="004C74AA">
        <w:rPr>
          <w:i/>
        </w:rPr>
        <w:t>Phleum</w:t>
      </w:r>
      <w:proofErr w:type="spellEnd"/>
      <w:r w:rsidR="002D7A68" w:rsidRPr="004C74AA">
        <w:rPr>
          <w:i/>
        </w:rPr>
        <w:t xml:space="preserve"> </w:t>
      </w:r>
      <w:proofErr w:type="spellStart"/>
      <w:r w:rsidR="002D7A68" w:rsidRPr="004C74AA">
        <w:rPr>
          <w:i/>
        </w:rPr>
        <w:t>pratense</w:t>
      </w:r>
      <w:proofErr w:type="spellEnd"/>
      <w:r>
        <w:t>.</w:t>
      </w:r>
    </w:p>
    <w:p w14:paraId="4FE91E6F" w14:textId="77777777" w:rsidR="00E14E44" w:rsidRPr="00515527" w:rsidRDefault="0086394A" w:rsidP="00515527">
      <w:r w:rsidRPr="0086394A">
        <w:t>The committee is (also) requested to provide advice on any other issues that it thinks may be relevant to a decision on whether or not to approve this application</w:t>
      </w:r>
    </w:p>
    <w:p w14:paraId="4FE91E70" w14:textId="77777777" w:rsidR="00D23139" w:rsidRDefault="00ED7D0C" w:rsidP="00D23139">
      <w:pPr>
        <w:pStyle w:val="Heading4"/>
      </w:pPr>
      <w:bookmarkStart w:id="246" w:name="_Toc196046505"/>
      <w:bookmarkStart w:id="247" w:name="_Toc196046949"/>
      <w:bookmarkEnd w:id="179"/>
      <w:r>
        <w:t xml:space="preserve">Response from </w:t>
      </w:r>
      <w:r w:rsidR="002D7A68">
        <w:t>sponsor</w:t>
      </w:r>
    </w:p>
    <w:p w14:paraId="4FE91E71" w14:textId="77777777" w:rsidR="00ED7D0C" w:rsidRPr="00ED7D0C" w:rsidRDefault="00ED7D0C" w:rsidP="00ED7D0C">
      <w:r w:rsidRPr="00ED7D0C">
        <w:t xml:space="preserve">Following review of </w:t>
      </w:r>
      <w:r w:rsidR="004C74AA">
        <w:t xml:space="preserve">the Delegate’s overview </w:t>
      </w:r>
      <w:r w:rsidRPr="00ED7D0C">
        <w:t>Seqirus seeks to comment on the</w:t>
      </w:r>
      <w:r>
        <w:t xml:space="preserve"> </w:t>
      </w:r>
      <w:r w:rsidRPr="00ED7D0C">
        <w:t>items for which the Delegate is seeking ACPM advice and to address</w:t>
      </w:r>
      <w:r>
        <w:t xml:space="preserve"> the Delegate’s recommendations </w:t>
      </w:r>
      <w:r w:rsidRPr="00ED7D0C">
        <w:t xml:space="preserve">regarding the proposed </w:t>
      </w:r>
      <w:r w:rsidR="004C74AA">
        <w:t>PI</w:t>
      </w:r>
      <w:r w:rsidRPr="00ED7D0C">
        <w:t>.</w:t>
      </w:r>
    </w:p>
    <w:p w14:paraId="4FE91E72" w14:textId="77777777" w:rsidR="00ED7D0C" w:rsidRPr="00ED7D0C" w:rsidRDefault="00ED7D0C" w:rsidP="00ED7D0C">
      <w:pPr>
        <w:pStyle w:val="Heading5"/>
        <w:rPr>
          <w:rFonts w:eastAsiaTheme="minorHAnsi"/>
        </w:rPr>
      </w:pPr>
      <w:r>
        <w:t>P</w:t>
      </w:r>
      <w:r w:rsidRPr="00ED7D0C">
        <w:t>roduct overview</w:t>
      </w:r>
    </w:p>
    <w:p w14:paraId="4FE91E73" w14:textId="77777777" w:rsidR="00ED7D0C" w:rsidRPr="00ED7D0C" w:rsidRDefault="00ED7D0C" w:rsidP="00ED7D0C">
      <w:r w:rsidRPr="00ED7D0C">
        <w:t>Grazax is a once daily, sublingual immunotherapy (SLIT), oral lyophilisate</w:t>
      </w:r>
      <w:r>
        <w:t xml:space="preserve"> tablet. It contains 75,000 SQT </w:t>
      </w:r>
      <w:r w:rsidRPr="00ED7D0C">
        <w:t>standardised allergen extract of grass pollen from Timothy grass (</w:t>
      </w:r>
      <w:r w:rsidRPr="004C74AA">
        <w:rPr>
          <w:i/>
        </w:rPr>
        <w:t>P. pratense</w:t>
      </w:r>
      <w:r>
        <w:t xml:space="preserve">). It has been developed as </w:t>
      </w:r>
      <w:r w:rsidRPr="00ED7D0C">
        <w:t xml:space="preserve">a convenient </w:t>
      </w:r>
      <w:r w:rsidR="004C74AA">
        <w:t xml:space="preserve">AIT product for at </w:t>
      </w:r>
      <w:r w:rsidRPr="00ED7D0C">
        <w:t>home treatme</w:t>
      </w:r>
      <w:r>
        <w:t xml:space="preserve">nt of grass related respiratory </w:t>
      </w:r>
      <w:r w:rsidRPr="00ED7D0C">
        <w:t>allergic disease, specifically allergic rhinoconjunctivitis. Grazax is cu</w:t>
      </w:r>
      <w:r>
        <w:t xml:space="preserve">rrently approved in 21 European </w:t>
      </w:r>
      <w:r w:rsidRPr="00ED7D0C">
        <w:t>(EU) countries and the US</w:t>
      </w:r>
      <w:r w:rsidR="00A8025F" w:rsidRPr="004C74AA">
        <w:rPr>
          <w:rStyle w:val="FootnoteReference"/>
        </w:rPr>
        <w:footnoteReference w:id="77"/>
      </w:r>
      <w:r w:rsidRPr="00ED7D0C">
        <w:t xml:space="preserve"> (the International Birth Date is </w:t>
      </w:r>
      <w:r w:rsidR="004C74AA">
        <w:t>March</w:t>
      </w:r>
      <w:r w:rsidRPr="00ED7D0C">
        <w:t xml:space="preserve"> 2006)</w:t>
      </w:r>
      <w:r>
        <w:t xml:space="preserve">. As noted by the Delegate, the </w:t>
      </w:r>
      <w:r w:rsidRPr="00ED7D0C">
        <w:t>approved Indication for Grazax varies globally. This is not unexpecte</w:t>
      </w:r>
      <w:r>
        <w:t xml:space="preserve">d - as for many products, these </w:t>
      </w:r>
      <w:r w:rsidRPr="00ED7D0C">
        <w:t>differences are reflective of differing regional clinical practice and also commercial strategy(s).</w:t>
      </w:r>
    </w:p>
    <w:p w14:paraId="4FE91E74" w14:textId="56A684CC" w:rsidR="00ED7D0C" w:rsidRPr="00ED7D0C" w:rsidRDefault="00ED7D0C" w:rsidP="00ED7D0C">
      <w:r w:rsidRPr="00ED7D0C">
        <w:t>There is extensive IgG</w:t>
      </w:r>
      <w:r w:rsidRPr="00EB112B">
        <w:rPr>
          <w:vertAlign w:val="subscript"/>
        </w:rPr>
        <w:t>4</w:t>
      </w:r>
      <w:r w:rsidRPr="00ED7D0C">
        <w:t xml:space="preserve"> and </w:t>
      </w:r>
      <w:proofErr w:type="spellStart"/>
      <w:r w:rsidRPr="00ED7D0C">
        <w:t>IgE</w:t>
      </w:r>
      <w:proofErr w:type="spellEnd"/>
      <w:r w:rsidRPr="00ED7D0C">
        <w:t xml:space="preserve"> </w:t>
      </w:r>
      <w:r w:rsidR="004C74AA">
        <w:t>cross reactivity</w:t>
      </w:r>
      <w:r w:rsidRPr="00ED7D0C">
        <w:t xml:space="preserve"> between P. pratense allergen extract and those of other</w:t>
      </w:r>
      <w:r>
        <w:t xml:space="preserve"> </w:t>
      </w:r>
      <w:r w:rsidRPr="00ED7D0C">
        <w:t xml:space="preserve">grasses within the </w:t>
      </w:r>
      <w:proofErr w:type="spellStart"/>
      <w:r w:rsidRPr="00ED7D0C">
        <w:t>Pooideae</w:t>
      </w:r>
      <w:proofErr w:type="spellEnd"/>
      <w:r w:rsidR="00A8025F">
        <w:rPr>
          <w:rStyle w:val="FootnoteReference"/>
        </w:rPr>
        <w:footnoteReference w:id="78"/>
      </w:r>
      <w:r w:rsidRPr="00ED7D0C">
        <w:t xml:space="preserve"> (</w:t>
      </w:r>
      <w:r w:rsidR="004A7F98">
        <w:t>that is</w:t>
      </w:r>
      <w:r w:rsidRPr="00ED7D0C">
        <w:t xml:space="preserve"> temperate grasses) subfamily to which it belongs (</w:t>
      </w:r>
      <w:r w:rsidR="00C76A34">
        <w:t>for example</w:t>
      </w:r>
      <w:r w:rsidRPr="00ED7D0C">
        <w:t xml:space="preserve"> </w:t>
      </w:r>
      <w:proofErr w:type="spellStart"/>
      <w:r w:rsidRPr="00ED7D0C">
        <w:t>Poa</w:t>
      </w:r>
      <w:proofErr w:type="spellEnd"/>
      <w:r w:rsidRPr="00ED7D0C">
        <w:t xml:space="preserve"> </w:t>
      </w:r>
      <w:proofErr w:type="spellStart"/>
      <w:r w:rsidRPr="00ED7D0C">
        <w:t>sp</w:t>
      </w:r>
      <w:proofErr w:type="spellEnd"/>
      <w:r w:rsidRPr="00ED7D0C">
        <w:t xml:space="preserve">, </w:t>
      </w:r>
      <w:proofErr w:type="spellStart"/>
      <w:r w:rsidRPr="00ED7D0C">
        <w:t>Dactylis</w:t>
      </w:r>
      <w:proofErr w:type="spellEnd"/>
      <w:r w:rsidRPr="00ED7D0C">
        <w:t xml:space="preserve"> </w:t>
      </w:r>
      <w:proofErr w:type="spellStart"/>
      <w:r w:rsidRPr="00ED7D0C">
        <w:t>sp</w:t>
      </w:r>
      <w:proofErr w:type="spellEnd"/>
      <w:r w:rsidRPr="00ED7D0C">
        <w:t>,</w:t>
      </w:r>
      <w:r>
        <w:t xml:space="preserve"> </w:t>
      </w:r>
      <w:proofErr w:type="spellStart"/>
      <w:r w:rsidRPr="00ED7D0C">
        <w:t>Lolium</w:t>
      </w:r>
      <w:proofErr w:type="spellEnd"/>
      <w:r w:rsidRPr="00ED7D0C">
        <w:t xml:space="preserve"> </w:t>
      </w:r>
      <w:proofErr w:type="spellStart"/>
      <w:r w:rsidRPr="00ED7D0C">
        <w:t>sp</w:t>
      </w:r>
      <w:proofErr w:type="spellEnd"/>
      <w:r w:rsidRPr="00ED7D0C">
        <w:t xml:space="preserve"> (</w:t>
      </w:r>
      <w:r w:rsidR="004C74AA">
        <w:t xml:space="preserve">that is </w:t>
      </w:r>
      <w:r w:rsidRPr="00ED7D0C">
        <w:t xml:space="preserve">rye grass) and </w:t>
      </w:r>
      <w:proofErr w:type="spellStart"/>
      <w:r w:rsidRPr="00ED7D0C">
        <w:t>Anthoxanthum</w:t>
      </w:r>
      <w:proofErr w:type="spellEnd"/>
      <w:r w:rsidRPr="00ED7D0C">
        <w:t xml:space="preserve"> </w:t>
      </w:r>
      <w:proofErr w:type="spellStart"/>
      <w:r w:rsidRPr="00ED7D0C">
        <w:t>sp</w:t>
      </w:r>
      <w:proofErr w:type="spellEnd"/>
      <w:r w:rsidRPr="00ED7D0C">
        <w:t>). This is due to the high d</w:t>
      </w:r>
      <w:r>
        <w:t>egree of homology (</w:t>
      </w:r>
      <w:r w:rsidR="004C74AA">
        <w:t xml:space="preserve">&gt; </w:t>
      </w:r>
      <w:r>
        <w:t xml:space="preserve">90%) of the </w:t>
      </w:r>
      <w:r w:rsidRPr="00ED7D0C">
        <w:t>amino acid sequences of the molecular surface. From a clinical perspe</w:t>
      </w:r>
      <w:r>
        <w:t xml:space="preserve">ctive, this means patients will </w:t>
      </w:r>
      <w:r w:rsidRPr="00ED7D0C">
        <w:t xml:space="preserve">experience symptoms when exposed to pollen from any of the </w:t>
      </w:r>
      <w:proofErr w:type="spellStart"/>
      <w:r w:rsidRPr="00ED7D0C">
        <w:t>Poo</w:t>
      </w:r>
      <w:r>
        <w:t>ideae</w:t>
      </w:r>
      <w:proofErr w:type="spellEnd"/>
      <w:r>
        <w:t xml:space="preserve"> grasses and as the immune </w:t>
      </w:r>
      <w:r w:rsidRPr="00ED7D0C">
        <w:t>system does not appear to distinguish between the different species</w:t>
      </w:r>
      <w:r>
        <w:t xml:space="preserve">, the literature concludes that </w:t>
      </w:r>
      <w:r w:rsidRPr="00ED7D0C">
        <w:t>treatment with pollen extract of just one species may affect the allergi</w:t>
      </w:r>
      <w:r>
        <w:t xml:space="preserve">c response caused by any of the </w:t>
      </w:r>
      <w:r w:rsidRPr="00ED7D0C">
        <w:t xml:space="preserve">temperate grasses in the </w:t>
      </w:r>
      <w:proofErr w:type="spellStart"/>
      <w:r w:rsidRPr="00ED7D0C">
        <w:t>Pooideae</w:t>
      </w:r>
      <w:proofErr w:type="spellEnd"/>
      <w:r w:rsidRPr="00ED7D0C">
        <w:t xml:space="preserve"> subfamily</w:t>
      </w:r>
      <w:r w:rsidR="000F4578">
        <w:t>.</w:t>
      </w:r>
      <w:r w:rsidR="00A8025F">
        <w:rPr>
          <w:rStyle w:val="FootnoteReference"/>
        </w:rPr>
        <w:footnoteReference w:id="79"/>
      </w:r>
      <w:r w:rsidR="000F4578">
        <w:t xml:space="preserve"> </w:t>
      </w:r>
      <w:r w:rsidR="000F4578">
        <w:rPr>
          <w:rStyle w:val="FootnoteReference"/>
        </w:rPr>
        <w:footnoteReference w:id="80"/>
      </w:r>
      <w:r w:rsidR="000F4578">
        <w:t xml:space="preserve"> </w:t>
      </w:r>
      <w:r w:rsidRPr="00ED7D0C">
        <w:t>Additionally, the EU Guideline</w:t>
      </w:r>
      <w:r w:rsidR="000F4578" w:rsidRPr="000F4578">
        <w:rPr>
          <w:vertAlign w:val="superscript"/>
        </w:rPr>
        <w:fldChar w:fldCharType="begin"/>
      </w:r>
      <w:r w:rsidR="000F4578" w:rsidRPr="000F4578">
        <w:rPr>
          <w:vertAlign w:val="superscript"/>
        </w:rPr>
        <w:instrText xml:space="preserve"> NOTEREF _Ref497318576 \h </w:instrText>
      </w:r>
      <w:r w:rsidR="000F4578">
        <w:rPr>
          <w:vertAlign w:val="superscript"/>
        </w:rPr>
        <w:instrText xml:space="preserve"> \* MERGEFORMAT </w:instrText>
      </w:r>
      <w:r w:rsidR="000F4578" w:rsidRPr="000F4578">
        <w:rPr>
          <w:vertAlign w:val="superscript"/>
        </w:rPr>
      </w:r>
      <w:r w:rsidR="000F4578" w:rsidRPr="000F4578">
        <w:rPr>
          <w:vertAlign w:val="superscript"/>
        </w:rPr>
        <w:fldChar w:fldCharType="separate"/>
      </w:r>
      <w:r w:rsidR="003D50F1">
        <w:rPr>
          <w:vertAlign w:val="superscript"/>
        </w:rPr>
        <w:t>70</w:t>
      </w:r>
      <w:r w:rsidR="000F4578" w:rsidRPr="000F4578">
        <w:rPr>
          <w:vertAlign w:val="superscript"/>
        </w:rPr>
        <w:fldChar w:fldCharType="end"/>
      </w:r>
      <w:r>
        <w:t xml:space="preserve"> states that </w:t>
      </w:r>
      <w:r w:rsidRPr="00ED7D0C">
        <w:t>within a ‘</w:t>
      </w:r>
      <w:r w:rsidRPr="000F4578">
        <w:rPr>
          <w:i/>
        </w:rPr>
        <w:t>homologous group</w:t>
      </w:r>
      <w:r w:rsidRPr="00ED7D0C">
        <w:t>’, it is sufficient to prove efficacy with one representative allergen</w:t>
      </w:r>
      <w:r>
        <w:t xml:space="preserve"> species. </w:t>
      </w:r>
      <w:r w:rsidRPr="00ED7D0C">
        <w:t xml:space="preserve">Grazax could therefore offer an </w:t>
      </w:r>
      <w:r w:rsidRPr="00ED7D0C">
        <w:lastRenderedPageBreak/>
        <w:t>advantage over other grass aller</w:t>
      </w:r>
      <w:r>
        <w:t xml:space="preserve">gen SLIT products which include </w:t>
      </w:r>
      <w:r w:rsidRPr="00ED7D0C">
        <w:t xml:space="preserve">allergen extracts from multiple species of the </w:t>
      </w:r>
      <w:proofErr w:type="spellStart"/>
      <w:r w:rsidRPr="00ED7D0C">
        <w:t>Pooideae</w:t>
      </w:r>
      <w:proofErr w:type="spellEnd"/>
      <w:r w:rsidRPr="00ED7D0C">
        <w:t xml:space="preserve"> subfamily (temperate grasses).</w:t>
      </w:r>
    </w:p>
    <w:p w14:paraId="4FE91E75" w14:textId="77777777" w:rsidR="00ED7D0C" w:rsidRPr="00ED7D0C" w:rsidRDefault="00ED7D0C" w:rsidP="00603E88">
      <w:pPr>
        <w:pStyle w:val="Heading5"/>
      </w:pPr>
      <w:r w:rsidRPr="00ED7D0C">
        <w:t>Efficacy</w:t>
      </w:r>
    </w:p>
    <w:p w14:paraId="4FE91E76" w14:textId="77777777" w:rsidR="00ED7D0C" w:rsidRPr="00ED7D0C" w:rsidRDefault="00ED7D0C" w:rsidP="00ED7D0C">
      <w:r w:rsidRPr="00ED7D0C">
        <w:t xml:space="preserve">The Delegate notes that demonstration of efficacy in a single pivotal study </w:t>
      </w:r>
      <w:r>
        <w:t xml:space="preserve">with significant and clinically </w:t>
      </w:r>
      <w:r w:rsidRPr="00ED7D0C">
        <w:t xml:space="preserve">relevant results is considered sufficient for acceptance of efficacy. </w:t>
      </w:r>
      <w:r>
        <w:t xml:space="preserve">As per the information provided </w:t>
      </w:r>
      <w:r w:rsidRPr="00ED7D0C">
        <w:t>during Seqirus’ April 2015 pr</w:t>
      </w:r>
      <w:r w:rsidR="000F4578">
        <w:t>e-submission meeting and the 29 October</w:t>
      </w:r>
      <w:r w:rsidRPr="00ED7D0C">
        <w:t xml:space="preserve"> 20</w:t>
      </w:r>
      <w:r>
        <w:t xml:space="preserve">15 Pre Submission Planning Form </w:t>
      </w:r>
      <w:r w:rsidRPr="00ED7D0C">
        <w:t xml:space="preserve">(PPF), the Grazax clinical development program includes </w:t>
      </w:r>
      <w:r w:rsidR="000F4578">
        <w:t>two</w:t>
      </w:r>
      <w:r w:rsidRPr="00ED7D0C">
        <w:t xml:space="preserve"> pivotal </w:t>
      </w:r>
      <w:r w:rsidR="000F4578">
        <w:t>Phase III</w:t>
      </w:r>
      <w:r>
        <w:t xml:space="preserve"> studies, therefore Seqirus </w:t>
      </w:r>
      <w:r w:rsidRPr="00ED7D0C">
        <w:t>contend the adequacy of the clinical data provided.</w:t>
      </w:r>
    </w:p>
    <w:p w14:paraId="4FE91E77" w14:textId="60A31818" w:rsidR="00A8025F" w:rsidRPr="00A8025F" w:rsidRDefault="00ED7D0C" w:rsidP="00A8025F">
      <w:r w:rsidRPr="00ED7D0C">
        <w:t>GT-08 investigated the safety and efficacy in adults with grass poll</w:t>
      </w:r>
      <w:r>
        <w:t xml:space="preserve">en induced rhinoconjunctivitis. </w:t>
      </w:r>
      <w:r w:rsidR="000F4578">
        <w:t xml:space="preserve">Initially planned as a 1 </w:t>
      </w:r>
      <w:r w:rsidRPr="00ED7D0C">
        <w:t>year trial, the trial was extended with 2 more ye</w:t>
      </w:r>
      <w:r>
        <w:t xml:space="preserve">ars of treatment and 2 years of </w:t>
      </w:r>
      <w:r w:rsidRPr="00ED7D0C">
        <w:t xml:space="preserve">follow-up. The co-primary endpoints for this trial were average </w:t>
      </w:r>
      <w:r w:rsidRPr="00400058">
        <w:t xml:space="preserve">daily rhinoconjunctivitis symptom score and average daily rhinoconjunctivitis medication score for the entire </w:t>
      </w:r>
      <w:r w:rsidR="000F4578" w:rsidRPr="00400058">
        <w:t>GPS</w:t>
      </w:r>
      <w:r w:rsidRPr="00400058">
        <w:t xml:space="preserve"> each year. Both co-primary endpoints were met for Grazax recipients; there was a statistically significant improvement in rhinoconjunctivitis symptom score at all time points for </w:t>
      </w:r>
      <w:r w:rsidR="000F4578" w:rsidRPr="00400058">
        <w:t>Year</w:t>
      </w:r>
      <w:r w:rsidRPr="00400058">
        <w:t xml:space="preserve">s 1 to 5 (difference relative to placebo ranged from 25% to 36%; </w:t>
      </w:r>
      <w:r w:rsidR="002A47B8" w:rsidRPr="00400058">
        <w:t xml:space="preserve">p </w:t>
      </w:r>
      <w:r w:rsidR="004C74AA" w:rsidRPr="00400058">
        <w:t xml:space="preserve">&lt; </w:t>
      </w:r>
      <w:r w:rsidRPr="00400058">
        <w:t xml:space="preserve">0.004), and a statistically significant reduction in rhinoconjunctivitis medication score at </w:t>
      </w:r>
      <w:r w:rsidR="000F4578" w:rsidRPr="00400058">
        <w:t>Year</w:t>
      </w:r>
      <w:r w:rsidRPr="00400058">
        <w:t>s 1 to 4 (difference</w:t>
      </w:r>
      <w:r w:rsidRPr="00ED7D0C">
        <w:t xml:space="preserve"> rela</w:t>
      </w:r>
      <w:r>
        <w:t xml:space="preserve">tive to placebo ranged from 29% </w:t>
      </w:r>
      <w:r w:rsidRPr="00ED7D0C">
        <w:t xml:space="preserve">to 46%; </w:t>
      </w:r>
      <w:r w:rsidR="002A47B8">
        <w:t xml:space="preserve">p </w:t>
      </w:r>
      <w:r w:rsidR="004C74AA">
        <w:t xml:space="preserve">&lt; </w:t>
      </w:r>
      <w:r w:rsidRPr="00ED7D0C">
        <w:t>0.03) (</w:t>
      </w:r>
      <w:r w:rsidRPr="00D7132E">
        <w:t xml:space="preserve">Table </w:t>
      </w:r>
      <w:r w:rsidR="00D7132E">
        <w:t>2</w:t>
      </w:r>
      <w:r w:rsidR="00500CC2">
        <w:t>9</w:t>
      </w:r>
      <w:r w:rsidRPr="00ED7D0C">
        <w:t xml:space="preserve">). </w:t>
      </w:r>
      <w:proofErr w:type="gramStart"/>
      <w:r w:rsidRPr="00ED7D0C">
        <w:t>Although no</w:t>
      </w:r>
      <w:r w:rsidR="000F4578">
        <w:t>t statistically significant at Y</w:t>
      </w:r>
      <w:r>
        <w:t xml:space="preserve">ear 5, the 20% reduction in use </w:t>
      </w:r>
      <w:r w:rsidRPr="00ED7D0C">
        <w:t>of rhinoconjunctivitis medications relative to placebo is considered cl</w:t>
      </w:r>
      <w:r>
        <w:t xml:space="preserve">inically relevant in accordance </w:t>
      </w:r>
      <w:r w:rsidRPr="00ED7D0C">
        <w:t>with the minimal relevant magnitude of efficacy proposed by the World Allergy Organisatio</w:t>
      </w:r>
      <w:r w:rsidRPr="000F4578">
        <w:t>n</w:t>
      </w:r>
      <w:r w:rsidR="000F4578">
        <w:t>.</w:t>
      </w:r>
      <w:proofErr w:type="gramEnd"/>
      <w:r w:rsidR="00A8025F" w:rsidRPr="000F4578">
        <w:rPr>
          <w:rStyle w:val="FootnoteReference"/>
        </w:rPr>
        <w:footnoteReference w:id="81"/>
      </w:r>
      <w:r w:rsidRPr="00ED7D0C">
        <w:t xml:space="preserve"> </w:t>
      </w:r>
      <w:r w:rsidRPr="00A8025F">
        <w:t>It is</w:t>
      </w:r>
      <w:r w:rsidR="00A8025F" w:rsidRPr="00A8025F">
        <w:t xml:space="preserve"> also relevant from a quality of life perspective. Additionally, the treatment effect for the</w:t>
      </w:r>
      <w:r w:rsidR="000F4578">
        <w:t xml:space="preserve"> TCS</w:t>
      </w:r>
      <w:r w:rsidR="00A8025F" w:rsidRPr="00A8025F">
        <w:t xml:space="preserve"> was statistically in favour of Grazax </w:t>
      </w:r>
      <w:r w:rsidR="00A8025F">
        <w:t xml:space="preserve">treatment in each of the </w:t>
      </w:r>
      <w:r w:rsidR="00A8025F" w:rsidRPr="00A8025F">
        <w:t xml:space="preserve">5 years </w:t>
      </w:r>
      <w:r w:rsidR="000F4578">
        <w:t xml:space="preserve">with a relative reduction of 23 to </w:t>
      </w:r>
      <w:r w:rsidR="00A8025F" w:rsidRPr="00A8025F">
        <w:t>41% (p</w:t>
      </w:r>
      <w:r w:rsidR="000F4578">
        <w:t xml:space="preserve"> ≤</w:t>
      </w:r>
      <w:r w:rsidR="004A7F98">
        <w:t xml:space="preserve"> </w:t>
      </w:r>
      <w:r w:rsidR="00A8025F" w:rsidRPr="00A8025F">
        <w:t>0.01) compared to placebo</w:t>
      </w:r>
      <w:r w:rsidR="000F4578">
        <w:t>.</w:t>
      </w:r>
      <w:r w:rsidR="0095347A">
        <w:rPr>
          <w:rStyle w:val="FootnoteReference"/>
        </w:rPr>
        <w:footnoteReference w:id="82"/>
      </w:r>
      <w:r w:rsidR="00A8025F">
        <w:t xml:space="preserve"> Importantly, in </w:t>
      </w:r>
      <w:r w:rsidR="00A8025F" w:rsidRPr="00A8025F">
        <w:t>accordance with EMA guideline</w:t>
      </w:r>
      <w:r w:rsidR="000F4578" w:rsidRPr="000F4578">
        <w:rPr>
          <w:vertAlign w:val="superscript"/>
        </w:rPr>
        <w:fldChar w:fldCharType="begin"/>
      </w:r>
      <w:r w:rsidR="000F4578" w:rsidRPr="000F4578">
        <w:rPr>
          <w:vertAlign w:val="superscript"/>
        </w:rPr>
        <w:instrText xml:space="preserve"> NOTEREF _Ref497318576 \h </w:instrText>
      </w:r>
      <w:r w:rsidR="000F4578">
        <w:rPr>
          <w:vertAlign w:val="superscript"/>
        </w:rPr>
        <w:instrText xml:space="preserve"> \* MERGEFORMAT </w:instrText>
      </w:r>
      <w:r w:rsidR="000F4578" w:rsidRPr="000F4578">
        <w:rPr>
          <w:vertAlign w:val="superscript"/>
        </w:rPr>
      </w:r>
      <w:r w:rsidR="000F4578" w:rsidRPr="000F4578">
        <w:rPr>
          <w:vertAlign w:val="superscript"/>
        </w:rPr>
        <w:fldChar w:fldCharType="separate"/>
      </w:r>
      <w:r w:rsidR="003D50F1">
        <w:rPr>
          <w:vertAlign w:val="superscript"/>
        </w:rPr>
        <w:t>70</w:t>
      </w:r>
      <w:r w:rsidR="000F4578" w:rsidRPr="000F4578">
        <w:rPr>
          <w:vertAlign w:val="superscript"/>
        </w:rPr>
        <w:fldChar w:fldCharType="end"/>
      </w:r>
      <w:r w:rsidR="00A8025F" w:rsidRPr="00A8025F">
        <w:t>)</w:t>
      </w:r>
      <w:r w:rsidR="000F4578" w:rsidRPr="00A8025F">
        <w:t xml:space="preserve"> </w:t>
      </w:r>
      <w:r w:rsidR="00A8025F" w:rsidRPr="00A8025F">
        <w:t xml:space="preserve">sustained and clinically relevant efficacy for </w:t>
      </w:r>
      <w:r w:rsidR="004C74AA">
        <w:t xml:space="preserve">&gt; </w:t>
      </w:r>
      <w:r w:rsidR="00A8025F" w:rsidRPr="00A8025F">
        <w:t>3 years</w:t>
      </w:r>
      <w:r w:rsidR="000F4578">
        <w:t xml:space="preserve"> supports a claim for a disease </w:t>
      </w:r>
      <w:r w:rsidR="00A8025F" w:rsidRPr="00A8025F">
        <w:t>modifying effect.</w:t>
      </w:r>
    </w:p>
    <w:p w14:paraId="4FE91E78" w14:textId="77777777" w:rsidR="00ED7D0C" w:rsidRPr="00ED7D0C" w:rsidRDefault="000F4578" w:rsidP="00A8025F">
      <w:r>
        <w:t>Study</w:t>
      </w:r>
      <w:r w:rsidR="00A8025F" w:rsidRPr="00A8025F">
        <w:t xml:space="preserve"> GT-12 investigated the safety and efficacy in children aged </w:t>
      </w:r>
      <w:r>
        <w:t>5 to 16</w:t>
      </w:r>
      <w:r w:rsidR="00A8025F" w:rsidRPr="00A8025F">
        <w:t xml:space="preserve"> </w:t>
      </w:r>
      <w:r>
        <w:t xml:space="preserve">years with grass pollen induced </w:t>
      </w:r>
      <w:r w:rsidR="00A8025F" w:rsidRPr="00A8025F">
        <w:t xml:space="preserve">rhinoconjunctivitis with/without asthma. The co-primary endpoints </w:t>
      </w:r>
      <w:r w:rsidR="00A8025F">
        <w:t xml:space="preserve">for this trial were the same as </w:t>
      </w:r>
      <w:r w:rsidR="00A8025F" w:rsidRPr="00A8025F">
        <w:t>per Study GT-08. Grazax recipients again demonstrated a statistic</w:t>
      </w:r>
      <w:r w:rsidR="00A8025F">
        <w:t xml:space="preserve">ally significant improvement in </w:t>
      </w:r>
      <w:r w:rsidR="00A8025F" w:rsidRPr="00A8025F">
        <w:t xml:space="preserve">rhinoconjunctivitis symptom score (22%; </w:t>
      </w:r>
      <w:r>
        <w:t>p = </w:t>
      </w:r>
      <w:r w:rsidR="00A8025F" w:rsidRPr="00A8025F">
        <w:t>0.0215) and a r</w:t>
      </w:r>
      <w:r w:rsidR="00A8025F">
        <w:t xml:space="preserve">eduction in rhinoconjunctivitis </w:t>
      </w:r>
      <w:r w:rsidR="00A8025F" w:rsidRPr="00A8025F">
        <w:t xml:space="preserve">medication score (34%; </w:t>
      </w:r>
      <w:r w:rsidR="00AD1BB3">
        <w:t xml:space="preserve">p = </w:t>
      </w:r>
      <w:r w:rsidR="00A8025F" w:rsidRPr="00A8025F">
        <w:t>0.0156) compared to placebo</w:t>
      </w:r>
      <w:r w:rsidR="00A8025F">
        <w:t>.</w:t>
      </w:r>
    </w:p>
    <w:p w14:paraId="4FE91E79" w14:textId="6BE035DF" w:rsidR="00ED7D0C" w:rsidRDefault="00603E88" w:rsidP="00603E88">
      <w:pPr>
        <w:pStyle w:val="Tabletitle0"/>
      </w:pPr>
      <w:r>
        <w:lastRenderedPageBreak/>
        <w:t xml:space="preserve">Table </w:t>
      </w:r>
      <w:r w:rsidR="00D7132E">
        <w:t>2</w:t>
      </w:r>
      <w:r w:rsidR="00500CC2">
        <w:t>9</w:t>
      </w:r>
      <w:r w:rsidR="00D7132E">
        <w:t>:</w:t>
      </w:r>
      <w:r>
        <w:t xml:space="preserve"> Results for co-primary endpoints for </w:t>
      </w:r>
      <w:r w:rsidR="000F4578">
        <w:t>Phase III</w:t>
      </w:r>
      <w:r>
        <w:t xml:space="preserve"> trial GT-08</w:t>
      </w:r>
    </w:p>
    <w:p w14:paraId="4FE91E7A" w14:textId="77777777" w:rsidR="00ED7D0C" w:rsidRDefault="00603E88" w:rsidP="00ED7D0C">
      <w:r>
        <w:rPr>
          <w:noProof/>
          <w:lang w:eastAsia="en-AU"/>
        </w:rPr>
        <w:drawing>
          <wp:inline distT="0" distB="0" distL="0" distR="0" wp14:anchorId="4FE91F1F" wp14:editId="1F7AFFB8">
            <wp:extent cx="5208105" cy="2630204"/>
            <wp:effectExtent l="0" t="0" r="0" b="0"/>
            <wp:docPr id="28" name="Picture 28" descr="Table 29: Results for co-primary endpoints for Phase III trial GT-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209170" cy="2630742"/>
                    </a:xfrm>
                    <a:prstGeom prst="rect">
                      <a:avLst/>
                    </a:prstGeom>
                  </pic:spPr>
                </pic:pic>
              </a:graphicData>
            </a:graphic>
          </wp:inline>
        </w:drawing>
      </w:r>
    </w:p>
    <w:p w14:paraId="4FE91E7B" w14:textId="77777777" w:rsidR="00603E88" w:rsidRPr="00603E88" w:rsidRDefault="00603E88" w:rsidP="00603E88">
      <w:pPr>
        <w:pStyle w:val="Heading5"/>
        <w:rPr>
          <w:rFonts w:eastAsiaTheme="minorHAnsi"/>
        </w:rPr>
      </w:pPr>
      <w:r w:rsidRPr="00603E88">
        <w:rPr>
          <w:rFonts w:eastAsiaTheme="minorHAnsi"/>
        </w:rPr>
        <w:t>Safety</w:t>
      </w:r>
    </w:p>
    <w:p w14:paraId="4FE91E7C" w14:textId="3BFC090E" w:rsidR="00603E88" w:rsidRPr="00603E88" w:rsidRDefault="00603E88" w:rsidP="00603E88">
      <w:r w:rsidRPr="00603E88">
        <w:t>The safety of Grazax has been demonstrated during the clinical dev</w:t>
      </w:r>
      <w:r>
        <w:t xml:space="preserve">elopment program in which 3,944 </w:t>
      </w:r>
      <w:r w:rsidRPr="00603E88">
        <w:t xml:space="preserve">patients received the proposed 75,000 SQ-T dose, as well as through </w:t>
      </w:r>
      <w:r w:rsidR="0028468D">
        <w:t xml:space="preserve">approximately </w:t>
      </w:r>
      <w:r w:rsidRPr="00603E88">
        <w:t>10</w:t>
      </w:r>
      <w:r>
        <w:t xml:space="preserve"> years of global post-marketing </w:t>
      </w:r>
      <w:r w:rsidRPr="00603E88">
        <w:t xml:space="preserve">experience. To date </w:t>
      </w:r>
      <w:r w:rsidR="004C74AA">
        <w:t xml:space="preserve">&gt; </w:t>
      </w:r>
      <w:r w:rsidRPr="00603E88">
        <w:t xml:space="preserve">100,000,000 units of Grazax have been marketed </w:t>
      </w:r>
      <w:r>
        <w:t xml:space="preserve">globally, equivalent to 274,621 </w:t>
      </w:r>
      <w:r w:rsidRPr="00603E88">
        <w:t xml:space="preserve">treatment years. The most common treatment emergent AEs (TEAEs) reported for Grazax </w:t>
      </w:r>
      <w:r>
        <w:t xml:space="preserve">during the </w:t>
      </w:r>
      <w:r w:rsidRPr="00603E88">
        <w:t>clinical development program include oral pruritus, throat irritation, na</w:t>
      </w:r>
      <w:r>
        <w:t xml:space="preserve">sopharyngitis and ear pruritus. </w:t>
      </w:r>
      <w:r w:rsidRPr="00603E88">
        <w:t>This is reflected in post-marketing experience.</w:t>
      </w:r>
    </w:p>
    <w:p w14:paraId="4FE91E7D" w14:textId="77777777" w:rsidR="00603E88" w:rsidRPr="00603E88" w:rsidRDefault="00603E88" w:rsidP="00603E88">
      <w:r w:rsidRPr="00603E88">
        <w:t xml:space="preserve">The Delegate comments that whilst systemic allergic reactions were not reported in the Grazax </w:t>
      </w:r>
      <w:r>
        <w:t xml:space="preserve">clinical </w:t>
      </w:r>
      <w:r w:rsidRPr="00603E88">
        <w:t xml:space="preserve">trials, they are well known in relation to AIT and hence conclude that </w:t>
      </w:r>
      <w:r>
        <w:t xml:space="preserve">there is a risk of anaphylactic </w:t>
      </w:r>
      <w:r w:rsidRPr="00603E88">
        <w:t>reaction/shock associated with Grazax, recommending inclusion of a stat</w:t>
      </w:r>
      <w:r>
        <w:t xml:space="preserve">ement to this effect in the PI. </w:t>
      </w:r>
      <w:r w:rsidRPr="00603E88">
        <w:t xml:space="preserve">This is already addressed in the proposed PI, where it states such AEs </w:t>
      </w:r>
      <w:r>
        <w:t xml:space="preserve">are considered a class effect. </w:t>
      </w:r>
      <w:r w:rsidRPr="00603E88">
        <w:t>Moreover, systemic allergic reactions are not unexpected considering</w:t>
      </w:r>
      <w:r>
        <w:t xml:space="preserve"> the patient population to whom </w:t>
      </w:r>
      <w:r w:rsidRPr="00603E88">
        <w:t>AIT is administered. The wording in the proposed PI is aligned with the current TGA approved PIs for</w:t>
      </w:r>
      <w:r w:rsidR="0095347A">
        <w:t xml:space="preserve"> </w:t>
      </w:r>
      <w:r w:rsidRPr="00603E88">
        <w:t>Oralair (AUST R 167565 &amp; 167566), Acarizax (AUST R 250392) and Actair (AUST R 233470 &amp;</w:t>
      </w:r>
      <w:r>
        <w:t xml:space="preserve"> </w:t>
      </w:r>
      <w:r w:rsidRPr="00603E88">
        <w:t>233471).</w:t>
      </w:r>
    </w:p>
    <w:p w14:paraId="4FE91E7E" w14:textId="77777777" w:rsidR="00603E88" w:rsidRPr="00603E88" w:rsidRDefault="00603E88" w:rsidP="00603E88">
      <w:r w:rsidRPr="00603E88">
        <w:t>The Delegate also refers to 3 US clinical trials in which adrenaline wa</w:t>
      </w:r>
      <w:r>
        <w:t xml:space="preserve">s administered to 5 subjects in </w:t>
      </w:r>
      <w:r w:rsidRPr="00603E88">
        <w:t>relation to Grazax related AEs and also comments on the black box warning in t</w:t>
      </w:r>
      <w:r>
        <w:t xml:space="preserve">he FDA approved PI </w:t>
      </w:r>
      <w:r w:rsidRPr="00603E88">
        <w:t>regarding severe allergic reactions. In relation to the clinical trials, it is i</w:t>
      </w:r>
      <w:r>
        <w:t xml:space="preserve">mportant to note that for all 5 </w:t>
      </w:r>
      <w:r w:rsidRPr="00603E88">
        <w:t xml:space="preserve">subjects, the AE was reported as </w:t>
      </w:r>
      <w:r w:rsidR="004C74AA">
        <w:t>non serious</w:t>
      </w:r>
      <w:r w:rsidRPr="00603E88">
        <w:t xml:space="preserve"> or mild-moderate in sever</w:t>
      </w:r>
      <w:r>
        <w:t xml:space="preserve">ity rather than serious or life </w:t>
      </w:r>
      <w:r w:rsidRPr="00603E88">
        <w:t xml:space="preserve">threatening. It is important to note that the information in the FDA approved PI for Grastek </w:t>
      </w:r>
      <w:r>
        <w:t xml:space="preserve">reflects </w:t>
      </w:r>
      <w:r w:rsidRPr="00603E88">
        <w:t>the design of the US-specific clinical trials as conducted in consu</w:t>
      </w:r>
      <w:r>
        <w:t xml:space="preserve">ltation with the FDA. By way of </w:t>
      </w:r>
      <w:r w:rsidRPr="00603E88">
        <w:t>background, prior to FDA approval of Grastek and other like SLIT products (</w:t>
      </w:r>
      <w:proofErr w:type="spellStart"/>
      <w:r w:rsidRPr="00603E88">
        <w:t>eg</w:t>
      </w:r>
      <w:proofErr w:type="spellEnd"/>
      <w:r w:rsidRPr="00603E88">
        <w:t xml:space="preserve"> </w:t>
      </w:r>
      <w:proofErr w:type="spellStart"/>
      <w:r w:rsidRPr="00603E88">
        <w:t>Oralair</w:t>
      </w:r>
      <w:proofErr w:type="spellEnd"/>
      <w:r w:rsidRPr="00603E88">
        <w:t xml:space="preserve"> </w:t>
      </w:r>
      <w:r>
        <w:t xml:space="preserve">and </w:t>
      </w:r>
      <w:proofErr w:type="spellStart"/>
      <w:r w:rsidRPr="00603E88">
        <w:t>Ragwitek</w:t>
      </w:r>
      <w:proofErr w:type="spellEnd"/>
      <w:r w:rsidRPr="00603E88">
        <w:t>), the FDA only had experience with subcutaneous immunoth</w:t>
      </w:r>
      <w:r>
        <w:t xml:space="preserve">erapy (SCIT) products. By their </w:t>
      </w:r>
      <w:r w:rsidRPr="00603E88">
        <w:t>very nature (</w:t>
      </w:r>
      <w:r w:rsidR="004A7F98">
        <w:t>that is</w:t>
      </w:r>
      <w:r w:rsidRPr="00603E88">
        <w:t xml:space="preserve"> SC injection)</w:t>
      </w:r>
      <w:proofErr w:type="gramStart"/>
      <w:r w:rsidRPr="00603E88">
        <w:t>,</w:t>
      </w:r>
      <w:proofErr w:type="gramEnd"/>
      <w:r w:rsidRPr="00603E88">
        <w:t xml:space="preserve"> SCIT products are always administered in a clinician’s office in the</w:t>
      </w:r>
      <w:r>
        <w:t xml:space="preserve"> </w:t>
      </w:r>
      <w:r w:rsidRPr="00603E88">
        <w:t>presence of adrenaline. The information in the US PI therefore reflect</w:t>
      </w:r>
      <w:r>
        <w:t xml:space="preserve">s the design of the US-specific </w:t>
      </w:r>
      <w:r w:rsidRPr="00603E88">
        <w:t xml:space="preserve">clinical trials in which the FDA requested co-prescription with </w:t>
      </w:r>
      <w:r>
        <w:t xml:space="preserve">adrenaline due to their lack of </w:t>
      </w:r>
      <w:r w:rsidRPr="00603E88">
        <w:t>familiarity/comfort with SLIT products. Of note, the same information is in the US PI for Oralair.</w:t>
      </w:r>
      <w:r>
        <w:t xml:space="preserve"> In </w:t>
      </w:r>
      <w:r w:rsidRPr="00603E88">
        <w:t>contrast, SLIT products in the form of SLIT-drops had been used as</w:t>
      </w:r>
      <w:r>
        <w:t xml:space="preserve"> at-home treatment for years in </w:t>
      </w:r>
      <w:r w:rsidRPr="00603E88">
        <w:t>parts of the EU at the time of conducting the clinical trials for Grazax/Grastek</w:t>
      </w:r>
      <w:r>
        <w:t xml:space="preserve">. The EU authorities </w:t>
      </w:r>
      <w:r w:rsidRPr="00603E88">
        <w:t xml:space="preserve">being very familiar with at-home use of AIT products and with the </w:t>
      </w:r>
      <w:r>
        <w:t xml:space="preserve">safety profile of such products </w:t>
      </w:r>
      <w:r w:rsidRPr="00603E88">
        <w:t xml:space="preserve">therefore this information is not included in the EU </w:t>
      </w:r>
      <w:proofErr w:type="spellStart"/>
      <w:r w:rsidRPr="00603E88">
        <w:t>SmPC</w:t>
      </w:r>
      <w:proofErr w:type="spellEnd"/>
      <w:r w:rsidRPr="00603E88">
        <w:t>. As of 24</w:t>
      </w:r>
      <w:r>
        <w:t xml:space="preserve"> Jun 2016, estimated cumulative </w:t>
      </w:r>
      <w:r w:rsidRPr="00603E88">
        <w:t xml:space="preserve">post-marketing data for Grazax, comprising 274,621 treatment years, </w:t>
      </w:r>
      <w:r>
        <w:t xml:space="preserve">has not lead to a change in the </w:t>
      </w:r>
      <w:r w:rsidRPr="00603E88">
        <w:t>risk-</w:t>
      </w:r>
      <w:r w:rsidRPr="00603E88">
        <w:lastRenderedPageBreak/>
        <w:t>benefit assessment in relation to a potential need for co-prescri</w:t>
      </w:r>
      <w:r>
        <w:t xml:space="preserve">ption of adrenaline. Other SLIT </w:t>
      </w:r>
      <w:r w:rsidRPr="00603E88">
        <w:t>products are currently registered in Australia (AU) with no requirement fo</w:t>
      </w:r>
      <w:r>
        <w:t xml:space="preserve">r co-prescription of adrenaline </w:t>
      </w:r>
      <w:r w:rsidRPr="00603E88">
        <w:t>(</w:t>
      </w:r>
      <w:proofErr w:type="spellStart"/>
      <w:r w:rsidRPr="00603E88">
        <w:t>eg</w:t>
      </w:r>
      <w:proofErr w:type="spellEnd"/>
      <w:r w:rsidRPr="00603E88">
        <w:t xml:space="preserve"> </w:t>
      </w:r>
      <w:proofErr w:type="spellStart"/>
      <w:r w:rsidRPr="00603E88">
        <w:t>Oralair</w:t>
      </w:r>
      <w:proofErr w:type="spellEnd"/>
      <w:r w:rsidRPr="00603E88">
        <w:t xml:space="preserve">, </w:t>
      </w:r>
      <w:proofErr w:type="spellStart"/>
      <w:r w:rsidRPr="00603E88">
        <w:t>Acarizax</w:t>
      </w:r>
      <w:proofErr w:type="spellEnd"/>
      <w:r w:rsidRPr="00603E88">
        <w:t xml:space="preserve"> or Actair).</w:t>
      </w:r>
    </w:p>
    <w:p w14:paraId="4FE91E7F" w14:textId="77777777" w:rsidR="00603E88" w:rsidRPr="00603E88" w:rsidRDefault="00603E88" w:rsidP="00603E88">
      <w:r w:rsidRPr="00603E88">
        <w:t>Body of request for ACPM advice</w:t>
      </w:r>
    </w:p>
    <w:p w14:paraId="4FE91E80" w14:textId="4EF42677" w:rsidR="00603E88" w:rsidRPr="00603E88" w:rsidRDefault="00603E88" w:rsidP="00603E88">
      <w:r w:rsidRPr="00603E88">
        <w:t xml:space="preserve">The Delegate questions whether the submitted data supports </w:t>
      </w:r>
      <w:r>
        <w:t xml:space="preserve">the disease modifying effect of </w:t>
      </w:r>
      <w:r w:rsidRPr="00603E88">
        <w:t xml:space="preserve">Grazax for the treatment of grass pollen induced rhinitis and conjunctivitis. </w:t>
      </w:r>
      <w:r>
        <w:t xml:space="preserve">The pivotal </w:t>
      </w:r>
      <w:r w:rsidR="000F4578">
        <w:t>Phase III</w:t>
      </w:r>
      <w:r>
        <w:t xml:space="preserve"> </w:t>
      </w:r>
      <w:r w:rsidRPr="00603E88">
        <w:t xml:space="preserve">clinical trial GT-08 included 3 years of </w:t>
      </w:r>
      <w:proofErr w:type="spellStart"/>
      <w:r w:rsidRPr="00603E88">
        <w:t>Grazax</w:t>
      </w:r>
      <w:proofErr w:type="spellEnd"/>
      <w:r w:rsidRPr="00603E88">
        <w:t xml:space="preserve"> treatment </w:t>
      </w:r>
      <w:proofErr w:type="spellStart"/>
      <w:r w:rsidRPr="00603E88">
        <w:t>then</w:t>
      </w:r>
      <w:proofErr w:type="spellEnd"/>
      <w:r w:rsidRPr="00603E88">
        <w:t xml:space="preserve"> 2 y</w:t>
      </w:r>
      <w:r>
        <w:t xml:space="preserve">ears follow-up. As mentioned in </w:t>
      </w:r>
      <w:r w:rsidRPr="00603E88">
        <w:t>Efficacy above, subjects administered Grazax demonstrated statistic</w:t>
      </w:r>
      <w:r>
        <w:t xml:space="preserve">ally significant improvement in </w:t>
      </w:r>
      <w:r w:rsidRPr="00603E88">
        <w:t xml:space="preserve">rhinoconjunctivitis symptom score at all </w:t>
      </w:r>
      <w:proofErr w:type="spellStart"/>
      <w:r w:rsidRPr="00603E88">
        <w:t>timepoints</w:t>
      </w:r>
      <w:proofErr w:type="spellEnd"/>
      <w:r w:rsidRPr="00603E88">
        <w:t xml:space="preserve"> for </w:t>
      </w:r>
      <w:r w:rsidR="000F4578">
        <w:t>Year</w:t>
      </w:r>
      <w:r w:rsidRPr="00603E88">
        <w:t>s 1 to 5, and stat</w:t>
      </w:r>
      <w:r>
        <w:t xml:space="preserve">istically significant reduction </w:t>
      </w:r>
      <w:r w:rsidRPr="00603E88">
        <w:t xml:space="preserve">in rhinoconjunctivitis medication score at </w:t>
      </w:r>
      <w:r w:rsidR="000F4578">
        <w:t>Year</w:t>
      </w:r>
      <w:r w:rsidRPr="00603E88">
        <w:t xml:space="preserve">s 1 to 4 (Table </w:t>
      </w:r>
      <w:r w:rsidR="00D7132E">
        <w:t>2</w:t>
      </w:r>
      <w:r w:rsidR="00500CC2">
        <w:t>9</w:t>
      </w:r>
      <w:r w:rsidRPr="00603E88">
        <w:t>). Although n</w:t>
      </w:r>
      <w:r>
        <w:t xml:space="preserve">ot statistically significant at </w:t>
      </w:r>
      <w:r w:rsidR="000F4578">
        <w:t>Year</w:t>
      </w:r>
      <w:r w:rsidRPr="00603E88">
        <w:t xml:space="preserve"> 5, as mentioned previously, the reduction in use of rhinoconjunc</w:t>
      </w:r>
      <w:r>
        <w:t xml:space="preserve">tivitis medications relative to </w:t>
      </w:r>
      <w:r w:rsidRPr="00603E88">
        <w:t>placebo (</w:t>
      </w:r>
      <w:r w:rsidR="004C74AA">
        <w:t xml:space="preserve">that is </w:t>
      </w:r>
      <w:r w:rsidRPr="00603E88">
        <w:t>20%) is considered relevant</w:t>
      </w:r>
      <w:r w:rsidR="00400058">
        <w:t>.</w:t>
      </w:r>
      <w:bookmarkStart w:id="248" w:name="_Ref496198908"/>
      <w:r w:rsidR="0095347A">
        <w:rPr>
          <w:rStyle w:val="FootnoteReference"/>
        </w:rPr>
        <w:footnoteReference w:id="83"/>
      </w:r>
      <w:bookmarkEnd w:id="248"/>
      <w:r w:rsidRPr="00603E88">
        <w:t xml:space="preserve"> The TCS was also statistically in favour of Grazax </w:t>
      </w:r>
      <w:r>
        <w:t xml:space="preserve">compared </w:t>
      </w:r>
      <w:r w:rsidRPr="00603E88">
        <w:t>to placebo in each of the 5 years with a relative reduction of 23-41% (</w:t>
      </w:r>
      <w:r w:rsidR="002F3CBA">
        <w:t xml:space="preserve">p ≤ </w:t>
      </w:r>
      <w:r w:rsidRPr="00603E88">
        <w:t>0.01).</w:t>
      </w:r>
    </w:p>
    <w:p w14:paraId="4FE91E81" w14:textId="77777777" w:rsidR="00603E88" w:rsidRPr="00603E88" w:rsidRDefault="00603E88" w:rsidP="00603E88">
      <w:r w:rsidRPr="00603E88">
        <w:t>As per the TGA adopted EU guideline CHMP/EWP/18504/2006</w:t>
      </w:r>
      <w:r w:rsidR="00400058">
        <w:t>.</w:t>
      </w:r>
      <w:r w:rsidR="0095347A">
        <w:rPr>
          <w:rStyle w:val="FootnoteReference"/>
        </w:rPr>
        <w:footnoteReference w:id="84"/>
      </w:r>
      <w:r w:rsidRPr="00603E88">
        <w:t>,</w:t>
      </w:r>
      <w:r>
        <w:t xml:space="preserve"> maintenance of significant and </w:t>
      </w:r>
      <w:r w:rsidRPr="00603E88">
        <w:t>clinically relevant efficacy during 2 to 3 years of treatme</w:t>
      </w:r>
      <w:r>
        <w:t xml:space="preserve">nt allows a claim for sustained clinical effect, </w:t>
      </w:r>
      <w:r w:rsidRPr="00603E88">
        <w:t>whereas sustained significant and clinically relevant efficacy in post-treatment y</w:t>
      </w:r>
      <w:r>
        <w:t xml:space="preserve">ears allows a claim for disease </w:t>
      </w:r>
      <w:r w:rsidRPr="00603E88">
        <w:t>modification. Importantly, the EMA guideline does not specify the duration</w:t>
      </w:r>
      <w:r>
        <w:t xml:space="preserve"> (</w:t>
      </w:r>
      <w:r w:rsidR="004C74AA">
        <w:t xml:space="preserve">that is </w:t>
      </w:r>
      <w:r>
        <w:t xml:space="preserve">years of follow up) needed </w:t>
      </w:r>
      <w:r w:rsidRPr="00603E88">
        <w:t>for a claim for disease modification. Moreover, the international treatment g</w:t>
      </w:r>
      <w:r>
        <w:t xml:space="preserve">uidelines for allergic rhinitis </w:t>
      </w:r>
      <w:r w:rsidRPr="00603E88">
        <w:t>refer to a treatment period of 3 years for allergy immunotherapy to achieve disease modification</w:t>
      </w:r>
      <w:r>
        <w:t>.</w:t>
      </w:r>
      <w:r w:rsidR="00ED78B9">
        <w:rPr>
          <w:rStyle w:val="FootnoteReference"/>
        </w:rPr>
        <w:footnoteReference w:id="85"/>
      </w:r>
      <w:r>
        <w:t xml:space="preserve"> Seqirus </w:t>
      </w:r>
      <w:r w:rsidRPr="00603E88">
        <w:t xml:space="preserve">thus contends that the statistically and clinically relevant effect seen in </w:t>
      </w:r>
      <w:r w:rsidR="000F4578">
        <w:t>Year</w:t>
      </w:r>
      <w:r>
        <w:t xml:space="preserve"> 4 of GT-08 (</w:t>
      </w:r>
      <w:r w:rsidR="004C74AA">
        <w:t xml:space="preserve">that is </w:t>
      </w:r>
      <w:r>
        <w:t xml:space="preserve">first year of </w:t>
      </w:r>
      <w:r w:rsidRPr="00603E88">
        <w:t>follow up) for both mean rhinoconjunctivitis symptom score (diff</w:t>
      </w:r>
      <w:r>
        <w:t xml:space="preserve">erence relative to placebo 26%; </w:t>
      </w:r>
      <w:r w:rsidR="00AD1BB3">
        <w:t xml:space="preserve">p = </w:t>
      </w:r>
      <w:r w:rsidRPr="00603E88">
        <w:t>0.0007) and mean rhinoconjunctivitis medication score (difference rel</w:t>
      </w:r>
      <w:r>
        <w:t xml:space="preserve">ative to placebo 29%; </w:t>
      </w:r>
      <w:r w:rsidR="00AD1BB3">
        <w:t xml:space="preserve">p = </w:t>
      </w:r>
      <w:r>
        <w:t xml:space="preserve">0.0215) </w:t>
      </w:r>
      <w:r w:rsidRPr="00603E88">
        <w:t>supports the claim for disease modification. Further, Seqirus contends that t</w:t>
      </w:r>
      <w:r>
        <w:t xml:space="preserve">he statistically and clinically </w:t>
      </w:r>
      <w:r w:rsidRPr="00603E88">
        <w:t xml:space="preserve">relevant effect seen in </w:t>
      </w:r>
      <w:r w:rsidR="000F4578">
        <w:t>Year</w:t>
      </w:r>
      <w:r w:rsidRPr="00603E88">
        <w:t xml:space="preserve"> 5 of GT-08 (</w:t>
      </w:r>
      <w:r w:rsidR="004A7F98">
        <w:t>that is</w:t>
      </w:r>
      <w:r w:rsidRPr="00603E88">
        <w:t xml:space="preserve"> second year </w:t>
      </w:r>
      <w:r>
        <w:t xml:space="preserve">of follow up) for both the mean </w:t>
      </w:r>
      <w:r w:rsidRPr="00603E88">
        <w:t xml:space="preserve">rhinoconjunctivitis symptom score (1st ranked 1° endpoint, </w:t>
      </w:r>
      <w:r w:rsidR="00AD1BB3">
        <w:t xml:space="preserve">p = </w:t>
      </w:r>
      <w:r w:rsidRPr="00603E88">
        <w:t>0.0037, difference relative to placebo</w:t>
      </w:r>
      <w:r>
        <w:t xml:space="preserve"> </w:t>
      </w:r>
      <w:r w:rsidRPr="00603E88">
        <w:t>25%) and the mean combined symptom and medication scores (</w:t>
      </w:r>
      <w:r w:rsidR="002A47B8">
        <w:t xml:space="preserve">p </w:t>
      </w:r>
      <w:r w:rsidR="004C74AA">
        <w:t xml:space="preserve">&lt; </w:t>
      </w:r>
      <w:r w:rsidRPr="00603E88">
        <w:t>0.05 for all 5 combined scores</w:t>
      </w:r>
      <w:r>
        <w:t xml:space="preserve"> </w:t>
      </w:r>
      <w:r w:rsidRPr="00603E88">
        <w:t>constructed, differences relative to placebo 23-27%)</w:t>
      </w:r>
      <w:r w:rsidR="00ED78B9" w:rsidRPr="00400058">
        <w:rPr>
          <w:rStyle w:val="FootnoteReference"/>
        </w:rPr>
        <w:footnoteReference w:id="86"/>
      </w:r>
      <w:r w:rsidRPr="00400058">
        <w:t>,</w:t>
      </w:r>
      <w:r w:rsidRPr="00603E88">
        <w:t xml:space="preserve"> as well as the statis</w:t>
      </w:r>
      <w:r>
        <w:t xml:space="preserve">tically significant TCS in each </w:t>
      </w:r>
      <w:r w:rsidRPr="00603E88">
        <w:t>of the 5 years provides additional support for the claim for disease modification.</w:t>
      </w:r>
    </w:p>
    <w:p w14:paraId="4FE91E82" w14:textId="77777777" w:rsidR="00603E88" w:rsidRPr="00603E88" w:rsidRDefault="00603E88" w:rsidP="00603E88">
      <w:r w:rsidRPr="00603E88">
        <w:t>The Delegate questions whether a prominent warning regarding t</w:t>
      </w:r>
      <w:r>
        <w:t xml:space="preserve">he risk of serious anaphylactic </w:t>
      </w:r>
      <w:r w:rsidRPr="00603E88">
        <w:t xml:space="preserve">reactions should be added to </w:t>
      </w:r>
      <w:proofErr w:type="gramStart"/>
      <w:r w:rsidRPr="00603E88">
        <w:t>PI .</w:t>
      </w:r>
      <w:proofErr w:type="gramEnd"/>
      <w:r w:rsidRPr="00603E88">
        <w:t xml:space="preserve"> As acknowledged in the Delegat</w:t>
      </w:r>
      <w:r>
        <w:t xml:space="preserve">e’s Overview, although systemic </w:t>
      </w:r>
      <w:r w:rsidRPr="00603E88">
        <w:t xml:space="preserve">allergic reactions are well known in relation to AIT, they have not been reported in the Grazax </w:t>
      </w:r>
      <w:r>
        <w:t xml:space="preserve">clinical </w:t>
      </w:r>
      <w:r w:rsidRPr="00603E88">
        <w:t>trials see p2. The current proposed PI already include a statement in the Adverse Effects sect</w:t>
      </w:r>
      <w:r>
        <w:t xml:space="preserve">ion </w:t>
      </w:r>
      <w:r w:rsidRPr="00603E88">
        <w:t>advising that cases of serious anaphylactic reactions including anaphylact</w:t>
      </w:r>
      <w:r>
        <w:t xml:space="preserve">ic shock have been reported for </w:t>
      </w:r>
      <w:r w:rsidRPr="00603E88">
        <w:t xml:space="preserve">Grazax during post-marketing experience and are considered a </w:t>
      </w:r>
      <w:r>
        <w:t xml:space="preserve">class effect. Additionally, the </w:t>
      </w:r>
      <w:r w:rsidRPr="00603E88">
        <w:t xml:space="preserve">Precautions section of the PI also contains </w:t>
      </w:r>
      <w:proofErr w:type="gramStart"/>
      <w:r w:rsidRPr="00603E88">
        <w:t>various information for clinici</w:t>
      </w:r>
      <w:r>
        <w:t xml:space="preserve">ans regarding systemic allergic </w:t>
      </w:r>
      <w:r w:rsidRPr="00603E88">
        <w:t>reactions/anaphylactic shock</w:t>
      </w:r>
      <w:proofErr w:type="gramEnd"/>
      <w:r w:rsidRPr="00603E88">
        <w:t>. This is consistent with other TGA app</w:t>
      </w:r>
      <w:r>
        <w:t>roved PIs for SLIT products (</w:t>
      </w:r>
      <w:proofErr w:type="spellStart"/>
      <w:r>
        <w:t>eg</w:t>
      </w:r>
      <w:proofErr w:type="spellEnd"/>
      <w:r>
        <w:t xml:space="preserve"> </w:t>
      </w:r>
      <w:proofErr w:type="spellStart"/>
      <w:r w:rsidRPr="00603E88">
        <w:t>Oralair</w:t>
      </w:r>
      <w:proofErr w:type="spellEnd"/>
      <w:r w:rsidRPr="00603E88">
        <w:t xml:space="preserve">, </w:t>
      </w:r>
      <w:proofErr w:type="spellStart"/>
      <w:r w:rsidRPr="00603E88">
        <w:t>Acarizax</w:t>
      </w:r>
      <w:proofErr w:type="spellEnd"/>
      <w:r w:rsidRPr="00603E88">
        <w:t xml:space="preserve"> or Actair).</w:t>
      </w:r>
    </w:p>
    <w:p w14:paraId="4FE91E83" w14:textId="77777777" w:rsidR="005479B1" w:rsidRDefault="00603E88" w:rsidP="00603E88">
      <w:r w:rsidRPr="00603E88">
        <w:lastRenderedPageBreak/>
        <w:t>The Delegate’s Overview questions the relevance of this product to AU</w:t>
      </w:r>
      <w:r>
        <w:t xml:space="preserve">, given that the product </w:t>
      </w:r>
      <w:r w:rsidRPr="00603E88">
        <w:t>only contains allergen extract of grass pollen from Timoth</w:t>
      </w:r>
      <w:r>
        <w:t xml:space="preserve">y grass and also whether the PI </w:t>
      </w:r>
      <w:r w:rsidRPr="00603E88">
        <w:t xml:space="preserve">should include information about the geographical distribution of Timothy grass in AU. </w:t>
      </w:r>
      <w:r>
        <w:t xml:space="preserve">As part </w:t>
      </w:r>
      <w:r w:rsidRPr="00603E88">
        <w:t xml:space="preserve">of the pre-submission discussion for Grazax on 16 April </w:t>
      </w:r>
      <w:proofErr w:type="gramStart"/>
      <w:r w:rsidRPr="00603E88">
        <w:t>2015 ,</w:t>
      </w:r>
      <w:proofErr w:type="gramEnd"/>
      <w:r w:rsidRPr="00603E88">
        <w:t xml:space="preserve"> </w:t>
      </w:r>
      <w:r>
        <w:t xml:space="preserve">the TGA questioned the clinical </w:t>
      </w:r>
      <w:r w:rsidRPr="00603E88">
        <w:t xml:space="preserve">relevance of Grazax to Australia (AU) given it contains only P. pratense </w:t>
      </w:r>
      <w:r>
        <w:t xml:space="preserve">(Timothy grass). Seqirus </w:t>
      </w:r>
      <w:r w:rsidRPr="00603E88">
        <w:t xml:space="preserve">subsequently included justification regarding clinical relevance </w:t>
      </w:r>
      <w:r>
        <w:t>in Module 1.0.1 of the dossier</w:t>
      </w:r>
      <w:r w:rsidR="005479B1">
        <w:t>.</w:t>
      </w:r>
    </w:p>
    <w:p w14:paraId="4FE91E84" w14:textId="77777777" w:rsidR="00603E88" w:rsidRPr="00603E88" w:rsidRDefault="00603E88" w:rsidP="00603E88">
      <w:r w:rsidRPr="00603E88">
        <w:t>Seqirus contend that it is inappropriate to include the geographical distribution of Timothy grass (P. pratense) into the PI for the following reasons:</w:t>
      </w:r>
    </w:p>
    <w:p w14:paraId="4FE91E85" w14:textId="77777777" w:rsidR="00603E88" w:rsidRPr="00603E88" w:rsidRDefault="00603E88" w:rsidP="00603E88">
      <w:pPr>
        <w:pStyle w:val="ListBullet"/>
      </w:pPr>
      <w:r w:rsidRPr="00603E88">
        <w:t>The reported geographical distribution of Timothy grass varies depend</w:t>
      </w:r>
      <w:r>
        <w:t xml:space="preserve">ing on the reference consulted. </w:t>
      </w:r>
      <w:r w:rsidRPr="00603E88">
        <w:t>This is not unexpected given that, although considered a weed in s</w:t>
      </w:r>
      <w:r>
        <w:t xml:space="preserve">ome areas, it is also used as a </w:t>
      </w:r>
      <w:r w:rsidRPr="00603E88">
        <w:t xml:space="preserve">fodder plant or soil stabiliser in other </w:t>
      </w:r>
      <w:r w:rsidRPr="00400058">
        <w:t>areas</w:t>
      </w:r>
      <w:r w:rsidR="00400058" w:rsidRPr="00400058">
        <w:t>.</w:t>
      </w:r>
      <w:r w:rsidR="00404839" w:rsidRPr="00400058">
        <w:rPr>
          <w:rStyle w:val="FootnoteReference"/>
        </w:rPr>
        <w:footnoteReference w:id="87"/>
      </w:r>
      <w:r w:rsidRPr="00400058">
        <w:t xml:space="preserve"> For</w:t>
      </w:r>
      <w:r w:rsidRPr="00603E88">
        <w:t xml:space="preserve"> example, an</w:t>
      </w:r>
      <w:r>
        <w:t xml:space="preserve">d as noted by the Delegate, the </w:t>
      </w:r>
      <w:r w:rsidRPr="00603E88">
        <w:t>distribution as cited by the AU Virtual Herbarium (AVH) has changed since 2</w:t>
      </w:r>
      <w:r>
        <w:t xml:space="preserve">011 (Vic, NSW, </w:t>
      </w:r>
      <w:proofErr w:type="spellStart"/>
      <w:proofErr w:type="gramStart"/>
      <w:r>
        <w:t>Tas</w:t>
      </w:r>
      <w:proofErr w:type="spellEnd"/>
      <w:proofErr w:type="gramEnd"/>
      <w:r>
        <w:t xml:space="preserve">, SA </w:t>
      </w:r>
      <w:r w:rsidRPr="00603E88">
        <w:t xml:space="preserve">&amp; WA) compared to 2016 (NSW, ACT and WA). Additionally, ASCIA12 </w:t>
      </w:r>
      <w:r>
        <w:t xml:space="preserve">recognises Timothy grass as </w:t>
      </w:r>
      <w:proofErr w:type="gramStart"/>
      <w:r w:rsidRPr="00603E88">
        <w:t>a common</w:t>
      </w:r>
      <w:proofErr w:type="gramEnd"/>
      <w:r w:rsidRPr="00603E88">
        <w:t xml:space="preserve"> allergenic pollen in the ACT, Vic, </w:t>
      </w:r>
      <w:proofErr w:type="spellStart"/>
      <w:r w:rsidRPr="00603E88">
        <w:t>Tas</w:t>
      </w:r>
      <w:proofErr w:type="spellEnd"/>
      <w:r w:rsidRPr="00603E88">
        <w:t xml:space="preserve"> and QLD.</w:t>
      </w:r>
      <w:r w:rsidR="00404839">
        <w:rPr>
          <w:rStyle w:val="FootnoteReference"/>
        </w:rPr>
        <w:footnoteReference w:id="88"/>
      </w:r>
      <w:r w:rsidRPr="00603E88">
        <w:t xml:space="preserve"> As it is </w:t>
      </w:r>
      <w:r>
        <w:t xml:space="preserve">extremely likely that this will </w:t>
      </w:r>
      <w:r w:rsidRPr="00603E88">
        <w:t>continue to change over time, the inclusion of this information in t</w:t>
      </w:r>
      <w:r>
        <w:t xml:space="preserve">he PI could result in potential </w:t>
      </w:r>
      <w:r w:rsidRPr="00603E88">
        <w:t>misinformation to clinicians.</w:t>
      </w:r>
    </w:p>
    <w:p w14:paraId="4FE91E86" w14:textId="77777777" w:rsidR="00603E88" w:rsidRPr="00603E88" w:rsidRDefault="00603E88" w:rsidP="00603E88">
      <w:pPr>
        <w:pStyle w:val="ListBullet"/>
      </w:pPr>
      <w:r w:rsidRPr="00603E88">
        <w:t>Grasses rely on the wind to spread their pollen. These pollen are pr</w:t>
      </w:r>
      <w:r>
        <w:t xml:space="preserve">oduced in vast quantities, blow </w:t>
      </w:r>
      <w:r w:rsidRPr="00603E88">
        <w:t>long distances and cause allergies in people living a long way from the source.</w:t>
      </w:r>
    </w:p>
    <w:p w14:paraId="4FE91E87" w14:textId="77777777" w:rsidR="00603E88" w:rsidRPr="00603E88" w:rsidRDefault="00603E88" w:rsidP="00603E88">
      <w:pPr>
        <w:pStyle w:val="ListBullet"/>
      </w:pPr>
      <w:r w:rsidRPr="00603E88">
        <w:t>A large proportion of Australians travel domestically and internationall</w:t>
      </w:r>
      <w:r>
        <w:t xml:space="preserve">y for work, leisure or personal </w:t>
      </w:r>
      <w:r w:rsidRPr="00603E88">
        <w:t xml:space="preserve">reasons. </w:t>
      </w:r>
      <w:r w:rsidR="009975CF" w:rsidRPr="00603E88">
        <w:t>Notwithstanding</w:t>
      </w:r>
      <w:r w:rsidRPr="00603E88">
        <w:t xml:space="preserve"> the points above, inclusion of this info</w:t>
      </w:r>
      <w:r>
        <w:t xml:space="preserve">rmation in the PI may result in </w:t>
      </w:r>
      <w:r w:rsidRPr="00603E88">
        <w:t>clinicians believing that Grazax it is not appropriate for their patients if</w:t>
      </w:r>
      <w:r>
        <w:t xml:space="preserve"> they do not live in one of the </w:t>
      </w:r>
      <w:r w:rsidRPr="00603E88">
        <w:t>above listed states.</w:t>
      </w:r>
    </w:p>
    <w:p w14:paraId="4FE91E88" w14:textId="77777777" w:rsidR="00603E88" w:rsidRDefault="00603E88" w:rsidP="00603E88">
      <w:pPr>
        <w:pStyle w:val="ListBullet"/>
      </w:pPr>
      <w:r w:rsidRPr="00603E88">
        <w:t>As noted by Dr William Smith of ASCIA (see p21 of the Overview), T</w:t>
      </w:r>
      <w:r>
        <w:t xml:space="preserve">imothy grass is closely related </w:t>
      </w:r>
      <w:r w:rsidRPr="00603E88">
        <w:t>to ryegrass and other common allergenic grasses known as the te</w:t>
      </w:r>
      <w:r>
        <w:t xml:space="preserve">mperate grasses. Whilst Timothy </w:t>
      </w:r>
      <w:r w:rsidRPr="00603E88">
        <w:t>grass itself may have variable distribution in AU, ryegrass is widesp</w:t>
      </w:r>
      <w:r>
        <w:t xml:space="preserve">read and the most common of the </w:t>
      </w:r>
      <w:r w:rsidRPr="00603E88">
        <w:t>temperate allergenic grasses. It is known that Timothy grass alle</w:t>
      </w:r>
      <w:r>
        <w:t xml:space="preserve">rgens are closely homologous to </w:t>
      </w:r>
      <w:r w:rsidRPr="00603E88">
        <w:t>ryegrass allergens and Timothy grass contains almost all of the relevan</w:t>
      </w:r>
      <w:r>
        <w:t xml:space="preserve">t allergenic epitopes contained </w:t>
      </w:r>
      <w:r w:rsidRPr="00603E88">
        <w:t>in ryegrass and other common temperate grasses. Grazax should ther</w:t>
      </w:r>
      <w:r>
        <w:t xml:space="preserve">efore be a suitable therapeutic </w:t>
      </w:r>
      <w:r w:rsidRPr="00603E88">
        <w:t>product to treat allergy to temperate grasses</w:t>
      </w:r>
      <w:r>
        <w:rPr>
          <w:rFonts w:ascii="Garamond" w:eastAsiaTheme="minorHAnsi" w:hAnsi="Garamond" w:cs="Garamond"/>
          <w:sz w:val="24"/>
          <w:szCs w:val="24"/>
        </w:rPr>
        <w:t>.</w:t>
      </w:r>
    </w:p>
    <w:p w14:paraId="4FE91E89" w14:textId="77777777" w:rsidR="00ED30F5" w:rsidRDefault="00603E88" w:rsidP="00603E88">
      <w:r w:rsidRPr="00603E88">
        <w:t>The Delegate questions the adequacy of evidence in supporting the disease-modifying effect</w:t>
      </w:r>
      <w:r>
        <w:t xml:space="preserve"> </w:t>
      </w:r>
      <w:r w:rsidRPr="00603E88">
        <w:t>and proposes that Grazax is indicated for the treatment of Timothy grass (P. pratense) pollen</w:t>
      </w:r>
      <w:r>
        <w:t xml:space="preserve"> </w:t>
      </w:r>
      <w:r w:rsidRPr="00603E88">
        <w:t>allergic rhinitis with or without conjunctivitis in adults, adolesc</w:t>
      </w:r>
      <w:r>
        <w:t xml:space="preserve">ents and children above the age </w:t>
      </w:r>
      <w:r w:rsidRPr="00603E88">
        <w:t>of 5 with clinically relevant symptoms, confirmed by a positive c</w:t>
      </w:r>
      <w:r>
        <w:t xml:space="preserve">utaneous test and/or a positive </w:t>
      </w:r>
      <w:r w:rsidRPr="00603E88">
        <w:t xml:space="preserve">titre of the specific </w:t>
      </w:r>
      <w:proofErr w:type="spellStart"/>
      <w:r w:rsidRPr="00603E88">
        <w:t>IgE</w:t>
      </w:r>
      <w:proofErr w:type="spellEnd"/>
      <w:r w:rsidRPr="00603E88">
        <w:t xml:space="preserve"> to </w:t>
      </w:r>
      <w:r w:rsidRPr="00EB112B">
        <w:rPr>
          <w:i/>
        </w:rPr>
        <w:t>P. pratense</w:t>
      </w:r>
      <w:r w:rsidRPr="00603E88">
        <w:t>.</w:t>
      </w:r>
    </w:p>
    <w:p w14:paraId="4FE91E8A" w14:textId="77777777" w:rsidR="00603E88" w:rsidRPr="00ED7D0C" w:rsidRDefault="00603E88" w:rsidP="00ED7D0C">
      <w:r w:rsidRPr="00603E88">
        <w:t>As mentioned previously, Seqi</w:t>
      </w:r>
      <w:r w:rsidR="00ED30F5">
        <w:t xml:space="preserve">rus contends that in accordance </w:t>
      </w:r>
      <w:r w:rsidRPr="00603E88">
        <w:t xml:space="preserve">with the TGA adopted EMA guideline14, </w:t>
      </w:r>
      <w:r w:rsidR="00404839">
        <w:rPr>
          <w:rStyle w:val="FootnoteReference"/>
        </w:rPr>
        <w:footnoteReference w:id="89"/>
      </w:r>
      <w:r w:rsidRPr="00603E88">
        <w:t>the data from the pivotal</w:t>
      </w:r>
      <w:r w:rsidR="00ED30F5">
        <w:t xml:space="preserve"> </w:t>
      </w:r>
      <w:r w:rsidR="000F4578">
        <w:t>Phase III</w:t>
      </w:r>
      <w:r w:rsidR="00ED30F5">
        <w:t xml:space="preserve"> clinical </w:t>
      </w:r>
      <w:r w:rsidR="004C74AA">
        <w:t>Study</w:t>
      </w:r>
      <w:r w:rsidR="00ED30F5">
        <w:t xml:space="preserve"> (GT-08) </w:t>
      </w:r>
      <w:r w:rsidRPr="00603E88">
        <w:t xml:space="preserve">support the proposed Indication for disease modification. Regarding the </w:t>
      </w:r>
      <w:r w:rsidR="00ED30F5">
        <w:t xml:space="preserve">inclusion of a reference to the </w:t>
      </w:r>
      <w:r w:rsidRPr="00603E88">
        <w:t>skin prick test/</w:t>
      </w:r>
      <w:proofErr w:type="spellStart"/>
      <w:r w:rsidRPr="00603E88">
        <w:t>IgE</w:t>
      </w:r>
      <w:proofErr w:type="spellEnd"/>
      <w:r w:rsidRPr="00603E88">
        <w:t xml:space="preserve"> in the Indication, the Delegate’s Overview</w:t>
      </w:r>
      <w:r w:rsidR="00ED30F5">
        <w:t xml:space="preserve"> comments that given the marked </w:t>
      </w:r>
      <w:r w:rsidRPr="00603E88">
        <w:t>difference in the prevalence of Timothy grass allergy and house dust mite a</w:t>
      </w:r>
      <w:r w:rsidR="00ED30F5">
        <w:t xml:space="preserve">llergy, </w:t>
      </w:r>
      <w:r w:rsidR="00ED30F5">
        <w:lastRenderedPageBreak/>
        <w:t xml:space="preserve">the evaluator considers </w:t>
      </w:r>
      <w:r w:rsidRPr="00603E88">
        <w:t xml:space="preserve">it is important that only those patients with specific Timothy grass allergy receive Grazax </w:t>
      </w:r>
      <w:r w:rsidR="00ED30F5">
        <w:t xml:space="preserve">and therefore </w:t>
      </w:r>
      <w:r w:rsidRPr="00603E88">
        <w:t>the indication should reinforce this requirement by including this in th</w:t>
      </w:r>
      <w:r w:rsidR="00ED30F5">
        <w:t xml:space="preserve">e indication. Seqirus maintains </w:t>
      </w:r>
      <w:r w:rsidRPr="00603E88">
        <w:t>that regardless of the prevalence of an allergen, prior to treatment, al</w:t>
      </w:r>
      <w:r w:rsidR="00ED30F5">
        <w:t xml:space="preserve">l patients administered any AIT </w:t>
      </w:r>
      <w:r w:rsidRPr="00603E88">
        <w:t>should have a confirmed history and positive test for sensitisation to th</w:t>
      </w:r>
      <w:r w:rsidR="00ED30F5">
        <w:t xml:space="preserve">at allergen prior to treatment. </w:t>
      </w:r>
      <w:r w:rsidRPr="00603E88">
        <w:t>This information is already included in the Dosage and Administration section of the PI (§1). Moreover,</w:t>
      </w:r>
      <w:r w:rsidR="00ED30F5">
        <w:t xml:space="preserve"> </w:t>
      </w:r>
      <w:r w:rsidRPr="00603E88">
        <w:t>the Indication also includes ‘diagnosed’ which is in alignment with the recently approved PIs for</w:t>
      </w:r>
      <w:r w:rsidR="00ED30F5">
        <w:t xml:space="preserve"> </w:t>
      </w:r>
      <w:r w:rsidRPr="00603E88">
        <w:t>Acarizax and Actair. The proposed Indication is: Grazax is indicated for treatm</w:t>
      </w:r>
      <w:r w:rsidR="00ED30F5">
        <w:t xml:space="preserve">ent and disease modification of </w:t>
      </w:r>
      <w:r w:rsidRPr="00603E88">
        <w:t>diagnosed grass pollen allergic rhinitis with or without conjunctivitis. Grazax is approved for</w:t>
      </w:r>
      <w:r w:rsidR="00ED30F5">
        <w:t xml:space="preserve"> use in persons aged 5 years or </w:t>
      </w:r>
      <w:r w:rsidRPr="00603E88">
        <w:t>older.</w:t>
      </w:r>
    </w:p>
    <w:p w14:paraId="4FE91E8B" w14:textId="77777777" w:rsidR="008E7846" w:rsidRDefault="008E7846" w:rsidP="008E7846">
      <w:pPr>
        <w:pStyle w:val="Heading4"/>
      </w:pPr>
      <w:r>
        <w:t>Advisory Committee Considerations</w:t>
      </w:r>
    </w:p>
    <w:p w14:paraId="4FE91E8C" w14:textId="77777777" w:rsidR="008E7846" w:rsidRDefault="00D23139" w:rsidP="008E7846">
      <w:pPr>
        <w:rPr>
          <w:bCs/>
        </w:rPr>
      </w:pPr>
      <w:r w:rsidRPr="00D23139">
        <w:rPr>
          <w:bCs/>
        </w:rPr>
        <w:t>The Advisory Committee on Prescription Medicines (ACPM), having considered the evaluations and the Delegate’s overview, as well as the sponsor’s response to these documents, advised the following:</w:t>
      </w:r>
    </w:p>
    <w:p w14:paraId="4FE91E8D" w14:textId="77777777" w:rsidR="00B06948" w:rsidRPr="00B06948" w:rsidRDefault="00B06948" w:rsidP="00B06948">
      <w:r w:rsidRPr="00B06948">
        <w:t xml:space="preserve">The ACPM resolved to recommend to the TGA </w:t>
      </w:r>
      <w:r w:rsidR="004C74AA">
        <w:t>Delegate</w:t>
      </w:r>
      <w:r w:rsidRPr="00B06948">
        <w:t xml:space="preserve"> of the Secretary that: </w:t>
      </w:r>
    </w:p>
    <w:p w14:paraId="4FE91E8E" w14:textId="77777777" w:rsidR="00B06948" w:rsidRPr="00B06948" w:rsidRDefault="00B06948" w:rsidP="00B06948">
      <w:r w:rsidRPr="00B06948">
        <w:t xml:space="preserve">The ACPM, taking into account the submitted evidence of efficacy, safety and quality, agreed with the </w:t>
      </w:r>
      <w:r w:rsidR="004C74AA">
        <w:t>Delegate</w:t>
      </w:r>
      <w:r w:rsidRPr="00B06948">
        <w:t xml:space="preserve"> and considered </w:t>
      </w:r>
      <w:r w:rsidR="00FA2591">
        <w:t>Grazax</w:t>
      </w:r>
      <w:r w:rsidRPr="00B06948">
        <w:t xml:space="preserve"> tablet containing 75,000 SQ‐T of allergenic extract of standardised grass pollen extract - </w:t>
      </w:r>
      <w:r w:rsidR="002D7A68" w:rsidRPr="002D7A68">
        <w:rPr>
          <w:i/>
        </w:rPr>
        <w:t>Phleum pratense</w:t>
      </w:r>
      <w:r w:rsidRPr="00B06948">
        <w:t xml:space="preserve"> (Timothy grass) to have an overall positive benefit–risk profile for the amended indication; </w:t>
      </w:r>
    </w:p>
    <w:p w14:paraId="4FE91E8F" w14:textId="77777777" w:rsidR="005479B1" w:rsidRDefault="00FA2591" w:rsidP="00B06948">
      <w:pPr>
        <w:ind w:left="720"/>
        <w:rPr>
          <w:i/>
        </w:rPr>
      </w:pPr>
      <w:r>
        <w:rPr>
          <w:i/>
        </w:rPr>
        <w:t>Grazax</w:t>
      </w:r>
      <w:r w:rsidR="00B06948" w:rsidRPr="00B06948">
        <w:rPr>
          <w:i/>
        </w:rPr>
        <w:t xml:space="preserve"> for the treatment of Timothy grass (</w:t>
      </w:r>
      <w:r w:rsidR="002D7A68" w:rsidRPr="002D7A68">
        <w:rPr>
          <w:i/>
        </w:rPr>
        <w:t>Phleum pratense</w:t>
      </w:r>
      <w:r w:rsidR="00B06948" w:rsidRPr="00B06948">
        <w:rPr>
          <w:i/>
        </w:rPr>
        <w:t xml:space="preserve">) pollen allergic rhinitis with or without conjunctivitis in adults, adolescents and children above the age of 5 with clinically relevant symptoms, confirmed by a positive skin prick or serological testing to be sensitive to </w:t>
      </w:r>
      <w:r w:rsidR="002D7A68" w:rsidRPr="002D7A68">
        <w:rPr>
          <w:i/>
        </w:rPr>
        <w:t>Phleum pratense</w:t>
      </w:r>
      <w:r w:rsidR="00B06948" w:rsidRPr="00B06948">
        <w:rPr>
          <w:i/>
        </w:rPr>
        <w:t xml:space="preserve"> or cross reacting allergens</w:t>
      </w:r>
      <w:r w:rsidR="005479B1">
        <w:rPr>
          <w:i/>
        </w:rPr>
        <w:t>.</w:t>
      </w:r>
    </w:p>
    <w:p w14:paraId="4FE91E90" w14:textId="77777777" w:rsidR="00B06948" w:rsidRPr="00B06948" w:rsidRDefault="00B06948" w:rsidP="00B06948">
      <w:pPr>
        <w:ind w:left="720"/>
        <w:rPr>
          <w:i/>
        </w:rPr>
      </w:pPr>
      <w:r w:rsidRPr="00B06948">
        <w:rPr>
          <w:i/>
        </w:rPr>
        <w:t>Note to indication: studies have not shown any benefit for allergy to sub-tropical grasses prevalent in Australia, such as paspalum (Paspalum grasses).</w:t>
      </w:r>
    </w:p>
    <w:p w14:paraId="4FE91E91" w14:textId="77777777" w:rsidR="00B06948" w:rsidRPr="00B06948" w:rsidRDefault="00B06948" w:rsidP="00B06948">
      <w:pPr>
        <w:pStyle w:val="Heading5"/>
      </w:pPr>
      <w:r w:rsidRPr="00B06948">
        <w:t>Proposed conditions of registration</w:t>
      </w:r>
    </w:p>
    <w:p w14:paraId="4FE91E92" w14:textId="77777777" w:rsidR="005479B1" w:rsidRDefault="00B06948" w:rsidP="00B06948">
      <w:r w:rsidRPr="00B06948">
        <w:t>The ACPM agreed with the Delegate on the proposed conditions of registration</w:t>
      </w:r>
      <w:r w:rsidR="005479B1">
        <w:t>.</w:t>
      </w:r>
    </w:p>
    <w:p w14:paraId="4FE91E93" w14:textId="77777777" w:rsidR="00B06948" w:rsidRPr="00B06948" w:rsidRDefault="00B06948" w:rsidP="00B06948">
      <w:pPr>
        <w:pStyle w:val="ListBullet"/>
      </w:pPr>
      <w:r w:rsidRPr="00B06948">
        <w:t xml:space="preserve">Subject to satisfactory implementation of the Risk Management Plan most recently negotiated by the TGA, </w:t>
      </w:r>
    </w:p>
    <w:p w14:paraId="4FE91E94" w14:textId="77777777" w:rsidR="00B06948" w:rsidRPr="00B06948" w:rsidRDefault="00B06948" w:rsidP="00B06948">
      <w:pPr>
        <w:pStyle w:val="ListBullet2"/>
      </w:pPr>
      <w:r w:rsidRPr="00B06948">
        <w:t xml:space="preserve">Any changes to which the </w:t>
      </w:r>
      <w:r w:rsidR="002D7A68">
        <w:t>sponsor</w:t>
      </w:r>
      <w:r w:rsidRPr="00B06948">
        <w:t xml:space="preserve"> has agreed should be included in a revised RMP and ASA and the agreed changes become part of the risk management system.</w:t>
      </w:r>
    </w:p>
    <w:p w14:paraId="4FE91E95" w14:textId="77777777" w:rsidR="005479B1" w:rsidRDefault="00B06948" w:rsidP="00B06948">
      <w:pPr>
        <w:pStyle w:val="ListBullet"/>
      </w:pPr>
      <w:r w:rsidRPr="00B06948">
        <w:t>Negotiation of Product Information and Consumer Medicines Information to the satisfaction of the TGA</w:t>
      </w:r>
      <w:r w:rsidR="005479B1">
        <w:t>.</w:t>
      </w:r>
    </w:p>
    <w:p w14:paraId="4FE91E96" w14:textId="77777777" w:rsidR="00B06948" w:rsidRPr="00B06948" w:rsidRDefault="00B06948" w:rsidP="00B06948">
      <w:pPr>
        <w:pStyle w:val="Heading5"/>
      </w:pPr>
      <w:r w:rsidRPr="00B06948">
        <w:t>Proposed Product Information (PI)/Consumer Medicine Information (CMI) amendments</w:t>
      </w:r>
    </w:p>
    <w:p w14:paraId="4FE91E97" w14:textId="77777777" w:rsidR="00B06948" w:rsidRPr="00B06948" w:rsidRDefault="00B06948" w:rsidP="00B06948">
      <w:r w:rsidRPr="00B06948">
        <w:t>The ACPM agreed with the Delegate to the proposed amendments to the Product Information (PI) and Consumer Medicine Information (CMI), particularly over the anaphylaxis PRECAUTION and the listing of adverse events by importance.</w:t>
      </w:r>
    </w:p>
    <w:p w14:paraId="4FE91E98" w14:textId="77777777" w:rsidR="00B06948" w:rsidRPr="008E3E96" w:rsidRDefault="00B06948" w:rsidP="00B06948">
      <w:pPr>
        <w:pStyle w:val="ListParagraph"/>
        <w:ind w:left="0"/>
        <w:contextualSpacing w:val="0"/>
        <w:rPr>
          <w:b/>
          <w:bCs/>
          <w:i/>
          <w:iCs/>
          <w:szCs w:val="22"/>
          <w:highlight w:val="yellow"/>
        </w:rPr>
      </w:pPr>
      <w:r w:rsidRPr="008E3E96">
        <w:rPr>
          <w:b/>
          <w:bCs/>
          <w:i/>
          <w:iCs/>
        </w:rPr>
        <w:t xml:space="preserve">Specific </w:t>
      </w:r>
      <w:r w:rsidR="002F3CBA">
        <w:rPr>
          <w:b/>
          <w:bCs/>
          <w:i/>
          <w:iCs/>
        </w:rPr>
        <w:t>a</w:t>
      </w:r>
      <w:r w:rsidRPr="008E3E96">
        <w:rPr>
          <w:b/>
          <w:bCs/>
          <w:i/>
          <w:iCs/>
        </w:rPr>
        <w:t>dvice</w:t>
      </w:r>
    </w:p>
    <w:p w14:paraId="4FE91E99" w14:textId="77777777" w:rsidR="00B06948" w:rsidRPr="00B06948" w:rsidRDefault="00B06948" w:rsidP="00B06948">
      <w:pPr>
        <w:rPr>
          <w:highlight w:val="yellow"/>
        </w:rPr>
      </w:pPr>
      <w:r w:rsidRPr="00B06948">
        <w:t xml:space="preserve">The ACPM advised the following in response to the </w:t>
      </w:r>
      <w:r w:rsidR="004C74AA">
        <w:t>Delegate</w:t>
      </w:r>
      <w:r w:rsidRPr="00B06948">
        <w:t>’s specific questions on this submission:</w:t>
      </w:r>
    </w:p>
    <w:p w14:paraId="4FE91E9A" w14:textId="77777777" w:rsidR="00B06948" w:rsidRPr="00B06948" w:rsidRDefault="00B06948" w:rsidP="00911E2B">
      <w:pPr>
        <w:pStyle w:val="Numberbullet0"/>
        <w:numPr>
          <w:ilvl w:val="0"/>
          <w:numId w:val="8"/>
        </w:numPr>
        <w:rPr>
          <w:i/>
        </w:rPr>
      </w:pPr>
      <w:r w:rsidRPr="00B06948">
        <w:rPr>
          <w:i/>
        </w:rPr>
        <w:t>Does ACPM consider the submitted data support the disease‐modifying effect of Grazax for the treatment of grass pollen induced rhinitis and conjunctivitis?</w:t>
      </w:r>
    </w:p>
    <w:p w14:paraId="4FE91E9B" w14:textId="1D9B0E6F" w:rsidR="005479B1" w:rsidRDefault="00B06948" w:rsidP="00B06948">
      <w:r w:rsidRPr="00B06948">
        <w:t xml:space="preserve">The ACPM advised that it did not consider the submitted data supported the disease‐modifying claim; in the trials there was an </w:t>
      </w:r>
      <w:r w:rsidR="0028468D">
        <w:t xml:space="preserve">approximately </w:t>
      </w:r>
      <w:r w:rsidRPr="00B06948">
        <w:t xml:space="preserve">30% reduction in symptoms and </w:t>
      </w:r>
      <w:r w:rsidRPr="00B06948">
        <w:lastRenderedPageBreak/>
        <w:t>medication use but good evidence for sustained long term benefit after cessation of treatment is lacking</w:t>
      </w:r>
      <w:r w:rsidR="005479B1">
        <w:t>.</w:t>
      </w:r>
    </w:p>
    <w:p w14:paraId="4FE91E9C" w14:textId="77777777" w:rsidR="00B06948" w:rsidRPr="00B06948" w:rsidRDefault="00B06948" w:rsidP="00B06948">
      <w:pPr>
        <w:pStyle w:val="Numberbullet0"/>
        <w:rPr>
          <w:i/>
        </w:rPr>
      </w:pPr>
      <w:r w:rsidRPr="00B06948">
        <w:rPr>
          <w:i/>
        </w:rPr>
        <w:t>Does ACPM consider that a prominent warning regarding the risk of serious anaphylactic reactions should be added to Product Information?</w:t>
      </w:r>
    </w:p>
    <w:p w14:paraId="4FE91E9D" w14:textId="77777777" w:rsidR="00B06948" w:rsidRPr="00B06948" w:rsidRDefault="00B06948" w:rsidP="00B06948">
      <w:r w:rsidRPr="00B06948">
        <w:t>The risk, if it exists, is extremely small and is almost exclusively associated with the first dose; since it is standard practice, and specified in the PI, for the first dose to be administered under supervision and with a subsequent observation period the warning does not appear to be necessary.</w:t>
      </w:r>
    </w:p>
    <w:p w14:paraId="4FE91E9E" w14:textId="77777777" w:rsidR="00B06948" w:rsidRPr="00B06948" w:rsidRDefault="00B06948" w:rsidP="00B06948">
      <w:pPr>
        <w:pStyle w:val="Numberbullet0"/>
        <w:rPr>
          <w:i/>
        </w:rPr>
      </w:pPr>
      <w:r w:rsidRPr="00B06948">
        <w:rPr>
          <w:i/>
        </w:rPr>
        <w:t>Could ACPM please comment on the relevance of this product to Australia, given that the product only contains allergen extract of grass pollen from Timothy grass? Should Product Information (PI) include the information about the geographical distribution of Timothy grass in Australia?</w:t>
      </w:r>
    </w:p>
    <w:p w14:paraId="4FE91E9F" w14:textId="77777777" w:rsidR="00B06948" w:rsidRPr="00B06948" w:rsidRDefault="00B06948" w:rsidP="00B06948">
      <w:r w:rsidRPr="00B06948">
        <w:t>The ACPM advised the product will be unsuitable for many Australian patients with allergic rhinoconjunctivitis due to grass pollen allergy; while it is not necessary for the PI to describe Timothy distribution in Australia it should make it clear that Bahia, which does not cross react with Timothy, is widespread.</w:t>
      </w:r>
    </w:p>
    <w:p w14:paraId="4FE91EA0" w14:textId="77777777" w:rsidR="00B06948" w:rsidRPr="00B06948" w:rsidRDefault="00B06948" w:rsidP="00B06948">
      <w:pPr>
        <w:pStyle w:val="Numberbullet0"/>
        <w:rPr>
          <w:i/>
        </w:rPr>
      </w:pPr>
      <w:r w:rsidRPr="00B06948">
        <w:rPr>
          <w:i/>
        </w:rPr>
        <w:t>Does ACPM support the following indication proposed by the evaluator?</w:t>
      </w:r>
    </w:p>
    <w:p w14:paraId="4FE91EA1" w14:textId="77777777" w:rsidR="00B06948" w:rsidRPr="00B06948" w:rsidRDefault="00B06948" w:rsidP="00B06948">
      <w:pPr>
        <w:ind w:left="425"/>
        <w:rPr>
          <w:i/>
        </w:rPr>
      </w:pPr>
      <w:r w:rsidRPr="00B06948">
        <w:rPr>
          <w:i/>
        </w:rPr>
        <w:t>Grazax is indicated for treatment of Timothy grass (</w:t>
      </w:r>
      <w:r w:rsidR="002D7A68" w:rsidRPr="002D7A68">
        <w:rPr>
          <w:i/>
        </w:rPr>
        <w:t>Phleum pratense</w:t>
      </w:r>
      <w:r w:rsidRPr="00B06948">
        <w:rPr>
          <w:i/>
        </w:rPr>
        <w:t xml:space="preserve">) pollen allergic rhinitis with or without conjunctivitis in adults, adolescents and children above the age of 5 with clinically relevant symptoms, confirmed by a positive cutaneous test and/or a positive titre of the specific </w:t>
      </w:r>
      <w:proofErr w:type="spellStart"/>
      <w:r w:rsidRPr="00B06948">
        <w:rPr>
          <w:i/>
        </w:rPr>
        <w:t>IgE</w:t>
      </w:r>
      <w:proofErr w:type="spellEnd"/>
      <w:r w:rsidRPr="00B06948">
        <w:rPr>
          <w:i/>
        </w:rPr>
        <w:t xml:space="preserve"> to </w:t>
      </w:r>
      <w:proofErr w:type="spellStart"/>
      <w:r w:rsidR="002D7A68" w:rsidRPr="002D7A68">
        <w:rPr>
          <w:i/>
        </w:rPr>
        <w:t>Phleum</w:t>
      </w:r>
      <w:proofErr w:type="spellEnd"/>
      <w:r w:rsidR="002D7A68" w:rsidRPr="002D7A68">
        <w:rPr>
          <w:i/>
        </w:rPr>
        <w:t xml:space="preserve"> </w:t>
      </w:r>
      <w:proofErr w:type="spellStart"/>
      <w:r w:rsidR="002D7A68" w:rsidRPr="002D7A68">
        <w:rPr>
          <w:i/>
        </w:rPr>
        <w:t>pratense</w:t>
      </w:r>
      <w:proofErr w:type="spellEnd"/>
      <w:r w:rsidRPr="00B06948">
        <w:rPr>
          <w:i/>
        </w:rPr>
        <w:t>.</w:t>
      </w:r>
    </w:p>
    <w:p w14:paraId="4FE91EA2" w14:textId="77777777" w:rsidR="00B06948" w:rsidRPr="00B06948" w:rsidRDefault="00B06948" w:rsidP="00B06948">
      <w:r w:rsidRPr="00B06948">
        <w:t>The ACPM advised the product appears to be suitable for patients with grass pollen allergy caused by species which cross react with Timothy, which includes the common allergen, rye grass. Thus the committee was of the view that “or cross reacting allergens” should be added to the indication.</w:t>
      </w:r>
    </w:p>
    <w:p w14:paraId="4FE91EA3" w14:textId="77777777" w:rsidR="005479B1" w:rsidRDefault="00B06948" w:rsidP="00B06948">
      <w:r w:rsidRPr="00B06948">
        <w:t>However, it is unsuitable, as monotherapy, for the considerable percentage of the Australian population who are also sensitised to sub-tropical grasses without consideration being given to these other grass allergens</w:t>
      </w:r>
      <w:r w:rsidR="005479B1">
        <w:t>.</w:t>
      </w:r>
    </w:p>
    <w:p w14:paraId="4FE91EA4" w14:textId="77777777" w:rsidR="00B06948" w:rsidRPr="00B06948" w:rsidRDefault="00B06948" w:rsidP="00B06948">
      <w:r w:rsidRPr="00B06948">
        <w:t>Positivity to Timothy allergens appears to be a necessary but insufficient requirement for patients to gain substantial relief from grass pollen allergic rhinitis with or without conjunctivitis in much of Australia. This needs to be clearly explained to both prescribers and patients, before treatment commences.</w:t>
      </w:r>
    </w:p>
    <w:p w14:paraId="4FE91EA5" w14:textId="77777777" w:rsidR="005479B1" w:rsidRDefault="00B06948" w:rsidP="008E7846">
      <w:r w:rsidRPr="00B06948">
        <w:t xml:space="preserve">The ACPM advised that implementation by the </w:t>
      </w:r>
      <w:r w:rsidR="002D7A68">
        <w:t>sponsor</w:t>
      </w:r>
      <w:r w:rsidRPr="00B06948">
        <w:t xml:space="preserve"> of the recommendations outlined above to the satisfaction of the TGA, in addition to the evidence of efficacy and safety provided would support the safe and effective use of this product</w:t>
      </w:r>
      <w:r w:rsidR="005479B1">
        <w:t>.</w:t>
      </w:r>
    </w:p>
    <w:p w14:paraId="4FE91EA6" w14:textId="77777777" w:rsidR="002E5380" w:rsidRDefault="002E5380" w:rsidP="002E5380">
      <w:pPr>
        <w:pStyle w:val="Heading4"/>
      </w:pPr>
      <w:r>
        <w:t xml:space="preserve">Post ACPM Response from </w:t>
      </w:r>
      <w:r w:rsidR="002D7A68">
        <w:t>sponsor</w:t>
      </w:r>
    </w:p>
    <w:p w14:paraId="4FE91EA7" w14:textId="77777777" w:rsidR="002E5380" w:rsidRDefault="002E5380" w:rsidP="002E5380">
      <w:r>
        <w:t>In response to the ratified minutes of the ACM the sponsor provided a response to the TGA which is presented below.</w:t>
      </w:r>
    </w:p>
    <w:p w14:paraId="4FE91EA8" w14:textId="77777777" w:rsidR="002E5380" w:rsidRPr="0083055A" w:rsidRDefault="002E5380" w:rsidP="0083055A">
      <w:r w:rsidRPr="0083055A">
        <w:t>The ACPM minutes propose several recommendations in relation to the proposed PI for Grazax</w:t>
      </w:r>
      <w:r w:rsidR="0083055A">
        <w:t xml:space="preserve"> </w:t>
      </w:r>
      <w:r w:rsidRPr="0083055A">
        <w:t>including the Indication, distribution of Timothy grass in Austral</w:t>
      </w:r>
      <w:r w:rsidR="0083055A">
        <w:t xml:space="preserve">ia, and the need for discussion </w:t>
      </w:r>
      <w:r w:rsidRPr="0083055A">
        <w:t>between the prescriber and patient before treatment commences.</w:t>
      </w:r>
    </w:p>
    <w:p w14:paraId="4FE91EA9" w14:textId="77777777" w:rsidR="002E5380" w:rsidRPr="0083055A" w:rsidRDefault="002E5380" w:rsidP="0083055A">
      <w:r w:rsidRPr="0083055A">
        <w:t>Seqirus’ comments in relation to these items are provided below. Copies of the proposed amended</w:t>
      </w:r>
      <w:r w:rsidR="0083055A">
        <w:t xml:space="preserve"> </w:t>
      </w:r>
      <w:r w:rsidRPr="0083055A">
        <w:t>Product Information (PI) (clean and annotated) are provided in Attachment 1 and Attachment 2.</w:t>
      </w:r>
    </w:p>
    <w:p w14:paraId="4FE91EAA" w14:textId="77777777" w:rsidR="002E5380" w:rsidRPr="0083055A" w:rsidRDefault="002E5380" w:rsidP="0083055A">
      <w:pPr>
        <w:rPr>
          <w:i/>
        </w:rPr>
      </w:pPr>
      <w:r w:rsidRPr="0083055A">
        <w:rPr>
          <w:i/>
        </w:rPr>
        <w:t>The ACPM advised that it did not consider the submitted data supported the disease‐</w:t>
      </w:r>
      <w:r w:rsidR="0083055A" w:rsidRPr="0083055A">
        <w:rPr>
          <w:i/>
        </w:rPr>
        <w:t xml:space="preserve">modifying </w:t>
      </w:r>
      <w:r w:rsidRPr="0083055A">
        <w:rPr>
          <w:i/>
        </w:rPr>
        <w:t>claim as good evidence for sustained long term benefit after cessation of treatment is lacking.</w:t>
      </w:r>
    </w:p>
    <w:p w14:paraId="4FE91EAB" w14:textId="7DE11AB8" w:rsidR="002E5380" w:rsidRDefault="002E5380" w:rsidP="0083055A">
      <w:r w:rsidRPr="0083055A">
        <w:lastRenderedPageBreak/>
        <w:t xml:space="preserve">Seqirus maintains the submitted pivotal </w:t>
      </w:r>
      <w:r w:rsidR="000F4578">
        <w:t>Phase III</w:t>
      </w:r>
      <w:r w:rsidRPr="0083055A">
        <w:t xml:space="preserve"> trial GT-08 supports </w:t>
      </w:r>
      <w:r w:rsidR="0083055A">
        <w:t xml:space="preserve">the disease modification claim. </w:t>
      </w:r>
      <w:r w:rsidRPr="0083055A">
        <w:t>The claim for disease modification is supported by the results of the p</w:t>
      </w:r>
      <w:r w:rsidR="0083055A">
        <w:t xml:space="preserve">rimary co-end points as well as </w:t>
      </w:r>
      <w:r w:rsidRPr="0083055A">
        <w:t xml:space="preserve">the total combined (symptom and medication) score (TCS), number of ‘well days’, and changes to </w:t>
      </w:r>
      <w:r w:rsidR="0083055A">
        <w:t xml:space="preserve">in </w:t>
      </w:r>
      <w:r w:rsidRPr="0083055A">
        <w:t>vitro immunological parameters, all of which are also widely recogn</w:t>
      </w:r>
      <w:r w:rsidR="0083055A">
        <w:t xml:space="preserve">ised as important indicators of </w:t>
      </w:r>
      <w:r w:rsidRPr="0083055A">
        <w:t xml:space="preserve">efficacy for allergy immunotherapy (AIT) </w:t>
      </w:r>
      <w:r w:rsidRPr="00E81F6A">
        <w:t>product</w:t>
      </w:r>
      <w:r w:rsidR="009E06D6">
        <w:t>s</w:t>
      </w:r>
      <w:proofErr w:type="gramStart"/>
      <w:r w:rsidR="00E81F6A">
        <w:t>,</w:t>
      </w:r>
      <w:proofErr w:type="gramEnd"/>
      <w:r w:rsidR="00E81F6A" w:rsidRPr="00E81F6A">
        <w:rPr>
          <w:vertAlign w:val="superscript"/>
        </w:rPr>
        <w:fldChar w:fldCharType="begin"/>
      </w:r>
      <w:r w:rsidR="00E81F6A" w:rsidRPr="00E81F6A">
        <w:rPr>
          <w:vertAlign w:val="superscript"/>
        </w:rPr>
        <w:instrText xml:space="preserve"> NOTEREF _Ref496198908 \h  \* MERGEFORMAT </w:instrText>
      </w:r>
      <w:r w:rsidR="00E81F6A" w:rsidRPr="00E81F6A">
        <w:rPr>
          <w:vertAlign w:val="superscript"/>
        </w:rPr>
      </w:r>
      <w:r w:rsidR="00E81F6A" w:rsidRPr="00E81F6A">
        <w:rPr>
          <w:vertAlign w:val="superscript"/>
        </w:rPr>
        <w:fldChar w:fldCharType="separate"/>
      </w:r>
      <w:r w:rsidR="003D50F1">
        <w:rPr>
          <w:vertAlign w:val="superscript"/>
        </w:rPr>
        <w:t>82</w:t>
      </w:r>
      <w:r w:rsidR="00E81F6A" w:rsidRPr="00E81F6A">
        <w:rPr>
          <w:vertAlign w:val="superscript"/>
        </w:rPr>
        <w:fldChar w:fldCharType="end"/>
      </w:r>
      <w:r w:rsidR="00E81F6A" w:rsidRPr="00E81F6A">
        <w:t xml:space="preserve">, </w:t>
      </w:r>
      <w:bookmarkStart w:id="249" w:name="_Ref496199300"/>
      <w:r w:rsidR="00E81F6A" w:rsidRPr="00E81F6A">
        <w:rPr>
          <w:rStyle w:val="FootnoteReference"/>
        </w:rPr>
        <w:footnoteReference w:id="90"/>
      </w:r>
      <w:bookmarkEnd w:id="249"/>
      <w:r w:rsidRPr="00E81F6A">
        <w:t>,</w:t>
      </w:r>
      <w:r w:rsidR="00E81F6A" w:rsidRPr="00E81F6A">
        <w:t xml:space="preserve"> </w:t>
      </w:r>
      <w:r w:rsidR="00E81F6A" w:rsidRPr="00E81F6A">
        <w:rPr>
          <w:rStyle w:val="FootnoteReference"/>
        </w:rPr>
        <w:footnoteReference w:id="91"/>
      </w:r>
      <w:r w:rsidR="00E81F6A" w:rsidRPr="00E81F6A">
        <w:t xml:space="preserve">, </w:t>
      </w:r>
      <w:bookmarkStart w:id="250" w:name="_Ref496199557"/>
      <w:r w:rsidR="00E81F6A" w:rsidRPr="00E81F6A">
        <w:rPr>
          <w:rStyle w:val="FootnoteReference"/>
        </w:rPr>
        <w:footnoteReference w:id="92"/>
      </w:r>
      <w:bookmarkEnd w:id="250"/>
      <w:r w:rsidRPr="00E81F6A">
        <w:t xml:space="preserve"> Please</w:t>
      </w:r>
      <w:r w:rsidRPr="0083055A">
        <w:t xml:space="preserve"> see</w:t>
      </w:r>
      <w:r w:rsidR="0083055A">
        <w:t xml:space="preserve"> below for further details. The </w:t>
      </w:r>
      <w:r w:rsidRPr="0083055A">
        <w:t xml:space="preserve">clinical relevance and statistical significance of the results support long </w:t>
      </w:r>
      <w:r w:rsidR="0083055A">
        <w:t xml:space="preserve">term efficacy and disease </w:t>
      </w:r>
      <w:r w:rsidRPr="0083055A">
        <w:t>modifying effect (</w:t>
      </w:r>
      <w:r w:rsidR="004A7F98">
        <w:t>that is</w:t>
      </w:r>
      <w:r w:rsidRPr="0083055A">
        <w:t xml:space="preserve"> a sustained significant and clinically relevant effe</w:t>
      </w:r>
      <w:r w:rsidR="0083055A">
        <w:t xml:space="preserve">ct for at least 2 posttreatment </w:t>
      </w:r>
      <w:r w:rsidRPr="0083055A">
        <w:t xml:space="preserve">years following 3 years of treatment) and provide </w:t>
      </w:r>
      <w:r w:rsidR="0083055A">
        <w:t xml:space="preserve">support for a claim for disease </w:t>
      </w:r>
      <w:r w:rsidRPr="0083055A">
        <w:t>modification.</w:t>
      </w:r>
    </w:p>
    <w:p w14:paraId="4FE91EAC" w14:textId="77777777" w:rsidR="0083055A" w:rsidRPr="0083055A" w:rsidRDefault="0083055A" w:rsidP="0083055A">
      <w:pPr>
        <w:rPr>
          <w:i/>
        </w:rPr>
      </w:pPr>
      <w:r w:rsidRPr="0083055A">
        <w:rPr>
          <w:i/>
        </w:rPr>
        <w:t>Co-primary endpoints</w:t>
      </w:r>
    </w:p>
    <w:p w14:paraId="4FE91EAD" w14:textId="77777777" w:rsidR="0083055A" w:rsidRPr="0083055A" w:rsidRDefault="0083055A" w:rsidP="0083055A">
      <w:r w:rsidRPr="0083055A">
        <w:t>GT-08 investigated the safety and efficacy in adults with grass poll</w:t>
      </w:r>
      <w:r>
        <w:t xml:space="preserve">en induced rhinoconjunctivitis. </w:t>
      </w:r>
      <w:r w:rsidRPr="0083055A">
        <w:t xml:space="preserve">Initially planned as a 1 year trial, the trial was extended to include </w:t>
      </w:r>
      <w:r>
        <w:t xml:space="preserve">2 more years of treatment and 2 </w:t>
      </w:r>
      <w:r w:rsidRPr="0083055A">
        <w:t>years of follow-up. The co-primary endpoints for this trial were av</w:t>
      </w:r>
      <w:r>
        <w:t xml:space="preserve">erage daily rhinoconjunctivitis </w:t>
      </w:r>
      <w:r w:rsidRPr="0083055A">
        <w:t>symptom score and average daily rhinoconjunctivitis medication sc</w:t>
      </w:r>
      <w:r>
        <w:t xml:space="preserve">ore for the entire </w:t>
      </w:r>
      <w:r w:rsidR="0082122C">
        <w:t>GPS</w:t>
      </w:r>
      <w:r w:rsidRPr="0083055A">
        <w:t xml:space="preserve"> each year.</w:t>
      </w:r>
    </w:p>
    <w:p w14:paraId="4FE91EAE" w14:textId="3FCAF191" w:rsidR="0083055A" w:rsidRPr="0083055A" w:rsidRDefault="0083055A" w:rsidP="0083055A">
      <w:r w:rsidRPr="0083055A">
        <w:t xml:space="preserve">The results of GT-08 met both co-primary endpoints; there </w:t>
      </w:r>
      <w:r>
        <w:t xml:space="preserve">was a statistically significant </w:t>
      </w:r>
      <w:r w:rsidRPr="0083055A">
        <w:t>improvement in rhinoconjunctivitis symptom score at all-time poin</w:t>
      </w:r>
      <w:r>
        <w:t xml:space="preserve">ts for </w:t>
      </w:r>
      <w:r w:rsidR="000F4578">
        <w:t>Year</w:t>
      </w:r>
      <w:r>
        <w:t xml:space="preserve">s 1 to 5 (difference </w:t>
      </w:r>
      <w:r w:rsidRPr="0083055A">
        <w:t xml:space="preserve">relative to placebo ranged from 25% to 36%; </w:t>
      </w:r>
      <w:r w:rsidR="002A47B8">
        <w:t xml:space="preserve">p </w:t>
      </w:r>
      <w:r w:rsidR="004C74AA">
        <w:t xml:space="preserve">&lt; </w:t>
      </w:r>
      <w:r w:rsidRPr="0083055A">
        <w:t>0.004), and a statist</w:t>
      </w:r>
      <w:r>
        <w:t xml:space="preserve">ically significant reduction in </w:t>
      </w:r>
      <w:r w:rsidRPr="0083055A">
        <w:t xml:space="preserve">rhinoconjunctivitis medication score at </w:t>
      </w:r>
      <w:r w:rsidR="000F4578">
        <w:t>Year</w:t>
      </w:r>
      <w:r w:rsidRPr="0083055A">
        <w:t>s 1 to 4 (difference rela</w:t>
      </w:r>
      <w:r>
        <w:t xml:space="preserve">tive to placebo ranged from 29% </w:t>
      </w:r>
      <w:r w:rsidRPr="0083055A">
        <w:t xml:space="preserve">to 46%; </w:t>
      </w:r>
      <w:r w:rsidR="002A47B8">
        <w:t xml:space="preserve">p </w:t>
      </w:r>
      <w:r w:rsidR="004C74AA">
        <w:t xml:space="preserve">&lt; </w:t>
      </w:r>
      <w:r w:rsidRPr="0083055A">
        <w:t>0.03) (refer to proposed PI, Table 1). The result for med</w:t>
      </w:r>
      <w:r>
        <w:t xml:space="preserve">ication score at </w:t>
      </w:r>
      <w:r w:rsidR="000F4578">
        <w:t>Year</w:t>
      </w:r>
      <w:r>
        <w:t xml:space="preserve"> 5 was 20% </w:t>
      </w:r>
      <w:r w:rsidRPr="0083055A">
        <w:t>(</w:t>
      </w:r>
      <w:r w:rsidR="00AD1BB3">
        <w:t xml:space="preserve">p = </w:t>
      </w:r>
      <w:r w:rsidRPr="0083055A">
        <w:t>0.1136). Although the medication score was not statistically sign</w:t>
      </w:r>
      <w:r>
        <w:t xml:space="preserve">ificant at </w:t>
      </w:r>
      <w:r w:rsidR="000F4578">
        <w:t>Year</w:t>
      </w:r>
      <w:r>
        <w:t xml:space="preserve"> 5, this is </w:t>
      </w:r>
      <w:r w:rsidRPr="0083055A">
        <w:t>attributable to the low pollen count. As per Durham et al, in seasonal allerg</w:t>
      </w:r>
      <w:r>
        <w:t>y trials with grass SLIT</w:t>
      </w:r>
      <w:r w:rsidR="00EB112B">
        <w:t xml:space="preserve"> </w:t>
      </w:r>
      <w:r>
        <w:t xml:space="preserve">tablet, </w:t>
      </w:r>
      <w:r w:rsidRPr="0083055A">
        <w:t>the observed treatment effect is highly dependent on pol</w:t>
      </w:r>
      <w:r>
        <w:t xml:space="preserve">len exposure with the magnitude </w:t>
      </w:r>
      <w:r w:rsidRPr="0083055A">
        <w:t>being higher with higher pollen exposure</w:t>
      </w:r>
      <w:r w:rsidR="00E81F6A">
        <w:t>.</w:t>
      </w:r>
      <w:bookmarkStart w:id="251" w:name="_Ref496200086"/>
      <w:r w:rsidR="00E81F6A">
        <w:rPr>
          <w:rStyle w:val="FootnoteReference"/>
        </w:rPr>
        <w:footnoteReference w:id="93"/>
      </w:r>
      <w:bookmarkEnd w:id="251"/>
      <w:r w:rsidRPr="0083055A">
        <w:t xml:space="preserve"> That is, low pollen coun</w:t>
      </w:r>
      <w:r>
        <w:t xml:space="preserve">ts result in low symptom scores </w:t>
      </w:r>
      <w:r w:rsidRPr="0083055A">
        <w:t>which in turn results in the need for less medication and</w:t>
      </w:r>
      <w:r>
        <w:t xml:space="preserve"> hence lower medication scores. </w:t>
      </w:r>
      <w:r w:rsidRPr="0083055A">
        <w:t>Subsequently, the dependency of treatment effect on pollen exposure is an important relationship</w:t>
      </w:r>
      <w:r>
        <w:t xml:space="preserve"> </w:t>
      </w:r>
      <w:r w:rsidRPr="0083055A">
        <w:t>that must be considered when interpreting trial results</w:t>
      </w:r>
      <w:r w:rsidR="00E81F6A">
        <w:t>.</w:t>
      </w:r>
      <w:r w:rsidR="00E81F6A" w:rsidRPr="00E81F6A">
        <w:rPr>
          <w:vertAlign w:val="superscript"/>
        </w:rPr>
        <w:fldChar w:fldCharType="begin"/>
      </w:r>
      <w:r w:rsidR="00E81F6A" w:rsidRPr="00E81F6A">
        <w:rPr>
          <w:vertAlign w:val="superscript"/>
        </w:rPr>
        <w:instrText xml:space="preserve"> NOTEREF _Ref496199300 \h </w:instrText>
      </w:r>
      <w:r w:rsidR="00E81F6A">
        <w:rPr>
          <w:vertAlign w:val="superscript"/>
        </w:rPr>
        <w:instrText xml:space="preserve"> \* MERGEFORMAT </w:instrText>
      </w:r>
      <w:r w:rsidR="00E81F6A" w:rsidRPr="00E81F6A">
        <w:rPr>
          <w:vertAlign w:val="superscript"/>
        </w:rPr>
      </w:r>
      <w:r w:rsidR="00E81F6A" w:rsidRPr="00E81F6A">
        <w:rPr>
          <w:vertAlign w:val="superscript"/>
        </w:rPr>
        <w:fldChar w:fldCharType="separate"/>
      </w:r>
      <w:r w:rsidR="003D50F1">
        <w:rPr>
          <w:vertAlign w:val="superscript"/>
        </w:rPr>
        <w:t>89</w:t>
      </w:r>
      <w:r w:rsidR="00E81F6A" w:rsidRPr="00E81F6A">
        <w:rPr>
          <w:vertAlign w:val="superscript"/>
        </w:rPr>
        <w:fldChar w:fldCharType="end"/>
      </w:r>
      <w:r w:rsidRPr="0083055A">
        <w:t xml:space="preserve"> This effect is observed in the </w:t>
      </w:r>
      <w:r w:rsidR="000F4578">
        <w:t>Year</w:t>
      </w:r>
      <w:r w:rsidRPr="0083055A">
        <w:t xml:space="preserve"> 5 results</w:t>
      </w:r>
      <w:r>
        <w:t xml:space="preserve"> </w:t>
      </w:r>
      <w:r w:rsidRPr="0083055A">
        <w:t xml:space="preserve">of GT-08. Indeed the results for GT-08 showed a significant </w:t>
      </w:r>
      <w:r>
        <w:t xml:space="preserve">correlation between TCS and the </w:t>
      </w:r>
      <w:r w:rsidRPr="0083055A">
        <w:t>cumulative grass pollen counts (correlation co-efficient 0.98) th</w:t>
      </w:r>
      <w:r>
        <w:t xml:space="preserve">us highlighting the significant </w:t>
      </w:r>
      <w:r w:rsidRPr="0083055A">
        <w:t>dependency</w:t>
      </w:r>
      <w:r w:rsidR="00E81F6A">
        <w:t>.</w:t>
      </w:r>
      <w:r w:rsidR="00E81F6A">
        <w:rPr>
          <w:rStyle w:val="FootnoteReference"/>
        </w:rPr>
        <w:footnoteReference w:id="94"/>
      </w:r>
      <w:r w:rsidRPr="0083055A">
        <w:t xml:space="preserve"> The median grass pollen exposure in the </w:t>
      </w:r>
      <w:r w:rsidR="000F4578">
        <w:t>second</w:t>
      </w:r>
      <w:r w:rsidRPr="0083055A">
        <w:t xml:space="preserve"> follow-</w:t>
      </w:r>
      <w:r w:rsidR="000F4578">
        <w:t>up season (Y</w:t>
      </w:r>
      <w:r>
        <w:t xml:space="preserve">ear 5) of GT-08 was </w:t>
      </w:r>
      <w:r w:rsidRPr="0083055A">
        <w:t>38% lower than the 1st treatment season (</w:t>
      </w:r>
      <w:r w:rsidR="000F4578">
        <w:t>Year</w:t>
      </w:r>
      <w:r w:rsidRPr="0083055A">
        <w:t xml:space="preserve"> 1) and 30% lower than the 1st </w:t>
      </w:r>
      <w:r w:rsidR="000F4578">
        <w:t>follow-up season (Y</w:t>
      </w:r>
      <w:r>
        <w:t xml:space="preserve">ear </w:t>
      </w:r>
      <w:r w:rsidRPr="0083055A">
        <w:t>4). The variation in pollen loads caused significant variations in t</w:t>
      </w:r>
      <w:r>
        <w:t xml:space="preserve">he level of symptoms and use of </w:t>
      </w:r>
      <w:r w:rsidRPr="0083055A">
        <w:t xml:space="preserve">symptomatic medications. Importantly, despite the low pollen count </w:t>
      </w:r>
      <w:r>
        <w:t xml:space="preserve">in </w:t>
      </w:r>
      <w:r w:rsidR="000F4578">
        <w:t>Year</w:t>
      </w:r>
      <w:r>
        <w:t xml:space="preserve"> 5, from a clinician and </w:t>
      </w:r>
      <w:r w:rsidRPr="0083055A">
        <w:t>patient perspective, the 20% decrease in medication score seen in patients administer</w:t>
      </w:r>
      <w:r>
        <w:t xml:space="preserve">ed Grazax, is </w:t>
      </w:r>
      <w:r w:rsidRPr="0083055A">
        <w:t>considered clinically relevant.</w:t>
      </w:r>
    </w:p>
    <w:p w14:paraId="4FE91EAF" w14:textId="77777777" w:rsidR="0083055A" w:rsidRPr="0083055A" w:rsidRDefault="0083055A" w:rsidP="0083055A">
      <w:pPr>
        <w:rPr>
          <w:i/>
        </w:rPr>
      </w:pPr>
      <w:r w:rsidRPr="0083055A">
        <w:rPr>
          <w:i/>
        </w:rPr>
        <w:t>Total Combined Score</w:t>
      </w:r>
    </w:p>
    <w:p w14:paraId="4FE91EB0" w14:textId="696056D1" w:rsidR="0083055A" w:rsidRPr="0083055A" w:rsidRDefault="0083055A" w:rsidP="0083055A">
      <w:r w:rsidRPr="0083055A">
        <w:t>Whilst AIT trials typically assess symptom and medication scores i</w:t>
      </w:r>
      <w:r>
        <w:t xml:space="preserve">ndependently, treatment reduces </w:t>
      </w:r>
      <w:r w:rsidRPr="0083055A">
        <w:t xml:space="preserve">both. Severity and frequency of symptoms and use of medication are </w:t>
      </w:r>
      <w:r w:rsidRPr="0083055A">
        <w:lastRenderedPageBreak/>
        <w:t>interdependent. Evaluat</w:t>
      </w:r>
      <w:r>
        <w:t xml:space="preserve">ion of </w:t>
      </w:r>
      <w:r w:rsidRPr="0083055A">
        <w:t xml:space="preserve">TCS addresses this. As per the literature, a difference of </w:t>
      </w:r>
      <w:r w:rsidR="000F4578">
        <w:t>&gt; </w:t>
      </w:r>
      <w:r w:rsidRPr="0083055A">
        <w:t>20% to p</w:t>
      </w:r>
      <w:r>
        <w:t xml:space="preserve">lacebo is considered clinically </w:t>
      </w:r>
      <w:r w:rsidRPr="0083055A">
        <w:t>relevant</w:t>
      </w:r>
      <w:r w:rsidR="00E81F6A" w:rsidRPr="00E81F6A">
        <w:t>.</w:t>
      </w:r>
      <w:bookmarkStart w:id="252" w:name="_Ref496201076"/>
      <w:r w:rsidR="00E81F6A" w:rsidRPr="00E81F6A">
        <w:rPr>
          <w:rStyle w:val="FootnoteReference"/>
        </w:rPr>
        <w:footnoteReference w:id="95"/>
      </w:r>
      <w:bookmarkEnd w:id="252"/>
      <w:r w:rsidRPr="00E81F6A">
        <w:t xml:space="preserve"> </w:t>
      </w:r>
      <w:r w:rsidR="00E81F6A" w:rsidRPr="00E81F6A">
        <w:rPr>
          <w:vertAlign w:val="superscript"/>
        </w:rPr>
        <w:fldChar w:fldCharType="begin"/>
      </w:r>
      <w:r w:rsidR="00E81F6A" w:rsidRPr="00E81F6A">
        <w:rPr>
          <w:vertAlign w:val="superscript"/>
        </w:rPr>
        <w:instrText xml:space="preserve"> NOTEREF _Ref496199300 \h  \* MERGEFORMAT </w:instrText>
      </w:r>
      <w:r w:rsidR="00E81F6A" w:rsidRPr="00E81F6A">
        <w:rPr>
          <w:vertAlign w:val="superscript"/>
        </w:rPr>
      </w:r>
      <w:r w:rsidR="00E81F6A" w:rsidRPr="00E81F6A">
        <w:rPr>
          <w:vertAlign w:val="superscript"/>
        </w:rPr>
        <w:fldChar w:fldCharType="separate"/>
      </w:r>
      <w:r w:rsidR="003D50F1">
        <w:rPr>
          <w:vertAlign w:val="superscript"/>
        </w:rPr>
        <w:t>89</w:t>
      </w:r>
      <w:r w:rsidR="00E81F6A" w:rsidRPr="00E81F6A">
        <w:rPr>
          <w:vertAlign w:val="superscript"/>
        </w:rPr>
        <w:fldChar w:fldCharType="end"/>
      </w:r>
      <w:r w:rsidR="00E81F6A" w:rsidRPr="00E81F6A">
        <w:rPr>
          <w:vertAlign w:val="superscript"/>
        </w:rPr>
        <w:t xml:space="preserve"> </w:t>
      </w:r>
      <w:r w:rsidR="00E81F6A" w:rsidRPr="00E81F6A">
        <w:rPr>
          <w:vertAlign w:val="superscript"/>
        </w:rPr>
        <w:fldChar w:fldCharType="begin"/>
      </w:r>
      <w:r w:rsidR="00E81F6A" w:rsidRPr="00E81F6A">
        <w:rPr>
          <w:vertAlign w:val="superscript"/>
        </w:rPr>
        <w:instrText xml:space="preserve"> NOTEREF _Ref496199557 \h </w:instrText>
      </w:r>
      <w:r w:rsidR="00E81F6A">
        <w:rPr>
          <w:vertAlign w:val="superscript"/>
        </w:rPr>
        <w:instrText xml:space="preserve"> \* MERGEFORMAT </w:instrText>
      </w:r>
      <w:r w:rsidR="00E81F6A" w:rsidRPr="00E81F6A">
        <w:rPr>
          <w:vertAlign w:val="superscript"/>
        </w:rPr>
      </w:r>
      <w:r w:rsidR="00E81F6A" w:rsidRPr="00E81F6A">
        <w:rPr>
          <w:vertAlign w:val="superscript"/>
        </w:rPr>
        <w:fldChar w:fldCharType="separate"/>
      </w:r>
      <w:r w:rsidR="003D50F1">
        <w:rPr>
          <w:vertAlign w:val="superscript"/>
        </w:rPr>
        <w:t>91</w:t>
      </w:r>
      <w:r w:rsidR="00E81F6A" w:rsidRPr="00E81F6A">
        <w:rPr>
          <w:vertAlign w:val="superscript"/>
        </w:rPr>
        <w:fldChar w:fldCharType="end"/>
      </w:r>
      <w:r w:rsidR="00E81F6A" w:rsidRPr="00E81F6A">
        <w:rPr>
          <w:vertAlign w:val="superscript"/>
        </w:rPr>
        <w:t xml:space="preserve"> </w:t>
      </w:r>
      <w:bookmarkStart w:id="253" w:name="_Ref496199981"/>
      <w:r w:rsidR="00E81F6A" w:rsidRPr="00E81F6A">
        <w:rPr>
          <w:rStyle w:val="FootnoteReference"/>
        </w:rPr>
        <w:footnoteReference w:id="96"/>
      </w:r>
      <w:bookmarkEnd w:id="253"/>
    </w:p>
    <w:p w14:paraId="4FE91EB1" w14:textId="34150C14" w:rsidR="0083055A" w:rsidRPr="0083055A" w:rsidRDefault="0083055A" w:rsidP="0083055A">
      <w:r w:rsidRPr="0083055A">
        <w:t xml:space="preserve">The TCS for the entire </w:t>
      </w:r>
      <w:r w:rsidR="0082122C">
        <w:t>GPS</w:t>
      </w:r>
      <w:r w:rsidRPr="0083055A">
        <w:t xml:space="preserve"> for GT-08 </w:t>
      </w:r>
      <w:r w:rsidR="000F4578">
        <w:t>Year</w:t>
      </w:r>
      <w:r w:rsidR="002F3CBA">
        <w:t>s 1 to</w:t>
      </w:r>
      <w:r w:rsidRPr="0083055A">
        <w:t xml:space="preserve"> 5 </w:t>
      </w:r>
      <w:r>
        <w:t xml:space="preserve">are presented below in </w:t>
      </w:r>
      <w:r w:rsidRPr="00D7132E">
        <w:t xml:space="preserve">Table </w:t>
      </w:r>
      <w:r w:rsidR="00500CC2">
        <w:t>30</w:t>
      </w:r>
      <w:r w:rsidRPr="00D7132E">
        <w:t>.</w:t>
      </w:r>
      <w:r>
        <w:t xml:space="preserve"> </w:t>
      </w:r>
      <w:r w:rsidRPr="0083055A">
        <w:t xml:space="preserve">Bearing in mind the widely recognised clinical relevance threshold of </w:t>
      </w:r>
      <w:r w:rsidR="004C74AA">
        <w:t xml:space="preserve">&gt; </w:t>
      </w:r>
      <w:r w:rsidRPr="0083055A">
        <w:t>20</w:t>
      </w:r>
      <w:r w:rsidRPr="00E81F6A">
        <w:t>%,</w:t>
      </w:r>
      <w:bookmarkStart w:id="254" w:name="_Ref496200433"/>
      <w:r w:rsidR="00E81F6A" w:rsidRPr="00E81F6A">
        <w:rPr>
          <w:rStyle w:val="FootnoteReference"/>
        </w:rPr>
        <w:footnoteReference w:id="97"/>
      </w:r>
      <w:bookmarkEnd w:id="254"/>
      <w:proofErr w:type="gramStart"/>
      <w:r w:rsidR="00E81F6A" w:rsidRPr="00E81F6A">
        <w:t>,</w:t>
      </w:r>
      <w:proofErr w:type="gramEnd"/>
      <w:r w:rsidR="00E81F6A" w:rsidRPr="00E81F6A">
        <w:t xml:space="preserve"> </w:t>
      </w:r>
      <w:r w:rsidR="00E81F6A" w:rsidRPr="00E81F6A">
        <w:rPr>
          <w:vertAlign w:val="superscript"/>
        </w:rPr>
        <w:fldChar w:fldCharType="begin"/>
      </w:r>
      <w:r w:rsidR="00E81F6A" w:rsidRPr="00E81F6A">
        <w:rPr>
          <w:vertAlign w:val="superscript"/>
        </w:rPr>
        <w:instrText xml:space="preserve"> NOTEREF _Ref496199300 \h  \* MERGEFORMAT </w:instrText>
      </w:r>
      <w:r w:rsidR="00E81F6A" w:rsidRPr="00E81F6A">
        <w:rPr>
          <w:vertAlign w:val="superscript"/>
        </w:rPr>
      </w:r>
      <w:r w:rsidR="00E81F6A" w:rsidRPr="00E81F6A">
        <w:rPr>
          <w:vertAlign w:val="superscript"/>
        </w:rPr>
        <w:fldChar w:fldCharType="separate"/>
      </w:r>
      <w:r w:rsidR="003D50F1">
        <w:rPr>
          <w:vertAlign w:val="superscript"/>
        </w:rPr>
        <w:t>89</w:t>
      </w:r>
      <w:r w:rsidR="00E81F6A" w:rsidRPr="00E81F6A">
        <w:rPr>
          <w:vertAlign w:val="superscript"/>
        </w:rPr>
        <w:fldChar w:fldCharType="end"/>
      </w:r>
      <w:r w:rsidR="00E81F6A" w:rsidRPr="00E81F6A">
        <w:t xml:space="preserve">, </w:t>
      </w:r>
      <w:r w:rsidR="00E81F6A" w:rsidRPr="00E81F6A">
        <w:rPr>
          <w:vertAlign w:val="superscript"/>
        </w:rPr>
        <w:fldChar w:fldCharType="begin"/>
      </w:r>
      <w:r w:rsidR="00E81F6A" w:rsidRPr="00E81F6A">
        <w:rPr>
          <w:vertAlign w:val="superscript"/>
        </w:rPr>
        <w:instrText xml:space="preserve"> NOTEREF _Ref496199557 \h  \* MERGEFORMAT </w:instrText>
      </w:r>
      <w:r w:rsidR="00E81F6A" w:rsidRPr="00E81F6A">
        <w:rPr>
          <w:vertAlign w:val="superscript"/>
        </w:rPr>
      </w:r>
      <w:r w:rsidR="00E81F6A" w:rsidRPr="00E81F6A">
        <w:rPr>
          <w:vertAlign w:val="superscript"/>
        </w:rPr>
        <w:fldChar w:fldCharType="separate"/>
      </w:r>
      <w:r w:rsidR="003D50F1">
        <w:rPr>
          <w:vertAlign w:val="superscript"/>
        </w:rPr>
        <w:t>91</w:t>
      </w:r>
      <w:r w:rsidR="00E81F6A" w:rsidRPr="00E81F6A">
        <w:rPr>
          <w:vertAlign w:val="superscript"/>
        </w:rPr>
        <w:fldChar w:fldCharType="end"/>
      </w:r>
      <w:r w:rsidRPr="00E81F6A">
        <w:t>,</w:t>
      </w:r>
      <w:r w:rsidR="00E81F6A" w:rsidRPr="00E81F6A">
        <w:t xml:space="preserve"> </w:t>
      </w:r>
      <w:r w:rsidR="00E81F6A" w:rsidRPr="00E81F6A">
        <w:rPr>
          <w:vertAlign w:val="superscript"/>
        </w:rPr>
        <w:fldChar w:fldCharType="begin"/>
      </w:r>
      <w:r w:rsidR="00E81F6A" w:rsidRPr="00E81F6A">
        <w:rPr>
          <w:vertAlign w:val="superscript"/>
        </w:rPr>
        <w:instrText xml:space="preserve"> NOTEREF _Ref496199981 \h  \* MERGEFORMAT </w:instrText>
      </w:r>
      <w:r w:rsidR="00E81F6A" w:rsidRPr="00E81F6A">
        <w:rPr>
          <w:vertAlign w:val="superscript"/>
        </w:rPr>
      </w:r>
      <w:r w:rsidR="00E81F6A" w:rsidRPr="00E81F6A">
        <w:rPr>
          <w:vertAlign w:val="superscript"/>
        </w:rPr>
        <w:fldChar w:fldCharType="separate"/>
      </w:r>
      <w:r w:rsidR="003D50F1">
        <w:rPr>
          <w:vertAlign w:val="superscript"/>
        </w:rPr>
        <w:t>95</w:t>
      </w:r>
      <w:r w:rsidR="00E81F6A" w:rsidRPr="00E81F6A">
        <w:rPr>
          <w:vertAlign w:val="superscript"/>
        </w:rPr>
        <w:fldChar w:fldCharType="end"/>
      </w:r>
      <w:r w:rsidRPr="0083055A">
        <w:t xml:space="preserve"> the difference</w:t>
      </w:r>
      <w:r>
        <w:t xml:space="preserve"> </w:t>
      </w:r>
      <w:r w:rsidRPr="0083055A">
        <w:t>relative to placebo ranged from 23% to 41%. The results were statistically significant for all years</w:t>
      </w:r>
      <w:r>
        <w:t xml:space="preserve"> </w:t>
      </w:r>
      <w:r w:rsidRPr="0083055A">
        <w:t>(p</w:t>
      </w:r>
      <w:r w:rsidR="000F4578">
        <w:t xml:space="preserve"> </w:t>
      </w:r>
      <w:r w:rsidR="004A7F98">
        <w:t xml:space="preserve">≤ </w:t>
      </w:r>
      <w:r w:rsidRPr="0083055A">
        <w:t>0.</w:t>
      </w:r>
      <w:r w:rsidRPr="00B83873">
        <w:t xml:space="preserve">0128). Figure </w:t>
      </w:r>
      <w:r w:rsidR="00B83873" w:rsidRPr="00B83873">
        <w:t>4</w:t>
      </w:r>
      <w:r w:rsidRPr="0083055A">
        <w:t xml:space="preserve"> also demonstrates that the treatment difference relative to placebo for the TCS</w:t>
      </w:r>
      <w:r>
        <w:t xml:space="preserve"> </w:t>
      </w:r>
      <w:r w:rsidRPr="0083055A">
        <w:t>was in favour of Grazax.</w:t>
      </w:r>
    </w:p>
    <w:p w14:paraId="4FE91EB2" w14:textId="267D376E" w:rsidR="000848C2" w:rsidRPr="000848C2" w:rsidRDefault="000848C2" w:rsidP="000848C2">
      <w:r w:rsidRPr="000848C2">
        <w:t>As mentioned previously, the dependency of treatment effect on pollen exposure is an important relationship that must be considered when interpreting trial results</w:t>
      </w:r>
      <w:r w:rsidR="00E81F6A">
        <w:t>.</w:t>
      </w:r>
      <w:r w:rsidR="00E81F6A" w:rsidRPr="00E81F6A">
        <w:rPr>
          <w:vertAlign w:val="superscript"/>
        </w:rPr>
        <w:fldChar w:fldCharType="begin"/>
      </w:r>
      <w:r w:rsidR="00E81F6A" w:rsidRPr="00E81F6A">
        <w:rPr>
          <w:vertAlign w:val="superscript"/>
        </w:rPr>
        <w:instrText xml:space="preserve"> NOTEREF _Ref496200086 \h </w:instrText>
      </w:r>
      <w:r w:rsidR="00E81F6A">
        <w:rPr>
          <w:vertAlign w:val="superscript"/>
        </w:rPr>
        <w:instrText xml:space="preserve"> \* MERGEFORMAT </w:instrText>
      </w:r>
      <w:r w:rsidR="00E81F6A" w:rsidRPr="00E81F6A">
        <w:rPr>
          <w:vertAlign w:val="superscript"/>
        </w:rPr>
      </w:r>
      <w:r w:rsidR="00E81F6A" w:rsidRPr="00E81F6A">
        <w:rPr>
          <w:vertAlign w:val="superscript"/>
        </w:rPr>
        <w:fldChar w:fldCharType="separate"/>
      </w:r>
      <w:r w:rsidR="003D50F1">
        <w:rPr>
          <w:vertAlign w:val="superscript"/>
        </w:rPr>
        <w:t>92</w:t>
      </w:r>
      <w:r w:rsidR="00E81F6A" w:rsidRPr="00E81F6A">
        <w:rPr>
          <w:vertAlign w:val="superscript"/>
        </w:rPr>
        <w:fldChar w:fldCharType="end"/>
      </w:r>
      <w:r w:rsidRPr="000848C2">
        <w:t xml:space="preserve"> The TCS for Grazax in relation</w:t>
      </w:r>
      <w:r>
        <w:t xml:space="preserve"> </w:t>
      </w:r>
      <w:r w:rsidRPr="000848C2">
        <w:t xml:space="preserve">to daily grass pollen count for </w:t>
      </w:r>
      <w:r w:rsidR="000F4578">
        <w:t>Year</w:t>
      </w:r>
      <w:r w:rsidR="002F3CBA">
        <w:t xml:space="preserve">s 1 to </w:t>
      </w:r>
      <w:r w:rsidRPr="000848C2">
        <w:t xml:space="preserve">5 is presented </w:t>
      </w:r>
      <w:r w:rsidRPr="00B83873">
        <w:t xml:space="preserve">in Figure </w:t>
      </w:r>
      <w:r w:rsidR="00B83873" w:rsidRPr="00B83873">
        <w:t>5</w:t>
      </w:r>
      <w:r w:rsidRPr="00B83873">
        <w:t>.</w:t>
      </w:r>
      <w:r w:rsidRPr="000848C2">
        <w:t xml:space="preserve"> The results demonstrate:</w:t>
      </w:r>
    </w:p>
    <w:p w14:paraId="4FE91EB3" w14:textId="77777777" w:rsidR="000848C2" w:rsidRPr="000848C2" w:rsidRDefault="000848C2" w:rsidP="000848C2">
      <w:pPr>
        <w:pStyle w:val="ListBullet"/>
      </w:pPr>
      <w:proofErr w:type="gramStart"/>
      <w:r w:rsidRPr="000848C2">
        <w:t>the</w:t>
      </w:r>
      <w:proofErr w:type="gramEnd"/>
      <w:r w:rsidRPr="000848C2">
        <w:t xml:space="preserve"> TCS for both active and placebo are dependent on the </w:t>
      </w:r>
      <w:r>
        <w:t>pollen count (</w:t>
      </w:r>
      <w:r w:rsidR="004A7F98">
        <w:t>that is</w:t>
      </w:r>
      <w:r>
        <w:t xml:space="preserve"> at increased </w:t>
      </w:r>
      <w:r w:rsidRPr="000848C2">
        <w:t xml:space="preserve">pollen counts, the TCS score increases). Of note, the </w:t>
      </w:r>
      <w:r>
        <w:t xml:space="preserve">same relationship was found for </w:t>
      </w:r>
      <w:r w:rsidRPr="000848C2">
        <w:t>the separate symptom and medication scores (not shown).</w:t>
      </w:r>
    </w:p>
    <w:p w14:paraId="4FE91EB4" w14:textId="77777777" w:rsidR="0083055A" w:rsidRPr="000848C2" w:rsidRDefault="000848C2" w:rsidP="000848C2">
      <w:pPr>
        <w:pStyle w:val="ListBullet"/>
      </w:pPr>
      <w:proofErr w:type="gramStart"/>
      <w:r w:rsidRPr="000848C2">
        <w:t>the</w:t>
      </w:r>
      <w:proofErr w:type="gramEnd"/>
      <w:r w:rsidRPr="000848C2">
        <w:t xml:space="preserve"> magnitude of treatment effect (</w:t>
      </w:r>
      <w:r w:rsidR="004A7F98">
        <w:t>that is</w:t>
      </w:r>
      <w:r w:rsidRPr="000848C2">
        <w:t xml:space="preserve"> the differe</w:t>
      </w:r>
      <w:r>
        <w:t xml:space="preserve">nce between active and placebo, </w:t>
      </w:r>
      <w:r w:rsidRPr="000848C2">
        <w:t>based on TCS) increases with higher pollen counts.</w:t>
      </w:r>
    </w:p>
    <w:p w14:paraId="4FE91EB5" w14:textId="77777777" w:rsidR="000848C2" w:rsidRPr="000848C2" w:rsidRDefault="000848C2" w:rsidP="000848C2">
      <w:r w:rsidRPr="000848C2">
        <w:t>The clinical relevance and statistical significance of the TCS for Grazax thus demonstrate the long</w:t>
      </w:r>
      <w:r>
        <w:t xml:space="preserve"> </w:t>
      </w:r>
      <w:r w:rsidRPr="000848C2">
        <w:t>term efficacy and disease modifying effect (</w:t>
      </w:r>
      <w:r w:rsidR="004A7F98">
        <w:t>that is</w:t>
      </w:r>
      <w:r w:rsidRPr="000848C2">
        <w:t xml:space="preserve"> a sustained significant</w:t>
      </w:r>
      <w:r>
        <w:t xml:space="preserve"> and clinically relevant effect </w:t>
      </w:r>
      <w:r w:rsidRPr="000848C2">
        <w:t>for at least</w:t>
      </w:r>
      <w:r w:rsidR="002F3CBA">
        <w:t xml:space="preserve"> 2 post </w:t>
      </w:r>
      <w:r w:rsidRPr="000848C2">
        <w:t>treatment years following 3 years of treatment) and support the cla</w:t>
      </w:r>
      <w:r>
        <w:t xml:space="preserve">im for disease </w:t>
      </w:r>
      <w:r w:rsidRPr="000848C2">
        <w:t>modification.</w:t>
      </w:r>
    </w:p>
    <w:p w14:paraId="4FE91EB6" w14:textId="77777777" w:rsidR="0083055A" w:rsidRDefault="000848C2" w:rsidP="000848C2">
      <w:r w:rsidRPr="000848C2">
        <w:t>The proposed PI has been amen</w:t>
      </w:r>
      <w:r w:rsidR="009975CF">
        <w:t>ded to include the TCS results</w:t>
      </w:r>
    </w:p>
    <w:p w14:paraId="4FE91EB7" w14:textId="7F0400AE" w:rsidR="0083055A" w:rsidRDefault="000848C2" w:rsidP="000848C2">
      <w:pPr>
        <w:pStyle w:val="Tabletitle0"/>
      </w:pPr>
      <w:r w:rsidRPr="00D7132E">
        <w:t xml:space="preserve">Table </w:t>
      </w:r>
      <w:r w:rsidR="00500CC2">
        <w:t>30</w:t>
      </w:r>
      <w:r>
        <w:t xml:space="preserve">: Results for </w:t>
      </w:r>
      <w:r w:rsidR="000F4578">
        <w:t>Phase III</w:t>
      </w:r>
      <w:r>
        <w:t xml:space="preserve"> trial GT-08 total combined score (TCS) </w:t>
      </w:r>
      <w:r w:rsidR="000F4578">
        <w:t>Year</w:t>
      </w:r>
      <w:r w:rsidR="002F3CBA">
        <w:t xml:space="preserve">s 1 to </w:t>
      </w:r>
      <w:r>
        <w:t>5</w:t>
      </w:r>
      <w:r w:rsidR="00E81F6A">
        <w:rPr>
          <w:rStyle w:val="FootnoteReference"/>
        </w:rPr>
        <w:footnoteReference w:id="98"/>
      </w:r>
    </w:p>
    <w:p w14:paraId="4FE91EB8" w14:textId="77777777" w:rsidR="0083055A" w:rsidRDefault="00C65C33" w:rsidP="0083055A">
      <w:r>
        <w:rPr>
          <w:noProof/>
          <w:lang w:eastAsia="en-AU"/>
        </w:rPr>
        <w:drawing>
          <wp:inline distT="0" distB="0" distL="0" distR="0" wp14:anchorId="4FE91F21" wp14:editId="70EB7AF4">
            <wp:extent cx="5697672" cy="1789044"/>
            <wp:effectExtent l="0" t="0" r="0" b="1905"/>
            <wp:docPr id="29" name="Picture 29" descr="Table 30: Results for Phase III trial GT-08 total combined score (TCS) Years 1 to 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704269" cy="1791115"/>
                    </a:xfrm>
                    <a:prstGeom prst="rect">
                      <a:avLst/>
                    </a:prstGeom>
                  </pic:spPr>
                </pic:pic>
              </a:graphicData>
            </a:graphic>
          </wp:inline>
        </w:drawing>
      </w:r>
    </w:p>
    <w:p w14:paraId="4FE91EB9" w14:textId="77777777" w:rsidR="00C65C33" w:rsidRDefault="00C65C33" w:rsidP="00E81F6A">
      <w:pPr>
        <w:pStyle w:val="FigureTitle"/>
      </w:pPr>
      <w:r w:rsidRPr="00B83873">
        <w:lastRenderedPageBreak/>
        <w:t xml:space="preserve">Figure </w:t>
      </w:r>
      <w:r w:rsidR="00B83873" w:rsidRPr="00B83873">
        <w:t>4</w:t>
      </w:r>
      <w:r w:rsidRPr="00B83873">
        <w:t xml:space="preserve">: Forrest plot of GT-08 total combined scores (TCS) </w:t>
      </w:r>
      <w:r w:rsidR="000F4578" w:rsidRPr="00B83873">
        <w:t>Year</w:t>
      </w:r>
      <w:r w:rsidR="002F3CBA" w:rsidRPr="00B83873">
        <w:t xml:space="preserve">s 1 to </w:t>
      </w:r>
      <w:r w:rsidRPr="00B83873">
        <w:t>5</w:t>
      </w:r>
    </w:p>
    <w:p w14:paraId="4FE91EBA" w14:textId="77777777" w:rsidR="00C65C33" w:rsidRDefault="00C65C33" w:rsidP="0083055A">
      <w:r>
        <w:rPr>
          <w:noProof/>
          <w:lang w:eastAsia="en-AU"/>
        </w:rPr>
        <w:drawing>
          <wp:inline distT="0" distB="0" distL="0" distR="0" wp14:anchorId="4FE91F23" wp14:editId="0D3885DF">
            <wp:extent cx="5739218" cy="3196425"/>
            <wp:effectExtent l="0" t="0" r="0" b="4445"/>
            <wp:docPr id="31" name="Picture 31" descr="Figure 4: Forrest plot of GT-08 total combined scores (TCS) Years 1 to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744126" cy="3199158"/>
                    </a:xfrm>
                    <a:prstGeom prst="rect">
                      <a:avLst/>
                    </a:prstGeom>
                  </pic:spPr>
                </pic:pic>
              </a:graphicData>
            </a:graphic>
          </wp:inline>
        </w:drawing>
      </w:r>
    </w:p>
    <w:p w14:paraId="4FE91EBB" w14:textId="77777777" w:rsidR="00C65C33" w:rsidRDefault="00C65C33" w:rsidP="00336D2F">
      <w:pPr>
        <w:pStyle w:val="FigureTitle"/>
      </w:pPr>
      <w:r w:rsidRPr="00B83873">
        <w:t xml:space="preserve">Figure </w:t>
      </w:r>
      <w:r w:rsidR="00B83873" w:rsidRPr="00B83873">
        <w:t>5</w:t>
      </w:r>
      <w:r w:rsidRPr="00B83873">
        <w:t>: TCS for Grazax v</w:t>
      </w:r>
      <w:r w:rsidR="00B83873">
        <w:t>ersu</w:t>
      </w:r>
      <w:r w:rsidRPr="00B83873">
        <w:t>s placebo (</w:t>
      </w:r>
      <w:r w:rsidR="000F4578" w:rsidRPr="00B83873">
        <w:t>Year</w:t>
      </w:r>
      <w:r w:rsidRPr="00B83873">
        <w:t>s 1-5) in relation to daily grass pollen count</w:t>
      </w:r>
      <w:r w:rsidR="00E81F6A" w:rsidRPr="00B83873">
        <w:rPr>
          <w:rStyle w:val="FootnoteReference"/>
        </w:rPr>
        <w:footnoteReference w:id="99"/>
      </w:r>
    </w:p>
    <w:p w14:paraId="4FE91EBC" w14:textId="77777777" w:rsidR="00C65C33" w:rsidRDefault="00C65C33" w:rsidP="0083055A">
      <w:r>
        <w:rPr>
          <w:noProof/>
          <w:lang w:eastAsia="en-AU"/>
        </w:rPr>
        <w:drawing>
          <wp:inline distT="0" distB="0" distL="0" distR="0" wp14:anchorId="4FE91F25" wp14:editId="2EEA409D">
            <wp:extent cx="4548146" cy="2516058"/>
            <wp:effectExtent l="0" t="0" r="5080" b="0"/>
            <wp:docPr id="32" name="Picture 32" descr="Figure 5: TCS for Grazax vs placebo (Years 1-5) in relation to daily grass pollen 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549848" cy="2517000"/>
                    </a:xfrm>
                    <a:prstGeom prst="rect">
                      <a:avLst/>
                    </a:prstGeom>
                  </pic:spPr>
                </pic:pic>
              </a:graphicData>
            </a:graphic>
          </wp:inline>
        </w:drawing>
      </w:r>
    </w:p>
    <w:p w14:paraId="4FE91EBD" w14:textId="77777777" w:rsidR="00C65C33" w:rsidRPr="00C65C33" w:rsidRDefault="00C65C33" w:rsidP="00C65C33">
      <w:pPr>
        <w:rPr>
          <w:i/>
        </w:rPr>
      </w:pPr>
      <w:r w:rsidRPr="00C65C33">
        <w:rPr>
          <w:i/>
        </w:rPr>
        <w:t>Well days</w:t>
      </w:r>
    </w:p>
    <w:p w14:paraId="4FE91EBE" w14:textId="579B136A" w:rsidR="00C65C33" w:rsidRPr="00C65C33" w:rsidRDefault="00C65C33" w:rsidP="00C65C33">
      <w:r w:rsidRPr="00C65C33">
        <w:t>The number of ‘well days’ evaluates the number of days with sym</w:t>
      </w:r>
      <w:r>
        <w:t>ptom control (</w:t>
      </w:r>
      <w:r w:rsidR="004A7F98">
        <w:t>that is</w:t>
      </w:r>
      <w:r>
        <w:t xml:space="preserve"> days without </w:t>
      </w:r>
      <w:r w:rsidRPr="00C65C33">
        <w:t>intake of rescue medication and a symptom score below a pre-defined</w:t>
      </w:r>
      <w:r>
        <w:t xml:space="preserve"> and clinically relevant </w:t>
      </w:r>
      <w:r w:rsidRPr="00C65C33">
        <w:t>threshold). This is an important measure of quality of life for both the p</w:t>
      </w:r>
      <w:r>
        <w:t xml:space="preserve">atient and the clinician and is </w:t>
      </w:r>
      <w:r w:rsidRPr="00C65C33">
        <w:t>recognised as an important indicator of efficacy for AIT</w:t>
      </w:r>
      <w:r w:rsidR="00E81F6A">
        <w:t>.</w:t>
      </w:r>
      <w:r w:rsidR="00E81F6A">
        <w:rPr>
          <w:rStyle w:val="FootnoteReference"/>
        </w:rPr>
        <w:footnoteReference w:id="100"/>
      </w:r>
      <w:r w:rsidR="00E81F6A">
        <w:t xml:space="preserve">, </w:t>
      </w:r>
      <w:r w:rsidR="00E81F6A" w:rsidRPr="00E81F6A">
        <w:rPr>
          <w:vertAlign w:val="superscript"/>
        </w:rPr>
        <w:fldChar w:fldCharType="begin"/>
      </w:r>
      <w:r w:rsidR="00E81F6A" w:rsidRPr="00E81F6A">
        <w:rPr>
          <w:vertAlign w:val="superscript"/>
        </w:rPr>
        <w:instrText xml:space="preserve"> NOTEREF _Ref496200433 \h </w:instrText>
      </w:r>
      <w:r w:rsidR="00E81F6A">
        <w:rPr>
          <w:vertAlign w:val="superscript"/>
        </w:rPr>
        <w:instrText xml:space="preserve"> \* MERGEFORMAT </w:instrText>
      </w:r>
      <w:r w:rsidR="00E81F6A" w:rsidRPr="00E81F6A">
        <w:rPr>
          <w:vertAlign w:val="superscript"/>
        </w:rPr>
      </w:r>
      <w:r w:rsidR="00E81F6A" w:rsidRPr="00E81F6A">
        <w:rPr>
          <w:vertAlign w:val="superscript"/>
        </w:rPr>
        <w:fldChar w:fldCharType="separate"/>
      </w:r>
      <w:r w:rsidR="003D50F1">
        <w:rPr>
          <w:vertAlign w:val="superscript"/>
        </w:rPr>
        <w:t>96</w:t>
      </w:r>
      <w:r w:rsidR="00E81F6A" w:rsidRPr="00E81F6A">
        <w:rPr>
          <w:vertAlign w:val="superscript"/>
        </w:rPr>
        <w:fldChar w:fldCharType="end"/>
      </w:r>
      <w:r>
        <w:t xml:space="preserve"> </w:t>
      </w:r>
      <w:r w:rsidRPr="00C65C33">
        <w:t>In GT-</w:t>
      </w:r>
      <w:r>
        <w:t xml:space="preserve">08, well days were defined as a </w:t>
      </w:r>
      <w:r w:rsidRPr="00C65C33">
        <w:t xml:space="preserve">measurement that combines the medication and symptom score for </w:t>
      </w:r>
      <w:r>
        <w:t xml:space="preserve">rhinoconjunctivitis without any </w:t>
      </w:r>
      <w:r w:rsidRPr="00C65C33">
        <w:t xml:space="preserve">intake of symptomatic medications </w:t>
      </w:r>
      <w:r w:rsidRPr="00C65C33">
        <w:lastRenderedPageBreak/>
        <w:t xml:space="preserve">and a total </w:t>
      </w:r>
      <w:r w:rsidRPr="00400058">
        <w:t>daily rhinoconjunctivitis symptom score no larger</w:t>
      </w:r>
      <w:r>
        <w:t xml:space="preserve"> than </w:t>
      </w:r>
      <w:r w:rsidRPr="00C65C33">
        <w:t>2</w:t>
      </w:r>
      <w:r>
        <w:t xml:space="preserve"> </w:t>
      </w:r>
      <w:r w:rsidR="00E81F6A">
        <w:rPr>
          <w:rStyle w:val="FootnoteReference"/>
        </w:rPr>
        <w:footnoteReference w:id="101"/>
      </w:r>
      <w:r w:rsidRPr="00C65C33">
        <w:t xml:space="preserve"> (from a maximum score of 18</w:t>
      </w:r>
      <w:r w:rsidR="009F3C08">
        <w:rPr>
          <w:rStyle w:val="FootnoteReference"/>
        </w:rPr>
        <w:footnoteReference w:id="102"/>
      </w:r>
      <w:r w:rsidRPr="00C65C33">
        <w:t>).</w:t>
      </w:r>
    </w:p>
    <w:p w14:paraId="4FE91EBF" w14:textId="1FA4A2E0" w:rsidR="00C65C33" w:rsidRPr="00C65C33" w:rsidRDefault="00C65C33" w:rsidP="00C65C33">
      <w:r w:rsidRPr="00C65C33">
        <w:t xml:space="preserve">Analysis of well days for the entire </w:t>
      </w:r>
      <w:r w:rsidR="0082122C">
        <w:t>GPS</w:t>
      </w:r>
      <w:r w:rsidRPr="00C65C33">
        <w:t xml:space="preserve"> for each of </w:t>
      </w:r>
      <w:r w:rsidR="000F4578">
        <w:t>Year</w:t>
      </w:r>
      <w:r w:rsidR="002F3CBA">
        <w:t xml:space="preserve">s 1 to </w:t>
      </w:r>
      <w:r>
        <w:t xml:space="preserve">5 of GT-08 are presented </w:t>
      </w:r>
      <w:r w:rsidRPr="00D7132E">
        <w:t xml:space="preserve">in Table </w:t>
      </w:r>
      <w:r w:rsidR="00D7132E" w:rsidRPr="00D7132E">
        <w:t>3</w:t>
      </w:r>
      <w:r w:rsidR="00500CC2">
        <w:t>1</w:t>
      </w:r>
      <w:r w:rsidR="00D7132E">
        <w:t>.</w:t>
      </w:r>
      <w:r w:rsidRPr="00C65C33">
        <w:t xml:space="preserve"> The increase in well days for patients administered Gra</w:t>
      </w:r>
      <w:r>
        <w:t xml:space="preserve">zax compared to placebo ranged </w:t>
      </w:r>
      <w:r w:rsidRPr="00C65C33">
        <w:t xml:space="preserve">from 24% to 48% for the entire pollen season over </w:t>
      </w:r>
      <w:r w:rsidR="000F4578">
        <w:t>Year</w:t>
      </w:r>
      <w:r w:rsidR="002F3CBA">
        <w:t xml:space="preserve">s 1 to </w:t>
      </w:r>
      <w:r w:rsidRPr="00C65C33">
        <w:t>5 (</w:t>
      </w:r>
      <w:r w:rsidR="002F3CBA">
        <w:t xml:space="preserve">p ≤ </w:t>
      </w:r>
      <w:r w:rsidRPr="00C65C33">
        <w:t>0.</w:t>
      </w:r>
      <w:r>
        <w:t xml:space="preserve">0203). The difference in median </w:t>
      </w:r>
      <w:r w:rsidRPr="00C65C33">
        <w:t>number of well days for patients administered Grazax compared to p</w:t>
      </w:r>
      <w:r w:rsidR="002F3CBA">
        <w:t xml:space="preserve">lacebo was 6 to </w:t>
      </w:r>
      <w:r>
        <w:t xml:space="preserve">9 days. Bearing in </w:t>
      </w:r>
      <w:r w:rsidRPr="00C65C33">
        <w:t>mind the definition of well days comprises improvement in symptom s</w:t>
      </w:r>
      <w:r>
        <w:t xml:space="preserve">core without use of medication, </w:t>
      </w:r>
      <w:r w:rsidRPr="00C65C33">
        <w:t xml:space="preserve">the difference in median number of well days for Grazax compared to </w:t>
      </w:r>
      <w:r>
        <w:t>placebo (</w:t>
      </w:r>
      <w:r w:rsidR="004A7F98">
        <w:t>that is</w:t>
      </w:r>
      <w:r w:rsidR="002F3CBA">
        <w:t xml:space="preserve"> difference of 6 to </w:t>
      </w:r>
      <w:r>
        <w:t xml:space="preserve">9 </w:t>
      </w:r>
      <w:r w:rsidRPr="00C65C33">
        <w:t xml:space="preserve">days over </w:t>
      </w:r>
      <w:r w:rsidR="000F4578">
        <w:t>Year</w:t>
      </w:r>
      <w:r w:rsidR="002F3CBA">
        <w:t xml:space="preserve">s 1 to </w:t>
      </w:r>
      <w:r w:rsidRPr="00C65C33">
        <w:t>5) is considered clinically relevant for both patien</w:t>
      </w:r>
      <w:r>
        <w:t xml:space="preserve">ts and clinicians. The clinical </w:t>
      </w:r>
      <w:r w:rsidRPr="00C65C33">
        <w:t>relevance and statistical significance of these results support the l</w:t>
      </w:r>
      <w:r>
        <w:t xml:space="preserve">ong term efficacy and disease </w:t>
      </w:r>
      <w:r w:rsidRPr="00C65C33">
        <w:t>modifying effect of Grazax (</w:t>
      </w:r>
      <w:r w:rsidR="004A7F98">
        <w:t>that is</w:t>
      </w:r>
      <w:r w:rsidRPr="00C65C33">
        <w:t xml:space="preserve"> a sustained significant and clinically relevant effe</w:t>
      </w:r>
      <w:r>
        <w:t>ct for at least 2 post</w:t>
      </w:r>
      <w:r w:rsidR="002F3CBA">
        <w:t xml:space="preserve"> </w:t>
      </w:r>
      <w:r>
        <w:t xml:space="preserve">treatment </w:t>
      </w:r>
      <w:r w:rsidRPr="00C65C33">
        <w:t>years following 3 years of treatment) and provide addit</w:t>
      </w:r>
      <w:r>
        <w:t xml:space="preserve">ional support for the claim for </w:t>
      </w:r>
      <w:r w:rsidRPr="00C65C33">
        <w:t>disease modification.</w:t>
      </w:r>
    </w:p>
    <w:p w14:paraId="4FE91EC0" w14:textId="0A09279F" w:rsidR="00C65C33" w:rsidRDefault="00C65C33" w:rsidP="00C65C33">
      <w:pPr>
        <w:pStyle w:val="Tabletitle0"/>
      </w:pPr>
      <w:r>
        <w:t xml:space="preserve">Table </w:t>
      </w:r>
      <w:r w:rsidR="00D7132E">
        <w:t>3</w:t>
      </w:r>
      <w:r w:rsidR="00500CC2">
        <w:t>1</w:t>
      </w:r>
      <w:r>
        <w:t xml:space="preserve">: Analysis of Well Days for the Entire </w:t>
      </w:r>
      <w:r w:rsidR="0082122C">
        <w:t>GPS</w:t>
      </w:r>
      <w:r>
        <w:t xml:space="preserve"> for each of </w:t>
      </w:r>
      <w:r w:rsidR="000F4578">
        <w:t>Year</w:t>
      </w:r>
      <w:r w:rsidR="002F3CBA">
        <w:t xml:space="preserve">s 1 to </w:t>
      </w:r>
      <w:r>
        <w:t>5 of GT-08 (FAS</w:t>
      </w:r>
      <w:proofErr w:type="gramStart"/>
      <w:r>
        <w:t>)</w:t>
      </w:r>
      <w:r w:rsidR="00A60064">
        <w:t xml:space="preserve"> </w:t>
      </w:r>
      <w:proofErr w:type="gramEnd"/>
      <w:r w:rsidR="009F3C08">
        <w:rPr>
          <w:rStyle w:val="FootnoteReference"/>
        </w:rPr>
        <w:footnoteReference w:id="103"/>
      </w:r>
      <w:r w:rsidR="009F3C08">
        <w:t xml:space="preserve">, </w:t>
      </w:r>
      <w:r w:rsidR="009F3C08">
        <w:rPr>
          <w:rStyle w:val="FootnoteReference"/>
        </w:rPr>
        <w:footnoteReference w:id="104"/>
      </w:r>
      <w:r w:rsidR="009F3C08">
        <w:t xml:space="preserve">, </w:t>
      </w:r>
      <w:r w:rsidR="009F3C08">
        <w:rPr>
          <w:rStyle w:val="FootnoteReference"/>
        </w:rPr>
        <w:footnoteReference w:id="105"/>
      </w:r>
      <w:r w:rsidR="009F3C08">
        <w:t xml:space="preserve">, </w:t>
      </w:r>
      <w:r w:rsidR="009F3C08">
        <w:rPr>
          <w:rStyle w:val="FootnoteReference"/>
        </w:rPr>
        <w:footnoteReference w:id="106"/>
      </w:r>
      <w:r w:rsidR="009F3C08">
        <w:t xml:space="preserve">, </w:t>
      </w:r>
      <w:r w:rsidR="009F3C08">
        <w:rPr>
          <w:rStyle w:val="FootnoteReference"/>
        </w:rPr>
        <w:footnoteReference w:id="107"/>
      </w:r>
    </w:p>
    <w:p w14:paraId="4FE91EC1" w14:textId="77777777" w:rsidR="00C65C33" w:rsidRDefault="00C65C33" w:rsidP="0083055A">
      <w:r>
        <w:rPr>
          <w:noProof/>
          <w:lang w:eastAsia="en-AU"/>
        </w:rPr>
        <w:drawing>
          <wp:inline distT="0" distB="0" distL="0" distR="0" wp14:anchorId="4FE91F27" wp14:editId="4CA45D5C">
            <wp:extent cx="5400040" cy="2037707"/>
            <wp:effectExtent l="0" t="0" r="0" b="1270"/>
            <wp:docPr id="33" name="Picture 33" descr="Table 31: Analysis of Well Days for the Entire grass pollen season for each of Years 1 to 5 of GT-08 (F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400040" cy="2037707"/>
                    </a:xfrm>
                    <a:prstGeom prst="rect">
                      <a:avLst/>
                    </a:prstGeom>
                  </pic:spPr>
                </pic:pic>
              </a:graphicData>
            </a:graphic>
          </wp:inline>
        </w:drawing>
      </w:r>
    </w:p>
    <w:p w14:paraId="4FE91EC2" w14:textId="77777777" w:rsidR="00C65C33" w:rsidRPr="00C65C33" w:rsidRDefault="00C65C33" w:rsidP="00C65C33">
      <w:pPr>
        <w:rPr>
          <w:i/>
        </w:rPr>
      </w:pPr>
      <w:r w:rsidRPr="00C65C33">
        <w:rPr>
          <w:i/>
        </w:rPr>
        <w:t>Changes to in vitro immunological parameters</w:t>
      </w:r>
    </w:p>
    <w:p w14:paraId="4FE91EC3" w14:textId="0F85FD9C" w:rsidR="00C65C33" w:rsidRPr="00C65C33" w:rsidRDefault="00C65C33" w:rsidP="00C65C33">
      <w:r w:rsidRPr="00C65C33">
        <w:t>In accordance with EMA</w:t>
      </w:r>
      <w:r w:rsidR="00A60064">
        <w:t xml:space="preserve"> </w:t>
      </w:r>
      <w:r w:rsidR="009F3C08" w:rsidRPr="009F3C08">
        <w:rPr>
          <w:vertAlign w:val="superscript"/>
        </w:rPr>
        <w:fldChar w:fldCharType="begin"/>
      </w:r>
      <w:r w:rsidR="009F3C08" w:rsidRPr="009F3C08">
        <w:rPr>
          <w:vertAlign w:val="superscript"/>
        </w:rPr>
        <w:instrText xml:space="preserve"> NOTEREF _Ref496201076 \h </w:instrText>
      </w:r>
      <w:r w:rsidR="009F3C08">
        <w:rPr>
          <w:vertAlign w:val="superscript"/>
        </w:rPr>
        <w:instrText xml:space="preserve"> \* MERGEFORMAT </w:instrText>
      </w:r>
      <w:r w:rsidR="009F3C08" w:rsidRPr="009F3C08">
        <w:rPr>
          <w:vertAlign w:val="superscript"/>
        </w:rPr>
      </w:r>
      <w:r w:rsidR="009F3C08" w:rsidRPr="009F3C08">
        <w:rPr>
          <w:vertAlign w:val="superscript"/>
        </w:rPr>
        <w:fldChar w:fldCharType="separate"/>
      </w:r>
      <w:r w:rsidR="003D50F1">
        <w:rPr>
          <w:vertAlign w:val="superscript"/>
        </w:rPr>
        <w:t>94</w:t>
      </w:r>
      <w:r w:rsidR="009F3C08" w:rsidRPr="009F3C08">
        <w:rPr>
          <w:vertAlign w:val="superscript"/>
        </w:rPr>
        <w:fldChar w:fldCharType="end"/>
      </w:r>
      <w:r w:rsidRPr="00C65C33">
        <w:t xml:space="preserve"> and the World Allergy Organisation (WAO)</w:t>
      </w:r>
      <w:r w:rsidR="009F3C08">
        <w:t>,</w:t>
      </w:r>
      <w:r>
        <w:t xml:space="preserve"> </w:t>
      </w:r>
      <w:r w:rsidR="009F3C08" w:rsidRPr="009F3C08">
        <w:rPr>
          <w:vertAlign w:val="superscript"/>
        </w:rPr>
        <w:fldChar w:fldCharType="begin"/>
      </w:r>
      <w:r w:rsidR="009F3C08" w:rsidRPr="009F3C08">
        <w:rPr>
          <w:vertAlign w:val="superscript"/>
        </w:rPr>
        <w:instrText xml:space="preserve"> NOTEREF _Ref496200433 \h </w:instrText>
      </w:r>
      <w:r w:rsidR="009F3C08">
        <w:rPr>
          <w:vertAlign w:val="superscript"/>
        </w:rPr>
        <w:instrText xml:space="preserve"> \* MERGEFORMAT </w:instrText>
      </w:r>
      <w:r w:rsidR="009F3C08" w:rsidRPr="009F3C08">
        <w:rPr>
          <w:vertAlign w:val="superscript"/>
        </w:rPr>
      </w:r>
      <w:r w:rsidR="009F3C08" w:rsidRPr="009F3C08">
        <w:rPr>
          <w:vertAlign w:val="superscript"/>
        </w:rPr>
        <w:fldChar w:fldCharType="separate"/>
      </w:r>
      <w:r w:rsidR="003D50F1">
        <w:rPr>
          <w:vertAlign w:val="superscript"/>
        </w:rPr>
        <w:t>96</w:t>
      </w:r>
      <w:r w:rsidR="009F3C08" w:rsidRPr="009F3C08">
        <w:rPr>
          <w:vertAlign w:val="superscript"/>
        </w:rPr>
        <w:fldChar w:fldCharType="end"/>
      </w:r>
      <w:r>
        <w:t xml:space="preserve"> changes in immunological </w:t>
      </w:r>
      <w:r w:rsidRPr="00C65C33">
        <w:t>parameters should be explored to assess the efficacy for allergy imm</w:t>
      </w:r>
      <w:r>
        <w:t xml:space="preserve">unotherapy. Thus, immunological </w:t>
      </w:r>
      <w:r w:rsidRPr="00C65C33">
        <w:t>parameters were assessed for Grazax GT-08 (</w:t>
      </w:r>
      <w:r w:rsidR="000F4578">
        <w:t>Year</w:t>
      </w:r>
      <w:r w:rsidR="002F3CBA">
        <w:t xml:space="preserve">s 1 to </w:t>
      </w:r>
      <w:r w:rsidRPr="00C65C33">
        <w:t>5).</w:t>
      </w:r>
    </w:p>
    <w:p w14:paraId="4FE91EC4" w14:textId="77777777" w:rsidR="00C65C33" w:rsidRPr="00C65C33" w:rsidRDefault="00C65C33" w:rsidP="00C65C33">
      <w:r w:rsidRPr="00C65C33">
        <w:t>Specifically,</w:t>
      </w:r>
    </w:p>
    <w:p w14:paraId="4FE91EC5" w14:textId="77777777" w:rsidR="00C65C33" w:rsidRPr="00C65C33" w:rsidRDefault="00C65C33" w:rsidP="00C65C33">
      <w:pPr>
        <w:pStyle w:val="ListBullet"/>
      </w:pPr>
      <w:proofErr w:type="spellStart"/>
      <w:r w:rsidRPr="00C65C33">
        <w:t>IgE</w:t>
      </w:r>
      <w:proofErr w:type="spellEnd"/>
      <w:r w:rsidRPr="00C65C33">
        <w:t xml:space="preserve"> (for which the role in alle</w:t>
      </w:r>
      <w:r w:rsidR="002F3CBA">
        <w:t>rgy is well established)</w:t>
      </w:r>
    </w:p>
    <w:p w14:paraId="4FE91EC6" w14:textId="77777777" w:rsidR="00C65C33" w:rsidRPr="00C65C33" w:rsidRDefault="00C65C33" w:rsidP="00C65C33">
      <w:pPr>
        <w:pStyle w:val="ListBullet"/>
      </w:pPr>
      <w:r w:rsidRPr="00C65C33">
        <w:t>IgG</w:t>
      </w:r>
      <w:r w:rsidRPr="00EB112B">
        <w:rPr>
          <w:vertAlign w:val="subscript"/>
        </w:rPr>
        <w:t>4</w:t>
      </w:r>
      <w:r w:rsidRPr="00C65C33">
        <w:t xml:space="preserve"> (serological trials of specific immunotherapy have est</w:t>
      </w:r>
      <w:r>
        <w:t xml:space="preserve">ablished that successful AIT is </w:t>
      </w:r>
      <w:r w:rsidRPr="00C65C33">
        <w:t>accompanied by an increase in allergen specific IgG</w:t>
      </w:r>
      <w:r w:rsidR="009975CF">
        <w:t>,</w:t>
      </w:r>
      <w:r w:rsidR="009975CF">
        <w:rPr>
          <w:rStyle w:val="FootnoteReference"/>
        </w:rPr>
        <w:footnoteReference w:id="108"/>
      </w:r>
      <w:r w:rsidRPr="00C65C33">
        <w:t xml:space="preserve"> predomin</w:t>
      </w:r>
      <w:r>
        <w:t>antly IgG</w:t>
      </w:r>
      <w:r w:rsidRPr="00EB112B">
        <w:rPr>
          <w:vertAlign w:val="subscript"/>
        </w:rPr>
        <w:t>4</w:t>
      </w:r>
      <w:r>
        <w:t xml:space="preserve"> which is reported to </w:t>
      </w:r>
      <w:r w:rsidRPr="00C65C33">
        <w:t xml:space="preserve">inhibit the binding of </w:t>
      </w:r>
      <w:proofErr w:type="spellStart"/>
      <w:r w:rsidRPr="00C65C33">
        <w:t>IgE</w:t>
      </w:r>
      <w:proofErr w:type="spellEnd"/>
      <w:r w:rsidRPr="00C65C33">
        <w:t xml:space="preserve"> to the allergen in a competitive manner</w:t>
      </w:r>
      <w:r w:rsidR="00674227">
        <w:rPr>
          <w:rStyle w:val="FootnoteReference"/>
        </w:rPr>
        <w:footnoteReference w:id="109"/>
      </w:r>
      <w:r w:rsidRPr="00C65C33">
        <w:t>) and</w:t>
      </w:r>
    </w:p>
    <w:p w14:paraId="4FE91EC7" w14:textId="77777777" w:rsidR="00C65C33" w:rsidRPr="00C65C33" w:rsidRDefault="00C65C33" w:rsidP="00C65C33">
      <w:pPr>
        <w:pStyle w:val="ListBullet"/>
      </w:pPr>
      <w:proofErr w:type="spellStart"/>
      <w:r w:rsidRPr="00C65C33">
        <w:lastRenderedPageBreak/>
        <w:t>IgE</w:t>
      </w:r>
      <w:proofErr w:type="spellEnd"/>
      <w:r w:rsidRPr="00C65C33">
        <w:t>-blocking factor (a term used by ALK to account for</w:t>
      </w:r>
      <w:r>
        <w:t xml:space="preserve"> all treatment-induced blocking </w:t>
      </w:r>
      <w:r w:rsidRPr="00C65C33">
        <w:t>components (</w:t>
      </w:r>
      <w:r w:rsidR="004A7F98">
        <w:t>that is</w:t>
      </w:r>
      <w:r w:rsidRPr="00C65C33">
        <w:t xml:space="preserve"> IgG isotypes, IgA and other less defined components).</w:t>
      </w:r>
    </w:p>
    <w:p w14:paraId="4FE91EC8" w14:textId="77777777" w:rsidR="00C65C33" w:rsidRPr="00C65C33" w:rsidRDefault="00C65C33" w:rsidP="00C65C33">
      <w:r w:rsidRPr="00C65C33">
        <w:t xml:space="preserve">The </w:t>
      </w:r>
      <w:r w:rsidR="000F4578">
        <w:t>Year</w:t>
      </w:r>
      <w:r w:rsidRPr="00C65C33">
        <w:t xml:space="preserve"> 5 results for </w:t>
      </w:r>
      <w:proofErr w:type="spellStart"/>
      <w:r w:rsidRPr="00C65C33">
        <w:t>IgE</w:t>
      </w:r>
      <w:proofErr w:type="spellEnd"/>
      <w:r w:rsidRPr="00C65C33">
        <w:t>, IgG</w:t>
      </w:r>
      <w:r w:rsidRPr="00EB112B">
        <w:rPr>
          <w:vertAlign w:val="subscript"/>
        </w:rPr>
        <w:t>4</w:t>
      </w:r>
      <w:r w:rsidRPr="00C65C33">
        <w:t xml:space="preserve"> and </w:t>
      </w:r>
      <w:proofErr w:type="spellStart"/>
      <w:r w:rsidRPr="00C65C33">
        <w:t>IgE</w:t>
      </w:r>
      <w:proofErr w:type="spellEnd"/>
      <w:r w:rsidRPr="00C65C33">
        <w:t>-blocking factor support the</w:t>
      </w:r>
      <w:r>
        <w:t xml:space="preserve"> long term efficacy and disease </w:t>
      </w:r>
      <w:r w:rsidRPr="00C65C33">
        <w:t>modifying effect of Grazax (</w:t>
      </w:r>
      <w:r w:rsidR="004A7F98">
        <w:t>that is</w:t>
      </w:r>
      <w:r w:rsidRPr="00C65C33">
        <w:t xml:space="preserve"> a sustained significant and clinically relevant effe</w:t>
      </w:r>
      <w:r>
        <w:t>ct for at least 2 post</w:t>
      </w:r>
      <w:r w:rsidR="002F3CBA">
        <w:t xml:space="preserve"> </w:t>
      </w:r>
      <w:r>
        <w:t xml:space="preserve">treatment </w:t>
      </w:r>
      <w:r w:rsidRPr="00C65C33">
        <w:t>years following 3 years of treatment) and provide addit</w:t>
      </w:r>
      <w:r>
        <w:t xml:space="preserve">ional support for the claim for </w:t>
      </w:r>
      <w:r w:rsidRPr="00C65C33">
        <w:t>disease modification.</w:t>
      </w:r>
    </w:p>
    <w:p w14:paraId="4FE91EC9" w14:textId="77777777" w:rsidR="00C65C33" w:rsidRPr="00A60064" w:rsidRDefault="00C65C33" w:rsidP="00A60064">
      <w:r w:rsidRPr="00C65C33">
        <w:t xml:space="preserve">In GT-08, an initial increase in allergen specific </w:t>
      </w:r>
      <w:proofErr w:type="spellStart"/>
      <w:r w:rsidRPr="00C65C33">
        <w:t>IgE</w:t>
      </w:r>
      <w:proofErr w:type="spellEnd"/>
      <w:r w:rsidRPr="00C65C33">
        <w:t xml:space="preserve"> was seen followed by</w:t>
      </w:r>
      <w:r>
        <w:t xml:space="preserve"> a plateau/slow </w:t>
      </w:r>
      <w:r w:rsidRPr="00B83873">
        <w:t>decline (</w:t>
      </w:r>
      <w:r w:rsidR="00B83873" w:rsidRPr="00B83873">
        <w:t>Figure 6</w:t>
      </w:r>
      <w:r w:rsidRPr="00B83873">
        <w:t>). During</w:t>
      </w:r>
      <w:r w:rsidRPr="00C65C33">
        <w:t xml:space="preserve"> the treatment years (</w:t>
      </w:r>
      <w:r w:rsidR="000F4578">
        <w:t>Year</w:t>
      </w:r>
      <w:r w:rsidR="002F3CBA">
        <w:t xml:space="preserve">s 1 to </w:t>
      </w:r>
      <w:r w:rsidRPr="00C65C33">
        <w:t>3), a blunting effect on se</w:t>
      </w:r>
      <w:r>
        <w:t xml:space="preserve">asonal specific </w:t>
      </w:r>
      <w:proofErr w:type="spellStart"/>
      <w:r>
        <w:t>IgE</w:t>
      </w:r>
      <w:proofErr w:type="spellEnd"/>
      <w:r>
        <w:t xml:space="preserve"> for </w:t>
      </w:r>
      <w:proofErr w:type="spellStart"/>
      <w:r>
        <w:t>Grazax</w:t>
      </w:r>
      <w:proofErr w:type="spellEnd"/>
      <w:r>
        <w:t xml:space="preserve"> </w:t>
      </w:r>
      <w:r w:rsidRPr="00C65C33">
        <w:t>compared to placebo was observed. In accordance with the literatu</w:t>
      </w:r>
      <w:r>
        <w:t xml:space="preserve">re, this is expected due to the </w:t>
      </w:r>
      <w:r w:rsidRPr="00C65C33">
        <w:t>down regulation of the allergic response</w:t>
      </w:r>
      <w:r w:rsidR="00674227">
        <w:t>.</w:t>
      </w:r>
      <w:r>
        <w:t xml:space="preserve"> </w:t>
      </w:r>
      <w:r w:rsidR="00674227">
        <w:rPr>
          <w:rStyle w:val="FootnoteReference"/>
        </w:rPr>
        <w:footnoteReference w:id="110"/>
      </w:r>
      <w:proofErr w:type="gramStart"/>
      <w:r w:rsidR="00674227">
        <w:t xml:space="preserve">, </w:t>
      </w:r>
      <w:proofErr w:type="gramEnd"/>
      <w:r w:rsidR="00674227">
        <w:rPr>
          <w:rStyle w:val="FootnoteReference"/>
        </w:rPr>
        <w:footnoteReference w:id="111"/>
      </w:r>
      <w:r w:rsidR="00674227">
        <w:t xml:space="preserve">, </w:t>
      </w:r>
      <w:r w:rsidR="00674227">
        <w:rPr>
          <w:rStyle w:val="FootnoteReference"/>
        </w:rPr>
        <w:footnoteReference w:id="112"/>
      </w:r>
      <w:r w:rsidR="00674227">
        <w:t xml:space="preserve"> </w:t>
      </w:r>
      <w:r w:rsidRPr="00C65C33">
        <w:t xml:space="preserve">Yearly increases are also seen in both </w:t>
      </w:r>
      <w:r w:rsidR="002F3CBA">
        <w:t xml:space="preserve">groups; </w:t>
      </w:r>
      <w:r w:rsidRPr="00A60064">
        <w:t>this is</w:t>
      </w:r>
      <w:r w:rsidR="00A60064" w:rsidRPr="00A60064">
        <w:t xml:space="preserve"> due to environmental grass exposure during the yearly </w:t>
      </w:r>
      <w:r w:rsidR="0082122C">
        <w:t>GPS</w:t>
      </w:r>
      <w:r w:rsidR="00A60064" w:rsidRPr="00A60064">
        <w:t xml:space="preserve">s. At the end of the </w:t>
      </w:r>
      <w:r w:rsidR="002F3CBA">
        <w:t>second</w:t>
      </w:r>
      <w:r w:rsidR="00A60064">
        <w:t xml:space="preserve"> </w:t>
      </w:r>
      <w:r w:rsidR="00A60064" w:rsidRPr="00A60064">
        <w:t>follow-up year (</w:t>
      </w:r>
      <w:r w:rsidR="000F4578">
        <w:t>Year</w:t>
      </w:r>
      <w:r w:rsidR="00A60064" w:rsidRPr="00A60064">
        <w:t xml:space="preserve"> 5), the difference between the Grazax and p</w:t>
      </w:r>
      <w:r w:rsidR="00A60064">
        <w:t xml:space="preserve">lacebo groups was statistically </w:t>
      </w:r>
      <w:r w:rsidR="00A60064" w:rsidRPr="00A60064">
        <w:t>significant (</w:t>
      </w:r>
      <w:r w:rsidR="002F3CBA">
        <w:t>p </w:t>
      </w:r>
      <w:r w:rsidR="00AD1BB3">
        <w:t>=</w:t>
      </w:r>
      <w:r w:rsidR="002F3CBA">
        <w:t> </w:t>
      </w:r>
      <w:r w:rsidR="00A60064" w:rsidRPr="00A60064">
        <w:t>0.0389)</w:t>
      </w:r>
      <w:r w:rsidR="00674227">
        <w:t>.</w:t>
      </w:r>
      <w:r w:rsidR="00674227">
        <w:rPr>
          <w:rStyle w:val="FootnoteReference"/>
        </w:rPr>
        <w:footnoteReference w:id="113"/>
      </w:r>
    </w:p>
    <w:p w14:paraId="4FE91ECA" w14:textId="77777777" w:rsidR="00C65C33" w:rsidRDefault="00A60064" w:rsidP="00A60064">
      <w:pPr>
        <w:pStyle w:val="FigureTitle"/>
      </w:pPr>
      <w:r w:rsidRPr="00B83873">
        <w:t xml:space="preserve">Figure </w:t>
      </w:r>
      <w:r w:rsidR="00B83873" w:rsidRPr="00B83873">
        <w:t>6:</w:t>
      </w:r>
      <w:r w:rsidRPr="00B83873">
        <w:t xml:space="preserve"> Change from baseline in logarithm of </w:t>
      </w:r>
      <w:proofErr w:type="spellStart"/>
      <w:r w:rsidRPr="00B83873">
        <w:t>Grazax</w:t>
      </w:r>
      <w:proofErr w:type="spellEnd"/>
      <w:r w:rsidRPr="00B83873">
        <w:t xml:space="preserve"> specific </w:t>
      </w:r>
      <w:proofErr w:type="spellStart"/>
      <w:r w:rsidRPr="00B83873">
        <w:t>IgE</w:t>
      </w:r>
      <w:proofErr w:type="spellEnd"/>
      <w:r w:rsidRPr="00B83873">
        <w:t xml:space="preserve"> (GT-08 </w:t>
      </w:r>
      <w:r w:rsidR="000F4578" w:rsidRPr="00B83873">
        <w:t>Year</w:t>
      </w:r>
      <w:r w:rsidR="002F3CBA" w:rsidRPr="00B83873">
        <w:t>s 1 to</w:t>
      </w:r>
      <w:r w:rsidR="002F3CBA">
        <w:t xml:space="preserve"> </w:t>
      </w:r>
      <w:r>
        <w:t>5; FAS)</w:t>
      </w:r>
      <w:r w:rsidR="00674227">
        <w:rPr>
          <w:rStyle w:val="FootnoteReference"/>
        </w:rPr>
        <w:footnoteReference w:id="114"/>
      </w:r>
    </w:p>
    <w:p w14:paraId="4FE91ECB" w14:textId="77777777" w:rsidR="00C65C33" w:rsidRDefault="00A60064" w:rsidP="0083055A">
      <w:r>
        <w:rPr>
          <w:noProof/>
          <w:lang w:eastAsia="en-AU"/>
        </w:rPr>
        <w:drawing>
          <wp:inline distT="0" distB="0" distL="0" distR="0" wp14:anchorId="4FE91F29" wp14:editId="20D5720C">
            <wp:extent cx="4055166" cy="2554576"/>
            <wp:effectExtent l="0" t="0" r="2540" b="0"/>
            <wp:docPr id="34" name="Picture 34" descr="Figure 6: Change from baseline in logarithm of Grazax specific IgE (GT-08 Years 1 to 5; F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054078" cy="2553891"/>
                    </a:xfrm>
                    <a:prstGeom prst="rect">
                      <a:avLst/>
                    </a:prstGeom>
                  </pic:spPr>
                </pic:pic>
              </a:graphicData>
            </a:graphic>
          </wp:inline>
        </w:drawing>
      </w:r>
    </w:p>
    <w:p w14:paraId="4FE91ECC" w14:textId="77777777" w:rsidR="00A60064" w:rsidRPr="00A60064" w:rsidRDefault="00A60064" w:rsidP="00A60064">
      <w:r w:rsidRPr="00A60064">
        <w:t>A significant increase in IgG</w:t>
      </w:r>
      <w:r w:rsidRPr="00EB112B">
        <w:rPr>
          <w:vertAlign w:val="subscript"/>
        </w:rPr>
        <w:t>4</w:t>
      </w:r>
      <w:r w:rsidRPr="00A60064">
        <w:t xml:space="preserve"> was observed within 2 months of treatment with Grazax compared to</w:t>
      </w:r>
      <w:r>
        <w:t xml:space="preserve"> </w:t>
      </w:r>
      <w:r w:rsidRPr="00A60064">
        <w:t xml:space="preserve">placebo. This effect persisted through all treatment years and also </w:t>
      </w:r>
      <w:r>
        <w:t xml:space="preserve">post-treatment years </w:t>
      </w:r>
      <w:r w:rsidRPr="00B83873">
        <w:t xml:space="preserve">(Figure </w:t>
      </w:r>
      <w:r w:rsidR="00B83873" w:rsidRPr="00B83873">
        <w:t>7</w:t>
      </w:r>
      <w:r w:rsidRPr="00B83873">
        <w:t>) and</w:t>
      </w:r>
      <w:r w:rsidRPr="00A60064">
        <w:t xml:space="preserve"> was statistically significant at the end of the </w:t>
      </w:r>
      <w:r w:rsidR="002F3CBA">
        <w:t>second</w:t>
      </w:r>
      <w:r w:rsidRPr="00A60064">
        <w:t xml:space="preserve"> follow-up year (</w:t>
      </w:r>
      <w:r w:rsidR="000F4578">
        <w:t>Year</w:t>
      </w:r>
      <w:r w:rsidRPr="00A60064">
        <w:t xml:space="preserve"> 5)</w:t>
      </w:r>
      <w:r w:rsidR="002F3CBA">
        <w:t xml:space="preserve"> </w:t>
      </w:r>
      <w:r w:rsidRPr="00A60064">
        <w:t>(</w:t>
      </w:r>
      <w:r w:rsidR="002A47B8">
        <w:t xml:space="preserve">p </w:t>
      </w:r>
      <w:r w:rsidR="004C74AA">
        <w:t xml:space="preserve">&lt; </w:t>
      </w:r>
      <w:r w:rsidRPr="00A60064">
        <w:t>0.0001)</w:t>
      </w:r>
      <w:r w:rsidR="00674227">
        <w:t>.</w:t>
      </w:r>
      <w:r w:rsidR="00674227">
        <w:rPr>
          <w:rStyle w:val="FootnoteReference"/>
        </w:rPr>
        <w:footnoteReference w:id="115"/>
      </w:r>
    </w:p>
    <w:p w14:paraId="4FE91ECD" w14:textId="77777777" w:rsidR="00C65C33" w:rsidRPr="00A60064" w:rsidRDefault="00A60064" w:rsidP="00FE52E5">
      <w:pPr>
        <w:pStyle w:val="FigureTitle"/>
        <w:keepNext w:val="0"/>
      </w:pPr>
      <w:r w:rsidRPr="00B83873">
        <w:t xml:space="preserve">Figure </w:t>
      </w:r>
      <w:r w:rsidR="00B83873">
        <w:t>7:</w:t>
      </w:r>
      <w:r w:rsidRPr="00A60064">
        <w:t xml:space="preserve"> Change from baseline in logarithm of Grazax specific IgG</w:t>
      </w:r>
      <w:r w:rsidRPr="00EB112B">
        <w:rPr>
          <w:vertAlign w:val="subscript"/>
        </w:rPr>
        <w:t>4</w:t>
      </w:r>
      <w:r w:rsidRPr="00A60064">
        <w:t xml:space="preserve"> (GT-08 </w:t>
      </w:r>
      <w:r w:rsidR="000F4578">
        <w:t>Year</w:t>
      </w:r>
      <w:r w:rsidR="002F3CBA">
        <w:t xml:space="preserve">s 1 to </w:t>
      </w:r>
      <w:r w:rsidRPr="00A60064">
        <w:t>5; FAS)</w:t>
      </w:r>
      <w:r w:rsidR="0087228D">
        <w:rPr>
          <w:rStyle w:val="FootnoteReference"/>
        </w:rPr>
        <w:footnoteReference w:id="116"/>
      </w:r>
    </w:p>
    <w:p w14:paraId="4FE91ECE" w14:textId="77777777" w:rsidR="00C65C33" w:rsidRDefault="00A60064" w:rsidP="0083055A">
      <w:r>
        <w:rPr>
          <w:noProof/>
          <w:lang w:eastAsia="en-AU"/>
        </w:rPr>
        <w:lastRenderedPageBreak/>
        <w:drawing>
          <wp:inline distT="0" distB="0" distL="0" distR="0" wp14:anchorId="4FE91F2B" wp14:editId="0E501106">
            <wp:extent cx="3654950" cy="2741213"/>
            <wp:effectExtent l="0" t="0" r="3175" b="2540"/>
            <wp:docPr id="35" name="Picture 35" descr="Figure 7: Change from baseline in logarithm of Grazax specific IgG4 (GT-08 Years 1 to 5; F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667899" cy="2750925"/>
                    </a:xfrm>
                    <a:prstGeom prst="rect">
                      <a:avLst/>
                    </a:prstGeom>
                  </pic:spPr>
                </pic:pic>
              </a:graphicData>
            </a:graphic>
          </wp:inline>
        </w:drawing>
      </w:r>
    </w:p>
    <w:p w14:paraId="4FE91ECF" w14:textId="77777777" w:rsidR="00C65C33" w:rsidRPr="00A60064" w:rsidRDefault="00A60064" w:rsidP="00A60064">
      <w:r w:rsidRPr="00A60064">
        <w:t xml:space="preserve">For </w:t>
      </w:r>
      <w:proofErr w:type="spellStart"/>
      <w:r w:rsidRPr="00A60064">
        <w:t>I</w:t>
      </w:r>
      <w:r w:rsidR="002F3CBA">
        <w:t>g</w:t>
      </w:r>
      <w:r w:rsidRPr="00A60064">
        <w:t>E</w:t>
      </w:r>
      <w:proofErr w:type="spellEnd"/>
      <w:r w:rsidRPr="00A60064">
        <w:t>-blocking factor, an increase was observed within 2 months of treatment with Grazax</w:t>
      </w:r>
      <w:r>
        <w:t xml:space="preserve"> </w:t>
      </w:r>
      <w:r w:rsidRPr="00A60064">
        <w:t>compared to placebo and also persisted through all treatment years and also post-</w:t>
      </w:r>
      <w:r>
        <w:t xml:space="preserve">treatment years </w:t>
      </w:r>
      <w:r w:rsidRPr="00A60064">
        <w:t>(</w:t>
      </w:r>
      <w:r w:rsidRPr="00B83873">
        <w:t xml:space="preserve">Figure </w:t>
      </w:r>
      <w:r w:rsidR="00B83873" w:rsidRPr="00B83873">
        <w:t>8</w:t>
      </w:r>
      <w:r w:rsidRPr="00B83873">
        <w:t>). The difference</w:t>
      </w:r>
      <w:r w:rsidRPr="00A60064">
        <w:t xml:space="preserve"> compared to placebo was statistically si</w:t>
      </w:r>
      <w:r>
        <w:t xml:space="preserve">gnificant at the end of the </w:t>
      </w:r>
      <w:r w:rsidR="002F3CBA">
        <w:t>second</w:t>
      </w:r>
      <w:r>
        <w:t xml:space="preserve"> </w:t>
      </w:r>
      <w:r w:rsidRPr="00A60064">
        <w:t>follow-up year (</w:t>
      </w:r>
      <w:r w:rsidR="000F4578">
        <w:t>Year</w:t>
      </w:r>
      <w:r w:rsidRPr="00A60064">
        <w:t xml:space="preserve"> 5)</w:t>
      </w:r>
      <w:r w:rsidR="002F3CBA">
        <w:t xml:space="preserve"> </w:t>
      </w:r>
      <w:r w:rsidRPr="00A60064">
        <w:t>(</w:t>
      </w:r>
      <w:r w:rsidR="002A47B8">
        <w:t xml:space="preserve">p </w:t>
      </w:r>
      <w:r w:rsidR="004C74AA">
        <w:t xml:space="preserve">&lt; </w:t>
      </w:r>
      <w:r w:rsidRPr="00A60064">
        <w:t>0.0001)</w:t>
      </w:r>
      <w:r w:rsidR="0087228D">
        <w:t>.</w:t>
      </w:r>
      <w:r w:rsidR="0087228D">
        <w:rPr>
          <w:rStyle w:val="FootnoteReference"/>
        </w:rPr>
        <w:footnoteReference w:id="117"/>
      </w:r>
    </w:p>
    <w:p w14:paraId="4FE91ED0" w14:textId="77777777" w:rsidR="00C65C33" w:rsidRPr="00A60064" w:rsidRDefault="00A60064" w:rsidP="00A60064">
      <w:pPr>
        <w:pStyle w:val="FigureTitle"/>
      </w:pPr>
      <w:r w:rsidRPr="00B83873">
        <w:t xml:space="preserve">Figure </w:t>
      </w:r>
      <w:r w:rsidR="00B83873" w:rsidRPr="00B83873">
        <w:t>8:</w:t>
      </w:r>
      <w:r w:rsidRPr="00A60064">
        <w:t xml:space="preserve"> Change from baseline in logarithm of </w:t>
      </w:r>
      <w:proofErr w:type="spellStart"/>
      <w:r w:rsidRPr="00A60064">
        <w:t>Grazax</w:t>
      </w:r>
      <w:proofErr w:type="spellEnd"/>
      <w:r w:rsidRPr="00A60064">
        <w:t xml:space="preserve"> specific </w:t>
      </w:r>
      <w:proofErr w:type="spellStart"/>
      <w:r w:rsidRPr="00A60064">
        <w:t>IgE</w:t>
      </w:r>
      <w:proofErr w:type="spellEnd"/>
      <w:r w:rsidRPr="00A60064">
        <w:t xml:space="preserve">-blocking factor (GT-08 </w:t>
      </w:r>
      <w:r w:rsidR="000F4578">
        <w:t>Year</w:t>
      </w:r>
      <w:r w:rsidRPr="00A60064">
        <w:t>s 1-5;</w:t>
      </w:r>
      <w:r>
        <w:t xml:space="preserve"> </w:t>
      </w:r>
      <w:r w:rsidRPr="00A60064">
        <w:t>FAS)</w:t>
      </w:r>
      <w:r w:rsidR="0087228D">
        <w:rPr>
          <w:rStyle w:val="FootnoteReference"/>
        </w:rPr>
        <w:footnoteReference w:id="118"/>
      </w:r>
    </w:p>
    <w:p w14:paraId="4FE91ED1" w14:textId="77777777" w:rsidR="00C65C33" w:rsidRDefault="00A60064" w:rsidP="0083055A">
      <w:r>
        <w:rPr>
          <w:noProof/>
          <w:lang w:eastAsia="en-AU"/>
        </w:rPr>
        <w:drawing>
          <wp:inline distT="0" distB="0" distL="0" distR="0" wp14:anchorId="4FE91F2D" wp14:editId="0ADE0DD6">
            <wp:extent cx="4214192" cy="3218434"/>
            <wp:effectExtent l="0" t="0" r="0" b="1270"/>
            <wp:docPr id="36" name="Picture 36" descr="Figure 8: Change from baseline in logarithm of Grazax specific IgE-blocking factor (GT-08 Years 1-5; F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212801" cy="3217371"/>
                    </a:xfrm>
                    <a:prstGeom prst="rect">
                      <a:avLst/>
                    </a:prstGeom>
                  </pic:spPr>
                </pic:pic>
              </a:graphicData>
            </a:graphic>
          </wp:inline>
        </w:drawing>
      </w:r>
    </w:p>
    <w:p w14:paraId="4FE91ED2" w14:textId="77777777" w:rsidR="005479B1" w:rsidRDefault="00A60064" w:rsidP="00A60064">
      <w:r w:rsidRPr="00A60064">
        <w:rPr>
          <w:i/>
        </w:rPr>
        <w:t>The ACPM comments that Grazax appears to be suitable for patients with grass pollen allergy caused by species which cross react with Timothy and recommend the addition of “or cross reacting allergens” to the Indication. They have also proposed a note to the Indication</w:t>
      </w:r>
      <w:r>
        <w:t xml:space="preserve"> advising that studies </w:t>
      </w:r>
      <w:r w:rsidRPr="00A60064">
        <w:t>have not shown any benefit for allergy to sub-tropical grasses</w:t>
      </w:r>
      <w:r w:rsidR="005479B1">
        <w:t>.</w:t>
      </w:r>
    </w:p>
    <w:p w14:paraId="4FE91ED3" w14:textId="77777777" w:rsidR="00A60064" w:rsidRPr="00A60064" w:rsidRDefault="00A60064" w:rsidP="00A60064">
      <w:r w:rsidRPr="00A60064">
        <w:lastRenderedPageBreak/>
        <w:t>As pe</w:t>
      </w:r>
      <w:r>
        <w:t xml:space="preserve">r the ACPM minutes, due to high </w:t>
      </w:r>
      <w:r w:rsidRPr="00A60064">
        <w:t>degree of homology in temperate grasses, there is extensive IgG</w:t>
      </w:r>
      <w:r w:rsidRPr="00EB112B">
        <w:rPr>
          <w:vertAlign w:val="subscript"/>
        </w:rPr>
        <w:t>4</w:t>
      </w:r>
      <w:r w:rsidRPr="00A60064">
        <w:t xml:space="preserve"> a</w:t>
      </w:r>
      <w:r>
        <w:t xml:space="preserve">nd </w:t>
      </w:r>
      <w:proofErr w:type="spellStart"/>
      <w:r>
        <w:t>IgE</w:t>
      </w:r>
      <w:proofErr w:type="spellEnd"/>
      <w:r>
        <w:t xml:space="preserve"> </w:t>
      </w:r>
      <w:r w:rsidR="004C74AA">
        <w:t>cross reactivity</w:t>
      </w:r>
      <w:r>
        <w:t xml:space="preserve"> between </w:t>
      </w:r>
      <w:r w:rsidR="002D7A68" w:rsidRPr="002D7A68">
        <w:rPr>
          <w:i/>
        </w:rPr>
        <w:t>Phleum pratense</w:t>
      </w:r>
      <w:r w:rsidRPr="00A60064">
        <w:t xml:space="preserve"> allergen extract and those of other grasses within the</w:t>
      </w:r>
      <w:r>
        <w:t xml:space="preserve"> </w:t>
      </w:r>
      <w:proofErr w:type="spellStart"/>
      <w:r>
        <w:t>Pooideae</w:t>
      </w:r>
      <w:proofErr w:type="spellEnd"/>
      <w:r>
        <w:t xml:space="preserve"> subfamily to which it </w:t>
      </w:r>
      <w:r w:rsidRPr="00A60064">
        <w:t>belongs</w:t>
      </w:r>
      <w:r w:rsidR="007D50F3">
        <w:t>.</w:t>
      </w:r>
      <w:r w:rsidR="007D50F3">
        <w:rPr>
          <w:rStyle w:val="FootnoteReference"/>
        </w:rPr>
        <w:footnoteReference w:id="119"/>
      </w:r>
      <w:r w:rsidRPr="00A60064">
        <w:t xml:space="preserve"> As noted by the ACPM, Grazax is not intended for treatme</w:t>
      </w:r>
      <w:r>
        <w:t xml:space="preserve">nt of allergies to sub-tropical </w:t>
      </w:r>
      <w:r w:rsidRPr="00A60064">
        <w:t>grasses. Subsequently, Seqirus proposes the inclusion of ‘temperate</w:t>
      </w:r>
      <w:r>
        <w:t xml:space="preserve"> grasses’ to the </w:t>
      </w:r>
      <w:r w:rsidR="002F3CBA">
        <w:t>indication</w:t>
      </w:r>
      <w:r>
        <w:t xml:space="preserve"> and </w:t>
      </w:r>
      <w:r w:rsidRPr="00A60064">
        <w:t xml:space="preserve">also to the </w:t>
      </w:r>
      <w:r w:rsidR="002F3CBA" w:rsidRPr="00A60064">
        <w:t xml:space="preserve">dosage and administration and description </w:t>
      </w:r>
      <w:r w:rsidRPr="00A60064">
        <w:t>sections of the proposed PI.</w:t>
      </w:r>
    </w:p>
    <w:p w14:paraId="4FE91ED4" w14:textId="77777777" w:rsidR="00A60064" w:rsidRPr="00A60064" w:rsidRDefault="00A60064" w:rsidP="00A60064">
      <w:pPr>
        <w:rPr>
          <w:i/>
        </w:rPr>
      </w:pPr>
      <w:r w:rsidRPr="00A60064">
        <w:rPr>
          <w:i/>
        </w:rPr>
        <w:t>The ACPM comments that positive skin prick or serological testing to be included in the indications.</w:t>
      </w:r>
    </w:p>
    <w:p w14:paraId="4FE91ED5" w14:textId="77777777" w:rsidR="00A60064" w:rsidRPr="00A60064" w:rsidRDefault="002F3CBA" w:rsidP="00A60064">
      <w:r>
        <w:t>T</w:t>
      </w:r>
      <w:r w:rsidRPr="00A60064">
        <w:t xml:space="preserve">he dosage and administration </w:t>
      </w:r>
      <w:r w:rsidR="00A60064" w:rsidRPr="00A60064">
        <w:t>section of the PI already sta</w:t>
      </w:r>
      <w:r w:rsidR="00A60064">
        <w:t xml:space="preserve">tes that patients should have a </w:t>
      </w:r>
      <w:r w:rsidR="00A60064" w:rsidRPr="00A60064">
        <w:t>confirmed clinical history and a positive test of grass pollen sensitisation (</w:t>
      </w:r>
      <w:r w:rsidR="00A60064">
        <w:t xml:space="preserve">skin prick test and/or specific </w:t>
      </w:r>
      <w:proofErr w:type="spellStart"/>
      <w:r w:rsidR="00A60064" w:rsidRPr="00A60064">
        <w:t>IgE</w:t>
      </w:r>
      <w:proofErr w:type="spellEnd"/>
      <w:r w:rsidR="00A60064" w:rsidRPr="00A60064">
        <w:t>) prior to treatment. Addi</w:t>
      </w:r>
      <w:r>
        <w:t>tionally, the current proposed i</w:t>
      </w:r>
      <w:r w:rsidR="00A60064" w:rsidRPr="00A60064">
        <w:t>ndication also stat</w:t>
      </w:r>
      <w:r w:rsidR="00A60064">
        <w:t xml:space="preserve">es that Grazax is for patients </w:t>
      </w:r>
      <w:r w:rsidR="00A60064" w:rsidRPr="00A60064">
        <w:t xml:space="preserve">diagnosed with grass pollen allergic rhinitis with or without conjunctivitis. </w:t>
      </w:r>
      <w:r w:rsidR="00A60064">
        <w:t xml:space="preserve">Subsequently, Seqirus maintains </w:t>
      </w:r>
      <w:r w:rsidR="00A60064" w:rsidRPr="00A60064">
        <w:t xml:space="preserve">that there is no need for inclusion of this text in the </w:t>
      </w:r>
      <w:r w:rsidRPr="00A60064">
        <w:t>indication</w:t>
      </w:r>
      <w:r w:rsidR="00A60064" w:rsidRPr="00A60064">
        <w:t>.</w:t>
      </w:r>
    </w:p>
    <w:p w14:paraId="4FE91ED6" w14:textId="77777777" w:rsidR="005479B1" w:rsidRDefault="00E7510D" w:rsidP="00E7510D">
      <w:pPr>
        <w:rPr>
          <w:i/>
        </w:rPr>
      </w:pPr>
      <w:r w:rsidRPr="00E7510D">
        <w:rPr>
          <w:i/>
        </w:rPr>
        <w:t>The ACPM comment that positivity to Timothy allergens appears to be a necessary but insufficient requirement for patients to gain substantial relief from grass pollen allergic rhinitis with or without conjunctivitis in much of Australia and that this needs to be explained to both prescribers and patients before treatment commences</w:t>
      </w:r>
      <w:r w:rsidR="005479B1">
        <w:rPr>
          <w:i/>
        </w:rPr>
        <w:t>.</w:t>
      </w:r>
    </w:p>
    <w:p w14:paraId="4FE91ED7" w14:textId="77777777" w:rsidR="00A60064" w:rsidRPr="00E7510D" w:rsidRDefault="00E7510D" w:rsidP="00E7510D">
      <w:r w:rsidRPr="00E7510D">
        <w:t>In line with t</w:t>
      </w:r>
      <w:r>
        <w:t xml:space="preserve">he ACPM comment, the </w:t>
      </w:r>
      <w:r w:rsidR="002F3CBA">
        <w:t xml:space="preserve">dosage and </w:t>
      </w:r>
      <w:r w:rsidR="002F3CBA" w:rsidRPr="00E7510D">
        <w:t xml:space="preserve">administration </w:t>
      </w:r>
      <w:r w:rsidRPr="00E7510D">
        <w:t>section of the PI has been amended to add</w:t>
      </w:r>
      <w:r>
        <w:t xml:space="preserve"> a statement that management of </w:t>
      </w:r>
      <w:r w:rsidRPr="00E7510D">
        <w:t>specific allergy symptoms should be discussed prior to initiation of treatment.</w:t>
      </w:r>
    </w:p>
    <w:p w14:paraId="4FE91ED8" w14:textId="77777777" w:rsidR="00E7510D" w:rsidRDefault="00D31706" w:rsidP="00D31706">
      <w:pPr>
        <w:pStyle w:val="Heading4"/>
      </w:pPr>
      <w:r>
        <w:t>Delegate’</w:t>
      </w:r>
      <w:r w:rsidR="002C4BA2">
        <w:t>s p</w:t>
      </w:r>
      <w:r w:rsidR="004D1D24">
        <w:t>ost ACPM review of s</w:t>
      </w:r>
      <w:r>
        <w:t>ponsor’s response</w:t>
      </w:r>
    </w:p>
    <w:p w14:paraId="4FE91ED9" w14:textId="77777777" w:rsidR="00E7510D" w:rsidRPr="0083055A" w:rsidRDefault="004D1D24" w:rsidP="0083055A">
      <w:r w:rsidRPr="002C4BA2">
        <w:t>The Delegate reviewed the sponsor’s post-ACPM response. Amendment of the indication and the wording of the ‘precautions’ and ‘dosage and administration’ sections of the PI and CMI was subsequently negotiated with the sponsor.</w:t>
      </w:r>
    </w:p>
    <w:p w14:paraId="4FE91EDA" w14:textId="77777777" w:rsidR="008E7846" w:rsidRPr="002E238E" w:rsidRDefault="008E7846" w:rsidP="008E7846">
      <w:pPr>
        <w:pStyle w:val="Heading3"/>
      </w:pPr>
      <w:bookmarkStart w:id="255" w:name="_Toc247691532"/>
      <w:bookmarkStart w:id="256" w:name="_Toc314842516"/>
      <w:bookmarkStart w:id="257" w:name="_Toc511209813"/>
      <w:bookmarkEnd w:id="146"/>
      <w:bookmarkEnd w:id="246"/>
      <w:bookmarkEnd w:id="247"/>
      <w:r>
        <w:t>Outcome</w:t>
      </w:r>
      <w:bookmarkEnd w:id="255"/>
      <w:bookmarkEnd w:id="256"/>
      <w:bookmarkEnd w:id="257"/>
    </w:p>
    <w:p w14:paraId="4FE91EDB" w14:textId="77777777" w:rsidR="00D23139" w:rsidRPr="00D23139" w:rsidRDefault="00D23139" w:rsidP="00D23139">
      <w:bookmarkStart w:id="258" w:name="_Toc247691533"/>
      <w:bookmarkStart w:id="259" w:name="_Toc314842517"/>
      <w:r w:rsidRPr="00D23139">
        <w:t xml:space="preserve">Based on a review of quality, safety and efficacy, TGA approved the registration of </w:t>
      </w:r>
      <w:r w:rsidR="004D1D24">
        <w:t xml:space="preserve">Grazax </w:t>
      </w:r>
      <w:r w:rsidR="00090675">
        <w:t xml:space="preserve">standardised allergen extract of grass pollen from </w:t>
      </w:r>
      <w:r w:rsidR="002D7A68" w:rsidRPr="002D7A68">
        <w:rPr>
          <w:i/>
        </w:rPr>
        <w:t>Phleum pratense</w:t>
      </w:r>
      <w:r w:rsidR="00090675">
        <w:t xml:space="preserve"> 75,000 SQ-T oral lyophilisate tablets</w:t>
      </w:r>
      <w:r w:rsidRPr="00D23139">
        <w:t>, indicated for:</w:t>
      </w:r>
    </w:p>
    <w:p w14:paraId="4FE91EDC" w14:textId="1FA74E48" w:rsidR="00D23139" w:rsidRPr="00090675" w:rsidRDefault="00FA2591" w:rsidP="00090675">
      <w:pPr>
        <w:autoSpaceDE w:val="0"/>
        <w:autoSpaceDN w:val="0"/>
        <w:adjustRightInd w:val="0"/>
        <w:spacing w:before="0" w:after="0" w:line="240" w:lineRule="auto"/>
        <w:ind w:left="720"/>
        <w:rPr>
          <w:rFonts w:eastAsiaTheme="minorHAnsi" w:cs="Cambria"/>
          <w:i/>
          <w:sz w:val="23"/>
          <w:szCs w:val="23"/>
        </w:rPr>
      </w:pPr>
      <w:r>
        <w:rPr>
          <w:rFonts w:eastAsiaTheme="minorHAnsi" w:cs="Cambria"/>
          <w:i/>
          <w:sz w:val="23"/>
          <w:szCs w:val="23"/>
        </w:rPr>
        <w:t>Grazax</w:t>
      </w:r>
      <w:r w:rsidR="004D7EAE" w:rsidRPr="004D7EAE">
        <w:rPr>
          <w:rFonts w:eastAsiaTheme="minorHAnsi" w:cs="Cambria"/>
          <w:i/>
          <w:sz w:val="23"/>
          <w:szCs w:val="23"/>
        </w:rPr>
        <w:t xml:space="preserve"> is indicated for disease modifying treatment of grass pollen (</w:t>
      </w:r>
      <w:r w:rsidR="002D7A68" w:rsidRPr="002D7A68">
        <w:rPr>
          <w:i/>
        </w:rPr>
        <w:t>Phleum pratense</w:t>
      </w:r>
      <w:r w:rsidR="004D7EAE" w:rsidRPr="004D7EAE">
        <w:rPr>
          <w:rFonts w:ascii="Cambria-Italic" w:eastAsiaTheme="minorHAnsi" w:hAnsi="Cambria-Italic" w:cs="Cambria-Italic"/>
          <w:i/>
          <w:iCs/>
          <w:sz w:val="23"/>
          <w:szCs w:val="23"/>
        </w:rPr>
        <w:t xml:space="preserve"> </w:t>
      </w:r>
      <w:r w:rsidR="004D7EAE" w:rsidRPr="004D7EAE">
        <w:rPr>
          <w:rFonts w:eastAsiaTheme="minorHAnsi" w:cs="Cambria"/>
          <w:i/>
          <w:sz w:val="23"/>
          <w:szCs w:val="23"/>
        </w:rPr>
        <w:t xml:space="preserve">or allergens cross reacting with </w:t>
      </w:r>
      <w:proofErr w:type="spellStart"/>
      <w:r w:rsidR="004D7EAE" w:rsidRPr="004D7EAE">
        <w:rPr>
          <w:rFonts w:ascii="Cambria-Italic" w:eastAsiaTheme="minorHAnsi" w:hAnsi="Cambria-Italic" w:cs="Cambria-Italic"/>
          <w:i/>
          <w:iCs/>
          <w:sz w:val="23"/>
          <w:szCs w:val="23"/>
        </w:rPr>
        <w:t>P</w:t>
      </w:r>
      <w:r w:rsidR="00726C3F">
        <w:rPr>
          <w:rFonts w:ascii="Cambria-Italic" w:eastAsiaTheme="minorHAnsi" w:hAnsi="Cambria-Italic" w:cs="Cambria-Italic"/>
          <w:i/>
          <w:iCs/>
          <w:sz w:val="23"/>
          <w:szCs w:val="23"/>
        </w:rPr>
        <w:t>.</w:t>
      </w:r>
      <w:r w:rsidR="004D7EAE" w:rsidRPr="004D7EAE">
        <w:rPr>
          <w:rFonts w:ascii="Cambria-Italic" w:eastAsiaTheme="minorHAnsi" w:hAnsi="Cambria-Italic" w:cs="Cambria-Italic"/>
          <w:i/>
          <w:iCs/>
          <w:sz w:val="23"/>
          <w:szCs w:val="23"/>
        </w:rPr>
        <w:t>pratense</w:t>
      </w:r>
      <w:proofErr w:type="spellEnd"/>
      <w:r w:rsidR="004D7EAE" w:rsidRPr="004D7EAE">
        <w:rPr>
          <w:rFonts w:ascii="Cambria-Italic" w:eastAsiaTheme="minorHAnsi" w:hAnsi="Cambria-Italic" w:cs="Cambria-Italic"/>
          <w:i/>
          <w:iCs/>
          <w:sz w:val="23"/>
          <w:szCs w:val="23"/>
        </w:rPr>
        <w:t xml:space="preserve">) </w:t>
      </w:r>
      <w:r w:rsidR="004D7EAE" w:rsidRPr="004D7EAE">
        <w:rPr>
          <w:rFonts w:eastAsiaTheme="minorHAnsi" w:cs="Cambria"/>
          <w:i/>
          <w:sz w:val="23"/>
          <w:szCs w:val="23"/>
        </w:rPr>
        <w:t>induced allergic rhinitis with or without conjunctivitis in adults, adolescents and children above the age of 5 years.</w:t>
      </w:r>
    </w:p>
    <w:p w14:paraId="4FE91EDD" w14:textId="77777777" w:rsidR="00D23139" w:rsidRPr="00D23139" w:rsidRDefault="00D23139" w:rsidP="00D23139">
      <w:pPr>
        <w:pStyle w:val="Heading4"/>
      </w:pPr>
      <w:r w:rsidRPr="00D23139">
        <w:t>Specific conditions of registration applying to these goods</w:t>
      </w:r>
    </w:p>
    <w:p w14:paraId="4FE91EDE" w14:textId="77777777" w:rsidR="00D23139" w:rsidRDefault="00AE7857" w:rsidP="00911E2B">
      <w:pPr>
        <w:pStyle w:val="Numberbullet0"/>
        <w:numPr>
          <w:ilvl w:val="0"/>
          <w:numId w:val="9"/>
        </w:numPr>
      </w:pPr>
      <w:r>
        <w:t xml:space="preserve">The </w:t>
      </w:r>
      <w:r w:rsidR="00FA2591">
        <w:t>Grazax</w:t>
      </w:r>
      <w:r>
        <w:t xml:space="preserve"> [standardised allergen extract of grass pollen from Timothy grass (</w:t>
      </w:r>
      <w:r w:rsidR="002D7A68" w:rsidRPr="002D7A68">
        <w:rPr>
          <w:i/>
        </w:rPr>
        <w:t>Phleum pratense</w:t>
      </w:r>
      <w:r>
        <w:t xml:space="preserve">)], Risk Management Plan (RMP): EU-RMP (version 8; 10 </w:t>
      </w:r>
      <w:r w:rsidR="004C74AA">
        <w:t>March</w:t>
      </w:r>
      <w:r>
        <w:t xml:space="preserve"> 2015; DLP 24 June 2013) with Australian Specific Annex (version 2; date 23 August 2016), submitted with application PM-2015-03979-1-2, and any subsequent revisions, as agreed with the TGA will be implemented in Australia.</w:t>
      </w:r>
    </w:p>
    <w:p w14:paraId="4FE91EDF" w14:textId="77777777" w:rsidR="00101716" w:rsidRDefault="00101716" w:rsidP="00A65C0D">
      <w:pPr>
        <w:pStyle w:val="Numberbullet0"/>
      </w:pPr>
      <w:r>
        <w:t xml:space="preserve">It is a condition of registration that all batches of </w:t>
      </w:r>
      <w:r w:rsidR="00FA2591">
        <w:t>Grazax</w:t>
      </w:r>
      <w:r>
        <w:t xml:space="preserve"> [(standardised allergen extract from Timothy grass, (</w:t>
      </w:r>
      <w:r w:rsidR="002D7A68" w:rsidRPr="002D7A68">
        <w:rPr>
          <w:i/>
        </w:rPr>
        <w:t>Phleum pratense</w:t>
      </w:r>
      <w:r>
        <w:t xml:space="preserve">)], sublingual immunotherapy tablet, 75,000 SQ-T imported into Australia must comply with the product details and </w:t>
      </w:r>
      <w:r>
        <w:lastRenderedPageBreak/>
        <w:t>specifications approved during evaluation and detailed in the Certified Product Details (CPD).</w:t>
      </w:r>
    </w:p>
    <w:p w14:paraId="4FE91EE0" w14:textId="77777777" w:rsidR="00AE7857" w:rsidRPr="00101716" w:rsidRDefault="00101716" w:rsidP="00A65C0D">
      <w:pPr>
        <w:pStyle w:val="Numberbullet0"/>
      </w:pPr>
      <w:r>
        <w:t xml:space="preserve">It is a condition of registration that each batch of </w:t>
      </w:r>
      <w:r w:rsidR="00FA2591">
        <w:t>Grazax</w:t>
      </w:r>
      <w:r>
        <w:t xml:space="preserve"> [(standardised allergen extract from Timothy grass, (</w:t>
      </w:r>
      <w:r w:rsidR="002D7A68" w:rsidRPr="002D7A68">
        <w:rPr>
          <w:i/>
        </w:rPr>
        <w:t>Phleum pratense</w:t>
      </w:r>
      <w:r>
        <w:t>)], sublingual immunotherapy tablet, 75,000 SQ-T imported into Australia is not released for sale until samples and/or the manufacturer’s release data have been assessed and endorsed for release by the TGA Laboratories Branch.</w:t>
      </w:r>
    </w:p>
    <w:p w14:paraId="4FE91EE1" w14:textId="77777777" w:rsidR="008E7846" w:rsidRDefault="00A80B5B" w:rsidP="00D23139">
      <w:pPr>
        <w:pStyle w:val="Heading2"/>
      </w:pPr>
      <w:bookmarkStart w:id="260" w:name="_Toc511209814"/>
      <w:proofErr w:type="gramStart"/>
      <w:r>
        <w:t>Attachment 1.</w:t>
      </w:r>
      <w:proofErr w:type="gramEnd"/>
      <w:r>
        <w:t xml:space="preserve"> </w:t>
      </w:r>
      <w:r w:rsidR="008E7846">
        <w:t xml:space="preserve">Product </w:t>
      </w:r>
      <w:r w:rsidR="00AA0ED0">
        <w:t>I</w:t>
      </w:r>
      <w:r w:rsidR="008E7846">
        <w:t>nformation</w:t>
      </w:r>
      <w:bookmarkEnd w:id="258"/>
      <w:bookmarkEnd w:id="259"/>
      <w:bookmarkEnd w:id="260"/>
    </w:p>
    <w:p w14:paraId="280D45D8" w14:textId="77777777" w:rsidR="00FE52E5" w:rsidRDefault="006136D7" w:rsidP="00C80137">
      <w:r w:rsidRPr="002B3624">
        <w:t xml:space="preserve">The </w:t>
      </w:r>
      <w:r>
        <w:t>PI</w:t>
      </w:r>
      <w:r w:rsidRPr="002B3624">
        <w:t xml:space="preserve"> for </w:t>
      </w:r>
      <w:r w:rsidR="0095347A">
        <w:t>Grazax</w:t>
      </w:r>
      <w:r w:rsidRPr="002B3624">
        <w:t xml:space="preserve"> </w:t>
      </w:r>
      <w:r>
        <w:t xml:space="preserve">approved with the submission which is described in </w:t>
      </w:r>
      <w:r w:rsidRPr="002B3624">
        <w:t xml:space="preserve">this AusPAR is at Attachment 1. For the </w:t>
      </w:r>
      <w:hyperlink r:id="rId51" w:history="1">
        <w:r w:rsidRPr="00AC31A0">
          <w:rPr>
            <w:rStyle w:val="Hyperlink"/>
          </w:rPr>
          <w:t>most recent PI</w:t>
        </w:r>
      </w:hyperlink>
      <w:r>
        <w:t>,</w:t>
      </w:r>
      <w:r w:rsidRPr="002B3624">
        <w:t xml:space="preserve"> please refer to the </w:t>
      </w:r>
      <w:r w:rsidRPr="007C6B9B">
        <w:t xml:space="preserve">TGA website at </w:t>
      </w:r>
      <w:r w:rsidR="002C4BA2">
        <w:t>&lt;</w:t>
      </w:r>
      <w:r w:rsidR="007C6B9B" w:rsidRPr="00AC31A0">
        <w:t>https://www.tga.gov.au/product-information-pi</w:t>
      </w:r>
      <w:r w:rsidR="004C74AA">
        <w:t>&gt;</w:t>
      </w:r>
      <w:r w:rsidR="00FE52E5">
        <w:t>.</w:t>
      </w:r>
    </w:p>
    <w:p w14:paraId="4FE91EE6" w14:textId="687693B4" w:rsidR="00291957" w:rsidRDefault="00C80137" w:rsidP="001E049B">
      <w:pPr>
        <w:pStyle w:val="Heading2"/>
        <w:rPr>
          <w:lang w:eastAsia="en-AU"/>
        </w:rPr>
      </w:pPr>
      <w:bookmarkStart w:id="261" w:name="_Toc511209815"/>
      <w:proofErr w:type="gramStart"/>
      <w:r>
        <w:rPr>
          <w:lang w:eastAsia="en-AU"/>
        </w:rPr>
        <w:t>Attachment 2.</w:t>
      </w:r>
      <w:proofErr w:type="gramEnd"/>
      <w:r w:rsidR="00A80B5B">
        <w:rPr>
          <w:lang w:eastAsia="en-AU"/>
        </w:rPr>
        <w:t xml:space="preserve"> </w:t>
      </w:r>
      <w:r>
        <w:rPr>
          <w:lang w:eastAsia="en-AU"/>
        </w:rPr>
        <w:t>Extract from the Clinical Evaluation Report</w:t>
      </w:r>
      <w:bookmarkEnd w:id="261"/>
    </w:p>
    <w:p w14:paraId="4FE91EE7" w14:textId="77777777" w:rsidR="00C80137" w:rsidRPr="001D043B" w:rsidRDefault="00C80137" w:rsidP="003A7F6C">
      <w:pPr>
        <w:pStyle w:val="TableTitle"/>
        <w:sectPr w:rsidR="00C80137" w:rsidRPr="001D043B" w:rsidSect="00A40448">
          <w:headerReference w:type="even" r:id="rId52"/>
          <w:headerReference w:type="default" r:id="rId53"/>
          <w:headerReference w:type="first" r:id="rId54"/>
          <w:footerReference w:type="first" r:id="rId55"/>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Description w:val="Therapeutic Goods Administration&#10;PO Box 100 Woden ACT 2606 Australia&#10;Email: info@tga.gov.au Phone: 1800 020 653 Fax: 02 6232 8605&#10;https://www.tga.gov.au"/>
      </w:tblPr>
      <w:tblGrid>
        <w:gridCol w:w="9175"/>
      </w:tblGrid>
      <w:tr w:rsidR="001C32CD" w:rsidRPr="00487162" w14:paraId="4FE91EE9" w14:textId="77777777" w:rsidTr="00A05FA4">
        <w:trPr>
          <w:trHeight w:hRule="exact" w:val="704"/>
        </w:trPr>
        <w:tc>
          <w:tcPr>
            <w:tcW w:w="9175" w:type="dxa"/>
          </w:tcPr>
          <w:p w14:paraId="4FE91EE8" w14:textId="77777777" w:rsidR="001C32CD" w:rsidRPr="00487162" w:rsidRDefault="001C32CD" w:rsidP="00A05FA4">
            <w:pPr>
              <w:pStyle w:val="TGASignoff"/>
            </w:pPr>
            <w:r w:rsidRPr="00487162">
              <w:lastRenderedPageBreak/>
              <w:t>Therapeutic Goods Administration</w:t>
            </w:r>
          </w:p>
        </w:tc>
      </w:tr>
      <w:tr w:rsidR="001C32CD" w:rsidRPr="004C239D" w14:paraId="4FE91EED" w14:textId="77777777" w:rsidTr="00A05FA4">
        <w:trPr>
          <w:trHeight w:val="1221"/>
        </w:trPr>
        <w:tc>
          <w:tcPr>
            <w:tcW w:w="9175" w:type="dxa"/>
            <w:tcMar>
              <w:top w:w="28" w:type="dxa"/>
            </w:tcMar>
          </w:tcPr>
          <w:p w14:paraId="4FE91EEA" w14:textId="77777777" w:rsidR="001C32CD" w:rsidRPr="00487162" w:rsidRDefault="001C32CD" w:rsidP="00A05FA4">
            <w:pPr>
              <w:pStyle w:val="Address"/>
            </w:pPr>
            <w:r w:rsidRPr="00487162">
              <w:t>PO Box 100 Woden ACT 2606 Australia</w:t>
            </w:r>
          </w:p>
          <w:p w14:paraId="4FE91EEB" w14:textId="77777777" w:rsidR="001C32CD" w:rsidRPr="00487162" w:rsidRDefault="001C32CD" w:rsidP="00A05FA4">
            <w:pPr>
              <w:pStyle w:val="Address"/>
            </w:pPr>
            <w:r w:rsidRPr="00487162">
              <w:t xml:space="preserve">Email: </w:t>
            </w:r>
            <w:hyperlink r:id="rId56" w:history="1">
              <w:r w:rsidRPr="004C239D">
                <w:rPr>
                  <w:rStyle w:val="Hyperlink"/>
                </w:rPr>
                <w:t>info@tga.gov.au</w:t>
              </w:r>
            </w:hyperlink>
            <w:r w:rsidR="00FA2591">
              <w:t xml:space="preserve"> </w:t>
            </w:r>
            <w:r w:rsidRPr="00487162">
              <w:t>Phone: 1800 020 653</w:t>
            </w:r>
            <w:r w:rsidR="00FA2591">
              <w:t xml:space="preserve"> </w:t>
            </w:r>
            <w:r w:rsidRPr="00487162">
              <w:t>Fax: 02 6232 8605</w:t>
            </w:r>
          </w:p>
          <w:p w14:paraId="4FE91EEC" w14:textId="77777777" w:rsidR="001C32CD" w:rsidRPr="004C239D" w:rsidRDefault="003D50F1" w:rsidP="00A05FA4">
            <w:pPr>
              <w:pStyle w:val="Address"/>
              <w:spacing w:line="260" w:lineRule="atLeast"/>
              <w:rPr>
                <w:b/>
                <w:color w:val="0000FF"/>
                <w:u w:val="single"/>
              </w:rPr>
            </w:pPr>
            <w:hyperlink r:id="rId57" w:history="1">
              <w:r w:rsidR="007C6B9B" w:rsidRPr="007C6B9B">
                <w:rPr>
                  <w:rStyle w:val="Hyperlink"/>
                  <w:b/>
                </w:rPr>
                <w:t>https://www.tga.gov.au</w:t>
              </w:r>
            </w:hyperlink>
          </w:p>
        </w:tc>
      </w:tr>
    </w:tbl>
    <w:p w14:paraId="4FE91EEE" w14:textId="77777777" w:rsidR="00774E1D" w:rsidRPr="008A5E0B" w:rsidRDefault="00774E1D" w:rsidP="004C239D"/>
    <w:sectPr w:rsidR="00774E1D" w:rsidRPr="008A5E0B" w:rsidSect="001C32CD">
      <w:headerReference w:type="even" r:id="rId58"/>
      <w:headerReference w:type="default" r:id="rId59"/>
      <w:footerReference w:type="default" r:id="rId60"/>
      <w:headerReference w:type="first" r:id="rId61"/>
      <w:footerReference w:type="first" r:id="rId62"/>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083ED3" w14:textId="77777777" w:rsidR="00AC31A0" w:rsidRDefault="00AC31A0" w:rsidP="00C40A36">
      <w:pPr>
        <w:spacing w:after="0"/>
      </w:pPr>
      <w:r>
        <w:separator/>
      </w:r>
    </w:p>
  </w:endnote>
  <w:endnote w:type="continuationSeparator" w:id="0">
    <w:p w14:paraId="1C58ADCF" w14:textId="77777777" w:rsidR="00AC31A0" w:rsidRDefault="00AC31A0" w:rsidP="00C40A36">
      <w:pPr>
        <w:spacing w:after="0"/>
      </w:pPr>
      <w:r>
        <w:continuationSeparator/>
      </w:r>
    </w:p>
  </w:endnote>
  <w:endnote w:type="continuationNotice" w:id="1">
    <w:p w14:paraId="4588D64F" w14:textId="77777777" w:rsidR="00AC31A0" w:rsidRDefault="00AC31A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Bold">
    <w:altName w:val="MS Mincho"/>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Calibri,Italic">
    <w:altName w:val="MS Mincho"/>
    <w:panose1 w:val="00000000000000000000"/>
    <w:charset w:val="00"/>
    <w:family w:val="auto"/>
    <w:notTrueType/>
    <w:pitch w:val="default"/>
    <w:sig w:usb0="00000001" w:usb1="08070000" w:usb2="00000010" w:usb3="00000000" w:csb0="00020001" w:csb1="00000000"/>
  </w:font>
  <w:font w:name="Garamond">
    <w:panose1 w:val="02020404030301010803"/>
    <w:charset w:val="00"/>
    <w:family w:val="roman"/>
    <w:pitch w:val="variable"/>
    <w:sig w:usb0="00000287" w:usb1="00000000" w:usb2="00000000" w:usb3="00000000" w:csb0="0000009F" w:csb1="00000000"/>
  </w:font>
  <w:font w:name="Cambria-Italic">
    <w:panose1 w:val="00000000000000000000"/>
    <w:charset w:val="00"/>
    <w:family w:val="roman"/>
    <w:notTrueType/>
    <w:pitch w:val="default"/>
    <w:sig w:usb0="00000003" w:usb1="00000000" w:usb2="00000000" w:usb3="00000000" w:csb0="00000001"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AC31A0" w:rsidRPr="00487162" w14:paraId="4FE91F36" w14:textId="77777777" w:rsidTr="00DB750B">
      <w:trPr>
        <w:trHeight w:val="269"/>
      </w:trPr>
      <w:tc>
        <w:tcPr>
          <w:tcW w:w="7371" w:type="dxa"/>
          <w:tcMar>
            <w:top w:w="142" w:type="dxa"/>
            <w:bottom w:w="0" w:type="dxa"/>
          </w:tcMar>
        </w:tcPr>
        <w:p w14:paraId="4FE91F34" w14:textId="1FBB1BC6" w:rsidR="00AC31A0" w:rsidRPr="00487162" w:rsidRDefault="00AC31A0" w:rsidP="009B3C2A">
          <w:pPr>
            <w:pStyle w:val="Footer"/>
          </w:pPr>
          <w:r w:rsidRPr="00487162">
            <w:t>AusPA</w:t>
          </w:r>
          <w:r>
            <w:t xml:space="preserve">R </w:t>
          </w:r>
          <w:r w:rsidRPr="00A04128">
            <w:t>Grazax - Allergenic extract of standardised grass pollen extract (Timothy grass</w:t>
          </w:r>
          <w:r>
            <w:t xml:space="preserve"> </w:t>
          </w:r>
          <w:r w:rsidRPr="001170A8">
            <w:t>- Phleum pratense</w:t>
          </w:r>
          <w:r w:rsidRPr="00A04128">
            <w:t>) - Seqirus Pty Ltd - PM-2015-03979-1-2</w:t>
          </w:r>
          <w:r>
            <w:t xml:space="preserve"> Final 3 April 2018</w:t>
          </w:r>
        </w:p>
      </w:tc>
      <w:tc>
        <w:tcPr>
          <w:tcW w:w="1490" w:type="dxa"/>
          <w:tcMar>
            <w:top w:w="142" w:type="dxa"/>
            <w:bottom w:w="0" w:type="dxa"/>
          </w:tcMar>
        </w:tcPr>
        <w:p w14:paraId="4FE91F35" w14:textId="77777777" w:rsidR="00AC31A0" w:rsidRPr="00487162" w:rsidRDefault="00AC31A0" w:rsidP="00DB750B">
          <w:pPr>
            <w:pStyle w:val="Footer"/>
            <w:jc w:val="right"/>
          </w:pPr>
          <w:r w:rsidRPr="00487162">
            <w:t xml:space="preserve">Page </w:t>
          </w:r>
          <w:r>
            <w:fldChar w:fldCharType="begin"/>
          </w:r>
          <w:r>
            <w:instrText xml:space="preserve"> PAGE  \* Arabic </w:instrText>
          </w:r>
          <w:r>
            <w:fldChar w:fldCharType="separate"/>
          </w:r>
          <w:r w:rsidR="003D50F1">
            <w:rPr>
              <w:noProof/>
            </w:rPr>
            <w:t>25</w:t>
          </w:r>
          <w:r>
            <w:fldChar w:fldCharType="end"/>
          </w:r>
          <w:r w:rsidRPr="00487162">
            <w:t xml:space="preserve"> of </w:t>
          </w:r>
          <w:r w:rsidR="00C82876">
            <w:fldChar w:fldCharType="begin"/>
          </w:r>
          <w:r w:rsidR="00C82876">
            <w:instrText xml:space="preserve"> NUMPAGES  \* Arabic </w:instrText>
          </w:r>
          <w:r w:rsidR="00C82876">
            <w:fldChar w:fldCharType="separate"/>
          </w:r>
          <w:r w:rsidR="003D50F1">
            <w:rPr>
              <w:noProof/>
            </w:rPr>
            <w:t>84</w:t>
          </w:r>
          <w:r w:rsidR="00C82876">
            <w:rPr>
              <w:noProof/>
            </w:rPr>
            <w:fldChar w:fldCharType="end"/>
          </w:r>
        </w:p>
      </w:tc>
    </w:tr>
  </w:tbl>
  <w:p w14:paraId="4FE91F37" w14:textId="77777777" w:rsidR="00AC31A0" w:rsidRDefault="00AC31A0"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AC31A0" w:rsidRPr="00487162" w14:paraId="4FE91F40" w14:textId="77777777" w:rsidTr="00E45619">
      <w:trPr>
        <w:trHeight w:val="269"/>
      </w:trPr>
      <w:tc>
        <w:tcPr>
          <w:tcW w:w="4519" w:type="dxa"/>
          <w:tcBorders>
            <w:top w:val="single" w:sz="4" w:space="0" w:color="auto"/>
          </w:tcBorders>
          <w:tcMar>
            <w:top w:w="142" w:type="dxa"/>
            <w:bottom w:w="0" w:type="dxa"/>
          </w:tcMar>
        </w:tcPr>
        <w:p w14:paraId="4FE91F3D" w14:textId="77777777" w:rsidR="00AC31A0" w:rsidRPr="00487162" w:rsidRDefault="00AC31A0" w:rsidP="00FE1DEE">
          <w:pPr>
            <w:pStyle w:val="Footer"/>
          </w:pPr>
          <w:r w:rsidRPr="00487162">
            <w:t>Document title, Part #, Section # - Section title</w:t>
          </w:r>
        </w:p>
        <w:p w14:paraId="4FE91F3E" w14:textId="77777777" w:rsidR="00AC31A0" w:rsidRPr="00487162" w:rsidRDefault="00AC31A0" w:rsidP="00FE1DEE">
          <w:pPr>
            <w:pStyle w:val="Footer"/>
          </w:pPr>
          <w:r w:rsidRPr="00487162">
            <w:t>V1.0 October 2010</w:t>
          </w:r>
        </w:p>
      </w:tc>
      <w:tc>
        <w:tcPr>
          <w:tcW w:w="4342" w:type="dxa"/>
          <w:tcBorders>
            <w:top w:val="single" w:sz="4" w:space="0" w:color="auto"/>
          </w:tcBorders>
          <w:tcMar>
            <w:top w:w="142" w:type="dxa"/>
            <w:bottom w:w="0" w:type="dxa"/>
          </w:tcMar>
        </w:tcPr>
        <w:p w14:paraId="4FE91F3F" w14:textId="5936691E" w:rsidR="00AC31A0" w:rsidRPr="00487162" w:rsidRDefault="00AC31A0"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C82876">
            <w:fldChar w:fldCharType="begin"/>
          </w:r>
          <w:r w:rsidR="00C82876">
            <w:instrText xml:space="preserve"> NUMPAGES  </w:instrText>
          </w:r>
          <w:r w:rsidR="00C82876">
            <w:fldChar w:fldCharType="separate"/>
          </w:r>
          <w:r w:rsidR="003D50F1">
            <w:rPr>
              <w:noProof/>
            </w:rPr>
            <w:t>84</w:t>
          </w:r>
          <w:r w:rsidR="00C82876">
            <w:rPr>
              <w:noProof/>
            </w:rPr>
            <w:fldChar w:fldCharType="end"/>
          </w:r>
        </w:p>
      </w:tc>
    </w:tr>
  </w:tbl>
  <w:p w14:paraId="4FE91F41" w14:textId="77777777" w:rsidR="00AC31A0" w:rsidRDefault="00AC31A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E91F44" w14:textId="77777777" w:rsidR="00AC31A0" w:rsidRPr="001C32CD" w:rsidRDefault="00AC31A0"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AC31A0" w14:paraId="4FE91F52" w14:textId="77777777" w:rsidTr="0010601F">
      <w:trPr>
        <w:trHeight w:val="108"/>
      </w:trPr>
      <w:tc>
        <w:tcPr>
          <w:tcW w:w="8875" w:type="dxa"/>
          <w:gridSpan w:val="2"/>
          <w:tcBorders>
            <w:bottom w:val="single" w:sz="4" w:space="0" w:color="auto"/>
          </w:tcBorders>
          <w:tcMar>
            <w:right w:w="284" w:type="dxa"/>
          </w:tcMar>
        </w:tcPr>
        <w:p w14:paraId="4FE91F47" w14:textId="77777777" w:rsidR="00AC31A0" w:rsidRDefault="00AC31A0" w:rsidP="006E08B3">
          <w:pPr>
            <w:pStyle w:val="Heading3"/>
          </w:pPr>
          <w:r>
            <w:t>Copyright</w:t>
          </w:r>
        </w:p>
        <w:p w14:paraId="4FE91F48" w14:textId="77777777" w:rsidR="00AC31A0" w:rsidRDefault="00AC31A0" w:rsidP="006E08B3">
          <w:r>
            <w:rPr>
              <w:rFonts w:cs="Arial"/>
            </w:rPr>
            <w:t>©</w:t>
          </w:r>
          <w:r>
            <w:t xml:space="preserve"> Commonwealth of Australia [add year]</w:t>
          </w:r>
        </w:p>
        <w:p w14:paraId="4FE91F49" w14:textId="77777777" w:rsidR="00AC31A0" w:rsidRDefault="00AC31A0" w:rsidP="006E08B3"/>
        <w:p w14:paraId="4FE91F4A" w14:textId="77777777" w:rsidR="00AC31A0" w:rsidRDefault="00AC31A0"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4FE91F4B" w14:textId="77777777" w:rsidR="00AC31A0" w:rsidRDefault="00AC31A0" w:rsidP="006E08B3"/>
        <w:p w14:paraId="4FE91F4C" w14:textId="77777777" w:rsidR="00AC31A0" w:rsidRDefault="00AC31A0" w:rsidP="006E08B3">
          <w:pPr>
            <w:pStyle w:val="Heading3"/>
          </w:pPr>
          <w:r>
            <w:t>Confidentiality</w:t>
          </w:r>
        </w:p>
        <w:p w14:paraId="4FE91F4D" w14:textId="77777777" w:rsidR="00AC31A0" w:rsidRDefault="00AC31A0"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4FE91F4E" w14:textId="77777777" w:rsidR="00AC31A0" w:rsidRDefault="00AC31A0" w:rsidP="006E08B3"/>
        <w:p w14:paraId="4FE91F4F" w14:textId="77777777" w:rsidR="00AC31A0" w:rsidRDefault="00AC31A0" w:rsidP="006E08B3">
          <w:r>
            <w:t>For submission made by individuals, all personal details, other than your name, will be removed from your submission before it is published on the TGA’s Internet site.</w:t>
          </w:r>
        </w:p>
        <w:p w14:paraId="4FE91F50" w14:textId="77777777" w:rsidR="00AC31A0" w:rsidRDefault="00AC31A0" w:rsidP="006E08B3"/>
        <w:p w14:paraId="4FE91F51" w14:textId="77777777" w:rsidR="00AC31A0" w:rsidRDefault="00AC31A0"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AC31A0" w14:paraId="4FE91F56" w14:textId="77777777" w:rsidTr="0010601F">
      <w:trPr>
        <w:trHeight w:val="417"/>
      </w:trPr>
      <w:tc>
        <w:tcPr>
          <w:tcW w:w="4519" w:type="dxa"/>
          <w:tcBorders>
            <w:top w:val="single" w:sz="4" w:space="0" w:color="auto"/>
          </w:tcBorders>
          <w:tcMar>
            <w:top w:w="142" w:type="dxa"/>
            <w:bottom w:w="0" w:type="dxa"/>
          </w:tcMar>
        </w:tcPr>
        <w:p w14:paraId="4FE91F53" w14:textId="77777777" w:rsidR="00AC31A0" w:rsidRDefault="00AC31A0" w:rsidP="006E08B3">
          <w:r>
            <w:t>Document title, Part #, Section # - Section title</w:t>
          </w:r>
        </w:p>
        <w:p w14:paraId="4FE91F54" w14:textId="77777777" w:rsidR="00AC31A0" w:rsidRDefault="00AC31A0" w:rsidP="006E08B3">
          <w:r>
            <w:t>V1.0 October 2010</w:t>
          </w:r>
        </w:p>
      </w:tc>
      <w:tc>
        <w:tcPr>
          <w:tcW w:w="4356" w:type="dxa"/>
          <w:tcBorders>
            <w:top w:val="single" w:sz="4" w:space="0" w:color="auto"/>
          </w:tcBorders>
          <w:tcMar>
            <w:top w:w="142" w:type="dxa"/>
            <w:bottom w:w="0" w:type="dxa"/>
          </w:tcMar>
        </w:tcPr>
        <w:p w14:paraId="4FE91F55" w14:textId="176B80E3" w:rsidR="00AC31A0" w:rsidRDefault="00AC31A0"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C82876">
            <w:fldChar w:fldCharType="begin"/>
          </w:r>
          <w:r w:rsidR="00C82876">
            <w:instrText xml:space="preserve"> NUMPAGES  \* Arabic </w:instrText>
          </w:r>
          <w:r w:rsidR="00C82876">
            <w:fldChar w:fldCharType="separate"/>
          </w:r>
          <w:r w:rsidR="003D50F1">
            <w:rPr>
              <w:noProof/>
            </w:rPr>
            <w:t>84</w:t>
          </w:r>
          <w:r w:rsidR="00C82876">
            <w:rPr>
              <w:noProof/>
            </w:rPr>
            <w:fldChar w:fldCharType="end"/>
          </w:r>
          <w:bookmarkStart w:id="262" w:name="_Toc196046425"/>
          <w:bookmarkStart w:id="263" w:name="_Toc247691501"/>
          <w:r>
            <w:t xml:space="preserve"> </w:t>
          </w:r>
        </w:p>
      </w:tc>
    </w:tr>
    <w:bookmarkEnd w:id="262"/>
    <w:bookmarkEnd w:id="263"/>
  </w:tbl>
  <w:p w14:paraId="4FE91F57" w14:textId="77777777" w:rsidR="00AC31A0" w:rsidRDefault="00AC31A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EDCBC7" w14:textId="77777777" w:rsidR="00AC31A0" w:rsidRDefault="00AC31A0" w:rsidP="00C40A36">
      <w:pPr>
        <w:spacing w:after="0"/>
      </w:pPr>
      <w:r>
        <w:separator/>
      </w:r>
    </w:p>
  </w:footnote>
  <w:footnote w:type="continuationSeparator" w:id="0">
    <w:p w14:paraId="4FD65E3B" w14:textId="77777777" w:rsidR="00AC31A0" w:rsidRDefault="00AC31A0" w:rsidP="00C40A36">
      <w:pPr>
        <w:spacing w:after="0"/>
      </w:pPr>
      <w:r>
        <w:continuationSeparator/>
      </w:r>
    </w:p>
  </w:footnote>
  <w:footnote w:type="continuationNotice" w:id="1">
    <w:p w14:paraId="426F8203" w14:textId="77777777" w:rsidR="00AC31A0" w:rsidRDefault="00AC31A0">
      <w:pPr>
        <w:spacing w:before="0" w:after="0" w:line="240" w:lineRule="auto"/>
      </w:pPr>
    </w:p>
  </w:footnote>
  <w:footnote w:id="2">
    <w:p w14:paraId="4FE91F5C" w14:textId="77777777" w:rsidR="00AC31A0" w:rsidRPr="00425CD4" w:rsidRDefault="00AC31A0">
      <w:pPr>
        <w:pStyle w:val="FootnoteText"/>
        <w:rPr>
          <w:lang w:val="en-US"/>
        </w:rPr>
      </w:pPr>
      <w:r>
        <w:rPr>
          <w:rStyle w:val="FootnoteReference"/>
        </w:rPr>
        <w:footnoteRef/>
      </w:r>
      <w:r>
        <w:t xml:space="preserve"> </w:t>
      </w:r>
      <w:r>
        <w:rPr>
          <w:rFonts w:cs="Arial"/>
        </w:rPr>
        <w:t xml:space="preserve">Standardised quality units (tablet); the SQ-T and SQ-U units express the same biological activity. SQ-U was originally introduced for products for subcutaneous administration. The SQ-U has for Grazax been substituted by the unit SQ-T to distinguish between the 2 pharmaceutical forms (that is subcutaneous versus </w:t>
      </w:r>
      <w:proofErr w:type="spellStart"/>
      <w:r>
        <w:rPr>
          <w:rFonts w:cs="Arial"/>
        </w:rPr>
        <w:t>oromucosal</w:t>
      </w:r>
      <w:proofErr w:type="spellEnd"/>
      <w:r>
        <w:rPr>
          <w:rFonts w:cs="Arial"/>
        </w:rPr>
        <w:t xml:space="preserve"> use).</w:t>
      </w:r>
    </w:p>
  </w:footnote>
  <w:footnote w:id="3">
    <w:p w14:paraId="4FE91F5E" w14:textId="77777777" w:rsidR="00AC31A0" w:rsidRPr="004A7F98" w:rsidRDefault="00AC31A0">
      <w:pPr>
        <w:pStyle w:val="FootnoteText"/>
        <w:rPr>
          <w:lang w:val="en-US"/>
        </w:rPr>
      </w:pPr>
      <w:r>
        <w:rPr>
          <w:rStyle w:val="FootnoteReference"/>
        </w:rPr>
        <w:footnoteRef/>
      </w:r>
      <w:r>
        <w:t xml:space="preserve"> ICH M3 (R2) Nonclinical Safety Studies for the Conduct of Human Clinical Trials and Marketing Authorisation for Pharmaceuticals</w:t>
      </w:r>
    </w:p>
  </w:footnote>
  <w:footnote w:id="4">
    <w:p w14:paraId="4FE91F5F" w14:textId="77777777" w:rsidR="00AC31A0" w:rsidRPr="006C0963" w:rsidRDefault="00AC31A0" w:rsidP="008249F9">
      <w:pPr>
        <w:pStyle w:val="FootnoteText"/>
        <w:rPr>
          <w:lang w:val="nl-NL"/>
        </w:rPr>
      </w:pPr>
      <w:r w:rsidRPr="008249F9">
        <w:rPr>
          <w:rStyle w:val="FootnoteReference"/>
        </w:rPr>
        <w:footnoteRef/>
      </w:r>
      <w:r w:rsidRPr="006C0963">
        <w:rPr>
          <w:lang w:val="nl-NL"/>
        </w:rPr>
        <w:t xml:space="preserve"> Dossier 3.2.S.2.2</w:t>
      </w:r>
    </w:p>
  </w:footnote>
  <w:footnote w:id="5">
    <w:p w14:paraId="4FE91F60" w14:textId="77777777" w:rsidR="00AC31A0" w:rsidRPr="006C0963" w:rsidRDefault="00AC31A0" w:rsidP="008249F9">
      <w:pPr>
        <w:pStyle w:val="FootnoteText"/>
        <w:rPr>
          <w:lang w:val="nl-NL"/>
        </w:rPr>
      </w:pPr>
      <w:r w:rsidRPr="008249F9">
        <w:rPr>
          <w:rStyle w:val="FootnoteReference"/>
        </w:rPr>
        <w:footnoteRef/>
      </w:r>
      <w:r w:rsidRPr="006C0963">
        <w:rPr>
          <w:lang w:val="nl-NL"/>
        </w:rPr>
        <w:t xml:space="preserve"> Table 3, Dossier 3.2.S.2.3</w:t>
      </w:r>
    </w:p>
  </w:footnote>
  <w:footnote w:id="6">
    <w:p w14:paraId="4FE91F61" w14:textId="77777777" w:rsidR="00AC31A0" w:rsidRPr="008249F9" w:rsidRDefault="00AC31A0" w:rsidP="008249F9">
      <w:pPr>
        <w:pStyle w:val="FootnoteText"/>
      </w:pPr>
      <w:r w:rsidRPr="008249F9">
        <w:rPr>
          <w:rStyle w:val="FootnoteReference"/>
        </w:rPr>
        <w:footnoteRef/>
      </w:r>
      <w:r w:rsidRPr="008249F9">
        <w:rPr>
          <w:vertAlign w:val="superscript"/>
        </w:rPr>
        <w:t xml:space="preserve"> </w:t>
      </w:r>
      <w:r w:rsidRPr="008249F9">
        <w:t>Dossier 3.2.S.3.1</w:t>
      </w:r>
    </w:p>
  </w:footnote>
  <w:footnote w:id="7">
    <w:p w14:paraId="4FE91F62" w14:textId="77777777" w:rsidR="00AC31A0" w:rsidRPr="008249F9" w:rsidRDefault="00AC31A0" w:rsidP="008249F9">
      <w:pPr>
        <w:pStyle w:val="FootnoteText"/>
      </w:pPr>
      <w:r w:rsidRPr="008249F9">
        <w:rPr>
          <w:rStyle w:val="FootnoteReference"/>
        </w:rPr>
        <w:footnoteRef/>
      </w:r>
      <w:r w:rsidRPr="008249F9">
        <w:rPr>
          <w:vertAlign w:val="superscript"/>
        </w:rPr>
        <w:t xml:space="preserve"> </w:t>
      </w:r>
      <w:r w:rsidRPr="008249F9">
        <w:t xml:space="preserve">“The biological activity of the tablet is expressed in SQ-T. </w:t>
      </w:r>
      <w:proofErr w:type="gramStart"/>
      <w:r w:rsidRPr="008249F9">
        <w:t>SQ-T is an arbitrary unit defined by ALK-</w:t>
      </w:r>
      <w:proofErr w:type="spellStart"/>
      <w:r w:rsidRPr="008249F9">
        <w:t>Abelló</w:t>
      </w:r>
      <w:proofErr w:type="spellEnd"/>
      <w:r w:rsidRPr="008249F9">
        <w:t xml:space="preserve"> A/S.” dossier 3.2.P.1.</w:t>
      </w:r>
      <w:proofErr w:type="gramEnd"/>
      <w:r w:rsidRPr="008249F9">
        <w:t xml:space="preserve"> </w:t>
      </w:r>
      <w:proofErr w:type="gramStart"/>
      <w:r w:rsidRPr="008249F9">
        <w:t>pp 1.</w:t>
      </w:r>
      <w:proofErr w:type="gramEnd"/>
    </w:p>
  </w:footnote>
  <w:footnote w:id="8">
    <w:p w14:paraId="34B93722" w14:textId="52253A44" w:rsidR="00AC31A0" w:rsidRPr="00726688" w:rsidRDefault="00AC31A0">
      <w:pPr>
        <w:pStyle w:val="FootnoteText"/>
        <w:rPr>
          <w:lang w:val="en-US"/>
        </w:rPr>
      </w:pPr>
      <w:r>
        <w:rPr>
          <w:rStyle w:val="FootnoteReference"/>
        </w:rPr>
        <w:footnoteRef/>
      </w:r>
      <w:r>
        <w:t xml:space="preserve"> The calculated ‘dry matter doses’ have not been included as they were considered commercial in confidence material by the sponsor.</w:t>
      </w:r>
    </w:p>
  </w:footnote>
  <w:footnote w:id="9">
    <w:p w14:paraId="5E373F8D" w14:textId="77777777" w:rsidR="00AC31A0" w:rsidRDefault="00AC31A0" w:rsidP="00D07A91">
      <w:pPr>
        <w:pStyle w:val="FootnoteText"/>
      </w:pPr>
      <w:r>
        <w:rPr>
          <w:rStyle w:val="FootnoteReference"/>
        </w:rPr>
        <w:footnoteRef/>
      </w:r>
      <w:r>
        <w:t xml:space="preserve"> HJ </w:t>
      </w:r>
      <w:proofErr w:type="spellStart"/>
      <w:r>
        <w:t>Malling</w:t>
      </w:r>
      <w:proofErr w:type="spellEnd"/>
      <w:r>
        <w:t xml:space="preserve">, et al, Safety and Immunological Changes </w:t>
      </w:r>
      <w:proofErr w:type="gramStart"/>
      <w:r>
        <w:t>During Sublingual Immunotherapy With</w:t>
      </w:r>
      <w:proofErr w:type="gramEnd"/>
      <w:r>
        <w:t xml:space="preserve"> Standardised Quality Grass Allergen Tablets. </w:t>
      </w:r>
      <w:r w:rsidRPr="001D277A">
        <w:rPr>
          <w:i/>
        </w:rPr>
        <w:t xml:space="preserve">J </w:t>
      </w:r>
      <w:proofErr w:type="spellStart"/>
      <w:r w:rsidRPr="001D277A">
        <w:rPr>
          <w:i/>
        </w:rPr>
        <w:t>Investig</w:t>
      </w:r>
      <w:proofErr w:type="spellEnd"/>
      <w:r w:rsidRPr="001D277A">
        <w:rPr>
          <w:i/>
        </w:rPr>
        <w:t xml:space="preserve"> </w:t>
      </w:r>
      <w:proofErr w:type="spellStart"/>
      <w:r w:rsidRPr="001D277A">
        <w:rPr>
          <w:i/>
        </w:rPr>
        <w:t>Allergol</w:t>
      </w:r>
      <w:proofErr w:type="spellEnd"/>
      <w:r w:rsidRPr="001D277A">
        <w:rPr>
          <w:i/>
        </w:rPr>
        <w:t xml:space="preserve"> </w:t>
      </w:r>
      <w:proofErr w:type="spellStart"/>
      <w:r w:rsidRPr="001D277A">
        <w:rPr>
          <w:i/>
        </w:rPr>
        <w:t>Clin</w:t>
      </w:r>
      <w:proofErr w:type="spellEnd"/>
      <w:r w:rsidRPr="001D277A">
        <w:rPr>
          <w:i/>
        </w:rPr>
        <w:t xml:space="preserve"> </w:t>
      </w:r>
      <w:proofErr w:type="spellStart"/>
      <w:r w:rsidRPr="001D277A">
        <w:rPr>
          <w:i/>
        </w:rPr>
        <w:t>Immunol</w:t>
      </w:r>
      <w:proofErr w:type="spellEnd"/>
      <w:r>
        <w:t xml:space="preserve"> 2006; Vol. 16(3): 162-168</w:t>
      </w:r>
    </w:p>
  </w:footnote>
  <w:footnote w:id="10">
    <w:p w14:paraId="4FE91F65" w14:textId="77777777" w:rsidR="00AC31A0" w:rsidRPr="006C0963" w:rsidRDefault="00AC31A0" w:rsidP="008249F9">
      <w:pPr>
        <w:pStyle w:val="FootnoteText"/>
        <w:rPr>
          <w:lang w:val="it-IT"/>
        </w:rPr>
      </w:pPr>
      <w:r w:rsidRPr="008249F9">
        <w:rPr>
          <w:rStyle w:val="FootnoteReference"/>
        </w:rPr>
        <w:footnoteRef/>
      </w:r>
      <w:r w:rsidRPr="006C0963">
        <w:rPr>
          <w:vertAlign w:val="superscript"/>
          <w:lang w:val="it-IT"/>
        </w:rPr>
        <w:t xml:space="preserve"> </w:t>
      </w:r>
      <w:r w:rsidRPr="006C0963">
        <w:rPr>
          <w:lang w:val="it-IT"/>
        </w:rPr>
        <w:t>2.4.1 in Module 2.4 Nonclinical overview.</w:t>
      </w:r>
    </w:p>
  </w:footnote>
  <w:footnote w:id="11">
    <w:p w14:paraId="4FE91F66" w14:textId="77777777" w:rsidR="00AC31A0" w:rsidRPr="008249F9" w:rsidRDefault="00AC31A0" w:rsidP="008249F9">
      <w:pPr>
        <w:pStyle w:val="FootnoteText"/>
      </w:pPr>
      <w:r w:rsidRPr="008249F9">
        <w:rPr>
          <w:rStyle w:val="FootnoteReference"/>
        </w:rPr>
        <w:footnoteRef/>
      </w:r>
      <w:r w:rsidRPr="006C0963">
        <w:rPr>
          <w:lang w:val="it-IT"/>
        </w:rPr>
        <w:t xml:space="preserve"> Bagnasco M, et al. </w:t>
      </w:r>
      <w:r w:rsidRPr="008249F9">
        <w:t xml:space="preserve">Absorption and distribution kinetics of the major </w:t>
      </w:r>
      <w:proofErr w:type="spellStart"/>
      <w:r w:rsidRPr="008249F9">
        <w:t>Parietaria</w:t>
      </w:r>
      <w:proofErr w:type="spellEnd"/>
      <w:r w:rsidRPr="008249F9">
        <w:t xml:space="preserve"> </w:t>
      </w:r>
      <w:proofErr w:type="spellStart"/>
      <w:r w:rsidRPr="008249F9">
        <w:t>judaica</w:t>
      </w:r>
      <w:proofErr w:type="spellEnd"/>
      <w:r w:rsidRPr="008249F9">
        <w:t xml:space="preserve"> allergen (Par j 1) administered by </w:t>
      </w:r>
      <w:proofErr w:type="spellStart"/>
      <w:r w:rsidRPr="008249F9">
        <w:t>noninjectable</w:t>
      </w:r>
      <w:proofErr w:type="spellEnd"/>
      <w:r w:rsidRPr="008249F9">
        <w:t xml:space="preserve"> routes in healthy human beings </w:t>
      </w:r>
      <w:r w:rsidRPr="008249F9">
        <w:rPr>
          <w:i/>
        </w:rPr>
        <w:t xml:space="preserve">J Allergy </w:t>
      </w:r>
      <w:proofErr w:type="spellStart"/>
      <w:r w:rsidRPr="008249F9">
        <w:rPr>
          <w:i/>
        </w:rPr>
        <w:t>Clin</w:t>
      </w:r>
      <w:proofErr w:type="spellEnd"/>
      <w:r w:rsidRPr="008249F9">
        <w:rPr>
          <w:i/>
        </w:rPr>
        <w:t xml:space="preserve"> </w:t>
      </w:r>
      <w:proofErr w:type="spellStart"/>
      <w:r w:rsidRPr="008249F9">
        <w:rPr>
          <w:i/>
        </w:rPr>
        <w:t>Immunol</w:t>
      </w:r>
      <w:proofErr w:type="spellEnd"/>
      <w:r w:rsidRPr="008249F9">
        <w:rPr>
          <w:i/>
        </w:rPr>
        <w:t xml:space="preserve"> </w:t>
      </w:r>
      <w:r>
        <w:t>1997</w:t>
      </w:r>
      <w:r w:rsidRPr="008249F9">
        <w:t>;</w:t>
      </w:r>
      <w:r>
        <w:t xml:space="preserve"> </w:t>
      </w:r>
      <w:r w:rsidRPr="008249F9">
        <w:t>100:</w:t>
      </w:r>
      <w:r>
        <w:t xml:space="preserve"> </w:t>
      </w:r>
      <w:r w:rsidRPr="008249F9">
        <w:t>122-129.</w:t>
      </w:r>
    </w:p>
  </w:footnote>
  <w:footnote w:id="12">
    <w:p w14:paraId="4FE91F67" w14:textId="77777777" w:rsidR="00AC31A0" w:rsidRPr="00DF670F" w:rsidRDefault="00AC31A0" w:rsidP="00FE0277">
      <w:pPr>
        <w:pStyle w:val="FootnoteText"/>
        <w:rPr>
          <w:sz w:val="16"/>
          <w:szCs w:val="16"/>
        </w:rPr>
      </w:pPr>
      <w:r w:rsidRPr="00DF670F">
        <w:rPr>
          <w:rStyle w:val="FootnoteReference"/>
          <w:sz w:val="16"/>
          <w:szCs w:val="16"/>
        </w:rPr>
        <w:footnoteRef/>
      </w:r>
      <w:r w:rsidRPr="00DF670F">
        <w:rPr>
          <w:sz w:val="16"/>
          <w:szCs w:val="16"/>
        </w:rPr>
        <w:t xml:space="preserve"> Dose comparisons are on a BSA and </w:t>
      </w:r>
      <w:proofErr w:type="spellStart"/>
      <w:r w:rsidRPr="00DF670F">
        <w:rPr>
          <w:sz w:val="16"/>
          <w:szCs w:val="16"/>
        </w:rPr>
        <w:t>Phl</w:t>
      </w:r>
      <w:proofErr w:type="spellEnd"/>
      <w:r w:rsidRPr="00DF670F">
        <w:rPr>
          <w:sz w:val="16"/>
          <w:szCs w:val="16"/>
        </w:rPr>
        <w:t xml:space="preserve"> p dry matter basis.</w:t>
      </w:r>
    </w:p>
  </w:footnote>
  <w:footnote w:id="13">
    <w:p w14:paraId="4FE91F68" w14:textId="77777777" w:rsidR="00AC31A0" w:rsidRPr="00BB37E6" w:rsidRDefault="00AC31A0" w:rsidP="00FE0277">
      <w:pPr>
        <w:pStyle w:val="FootnoteText"/>
        <w:rPr>
          <w:sz w:val="16"/>
          <w:szCs w:val="16"/>
        </w:rPr>
      </w:pPr>
      <w:r w:rsidRPr="00BB37E6">
        <w:rPr>
          <w:rStyle w:val="FootnoteReference"/>
          <w:sz w:val="16"/>
          <w:szCs w:val="16"/>
        </w:rPr>
        <w:footnoteRef/>
      </w:r>
      <w:r w:rsidRPr="00BB37E6">
        <w:rPr>
          <w:sz w:val="16"/>
          <w:szCs w:val="16"/>
        </w:rPr>
        <w:t xml:space="preserve"> </w:t>
      </w:r>
      <w:proofErr w:type="spellStart"/>
      <w:r w:rsidRPr="00BB37E6">
        <w:rPr>
          <w:sz w:val="16"/>
          <w:szCs w:val="16"/>
        </w:rPr>
        <w:t>Brimnes</w:t>
      </w:r>
      <w:proofErr w:type="spellEnd"/>
      <w:r w:rsidRPr="00BB37E6">
        <w:rPr>
          <w:sz w:val="16"/>
          <w:szCs w:val="16"/>
        </w:rPr>
        <w:t xml:space="preserve"> J, et al. </w:t>
      </w:r>
      <w:r w:rsidRPr="001E1063">
        <w:t xml:space="preserve">Sublingual immunotherapy reduces allergic symptoms in a mouse model of rhinitis </w:t>
      </w:r>
      <w:proofErr w:type="spellStart"/>
      <w:r w:rsidRPr="00345A8D">
        <w:rPr>
          <w:i/>
          <w:sz w:val="16"/>
          <w:szCs w:val="16"/>
        </w:rPr>
        <w:t>Clin</w:t>
      </w:r>
      <w:proofErr w:type="spellEnd"/>
      <w:r w:rsidRPr="00345A8D">
        <w:rPr>
          <w:i/>
          <w:sz w:val="16"/>
          <w:szCs w:val="16"/>
        </w:rPr>
        <w:t xml:space="preserve"> </w:t>
      </w:r>
      <w:proofErr w:type="spellStart"/>
      <w:r w:rsidRPr="00345A8D">
        <w:rPr>
          <w:i/>
          <w:sz w:val="16"/>
          <w:szCs w:val="16"/>
        </w:rPr>
        <w:t>Exp</w:t>
      </w:r>
      <w:proofErr w:type="spellEnd"/>
      <w:r w:rsidRPr="00345A8D">
        <w:rPr>
          <w:i/>
          <w:sz w:val="16"/>
          <w:szCs w:val="16"/>
        </w:rPr>
        <w:t xml:space="preserve"> Allergy.</w:t>
      </w:r>
      <w:r>
        <w:rPr>
          <w:sz w:val="16"/>
          <w:szCs w:val="16"/>
        </w:rPr>
        <w:t xml:space="preserve"> 2007</w:t>
      </w:r>
      <w:r w:rsidRPr="00BB37E6">
        <w:rPr>
          <w:sz w:val="16"/>
          <w:szCs w:val="16"/>
        </w:rPr>
        <w:t>;</w:t>
      </w:r>
      <w:r>
        <w:rPr>
          <w:sz w:val="16"/>
          <w:szCs w:val="16"/>
        </w:rPr>
        <w:t xml:space="preserve"> 37</w:t>
      </w:r>
      <w:r w:rsidRPr="00BB37E6">
        <w:rPr>
          <w:sz w:val="16"/>
          <w:szCs w:val="16"/>
        </w:rPr>
        <w:t>:</w:t>
      </w:r>
      <w:r>
        <w:rPr>
          <w:sz w:val="16"/>
          <w:szCs w:val="16"/>
        </w:rPr>
        <w:t xml:space="preserve"> </w:t>
      </w:r>
      <w:r w:rsidRPr="00BB37E6">
        <w:rPr>
          <w:sz w:val="16"/>
          <w:szCs w:val="16"/>
        </w:rPr>
        <w:t>488-</w:t>
      </w:r>
      <w:r>
        <w:rPr>
          <w:sz w:val="16"/>
          <w:szCs w:val="16"/>
        </w:rPr>
        <w:t>4</w:t>
      </w:r>
      <w:r w:rsidRPr="00BB37E6">
        <w:rPr>
          <w:sz w:val="16"/>
          <w:szCs w:val="16"/>
        </w:rPr>
        <w:t>97</w:t>
      </w:r>
    </w:p>
  </w:footnote>
  <w:footnote w:id="14">
    <w:p w14:paraId="4FE91F69" w14:textId="77777777" w:rsidR="00AC31A0" w:rsidRPr="00BB37E6" w:rsidRDefault="00AC31A0" w:rsidP="00FE0277">
      <w:pPr>
        <w:pStyle w:val="FootnoteText"/>
        <w:rPr>
          <w:sz w:val="16"/>
          <w:szCs w:val="16"/>
        </w:rPr>
      </w:pPr>
      <w:r w:rsidRPr="00BB37E6">
        <w:rPr>
          <w:rStyle w:val="FootnoteReference"/>
          <w:sz w:val="16"/>
          <w:szCs w:val="16"/>
        </w:rPr>
        <w:footnoteRef/>
      </w:r>
      <w:r w:rsidRPr="00BB37E6">
        <w:rPr>
          <w:sz w:val="16"/>
          <w:szCs w:val="16"/>
        </w:rPr>
        <w:t xml:space="preserve"> This is in contrast to the claims in the Module 2 nonclinical overview that the dose volumes “</w:t>
      </w:r>
      <w:r w:rsidRPr="00BB37E6">
        <w:rPr>
          <w:i/>
          <w:sz w:val="16"/>
          <w:szCs w:val="16"/>
        </w:rPr>
        <w:t xml:space="preserve">could be administered without the dissipation being unacceptably large” </w:t>
      </w:r>
      <w:r w:rsidRPr="00BB37E6">
        <w:rPr>
          <w:sz w:val="16"/>
          <w:szCs w:val="16"/>
        </w:rPr>
        <w:t>(</w:t>
      </w:r>
      <w:r>
        <w:rPr>
          <w:sz w:val="16"/>
          <w:szCs w:val="16"/>
        </w:rPr>
        <w:t>that is</w:t>
      </w:r>
      <w:r w:rsidRPr="00BB37E6">
        <w:rPr>
          <w:sz w:val="16"/>
          <w:szCs w:val="16"/>
        </w:rPr>
        <w:t xml:space="preserve"> would no</w:t>
      </w:r>
      <w:r>
        <w:rPr>
          <w:sz w:val="16"/>
          <w:szCs w:val="16"/>
        </w:rPr>
        <w:t>t distribute beyond the mouth).</w:t>
      </w:r>
    </w:p>
  </w:footnote>
  <w:footnote w:id="15">
    <w:p w14:paraId="4FE91F6A" w14:textId="77777777" w:rsidR="00AC31A0" w:rsidRPr="00BB37E6" w:rsidRDefault="00AC31A0" w:rsidP="00FE0277">
      <w:pPr>
        <w:pStyle w:val="FootnoteText"/>
        <w:rPr>
          <w:sz w:val="16"/>
          <w:szCs w:val="16"/>
        </w:rPr>
      </w:pPr>
      <w:r w:rsidRPr="00BB37E6">
        <w:rPr>
          <w:rStyle w:val="FootnoteReference"/>
          <w:sz w:val="16"/>
          <w:szCs w:val="16"/>
        </w:rPr>
        <w:footnoteRef/>
      </w:r>
      <w:r w:rsidRPr="00BB37E6">
        <w:rPr>
          <w:sz w:val="16"/>
          <w:szCs w:val="16"/>
        </w:rPr>
        <w:t xml:space="preserve"> Study No. LEA-004-023818 pp 11: </w:t>
      </w:r>
      <w:r w:rsidRPr="00BB37E6">
        <w:rPr>
          <w:i/>
          <w:sz w:val="16"/>
          <w:szCs w:val="16"/>
        </w:rPr>
        <w:t xml:space="preserve">“The animal was restrained for a further 15-20 seconds after dosing to avoid, as far as possible, the animal swallowing the dosing formulation.” </w:t>
      </w:r>
      <w:r w:rsidRPr="00BB37E6">
        <w:rPr>
          <w:sz w:val="16"/>
          <w:szCs w:val="16"/>
        </w:rPr>
        <w:t xml:space="preserve">Study No. LEA-008-033623 pp 14: </w:t>
      </w:r>
      <w:r w:rsidRPr="00BB37E6">
        <w:rPr>
          <w:i/>
          <w:sz w:val="16"/>
          <w:szCs w:val="16"/>
        </w:rPr>
        <w:t xml:space="preserve">“Each animal was then restrained for a further 15-20 seconds (to avoid, as far as possible, swallowing of the test material) before being returned to its home cage.” </w:t>
      </w:r>
      <w:r w:rsidRPr="00BB37E6">
        <w:rPr>
          <w:sz w:val="16"/>
          <w:szCs w:val="16"/>
        </w:rPr>
        <w:t xml:space="preserve">Study No. LEA-010-042144 pp 16: </w:t>
      </w:r>
      <w:r w:rsidRPr="00BB37E6">
        <w:rPr>
          <w:i/>
          <w:sz w:val="16"/>
          <w:szCs w:val="16"/>
        </w:rPr>
        <w:t>“Each animal was then restrained for a further 15-20 seconds (to avoid, as far as possible, swallowing of the test material) before being returned to its home cage.”</w:t>
      </w:r>
    </w:p>
  </w:footnote>
  <w:footnote w:id="16">
    <w:p w14:paraId="4FE91F6B" w14:textId="77777777" w:rsidR="00AC31A0" w:rsidRPr="008249F9" w:rsidRDefault="00AC31A0" w:rsidP="000B3FA6">
      <w:pPr>
        <w:pStyle w:val="FootnoteText"/>
      </w:pPr>
      <w:r w:rsidRPr="00BB37E6">
        <w:rPr>
          <w:rStyle w:val="FootnoteReference"/>
          <w:sz w:val="16"/>
          <w:szCs w:val="16"/>
        </w:rPr>
        <w:footnoteRef/>
      </w:r>
      <w:r w:rsidRPr="00BB37E6">
        <w:rPr>
          <w:sz w:val="16"/>
          <w:szCs w:val="16"/>
        </w:rPr>
        <w:t xml:space="preserve"> </w:t>
      </w:r>
      <w:proofErr w:type="spellStart"/>
      <w:r w:rsidRPr="008249F9">
        <w:rPr>
          <w:sz w:val="16"/>
          <w:szCs w:val="16"/>
        </w:rPr>
        <w:t>Scaparrotta</w:t>
      </w:r>
      <w:proofErr w:type="spellEnd"/>
      <w:r w:rsidRPr="008249F9">
        <w:rPr>
          <w:sz w:val="16"/>
          <w:szCs w:val="16"/>
        </w:rPr>
        <w:t xml:space="preserve"> A, et al. </w:t>
      </w:r>
      <w:r w:rsidRPr="008249F9">
        <w:t>Critical appraisal of Timothy grass pollen extract GRAZAX in the management of</w:t>
      </w:r>
    </w:p>
    <w:p w14:paraId="4FE91F6C" w14:textId="77777777" w:rsidR="00AC31A0" w:rsidRPr="00CA11AE" w:rsidRDefault="00AC31A0" w:rsidP="000B3FA6">
      <w:pPr>
        <w:pStyle w:val="FootnoteText"/>
        <w:rPr>
          <w:sz w:val="16"/>
          <w:szCs w:val="16"/>
          <w:lang w:val="da-DK"/>
        </w:rPr>
      </w:pPr>
      <w:r w:rsidRPr="00CA11AE">
        <w:rPr>
          <w:lang w:val="da-DK"/>
        </w:rPr>
        <w:t xml:space="preserve">allergic rhinitis. </w:t>
      </w:r>
      <w:r w:rsidRPr="00CA11AE">
        <w:rPr>
          <w:i/>
          <w:sz w:val="16"/>
          <w:szCs w:val="16"/>
          <w:lang w:val="da-DK"/>
        </w:rPr>
        <w:t>Drug Des Devel Ther</w:t>
      </w:r>
      <w:r w:rsidRPr="00CA11AE">
        <w:rPr>
          <w:sz w:val="16"/>
          <w:szCs w:val="16"/>
          <w:lang w:val="da-DK"/>
        </w:rPr>
        <w:t>. 2015; 9: 5897-5909.</w:t>
      </w:r>
    </w:p>
  </w:footnote>
  <w:footnote w:id="17">
    <w:p w14:paraId="4FE91F6D" w14:textId="3022DE8D" w:rsidR="00AC31A0" w:rsidRPr="000B3FA6" w:rsidRDefault="00AC31A0" w:rsidP="000B3FA6">
      <w:pPr>
        <w:pStyle w:val="FootnoteText"/>
      </w:pPr>
      <w:r w:rsidRPr="00BB37E6">
        <w:rPr>
          <w:rStyle w:val="FootnoteReference"/>
          <w:sz w:val="16"/>
          <w:szCs w:val="16"/>
        </w:rPr>
        <w:footnoteRef/>
      </w:r>
      <w:r w:rsidRPr="00CA11AE">
        <w:rPr>
          <w:sz w:val="16"/>
          <w:szCs w:val="16"/>
          <w:lang w:val="da-DK"/>
        </w:rPr>
        <w:t xml:space="preserve"> Krishna MT, et al. 2011.</w:t>
      </w:r>
      <w:r w:rsidRPr="00CA11AE">
        <w:rPr>
          <w:lang w:val="da-DK"/>
        </w:rPr>
        <w:t xml:space="preserve"> </w:t>
      </w:r>
      <w:r>
        <w:t>Clinical immunology review series: an approach to desensitization.</w:t>
      </w:r>
      <w:r w:rsidRPr="00BB37E6">
        <w:rPr>
          <w:sz w:val="16"/>
          <w:szCs w:val="16"/>
        </w:rPr>
        <w:t xml:space="preserve"> </w:t>
      </w:r>
      <w:proofErr w:type="spellStart"/>
      <w:r w:rsidRPr="000B3FA6">
        <w:rPr>
          <w:i/>
          <w:sz w:val="16"/>
          <w:szCs w:val="16"/>
        </w:rPr>
        <w:t>Clin</w:t>
      </w:r>
      <w:proofErr w:type="spellEnd"/>
      <w:r w:rsidRPr="000B3FA6">
        <w:rPr>
          <w:i/>
          <w:sz w:val="16"/>
          <w:szCs w:val="16"/>
        </w:rPr>
        <w:t xml:space="preserve"> </w:t>
      </w:r>
      <w:proofErr w:type="spellStart"/>
      <w:r w:rsidRPr="000B3FA6">
        <w:rPr>
          <w:i/>
          <w:sz w:val="16"/>
          <w:szCs w:val="16"/>
        </w:rPr>
        <w:t>Exp</w:t>
      </w:r>
      <w:proofErr w:type="spellEnd"/>
      <w:r w:rsidRPr="000B3FA6">
        <w:rPr>
          <w:i/>
          <w:sz w:val="16"/>
          <w:szCs w:val="16"/>
        </w:rPr>
        <w:t xml:space="preserve"> </w:t>
      </w:r>
      <w:proofErr w:type="spellStart"/>
      <w:r w:rsidRPr="000B3FA6">
        <w:rPr>
          <w:i/>
          <w:sz w:val="16"/>
          <w:szCs w:val="16"/>
        </w:rPr>
        <w:t>Immunol</w:t>
      </w:r>
      <w:proofErr w:type="spellEnd"/>
      <w:r>
        <w:rPr>
          <w:sz w:val="16"/>
          <w:szCs w:val="16"/>
        </w:rPr>
        <w:t xml:space="preserve">. </w:t>
      </w:r>
      <w:proofErr w:type="gramStart"/>
      <w:r>
        <w:rPr>
          <w:sz w:val="16"/>
          <w:szCs w:val="16"/>
        </w:rPr>
        <w:t>2011; 163</w:t>
      </w:r>
      <w:r w:rsidRPr="00BB37E6">
        <w:rPr>
          <w:sz w:val="16"/>
          <w:szCs w:val="16"/>
        </w:rPr>
        <w:t>: 131–146.</w:t>
      </w:r>
      <w:proofErr w:type="gramEnd"/>
    </w:p>
  </w:footnote>
  <w:footnote w:id="18">
    <w:p w14:paraId="4FE91F6E" w14:textId="77777777" w:rsidR="00AC31A0" w:rsidRDefault="00AC31A0" w:rsidP="00FE0277">
      <w:pPr>
        <w:pStyle w:val="FootnoteText"/>
      </w:pPr>
      <w:r w:rsidRPr="00BB37E6">
        <w:rPr>
          <w:rStyle w:val="FootnoteReference"/>
          <w:sz w:val="16"/>
          <w:szCs w:val="16"/>
        </w:rPr>
        <w:footnoteRef/>
      </w:r>
      <w:r w:rsidRPr="00BB37E6">
        <w:rPr>
          <w:sz w:val="16"/>
          <w:szCs w:val="16"/>
        </w:rPr>
        <w:t xml:space="preserve"> </w:t>
      </w:r>
      <w:r>
        <w:rPr>
          <w:sz w:val="16"/>
          <w:szCs w:val="16"/>
        </w:rPr>
        <w:t>P</w:t>
      </w:r>
      <w:r w:rsidRPr="00BB37E6">
        <w:rPr>
          <w:sz w:val="16"/>
          <w:szCs w:val="16"/>
        </w:rPr>
        <w:t>revent the binding of allergen–</w:t>
      </w:r>
      <w:proofErr w:type="spellStart"/>
      <w:r w:rsidRPr="00BB37E6">
        <w:rPr>
          <w:sz w:val="16"/>
          <w:szCs w:val="16"/>
        </w:rPr>
        <w:t>IgE</w:t>
      </w:r>
      <w:proofErr w:type="spellEnd"/>
      <w:r w:rsidRPr="00BB37E6">
        <w:rPr>
          <w:sz w:val="16"/>
          <w:szCs w:val="16"/>
        </w:rPr>
        <w:t xml:space="preserve"> complexes on the low affinity receptor for </w:t>
      </w:r>
      <w:proofErr w:type="spellStart"/>
      <w:r w:rsidRPr="00BB37E6">
        <w:rPr>
          <w:sz w:val="16"/>
          <w:szCs w:val="16"/>
        </w:rPr>
        <w:t>IgE</w:t>
      </w:r>
      <w:proofErr w:type="spellEnd"/>
      <w:r w:rsidRPr="00BB37E6">
        <w:rPr>
          <w:sz w:val="16"/>
          <w:szCs w:val="16"/>
        </w:rPr>
        <w:t xml:space="preserve"> at the surface of B cells, thus decreasing the capacity of B cells to present the allergen to specific T cells</w:t>
      </w:r>
      <w:r>
        <w:rPr>
          <w:sz w:val="16"/>
          <w:szCs w:val="16"/>
        </w:rPr>
        <w:t>.</w:t>
      </w:r>
    </w:p>
  </w:footnote>
  <w:footnote w:id="19">
    <w:p w14:paraId="4FE91F6F" w14:textId="77777777" w:rsidR="00AC31A0" w:rsidRPr="000B3FA6" w:rsidRDefault="00AC31A0" w:rsidP="000B3FA6">
      <w:pPr>
        <w:pStyle w:val="FootnoteText"/>
      </w:pPr>
      <w:r>
        <w:rPr>
          <w:rStyle w:val="FootnoteReference"/>
        </w:rPr>
        <w:footnoteRef/>
      </w:r>
      <w:r>
        <w:t xml:space="preserve"> </w:t>
      </w:r>
      <w:proofErr w:type="spellStart"/>
      <w:r w:rsidRPr="00BB64C0">
        <w:rPr>
          <w:sz w:val="16"/>
          <w:szCs w:val="16"/>
        </w:rPr>
        <w:t>Canonica</w:t>
      </w:r>
      <w:proofErr w:type="spellEnd"/>
      <w:r w:rsidRPr="00BB64C0">
        <w:rPr>
          <w:sz w:val="16"/>
          <w:szCs w:val="16"/>
        </w:rPr>
        <w:t xml:space="preserve"> GW, et al. </w:t>
      </w:r>
      <w:r>
        <w:t xml:space="preserve">Sublingual immunotherapy: World Allergy Organization position paper 2013 update. </w:t>
      </w:r>
      <w:proofErr w:type="gramStart"/>
      <w:r w:rsidRPr="000B3FA6">
        <w:rPr>
          <w:i/>
          <w:sz w:val="16"/>
          <w:szCs w:val="16"/>
        </w:rPr>
        <w:t>World Allergy Organ J.</w:t>
      </w:r>
      <w:r>
        <w:rPr>
          <w:sz w:val="16"/>
          <w:szCs w:val="16"/>
        </w:rPr>
        <w:t xml:space="preserve"> 2014; 7: 6; </w:t>
      </w:r>
      <w:r w:rsidRPr="00BB64C0">
        <w:rPr>
          <w:sz w:val="16"/>
          <w:szCs w:val="16"/>
        </w:rPr>
        <w:t xml:space="preserve">Senna G, </w:t>
      </w:r>
      <w:r>
        <w:rPr>
          <w:sz w:val="16"/>
          <w:szCs w:val="16"/>
        </w:rPr>
        <w:t xml:space="preserve">et al. </w:t>
      </w:r>
      <w:r w:rsidRPr="000B3FA6">
        <w:t>Safety and tolerability of sublingual immunotherapy in clinical trials and real life.</w:t>
      </w:r>
      <w:proofErr w:type="gramEnd"/>
      <w:r>
        <w:t xml:space="preserve"> </w:t>
      </w:r>
      <w:proofErr w:type="spellStart"/>
      <w:proofErr w:type="gramStart"/>
      <w:r w:rsidRPr="000B3FA6">
        <w:rPr>
          <w:i/>
          <w:sz w:val="16"/>
          <w:szCs w:val="16"/>
        </w:rPr>
        <w:t>Curr</w:t>
      </w:r>
      <w:proofErr w:type="spellEnd"/>
      <w:r w:rsidRPr="000B3FA6">
        <w:rPr>
          <w:i/>
          <w:sz w:val="16"/>
          <w:szCs w:val="16"/>
        </w:rPr>
        <w:t xml:space="preserve"> </w:t>
      </w:r>
      <w:proofErr w:type="spellStart"/>
      <w:r w:rsidRPr="000B3FA6">
        <w:rPr>
          <w:i/>
          <w:sz w:val="16"/>
          <w:szCs w:val="16"/>
        </w:rPr>
        <w:t>Opin</w:t>
      </w:r>
      <w:proofErr w:type="spellEnd"/>
      <w:r w:rsidRPr="000B3FA6">
        <w:rPr>
          <w:i/>
          <w:sz w:val="16"/>
          <w:szCs w:val="16"/>
        </w:rPr>
        <w:t xml:space="preserve"> Allergy </w:t>
      </w:r>
      <w:proofErr w:type="spellStart"/>
      <w:r w:rsidRPr="000B3FA6">
        <w:rPr>
          <w:i/>
          <w:sz w:val="16"/>
          <w:szCs w:val="16"/>
        </w:rPr>
        <w:t>Clin</w:t>
      </w:r>
      <w:proofErr w:type="spellEnd"/>
      <w:r w:rsidRPr="000B3FA6">
        <w:rPr>
          <w:i/>
          <w:sz w:val="16"/>
          <w:szCs w:val="16"/>
        </w:rPr>
        <w:t xml:space="preserve"> </w:t>
      </w:r>
      <w:proofErr w:type="spellStart"/>
      <w:r w:rsidRPr="000B3FA6">
        <w:rPr>
          <w:i/>
          <w:sz w:val="16"/>
          <w:szCs w:val="16"/>
        </w:rPr>
        <w:t>Immunol</w:t>
      </w:r>
      <w:proofErr w:type="spellEnd"/>
      <w:r>
        <w:rPr>
          <w:sz w:val="16"/>
          <w:szCs w:val="16"/>
        </w:rPr>
        <w:t>.</w:t>
      </w:r>
      <w:proofErr w:type="gramEnd"/>
      <w:r>
        <w:rPr>
          <w:sz w:val="16"/>
          <w:szCs w:val="16"/>
        </w:rPr>
        <w:t xml:space="preserve"> </w:t>
      </w:r>
      <w:proofErr w:type="gramStart"/>
      <w:r>
        <w:rPr>
          <w:sz w:val="16"/>
          <w:szCs w:val="16"/>
        </w:rPr>
        <w:t>2011</w:t>
      </w:r>
      <w:r w:rsidRPr="00BB64C0">
        <w:rPr>
          <w:sz w:val="16"/>
          <w:szCs w:val="16"/>
        </w:rPr>
        <w:t>;</w:t>
      </w:r>
      <w:r>
        <w:rPr>
          <w:sz w:val="16"/>
          <w:szCs w:val="16"/>
        </w:rPr>
        <w:t xml:space="preserve"> 11</w:t>
      </w:r>
      <w:r w:rsidRPr="00BB64C0">
        <w:rPr>
          <w:sz w:val="16"/>
          <w:szCs w:val="16"/>
        </w:rPr>
        <w:t>:</w:t>
      </w:r>
      <w:r>
        <w:rPr>
          <w:sz w:val="16"/>
          <w:szCs w:val="16"/>
        </w:rPr>
        <w:t xml:space="preserve"> </w:t>
      </w:r>
      <w:r w:rsidRPr="00BB64C0">
        <w:rPr>
          <w:sz w:val="16"/>
          <w:szCs w:val="16"/>
        </w:rPr>
        <w:t>375-</w:t>
      </w:r>
      <w:r w:rsidRPr="000B3FA6">
        <w:rPr>
          <w:sz w:val="16"/>
          <w:szCs w:val="16"/>
        </w:rPr>
        <w:t>380.</w:t>
      </w:r>
      <w:proofErr w:type="gramEnd"/>
    </w:p>
  </w:footnote>
  <w:footnote w:id="20">
    <w:p w14:paraId="3BBCD1E2" w14:textId="1EA15FA8" w:rsidR="00AC31A0" w:rsidRPr="001E30EE" w:rsidRDefault="00AC31A0">
      <w:pPr>
        <w:pStyle w:val="FootnoteText"/>
        <w:rPr>
          <w:lang w:val="en-US"/>
        </w:rPr>
      </w:pPr>
      <w:r>
        <w:rPr>
          <w:rStyle w:val="FootnoteReference"/>
        </w:rPr>
        <w:footnoteRef/>
      </w:r>
      <w:r>
        <w:t xml:space="preserve"> </w:t>
      </w:r>
      <w:proofErr w:type="spellStart"/>
      <w:r w:rsidRPr="00BB64C0">
        <w:rPr>
          <w:sz w:val="16"/>
          <w:szCs w:val="16"/>
        </w:rPr>
        <w:t>Pfaar</w:t>
      </w:r>
      <w:proofErr w:type="spellEnd"/>
      <w:r w:rsidRPr="00BB64C0">
        <w:rPr>
          <w:sz w:val="16"/>
          <w:szCs w:val="16"/>
        </w:rPr>
        <w:t xml:space="preserve"> O, et al. </w:t>
      </w:r>
      <w:r>
        <w:rPr>
          <w:lang w:val="en"/>
        </w:rPr>
        <w:t xml:space="preserve">Allergen-Specific Immunotherapy: Which Outcome Measures are Useful in Monitoring Clinical Trials? </w:t>
      </w:r>
      <w:proofErr w:type="spellStart"/>
      <w:r w:rsidRPr="000B3FA6">
        <w:rPr>
          <w:i/>
          <w:sz w:val="16"/>
          <w:szCs w:val="16"/>
        </w:rPr>
        <w:t>Immunol</w:t>
      </w:r>
      <w:proofErr w:type="spellEnd"/>
      <w:r w:rsidRPr="000B3FA6">
        <w:rPr>
          <w:i/>
          <w:sz w:val="16"/>
          <w:szCs w:val="16"/>
        </w:rPr>
        <w:t xml:space="preserve"> Allergy </w:t>
      </w:r>
      <w:proofErr w:type="spellStart"/>
      <w:r w:rsidRPr="000B3FA6">
        <w:rPr>
          <w:i/>
          <w:sz w:val="16"/>
          <w:szCs w:val="16"/>
        </w:rPr>
        <w:t>Clin</w:t>
      </w:r>
      <w:proofErr w:type="spellEnd"/>
      <w:r w:rsidRPr="000B3FA6">
        <w:rPr>
          <w:i/>
          <w:sz w:val="16"/>
          <w:szCs w:val="16"/>
        </w:rPr>
        <w:t xml:space="preserve"> North Am</w:t>
      </w:r>
      <w:r>
        <w:rPr>
          <w:sz w:val="16"/>
          <w:szCs w:val="16"/>
        </w:rPr>
        <w:t>. 2011</w:t>
      </w:r>
      <w:r w:rsidRPr="00BB64C0">
        <w:rPr>
          <w:sz w:val="16"/>
          <w:szCs w:val="16"/>
        </w:rPr>
        <w:t>;</w:t>
      </w:r>
      <w:r>
        <w:rPr>
          <w:sz w:val="16"/>
          <w:szCs w:val="16"/>
        </w:rPr>
        <w:t xml:space="preserve"> 31</w:t>
      </w:r>
      <w:r w:rsidRPr="00BB64C0">
        <w:rPr>
          <w:sz w:val="16"/>
          <w:szCs w:val="16"/>
        </w:rPr>
        <w:t>:289-</w:t>
      </w:r>
      <w:r w:rsidRPr="001E30EE">
        <w:rPr>
          <w:sz w:val="16"/>
          <w:szCs w:val="16"/>
        </w:rPr>
        <w:t>30</w:t>
      </w:r>
      <w:r w:rsidRPr="001E30EE">
        <w:rPr>
          <w:sz w:val="16"/>
          <w:szCs w:val="16"/>
          <w:lang w:val="en-US"/>
        </w:rPr>
        <w:t>9</w:t>
      </w:r>
    </w:p>
  </w:footnote>
  <w:footnote w:id="21">
    <w:p w14:paraId="4FE91F71" w14:textId="77777777" w:rsidR="00AC31A0" w:rsidRPr="00FE0277" w:rsidRDefault="00AC31A0">
      <w:pPr>
        <w:pStyle w:val="FootnoteText"/>
        <w:rPr>
          <w:sz w:val="16"/>
          <w:szCs w:val="16"/>
        </w:rPr>
      </w:pPr>
      <w:r>
        <w:rPr>
          <w:rStyle w:val="FootnoteReference"/>
        </w:rPr>
        <w:footnoteRef/>
      </w:r>
      <w:r>
        <w:t xml:space="preserve"> </w:t>
      </w:r>
      <w:r w:rsidRPr="00BB64C0">
        <w:rPr>
          <w:sz w:val="16"/>
          <w:szCs w:val="16"/>
        </w:rPr>
        <w:t>Figure 1 in dossier §2.5.3</w:t>
      </w:r>
    </w:p>
  </w:footnote>
  <w:footnote w:id="22">
    <w:p w14:paraId="738471AC" w14:textId="58A652E8" w:rsidR="00AC31A0" w:rsidRPr="00313CF3" w:rsidRDefault="00AC31A0">
      <w:pPr>
        <w:pStyle w:val="FootnoteText"/>
        <w:rPr>
          <w:lang w:val="en-US"/>
        </w:rPr>
      </w:pPr>
      <w:r>
        <w:rPr>
          <w:rStyle w:val="FootnoteReference"/>
        </w:rPr>
        <w:footnoteRef/>
      </w:r>
      <w:r>
        <w:t xml:space="preserve"> </w:t>
      </w:r>
      <w:proofErr w:type="spellStart"/>
      <w:r w:rsidRPr="000B3FA6">
        <w:t>Roussel</w:t>
      </w:r>
      <w:proofErr w:type="spellEnd"/>
      <w:r w:rsidRPr="000B3FA6">
        <w:t xml:space="preserve"> AJ, et al. Characterisation of dog sensitisation to grass pollen in western France from 1999 to 2010. </w:t>
      </w:r>
      <w:r w:rsidRPr="000B3FA6">
        <w:rPr>
          <w:i/>
        </w:rPr>
        <w:t>Vet Rec.</w:t>
      </w:r>
      <w:r w:rsidRPr="000B3FA6">
        <w:t xml:space="preserve"> 2013; 172: 686;</w:t>
      </w:r>
    </w:p>
  </w:footnote>
  <w:footnote w:id="23">
    <w:p w14:paraId="68731965" w14:textId="492B80A4" w:rsidR="00AC31A0" w:rsidRPr="00313CF3" w:rsidRDefault="00AC31A0">
      <w:pPr>
        <w:pStyle w:val="FootnoteText"/>
        <w:rPr>
          <w:lang w:val="en-US"/>
        </w:rPr>
      </w:pPr>
      <w:r>
        <w:rPr>
          <w:rStyle w:val="FootnoteReference"/>
        </w:rPr>
        <w:footnoteRef/>
      </w:r>
      <w:r>
        <w:t xml:space="preserve"> </w:t>
      </w:r>
      <w:proofErr w:type="spellStart"/>
      <w:r w:rsidRPr="000B3FA6">
        <w:t>Schiessl</w:t>
      </w:r>
      <w:proofErr w:type="spellEnd"/>
      <w:r w:rsidRPr="000B3FA6">
        <w:t xml:space="preserve"> B, et al. Importance of early allergen contact for the development of a sustained immunoglobulin E response in a dog model. </w:t>
      </w:r>
      <w:proofErr w:type="spellStart"/>
      <w:proofErr w:type="gramStart"/>
      <w:r w:rsidRPr="000B3FA6">
        <w:rPr>
          <w:i/>
        </w:rPr>
        <w:t>Int</w:t>
      </w:r>
      <w:proofErr w:type="spellEnd"/>
      <w:r w:rsidRPr="000B3FA6">
        <w:rPr>
          <w:i/>
        </w:rPr>
        <w:t xml:space="preserve"> Arch Allergy </w:t>
      </w:r>
      <w:proofErr w:type="spellStart"/>
      <w:r w:rsidRPr="000B3FA6">
        <w:rPr>
          <w:i/>
        </w:rPr>
        <w:t>Immunol</w:t>
      </w:r>
      <w:proofErr w:type="spellEnd"/>
      <w:r>
        <w:t>.</w:t>
      </w:r>
      <w:proofErr w:type="gramEnd"/>
      <w:r>
        <w:t xml:space="preserve"> 2003; 130:125-134</w:t>
      </w:r>
    </w:p>
  </w:footnote>
  <w:footnote w:id="24">
    <w:p w14:paraId="023AA19A" w14:textId="63F0C971" w:rsidR="00AC31A0" w:rsidRPr="00313CF3" w:rsidRDefault="00AC31A0">
      <w:pPr>
        <w:pStyle w:val="FootnoteText"/>
        <w:rPr>
          <w:lang w:val="en-US"/>
        </w:rPr>
      </w:pPr>
      <w:r>
        <w:rPr>
          <w:rStyle w:val="FootnoteReference"/>
        </w:rPr>
        <w:footnoteRef/>
      </w:r>
      <w:r>
        <w:t xml:space="preserve"> </w:t>
      </w:r>
      <w:r w:rsidRPr="000B3FA6">
        <w:t>Masuda K, et al. Positive reactions to common allergens in 42 atopic dogs in Japan</w:t>
      </w:r>
      <w:r w:rsidRPr="000B3FA6">
        <w:rPr>
          <w:i/>
        </w:rPr>
        <w:t xml:space="preserve">. Vet </w:t>
      </w:r>
      <w:proofErr w:type="spellStart"/>
      <w:r w:rsidRPr="000B3FA6">
        <w:rPr>
          <w:i/>
        </w:rPr>
        <w:t>Immunol</w:t>
      </w:r>
      <w:proofErr w:type="spellEnd"/>
      <w:r w:rsidRPr="000B3FA6">
        <w:rPr>
          <w:i/>
        </w:rPr>
        <w:t xml:space="preserve"> </w:t>
      </w:r>
      <w:proofErr w:type="spellStart"/>
      <w:r w:rsidRPr="000B3FA6">
        <w:rPr>
          <w:i/>
        </w:rPr>
        <w:t>Immunopathol</w:t>
      </w:r>
      <w:proofErr w:type="spellEnd"/>
      <w:r w:rsidRPr="000B3FA6">
        <w:t xml:space="preserve">. 2000; </w:t>
      </w:r>
      <w:r>
        <w:t>73: 193-204</w:t>
      </w:r>
    </w:p>
  </w:footnote>
  <w:footnote w:id="25">
    <w:p w14:paraId="36440A00" w14:textId="205E6BC0" w:rsidR="00AC31A0" w:rsidRPr="00313CF3" w:rsidRDefault="00AC31A0">
      <w:pPr>
        <w:pStyle w:val="FootnoteText"/>
        <w:rPr>
          <w:lang w:val="en-US"/>
        </w:rPr>
      </w:pPr>
      <w:r>
        <w:rPr>
          <w:rStyle w:val="FootnoteReference"/>
        </w:rPr>
        <w:footnoteRef/>
      </w:r>
      <w:r>
        <w:t xml:space="preserve"> </w:t>
      </w:r>
      <w:proofErr w:type="gramStart"/>
      <w:r w:rsidRPr="000B3FA6">
        <w:t>Patterson R, et al. Rush immunotherapy in a dog with severe ragweed and grass pollen allergy.</w:t>
      </w:r>
      <w:proofErr w:type="gramEnd"/>
      <w:r w:rsidRPr="000B3FA6">
        <w:t xml:space="preserve"> </w:t>
      </w:r>
      <w:proofErr w:type="gramStart"/>
      <w:r w:rsidRPr="000B3FA6">
        <w:rPr>
          <w:i/>
        </w:rPr>
        <w:t xml:space="preserve">Ann Allergy Asthma </w:t>
      </w:r>
      <w:proofErr w:type="spellStart"/>
      <w:r w:rsidRPr="000B3FA6">
        <w:rPr>
          <w:i/>
        </w:rPr>
        <w:t>Immunol</w:t>
      </w:r>
      <w:proofErr w:type="spellEnd"/>
      <w:r w:rsidRPr="000B3FA6">
        <w:rPr>
          <w:i/>
        </w:rPr>
        <w:t>.</w:t>
      </w:r>
      <w:proofErr w:type="gramEnd"/>
      <w:r>
        <w:t xml:space="preserve"> 1999; 83: 213-216</w:t>
      </w:r>
    </w:p>
  </w:footnote>
  <w:footnote w:id="26">
    <w:p w14:paraId="1886107E" w14:textId="58C1ED76" w:rsidR="00AC31A0" w:rsidRPr="00313CF3" w:rsidRDefault="00AC31A0">
      <w:pPr>
        <w:pStyle w:val="FootnoteText"/>
        <w:rPr>
          <w:lang w:val="en-US"/>
        </w:rPr>
      </w:pPr>
      <w:r>
        <w:rPr>
          <w:rStyle w:val="FootnoteReference"/>
        </w:rPr>
        <w:footnoteRef/>
      </w:r>
      <w:r>
        <w:t xml:space="preserve"> </w:t>
      </w:r>
      <w:r w:rsidRPr="000B3FA6">
        <w:t xml:space="preserve">Wheeler AW. </w:t>
      </w:r>
      <w:proofErr w:type="gramStart"/>
      <w:r w:rsidRPr="000B3FA6">
        <w:t>Grass pollen specific antibody in the plasma of normal dogs.</w:t>
      </w:r>
      <w:proofErr w:type="gramEnd"/>
      <w:r w:rsidRPr="000B3FA6">
        <w:t xml:space="preserve"> </w:t>
      </w:r>
      <w:r w:rsidRPr="000B3FA6">
        <w:rPr>
          <w:i/>
        </w:rPr>
        <w:t>Lab Anim.</w:t>
      </w:r>
      <w:r w:rsidRPr="000B3FA6">
        <w:t xml:space="preserve"> 1993; 27: 73-76;</w:t>
      </w:r>
    </w:p>
  </w:footnote>
  <w:footnote w:id="27">
    <w:p w14:paraId="2AA0287F" w14:textId="54B96A04" w:rsidR="00AC31A0" w:rsidRPr="00313CF3" w:rsidRDefault="00AC31A0">
      <w:pPr>
        <w:pStyle w:val="FootnoteText"/>
        <w:rPr>
          <w:lang w:val="en-US"/>
        </w:rPr>
      </w:pPr>
      <w:r>
        <w:rPr>
          <w:rStyle w:val="FootnoteReference"/>
        </w:rPr>
        <w:footnoteRef/>
      </w:r>
      <w:r>
        <w:t xml:space="preserve"> </w:t>
      </w:r>
      <w:proofErr w:type="spellStart"/>
      <w:r w:rsidRPr="000B3FA6">
        <w:t>Stoecklinger</w:t>
      </w:r>
      <w:proofErr w:type="spellEnd"/>
      <w:r w:rsidRPr="000B3FA6">
        <w:t xml:space="preserve"> A, et al. T cell epitopes of the timothy grass pollen allergen </w:t>
      </w:r>
      <w:proofErr w:type="spellStart"/>
      <w:r w:rsidRPr="000B3FA6">
        <w:t>Phl</w:t>
      </w:r>
      <w:proofErr w:type="spellEnd"/>
      <w:r w:rsidRPr="000B3FA6">
        <w:t xml:space="preserve"> p 5 of mice and men and the d</w:t>
      </w:r>
      <w:r>
        <w:t>etection of allergen-specific T</w:t>
      </w:r>
      <w:r w:rsidRPr="000B3FA6">
        <w:t xml:space="preserve"> cells using Class II </w:t>
      </w:r>
      <w:proofErr w:type="spellStart"/>
      <w:r w:rsidRPr="000B3FA6">
        <w:t>Ultimers</w:t>
      </w:r>
      <w:proofErr w:type="spellEnd"/>
      <w:r w:rsidRPr="000B3FA6">
        <w:t xml:space="preserve">. </w:t>
      </w:r>
      <w:proofErr w:type="spellStart"/>
      <w:proofErr w:type="gramStart"/>
      <w:r w:rsidRPr="000B3FA6">
        <w:rPr>
          <w:i/>
        </w:rPr>
        <w:t>Int</w:t>
      </w:r>
      <w:proofErr w:type="spellEnd"/>
      <w:r w:rsidRPr="000B3FA6">
        <w:rPr>
          <w:i/>
        </w:rPr>
        <w:t xml:space="preserve"> Arch Allergy </w:t>
      </w:r>
      <w:proofErr w:type="spellStart"/>
      <w:r w:rsidRPr="000B3FA6">
        <w:rPr>
          <w:i/>
        </w:rPr>
        <w:t>Immunol</w:t>
      </w:r>
      <w:proofErr w:type="spellEnd"/>
      <w:r w:rsidRPr="000B3FA6">
        <w:rPr>
          <w:i/>
        </w:rPr>
        <w:t>.</w:t>
      </w:r>
      <w:proofErr w:type="gramEnd"/>
      <w:r w:rsidRPr="000B3FA6">
        <w:t xml:space="preserve"> 2012; 158: 326-334</w:t>
      </w:r>
    </w:p>
  </w:footnote>
  <w:footnote w:id="28">
    <w:p w14:paraId="201115EB" w14:textId="6DA4A9F3" w:rsidR="00AC31A0" w:rsidRPr="00313CF3" w:rsidRDefault="00AC31A0">
      <w:pPr>
        <w:pStyle w:val="FootnoteText"/>
        <w:rPr>
          <w:lang w:val="en-US"/>
        </w:rPr>
      </w:pPr>
      <w:r>
        <w:rPr>
          <w:rStyle w:val="FootnoteReference"/>
        </w:rPr>
        <w:footnoteRef/>
      </w:r>
      <w:r>
        <w:t xml:space="preserve"> </w:t>
      </w:r>
      <w:proofErr w:type="spellStart"/>
      <w:r w:rsidRPr="000B3FA6">
        <w:t>Olivry</w:t>
      </w:r>
      <w:proofErr w:type="spellEnd"/>
      <w:r w:rsidRPr="000B3FA6">
        <w:t xml:space="preserve"> T et al. Treatment of canine</w:t>
      </w:r>
      <w:r>
        <w:t xml:space="preserve"> </w:t>
      </w:r>
      <w:r w:rsidRPr="000B3FA6">
        <w:t>atopic dermatitis: 2015 updated guidelines from the International Committee on</w:t>
      </w:r>
      <w:r>
        <w:t xml:space="preserve"> </w:t>
      </w:r>
      <w:r w:rsidRPr="000B3FA6">
        <w:t>Allergic Diseases of Animals (ICADA)</w:t>
      </w:r>
      <w:r>
        <w:t xml:space="preserve"> </w:t>
      </w:r>
      <w:r w:rsidRPr="000B3FA6">
        <w:rPr>
          <w:i/>
        </w:rPr>
        <w:t>BMC Vet Res.</w:t>
      </w:r>
      <w:r>
        <w:t xml:space="preserve"> 2015</w:t>
      </w:r>
      <w:r w:rsidRPr="001E1063">
        <w:t>;</w:t>
      </w:r>
      <w:r>
        <w:t xml:space="preserve"> </w:t>
      </w:r>
      <w:r w:rsidRPr="001E1063">
        <w:t>11:</w:t>
      </w:r>
      <w:r>
        <w:t xml:space="preserve"> 210</w:t>
      </w:r>
    </w:p>
  </w:footnote>
  <w:footnote w:id="29">
    <w:p w14:paraId="66743014" w14:textId="78E379E0" w:rsidR="00AC31A0" w:rsidRPr="00313CF3" w:rsidRDefault="00AC31A0">
      <w:pPr>
        <w:pStyle w:val="FootnoteText"/>
        <w:rPr>
          <w:lang w:val="en-US"/>
        </w:rPr>
      </w:pPr>
      <w:r>
        <w:rPr>
          <w:rStyle w:val="FootnoteReference"/>
        </w:rPr>
        <w:footnoteRef/>
      </w:r>
      <w:r>
        <w:t xml:space="preserve"> </w:t>
      </w:r>
      <w:r>
        <w:rPr>
          <w:rStyle w:val="FootnoteReference"/>
        </w:rPr>
        <w:footnoteRef/>
      </w:r>
      <w:r>
        <w:t xml:space="preserve"> </w:t>
      </w:r>
      <w:r w:rsidRPr="00AC31A0">
        <w:t>https://www.heska.com/Documents/Allergy/UPDATED-SUBLINGUAL_IMMUNOTHERAPY_FOR_PETS-001-pdf.aspx</w:t>
      </w:r>
      <w:r w:rsidRPr="001E1063">
        <w:t xml:space="preserve">; </w:t>
      </w:r>
      <w:r w:rsidRPr="00AC31A0">
        <w:t>http://veterinarymedicine.dvm360.com/sublingual-immunotherapy-new-option-allergy-patients?id=&amp;sk=&amp;date=&amp;pageID=2</w:t>
      </w:r>
      <w:r w:rsidRPr="001E1063">
        <w:t xml:space="preserve">; </w:t>
      </w:r>
      <w:r w:rsidRPr="00AC31A0">
        <w:t>https://www.acttallergy.com/about-actt/</w:t>
      </w:r>
    </w:p>
  </w:footnote>
  <w:footnote w:id="30">
    <w:p w14:paraId="54862DE7" w14:textId="75C9FE68" w:rsidR="00AC31A0" w:rsidRPr="00313CF3" w:rsidRDefault="00AC31A0">
      <w:pPr>
        <w:pStyle w:val="FootnoteText"/>
        <w:rPr>
          <w:lang w:val="en-US"/>
        </w:rPr>
      </w:pPr>
      <w:r>
        <w:rPr>
          <w:rStyle w:val="FootnoteReference"/>
        </w:rPr>
        <w:footnoteRef/>
      </w:r>
      <w:r>
        <w:t xml:space="preserve"> </w:t>
      </w:r>
      <w:r w:rsidRPr="00345A8D">
        <w:t>Jensen-</w:t>
      </w:r>
      <w:proofErr w:type="spellStart"/>
      <w:r w:rsidRPr="00345A8D">
        <w:t>Jarolim</w:t>
      </w:r>
      <w:proofErr w:type="spellEnd"/>
      <w:r w:rsidRPr="00345A8D">
        <w:t xml:space="preserve"> E et al. Pollen</w:t>
      </w:r>
      <w:r>
        <w:t xml:space="preserve"> </w:t>
      </w:r>
      <w:r w:rsidRPr="00345A8D">
        <w:t>Allergies in Humans and their Dogs, C</w:t>
      </w:r>
      <w:r>
        <w:t xml:space="preserve">ats and Horses: Differences and </w:t>
      </w:r>
      <w:r w:rsidRPr="00345A8D">
        <w:t>Similarities.</w:t>
      </w:r>
      <w:r>
        <w:t xml:space="preserve"> </w:t>
      </w:r>
      <w:proofErr w:type="spellStart"/>
      <w:proofErr w:type="gramStart"/>
      <w:r w:rsidRPr="00345A8D">
        <w:rPr>
          <w:i/>
        </w:rPr>
        <w:t>Clin</w:t>
      </w:r>
      <w:proofErr w:type="spellEnd"/>
      <w:r w:rsidRPr="00345A8D">
        <w:rPr>
          <w:i/>
        </w:rPr>
        <w:t xml:space="preserve"> </w:t>
      </w:r>
      <w:proofErr w:type="spellStart"/>
      <w:r w:rsidRPr="00345A8D">
        <w:rPr>
          <w:i/>
        </w:rPr>
        <w:t>Transl</w:t>
      </w:r>
      <w:proofErr w:type="spellEnd"/>
      <w:r w:rsidRPr="00345A8D">
        <w:rPr>
          <w:i/>
        </w:rPr>
        <w:t xml:space="preserve"> Allergy</w:t>
      </w:r>
      <w:r>
        <w:t>.</w:t>
      </w:r>
      <w:proofErr w:type="gramEnd"/>
      <w:r>
        <w:t xml:space="preserve"> 2015</w:t>
      </w:r>
      <w:r w:rsidRPr="001E1063">
        <w:t>;</w:t>
      </w:r>
      <w:r>
        <w:t xml:space="preserve"> </w:t>
      </w:r>
      <w:r w:rsidRPr="001E1063">
        <w:t>5:</w:t>
      </w:r>
      <w:r>
        <w:t xml:space="preserve"> </w:t>
      </w:r>
      <w:r w:rsidRPr="001E1063">
        <w:t>15;</w:t>
      </w:r>
    </w:p>
  </w:footnote>
  <w:footnote w:id="31">
    <w:p w14:paraId="284AF904" w14:textId="05B873DB" w:rsidR="00AC31A0" w:rsidRPr="00313CF3" w:rsidRDefault="00AC31A0">
      <w:pPr>
        <w:pStyle w:val="FootnoteText"/>
        <w:rPr>
          <w:lang w:val="en-US"/>
        </w:rPr>
      </w:pPr>
      <w:r>
        <w:rPr>
          <w:rStyle w:val="FootnoteReference"/>
        </w:rPr>
        <w:footnoteRef/>
      </w:r>
      <w:r>
        <w:t xml:space="preserve"> </w:t>
      </w:r>
      <w:proofErr w:type="spellStart"/>
      <w:r w:rsidRPr="001E1063">
        <w:t>Favrot</w:t>
      </w:r>
      <w:proofErr w:type="spellEnd"/>
      <w:r w:rsidRPr="001E1063">
        <w:t xml:space="preserve"> C et al. </w:t>
      </w:r>
      <w:proofErr w:type="gramStart"/>
      <w:r>
        <w:t>A prospective study on the clinical features of chronic canine atopic dermatitis and its diagnosis.</w:t>
      </w:r>
      <w:proofErr w:type="gramEnd"/>
      <w:r>
        <w:t xml:space="preserve"> </w:t>
      </w:r>
      <w:r w:rsidRPr="00345A8D">
        <w:rPr>
          <w:i/>
        </w:rPr>
        <w:t xml:space="preserve">Vet </w:t>
      </w:r>
      <w:proofErr w:type="spellStart"/>
      <w:r w:rsidRPr="00345A8D">
        <w:rPr>
          <w:i/>
        </w:rPr>
        <w:t>Dermatol</w:t>
      </w:r>
      <w:proofErr w:type="spellEnd"/>
      <w:r w:rsidRPr="00345A8D">
        <w:rPr>
          <w:i/>
        </w:rPr>
        <w:t>.</w:t>
      </w:r>
      <w:r w:rsidRPr="00345A8D">
        <w:t xml:space="preserve"> 2010;21:23–31;</w:t>
      </w:r>
    </w:p>
  </w:footnote>
  <w:footnote w:id="32">
    <w:p w14:paraId="187A47F7" w14:textId="159B1E3A" w:rsidR="00AC31A0" w:rsidRPr="00313CF3" w:rsidRDefault="00AC31A0">
      <w:pPr>
        <w:pStyle w:val="FootnoteText"/>
        <w:rPr>
          <w:lang w:val="en-US"/>
        </w:rPr>
      </w:pPr>
      <w:r>
        <w:rPr>
          <w:rStyle w:val="FootnoteReference"/>
        </w:rPr>
        <w:footnoteRef/>
      </w:r>
      <w:r>
        <w:t xml:space="preserve"> </w:t>
      </w:r>
      <w:r w:rsidRPr="00345A8D">
        <w:t>Masuda K, et al. Seasonal rhinitis in a cat sensitized to Japanese cedar (</w:t>
      </w:r>
      <w:proofErr w:type="spellStart"/>
      <w:r w:rsidRPr="00345A8D">
        <w:t>Cryptomeria</w:t>
      </w:r>
      <w:proofErr w:type="spellEnd"/>
      <w:r w:rsidRPr="00345A8D">
        <w:t xml:space="preserve"> japonica)</w:t>
      </w:r>
      <w:r>
        <w:t xml:space="preserve"> </w:t>
      </w:r>
      <w:r w:rsidRPr="00345A8D">
        <w:t>pollen.</w:t>
      </w:r>
      <w:r>
        <w:t xml:space="preserve"> </w:t>
      </w:r>
      <w:proofErr w:type="gramStart"/>
      <w:r w:rsidRPr="00345A8D">
        <w:rPr>
          <w:i/>
        </w:rPr>
        <w:t>J Vet Med Sci</w:t>
      </w:r>
      <w:r w:rsidRPr="00345A8D">
        <w:t>. 2001;</w:t>
      </w:r>
      <w:r>
        <w:t xml:space="preserve"> </w:t>
      </w:r>
      <w:r w:rsidRPr="00345A8D">
        <w:t>63</w:t>
      </w:r>
      <w:r w:rsidRPr="001E1063">
        <w:t>:</w:t>
      </w:r>
      <w:r>
        <w:t xml:space="preserve"> </w:t>
      </w:r>
      <w:r w:rsidRPr="001E1063">
        <w:t>79–81.</w:t>
      </w:r>
      <w:proofErr w:type="gramEnd"/>
    </w:p>
  </w:footnote>
  <w:footnote w:id="33">
    <w:p w14:paraId="72F3F950" w14:textId="66DD82B3" w:rsidR="00AC31A0" w:rsidRPr="00313CF3" w:rsidRDefault="00AC31A0">
      <w:pPr>
        <w:pStyle w:val="FootnoteText"/>
        <w:rPr>
          <w:lang w:val="en-US"/>
        </w:rPr>
      </w:pPr>
      <w:r>
        <w:rPr>
          <w:rStyle w:val="FootnoteReference"/>
        </w:rPr>
        <w:footnoteRef/>
      </w:r>
      <w:r>
        <w:t xml:space="preserve"> </w:t>
      </w:r>
      <w:proofErr w:type="spellStart"/>
      <w:r w:rsidRPr="00345A8D">
        <w:t>Akdis</w:t>
      </w:r>
      <w:proofErr w:type="spellEnd"/>
      <w:r w:rsidRPr="00345A8D">
        <w:t xml:space="preserve"> M, et al. Mechanisms of allergen-specific immunotherapy </w:t>
      </w:r>
      <w:r w:rsidRPr="00345A8D">
        <w:rPr>
          <w:i/>
        </w:rPr>
        <w:t xml:space="preserve">J Allergy </w:t>
      </w:r>
      <w:proofErr w:type="spellStart"/>
      <w:r w:rsidRPr="00345A8D">
        <w:rPr>
          <w:i/>
        </w:rPr>
        <w:t>Clin</w:t>
      </w:r>
      <w:proofErr w:type="spellEnd"/>
      <w:r w:rsidRPr="00345A8D">
        <w:rPr>
          <w:i/>
        </w:rPr>
        <w:t xml:space="preserve"> </w:t>
      </w:r>
      <w:proofErr w:type="spellStart"/>
      <w:r w:rsidRPr="00345A8D">
        <w:rPr>
          <w:i/>
        </w:rPr>
        <w:t>Immunol</w:t>
      </w:r>
      <w:proofErr w:type="spellEnd"/>
      <w:r w:rsidRPr="00345A8D">
        <w:t>. 2007; 119: 780–791;</w:t>
      </w:r>
    </w:p>
  </w:footnote>
  <w:footnote w:id="34">
    <w:p w14:paraId="3439F8D8" w14:textId="4C4A5094" w:rsidR="00AC31A0" w:rsidRPr="00313CF3" w:rsidRDefault="00AC31A0">
      <w:pPr>
        <w:pStyle w:val="FootnoteText"/>
        <w:rPr>
          <w:lang w:val="en-US"/>
        </w:rPr>
      </w:pPr>
      <w:r>
        <w:rPr>
          <w:rStyle w:val="FootnoteReference"/>
        </w:rPr>
        <w:footnoteRef/>
      </w:r>
      <w:r>
        <w:t xml:space="preserve"> </w:t>
      </w:r>
      <w:r w:rsidRPr="00345A8D">
        <w:t>Nagai Y, et al. Transportation of sublingual antigens across sublingual ductal</w:t>
      </w:r>
      <w:r>
        <w:t xml:space="preserve"> </w:t>
      </w:r>
      <w:r w:rsidRPr="00345A8D">
        <w:t xml:space="preserve">epithelial cells to the ductal antigen-presenting cells in mice. </w:t>
      </w:r>
      <w:proofErr w:type="spellStart"/>
      <w:r w:rsidRPr="00345A8D">
        <w:rPr>
          <w:i/>
        </w:rPr>
        <w:t>Clin</w:t>
      </w:r>
      <w:proofErr w:type="spellEnd"/>
      <w:r w:rsidRPr="00345A8D">
        <w:rPr>
          <w:i/>
        </w:rPr>
        <w:t xml:space="preserve"> </w:t>
      </w:r>
      <w:proofErr w:type="spellStart"/>
      <w:r w:rsidRPr="00345A8D">
        <w:rPr>
          <w:i/>
        </w:rPr>
        <w:t>ExpAllergy</w:t>
      </w:r>
      <w:proofErr w:type="spellEnd"/>
      <w:r>
        <w:t>. 2015</w:t>
      </w:r>
      <w:r w:rsidRPr="001E1063">
        <w:t>;</w:t>
      </w:r>
      <w:r>
        <w:t xml:space="preserve"> 45</w:t>
      </w:r>
      <w:r w:rsidRPr="001E1063">
        <w:t>:</w:t>
      </w:r>
      <w:r>
        <w:t xml:space="preserve"> </w:t>
      </w:r>
      <w:r w:rsidRPr="001E1063">
        <w:t>677-</w:t>
      </w:r>
      <w:r>
        <w:t>6</w:t>
      </w:r>
      <w:r w:rsidRPr="001E1063">
        <w:t>86</w:t>
      </w:r>
    </w:p>
  </w:footnote>
  <w:footnote w:id="35">
    <w:p w14:paraId="14404DFC" w14:textId="17A87981" w:rsidR="00AC31A0" w:rsidRPr="00313CF3" w:rsidRDefault="00AC31A0">
      <w:pPr>
        <w:pStyle w:val="FootnoteText"/>
        <w:rPr>
          <w:lang w:val="en-US"/>
        </w:rPr>
      </w:pPr>
      <w:r>
        <w:rPr>
          <w:rStyle w:val="FootnoteReference"/>
        </w:rPr>
        <w:footnoteRef/>
      </w:r>
      <w:r>
        <w:t xml:space="preserve"> </w:t>
      </w:r>
      <w:proofErr w:type="spellStart"/>
      <w:r w:rsidRPr="001E1063">
        <w:t>Frati</w:t>
      </w:r>
      <w:proofErr w:type="spellEnd"/>
      <w:r w:rsidRPr="001E1063">
        <w:t xml:space="preserve"> F, et al. </w:t>
      </w:r>
      <w:r>
        <w:t xml:space="preserve">Mucosal immunization </w:t>
      </w:r>
      <w:r w:rsidRPr="00345A8D">
        <w:t xml:space="preserve">application to allergic disease: sublingual immunotherapy. </w:t>
      </w:r>
      <w:r w:rsidRPr="00345A8D">
        <w:rPr>
          <w:i/>
        </w:rPr>
        <w:t>Allergy Asthma Proc</w:t>
      </w:r>
      <w:r w:rsidRPr="00345A8D">
        <w:t>. 2007; 28: 35-39</w:t>
      </w:r>
    </w:p>
  </w:footnote>
  <w:footnote w:id="36">
    <w:p w14:paraId="093C7F39" w14:textId="73B00527" w:rsidR="00AC31A0" w:rsidRPr="00313CF3" w:rsidRDefault="00AC31A0">
      <w:pPr>
        <w:pStyle w:val="FootnoteText"/>
        <w:rPr>
          <w:lang w:val="en-US"/>
        </w:rPr>
      </w:pPr>
      <w:r>
        <w:rPr>
          <w:rStyle w:val="FootnoteReference"/>
        </w:rPr>
        <w:footnoteRef/>
      </w:r>
      <w:r>
        <w:t xml:space="preserve"> </w:t>
      </w:r>
      <w:r w:rsidRPr="00345A8D">
        <w:t xml:space="preserve">Saint-Lu N, et al. </w:t>
      </w:r>
      <w:proofErr w:type="gramStart"/>
      <w:r w:rsidRPr="00345A8D">
        <w:t>Targeting</w:t>
      </w:r>
      <w:proofErr w:type="gramEnd"/>
      <w:r w:rsidRPr="00345A8D">
        <w:t xml:space="preserve"> the allergen to oral dendritic</w:t>
      </w:r>
      <w:r>
        <w:t xml:space="preserve"> </w:t>
      </w:r>
      <w:r w:rsidRPr="00345A8D">
        <w:t xml:space="preserve">cells with </w:t>
      </w:r>
      <w:proofErr w:type="spellStart"/>
      <w:r w:rsidRPr="00345A8D">
        <w:t>mucoadhesive</w:t>
      </w:r>
      <w:proofErr w:type="spellEnd"/>
      <w:r w:rsidRPr="00345A8D">
        <w:t xml:space="preserve"> chitosan particles enhances tolerance induction. </w:t>
      </w:r>
      <w:proofErr w:type="gramStart"/>
      <w:r w:rsidRPr="00345A8D">
        <w:rPr>
          <w:i/>
        </w:rPr>
        <w:t>Allergy.</w:t>
      </w:r>
      <w:proofErr w:type="gramEnd"/>
      <w:r>
        <w:t xml:space="preserve"> 2009</w:t>
      </w:r>
      <w:r w:rsidRPr="00345A8D">
        <w:t>;</w:t>
      </w:r>
      <w:r>
        <w:t xml:space="preserve"> 64</w:t>
      </w:r>
      <w:r w:rsidRPr="00345A8D">
        <w:t>:1003-</w:t>
      </w:r>
      <w:r>
        <w:t>10</w:t>
      </w:r>
      <w:r w:rsidRPr="00345A8D">
        <w:t>13</w:t>
      </w:r>
    </w:p>
  </w:footnote>
  <w:footnote w:id="37">
    <w:p w14:paraId="4FE91F81" w14:textId="77777777" w:rsidR="00AC31A0" w:rsidRPr="00345A8D" w:rsidRDefault="00AC31A0" w:rsidP="00345A8D">
      <w:pPr>
        <w:pStyle w:val="FootnoteText"/>
      </w:pPr>
      <w:r w:rsidRPr="00345A8D">
        <w:rPr>
          <w:rStyle w:val="FootnoteReference"/>
        </w:rPr>
        <w:footnoteRef/>
      </w:r>
      <w:r w:rsidRPr="00345A8D">
        <w:t xml:space="preserve"> </w:t>
      </w:r>
      <w:proofErr w:type="spellStart"/>
      <w:r w:rsidRPr="00345A8D">
        <w:t>Ozdemir</w:t>
      </w:r>
      <w:proofErr w:type="spellEnd"/>
      <w:r w:rsidRPr="00345A8D">
        <w:t xml:space="preserve"> C, et al. </w:t>
      </w:r>
      <w:r>
        <w:t>Mechanisms of Aeroallergen Immunotherapy: Subcutaneous Immunotherapy and Sublingual Immunotherapy</w:t>
      </w:r>
      <w:r w:rsidRPr="00345A8D">
        <w:rPr>
          <w:i/>
        </w:rPr>
        <w:t xml:space="preserve">. </w:t>
      </w:r>
      <w:proofErr w:type="spellStart"/>
      <w:r w:rsidRPr="00345A8D">
        <w:rPr>
          <w:i/>
        </w:rPr>
        <w:t>Immunol</w:t>
      </w:r>
      <w:proofErr w:type="spellEnd"/>
      <w:r w:rsidRPr="00345A8D">
        <w:rPr>
          <w:i/>
        </w:rPr>
        <w:t xml:space="preserve"> Allergy </w:t>
      </w:r>
      <w:proofErr w:type="spellStart"/>
      <w:r w:rsidRPr="00345A8D">
        <w:rPr>
          <w:i/>
        </w:rPr>
        <w:t>Clin</w:t>
      </w:r>
      <w:proofErr w:type="spellEnd"/>
      <w:r w:rsidRPr="00345A8D">
        <w:rPr>
          <w:i/>
        </w:rPr>
        <w:t xml:space="preserve"> North Am</w:t>
      </w:r>
      <w:r>
        <w:t>. 2016</w:t>
      </w:r>
      <w:r w:rsidRPr="00345A8D">
        <w:t>;</w:t>
      </w:r>
      <w:r>
        <w:t xml:space="preserve"> 36</w:t>
      </w:r>
      <w:r w:rsidRPr="00345A8D">
        <w:t>:</w:t>
      </w:r>
      <w:r>
        <w:t xml:space="preserve"> </w:t>
      </w:r>
      <w:r w:rsidRPr="00345A8D">
        <w:t xml:space="preserve">71-86 </w:t>
      </w:r>
    </w:p>
  </w:footnote>
  <w:footnote w:id="38">
    <w:p w14:paraId="4FE91F82" w14:textId="77777777" w:rsidR="00AC31A0" w:rsidRPr="004E57C9" w:rsidRDefault="00AC31A0">
      <w:pPr>
        <w:pStyle w:val="FootnoteText"/>
        <w:rPr>
          <w:lang w:val="en-US"/>
        </w:rPr>
      </w:pPr>
      <w:r>
        <w:rPr>
          <w:rStyle w:val="FootnoteReference"/>
        </w:rPr>
        <w:footnoteRef/>
      </w:r>
      <w:r>
        <w:t xml:space="preserve"> </w:t>
      </w:r>
      <w:proofErr w:type="spellStart"/>
      <w:r w:rsidRPr="00345A8D">
        <w:t>Pfaar</w:t>
      </w:r>
      <w:proofErr w:type="spellEnd"/>
      <w:r w:rsidRPr="00345A8D">
        <w:t xml:space="preserve"> O, et al. Guideline on allergen-specific immunotherapy in </w:t>
      </w:r>
      <w:proofErr w:type="spellStart"/>
      <w:r w:rsidRPr="00345A8D">
        <w:t>IgE</w:t>
      </w:r>
      <w:proofErr w:type="spellEnd"/>
      <w:r w:rsidRPr="00345A8D">
        <w:t xml:space="preserve">-mediated allergic diseases: S2k Guideline of the German Society for </w:t>
      </w:r>
      <w:proofErr w:type="spellStart"/>
      <w:r w:rsidRPr="00345A8D">
        <w:t>Allergology</w:t>
      </w:r>
      <w:proofErr w:type="spellEnd"/>
      <w:r w:rsidRPr="00345A8D">
        <w:t xml:space="preserve"> and Clinical Immunology (DGAKI), the Society for </w:t>
      </w:r>
      <w:proofErr w:type="spellStart"/>
      <w:r w:rsidRPr="00345A8D">
        <w:t>Pediatric</w:t>
      </w:r>
      <w:proofErr w:type="spellEnd"/>
      <w:r w:rsidRPr="00345A8D">
        <w:t xml:space="preserve"> Allergy and Environmental Medicine (GPA), the</w:t>
      </w:r>
      <w:r>
        <w:t xml:space="preserve"> </w:t>
      </w:r>
      <w:r w:rsidRPr="00345A8D">
        <w:t xml:space="preserve">Medical Association of German </w:t>
      </w:r>
      <w:proofErr w:type="spellStart"/>
      <w:r w:rsidRPr="00345A8D">
        <w:t>Allergologists</w:t>
      </w:r>
      <w:proofErr w:type="spellEnd"/>
      <w:r w:rsidRPr="00345A8D">
        <w:t xml:space="preserve"> (</w:t>
      </w:r>
      <w:proofErr w:type="spellStart"/>
      <w:r w:rsidRPr="00345A8D">
        <w:t>AeDA</w:t>
      </w:r>
      <w:proofErr w:type="spellEnd"/>
      <w:r w:rsidRPr="00345A8D">
        <w:t xml:space="preserve">), the Austrian Society for Allergy and Immunology (ÖGAI), the Swiss Society for Allergy and Immunology (SGAI), the German Society of Dermatology (DDG), the German Society of Oto- Rhino-Laryngology, Head and Neck Surgery (DGHNO-KHC), the German Society of </w:t>
      </w:r>
      <w:proofErr w:type="spellStart"/>
      <w:r w:rsidRPr="00345A8D">
        <w:t>Pediatrics</w:t>
      </w:r>
      <w:proofErr w:type="spellEnd"/>
      <w:r w:rsidRPr="00345A8D">
        <w:t xml:space="preserve"> and Adolescent Medicine (DGKJ), the Society for </w:t>
      </w:r>
      <w:proofErr w:type="spellStart"/>
      <w:r w:rsidRPr="00345A8D">
        <w:t>Pediatric</w:t>
      </w:r>
      <w:proofErr w:type="spellEnd"/>
      <w:r w:rsidRPr="00345A8D">
        <w:t xml:space="preserve"> </w:t>
      </w:r>
      <w:proofErr w:type="spellStart"/>
      <w:r w:rsidRPr="00345A8D">
        <w:t>Pneumology</w:t>
      </w:r>
      <w:proofErr w:type="spellEnd"/>
      <w:r w:rsidRPr="00345A8D">
        <w:t xml:space="preserve"> (GPP), the German Respiratory Society (DGP), the German Association of ENT Surgeons (BV-HNO), the Professional Federation of Paediatricians and Youth Doctors (BVKJ), the Federal Association of Pulmonologists (BDP) and the German</w:t>
      </w:r>
      <w:r>
        <w:t xml:space="preserve"> </w:t>
      </w:r>
      <w:r w:rsidRPr="00345A8D">
        <w:t xml:space="preserve">Dermatologists Association (BVDD). </w:t>
      </w:r>
      <w:proofErr w:type="spellStart"/>
      <w:r w:rsidRPr="00345A8D">
        <w:rPr>
          <w:i/>
        </w:rPr>
        <w:t>Allergo</w:t>
      </w:r>
      <w:proofErr w:type="spellEnd"/>
      <w:r w:rsidRPr="00345A8D">
        <w:rPr>
          <w:i/>
        </w:rPr>
        <w:t xml:space="preserve"> J Int.</w:t>
      </w:r>
      <w:r w:rsidRPr="00345A8D">
        <w:t xml:space="preserve"> 2014; 23: 282-319;</w:t>
      </w:r>
    </w:p>
  </w:footnote>
  <w:footnote w:id="39">
    <w:p w14:paraId="4FE91F83" w14:textId="77777777" w:rsidR="00AC31A0" w:rsidRPr="009C5E16" w:rsidRDefault="00AC31A0">
      <w:pPr>
        <w:pStyle w:val="FootnoteText"/>
        <w:rPr>
          <w:lang w:val="en-US"/>
        </w:rPr>
      </w:pPr>
      <w:r>
        <w:rPr>
          <w:rStyle w:val="FootnoteReference"/>
        </w:rPr>
        <w:footnoteRef/>
      </w:r>
      <w:r>
        <w:t xml:space="preserve"> </w:t>
      </w:r>
      <w:r w:rsidRPr="00345A8D">
        <w:t xml:space="preserve">Hagen </w:t>
      </w:r>
      <w:proofErr w:type="gramStart"/>
      <w:r w:rsidRPr="00345A8D">
        <w:t>A</w:t>
      </w:r>
      <w:proofErr w:type="gramEnd"/>
      <w:r w:rsidRPr="00345A8D">
        <w:t xml:space="preserve"> et al. Specific immunotherapy (SIT) in the treatment of allergic rhinitis</w:t>
      </w:r>
      <w:r w:rsidRPr="00345A8D">
        <w:rPr>
          <w:i/>
        </w:rPr>
        <w:t xml:space="preserve">. GMS Health </w:t>
      </w:r>
      <w:proofErr w:type="spellStart"/>
      <w:r w:rsidRPr="00345A8D">
        <w:rPr>
          <w:i/>
        </w:rPr>
        <w:t>Technol</w:t>
      </w:r>
      <w:proofErr w:type="spellEnd"/>
      <w:r w:rsidRPr="00345A8D">
        <w:rPr>
          <w:i/>
        </w:rPr>
        <w:t xml:space="preserve"> Assess</w:t>
      </w:r>
      <w:r w:rsidRPr="00345A8D">
        <w:t>. 2010</w:t>
      </w:r>
    </w:p>
  </w:footnote>
  <w:footnote w:id="40">
    <w:p w14:paraId="4FE91F84" w14:textId="77777777" w:rsidR="00AC31A0" w:rsidRPr="009C5E16" w:rsidRDefault="00AC31A0">
      <w:pPr>
        <w:pStyle w:val="FootnoteText"/>
        <w:rPr>
          <w:lang w:val="en-US"/>
        </w:rPr>
      </w:pPr>
      <w:r>
        <w:rPr>
          <w:rStyle w:val="FootnoteReference"/>
        </w:rPr>
        <w:footnoteRef/>
      </w:r>
      <w:r>
        <w:t xml:space="preserve"> </w:t>
      </w:r>
      <w:proofErr w:type="spellStart"/>
      <w:r w:rsidRPr="00345A8D">
        <w:t>Incorvaia</w:t>
      </w:r>
      <w:proofErr w:type="spellEnd"/>
      <w:r w:rsidRPr="00345A8D">
        <w:t xml:space="preserve"> C et al. Sublingual immunotherapy for allergic rhinitis: where are we now? </w:t>
      </w:r>
      <w:proofErr w:type="gramStart"/>
      <w:r w:rsidRPr="00345A8D">
        <w:rPr>
          <w:i/>
        </w:rPr>
        <w:t>Immunotherapy.</w:t>
      </w:r>
      <w:proofErr w:type="gramEnd"/>
      <w:r w:rsidRPr="00345A8D">
        <w:t xml:space="preserve"> 2015; 7: 1105-1110</w:t>
      </w:r>
    </w:p>
  </w:footnote>
  <w:footnote w:id="41">
    <w:p w14:paraId="4FE91F85" w14:textId="77777777" w:rsidR="00AC31A0" w:rsidRPr="009C5E16" w:rsidRDefault="00AC31A0">
      <w:pPr>
        <w:pStyle w:val="FootnoteText"/>
        <w:rPr>
          <w:lang w:val="en-US"/>
        </w:rPr>
      </w:pPr>
      <w:r>
        <w:rPr>
          <w:rStyle w:val="FootnoteReference"/>
        </w:rPr>
        <w:footnoteRef/>
      </w:r>
      <w:r>
        <w:t xml:space="preserve"> </w:t>
      </w:r>
      <w:proofErr w:type="spellStart"/>
      <w:r w:rsidRPr="00345A8D">
        <w:t>Pleskovic</w:t>
      </w:r>
      <w:proofErr w:type="spellEnd"/>
      <w:r w:rsidRPr="00345A8D">
        <w:t xml:space="preserve"> N, et al. </w:t>
      </w:r>
      <w:proofErr w:type="gramStart"/>
      <w:r w:rsidRPr="00345A8D">
        <w:t>The Future of Sublingual Immunotherapy in the United States</w:t>
      </w:r>
      <w:r w:rsidRPr="00345A8D">
        <w:rPr>
          <w:i/>
        </w:rPr>
        <w:t>.</w:t>
      </w:r>
      <w:proofErr w:type="gramEnd"/>
      <w:r w:rsidRPr="00345A8D">
        <w:rPr>
          <w:i/>
        </w:rPr>
        <w:t xml:space="preserve"> </w:t>
      </w:r>
      <w:proofErr w:type="spellStart"/>
      <w:r w:rsidRPr="00345A8D">
        <w:rPr>
          <w:i/>
        </w:rPr>
        <w:t>Curr</w:t>
      </w:r>
      <w:proofErr w:type="spellEnd"/>
      <w:r w:rsidRPr="00345A8D">
        <w:rPr>
          <w:i/>
        </w:rPr>
        <w:t xml:space="preserve"> Allergy Asthma Rep.</w:t>
      </w:r>
      <w:r w:rsidRPr="00345A8D">
        <w:t xml:space="preserve"> 2015; 15: </w:t>
      </w:r>
      <w:r>
        <w:t>44</w:t>
      </w:r>
    </w:p>
  </w:footnote>
  <w:footnote w:id="42">
    <w:p w14:paraId="4FE91F86" w14:textId="77777777" w:rsidR="00AC31A0" w:rsidRPr="009C5E16" w:rsidRDefault="00AC31A0">
      <w:pPr>
        <w:pStyle w:val="FootnoteText"/>
        <w:rPr>
          <w:lang w:val="en-US"/>
        </w:rPr>
      </w:pPr>
      <w:r>
        <w:rPr>
          <w:rStyle w:val="FootnoteReference"/>
        </w:rPr>
        <w:footnoteRef/>
      </w:r>
      <w:r>
        <w:t xml:space="preserve"> </w:t>
      </w:r>
      <w:proofErr w:type="spellStart"/>
      <w:r w:rsidRPr="00345A8D">
        <w:t>Vitaliti</w:t>
      </w:r>
      <w:proofErr w:type="spellEnd"/>
      <w:r w:rsidRPr="00345A8D">
        <w:t xml:space="preserve"> G, Mucosal immunity and sublingual immunotherapy in respiratory disorders. </w:t>
      </w:r>
      <w:proofErr w:type="gramStart"/>
      <w:r w:rsidRPr="00345A8D">
        <w:rPr>
          <w:i/>
        </w:rPr>
        <w:t xml:space="preserve">J </w:t>
      </w:r>
      <w:proofErr w:type="spellStart"/>
      <w:r w:rsidRPr="00345A8D">
        <w:rPr>
          <w:i/>
        </w:rPr>
        <w:t>Biol</w:t>
      </w:r>
      <w:proofErr w:type="spellEnd"/>
      <w:r w:rsidRPr="00345A8D">
        <w:rPr>
          <w:i/>
        </w:rPr>
        <w:t xml:space="preserve"> </w:t>
      </w:r>
      <w:proofErr w:type="spellStart"/>
      <w:r w:rsidRPr="00345A8D">
        <w:rPr>
          <w:i/>
        </w:rPr>
        <w:t>Regul</w:t>
      </w:r>
      <w:proofErr w:type="spellEnd"/>
      <w:r w:rsidRPr="00345A8D">
        <w:rPr>
          <w:i/>
        </w:rPr>
        <w:t xml:space="preserve"> </w:t>
      </w:r>
      <w:proofErr w:type="spellStart"/>
      <w:r w:rsidRPr="00345A8D">
        <w:rPr>
          <w:i/>
        </w:rPr>
        <w:t>Homeost</w:t>
      </w:r>
      <w:proofErr w:type="spellEnd"/>
      <w:r w:rsidRPr="00345A8D">
        <w:rPr>
          <w:i/>
        </w:rPr>
        <w:t xml:space="preserve"> Agents.</w:t>
      </w:r>
      <w:proofErr w:type="gramEnd"/>
      <w:r w:rsidRPr="00345A8D">
        <w:rPr>
          <w:i/>
        </w:rPr>
        <w:t xml:space="preserve"> </w:t>
      </w:r>
      <w:r w:rsidRPr="00345A8D">
        <w:t>2012; 26: S85-93</w:t>
      </w:r>
    </w:p>
  </w:footnote>
  <w:footnote w:id="43">
    <w:p w14:paraId="4FE91F87" w14:textId="77777777" w:rsidR="00AC31A0" w:rsidRPr="001F17C0" w:rsidRDefault="00AC31A0">
      <w:pPr>
        <w:pStyle w:val="FootnoteText"/>
        <w:rPr>
          <w:lang w:val="en-US"/>
        </w:rPr>
      </w:pPr>
      <w:r>
        <w:rPr>
          <w:rStyle w:val="FootnoteReference"/>
        </w:rPr>
        <w:footnoteRef/>
      </w:r>
      <w:r>
        <w:t xml:space="preserve"> </w:t>
      </w:r>
      <w:proofErr w:type="spellStart"/>
      <w:r w:rsidRPr="00345A8D">
        <w:t>Moingeon</w:t>
      </w:r>
      <w:proofErr w:type="spellEnd"/>
      <w:r w:rsidRPr="00345A8D">
        <w:t xml:space="preserve"> P, et al. Induction of tolerance via the sublingual route: mechanisms and applications. </w:t>
      </w:r>
      <w:proofErr w:type="spellStart"/>
      <w:r w:rsidRPr="00345A8D">
        <w:rPr>
          <w:i/>
        </w:rPr>
        <w:t>Clin</w:t>
      </w:r>
      <w:proofErr w:type="spellEnd"/>
      <w:r w:rsidRPr="00345A8D">
        <w:rPr>
          <w:i/>
        </w:rPr>
        <w:t xml:space="preserve"> Dev </w:t>
      </w:r>
      <w:proofErr w:type="spellStart"/>
      <w:r w:rsidRPr="00345A8D">
        <w:rPr>
          <w:i/>
        </w:rPr>
        <w:t>Immunol</w:t>
      </w:r>
      <w:proofErr w:type="spellEnd"/>
      <w:r w:rsidRPr="00345A8D">
        <w:t>. 2012; 2012: 623474;</w:t>
      </w:r>
    </w:p>
  </w:footnote>
  <w:footnote w:id="44">
    <w:p w14:paraId="4FE91F88" w14:textId="77777777" w:rsidR="00AC31A0" w:rsidRPr="001F17C0" w:rsidRDefault="00AC31A0">
      <w:pPr>
        <w:pStyle w:val="FootnoteText"/>
        <w:rPr>
          <w:lang w:val="en-US"/>
        </w:rPr>
      </w:pPr>
      <w:r>
        <w:rPr>
          <w:rStyle w:val="FootnoteReference"/>
        </w:rPr>
        <w:footnoteRef/>
      </w:r>
      <w:r>
        <w:t xml:space="preserve"> </w:t>
      </w:r>
      <w:proofErr w:type="spellStart"/>
      <w:r w:rsidRPr="00345A8D">
        <w:t>Kawauchi</w:t>
      </w:r>
      <w:proofErr w:type="spellEnd"/>
      <w:r w:rsidRPr="00345A8D">
        <w:t xml:space="preserve"> H, et al. Short</w:t>
      </w:r>
      <w:r>
        <w:t xml:space="preserve"> </w:t>
      </w:r>
      <w:r w:rsidRPr="00345A8D">
        <w:t xml:space="preserve">review on sublingual immunotherapy for patients with allergic rhinitis: from bench to bedside. </w:t>
      </w:r>
      <w:proofErr w:type="spellStart"/>
      <w:r w:rsidRPr="00345A8D">
        <w:rPr>
          <w:i/>
        </w:rPr>
        <w:t>Adv</w:t>
      </w:r>
      <w:proofErr w:type="spellEnd"/>
      <w:r w:rsidRPr="00345A8D">
        <w:rPr>
          <w:i/>
        </w:rPr>
        <w:t xml:space="preserve"> </w:t>
      </w:r>
      <w:proofErr w:type="spellStart"/>
      <w:r w:rsidRPr="00345A8D">
        <w:rPr>
          <w:i/>
        </w:rPr>
        <w:t>Otorhinolaryngol</w:t>
      </w:r>
      <w:proofErr w:type="spellEnd"/>
      <w:r w:rsidRPr="00345A8D">
        <w:rPr>
          <w:i/>
        </w:rPr>
        <w:t>.</w:t>
      </w:r>
      <w:r w:rsidRPr="00345A8D">
        <w:t xml:space="preserve"> 2011; 72: 103-106;</w:t>
      </w:r>
    </w:p>
  </w:footnote>
  <w:footnote w:id="45">
    <w:p w14:paraId="4FE91F89" w14:textId="77777777" w:rsidR="00AC31A0" w:rsidRPr="001F17C0" w:rsidRDefault="00AC31A0">
      <w:pPr>
        <w:pStyle w:val="FootnoteText"/>
        <w:rPr>
          <w:lang w:val="en-US"/>
        </w:rPr>
      </w:pPr>
      <w:r>
        <w:rPr>
          <w:rStyle w:val="FootnoteReference"/>
        </w:rPr>
        <w:footnoteRef/>
      </w:r>
      <w:r>
        <w:t xml:space="preserve"> </w:t>
      </w:r>
      <w:proofErr w:type="spellStart"/>
      <w:r w:rsidRPr="00345A8D">
        <w:t>Ozdemir</w:t>
      </w:r>
      <w:proofErr w:type="spellEnd"/>
      <w:r w:rsidRPr="00345A8D">
        <w:t xml:space="preserve"> C. </w:t>
      </w:r>
      <w:proofErr w:type="gramStart"/>
      <w:r w:rsidRPr="00345A8D">
        <w:t>An immunological overview of allergen specific immunotherapy -subcutaneous and sublingual routes.</w:t>
      </w:r>
      <w:proofErr w:type="gramEnd"/>
      <w:r w:rsidRPr="00345A8D">
        <w:t xml:space="preserve"> </w:t>
      </w:r>
      <w:proofErr w:type="spellStart"/>
      <w:r w:rsidRPr="00345A8D">
        <w:rPr>
          <w:i/>
        </w:rPr>
        <w:t>Ther</w:t>
      </w:r>
      <w:proofErr w:type="spellEnd"/>
      <w:r w:rsidRPr="00345A8D">
        <w:rPr>
          <w:i/>
        </w:rPr>
        <w:t xml:space="preserve"> </w:t>
      </w:r>
      <w:proofErr w:type="spellStart"/>
      <w:r w:rsidRPr="00345A8D">
        <w:rPr>
          <w:i/>
        </w:rPr>
        <w:t>Adv</w:t>
      </w:r>
      <w:proofErr w:type="spellEnd"/>
      <w:r w:rsidRPr="00345A8D">
        <w:rPr>
          <w:i/>
        </w:rPr>
        <w:t xml:space="preserve"> </w:t>
      </w:r>
      <w:proofErr w:type="spellStart"/>
      <w:r w:rsidRPr="00345A8D">
        <w:rPr>
          <w:i/>
        </w:rPr>
        <w:t>Respir</w:t>
      </w:r>
      <w:proofErr w:type="spellEnd"/>
      <w:r w:rsidRPr="00345A8D">
        <w:rPr>
          <w:i/>
        </w:rPr>
        <w:t xml:space="preserve"> Dis</w:t>
      </w:r>
      <w:r w:rsidRPr="00345A8D">
        <w:t>. 2009; 3: 253-262;</w:t>
      </w:r>
    </w:p>
  </w:footnote>
  <w:footnote w:id="46">
    <w:p w14:paraId="4FE91F8A" w14:textId="77777777" w:rsidR="00AC31A0" w:rsidRPr="001F17C0" w:rsidRDefault="00AC31A0">
      <w:pPr>
        <w:pStyle w:val="FootnoteText"/>
        <w:rPr>
          <w:lang w:val="en-US"/>
        </w:rPr>
      </w:pPr>
      <w:r>
        <w:rPr>
          <w:rStyle w:val="FootnoteReference"/>
        </w:rPr>
        <w:footnoteRef/>
      </w:r>
      <w:r>
        <w:t xml:space="preserve"> </w:t>
      </w:r>
      <w:proofErr w:type="spellStart"/>
      <w:r w:rsidRPr="00345A8D">
        <w:t>Scadding</w:t>
      </w:r>
      <w:proofErr w:type="spellEnd"/>
      <w:r w:rsidRPr="00345A8D">
        <w:t xml:space="preserve"> G, et al. Mechanisms of sublingual immunotherapy</w:t>
      </w:r>
      <w:r w:rsidRPr="00345A8D">
        <w:rPr>
          <w:i/>
        </w:rPr>
        <w:t xml:space="preserve">. </w:t>
      </w:r>
      <w:proofErr w:type="gramStart"/>
      <w:r w:rsidRPr="00345A8D">
        <w:rPr>
          <w:i/>
        </w:rPr>
        <w:t>J Asthma</w:t>
      </w:r>
      <w:r w:rsidRPr="00345A8D">
        <w:t>.</w:t>
      </w:r>
      <w:proofErr w:type="gramEnd"/>
      <w:r w:rsidRPr="00345A8D">
        <w:t xml:space="preserve"> 2009; 46: 322-334</w:t>
      </w:r>
    </w:p>
  </w:footnote>
  <w:footnote w:id="47">
    <w:p w14:paraId="4FE91F8B" w14:textId="77777777" w:rsidR="00AC31A0" w:rsidRPr="001F17C0" w:rsidRDefault="00AC31A0">
      <w:pPr>
        <w:pStyle w:val="FootnoteText"/>
        <w:rPr>
          <w:lang w:val="en-US"/>
        </w:rPr>
      </w:pPr>
      <w:r>
        <w:rPr>
          <w:rStyle w:val="FootnoteReference"/>
        </w:rPr>
        <w:footnoteRef/>
      </w:r>
      <w:r>
        <w:t xml:space="preserve"> </w:t>
      </w:r>
      <w:r w:rsidRPr="00345A8D">
        <w:t>Garcia-Marcos L, et al. Sublingual specific immunotherapy: state of the art</w:t>
      </w:r>
      <w:r w:rsidRPr="00345A8D">
        <w:rPr>
          <w:i/>
        </w:rPr>
        <w:t xml:space="preserve">. </w:t>
      </w:r>
      <w:proofErr w:type="spellStart"/>
      <w:proofErr w:type="gramStart"/>
      <w:r w:rsidRPr="00345A8D">
        <w:rPr>
          <w:i/>
        </w:rPr>
        <w:t>Inflamm</w:t>
      </w:r>
      <w:proofErr w:type="spellEnd"/>
      <w:r w:rsidRPr="00345A8D">
        <w:rPr>
          <w:i/>
        </w:rPr>
        <w:t xml:space="preserve"> Allergy Drug Targets</w:t>
      </w:r>
      <w:r w:rsidRPr="00345A8D">
        <w:t>.</w:t>
      </w:r>
      <w:proofErr w:type="gramEnd"/>
      <w:r w:rsidRPr="00345A8D">
        <w:t xml:space="preserve"> 2007; 6: 117-126;</w:t>
      </w:r>
    </w:p>
  </w:footnote>
  <w:footnote w:id="48">
    <w:p w14:paraId="4FE91F8C" w14:textId="77777777" w:rsidR="00AC31A0" w:rsidRPr="001F17C0" w:rsidRDefault="00AC31A0">
      <w:pPr>
        <w:pStyle w:val="FootnoteText"/>
        <w:rPr>
          <w:lang w:val="en-US"/>
        </w:rPr>
      </w:pPr>
      <w:r>
        <w:rPr>
          <w:rStyle w:val="FootnoteReference"/>
        </w:rPr>
        <w:footnoteRef/>
      </w:r>
      <w:r>
        <w:t xml:space="preserve"> </w:t>
      </w:r>
      <w:proofErr w:type="spellStart"/>
      <w:r w:rsidRPr="00345A8D">
        <w:t>Frati</w:t>
      </w:r>
      <w:proofErr w:type="spellEnd"/>
      <w:r w:rsidRPr="00345A8D">
        <w:t xml:space="preserve"> F, et al. Mucosal immunization application to allergic disease: sublingual</w:t>
      </w:r>
      <w:r>
        <w:t xml:space="preserve"> </w:t>
      </w:r>
      <w:r w:rsidRPr="00345A8D">
        <w:t>immunotherapy</w:t>
      </w:r>
      <w:r w:rsidRPr="00345A8D">
        <w:rPr>
          <w:i/>
        </w:rPr>
        <w:t>. Allergy Asthma Proc</w:t>
      </w:r>
      <w:r>
        <w:t>. 2007</w:t>
      </w:r>
      <w:r w:rsidRPr="00345A8D">
        <w:t>;</w:t>
      </w:r>
      <w:r>
        <w:t xml:space="preserve"> 28</w:t>
      </w:r>
      <w:r w:rsidRPr="00345A8D">
        <w:t>:</w:t>
      </w:r>
      <w:r>
        <w:t xml:space="preserve"> </w:t>
      </w:r>
      <w:r w:rsidRPr="00345A8D">
        <w:t>35-</w:t>
      </w:r>
      <w:r>
        <w:t>3</w:t>
      </w:r>
      <w:r w:rsidRPr="00345A8D">
        <w:t>9;</w:t>
      </w:r>
    </w:p>
  </w:footnote>
  <w:footnote w:id="49">
    <w:p w14:paraId="4FE91F8D" w14:textId="77777777" w:rsidR="00AC31A0" w:rsidRPr="001E1063" w:rsidRDefault="00AC31A0" w:rsidP="001E1063">
      <w:pPr>
        <w:pStyle w:val="FootnoteText"/>
      </w:pPr>
      <w:r w:rsidRPr="00345A8D">
        <w:rPr>
          <w:rStyle w:val="FootnoteReference"/>
        </w:rPr>
        <w:footnoteRef/>
      </w:r>
      <w:r w:rsidRPr="001E1063">
        <w:t xml:space="preserve"> Details of the chemiluminescent assay methodology and relevant titration curves were not supplied but it is assumed that the assays were performed using the “Magic Light assay” as described in </w:t>
      </w:r>
      <w:proofErr w:type="spellStart"/>
      <w:r w:rsidRPr="001E1063">
        <w:t>Brimnes</w:t>
      </w:r>
      <w:proofErr w:type="spellEnd"/>
      <w:r w:rsidRPr="001E1063">
        <w:t xml:space="preserve"> J, et al. Sublingual immunotherapy reduces allergic symptoms in a mouse model of rhinitis </w:t>
      </w:r>
      <w:proofErr w:type="spellStart"/>
      <w:r w:rsidRPr="001E1063">
        <w:rPr>
          <w:i/>
        </w:rPr>
        <w:t>Clin</w:t>
      </w:r>
      <w:proofErr w:type="spellEnd"/>
      <w:r w:rsidRPr="001E1063">
        <w:rPr>
          <w:i/>
        </w:rPr>
        <w:t xml:space="preserve"> </w:t>
      </w:r>
      <w:proofErr w:type="spellStart"/>
      <w:r w:rsidRPr="001E1063">
        <w:rPr>
          <w:i/>
        </w:rPr>
        <w:t>Exp</w:t>
      </w:r>
      <w:proofErr w:type="spellEnd"/>
      <w:r w:rsidRPr="001E1063">
        <w:rPr>
          <w:i/>
        </w:rPr>
        <w:t xml:space="preserve"> Allergy</w:t>
      </w:r>
      <w:r>
        <w:t xml:space="preserve">. </w:t>
      </w:r>
      <w:proofErr w:type="gramStart"/>
      <w:r>
        <w:t>2007</w:t>
      </w:r>
      <w:r w:rsidRPr="001E1063">
        <w:t>;</w:t>
      </w:r>
      <w:r>
        <w:t xml:space="preserve"> 37</w:t>
      </w:r>
      <w:r w:rsidRPr="001E1063">
        <w:t>:</w:t>
      </w:r>
      <w:r>
        <w:t xml:space="preserve"> </w:t>
      </w:r>
      <w:r w:rsidRPr="001E1063">
        <w:t>488-</w:t>
      </w:r>
      <w:r>
        <w:t>4</w:t>
      </w:r>
      <w:r w:rsidRPr="001E1063">
        <w:t>97</w:t>
      </w:r>
      <w:r>
        <w:t>.</w:t>
      </w:r>
      <w:proofErr w:type="gramEnd"/>
      <w:r>
        <w:t xml:space="preserve"> That is,</w:t>
      </w:r>
      <w:r w:rsidRPr="001E1063">
        <w:t xml:space="preserve"> actual change in Titre or Ig level cannot be calculated based on the data provided. However, compar</w:t>
      </w:r>
      <w:r>
        <w:t xml:space="preserve">atively small changes in RLU (2 to </w:t>
      </w:r>
      <w:r w:rsidRPr="001E1063">
        <w:t>5X) actually represent relatively large changes in antigen-specific antibody titres.</w:t>
      </w:r>
    </w:p>
  </w:footnote>
  <w:footnote w:id="50">
    <w:p w14:paraId="4FE91F8E" w14:textId="77777777" w:rsidR="00AC31A0" w:rsidRPr="008D0B10" w:rsidRDefault="00AC31A0" w:rsidP="008D0B10">
      <w:pPr>
        <w:pStyle w:val="FootnoteText"/>
      </w:pPr>
      <w:r w:rsidRPr="001F17C0">
        <w:rPr>
          <w:rStyle w:val="FootnoteReference"/>
          <w:sz w:val="16"/>
          <w:szCs w:val="16"/>
        </w:rPr>
        <w:footnoteRef/>
      </w:r>
      <w:r w:rsidRPr="001F17C0">
        <w:rPr>
          <w:sz w:val="16"/>
          <w:szCs w:val="16"/>
        </w:rPr>
        <w:t xml:space="preserve"> </w:t>
      </w:r>
      <w:proofErr w:type="spellStart"/>
      <w:r w:rsidRPr="001F17C0">
        <w:rPr>
          <w:sz w:val="16"/>
          <w:szCs w:val="16"/>
        </w:rPr>
        <w:t>Akdis</w:t>
      </w:r>
      <w:proofErr w:type="spellEnd"/>
      <w:r w:rsidRPr="001F17C0">
        <w:rPr>
          <w:sz w:val="16"/>
          <w:szCs w:val="16"/>
        </w:rPr>
        <w:t xml:space="preserve"> M, et al. </w:t>
      </w:r>
      <w:r w:rsidRPr="001F17C0">
        <w:rPr>
          <w:lang w:val="en"/>
        </w:rPr>
        <w:t xml:space="preserve">Mechanisms of allergen-specific immunotherapy </w:t>
      </w:r>
      <w:r w:rsidRPr="001F17C0">
        <w:rPr>
          <w:i/>
          <w:sz w:val="16"/>
          <w:szCs w:val="16"/>
        </w:rPr>
        <w:t xml:space="preserve">J Allergy </w:t>
      </w:r>
      <w:proofErr w:type="spellStart"/>
      <w:r w:rsidRPr="001F17C0">
        <w:rPr>
          <w:i/>
          <w:sz w:val="16"/>
          <w:szCs w:val="16"/>
        </w:rPr>
        <w:t>Clin</w:t>
      </w:r>
      <w:proofErr w:type="spellEnd"/>
      <w:r w:rsidRPr="001F17C0">
        <w:rPr>
          <w:i/>
          <w:sz w:val="16"/>
          <w:szCs w:val="16"/>
        </w:rPr>
        <w:t xml:space="preserve"> </w:t>
      </w:r>
      <w:proofErr w:type="spellStart"/>
      <w:r w:rsidRPr="001F17C0">
        <w:rPr>
          <w:i/>
          <w:sz w:val="16"/>
          <w:szCs w:val="16"/>
        </w:rPr>
        <w:t>Immunol</w:t>
      </w:r>
      <w:proofErr w:type="spellEnd"/>
      <w:r>
        <w:rPr>
          <w:sz w:val="16"/>
          <w:szCs w:val="16"/>
        </w:rPr>
        <w:t>. 2007; 119</w:t>
      </w:r>
      <w:r w:rsidRPr="001F17C0">
        <w:rPr>
          <w:sz w:val="16"/>
          <w:szCs w:val="16"/>
        </w:rPr>
        <w:t>:</w:t>
      </w:r>
      <w:r>
        <w:rPr>
          <w:sz w:val="16"/>
          <w:szCs w:val="16"/>
        </w:rPr>
        <w:t xml:space="preserve"> </w:t>
      </w:r>
      <w:r w:rsidRPr="001F17C0">
        <w:rPr>
          <w:sz w:val="16"/>
          <w:szCs w:val="16"/>
        </w:rPr>
        <w:t>780–791</w:t>
      </w:r>
    </w:p>
  </w:footnote>
  <w:footnote w:id="51">
    <w:p w14:paraId="4FE91F8F" w14:textId="3588C446" w:rsidR="00AC31A0" w:rsidRDefault="00AC31A0" w:rsidP="004F701B">
      <w:pPr>
        <w:pStyle w:val="FootnoteText"/>
      </w:pPr>
      <w:r>
        <w:rPr>
          <w:rStyle w:val="FootnoteReference"/>
        </w:rPr>
        <w:footnoteRef/>
      </w:r>
      <w:r w:rsidRPr="00C41250">
        <w:rPr>
          <w:sz w:val="16"/>
          <w:szCs w:val="16"/>
        </w:rPr>
        <w:t xml:space="preserve">All dose comparisons are on a BSA </w:t>
      </w:r>
      <w:r>
        <w:rPr>
          <w:sz w:val="16"/>
          <w:szCs w:val="16"/>
        </w:rPr>
        <w:t xml:space="preserve">and </w:t>
      </w:r>
      <w:proofErr w:type="spellStart"/>
      <w:r>
        <w:rPr>
          <w:sz w:val="16"/>
          <w:szCs w:val="16"/>
        </w:rPr>
        <w:t>Phl</w:t>
      </w:r>
      <w:proofErr w:type="spellEnd"/>
      <w:r>
        <w:rPr>
          <w:sz w:val="16"/>
          <w:szCs w:val="16"/>
        </w:rPr>
        <w:t xml:space="preserve"> p dry matter </w:t>
      </w:r>
      <w:r w:rsidRPr="00C41250">
        <w:rPr>
          <w:sz w:val="16"/>
          <w:szCs w:val="16"/>
        </w:rPr>
        <w:t>basis.</w:t>
      </w:r>
    </w:p>
  </w:footnote>
  <w:footnote w:id="52">
    <w:p w14:paraId="4FE91F90" w14:textId="77777777" w:rsidR="00AC31A0" w:rsidRPr="008D0B10" w:rsidRDefault="00AC31A0" w:rsidP="008D0B10">
      <w:pPr>
        <w:pStyle w:val="FootnoteText"/>
      </w:pPr>
      <w:r w:rsidRPr="0051540E">
        <w:rPr>
          <w:rStyle w:val="FootnoteReference"/>
          <w:sz w:val="16"/>
          <w:szCs w:val="16"/>
        </w:rPr>
        <w:footnoteRef/>
      </w:r>
      <w:r w:rsidRPr="0051540E">
        <w:rPr>
          <w:sz w:val="16"/>
          <w:szCs w:val="16"/>
        </w:rPr>
        <w:t xml:space="preserve"> </w:t>
      </w:r>
      <w:proofErr w:type="spellStart"/>
      <w:r w:rsidRPr="0051540E">
        <w:rPr>
          <w:sz w:val="16"/>
          <w:szCs w:val="16"/>
        </w:rPr>
        <w:t>Clemo</w:t>
      </w:r>
      <w:proofErr w:type="spellEnd"/>
      <w:r w:rsidRPr="0051540E">
        <w:rPr>
          <w:sz w:val="16"/>
          <w:szCs w:val="16"/>
        </w:rPr>
        <w:t xml:space="preserve"> FA,</w:t>
      </w:r>
      <w:r>
        <w:rPr>
          <w:sz w:val="16"/>
          <w:szCs w:val="16"/>
        </w:rPr>
        <w:t xml:space="preserve"> et al.</w:t>
      </w:r>
      <w:r w:rsidRPr="008D0B10">
        <w:t xml:space="preserve"> </w:t>
      </w:r>
      <w:proofErr w:type="gramStart"/>
      <w:r>
        <w:t>Differentiating</w:t>
      </w:r>
      <w:proofErr w:type="gramEnd"/>
      <w:r>
        <w:t xml:space="preserve"> spontaneous from drug-induced vascular injury in the dog. </w:t>
      </w:r>
      <w:proofErr w:type="spellStart"/>
      <w:r w:rsidRPr="008D0B10">
        <w:rPr>
          <w:i/>
          <w:sz w:val="16"/>
          <w:szCs w:val="16"/>
        </w:rPr>
        <w:t>Toxicol</w:t>
      </w:r>
      <w:proofErr w:type="spellEnd"/>
      <w:r w:rsidRPr="008D0B10">
        <w:rPr>
          <w:i/>
          <w:sz w:val="16"/>
          <w:szCs w:val="16"/>
        </w:rPr>
        <w:t xml:space="preserve"> </w:t>
      </w:r>
      <w:proofErr w:type="spellStart"/>
      <w:r w:rsidRPr="008D0B10">
        <w:rPr>
          <w:i/>
          <w:sz w:val="16"/>
          <w:szCs w:val="16"/>
        </w:rPr>
        <w:t>Pathol</w:t>
      </w:r>
      <w:proofErr w:type="spellEnd"/>
      <w:r>
        <w:rPr>
          <w:sz w:val="16"/>
          <w:szCs w:val="16"/>
        </w:rPr>
        <w:t xml:space="preserve">. </w:t>
      </w:r>
      <w:proofErr w:type="gramStart"/>
      <w:r>
        <w:rPr>
          <w:sz w:val="16"/>
          <w:szCs w:val="16"/>
        </w:rPr>
        <w:t>2003</w:t>
      </w:r>
      <w:r w:rsidRPr="0051540E">
        <w:rPr>
          <w:sz w:val="16"/>
          <w:szCs w:val="16"/>
        </w:rPr>
        <w:t>;</w:t>
      </w:r>
      <w:r>
        <w:rPr>
          <w:sz w:val="16"/>
          <w:szCs w:val="16"/>
        </w:rPr>
        <w:t xml:space="preserve"> 31</w:t>
      </w:r>
      <w:r w:rsidRPr="0051540E">
        <w:rPr>
          <w:sz w:val="16"/>
          <w:szCs w:val="16"/>
        </w:rPr>
        <w:t>:</w:t>
      </w:r>
      <w:r>
        <w:rPr>
          <w:sz w:val="16"/>
          <w:szCs w:val="16"/>
        </w:rPr>
        <w:t xml:space="preserve"> </w:t>
      </w:r>
      <w:r w:rsidRPr="0051540E">
        <w:rPr>
          <w:sz w:val="16"/>
          <w:szCs w:val="16"/>
        </w:rPr>
        <w:t>25-31.</w:t>
      </w:r>
      <w:proofErr w:type="gramEnd"/>
    </w:p>
  </w:footnote>
  <w:footnote w:id="53">
    <w:p w14:paraId="4FE91F91" w14:textId="77777777" w:rsidR="00AC31A0" w:rsidRPr="00EB7910" w:rsidRDefault="00AC31A0" w:rsidP="004F701B">
      <w:pPr>
        <w:pStyle w:val="FootnoteText"/>
        <w:rPr>
          <w:sz w:val="16"/>
          <w:szCs w:val="16"/>
        </w:rPr>
      </w:pPr>
      <w:r w:rsidRPr="00EB7910">
        <w:rPr>
          <w:rStyle w:val="FootnoteReference"/>
          <w:sz w:val="16"/>
          <w:szCs w:val="16"/>
        </w:rPr>
        <w:footnoteRef/>
      </w:r>
      <w:r w:rsidRPr="00EB7910">
        <w:rPr>
          <w:sz w:val="16"/>
          <w:szCs w:val="16"/>
        </w:rPr>
        <w:t xml:space="preserve"> http://www.ich.org/fileadmin/Public_Web_Site/ICH_Products/Guidelines/Safety/S2_R1/Step4/S2R1_Step4.pdf</w:t>
      </w:r>
    </w:p>
  </w:footnote>
  <w:footnote w:id="54">
    <w:p w14:paraId="4FE91F92" w14:textId="77777777" w:rsidR="00AC31A0" w:rsidRPr="0025040E" w:rsidRDefault="00AC31A0" w:rsidP="004F701B">
      <w:pPr>
        <w:pStyle w:val="FootnoteText"/>
        <w:rPr>
          <w:sz w:val="16"/>
          <w:szCs w:val="16"/>
        </w:rPr>
      </w:pPr>
      <w:r w:rsidRPr="0025040E">
        <w:rPr>
          <w:rStyle w:val="FootnoteReference"/>
          <w:sz w:val="16"/>
          <w:szCs w:val="16"/>
        </w:rPr>
        <w:footnoteRef/>
      </w:r>
      <w:r>
        <w:rPr>
          <w:sz w:val="16"/>
          <w:szCs w:val="16"/>
        </w:rPr>
        <w:t xml:space="preserve"> Dossier Module 2.6.6.4</w:t>
      </w:r>
    </w:p>
  </w:footnote>
  <w:footnote w:id="55">
    <w:p w14:paraId="4FE91F93" w14:textId="77777777" w:rsidR="00AC31A0" w:rsidRPr="00F350EF" w:rsidRDefault="00AC31A0" w:rsidP="004F701B">
      <w:pPr>
        <w:pStyle w:val="FootnoteText"/>
        <w:ind w:left="142" w:hanging="142"/>
        <w:rPr>
          <w:sz w:val="16"/>
          <w:szCs w:val="16"/>
        </w:rPr>
      </w:pPr>
      <w:r w:rsidRPr="00EB7910">
        <w:rPr>
          <w:rStyle w:val="FootnoteReference"/>
          <w:sz w:val="16"/>
          <w:szCs w:val="16"/>
        </w:rPr>
        <w:footnoteRef/>
      </w:r>
      <w:r w:rsidRPr="00EB7910">
        <w:rPr>
          <w:sz w:val="16"/>
          <w:szCs w:val="16"/>
        </w:rPr>
        <w:t xml:space="preserve"> </w:t>
      </w:r>
      <w:r w:rsidRPr="000C0273">
        <w:rPr>
          <w:sz w:val="16"/>
          <w:szCs w:val="16"/>
        </w:rPr>
        <w:t>ICH Harmonised Tripartite Guideline</w:t>
      </w:r>
      <w:r>
        <w:rPr>
          <w:sz w:val="16"/>
          <w:szCs w:val="16"/>
        </w:rPr>
        <w:t xml:space="preserve"> </w:t>
      </w:r>
      <w:r w:rsidRPr="000C0273">
        <w:rPr>
          <w:sz w:val="16"/>
          <w:szCs w:val="16"/>
        </w:rPr>
        <w:t>On The Need For Carcinogenicity Studies</w:t>
      </w:r>
      <w:r>
        <w:rPr>
          <w:sz w:val="16"/>
          <w:szCs w:val="16"/>
        </w:rPr>
        <w:t xml:space="preserve"> </w:t>
      </w:r>
      <w:r w:rsidRPr="000C0273">
        <w:rPr>
          <w:sz w:val="16"/>
          <w:szCs w:val="16"/>
        </w:rPr>
        <w:t>Of Pharmaceuticals</w:t>
      </w:r>
      <w:r>
        <w:rPr>
          <w:sz w:val="16"/>
          <w:szCs w:val="16"/>
        </w:rPr>
        <w:t xml:space="preserve"> </w:t>
      </w:r>
      <w:r w:rsidRPr="000C0273">
        <w:rPr>
          <w:sz w:val="16"/>
          <w:szCs w:val="16"/>
        </w:rPr>
        <w:t>S1a</w:t>
      </w:r>
      <w:r>
        <w:rPr>
          <w:sz w:val="16"/>
          <w:szCs w:val="16"/>
        </w:rPr>
        <w:t xml:space="preserve"> Step 4. </w:t>
      </w:r>
      <w:r w:rsidRPr="00EB7910">
        <w:rPr>
          <w:sz w:val="16"/>
          <w:szCs w:val="16"/>
        </w:rPr>
        <w:t>http://www.ich.org/fileadmin/Public_Web_Site/ICH_Products/Guidelines/Safety/S1A/Step4/S1A_Guideline.pdf</w:t>
      </w:r>
    </w:p>
  </w:footnote>
  <w:footnote w:id="56">
    <w:p w14:paraId="7173D8DD" w14:textId="77777777" w:rsidR="00AC31A0" w:rsidRPr="00AD2AA8" w:rsidRDefault="00AC31A0" w:rsidP="00D75201">
      <w:pPr>
        <w:pStyle w:val="FootnoteText"/>
      </w:pPr>
      <w:r w:rsidRPr="00317E2E">
        <w:rPr>
          <w:rStyle w:val="FootnoteReference"/>
          <w:sz w:val="16"/>
          <w:szCs w:val="16"/>
        </w:rPr>
        <w:footnoteRef/>
      </w:r>
      <w:proofErr w:type="spellStart"/>
      <w:r w:rsidRPr="00317E2E">
        <w:rPr>
          <w:sz w:val="16"/>
          <w:szCs w:val="16"/>
        </w:rPr>
        <w:t>Schäppi</w:t>
      </w:r>
      <w:proofErr w:type="spellEnd"/>
      <w:r w:rsidRPr="00317E2E">
        <w:rPr>
          <w:sz w:val="16"/>
          <w:szCs w:val="16"/>
        </w:rPr>
        <w:t xml:space="preserve"> GF, et al. </w:t>
      </w:r>
      <w:r>
        <w:t>Concentrations of major grass group 5 allergens in pollen grains and atmospheric particles: implications for hay fever and allergic asthma sufferers sensitized to grass pollen allergens</w:t>
      </w:r>
      <w:r w:rsidRPr="00AD2AA8">
        <w:rPr>
          <w:i/>
        </w:rPr>
        <w:t xml:space="preserve">. </w:t>
      </w:r>
      <w:proofErr w:type="spellStart"/>
      <w:r w:rsidRPr="00AD2AA8">
        <w:rPr>
          <w:i/>
          <w:sz w:val="16"/>
          <w:szCs w:val="16"/>
        </w:rPr>
        <w:t>Clin</w:t>
      </w:r>
      <w:proofErr w:type="spellEnd"/>
      <w:r w:rsidRPr="00AD2AA8">
        <w:rPr>
          <w:i/>
          <w:sz w:val="16"/>
          <w:szCs w:val="16"/>
        </w:rPr>
        <w:t xml:space="preserve"> </w:t>
      </w:r>
      <w:proofErr w:type="spellStart"/>
      <w:r w:rsidRPr="00AD2AA8">
        <w:rPr>
          <w:i/>
          <w:sz w:val="16"/>
          <w:szCs w:val="16"/>
        </w:rPr>
        <w:t>Exp</w:t>
      </w:r>
      <w:proofErr w:type="spellEnd"/>
      <w:r w:rsidRPr="00AD2AA8">
        <w:rPr>
          <w:i/>
          <w:sz w:val="16"/>
          <w:szCs w:val="16"/>
        </w:rPr>
        <w:t xml:space="preserve"> Allergy.</w:t>
      </w:r>
      <w:r>
        <w:rPr>
          <w:sz w:val="16"/>
          <w:szCs w:val="16"/>
        </w:rPr>
        <w:t xml:space="preserve"> </w:t>
      </w:r>
      <w:proofErr w:type="gramStart"/>
      <w:r>
        <w:rPr>
          <w:sz w:val="16"/>
          <w:szCs w:val="16"/>
        </w:rPr>
        <w:t>1999</w:t>
      </w:r>
      <w:r w:rsidRPr="00317E2E">
        <w:rPr>
          <w:sz w:val="16"/>
          <w:szCs w:val="16"/>
        </w:rPr>
        <w:t>;</w:t>
      </w:r>
      <w:r>
        <w:rPr>
          <w:sz w:val="16"/>
          <w:szCs w:val="16"/>
        </w:rPr>
        <w:t xml:space="preserve"> 29</w:t>
      </w:r>
      <w:r w:rsidRPr="00317E2E">
        <w:rPr>
          <w:sz w:val="16"/>
          <w:szCs w:val="16"/>
        </w:rPr>
        <w:t>:</w:t>
      </w:r>
      <w:r>
        <w:rPr>
          <w:sz w:val="16"/>
          <w:szCs w:val="16"/>
        </w:rPr>
        <w:t xml:space="preserve"> </w:t>
      </w:r>
      <w:r w:rsidRPr="00317E2E">
        <w:rPr>
          <w:sz w:val="16"/>
          <w:szCs w:val="16"/>
        </w:rPr>
        <w:t>633-</w:t>
      </w:r>
      <w:r>
        <w:rPr>
          <w:sz w:val="16"/>
          <w:szCs w:val="16"/>
        </w:rPr>
        <w:t>641.</w:t>
      </w:r>
      <w:proofErr w:type="gramEnd"/>
    </w:p>
  </w:footnote>
  <w:footnote w:id="57">
    <w:p w14:paraId="4FE91F95" w14:textId="77777777" w:rsidR="00AC31A0" w:rsidRPr="00DD4CBC" w:rsidRDefault="00AC31A0" w:rsidP="008818D2">
      <w:pPr>
        <w:pStyle w:val="FootnoteText"/>
        <w:rPr>
          <w:sz w:val="16"/>
          <w:szCs w:val="16"/>
        </w:rPr>
      </w:pPr>
      <w:r w:rsidRPr="00DD4CBC">
        <w:rPr>
          <w:rStyle w:val="FootnoteReference"/>
          <w:sz w:val="16"/>
          <w:szCs w:val="16"/>
        </w:rPr>
        <w:footnoteRef/>
      </w:r>
      <w:r w:rsidRPr="00DD4CBC">
        <w:rPr>
          <w:sz w:val="16"/>
          <w:szCs w:val="16"/>
        </w:rPr>
        <w:t xml:space="preserve"> Historical control data mouse – CD-1(Crl</w:t>
      </w:r>
      <w:proofErr w:type="gramStart"/>
      <w:r w:rsidRPr="00DD4CBC">
        <w:rPr>
          <w:sz w:val="16"/>
          <w:szCs w:val="16"/>
        </w:rPr>
        <w:t>:CD1</w:t>
      </w:r>
      <w:proofErr w:type="gramEnd"/>
      <w:r w:rsidRPr="00DD4CBC">
        <w:rPr>
          <w:sz w:val="16"/>
          <w:szCs w:val="16"/>
        </w:rPr>
        <w:t>[ICR])</w:t>
      </w:r>
      <w:r>
        <w:rPr>
          <w:sz w:val="16"/>
          <w:szCs w:val="16"/>
        </w:rPr>
        <w:t xml:space="preserve">, </w:t>
      </w:r>
      <w:r w:rsidRPr="00DD4CBC">
        <w:rPr>
          <w:sz w:val="16"/>
          <w:szCs w:val="16"/>
        </w:rPr>
        <w:t>2003-Jun 2013</w:t>
      </w:r>
      <w:r>
        <w:rPr>
          <w:sz w:val="16"/>
          <w:szCs w:val="16"/>
        </w:rPr>
        <w:t xml:space="preserve">, </w:t>
      </w:r>
      <w:r w:rsidRPr="00DD4CBC">
        <w:rPr>
          <w:sz w:val="16"/>
          <w:szCs w:val="16"/>
        </w:rPr>
        <w:t>Charles River Laboratories Preclinical Services; Data for Frontal bone(s): incomplete ossification.</w:t>
      </w:r>
    </w:p>
  </w:footnote>
  <w:footnote w:id="58">
    <w:p w14:paraId="4FE91F96" w14:textId="77777777" w:rsidR="00AC31A0" w:rsidRDefault="00AC31A0" w:rsidP="008818D2">
      <w:pPr>
        <w:pStyle w:val="FootnoteText"/>
      </w:pPr>
      <w:r w:rsidRPr="00DD4CBC">
        <w:rPr>
          <w:rStyle w:val="FootnoteReference"/>
          <w:sz w:val="16"/>
          <w:szCs w:val="16"/>
        </w:rPr>
        <w:footnoteRef/>
      </w:r>
      <w:r w:rsidRPr="00DD4CBC">
        <w:rPr>
          <w:sz w:val="16"/>
          <w:szCs w:val="16"/>
        </w:rPr>
        <w:t xml:space="preserve"> Historical control data mouse – CD-1(Crl</w:t>
      </w:r>
      <w:proofErr w:type="gramStart"/>
      <w:r w:rsidRPr="00DD4CBC">
        <w:rPr>
          <w:sz w:val="16"/>
          <w:szCs w:val="16"/>
        </w:rPr>
        <w:t>:CD1</w:t>
      </w:r>
      <w:proofErr w:type="gramEnd"/>
      <w:r w:rsidRPr="00DD4CBC">
        <w:rPr>
          <w:sz w:val="16"/>
          <w:szCs w:val="16"/>
        </w:rPr>
        <w:t>[ICR])</w:t>
      </w:r>
      <w:r>
        <w:rPr>
          <w:sz w:val="16"/>
          <w:szCs w:val="16"/>
        </w:rPr>
        <w:t xml:space="preserve">, </w:t>
      </w:r>
      <w:r w:rsidRPr="00DD4CBC">
        <w:rPr>
          <w:sz w:val="16"/>
          <w:szCs w:val="16"/>
        </w:rPr>
        <w:t>2003-Jun 2013</w:t>
      </w:r>
      <w:r>
        <w:rPr>
          <w:sz w:val="16"/>
          <w:szCs w:val="16"/>
        </w:rPr>
        <w:t xml:space="preserve">, </w:t>
      </w:r>
      <w:r w:rsidRPr="00DD4CBC">
        <w:rPr>
          <w:sz w:val="16"/>
          <w:szCs w:val="16"/>
        </w:rPr>
        <w:t xml:space="preserve">Charles River Laboratories Preclinical Services; Data for combined incidence of hyoid bone – incomplete ossification and hyoid bone - </w:t>
      </w:r>
      <w:proofErr w:type="spellStart"/>
      <w:r w:rsidRPr="00DD4CBC">
        <w:rPr>
          <w:sz w:val="16"/>
          <w:szCs w:val="16"/>
        </w:rPr>
        <w:t>unossified</w:t>
      </w:r>
      <w:proofErr w:type="spellEnd"/>
      <w:r w:rsidRPr="00DD4CBC">
        <w:rPr>
          <w:sz w:val="16"/>
          <w:szCs w:val="16"/>
        </w:rPr>
        <w:t>.</w:t>
      </w:r>
    </w:p>
  </w:footnote>
  <w:footnote w:id="59">
    <w:p w14:paraId="4FE91F97" w14:textId="77777777" w:rsidR="00AC31A0" w:rsidRPr="00B1428D" w:rsidRDefault="00AC31A0">
      <w:pPr>
        <w:pStyle w:val="FootnoteText"/>
        <w:rPr>
          <w:i/>
        </w:rPr>
      </w:pPr>
      <w:r>
        <w:rPr>
          <w:rStyle w:val="FootnoteReference"/>
        </w:rPr>
        <w:footnoteRef/>
      </w:r>
      <w:r>
        <w:t xml:space="preserve"> </w:t>
      </w:r>
      <w:r>
        <w:rPr>
          <w:lang w:val="en-US"/>
        </w:rPr>
        <w:t xml:space="preserve">Pregnancy Category B2 is defined as </w:t>
      </w:r>
      <w:r w:rsidRPr="00B1428D">
        <w:rPr>
          <w:i/>
        </w:rPr>
        <w:t>Drugs which have been taken by only a limited number of pregnant women and women of childbearing age, without an increase in the frequency of malformation or other direct or indirect harmful effects on the human fetus having been observed.</w:t>
      </w:r>
      <w:r>
        <w:rPr>
          <w:i/>
        </w:rPr>
        <w:t xml:space="preserve"> </w:t>
      </w:r>
      <w:r w:rsidRPr="00B1428D">
        <w:rPr>
          <w:i/>
        </w:rPr>
        <w:t>Studies in animals are inadequate or may be lacking, but available data show no evidence of an increased occurrence of fetal damage.</w:t>
      </w:r>
    </w:p>
  </w:footnote>
  <w:footnote w:id="60">
    <w:p w14:paraId="4FE91F98" w14:textId="77777777" w:rsidR="00AC31A0" w:rsidRPr="004635EB" w:rsidRDefault="00AC31A0" w:rsidP="008818D2">
      <w:pPr>
        <w:pStyle w:val="FootnoteText"/>
        <w:rPr>
          <w:sz w:val="16"/>
          <w:szCs w:val="16"/>
        </w:rPr>
      </w:pPr>
      <w:r w:rsidRPr="004635EB">
        <w:rPr>
          <w:rStyle w:val="FootnoteReference"/>
          <w:sz w:val="16"/>
          <w:szCs w:val="16"/>
        </w:rPr>
        <w:footnoteRef/>
      </w:r>
      <w:r w:rsidRPr="004635EB">
        <w:rPr>
          <w:sz w:val="16"/>
          <w:szCs w:val="16"/>
        </w:rPr>
        <w:t xml:space="preserve"> https://www.tga.gov.au/therapeutic-goods-exempted-pregnancy-categorisation</w:t>
      </w:r>
    </w:p>
  </w:footnote>
  <w:footnote w:id="61">
    <w:p w14:paraId="4FE91F99" w14:textId="77777777" w:rsidR="00AC31A0" w:rsidRPr="00CD55EA" w:rsidRDefault="00AC31A0" w:rsidP="00FE0277">
      <w:pPr>
        <w:pStyle w:val="FootnoteText"/>
        <w:rPr>
          <w:sz w:val="16"/>
          <w:szCs w:val="16"/>
        </w:rPr>
      </w:pPr>
      <w:r w:rsidRPr="00CD55EA">
        <w:rPr>
          <w:rStyle w:val="FootnoteReference"/>
          <w:sz w:val="16"/>
          <w:szCs w:val="16"/>
        </w:rPr>
        <w:footnoteRef/>
      </w:r>
      <w:r w:rsidRPr="00CD55EA">
        <w:rPr>
          <w:sz w:val="16"/>
          <w:szCs w:val="16"/>
        </w:rPr>
        <w:t xml:space="preserve"> All comparisons on a BSA </w:t>
      </w:r>
      <w:proofErr w:type="spellStart"/>
      <w:r w:rsidRPr="00CD55EA">
        <w:rPr>
          <w:sz w:val="16"/>
          <w:szCs w:val="16"/>
        </w:rPr>
        <w:t>Phl</w:t>
      </w:r>
      <w:proofErr w:type="spellEnd"/>
      <w:r w:rsidRPr="00CD55EA">
        <w:rPr>
          <w:sz w:val="16"/>
          <w:szCs w:val="16"/>
        </w:rPr>
        <w:t xml:space="preserve"> p allergen extract dry matter basis</w:t>
      </w:r>
    </w:p>
  </w:footnote>
  <w:footnote w:id="62">
    <w:p w14:paraId="4FE91F9A" w14:textId="77777777" w:rsidR="00AC31A0" w:rsidRPr="00F316E7" w:rsidRDefault="00AC31A0" w:rsidP="00FE0277">
      <w:pPr>
        <w:pStyle w:val="FootnoteText"/>
        <w:rPr>
          <w:sz w:val="16"/>
          <w:szCs w:val="16"/>
        </w:rPr>
      </w:pPr>
      <w:r w:rsidRPr="00F316E7">
        <w:rPr>
          <w:rStyle w:val="FootnoteReference"/>
          <w:sz w:val="16"/>
          <w:szCs w:val="16"/>
        </w:rPr>
        <w:footnoteRef/>
      </w:r>
      <w:r w:rsidRPr="00F316E7">
        <w:rPr>
          <w:sz w:val="16"/>
          <w:szCs w:val="16"/>
        </w:rPr>
        <w:t xml:space="preserve"> </w:t>
      </w:r>
      <w:proofErr w:type="gramStart"/>
      <w:r w:rsidRPr="00F316E7">
        <w:rPr>
          <w:sz w:val="16"/>
          <w:szCs w:val="16"/>
        </w:rPr>
        <w:t>FDA.</w:t>
      </w:r>
      <w:proofErr w:type="gramEnd"/>
      <w:r w:rsidRPr="00F316E7">
        <w:rPr>
          <w:sz w:val="16"/>
          <w:szCs w:val="16"/>
        </w:rPr>
        <w:t xml:space="preserve"> </w:t>
      </w:r>
      <w:proofErr w:type="gramStart"/>
      <w:r w:rsidRPr="00F316E7">
        <w:rPr>
          <w:sz w:val="16"/>
          <w:szCs w:val="16"/>
        </w:rPr>
        <w:t>Guidance for Industry.</w:t>
      </w:r>
      <w:proofErr w:type="gramEnd"/>
      <w:r w:rsidRPr="00F316E7">
        <w:rPr>
          <w:sz w:val="16"/>
          <w:szCs w:val="16"/>
        </w:rPr>
        <w:t xml:space="preserve"> </w:t>
      </w:r>
      <w:proofErr w:type="spellStart"/>
      <w:proofErr w:type="gramStart"/>
      <w:r w:rsidRPr="00F316E7">
        <w:rPr>
          <w:sz w:val="16"/>
          <w:szCs w:val="16"/>
        </w:rPr>
        <w:t>Immunotoxicology</w:t>
      </w:r>
      <w:proofErr w:type="spellEnd"/>
      <w:r w:rsidRPr="00F316E7">
        <w:rPr>
          <w:sz w:val="16"/>
          <w:szCs w:val="16"/>
        </w:rPr>
        <w:t xml:space="preserve"> Evaluation of Investigational New Drugs.</w:t>
      </w:r>
      <w:proofErr w:type="gramEnd"/>
      <w:r w:rsidRPr="00F316E7">
        <w:rPr>
          <w:sz w:val="16"/>
          <w:szCs w:val="16"/>
        </w:rPr>
        <w:t xml:space="preserve"> October 2002; </w:t>
      </w:r>
      <w:proofErr w:type="gramStart"/>
      <w:r w:rsidRPr="00F316E7">
        <w:rPr>
          <w:sz w:val="16"/>
          <w:szCs w:val="16"/>
        </w:rPr>
        <w:t>The</w:t>
      </w:r>
      <w:proofErr w:type="gramEnd"/>
      <w:r>
        <w:rPr>
          <w:sz w:val="16"/>
          <w:szCs w:val="16"/>
        </w:rPr>
        <w:t xml:space="preserve"> </w:t>
      </w:r>
      <w:r w:rsidRPr="00F316E7">
        <w:rPr>
          <w:sz w:val="16"/>
          <w:szCs w:val="16"/>
        </w:rPr>
        <w:t xml:space="preserve">guidance states that serum Ig E levels and cutaneous and or systemic anaphylaxis assays can be used to identify allergenic potential of proteins. However, negative results in such assays </w:t>
      </w:r>
      <w:r w:rsidRPr="00F316E7">
        <w:rPr>
          <w:i/>
          <w:sz w:val="16"/>
          <w:szCs w:val="16"/>
        </w:rPr>
        <w:t>“should not be interpreted to indicate that an experimental drug cannot produce anaphylactic reactions.”</w:t>
      </w:r>
    </w:p>
  </w:footnote>
  <w:footnote w:id="63">
    <w:p w14:paraId="4FE91F9B" w14:textId="77777777" w:rsidR="00AC31A0" w:rsidRPr="00B33A38" w:rsidRDefault="00AC31A0" w:rsidP="001F358B">
      <w:pPr>
        <w:pStyle w:val="FootnoteText"/>
      </w:pPr>
      <w:r w:rsidRPr="00B33A38">
        <w:rPr>
          <w:rStyle w:val="FootnoteReference"/>
        </w:rPr>
        <w:footnoteRef/>
      </w:r>
      <w:r w:rsidRPr="00B33A38">
        <w:t xml:space="preserve"> </w:t>
      </w:r>
      <w:proofErr w:type="spellStart"/>
      <w:r w:rsidRPr="00B33A38">
        <w:t>Bousquet</w:t>
      </w:r>
      <w:proofErr w:type="spellEnd"/>
      <w:r w:rsidRPr="00B33A38">
        <w:t xml:space="preserve"> et al. 2008</w:t>
      </w:r>
      <w:r w:rsidRPr="00306DEF">
        <w:t xml:space="preserve"> Allergic Rhinitis and i</w:t>
      </w:r>
      <w:r>
        <w:t xml:space="preserve">ts Impact on Asthma (ARIA) </w:t>
      </w:r>
      <w:r w:rsidRPr="00B33A38">
        <w:rPr>
          <w:i/>
        </w:rPr>
        <w:t>Allergy</w:t>
      </w:r>
      <w:r w:rsidRPr="00B33A38">
        <w:t xml:space="preserve"> 2008: 63 (Suppl. 86): 8–160</w:t>
      </w:r>
      <w:r>
        <w:t>.</w:t>
      </w:r>
    </w:p>
  </w:footnote>
  <w:footnote w:id="64">
    <w:p w14:paraId="4FE91F9C" w14:textId="77777777" w:rsidR="00AC31A0" w:rsidRPr="00B33A38" w:rsidRDefault="00AC31A0" w:rsidP="001F358B">
      <w:pPr>
        <w:pStyle w:val="FootnoteText"/>
        <w:rPr>
          <w:lang w:val="en-US"/>
        </w:rPr>
      </w:pPr>
      <w:r>
        <w:rPr>
          <w:rStyle w:val="FootnoteReference"/>
        </w:rPr>
        <w:footnoteRef/>
      </w:r>
      <w:r>
        <w:t xml:space="preserve"> </w:t>
      </w:r>
      <w:proofErr w:type="spellStart"/>
      <w:proofErr w:type="gramStart"/>
      <w:r w:rsidRPr="00B33A38">
        <w:t>Haahtela</w:t>
      </w:r>
      <w:proofErr w:type="spellEnd"/>
      <w:r w:rsidRPr="00B33A38">
        <w:t xml:space="preserve"> </w:t>
      </w:r>
      <w:r>
        <w:t>T and</w:t>
      </w:r>
      <w:r w:rsidRPr="00B33A38">
        <w:t xml:space="preserve"> </w:t>
      </w:r>
      <w:proofErr w:type="spellStart"/>
      <w:r w:rsidRPr="00B33A38">
        <w:t>Laitinen</w:t>
      </w:r>
      <w:proofErr w:type="spellEnd"/>
      <w:r w:rsidRPr="00B33A38">
        <w:t xml:space="preserve"> </w:t>
      </w:r>
      <w:r>
        <w:t xml:space="preserve">L </w:t>
      </w:r>
      <w:r w:rsidRPr="00B33A38">
        <w:t>1996</w:t>
      </w:r>
      <w:r>
        <w:t>, Asthma program in Finland 1994-2004.</w:t>
      </w:r>
      <w:proofErr w:type="gramEnd"/>
      <w:r>
        <w:t xml:space="preserve"> </w:t>
      </w:r>
      <w:r w:rsidRPr="00B33A38">
        <w:rPr>
          <w:i/>
        </w:rPr>
        <w:t>Clinical and Experimental Allergy</w:t>
      </w:r>
      <w:r>
        <w:t xml:space="preserve"> 1996; 26: </w:t>
      </w:r>
      <w:proofErr w:type="spellStart"/>
      <w:r>
        <w:t>i</w:t>
      </w:r>
      <w:proofErr w:type="spellEnd"/>
      <w:r>
        <w:t>-iii and 1-24.</w:t>
      </w:r>
    </w:p>
  </w:footnote>
  <w:footnote w:id="65">
    <w:p w14:paraId="4FE91F9D" w14:textId="77777777" w:rsidR="00AC31A0" w:rsidRPr="00B33A38" w:rsidRDefault="00AC31A0" w:rsidP="001F358B">
      <w:pPr>
        <w:spacing w:before="0" w:after="0"/>
        <w:rPr>
          <w:sz w:val="20"/>
          <w:szCs w:val="20"/>
        </w:rPr>
      </w:pPr>
      <w:r w:rsidRPr="00B33A38">
        <w:rPr>
          <w:sz w:val="20"/>
          <w:szCs w:val="20"/>
          <w:vertAlign w:val="superscript"/>
        </w:rPr>
        <w:footnoteRef/>
      </w:r>
      <w:r w:rsidRPr="00B33A38">
        <w:rPr>
          <w:sz w:val="20"/>
          <w:szCs w:val="20"/>
        </w:rPr>
        <w:t xml:space="preserve"> White P et al. 1998 Symptom control in patients with hay fever in UK general practice: how well are we doing and is there a need for allergen immunotherapy? </w:t>
      </w:r>
      <w:r w:rsidRPr="00B33A38">
        <w:rPr>
          <w:i/>
          <w:sz w:val="20"/>
          <w:szCs w:val="20"/>
        </w:rPr>
        <w:t>Clinical and Experimental Allergy</w:t>
      </w:r>
      <w:r w:rsidRPr="00B33A38">
        <w:rPr>
          <w:sz w:val="20"/>
          <w:szCs w:val="20"/>
        </w:rPr>
        <w:t xml:space="preserve"> 1998; 28: 266–270</w:t>
      </w:r>
    </w:p>
  </w:footnote>
  <w:footnote w:id="66">
    <w:p w14:paraId="4FE91F9E" w14:textId="77777777" w:rsidR="00AC31A0" w:rsidRPr="00B33A38" w:rsidRDefault="00AC31A0" w:rsidP="001F358B">
      <w:pPr>
        <w:pStyle w:val="FootnoteText"/>
        <w:rPr>
          <w:lang w:val="en-US"/>
        </w:rPr>
      </w:pPr>
      <w:r>
        <w:rPr>
          <w:rStyle w:val="FootnoteReference"/>
        </w:rPr>
        <w:footnoteRef/>
      </w:r>
      <w:r>
        <w:t xml:space="preserve"> </w:t>
      </w:r>
      <w:r>
        <w:rPr>
          <w:lang w:val="en-US"/>
        </w:rPr>
        <w:t xml:space="preserve">Yawn BP et al 1999 Allergic rhinitis in Rochester, Minnesota residents with asthma: Frequency and impact on health care charges. J. Allergy </w:t>
      </w:r>
      <w:proofErr w:type="spellStart"/>
      <w:r>
        <w:rPr>
          <w:lang w:val="en-US"/>
        </w:rPr>
        <w:t>Clin</w:t>
      </w:r>
      <w:proofErr w:type="spellEnd"/>
      <w:r>
        <w:rPr>
          <w:lang w:val="en-US"/>
        </w:rPr>
        <w:t xml:space="preserve">. </w:t>
      </w:r>
      <w:proofErr w:type="spellStart"/>
      <w:proofErr w:type="gramStart"/>
      <w:r>
        <w:rPr>
          <w:lang w:val="en-US"/>
        </w:rPr>
        <w:t>Immunol</w:t>
      </w:r>
      <w:proofErr w:type="spellEnd"/>
      <w:r>
        <w:rPr>
          <w:lang w:val="en-US"/>
        </w:rPr>
        <w:t>.</w:t>
      </w:r>
      <w:proofErr w:type="gramEnd"/>
      <w:r>
        <w:rPr>
          <w:lang w:val="en-US"/>
        </w:rPr>
        <w:t xml:space="preserve"> 1999; 103: 54-59</w:t>
      </w:r>
    </w:p>
  </w:footnote>
  <w:footnote w:id="67">
    <w:p w14:paraId="4FE91F9F" w14:textId="77777777" w:rsidR="00AC31A0" w:rsidRPr="00B33A38" w:rsidRDefault="00AC31A0" w:rsidP="001F358B">
      <w:pPr>
        <w:pStyle w:val="FootnoteText"/>
        <w:rPr>
          <w:lang w:val="en-US"/>
        </w:rPr>
      </w:pPr>
      <w:r>
        <w:rPr>
          <w:rStyle w:val="FootnoteReference"/>
        </w:rPr>
        <w:footnoteRef/>
      </w:r>
      <w:r>
        <w:t xml:space="preserve"> </w:t>
      </w:r>
      <w:proofErr w:type="spellStart"/>
      <w:r>
        <w:t>Corren</w:t>
      </w:r>
      <w:proofErr w:type="spellEnd"/>
      <w:r>
        <w:t xml:space="preserve"> J 1998 </w:t>
      </w:r>
      <w:proofErr w:type="gramStart"/>
      <w:r>
        <w:t>The</w:t>
      </w:r>
      <w:proofErr w:type="gramEnd"/>
      <w:r>
        <w:t xml:space="preserve"> impact of allergic rhinitis on bronchial asthma. </w:t>
      </w:r>
      <w:r w:rsidRPr="00B33A38">
        <w:rPr>
          <w:i/>
        </w:rPr>
        <w:t xml:space="preserve">J. Allergy </w:t>
      </w:r>
      <w:proofErr w:type="spellStart"/>
      <w:r w:rsidRPr="00B33A38">
        <w:rPr>
          <w:i/>
        </w:rPr>
        <w:t>Clin</w:t>
      </w:r>
      <w:proofErr w:type="spellEnd"/>
      <w:r w:rsidRPr="00B33A38">
        <w:rPr>
          <w:i/>
        </w:rPr>
        <w:t xml:space="preserve"> </w:t>
      </w:r>
      <w:proofErr w:type="spellStart"/>
      <w:r w:rsidRPr="00B33A38">
        <w:rPr>
          <w:i/>
        </w:rPr>
        <w:t>Immunol</w:t>
      </w:r>
      <w:proofErr w:type="spellEnd"/>
      <w:r>
        <w:t xml:space="preserve"> 1998; 101: S352-356</w:t>
      </w:r>
    </w:p>
  </w:footnote>
  <w:footnote w:id="68">
    <w:p w14:paraId="4FE91FA0" w14:textId="77777777" w:rsidR="00AC31A0" w:rsidRPr="00B33A38" w:rsidRDefault="00AC31A0" w:rsidP="001F358B">
      <w:pPr>
        <w:pStyle w:val="FootnoteText"/>
        <w:rPr>
          <w:lang w:val="en-US"/>
        </w:rPr>
      </w:pPr>
      <w:r>
        <w:rPr>
          <w:rStyle w:val="FootnoteReference"/>
        </w:rPr>
        <w:footnoteRef/>
      </w:r>
      <w:r>
        <w:t xml:space="preserve"> </w:t>
      </w:r>
      <w:proofErr w:type="gramStart"/>
      <w:r>
        <w:rPr>
          <w:lang w:val="en-US"/>
        </w:rPr>
        <w:t>Grossman J 1997 One airway, one disease.</w:t>
      </w:r>
      <w:proofErr w:type="gramEnd"/>
      <w:r>
        <w:rPr>
          <w:lang w:val="en-US"/>
        </w:rPr>
        <w:t xml:space="preserve"> </w:t>
      </w:r>
      <w:r w:rsidRPr="001269A5">
        <w:rPr>
          <w:i/>
          <w:lang w:val="en-US"/>
        </w:rPr>
        <w:t>CHEST</w:t>
      </w:r>
      <w:r>
        <w:rPr>
          <w:lang w:val="en-US"/>
        </w:rPr>
        <w:t xml:space="preserve"> 1997; 111:11S-16S</w:t>
      </w:r>
    </w:p>
  </w:footnote>
  <w:footnote w:id="69">
    <w:p w14:paraId="4FE91FA1" w14:textId="77777777" w:rsidR="00AC31A0" w:rsidRPr="00F62186" w:rsidRDefault="00AC31A0" w:rsidP="001F358B">
      <w:pPr>
        <w:pStyle w:val="FootnoteText"/>
        <w:rPr>
          <w:rStyle w:val="FootnoteReference"/>
          <w:vertAlign w:val="baseline"/>
        </w:rPr>
      </w:pPr>
      <w:r w:rsidRPr="00011C50">
        <w:rPr>
          <w:rStyle w:val="FootnoteReference"/>
        </w:rPr>
        <w:footnoteRef/>
      </w:r>
      <w:r w:rsidRPr="00011C50">
        <w:rPr>
          <w:rStyle w:val="FootnoteReference"/>
        </w:rPr>
        <w:t xml:space="preserve"> </w:t>
      </w:r>
      <w:proofErr w:type="spellStart"/>
      <w:r w:rsidRPr="00F62186">
        <w:rPr>
          <w:rStyle w:val="FootnoteReference"/>
          <w:vertAlign w:val="baseline"/>
        </w:rPr>
        <w:t>Bousquet</w:t>
      </w:r>
      <w:proofErr w:type="spellEnd"/>
      <w:r w:rsidRPr="00F62186">
        <w:rPr>
          <w:rStyle w:val="FootnoteReference"/>
          <w:vertAlign w:val="baseline"/>
        </w:rPr>
        <w:t xml:space="preserve"> Jet al. 1998</w:t>
      </w:r>
      <w:r w:rsidRPr="00011C50">
        <w:rPr>
          <w:rStyle w:val="FootnoteReference"/>
        </w:rPr>
        <w:t xml:space="preserve"> </w:t>
      </w:r>
      <w:proofErr w:type="gramStart"/>
      <w:r>
        <w:t>WHO Position paper</w:t>
      </w:r>
      <w:r w:rsidRPr="00F62186">
        <w:t>.</w:t>
      </w:r>
      <w:proofErr w:type="gramEnd"/>
      <w:r w:rsidRPr="00F62186">
        <w:t xml:space="preserve"> </w:t>
      </w:r>
      <w:r w:rsidRPr="00F62186">
        <w:rPr>
          <w:rStyle w:val="FootnoteReference"/>
          <w:vertAlign w:val="baseline"/>
        </w:rPr>
        <w:t>Allergen immunotherapy: therapeutic vaccines for allergic diseases Geneva: January 27-29 1997</w:t>
      </w:r>
      <w:r w:rsidRPr="00F62186">
        <w:t>.</w:t>
      </w:r>
    </w:p>
  </w:footnote>
  <w:footnote w:id="70">
    <w:p w14:paraId="4FE91FA2" w14:textId="77777777" w:rsidR="00AC31A0" w:rsidRPr="001610F4" w:rsidRDefault="00AC31A0" w:rsidP="001F358B">
      <w:pPr>
        <w:pStyle w:val="FootnoteText"/>
        <w:rPr>
          <w:lang w:val="en-US"/>
        </w:rPr>
      </w:pPr>
      <w:r>
        <w:rPr>
          <w:rStyle w:val="FootnoteReference"/>
        </w:rPr>
        <w:footnoteRef/>
      </w:r>
      <w:r>
        <w:t xml:space="preserve"> </w:t>
      </w:r>
      <w:r w:rsidRPr="00777853">
        <w:t xml:space="preserve">Durham </w:t>
      </w:r>
      <w:r>
        <w:t xml:space="preserve">SR </w:t>
      </w:r>
      <w:r w:rsidRPr="00777853">
        <w:t>et al. 2012</w:t>
      </w:r>
      <w:r>
        <w:t xml:space="preserve"> SQ-standardised sublingual grass immunotherapy: Confirmation of disease modification 2 years after 3 years of treatment in a randomized trial. </w:t>
      </w:r>
      <w:r w:rsidRPr="00146588">
        <w:rPr>
          <w:i/>
        </w:rPr>
        <w:t xml:space="preserve">J Allergy and </w:t>
      </w:r>
      <w:proofErr w:type="spellStart"/>
      <w:r w:rsidRPr="00146588">
        <w:rPr>
          <w:i/>
        </w:rPr>
        <w:t>Clin</w:t>
      </w:r>
      <w:proofErr w:type="spellEnd"/>
      <w:r w:rsidRPr="00146588">
        <w:rPr>
          <w:i/>
        </w:rPr>
        <w:t xml:space="preserve"> Immunology</w:t>
      </w:r>
      <w:r>
        <w:rPr>
          <w:i/>
        </w:rPr>
        <w:t xml:space="preserve"> </w:t>
      </w:r>
      <w:r w:rsidRPr="00146588">
        <w:t>2012; 129 ; 717-725</w:t>
      </w:r>
    </w:p>
  </w:footnote>
  <w:footnote w:id="71">
    <w:p w14:paraId="4FE91FA3" w14:textId="77777777" w:rsidR="00AC31A0" w:rsidRPr="00F62186" w:rsidRDefault="00AC31A0">
      <w:pPr>
        <w:pStyle w:val="FootnoteText"/>
        <w:rPr>
          <w:lang w:val="en-US"/>
        </w:rPr>
      </w:pPr>
      <w:r>
        <w:rPr>
          <w:rStyle w:val="FootnoteReference"/>
        </w:rPr>
        <w:footnoteRef/>
      </w:r>
      <w:r>
        <w:t xml:space="preserve"> CHMP/EWP/18504/2006</w:t>
      </w:r>
      <w:r w:rsidRPr="00777853">
        <w:t xml:space="preserve"> Guideline on the clinical development of products for specific immunotherapy for the treatment of allergic diseases” (EMEA 2008)</w:t>
      </w:r>
    </w:p>
  </w:footnote>
  <w:footnote w:id="72">
    <w:p w14:paraId="4FE91FA4" w14:textId="77777777" w:rsidR="00AC31A0" w:rsidRPr="00530C71" w:rsidRDefault="00AC31A0">
      <w:pPr>
        <w:pStyle w:val="FootnoteText"/>
        <w:rPr>
          <w:lang w:val="en-US"/>
        </w:rPr>
      </w:pPr>
      <w:r>
        <w:rPr>
          <w:rStyle w:val="FootnoteReference"/>
        </w:rPr>
        <w:footnoteRef/>
      </w:r>
      <w:r>
        <w:t xml:space="preserve"> </w:t>
      </w:r>
      <w:proofErr w:type="spellStart"/>
      <w:r>
        <w:rPr>
          <w:rFonts w:cs="Arial"/>
        </w:rPr>
        <w:t>IgE</w:t>
      </w:r>
      <w:proofErr w:type="spellEnd"/>
      <w:r>
        <w:rPr>
          <w:rFonts w:cs="Arial"/>
        </w:rPr>
        <w:t xml:space="preserve">-blocking antibodies/factor; </w:t>
      </w:r>
      <w:proofErr w:type="spellStart"/>
      <w:r>
        <w:rPr>
          <w:rFonts w:cs="Arial"/>
        </w:rPr>
        <w:t>IgX</w:t>
      </w:r>
      <w:proofErr w:type="spellEnd"/>
      <w:r>
        <w:rPr>
          <w:rFonts w:cs="Arial"/>
        </w:rPr>
        <w:t xml:space="preserve"> is the ratio between [allergen binding </w:t>
      </w:r>
      <w:proofErr w:type="spellStart"/>
      <w:r>
        <w:rPr>
          <w:rFonts w:cs="Arial"/>
        </w:rPr>
        <w:t>IgE</w:t>
      </w:r>
      <w:proofErr w:type="spellEnd"/>
      <w:r>
        <w:rPr>
          <w:rFonts w:cs="Arial"/>
        </w:rPr>
        <w:t xml:space="preserve">-activity in serum measured in the presence of other serum components] and [allergen binding </w:t>
      </w:r>
      <w:proofErr w:type="spellStart"/>
      <w:r>
        <w:rPr>
          <w:rFonts w:cs="Arial"/>
        </w:rPr>
        <w:t>IgE</w:t>
      </w:r>
      <w:proofErr w:type="spellEnd"/>
      <w:r>
        <w:rPr>
          <w:rFonts w:cs="Arial"/>
        </w:rPr>
        <w:t xml:space="preserve">- activity in serum measured in the absence of other serum components]. If no </w:t>
      </w:r>
      <w:proofErr w:type="spellStart"/>
      <w:r>
        <w:rPr>
          <w:rFonts w:cs="Arial"/>
        </w:rPr>
        <w:t>IgE</w:t>
      </w:r>
      <w:proofErr w:type="spellEnd"/>
      <w:r>
        <w:rPr>
          <w:rFonts w:cs="Arial"/>
        </w:rPr>
        <w:t xml:space="preserve">-blocking factor is induced the </w:t>
      </w:r>
      <w:proofErr w:type="spellStart"/>
      <w:r>
        <w:rPr>
          <w:rFonts w:cs="Arial"/>
        </w:rPr>
        <w:t>IgX</w:t>
      </w:r>
      <w:proofErr w:type="spellEnd"/>
      <w:r>
        <w:rPr>
          <w:rFonts w:cs="Arial"/>
        </w:rPr>
        <w:t xml:space="preserve"> value is close to 1, whereas the presence of </w:t>
      </w:r>
      <w:proofErr w:type="spellStart"/>
      <w:r>
        <w:rPr>
          <w:rFonts w:cs="Arial"/>
        </w:rPr>
        <w:t>IgE</w:t>
      </w:r>
      <w:proofErr w:type="spellEnd"/>
      <w:r>
        <w:rPr>
          <w:rFonts w:cs="Arial"/>
        </w:rPr>
        <w:t xml:space="preserve">-blocking factor will result in reduced </w:t>
      </w:r>
      <w:proofErr w:type="spellStart"/>
      <w:r>
        <w:rPr>
          <w:rFonts w:cs="Arial"/>
        </w:rPr>
        <w:t>IgX</w:t>
      </w:r>
      <w:proofErr w:type="spellEnd"/>
      <w:r>
        <w:rPr>
          <w:rFonts w:cs="Arial"/>
        </w:rPr>
        <w:t xml:space="preserve"> values. The assay is termed </w:t>
      </w:r>
      <w:proofErr w:type="spellStart"/>
      <w:r>
        <w:rPr>
          <w:rFonts w:cs="Arial"/>
        </w:rPr>
        <w:t>IgX</w:t>
      </w:r>
      <w:proofErr w:type="spellEnd"/>
      <w:r>
        <w:rPr>
          <w:rFonts w:cs="Arial"/>
        </w:rPr>
        <w:t xml:space="preserve"> since the isotype specificity of the competing components is not determined.</w:t>
      </w:r>
    </w:p>
  </w:footnote>
  <w:footnote w:id="73">
    <w:p w14:paraId="4FE91FA5" w14:textId="77777777" w:rsidR="00AC31A0" w:rsidRPr="001F358B" w:rsidRDefault="00AC31A0" w:rsidP="001F358B">
      <w:pPr>
        <w:pStyle w:val="FootnoteText"/>
      </w:pPr>
      <w:r>
        <w:rPr>
          <w:rStyle w:val="FootnoteReference"/>
        </w:rPr>
        <w:footnoteRef/>
      </w:r>
      <w:r>
        <w:t xml:space="preserve"> Routine risk minimisation activities may be limited to ensuring that suitable warnings are included in the product information or by careful use of labelling and packaging.</w:t>
      </w:r>
    </w:p>
  </w:footnote>
  <w:footnote w:id="74">
    <w:p w14:paraId="4FE91FA6" w14:textId="77777777" w:rsidR="00AC31A0" w:rsidRDefault="00AC31A0" w:rsidP="001F358B">
      <w:pPr>
        <w:pStyle w:val="FootnoteText"/>
      </w:pPr>
      <w:r>
        <w:rPr>
          <w:rStyle w:val="FootnoteReference"/>
        </w:rPr>
        <w:footnoteRef/>
      </w:r>
      <w:r>
        <w:t xml:space="preserve"> </w:t>
      </w:r>
      <w:r>
        <w:rPr>
          <w:lang w:val="en-US"/>
        </w:rPr>
        <w:t>Routine pharmacovigilance practices involve the following activities:</w:t>
      </w:r>
    </w:p>
    <w:p w14:paraId="4FE91FA7" w14:textId="77777777" w:rsidR="00AC31A0" w:rsidRPr="001F358B" w:rsidRDefault="00AC31A0" w:rsidP="001F358B">
      <w:pPr>
        <w:pStyle w:val="ListBullet"/>
        <w:spacing w:before="0" w:after="0"/>
        <w:ind w:left="357" w:hanging="357"/>
        <w:rPr>
          <w:sz w:val="18"/>
          <w:szCs w:val="18"/>
        </w:rPr>
      </w:pPr>
      <w:r w:rsidRPr="001F358B">
        <w:rPr>
          <w:sz w:val="18"/>
          <w:szCs w:val="18"/>
          <w:lang w:val="en-US"/>
        </w:rPr>
        <w:t>All suspected adverse reactions that are reported to the personnel of the company are collected and collated in an accessible manner;</w:t>
      </w:r>
    </w:p>
    <w:p w14:paraId="4FE91FA8" w14:textId="77777777" w:rsidR="00AC31A0" w:rsidRPr="001F358B" w:rsidRDefault="00AC31A0" w:rsidP="001F358B">
      <w:pPr>
        <w:pStyle w:val="ListBullet"/>
        <w:spacing w:before="0" w:after="0"/>
        <w:ind w:left="357" w:hanging="357"/>
        <w:rPr>
          <w:sz w:val="18"/>
          <w:szCs w:val="18"/>
        </w:rPr>
      </w:pPr>
      <w:r w:rsidRPr="001F358B">
        <w:rPr>
          <w:sz w:val="18"/>
          <w:szCs w:val="18"/>
          <w:lang w:val="en-US"/>
        </w:rPr>
        <w:t>Reporting to regulatory authorities;</w:t>
      </w:r>
    </w:p>
    <w:p w14:paraId="4FE91FA9" w14:textId="77777777" w:rsidR="00AC31A0" w:rsidRPr="001F358B" w:rsidRDefault="00AC31A0" w:rsidP="001F358B">
      <w:pPr>
        <w:pStyle w:val="ListBullet"/>
        <w:spacing w:before="0" w:after="0"/>
        <w:ind w:left="357" w:hanging="357"/>
        <w:rPr>
          <w:sz w:val="18"/>
          <w:szCs w:val="18"/>
        </w:rPr>
      </w:pPr>
      <w:r w:rsidRPr="001F358B">
        <w:rPr>
          <w:sz w:val="18"/>
          <w:szCs w:val="18"/>
          <w:lang w:val="en-US"/>
        </w:rPr>
        <w:t>Continuous monitoring of the safety profiles of approved products including signal detection and updating of labeling;</w:t>
      </w:r>
    </w:p>
    <w:p w14:paraId="4FE91FAA" w14:textId="77777777" w:rsidR="00AC31A0" w:rsidRPr="001F358B" w:rsidRDefault="00AC31A0" w:rsidP="001F358B">
      <w:pPr>
        <w:pStyle w:val="ListBullet"/>
        <w:spacing w:before="0" w:after="0"/>
        <w:ind w:left="357" w:hanging="357"/>
        <w:rPr>
          <w:sz w:val="18"/>
          <w:szCs w:val="18"/>
        </w:rPr>
      </w:pPr>
      <w:r w:rsidRPr="001F358B">
        <w:rPr>
          <w:sz w:val="18"/>
          <w:szCs w:val="18"/>
          <w:lang w:val="en-US"/>
        </w:rPr>
        <w:t>Submission of PSURs;</w:t>
      </w:r>
    </w:p>
    <w:p w14:paraId="4FE91FAB" w14:textId="77777777" w:rsidR="00AC31A0" w:rsidRPr="001F358B" w:rsidRDefault="00AC31A0" w:rsidP="001F358B">
      <w:pPr>
        <w:pStyle w:val="ListBullet"/>
        <w:spacing w:before="0" w:after="0"/>
        <w:ind w:left="357" w:hanging="357"/>
        <w:rPr>
          <w:sz w:val="18"/>
          <w:szCs w:val="18"/>
        </w:rPr>
      </w:pPr>
      <w:r w:rsidRPr="001F358B">
        <w:rPr>
          <w:sz w:val="18"/>
          <w:szCs w:val="18"/>
          <w:lang w:val="en-US"/>
        </w:rPr>
        <w:t>Meeting other local regulatory agency requirements.</w:t>
      </w:r>
    </w:p>
  </w:footnote>
  <w:footnote w:id="75">
    <w:p w14:paraId="7DD3CE48" w14:textId="3EDB4859" w:rsidR="00AC31A0" w:rsidRPr="008F16EA" w:rsidRDefault="00AC31A0" w:rsidP="009E06D6">
      <w:r>
        <w:rPr>
          <w:rStyle w:val="FootnoteReference"/>
        </w:rPr>
        <w:footnoteRef/>
      </w:r>
      <w:r>
        <w:t xml:space="preserve"> </w:t>
      </w:r>
      <w:r w:rsidRPr="009E06D6">
        <w:rPr>
          <w:rStyle w:val="FootnoteTextChar"/>
        </w:rPr>
        <w:t>Clarification: The Sponsor indicated that copies of all PSURs are available upon request; however copies have not been requested.</w:t>
      </w:r>
    </w:p>
  </w:footnote>
  <w:footnote w:id="76">
    <w:p w14:paraId="4FE91FAC" w14:textId="77777777" w:rsidR="00AC31A0" w:rsidRPr="004C74AA" w:rsidRDefault="00AC31A0">
      <w:pPr>
        <w:pStyle w:val="FootnoteText"/>
        <w:rPr>
          <w:lang w:val="en-US"/>
        </w:rPr>
      </w:pPr>
      <w:r>
        <w:rPr>
          <w:rStyle w:val="FootnoteReference"/>
        </w:rPr>
        <w:footnoteRef/>
      </w:r>
      <w:r w:rsidRPr="006C0963">
        <w:rPr>
          <w:lang w:val="it-IT"/>
        </w:rPr>
        <w:t xml:space="preserve"> Simon, B.K. &amp; Alfonso, Y. 2011. </w:t>
      </w:r>
      <w:r w:rsidRPr="00F00957">
        <w:t>AusGrass2, http://ausgrass2.myspecies.info</w:t>
      </w:r>
      <w:r>
        <w:t>/ accessed on 10 February 2016.</w:t>
      </w:r>
    </w:p>
  </w:footnote>
  <w:footnote w:id="77">
    <w:p w14:paraId="4FE91FAD" w14:textId="77777777" w:rsidR="00AC31A0" w:rsidRPr="00A8025F" w:rsidRDefault="00AC31A0">
      <w:pPr>
        <w:pStyle w:val="FootnoteText"/>
        <w:rPr>
          <w:lang w:val="en-US"/>
        </w:rPr>
      </w:pPr>
      <w:r>
        <w:rPr>
          <w:rStyle w:val="FootnoteReference"/>
        </w:rPr>
        <w:footnoteRef/>
      </w:r>
      <w:r>
        <w:t xml:space="preserve"> </w:t>
      </w:r>
      <w:r w:rsidRPr="00A8025F">
        <w:t>The FDA approved tradename for this product is Grastek. The EU approved name is Grazax. Both products are the same.</w:t>
      </w:r>
    </w:p>
  </w:footnote>
  <w:footnote w:id="78">
    <w:p w14:paraId="4FE91FAE" w14:textId="77777777" w:rsidR="00AC31A0" w:rsidRPr="00A8025F" w:rsidRDefault="00AC31A0">
      <w:pPr>
        <w:pStyle w:val="FootnoteText"/>
        <w:rPr>
          <w:lang w:val="en-US"/>
        </w:rPr>
      </w:pPr>
      <w:r>
        <w:rPr>
          <w:rStyle w:val="FootnoteReference"/>
        </w:rPr>
        <w:footnoteRef/>
      </w:r>
      <w:r>
        <w:t xml:space="preserve"> </w:t>
      </w:r>
      <w:r w:rsidRPr="00A8025F">
        <w:t xml:space="preserve">Lorenz AR et al. </w:t>
      </w:r>
      <w:proofErr w:type="gramStart"/>
      <w:r w:rsidRPr="00A8025F">
        <w:t>The principle of homologous groups in regulatory affairs of allergen products--a proposal.</w:t>
      </w:r>
      <w:proofErr w:type="gramEnd"/>
      <w:r w:rsidRPr="00A8025F">
        <w:t xml:space="preserve"> </w:t>
      </w:r>
      <w:proofErr w:type="spellStart"/>
      <w:proofErr w:type="gramStart"/>
      <w:r w:rsidRPr="00A8025F">
        <w:rPr>
          <w:i/>
        </w:rPr>
        <w:t>Int</w:t>
      </w:r>
      <w:proofErr w:type="spellEnd"/>
      <w:r w:rsidRPr="00A8025F">
        <w:rPr>
          <w:i/>
        </w:rPr>
        <w:t xml:space="preserve"> Arch Allergy </w:t>
      </w:r>
      <w:proofErr w:type="spellStart"/>
      <w:r w:rsidRPr="00A8025F">
        <w:rPr>
          <w:i/>
        </w:rPr>
        <w:t>Immunol</w:t>
      </w:r>
      <w:proofErr w:type="spellEnd"/>
      <w:r w:rsidRPr="00A8025F">
        <w:t>.</w:t>
      </w:r>
      <w:proofErr w:type="gramEnd"/>
      <w:r w:rsidRPr="00A8025F">
        <w:t xml:space="preserve"> </w:t>
      </w:r>
      <w:proofErr w:type="gramStart"/>
      <w:r w:rsidRPr="00A8025F">
        <w:t>2009;</w:t>
      </w:r>
      <w:r>
        <w:t xml:space="preserve"> 148</w:t>
      </w:r>
      <w:r w:rsidRPr="00A8025F">
        <w:t>:</w:t>
      </w:r>
      <w:r>
        <w:t xml:space="preserve"> </w:t>
      </w:r>
      <w:r w:rsidRPr="00A8025F">
        <w:t>1-17.</w:t>
      </w:r>
      <w:proofErr w:type="gramEnd"/>
    </w:p>
  </w:footnote>
  <w:footnote w:id="79">
    <w:p w14:paraId="4FE91FAF" w14:textId="77777777" w:rsidR="00AC31A0" w:rsidRPr="00A8025F" w:rsidRDefault="00AC31A0" w:rsidP="00A8025F">
      <w:pPr>
        <w:pStyle w:val="FootnoteText"/>
      </w:pPr>
      <w:r>
        <w:rPr>
          <w:rStyle w:val="FootnoteReference"/>
        </w:rPr>
        <w:footnoteRef/>
      </w:r>
      <w:r>
        <w:t xml:space="preserve">Johansen N, et al. Extensive </w:t>
      </w:r>
      <w:proofErr w:type="spellStart"/>
      <w:r>
        <w:t>IgE</w:t>
      </w:r>
      <w:proofErr w:type="spellEnd"/>
      <w:r>
        <w:t xml:space="preserve"> Cross-Reactivity towards the </w:t>
      </w:r>
      <w:proofErr w:type="spellStart"/>
      <w:r>
        <w:t>Pooideae</w:t>
      </w:r>
      <w:proofErr w:type="spellEnd"/>
      <w:r>
        <w:t xml:space="preserve"> Grasses Substantiated for a Large Number of Grass-Pollen-Sensitized Subjects. </w:t>
      </w:r>
      <w:proofErr w:type="spellStart"/>
      <w:r w:rsidRPr="00A8025F">
        <w:rPr>
          <w:i/>
        </w:rPr>
        <w:t>Int</w:t>
      </w:r>
      <w:proofErr w:type="spellEnd"/>
      <w:r w:rsidRPr="00A8025F">
        <w:rPr>
          <w:i/>
        </w:rPr>
        <w:t xml:space="preserve"> Arch Allergy </w:t>
      </w:r>
      <w:proofErr w:type="spellStart"/>
      <w:r w:rsidRPr="00A8025F">
        <w:rPr>
          <w:i/>
        </w:rPr>
        <w:t>Immunol</w:t>
      </w:r>
      <w:proofErr w:type="spellEnd"/>
      <w:r>
        <w:t xml:space="preserve"> 2009; 150: 325–334.</w:t>
      </w:r>
    </w:p>
  </w:footnote>
  <w:footnote w:id="80">
    <w:p w14:paraId="4FE91FB0" w14:textId="77777777" w:rsidR="00AC31A0" w:rsidRPr="000F4578" w:rsidRDefault="00AC31A0">
      <w:pPr>
        <w:pStyle w:val="FootnoteText"/>
        <w:rPr>
          <w:lang w:val="en-US"/>
        </w:rPr>
      </w:pPr>
      <w:r>
        <w:rPr>
          <w:rStyle w:val="FootnoteReference"/>
        </w:rPr>
        <w:footnoteRef/>
      </w:r>
      <w:r>
        <w:t xml:space="preserve"> </w:t>
      </w:r>
      <w:proofErr w:type="spellStart"/>
      <w:r>
        <w:t>Hejl</w:t>
      </w:r>
      <w:proofErr w:type="spellEnd"/>
      <w:r>
        <w:t xml:space="preserve"> C, et al. </w:t>
      </w:r>
      <w:r w:rsidRPr="00A8025F">
        <w:rPr>
          <w:i/>
        </w:rPr>
        <w:t>Phleum pratense</w:t>
      </w:r>
      <w:r>
        <w:t xml:space="preserve"> alone is sufficient for allergen specific immunotherapy against allergy to </w:t>
      </w:r>
      <w:proofErr w:type="spellStart"/>
      <w:r>
        <w:t>Pooideae</w:t>
      </w:r>
      <w:proofErr w:type="spellEnd"/>
      <w:r>
        <w:t xml:space="preserve"> grass pollen. </w:t>
      </w:r>
      <w:proofErr w:type="spellStart"/>
      <w:r w:rsidRPr="00A8025F">
        <w:rPr>
          <w:i/>
        </w:rPr>
        <w:t>Clin</w:t>
      </w:r>
      <w:proofErr w:type="spellEnd"/>
      <w:r w:rsidRPr="00A8025F">
        <w:rPr>
          <w:i/>
        </w:rPr>
        <w:t xml:space="preserve"> </w:t>
      </w:r>
      <w:proofErr w:type="spellStart"/>
      <w:r w:rsidRPr="00A8025F">
        <w:rPr>
          <w:i/>
        </w:rPr>
        <w:t>Exp</w:t>
      </w:r>
      <w:proofErr w:type="spellEnd"/>
      <w:r w:rsidRPr="00A8025F">
        <w:rPr>
          <w:i/>
        </w:rPr>
        <w:t xml:space="preserve"> Allergy</w:t>
      </w:r>
      <w:r>
        <w:t xml:space="preserve"> 2009; 39: 752–759.</w:t>
      </w:r>
    </w:p>
  </w:footnote>
  <w:footnote w:id="81">
    <w:p w14:paraId="4FE91FB1" w14:textId="77777777" w:rsidR="00AC31A0" w:rsidRPr="00A8025F" w:rsidRDefault="00AC31A0" w:rsidP="00A8025F">
      <w:pPr>
        <w:pStyle w:val="FootnoteText"/>
      </w:pPr>
      <w:r w:rsidRPr="00400058">
        <w:rPr>
          <w:rStyle w:val="FootnoteReference"/>
        </w:rPr>
        <w:footnoteRef/>
      </w:r>
      <w:r w:rsidRPr="00400058">
        <w:t xml:space="preserve"> </w:t>
      </w:r>
      <w:proofErr w:type="spellStart"/>
      <w:r w:rsidRPr="00400058">
        <w:t>Bousquet</w:t>
      </w:r>
      <w:proofErr w:type="spellEnd"/>
      <w:r w:rsidRPr="00400058">
        <w:t xml:space="preserve"> PJ, et al. Sublingual immunotherapy: World allergy organization position paper 2009. </w:t>
      </w:r>
      <w:r w:rsidRPr="00400058">
        <w:rPr>
          <w:i/>
        </w:rPr>
        <w:t xml:space="preserve">Allergy </w:t>
      </w:r>
      <w:r w:rsidRPr="00400058">
        <w:t xml:space="preserve">2009; </w:t>
      </w:r>
      <w:proofErr w:type="gramStart"/>
      <w:r w:rsidRPr="00400058">
        <w:t>64 :</w:t>
      </w:r>
      <w:proofErr w:type="gramEnd"/>
      <w:r w:rsidRPr="00400058">
        <w:t>1-59.</w:t>
      </w:r>
    </w:p>
  </w:footnote>
  <w:footnote w:id="82">
    <w:p w14:paraId="4FE91FB2" w14:textId="77777777" w:rsidR="00AC31A0" w:rsidRPr="0095347A" w:rsidRDefault="00AC31A0" w:rsidP="0095347A">
      <w:pPr>
        <w:pStyle w:val="FootnoteText"/>
      </w:pPr>
      <w:r>
        <w:rPr>
          <w:rStyle w:val="FootnoteReference"/>
        </w:rPr>
        <w:footnoteRef/>
      </w:r>
      <w:r w:rsidRPr="0095347A">
        <w:t>http://www.fda.gov/downloads/AdvisoryCommittees/CommitteesMeetingMaterials/BloodVaccinesandOtherBiologics/AllergenicProductsAdvisoryCommittee/UCM37</w:t>
      </w:r>
      <w:r>
        <w:t xml:space="preserve"> 8093.pdf, Table 13, p65</w:t>
      </w:r>
    </w:p>
  </w:footnote>
  <w:footnote w:id="83">
    <w:p w14:paraId="4FE91FB3" w14:textId="77777777" w:rsidR="00AC31A0" w:rsidRPr="0095347A" w:rsidRDefault="00AC31A0" w:rsidP="0095347A">
      <w:pPr>
        <w:pStyle w:val="FootnoteText"/>
      </w:pPr>
      <w:r>
        <w:rPr>
          <w:rStyle w:val="FootnoteReference"/>
        </w:rPr>
        <w:footnoteRef/>
      </w:r>
      <w:r>
        <w:t xml:space="preserve"> </w:t>
      </w:r>
      <w:proofErr w:type="spellStart"/>
      <w:r>
        <w:t>Bousquet</w:t>
      </w:r>
      <w:proofErr w:type="spellEnd"/>
      <w:r>
        <w:t xml:space="preserve"> PJ, Cox LS, Durham SR, Nelson HS, </w:t>
      </w:r>
      <w:proofErr w:type="spellStart"/>
      <w:r>
        <w:t>Passalacqua</w:t>
      </w:r>
      <w:proofErr w:type="spellEnd"/>
      <w:r>
        <w:t xml:space="preserve"> G, Ryan DP, et al. Sublingual immunotherapy: World allergy organization position paper 2009. Allergy 2009</w:t>
      </w:r>
      <w:proofErr w:type="gramStart"/>
      <w:r>
        <w:t>;64</w:t>
      </w:r>
      <w:proofErr w:type="gramEnd"/>
      <w:r>
        <w:t>(</w:t>
      </w:r>
      <w:proofErr w:type="spellStart"/>
      <w:r>
        <w:t>Suppl</w:t>
      </w:r>
      <w:proofErr w:type="spellEnd"/>
      <w:r>
        <w:t xml:space="preserve"> 91):1-59.</w:t>
      </w:r>
    </w:p>
  </w:footnote>
  <w:footnote w:id="84">
    <w:p w14:paraId="4FE91FB4" w14:textId="77777777" w:rsidR="00AC31A0" w:rsidRPr="0095347A" w:rsidRDefault="00AC31A0" w:rsidP="0095347A">
      <w:pPr>
        <w:pStyle w:val="FootnoteText"/>
      </w:pPr>
      <w:r w:rsidRPr="0095347A">
        <w:rPr>
          <w:rStyle w:val="FootnoteReference"/>
        </w:rPr>
        <w:footnoteRef/>
      </w:r>
      <w:r w:rsidRPr="0095347A">
        <w:rPr>
          <w:vertAlign w:val="superscript"/>
        </w:rPr>
        <w:t xml:space="preserve"> </w:t>
      </w:r>
      <w:r w:rsidRPr="0095347A">
        <w:t>CHMP/EWP/18504/2006; The Clinical Development Of Products For Specific Immunotherapy For The Treatment Of Allergic Disease (effective Jun 2009)</w:t>
      </w:r>
    </w:p>
  </w:footnote>
  <w:footnote w:id="85">
    <w:p w14:paraId="4FE91FB5" w14:textId="77777777" w:rsidR="00AC31A0" w:rsidRPr="00ED78B9" w:rsidRDefault="00AC31A0" w:rsidP="00ED78B9">
      <w:pPr>
        <w:pStyle w:val="FootnoteText"/>
      </w:pPr>
      <w:r>
        <w:rPr>
          <w:rStyle w:val="FootnoteReference"/>
        </w:rPr>
        <w:footnoteRef/>
      </w:r>
      <w:r>
        <w:t xml:space="preserve"> </w:t>
      </w:r>
      <w:proofErr w:type="spellStart"/>
      <w:r>
        <w:t>Bousquet</w:t>
      </w:r>
      <w:proofErr w:type="gramStart"/>
      <w:r>
        <w:t>,J</w:t>
      </w:r>
      <w:proofErr w:type="spellEnd"/>
      <w:proofErr w:type="gramEnd"/>
      <w:r>
        <w:t>., et al. 2008. Allergic Rhinitis and its Impact on Asthma (ARIA) 2008 update (in collaboration with the World Health Organization, GA</w:t>
      </w:r>
      <w:r>
        <w:rPr>
          <w:sz w:val="9"/>
          <w:szCs w:val="9"/>
        </w:rPr>
        <w:t>2</w:t>
      </w:r>
      <w:r>
        <w:t xml:space="preserve">LEN and </w:t>
      </w:r>
      <w:proofErr w:type="spellStart"/>
      <w:r>
        <w:t>AllerGen</w:t>
      </w:r>
      <w:proofErr w:type="spellEnd"/>
      <w:r>
        <w:t xml:space="preserve">). Allergy, 63 </w:t>
      </w:r>
      <w:proofErr w:type="spellStart"/>
      <w:r>
        <w:t>Suppl</w:t>
      </w:r>
      <w:proofErr w:type="spellEnd"/>
      <w:r>
        <w:t xml:space="preserve"> 86, 8-160</w:t>
      </w:r>
    </w:p>
  </w:footnote>
  <w:footnote w:id="86">
    <w:p w14:paraId="4FE91FB6" w14:textId="77777777" w:rsidR="00AC31A0" w:rsidRPr="00ED78B9" w:rsidRDefault="00AC31A0" w:rsidP="00ED78B9">
      <w:pPr>
        <w:pStyle w:val="FootnoteText"/>
      </w:pPr>
      <w:r w:rsidRPr="00ED78B9">
        <w:rPr>
          <w:rStyle w:val="FootnoteReference"/>
          <w:vertAlign w:val="baseline"/>
        </w:rPr>
        <w:footnoteRef/>
      </w:r>
      <w:r w:rsidRPr="00ED78B9">
        <w:t xml:space="preserve"> See Module 5.3.5.1 , CSR Trial GT-08 Year 5-Final Report, Section 9.2, Panel 9-5, p79 and Section 9.4.1, Panel 9-11, p83</w:t>
      </w:r>
    </w:p>
  </w:footnote>
  <w:footnote w:id="87">
    <w:p w14:paraId="4FE91FB7" w14:textId="77777777" w:rsidR="00AC31A0" w:rsidRPr="00404839" w:rsidRDefault="00AC31A0">
      <w:pPr>
        <w:pStyle w:val="FootnoteText"/>
      </w:pPr>
      <w:r>
        <w:rPr>
          <w:rStyle w:val="FootnoteReference"/>
        </w:rPr>
        <w:footnoteRef/>
      </w:r>
      <w:r>
        <w:t xml:space="preserve"> </w:t>
      </w:r>
      <w:r w:rsidRPr="00404839">
        <w:t>http://keyserver.lucidcentral.org/weeds/data/03030800-0b07-490a-8d04-0605030c0f01/media/Html/Phleum_pratense.htm</w:t>
      </w:r>
    </w:p>
  </w:footnote>
  <w:footnote w:id="88">
    <w:p w14:paraId="4FE91FB8" w14:textId="20009E80" w:rsidR="00AC31A0" w:rsidRPr="00404839" w:rsidRDefault="00AC31A0">
      <w:pPr>
        <w:pStyle w:val="FootnoteText"/>
        <w:rPr>
          <w:lang w:val="en-US"/>
        </w:rPr>
      </w:pPr>
      <w:r>
        <w:rPr>
          <w:rStyle w:val="FootnoteReference"/>
        </w:rPr>
        <w:footnoteRef/>
      </w:r>
      <w:r>
        <w:t xml:space="preserve"> </w:t>
      </w:r>
      <w:r w:rsidRPr="00404839">
        <w:t xml:space="preserve">The </w:t>
      </w:r>
      <w:proofErr w:type="spellStart"/>
      <w:r w:rsidRPr="00404839">
        <w:t>Austral</w:t>
      </w:r>
      <w:r>
        <w:t>efficacy</w:t>
      </w:r>
      <w:proofErr w:type="spellEnd"/>
      <w:r w:rsidRPr="00404839">
        <w:t xml:space="preserve"> Society of Clinical Immunology and Allergy (ASCIA), the peak professional medical organisation for allergy and clinical immunology in AU and NZ</w:t>
      </w:r>
    </w:p>
  </w:footnote>
  <w:footnote w:id="89">
    <w:p w14:paraId="4FE91FB9" w14:textId="77777777" w:rsidR="00AC31A0" w:rsidRPr="00404839" w:rsidRDefault="00AC31A0" w:rsidP="00404839">
      <w:pPr>
        <w:pStyle w:val="FootnoteText"/>
      </w:pPr>
      <w:r w:rsidRPr="00404839">
        <w:rPr>
          <w:rStyle w:val="FootnoteReference"/>
          <w:vertAlign w:val="baseline"/>
        </w:rPr>
        <w:footnoteRef/>
      </w:r>
      <w:r w:rsidRPr="00404839">
        <w:t xml:space="preserve"> http://www.allergy.org.au/patients/allergic-rhinitis-hay-fever-and-sinusitis/guide-to-common-allergenic-pollen/273-timothy-grass</w:t>
      </w:r>
      <w:r>
        <w:t xml:space="preserve"> </w:t>
      </w:r>
    </w:p>
  </w:footnote>
  <w:footnote w:id="90">
    <w:p w14:paraId="4FE91FBA" w14:textId="77777777" w:rsidR="00AC31A0" w:rsidRPr="00E81F6A" w:rsidRDefault="00AC31A0" w:rsidP="00E81F6A">
      <w:pPr>
        <w:pStyle w:val="FootnoteText"/>
      </w:pPr>
      <w:r>
        <w:rPr>
          <w:rStyle w:val="FootnoteReference"/>
        </w:rPr>
        <w:footnoteRef/>
      </w:r>
      <w:r>
        <w:t xml:space="preserve"> </w:t>
      </w:r>
      <w:proofErr w:type="spellStart"/>
      <w:r>
        <w:t>Canonica</w:t>
      </w:r>
      <w:proofErr w:type="spellEnd"/>
      <w:r>
        <w:t xml:space="preserve"> GW, et al. Recommendations for standardization of clinical trials with Allergen Specific Immunotherapy for respiratory allergy. </w:t>
      </w:r>
      <w:proofErr w:type="gramStart"/>
      <w:r>
        <w:t>A Statement of a World Allergy Organization (WAO) taskforce.</w:t>
      </w:r>
      <w:proofErr w:type="gramEnd"/>
      <w:r>
        <w:t xml:space="preserve"> </w:t>
      </w:r>
      <w:r w:rsidRPr="00E81F6A">
        <w:rPr>
          <w:i/>
        </w:rPr>
        <w:t>Allergy</w:t>
      </w:r>
      <w:r>
        <w:t xml:space="preserve"> 2007;62:317–324, p322</w:t>
      </w:r>
    </w:p>
  </w:footnote>
  <w:footnote w:id="91">
    <w:p w14:paraId="4FE91FBB" w14:textId="77777777" w:rsidR="00AC31A0" w:rsidRPr="00E81F6A" w:rsidRDefault="00AC31A0" w:rsidP="00E81F6A">
      <w:pPr>
        <w:pStyle w:val="FootnoteText"/>
      </w:pPr>
      <w:r>
        <w:rPr>
          <w:rStyle w:val="FootnoteReference"/>
        </w:rPr>
        <w:footnoteRef/>
      </w:r>
      <w:r>
        <w:t xml:space="preserve"> Clark J, </w:t>
      </w:r>
      <w:proofErr w:type="spellStart"/>
      <w:r>
        <w:t>Schall</w:t>
      </w:r>
      <w:proofErr w:type="spellEnd"/>
      <w:r>
        <w:t xml:space="preserve"> R. Assessment of combined symptom and medication scores for </w:t>
      </w:r>
      <w:proofErr w:type="spellStart"/>
      <w:r>
        <w:t>rhinoconjuncitivits</w:t>
      </w:r>
      <w:proofErr w:type="spellEnd"/>
      <w:r>
        <w:t xml:space="preserve"> immunotherapy clinical trials, </w:t>
      </w:r>
      <w:r w:rsidRPr="00E81F6A">
        <w:rPr>
          <w:i/>
        </w:rPr>
        <w:t>Allergy</w:t>
      </w:r>
      <w:r>
        <w:t xml:space="preserve"> 2007: 62: 1023-1028, p1023</w:t>
      </w:r>
    </w:p>
  </w:footnote>
  <w:footnote w:id="92">
    <w:p w14:paraId="4FE91FBC" w14:textId="77777777" w:rsidR="00AC31A0" w:rsidRPr="00E81F6A" w:rsidRDefault="00AC31A0" w:rsidP="00E81F6A">
      <w:pPr>
        <w:pStyle w:val="FootnoteText"/>
      </w:pPr>
      <w:r w:rsidRPr="00E81F6A">
        <w:rPr>
          <w:rStyle w:val="FootnoteReference"/>
          <w:vertAlign w:val="baseline"/>
        </w:rPr>
        <w:footnoteRef/>
      </w:r>
      <w:r w:rsidRPr="00E81F6A">
        <w:t xml:space="preserve"> Mailing HJ, Sublingual immunotherapy: efficacy – methodology and outcome of clinical trials, </w:t>
      </w:r>
      <w:r w:rsidRPr="00E81F6A">
        <w:rPr>
          <w:i/>
        </w:rPr>
        <w:t>Allergy</w:t>
      </w:r>
      <w:r w:rsidRPr="00E81F6A">
        <w:t xml:space="preserve"> 2006: 61: 24-28, p24</w:t>
      </w:r>
    </w:p>
  </w:footnote>
  <w:footnote w:id="93">
    <w:p w14:paraId="4FE91FBD" w14:textId="77777777" w:rsidR="00AC31A0" w:rsidRPr="00E81F6A" w:rsidRDefault="00AC31A0" w:rsidP="00E81F6A">
      <w:pPr>
        <w:pStyle w:val="FootnoteText"/>
      </w:pPr>
      <w:r>
        <w:rPr>
          <w:rStyle w:val="FootnoteReference"/>
        </w:rPr>
        <w:footnoteRef/>
      </w:r>
      <w:r>
        <w:t xml:space="preserve"> Durham SR, et al Magnitude of efficacy measurements in grass allergy immunotherapy trials is highly dependent on pollen exposure. </w:t>
      </w:r>
      <w:r w:rsidRPr="00E81F6A">
        <w:rPr>
          <w:i/>
        </w:rPr>
        <w:t>Allergy</w:t>
      </w:r>
      <w:r>
        <w:t xml:space="preserve"> 2014; DOI: 10.1111/all.12373, p1,6</w:t>
      </w:r>
    </w:p>
  </w:footnote>
  <w:footnote w:id="94">
    <w:p w14:paraId="4FE91FBE" w14:textId="77777777" w:rsidR="00AC31A0" w:rsidRPr="00E81F6A" w:rsidRDefault="00AC31A0">
      <w:pPr>
        <w:pStyle w:val="FootnoteText"/>
        <w:rPr>
          <w:lang w:val="en-US"/>
        </w:rPr>
      </w:pPr>
      <w:r>
        <w:rPr>
          <w:rStyle w:val="FootnoteReference"/>
        </w:rPr>
        <w:footnoteRef/>
      </w:r>
      <w:r>
        <w:t xml:space="preserve"> </w:t>
      </w:r>
      <w:r w:rsidRPr="00E81F6A">
        <w:t>Grazax dossier, Module 2.5, section 2.5.4.4.3, p32</w:t>
      </w:r>
    </w:p>
  </w:footnote>
  <w:footnote w:id="95">
    <w:p w14:paraId="4FE91FBF" w14:textId="77777777" w:rsidR="00AC31A0" w:rsidRPr="00E81F6A" w:rsidRDefault="00AC31A0" w:rsidP="00E81F6A">
      <w:pPr>
        <w:autoSpaceDE w:val="0"/>
        <w:autoSpaceDN w:val="0"/>
        <w:adjustRightInd w:val="0"/>
        <w:spacing w:before="0" w:after="0" w:line="240" w:lineRule="auto"/>
        <w:rPr>
          <w:rStyle w:val="FootnoteTextChar"/>
        </w:rPr>
      </w:pPr>
      <w:r>
        <w:rPr>
          <w:rStyle w:val="FootnoteReference"/>
        </w:rPr>
        <w:footnoteRef/>
      </w:r>
      <w:r>
        <w:t xml:space="preserve"> </w:t>
      </w:r>
      <w:proofErr w:type="gramStart"/>
      <w:r w:rsidRPr="00E81F6A">
        <w:rPr>
          <w:rStyle w:val="FootnoteTextChar"/>
        </w:rPr>
        <w:t>European Medicines Agency, Committee for Medicinal Products for Human Use (CHMP).</w:t>
      </w:r>
      <w:proofErr w:type="gramEnd"/>
      <w:r w:rsidRPr="00E81F6A">
        <w:rPr>
          <w:rStyle w:val="FootnoteTextChar"/>
        </w:rPr>
        <w:t xml:space="preserve"> Guideline on the clinical development of products for specific immunotherapy for the treatment of allergic diseases EMEA/CHMP/EWP/18504/2006, Nov-2008 (effective Jun 2009), p9</w:t>
      </w:r>
    </w:p>
  </w:footnote>
  <w:footnote w:id="96">
    <w:p w14:paraId="4FE91FC0" w14:textId="77777777" w:rsidR="00AC31A0" w:rsidRPr="00E81F6A" w:rsidRDefault="00AC31A0" w:rsidP="00E81F6A">
      <w:pPr>
        <w:autoSpaceDE w:val="0"/>
        <w:autoSpaceDN w:val="0"/>
        <w:adjustRightInd w:val="0"/>
        <w:spacing w:before="0" w:after="0" w:line="240" w:lineRule="auto"/>
        <w:rPr>
          <w:rStyle w:val="FootnoteTextChar"/>
        </w:rPr>
      </w:pPr>
      <w:r>
        <w:rPr>
          <w:rStyle w:val="FootnoteReference"/>
        </w:rPr>
        <w:footnoteRef/>
      </w:r>
      <w:r>
        <w:t xml:space="preserve"> </w:t>
      </w:r>
      <w:proofErr w:type="spellStart"/>
      <w:r w:rsidRPr="00E81F6A">
        <w:rPr>
          <w:rStyle w:val="FootnoteTextChar"/>
        </w:rPr>
        <w:t>Canonica</w:t>
      </w:r>
      <w:proofErr w:type="spellEnd"/>
      <w:r w:rsidRPr="00E81F6A">
        <w:rPr>
          <w:rStyle w:val="FootnoteTextChar"/>
        </w:rPr>
        <w:t xml:space="preserve"> GW et al., Sublingual immunotherapy: World Allergy Organization position paper 2013 update. </w:t>
      </w:r>
      <w:r w:rsidRPr="00D31706">
        <w:rPr>
          <w:rStyle w:val="FootnoteTextChar"/>
          <w:i/>
        </w:rPr>
        <w:t>World Allergy Organization Journal</w:t>
      </w:r>
      <w:r w:rsidRPr="00E81F6A">
        <w:rPr>
          <w:rStyle w:val="FootnoteTextChar"/>
        </w:rPr>
        <w:t xml:space="preserve"> 2014, p31</w:t>
      </w:r>
    </w:p>
  </w:footnote>
  <w:footnote w:id="97">
    <w:p w14:paraId="4FE91FC1" w14:textId="77777777" w:rsidR="00AC31A0" w:rsidRPr="00953D51" w:rsidRDefault="00AC31A0" w:rsidP="00E81F6A">
      <w:pPr>
        <w:autoSpaceDE w:val="0"/>
        <w:autoSpaceDN w:val="0"/>
        <w:adjustRightInd w:val="0"/>
        <w:spacing w:before="0" w:after="0" w:line="240" w:lineRule="auto"/>
        <w:rPr>
          <w:rStyle w:val="FootnoteTextChar"/>
          <w:lang w:val="da-DK"/>
        </w:rPr>
      </w:pPr>
      <w:r>
        <w:rPr>
          <w:rStyle w:val="FootnoteReference"/>
        </w:rPr>
        <w:footnoteRef/>
      </w:r>
      <w:r>
        <w:t xml:space="preserve"> </w:t>
      </w:r>
      <w:proofErr w:type="spellStart"/>
      <w:r w:rsidRPr="00E81F6A">
        <w:rPr>
          <w:rStyle w:val="FootnoteTextChar"/>
        </w:rPr>
        <w:t>Bousquet</w:t>
      </w:r>
      <w:proofErr w:type="spellEnd"/>
      <w:r w:rsidRPr="00E81F6A">
        <w:rPr>
          <w:rStyle w:val="FootnoteTextChar"/>
        </w:rPr>
        <w:t xml:space="preserve"> PJ, et al. Sublingual immunotherapy: World allergy organization position paper 2009. </w:t>
      </w:r>
      <w:r w:rsidRPr="00947E4C">
        <w:rPr>
          <w:rStyle w:val="FootnoteTextChar"/>
          <w:i/>
          <w:lang w:val="da-DK"/>
        </w:rPr>
        <w:t xml:space="preserve">Allergy </w:t>
      </w:r>
      <w:r w:rsidRPr="00953D51">
        <w:rPr>
          <w:rStyle w:val="FootnoteTextChar"/>
          <w:lang w:val="da-DK"/>
        </w:rPr>
        <w:t>2009; 64: 1-59, p54</w:t>
      </w:r>
    </w:p>
  </w:footnote>
  <w:footnote w:id="98">
    <w:p w14:paraId="4FE91FC2" w14:textId="77777777" w:rsidR="00AC31A0" w:rsidRPr="006C0963" w:rsidRDefault="00AC31A0" w:rsidP="00E81F6A">
      <w:pPr>
        <w:autoSpaceDE w:val="0"/>
        <w:autoSpaceDN w:val="0"/>
        <w:adjustRightInd w:val="0"/>
        <w:spacing w:before="0" w:after="0" w:line="240" w:lineRule="auto"/>
        <w:rPr>
          <w:rStyle w:val="FootnoteTextChar"/>
          <w:lang w:val="da-DK"/>
        </w:rPr>
      </w:pPr>
      <w:r>
        <w:rPr>
          <w:rStyle w:val="FootnoteReference"/>
        </w:rPr>
        <w:footnoteRef/>
      </w:r>
      <w:r w:rsidRPr="006C0963">
        <w:rPr>
          <w:rStyle w:val="FootnoteTextChar"/>
          <w:lang w:val="da-DK"/>
        </w:rPr>
        <w:t>http://www.fda.gov/downloads/AdvisoryCommittees/CommitteesMeetingMaterials/BloodVaccinesandOtherBiologics/AllergenicProductsAdvisoryCommittee/UCM378093.pdf, p55</w:t>
      </w:r>
    </w:p>
  </w:footnote>
  <w:footnote w:id="99">
    <w:p w14:paraId="4FE91FC3" w14:textId="77777777" w:rsidR="00AC31A0" w:rsidRPr="00E81F6A" w:rsidRDefault="00AC31A0" w:rsidP="00E81F6A">
      <w:pPr>
        <w:autoSpaceDE w:val="0"/>
        <w:autoSpaceDN w:val="0"/>
        <w:adjustRightInd w:val="0"/>
        <w:spacing w:before="0" w:after="0" w:line="240" w:lineRule="auto"/>
        <w:rPr>
          <w:rStyle w:val="FootnoteTextChar"/>
        </w:rPr>
      </w:pPr>
      <w:r>
        <w:rPr>
          <w:rStyle w:val="FootnoteReference"/>
        </w:rPr>
        <w:footnoteRef/>
      </w:r>
      <w:r w:rsidRPr="006C0963">
        <w:rPr>
          <w:lang w:val="da-DK"/>
        </w:rPr>
        <w:t xml:space="preserve"> </w:t>
      </w:r>
      <w:r w:rsidRPr="006C0963">
        <w:rPr>
          <w:rStyle w:val="FootnoteTextChar"/>
          <w:lang w:val="da-DK"/>
        </w:rPr>
        <w:t xml:space="preserve">Durham SR, et al. </w:t>
      </w:r>
      <w:r w:rsidRPr="00E81F6A">
        <w:rPr>
          <w:rStyle w:val="FootnoteTextChar"/>
        </w:rPr>
        <w:t xml:space="preserve">Magnitude of efficacy measurements in grass allergy immunotherapy trials is highly dependent on pollen exposure. </w:t>
      </w:r>
      <w:r w:rsidRPr="00D31706">
        <w:rPr>
          <w:rStyle w:val="FootnoteTextChar"/>
          <w:i/>
        </w:rPr>
        <w:t>Allergy</w:t>
      </w:r>
      <w:r w:rsidRPr="00E81F6A">
        <w:rPr>
          <w:rStyle w:val="FootnoteTextChar"/>
        </w:rPr>
        <w:t xml:space="preserve"> 2014; DOI: 10.1111/all.12373</w:t>
      </w:r>
    </w:p>
  </w:footnote>
  <w:footnote w:id="100">
    <w:p w14:paraId="4FE91FC4" w14:textId="77777777" w:rsidR="00AC31A0" w:rsidRPr="00E81F6A" w:rsidRDefault="00AC31A0" w:rsidP="00E81F6A">
      <w:pPr>
        <w:autoSpaceDE w:val="0"/>
        <w:autoSpaceDN w:val="0"/>
        <w:adjustRightInd w:val="0"/>
        <w:spacing w:before="0" w:after="0" w:line="240" w:lineRule="auto"/>
        <w:rPr>
          <w:rStyle w:val="FootnoteTextChar"/>
        </w:rPr>
      </w:pPr>
      <w:r>
        <w:rPr>
          <w:rStyle w:val="FootnoteReference"/>
        </w:rPr>
        <w:footnoteRef/>
      </w:r>
      <w:proofErr w:type="gramStart"/>
      <w:r w:rsidRPr="00E81F6A">
        <w:rPr>
          <w:rStyle w:val="FootnoteTextChar"/>
        </w:rPr>
        <w:t>European Medicines Agency, Committee for Medicinal Products for Human Use (CHMP).</w:t>
      </w:r>
      <w:proofErr w:type="gramEnd"/>
      <w:r w:rsidRPr="00E81F6A">
        <w:rPr>
          <w:rStyle w:val="FootnoteTextChar"/>
        </w:rPr>
        <w:t xml:space="preserve"> Guideline on the clinical development of products for specific immunotherapy for the treatment of allergic diseases EMEA/CHMP/EWP/18504/2006, Nov-2008 (effective Jun 2009), p9</w:t>
      </w:r>
    </w:p>
  </w:footnote>
  <w:footnote w:id="101">
    <w:p w14:paraId="4FE91FC5" w14:textId="77777777" w:rsidR="00AC31A0" w:rsidRPr="009F3C08" w:rsidRDefault="00AC31A0" w:rsidP="009F3C08">
      <w:pPr>
        <w:pStyle w:val="FootnoteText"/>
      </w:pPr>
      <w:r w:rsidRPr="009F3C08">
        <w:rPr>
          <w:rStyle w:val="FootnoteReference"/>
        </w:rPr>
        <w:footnoteRef/>
      </w:r>
      <w:r w:rsidRPr="009F3C08">
        <w:rPr>
          <w:vertAlign w:val="superscript"/>
        </w:rPr>
        <w:t xml:space="preserve"> </w:t>
      </w:r>
      <w:r w:rsidRPr="009F3C08">
        <w:t>Grazax dossier, Module 5 – section 5.3.5.1, GT-08 year 1 study report, p65/919</w:t>
      </w:r>
    </w:p>
  </w:footnote>
  <w:footnote w:id="102">
    <w:p w14:paraId="4FE91FC6" w14:textId="77777777" w:rsidR="00AC31A0" w:rsidRPr="009F3C08" w:rsidRDefault="00AC31A0">
      <w:pPr>
        <w:pStyle w:val="FootnoteText"/>
        <w:rPr>
          <w:lang w:val="en-US"/>
        </w:rPr>
      </w:pPr>
      <w:r>
        <w:rPr>
          <w:rStyle w:val="FootnoteReference"/>
        </w:rPr>
        <w:footnoteRef/>
      </w:r>
      <w:r>
        <w:t xml:space="preserve"> </w:t>
      </w:r>
      <w:r w:rsidRPr="009F3C08">
        <w:t>Grazax dossier, Module 5 – section 5.3.5.1, GT-08 year 5 study report, p36/206</w:t>
      </w:r>
    </w:p>
  </w:footnote>
  <w:footnote w:id="103">
    <w:p w14:paraId="4FE91FC7" w14:textId="77777777" w:rsidR="00AC31A0" w:rsidRPr="009F3C08" w:rsidRDefault="00AC31A0" w:rsidP="009F3C08">
      <w:pPr>
        <w:pStyle w:val="FootnoteText"/>
      </w:pPr>
      <w:r w:rsidRPr="009F3C08">
        <w:rPr>
          <w:rStyle w:val="FootnoteReference"/>
        </w:rPr>
        <w:footnoteRef/>
      </w:r>
      <w:r w:rsidRPr="009F3C08">
        <w:rPr>
          <w:vertAlign w:val="superscript"/>
        </w:rPr>
        <w:t xml:space="preserve"> </w:t>
      </w:r>
      <w:r w:rsidRPr="009F3C08">
        <w:t>Grazax dossier, Module 5 – section 5.3.5.1, GT-08 year 1 study report amendment, p10/107</w:t>
      </w:r>
    </w:p>
  </w:footnote>
  <w:footnote w:id="104">
    <w:p w14:paraId="4FE91FC8" w14:textId="77777777" w:rsidR="00AC31A0" w:rsidRPr="009F3C08" w:rsidRDefault="00AC31A0" w:rsidP="009F3C08">
      <w:pPr>
        <w:pStyle w:val="FootnoteText"/>
      </w:pPr>
      <w:r w:rsidRPr="009F3C08">
        <w:rPr>
          <w:rStyle w:val="FootnoteReference"/>
        </w:rPr>
        <w:footnoteRef/>
      </w:r>
      <w:r w:rsidRPr="009F3C08">
        <w:t xml:space="preserve"> Grazax dossier, Module 5 – section 5.3.5.1, GT-08 year 2 study report, p72,73/781</w:t>
      </w:r>
    </w:p>
  </w:footnote>
  <w:footnote w:id="105">
    <w:p w14:paraId="4FE91FC9" w14:textId="77777777" w:rsidR="00AC31A0" w:rsidRPr="009F3C08" w:rsidRDefault="00AC31A0" w:rsidP="009F3C08">
      <w:pPr>
        <w:pStyle w:val="FootnoteText"/>
      </w:pPr>
      <w:r w:rsidRPr="009F3C08">
        <w:rPr>
          <w:rStyle w:val="FootnoteReference"/>
        </w:rPr>
        <w:footnoteRef/>
      </w:r>
      <w:r w:rsidRPr="009F3C08">
        <w:t xml:space="preserve"> Grazax dossier, Module 5 – section 5.3.5.1, GT-08 year 3 study report, p86,778/1014</w:t>
      </w:r>
    </w:p>
  </w:footnote>
  <w:footnote w:id="106">
    <w:p w14:paraId="4FE91FCA" w14:textId="77777777" w:rsidR="00AC31A0" w:rsidRPr="009F3C08" w:rsidRDefault="00AC31A0" w:rsidP="009F3C08">
      <w:pPr>
        <w:pStyle w:val="FootnoteText"/>
      </w:pPr>
      <w:r w:rsidRPr="009F3C08">
        <w:rPr>
          <w:rStyle w:val="FootnoteReference"/>
        </w:rPr>
        <w:footnoteRef/>
      </w:r>
      <w:r w:rsidRPr="009F3C08">
        <w:t xml:space="preserve"> Grazax dossier, Module 5 – section 5.3.5.1, GT-08 year 4 study report, p74,75/925</w:t>
      </w:r>
    </w:p>
  </w:footnote>
  <w:footnote w:id="107">
    <w:p w14:paraId="4FE91FCB" w14:textId="77777777" w:rsidR="00AC31A0" w:rsidRPr="009F3C08" w:rsidRDefault="00AC31A0" w:rsidP="009F3C08">
      <w:pPr>
        <w:pStyle w:val="FootnoteText"/>
      </w:pPr>
      <w:r w:rsidRPr="009F3C08">
        <w:rPr>
          <w:rStyle w:val="FootnoteReference"/>
        </w:rPr>
        <w:footnoteRef/>
      </w:r>
      <w:r w:rsidRPr="009F3C08">
        <w:t xml:space="preserve"> Grazax dossier, Module 5 – section 5.3.5.1, GT-08 year 5 study report, p86,87/6373</w:t>
      </w:r>
    </w:p>
  </w:footnote>
  <w:footnote w:id="108">
    <w:p w14:paraId="4FE91FCC" w14:textId="77777777" w:rsidR="00AC31A0" w:rsidRPr="00674227" w:rsidRDefault="00AC31A0" w:rsidP="00674227">
      <w:pPr>
        <w:pStyle w:val="FootnoteText"/>
      </w:pPr>
      <w:r>
        <w:rPr>
          <w:rStyle w:val="FootnoteReference"/>
        </w:rPr>
        <w:footnoteRef/>
      </w:r>
      <w:r>
        <w:t xml:space="preserve"> </w:t>
      </w:r>
      <w:proofErr w:type="gramStart"/>
      <w:r>
        <w:t>Cooke R, et al Serological evidence on immunity with co-existing sensitization in a type of human allergy; hay fever.</w:t>
      </w:r>
      <w:proofErr w:type="gramEnd"/>
      <w:r>
        <w:t xml:space="preserve"> </w:t>
      </w:r>
      <w:r w:rsidRPr="007D50F3">
        <w:rPr>
          <w:i/>
        </w:rPr>
        <w:t xml:space="preserve">J </w:t>
      </w:r>
      <w:proofErr w:type="spellStart"/>
      <w:r w:rsidRPr="007D50F3">
        <w:rPr>
          <w:i/>
        </w:rPr>
        <w:t>Exp</w:t>
      </w:r>
      <w:proofErr w:type="spellEnd"/>
      <w:r w:rsidRPr="007D50F3">
        <w:rPr>
          <w:i/>
        </w:rPr>
        <w:t xml:space="preserve"> Med</w:t>
      </w:r>
      <w:r>
        <w:t xml:space="preserve"> 1935; 62 :733</w:t>
      </w:r>
    </w:p>
  </w:footnote>
  <w:footnote w:id="109">
    <w:p w14:paraId="4FE91FCD" w14:textId="77777777" w:rsidR="00AC31A0" w:rsidRPr="00674227" w:rsidRDefault="00AC31A0" w:rsidP="00674227">
      <w:pPr>
        <w:autoSpaceDE w:val="0"/>
        <w:autoSpaceDN w:val="0"/>
        <w:adjustRightInd w:val="0"/>
        <w:spacing w:before="0" w:after="0" w:line="240" w:lineRule="auto"/>
        <w:rPr>
          <w:rStyle w:val="FootnoteTextChar"/>
        </w:rPr>
      </w:pPr>
      <w:r>
        <w:rPr>
          <w:rStyle w:val="FootnoteReference"/>
        </w:rPr>
        <w:footnoteRef/>
      </w:r>
      <w:r>
        <w:t xml:space="preserve"> </w:t>
      </w:r>
      <w:r w:rsidRPr="00674227">
        <w:rPr>
          <w:rStyle w:val="FootnoteTextChar"/>
        </w:rPr>
        <w:t xml:space="preserve">Lichtenstein LM, </w:t>
      </w:r>
      <w:r>
        <w:rPr>
          <w:rStyle w:val="FootnoteTextChar"/>
        </w:rPr>
        <w:t>et al</w:t>
      </w:r>
      <w:r w:rsidRPr="00674227">
        <w:rPr>
          <w:rStyle w:val="FootnoteTextChar"/>
        </w:rPr>
        <w:t xml:space="preserve">. </w:t>
      </w:r>
      <w:proofErr w:type="gramStart"/>
      <w:r w:rsidRPr="00674227">
        <w:rPr>
          <w:rStyle w:val="FootnoteTextChar"/>
        </w:rPr>
        <w:t xml:space="preserve">A quantitative in vitro study of the chromatographic </w:t>
      </w:r>
      <w:r>
        <w:rPr>
          <w:rStyle w:val="FootnoteTextChar"/>
        </w:rPr>
        <w:t xml:space="preserve">distribution and </w:t>
      </w:r>
      <w:r w:rsidRPr="00674227">
        <w:rPr>
          <w:rStyle w:val="FootnoteTextChar"/>
        </w:rPr>
        <w:t>immunoglobulin characteristics of human blocking antibody.</w:t>
      </w:r>
      <w:proofErr w:type="gramEnd"/>
      <w:r w:rsidRPr="00674227">
        <w:rPr>
          <w:rStyle w:val="FootnoteTextChar"/>
        </w:rPr>
        <w:t xml:space="preserve"> </w:t>
      </w:r>
      <w:r w:rsidRPr="007D50F3">
        <w:rPr>
          <w:rStyle w:val="FootnoteTextChar"/>
          <w:i/>
        </w:rPr>
        <w:t xml:space="preserve">J </w:t>
      </w:r>
      <w:proofErr w:type="spellStart"/>
      <w:r w:rsidRPr="007D50F3">
        <w:rPr>
          <w:rStyle w:val="FootnoteTextChar"/>
          <w:i/>
        </w:rPr>
        <w:t>Immunol</w:t>
      </w:r>
      <w:proofErr w:type="spellEnd"/>
      <w:r w:rsidRPr="00674227">
        <w:rPr>
          <w:rStyle w:val="FootnoteTextChar"/>
        </w:rPr>
        <w:t xml:space="preserve"> 1968;</w:t>
      </w:r>
      <w:r>
        <w:rPr>
          <w:rStyle w:val="FootnoteTextChar"/>
        </w:rPr>
        <w:t xml:space="preserve"> 101</w:t>
      </w:r>
      <w:r w:rsidRPr="00674227">
        <w:rPr>
          <w:rStyle w:val="FootnoteTextChar"/>
        </w:rPr>
        <w:t>:</w:t>
      </w:r>
      <w:r>
        <w:rPr>
          <w:rStyle w:val="FootnoteTextChar"/>
        </w:rPr>
        <w:t xml:space="preserve"> </w:t>
      </w:r>
      <w:r w:rsidRPr="00674227">
        <w:rPr>
          <w:rStyle w:val="FootnoteTextChar"/>
        </w:rPr>
        <w:t>317-</w:t>
      </w:r>
      <w:r>
        <w:rPr>
          <w:rStyle w:val="FootnoteTextChar"/>
        </w:rPr>
        <w:t>3</w:t>
      </w:r>
      <w:r w:rsidRPr="00674227">
        <w:rPr>
          <w:rStyle w:val="FootnoteTextChar"/>
        </w:rPr>
        <w:t>24</w:t>
      </w:r>
    </w:p>
  </w:footnote>
  <w:footnote w:id="110">
    <w:p w14:paraId="4FE91FCE" w14:textId="77777777" w:rsidR="00AC31A0" w:rsidRPr="00674227" w:rsidRDefault="00AC31A0" w:rsidP="00674227">
      <w:pPr>
        <w:pStyle w:val="FootnoteText"/>
      </w:pPr>
      <w:r>
        <w:rPr>
          <w:rStyle w:val="FootnoteReference"/>
        </w:rPr>
        <w:footnoteRef/>
      </w:r>
      <w:r>
        <w:t xml:space="preserve"> Nouri-Aria KT, et al. Grass pollen immunotherapy induces mucosal and peripheral IL-10 responses and blocking IgG activity. </w:t>
      </w:r>
      <w:r w:rsidRPr="007D50F3">
        <w:rPr>
          <w:i/>
        </w:rPr>
        <w:t xml:space="preserve">J </w:t>
      </w:r>
      <w:proofErr w:type="spellStart"/>
      <w:r w:rsidRPr="007D50F3">
        <w:rPr>
          <w:i/>
        </w:rPr>
        <w:t>Immunol</w:t>
      </w:r>
      <w:proofErr w:type="spellEnd"/>
      <w:r>
        <w:t xml:space="preserve"> 2004; 172: 3252-3259</w:t>
      </w:r>
    </w:p>
  </w:footnote>
  <w:footnote w:id="111">
    <w:p w14:paraId="4FE91FCF" w14:textId="77777777" w:rsidR="00AC31A0" w:rsidRPr="00674227" w:rsidRDefault="00AC31A0" w:rsidP="00674227">
      <w:pPr>
        <w:pStyle w:val="FootnoteText"/>
      </w:pPr>
      <w:r>
        <w:rPr>
          <w:rStyle w:val="FootnoteReference"/>
        </w:rPr>
        <w:footnoteRef/>
      </w:r>
      <w:r>
        <w:t xml:space="preserve"> Lima MT, et al. Grass pollen sublingual immunotherapy for seasonal rhinoconjunctivitis: a randomized controlled trial. </w:t>
      </w:r>
      <w:proofErr w:type="spellStart"/>
      <w:r w:rsidRPr="007D50F3">
        <w:rPr>
          <w:i/>
        </w:rPr>
        <w:t>Clin</w:t>
      </w:r>
      <w:proofErr w:type="spellEnd"/>
      <w:r w:rsidRPr="007D50F3">
        <w:rPr>
          <w:i/>
        </w:rPr>
        <w:t xml:space="preserve"> </w:t>
      </w:r>
      <w:proofErr w:type="spellStart"/>
      <w:r w:rsidRPr="007D50F3">
        <w:rPr>
          <w:i/>
        </w:rPr>
        <w:t>Exp</w:t>
      </w:r>
      <w:proofErr w:type="spellEnd"/>
      <w:r w:rsidRPr="007D50F3">
        <w:rPr>
          <w:i/>
        </w:rPr>
        <w:t xml:space="preserve"> Allergy</w:t>
      </w:r>
      <w:r>
        <w:t xml:space="preserve"> 2002;32: 507-514</w:t>
      </w:r>
    </w:p>
  </w:footnote>
  <w:footnote w:id="112">
    <w:p w14:paraId="4FE91FD0" w14:textId="77777777" w:rsidR="00AC31A0" w:rsidRPr="00674227" w:rsidRDefault="00AC31A0" w:rsidP="00674227">
      <w:pPr>
        <w:autoSpaceDE w:val="0"/>
        <w:autoSpaceDN w:val="0"/>
        <w:adjustRightInd w:val="0"/>
        <w:spacing w:before="0" w:after="0" w:line="240" w:lineRule="auto"/>
        <w:rPr>
          <w:rFonts w:ascii="Calibri" w:eastAsiaTheme="minorHAnsi" w:hAnsi="Calibri" w:cs="Calibri"/>
          <w:sz w:val="16"/>
          <w:szCs w:val="16"/>
        </w:rPr>
      </w:pPr>
      <w:r>
        <w:rPr>
          <w:rStyle w:val="FootnoteReference"/>
        </w:rPr>
        <w:footnoteRef/>
      </w:r>
      <w:r>
        <w:t xml:space="preserve"> </w:t>
      </w:r>
      <w:r w:rsidRPr="00674227">
        <w:rPr>
          <w:rStyle w:val="FootnoteTextChar"/>
        </w:rPr>
        <w:t xml:space="preserve">Lichtenstein LM, </w:t>
      </w:r>
      <w:r>
        <w:rPr>
          <w:rStyle w:val="FootnoteTextChar"/>
        </w:rPr>
        <w:t>et al</w:t>
      </w:r>
      <w:r w:rsidRPr="00674227">
        <w:rPr>
          <w:rStyle w:val="FootnoteTextChar"/>
        </w:rPr>
        <w:t xml:space="preserve">. </w:t>
      </w:r>
      <w:proofErr w:type="spellStart"/>
      <w:r w:rsidRPr="00674227">
        <w:rPr>
          <w:rStyle w:val="FootnoteTextChar"/>
        </w:rPr>
        <w:t>IgE</w:t>
      </w:r>
      <w:proofErr w:type="spellEnd"/>
      <w:r w:rsidRPr="00674227">
        <w:rPr>
          <w:rStyle w:val="FootnoteTextChar"/>
        </w:rPr>
        <w:t xml:space="preserve"> Antibody measurements in ragweed hay fever: Relationship to clinical severity and the results of immunotherapy. </w:t>
      </w:r>
      <w:r w:rsidRPr="007D50F3">
        <w:rPr>
          <w:rStyle w:val="FootnoteTextChar"/>
          <w:i/>
        </w:rPr>
        <w:t xml:space="preserve">J </w:t>
      </w:r>
      <w:proofErr w:type="spellStart"/>
      <w:r w:rsidRPr="007D50F3">
        <w:rPr>
          <w:rStyle w:val="FootnoteTextChar"/>
          <w:i/>
        </w:rPr>
        <w:t>Clin</w:t>
      </w:r>
      <w:proofErr w:type="spellEnd"/>
      <w:r w:rsidRPr="007D50F3">
        <w:rPr>
          <w:rStyle w:val="FootnoteTextChar"/>
          <w:i/>
        </w:rPr>
        <w:t xml:space="preserve"> Invest</w:t>
      </w:r>
      <w:r w:rsidRPr="00674227">
        <w:rPr>
          <w:rStyle w:val="FootnoteTextChar"/>
        </w:rPr>
        <w:t xml:space="preserve"> 1973;</w:t>
      </w:r>
      <w:r>
        <w:rPr>
          <w:rStyle w:val="FootnoteTextChar"/>
        </w:rPr>
        <w:t xml:space="preserve"> </w:t>
      </w:r>
      <w:r w:rsidRPr="00674227">
        <w:rPr>
          <w:rStyle w:val="FootnoteTextChar"/>
        </w:rPr>
        <w:t>53:</w:t>
      </w:r>
      <w:r>
        <w:rPr>
          <w:rStyle w:val="FootnoteTextChar"/>
        </w:rPr>
        <w:t xml:space="preserve"> </w:t>
      </w:r>
      <w:r w:rsidRPr="00674227">
        <w:rPr>
          <w:rStyle w:val="FootnoteTextChar"/>
        </w:rPr>
        <w:t>472-</w:t>
      </w:r>
      <w:r>
        <w:rPr>
          <w:rStyle w:val="FootnoteTextChar"/>
        </w:rPr>
        <w:t>4</w:t>
      </w:r>
      <w:r w:rsidRPr="00674227">
        <w:rPr>
          <w:rStyle w:val="FootnoteTextChar"/>
        </w:rPr>
        <w:t>82</w:t>
      </w:r>
    </w:p>
  </w:footnote>
  <w:footnote w:id="113">
    <w:p w14:paraId="4FE91FD1" w14:textId="77777777" w:rsidR="00AC31A0" w:rsidRPr="00674227" w:rsidRDefault="00AC31A0">
      <w:pPr>
        <w:pStyle w:val="FootnoteText"/>
        <w:rPr>
          <w:lang w:val="en-US"/>
        </w:rPr>
      </w:pPr>
      <w:r>
        <w:rPr>
          <w:rStyle w:val="FootnoteReference"/>
        </w:rPr>
        <w:footnoteRef/>
      </w:r>
      <w:r>
        <w:t xml:space="preserve"> </w:t>
      </w:r>
      <w:r w:rsidRPr="00674227">
        <w:t>Grazax dossier, Module 5 – section 5.3.5.1, GT-08 year 5 study report, p1326/6373</w:t>
      </w:r>
    </w:p>
  </w:footnote>
  <w:footnote w:id="114">
    <w:p w14:paraId="4FE91FD2" w14:textId="77777777" w:rsidR="00AC31A0" w:rsidRPr="00674227" w:rsidRDefault="00AC31A0" w:rsidP="00674227">
      <w:pPr>
        <w:autoSpaceDE w:val="0"/>
        <w:autoSpaceDN w:val="0"/>
        <w:adjustRightInd w:val="0"/>
        <w:spacing w:before="0" w:after="0" w:line="240" w:lineRule="auto"/>
        <w:rPr>
          <w:sz w:val="18"/>
          <w:szCs w:val="20"/>
        </w:rPr>
      </w:pPr>
      <w:r>
        <w:rPr>
          <w:rStyle w:val="FootnoteReference"/>
        </w:rPr>
        <w:footnoteRef/>
      </w:r>
      <w:r w:rsidRPr="00674227">
        <w:rPr>
          <w:rStyle w:val="FootnoteTextChar"/>
        </w:rPr>
        <w:t>http://www.fda.gov/AdvisoryCommittees/CommitteesMeetingMaterials/BloodVaccinesandOtherBiologics/AllergenicProductsAdvisory Committee/ucm367268.htm,p32</w:t>
      </w:r>
    </w:p>
  </w:footnote>
  <w:footnote w:id="115">
    <w:p w14:paraId="4FE91FD3" w14:textId="77777777" w:rsidR="00AC31A0" w:rsidRPr="00674227" w:rsidRDefault="00AC31A0">
      <w:pPr>
        <w:pStyle w:val="FootnoteText"/>
        <w:rPr>
          <w:lang w:val="en-US"/>
        </w:rPr>
      </w:pPr>
      <w:r>
        <w:rPr>
          <w:rStyle w:val="FootnoteReference"/>
        </w:rPr>
        <w:footnoteRef/>
      </w:r>
      <w:r>
        <w:t xml:space="preserve"> </w:t>
      </w:r>
      <w:r w:rsidRPr="00674227">
        <w:t>Grazax dossier, Module 5 – section 5.3.5.1, GT-08 year 5 study report, p1326/6373</w:t>
      </w:r>
    </w:p>
  </w:footnote>
  <w:footnote w:id="116">
    <w:p w14:paraId="4FE91FD4" w14:textId="77777777" w:rsidR="00AC31A0" w:rsidRPr="0087228D" w:rsidRDefault="00AC31A0" w:rsidP="0087228D">
      <w:pPr>
        <w:autoSpaceDE w:val="0"/>
        <w:autoSpaceDN w:val="0"/>
        <w:adjustRightInd w:val="0"/>
        <w:spacing w:before="0" w:after="0" w:line="240" w:lineRule="auto"/>
        <w:rPr>
          <w:rStyle w:val="FootnoteTextChar"/>
        </w:rPr>
      </w:pPr>
      <w:r>
        <w:rPr>
          <w:rStyle w:val="FootnoteReference"/>
        </w:rPr>
        <w:footnoteRef/>
      </w:r>
      <w:r w:rsidRPr="0087228D">
        <w:rPr>
          <w:rStyle w:val="FootnoteTextChar"/>
        </w:rPr>
        <w:t>Ref:http://www.fda.gov/AdvisoryCommittees/CommitteesMeetingMaterials/BloodVaccinesandOtherBiologics/AllergenicProductsAdvisory Committee/ucm367268.htm,p33</w:t>
      </w:r>
    </w:p>
  </w:footnote>
  <w:footnote w:id="117">
    <w:p w14:paraId="4FE91FD5" w14:textId="77777777" w:rsidR="00AC31A0" w:rsidRPr="0087228D" w:rsidRDefault="00AC31A0">
      <w:pPr>
        <w:pStyle w:val="FootnoteText"/>
        <w:rPr>
          <w:lang w:val="en-US"/>
        </w:rPr>
      </w:pPr>
      <w:r>
        <w:rPr>
          <w:rStyle w:val="FootnoteReference"/>
        </w:rPr>
        <w:footnoteRef/>
      </w:r>
      <w:r>
        <w:t xml:space="preserve"> </w:t>
      </w:r>
      <w:r w:rsidRPr="0087228D">
        <w:t>Grazax dossier, Module 5 – section 5.3.5.1, GT-08 year 5 study report, p1326/6373</w:t>
      </w:r>
    </w:p>
  </w:footnote>
  <w:footnote w:id="118">
    <w:p w14:paraId="4FE91FD6" w14:textId="77777777" w:rsidR="00AC31A0" w:rsidRPr="0087228D" w:rsidRDefault="00AC31A0" w:rsidP="0087228D">
      <w:pPr>
        <w:autoSpaceDE w:val="0"/>
        <w:autoSpaceDN w:val="0"/>
        <w:adjustRightInd w:val="0"/>
        <w:spacing w:before="0" w:after="0" w:line="240" w:lineRule="auto"/>
        <w:rPr>
          <w:rStyle w:val="FootnoteTextChar"/>
        </w:rPr>
      </w:pPr>
      <w:r>
        <w:rPr>
          <w:rStyle w:val="FootnoteReference"/>
        </w:rPr>
        <w:footnoteRef/>
      </w:r>
      <w:r w:rsidRPr="0087228D">
        <w:rPr>
          <w:rStyle w:val="FootnoteTextChar"/>
        </w:rPr>
        <w:t>Ref:http://www.fda.gov/AdvisoryCommittees/CommitteesMeetingMaterials/BloodVaccinesandOtherBiologics/AllergenicProductsAdvisory Committee/ucm367268.htm,p34</w:t>
      </w:r>
    </w:p>
  </w:footnote>
  <w:footnote w:id="119">
    <w:p w14:paraId="4FE91FD7" w14:textId="77777777" w:rsidR="00AC31A0" w:rsidRPr="007D50F3" w:rsidRDefault="00AC31A0" w:rsidP="007D50F3">
      <w:pPr>
        <w:autoSpaceDE w:val="0"/>
        <w:autoSpaceDN w:val="0"/>
        <w:adjustRightInd w:val="0"/>
        <w:spacing w:before="0" w:after="0" w:line="240" w:lineRule="auto"/>
        <w:rPr>
          <w:rStyle w:val="FootnoteTextChar"/>
        </w:rPr>
      </w:pPr>
      <w:r>
        <w:rPr>
          <w:rStyle w:val="FootnoteReference"/>
        </w:rPr>
        <w:footnoteRef/>
      </w:r>
      <w:r>
        <w:t xml:space="preserve"> </w:t>
      </w:r>
      <w:r w:rsidRPr="007D50F3">
        <w:rPr>
          <w:rStyle w:val="FootnoteTextChar"/>
        </w:rPr>
        <w:t xml:space="preserve">Lorenz AR et al. </w:t>
      </w:r>
      <w:proofErr w:type="gramStart"/>
      <w:r w:rsidRPr="007D50F3">
        <w:rPr>
          <w:rStyle w:val="FootnoteTextChar"/>
        </w:rPr>
        <w:t>The principle of homologous groups in regulatory affairs of allergen products-a proposal.</w:t>
      </w:r>
      <w:proofErr w:type="gramEnd"/>
      <w:r w:rsidRPr="007D50F3">
        <w:rPr>
          <w:rStyle w:val="FootnoteTextChar"/>
        </w:rPr>
        <w:t xml:space="preserve"> </w:t>
      </w:r>
      <w:proofErr w:type="spellStart"/>
      <w:proofErr w:type="gramStart"/>
      <w:r w:rsidRPr="007D50F3">
        <w:rPr>
          <w:rStyle w:val="FootnoteTextChar"/>
          <w:i/>
        </w:rPr>
        <w:t>Int</w:t>
      </w:r>
      <w:proofErr w:type="spellEnd"/>
      <w:r w:rsidRPr="007D50F3">
        <w:rPr>
          <w:rStyle w:val="FootnoteTextChar"/>
          <w:i/>
        </w:rPr>
        <w:t xml:space="preserve"> Arch Allergy </w:t>
      </w:r>
      <w:proofErr w:type="spellStart"/>
      <w:r w:rsidRPr="007D50F3">
        <w:rPr>
          <w:rStyle w:val="FootnoteTextChar"/>
          <w:i/>
        </w:rPr>
        <w:t>Immunol</w:t>
      </w:r>
      <w:proofErr w:type="spellEnd"/>
      <w:r w:rsidRPr="007D50F3">
        <w:rPr>
          <w:rStyle w:val="FootnoteTextChar"/>
        </w:rPr>
        <w:t>.</w:t>
      </w:r>
      <w:proofErr w:type="gramEnd"/>
      <w:r w:rsidRPr="007D50F3">
        <w:rPr>
          <w:rStyle w:val="FootnoteTextChar"/>
        </w:rPr>
        <w:t xml:space="preserve"> 2009;148(1):1-17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E91F33" w14:textId="77777777" w:rsidR="00AC31A0" w:rsidRDefault="00AC31A0"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E91F38" w14:textId="77777777" w:rsidR="00AC31A0" w:rsidRDefault="00AC31A0">
    <w:pPr>
      <w:rPr>
        <w:noProof/>
        <w:lang w:eastAsia="en-AU"/>
      </w:rPr>
    </w:pPr>
    <w:r w:rsidRPr="00347824">
      <w:rPr>
        <w:noProof/>
        <w:lang w:eastAsia="en-AU"/>
      </w:rPr>
      <w:drawing>
        <wp:anchor distT="0" distB="0" distL="114300" distR="114300" simplePos="0" relativeHeight="251658240" behindDoc="1" locked="0" layoutInCell="1" allowOverlap="1" wp14:anchorId="4FE91F58" wp14:editId="6A9D94AF">
          <wp:simplePos x="0" y="0"/>
          <wp:positionH relativeFrom="column">
            <wp:posOffset>-1089025</wp:posOffset>
          </wp:positionH>
          <wp:positionV relativeFrom="paragraph">
            <wp:posOffset>-673252</wp:posOffset>
          </wp:positionV>
          <wp:extent cx="7572375" cy="10706100"/>
          <wp:effectExtent l="0" t="0" r="9525" b="0"/>
          <wp:wrapNone/>
          <wp:docPr id="20"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72375" cy="10706100"/>
                  </a:xfrm>
                  <a:prstGeom prst="rect">
                    <a:avLst/>
                  </a:prstGeom>
                </pic:spPr>
              </pic:pic>
            </a:graphicData>
          </a:graphic>
        </wp:anchor>
      </w:drawing>
    </w:r>
  </w:p>
  <w:p w14:paraId="4FE91F39" w14:textId="026BC1B9" w:rsidR="00AC31A0" w:rsidRDefault="00AC31A0" w:rsidP="00593AD1">
    <w:pPr>
      <w:pStyle w:val="HeaderNoLi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E91F3A" w14:textId="77777777" w:rsidR="00AC31A0" w:rsidRDefault="00AC31A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E91F3B" w14:textId="77777777" w:rsidR="00AC31A0" w:rsidRDefault="00AC31A0">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E91F3C" w14:textId="77777777" w:rsidR="00AC31A0" w:rsidRDefault="00AC31A0">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E91F42" w14:textId="77777777" w:rsidR="00AC31A0" w:rsidRDefault="00AC31A0">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E91F43" w14:textId="77777777" w:rsidR="00AC31A0" w:rsidRDefault="00AC31A0"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E91F45" w14:textId="77777777" w:rsidR="00AC31A0" w:rsidRDefault="00AC31A0" w:rsidP="006E08B3">
    <w:r>
      <w:t>Therapeutic Goods Administration</w:t>
    </w:r>
  </w:p>
  <w:p w14:paraId="4FE91F46" w14:textId="77777777" w:rsidR="00AC31A0" w:rsidRDefault="00AC31A0"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63D8B"/>
    <w:multiLevelType w:val="hybridMultilevel"/>
    <w:tmpl w:val="588A40C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nsid w:val="0BB7305A"/>
    <w:multiLevelType w:val="hybridMultilevel"/>
    <w:tmpl w:val="DAB84CD8"/>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nsid w:val="0E9108CD"/>
    <w:multiLevelType w:val="hybridMultilevel"/>
    <w:tmpl w:val="F07C7BCA"/>
    <w:lvl w:ilvl="0" w:tplc="7E7496A6">
      <w:start w:val="1"/>
      <w:numFmt w:val="bullet"/>
      <w:pStyle w:val="Bullet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4">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5">
    <w:nsid w:val="1D270FF1"/>
    <w:multiLevelType w:val="hybridMultilevel"/>
    <w:tmpl w:val="0D3299A2"/>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7">
    <w:nsid w:val="489B15D7"/>
    <w:multiLevelType w:val="hybridMultilevel"/>
    <w:tmpl w:val="7E1675E2"/>
    <w:lvl w:ilvl="0" w:tplc="CD8E4044">
      <w:start w:val="1"/>
      <w:numFmt w:val="bullet"/>
      <w:pStyle w:val="Bulletpoint"/>
      <w:lvlText w:val=""/>
      <w:lvlJc w:val="left"/>
      <w:pPr>
        <w:tabs>
          <w:tab w:val="num" w:pos="369"/>
        </w:tabs>
        <w:ind w:left="369" w:hanging="227"/>
      </w:pPr>
      <w:rPr>
        <w:rFonts w:ascii="Symbol" w:hAnsi="Symbol" w:hint="default"/>
        <w:color w:val="auto"/>
        <w:position w:val="0"/>
        <w:sz w:val="22"/>
        <w:szCs w:val="22"/>
      </w:rPr>
    </w:lvl>
    <w:lvl w:ilvl="1" w:tplc="0C090003">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nsid w:val="6A660FF5"/>
    <w:multiLevelType w:val="hybridMultilevel"/>
    <w:tmpl w:val="608672C2"/>
    <w:lvl w:ilvl="0" w:tplc="E1FAEB3E">
      <w:numFmt w:val="bullet"/>
      <w:lvlText w:val="-"/>
      <w:lvlJc w:val="left"/>
      <w:pPr>
        <w:ind w:left="720" w:hanging="360"/>
      </w:pPr>
      <w:rPr>
        <w:rFonts w:ascii="Cambria" w:eastAsia="Cambria" w:hAnsi="Cambri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4"/>
  </w:num>
  <w:num w:numId="4">
    <w:abstractNumId w:val="3"/>
  </w:num>
  <w:num w:numId="5">
    <w:abstractNumId w:val="7"/>
  </w:num>
  <w:num w:numId="6">
    <w:abstractNumId w:val="6"/>
  </w:num>
  <w:num w:numId="7">
    <w:abstractNumId w:val="2"/>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0"/>
  </w:num>
  <w:num w:numId="14">
    <w:abstractNumId w:val="5"/>
  </w:num>
  <w:num w:numId="15">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isplayBackgroundShape/>
  <w:hideSpellingErrors/>
  <w:hideGrammaticalErrors/>
  <w:activeWritingStyle w:appName="MSWord" w:lang="da-DK" w:vendorID="64" w:dllVersion="131078" w:nlCheck="1" w:checkStyle="0"/>
  <w:activeWritingStyle w:appName="MSWord" w:lang="en-AU"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s-ES" w:vendorID="64" w:dllVersion="131078" w:nlCheck="1" w:checkStyle="1"/>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drawingGridHorizontalSpacing w:val="110"/>
  <w:displayHorizontalDrawingGridEvery w:val="2"/>
  <w:characterSpacingControl w:val="doNotCompress"/>
  <w:hdrShapeDefaults>
    <o:shapedefaults v:ext="edit" spidmax="22016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01D9"/>
    <w:rsid w:val="00002031"/>
    <w:rsid w:val="000043C8"/>
    <w:rsid w:val="000044B3"/>
    <w:rsid w:val="00004734"/>
    <w:rsid w:val="00005286"/>
    <w:rsid w:val="00006B22"/>
    <w:rsid w:val="00007FFB"/>
    <w:rsid w:val="0001276A"/>
    <w:rsid w:val="000246AE"/>
    <w:rsid w:val="00025C67"/>
    <w:rsid w:val="00031738"/>
    <w:rsid w:val="00033E62"/>
    <w:rsid w:val="000437B7"/>
    <w:rsid w:val="00044772"/>
    <w:rsid w:val="000514BE"/>
    <w:rsid w:val="0005428B"/>
    <w:rsid w:val="0005460A"/>
    <w:rsid w:val="0005559E"/>
    <w:rsid w:val="000578DC"/>
    <w:rsid w:val="000604D6"/>
    <w:rsid w:val="000734D8"/>
    <w:rsid w:val="00077775"/>
    <w:rsid w:val="00080A72"/>
    <w:rsid w:val="00080F9D"/>
    <w:rsid w:val="00083C92"/>
    <w:rsid w:val="00084495"/>
    <w:rsid w:val="000848C2"/>
    <w:rsid w:val="00084AFE"/>
    <w:rsid w:val="00090471"/>
    <w:rsid w:val="00090675"/>
    <w:rsid w:val="00091BB3"/>
    <w:rsid w:val="00093D6B"/>
    <w:rsid w:val="000963B5"/>
    <w:rsid w:val="0009654B"/>
    <w:rsid w:val="00096AA7"/>
    <w:rsid w:val="00097741"/>
    <w:rsid w:val="000A1BF8"/>
    <w:rsid w:val="000A3AED"/>
    <w:rsid w:val="000A7013"/>
    <w:rsid w:val="000A7F93"/>
    <w:rsid w:val="000B3532"/>
    <w:rsid w:val="000B3A75"/>
    <w:rsid w:val="000B3FA6"/>
    <w:rsid w:val="000C00C2"/>
    <w:rsid w:val="000C32B5"/>
    <w:rsid w:val="000C690F"/>
    <w:rsid w:val="000D0155"/>
    <w:rsid w:val="000D06C2"/>
    <w:rsid w:val="000D1295"/>
    <w:rsid w:val="000D286C"/>
    <w:rsid w:val="000D375A"/>
    <w:rsid w:val="000D391B"/>
    <w:rsid w:val="000D3D6D"/>
    <w:rsid w:val="000D48CE"/>
    <w:rsid w:val="000D4E82"/>
    <w:rsid w:val="000D4FC7"/>
    <w:rsid w:val="000E0902"/>
    <w:rsid w:val="000E241F"/>
    <w:rsid w:val="000E31A1"/>
    <w:rsid w:val="000E3899"/>
    <w:rsid w:val="000E5E3C"/>
    <w:rsid w:val="000E6196"/>
    <w:rsid w:val="000E75F4"/>
    <w:rsid w:val="000F2AAA"/>
    <w:rsid w:val="000F366C"/>
    <w:rsid w:val="000F4578"/>
    <w:rsid w:val="000F4869"/>
    <w:rsid w:val="000F5161"/>
    <w:rsid w:val="000F5B42"/>
    <w:rsid w:val="000F6655"/>
    <w:rsid w:val="000F6E6F"/>
    <w:rsid w:val="000F73DA"/>
    <w:rsid w:val="000F75C0"/>
    <w:rsid w:val="00101716"/>
    <w:rsid w:val="00102FE8"/>
    <w:rsid w:val="00103D54"/>
    <w:rsid w:val="0010420B"/>
    <w:rsid w:val="0010601F"/>
    <w:rsid w:val="0010788A"/>
    <w:rsid w:val="00107A31"/>
    <w:rsid w:val="00107A47"/>
    <w:rsid w:val="00110355"/>
    <w:rsid w:val="00110C45"/>
    <w:rsid w:val="00110EA5"/>
    <w:rsid w:val="00111A40"/>
    <w:rsid w:val="00112F56"/>
    <w:rsid w:val="001170A8"/>
    <w:rsid w:val="00117691"/>
    <w:rsid w:val="00122E89"/>
    <w:rsid w:val="00125318"/>
    <w:rsid w:val="00126C81"/>
    <w:rsid w:val="001305A2"/>
    <w:rsid w:val="00133238"/>
    <w:rsid w:val="00133A1B"/>
    <w:rsid w:val="0013462E"/>
    <w:rsid w:val="00135326"/>
    <w:rsid w:val="00136330"/>
    <w:rsid w:val="0014197B"/>
    <w:rsid w:val="001447CD"/>
    <w:rsid w:val="001516B1"/>
    <w:rsid w:val="00154EBB"/>
    <w:rsid w:val="00155FC0"/>
    <w:rsid w:val="00156316"/>
    <w:rsid w:val="001606EC"/>
    <w:rsid w:val="00161181"/>
    <w:rsid w:val="00162C9F"/>
    <w:rsid w:val="00162D14"/>
    <w:rsid w:val="001649FD"/>
    <w:rsid w:val="00165389"/>
    <w:rsid w:val="0016562F"/>
    <w:rsid w:val="0016663D"/>
    <w:rsid w:val="001712A9"/>
    <w:rsid w:val="00171457"/>
    <w:rsid w:val="00171FF3"/>
    <w:rsid w:val="0017294D"/>
    <w:rsid w:val="00175205"/>
    <w:rsid w:val="0017693F"/>
    <w:rsid w:val="001807F4"/>
    <w:rsid w:val="0018110E"/>
    <w:rsid w:val="00181684"/>
    <w:rsid w:val="001835F8"/>
    <w:rsid w:val="001843C6"/>
    <w:rsid w:val="00184DE1"/>
    <w:rsid w:val="001850E0"/>
    <w:rsid w:val="00186749"/>
    <w:rsid w:val="0019257D"/>
    <w:rsid w:val="0019264E"/>
    <w:rsid w:val="00193656"/>
    <w:rsid w:val="001938A3"/>
    <w:rsid w:val="001943E5"/>
    <w:rsid w:val="001949C3"/>
    <w:rsid w:val="00197160"/>
    <w:rsid w:val="00197687"/>
    <w:rsid w:val="00197984"/>
    <w:rsid w:val="001A1402"/>
    <w:rsid w:val="001A2158"/>
    <w:rsid w:val="001A525F"/>
    <w:rsid w:val="001B09F9"/>
    <w:rsid w:val="001B3259"/>
    <w:rsid w:val="001B5AAA"/>
    <w:rsid w:val="001B5C90"/>
    <w:rsid w:val="001B6448"/>
    <w:rsid w:val="001B6660"/>
    <w:rsid w:val="001B71A0"/>
    <w:rsid w:val="001C30D0"/>
    <w:rsid w:val="001C32CD"/>
    <w:rsid w:val="001C3518"/>
    <w:rsid w:val="001C3A9B"/>
    <w:rsid w:val="001C75EF"/>
    <w:rsid w:val="001D268F"/>
    <w:rsid w:val="001D277A"/>
    <w:rsid w:val="001D2984"/>
    <w:rsid w:val="001D44EC"/>
    <w:rsid w:val="001E049B"/>
    <w:rsid w:val="001E07CF"/>
    <w:rsid w:val="001E1063"/>
    <w:rsid w:val="001E30EE"/>
    <w:rsid w:val="001E3F60"/>
    <w:rsid w:val="001E4558"/>
    <w:rsid w:val="001E4B99"/>
    <w:rsid w:val="001E4C03"/>
    <w:rsid w:val="001E59F1"/>
    <w:rsid w:val="001E6327"/>
    <w:rsid w:val="001E77E9"/>
    <w:rsid w:val="001F17C0"/>
    <w:rsid w:val="001F183C"/>
    <w:rsid w:val="001F2CEE"/>
    <w:rsid w:val="001F358B"/>
    <w:rsid w:val="001F49EB"/>
    <w:rsid w:val="001F5B52"/>
    <w:rsid w:val="001F64ED"/>
    <w:rsid w:val="001F6CBA"/>
    <w:rsid w:val="00201D4E"/>
    <w:rsid w:val="00204FDF"/>
    <w:rsid w:val="00206A77"/>
    <w:rsid w:val="00206B68"/>
    <w:rsid w:val="002076C9"/>
    <w:rsid w:val="00212B30"/>
    <w:rsid w:val="002132B5"/>
    <w:rsid w:val="00213605"/>
    <w:rsid w:val="002137C1"/>
    <w:rsid w:val="00214E3E"/>
    <w:rsid w:val="00220B8A"/>
    <w:rsid w:val="002257F3"/>
    <w:rsid w:val="00226F4E"/>
    <w:rsid w:val="00227336"/>
    <w:rsid w:val="00231572"/>
    <w:rsid w:val="002326E2"/>
    <w:rsid w:val="00233456"/>
    <w:rsid w:val="00233580"/>
    <w:rsid w:val="002339A5"/>
    <w:rsid w:val="00234DB3"/>
    <w:rsid w:val="002353F0"/>
    <w:rsid w:val="0023596E"/>
    <w:rsid w:val="002368B2"/>
    <w:rsid w:val="002369ED"/>
    <w:rsid w:val="00236F9C"/>
    <w:rsid w:val="0024209B"/>
    <w:rsid w:val="00246520"/>
    <w:rsid w:val="0024738B"/>
    <w:rsid w:val="00250BAC"/>
    <w:rsid w:val="00253036"/>
    <w:rsid w:val="00257848"/>
    <w:rsid w:val="0026014A"/>
    <w:rsid w:val="00263E34"/>
    <w:rsid w:val="0027084A"/>
    <w:rsid w:val="00271770"/>
    <w:rsid w:val="002734DA"/>
    <w:rsid w:val="0027535F"/>
    <w:rsid w:val="002761E6"/>
    <w:rsid w:val="00282437"/>
    <w:rsid w:val="0028468D"/>
    <w:rsid w:val="00284BC3"/>
    <w:rsid w:val="00286434"/>
    <w:rsid w:val="00286C59"/>
    <w:rsid w:val="00290809"/>
    <w:rsid w:val="002913EF"/>
    <w:rsid w:val="00291957"/>
    <w:rsid w:val="002942D1"/>
    <w:rsid w:val="0029501A"/>
    <w:rsid w:val="0029578E"/>
    <w:rsid w:val="00296A47"/>
    <w:rsid w:val="0029726B"/>
    <w:rsid w:val="00297B40"/>
    <w:rsid w:val="002A1C45"/>
    <w:rsid w:val="002A3721"/>
    <w:rsid w:val="002A47B8"/>
    <w:rsid w:val="002A5988"/>
    <w:rsid w:val="002B1638"/>
    <w:rsid w:val="002B3624"/>
    <w:rsid w:val="002B3AD6"/>
    <w:rsid w:val="002B42DE"/>
    <w:rsid w:val="002B50BF"/>
    <w:rsid w:val="002C4BA2"/>
    <w:rsid w:val="002C785C"/>
    <w:rsid w:val="002D0952"/>
    <w:rsid w:val="002D1B67"/>
    <w:rsid w:val="002D201B"/>
    <w:rsid w:val="002D2049"/>
    <w:rsid w:val="002D2154"/>
    <w:rsid w:val="002D394E"/>
    <w:rsid w:val="002D4070"/>
    <w:rsid w:val="002D7A68"/>
    <w:rsid w:val="002E40B3"/>
    <w:rsid w:val="002E4C9A"/>
    <w:rsid w:val="002E5380"/>
    <w:rsid w:val="002E5585"/>
    <w:rsid w:val="002E5A50"/>
    <w:rsid w:val="002E75AC"/>
    <w:rsid w:val="002F1053"/>
    <w:rsid w:val="002F11F8"/>
    <w:rsid w:val="002F2D07"/>
    <w:rsid w:val="002F3355"/>
    <w:rsid w:val="002F3CBA"/>
    <w:rsid w:val="002F3F56"/>
    <w:rsid w:val="002F44B5"/>
    <w:rsid w:val="00302150"/>
    <w:rsid w:val="00303EA1"/>
    <w:rsid w:val="00310734"/>
    <w:rsid w:val="00311AC0"/>
    <w:rsid w:val="00313CF3"/>
    <w:rsid w:val="003176FC"/>
    <w:rsid w:val="0032583B"/>
    <w:rsid w:val="003273F7"/>
    <w:rsid w:val="00327883"/>
    <w:rsid w:val="00330266"/>
    <w:rsid w:val="00331EBE"/>
    <w:rsid w:val="00334723"/>
    <w:rsid w:val="00335504"/>
    <w:rsid w:val="00335918"/>
    <w:rsid w:val="00336781"/>
    <w:rsid w:val="00336C83"/>
    <w:rsid w:val="00336D2F"/>
    <w:rsid w:val="00337170"/>
    <w:rsid w:val="00337456"/>
    <w:rsid w:val="00340C18"/>
    <w:rsid w:val="0034219E"/>
    <w:rsid w:val="00342790"/>
    <w:rsid w:val="0034390F"/>
    <w:rsid w:val="003442FD"/>
    <w:rsid w:val="00345A8D"/>
    <w:rsid w:val="00347824"/>
    <w:rsid w:val="00347A48"/>
    <w:rsid w:val="00350567"/>
    <w:rsid w:val="00350F3E"/>
    <w:rsid w:val="0035161A"/>
    <w:rsid w:val="00351799"/>
    <w:rsid w:val="003521E8"/>
    <w:rsid w:val="00353E62"/>
    <w:rsid w:val="0035644A"/>
    <w:rsid w:val="00361ECC"/>
    <w:rsid w:val="0036386E"/>
    <w:rsid w:val="00364806"/>
    <w:rsid w:val="0036711C"/>
    <w:rsid w:val="00370CE3"/>
    <w:rsid w:val="003728F3"/>
    <w:rsid w:val="0037496E"/>
    <w:rsid w:val="00374C22"/>
    <w:rsid w:val="00375793"/>
    <w:rsid w:val="00375AEF"/>
    <w:rsid w:val="00376B73"/>
    <w:rsid w:val="0038247B"/>
    <w:rsid w:val="00383221"/>
    <w:rsid w:val="0038561A"/>
    <w:rsid w:val="003860CE"/>
    <w:rsid w:val="00386150"/>
    <w:rsid w:val="00386C9C"/>
    <w:rsid w:val="00386D14"/>
    <w:rsid w:val="0038733C"/>
    <w:rsid w:val="003874CE"/>
    <w:rsid w:val="00387509"/>
    <w:rsid w:val="00390900"/>
    <w:rsid w:val="0039095A"/>
    <w:rsid w:val="00392D93"/>
    <w:rsid w:val="003A0BDD"/>
    <w:rsid w:val="003A3D2A"/>
    <w:rsid w:val="003A5B95"/>
    <w:rsid w:val="003A76FE"/>
    <w:rsid w:val="003A7F6C"/>
    <w:rsid w:val="003B1B8E"/>
    <w:rsid w:val="003B2308"/>
    <w:rsid w:val="003B4336"/>
    <w:rsid w:val="003B4D60"/>
    <w:rsid w:val="003B7E39"/>
    <w:rsid w:val="003C17E1"/>
    <w:rsid w:val="003C1CDA"/>
    <w:rsid w:val="003C58DC"/>
    <w:rsid w:val="003D1E62"/>
    <w:rsid w:val="003D1F3E"/>
    <w:rsid w:val="003D2428"/>
    <w:rsid w:val="003D50F1"/>
    <w:rsid w:val="003D5B56"/>
    <w:rsid w:val="003D5F34"/>
    <w:rsid w:val="003D7C18"/>
    <w:rsid w:val="003E08E5"/>
    <w:rsid w:val="003E0B99"/>
    <w:rsid w:val="003E18B4"/>
    <w:rsid w:val="003E1CE4"/>
    <w:rsid w:val="003E1EF2"/>
    <w:rsid w:val="003E2486"/>
    <w:rsid w:val="003E3208"/>
    <w:rsid w:val="003E3D7C"/>
    <w:rsid w:val="003E4D8B"/>
    <w:rsid w:val="003F0B04"/>
    <w:rsid w:val="003F40D3"/>
    <w:rsid w:val="00400058"/>
    <w:rsid w:val="0040134E"/>
    <w:rsid w:val="00403B9E"/>
    <w:rsid w:val="00403FEB"/>
    <w:rsid w:val="00404839"/>
    <w:rsid w:val="0040592C"/>
    <w:rsid w:val="004105E7"/>
    <w:rsid w:val="00411186"/>
    <w:rsid w:val="00415DA2"/>
    <w:rsid w:val="00417AFE"/>
    <w:rsid w:val="0042009C"/>
    <w:rsid w:val="00421D90"/>
    <w:rsid w:val="00425CD4"/>
    <w:rsid w:val="00426528"/>
    <w:rsid w:val="004278A0"/>
    <w:rsid w:val="00430A3B"/>
    <w:rsid w:val="00430F12"/>
    <w:rsid w:val="0043111B"/>
    <w:rsid w:val="004334C7"/>
    <w:rsid w:val="00437DEC"/>
    <w:rsid w:val="00440A2D"/>
    <w:rsid w:val="0044197C"/>
    <w:rsid w:val="00441C3F"/>
    <w:rsid w:val="004425DA"/>
    <w:rsid w:val="0044384B"/>
    <w:rsid w:val="004444F7"/>
    <w:rsid w:val="00445BD8"/>
    <w:rsid w:val="0045522A"/>
    <w:rsid w:val="004564A7"/>
    <w:rsid w:val="004602CE"/>
    <w:rsid w:val="004617BF"/>
    <w:rsid w:val="00461B93"/>
    <w:rsid w:val="00463658"/>
    <w:rsid w:val="004637A0"/>
    <w:rsid w:val="004639D8"/>
    <w:rsid w:val="00465ED4"/>
    <w:rsid w:val="004679E5"/>
    <w:rsid w:val="004722CC"/>
    <w:rsid w:val="00472A5C"/>
    <w:rsid w:val="00472DFE"/>
    <w:rsid w:val="00477CAE"/>
    <w:rsid w:val="00477F3E"/>
    <w:rsid w:val="00483BB0"/>
    <w:rsid w:val="0048763E"/>
    <w:rsid w:val="00490E61"/>
    <w:rsid w:val="00491DF0"/>
    <w:rsid w:val="00493685"/>
    <w:rsid w:val="004936E4"/>
    <w:rsid w:val="004945A4"/>
    <w:rsid w:val="00494E60"/>
    <w:rsid w:val="00497487"/>
    <w:rsid w:val="004A02D5"/>
    <w:rsid w:val="004A1412"/>
    <w:rsid w:val="004A1A86"/>
    <w:rsid w:val="004A3D5C"/>
    <w:rsid w:val="004A4FA9"/>
    <w:rsid w:val="004A6189"/>
    <w:rsid w:val="004A7390"/>
    <w:rsid w:val="004A7F98"/>
    <w:rsid w:val="004B00E9"/>
    <w:rsid w:val="004B0B2F"/>
    <w:rsid w:val="004B1E12"/>
    <w:rsid w:val="004B3C69"/>
    <w:rsid w:val="004B7B76"/>
    <w:rsid w:val="004C065F"/>
    <w:rsid w:val="004C09D3"/>
    <w:rsid w:val="004C1447"/>
    <w:rsid w:val="004C239D"/>
    <w:rsid w:val="004C2DCA"/>
    <w:rsid w:val="004C5A8B"/>
    <w:rsid w:val="004C61D2"/>
    <w:rsid w:val="004C74AA"/>
    <w:rsid w:val="004D1D24"/>
    <w:rsid w:val="004D3AFC"/>
    <w:rsid w:val="004D584C"/>
    <w:rsid w:val="004D6762"/>
    <w:rsid w:val="004D7BA7"/>
    <w:rsid w:val="004D7EAE"/>
    <w:rsid w:val="004D7FE7"/>
    <w:rsid w:val="004E2C9C"/>
    <w:rsid w:val="004E307C"/>
    <w:rsid w:val="004E57C9"/>
    <w:rsid w:val="004E7957"/>
    <w:rsid w:val="004F0517"/>
    <w:rsid w:val="004F0C4A"/>
    <w:rsid w:val="004F0F38"/>
    <w:rsid w:val="004F171D"/>
    <w:rsid w:val="004F47D6"/>
    <w:rsid w:val="004F701B"/>
    <w:rsid w:val="004F7C84"/>
    <w:rsid w:val="00500CC2"/>
    <w:rsid w:val="00501921"/>
    <w:rsid w:val="0050221F"/>
    <w:rsid w:val="0050230A"/>
    <w:rsid w:val="00502B29"/>
    <w:rsid w:val="005102F9"/>
    <w:rsid w:val="00511392"/>
    <w:rsid w:val="00511AD7"/>
    <w:rsid w:val="005130B9"/>
    <w:rsid w:val="00513104"/>
    <w:rsid w:val="005133D3"/>
    <w:rsid w:val="00513913"/>
    <w:rsid w:val="00513937"/>
    <w:rsid w:val="00515527"/>
    <w:rsid w:val="00521565"/>
    <w:rsid w:val="005221B3"/>
    <w:rsid w:val="00522D08"/>
    <w:rsid w:val="00526EAB"/>
    <w:rsid w:val="00527D98"/>
    <w:rsid w:val="0053029C"/>
    <w:rsid w:val="00530354"/>
    <w:rsid w:val="005308B9"/>
    <w:rsid w:val="00530C71"/>
    <w:rsid w:val="00531233"/>
    <w:rsid w:val="00533395"/>
    <w:rsid w:val="00533B63"/>
    <w:rsid w:val="00535F1D"/>
    <w:rsid w:val="0053625B"/>
    <w:rsid w:val="00537284"/>
    <w:rsid w:val="00537760"/>
    <w:rsid w:val="005431EE"/>
    <w:rsid w:val="005434C6"/>
    <w:rsid w:val="00543B39"/>
    <w:rsid w:val="00545B9B"/>
    <w:rsid w:val="00546154"/>
    <w:rsid w:val="005479B1"/>
    <w:rsid w:val="00550096"/>
    <w:rsid w:val="00555280"/>
    <w:rsid w:val="005563A9"/>
    <w:rsid w:val="00556AF6"/>
    <w:rsid w:val="0055726E"/>
    <w:rsid w:val="00557FF9"/>
    <w:rsid w:val="00560C33"/>
    <w:rsid w:val="00562327"/>
    <w:rsid w:val="00562792"/>
    <w:rsid w:val="0056517A"/>
    <w:rsid w:val="00565A24"/>
    <w:rsid w:val="005711D5"/>
    <w:rsid w:val="00572914"/>
    <w:rsid w:val="00573A61"/>
    <w:rsid w:val="00574D91"/>
    <w:rsid w:val="00575D06"/>
    <w:rsid w:val="00576378"/>
    <w:rsid w:val="00577130"/>
    <w:rsid w:val="00577945"/>
    <w:rsid w:val="00577E38"/>
    <w:rsid w:val="00582034"/>
    <w:rsid w:val="005846FF"/>
    <w:rsid w:val="00585322"/>
    <w:rsid w:val="005857C6"/>
    <w:rsid w:val="005874F4"/>
    <w:rsid w:val="00590CE7"/>
    <w:rsid w:val="005925C5"/>
    <w:rsid w:val="00592F6E"/>
    <w:rsid w:val="00593AD1"/>
    <w:rsid w:val="0059756D"/>
    <w:rsid w:val="00597A11"/>
    <w:rsid w:val="005A22D2"/>
    <w:rsid w:val="005A53C8"/>
    <w:rsid w:val="005A63A3"/>
    <w:rsid w:val="005A68B6"/>
    <w:rsid w:val="005A7C49"/>
    <w:rsid w:val="005B05AF"/>
    <w:rsid w:val="005B523D"/>
    <w:rsid w:val="005B5DC2"/>
    <w:rsid w:val="005B7270"/>
    <w:rsid w:val="005C06BE"/>
    <w:rsid w:val="005C5570"/>
    <w:rsid w:val="005C709E"/>
    <w:rsid w:val="005C79A4"/>
    <w:rsid w:val="005C7BE5"/>
    <w:rsid w:val="005D0F24"/>
    <w:rsid w:val="005D278A"/>
    <w:rsid w:val="005D5442"/>
    <w:rsid w:val="005D5BFE"/>
    <w:rsid w:val="005D6D33"/>
    <w:rsid w:val="005D70E9"/>
    <w:rsid w:val="005E2693"/>
    <w:rsid w:val="005E76CC"/>
    <w:rsid w:val="005F11D9"/>
    <w:rsid w:val="005F484C"/>
    <w:rsid w:val="005F4EC4"/>
    <w:rsid w:val="005F77B3"/>
    <w:rsid w:val="005F7B61"/>
    <w:rsid w:val="00602546"/>
    <w:rsid w:val="00603E88"/>
    <w:rsid w:val="00603F32"/>
    <w:rsid w:val="00604309"/>
    <w:rsid w:val="006051DB"/>
    <w:rsid w:val="00605252"/>
    <w:rsid w:val="00605AB2"/>
    <w:rsid w:val="00605AD4"/>
    <w:rsid w:val="006065E2"/>
    <w:rsid w:val="006136D7"/>
    <w:rsid w:val="006139E7"/>
    <w:rsid w:val="0062092D"/>
    <w:rsid w:val="006220A8"/>
    <w:rsid w:val="00623DCF"/>
    <w:rsid w:val="00625A6E"/>
    <w:rsid w:val="00626647"/>
    <w:rsid w:val="00626DA1"/>
    <w:rsid w:val="00632398"/>
    <w:rsid w:val="00633990"/>
    <w:rsid w:val="00636CD2"/>
    <w:rsid w:val="00636F38"/>
    <w:rsid w:val="006376C5"/>
    <w:rsid w:val="00640FC3"/>
    <w:rsid w:val="00642020"/>
    <w:rsid w:val="00643164"/>
    <w:rsid w:val="006508CB"/>
    <w:rsid w:val="00652934"/>
    <w:rsid w:val="0065337B"/>
    <w:rsid w:val="00653C39"/>
    <w:rsid w:val="00653F16"/>
    <w:rsid w:val="0065419D"/>
    <w:rsid w:val="00656BA0"/>
    <w:rsid w:val="006604D8"/>
    <w:rsid w:val="00664A5B"/>
    <w:rsid w:val="0066735C"/>
    <w:rsid w:val="0067100D"/>
    <w:rsid w:val="00672A71"/>
    <w:rsid w:val="00674227"/>
    <w:rsid w:val="00675D6E"/>
    <w:rsid w:val="006763D2"/>
    <w:rsid w:val="00680C08"/>
    <w:rsid w:val="00684E26"/>
    <w:rsid w:val="00690254"/>
    <w:rsid w:val="006916A0"/>
    <w:rsid w:val="00692C69"/>
    <w:rsid w:val="006931B1"/>
    <w:rsid w:val="00694BE2"/>
    <w:rsid w:val="006951E2"/>
    <w:rsid w:val="006974B6"/>
    <w:rsid w:val="006A0664"/>
    <w:rsid w:val="006A15C0"/>
    <w:rsid w:val="006A1B00"/>
    <w:rsid w:val="006A349C"/>
    <w:rsid w:val="006A50BA"/>
    <w:rsid w:val="006A5CB6"/>
    <w:rsid w:val="006B0621"/>
    <w:rsid w:val="006B0C20"/>
    <w:rsid w:val="006B6E95"/>
    <w:rsid w:val="006C0963"/>
    <w:rsid w:val="006C36C3"/>
    <w:rsid w:val="006C383A"/>
    <w:rsid w:val="006C3E2A"/>
    <w:rsid w:val="006C4441"/>
    <w:rsid w:val="006C642F"/>
    <w:rsid w:val="006C7044"/>
    <w:rsid w:val="006D03E5"/>
    <w:rsid w:val="006D1094"/>
    <w:rsid w:val="006D4C35"/>
    <w:rsid w:val="006D5D3E"/>
    <w:rsid w:val="006D7E23"/>
    <w:rsid w:val="006E08B3"/>
    <w:rsid w:val="006E18B9"/>
    <w:rsid w:val="006E1F10"/>
    <w:rsid w:val="006E29A3"/>
    <w:rsid w:val="006E5584"/>
    <w:rsid w:val="006E67E3"/>
    <w:rsid w:val="006E6DFC"/>
    <w:rsid w:val="006F17AC"/>
    <w:rsid w:val="006F1FD0"/>
    <w:rsid w:val="006F25B8"/>
    <w:rsid w:val="006F572E"/>
    <w:rsid w:val="006F7AC0"/>
    <w:rsid w:val="00701D29"/>
    <w:rsid w:val="00702CA1"/>
    <w:rsid w:val="00702FD3"/>
    <w:rsid w:val="007046D6"/>
    <w:rsid w:val="00705DB0"/>
    <w:rsid w:val="00710E45"/>
    <w:rsid w:val="0071481D"/>
    <w:rsid w:val="00721AF0"/>
    <w:rsid w:val="00722472"/>
    <w:rsid w:val="00722B57"/>
    <w:rsid w:val="00723F20"/>
    <w:rsid w:val="00725C00"/>
    <w:rsid w:val="00726688"/>
    <w:rsid w:val="00726C3F"/>
    <w:rsid w:val="00730F8A"/>
    <w:rsid w:val="00732737"/>
    <w:rsid w:val="00733154"/>
    <w:rsid w:val="0073346D"/>
    <w:rsid w:val="00734122"/>
    <w:rsid w:val="00735A8C"/>
    <w:rsid w:val="00736BC4"/>
    <w:rsid w:val="00740B59"/>
    <w:rsid w:val="0074253D"/>
    <w:rsid w:val="00742CDB"/>
    <w:rsid w:val="0074429B"/>
    <w:rsid w:val="007458A7"/>
    <w:rsid w:val="007464E3"/>
    <w:rsid w:val="0074667F"/>
    <w:rsid w:val="00755505"/>
    <w:rsid w:val="007612C6"/>
    <w:rsid w:val="007615BC"/>
    <w:rsid w:val="00761750"/>
    <w:rsid w:val="007620EC"/>
    <w:rsid w:val="00762F05"/>
    <w:rsid w:val="00763258"/>
    <w:rsid w:val="007632AE"/>
    <w:rsid w:val="007644C9"/>
    <w:rsid w:val="007652FF"/>
    <w:rsid w:val="007661F4"/>
    <w:rsid w:val="00766637"/>
    <w:rsid w:val="00767A09"/>
    <w:rsid w:val="00767E1E"/>
    <w:rsid w:val="00770CAC"/>
    <w:rsid w:val="00770EF1"/>
    <w:rsid w:val="0077183C"/>
    <w:rsid w:val="00773EF7"/>
    <w:rsid w:val="00774E1D"/>
    <w:rsid w:val="007765D8"/>
    <w:rsid w:val="0077675A"/>
    <w:rsid w:val="00776CB9"/>
    <w:rsid w:val="00780355"/>
    <w:rsid w:val="007819FD"/>
    <w:rsid w:val="00785717"/>
    <w:rsid w:val="00785721"/>
    <w:rsid w:val="007860D8"/>
    <w:rsid w:val="00787CD9"/>
    <w:rsid w:val="007905A1"/>
    <w:rsid w:val="00793A59"/>
    <w:rsid w:val="00795B40"/>
    <w:rsid w:val="00795F38"/>
    <w:rsid w:val="007A1C9E"/>
    <w:rsid w:val="007A1EA2"/>
    <w:rsid w:val="007A3345"/>
    <w:rsid w:val="007A364C"/>
    <w:rsid w:val="007A36CA"/>
    <w:rsid w:val="007A4555"/>
    <w:rsid w:val="007A490F"/>
    <w:rsid w:val="007A5027"/>
    <w:rsid w:val="007A5608"/>
    <w:rsid w:val="007B03BC"/>
    <w:rsid w:val="007B0ACD"/>
    <w:rsid w:val="007B3373"/>
    <w:rsid w:val="007B43E1"/>
    <w:rsid w:val="007B6132"/>
    <w:rsid w:val="007B6E9F"/>
    <w:rsid w:val="007B7A37"/>
    <w:rsid w:val="007C0916"/>
    <w:rsid w:val="007C1216"/>
    <w:rsid w:val="007C1AF7"/>
    <w:rsid w:val="007C411C"/>
    <w:rsid w:val="007C5A3B"/>
    <w:rsid w:val="007C5E84"/>
    <w:rsid w:val="007C6B9B"/>
    <w:rsid w:val="007C7EB7"/>
    <w:rsid w:val="007D2026"/>
    <w:rsid w:val="007D2835"/>
    <w:rsid w:val="007D50F3"/>
    <w:rsid w:val="007D5A75"/>
    <w:rsid w:val="007D5BD1"/>
    <w:rsid w:val="007D694B"/>
    <w:rsid w:val="007E2AF3"/>
    <w:rsid w:val="007E2BA4"/>
    <w:rsid w:val="007F1473"/>
    <w:rsid w:val="007F78B7"/>
    <w:rsid w:val="00801F8E"/>
    <w:rsid w:val="00802F5E"/>
    <w:rsid w:val="00805D27"/>
    <w:rsid w:val="00806589"/>
    <w:rsid w:val="00806DCB"/>
    <w:rsid w:val="00812593"/>
    <w:rsid w:val="008125EE"/>
    <w:rsid w:val="00814657"/>
    <w:rsid w:val="00814DA7"/>
    <w:rsid w:val="008152CA"/>
    <w:rsid w:val="0082122C"/>
    <w:rsid w:val="00821320"/>
    <w:rsid w:val="00821776"/>
    <w:rsid w:val="00821C48"/>
    <w:rsid w:val="00821D91"/>
    <w:rsid w:val="00823A3D"/>
    <w:rsid w:val="008249F9"/>
    <w:rsid w:val="0083055A"/>
    <w:rsid w:val="008321F5"/>
    <w:rsid w:val="00832369"/>
    <w:rsid w:val="0083248E"/>
    <w:rsid w:val="00834660"/>
    <w:rsid w:val="00834818"/>
    <w:rsid w:val="00835A1F"/>
    <w:rsid w:val="00836BC2"/>
    <w:rsid w:val="00837B2B"/>
    <w:rsid w:val="008406DF"/>
    <w:rsid w:val="00840AD3"/>
    <w:rsid w:val="00845BEC"/>
    <w:rsid w:val="0085156D"/>
    <w:rsid w:val="00853E47"/>
    <w:rsid w:val="00855AAD"/>
    <w:rsid w:val="00855C89"/>
    <w:rsid w:val="0085641B"/>
    <w:rsid w:val="00857136"/>
    <w:rsid w:val="00860B51"/>
    <w:rsid w:val="00860D94"/>
    <w:rsid w:val="00862B0F"/>
    <w:rsid w:val="00862BA6"/>
    <w:rsid w:val="0086394A"/>
    <w:rsid w:val="00864B4D"/>
    <w:rsid w:val="008659EC"/>
    <w:rsid w:val="008667D7"/>
    <w:rsid w:val="008703A9"/>
    <w:rsid w:val="0087228D"/>
    <w:rsid w:val="00875A6B"/>
    <w:rsid w:val="00877873"/>
    <w:rsid w:val="008806A0"/>
    <w:rsid w:val="008818D2"/>
    <w:rsid w:val="0088383D"/>
    <w:rsid w:val="00883A5B"/>
    <w:rsid w:val="00885268"/>
    <w:rsid w:val="008858B7"/>
    <w:rsid w:val="00885B11"/>
    <w:rsid w:val="008864B3"/>
    <w:rsid w:val="00886D15"/>
    <w:rsid w:val="00887DD8"/>
    <w:rsid w:val="0089016D"/>
    <w:rsid w:val="00891BA9"/>
    <w:rsid w:val="00896018"/>
    <w:rsid w:val="008960DD"/>
    <w:rsid w:val="0089635C"/>
    <w:rsid w:val="00897015"/>
    <w:rsid w:val="008A01D9"/>
    <w:rsid w:val="008A2A0F"/>
    <w:rsid w:val="008A2B9D"/>
    <w:rsid w:val="008A3006"/>
    <w:rsid w:val="008A3D9F"/>
    <w:rsid w:val="008A4332"/>
    <w:rsid w:val="008A5E0B"/>
    <w:rsid w:val="008A6D59"/>
    <w:rsid w:val="008B4B03"/>
    <w:rsid w:val="008B4CBA"/>
    <w:rsid w:val="008B5066"/>
    <w:rsid w:val="008B596F"/>
    <w:rsid w:val="008B76D2"/>
    <w:rsid w:val="008C1202"/>
    <w:rsid w:val="008C159F"/>
    <w:rsid w:val="008C1623"/>
    <w:rsid w:val="008C1850"/>
    <w:rsid w:val="008C2CC3"/>
    <w:rsid w:val="008C3087"/>
    <w:rsid w:val="008C51A9"/>
    <w:rsid w:val="008C6D4A"/>
    <w:rsid w:val="008C6FFE"/>
    <w:rsid w:val="008C78F1"/>
    <w:rsid w:val="008D0B10"/>
    <w:rsid w:val="008D10A8"/>
    <w:rsid w:val="008D42D8"/>
    <w:rsid w:val="008D453D"/>
    <w:rsid w:val="008E0409"/>
    <w:rsid w:val="008E17BD"/>
    <w:rsid w:val="008E44E4"/>
    <w:rsid w:val="008E7846"/>
    <w:rsid w:val="008F02E5"/>
    <w:rsid w:val="008F16EA"/>
    <w:rsid w:val="008F182B"/>
    <w:rsid w:val="008F1CCC"/>
    <w:rsid w:val="008F2967"/>
    <w:rsid w:val="008F30AC"/>
    <w:rsid w:val="008F589A"/>
    <w:rsid w:val="008F5FC3"/>
    <w:rsid w:val="008F6943"/>
    <w:rsid w:val="008F6A17"/>
    <w:rsid w:val="00901669"/>
    <w:rsid w:val="009024EF"/>
    <w:rsid w:val="00902A21"/>
    <w:rsid w:val="00903506"/>
    <w:rsid w:val="009117DF"/>
    <w:rsid w:val="00911E2B"/>
    <w:rsid w:val="00912578"/>
    <w:rsid w:val="00913939"/>
    <w:rsid w:val="00920330"/>
    <w:rsid w:val="009219D7"/>
    <w:rsid w:val="00922D53"/>
    <w:rsid w:val="00923B70"/>
    <w:rsid w:val="00924482"/>
    <w:rsid w:val="009277E9"/>
    <w:rsid w:val="00930237"/>
    <w:rsid w:val="009370B0"/>
    <w:rsid w:val="009371C7"/>
    <w:rsid w:val="00937C17"/>
    <w:rsid w:val="0094010F"/>
    <w:rsid w:val="00940A89"/>
    <w:rsid w:val="009440FB"/>
    <w:rsid w:val="00944C88"/>
    <w:rsid w:val="00946258"/>
    <w:rsid w:val="00946EA5"/>
    <w:rsid w:val="00947771"/>
    <w:rsid w:val="00947E4C"/>
    <w:rsid w:val="00947F63"/>
    <w:rsid w:val="0095347A"/>
    <w:rsid w:val="00953CCB"/>
    <w:rsid w:val="00953D51"/>
    <w:rsid w:val="00954A30"/>
    <w:rsid w:val="00956A17"/>
    <w:rsid w:val="00957CA6"/>
    <w:rsid w:val="0096205F"/>
    <w:rsid w:val="0096375F"/>
    <w:rsid w:val="00963C08"/>
    <w:rsid w:val="009645D7"/>
    <w:rsid w:val="009732D4"/>
    <w:rsid w:val="009752A5"/>
    <w:rsid w:val="00975DA1"/>
    <w:rsid w:val="00976F8E"/>
    <w:rsid w:val="0097762E"/>
    <w:rsid w:val="00981019"/>
    <w:rsid w:val="009854A1"/>
    <w:rsid w:val="0098585A"/>
    <w:rsid w:val="00986A38"/>
    <w:rsid w:val="00986E67"/>
    <w:rsid w:val="00987216"/>
    <w:rsid w:val="00990B05"/>
    <w:rsid w:val="009925DC"/>
    <w:rsid w:val="00996028"/>
    <w:rsid w:val="009972A9"/>
    <w:rsid w:val="009975CF"/>
    <w:rsid w:val="009979A9"/>
    <w:rsid w:val="009A1FAA"/>
    <w:rsid w:val="009A2EA9"/>
    <w:rsid w:val="009A30FC"/>
    <w:rsid w:val="009A3F78"/>
    <w:rsid w:val="009A4CED"/>
    <w:rsid w:val="009A5E72"/>
    <w:rsid w:val="009A690D"/>
    <w:rsid w:val="009B02D0"/>
    <w:rsid w:val="009B1D12"/>
    <w:rsid w:val="009B3C2A"/>
    <w:rsid w:val="009B3F8F"/>
    <w:rsid w:val="009B416B"/>
    <w:rsid w:val="009B45F8"/>
    <w:rsid w:val="009B6200"/>
    <w:rsid w:val="009B7C0E"/>
    <w:rsid w:val="009C1064"/>
    <w:rsid w:val="009C2C6C"/>
    <w:rsid w:val="009C30F3"/>
    <w:rsid w:val="009C4BD5"/>
    <w:rsid w:val="009C59FA"/>
    <w:rsid w:val="009C5E16"/>
    <w:rsid w:val="009D2456"/>
    <w:rsid w:val="009D63F6"/>
    <w:rsid w:val="009D7B77"/>
    <w:rsid w:val="009D7D97"/>
    <w:rsid w:val="009E06D6"/>
    <w:rsid w:val="009E0BB0"/>
    <w:rsid w:val="009E1F6C"/>
    <w:rsid w:val="009E3FBB"/>
    <w:rsid w:val="009E592C"/>
    <w:rsid w:val="009E60D2"/>
    <w:rsid w:val="009F1CCC"/>
    <w:rsid w:val="009F3C08"/>
    <w:rsid w:val="009F5A94"/>
    <w:rsid w:val="009F5E0B"/>
    <w:rsid w:val="009F7353"/>
    <w:rsid w:val="009F7DC5"/>
    <w:rsid w:val="00A0099F"/>
    <w:rsid w:val="00A00AB3"/>
    <w:rsid w:val="00A00CC3"/>
    <w:rsid w:val="00A017A0"/>
    <w:rsid w:val="00A02CDD"/>
    <w:rsid w:val="00A038CA"/>
    <w:rsid w:val="00A04128"/>
    <w:rsid w:val="00A04331"/>
    <w:rsid w:val="00A04F85"/>
    <w:rsid w:val="00A05FA4"/>
    <w:rsid w:val="00A061ED"/>
    <w:rsid w:val="00A0673B"/>
    <w:rsid w:val="00A102E4"/>
    <w:rsid w:val="00A113DA"/>
    <w:rsid w:val="00A12C42"/>
    <w:rsid w:val="00A13958"/>
    <w:rsid w:val="00A14DF7"/>
    <w:rsid w:val="00A211A6"/>
    <w:rsid w:val="00A21CEC"/>
    <w:rsid w:val="00A27376"/>
    <w:rsid w:val="00A275B5"/>
    <w:rsid w:val="00A31920"/>
    <w:rsid w:val="00A3246D"/>
    <w:rsid w:val="00A32606"/>
    <w:rsid w:val="00A36FA7"/>
    <w:rsid w:val="00A4009B"/>
    <w:rsid w:val="00A40448"/>
    <w:rsid w:val="00A42E88"/>
    <w:rsid w:val="00A44DDB"/>
    <w:rsid w:val="00A450EA"/>
    <w:rsid w:val="00A456B3"/>
    <w:rsid w:val="00A45B4E"/>
    <w:rsid w:val="00A46E54"/>
    <w:rsid w:val="00A475B7"/>
    <w:rsid w:val="00A47AF7"/>
    <w:rsid w:val="00A47C07"/>
    <w:rsid w:val="00A47C3E"/>
    <w:rsid w:val="00A50226"/>
    <w:rsid w:val="00A530D7"/>
    <w:rsid w:val="00A55926"/>
    <w:rsid w:val="00A577D5"/>
    <w:rsid w:val="00A60064"/>
    <w:rsid w:val="00A6084B"/>
    <w:rsid w:val="00A60BAD"/>
    <w:rsid w:val="00A6255E"/>
    <w:rsid w:val="00A64110"/>
    <w:rsid w:val="00A65C0D"/>
    <w:rsid w:val="00A67BC7"/>
    <w:rsid w:val="00A73B6F"/>
    <w:rsid w:val="00A8025F"/>
    <w:rsid w:val="00A80B5B"/>
    <w:rsid w:val="00A82A15"/>
    <w:rsid w:val="00A833E9"/>
    <w:rsid w:val="00A84217"/>
    <w:rsid w:val="00A84E36"/>
    <w:rsid w:val="00A86C6A"/>
    <w:rsid w:val="00A90D0C"/>
    <w:rsid w:val="00A925F4"/>
    <w:rsid w:val="00A92E95"/>
    <w:rsid w:val="00A95C86"/>
    <w:rsid w:val="00A964D1"/>
    <w:rsid w:val="00A9771C"/>
    <w:rsid w:val="00A97AA9"/>
    <w:rsid w:val="00AA0ED0"/>
    <w:rsid w:val="00AA146A"/>
    <w:rsid w:val="00AA1EFA"/>
    <w:rsid w:val="00AA24CD"/>
    <w:rsid w:val="00AB0498"/>
    <w:rsid w:val="00AB120F"/>
    <w:rsid w:val="00AB2FF5"/>
    <w:rsid w:val="00AC2B40"/>
    <w:rsid w:val="00AC2B49"/>
    <w:rsid w:val="00AC2BB2"/>
    <w:rsid w:val="00AC2C3C"/>
    <w:rsid w:val="00AC31A0"/>
    <w:rsid w:val="00AC37FD"/>
    <w:rsid w:val="00AC3DAA"/>
    <w:rsid w:val="00AC41C6"/>
    <w:rsid w:val="00AC512D"/>
    <w:rsid w:val="00AC5B3F"/>
    <w:rsid w:val="00AC6710"/>
    <w:rsid w:val="00AD0083"/>
    <w:rsid w:val="00AD0FC2"/>
    <w:rsid w:val="00AD185D"/>
    <w:rsid w:val="00AD1BB3"/>
    <w:rsid w:val="00AD2097"/>
    <w:rsid w:val="00AD2AA8"/>
    <w:rsid w:val="00AD3935"/>
    <w:rsid w:val="00AD4B28"/>
    <w:rsid w:val="00AE1492"/>
    <w:rsid w:val="00AE227B"/>
    <w:rsid w:val="00AE4250"/>
    <w:rsid w:val="00AE45EA"/>
    <w:rsid w:val="00AE62F0"/>
    <w:rsid w:val="00AE65EB"/>
    <w:rsid w:val="00AE67A7"/>
    <w:rsid w:val="00AE6E8A"/>
    <w:rsid w:val="00AE7857"/>
    <w:rsid w:val="00AE7B21"/>
    <w:rsid w:val="00AF1D94"/>
    <w:rsid w:val="00AF1EA3"/>
    <w:rsid w:val="00AF4DA9"/>
    <w:rsid w:val="00AF60C5"/>
    <w:rsid w:val="00AF7E8E"/>
    <w:rsid w:val="00AF7EDC"/>
    <w:rsid w:val="00B00483"/>
    <w:rsid w:val="00B009C6"/>
    <w:rsid w:val="00B01548"/>
    <w:rsid w:val="00B02672"/>
    <w:rsid w:val="00B048D9"/>
    <w:rsid w:val="00B04E04"/>
    <w:rsid w:val="00B05ABB"/>
    <w:rsid w:val="00B06948"/>
    <w:rsid w:val="00B0726C"/>
    <w:rsid w:val="00B10419"/>
    <w:rsid w:val="00B11FC8"/>
    <w:rsid w:val="00B127F9"/>
    <w:rsid w:val="00B13EBD"/>
    <w:rsid w:val="00B1428D"/>
    <w:rsid w:val="00B145E9"/>
    <w:rsid w:val="00B17B44"/>
    <w:rsid w:val="00B21D29"/>
    <w:rsid w:val="00B22435"/>
    <w:rsid w:val="00B25034"/>
    <w:rsid w:val="00B260D2"/>
    <w:rsid w:val="00B26FBE"/>
    <w:rsid w:val="00B27025"/>
    <w:rsid w:val="00B33588"/>
    <w:rsid w:val="00B33863"/>
    <w:rsid w:val="00B34E7F"/>
    <w:rsid w:val="00B36426"/>
    <w:rsid w:val="00B36A46"/>
    <w:rsid w:val="00B37D17"/>
    <w:rsid w:val="00B4052E"/>
    <w:rsid w:val="00B40F09"/>
    <w:rsid w:val="00B4175E"/>
    <w:rsid w:val="00B42101"/>
    <w:rsid w:val="00B45165"/>
    <w:rsid w:val="00B452CE"/>
    <w:rsid w:val="00B46453"/>
    <w:rsid w:val="00B46DF9"/>
    <w:rsid w:val="00B47152"/>
    <w:rsid w:val="00B51BEE"/>
    <w:rsid w:val="00B53544"/>
    <w:rsid w:val="00B54C25"/>
    <w:rsid w:val="00B56B18"/>
    <w:rsid w:val="00B61181"/>
    <w:rsid w:val="00B61214"/>
    <w:rsid w:val="00B71165"/>
    <w:rsid w:val="00B767A3"/>
    <w:rsid w:val="00B76B91"/>
    <w:rsid w:val="00B77EB1"/>
    <w:rsid w:val="00B811C6"/>
    <w:rsid w:val="00B822E5"/>
    <w:rsid w:val="00B83873"/>
    <w:rsid w:val="00B838F4"/>
    <w:rsid w:val="00B855B0"/>
    <w:rsid w:val="00B857CF"/>
    <w:rsid w:val="00B85BF0"/>
    <w:rsid w:val="00B904CA"/>
    <w:rsid w:val="00B9117E"/>
    <w:rsid w:val="00B92E08"/>
    <w:rsid w:val="00B97512"/>
    <w:rsid w:val="00BA472D"/>
    <w:rsid w:val="00BA7E13"/>
    <w:rsid w:val="00BB35B8"/>
    <w:rsid w:val="00BB65CF"/>
    <w:rsid w:val="00BC1CE8"/>
    <w:rsid w:val="00BC24D4"/>
    <w:rsid w:val="00BC2713"/>
    <w:rsid w:val="00BC622A"/>
    <w:rsid w:val="00BC7191"/>
    <w:rsid w:val="00BD1D26"/>
    <w:rsid w:val="00BD3C74"/>
    <w:rsid w:val="00BD60EA"/>
    <w:rsid w:val="00BE0A78"/>
    <w:rsid w:val="00BE148F"/>
    <w:rsid w:val="00BE25C3"/>
    <w:rsid w:val="00BE4B51"/>
    <w:rsid w:val="00BE4F31"/>
    <w:rsid w:val="00BE5F22"/>
    <w:rsid w:val="00BE6B74"/>
    <w:rsid w:val="00BE79F0"/>
    <w:rsid w:val="00BF046D"/>
    <w:rsid w:val="00BF0A33"/>
    <w:rsid w:val="00BF1190"/>
    <w:rsid w:val="00BF133B"/>
    <w:rsid w:val="00BF5D04"/>
    <w:rsid w:val="00BF6B04"/>
    <w:rsid w:val="00C009AA"/>
    <w:rsid w:val="00C013BD"/>
    <w:rsid w:val="00C03FB5"/>
    <w:rsid w:val="00C050A1"/>
    <w:rsid w:val="00C10BBB"/>
    <w:rsid w:val="00C1164D"/>
    <w:rsid w:val="00C123A4"/>
    <w:rsid w:val="00C16861"/>
    <w:rsid w:val="00C21023"/>
    <w:rsid w:val="00C22D07"/>
    <w:rsid w:val="00C2345D"/>
    <w:rsid w:val="00C278A1"/>
    <w:rsid w:val="00C346AB"/>
    <w:rsid w:val="00C36F16"/>
    <w:rsid w:val="00C404A6"/>
    <w:rsid w:val="00C40A36"/>
    <w:rsid w:val="00C44419"/>
    <w:rsid w:val="00C4490D"/>
    <w:rsid w:val="00C45E7B"/>
    <w:rsid w:val="00C471B1"/>
    <w:rsid w:val="00C47D43"/>
    <w:rsid w:val="00C5183B"/>
    <w:rsid w:val="00C55DE4"/>
    <w:rsid w:val="00C57A69"/>
    <w:rsid w:val="00C60493"/>
    <w:rsid w:val="00C621B7"/>
    <w:rsid w:val="00C62EB6"/>
    <w:rsid w:val="00C6316B"/>
    <w:rsid w:val="00C634A9"/>
    <w:rsid w:val="00C64586"/>
    <w:rsid w:val="00C64EB4"/>
    <w:rsid w:val="00C65C33"/>
    <w:rsid w:val="00C67814"/>
    <w:rsid w:val="00C70D53"/>
    <w:rsid w:val="00C73D0B"/>
    <w:rsid w:val="00C76A34"/>
    <w:rsid w:val="00C772FF"/>
    <w:rsid w:val="00C80137"/>
    <w:rsid w:val="00C801AF"/>
    <w:rsid w:val="00C80256"/>
    <w:rsid w:val="00C82139"/>
    <w:rsid w:val="00C82876"/>
    <w:rsid w:val="00C85EDC"/>
    <w:rsid w:val="00C87115"/>
    <w:rsid w:val="00C90886"/>
    <w:rsid w:val="00C90EF8"/>
    <w:rsid w:val="00C94CD4"/>
    <w:rsid w:val="00C9747E"/>
    <w:rsid w:val="00CA0A76"/>
    <w:rsid w:val="00CA11AE"/>
    <w:rsid w:val="00CA18E9"/>
    <w:rsid w:val="00CB0AA0"/>
    <w:rsid w:val="00CB3BD3"/>
    <w:rsid w:val="00CB6BC0"/>
    <w:rsid w:val="00CB715C"/>
    <w:rsid w:val="00CC1B7C"/>
    <w:rsid w:val="00CC2C2F"/>
    <w:rsid w:val="00CC4CD7"/>
    <w:rsid w:val="00CC67FB"/>
    <w:rsid w:val="00CC727F"/>
    <w:rsid w:val="00CD1520"/>
    <w:rsid w:val="00CD4BF3"/>
    <w:rsid w:val="00CD500A"/>
    <w:rsid w:val="00CD5D74"/>
    <w:rsid w:val="00CD5E78"/>
    <w:rsid w:val="00CD7889"/>
    <w:rsid w:val="00CE0622"/>
    <w:rsid w:val="00CE5435"/>
    <w:rsid w:val="00CE6154"/>
    <w:rsid w:val="00CF15C3"/>
    <w:rsid w:val="00CF2B6F"/>
    <w:rsid w:val="00CF2F3E"/>
    <w:rsid w:val="00CF32D6"/>
    <w:rsid w:val="00CF58B6"/>
    <w:rsid w:val="00D0062D"/>
    <w:rsid w:val="00D00B10"/>
    <w:rsid w:val="00D017ED"/>
    <w:rsid w:val="00D040D3"/>
    <w:rsid w:val="00D04491"/>
    <w:rsid w:val="00D04BCE"/>
    <w:rsid w:val="00D04C65"/>
    <w:rsid w:val="00D07A91"/>
    <w:rsid w:val="00D11D5C"/>
    <w:rsid w:val="00D11E27"/>
    <w:rsid w:val="00D1359B"/>
    <w:rsid w:val="00D201D2"/>
    <w:rsid w:val="00D20D0D"/>
    <w:rsid w:val="00D2159C"/>
    <w:rsid w:val="00D224FE"/>
    <w:rsid w:val="00D23139"/>
    <w:rsid w:val="00D31706"/>
    <w:rsid w:val="00D32698"/>
    <w:rsid w:val="00D40F5E"/>
    <w:rsid w:val="00D425BB"/>
    <w:rsid w:val="00D4456A"/>
    <w:rsid w:val="00D4594A"/>
    <w:rsid w:val="00D47AC9"/>
    <w:rsid w:val="00D538C3"/>
    <w:rsid w:val="00D579FE"/>
    <w:rsid w:val="00D57C90"/>
    <w:rsid w:val="00D61BD7"/>
    <w:rsid w:val="00D6493E"/>
    <w:rsid w:val="00D702FD"/>
    <w:rsid w:val="00D70E6C"/>
    <w:rsid w:val="00D7132E"/>
    <w:rsid w:val="00D7195D"/>
    <w:rsid w:val="00D7301E"/>
    <w:rsid w:val="00D73462"/>
    <w:rsid w:val="00D75201"/>
    <w:rsid w:val="00D81BBA"/>
    <w:rsid w:val="00D83AE1"/>
    <w:rsid w:val="00D855D4"/>
    <w:rsid w:val="00D902C9"/>
    <w:rsid w:val="00D90C82"/>
    <w:rsid w:val="00D90F41"/>
    <w:rsid w:val="00D93466"/>
    <w:rsid w:val="00D94226"/>
    <w:rsid w:val="00D9424C"/>
    <w:rsid w:val="00D9441C"/>
    <w:rsid w:val="00D9479E"/>
    <w:rsid w:val="00D95D24"/>
    <w:rsid w:val="00D9627F"/>
    <w:rsid w:val="00DA1124"/>
    <w:rsid w:val="00DA3BA1"/>
    <w:rsid w:val="00DA570F"/>
    <w:rsid w:val="00DB09FC"/>
    <w:rsid w:val="00DB196A"/>
    <w:rsid w:val="00DB6124"/>
    <w:rsid w:val="00DB617C"/>
    <w:rsid w:val="00DB750B"/>
    <w:rsid w:val="00DB75B7"/>
    <w:rsid w:val="00DB7991"/>
    <w:rsid w:val="00DC00F7"/>
    <w:rsid w:val="00DC0A72"/>
    <w:rsid w:val="00DC1123"/>
    <w:rsid w:val="00DC1182"/>
    <w:rsid w:val="00DC3126"/>
    <w:rsid w:val="00DC4AB4"/>
    <w:rsid w:val="00DC6E02"/>
    <w:rsid w:val="00DD10D7"/>
    <w:rsid w:val="00DD2700"/>
    <w:rsid w:val="00DD28CD"/>
    <w:rsid w:val="00DD4F4F"/>
    <w:rsid w:val="00DD7E0F"/>
    <w:rsid w:val="00DE02AE"/>
    <w:rsid w:val="00DE77ED"/>
    <w:rsid w:val="00DF1D7F"/>
    <w:rsid w:val="00DF4597"/>
    <w:rsid w:val="00DF4BE4"/>
    <w:rsid w:val="00E0072D"/>
    <w:rsid w:val="00E02FB4"/>
    <w:rsid w:val="00E074B2"/>
    <w:rsid w:val="00E13FC7"/>
    <w:rsid w:val="00E14706"/>
    <w:rsid w:val="00E14E44"/>
    <w:rsid w:val="00E174D1"/>
    <w:rsid w:val="00E17B6A"/>
    <w:rsid w:val="00E20571"/>
    <w:rsid w:val="00E2114A"/>
    <w:rsid w:val="00E235F7"/>
    <w:rsid w:val="00E23659"/>
    <w:rsid w:val="00E239D4"/>
    <w:rsid w:val="00E242B9"/>
    <w:rsid w:val="00E25E9C"/>
    <w:rsid w:val="00E26130"/>
    <w:rsid w:val="00E32C82"/>
    <w:rsid w:val="00E34D9B"/>
    <w:rsid w:val="00E35AE9"/>
    <w:rsid w:val="00E37660"/>
    <w:rsid w:val="00E37DAF"/>
    <w:rsid w:val="00E40B22"/>
    <w:rsid w:val="00E41B67"/>
    <w:rsid w:val="00E4200C"/>
    <w:rsid w:val="00E43028"/>
    <w:rsid w:val="00E44E85"/>
    <w:rsid w:val="00E44ED1"/>
    <w:rsid w:val="00E45619"/>
    <w:rsid w:val="00E4588F"/>
    <w:rsid w:val="00E46A0B"/>
    <w:rsid w:val="00E46DA3"/>
    <w:rsid w:val="00E51BB1"/>
    <w:rsid w:val="00E57583"/>
    <w:rsid w:val="00E579D5"/>
    <w:rsid w:val="00E624A5"/>
    <w:rsid w:val="00E62B2C"/>
    <w:rsid w:val="00E64494"/>
    <w:rsid w:val="00E64BA4"/>
    <w:rsid w:val="00E6578C"/>
    <w:rsid w:val="00E7037F"/>
    <w:rsid w:val="00E71BB5"/>
    <w:rsid w:val="00E733B5"/>
    <w:rsid w:val="00E7344E"/>
    <w:rsid w:val="00E7510D"/>
    <w:rsid w:val="00E75B1E"/>
    <w:rsid w:val="00E81F6A"/>
    <w:rsid w:val="00E82665"/>
    <w:rsid w:val="00E9102C"/>
    <w:rsid w:val="00E9127E"/>
    <w:rsid w:val="00E9160E"/>
    <w:rsid w:val="00E93A97"/>
    <w:rsid w:val="00E95434"/>
    <w:rsid w:val="00E9611B"/>
    <w:rsid w:val="00EA20EC"/>
    <w:rsid w:val="00EA51B2"/>
    <w:rsid w:val="00EB0798"/>
    <w:rsid w:val="00EB0E47"/>
    <w:rsid w:val="00EB112B"/>
    <w:rsid w:val="00EB2D1B"/>
    <w:rsid w:val="00EB40AD"/>
    <w:rsid w:val="00EB448F"/>
    <w:rsid w:val="00EB586E"/>
    <w:rsid w:val="00EB5D79"/>
    <w:rsid w:val="00EB5FC8"/>
    <w:rsid w:val="00EB5FDC"/>
    <w:rsid w:val="00EB6F7B"/>
    <w:rsid w:val="00EC3AC2"/>
    <w:rsid w:val="00EC463D"/>
    <w:rsid w:val="00EC6072"/>
    <w:rsid w:val="00EC7A85"/>
    <w:rsid w:val="00ED0147"/>
    <w:rsid w:val="00ED2922"/>
    <w:rsid w:val="00ED30F5"/>
    <w:rsid w:val="00ED3AD8"/>
    <w:rsid w:val="00ED3CAD"/>
    <w:rsid w:val="00ED5A41"/>
    <w:rsid w:val="00ED78B9"/>
    <w:rsid w:val="00ED7D0C"/>
    <w:rsid w:val="00EE1DE8"/>
    <w:rsid w:val="00EE27C2"/>
    <w:rsid w:val="00EE477D"/>
    <w:rsid w:val="00EF3EC1"/>
    <w:rsid w:val="00EF4BAD"/>
    <w:rsid w:val="00EF539B"/>
    <w:rsid w:val="00EF5419"/>
    <w:rsid w:val="00EF59DC"/>
    <w:rsid w:val="00F00957"/>
    <w:rsid w:val="00F02083"/>
    <w:rsid w:val="00F033EC"/>
    <w:rsid w:val="00F04F68"/>
    <w:rsid w:val="00F06B23"/>
    <w:rsid w:val="00F122D4"/>
    <w:rsid w:val="00F12670"/>
    <w:rsid w:val="00F143C9"/>
    <w:rsid w:val="00F14B27"/>
    <w:rsid w:val="00F16F5F"/>
    <w:rsid w:val="00F17547"/>
    <w:rsid w:val="00F17CAA"/>
    <w:rsid w:val="00F252A9"/>
    <w:rsid w:val="00F25EF7"/>
    <w:rsid w:val="00F30C2A"/>
    <w:rsid w:val="00F31124"/>
    <w:rsid w:val="00F3148D"/>
    <w:rsid w:val="00F325C5"/>
    <w:rsid w:val="00F327E0"/>
    <w:rsid w:val="00F32FE0"/>
    <w:rsid w:val="00F3500E"/>
    <w:rsid w:val="00F35298"/>
    <w:rsid w:val="00F44FAE"/>
    <w:rsid w:val="00F4555C"/>
    <w:rsid w:val="00F456F0"/>
    <w:rsid w:val="00F45E5A"/>
    <w:rsid w:val="00F47333"/>
    <w:rsid w:val="00F47E37"/>
    <w:rsid w:val="00F53185"/>
    <w:rsid w:val="00F53C07"/>
    <w:rsid w:val="00F54B65"/>
    <w:rsid w:val="00F56370"/>
    <w:rsid w:val="00F57A77"/>
    <w:rsid w:val="00F60B6D"/>
    <w:rsid w:val="00F612E2"/>
    <w:rsid w:val="00F6150D"/>
    <w:rsid w:val="00F62186"/>
    <w:rsid w:val="00F625CE"/>
    <w:rsid w:val="00F6390D"/>
    <w:rsid w:val="00F640B6"/>
    <w:rsid w:val="00F66DF2"/>
    <w:rsid w:val="00F7066B"/>
    <w:rsid w:val="00F711BC"/>
    <w:rsid w:val="00F71470"/>
    <w:rsid w:val="00F72797"/>
    <w:rsid w:val="00F7394A"/>
    <w:rsid w:val="00F74CD7"/>
    <w:rsid w:val="00F75C17"/>
    <w:rsid w:val="00F75F72"/>
    <w:rsid w:val="00F80E40"/>
    <w:rsid w:val="00F8195C"/>
    <w:rsid w:val="00F81971"/>
    <w:rsid w:val="00F83B35"/>
    <w:rsid w:val="00F848D9"/>
    <w:rsid w:val="00F9274B"/>
    <w:rsid w:val="00F93CFA"/>
    <w:rsid w:val="00F94592"/>
    <w:rsid w:val="00F9483B"/>
    <w:rsid w:val="00F966D9"/>
    <w:rsid w:val="00FA2591"/>
    <w:rsid w:val="00FA261F"/>
    <w:rsid w:val="00FA2A21"/>
    <w:rsid w:val="00FA3C28"/>
    <w:rsid w:val="00FA5B82"/>
    <w:rsid w:val="00FA639E"/>
    <w:rsid w:val="00FB2F08"/>
    <w:rsid w:val="00FC00FD"/>
    <w:rsid w:val="00FC1FCA"/>
    <w:rsid w:val="00FC25E4"/>
    <w:rsid w:val="00FC282A"/>
    <w:rsid w:val="00FC2B3F"/>
    <w:rsid w:val="00FC4EF7"/>
    <w:rsid w:val="00FC5AFF"/>
    <w:rsid w:val="00FC72CC"/>
    <w:rsid w:val="00FD0824"/>
    <w:rsid w:val="00FD119B"/>
    <w:rsid w:val="00FD1278"/>
    <w:rsid w:val="00FD1EDC"/>
    <w:rsid w:val="00FD2874"/>
    <w:rsid w:val="00FD2CC3"/>
    <w:rsid w:val="00FD5A61"/>
    <w:rsid w:val="00FD5C98"/>
    <w:rsid w:val="00FD5D7E"/>
    <w:rsid w:val="00FD7189"/>
    <w:rsid w:val="00FE0277"/>
    <w:rsid w:val="00FE1DEE"/>
    <w:rsid w:val="00FE52E5"/>
    <w:rsid w:val="00FF0BC9"/>
    <w:rsid w:val="00FF2126"/>
    <w:rsid w:val="00FF2D22"/>
    <w:rsid w:val="00FF4E19"/>
    <w:rsid w:val="00FF5755"/>
    <w:rsid w:val="00FF69BE"/>
    <w:rsid w:val="00FF6E13"/>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20161"/>
    <o:shapelayout v:ext="edit">
      <o:idmap v:ext="edit" data="1"/>
    </o:shapelayout>
  </w:shapeDefaults>
  <w:decimalSymbol w:val="."/>
  <w:listSeparator w:val=","/>
  <w14:docId w14:val="4FE91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0" w:unhideWhenUsed="0" w:qFormat="1"/>
    <w:lsdException w:name="annotation reference" w:uiPriority="0"/>
    <w:lsdException w:name="List Bullet" w:semiHidden="0" w:uiPriority="0" w:unhideWhenUsed="0" w:qFormat="1"/>
    <w:lsdException w:name="List Bullet 2" w:semiHidden="0" w:uiPriority="0" w:unhideWhenUsed="0" w:qFormat="1"/>
    <w:lsdException w:name="List Bullet 3" w:uiPriority="0"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605252"/>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FE52E5"/>
    <w:pPr>
      <w:keepNext/>
      <w:keepLines/>
      <w:spacing w:before="240" w:line="240" w:lineRule="auto"/>
      <w:outlineLvl w:val="1"/>
    </w:pPr>
    <w:rPr>
      <w:rFonts w:ascii="Arial" w:eastAsia="Times New Roman" w:hAnsi="Arial"/>
      <w:b/>
      <w:bCs/>
      <w:sz w:val="32"/>
      <w:szCs w:val="26"/>
    </w:rPr>
  </w:style>
  <w:style w:type="paragraph" w:styleId="Heading3">
    <w:name w:val="heading 3"/>
    <w:basedOn w:val="Normal"/>
    <w:next w:val="Normal"/>
    <w:link w:val="Heading3Char"/>
    <w:qFormat/>
    <w:rsid w:val="00FE52E5"/>
    <w:pPr>
      <w:keepNext/>
      <w:keepLines/>
      <w:spacing w:before="240" w:after="0" w:line="240" w:lineRule="auto"/>
      <w:outlineLvl w:val="2"/>
    </w:pPr>
    <w:rPr>
      <w:rFonts w:ascii="Arial" w:eastAsia="Times New Roman" w:hAnsi="Arial"/>
      <w:b/>
      <w:bCs/>
      <w:sz w:val="26"/>
      <w:szCs w:val="21"/>
    </w:rPr>
  </w:style>
  <w:style w:type="paragraph" w:styleId="Heading4">
    <w:name w:val="heading 4"/>
    <w:basedOn w:val="Normal"/>
    <w:next w:val="Normal"/>
    <w:link w:val="Heading4Char"/>
    <w:qFormat/>
    <w:rsid w:val="00FE52E5"/>
    <w:pPr>
      <w:keepNext/>
      <w:spacing w:before="240" w:after="0" w:line="240" w:lineRule="auto"/>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FE52E5"/>
    <w:rPr>
      <w:rFonts w:ascii="Arial" w:eastAsia="Times New Roman" w:hAnsi="Arial" w:cs="Times New Roman"/>
      <w:b/>
      <w:bCs/>
      <w:sz w:val="32"/>
      <w:szCs w:val="26"/>
    </w:rPr>
  </w:style>
  <w:style w:type="character" w:customStyle="1" w:styleId="Heading3Char">
    <w:name w:val="Heading 3 Char"/>
    <w:basedOn w:val="DefaultParagraphFont"/>
    <w:link w:val="Heading3"/>
    <w:rsid w:val="00FE52E5"/>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FE52E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qFormat/>
    <w:rsid w:val="004C2DCA"/>
    <w:pPr>
      <w:numPr>
        <w:numId w:val="3"/>
      </w:numPr>
    </w:pPr>
  </w:style>
  <w:style w:type="paragraph" w:styleId="ListBullet2">
    <w:name w:val="List Bullet 2"/>
    <w:basedOn w:val="Normal"/>
    <w:qFormat/>
    <w:rsid w:val="004C2DCA"/>
    <w:pPr>
      <w:numPr>
        <w:ilvl w:val="1"/>
        <w:numId w:val="3"/>
      </w:numPr>
    </w:pPr>
  </w:style>
  <w:style w:type="paragraph" w:styleId="ListBullet3">
    <w:name w:val="List Bullet 3"/>
    <w:basedOn w:val="Normal"/>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4"/>
      </w:numPr>
    </w:pPr>
  </w:style>
  <w:style w:type="paragraph" w:customStyle="1" w:styleId="Numberbullet2">
    <w:name w:val="Number bullet 2"/>
    <w:basedOn w:val="ListBullet2"/>
    <w:uiPriority w:val="2"/>
    <w:qFormat/>
    <w:rsid w:val="004C2DCA"/>
    <w:pPr>
      <w:numPr>
        <w:numId w:val="4"/>
      </w:numPr>
    </w:pPr>
  </w:style>
  <w:style w:type="paragraph" w:customStyle="1" w:styleId="Numberbullet3">
    <w:name w:val="Number bullet 3"/>
    <w:basedOn w:val="ListBullet3"/>
    <w:uiPriority w:val="2"/>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Bulletpoint">
    <w:name w:val="Bullet point"/>
    <w:basedOn w:val="Normal"/>
    <w:rsid w:val="004A1412"/>
    <w:pPr>
      <w:numPr>
        <w:numId w:val="5"/>
      </w:numPr>
      <w:tabs>
        <w:tab w:val="left" w:pos="397"/>
      </w:tabs>
      <w:spacing w:before="0" w:after="180" w:line="252" w:lineRule="auto"/>
    </w:pPr>
    <w:rPr>
      <w:rFonts w:eastAsia="Times New Roman"/>
      <w:snapToGrid w:val="0"/>
      <w:kern w:val="16"/>
      <w:szCs w:val="24"/>
    </w:rPr>
  </w:style>
  <w:style w:type="paragraph" w:customStyle="1" w:styleId="Bullet2">
    <w:name w:val="Bullet 2"/>
    <w:basedOn w:val="Normal"/>
    <w:rsid w:val="00B45165"/>
    <w:pPr>
      <w:numPr>
        <w:numId w:val="6"/>
      </w:numPr>
      <w:spacing w:after="0" w:line="240" w:lineRule="auto"/>
    </w:pPr>
    <w:rPr>
      <w:rFonts w:eastAsia="Times New Roman"/>
      <w:kern w:val="24"/>
      <w:szCs w:val="24"/>
      <w:lang w:eastAsia="en-AU"/>
    </w:rPr>
  </w:style>
  <w:style w:type="paragraph" w:styleId="ListParagraph">
    <w:name w:val="List Paragraph"/>
    <w:basedOn w:val="Normal"/>
    <w:uiPriority w:val="34"/>
    <w:qFormat/>
    <w:rsid w:val="00B45165"/>
    <w:pPr>
      <w:spacing w:before="0" w:after="0" w:line="240" w:lineRule="auto"/>
      <w:ind w:left="720"/>
      <w:contextualSpacing/>
    </w:pPr>
    <w:rPr>
      <w:rFonts w:eastAsia="Times New Roman"/>
      <w:kern w:val="16"/>
      <w:szCs w:val="24"/>
      <w:lang w:eastAsia="en-AU"/>
    </w:rPr>
  </w:style>
  <w:style w:type="paragraph" w:customStyle="1" w:styleId="Bullet1">
    <w:name w:val="Bullet 1"/>
    <w:basedOn w:val="Normal"/>
    <w:rsid w:val="00DF4597"/>
    <w:pPr>
      <w:spacing w:after="0" w:line="240" w:lineRule="auto"/>
    </w:pPr>
    <w:rPr>
      <w:rFonts w:eastAsia="Times New Roman"/>
      <w:kern w:val="24"/>
      <w:szCs w:val="24"/>
      <w:lang w:eastAsia="en-AU"/>
    </w:rPr>
  </w:style>
  <w:style w:type="paragraph" w:customStyle="1" w:styleId="Standard">
    <w:name w:val="Standard"/>
    <w:basedOn w:val="Normal"/>
    <w:link w:val="StandardChar"/>
    <w:qFormat/>
    <w:rsid w:val="00F00957"/>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F00957"/>
    <w:rPr>
      <w:rFonts w:ascii="Cambria" w:eastAsia="Times New Roman" w:hAnsi="Cambria" w:cs="Times New Roman"/>
      <w:snapToGrid w:val="0"/>
      <w:kern w:val="16"/>
      <w:sz w:val="23"/>
      <w:szCs w:val="24"/>
    </w:rPr>
  </w:style>
  <w:style w:type="paragraph" w:customStyle="1" w:styleId="Bulletlist">
    <w:name w:val="Bullet list"/>
    <w:basedOn w:val="Normal"/>
    <w:link w:val="BulletlistChar"/>
    <w:qFormat/>
    <w:rsid w:val="00007FFB"/>
    <w:pPr>
      <w:numPr>
        <w:numId w:val="7"/>
      </w:numPr>
      <w:spacing w:before="0" w:after="180" w:line="252" w:lineRule="auto"/>
      <w:ind w:left="426" w:hanging="284"/>
    </w:pPr>
    <w:rPr>
      <w:rFonts w:eastAsia="Times New Roman"/>
      <w:snapToGrid w:val="0"/>
      <w:kern w:val="2"/>
      <w:sz w:val="23"/>
    </w:rPr>
  </w:style>
  <w:style w:type="character" w:customStyle="1" w:styleId="BulletlistChar">
    <w:name w:val="Bullet list Char"/>
    <w:basedOn w:val="DefaultParagraphFont"/>
    <w:link w:val="Bulletlist"/>
    <w:rsid w:val="00007FFB"/>
    <w:rPr>
      <w:rFonts w:ascii="Cambria" w:eastAsia="Times New Roman" w:hAnsi="Cambria" w:cs="Times New Roman"/>
      <w:snapToGrid w:val="0"/>
      <w:kern w:val="2"/>
      <w:sz w:val="23"/>
    </w:rPr>
  </w:style>
  <w:style w:type="character" w:customStyle="1" w:styleId="TabletextChar">
    <w:name w:val="Table text Char"/>
    <w:basedOn w:val="DefaultParagraphFont"/>
    <w:link w:val="Tabletext"/>
    <w:rsid w:val="00007FFB"/>
    <w:rPr>
      <w:rFonts w:ascii="Cambria" w:eastAsia="Cambria" w:hAnsi="Cambria" w:cs="Times New Roman"/>
      <w:sz w:val="19"/>
    </w:rPr>
  </w:style>
  <w:style w:type="paragraph" w:customStyle="1" w:styleId="Tabletitle0">
    <w:name w:val="Table title"/>
    <w:basedOn w:val="Normal"/>
    <w:next w:val="Normal"/>
    <w:rsid w:val="001E049B"/>
    <w:pPr>
      <w:keepNext/>
      <w:spacing w:after="180"/>
    </w:pPr>
    <w:rPr>
      <w:rFonts w:cstheme="minorBidi"/>
      <w:b/>
    </w:rPr>
  </w:style>
  <w:style w:type="paragraph" w:styleId="HTMLPreformatted">
    <w:name w:val="HTML Preformatted"/>
    <w:basedOn w:val="Normal"/>
    <w:link w:val="HTMLPreformattedChar"/>
    <w:uiPriority w:val="99"/>
    <w:unhideWhenUsed/>
    <w:rsid w:val="000B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heme="minorHAnsi" w:hAnsi="Courier New" w:cs="Courier New"/>
      <w:sz w:val="20"/>
      <w:szCs w:val="20"/>
      <w:lang w:eastAsia="en-AU"/>
    </w:rPr>
  </w:style>
  <w:style w:type="character" w:customStyle="1" w:styleId="HTMLPreformattedChar">
    <w:name w:val="HTML Preformatted Char"/>
    <w:basedOn w:val="DefaultParagraphFont"/>
    <w:link w:val="HTMLPreformatted"/>
    <w:uiPriority w:val="99"/>
    <w:rsid w:val="000B3FA6"/>
    <w:rPr>
      <w:rFonts w:ascii="Courier New" w:hAnsi="Courier New" w:cs="Courier New"/>
      <w:sz w:val="20"/>
      <w:szCs w:val="20"/>
      <w:lang w:eastAsia="en-AU"/>
    </w:rPr>
  </w:style>
  <w:style w:type="character" w:styleId="LineNumber">
    <w:name w:val="line number"/>
    <w:basedOn w:val="DefaultParagraphFont"/>
    <w:uiPriority w:val="99"/>
    <w:semiHidden/>
    <w:unhideWhenUsed/>
    <w:rsid w:val="0077183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0" w:unhideWhenUsed="0" w:qFormat="1"/>
    <w:lsdException w:name="annotation reference" w:uiPriority="0"/>
    <w:lsdException w:name="List Bullet" w:semiHidden="0" w:uiPriority="0" w:unhideWhenUsed="0" w:qFormat="1"/>
    <w:lsdException w:name="List Bullet 2" w:semiHidden="0" w:uiPriority="0" w:unhideWhenUsed="0" w:qFormat="1"/>
    <w:lsdException w:name="List Bullet 3" w:uiPriority="0"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605252"/>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FE52E5"/>
    <w:pPr>
      <w:keepNext/>
      <w:keepLines/>
      <w:spacing w:before="240" w:line="240" w:lineRule="auto"/>
      <w:outlineLvl w:val="1"/>
    </w:pPr>
    <w:rPr>
      <w:rFonts w:ascii="Arial" w:eastAsia="Times New Roman" w:hAnsi="Arial"/>
      <w:b/>
      <w:bCs/>
      <w:sz w:val="32"/>
      <w:szCs w:val="26"/>
    </w:rPr>
  </w:style>
  <w:style w:type="paragraph" w:styleId="Heading3">
    <w:name w:val="heading 3"/>
    <w:basedOn w:val="Normal"/>
    <w:next w:val="Normal"/>
    <w:link w:val="Heading3Char"/>
    <w:qFormat/>
    <w:rsid w:val="00FE52E5"/>
    <w:pPr>
      <w:keepNext/>
      <w:keepLines/>
      <w:spacing w:before="240" w:after="0" w:line="240" w:lineRule="auto"/>
      <w:outlineLvl w:val="2"/>
    </w:pPr>
    <w:rPr>
      <w:rFonts w:ascii="Arial" w:eastAsia="Times New Roman" w:hAnsi="Arial"/>
      <w:b/>
      <w:bCs/>
      <w:sz w:val="26"/>
      <w:szCs w:val="21"/>
    </w:rPr>
  </w:style>
  <w:style w:type="paragraph" w:styleId="Heading4">
    <w:name w:val="heading 4"/>
    <w:basedOn w:val="Normal"/>
    <w:next w:val="Normal"/>
    <w:link w:val="Heading4Char"/>
    <w:qFormat/>
    <w:rsid w:val="00FE52E5"/>
    <w:pPr>
      <w:keepNext/>
      <w:spacing w:before="240" w:after="0" w:line="240" w:lineRule="auto"/>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FE52E5"/>
    <w:rPr>
      <w:rFonts w:ascii="Arial" w:eastAsia="Times New Roman" w:hAnsi="Arial" w:cs="Times New Roman"/>
      <w:b/>
      <w:bCs/>
      <w:sz w:val="32"/>
      <w:szCs w:val="26"/>
    </w:rPr>
  </w:style>
  <w:style w:type="character" w:customStyle="1" w:styleId="Heading3Char">
    <w:name w:val="Heading 3 Char"/>
    <w:basedOn w:val="DefaultParagraphFont"/>
    <w:link w:val="Heading3"/>
    <w:rsid w:val="00FE52E5"/>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FE52E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qFormat/>
    <w:rsid w:val="004C2DCA"/>
    <w:pPr>
      <w:numPr>
        <w:numId w:val="3"/>
      </w:numPr>
    </w:pPr>
  </w:style>
  <w:style w:type="paragraph" w:styleId="ListBullet2">
    <w:name w:val="List Bullet 2"/>
    <w:basedOn w:val="Normal"/>
    <w:qFormat/>
    <w:rsid w:val="004C2DCA"/>
    <w:pPr>
      <w:numPr>
        <w:ilvl w:val="1"/>
        <w:numId w:val="3"/>
      </w:numPr>
    </w:pPr>
  </w:style>
  <w:style w:type="paragraph" w:styleId="ListBullet3">
    <w:name w:val="List Bullet 3"/>
    <w:basedOn w:val="Normal"/>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4"/>
      </w:numPr>
    </w:pPr>
  </w:style>
  <w:style w:type="paragraph" w:customStyle="1" w:styleId="Numberbullet2">
    <w:name w:val="Number bullet 2"/>
    <w:basedOn w:val="ListBullet2"/>
    <w:uiPriority w:val="2"/>
    <w:qFormat/>
    <w:rsid w:val="004C2DCA"/>
    <w:pPr>
      <w:numPr>
        <w:numId w:val="4"/>
      </w:numPr>
    </w:pPr>
  </w:style>
  <w:style w:type="paragraph" w:customStyle="1" w:styleId="Numberbullet3">
    <w:name w:val="Number bullet 3"/>
    <w:basedOn w:val="ListBullet3"/>
    <w:uiPriority w:val="2"/>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Bulletpoint">
    <w:name w:val="Bullet point"/>
    <w:basedOn w:val="Normal"/>
    <w:rsid w:val="004A1412"/>
    <w:pPr>
      <w:numPr>
        <w:numId w:val="5"/>
      </w:numPr>
      <w:tabs>
        <w:tab w:val="left" w:pos="397"/>
      </w:tabs>
      <w:spacing w:before="0" w:after="180" w:line="252" w:lineRule="auto"/>
    </w:pPr>
    <w:rPr>
      <w:rFonts w:eastAsia="Times New Roman"/>
      <w:snapToGrid w:val="0"/>
      <w:kern w:val="16"/>
      <w:szCs w:val="24"/>
    </w:rPr>
  </w:style>
  <w:style w:type="paragraph" w:customStyle="1" w:styleId="Bullet2">
    <w:name w:val="Bullet 2"/>
    <w:basedOn w:val="Normal"/>
    <w:rsid w:val="00B45165"/>
    <w:pPr>
      <w:numPr>
        <w:numId w:val="6"/>
      </w:numPr>
      <w:spacing w:after="0" w:line="240" w:lineRule="auto"/>
    </w:pPr>
    <w:rPr>
      <w:rFonts w:eastAsia="Times New Roman"/>
      <w:kern w:val="24"/>
      <w:szCs w:val="24"/>
      <w:lang w:eastAsia="en-AU"/>
    </w:rPr>
  </w:style>
  <w:style w:type="paragraph" w:styleId="ListParagraph">
    <w:name w:val="List Paragraph"/>
    <w:basedOn w:val="Normal"/>
    <w:uiPriority w:val="34"/>
    <w:qFormat/>
    <w:rsid w:val="00B45165"/>
    <w:pPr>
      <w:spacing w:before="0" w:after="0" w:line="240" w:lineRule="auto"/>
      <w:ind w:left="720"/>
      <w:contextualSpacing/>
    </w:pPr>
    <w:rPr>
      <w:rFonts w:eastAsia="Times New Roman"/>
      <w:kern w:val="16"/>
      <w:szCs w:val="24"/>
      <w:lang w:eastAsia="en-AU"/>
    </w:rPr>
  </w:style>
  <w:style w:type="paragraph" w:customStyle="1" w:styleId="Bullet1">
    <w:name w:val="Bullet 1"/>
    <w:basedOn w:val="Normal"/>
    <w:rsid w:val="00DF4597"/>
    <w:pPr>
      <w:spacing w:after="0" w:line="240" w:lineRule="auto"/>
    </w:pPr>
    <w:rPr>
      <w:rFonts w:eastAsia="Times New Roman"/>
      <w:kern w:val="24"/>
      <w:szCs w:val="24"/>
      <w:lang w:eastAsia="en-AU"/>
    </w:rPr>
  </w:style>
  <w:style w:type="paragraph" w:customStyle="1" w:styleId="Standard">
    <w:name w:val="Standard"/>
    <w:basedOn w:val="Normal"/>
    <w:link w:val="StandardChar"/>
    <w:qFormat/>
    <w:rsid w:val="00F00957"/>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F00957"/>
    <w:rPr>
      <w:rFonts w:ascii="Cambria" w:eastAsia="Times New Roman" w:hAnsi="Cambria" w:cs="Times New Roman"/>
      <w:snapToGrid w:val="0"/>
      <w:kern w:val="16"/>
      <w:sz w:val="23"/>
      <w:szCs w:val="24"/>
    </w:rPr>
  </w:style>
  <w:style w:type="paragraph" w:customStyle="1" w:styleId="Bulletlist">
    <w:name w:val="Bullet list"/>
    <w:basedOn w:val="Normal"/>
    <w:link w:val="BulletlistChar"/>
    <w:qFormat/>
    <w:rsid w:val="00007FFB"/>
    <w:pPr>
      <w:numPr>
        <w:numId w:val="7"/>
      </w:numPr>
      <w:spacing w:before="0" w:after="180" w:line="252" w:lineRule="auto"/>
      <w:ind w:left="426" w:hanging="284"/>
    </w:pPr>
    <w:rPr>
      <w:rFonts w:eastAsia="Times New Roman"/>
      <w:snapToGrid w:val="0"/>
      <w:kern w:val="2"/>
      <w:sz w:val="23"/>
    </w:rPr>
  </w:style>
  <w:style w:type="character" w:customStyle="1" w:styleId="BulletlistChar">
    <w:name w:val="Bullet list Char"/>
    <w:basedOn w:val="DefaultParagraphFont"/>
    <w:link w:val="Bulletlist"/>
    <w:rsid w:val="00007FFB"/>
    <w:rPr>
      <w:rFonts w:ascii="Cambria" w:eastAsia="Times New Roman" w:hAnsi="Cambria" w:cs="Times New Roman"/>
      <w:snapToGrid w:val="0"/>
      <w:kern w:val="2"/>
      <w:sz w:val="23"/>
    </w:rPr>
  </w:style>
  <w:style w:type="character" w:customStyle="1" w:styleId="TabletextChar">
    <w:name w:val="Table text Char"/>
    <w:basedOn w:val="DefaultParagraphFont"/>
    <w:link w:val="Tabletext"/>
    <w:rsid w:val="00007FFB"/>
    <w:rPr>
      <w:rFonts w:ascii="Cambria" w:eastAsia="Cambria" w:hAnsi="Cambria" w:cs="Times New Roman"/>
      <w:sz w:val="19"/>
    </w:rPr>
  </w:style>
  <w:style w:type="paragraph" w:customStyle="1" w:styleId="Tabletitle0">
    <w:name w:val="Table title"/>
    <w:basedOn w:val="Normal"/>
    <w:next w:val="Normal"/>
    <w:rsid w:val="001E049B"/>
    <w:pPr>
      <w:keepNext/>
      <w:spacing w:after="180"/>
    </w:pPr>
    <w:rPr>
      <w:rFonts w:cstheme="minorBidi"/>
      <w:b/>
    </w:rPr>
  </w:style>
  <w:style w:type="paragraph" w:styleId="HTMLPreformatted">
    <w:name w:val="HTML Preformatted"/>
    <w:basedOn w:val="Normal"/>
    <w:link w:val="HTMLPreformattedChar"/>
    <w:uiPriority w:val="99"/>
    <w:unhideWhenUsed/>
    <w:rsid w:val="000B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heme="minorHAnsi" w:hAnsi="Courier New" w:cs="Courier New"/>
      <w:sz w:val="20"/>
      <w:szCs w:val="20"/>
      <w:lang w:eastAsia="en-AU"/>
    </w:rPr>
  </w:style>
  <w:style w:type="character" w:customStyle="1" w:styleId="HTMLPreformattedChar">
    <w:name w:val="HTML Preformatted Char"/>
    <w:basedOn w:val="DefaultParagraphFont"/>
    <w:link w:val="HTMLPreformatted"/>
    <w:uiPriority w:val="99"/>
    <w:rsid w:val="000B3FA6"/>
    <w:rPr>
      <w:rFonts w:ascii="Courier New" w:hAnsi="Courier New" w:cs="Courier New"/>
      <w:sz w:val="20"/>
      <w:szCs w:val="20"/>
      <w:lang w:eastAsia="en-AU"/>
    </w:rPr>
  </w:style>
  <w:style w:type="character" w:styleId="LineNumber">
    <w:name w:val="line number"/>
    <w:basedOn w:val="DefaultParagraphFont"/>
    <w:uiPriority w:val="99"/>
    <w:semiHidden/>
    <w:unhideWhenUsed/>
    <w:rsid w:val="007718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04583">
      <w:bodyDiv w:val="1"/>
      <w:marLeft w:val="0"/>
      <w:marRight w:val="0"/>
      <w:marTop w:val="0"/>
      <w:marBottom w:val="0"/>
      <w:divBdr>
        <w:top w:val="none" w:sz="0" w:space="0" w:color="auto"/>
        <w:left w:val="none" w:sz="0" w:space="0" w:color="auto"/>
        <w:bottom w:val="none" w:sz="0" w:space="0" w:color="auto"/>
        <w:right w:val="none" w:sz="0" w:space="0" w:color="auto"/>
      </w:divBdr>
    </w:div>
    <w:div w:id="51733409">
      <w:bodyDiv w:val="1"/>
      <w:marLeft w:val="0"/>
      <w:marRight w:val="0"/>
      <w:marTop w:val="0"/>
      <w:marBottom w:val="0"/>
      <w:divBdr>
        <w:top w:val="none" w:sz="0" w:space="0" w:color="auto"/>
        <w:left w:val="none" w:sz="0" w:space="0" w:color="auto"/>
        <w:bottom w:val="none" w:sz="0" w:space="0" w:color="auto"/>
        <w:right w:val="none" w:sz="0" w:space="0" w:color="auto"/>
      </w:divBdr>
    </w:div>
    <w:div w:id="86733132">
      <w:bodyDiv w:val="1"/>
      <w:marLeft w:val="0"/>
      <w:marRight w:val="0"/>
      <w:marTop w:val="0"/>
      <w:marBottom w:val="0"/>
      <w:divBdr>
        <w:top w:val="none" w:sz="0" w:space="0" w:color="auto"/>
        <w:left w:val="none" w:sz="0" w:space="0" w:color="auto"/>
        <w:bottom w:val="none" w:sz="0" w:space="0" w:color="auto"/>
        <w:right w:val="none" w:sz="0" w:space="0" w:color="auto"/>
      </w:divBdr>
    </w:div>
    <w:div w:id="103505089">
      <w:bodyDiv w:val="1"/>
      <w:marLeft w:val="0"/>
      <w:marRight w:val="0"/>
      <w:marTop w:val="0"/>
      <w:marBottom w:val="0"/>
      <w:divBdr>
        <w:top w:val="none" w:sz="0" w:space="0" w:color="auto"/>
        <w:left w:val="none" w:sz="0" w:space="0" w:color="auto"/>
        <w:bottom w:val="none" w:sz="0" w:space="0" w:color="auto"/>
        <w:right w:val="none" w:sz="0" w:space="0" w:color="auto"/>
      </w:divBdr>
    </w:div>
    <w:div w:id="128323022">
      <w:bodyDiv w:val="1"/>
      <w:marLeft w:val="0"/>
      <w:marRight w:val="0"/>
      <w:marTop w:val="0"/>
      <w:marBottom w:val="0"/>
      <w:divBdr>
        <w:top w:val="none" w:sz="0" w:space="0" w:color="auto"/>
        <w:left w:val="none" w:sz="0" w:space="0" w:color="auto"/>
        <w:bottom w:val="none" w:sz="0" w:space="0" w:color="auto"/>
        <w:right w:val="none" w:sz="0" w:space="0" w:color="auto"/>
      </w:divBdr>
    </w:div>
    <w:div w:id="137110105">
      <w:bodyDiv w:val="1"/>
      <w:marLeft w:val="0"/>
      <w:marRight w:val="0"/>
      <w:marTop w:val="0"/>
      <w:marBottom w:val="0"/>
      <w:divBdr>
        <w:top w:val="none" w:sz="0" w:space="0" w:color="auto"/>
        <w:left w:val="none" w:sz="0" w:space="0" w:color="auto"/>
        <w:bottom w:val="none" w:sz="0" w:space="0" w:color="auto"/>
        <w:right w:val="none" w:sz="0" w:space="0" w:color="auto"/>
      </w:divBdr>
    </w:div>
    <w:div w:id="156386903">
      <w:bodyDiv w:val="1"/>
      <w:marLeft w:val="0"/>
      <w:marRight w:val="0"/>
      <w:marTop w:val="0"/>
      <w:marBottom w:val="0"/>
      <w:divBdr>
        <w:top w:val="none" w:sz="0" w:space="0" w:color="auto"/>
        <w:left w:val="none" w:sz="0" w:space="0" w:color="auto"/>
        <w:bottom w:val="none" w:sz="0" w:space="0" w:color="auto"/>
        <w:right w:val="none" w:sz="0" w:space="0" w:color="auto"/>
      </w:divBdr>
    </w:div>
    <w:div w:id="225461545">
      <w:bodyDiv w:val="1"/>
      <w:marLeft w:val="0"/>
      <w:marRight w:val="0"/>
      <w:marTop w:val="0"/>
      <w:marBottom w:val="0"/>
      <w:divBdr>
        <w:top w:val="none" w:sz="0" w:space="0" w:color="auto"/>
        <w:left w:val="none" w:sz="0" w:space="0" w:color="auto"/>
        <w:bottom w:val="none" w:sz="0" w:space="0" w:color="auto"/>
        <w:right w:val="none" w:sz="0" w:space="0" w:color="auto"/>
      </w:divBdr>
    </w:div>
    <w:div w:id="275795857">
      <w:bodyDiv w:val="1"/>
      <w:marLeft w:val="0"/>
      <w:marRight w:val="0"/>
      <w:marTop w:val="0"/>
      <w:marBottom w:val="0"/>
      <w:divBdr>
        <w:top w:val="none" w:sz="0" w:space="0" w:color="auto"/>
        <w:left w:val="none" w:sz="0" w:space="0" w:color="auto"/>
        <w:bottom w:val="none" w:sz="0" w:space="0" w:color="auto"/>
        <w:right w:val="none" w:sz="0" w:space="0" w:color="auto"/>
      </w:divBdr>
    </w:div>
    <w:div w:id="327681138">
      <w:bodyDiv w:val="1"/>
      <w:marLeft w:val="0"/>
      <w:marRight w:val="0"/>
      <w:marTop w:val="0"/>
      <w:marBottom w:val="0"/>
      <w:divBdr>
        <w:top w:val="none" w:sz="0" w:space="0" w:color="auto"/>
        <w:left w:val="none" w:sz="0" w:space="0" w:color="auto"/>
        <w:bottom w:val="none" w:sz="0" w:space="0" w:color="auto"/>
        <w:right w:val="none" w:sz="0" w:space="0" w:color="auto"/>
      </w:divBdr>
    </w:div>
    <w:div w:id="332613114">
      <w:bodyDiv w:val="1"/>
      <w:marLeft w:val="0"/>
      <w:marRight w:val="0"/>
      <w:marTop w:val="0"/>
      <w:marBottom w:val="0"/>
      <w:divBdr>
        <w:top w:val="none" w:sz="0" w:space="0" w:color="auto"/>
        <w:left w:val="none" w:sz="0" w:space="0" w:color="auto"/>
        <w:bottom w:val="none" w:sz="0" w:space="0" w:color="auto"/>
        <w:right w:val="none" w:sz="0" w:space="0" w:color="auto"/>
      </w:divBdr>
    </w:div>
    <w:div w:id="337973169">
      <w:bodyDiv w:val="1"/>
      <w:marLeft w:val="0"/>
      <w:marRight w:val="0"/>
      <w:marTop w:val="0"/>
      <w:marBottom w:val="0"/>
      <w:divBdr>
        <w:top w:val="none" w:sz="0" w:space="0" w:color="auto"/>
        <w:left w:val="none" w:sz="0" w:space="0" w:color="auto"/>
        <w:bottom w:val="none" w:sz="0" w:space="0" w:color="auto"/>
        <w:right w:val="none" w:sz="0" w:space="0" w:color="auto"/>
      </w:divBdr>
    </w:div>
    <w:div w:id="339889167">
      <w:bodyDiv w:val="1"/>
      <w:marLeft w:val="0"/>
      <w:marRight w:val="0"/>
      <w:marTop w:val="0"/>
      <w:marBottom w:val="0"/>
      <w:divBdr>
        <w:top w:val="none" w:sz="0" w:space="0" w:color="auto"/>
        <w:left w:val="none" w:sz="0" w:space="0" w:color="auto"/>
        <w:bottom w:val="none" w:sz="0" w:space="0" w:color="auto"/>
        <w:right w:val="none" w:sz="0" w:space="0" w:color="auto"/>
      </w:divBdr>
    </w:div>
    <w:div w:id="348609056">
      <w:bodyDiv w:val="1"/>
      <w:marLeft w:val="0"/>
      <w:marRight w:val="0"/>
      <w:marTop w:val="0"/>
      <w:marBottom w:val="0"/>
      <w:divBdr>
        <w:top w:val="none" w:sz="0" w:space="0" w:color="auto"/>
        <w:left w:val="none" w:sz="0" w:space="0" w:color="auto"/>
        <w:bottom w:val="none" w:sz="0" w:space="0" w:color="auto"/>
        <w:right w:val="none" w:sz="0" w:space="0" w:color="auto"/>
      </w:divBdr>
    </w:div>
    <w:div w:id="364790524">
      <w:bodyDiv w:val="1"/>
      <w:marLeft w:val="0"/>
      <w:marRight w:val="0"/>
      <w:marTop w:val="0"/>
      <w:marBottom w:val="0"/>
      <w:divBdr>
        <w:top w:val="none" w:sz="0" w:space="0" w:color="auto"/>
        <w:left w:val="none" w:sz="0" w:space="0" w:color="auto"/>
        <w:bottom w:val="none" w:sz="0" w:space="0" w:color="auto"/>
        <w:right w:val="none" w:sz="0" w:space="0" w:color="auto"/>
      </w:divBdr>
    </w:div>
    <w:div w:id="394351303">
      <w:bodyDiv w:val="1"/>
      <w:marLeft w:val="0"/>
      <w:marRight w:val="0"/>
      <w:marTop w:val="0"/>
      <w:marBottom w:val="0"/>
      <w:divBdr>
        <w:top w:val="none" w:sz="0" w:space="0" w:color="auto"/>
        <w:left w:val="none" w:sz="0" w:space="0" w:color="auto"/>
        <w:bottom w:val="none" w:sz="0" w:space="0" w:color="auto"/>
        <w:right w:val="none" w:sz="0" w:space="0" w:color="auto"/>
      </w:divBdr>
    </w:div>
    <w:div w:id="424498473">
      <w:bodyDiv w:val="1"/>
      <w:marLeft w:val="0"/>
      <w:marRight w:val="0"/>
      <w:marTop w:val="0"/>
      <w:marBottom w:val="0"/>
      <w:divBdr>
        <w:top w:val="none" w:sz="0" w:space="0" w:color="auto"/>
        <w:left w:val="none" w:sz="0" w:space="0" w:color="auto"/>
        <w:bottom w:val="none" w:sz="0" w:space="0" w:color="auto"/>
        <w:right w:val="none" w:sz="0" w:space="0" w:color="auto"/>
      </w:divBdr>
    </w:div>
    <w:div w:id="468479896">
      <w:bodyDiv w:val="1"/>
      <w:marLeft w:val="0"/>
      <w:marRight w:val="0"/>
      <w:marTop w:val="0"/>
      <w:marBottom w:val="0"/>
      <w:divBdr>
        <w:top w:val="none" w:sz="0" w:space="0" w:color="auto"/>
        <w:left w:val="none" w:sz="0" w:space="0" w:color="auto"/>
        <w:bottom w:val="none" w:sz="0" w:space="0" w:color="auto"/>
        <w:right w:val="none" w:sz="0" w:space="0" w:color="auto"/>
      </w:divBdr>
    </w:div>
    <w:div w:id="494540436">
      <w:bodyDiv w:val="1"/>
      <w:marLeft w:val="0"/>
      <w:marRight w:val="0"/>
      <w:marTop w:val="0"/>
      <w:marBottom w:val="0"/>
      <w:divBdr>
        <w:top w:val="none" w:sz="0" w:space="0" w:color="auto"/>
        <w:left w:val="none" w:sz="0" w:space="0" w:color="auto"/>
        <w:bottom w:val="none" w:sz="0" w:space="0" w:color="auto"/>
        <w:right w:val="none" w:sz="0" w:space="0" w:color="auto"/>
      </w:divBdr>
    </w:div>
    <w:div w:id="521624425">
      <w:bodyDiv w:val="1"/>
      <w:marLeft w:val="0"/>
      <w:marRight w:val="0"/>
      <w:marTop w:val="0"/>
      <w:marBottom w:val="0"/>
      <w:divBdr>
        <w:top w:val="none" w:sz="0" w:space="0" w:color="auto"/>
        <w:left w:val="none" w:sz="0" w:space="0" w:color="auto"/>
        <w:bottom w:val="none" w:sz="0" w:space="0" w:color="auto"/>
        <w:right w:val="none" w:sz="0" w:space="0" w:color="auto"/>
      </w:divBdr>
    </w:div>
    <w:div w:id="632950744">
      <w:bodyDiv w:val="1"/>
      <w:marLeft w:val="0"/>
      <w:marRight w:val="0"/>
      <w:marTop w:val="0"/>
      <w:marBottom w:val="0"/>
      <w:divBdr>
        <w:top w:val="none" w:sz="0" w:space="0" w:color="auto"/>
        <w:left w:val="none" w:sz="0" w:space="0" w:color="auto"/>
        <w:bottom w:val="none" w:sz="0" w:space="0" w:color="auto"/>
        <w:right w:val="none" w:sz="0" w:space="0" w:color="auto"/>
      </w:divBdr>
    </w:div>
    <w:div w:id="658265631">
      <w:bodyDiv w:val="1"/>
      <w:marLeft w:val="0"/>
      <w:marRight w:val="0"/>
      <w:marTop w:val="0"/>
      <w:marBottom w:val="0"/>
      <w:divBdr>
        <w:top w:val="none" w:sz="0" w:space="0" w:color="auto"/>
        <w:left w:val="none" w:sz="0" w:space="0" w:color="auto"/>
        <w:bottom w:val="none" w:sz="0" w:space="0" w:color="auto"/>
        <w:right w:val="none" w:sz="0" w:space="0" w:color="auto"/>
      </w:divBdr>
    </w:div>
    <w:div w:id="758865648">
      <w:bodyDiv w:val="1"/>
      <w:marLeft w:val="0"/>
      <w:marRight w:val="0"/>
      <w:marTop w:val="0"/>
      <w:marBottom w:val="0"/>
      <w:divBdr>
        <w:top w:val="none" w:sz="0" w:space="0" w:color="auto"/>
        <w:left w:val="none" w:sz="0" w:space="0" w:color="auto"/>
        <w:bottom w:val="none" w:sz="0" w:space="0" w:color="auto"/>
        <w:right w:val="none" w:sz="0" w:space="0" w:color="auto"/>
      </w:divBdr>
    </w:div>
    <w:div w:id="803934179">
      <w:bodyDiv w:val="1"/>
      <w:marLeft w:val="0"/>
      <w:marRight w:val="0"/>
      <w:marTop w:val="0"/>
      <w:marBottom w:val="0"/>
      <w:divBdr>
        <w:top w:val="none" w:sz="0" w:space="0" w:color="auto"/>
        <w:left w:val="none" w:sz="0" w:space="0" w:color="auto"/>
        <w:bottom w:val="none" w:sz="0" w:space="0" w:color="auto"/>
        <w:right w:val="none" w:sz="0" w:space="0" w:color="auto"/>
      </w:divBdr>
    </w:div>
    <w:div w:id="848176557">
      <w:bodyDiv w:val="1"/>
      <w:marLeft w:val="0"/>
      <w:marRight w:val="0"/>
      <w:marTop w:val="0"/>
      <w:marBottom w:val="0"/>
      <w:divBdr>
        <w:top w:val="none" w:sz="0" w:space="0" w:color="auto"/>
        <w:left w:val="none" w:sz="0" w:space="0" w:color="auto"/>
        <w:bottom w:val="none" w:sz="0" w:space="0" w:color="auto"/>
        <w:right w:val="none" w:sz="0" w:space="0" w:color="auto"/>
      </w:divBdr>
    </w:div>
    <w:div w:id="854881349">
      <w:bodyDiv w:val="1"/>
      <w:marLeft w:val="0"/>
      <w:marRight w:val="0"/>
      <w:marTop w:val="0"/>
      <w:marBottom w:val="0"/>
      <w:divBdr>
        <w:top w:val="none" w:sz="0" w:space="0" w:color="auto"/>
        <w:left w:val="none" w:sz="0" w:space="0" w:color="auto"/>
        <w:bottom w:val="none" w:sz="0" w:space="0" w:color="auto"/>
        <w:right w:val="none" w:sz="0" w:space="0" w:color="auto"/>
      </w:divBdr>
    </w:div>
    <w:div w:id="858084679">
      <w:bodyDiv w:val="1"/>
      <w:marLeft w:val="0"/>
      <w:marRight w:val="0"/>
      <w:marTop w:val="0"/>
      <w:marBottom w:val="0"/>
      <w:divBdr>
        <w:top w:val="none" w:sz="0" w:space="0" w:color="auto"/>
        <w:left w:val="none" w:sz="0" w:space="0" w:color="auto"/>
        <w:bottom w:val="none" w:sz="0" w:space="0" w:color="auto"/>
        <w:right w:val="none" w:sz="0" w:space="0" w:color="auto"/>
      </w:divBdr>
    </w:div>
    <w:div w:id="889414206">
      <w:bodyDiv w:val="1"/>
      <w:marLeft w:val="0"/>
      <w:marRight w:val="0"/>
      <w:marTop w:val="0"/>
      <w:marBottom w:val="0"/>
      <w:divBdr>
        <w:top w:val="none" w:sz="0" w:space="0" w:color="auto"/>
        <w:left w:val="none" w:sz="0" w:space="0" w:color="auto"/>
        <w:bottom w:val="none" w:sz="0" w:space="0" w:color="auto"/>
        <w:right w:val="none" w:sz="0" w:space="0" w:color="auto"/>
      </w:divBdr>
    </w:div>
    <w:div w:id="907107942">
      <w:bodyDiv w:val="1"/>
      <w:marLeft w:val="0"/>
      <w:marRight w:val="0"/>
      <w:marTop w:val="0"/>
      <w:marBottom w:val="0"/>
      <w:divBdr>
        <w:top w:val="none" w:sz="0" w:space="0" w:color="auto"/>
        <w:left w:val="none" w:sz="0" w:space="0" w:color="auto"/>
        <w:bottom w:val="none" w:sz="0" w:space="0" w:color="auto"/>
        <w:right w:val="none" w:sz="0" w:space="0" w:color="auto"/>
      </w:divBdr>
    </w:div>
    <w:div w:id="1017347624">
      <w:bodyDiv w:val="1"/>
      <w:marLeft w:val="0"/>
      <w:marRight w:val="0"/>
      <w:marTop w:val="0"/>
      <w:marBottom w:val="0"/>
      <w:divBdr>
        <w:top w:val="none" w:sz="0" w:space="0" w:color="auto"/>
        <w:left w:val="none" w:sz="0" w:space="0" w:color="auto"/>
        <w:bottom w:val="none" w:sz="0" w:space="0" w:color="auto"/>
        <w:right w:val="none" w:sz="0" w:space="0" w:color="auto"/>
      </w:divBdr>
    </w:div>
    <w:div w:id="1036350548">
      <w:bodyDiv w:val="1"/>
      <w:marLeft w:val="0"/>
      <w:marRight w:val="0"/>
      <w:marTop w:val="0"/>
      <w:marBottom w:val="0"/>
      <w:divBdr>
        <w:top w:val="none" w:sz="0" w:space="0" w:color="auto"/>
        <w:left w:val="none" w:sz="0" w:space="0" w:color="auto"/>
        <w:bottom w:val="none" w:sz="0" w:space="0" w:color="auto"/>
        <w:right w:val="none" w:sz="0" w:space="0" w:color="auto"/>
      </w:divBdr>
    </w:div>
    <w:div w:id="1094325360">
      <w:bodyDiv w:val="1"/>
      <w:marLeft w:val="0"/>
      <w:marRight w:val="0"/>
      <w:marTop w:val="0"/>
      <w:marBottom w:val="0"/>
      <w:divBdr>
        <w:top w:val="none" w:sz="0" w:space="0" w:color="auto"/>
        <w:left w:val="none" w:sz="0" w:space="0" w:color="auto"/>
        <w:bottom w:val="none" w:sz="0" w:space="0" w:color="auto"/>
        <w:right w:val="none" w:sz="0" w:space="0" w:color="auto"/>
      </w:divBdr>
    </w:div>
    <w:div w:id="1125192431">
      <w:bodyDiv w:val="1"/>
      <w:marLeft w:val="0"/>
      <w:marRight w:val="0"/>
      <w:marTop w:val="0"/>
      <w:marBottom w:val="0"/>
      <w:divBdr>
        <w:top w:val="none" w:sz="0" w:space="0" w:color="auto"/>
        <w:left w:val="none" w:sz="0" w:space="0" w:color="auto"/>
        <w:bottom w:val="none" w:sz="0" w:space="0" w:color="auto"/>
        <w:right w:val="none" w:sz="0" w:space="0" w:color="auto"/>
      </w:divBdr>
    </w:div>
    <w:div w:id="1130242973">
      <w:bodyDiv w:val="1"/>
      <w:marLeft w:val="0"/>
      <w:marRight w:val="0"/>
      <w:marTop w:val="0"/>
      <w:marBottom w:val="0"/>
      <w:divBdr>
        <w:top w:val="none" w:sz="0" w:space="0" w:color="auto"/>
        <w:left w:val="none" w:sz="0" w:space="0" w:color="auto"/>
        <w:bottom w:val="none" w:sz="0" w:space="0" w:color="auto"/>
        <w:right w:val="none" w:sz="0" w:space="0" w:color="auto"/>
      </w:divBdr>
    </w:div>
    <w:div w:id="1135371671">
      <w:bodyDiv w:val="1"/>
      <w:marLeft w:val="0"/>
      <w:marRight w:val="0"/>
      <w:marTop w:val="0"/>
      <w:marBottom w:val="0"/>
      <w:divBdr>
        <w:top w:val="none" w:sz="0" w:space="0" w:color="auto"/>
        <w:left w:val="none" w:sz="0" w:space="0" w:color="auto"/>
        <w:bottom w:val="none" w:sz="0" w:space="0" w:color="auto"/>
        <w:right w:val="none" w:sz="0" w:space="0" w:color="auto"/>
      </w:divBdr>
    </w:div>
    <w:div w:id="1265842474">
      <w:bodyDiv w:val="1"/>
      <w:marLeft w:val="0"/>
      <w:marRight w:val="0"/>
      <w:marTop w:val="0"/>
      <w:marBottom w:val="0"/>
      <w:divBdr>
        <w:top w:val="none" w:sz="0" w:space="0" w:color="auto"/>
        <w:left w:val="none" w:sz="0" w:space="0" w:color="auto"/>
        <w:bottom w:val="none" w:sz="0" w:space="0" w:color="auto"/>
        <w:right w:val="none" w:sz="0" w:space="0" w:color="auto"/>
      </w:divBdr>
    </w:div>
    <w:div w:id="1300647260">
      <w:bodyDiv w:val="1"/>
      <w:marLeft w:val="0"/>
      <w:marRight w:val="0"/>
      <w:marTop w:val="0"/>
      <w:marBottom w:val="0"/>
      <w:divBdr>
        <w:top w:val="none" w:sz="0" w:space="0" w:color="auto"/>
        <w:left w:val="none" w:sz="0" w:space="0" w:color="auto"/>
        <w:bottom w:val="none" w:sz="0" w:space="0" w:color="auto"/>
        <w:right w:val="none" w:sz="0" w:space="0" w:color="auto"/>
      </w:divBdr>
    </w:div>
    <w:div w:id="1316571100">
      <w:bodyDiv w:val="1"/>
      <w:marLeft w:val="0"/>
      <w:marRight w:val="0"/>
      <w:marTop w:val="0"/>
      <w:marBottom w:val="0"/>
      <w:divBdr>
        <w:top w:val="none" w:sz="0" w:space="0" w:color="auto"/>
        <w:left w:val="none" w:sz="0" w:space="0" w:color="auto"/>
        <w:bottom w:val="none" w:sz="0" w:space="0" w:color="auto"/>
        <w:right w:val="none" w:sz="0" w:space="0" w:color="auto"/>
      </w:divBdr>
    </w:div>
    <w:div w:id="1347293560">
      <w:bodyDiv w:val="1"/>
      <w:marLeft w:val="0"/>
      <w:marRight w:val="0"/>
      <w:marTop w:val="0"/>
      <w:marBottom w:val="0"/>
      <w:divBdr>
        <w:top w:val="none" w:sz="0" w:space="0" w:color="auto"/>
        <w:left w:val="none" w:sz="0" w:space="0" w:color="auto"/>
        <w:bottom w:val="none" w:sz="0" w:space="0" w:color="auto"/>
        <w:right w:val="none" w:sz="0" w:space="0" w:color="auto"/>
      </w:divBdr>
    </w:div>
    <w:div w:id="1395816107">
      <w:bodyDiv w:val="1"/>
      <w:marLeft w:val="0"/>
      <w:marRight w:val="0"/>
      <w:marTop w:val="0"/>
      <w:marBottom w:val="0"/>
      <w:divBdr>
        <w:top w:val="none" w:sz="0" w:space="0" w:color="auto"/>
        <w:left w:val="none" w:sz="0" w:space="0" w:color="auto"/>
        <w:bottom w:val="none" w:sz="0" w:space="0" w:color="auto"/>
        <w:right w:val="none" w:sz="0" w:space="0" w:color="auto"/>
      </w:divBdr>
    </w:div>
    <w:div w:id="1410955603">
      <w:bodyDiv w:val="1"/>
      <w:marLeft w:val="0"/>
      <w:marRight w:val="0"/>
      <w:marTop w:val="0"/>
      <w:marBottom w:val="0"/>
      <w:divBdr>
        <w:top w:val="none" w:sz="0" w:space="0" w:color="auto"/>
        <w:left w:val="none" w:sz="0" w:space="0" w:color="auto"/>
        <w:bottom w:val="none" w:sz="0" w:space="0" w:color="auto"/>
        <w:right w:val="none" w:sz="0" w:space="0" w:color="auto"/>
      </w:divBdr>
    </w:div>
    <w:div w:id="1432043705">
      <w:bodyDiv w:val="1"/>
      <w:marLeft w:val="0"/>
      <w:marRight w:val="0"/>
      <w:marTop w:val="0"/>
      <w:marBottom w:val="0"/>
      <w:divBdr>
        <w:top w:val="none" w:sz="0" w:space="0" w:color="auto"/>
        <w:left w:val="none" w:sz="0" w:space="0" w:color="auto"/>
        <w:bottom w:val="none" w:sz="0" w:space="0" w:color="auto"/>
        <w:right w:val="none" w:sz="0" w:space="0" w:color="auto"/>
      </w:divBdr>
    </w:div>
    <w:div w:id="1503273893">
      <w:bodyDiv w:val="1"/>
      <w:marLeft w:val="0"/>
      <w:marRight w:val="0"/>
      <w:marTop w:val="0"/>
      <w:marBottom w:val="0"/>
      <w:divBdr>
        <w:top w:val="none" w:sz="0" w:space="0" w:color="auto"/>
        <w:left w:val="none" w:sz="0" w:space="0" w:color="auto"/>
        <w:bottom w:val="none" w:sz="0" w:space="0" w:color="auto"/>
        <w:right w:val="none" w:sz="0" w:space="0" w:color="auto"/>
      </w:divBdr>
    </w:div>
    <w:div w:id="1518036128">
      <w:bodyDiv w:val="1"/>
      <w:marLeft w:val="0"/>
      <w:marRight w:val="0"/>
      <w:marTop w:val="0"/>
      <w:marBottom w:val="0"/>
      <w:divBdr>
        <w:top w:val="none" w:sz="0" w:space="0" w:color="auto"/>
        <w:left w:val="none" w:sz="0" w:space="0" w:color="auto"/>
        <w:bottom w:val="none" w:sz="0" w:space="0" w:color="auto"/>
        <w:right w:val="none" w:sz="0" w:space="0" w:color="auto"/>
      </w:divBdr>
    </w:div>
    <w:div w:id="1551840064">
      <w:bodyDiv w:val="1"/>
      <w:marLeft w:val="0"/>
      <w:marRight w:val="0"/>
      <w:marTop w:val="0"/>
      <w:marBottom w:val="0"/>
      <w:divBdr>
        <w:top w:val="none" w:sz="0" w:space="0" w:color="auto"/>
        <w:left w:val="none" w:sz="0" w:space="0" w:color="auto"/>
        <w:bottom w:val="none" w:sz="0" w:space="0" w:color="auto"/>
        <w:right w:val="none" w:sz="0" w:space="0" w:color="auto"/>
      </w:divBdr>
    </w:div>
    <w:div w:id="1564868727">
      <w:bodyDiv w:val="1"/>
      <w:marLeft w:val="0"/>
      <w:marRight w:val="0"/>
      <w:marTop w:val="0"/>
      <w:marBottom w:val="0"/>
      <w:divBdr>
        <w:top w:val="none" w:sz="0" w:space="0" w:color="auto"/>
        <w:left w:val="none" w:sz="0" w:space="0" w:color="auto"/>
        <w:bottom w:val="none" w:sz="0" w:space="0" w:color="auto"/>
        <w:right w:val="none" w:sz="0" w:space="0" w:color="auto"/>
      </w:divBdr>
    </w:div>
    <w:div w:id="1576160962">
      <w:bodyDiv w:val="1"/>
      <w:marLeft w:val="0"/>
      <w:marRight w:val="0"/>
      <w:marTop w:val="0"/>
      <w:marBottom w:val="0"/>
      <w:divBdr>
        <w:top w:val="none" w:sz="0" w:space="0" w:color="auto"/>
        <w:left w:val="none" w:sz="0" w:space="0" w:color="auto"/>
        <w:bottom w:val="none" w:sz="0" w:space="0" w:color="auto"/>
        <w:right w:val="none" w:sz="0" w:space="0" w:color="auto"/>
      </w:divBdr>
    </w:div>
    <w:div w:id="1576821973">
      <w:bodyDiv w:val="1"/>
      <w:marLeft w:val="0"/>
      <w:marRight w:val="0"/>
      <w:marTop w:val="0"/>
      <w:marBottom w:val="0"/>
      <w:divBdr>
        <w:top w:val="none" w:sz="0" w:space="0" w:color="auto"/>
        <w:left w:val="none" w:sz="0" w:space="0" w:color="auto"/>
        <w:bottom w:val="none" w:sz="0" w:space="0" w:color="auto"/>
        <w:right w:val="none" w:sz="0" w:space="0" w:color="auto"/>
      </w:divBdr>
    </w:div>
    <w:div w:id="1619531708">
      <w:bodyDiv w:val="1"/>
      <w:marLeft w:val="0"/>
      <w:marRight w:val="0"/>
      <w:marTop w:val="0"/>
      <w:marBottom w:val="0"/>
      <w:divBdr>
        <w:top w:val="none" w:sz="0" w:space="0" w:color="auto"/>
        <w:left w:val="none" w:sz="0" w:space="0" w:color="auto"/>
        <w:bottom w:val="none" w:sz="0" w:space="0" w:color="auto"/>
        <w:right w:val="none" w:sz="0" w:space="0" w:color="auto"/>
      </w:divBdr>
    </w:div>
    <w:div w:id="1712264382">
      <w:bodyDiv w:val="1"/>
      <w:marLeft w:val="0"/>
      <w:marRight w:val="0"/>
      <w:marTop w:val="0"/>
      <w:marBottom w:val="0"/>
      <w:divBdr>
        <w:top w:val="none" w:sz="0" w:space="0" w:color="auto"/>
        <w:left w:val="none" w:sz="0" w:space="0" w:color="auto"/>
        <w:bottom w:val="none" w:sz="0" w:space="0" w:color="auto"/>
        <w:right w:val="none" w:sz="0" w:space="0" w:color="auto"/>
      </w:divBdr>
    </w:div>
    <w:div w:id="1783301619">
      <w:bodyDiv w:val="1"/>
      <w:marLeft w:val="0"/>
      <w:marRight w:val="0"/>
      <w:marTop w:val="0"/>
      <w:marBottom w:val="0"/>
      <w:divBdr>
        <w:top w:val="none" w:sz="0" w:space="0" w:color="auto"/>
        <w:left w:val="none" w:sz="0" w:space="0" w:color="auto"/>
        <w:bottom w:val="none" w:sz="0" w:space="0" w:color="auto"/>
        <w:right w:val="none" w:sz="0" w:space="0" w:color="auto"/>
      </w:divBdr>
    </w:div>
    <w:div w:id="1841851335">
      <w:bodyDiv w:val="1"/>
      <w:marLeft w:val="0"/>
      <w:marRight w:val="0"/>
      <w:marTop w:val="0"/>
      <w:marBottom w:val="0"/>
      <w:divBdr>
        <w:top w:val="none" w:sz="0" w:space="0" w:color="auto"/>
        <w:left w:val="none" w:sz="0" w:space="0" w:color="auto"/>
        <w:bottom w:val="none" w:sz="0" w:space="0" w:color="auto"/>
        <w:right w:val="none" w:sz="0" w:space="0" w:color="auto"/>
      </w:divBdr>
    </w:div>
    <w:div w:id="1845702406">
      <w:bodyDiv w:val="1"/>
      <w:marLeft w:val="0"/>
      <w:marRight w:val="0"/>
      <w:marTop w:val="0"/>
      <w:marBottom w:val="0"/>
      <w:divBdr>
        <w:top w:val="none" w:sz="0" w:space="0" w:color="auto"/>
        <w:left w:val="none" w:sz="0" w:space="0" w:color="auto"/>
        <w:bottom w:val="none" w:sz="0" w:space="0" w:color="auto"/>
        <w:right w:val="none" w:sz="0" w:space="0" w:color="auto"/>
      </w:divBdr>
    </w:div>
    <w:div w:id="1861427674">
      <w:bodyDiv w:val="1"/>
      <w:marLeft w:val="0"/>
      <w:marRight w:val="0"/>
      <w:marTop w:val="0"/>
      <w:marBottom w:val="0"/>
      <w:divBdr>
        <w:top w:val="none" w:sz="0" w:space="0" w:color="auto"/>
        <w:left w:val="none" w:sz="0" w:space="0" w:color="auto"/>
        <w:bottom w:val="none" w:sz="0" w:space="0" w:color="auto"/>
        <w:right w:val="none" w:sz="0" w:space="0" w:color="auto"/>
      </w:divBdr>
    </w:div>
    <w:div w:id="1901405062">
      <w:bodyDiv w:val="1"/>
      <w:marLeft w:val="0"/>
      <w:marRight w:val="0"/>
      <w:marTop w:val="0"/>
      <w:marBottom w:val="0"/>
      <w:divBdr>
        <w:top w:val="none" w:sz="0" w:space="0" w:color="auto"/>
        <w:left w:val="none" w:sz="0" w:space="0" w:color="auto"/>
        <w:bottom w:val="none" w:sz="0" w:space="0" w:color="auto"/>
        <w:right w:val="none" w:sz="0" w:space="0" w:color="auto"/>
      </w:divBdr>
    </w:div>
    <w:div w:id="1930193416">
      <w:bodyDiv w:val="1"/>
      <w:marLeft w:val="0"/>
      <w:marRight w:val="0"/>
      <w:marTop w:val="0"/>
      <w:marBottom w:val="0"/>
      <w:divBdr>
        <w:top w:val="none" w:sz="0" w:space="0" w:color="auto"/>
        <w:left w:val="none" w:sz="0" w:space="0" w:color="auto"/>
        <w:bottom w:val="none" w:sz="0" w:space="0" w:color="auto"/>
        <w:right w:val="none" w:sz="0" w:space="0" w:color="auto"/>
      </w:divBdr>
    </w:div>
    <w:div w:id="1945109037">
      <w:bodyDiv w:val="1"/>
      <w:marLeft w:val="0"/>
      <w:marRight w:val="0"/>
      <w:marTop w:val="0"/>
      <w:marBottom w:val="0"/>
      <w:divBdr>
        <w:top w:val="none" w:sz="0" w:space="0" w:color="auto"/>
        <w:left w:val="none" w:sz="0" w:space="0" w:color="auto"/>
        <w:bottom w:val="none" w:sz="0" w:space="0" w:color="auto"/>
        <w:right w:val="none" w:sz="0" w:space="0" w:color="auto"/>
      </w:divBdr>
    </w:div>
    <w:div w:id="1945110831">
      <w:bodyDiv w:val="1"/>
      <w:marLeft w:val="0"/>
      <w:marRight w:val="0"/>
      <w:marTop w:val="0"/>
      <w:marBottom w:val="0"/>
      <w:divBdr>
        <w:top w:val="none" w:sz="0" w:space="0" w:color="auto"/>
        <w:left w:val="none" w:sz="0" w:space="0" w:color="auto"/>
        <w:bottom w:val="none" w:sz="0" w:space="0" w:color="auto"/>
        <w:right w:val="none" w:sz="0" w:space="0" w:color="auto"/>
      </w:divBdr>
    </w:div>
    <w:div w:id="1964310573">
      <w:bodyDiv w:val="1"/>
      <w:marLeft w:val="0"/>
      <w:marRight w:val="0"/>
      <w:marTop w:val="0"/>
      <w:marBottom w:val="0"/>
      <w:divBdr>
        <w:top w:val="none" w:sz="0" w:space="0" w:color="auto"/>
        <w:left w:val="none" w:sz="0" w:space="0" w:color="auto"/>
        <w:bottom w:val="none" w:sz="0" w:space="0" w:color="auto"/>
        <w:right w:val="none" w:sz="0" w:space="0" w:color="auto"/>
      </w:divBdr>
    </w:div>
    <w:div w:id="1986078584">
      <w:bodyDiv w:val="1"/>
      <w:marLeft w:val="0"/>
      <w:marRight w:val="0"/>
      <w:marTop w:val="0"/>
      <w:marBottom w:val="0"/>
      <w:divBdr>
        <w:top w:val="none" w:sz="0" w:space="0" w:color="auto"/>
        <w:left w:val="none" w:sz="0" w:space="0" w:color="auto"/>
        <w:bottom w:val="none" w:sz="0" w:space="0" w:color="auto"/>
        <w:right w:val="none" w:sz="0" w:space="0" w:color="auto"/>
      </w:divBdr>
    </w:div>
    <w:div w:id="2010712909">
      <w:bodyDiv w:val="1"/>
      <w:marLeft w:val="0"/>
      <w:marRight w:val="0"/>
      <w:marTop w:val="0"/>
      <w:marBottom w:val="0"/>
      <w:divBdr>
        <w:top w:val="none" w:sz="0" w:space="0" w:color="auto"/>
        <w:left w:val="none" w:sz="0" w:space="0" w:color="auto"/>
        <w:bottom w:val="none" w:sz="0" w:space="0" w:color="auto"/>
        <w:right w:val="none" w:sz="0" w:space="0" w:color="auto"/>
      </w:divBdr>
    </w:div>
    <w:div w:id="2035493380">
      <w:bodyDiv w:val="1"/>
      <w:marLeft w:val="0"/>
      <w:marRight w:val="0"/>
      <w:marTop w:val="0"/>
      <w:marBottom w:val="0"/>
      <w:divBdr>
        <w:top w:val="none" w:sz="0" w:space="0" w:color="auto"/>
        <w:left w:val="none" w:sz="0" w:space="0" w:color="auto"/>
        <w:bottom w:val="none" w:sz="0" w:space="0" w:color="auto"/>
        <w:right w:val="none" w:sz="0" w:space="0" w:color="auto"/>
      </w:divBdr>
    </w:div>
    <w:div w:id="2053379320">
      <w:bodyDiv w:val="1"/>
      <w:marLeft w:val="0"/>
      <w:marRight w:val="0"/>
      <w:marTop w:val="0"/>
      <w:marBottom w:val="0"/>
      <w:divBdr>
        <w:top w:val="none" w:sz="0" w:space="0" w:color="auto"/>
        <w:left w:val="none" w:sz="0" w:space="0" w:color="auto"/>
        <w:bottom w:val="none" w:sz="0" w:space="0" w:color="auto"/>
        <w:right w:val="none" w:sz="0" w:space="0" w:color="auto"/>
      </w:divBdr>
    </w:div>
    <w:div w:id="2059930418">
      <w:bodyDiv w:val="1"/>
      <w:marLeft w:val="0"/>
      <w:marRight w:val="0"/>
      <w:marTop w:val="0"/>
      <w:marBottom w:val="0"/>
      <w:divBdr>
        <w:top w:val="none" w:sz="0" w:space="0" w:color="auto"/>
        <w:left w:val="none" w:sz="0" w:space="0" w:color="auto"/>
        <w:bottom w:val="none" w:sz="0" w:space="0" w:color="auto"/>
        <w:right w:val="none" w:sz="0" w:space="0" w:color="auto"/>
      </w:divBdr>
    </w:div>
    <w:div w:id="2080784897">
      <w:bodyDiv w:val="1"/>
      <w:marLeft w:val="0"/>
      <w:marRight w:val="0"/>
      <w:marTop w:val="0"/>
      <w:marBottom w:val="0"/>
      <w:divBdr>
        <w:top w:val="none" w:sz="0" w:space="0" w:color="auto"/>
        <w:left w:val="none" w:sz="0" w:space="0" w:color="auto"/>
        <w:bottom w:val="none" w:sz="0" w:space="0" w:color="auto"/>
        <w:right w:val="none" w:sz="0" w:space="0" w:color="auto"/>
      </w:divBdr>
    </w:div>
    <w:div w:id="2082679458">
      <w:bodyDiv w:val="1"/>
      <w:marLeft w:val="0"/>
      <w:marRight w:val="0"/>
      <w:marTop w:val="0"/>
      <w:marBottom w:val="0"/>
      <w:divBdr>
        <w:top w:val="none" w:sz="0" w:space="0" w:color="auto"/>
        <w:left w:val="none" w:sz="0" w:space="0" w:color="auto"/>
        <w:bottom w:val="none" w:sz="0" w:space="0" w:color="auto"/>
        <w:right w:val="none" w:sz="0" w:space="0" w:color="auto"/>
      </w:divBdr>
    </w:div>
    <w:div w:id="2107994171">
      <w:bodyDiv w:val="1"/>
      <w:marLeft w:val="0"/>
      <w:marRight w:val="0"/>
      <w:marTop w:val="0"/>
      <w:marBottom w:val="0"/>
      <w:divBdr>
        <w:top w:val="none" w:sz="0" w:space="0" w:color="auto"/>
        <w:left w:val="none" w:sz="0" w:space="0" w:color="auto"/>
        <w:bottom w:val="none" w:sz="0" w:space="0" w:color="auto"/>
        <w:right w:val="none" w:sz="0" w:space="0" w:color="auto"/>
      </w:divBdr>
    </w:div>
    <w:div w:id="2133864797">
      <w:bodyDiv w:val="1"/>
      <w:marLeft w:val="0"/>
      <w:marRight w:val="0"/>
      <w:marTop w:val="0"/>
      <w:marBottom w:val="0"/>
      <w:divBdr>
        <w:top w:val="none" w:sz="0" w:space="0" w:color="auto"/>
        <w:left w:val="none" w:sz="0" w:space="0" w:color="auto"/>
        <w:bottom w:val="none" w:sz="0" w:space="0" w:color="auto"/>
        <w:right w:val="none" w:sz="0" w:space="0" w:color="auto"/>
      </w:divBdr>
      <w:divsChild>
        <w:div w:id="406078459">
          <w:marLeft w:val="0"/>
          <w:marRight w:val="0"/>
          <w:marTop w:val="0"/>
          <w:marBottom w:val="0"/>
          <w:divBdr>
            <w:top w:val="none" w:sz="0" w:space="0" w:color="auto"/>
            <w:left w:val="none" w:sz="0" w:space="0" w:color="auto"/>
            <w:bottom w:val="none" w:sz="0" w:space="0" w:color="auto"/>
            <w:right w:val="none" w:sz="0" w:space="0" w:color="auto"/>
          </w:divBdr>
        </w:div>
      </w:divsChild>
    </w:div>
    <w:div w:id="2134711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tga.gov.au/product-information-pi" TargetMode="External"/><Relationship Id="rId18" Type="http://schemas.openxmlformats.org/officeDocument/2006/relationships/hyperlink" Target="https://www.tga.gov.au/product-information-pi" TargetMode="External"/><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footer" Target="footer2.xml"/><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3.png"/><Relationship Id="rId29" Type="http://schemas.openxmlformats.org/officeDocument/2006/relationships/image" Target="media/image12.png"/><Relationship Id="rId41" Type="http://schemas.openxmlformats.org/officeDocument/2006/relationships/image" Target="media/image24.png"/><Relationship Id="rId54" Type="http://schemas.openxmlformats.org/officeDocument/2006/relationships/header" Target="header5.xml"/><Relationship Id="rId62"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header" Target="header4.xml"/><Relationship Id="rId58" Type="http://schemas.openxmlformats.org/officeDocument/2006/relationships/header" Target="header6.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hyperlink" Target="https://www.tga.gov.au" TargetMode="External"/><Relationship Id="rId61" Type="http://schemas.openxmlformats.org/officeDocument/2006/relationships/header" Target="header8.xml"/><Relationship Id="rId10" Type="http://schemas.openxmlformats.org/officeDocument/2006/relationships/webSettings" Target="webSettings.xml"/><Relationship Id="rId19"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header" Target="header3.xml"/><Relationship Id="rId60"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tga.copyright@tga.gov.au"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hyperlink" Target="mailto:info@tga.gov.au" TargetMode="External"/><Relationship Id="rId64" Type="http://schemas.openxmlformats.org/officeDocument/2006/relationships/theme" Target="theme/theme1.xml"/><Relationship Id="rId8" Type="http://schemas.microsoft.com/office/2007/relationships/stylesWithEffects" Target="stylesWithEffects.xml"/><Relationship Id="rId51" Type="http://schemas.openxmlformats.org/officeDocument/2006/relationships/hyperlink" Target="https://www.tga.gov.au/product-information-pi"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2.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header" Target="header7.xml"/></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ilel\AppData\Local\Hewlett-Packard\HP%20TRIM\TEMP\HPTRIM.3784\R12%20926607%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A1B6F80CCCACD4BBD939FBBE026AF38" ma:contentTypeVersion="0" ma:contentTypeDescription="Create a new document." ma:contentTypeScope="" ma:versionID="c9ea6aaaa033969158baba35b67863fb">
  <xsd:schema xmlns:xsd="http://www.w3.org/2001/XMLSchema" xmlns:xs="http://www.w3.org/2001/XMLSchema" xmlns:p="http://schemas.microsoft.com/office/2006/metadata/properties" xmlns:ns2="5014b866-b028-4414-a07b-b971099f49e6" targetNamespace="http://schemas.microsoft.com/office/2006/metadata/properties" ma:root="true" ma:fieldsID="56a0b974661ea87e6903bc246ddbc035" ns2:_="">
    <xsd:import namespace="5014b866-b028-4414-a07b-b971099f49e6"/>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14b866-b028-4414-a07b-b971099f49e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5014b866-b028-4414-a07b-b971099f49e6">GPPM-2200-10</_dlc_DocId>
    <_dlc_DocIdUrl xmlns="5014b866-b028-4414-a07b-b971099f49e6">
      <Url>http://gppm.alk-abello.com/pr0000/pr0005/reg/_layouts/DocIdRedir.aspx?ID=GPPM-2200-10</Url>
      <Description>GPPM-2200-10</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C3336B-38C9-4326-B1AF-01DADE956A69}">
  <ds:schemaRefs>
    <ds:schemaRef ds:uri="http://schemas.microsoft.com/sharepoint/events"/>
  </ds:schemaRefs>
</ds:datastoreItem>
</file>

<file path=customXml/itemProps2.xml><?xml version="1.0" encoding="utf-8"?>
<ds:datastoreItem xmlns:ds="http://schemas.openxmlformats.org/officeDocument/2006/customXml" ds:itemID="{D408CF7D-B8E4-4AA3-A028-204C5B9C1D18}">
  <ds:schemaRefs>
    <ds:schemaRef ds:uri="http://schemas.microsoft.com/sharepoint/v3/contenttype/forms"/>
  </ds:schemaRefs>
</ds:datastoreItem>
</file>

<file path=customXml/itemProps3.xml><?xml version="1.0" encoding="utf-8"?>
<ds:datastoreItem xmlns:ds="http://schemas.openxmlformats.org/officeDocument/2006/customXml" ds:itemID="{8185858D-0DC4-4908-8D2F-754A63AC5F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14b866-b028-4414-a07b-b971099f49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FA5B0DB-6DD8-4ED7-9645-667134A8993F}">
  <ds:schemaRefs>
    <ds:schemaRef ds:uri="http://purl.org/dc/dcmitype/"/>
    <ds:schemaRef ds:uri="http://purl.org/dc/elements/1.1/"/>
    <ds:schemaRef ds:uri="http://schemas.microsoft.com/office/2006/documentManagement/types"/>
    <ds:schemaRef ds:uri="5014b866-b028-4414-a07b-b971099f49e6"/>
    <ds:schemaRef ds:uri="http://www.w3.org/XML/1998/namespace"/>
    <ds:schemaRef ds:uri="http://schemas.microsoft.com/office/2006/metadata/properties"/>
    <ds:schemaRef ds:uri="http://schemas.microsoft.com/office/infopath/2007/PartnerControls"/>
    <ds:schemaRef ds:uri="http://schemas.openxmlformats.org/package/2006/metadata/core-properties"/>
    <ds:schemaRef ds:uri="http://purl.org/dc/terms/"/>
  </ds:schemaRefs>
</ds:datastoreItem>
</file>

<file path=customXml/itemProps5.xml><?xml version="1.0" encoding="utf-8"?>
<ds:datastoreItem xmlns:ds="http://schemas.openxmlformats.org/officeDocument/2006/customXml" ds:itemID="{42573256-80CF-4A45-A1CC-4640E742D4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Template>
  <TotalTime>26</TotalTime>
  <Pages>84</Pages>
  <Words>31443</Words>
  <Characters>179227</Characters>
  <Application>Microsoft Office Word</Application>
  <DocSecurity>0</DocSecurity>
  <Lines>1493</Lines>
  <Paragraphs>420</Paragraphs>
  <ScaleCrop>false</ScaleCrop>
  <HeadingPairs>
    <vt:vector size="2" baseType="variant">
      <vt:variant>
        <vt:lpstr>Title</vt:lpstr>
      </vt:variant>
      <vt:variant>
        <vt:i4>1</vt:i4>
      </vt:variant>
    </vt:vector>
  </HeadingPairs>
  <TitlesOfParts>
    <vt:vector size="1" baseType="lpstr">
      <vt:lpstr>Australian public assessment for Grazax - Allergenic extract of standardised grass pollen extract</vt:lpstr>
    </vt:vector>
  </TitlesOfParts>
  <Company>Department of Health Therapeutic Goods Administration</Company>
  <LinksUpToDate>false</LinksUpToDate>
  <CharactersWithSpaces>210250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 Grazax - Allergenic extract of standardised grass pollen extract</dc:title>
  <dc:subject>prescription medicine</dc:subject>
  <dc:creator>Therapeutic Goods Administration</dc:creator>
  <cp:keywords>AusPAR</cp:keywords>
  <cp:lastModifiedBy>Therapeutic Goods Administration</cp:lastModifiedBy>
  <cp:revision>7</cp:revision>
  <cp:lastPrinted>2018-04-11T02:23:00Z</cp:lastPrinted>
  <dcterms:created xsi:type="dcterms:W3CDTF">2018-04-11T01:35:00Z</dcterms:created>
  <dcterms:modified xsi:type="dcterms:W3CDTF">2018-04-11T02:28:00Z</dcterms:modified>
  <cp:category>external publication</cp:category>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85fa9453-247d-4b92-88b2-3c6a06fed7bf</vt:lpwstr>
  </property>
  <property fmtid="{D5CDD505-2E9C-101B-9397-08002B2CF9AE}" pid="3" name="ContentTypeId">
    <vt:lpwstr>0x0101008A1B6F80CCCACD4BBD939FBBE026AF38</vt:lpwstr>
  </property>
</Properties>
</file>