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B2" w:rsidRPr="00E77619" w:rsidRDefault="00410126" w:rsidP="00410126">
      <w:pPr>
        <w:pStyle w:val="Heading2"/>
        <w:rPr>
          <w:sz w:val="32"/>
          <w:szCs w:val="32"/>
        </w:rPr>
      </w:pPr>
      <w:r w:rsidRPr="00E77619">
        <w:rPr>
          <w:sz w:val="32"/>
          <w:szCs w:val="32"/>
        </w:rPr>
        <w:t>NAME OF THE MEDICINE</w:t>
      </w:r>
    </w:p>
    <w:p w:rsidR="00D844B2" w:rsidRPr="00410126" w:rsidRDefault="00123310" w:rsidP="00410126">
      <w:pPr>
        <w:pStyle w:val="Heading1"/>
      </w:pPr>
      <w:r w:rsidRPr="00410126">
        <w:t>PERJETA</w:t>
      </w:r>
      <w:r w:rsidR="00D844B2" w:rsidRPr="00410126">
        <w:t>®</w:t>
      </w:r>
    </w:p>
    <w:p w:rsidR="00D844B2" w:rsidRPr="00410126" w:rsidRDefault="0022434D" w:rsidP="00410126">
      <w:pPr>
        <w:rPr>
          <w:i/>
        </w:rPr>
      </w:pPr>
      <w:proofErr w:type="spellStart"/>
      <w:r w:rsidRPr="00410126">
        <w:rPr>
          <w:i/>
        </w:rPr>
        <w:t>Pertuzumab</w:t>
      </w:r>
      <w:proofErr w:type="spellEnd"/>
      <w:r w:rsidR="00D844B2" w:rsidRPr="00410126">
        <w:rPr>
          <w:i/>
        </w:rPr>
        <w:t xml:space="preserve"> </w:t>
      </w:r>
    </w:p>
    <w:p w:rsidR="00CF3480" w:rsidRPr="008130BD" w:rsidRDefault="00CF3480" w:rsidP="007E03C2">
      <w:pPr>
        <w:rPr>
          <w:lang w:val="en-GB"/>
        </w:rPr>
      </w:pPr>
      <w:r w:rsidRPr="008130BD">
        <w:rPr>
          <w:lang w:val="en-GB"/>
        </w:rPr>
        <w:t xml:space="preserve">CAS: </w:t>
      </w:r>
      <w:r w:rsidR="00957AA7" w:rsidRPr="008130BD">
        <w:rPr>
          <w:lang w:val="en-GB"/>
        </w:rPr>
        <w:t>380610</w:t>
      </w:r>
      <w:r w:rsidRPr="008130BD">
        <w:rPr>
          <w:lang w:val="en-GB"/>
        </w:rPr>
        <w:t>-</w:t>
      </w:r>
      <w:r w:rsidR="00957AA7" w:rsidRPr="008130BD">
        <w:rPr>
          <w:lang w:val="en-GB"/>
        </w:rPr>
        <w:t>27</w:t>
      </w:r>
      <w:r w:rsidRPr="008130BD">
        <w:rPr>
          <w:lang w:val="en-GB"/>
        </w:rPr>
        <w:t>-</w:t>
      </w:r>
      <w:r w:rsidR="00957AA7" w:rsidRPr="008130BD">
        <w:rPr>
          <w:lang w:val="en-GB"/>
        </w:rPr>
        <w:t>5</w:t>
      </w:r>
      <w:r w:rsidRPr="008130BD">
        <w:rPr>
          <w:lang w:val="en-GB"/>
        </w:rPr>
        <w:t xml:space="preserve"> </w:t>
      </w:r>
    </w:p>
    <w:p w:rsidR="003365C6" w:rsidRPr="008130BD" w:rsidRDefault="003365C6" w:rsidP="007E03C2">
      <w:pPr>
        <w:rPr>
          <w:lang w:val="en-GB"/>
        </w:rPr>
      </w:pPr>
    </w:p>
    <w:p w:rsidR="00F06F24" w:rsidRPr="008130BD" w:rsidRDefault="00123310" w:rsidP="00397C6E">
      <w:pPr>
        <w:pStyle w:val="Paragraph"/>
        <w:spacing w:after="120" w:line="240" w:lineRule="auto"/>
        <w:jc w:val="both"/>
        <w:rPr>
          <w:rFonts w:ascii="Times New Roman" w:hAnsi="Times New Roman"/>
          <w:color w:val="000000"/>
        </w:rPr>
      </w:pPr>
      <w:r>
        <w:rPr>
          <w:rFonts w:ascii="Times New Roman" w:hAnsi="Times New Roman"/>
          <w:color w:val="000000"/>
        </w:rPr>
        <w:t>PERJETA</w:t>
      </w:r>
      <w:r w:rsidR="00F06F24" w:rsidRPr="008130BD">
        <w:rPr>
          <w:rFonts w:ascii="Times New Roman" w:hAnsi="Times New Roman"/>
          <w:color w:val="000000"/>
        </w:rPr>
        <w:t xml:space="preserve"> (</w:t>
      </w:r>
      <w:proofErr w:type="spellStart"/>
      <w:r w:rsidR="00F06F24" w:rsidRPr="008130BD">
        <w:rPr>
          <w:rFonts w:ascii="Times New Roman" w:hAnsi="Times New Roman"/>
          <w:color w:val="000000"/>
        </w:rPr>
        <w:t>pertuzumab</w:t>
      </w:r>
      <w:proofErr w:type="spellEnd"/>
      <w:r w:rsidR="00F06F24" w:rsidRPr="008130BD">
        <w:rPr>
          <w:rFonts w:ascii="Times New Roman" w:hAnsi="Times New Roman"/>
          <w:color w:val="000000"/>
        </w:rPr>
        <w:t xml:space="preserve">) </w:t>
      </w:r>
      <w:r w:rsidR="00435C55" w:rsidRPr="008130BD">
        <w:rPr>
          <w:rFonts w:ascii="Times New Roman" w:hAnsi="Times New Roman"/>
          <w:color w:val="000000"/>
        </w:rPr>
        <w:t>is a recombinant humanized monoclonal antibody</w:t>
      </w:r>
      <w:r w:rsidR="00022E38">
        <w:rPr>
          <w:rFonts w:ascii="Times New Roman" w:hAnsi="Times New Roman"/>
          <w:color w:val="000000"/>
        </w:rPr>
        <w:t>.</w:t>
      </w:r>
      <w:r w:rsidR="00435C55" w:rsidRPr="008130BD">
        <w:rPr>
          <w:rFonts w:ascii="Times New Roman" w:hAnsi="Times New Roman"/>
          <w:color w:val="000000"/>
        </w:rPr>
        <w:t xml:space="preserve"> </w:t>
      </w:r>
      <w:r w:rsidR="00F06F24" w:rsidRPr="008130BD">
        <w:rPr>
          <w:rFonts w:ascii="Times New Roman" w:hAnsi="Times New Roman"/>
          <w:color w:val="000000"/>
        </w:rPr>
        <w:t>The antibody is based upon the human IgG</w:t>
      </w:r>
      <w:r w:rsidR="00F06F24" w:rsidRPr="008130BD">
        <w:rPr>
          <w:rFonts w:ascii="Times New Roman" w:hAnsi="Times New Roman"/>
          <w:color w:val="000000"/>
          <w:vertAlign w:val="subscript"/>
        </w:rPr>
        <w:t>1</w:t>
      </w:r>
      <w:r w:rsidR="00F06F24" w:rsidRPr="008130BD">
        <w:rPr>
          <w:rFonts w:ascii="Times New Roman" w:hAnsi="Times New Roman"/>
          <w:color w:val="000000"/>
        </w:rPr>
        <w:t xml:space="preserve"> kappa framework sequence, with a molecular weight of ~ 148kDa</w:t>
      </w:r>
      <w:r w:rsidR="007E03C2" w:rsidRPr="008130BD">
        <w:rPr>
          <w:rFonts w:ascii="Times New Roman" w:hAnsi="Times New Roman"/>
          <w:color w:val="000000"/>
        </w:rPr>
        <w:t xml:space="preserve"> and </w:t>
      </w:r>
      <w:r w:rsidR="00F06F24" w:rsidRPr="008130BD">
        <w:rPr>
          <w:rFonts w:ascii="Times New Roman" w:hAnsi="Times New Roman"/>
          <w:color w:val="000000"/>
        </w:rPr>
        <w:t>composed of two light chains consisting of 214 amino acid residues and two heavy chains consisting of 448 or 449 amino acid residues.</w:t>
      </w:r>
    </w:p>
    <w:p w:rsidR="00D844B2" w:rsidRPr="00410126" w:rsidRDefault="00410126" w:rsidP="00410126">
      <w:pPr>
        <w:pStyle w:val="Heading2"/>
      </w:pPr>
      <w:r w:rsidRPr="00410126">
        <w:t>DESCRIPTION</w:t>
      </w:r>
    </w:p>
    <w:p w:rsidR="001E62BB" w:rsidRPr="008130BD" w:rsidRDefault="00123310" w:rsidP="007E03C2">
      <w:pPr>
        <w:pStyle w:val="Paragraph"/>
        <w:spacing w:after="120" w:line="240" w:lineRule="auto"/>
        <w:jc w:val="both"/>
        <w:rPr>
          <w:rFonts w:ascii="Times New Roman" w:hAnsi="Times New Roman"/>
          <w:szCs w:val="22"/>
        </w:rPr>
      </w:pPr>
      <w:r>
        <w:rPr>
          <w:rFonts w:ascii="Times New Roman" w:eastAsia="PMingLiU" w:hAnsi="Times New Roman"/>
          <w:szCs w:val="22"/>
          <w:lang w:val="en-AU" w:eastAsia="zh-TW"/>
        </w:rPr>
        <w:t>PERJETA</w:t>
      </w:r>
      <w:r w:rsidR="001E62BB" w:rsidRPr="008130BD">
        <w:rPr>
          <w:rFonts w:ascii="Times New Roman" w:eastAsia="PMingLiU" w:hAnsi="Times New Roman"/>
          <w:szCs w:val="22"/>
          <w:lang w:val="en-AU" w:eastAsia="zh-TW"/>
        </w:rPr>
        <w:t xml:space="preserve"> is supplied </w:t>
      </w:r>
      <w:r w:rsidR="00E548FF">
        <w:rPr>
          <w:rFonts w:ascii="Times New Roman" w:eastAsia="PMingLiU" w:hAnsi="Times New Roman"/>
          <w:szCs w:val="22"/>
          <w:lang w:val="en-AU" w:eastAsia="zh-TW"/>
        </w:rPr>
        <w:t>as</w:t>
      </w:r>
      <w:r w:rsidR="001E62BB" w:rsidRPr="008130BD">
        <w:rPr>
          <w:rFonts w:ascii="Times New Roman" w:eastAsia="PMingLiU" w:hAnsi="Times New Roman"/>
          <w:szCs w:val="22"/>
          <w:lang w:val="en-AU" w:eastAsia="zh-TW"/>
        </w:rPr>
        <w:t xml:space="preserve"> a single-</w:t>
      </w:r>
      <w:r w:rsidR="00E548FF">
        <w:rPr>
          <w:rFonts w:ascii="Times New Roman" w:eastAsia="PMingLiU" w:hAnsi="Times New Roman"/>
          <w:szCs w:val="22"/>
          <w:lang w:val="en-AU" w:eastAsia="zh-TW"/>
        </w:rPr>
        <w:t>use</w:t>
      </w:r>
      <w:r w:rsidR="001E62BB" w:rsidRPr="008130BD">
        <w:rPr>
          <w:rFonts w:ascii="Times New Roman" w:eastAsia="PMingLiU" w:hAnsi="Times New Roman"/>
          <w:szCs w:val="22"/>
          <w:lang w:val="en-AU" w:eastAsia="zh-TW"/>
        </w:rPr>
        <w:t xml:space="preserve"> vial containing 14 mL </w:t>
      </w:r>
      <w:r w:rsidR="003471FF" w:rsidRPr="008130BD">
        <w:rPr>
          <w:rFonts w:ascii="Times New Roman" w:eastAsia="PMingLiU" w:hAnsi="Times New Roman"/>
          <w:szCs w:val="22"/>
          <w:lang w:val="en-AU" w:eastAsia="zh-TW"/>
        </w:rPr>
        <w:t xml:space="preserve">of </w:t>
      </w:r>
      <w:r w:rsidR="001E62BB" w:rsidRPr="008130BD">
        <w:rPr>
          <w:rFonts w:ascii="Times New Roman" w:eastAsia="PMingLiU" w:hAnsi="Times New Roman"/>
          <w:szCs w:val="22"/>
          <w:lang w:val="en-AU" w:eastAsia="zh-TW"/>
        </w:rPr>
        <w:t>preservative-free concentrate</w:t>
      </w:r>
      <w:r w:rsidR="003471FF" w:rsidRPr="008130BD">
        <w:rPr>
          <w:rFonts w:ascii="Times New Roman" w:eastAsia="PMingLiU" w:hAnsi="Times New Roman"/>
          <w:szCs w:val="22"/>
          <w:lang w:val="en-AU" w:eastAsia="zh-TW"/>
        </w:rPr>
        <w:t xml:space="preserve"> </w:t>
      </w:r>
      <w:r w:rsidR="00820E7A">
        <w:rPr>
          <w:rFonts w:ascii="Times New Roman" w:eastAsia="PMingLiU" w:hAnsi="Times New Roman"/>
          <w:szCs w:val="22"/>
          <w:lang w:val="en-AU" w:eastAsia="zh-TW"/>
        </w:rPr>
        <w:t>solution</w:t>
      </w:r>
      <w:r w:rsidR="001E62BB" w:rsidRPr="008130BD">
        <w:rPr>
          <w:rFonts w:ascii="Times New Roman" w:eastAsia="PMingLiU" w:hAnsi="Times New Roman"/>
          <w:szCs w:val="22"/>
          <w:lang w:val="en-AU" w:eastAsia="zh-TW"/>
        </w:rPr>
        <w:t xml:space="preserve">. Each vial contains 420 mg </w:t>
      </w:r>
      <w:r w:rsidR="003471FF" w:rsidRPr="008130BD">
        <w:rPr>
          <w:rFonts w:ascii="Times New Roman" w:eastAsia="PMingLiU" w:hAnsi="Times New Roman"/>
          <w:szCs w:val="22"/>
          <w:lang w:val="en-AU" w:eastAsia="zh-TW"/>
        </w:rPr>
        <w:t xml:space="preserve">of </w:t>
      </w:r>
      <w:proofErr w:type="spellStart"/>
      <w:r w:rsidR="00186EC0" w:rsidRPr="008130BD">
        <w:rPr>
          <w:rFonts w:ascii="Times New Roman" w:eastAsia="PMingLiU" w:hAnsi="Times New Roman"/>
          <w:szCs w:val="22"/>
          <w:lang w:val="en-AU" w:eastAsia="zh-TW"/>
        </w:rPr>
        <w:t>pertuzumab</w:t>
      </w:r>
      <w:proofErr w:type="spellEnd"/>
      <w:r w:rsidR="001E62BB" w:rsidRPr="008130BD">
        <w:rPr>
          <w:rFonts w:ascii="Times New Roman" w:eastAsia="PMingLiU" w:hAnsi="Times New Roman"/>
          <w:szCs w:val="22"/>
          <w:lang w:val="en-AU" w:eastAsia="zh-TW"/>
        </w:rPr>
        <w:t xml:space="preserve"> </w:t>
      </w:r>
      <w:r w:rsidR="003471FF" w:rsidRPr="008130BD">
        <w:rPr>
          <w:rFonts w:ascii="Times New Roman" w:eastAsia="PMingLiU" w:hAnsi="Times New Roman"/>
          <w:szCs w:val="22"/>
          <w:lang w:val="en-AU" w:eastAsia="zh-TW"/>
        </w:rPr>
        <w:t xml:space="preserve">(30 mg/mL) </w:t>
      </w:r>
      <w:r w:rsidR="001E62BB" w:rsidRPr="008130BD">
        <w:rPr>
          <w:rFonts w:ascii="Times New Roman" w:eastAsia="PMingLiU" w:hAnsi="Times New Roman"/>
          <w:szCs w:val="22"/>
          <w:lang w:val="en-AU" w:eastAsia="zh-TW"/>
        </w:rPr>
        <w:t xml:space="preserve">with the following excipients; </w:t>
      </w:r>
      <w:r w:rsidR="001E62BB" w:rsidRPr="008130BD">
        <w:rPr>
          <w:rFonts w:ascii="Times New Roman" w:hAnsi="Times New Roman"/>
          <w:szCs w:val="22"/>
        </w:rPr>
        <w:t>sucrose</w:t>
      </w:r>
      <w:r w:rsidR="0043052F" w:rsidRPr="008130BD">
        <w:rPr>
          <w:rFonts w:ascii="Times New Roman" w:hAnsi="Times New Roman"/>
          <w:szCs w:val="22"/>
        </w:rPr>
        <w:t>,</w:t>
      </w:r>
      <w:r w:rsidR="001E62BB" w:rsidRPr="008130BD">
        <w:rPr>
          <w:rFonts w:ascii="Times New Roman" w:hAnsi="Times New Roman"/>
          <w:szCs w:val="22"/>
        </w:rPr>
        <w:t xml:space="preserve"> </w:t>
      </w:r>
      <w:proofErr w:type="spellStart"/>
      <w:r w:rsidR="001E62BB" w:rsidRPr="008130BD">
        <w:rPr>
          <w:rFonts w:ascii="Times New Roman" w:hAnsi="Times New Roman"/>
          <w:szCs w:val="22"/>
        </w:rPr>
        <w:t>polysorbate</w:t>
      </w:r>
      <w:proofErr w:type="spellEnd"/>
      <w:r w:rsidR="001E62BB" w:rsidRPr="008130BD">
        <w:rPr>
          <w:rFonts w:ascii="Times New Roman" w:hAnsi="Times New Roman"/>
          <w:szCs w:val="22"/>
        </w:rPr>
        <w:t xml:space="preserve"> 20, histidine and acetic acid, glacial.</w:t>
      </w:r>
    </w:p>
    <w:p w:rsidR="00D844B2" w:rsidRPr="008130BD" w:rsidRDefault="00410126" w:rsidP="00410126">
      <w:pPr>
        <w:pStyle w:val="Heading2"/>
      </w:pPr>
      <w:r w:rsidRPr="008130BD">
        <w:t>PHARMACOLOGY</w:t>
      </w:r>
    </w:p>
    <w:p w:rsidR="00D252EC" w:rsidRPr="003C0FBE" w:rsidRDefault="00D252EC" w:rsidP="00410126">
      <w:pPr>
        <w:pStyle w:val="Heading3"/>
        <w:rPr>
          <w:i/>
        </w:rPr>
      </w:pPr>
      <w:r w:rsidRPr="003C0FBE">
        <w:rPr>
          <w:i/>
        </w:rPr>
        <w:t>Pharmacodynamics</w:t>
      </w:r>
    </w:p>
    <w:p w:rsidR="00A47F86" w:rsidRPr="00E14D93" w:rsidRDefault="002C3164" w:rsidP="00984275">
      <w:pPr>
        <w:pStyle w:val="Paragraph"/>
        <w:spacing w:after="120"/>
        <w:jc w:val="both"/>
        <w:rPr>
          <w:rFonts w:ascii="Times New Roman" w:eastAsia="PMingLiU" w:hAnsi="Times New Roman"/>
          <w:szCs w:val="22"/>
          <w:lang w:val="en-AU" w:eastAsia="zh-TW"/>
        </w:rPr>
      </w:pPr>
      <w:proofErr w:type="spellStart"/>
      <w:r>
        <w:rPr>
          <w:rFonts w:ascii="Times New Roman" w:eastAsia="PMingLiU" w:hAnsi="Times New Roman"/>
          <w:szCs w:val="22"/>
          <w:lang w:val="en-AU" w:eastAsia="zh-TW"/>
        </w:rPr>
        <w:t>Pertuzumab</w:t>
      </w:r>
      <w:proofErr w:type="spellEnd"/>
      <w:r>
        <w:rPr>
          <w:rFonts w:ascii="Times New Roman" w:eastAsia="PMingLiU" w:hAnsi="Times New Roman"/>
          <w:szCs w:val="22"/>
          <w:lang w:val="en-AU" w:eastAsia="zh-TW"/>
        </w:rPr>
        <w:t xml:space="preserve"> </w:t>
      </w:r>
      <w:r w:rsidR="0081710B" w:rsidRPr="0081710B">
        <w:rPr>
          <w:rFonts w:ascii="Times New Roman" w:eastAsia="PMingLiU" w:hAnsi="Times New Roman"/>
          <w:szCs w:val="22"/>
          <w:lang w:val="en-AU" w:eastAsia="zh-TW"/>
        </w:rPr>
        <w:t>binds to the extracellular</w:t>
      </w:r>
      <w:r>
        <w:rPr>
          <w:rFonts w:ascii="Times New Roman" w:eastAsia="PMingLiU" w:hAnsi="Times New Roman"/>
          <w:szCs w:val="22"/>
          <w:lang w:val="en-AU" w:eastAsia="zh-TW"/>
        </w:rPr>
        <w:t xml:space="preserve"> </w:t>
      </w:r>
      <w:r w:rsidR="0081710B" w:rsidRPr="0081710B">
        <w:rPr>
          <w:rFonts w:ascii="Times New Roman" w:eastAsia="PMingLiU" w:hAnsi="Times New Roman"/>
          <w:szCs w:val="22"/>
          <w:lang w:val="en-AU" w:eastAsia="zh-TW"/>
        </w:rPr>
        <w:t>dimerization domain (Subdomain II) of the human epidermal growth factor receptor 2</w:t>
      </w:r>
      <w:r>
        <w:rPr>
          <w:rFonts w:ascii="Times New Roman" w:eastAsia="PMingLiU" w:hAnsi="Times New Roman"/>
          <w:szCs w:val="22"/>
          <w:lang w:val="en-AU" w:eastAsia="zh-TW"/>
        </w:rPr>
        <w:t xml:space="preserve"> </w:t>
      </w:r>
      <w:r w:rsidR="0081710B" w:rsidRPr="0081710B">
        <w:rPr>
          <w:rFonts w:ascii="Times New Roman" w:eastAsia="PMingLiU" w:hAnsi="Times New Roman"/>
          <w:szCs w:val="22"/>
          <w:lang w:val="en-AU" w:eastAsia="zh-TW"/>
        </w:rPr>
        <w:t xml:space="preserve">protein (HER2) and thereby blocks ligand-dependent </w:t>
      </w:r>
      <w:proofErr w:type="spellStart"/>
      <w:r w:rsidR="0081710B" w:rsidRPr="0081710B">
        <w:rPr>
          <w:rFonts w:ascii="Times New Roman" w:eastAsia="PMingLiU" w:hAnsi="Times New Roman"/>
          <w:szCs w:val="22"/>
          <w:lang w:val="en-AU" w:eastAsia="zh-TW"/>
        </w:rPr>
        <w:t>heterodimerization</w:t>
      </w:r>
      <w:proofErr w:type="spellEnd"/>
      <w:r w:rsidR="0081710B" w:rsidRPr="0081710B">
        <w:rPr>
          <w:rFonts w:ascii="Times New Roman" w:eastAsia="PMingLiU" w:hAnsi="Times New Roman"/>
          <w:szCs w:val="22"/>
          <w:lang w:val="en-AU" w:eastAsia="zh-TW"/>
        </w:rPr>
        <w:t xml:space="preserve"> of HER2 with</w:t>
      </w:r>
      <w:r>
        <w:rPr>
          <w:rFonts w:ascii="Times New Roman" w:eastAsia="PMingLiU" w:hAnsi="Times New Roman"/>
          <w:szCs w:val="22"/>
          <w:lang w:val="en-AU" w:eastAsia="zh-TW"/>
        </w:rPr>
        <w:t xml:space="preserve"> </w:t>
      </w:r>
      <w:r w:rsidR="0081710B" w:rsidRPr="0081710B">
        <w:rPr>
          <w:rFonts w:ascii="Times New Roman" w:eastAsia="PMingLiU" w:hAnsi="Times New Roman"/>
          <w:szCs w:val="22"/>
          <w:lang w:val="en-AU" w:eastAsia="zh-TW"/>
        </w:rPr>
        <w:t>other HER family members</w:t>
      </w:r>
      <w:r w:rsidR="00A64C0B">
        <w:rPr>
          <w:rFonts w:ascii="Times New Roman" w:eastAsia="PMingLiU" w:hAnsi="Times New Roman"/>
          <w:szCs w:val="22"/>
          <w:lang w:val="en-AU" w:eastAsia="zh-TW"/>
        </w:rPr>
        <w:t>,</w:t>
      </w:r>
      <w:r w:rsidR="0081710B" w:rsidRPr="0081710B">
        <w:rPr>
          <w:rFonts w:ascii="Times New Roman" w:eastAsia="PMingLiU" w:hAnsi="Times New Roman"/>
          <w:szCs w:val="22"/>
          <w:lang w:val="en-AU" w:eastAsia="zh-TW"/>
        </w:rPr>
        <w:t xml:space="preserve"> including EGFR</w:t>
      </w:r>
      <w:r w:rsidR="00A64C0B">
        <w:rPr>
          <w:rFonts w:ascii="Times New Roman" w:eastAsia="PMingLiU" w:hAnsi="Times New Roman"/>
          <w:szCs w:val="22"/>
          <w:lang w:val="en-AU" w:eastAsia="zh-TW"/>
        </w:rPr>
        <w:t>,</w:t>
      </w:r>
      <w:r w:rsidR="0081710B" w:rsidRPr="0081710B">
        <w:rPr>
          <w:rFonts w:ascii="Times New Roman" w:eastAsia="PMingLiU" w:hAnsi="Times New Roman"/>
          <w:szCs w:val="22"/>
          <w:lang w:val="en-AU" w:eastAsia="zh-TW"/>
        </w:rPr>
        <w:t xml:space="preserve"> HER3 and HER4.</w:t>
      </w:r>
      <w:r w:rsidR="001E62BB" w:rsidRPr="008130BD">
        <w:rPr>
          <w:rFonts w:ascii="Times New Roman" w:eastAsia="PMingLiU" w:hAnsi="Times New Roman"/>
          <w:szCs w:val="22"/>
          <w:lang w:val="en-AU" w:eastAsia="zh-TW"/>
        </w:rPr>
        <w:t xml:space="preserve"> </w:t>
      </w:r>
      <w:r w:rsidR="0081710B">
        <w:rPr>
          <w:rFonts w:ascii="Times New Roman" w:eastAsia="PMingLiU" w:hAnsi="Times New Roman"/>
          <w:szCs w:val="22"/>
          <w:lang w:val="en-AU" w:eastAsia="zh-TW"/>
        </w:rPr>
        <w:t xml:space="preserve">It </w:t>
      </w:r>
      <w:r w:rsidR="001E62BB" w:rsidRPr="008130BD">
        <w:rPr>
          <w:rFonts w:ascii="Times New Roman" w:eastAsia="PMingLiU" w:hAnsi="Times New Roman"/>
          <w:szCs w:val="22"/>
          <w:lang w:val="en-AU" w:eastAsia="zh-TW"/>
        </w:rPr>
        <w:t>inhibits ligand</w:t>
      </w:r>
      <w:r w:rsidR="001E62BB" w:rsidRPr="008130BD">
        <w:rPr>
          <w:rFonts w:ascii="Times New Roman" w:eastAsia="PMingLiU" w:hAnsi="Times New Roman"/>
          <w:szCs w:val="22"/>
          <w:lang w:val="en-AU" w:eastAsia="zh-TW"/>
        </w:rPr>
        <w:noBreakHyphen/>
        <w:t>initiated intracellular signalling through two major signal pathways, mitogen</w:t>
      </w:r>
      <w:r w:rsidR="001E62BB" w:rsidRPr="008130BD">
        <w:rPr>
          <w:rFonts w:ascii="Times New Roman" w:eastAsia="PMingLiU" w:hAnsi="Times New Roman"/>
          <w:szCs w:val="22"/>
          <w:lang w:val="en-AU" w:eastAsia="zh-TW"/>
        </w:rPr>
        <w:noBreakHyphen/>
        <w:t>activated protein (MAP) kinase and phosphoinositide 3</w:t>
      </w:r>
      <w:r w:rsidR="001E62BB" w:rsidRPr="008130BD">
        <w:rPr>
          <w:rFonts w:ascii="Times New Roman" w:eastAsia="PMingLiU" w:hAnsi="Times New Roman"/>
          <w:szCs w:val="22"/>
          <w:lang w:val="en-AU" w:eastAsia="zh-TW"/>
        </w:rPr>
        <w:noBreakHyphen/>
        <w:t xml:space="preserve">kinase (PI3K). Inhibition of these signalling pathways can result in cell growth arrest and apoptosis, respectively. In addition, </w:t>
      </w:r>
      <w:proofErr w:type="spellStart"/>
      <w:r w:rsidR="0081710B">
        <w:rPr>
          <w:rFonts w:ascii="Times New Roman" w:eastAsia="PMingLiU" w:hAnsi="Times New Roman"/>
          <w:szCs w:val="22"/>
          <w:lang w:val="en-AU" w:eastAsia="zh-TW"/>
        </w:rPr>
        <w:t>pertuzumab</w:t>
      </w:r>
      <w:proofErr w:type="spellEnd"/>
      <w:r w:rsidR="001E62BB" w:rsidRPr="008130BD">
        <w:rPr>
          <w:rFonts w:ascii="Times New Roman" w:eastAsia="PMingLiU" w:hAnsi="Times New Roman"/>
          <w:szCs w:val="22"/>
          <w:lang w:val="en-AU" w:eastAsia="zh-TW"/>
        </w:rPr>
        <w:t xml:space="preserve"> mediates antibody-dependent cell-mediated cytotoxicity (ADCC).</w:t>
      </w:r>
      <w:r w:rsidR="00A47F86" w:rsidRPr="00E14D93">
        <w:rPr>
          <w:rFonts w:ascii="Times New Roman" w:eastAsia="PMingLiU" w:hAnsi="Times New Roman"/>
          <w:szCs w:val="22"/>
          <w:lang w:val="en-AU" w:eastAsia="zh-TW"/>
        </w:rPr>
        <w:t xml:space="preserve">While </w:t>
      </w:r>
      <w:proofErr w:type="spellStart"/>
      <w:r w:rsidR="0081710B" w:rsidRPr="00E14D93">
        <w:rPr>
          <w:rFonts w:ascii="Times New Roman" w:eastAsia="PMingLiU" w:hAnsi="Times New Roman"/>
          <w:szCs w:val="22"/>
          <w:lang w:val="en-AU" w:eastAsia="zh-TW"/>
        </w:rPr>
        <w:t>pertuzumab</w:t>
      </w:r>
      <w:proofErr w:type="spellEnd"/>
      <w:r w:rsidR="00A47F86" w:rsidRPr="00E14D93">
        <w:rPr>
          <w:rFonts w:ascii="Times New Roman" w:eastAsia="PMingLiU" w:hAnsi="Times New Roman"/>
          <w:szCs w:val="22"/>
          <w:lang w:val="en-AU" w:eastAsia="zh-TW"/>
        </w:rPr>
        <w:t xml:space="preserve"> alone inhibited the proliferation of human tumour cells, the </w:t>
      </w:r>
      <w:r w:rsidR="0081710B" w:rsidRPr="00E14D93">
        <w:rPr>
          <w:rFonts w:ascii="Times New Roman" w:eastAsia="PMingLiU" w:hAnsi="Times New Roman"/>
          <w:szCs w:val="22"/>
          <w:lang w:val="en-AU" w:eastAsia="zh-TW"/>
        </w:rPr>
        <w:t xml:space="preserve">anti-tumour activity was significantly augmented when </w:t>
      </w:r>
      <w:proofErr w:type="spellStart"/>
      <w:r w:rsidR="0081710B" w:rsidRPr="00E14D93">
        <w:rPr>
          <w:rFonts w:ascii="Times New Roman" w:eastAsia="PMingLiU" w:hAnsi="Times New Roman"/>
          <w:szCs w:val="22"/>
          <w:lang w:val="en-AU" w:eastAsia="zh-TW"/>
        </w:rPr>
        <w:t>pertuzu</w:t>
      </w:r>
      <w:r w:rsidR="00A64C0B">
        <w:rPr>
          <w:rFonts w:ascii="Times New Roman" w:eastAsia="PMingLiU" w:hAnsi="Times New Roman"/>
          <w:szCs w:val="22"/>
          <w:lang w:val="en-AU" w:eastAsia="zh-TW"/>
        </w:rPr>
        <w:t>m</w:t>
      </w:r>
      <w:r w:rsidR="0081710B" w:rsidRPr="00E14D93">
        <w:rPr>
          <w:rFonts w:ascii="Times New Roman" w:eastAsia="PMingLiU" w:hAnsi="Times New Roman"/>
          <w:szCs w:val="22"/>
          <w:lang w:val="en-AU" w:eastAsia="zh-TW"/>
        </w:rPr>
        <w:t>ab</w:t>
      </w:r>
      <w:proofErr w:type="spellEnd"/>
      <w:r w:rsidR="0081710B" w:rsidRPr="00E14D93">
        <w:rPr>
          <w:rFonts w:ascii="Times New Roman" w:eastAsia="PMingLiU" w:hAnsi="Times New Roman"/>
          <w:szCs w:val="22"/>
          <w:lang w:val="en-AU" w:eastAsia="zh-TW"/>
        </w:rPr>
        <w:t xml:space="preserve"> was used in</w:t>
      </w:r>
      <w:r w:rsidRPr="00E14D93">
        <w:rPr>
          <w:rFonts w:ascii="Times New Roman" w:eastAsia="PMingLiU" w:hAnsi="Times New Roman"/>
          <w:szCs w:val="22"/>
          <w:lang w:val="en-AU" w:eastAsia="zh-TW"/>
        </w:rPr>
        <w:t xml:space="preserve"> </w:t>
      </w:r>
      <w:r w:rsidR="0081710B" w:rsidRPr="00E14D93">
        <w:rPr>
          <w:rFonts w:ascii="Times New Roman" w:eastAsia="PMingLiU" w:hAnsi="Times New Roman"/>
          <w:szCs w:val="22"/>
          <w:lang w:val="en-AU" w:eastAsia="zh-TW"/>
        </w:rPr>
        <w:t xml:space="preserve">combination with </w:t>
      </w:r>
      <w:proofErr w:type="spellStart"/>
      <w:r w:rsidR="0081710B" w:rsidRPr="00E14D93">
        <w:rPr>
          <w:rFonts w:ascii="Times New Roman" w:eastAsia="PMingLiU" w:hAnsi="Times New Roman"/>
          <w:szCs w:val="22"/>
          <w:lang w:val="en-AU" w:eastAsia="zh-TW"/>
        </w:rPr>
        <w:t>trastuzu</w:t>
      </w:r>
      <w:r w:rsidR="00A64C0B">
        <w:rPr>
          <w:rFonts w:ascii="Times New Roman" w:eastAsia="PMingLiU" w:hAnsi="Times New Roman"/>
          <w:szCs w:val="22"/>
          <w:lang w:val="en-AU" w:eastAsia="zh-TW"/>
        </w:rPr>
        <w:t>m</w:t>
      </w:r>
      <w:r w:rsidR="0081710B" w:rsidRPr="00E14D93">
        <w:rPr>
          <w:rFonts w:ascii="Times New Roman" w:eastAsia="PMingLiU" w:hAnsi="Times New Roman"/>
          <w:szCs w:val="22"/>
          <w:lang w:val="en-AU" w:eastAsia="zh-TW"/>
        </w:rPr>
        <w:t>ab</w:t>
      </w:r>
      <w:proofErr w:type="spellEnd"/>
      <w:r w:rsidR="00A47F86" w:rsidRPr="00E14D93">
        <w:rPr>
          <w:rFonts w:ascii="Times New Roman" w:eastAsia="PMingLiU" w:hAnsi="Times New Roman"/>
          <w:szCs w:val="22"/>
          <w:lang w:val="en-AU" w:eastAsia="zh-TW"/>
        </w:rPr>
        <w:t xml:space="preserve"> in HER2-overexpressing xenograft models.</w:t>
      </w:r>
    </w:p>
    <w:p w:rsidR="00D252EC" w:rsidRPr="003C0FBE" w:rsidRDefault="00D252EC" w:rsidP="00410126">
      <w:pPr>
        <w:pStyle w:val="Heading3"/>
        <w:rPr>
          <w:i/>
        </w:rPr>
      </w:pPr>
      <w:r w:rsidRPr="003C0FBE">
        <w:rPr>
          <w:i/>
        </w:rPr>
        <w:t>Pharmacokinetics</w:t>
      </w:r>
    </w:p>
    <w:p w:rsidR="0070611B" w:rsidRPr="008130BD" w:rsidRDefault="0070611B" w:rsidP="0070611B">
      <w:pPr>
        <w:pStyle w:val="paragraph0"/>
        <w:spacing w:after="120"/>
        <w:jc w:val="both"/>
        <w:rPr>
          <w:rFonts w:ascii="Times New Roman" w:hAnsi="Times New Roman" w:cs="Times New Roman"/>
          <w:color w:val="000000"/>
          <w:szCs w:val="22"/>
          <w:lang w:eastAsia="zh-TW"/>
        </w:rPr>
      </w:pPr>
      <w:r w:rsidRPr="008130BD">
        <w:rPr>
          <w:rFonts w:ascii="Times New Roman" w:hAnsi="Times New Roman" w:cs="Times New Roman"/>
          <w:color w:val="000000"/>
          <w:szCs w:val="22"/>
          <w:lang w:eastAsia="zh-TW"/>
        </w:rPr>
        <w:t>Across multiple clinical trials</w:t>
      </w:r>
      <w:r w:rsidR="005060E2">
        <w:rPr>
          <w:rFonts w:ascii="Times New Roman" w:hAnsi="Times New Roman" w:cs="Times New Roman"/>
          <w:color w:val="000000"/>
          <w:szCs w:val="22"/>
          <w:lang w:eastAsia="zh-TW"/>
        </w:rPr>
        <w:t>,</w:t>
      </w:r>
      <w:r w:rsidRPr="008130BD">
        <w:rPr>
          <w:rFonts w:ascii="Times New Roman" w:hAnsi="Times New Roman" w:cs="Times New Roman"/>
          <w:color w:val="000000"/>
          <w:szCs w:val="22"/>
          <w:lang w:eastAsia="zh-TW"/>
        </w:rPr>
        <w:t xml:space="preserve"> in various indications</w:t>
      </w:r>
      <w:r w:rsidR="005060E2">
        <w:rPr>
          <w:rFonts w:ascii="Times New Roman" w:hAnsi="Times New Roman" w:cs="Times New Roman"/>
          <w:color w:val="000000"/>
          <w:szCs w:val="22"/>
          <w:lang w:eastAsia="zh-TW"/>
        </w:rPr>
        <w:t>,</w:t>
      </w:r>
      <w:r w:rsidRPr="008130BD">
        <w:rPr>
          <w:rFonts w:ascii="Times New Roman" w:hAnsi="Times New Roman" w:cs="Times New Roman"/>
          <w:color w:val="000000"/>
          <w:szCs w:val="22"/>
          <w:lang w:eastAsia="zh-TW"/>
        </w:rPr>
        <w:t xml:space="preserve"> there was no change in clearance of </w:t>
      </w:r>
      <w:proofErr w:type="spellStart"/>
      <w:r w:rsidRPr="008130BD">
        <w:rPr>
          <w:rFonts w:ascii="Times New Roman" w:hAnsi="Times New Roman" w:cs="Times New Roman"/>
          <w:color w:val="000000"/>
          <w:szCs w:val="22"/>
          <w:lang w:eastAsia="zh-TW"/>
        </w:rPr>
        <w:t>pertuzumab</w:t>
      </w:r>
      <w:proofErr w:type="spellEnd"/>
      <w:r w:rsidRPr="008130BD">
        <w:rPr>
          <w:rFonts w:ascii="Times New Roman" w:hAnsi="Times New Roman" w:cs="Times New Roman"/>
          <w:color w:val="000000"/>
          <w:szCs w:val="22"/>
          <w:lang w:eastAsia="zh-TW"/>
        </w:rPr>
        <w:t xml:space="preserve"> at doses of 2-25 mg/kg. Based on a population PK analysis that included 444 patients, the median clearance (CL) of </w:t>
      </w:r>
      <w:proofErr w:type="spellStart"/>
      <w:r w:rsidRPr="008130BD">
        <w:rPr>
          <w:rFonts w:ascii="Times New Roman" w:hAnsi="Times New Roman" w:cs="Times New Roman"/>
          <w:color w:val="000000"/>
          <w:szCs w:val="22"/>
          <w:lang w:eastAsia="zh-TW"/>
        </w:rPr>
        <w:t>pertuzumab</w:t>
      </w:r>
      <w:proofErr w:type="spellEnd"/>
      <w:r w:rsidRPr="008130BD">
        <w:rPr>
          <w:rFonts w:ascii="Times New Roman" w:hAnsi="Times New Roman" w:cs="Times New Roman"/>
          <w:color w:val="000000"/>
          <w:szCs w:val="22"/>
          <w:lang w:eastAsia="zh-TW"/>
        </w:rPr>
        <w:t xml:space="preserve"> was 0.239 L/day and the m</w:t>
      </w:r>
      <w:r w:rsidRPr="00571EB5">
        <w:rPr>
          <w:rFonts w:ascii="Times New Roman" w:hAnsi="Times New Roman" w:cs="Times New Roman"/>
          <w:color w:val="000000"/>
          <w:szCs w:val="22"/>
          <w:lang w:eastAsia="zh-TW"/>
        </w:rPr>
        <w:t>edian half-life was 17.2 days.</w:t>
      </w:r>
    </w:p>
    <w:p w:rsidR="0070611B" w:rsidRDefault="0070611B" w:rsidP="0070611B">
      <w:pPr>
        <w:pStyle w:val="paragraph0"/>
        <w:spacing w:after="120"/>
        <w:jc w:val="both"/>
        <w:rPr>
          <w:rFonts w:ascii="Times New Roman" w:hAnsi="Times New Roman" w:cs="Times New Roman"/>
          <w:color w:val="000000"/>
          <w:szCs w:val="22"/>
          <w:lang w:eastAsia="zh-TW"/>
        </w:rPr>
      </w:pPr>
      <w:r w:rsidRPr="00571EB5">
        <w:rPr>
          <w:rFonts w:ascii="Times New Roman" w:hAnsi="Times New Roman" w:cs="Times New Roman"/>
          <w:color w:val="000000"/>
          <w:szCs w:val="22"/>
          <w:lang w:eastAsia="zh-TW"/>
        </w:rPr>
        <w:t>The population PK analysis suggested no PK differences based on age, gender and ethnicity (Japanese versus non-Japanese). Baseline albumin and lean body weight were the most significant covariates influencing CL. Clearance decreased in patients with higher baseline albumin concentrations and increased in patients with greater lean body weight. However</w:t>
      </w:r>
      <w:r w:rsidR="00D4730F" w:rsidRPr="00571EB5">
        <w:rPr>
          <w:rFonts w:ascii="Times New Roman" w:hAnsi="Times New Roman" w:cs="Times New Roman"/>
          <w:color w:val="000000"/>
          <w:szCs w:val="22"/>
          <w:lang w:eastAsia="zh-TW"/>
        </w:rPr>
        <w:t>,</w:t>
      </w:r>
      <w:r w:rsidRPr="00571EB5">
        <w:rPr>
          <w:rFonts w:ascii="Times New Roman" w:hAnsi="Times New Roman" w:cs="Times New Roman"/>
          <w:color w:val="000000"/>
          <w:szCs w:val="22"/>
          <w:lang w:eastAsia="zh-TW"/>
        </w:rPr>
        <w:t xml:space="preserve"> sensitivity analyses performed at the recommended dose and schedule of </w:t>
      </w:r>
      <w:r w:rsidR="00123310">
        <w:rPr>
          <w:rFonts w:ascii="Times New Roman" w:hAnsi="Times New Roman" w:cs="Times New Roman"/>
          <w:color w:val="000000"/>
          <w:szCs w:val="22"/>
          <w:lang w:eastAsia="zh-TW"/>
        </w:rPr>
        <w:t>PERJETA</w:t>
      </w:r>
      <w:r w:rsidRPr="00571EB5">
        <w:rPr>
          <w:rFonts w:ascii="Times New Roman" w:hAnsi="Times New Roman" w:cs="Times New Roman"/>
          <w:color w:val="000000"/>
          <w:szCs w:val="22"/>
          <w:lang w:eastAsia="zh-TW"/>
        </w:rPr>
        <w:t xml:space="preserve"> showed that at the extreme values of these two covariates, there was no significant impact on the ability to achieve target steady-state concentrations identified in preclinical </w:t>
      </w:r>
      <w:proofErr w:type="spellStart"/>
      <w:r w:rsidRPr="00571EB5">
        <w:rPr>
          <w:rFonts w:ascii="Times New Roman" w:hAnsi="Times New Roman" w:cs="Times New Roman"/>
          <w:color w:val="000000"/>
          <w:szCs w:val="22"/>
          <w:lang w:eastAsia="zh-TW"/>
        </w:rPr>
        <w:t>tumour</w:t>
      </w:r>
      <w:proofErr w:type="spellEnd"/>
      <w:r w:rsidRPr="00571EB5">
        <w:rPr>
          <w:rFonts w:ascii="Times New Roman" w:hAnsi="Times New Roman" w:cs="Times New Roman"/>
          <w:color w:val="000000"/>
          <w:szCs w:val="22"/>
          <w:lang w:eastAsia="zh-TW"/>
        </w:rPr>
        <w:t xml:space="preserve"> xenograft models. Therefore, there is no need to adjust the dosage of </w:t>
      </w:r>
      <w:proofErr w:type="spellStart"/>
      <w:r w:rsidRPr="00571EB5">
        <w:rPr>
          <w:rFonts w:ascii="Times New Roman" w:hAnsi="Times New Roman" w:cs="Times New Roman"/>
          <w:color w:val="000000"/>
          <w:szCs w:val="22"/>
          <w:lang w:eastAsia="zh-TW"/>
        </w:rPr>
        <w:t>pertuzumab</w:t>
      </w:r>
      <w:proofErr w:type="spellEnd"/>
      <w:r w:rsidRPr="00571EB5">
        <w:rPr>
          <w:rFonts w:ascii="Times New Roman" w:hAnsi="Times New Roman" w:cs="Times New Roman"/>
          <w:color w:val="000000"/>
          <w:szCs w:val="22"/>
          <w:lang w:eastAsia="zh-TW"/>
        </w:rPr>
        <w:t xml:space="preserve"> based on these covariates</w:t>
      </w:r>
      <w:r w:rsidR="00D4730F" w:rsidRPr="00571EB5">
        <w:rPr>
          <w:rFonts w:ascii="Times New Roman" w:hAnsi="Times New Roman" w:cs="Times New Roman"/>
          <w:color w:val="000000"/>
          <w:szCs w:val="22"/>
          <w:lang w:eastAsia="zh-TW"/>
        </w:rPr>
        <w:t>.</w:t>
      </w:r>
      <w:r w:rsidRPr="00571EB5">
        <w:rPr>
          <w:rFonts w:ascii="Times New Roman" w:hAnsi="Times New Roman" w:cs="Times New Roman"/>
          <w:color w:val="000000"/>
          <w:szCs w:val="22"/>
          <w:lang w:eastAsia="zh-TW"/>
        </w:rPr>
        <w:t xml:space="preserve"> </w:t>
      </w:r>
    </w:p>
    <w:p w:rsidR="00971F34" w:rsidRPr="008130BD" w:rsidRDefault="0010680F" w:rsidP="0070611B">
      <w:pPr>
        <w:pStyle w:val="paragraph0"/>
        <w:spacing w:after="120"/>
        <w:jc w:val="both"/>
        <w:rPr>
          <w:rFonts w:ascii="Times New Roman" w:hAnsi="Times New Roman" w:cs="Times New Roman"/>
          <w:color w:val="000000"/>
          <w:szCs w:val="22"/>
          <w:lang w:eastAsia="zh-TW"/>
        </w:rPr>
      </w:pPr>
      <w:r>
        <w:rPr>
          <w:rFonts w:ascii="Times New Roman" w:hAnsi="Times New Roman" w:cs="Times New Roman"/>
          <w:color w:val="000000"/>
          <w:szCs w:val="22"/>
          <w:lang w:eastAsia="zh-TW"/>
        </w:rPr>
        <w:lastRenderedPageBreak/>
        <w:t xml:space="preserve">The PK results of </w:t>
      </w:r>
      <w:proofErr w:type="spellStart"/>
      <w:r>
        <w:rPr>
          <w:rFonts w:ascii="Times New Roman" w:hAnsi="Times New Roman" w:cs="Times New Roman"/>
          <w:color w:val="000000"/>
          <w:szCs w:val="22"/>
          <w:lang w:eastAsia="zh-TW"/>
        </w:rPr>
        <w:t>pertuzu</w:t>
      </w:r>
      <w:r w:rsidR="00971F34">
        <w:rPr>
          <w:rFonts w:ascii="Times New Roman" w:hAnsi="Times New Roman" w:cs="Times New Roman"/>
          <w:color w:val="000000"/>
          <w:szCs w:val="22"/>
          <w:lang w:eastAsia="zh-TW"/>
        </w:rPr>
        <w:t>mab</w:t>
      </w:r>
      <w:proofErr w:type="spellEnd"/>
      <w:r w:rsidR="00971F34">
        <w:rPr>
          <w:rFonts w:ascii="Times New Roman" w:hAnsi="Times New Roman" w:cs="Times New Roman"/>
          <w:color w:val="000000"/>
          <w:szCs w:val="22"/>
          <w:lang w:eastAsia="zh-TW"/>
        </w:rPr>
        <w:t xml:space="preserve"> in the NEOSPHERE study </w:t>
      </w:r>
      <w:r w:rsidR="00E1058A">
        <w:rPr>
          <w:rFonts w:ascii="Times New Roman" w:hAnsi="Times New Roman" w:cs="Times New Roman"/>
          <w:color w:val="000000"/>
          <w:szCs w:val="22"/>
          <w:lang w:eastAsia="zh-TW"/>
        </w:rPr>
        <w:t>were</w:t>
      </w:r>
      <w:r w:rsidR="00971F34">
        <w:rPr>
          <w:rFonts w:ascii="Times New Roman" w:hAnsi="Times New Roman" w:cs="Times New Roman"/>
          <w:color w:val="000000"/>
          <w:szCs w:val="22"/>
          <w:lang w:eastAsia="zh-TW"/>
        </w:rPr>
        <w:t xml:space="preserve"> consistent with the predictions from the previous population PK model.</w:t>
      </w:r>
    </w:p>
    <w:p w:rsidR="00D844B2" w:rsidRPr="008130BD" w:rsidRDefault="00D844B2" w:rsidP="00D252EC">
      <w:pPr>
        <w:pStyle w:val="Heading3"/>
      </w:pPr>
      <w:r w:rsidRPr="00571EB5">
        <w:t>Absorption</w:t>
      </w:r>
    </w:p>
    <w:p w:rsidR="00316CBA" w:rsidRPr="008130BD" w:rsidRDefault="00316CBA" w:rsidP="007E03C2">
      <w:pPr>
        <w:pStyle w:val="Paragraph"/>
        <w:spacing w:after="120" w:line="240" w:lineRule="auto"/>
        <w:jc w:val="both"/>
        <w:rPr>
          <w:rFonts w:ascii="Times New Roman" w:eastAsia="PMingLiU" w:hAnsi="Times New Roman"/>
          <w:color w:val="000000"/>
          <w:szCs w:val="22"/>
          <w:lang w:val="en-US" w:eastAsia="zh-TW"/>
        </w:rPr>
      </w:pPr>
      <w:proofErr w:type="spellStart"/>
      <w:r w:rsidRPr="008130BD">
        <w:rPr>
          <w:rFonts w:ascii="Times New Roman" w:eastAsia="PMingLiU" w:hAnsi="Times New Roman"/>
          <w:color w:val="000000"/>
          <w:szCs w:val="22"/>
          <w:lang w:val="en-US" w:eastAsia="zh-TW"/>
        </w:rPr>
        <w:t>Pertuzumab</w:t>
      </w:r>
      <w:proofErr w:type="spellEnd"/>
      <w:r w:rsidRPr="008130BD">
        <w:rPr>
          <w:rFonts w:ascii="Times New Roman" w:eastAsia="PMingLiU" w:hAnsi="Times New Roman"/>
          <w:color w:val="000000"/>
          <w:szCs w:val="22"/>
          <w:lang w:val="en-US" w:eastAsia="zh-TW"/>
        </w:rPr>
        <w:t xml:space="preserve"> is administered</w:t>
      </w:r>
      <w:r w:rsidR="0082060D">
        <w:rPr>
          <w:rFonts w:ascii="Times New Roman" w:eastAsia="PMingLiU" w:hAnsi="Times New Roman"/>
          <w:color w:val="000000"/>
          <w:szCs w:val="22"/>
          <w:lang w:val="en-US" w:eastAsia="zh-TW"/>
        </w:rPr>
        <w:t xml:space="preserve"> as an</w:t>
      </w:r>
      <w:r w:rsidRPr="008130BD">
        <w:rPr>
          <w:rFonts w:ascii="Times New Roman" w:eastAsia="PMingLiU" w:hAnsi="Times New Roman"/>
          <w:color w:val="000000"/>
          <w:szCs w:val="22"/>
          <w:lang w:val="en-US" w:eastAsia="zh-TW"/>
        </w:rPr>
        <w:t xml:space="preserve"> </w:t>
      </w:r>
      <w:r w:rsidR="0082060D" w:rsidRPr="008130BD">
        <w:rPr>
          <w:rFonts w:ascii="Times New Roman" w:eastAsia="PMingLiU" w:hAnsi="Times New Roman"/>
          <w:color w:val="000000"/>
          <w:szCs w:val="22"/>
          <w:lang w:val="en-US" w:eastAsia="zh-TW"/>
        </w:rPr>
        <w:t>intravenous</w:t>
      </w:r>
      <w:r w:rsidR="0082060D">
        <w:rPr>
          <w:rFonts w:ascii="Times New Roman" w:eastAsia="PMingLiU" w:hAnsi="Times New Roman"/>
          <w:color w:val="000000"/>
          <w:szCs w:val="22"/>
          <w:lang w:val="en-US" w:eastAsia="zh-TW"/>
        </w:rPr>
        <w:t xml:space="preserve"> (IV) infusion</w:t>
      </w:r>
      <w:r w:rsidRPr="008130BD">
        <w:rPr>
          <w:rFonts w:ascii="Times New Roman" w:eastAsia="PMingLiU" w:hAnsi="Times New Roman"/>
          <w:color w:val="000000"/>
          <w:szCs w:val="22"/>
          <w:lang w:val="en-US" w:eastAsia="zh-TW"/>
        </w:rPr>
        <w:t>. There have been no studies performed with other routes of administration.</w:t>
      </w:r>
    </w:p>
    <w:p w:rsidR="00D844B2" w:rsidRPr="008130BD" w:rsidRDefault="00D844B2" w:rsidP="00D252EC">
      <w:pPr>
        <w:pStyle w:val="Heading3"/>
      </w:pPr>
      <w:r w:rsidRPr="00571EB5">
        <w:t>Distribution</w:t>
      </w:r>
    </w:p>
    <w:p w:rsidR="00273A29" w:rsidRPr="008130BD" w:rsidRDefault="00273A29" w:rsidP="007E03C2">
      <w:pPr>
        <w:spacing w:after="120"/>
        <w:rPr>
          <w:i/>
          <w:color w:val="777777"/>
        </w:rPr>
      </w:pPr>
      <w:r>
        <w:rPr>
          <w:color w:val="000000"/>
        </w:rPr>
        <w:t>Across all clinical studies, the volume of distribution of the central (</w:t>
      </w:r>
      <w:proofErr w:type="spellStart"/>
      <w:proofErr w:type="gramStart"/>
      <w:r>
        <w:rPr>
          <w:color w:val="000000"/>
        </w:rPr>
        <w:t>Vc</w:t>
      </w:r>
      <w:proofErr w:type="spellEnd"/>
      <w:proofErr w:type="gramEnd"/>
      <w:r>
        <w:rPr>
          <w:color w:val="000000"/>
        </w:rPr>
        <w:t>) and the peripheral (</w:t>
      </w:r>
      <w:proofErr w:type="spellStart"/>
      <w:r>
        <w:rPr>
          <w:color w:val="000000"/>
        </w:rPr>
        <w:t>Vp</w:t>
      </w:r>
      <w:proofErr w:type="spellEnd"/>
      <w:r>
        <w:rPr>
          <w:color w:val="000000"/>
        </w:rPr>
        <w:t>) compartment in the typical patient, was 3.11L and 2.46L, respectively.</w:t>
      </w:r>
    </w:p>
    <w:p w:rsidR="00D844B2" w:rsidRPr="008130BD" w:rsidRDefault="00D844B2" w:rsidP="00D252EC">
      <w:pPr>
        <w:pStyle w:val="Heading3"/>
      </w:pPr>
      <w:r w:rsidRPr="00571EB5">
        <w:t>Metabolism</w:t>
      </w:r>
    </w:p>
    <w:p w:rsidR="00316CBA" w:rsidRPr="008130BD" w:rsidRDefault="00316CBA" w:rsidP="007E03C2">
      <w:pPr>
        <w:pStyle w:val="Paragraph"/>
        <w:spacing w:after="120" w:line="240" w:lineRule="auto"/>
        <w:jc w:val="both"/>
        <w:rPr>
          <w:rFonts w:ascii="Times New Roman" w:eastAsia="PMingLiU" w:hAnsi="Times New Roman"/>
          <w:color w:val="000000"/>
          <w:szCs w:val="22"/>
          <w:lang w:val="en-US" w:eastAsia="zh-TW"/>
        </w:rPr>
      </w:pPr>
      <w:r w:rsidRPr="008130BD">
        <w:rPr>
          <w:rFonts w:ascii="Times New Roman" w:eastAsia="PMingLiU" w:hAnsi="Times New Roman"/>
          <w:color w:val="000000"/>
          <w:szCs w:val="22"/>
          <w:lang w:val="en-US" w:eastAsia="zh-TW"/>
        </w:rPr>
        <w:t xml:space="preserve">The metabolism of </w:t>
      </w:r>
      <w:proofErr w:type="spellStart"/>
      <w:r w:rsidRPr="008130BD">
        <w:rPr>
          <w:rFonts w:ascii="Times New Roman" w:eastAsia="PMingLiU" w:hAnsi="Times New Roman"/>
          <w:color w:val="000000"/>
          <w:szCs w:val="22"/>
          <w:lang w:val="en-US" w:eastAsia="zh-TW"/>
        </w:rPr>
        <w:t>pertuzumab</w:t>
      </w:r>
      <w:proofErr w:type="spellEnd"/>
      <w:r w:rsidRPr="008130BD">
        <w:rPr>
          <w:rFonts w:ascii="Times New Roman" w:eastAsia="PMingLiU" w:hAnsi="Times New Roman"/>
          <w:color w:val="000000"/>
          <w:szCs w:val="22"/>
          <w:lang w:val="en-US" w:eastAsia="zh-TW"/>
        </w:rPr>
        <w:t xml:space="preserve"> has not been directly studied. Antibodies are cleared principally by catabolism. </w:t>
      </w:r>
    </w:p>
    <w:p w:rsidR="00D844B2" w:rsidRPr="008130BD" w:rsidRDefault="00D844B2" w:rsidP="00D252EC">
      <w:pPr>
        <w:pStyle w:val="Heading3"/>
      </w:pPr>
      <w:bookmarkStart w:id="0" w:name="_Ref319588301"/>
      <w:r w:rsidRPr="00571EB5">
        <w:t>Excretion</w:t>
      </w:r>
      <w:bookmarkEnd w:id="0"/>
    </w:p>
    <w:p w:rsidR="009244B2" w:rsidRPr="009244B2" w:rsidRDefault="0016106A" w:rsidP="001B3B4A">
      <w:r w:rsidRPr="009244B2">
        <w:t xml:space="preserve">The median clearance (CL) of </w:t>
      </w:r>
      <w:proofErr w:type="spellStart"/>
      <w:r w:rsidRPr="009244B2">
        <w:t>pertuzuamb</w:t>
      </w:r>
      <w:proofErr w:type="spellEnd"/>
      <w:r w:rsidRPr="009244B2">
        <w:t xml:space="preserve"> was 0.235 L/day and the median half-life was 18 days.</w:t>
      </w:r>
      <w:bookmarkStart w:id="1" w:name="_Ref319586613"/>
    </w:p>
    <w:p w:rsidR="00D252EC" w:rsidRPr="008130BD" w:rsidRDefault="00D252EC" w:rsidP="00D252EC">
      <w:pPr>
        <w:pStyle w:val="Heading3"/>
      </w:pPr>
      <w:r w:rsidRPr="00571EB5">
        <w:t>Pharmacokinetics in special populations</w:t>
      </w:r>
      <w:bookmarkEnd w:id="1"/>
    </w:p>
    <w:p w:rsidR="00D252EC" w:rsidRPr="008130BD" w:rsidRDefault="00D252EC" w:rsidP="00D252EC">
      <w:pPr>
        <w:spacing w:after="120"/>
        <w:rPr>
          <w:i/>
          <w:color w:val="777777"/>
        </w:rPr>
      </w:pPr>
      <w:r w:rsidRPr="008130BD">
        <w:rPr>
          <w:i/>
        </w:rPr>
        <w:t xml:space="preserve">Elderly: </w:t>
      </w:r>
      <w:r w:rsidR="00D4730F" w:rsidRPr="008130BD">
        <w:rPr>
          <w:color w:val="000000"/>
        </w:rPr>
        <w:t xml:space="preserve">No dedicated </w:t>
      </w:r>
      <w:proofErr w:type="spellStart"/>
      <w:r w:rsidR="00D4730F" w:rsidRPr="008130BD">
        <w:rPr>
          <w:color w:val="000000"/>
        </w:rPr>
        <w:t>pertuzumab</w:t>
      </w:r>
      <w:proofErr w:type="spellEnd"/>
      <w:r w:rsidR="00D4730F" w:rsidRPr="008130BD">
        <w:rPr>
          <w:color w:val="000000"/>
        </w:rPr>
        <w:t xml:space="preserve"> </w:t>
      </w:r>
      <w:r w:rsidR="004B083D" w:rsidRPr="008130BD">
        <w:rPr>
          <w:color w:val="000000"/>
        </w:rPr>
        <w:t xml:space="preserve">studies </w:t>
      </w:r>
      <w:r w:rsidR="00D4730F" w:rsidRPr="008130BD">
        <w:rPr>
          <w:color w:val="000000"/>
        </w:rPr>
        <w:t xml:space="preserve">have been conducted in elderly patients. In a population PK analysis, age was not found to significantly affect PK of </w:t>
      </w:r>
      <w:proofErr w:type="spellStart"/>
      <w:r w:rsidR="00D4730F" w:rsidRPr="008130BD">
        <w:rPr>
          <w:color w:val="000000"/>
        </w:rPr>
        <w:t>pertuzumab</w:t>
      </w:r>
      <w:proofErr w:type="spellEnd"/>
      <w:r w:rsidR="00D4730F" w:rsidRPr="008130BD">
        <w:rPr>
          <w:color w:val="000000"/>
        </w:rPr>
        <w:t>. In the population PK analysis, 32.5% (</w:t>
      </w:r>
      <w:r w:rsidR="004B083D" w:rsidRPr="008130BD">
        <w:rPr>
          <w:color w:val="000000"/>
        </w:rPr>
        <w:t>n</w:t>
      </w:r>
      <w:r w:rsidR="00D4730F" w:rsidRPr="008130BD">
        <w:rPr>
          <w:color w:val="000000"/>
        </w:rPr>
        <w:t>=143) patients were ≥65 years of age and 9.1% (</w:t>
      </w:r>
      <w:r w:rsidR="004B083D" w:rsidRPr="008130BD">
        <w:rPr>
          <w:color w:val="000000"/>
        </w:rPr>
        <w:t>n</w:t>
      </w:r>
      <w:r w:rsidR="00D4730F" w:rsidRPr="008130BD">
        <w:rPr>
          <w:color w:val="000000"/>
        </w:rPr>
        <w:t>=40) patients were ≥75 years of age.</w:t>
      </w:r>
    </w:p>
    <w:p w:rsidR="00D252EC" w:rsidRPr="008130BD" w:rsidRDefault="00D252EC" w:rsidP="00D4730F">
      <w:pPr>
        <w:spacing w:after="120"/>
      </w:pPr>
      <w:r w:rsidRPr="008130BD">
        <w:rPr>
          <w:i/>
        </w:rPr>
        <w:t>Renal Impairment:</w:t>
      </w:r>
      <w:r w:rsidR="00D4730F" w:rsidRPr="008130BD">
        <w:rPr>
          <w:i/>
        </w:rPr>
        <w:t xml:space="preserve"> </w:t>
      </w:r>
      <w:r w:rsidR="00D4730F" w:rsidRPr="008130BD">
        <w:rPr>
          <w:color w:val="000000"/>
        </w:rPr>
        <w:t xml:space="preserve">No formal PK study has been conducted in patients with renal impairment. Based on the population PK analysis, renal impairment is not expected to influence </w:t>
      </w:r>
      <w:proofErr w:type="spellStart"/>
      <w:r w:rsidR="00D4730F" w:rsidRPr="008130BD">
        <w:rPr>
          <w:color w:val="000000"/>
        </w:rPr>
        <w:t>pertuzumab</w:t>
      </w:r>
      <w:proofErr w:type="spellEnd"/>
      <w:r w:rsidR="00D4730F" w:rsidRPr="008130BD">
        <w:rPr>
          <w:color w:val="000000"/>
        </w:rPr>
        <w:t xml:space="preserve"> exposure; however, only limited data from patients with moderate and severe renal impairment were included in the population PK analysis.</w:t>
      </w:r>
    </w:p>
    <w:p w:rsidR="00D844B2" w:rsidRPr="00410126" w:rsidRDefault="00410126" w:rsidP="00410126">
      <w:pPr>
        <w:pStyle w:val="Heading2"/>
      </w:pPr>
      <w:r w:rsidRPr="00410126">
        <w:t>CLINICAL TRIALS</w:t>
      </w:r>
    </w:p>
    <w:p w:rsidR="0003793F" w:rsidRDefault="0003793F" w:rsidP="0003793F">
      <w:pPr>
        <w:pStyle w:val="Paragraph"/>
        <w:jc w:val="both"/>
        <w:rPr>
          <w:rFonts w:ascii="Times New Roman" w:hAnsi="Times New Roman"/>
          <w:b/>
        </w:rPr>
      </w:pPr>
      <w:r>
        <w:rPr>
          <w:rFonts w:ascii="Times New Roman" w:hAnsi="Times New Roman"/>
          <w:b/>
        </w:rPr>
        <w:t>Neoadjuvant Treatment of Breast Cancer</w:t>
      </w:r>
    </w:p>
    <w:p w:rsidR="0003793F" w:rsidRDefault="0003793F" w:rsidP="0003793F">
      <w:pPr>
        <w:pStyle w:val="Paragraph"/>
        <w:jc w:val="both"/>
        <w:rPr>
          <w:rFonts w:ascii="Times New Roman" w:hAnsi="Times New Roman"/>
          <w:b/>
        </w:rPr>
      </w:pPr>
      <w:r>
        <w:rPr>
          <w:rFonts w:ascii="Times New Roman" w:hAnsi="Times New Roman"/>
          <w:b/>
        </w:rPr>
        <w:t xml:space="preserve">NEOSPHERE (WO20697)  </w:t>
      </w:r>
    </w:p>
    <w:p w:rsidR="009244B2" w:rsidRDefault="009244B2" w:rsidP="009244B2">
      <w:pPr>
        <w:autoSpaceDE w:val="0"/>
        <w:autoSpaceDN w:val="0"/>
        <w:adjustRightInd w:val="0"/>
      </w:pPr>
      <w:r w:rsidRPr="005703A8">
        <w:t xml:space="preserve">NEOSPHERE is a phase II, multicentre, multinational randomized controlled trial with </w:t>
      </w:r>
      <w:r>
        <w:t>PERJETA</w:t>
      </w:r>
      <w:r w:rsidRPr="005703A8">
        <w:t xml:space="preserve"> and</w:t>
      </w:r>
      <w:r>
        <w:t xml:space="preserve"> </w:t>
      </w:r>
      <w:r w:rsidRPr="005703A8">
        <w:t>was conducted in 417 adult female patients with newly diagnosed, early, inflammatory or locally</w:t>
      </w:r>
      <w:r>
        <w:t xml:space="preserve"> </w:t>
      </w:r>
      <w:r w:rsidRPr="005703A8">
        <w:t>advanced HER2-positive breast cancer (T2-4d; primary tumour &gt; 2cm in diameter) who had not</w:t>
      </w:r>
      <w:r>
        <w:t xml:space="preserve"> </w:t>
      </w:r>
      <w:r w:rsidRPr="005703A8">
        <w:t xml:space="preserve">received prior </w:t>
      </w:r>
      <w:proofErr w:type="spellStart"/>
      <w:r w:rsidRPr="005703A8">
        <w:t>trastuzumab</w:t>
      </w:r>
      <w:proofErr w:type="spellEnd"/>
      <w:r w:rsidRPr="005703A8">
        <w:t>, chemotherapy or radiotherapy. Patients with metastases, bilateral breast</w:t>
      </w:r>
      <w:r>
        <w:t xml:space="preserve"> </w:t>
      </w:r>
      <w:r w:rsidRPr="005703A8">
        <w:t>cancer, clinically important cardiac risk factors (see section 4.4) or LVEF &lt; 55% were not</w:t>
      </w:r>
      <w:r>
        <w:t xml:space="preserve"> </w:t>
      </w:r>
      <w:r w:rsidRPr="005703A8">
        <w:t>included.</w:t>
      </w:r>
      <w:r>
        <w:t xml:space="preserve"> </w:t>
      </w:r>
      <w:r w:rsidRPr="005703A8">
        <w:t>The majority of patients were less than 65 years old.</w:t>
      </w:r>
    </w:p>
    <w:p w:rsidR="009244B2" w:rsidRPr="005703A8" w:rsidRDefault="009244B2" w:rsidP="009244B2">
      <w:pPr>
        <w:autoSpaceDE w:val="0"/>
        <w:autoSpaceDN w:val="0"/>
        <w:adjustRightInd w:val="0"/>
        <w:jc w:val="left"/>
      </w:pPr>
    </w:p>
    <w:p w:rsidR="009244B2" w:rsidRPr="005703A8" w:rsidRDefault="009244B2" w:rsidP="009244B2">
      <w:pPr>
        <w:autoSpaceDE w:val="0"/>
        <w:autoSpaceDN w:val="0"/>
        <w:adjustRightInd w:val="0"/>
        <w:jc w:val="left"/>
      </w:pPr>
      <w:r w:rsidRPr="005703A8">
        <w:t>Patients were randomised to receive one of the following neoadjuvant regimens for 4 cycles prior to</w:t>
      </w:r>
      <w:r>
        <w:t xml:space="preserve"> </w:t>
      </w:r>
      <w:r w:rsidRPr="005703A8">
        <w:t>surgery:</w:t>
      </w:r>
    </w:p>
    <w:p w:rsidR="009244B2" w:rsidRPr="005703A8" w:rsidRDefault="009244B2" w:rsidP="009244B2">
      <w:pPr>
        <w:pStyle w:val="ListParagraph"/>
        <w:numPr>
          <w:ilvl w:val="0"/>
          <w:numId w:val="27"/>
        </w:numPr>
        <w:autoSpaceDE w:val="0"/>
        <w:autoSpaceDN w:val="0"/>
        <w:adjustRightInd w:val="0"/>
        <w:jc w:val="left"/>
      </w:pPr>
      <w:proofErr w:type="spellStart"/>
      <w:r w:rsidRPr="005703A8">
        <w:t>Trastuzumab</w:t>
      </w:r>
      <w:proofErr w:type="spellEnd"/>
      <w:r w:rsidRPr="005703A8">
        <w:t xml:space="preserve"> plus docetaxel</w:t>
      </w:r>
    </w:p>
    <w:p w:rsidR="009244B2" w:rsidRPr="005703A8" w:rsidRDefault="009244B2" w:rsidP="009244B2">
      <w:pPr>
        <w:pStyle w:val="ListParagraph"/>
        <w:numPr>
          <w:ilvl w:val="0"/>
          <w:numId w:val="27"/>
        </w:numPr>
        <w:autoSpaceDE w:val="0"/>
        <w:autoSpaceDN w:val="0"/>
        <w:adjustRightInd w:val="0"/>
        <w:jc w:val="left"/>
      </w:pPr>
      <w:r>
        <w:t>PERJETA</w:t>
      </w:r>
      <w:r w:rsidRPr="005703A8">
        <w:t xml:space="preserve"> plus </w:t>
      </w:r>
      <w:proofErr w:type="spellStart"/>
      <w:r w:rsidRPr="005703A8">
        <w:t>trastuzumab</w:t>
      </w:r>
      <w:proofErr w:type="spellEnd"/>
      <w:r w:rsidRPr="005703A8">
        <w:t xml:space="preserve"> and docetaxel</w:t>
      </w:r>
    </w:p>
    <w:p w:rsidR="009244B2" w:rsidRDefault="009244B2" w:rsidP="009244B2">
      <w:pPr>
        <w:pStyle w:val="ListParagraph"/>
        <w:numPr>
          <w:ilvl w:val="0"/>
          <w:numId w:val="27"/>
        </w:numPr>
        <w:autoSpaceDE w:val="0"/>
        <w:autoSpaceDN w:val="0"/>
        <w:adjustRightInd w:val="0"/>
        <w:jc w:val="left"/>
      </w:pPr>
      <w:r>
        <w:t>PERJETA</w:t>
      </w:r>
      <w:r w:rsidRPr="005703A8">
        <w:t xml:space="preserve"> plus </w:t>
      </w:r>
      <w:proofErr w:type="spellStart"/>
      <w:r w:rsidRPr="005703A8">
        <w:t>trastuzumab</w:t>
      </w:r>
      <w:proofErr w:type="spellEnd"/>
    </w:p>
    <w:p w:rsidR="009244B2" w:rsidRDefault="009244B2" w:rsidP="009244B2">
      <w:pPr>
        <w:pStyle w:val="ListParagraph"/>
        <w:numPr>
          <w:ilvl w:val="0"/>
          <w:numId w:val="27"/>
        </w:numPr>
        <w:autoSpaceDE w:val="0"/>
        <w:autoSpaceDN w:val="0"/>
        <w:adjustRightInd w:val="0"/>
        <w:jc w:val="left"/>
      </w:pPr>
      <w:r>
        <w:t>PERJETA</w:t>
      </w:r>
      <w:r w:rsidRPr="005703A8">
        <w:t xml:space="preserve"> plus docetaxel.</w:t>
      </w:r>
    </w:p>
    <w:p w:rsidR="009244B2" w:rsidRPr="005703A8" w:rsidRDefault="009244B2" w:rsidP="009244B2">
      <w:pPr>
        <w:autoSpaceDE w:val="0"/>
        <w:autoSpaceDN w:val="0"/>
        <w:adjustRightInd w:val="0"/>
        <w:jc w:val="left"/>
      </w:pPr>
    </w:p>
    <w:p w:rsidR="0003793F" w:rsidRDefault="009244B2" w:rsidP="009244B2">
      <w:pPr>
        <w:autoSpaceDE w:val="0"/>
        <w:autoSpaceDN w:val="0"/>
        <w:adjustRightInd w:val="0"/>
      </w:pPr>
      <w:r w:rsidRPr="005703A8">
        <w:t>Randomisation was stratified by breast cancer type (operable, locally advanced, or inflammatory) and</w:t>
      </w:r>
      <w:r>
        <w:t xml:space="preserve"> </w:t>
      </w:r>
      <w:r w:rsidRPr="005703A8">
        <w:t xml:space="preserve">ER or </w:t>
      </w:r>
      <w:proofErr w:type="spellStart"/>
      <w:r w:rsidRPr="005703A8">
        <w:t>PgR</w:t>
      </w:r>
      <w:proofErr w:type="spellEnd"/>
      <w:r w:rsidRPr="005703A8">
        <w:t xml:space="preserve"> positivity.</w:t>
      </w:r>
      <w:r>
        <w:t xml:space="preserve"> HER2 overexpression was centrally confirmed and defined as an IHC score of 3+, or ISH amplification ratio </w:t>
      </w:r>
      <w:r>
        <w:rPr>
          <w:u w:val="single"/>
        </w:rPr>
        <w:t>&gt;</w:t>
      </w:r>
      <w:r>
        <w:t>2.0.</w:t>
      </w:r>
      <w:r w:rsidR="0003793F">
        <w:t xml:space="preserve">  </w:t>
      </w:r>
    </w:p>
    <w:p w:rsidR="009244B2" w:rsidRDefault="009244B2" w:rsidP="009244B2">
      <w:pPr>
        <w:autoSpaceDE w:val="0"/>
        <w:autoSpaceDN w:val="0"/>
        <w:adjustRightInd w:val="0"/>
      </w:pPr>
    </w:p>
    <w:p w:rsidR="0003793F" w:rsidRDefault="0003793F" w:rsidP="0003793F">
      <w:pPr>
        <w:autoSpaceDE w:val="0"/>
        <w:autoSpaceDN w:val="0"/>
        <w:adjustRightInd w:val="0"/>
        <w:spacing w:after="170" w:line="280" w:lineRule="exact"/>
        <w:rPr>
          <w:lang w:eastAsia="en-GB"/>
        </w:rPr>
      </w:pPr>
      <w:r>
        <w:t xml:space="preserve">PERJETA was given intravenously at an initial dose of 840 mg, followed by 420 mg every three weeks for four cycles. </w:t>
      </w:r>
      <w:proofErr w:type="spellStart"/>
      <w:r w:rsidRPr="0003793F">
        <w:t>Trastuzumab</w:t>
      </w:r>
      <w:proofErr w:type="spellEnd"/>
      <w:r w:rsidRPr="0003793F">
        <w:t xml:space="preserve"> </w:t>
      </w:r>
      <w:r>
        <w:t>was given intravenously at an initial dose of 8 mg/kg, followed by 6 mg/kg every three weeks for four cycles. Following surgery all patients received three cycles of 5-Fluorouracil (600 mg/m</w:t>
      </w:r>
      <w:r>
        <w:rPr>
          <w:vertAlign w:val="superscript"/>
        </w:rPr>
        <w:t>2</w:t>
      </w:r>
      <w:r>
        <w:t xml:space="preserve">), </w:t>
      </w:r>
      <w:proofErr w:type="spellStart"/>
      <w:r>
        <w:t>epirubicin</w:t>
      </w:r>
      <w:proofErr w:type="spellEnd"/>
      <w:r>
        <w:t xml:space="preserve"> (90 mg/m</w:t>
      </w:r>
      <w:r>
        <w:rPr>
          <w:vertAlign w:val="superscript"/>
        </w:rPr>
        <w:t>2</w:t>
      </w:r>
      <w:r>
        <w:t>), cyclophosphamide (600 mg/m</w:t>
      </w:r>
      <w:r>
        <w:rPr>
          <w:vertAlign w:val="superscript"/>
        </w:rPr>
        <w:t>2</w:t>
      </w:r>
      <w:r>
        <w:t xml:space="preserve">) (FEC) given intravenously every three weeks and </w:t>
      </w:r>
      <w:proofErr w:type="spellStart"/>
      <w:r>
        <w:t>trastuzumab</w:t>
      </w:r>
      <w:proofErr w:type="spellEnd"/>
      <w:r>
        <w:t xml:space="preserve"> administered intravenously every three weeks to complete one year of therapy.</w:t>
      </w:r>
      <w:r>
        <w:rPr>
          <w:lang w:eastAsia="en-GB"/>
        </w:rPr>
        <w:t xml:space="preserve"> </w:t>
      </w:r>
      <w:r>
        <w:t xml:space="preserve">Patients in the PERJETA </w:t>
      </w:r>
      <w:proofErr w:type="gramStart"/>
      <w:r>
        <w:t xml:space="preserve">plus  </w:t>
      </w:r>
      <w:proofErr w:type="spellStart"/>
      <w:r>
        <w:t>trastuzumab</w:t>
      </w:r>
      <w:proofErr w:type="spellEnd"/>
      <w:proofErr w:type="gramEnd"/>
      <w:r>
        <w:t xml:space="preserve">  and docetaxel arm received docetaxel every three weeks for four cycles prior to FEC after surgery so that </w:t>
      </w:r>
      <w:r>
        <w:rPr>
          <w:lang w:eastAsia="en-GB"/>
        </w:rPr>
        <w:t xml:space="preserve">all patients received equivalent cumulative doses of the chemotherapeutic agents and </w:t>
      </w:r>
      <w:proofErr w:type="spellStart"/>
      <w:r>
        <w:rPr>
          <w:lang w:eastAsia="en-GB"/>
        </w:rPr>
        <w:t>trastuzumab</w:t>
      </w:r>
      <w:proofErr w:type="spellEnd"/>
      <w:r>
        <w:rPr>
          <w:lang w:eastAsia="en-GB"/>
        </w:rPr>
        <w:t xml:space="preserve">. </w:t>
      </w:r>
    </w:p>
    <w:p w:rsidR="0003793F" w:rsidRDefault="0003793F" w:rsidP="0003793F">
      <w:pPr>
        <w:autoSpaceDE w:val="0"/>
        <w:autoSpaceDN w:val="0"/>
        <w:adjustRightInd w:val="0"/>
        <w:spacing w:after="170" w:line="280" w:lineRule="exact"/>
        <w:rPr>
          <w:lang w:eastAsia="zh-CN"/>
        </w:rPr>
      </w:pPr>
      <w:r>
        <w:t>The primary endpoint of the study was pathological complete response (</w:t>
      </w:r>
      <w:proofErr w:type="spellStart"/>
      <w:r>
        <w:t>pCR</w:t>
      </w:r>
      <w:proofErr w:type="spellEnd"/>
      <w:r>
        <w:t xml:space="preserve">) rate in the breast (ypT0/is). Secondary efficacy endpoints were clinical response rate, breast conserving surgery rate (T2-3 only), disease-free survival (DFS), and PFS. Additional exploratory </w:t>
      </w:r>
      <w:proofErr w:type="spellStart"/>
      <w:r>
        <w:t>pCR</w:t>
      </w:r>
      <w:proofErr w:type="spellEnd"/>
      <w:r>
        <w:t xml:space="preserve"> rates included nodal status (ypT0/isN0 and ypT0N0).</w:t>
      </w:r>
    </w:p>
    <w:p w:rsidR="0003793F" w:rsidRDefault="0003793F" w:rsidP="0003793F">
      <w:pPr>
        <w:adjustRightInd w:val="0"/>
        <w:spacing w:before="100" w:beforeAutospacing="1" w:after="170" w:line="280" w:lineRule="exact"/>
        <w:rPr>
          <w:b/>
        </w:rPr>
      </w:pPr>
      <w:r>
        <w:t xml:space="preserve">Demographics were well balanced (median age was 49-50 years old, the majority were Caucasian (71%) and all were female. Overall 7% of patients had inflammatory breast cancer, 32% had locally advanced breast cancer and 61% had operable breast cancer. Approximately half the patients in each treatment group had hormone receptor-positive disease (defined as ER positive and/or </w:t>
      </w:r>
      <w:proofErr w:type="spellStart"/>
      <w:r>
        <w:t>PgR</w:t>
      </w:r>
      <w:proofErr w:type="spellEnd"/>
      <w:r>
        <w:t xml:space="preserve"> positive). </w:t>
      </w:r>
      <w:r w:rsidR="009244B2">
        <w:t xml:space="preserve">Pathological assessment of lymph nodes at baseline occurred in </w:t>
      </w:r>
      <w:r w:rsidR="009244B2">
        <w:rPr>
          <w:u w:val="single"/>
        </w:rPr>
        <w:t xml:space="preserve">5 </w:t>
      </w:r>
      <w:r w:rsidR="009244B2">
        <w:t xml:space="preserve">patients. </w:t>
      </w:r>
    </w:p>
    <w:p w:rsidR="0003793F" w:rsidRPr="006149FA" w:rsidRDefault="0003793F" w:rsidP="0003793F">
      <w:pPr>
        <w:autoSpaceDE w:val="0"/>
        <w:autoSpaceDN w:val="0"/>
        <w:adjustRightInd w:val="0"/>
        <w:spacing w:after="170" w:line="280" w:lineRule="exact"/>
        <w:rPr>
          <w:rFonts w:eastAsia="SimSun"/>
        </w:rPr>
      </w:pPr>
      <w:r w:rsidRPr="0003793F">
        <w:t xml:space="preserve">The efficacy results are summarised in Table 1.  A statistically significant improvement in </w:t>
      </w:r>
      <w:proofErr w:type="spellStart"/>
      <w:r w:rsidRPr="0003793F">
        <w:t>pCR</w:t>
      </w:r>
      <w:proofErr w:type="spellEnd"/>
      <w:r w:rsidRPr="0003793F">
        <w:t xml:space="preserve"> rate (ypT0/is) was observed in patients receiving </w:t>
      </w:r>
      <w:r w:rsidRPr="006149FA">
        <w:t xml:space="preserve">PERJETA plus </w:t>
      </w:r>
      <w:proofErr w:type="spellStart"/>
      <w:r w:rsidRPr="006149FA">
        <w:t>trastuzumab</w:t>
      </w:r>
      <w:proofErr w:type="spellEnd"/>
      <w:r w:rsidRPr="006149FA">
        <w:t xml:space="preserve"> and docetaxel compared to patients receiving </w:t>
      </w:r>
      <w:proofErr w:type="spellStart"/>
      <w:r w:rsidRPr="006149FA">
        <w:t>trastuzumab</w:t>
      </w:r>
      <w:proofErr w:type="spellEnd"/>
      <w:r w:rsidRPr="006149FA">
        <w:t xml:space="preserve"> and docetaxel (45.8% vs 29.0%, p value = 0.0141). A consistent pattern of results was observed regardless of </w:t>
      </w:r>
      <w:proofErr w:type="spellStart"/>
      <w:r w:rsidRPr="006149FA">
        <w:t>pCR</w:t>
      </w:r>
      <w:proofErr w:type="spellEnd"/>
      <w:r w:rsidRPr="006149FA">
        <w:t xml:space="preserve"> definition.</w:t>
      </w:r>
    </w:p>
    <w:p w:rsidR="00D66C97" w:rsidRPr="009244B2" w:rsidRDefault="009244B2" w:rsidP="00D66C97">
      <w:pPr>
        <w:rPr>
          <w:rFonts w:eastAsia="SimSun"/>
          <w:szCs w:val="24"/>
          <w:lang w:val="en-GB" w:eastAsia="zh-CN"/>
        </w:rPr>
      </w:pPr>
      <w:r>
        <w:t xml:space="preserve">The </w:t>
      </w:r>
      <w:proofErr w:type="spellStart"/>
      <w:r>
        <w:t>pC</w:t>
      </w:r>
      <w:proofErr w:type="spellEnd"/>
      <w:r w:rsidRPr="009244B2">
        <w:rPr>
          <w:rFonts w:eastAsia="SimSun"/>
          <w:szCs w:val="24"/>
          <w:lang w:val="en-GB" w:eastAsia="zh-CN"/>
        </w:rPr>
        <w:t xml:space="preserve">R rates as well as the magnitude of benefit with PERJETA (for patients receiving PERJETA plus </w:t>
      </w:r>
      <w:proofErr w:type="spellStart"/>
      <w:r w:rsidRPr="009244B2">
        <w:rPr>
          <w:rFonts w:eastAsia="SimSun"/>
          <w:szCs w:val="24"/>
          <w:lang w:val="en-GB" w:eastAsia="zh-CN"/>
        </w:rPr>
        <w:t>trastuzumab</w:t>
      </w:r>
      <w:proofErr w:type="spellEnd"/>
      <w:r w:rsidRPr="009244B2">
        <w:rPr>
          <w:rFonts w:eastAsia="SimSun"/>
          <w:szCs w:val="24"/>
          <w:lang w:val="en-GB" w:eastAsia="zh-CN"/>
        </w:rPr>
        <w:t xml:space="preserve"> and docetaxel compared with </w:t>
      </w:r>
      <w:proofErr w:type="spellStart"/>
      <w:r w:rsidRPr="009244B2">
        <w:rPr>
          <w:rFonts w:eastAsia="SimSun"/>
          <w:szCs w:val="24"/>
          <w:lang w:val="en-GB" w:eastAsia="zh-CN"/>
        </w:rPr>
        <w:t>trastuzumab</w:t>
      </w:r>
      <w:proofErr w:type="spellEnd"/>
      <w:r w:rsidRPr="009244B2">
        <w:rPr>
          <w:rFonts w:eastAsia="SimSun"/>
          <w:szCs w:val="24"/>
          <w:lang w:val="en-GB" w:eastAsia="zh-CN"/>
        </w:rPr>
        <w:t xml:space="preserve"> and docetaxel) were lower in the subgroup of patients with hormone receptor-positive tumours (difference of 6% in </w:t>
      </w:r>
      <w:proofErr w:type="spellStart"/>
      <w:r w:rsidRPr="009244B2">
        <w:rPr>
          <w:rFonts w:eastAsia="SimSun"/>
          <w:szCs w:val="24"/>
          <w:lang w:val="en-GB" w:eastAsia="zh-CN"/>
        </w:rPr>
        <w:t>pCR</w:t>
      </w:r>
      <w:proofErr w:type="spellEnd"/>
      <w:r w:rsidRPr="009244B2">
        <w:rPr>
          <w:rFonts w:eastAsia="SimSun"/>
          <w:szCs w:val="24"/>
          <w:lang w:val="en-GB" w:eastAsia="zh-CN"/>
        </w:rPr>
        <w:t xml:space="preserve"> in the breast) than patients with hormone receptor-negative tumours (difference of 26.4% in </w:t>
      </w:r>
      <w:proofErr w:type="spellStart"/>
      <w:r w:rsidRPr="009244B2">
        <w:rPr>
          <w:rFonts w:eastAsia="SimSun"/>
          <w:szCs w:val="24"/>
          <w:lang w:val="en-GB" w:eastAsia="zh-CN"/>
        </w:rPr>
        <w:t>pCR</w:t>
      </w:r>
      <w:proofErr w:type="spellEnd"/>
      <w:r w:rsidRPr="009244B2">
        <w:rPr>
          <w:rFonts w:eastAsia="SimSun"/>
          <w:szCs w:val="24"/>
          <w:lang w:val="en-GB" w:eastAsia="zh-CN"/>
        </w:rPr>
        <w:t xml:space="preserve"> in the breast). </w:t>
      </w:r>
      <w:proofErr w:type="spellStart"/>
      <w:proofErr w:type="gramStart"/>
      <w:r w:rsidRPr="009244B2">
        <w:rPr>
          <w:rFonts w:eastAsia="SimSun"/>
          <w:szCs w:val="24"/>
          <w:lang w:val="en-GB" w:eastAsia="zh-CN"/>
        </w:rPr>
        <w:t>pCR</w:t>
      </w:r>
      <w:proofErr w:type="spellEnd"/>
      <w:proofErr w:type="gramEnd"/>
      <w:r w:rsidRPr="009244B2">
        <w:rPr>
          <w:rFonts w:eastAsia="SimSun"/>
          <w:szCs w:val="24"/>
          <w:lang w:val="en-GB" w:eastAsia="zh-CN"/>
        </w:rPr>
        <w:t xml:space="preserve"> rates were similar in patients with operable versus locally advanced disease. There were too few patients with inflammatory breast cancer to draw any firm conclusions but the </w:t>
      </w:r>
      <w:proofErr w:type="spellStart"/>
      <w:r w:rsidRPr="009244B2">
        <w:rPr>
          <w:rFonts w:eastAsia="SimSun"/>
          <w:szCs w:val="24"/>
          <w:lang w:val="en-GB" w:eastAsia="zh-CN"/>
        </w:rPr>
        <w:t>pCR</w:t>
      </w:r>
      <w:proofErr w:type="spellEnd"/>
      <w:r w:rsidRPr="009244B2">
        <w:rPr>
          <w:rFonts w:eastAsia="SimSun"/>
          <w:szCs w:val="24"/>
          <w:lang w:val="en-GB" w:eastAsia="zh-CN"/>
        </w:rPr>
        <w:t xml:space="preserve"> rate was higher in patients who received PEJETA plus </w:t>
      </w:r>
      <w:proofErr w:type="spellStart"/>
      <w:r w:rsidRPr="009244B2">
        <w:rPr>
          <w:rFonts w:eastAsia="SimSun"/>
          <w:szCs w:val="24"/>
          <w:lang w:val="en-GB" w:eastAsia="zh-CN"/>
        </w:rPr>
        <w:t>trastuzumab</w:t>
      </w:r>
      <w:proofErr w:type="spellEnd"/>
      <w:r w:rsidRPr="009244B2">
        <w:rPr>
          <w:rFonts w:eastAsia="SimSun"/>
          <w:szCs w:val="24"/>
          <w:lang w:val="en-GB" w:eastAsia="zh-CN"/>
        </w:rPr>
        <w:t xml:space="preserve"> and docetaxel.</w:t>
      </w:r>
    </w:p>
    <w:p w:rsidR="009244B2" w:rsidRPr="001814C3" w:rsidRDefault="009244B2" w:rsidP="00D66C97"/>
    <w:p w:rsidR="0003793F" w:rsidRPr="006149FA" w:rsidRDefault="0003793F" w:rsidP="0003793F">
      <w:pPr>
        <w:pStyle w:val="Paragraph"/>
        <w:jc w:val="both"/>
        <w:rPr>
          <w:rFonts w:ascii="Times New Roman" w:hAnsi="Times New Roman"/>
          <w:b/>
        </w:rPr>
      </w:pPr>
      <w:r w:rsidRPr="006149FA">
        <w:rPr>
          <w:rFonts w:ascii="Times New Roman" w:hAnsi="Times New Roman"/>
          <w:b/>
        </w:rPr>
        <w:t>TRYPHAENA (BO22280)</w:t>
      </w:r>
    </w:p>
    <w:p w:rsidR="0003793F" w:rsidRPr="006149FA" w:rsidRDefault="0003793F" w:rsidP="0003793F">
      <w:pPr>
        <w:pStyle w:val="Paragraph"/>
        <w:jc w:val="both"/>
        <w:rPr>
          <w:rFonts w:ascii="Times New Roman" w:hAnsi="Times New Roman"/>
          <w:szCs w:val="20"/>
        </w:rPr>
      </w:pPr>
      <w:r w:rsidRPr="006149FA">
        <w:rPr>
          <w:rFonts w:ascii="Times New Roman" w:hAnsi="Times New Roman"/>
        </w:rPr>
        <w:t xml:space="preserve">TRYPHAENA is a </w:t>
      </w:r>
      <w:proofErr w:type="spellStart"/>
      <w:r w:rsidRPr="006149FA">
        <w:rPr>
          <w:rFonts w:ascii="Times New Roman" w:hAnsi="Times New Roman"/>
        </w:rPr>
        <w:t>multicenter</w:t>
      </w:r>
      <w:proofErr w:type="spellEnd"/>
      <w:r w:rsidRPr="006149FA">
        <w:rPr>
          <w:rFonts w:ascii="Times New Roman" w:hAnsi="Times New Roman"/>
        </w:rPr>
        <w:t>, randomized</w:t>
      </w:r>
      <w:r w:rsidRPr="001634B0">
        <w:rPr>
          <w:rFonts w:ascii="Times New Roman" w:hAnsi="Times New Roman"/>
        </w:rPr>
        <w:t xml:space="preserve"> </w:t>
      </w:r>
      <w:r w:rsidRPr="0003793F">
        <w:rPr>
          <w:rFonts w:ascii="Times New Roman" w:hAnsi="Times New Roman"/>
          <w:u w:val="single"/>
        </w:rPr>
        <w:t>P</w:t>
      </w:r>
      <w:r w:rsidRPr="0003793F">
        <w:rPr>
          <w:rFonts w:ascii="Times New Roman" w:hAnsi="Times New Roman"/>
        </w:rPr>
        <w:t xml:space="preserve">hase </w:t>
      </w:r>
      <w:proofErr w:type="spellStart"/>
      <w:r w:rsidRPr="0003793F">
        <w:rPr>
          <w:rFonts w:ascii="Times New Roman" w:hAnsi="Times New Roman"/>
        </w:rPr>
        <w:t>ll</w:t>
      </w:r>
      <w:proofErr w:type="spellEnd"/>
      <w:r w:rsidRPr="0003793F">
        <w:rPr>
          <w:rFonts w:ascii="Times New Roman" w:hAnsi="Times New Roman"/>
        </w:rPr>
        <w:t xml:space="preserve"> clinical study conducted in 225 patients with HER2-positive locally advanced, operable, or inflammatory (T2-4d) breast cancer.  Breast tumour specimens were required to show HER2 over expression defined as a score of 3+ by IHC or ISH amplification </w:t>
      </w:r>
      <w:r w:rsidRPr="006149FA">
        <w:rPr>
          <w:rFonts w:ascii="Times New Roman" w:hAnsi="Times New Roman"/>
        </w:rPr>
        <w:t>by ≥ 2.0 as determined by a central laboratory.</w:t>
      </w:r>
    </w:p>
    <w:p w:rsidR="005962AB" w:rsidRDefault="0003793F" w:rsidP="005962AB">
      <w:pPr>
        <w:pStyle w:val="Paragraph"/>
        <w:spacing w:after="120" w:line="240" w:lineRule="auto"/>
        <w:jc w:val="both"/>
        <w:rPr>
          <w:rFonts w:ascii="Times New Roman" w:eastAsia="PMingLiU" w:hAnsi="Times New Roman"/>
          <w:szCs w:val="22"/>
          <w:lang w:val="en-AU" w:eastAsia="zh-TW"/>
        </w:rPr>
      </w:pPr>
      <w:r w:rsidRPr="006149FA">
        <w:rPr>
          <w:rFonts w:ascii="Times New Roman" w:hAnsi="Times New Roman"/>
        </w:rPr>
        <w:t xml:space="preserve">Patients were randomized to receive one of three neoadjuvant regimens prior to surgery as follows: 3 cycles of FEC followed by 3 cycles of docetaxel all in combination with PERJETA and </w:t>
      </w:r>
      <w:proofErr w:type="spellStart"/>
      <w:r w:rsidRPr="006149FA">
        <w:rPr>
          <w:rFonts w:ascii="Times New Roman" w:hAnsi="Times New Roman"/>
        </w:rPr>
        <w:t>trastuzumab</w:t>
      </w:r>
      <w:proofErr w:type="spellEnd"/>
      <w:r w:rsidRPr="006149FA">
        <w:rPr>
          <w:rFonts w:ascii="Times New Roman" w:hAnsi="Times New Roman"/>
        </w:rPr>
        <w:t xml:space="preserve">, 3 cycles of FEC alone followed by </w:t>
      </w:r>
      <w:r w:rsidRPr="0003793F">
        <w:rPr>
          <w:rFonts w:ascii="Times New Roman" w:hAnsi="Times New Roman"/>
          <w:u w:val="single"/>
        </w:rPr>
        <w:t>3 </w:t>
      </w:r>
      <w:r w:rsidRPr="0003793F">
        <w:rPr>
          <w:rFonts w:ascii="Times New Roman" w:hAnsi="Times New Roman"/>
        </w:rPr>
        <w:t xml:space="preserve">cycles of docetaxel and </w:t>
      </w:r>
      <w:proofErr w:type="spellStart"/>
      <w:r w:rsidRPr="0003793F">
        <w:rPr>
          <w:rFonts w:ascii="Times New Roman" w:hAnsi="Times New Roman"/>
        </w:rPr>
        <w:t>trastuzumab</w:t>
      </w:r>
      <w:proofErr w:type="spellEnd"/>
      <w:r w:rsidRPr="0003793F">
        <w:rPr>
          <w:rFonts w:ascii="Times New Roman" w:hAnsi="Times New Roman"/>
        </w:rPr>
        <w:t xml:space="preserve"> in </w:t>
      </w:r>
      <w:r w:rsidRPr="0003793F">
        <w:rPr>
          <w:rFonts w:ascii="Times New Roman" w:hAnsi="Times New Roman"/>
        </w:rPr>
        <w:lastRenderedPageBreak/>
        <w:t xml:space="preserve">combination with </w:t>
      </w:r>
      <w:r w:rsidRPr="006149FA">
        <w:rPr>
          <w:rFonts w:ascii="Times New Roman" w:hAnsi="Times New Roman"/>
        </w:rPr>
        <w:t>PERJETA or 6 cycles of TCH in combination with PERJETA</w:t>
      </w:r>
      <w:r w:rsidR="005962AB">
        <w:rPr>
          <w:rFonts w:ascii="Times New Roman" w:eastAsia="PMingLiU" w:hAnsi="Times New Roman"/>
          <w:szCs w:val="22"/>
          <w:lang w:val="en-AU" w:eastAsia="zh-TW"/>
        </w:rPr>
        <w:t xml:space="preserve">. </w:t>
      </w:r>
      <w:r w:rsidR="005962AB" w:rsidRPr="00DE3CDE">
        <w:rPr>
          <w:rFonts w:ascii="Times New Roman" w:eastAsia="PMingLiU" w:hAnsi="Times New Roman"/>
          <w:szCs w:val="22"/>
          <w:lang w:val="en-AU" w:eastAsia="zh-TW"/>
        </w:rPr>
        <w:t xml:space="preserve">There is insufficient evidence to recommend concomitant administration of </w:t>
      </w:r>
      <w:r w:rsidR="005962AB">
        <w:rPr>
          <w:rFonts w:ascii="Times New Roman" w:eastAsia="PMingLiU" w:hAnsi="Times New Roman"/>
          <w:szCs w:val="22"/>
          <w:lang w:val="en-AU" w:eastAsia="zh-TW"/>
        </w:rPr>
        <w:t xml:space="preserve">an </w:t>
      </w:r>
      <w:r w:rsidR="005962AB" w:rsidRPr="00DE3CDE">
        <w:rPr>
          <w:rFonts w:ascii="Times New Roman" w:eastAsia="PMingLiU" w:hAnsi="Times New Roman"/>
          <w:szCs w:val="22"/>
          <w:lang w:val="en-AU" w:eastAsia="zh-TW"/>
        </w:rPr>
        <w:t xml:space="preserve">anthracycline </w:t>
      </w:r>
      <w:r w:rsidR="005962AB">
        <w:rPr>
          <w:rFonts w:ascii="Times New Roman" w:eastAsia="PMingLiU" w:hAnsi="Times New Roman"/>
          <w:szCs w:val="22"/>
          <w:lang w:val="en-AU" w:eastAsia="zh-TW"/>
        </w:rPr>
        <w:t xml:space="preserve">with </w:t>
      </w:r>
      <w:r w:rsidR="005962AB" w:rsidRPr="00DE3CDE">
        <w:rPr>
          <w:rFonts w:ascii="Times New Roman" w:eastAsia="PMingLiU" w:hAnsi="Times New Roman"/>
          <w:szCs w:val="22"/>
          <w:lang w:val="en-AU" w:eastAsia="zh-TW"/>
        </w:rPr>
        <w:t>P</w:t>
      </w:r>
      <w:r w:rsidR="005962AB">
        <w:rPr>
          <w:rFonts w:ascii="Times New Roman" w:eastAsia="PMingLiU" w:hAnsi="Times New Roman"/>
          <w:szCs w:val="22"/>
          <w:lang w:val="en-AU" w:eastAsia="zh-TW"/>
        </w:rPr>
        <w:t>ERJETA</w:t>
      </w:r>
      <w:r w:rsidR="005962AB" w:rsidRPr="00DE3CDE">
        <w:rPr>
          <w:rFonts w:ascii="Times New Roman" w:eastAsia="PMingLiU" w:hAnsi="Times New Roman"/>
          <w:szCs w:val="22"/>
          <w:lang w:val="en-AU" w:eastAsia="zh-TW"/>
        </w:rPr>
        <w:t xml:space="preserve">.  </w:t>
      </w:r>
    </w:p>
    <w:p w:rsidR="0003793F" w:rsidRPr="006149FA" w:rsidRDefault="0003793F" w:rsidP="0003793F">
      <w:pPr>
        <w:pStyle w:val="Paragraph"/>
        <w:jc w:val="both"/>
        <w:rPr>
          <w:rFonts w:ascii="Times New Roman" w:hAnsi="Times New Roman"/>
        </w:rPr>
      </w:pPr>
      <w:r w:rsidRPr="006149FA">
        <w:rPr>
          <w:rFonts w:ascii="Times New Roman" w:hAnsi="Times New Roman"/>
        </w:rPr>
        <w:t xml:space="preserve">Randomization was stratified by breast cancer type (operable, locally advanced, or inflammatory) and ER and /or </w:t>
      </w:r>
      <w:proofErr w:type="spellStart"/>
      <w:r w:rsidRPr="006149FA">
        <w:rPr>
          <w:rFonts w:ascii="Times New Roman" w:hAnsi="Times New Roman"/>
        </w:rPr>
        <w:t>PgR</w:t>
      </w:r>
      <w:proofErr w:type="spellEnd"/>
      <w:r w:rsidRPr="006149FA">
        <w:rPr>
          <w:rFonts w:ascii="Times New Roman" w:hAnsi="Times New Roman"/>
        </w:rPr>
        <w:t xml:space="preserve"> positivity. </w:t>
      </w:r>
    </w:p>
    <w:p w:rsidR="0003793F" w:rsidRDefault="0003793F" w:rsidP="0003793F">
      <w:pPr>
        <w:pStyle w:val="Paragraph"/>
        <w:jc w:val="both"/>
        <w:rPr>
          <w:rFonts w:ascii="Times New Roman" w:hAnsi="Times New Roman"/>
          <w:highlight w:val="magenta"/>
        </w:rPr>
      </w:pPr>
      <w:r w:rsidRPr="006149FA">
        <w:rPr>
          <w:rFonts w:ascii="Times New Roman" w:hAnsi="Times New Roman"/>
        </w:rPr>
        <w:t xml:space="preserve">PERJETA was given intravenously at an initial dose of 840 mg, followed by 420 mg every three weeks.  </w:t>
      </w:r>
      <w:proofErr w:type="spellStart"/>
      <w:r w:rsidRPr="0003793F">
        <w:rPr>
          <w:rFonts w:ascii="Times New Roman" w:hAnsi="Times New Roman"/>
        </w:rPr>
        <w:t>Trastuzumab</w:t>
      </w:r>
      <w:proofErr w:type="spellEnd"/>
      <w:r w:rsidRPr="0003793F">
        <w:rPr>
          <w:rFonts w:ascii="Times New Roman" w:hAnsi="Times New Roman"/>
        </w:rPr>
        <w:t xml:space="preserve"> was given intravenously at an initial dose of 8 mg/kg, followed by 6 mg/kg every three weeks. </w:t>
      </w:r>
      <w:r w:rsidRPr="006149FA">
        <w:rPr>
          <w:rFonts w:ascii="Times New Roman" w:hAnsi="Times New Roman"/>
        </w:rPr>
        <w:t>5-Fluorouracil (500 mg/m</w:t>
      </w:r>
      <w:r w:rsidRPr="006149FA">
        <w:rPr>
          <w:rFonts w:ascii="Times New Roman" w:hAnsi="Times New Roman"/>
          <w:vertAlign w:val="superscript"/>
        </w:rPr>
        <w:t>2</w:t>
      </w:r>
      <w:r w:rsidRPr="006149FA">
        <w:rPr>
          <w:rFonts w:ascii="Times New Roman" w:hAnsi="Times New Roman"/>
        </w:rPr>
        <w:t xml:space="preserve">), </w:t>
      </w:r>
      <w:proofErr w:type="spellStart"/>
      <w:r w:rsidRPr="006149FA">
        <w:rPr>
          <w:rFonts w:ascii="Times New Roman" w:hAnsi="Times New Roman"/>
        </w:rPr>
        <w:t>epirubicin</w:t>
      </w:r>
      <w:proofErr w:type="spellEnd"/>
      <w:r w:rsidRPr="006149FA">
        <w:rPr>
          <w:rFonts w:ascii="Times New Roman" w:hAnsi="Times New Roman"/>
        </w:rPr>
        <w:t xml:space="preserve"> (100 mg/m</w:t>
      </w:r>
      <w:r w:rsidRPr="001634B0">
        <w:rPr>
          <w:rFonts w:ascii="Times New Roman" w:hAnsi="Times New Roman"/>
          <w:vertAlign w:val="superscript"/>
        </w:rPr>
        <w:t>2</w:t>
      </w:r>
      <w:r w:rsidRPr="00427D32">
        <w:rPr>
          <w:rFonts w:ascii="Times New Roman" w:hAnsi="Times New Roman"/>
        </w:rPr>
        <w:t>), cyclophosphamide (600 mg/m</w:t>
      </w:r>
      <w:r w:rsidRPr="009B3919">
        <w:rPr>
          <w:rFonts w:ascii="Times New Roman" w:hAnsi="Times New Roman"/>
          <w:vertAlign w:val="superscript"/>
        </w:rPr>
        <w:t>2</w:t>
      </w:r>
      <w:r w:rsidRPr="00436382">
        <w:rPr>
          <w:rFonts w:ascii="Times New Roman" w:hAnsi="Times New Roman"/>
        </w:rPr>
        <w:t>) were given intravenously every three weeks for 3 cycles.  Docetaxel was given as an initial dose of 75 mg/m</w:t>
      </w:r>
      <w:r w:rsidRPr="004F3BC6">
        <w:rPr>
          <w:rFonts w:ascii="Times New Roman" w:hAnsi="Times New Roman"/>
          <w:vertAlign w:val="superscript"/>
        </w:rPr>
        <w:t>2</w:t>
      </w:r>
      <w:r w:rsidRPr="0010680F">
        <w:rPr>
          <w:rFonts w:ascii="Times New Roman" w:hAnsi="Times New Roman"/>
        </w:rPr>
        <w:t xml:space="preserve"> IV infusion every three weeks</w:t>
      </w:r>
      <w:r>
        <w:rPr>
          <w:rFonts w:ascii="Times New Roman" w:hAnsi="Times New Roman"/>
        </w:rPr>
        <w:t xml:space="preserve"> with the option to escalate to 100 mg/m</w:t>
      </w:r>
      <w:r>
        <w:rPr>
          <w:rFonts w:ascii="Times New Roman" w:hAnsi="Times New Roman"/>
          <w:vertAlign w:val="superscript"/>
        </w:rPr>
        <w:t>2</w:t>
      </w:r>
      <w:r>
        <w:rPr>
          <w:rFonts w:ascii="Times New Roman" w:hAnsi="Times New Roman"/>
        </w:rPr>
        <w:t xml:space="preserve"> at the investigator’s discretion if the initial dose was well tolerated.  However, in the PERJETA in combination with TCH arm, docetaxel was given intravenously at 75 mg/m</w:t>
      </w:r>
      <w:r>
        <w:rPr>
          <w:rFonts w:ascii="Times New Roman" w:hAnsi="Times New Roman"/>
          <w:vertAlign w:val="superscript"/>
        </w:rPr>
        <w:t>2</w:t>
      </w:r>
      <w:r>
        <w:rPr>
          <w:rFonts w:ascii="Times New Roman" w:hAnsi="Times New Roman"/>
        </w:rPr>
        <w:t xml:space="preserve"> and no escalation was permitted and carboplatin (AUC 6) was given intravenously every three weeks. Following surgery all patients received Herceptin</w:t>
      </w:r>
      <w:r>
        <w:rPr>
          <w:rFonts w:ascii="Times New Roman" w:hAnsi="Times New Roman"/>
          <w:lang w:eastAsia="en-GB"/>
        </w:rPr>
        <w:t xml:space="preserve"> to complete </w:t>
      </w:r>
      <w:r>
        <w:rPr>
          <w:rFonts w:ascii="Times New Roman" w:hAnsi="Times New Roman"/>
        </w:rPr>
        <w:t xml:space="preserve">one year of therapy, which was </w:t>
      </w:r>
      <w:r>
        <w:rPr>
          <w:rFonts w:ascii="Times New Roman" w:hAnsi="Times New Roman"/>
          <w:lang w:eastAsia="en-GB"/>
        </w:rPr>
        <w:t xml:space="preserve">administered intravenously every 3 weeks. </w:t>
      </w:r>
    </w:p>
    <w:p w:rsidR="0003793F" w:rsidRDefault="0003793F" w:rsidP="0003793F">
      <w:pPr>
        <w:autoSpaceDE w:val="0"/>
        <w:autoSpaceDN w:val="0"/>
        <w:adjustRightInd w:val="0"/>
        <w:rPr>
          <w:bCs/>
        </w:rPr>
      </w:pPr>
      <w:r>
        <w:t xml:space="preserve">The primary endpoint of this study was cardiac safety during the neoadjuvant treatment period of the study.  Secondary efficacy endpoints were </w:t>
      </w:r>
      <w:proofErr w:type="spellStart"/>
      <w:r>
        <w:t>pCR</w:t>
      </w:r>
      <w:proofErr w:type="spellEnd"/>
      <w:r>
        <w:t xml:space="preserve"> rate in the breast (ypT0/is), DFS, PFS and OS.</w:t>
      </w:r>
      <w:r>
        <w:rPr>
          <w:bCs/>
        </w:rPr>
        <w:t xml:space="preserve"> </w:t>
      </w:r>
    </w:p>
    <w:p w:rsidR="0003793F" w:rsidRDefault="0003793F" w:rsidP="0003793F">
      <w:pPr>
        <w:adjustRightInd w:val="0"/>
        <w:spacing w:before="100" w:beforeAutospacing="1" w:after="170" w:line="280" w:lineRule="exact"/>
      </w:pPr>
      <w:r>
        <w:t xml:space="preserve">Demographics were well balanced (median age was 49-50 years old, the majority were Caucasian (77%) and all were female. Overall 6% of patients had inflammatory breast cancer, 25% had locally advanced breast cancer and 69% had operable breast cancer, with approximately half the patients in each treatment group had ER-positive and/or </w:t>
      </w:r>
      <w:proofErr w:type="spellStart"/>
      <w:r>
        <w:t>PgR</w:t>
      </w:r>
      <w:proofErr w:type="spellEnd"/>
      <w:r>
        <w:t>-positive disease.</w:t>
      </w:r>
    </w:p>
    <w:p w:rsidR="0003793F" w:rsidRPr="0003793F" w:rsidRDefault="0003793F" w:rsidP="0003793F">
      <w:pPr>
        <w:autoSpaceDE w:val="0"/>
        <w:autoSpaceDN w:val="0"/>
        <w:adjustRightInd w:val="0"/>
        <w:spacing w:after="170" w:line="280" w:lineRule="exact"/>
      </w:pPr>
      <w:proofErr w:type="spellStart"/>
      <w:proofErr w:type="gramStart"/>
      <w:r w:rsidRPr="0003793F">
        <w:t>pCR</w:t>
      </w:r>
      <w:proofErr w:type="spellEnd"/>
      <w:proofErr w:type="gramEnd"/>
      <w:r w:rsidRPr="0003793F">
        <w:t xml:space="preserve"> rates were observed in all 3 treatment arms (see Table </w:t>
      </w:r>
      <w:r w:rsidR="006149FA">
        <w:t>1</w:t>
      </w:r>
      <w:r w:rsidRPr="0003793F">
        <w:t xml:space="preserve">).  A consistent pattern of results was observed regardless of </w:t>
      </w:r>
      <w:proofErr w:type="spellStart"/>
      <w:r w:rsidRPr="0003793F">
        <w:t>pCR</w:t>
      </w:r>
      <w:proofErr w:type="spellEnd"/>
      <w:r w:rsidRPr="0003793F">
        <w:t xml:space="preserve"> definition. </w:t>
      </w:r>
      <w:proofErr w:type="spellStart"/>
      <w:proofErr w:type="gramStart"/>
      <w:r w:rsidRPr="0003793F">
        <w:t>pCR</w:t>
      </w:r>
      <w:proofErr w:type="spellEnd"/>
      <w:proofErr w:type="gramEnd"/>
      <w:r w:rsidRPr="0003793F">
        <w:t xml:space="preserve"> rates were lower in the subgroup of patients with hormone receptor-positive tumours than in patients with hormone receptor-negative tumours (46.2% to 50.0% and 65.0% to 83.8% respectively). </w:t>
      </w:r>
    </w:p>
    <w:p w:rsidR="00ED72A1" w:rsidRDefault="0003793F" w:rsidP="0003793F">
      <w:pPr>
        <w:autoSpaceDE w:val="0"/>
        <w:autoSpaceDN w:val="0"/>
        <w:adjustRightInd w:val="0"/>
        <w:rPr>
          <w:strike/>
        </w:rPr>
      </w:pPr>
      <w:r>
        <w:rPr>
          <w:strike/>
        </w:rPr>
        <w:t xml:space="preserve"> </w:t>
      </w:r>
    </w:p>
    <w:p w:rsidR="0003793F" w:rsidRDefault="00ED72A1" w:rsidP="00ED72A1">
      <w:pPr>
        <w:rPr>
          <w:b/>
          <w:bCs/>
          <w:lang w:eastAsia="zh-CN"/>
        </w:rPr>
      </w:pPr>
      <w:r>
        <w:br w:type="page"/>
      </w:r>
      <w:r w:rsidR="0003793F" w:rsidRPr="0003793F">
        <w:rPr>
          <w:b/>
          <w:bCs/>
        </w:rPr>
        <w:lastRenderedPageBreak/>
        <w:t>Table 1</w:t>
      </w:r>
      <w:r w:rsidR="0003793F">
        <w:rPr>
          <w:b/>
          <w:bCs/>
        </w:rPr>
        <w:t xml:space="preserve">: NEOSPHERE (WO20697) and TRYPHAENA (BO22280): Summary of </w:t>
      </w:r>
      <w:r w:rsidR="0003793F" w:rsidRPr="0003793F">
        <w:rPr>
          <w:b/>
          <w:bCs/>
        </w:rPr>
        <w:t>Ef</w:t>
      </w:r>
      <w:r w:rsidR="0003793F">
        <w:rPr>
          <w:b/>
          <w:bCs/>
        </w:rPr>
        <w:t>ficacy (ITT population)</w:t>
      </w:r>
    </w:p>
    <w:p w:rsidR="0003793F" w:rsidRDefault="0003793F" w:rsidP="0003793F">
      <w:pPr>
        <w:autoSpaceDE w:val="0"/>
        <w:autoSpaceDN w:val="0"/>
        <w:adjustRightInd w:val="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78"/>
        <w:gridCol w:w="1021"/>
        <w:gridCol w:w="1021"/>
        <w:gridCol w:w="1021"/>
        <w:gridCol w:w="1058"/>
        <w:gridCol w:w="1115"/>
        <w:gridCol w:w="986"/>
        <w:gridCol w:w="985"/>
      </w:tblGrid>
      <w:tr w:rsidR="0003793F" w:rsidTr="00ED72A1">
        <w:trPr>
          <w:cantSplit/>
        </w:trPr>
        <w:tc>
          <w:tcPr>
            <w:tcW w:w="107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Left"/>
              <w:rPr>
                <w:rFonts w:ascii="Times New Roman" w:hAnsi="Times New Roman"/>
                <w:b/>
                <w:sz w:val="18"/>
                <w:szCs w:val="18"/>
                <w:lang w:val="en-GB"/>
              </w:rPr>
            </w:pPr>
          </w:p>
        </w:tc>
        <w:tc>
          <w:tcPr>
            <w:tcW w:w="2244" w:type="pct"/>
            <w:gridSpan w:val="4"/>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NEOSPHERE (WO20697)</w:t>
            </w:r>
          </w:p>
        </w:tc>
        <w:tc>
          <w:tcPr>
            <w:tcW w:w="1680" w:type="pct"/>
            <w:gridSpan w:val="3"/>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TRYPHAENA (BO22280)</w:t>
            </w:r>
          </w:p>
        </w:tc>
      </w:tr>
      <w:tr w:rsidR="0003793F" w:rsidTr="00ED72A1">
        <w:trPr>
          <w:cantSplit/>
        </w:trPr>
        <w:tc>
          <w:tcPr>
            <w:tcW w:w="107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TableCell10Left"/>
              <w:rPr>
                <w:rFonts w:ascii="Times New Roman" w:hAnsi="Times New Roman"/>
                <w:b/>
                <w:sz w:val="18"/>
                <w:szCs w:val="18"/>
                <w:highlight w:val="yellow"/>
                <w:lang w:val="en-GB"/>
              </w:rPr>
            </w:pPr>
            <w:r>
              <w:rPr>
                <w:rFonts w:ascii="Times New Roman" w:hAnsi="Times New Roman"/>
                <w:b/>
                <w:sz w:val="18"/>
                <w:szCs w:val="18"/>
                <w:lang w:val="en-GB"/>
              </w:rPr>
              <w:t>Parameter</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Center"/>
              <w:rPr>
                <w:rFonts w:ascii="Times New Roman" w:hAnsi="Times New Roman"/>
                <w:b/>
                <w:sz w:val="18"/>
                <w:szCs w:val="18"/>
                <w:highlight w:val="yellow"/>
                <w:lang w:val="en-GB"/>
              </w:rPr>
            </w:pPr>
          </w:p>
          <w:p w:rsidR="0003793F" w:rsidRDefault="0003793F" w:rsidP="0052750F">
            <w:pPr>
              <w:pStyle w:val="TableCell10Center"/>
              <w:rPr>
                <w:rFonts w:ascii="Times New Roman" w:hAnsi="Times New Roman"/>
                <w:b/>
                <w:sz w:val="18"/>
                <w:szCs w:val="18"/>
                <w:lang w:val="en-GB"/>
              </w:rPr>
            </w:pPr>
            <w:r>
              <w:rPr>
                <w:rFonts w:ascii="Times New Roman" w:hAnsi="Times New Roman"/>
                <w:b/>
                <w:sz w:val="18"/>
                <w:szCs w:val="18"/>
                <w:lang w:val="en-GB"/>
              </w:rPr>
              <w:t>T+D</w:t>
            </w:r>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N=107</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Center"/>
              <w:rPr>
                <w:rFonts w:ascii="Times New Roman" w:hAnsi="Times New Roman"/>
                <w:b/>
                <w:sz w:val="18"/>
                <w:szCs w:val="18"/>
                <w:highlight w:val="yellow"/>
                <w:lang w:val="en-GB"/>
              </w:rPr>
            </w:pPr>
          </w:p>
          <w:p w:rsidR="0003793F" w:rsidRDefault="0003793F" w:rsidP="0052750F">
            <w:pPr>
              <w:pStyle w:val="TableCell10Center"/>
              <w:rPr>
                <w:rFonts w:ascii="Times New Roman" w:hAnsi="Times New Roman"/>
                <w:b/>
                <w:sz w:val="18"/>
                <w:szCs w:val="18"/>
                <w:lang w:val="en-GB"/>
              </w:rPr>
            </w:pPr>
            <w:proofErr w:type="spellStart"/>
            <w:r>
              <w:rPr>
                <w:rFonts w:ascii="Times New Roman" w:hAnsi="Times New Roman"/>
                <w:b/>
                <w:sz w:val="18"/>
                <w:szCs w:val="18"/>
                <w:lang w:val="en-GB"/>
              </w:rPr>
              <w:t>Ptz+T+D</w:t>
            </w:r>
            <w:proofErr w:type="spellEnd"/>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N=107</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Center"/>
              <w:rPr>
                <w:rFonts w:ascii="Times New Roman" w:hAnsi="Times New Roman"/>
                <w:b/>
                <w:sz w:val="18"/>
                <w:szCs w:val="18"/>
                <w:highlight w:val="yellow"/>
                <w:lang w:val="en-GB"/>
              </w:rPr>
            </w:pPr>
          </w:p>
          <w:p w:rsidR="0003793F" w:rsidRDefault="0003793F" w:rsidP="0052750F">
            <w:pPr>
              <w:pStyle w:val="TableCell10Center"/>
              <w:rPr>
                <w:rFonts w:ascii="Times New Roman" w:hAnsi="Times New Roman"/>
                <w:b/>
                <w:sz w:val="18"/>
                <w:szCs w:val="18"/>
                <w:lang w:val="en-GB"/>
              </w:rPr>
            </w:pPr>
            <w:proofErr w:type="spellStart"/>
            <w:r>
              <w:rPr>
                <w:rFonts w:ascii="Times New Roman" w:hAnsi="Times New Roman"/>
                <w:b/>
                <w:sz w:val="18"/>
                <w:szCs w:val="18"/>
                <w:lang w:val="en-GB"/>
              </w:rPr>
              <w:t>Ptz+T</w:t>
            </w:r>
            <w:proofErr w:type="spellEnd"/>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N=107</w:t>
            </w:r>
          </w:p>
        </w:tc>
        <w:tc>
          <w:tcPr>
            <w:tcW w:w="57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Center"/>
              <w:rPr>
                <w:rFonts w:ascii="Times New Roman" w:hAnsi="Times New Roman"/>
                <w:b/>
                <w:sz w:val="18"/>
                <w:szCs w:val="18"/>
                <w:highlight w:val="yellow"/>
                <w:lang w:val="en-GB"/>
              </w:rPr>
            </w:pPr>
          </w:p>
          <w:p w:rsidR="0003793F" w:rsidRDefault="0003793F" w:rsidP="0052750F">
            <w:pPr>
              <w:pStyle w:val="TableCell10Center"/>
              <w:rPr>
                <w:rFonts w:ascii="Times New Roman" w:hAnsi="Times New Roman"/>
                <w:b/>
                <w:sz w:val="18"/>
                <w:szCs w:val="18"/>
                <w:lang w:val="en-GB"/>
              </w:rPr>
            </w:pPr>
            <w:proofErr w:type="spellStart"/>
            <w:r>
              <w:rPr>
                <w:rFonts w:ascii="Times New Roman" w:hAnsi="Times New Roman"/>
                <w:b/>
                <w:sz w:val="18"/>
                <w:szCs w:val="18"/>
                <w:lang w:val="en-GB"/>
              </w:rPr>
              <w:t>Ptz+D</w:t>
            </w:r>
            <w:proofErr w:type="spellEnd"/>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N=96</w:t>
            </w:r>
          </w:p>
        </w:tc>
        <w:tc>
          <w:tcPr>
            <w:tcW w:w="60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TableCell10Center"/>
              <w:ind w:left="-24" w:right="-29"/>
              <w:rPr>
                <w:rFonts w:ascii="Times New Roman" w:hAnsi="Times New Roman"/>
                <w:b/>
                <w:sz w:val="18"/>
                <w:szCs w:val="18"/>
                <w:lang w:val="de-CH"/>
              </w:rPr>
            </w:pPr>
            <w:r>
              <w:rPr>
                <w:rFonts w:ascii="Times New Roman" w:hAnsi="Times New Roman"/>
                <w:b/>
                <w:sz w:val="18"/>
                <w:szCs w:val="18"/>
                <w:lang w:val="de-CH"/>
              </w:rPr>
              <w:t>Ptz+T+FEC/</w:t>
            </w:r>
          </w:p>
          <w:p w:rsidR="0003793F" w:rsidRDefault="0003793F" w:rsidP="0052750F">
            <w:pPr>
              <w:pStyle w:val="TableCell10Center"/>
              <w:rPr>
                <w:rFonts w:ascii="Times New Roman" w:hAnsi="Times New Roman"/>
                <w:b/>
                <w:sz w:val="18"/>
                <w:szCs w:val="18"/>
                <w:lang w:val="de-CH"/>
              </w:rPr>
            </w:pPr>
            <w:r>
              <w:rPr>
                <w:rFonts w:ascii="Times New Roman" w:hAnsi="Times New Roman"/>
                <w:b/>
                <w:sz w:val="18"/>
                <w:szCs w:val="18"/>
                <w:lang w:val="de-CH"/>
              </w:rPr>
              <w:t>Ptz+T+D</w:t>
            </w:r>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N=73</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TableCell10Center"/>
              <w:rPr>
                <w:rFonts w:ascii="Times New Roman" w:hAnsi="Times New Roman"/>
                <w:b/>
                <w:sz w:val="18"/>
                <w:szCs w:val="18"/>
                <w:lang w:val="en-GB"/>
              </w:rPr>
            </w:pPr>
            <w:r>
              <w:rPr>
                <w:rFonts w:ascii="Times New Roman" w:hAnsi="Times New Roman"/>
                <w:b/>
                <w:sz w:val="18"/>
                <w:szCs w:val="18"/>
                <w:lang w:val="en-GB"/>
              </w:rPr>
              <w:t>FEC/</w:t>
            </w:r>
          </w:p>
          <w:p w:rsidR="0003793F" w:rsidRDefault="0003793F" w:rsidP="0052750F">
            <w:pPr>
              <w:pStyle w:val="TableCell10Center"/>
              <w:rPr>
                <w:rFonts w:ascii="Times New Roman" w:hAnsi="Times New Roman"/>
                <w:b/>
                <w:sz w:val="18"/>
                <w:szCs w:val="18"/>
                <w:lang w:val="en-GB"/>
              </w:rPr>
            </w:pPr>
            <w:proofErr w:type="spellStart"/>
            <w:r>
              <w:rPr>
                <w:rFonts w:ascii="Times New Roman" w:hAnsi="Times New Roman"/>
                <w:b/>
                <w:sz w:val="18"/>
                <w:szCs w:val="18"/>
                <w:lang w:val="en-GB"/>
              </w:rPr>
              <w:t>Ptz+T+D</w:t>
            </w:r>
            <w:proofErr w:type="spellEnd"/>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N=75</w:t>
            </w:r>
          </w:p>
        </w:tc>
        <w:tc>
          <w:tcPr>
            <w:tcW w:w="537"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TableCell10Center"/>
              <w:rPr>
                <w:rFonts w:ascii="Times New Roman" w:hAnsi="Times New Roman"/>
                <w:b/>
                <w:sz w:val="18"/>
                <w:szCs w:val="18"/>
                <w:highlight w:val="yellow"/>
                <w:lang w:val="en-GB"/>
              </w:rPr>
            </w:pPr>
          </w:p>
          <w:p w:rsidR="0003793F" w:rsidRDefault="0003793F" w:rsidP="0052750F">
            <w:pPr>
              <w:pStyle w:val="TableCell10Center"/>
              <w:rPr>
                <w:rFonts w:ascii="Times New Roman" w:hAnsi="Times New Roman"/>
                <w:b/>
                <w:sz w:val="18"/>
                <w:szCs w:val="18"/>
                <w:lang w:val="en-GB"/>
              </w:rPr>
            </w:pPr>
            <w:proofErr w:type="spellStart"/>
            <w:r>
              <w:rPr>
                <w:rFonts w:ascii="Times New Roman" w:hAnsi="Times New Roman"/>
                <w:b/>
                <w:sz w:val="18"/>
                <w:szCs w:val="18"/>
                <w:lang w:val="en-GB"/>
              </w:rPr>
              <w:t>Ptz+TCH</w:t>
            </w:r>
            <w:proofErr w:type="spellEnd"/>
          </w:p>
          <w:p w:rsidR="0003793F" w:rsidRDefault="0003793F" w:rsidP="0052750F">
            <w:pPr>
              <w:pStyle w:val="TableCell10Center"/>
              <w:rPr>
                <w:rFonts w:ascii="Times New Roman" w:hAnsi="Times New Roman"/>
                <w:b/>
                <w:sz w:val="18"/>
                <w:szCs w:val="18"/>
                <w:highlight w:val="yellow"/>
                <w:lang w:val="en-GB"/>
              </w:rPr>
            </w:pPr>
            <w:r>
              <w:rPr>
                <w:rFonts w:ascii="Times New Roman" w:hAnsi="Times New Roman"/>
                <w:b/>
                <w:sz w:val="18"/>
                <w:szCs w:val="18"/>
                <w:lang w:val="en-GB"/>
              </w:rPr>
              <w:t>N=77</w:t>
            </w:r>
          </w:p>
        </w:tc>
      </w:tr>
      <w:tr w:rsidR="009244B2" w:rsidTr="00ED72A1">
        <w:trPr>
          <w:cantSplit/>
          <w:trHeight w:val="964"/>
        </w:trPr>
        <w:tc>
          <w:tcPr>
            <w:tcW w:w="1076" w:type="pct"/>
            <w:tcBorders>
              <w:top w:val="single" w:sz="4" w:space="0" w:color="auto"/>
              <w:left w:val="single" w:sz="4" w:space="0" w:color="auto"/>
              <w:bottom w:val="single" w:sz="4" w:space="0" w:color="auto"/>
              <w:right w:val="single" w:sz="4" w:space="0" w:color="auto"/>
            </w:tcBorders>
          </w:tcPr>
          <w:p w:rsidR="009244B2" w:rsidRDefault="009244B2" w:rsidP="00897658">
            <w:pPr>
              <w:pStyle w:val="Paragraph"/>
              <w:spacing w:after="0"/>
              <w:rPr>
                <w:rFonts w:ascii="Times New Roman" w:hAnsi="Times New Roman"/>
                <w:sz w:val="18"/>
                <w:szCs w:val="20"/>
                <w:lang w:val="en-US"/>
              </w:rPr>
            </w:pPr>
            <w:r>
              <w:rPr>
                <w:rFonts w:ascii="Times New Roman" w:hAnsi="Times New Roman"/>
                <w:sz w:val="18"/>
              </w:rPr>
              <w:t>ypT0/is N0*</w:t>
            </w:r>
          </w:p>
          <w:p w:rsidR="009244B2" w:rsidRDefault="009244B2" w:rsidP="00897658">
            <w:pPr>
              <w:pStyle w:val="Paragraph"/>
              <w:spacing w:after="20"/>
              <w:rPr>
                <w:rFonts w:ascii="Times New Roman" w:hAnsi="Times New Roman"/>
                <w:b/>
                <w:caps/>
                <w:sz w:val="18"/>
                <w:szCs w:val="18"/>
              </w:rPr>
            </w:pPr>
            <w:proofErr w:type="gramStart"/>
            <w:r>
              <w:rPr>
                <w:rFonts w:ascii="Times New Roman" w:hAnsi="Times New Roman"/>
                <w:sz w:val="18"/>
                <w:szCs w:val="18"/>
              </w:rPr>
              <w:t>n</w:t>
            </w:r>
            <w:proofErr w:type="gramEnd"/>
            <w:r>
              <w:rPr>
                <w:rFonts w:ascii="Times New Roman" w:hAnsi="Times New Roman"/>
                <w:sz w:val="18"/>
                <w:szCs w:val="18"/>
              </w:rPr>
              <w:t xml:space="preserve"> (%)</w:t>
            </w:r>
          </w:p>
          <w:p w:rsidR="009244B2" w:rsidRDefault="009244B2" w:rsidP="0052750F">
            <w:pPr>
              <w:pStyle w:val="Paragraph"/>
              <w:spacing w:before="20" w:after="20"/>
              <w:rPr>
                <w:rFonts w:ascii="Times New Roman" w:hAnsi="Times New Roman"/>
                <w:sz w:val="18"/>
                <w:szCs w:val="18"/>
              </w:rPr>
            </w:pPr>
            <w:r>
              <w:rPr>
                <w:rFonts w:ascii="Times New Roman" w:hAnsi="Times New Roman"/>
                <w:sz w:val="18"/>
                <w:szCs w:val="18"/>
              </w:rPr>
              <w:t>[95% CI]</w:t>
            </w:r>
          </w:p>
        </w:tc>
        <w:tc>
          <w:tcPr>
            <w:tcW w:w="556" w:type="pct"/>
            <w:tcBorders>
              <w:top w:val="single" w:sz="4" w:space="0" w:color="auto"/>
              <w:left w:val="single" w:sz="4" w:space="0" w:color="auto"/>
              <w:bottom w:val="single" w:sz="4" w:space="0" w:color="auto"/>
              <w:right w:val="single" w:sz="4" w:space="0" w:color="auto"/>
            </w:tcBorders>
            <w:vAlign w:val="center"/>
          </w:tcPr>
          <w:p w:rsidR="009244B2" w:rsidRDefault="009244B2" w:rsidP="00897658">
            <w:pPr>
              <w:pStyle w:val="Paragraph"/>
              <w:spacing w:before="20" w:after="20"/>
              <w:jc w:val="center"/>
              <w:rPr>
                <w:rFonts w:ascii="Times New Roman" w:hAnsi="Times New Roman"/>
                <w:sz w:val="18"/>
                <w:szCs w:val="18"/>
                <w:lang w:val="en-US" w:eastAsia="zh-TW"/>
              </w:rPr>
            </w:pPr>
          </w:p>
          <w:p w:rsidR="009244B2" w:rsidRDefault="009244B2" w:rsidP="00897658">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23 (21.5%)</w:t>
            </w:r>
          </w:p>
          <w:p w:rsidR="009244B2" w:rsidRDefault="009244B2" w:rsidP="0052750F">
            <w:pPr>
              <w:pStyle w:val="Paragraph"/>
              <w:spacing w:before="20" w:after="20"/>
              <w:jc w:val="center"/>
              <w:rPr>
                <w:rFonts w:ascii="Times New Roman" w:hAnsi="Times New Roman"/>
                <w:sz w:val="18"/>
                <w:szCs w:val="18"/>
                <w:highlight w:val="yellow"/>
                <w:lang w:val="en-US"/>
              </w:rPr>
            </w:pPr>
            <w:r>
              <w:rPr>
                <w:sz w:val="18"/>
                <w:szCs w:val="18"/>
              </w:rPr>
              <w:t>[14.1; 30.5]</w:t>
            </w:r>
          </w:p>
        </w:tc>
        <w:tc>
          <w:tcPr>
            <w:tcW w:w="556" w:type="pct"/>
            <w:tcBorders>
              <w:top w:val="single" w:sz="4" w:space="0" w:color="auto"/>
              <w:left w:val="single" w:sz="4" w:space="0" w:color="auto"/>
              <w:bottom w:val="single" w:sz="4" w:space="0" w:color="auto"/>
              <w:right w:val="single" w:sz="4" w:space="0" w:color="auto"/>
            </w:tcBorders>
            <w:vAlign w:val="center"/>
          </w:tcPr>
          <w:p w:rsidR="009244B2" w:rsidRDefault="009244B2" w:rsidP="00897658">
            <w:pPr>
              <w:pStyle w:val="Paragraph"/>
              <w:spacing w:before="20" w:after="20"/>
              <w:jc w:val="center"/>
              <w:rPr>
                <w:rFonts w:ascii="Times New Roman" w:hAnsi="Times New Roman"/>
                <w:sz w:val="18"/>
                <w:szCs w:val="18"/>
                <w:lang w:val="en-US" w:eastAsia="zh-TW"/>
              </w:rPr>
            </w:pPr>
          </w:p>
          <w:p w:rsidR="009244B2" w:rsidRDefault="009244B2" w:rsidP="00897658">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42 (39.3%)</w:t>
            </w:r>
          </w:p>
          <w:p w:rsidR="009244B2" w:rsidRDefault="009244B2" w:rsidP="0052750F">
            <w:pPr>
              <w:pStyle w:val="Paragraph"/>
              <w:spacing w:before="20" w:after="20"/>
              <w:jc w:val="center"/>
              <w:rPr>
                <w:rFonts w:ascii="Times New Roman" w:hAnsi="Times New Roman"/>
                <w:sz w:val="18"/>
                <w:szCs w:val="18"/>
                <w:highlight w:val="yellow"/>
                <w:lang w:val="en-US"/>
              </w:rPr>
            </w:pPr>
            <w:r>
              <w:rPr>
                <w:sz w:val="18"/>
                <w:szCs w:val="18"/>
              </w:rPr>
              <w:t>[30.3; 49.2]</w:t>
            </w:r>
          </w:p>
        </w:tc>
        <w:tc>
          <w:tcPr>
            <w:tcW w:w="556" w:type="pct"/>
            <w:tcBorders>
              <w:top w:val="single" w:sz="4" w:space="0" w:color="auto"/>
              <w:left w:val="single" w:sz="4" w:space="0" w:color="auto"/>
              <w:bottom w:val="single" w:sz="4" w:space="0" w:color="auto"/>
              <w:right w:val="single" w:sz="4" w:space="0" w:color="auto"/>
            </w:tcBorders>
            <w:vAlign w:val="center"/>
          </w:tcPr>
          <w:p w:rsidR="009244B2" w:rsidRDefault="009244B2" w:rsidP="00897658">
            <w:pPr>
              <w:pStyle w:val="Paragraph"/>
              <w:spacing w:before="20" w:after="20"/>
              <w:jc w:val="center"/>
              <w:rPr>
                <w:rFonts w:ascii="Times New Roman" w:hAnsi="Times New Roman"/>
                <w:sz w:val="18"/>
                <w:szCs w:val="18"/>
                <w:lang w:val="en-US" w:eastAsia="zh-TW"/>
              </w:rPr>
            </w:pPr>
          </w:p>
          <w:p w:rsidR="009244B2" w:rsidRDefault="009244B2" w:rsidP="00897658">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12 (11.2%)</w:t>
            </w:r>
          </w:p>
          <w:p w:rsidR="009244B2" w:rsidRDefault="009244B2" w:rsidP="0052750F">
            <w:pPr>
              <w:pStyle w:val="Paragraph"/>
              <w:spacing w:before="20" w:after="20"/>
              <w:jc w:val="center"/>
              <w:rPr>
                <w:rFonts w:ascii="Times New Roman" w:hAnsi="Times New Roman"/>
                <w:sz w:val="18"/>
                <w:szCs w:val="18"/>
                <w:highlight w:val="yellow"/>
                <w:lang w:val="en-US"/>
              </w:rPr>
            </w:pPr>
            <w:r>
              <w:rPr>
                <w:sz w:val="18"/>
                <w:szCs w:val="18"/>
              </w:rPr>
              <w:t>[5.9; 18.8]</w:t>
            </w:r>
          </w:p>
        </w:tc>
        <w:tc>
          <w:tcPr>
            <w:tcW w:w="576" w:type="pct"/>
            <w:tcBorders>
              <w:top w:val="single" w:sz="4" w:space="0" w:color="auto"/>
              <w:left w:val="single" w:sz="4" w:space="0" w:color="auto"/>
              <w:bottom w:val="single" w:sz="4" w:space="0" w:color="auto"/>
              <w:right w:val="single" w:sz="4" w:space="0" w:color="auto"/>
            </w:tcBorders>
            <w:vAlign w:val="center"/>
          </w:tcPr>
          <w:p w:rsidR="009244B2" w:rsidRDefault="009244B2" w:rsidP="00897658">
            <w:pPr>
              <w:pStyle w:val="Paragraph"/>
              <w:spacing w:before="20" w:after="20"/>
              <w:jc w:val="center"/>
              <w:rPr>
                <w:rFonts w:ascii="Times New Roman" w:hAnsi="Times New Roman"/>
                <w:sz w:val="18"/>
                <w:szCs w:val="18"/>
                <w:lang w:val="en-US" w:eastAsia="zh-TW"/>
              </w:rPr>
            </w:pPr>
          </w:p>
          <w:p w:rsidR="009244B2" w:rsidRDefault="009244B2" w:rsidP="00897658">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17 (17.7%)</w:t>
            </w:r>
          </w:p>
          <w:p w:rsidR="009244B2" w:rsidRDefault="009244B2" w:rsidP="0052750F">
            <w:pPr>
              <w:pStyle w:val="Paragraph"/>
              <w:spacing w:before="20" w:after="20"/>
              <w:jc w:val="center"/>
              <w:rPr>
                <w:rFonts w:ascii="Times New Roman" w:hAnsi="Times New Roman"/>
                <w:sz w:val="18"/>
                <w:szCs w:val="18"/>
                <w:highlight w:val="yellow"/>
                <w:lang w:val="en-US"/>
              </w:rPr>
            </w:pPr>
            <w:r>
              <w:rPr>
                <w:sz w:val="18"/>
                <w:szCs w:val="18"/>
              </w:rPr>
              <w:t>[10.7; 26.8]</w:t>
            </w:r>
          </w:p>
        </w:tc>
        <w:tc>
          <w:tcPr>
            <w:tcW w:w="607" w:type="pct"/>
            <w:tcBorders>
              <w:top w:val="single" w:sz="4" w:space="0" w:color="auto"/>
              <w:left w:val="single" w:sz="4" w:space="0" w:color="auto"/>
              <w:bottom w:val="single" w:sz="4" w:space="0" w:color="auto"/>
              <w:right w:val="single" w:sz="4" w:space="0" w:color="auto"/>
            </w:tcBorders>
          </w:tcPr>
          <w:p w:rsidR="009244B2" w:rsidRDefault="009244B2" w:rsidP="00897658">
            <w:pPr>
              <w:pStyle w:val="Paragraph"/>
              <w:spacing w:before="20" w:after="20"/>
              <w:rPr>
                <w:rFonts w:ascii="Times New Roman" w:hAnsi="Times New Roman"/>
                <w:sz w:val="18"/>
                <w:szCs w:val="18"/>
                <w:lang w:val="en-US" w:eastAsia="zh-TW"/>
              </w:rPr>
            </w:pPr>
          </w:p>
          <w:p w:rsidR="009244B2" w:rsidRDefault="009244B2" w:rsidP="00897658">
            <w:pPr>
              <w:pStyle w:val="Paragraph"/>
              <w:spacing w:before="20" w:after="20"/>
              <w:rPr>
                <w:rFonts w:ascii="Times New Roman" w:hAnsi="Times New Roman"/>
                <w:sz w:val="18"/>
                <w:szCs w:val="18"/>
                <w:lang w:eastAsia="zh-TW"/>
              </w:rPr>
            </w:pPr>
            <w:r>
              <w:rPr>
                <w:rFonts w:ascii="Times New Roman" w:hAnsi="Times New Roman"/>
                <w:sz w:val="18"/>
                <w:szCs w:val="18"/>
                <w:lang w:eastAsia="zh-TW"/>
              </w:rPr>
              <w:t>41 (56.2%)</w:t>
            </w:r>
          </w:p>
          <w:p w:rsidR="009244B2" w:rsidRDefault="009244B2" w:rsidP="0052750F">
            <w:pPr>
              <w:pStyle w:val="Paragraph"/>
              <w:spacing w:before="20" w:after="20"/>
              <w:jc w:val="center"/>
              <w:rPr>
                <w:rFonts w:ascii="Times New Roman" w:hAnsi="Times New Roman"/>
                <w:sz w:val="18"/>
                <w:szCs w:val="18"/>
                <w:lang w:val="en-US" w:eastAsia="zh-TW"/>
              </w:rPr>
            </w:pPr>
            <w:r>
              <w:rPr>
                <w:rFonts w:ascii="Times New Roman" w:hAnsi="Times New Roman"/>
                <w:sz w:val="18"/>
                <w:szCs w:val="18"/>
                <w:lang w:eastAsia="zh-TW"/>
              </w:rPr>
              <w:t>[44.1; 67.8]</w:t>
            </w:r>
          </w:p>
        </w:tc>
        <w:tc>
          <w:tcPr>
            <w:tcW w:w="537" w:type="pct"/>
            <w:tcBorders>
              <w:top w:val="single" w:sz="4" w:space="0" w:color="auto"/>
              <w:left w:val="single" w:sz="4" w:space="0" w:color="auto"/>
              <w:bottom w:val="single" w:sz="4" w:space="0" w:color="auto"/>
              <w:right w:val="single" w:sz="4" w:space="0" w:color="auto"/>
            </w:tcBorders>
          </w:tcPr>
          <w:p w:rsidR="009244B2" w:rsidRDefault="009244B2" w:rsidP="00897658">
            <w:pPr>
              <w:pStyle w:val="Paragraph"/>
              <w:spacing w:before="20" w:after="20"/>
              <w:rPr>
                <w:rFonts w:ascii="Times New Roman" w:hAnsi="Times New Roman"/>
                <w:sz w:val="18"/>
                <w:szCs w:val="18"/>
                <w:lang w:val="en-US" w:eastAsia="zh-TW"/>
              </w:rPr>
            </w:pPr>
          </w:p>
          <w:p w:rsidR="009244B2" w:rsidRDefault="009244B2" w:rsidP="00897658">
            <w:pPr>
              <w:pStyle w:val="Paragraph"/>
              <w:spacing w:before="20" w:after="20"/>
              <w:rPr>
                <w:rFonts w:ascii="Times New Roman" w:hAnsi="Times New Roman"/>
                <w:sz w:val="18"/>
                <w:szCs w:val="18"/>
                <w:lang w:eastAsia="zh-TW"/>
              </w:rPr>
            </w:pPr>
            <w:r>
              <w:rPr>
                <w:rFonts w:ascii="Times New Roman" w:hAnsi="Times New Roman"/>
                <w:sz w:val="18"/>
                <w:szCs w:val="18"/>
                <w:lang w:eastAsia="zh-TW"/>
              </w:rPr>
              <w:t>41 (54.7%)</w:t>
            </w:r>
          </w:p>
          <w:p w:rsidR="009244B2" w:rsidRDefault="009244B2" w:rsidP="0052750F">
            <w:pPr>
              <w:pStyle w:val="Paragraph"/>
              <w:spacing w:before="20" w:after="20"/>
              <w:jc w:val="center"/>
              <w:rPr>
                <w:rFonts w:ascii="Times New Roman" w:hAnsi="Times New Roman"/>
                <w:sz w:val="18"/>
                <w:szCs w:val="18"/>
                <w:lang w:val="en-US" w:eastAsia="zh-TW"/>
              </w:rPr>
            </w:pPr>
            <w:r>
              <w:rPr>
                <w:rFonts w:ascii="Times New Roman" w:hAnsi="Times New Roman"/>
                <w:sz w:val="18"/>
                <w:szCs w:val="18"/>
                <w:lang w:eastAsia="zh-TW"/>
              </w:rPr>
              <w:t>[42.7; 66.2]</w:t>
            </w:r>
          </w:p>
        </w:tc>
        <w:tc>
          <w:tcPr>
            <w:tcW w:w="537" w:type="pct"/>
            <w:tcBorders>
              <w:top w:val="single" w:sz="4" w:space="0" w:color="auto"/>
              <w:left w:val="single" w:sz="4" w:space="0" w:color="auto"/>
              <w:bottom w:val="single" w:sz="4" w:space="0" w:color="auto"/>
              <w:right w:val="single" w:sz="4" w:space="0" w:color="auto"/>
            </w:tcBorders>
          </w:tcPr>
          <w:p w:rsidR="009244B2" w:rsidRDefault="009244B2" w:rsidP="00897658">
            <w:pPr>
              <w:pStyle w:val="Paragraph"/>
              <w:spacing w:before="20" w:after="20"/>
              <w:rPr>
                <w:rFonts w:ascii="Times New Roman" w:hAnsi="Times New Roman"/>
                <w:sz w:val="18"/>
                <w:szCs w:val="18"/>
                <w:lang w:val="en-US" w:eastAsia="zh-TW"/>
              </w:rPr>
            </w:pPr>
          </w:p>
          <w:p w:rsidR="009244B2" w:rsidRDefault="009244B2" w:rsidP="00897658">
            <w:pPr>
              <w:pStyle w:val="Paragraph"/>
              <w:spacing w:before="20" w:after="20"/>
              <w:rPr>
                <w:rFonts w:ascii="Times New Roman" w:hAnsi="Times New Roman"/>
                <w:sz w:val="18"/>
                <w:szCs w:val="18"/>
                <w:lang w:eastAsia="zh-TW"/>
              </w:rPr>
            </w:pPr>
            <w:r>
              <w:rPr>
                <w:rFonts w:ascii="Times New Roman" w:hAnsi="Times New Roman"/>
                <w:sz w:val="18"/>
                <w:szCs w:val="18"/>
                <w:lang w:eastAsia="zh-TW"/>
              </w:rPr>
              <w:t>49 (63.6%)</w:t>
            </w:r>
          </w:p>
          <w:p w:rsidR="009244B2" w:rsidRDefault="009244B2" w:rsidP="0052750F">
            <w:pPr>
              <w:pStyle w:val="Paragraph"/>
              <w:spacing w:before="20" w:after="20"/>
              <w:jc w:val="center"/>
              <w:rPr>
                <w:rFonts w:ascii="Times New Roman" w:hAnsi="Times New Roman"/>
                <w:sz w:val="18"/>
                <w:szCs w:val="18"/>
                <w:lang w:val="en-US" w:eastAsia="zh-TW"/>
              </w:rPr>
            </w:pPr>
            <w:r>
              <w:rPr>
                <w:rFonts w:ascii="Times New Roman" w:hAnsi="Times New Roman"/>
                <w:sz w:val="18"/>
                <w:szCs w:val="18"/>
                <w:lang w:eastAsia="zh-TW"/>
              </w:rPr>
              <w:t>[51.9; 74.3]</w:t>
            </w:r>
          </w:p>
        </w:tc>
      </w:tr>
      <w:tr w:rsidR="0003793F" w:rsidTr="00ED72A1">
        <w:trPr>
          <w:cantSplit/>
          <w:trHeight w:val="964"/>
        </w:trPr>
        <w:tc>
          <w:tcPr>
            <w:tcW w:w="1076" w:type="pct"/>
            <w:tcBorders>
              <w:top w:val="single" w:sz="4" w:space="0" w:color="auto"/>
              <w:left w:val="single" w:sz="4" w:space="0" w:color="auto"/>
              <w:bottom w:val="single" w:sz="4" w:space="0" w:color="auto"/>
              <w:right w:val="single" w:sz="4" w:space="0" w:color="auto"/>
            </w:tcBorders>
            <w:hideMark/>
          </w:tcPr>
          <w:p w:rsidR="0003793F" w:rsidRDefault="0003793F" w:rsidP="0052750F">
            <w:pPr>
              <w:pStyle w:val="Paragraph"/>
              <w:spacing w:before="20" w:after="20"/>
              <w:rPr>
                <w:rFonts w:ascii="Times New Roman" w:hAnsi="Times New Roman"/>
                <w:sz w:val="18"/>
                <w:szCs w:val="18"/>
                <w:lang w:val="en-US"/>
              </w:rPr>
            </w:pPr>
            <w:r>
              <w:rPr>
                <w:rFonts w:ascii="Times New Roman" w:hAnsi="Times New Roman"/>
                <w:sz w:val="18"/>
                <w:szCs w:val="18"/>
              </w:rPr>
              <w:t>ypT0/is</w:t>
            </w:r>
            <w:r w:rsidR="009244B2">
              <w:rPr>
                <w:rFonts w:ascii="Times New Roman" w:hAnsi="Times New Roman"/>
                <w:sz w:val="18"/>
                <w:szCs w:val="18"/>
              </w:rPr>
              <w:t>*</w:t>
            </w:r>
          </w:p>
          <w:p w:rsidR="0003793F" w:rsidRDefault="0003793F" w:rsidP="0052750F">
            <w:pPr>
              <w:pStyle w:val="Paragraph"/>
              <w:spacing w:before="20" w:after="20"/>
              <w:rPr>
                <w:rFonts w:ascii="Times New Roman" w:hAnsi="Times New Roman"/>
                <w:sz w:val="18"/>
                <w:szCs w:val="20"/>
              </w:rPr>
            </w:pPr>
            <w:proofErr w:type="gramStart"/>
            <w:r>
              <w:rPr>
                <w:rFonts w:ascii="Times New Roman" w:hAnsi="Times New Roman"/>
                <w:sz w:val="18"/>
                <w:szCs w:val="18"/>
              </w:rPr>
              <w:t>n</w:t>
            </w:r>
            <w:proofErr w:type="gramEnd"/>
            <w:r>
              <w:rPr>
                <w:rFonts w:ascii="Times New Roman" w:hAnsi="Times New Roman"/>
                <w:sz w:val="18"/>
                <w:szCs w:val="18"/>
              </w:rPr>
              <w:t xml:space="preserve"> (%)</w:t>
            </w:r>
          </w:p>
          <w:p w:rsidR="0003793F" w:rsidRDefault="0003793F" w:rsidP="0052750F">
            <w:pPr>
              <w:pStyle w:val="Paragraph"/>
              <w:spacing w:before="20" w:after="20"/>
              <w:rPr>
                <w:rFonts w:ascii="Times New Roman" w:hAnsi="Times New Roman"/>
                <w:sz w:val="18"/>
                <w:szCs w:val="18"/>
                <w:highlight w:val="yellow"/>
                <w:lang w:val="en-US"/>
              </w:rPr>
            </w:pPr>
            <w:r>
              <w:rPr>
                <w:rFonts w:ascii="Times New Roman" w:hAnsi="Times New Roman"/>
                <w:sz w:val="18"/>
                <w:szCs w:val="18"/>
              </w:rPr>
              <w:t>[95% CI]</w:t>
            </w:r>
            <w:r>
              <w:rPr>
                <w:rFonts w:ascii="Times New Roman" w:hAnsi="Times New Roman"/>
                <w:sz w:val="18"/>
                <w:szCs w:val="18"/>
                <w:vertAlign w:val="superscript"/>
              </w:rPr>
              <w:t>1</w:t>
            </w:r>
          </w:p>
        </w:tc>
        <w:tc>
          <w:tcPr>
            <w:tcW w:w="556"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highlight w:val="yellow"/>
                <w:lang w:val="en-US"/>
              </w:rPr>
            </w:pPr>
          </w:p>
          <w:p w:rsidR="0003793F" w:rsidRDefault="0003793F" w:rsidP="0052750F">
            <w:pPr>
              <w:pStyle w:val="Paragraph"/>
              <w:spacing w:before="20" w:after="20"/>
              <w:jc w:val="center"/>
              <w:rPr>
                <w:rFonts w:ascii="Times New Roman" w:hAnsi="Times New Roman"/>
                <w:sz w:val="18"/>
                <w:szCs w:val="18"/>
              </w:rPr>
            </w:pPr>
            <w:r>
              <w:rPr>
                <w:rFonts w:ascii="Times New Roman" w:hAnsi="Times New Roman"/>
                <w:sz w:val="18"/>
                <w:szCs w:val="18"/>
              </w:rPr>
              <w:t>31 (29.0%)</w:t>
            </w:r>
          </w:p>
          <w:p w:rsidR="0003793F" w:rsidRDefault="0003793F" w:rsidP="0052750F">
            <w:pPr>
              <w:pStyle w:val="Paragraph"/>
              <w:spacing w:before="20" w:after="20"/>
              <w:jc w:val="center"/>
              <w:rPr>
                <w:rFonts w:ascii="Times New Roman" w:hAnsi="Times New Roman"/>
                <w:sz w:val="18"/>
                <w:szCs w:val="18"/>
                <w:highlight w:val="yellow"/>
                <w:lang w:val="en-US"/>
              </w:rPr>
            </w:pPr>
            <w:r>
              <w:rPr>
                <w:rFonts w:ascii="Times New Roman" w:hAnsi="Times New Roman"/>
                <w:sz w:val="18"/>
                <w:szCs w:val="18"/>
              </w:rPr>
              <w:t>[20.6; 38.5]</w:t>
            </w:r>
          </w:p>
        </w:tc>
        <w:tc>
          <w:tcPr>
            <w:tcW w:w="556"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highlight w:val="yellow"/>
                <w:lang w:val="en-US"/>
              </w:rPr>
            </w:pPr>
          </w:p>
          <w:p w:rsidR="0003793F" w:rsidRDefault="0003793F" w:rsidP="0052750F">
            <w:pPr>
              <w:pStyle w:val="Paragraph"/>
              <w:spacing w:before="20" w:after="20"/>
              <w:jc w:val="center"/>
              <w:rPr>
                <w:rFonts w:ascii="Times New Roman" w:hAnsi="Times New Roman"/>
                <w:sz w:val="18"/>
                <w:szCs w:val="18"/>
              </w:rPr>
            </w:pPr>
            <w:r>
              <w:rPr>
                <w:rFonts w:ascii="Times New Roman" w:hAnsi="Times New Roman"/>
                <w:sz w:val="18"/>
                <w:szCs w:val="18"/>
              </w:rPr>
              <w:t>49 (45.8%)</w:t>
            </w:r>
          </w:p>
          <w:p w:rsidR="0003793F" w:rsidRDefault="0003793F" w:rsidP="0052750F">
            <w:pPr>
              <w:pStyle w:val="Paragraph"/>
              <w:spacing w:before="20" w:after="20"/>
              <w:jc w:val="center"/>
              <w:rPr>
                <w:rFonts w:ascii="Times New Roman" w:hAnsi="Times New Roman"/>
                <w:sz w:val="18"/>
                <w:szCs w:val="18"/>
                <w:highlight w:val="yellow"/>
                <w:lang w:val="en-US"/>
              </w:rPr>
            </w:pPr>
            <w:r>
              <w:rPr>
                <w:rFonts w:ascii="Times New Roman" w:hAnsi="Times New Roman"/>
                <w:sz w:val="18"/>
                <w:szCs w:val="18"/>
              </w:rPr>
              <w:t>[36.1; 55.7]</w:t>
            </w:r>
          </w:p>
        </w:tc>
        <w:tc>
          <w:tcPr>
            <w:tcW w:w="556"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highlight w:val="yellow"/>
                <w:lang w:val="en-US"/>
              </w:rPr>
            </w:pPr>
          </w:p>
          <w:p w:rsidR="0003793F" w:rsidRDefault="0003793F" w:rsidP="0052750F">
            <w:pPr>
              <w:pStyle w:val="Paragraph"/>
              <w:spacing w:before="20" w:after="20"/>
              <w:jc w:val="center"/>
              <w:rPr>
                <w:rFonts w:ascii="Times New Roman" w:hAnsi="Times New Roman"/>
                <w:sz w:val="18"/>
                <w:szCs w:val="18"/>
              </w:rPr>
            </w:pPr>
            <w:r>
              <w:rPr>
                <w:rFonts w:ascii="Times New Roman" w:hAnsi="Times New Roman"/>
                <w:sz w:val="18"/>
                <w:szCs w:val="18"/>
              </w:rPr>
              <w:t>18 (16.8%)</w:t>
            </w:r>
          </w:p>
          <w:p w:rsidR="0003793F" w:rsidRDefault="0003793F" w:rsidP="0052750F">
            <w:pPr>
              <w:pStyle w:val="Paragraph"/>
              <w:spacing w:before="20" w:after="20"/>
              <w:jc w:val="center"/>
              <w:rPr>
                <w:rFonts w:ascii="Times New Roman" w:hAnsi="Times New Roman"/>
                <w:sz w:val="18"/>
                <w:szCs w:val="18"/>
                <w:highlight w:val="yellow"/>
                <w:lang w:val="en-US"/>
              </w:rPr>
            </w:pPr>
            <w:r>
              <w:rPr>
                <w:rFonts w:ascii="Times New Roman" w:hAnsi="Times New Roman"/>
                <w:sz w:val="18"/>
                <w:szCs w:val="18"/>
              </w:rPr>
              <w:t>[10.3; 25.3]</w:t>
            </w:r>
          </w:p>
        </w:tc>
        <w:tc>
          <w:tcPr>
            <w:tcW w:w="576"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highlight w:val="yellow"/>
                <w:lang w:val="en-US"/>
              </w:rPr>
            </w:pPr>
          </w:p>
          <w:p w:rsidR="0003793F" w:rsidRDefault="0003793F" w:rsidP="0052750F">
            <w:pPr>
              <w:pStyle w:val="Paragraph"/>
              <w:spacing w:before="20" w:after="20"/>
              <w:jc w:val="center"/>
              <w:rPr>
                <w:rFonts w:ascii="Times New Roman" w:hAnsi="Times New Roman"/>
                <w:sz w:val="18"/>
                <w:szCs w:val="18"/>
              </w:rPr>
            </w:pPr>
            <w:r>
              <w:rPr>
                <w:rFonts w:ascii="Times New Roman" w:hAnsi="Times New Roman"/>
                <w:sz w:val="18"/>
                <w:szCs w:val="18"/>
              </w:rPr>
              <w:t>23 (24.0%)</w:t>
            </w:r>
          </w:p>
          <w:p w:rsidR="0003793F" w:rsidRDefault="0003793F" w:rsidP="0052750F">
            <w:pPr>
              <w:pStyle w:val="Paragraph"/>
              <w:spacing w:before="20" w:after="20"/>
              <w:jc w:val="center"/>
              <w:rPr>
                <w:rFonts w:ascii="Times New Roman" w:hAnsi="Times New Roman"/>
                <w:sz w:val="18"/>
                <w:szCs w:val="18"/>
                <w:highlight w:val="yellow"/>
                <w:lang w:val="en-US"/>
              </w:rPr>
            </w:pPr>
            <w:r>
              <w:rPr>
                <w:rFonts w:ascii="Times New Roman" w:hAnsi="Times New Roman"/>
                <w:sz w:val="18"/>
                <w:szCs w:val="18"/>
              </w:rPr>
              <w:t>[15.8; 33.7]</w:t>
            </w:r>
          </w:p>
        </w:tc>
        <w:tc>
          <w:tcPr>
            <w:tcW w:w="60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45 (61.6%)</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[49.5; 72.8]</w:t>
            </w:r>
          </w:p>
        </w:tc>
        <w:tc>
          <w:tcPr>
            <w:tcW w:w="53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43 (57.3%)</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[45.4; 68.7]</w:t>
            </w:r>
          </w:p>
        </w:tc>
        <w:tc>
          <w:tcPr>
            <w:tcW w:w="53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51 (66.2%)</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[54.6; 76.6]</w:t>
            </w:r>
          </w:p>
        </w:tc>
      </w:tr>
      <w:tr w:rsidR="0003793F" w:rsidTr="00ED72A1">
        <w:trPr>
          <w:cantSplit/>
        </w:trPr>
        <w:tc>
          <w:tcPr>
            <w:tcW w:w="1076" w:type="pct"/>
            <w:tcBorders>
              <w:top w:val="single" w:sz="4" w:space="0" w:color="auto"/>
              <w:left w:val="single" w:sz="4" w:space="0" w:color="auto"/>
              <w:bottom w:val="single" w:sz="4" w:space="0" w:color="auto"/>
              <w:right w:val="single" w:sz="4" w:space="0" w:color="auto"/>
            </w:tcBorders>
            <w:hideMark/>
          </w:tcPr>
          <w:p w:rsidR="0003793F" w:rsidRDefault="0003793F" w:rsidP="0052750F">
            <w:pPr>
              <w:autoSpaceDE w:val="0"/>
              <w:autoSpaceDN w:val="0"/>
              <w:adjustRightInd w:val="0"/>
              <w:rPr>
                <w:sz w:val="18"/>
                <w:szCs w:val="18"/>
                <w:vertAlign w:val="superscript"/>
                <w:lang w:val="en-US" w:eastAsia="zh-CN"/>
              </w:rPr>
            </w:pPr>
            <w:r>
              <w:rPr>
                <w:sz w:val="18"/>
                <w:szCs w:val="18"/>
              </w:rPr>
              <w:t xml:space="preserve">Difference in </w:t>
            </w:r>
            <w:proofErr w:type="spellStart"/>
            <w:r>
              <w:rPr>
                <w:sz w:val="18"/>
                <w:szCs w:val="18"/>
              </w:rPr>
              <w:t>pCR</w:t>
            </w:r>
            <w:proofErr w:type="spellEnd"/>
            <w:r>
              <w:rPr>
                <w:sz w:val="18"/>
                <w:szCs w:val="18"/>
              </w:rPr>
              <w:t xml:space="preserve"> rates</w:t>
            </w:r>
            <w:r>
              <w:rPr>
                <w:sz w:val="18"/>
                <w:szCs w:val="18"/>
                <w:vertAlign w:val="superscript"/>
              </w:rPr>
              <w:t>2</w:t>
            </w:r>
          </w:p>
          <w:p w:rsidR="0003793F" w:rsidRDefault="0003793F" w:rsidP="0052750F">
            <w:pPr>
              <w:pStyle w:val="Paragraph"/>
              <w:spacing w:before="20" w:after="20"/>
              <w:rPr>
                <w:rFonts w:ascii="Times New Roman" w:hAnsi="Times New Roman"/>
                <w:b/>
                <w:caps/>
                <w:sz w:val="18"/>
                <w:szCs w:val="18"/>
                <w:lang w:val="en-US"/>
              </w:rPr>
            </w:pPr>
            <w:r>
              <w:rPr>
                <w:rFonts w:ascii="Times New Roman" w:hAnsi="Times New Roman"/>
                <w:sz w:val="18"/>
                <w:szCs w:val="18"/>
              </w:rPr>
              <w:t>[95% CI]</w:t>
            </w:r>
            <w:r>
              <w:rPr>
                <w:rFonts w:ascii="Times New Roman" w:hAnsi="Times New Roman"/>
                <w:sz w:val="18"/>
                <w:szCs w:val="18"/>
                <w:vertAlign w:val="superscript"/>
              </w:rPr>
              <w:t>3</w:t>
            </w:r>
          </w:p>
        </w:tc>
        <w:tc>
          <w:tcPr>
            <w:tcW w:w="556"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rPr>
            </w:pPr>
          </w:p>
        </w:tc>
        <w:tc>
          <w:tcPr>
            <w:tcW w:w="556" w:type="pct"/>
            <w:tcBorders>
              <w:top w:val="single" w:sz="4" w:space="0" w:color="auto"/>
              <w:left w:val="single" w:sz="4" w:space="0" w:color="auto"/>
              <w:bottom w:val="single" w:sz="4" w:space="0" w:color="auto"/>
              <w:right w:val="single" w:sz="4" w:space="0" w:color="auto"/>
            </w:tcBorders>
            <w:hideMark/>
          </w:tcPr>
          <w:p w:rsidR="0003793F" w:rsidRDefault="0003793F" w:rsidP="0052750F">
            <w:pPr>
              <w:autoSpaceDE w:val="0"/>
              <w:autoSpaceDN w:val="0"/>
              <w:adjustRightInd w:val="0"/>
              <w:spacing w:before="20" w:after="20" w:line="280" w:lineRule="exact"/>
              <w:jc w:val="center"/>
              <w:rPr>
                <w:b/>
                <w:caps/>
                <w:sz w:val="18"/>
                <w:szCs w:val="18"/>
                <w:lang w:val="en-US" w:eastAsia="zh-CN"/>
              </w:rPr>
            </w:pPr>
            <w:r>
              <w:rPr>
                <w:sz w:val="18"/>
                <w:szCs w:val="18"/>
              </w:rPr>
              <w:t>+16.8 %</w:t>
            </w:r>
          </w:p>
          <w:p w:rsidR="0003793F" w:rsidRDefault="0003793F" w:rsidP="0052750F">
            <w:pPr>
              <w:autoSpaceDE w:val="0"/>
              <w:autoSpaceDN w:val="0"/>
              <w:adjustRightInd w:val="0"/>
              <w:spacing w:before="20" w:after="20" w:line="280" w:lineRule="exact"/>
              <w:jc w:val="center"/>
              <w:rPr>
                <w:szCs w:val="24"/>
                <w:lang w:val="en-US" w:eastAsia="zh-CN"/>
              </w:rPr>
            </w:pPr>
            <w:r>
              <w:rPr>
                <w:sz w:val="18"/>
                <w:szCs w:val="18"/>
              </w:rPr>
              <w:t>[3.5; 30.1]</w:t>
            </w:r>
          </w:p>
        </w:tc>
        <w:tc>
          <w:tcPr>
            <w:tcW w:w="556" w:type="pct"/>
            <w:tcBorders>
              <w:top w:val="single" w:sz="4" w:space="0" w:color="auto"/>
              <w:left w:val="single" w:sz="4" w:space="0" w:color="auto"/>
              <w:bottom w:val="single" w:sz="4" w:space="0" w:color="auto"/>
              <w:right w:val="single" w:sz="4" w:space="0" w:color="auto"/>
            </w:tcBorders>
            <w:hideMark/>
          </w:tcPr>
          <w:p w:rsidR="0003793F" w:rsidRDefault="0003793F" w:rsidP="0052750F">
            <w:pPr>
              <w:autoSpaceDE w:val="0"/>
              <w:autoSpaceDN w:val="0"/>
              <w:adjustRightInd w:val="0"/>
              <w:spacing w:before="20" w:after="20" w:line="280" w:lineRule="exact"/>
              <w:jc w:val="center"/>
              <w:rPr>
                <w:b/>
                <w:caps/>
                <w:sz w:val="18"/>
                <w:szCs w:val="18"/>
                <w:lang w:val="en-US" w:eastAsia="zh-CN"/>
              </w:rPr>
            </w:pPr>
            <w:r>
              <w:rPr>
                <w:sz w:val="18"/>
                <w:szCs w:val="18"/>
              </w:rPr>
              <w:t>-12.2 %</w:t>
            </w:r>
          </w:p>
          <w:p w:rsidR="0003793F" w:rsidRDefault="0003793F" w:rsidP="0052750F">
            <w:pPr>
              <w:autoSpaceDE w:val="0"/>
              <w:autoSpaceDN w:val="0"/>
              <w:adjustRightInd w:val="0"/>
              <w:spacing w:before="20" w:after="20" w:line="280" w:lineRule="exact"/>
              <w:ind w:right="-81" w:hanging="82"/>
              <w:jc w:val="center"/>
              <w:rPr>
                <w:b/>
                <w:caps/>
                <w:sz w:val="18"/>
                <w:szCs w:val="18"/>
                <w:lang w:val="en-US" w:eastAsia="zh-CN"/>
              </w:rPr>
            </w:pPr>
            <w:r>
              <w:rPr>
                <w:sz w:val="18"/>
                <w:szCs w:val="18"/>
              </w:rPr>
              <w:t>[-23.8; -0.5]</w:t>
            </w:r>
          </w:p>
        </w:tc>
        <w:tc>
          <w:tcPr>
            <w:tcW w:w="576" w:type="pct"/>
            <w:tcBorders>
              <w:top w:val="single" w:sz="4" w:space="0" w:color="auto"/>
              <w:left w:val="single" w:sz="4" w:space="0" w:color="auto"/>
              <w:bottom w:val="single" w:sz="4" w:space="0" w:color="auto"/>
              <w:right w:val="single" w:sz="4" w:space="0" w:color="auto"/>
            </w:tcBorders>
            <w:hideMark/>
          </w:tcPr>
          <w:p w:rsidR="0003793F" w:rsidRDefault="0003793F" w:rsidP="0052750F">
            <w:pPr>
              <w:autoSpaceDE w:val="0"/>
              <w:autoSpaceDN w:val="0"/>
              <w:adjustRightInd w:val="0"/>
              <w:spacing w:before="20" w:after="20" w:line="280" w:lineRule="exact"/>
              <w:jc w:val="center"/>
              <w:rPr>
                <w:b/>
                <w:caps/>
                <w:sz w:val="18"/>
                <w:szCs w:val="18"/>
                <w:lang w:val="en-US" w:eastAsia="zh-CN"/>
              </w:rPr>
            </w:pPr>
            <w:r>
              <w:rPr>
                <w:sz w:val="18"/>
                <w:szCs w:val="18"/>
              </w:rPr>
              <w:t>-21.8 %</w:t>
            </w:r>
          </w:p>
          <w:p w:rsidR="0003793F" w:rsidRDefault="0003793F" w:rsidP="0052750F">
            <w:pPr>
              <w:autoSpaceDE w:val="0"/>
              <w:autoSpaceDN w:val="0"/>
              <w:adjustRightInd w:val="0"/>
              <w:spacing w:before="20" w:after="20" w:line="280" w:lineRule="exact"/>
              <w:ind w:right="-56" w:hanging="33"/>
              <w:jc w:val="center"/>
              <w:rPr>
                <w:b/>
                <w:caps/>
                <w:sz w:val="18"/>
                <w:szCs w:val="18"/>
                <w:lang w:val="en-US" w:eastAsia="zh-CN"/>
              </w:rPr>
            </w:pPr>
            <w:r>
              <w:rPr>
                <w:sz w:val="18"/>
                <w:szCs w:val="18"/>
              </w:rPr>
              <w:t>[-35.1; -8.5]</w:t>
            </w:r>
          </w:p>
        </w:tc>
        <w:tc>
          <w:tcPr>
            <w:tcW w:w="60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r>
      <w:tr w:rsidR="0003793F" w:rsidTr="00ED72A1">
        <w:trPr>
          <w:cantSplit/>
        </w:trPr>
        <w:tc>
          <w:tcPr>
            <w:tcW w:w="1076" w:type="pct"/>
            <w:tcBorders>
              <w:top w:val="single" w:sz="4" w:space="0" w:color="auto"/>
              <w:left w:val="single" w:sz="4" w:space="0" w:color="auto"/>
              <w:bottom w:val="single" w:sz="4" w:space="0" w:color="auto"/>
              <w:right w:val="single" w:sz="4" w:space="0" w:color="auto"/>
            </w:tcBorders>
            <w:hideMark/>
          </w:tcPr>
          <w:p w:rsidR="0003793F" w:rsidRDefault="0003793F" w:rsidP="0052750F">
            <w:pPr>
              <w:pStyle w:val="Paragraph"/>
              <w:spacing w:before="20" w:after="20"/>
              <w:rPr>
                <w:rFonts w:ascii="Times New Roman" w:hAnsi="Times New Roman"/>
                <w:sz w:val="18"/>
                <w:szCs w:val="18"/>
                <w:lang w:val="en-US"/>
              </w:rPr>
            </w:pPr>
            <w:r>
              <w:rPr>
                <w:rFonts w:ascii="Times New Roman" w:hAnsi="Times New Roman"/>
                <w:sz w:val="18"/>
                <w:szCs w:val="18"/>
              </w:rPr>
              <w:t xml:space="preserve">p-value (with </w:t>
            </w:r>
            <w:proofErr w:type="spellStart"/>
            <w:r>
              <w:rPr>
                <w:rFonts w:ascii="Times New Roman" w:hAnsi="Times New Roman"/>
                <w:sz w:val="18"/>
                <w:szCs w:val="18"/>
              </w:rPr>
              <w:t>Simes</w:t>
            </w:r>
            <w:proofErr w:type="spellEnd"/>
            <w:r>
              <w:rPr>
                <w:rFonts w:ascii="Times New Roman" w:hAnsi="Times New Roman"/>
                <w:sz w:val="18"/>
                <w:szCs w:val="18"/>
              </w:rPr>
              <w:t xml:space="preserve"> corr. for CMH test)</w:t>
            </w:r>
            <w:r>
              <w:rPr>
                <w:rFonts w:ascii="Times New Roman" w:hAnsi="Times New Roman"/>
                <w:sz w:val="18"/>
                <w:szCs w:val="18"/>
                <w:vertAlign w:val="superscript"/>
              </w:rPr>
              <w:t>4</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Paragraph"/>
              <w:spacing w:before="20" w:after="20"/>
              <w:jc w:val="center"/>
              <w:rPr>
                <w:rFonts w:ascii="Times New Roman" w:hAnsi="Times New Roman"/>
                <w:sz w:val="18"/>
                <w:szCs w:val="18"/>
                <w:lang w:val="en-US"/>
              </w:rPr>
            </w:pPr>
          </w:p>
        </w:tc>
        <w:tc>
          <w:tcPr>
            <w:tcW w:w="55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 xml:space="preserve">0.0141 </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(vs. T+D)</w:t>
            </w:r>
          </w:p>
        </w:tc>
        <w:tc>
          <w:tcPr>
            <w:tcW w:w="55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 xml:space="preserve">0.0198 </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(vs. T+D)</w:t>
            </w:r>
          </w:p>
        </w:tc>
        <w:tc>
          <w:tcPr>
            <w:tcW w:w="57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 xml:space="preserve">0.0030 </w:t>
            </w:r>
          </w:p>
          <w:p w:rsidR="0003793F" w:rsidRDefault="0003793F" w:rsidP="0052750F">
            <w:pPr>
              <w:pStyle w:val="Paragraph"/>
              <w:spacing w:before="20" w:after="20"/>
              <w:ind w:left="-56" w:right="-89"/>
              <w:jc w:val="center"/>
              <w:rPr>
                <w:rFonts w:ascii="Times New Roman" w:hAnsi="Times New Roman"/>
                <w:b/>
                <w:caps/>
                <w:sz w:val="18"/>
                <w:szCs w:val="18"/>
                <w:lang w:val="en-US"/>
              </w:rPr>
            </w:pPr>
            <w:r>
              <w:rPr>
                <w:rFonts w:ascii="Times New Roman" w:hAnsi="Times New Roman"/>
                <w:sz w:val="18"/>
                <w:szCs w:val="18"/>
              </w:rPr>
              <w:t xml:space="preserve">(vs </w:t>
            </w:r>
            <w:proofErr w:type="spellStart"/>
            <w:r>
              <w:rPr>
                <w:rFonts w:ascii="Times New Roman" w:hAnsi="Times New Roman"/>
                <w:sz w:val="18"/>
                <w:szCs w:val="18"/>
              </w:rPr>
              <w:t>Ptz</w:t>
            </w:r>
            <w:r>
              <w:rPr>
                <w:rFonts w:ascii="Times New Roman" w:hAnsi="Times New Roman"/>
                <w:sz w:val="16"/>
              </w:rPr>
              <w:t>+</w:t>
            </w:r>
            <w:r>
              <w:rPr>
                <w:rFonts w:ascii="Times New Roman" w:hAnsi="Times New Roman"/>
                <w:sz w:val="18"/>
                <w:szCs w:val="18"/>
              </w:rPr>
              <w:t>T</w:t>
            </w:r>
            <w:r>
              <w:rPr>
                <w:rFonts w:ascii="Times New Roman" w:hAnsi="Times New Roman"/>
                <w:sz w:val="16"/>
              </w:rPr>
              <w:t>+</w:t>
            </w:r>
            <w:r>
              <w:rPr>
                <w:rFonts w:ascii="Times New Roman" w:hAnsi="Times New Roman"/>
                <w:sz w:val="18"/>
                <w:szCs w:val="18"/>
              </w:rPr>
              <w:t>D</w:t>
            </w:r>
            <w:proofErr w:type="spellEnd"/>
            <w:r>
              <w:rPr>
                <w:rFonts w:ascii="Times New Roman" w:hAnsi="Times New Roman"/>
                <w:sz w:val="18"/>
                <w:szCs w:val="18"/>
              </w:rPr>
              <w:t>)</w:t>
            </w:r>
          </w:p>
        </w:tc>
        <w:tc>
          <w:tcPr>
            <w:tcW w:w="60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NA</w:t>
            </w:r>
          </w:p>
        </w:tc>
      </w:tr>
      <w:tr w:rsidR="0003793F" w:rsidTr="00ED72A1">
        <w:trPr>
          <w:cantSplit/>
        </w:trPr>
        <w:tc>
          <w:tcPr>
            <w:tcW w:w="1076" w:type="pct"/>
            <w:tcBorders>
              <w:top w:val="single" w:sz="4" w:space="0" w:color="auto"/>
              <w:left w:val="single" w:sz="4" w:space="0" w:color="auto"/>
              <w:bottom w:val="single" w:sz="4" w:space="0" w:color="auto"/>
              <w:right w:val="single" w:sz="4" w:space="0" w:color="auto"/>
            </w:tcBorders>
            <w:hideMark/>
          </w:tcPr>
          <w:p w:rsidR="0003793F" w:rsidRDefault="0003793F" w:rsidP="0052750F">
            <w:pPr>
              <w:pStyle w:val="Paragraph"/>
              <w:spacing w:before="20" w:after="20"/>
              <w:rPr>
                <w:rFonts w:ascii="Times New Roman" w:hAnsi="Times New Roman"/>
                <w:sz w:val="18"/>
                <w:szCs w:val="18"/>
                <w:lang w:val="en-US"/>
              </w:rPr>
            </w:pPr>
            <w:r>
              <w:rPr>
                <w:rFonts w:ascii="Times New Roman" w:hAnsi="Times New Roman"/>
                <w:sz w:val="18"/>
                <w:szCs w:val="18"/>
              </w:rPr>
              <w:t xml:space="preserve">ypT0 N0 </w:t>
            </w:r>
            <w:r w:rsidR="009244B2">
              <w:rPr>
                <w:rFonts w:ascii="Times New Roman" w:hAnsi="Times New Roman"/>
                <w:sz w:val="18"/>
                <w:szCs w:val="18"/>
              </w:rPr>
              <w:t>*</w:t>
            </w:r>
          </w:p>
          <w:p w:rsidR="0003793F" w:rsidRDefault="0003793F" w:rsidP="0052750F">
            <w:pPr>
              <w:pStyle w:val="Paragraph"/>
              <w:spacing w:after="20"/>
              <w:rPr>
                <w:rFonts w:ascii="Times New Roman" w:hAnsi="Times New Roman"/>
                <w:b/>
                <w:caps/>
                <w:sz w:val="18"/>
                <w:szCs w:val="18"/>
              </w:rPr>
            </w:pPr>
            <w:proofErr w:type="gramStart"/>
            <w:r>
              <w:rPr>
                <w:rFonts w:ascii="Times New Roman" w:hAnsi="Times New Roman"/>
                <w:sz w:val="18"/>
                <w:szCs w:val="18"/>
              </w:rPr>
              <w:t>n</w:t>
            </w:r>
            <w:proofErr w:type="gramEnd"/>
            <w:r>
              <w:rPr>
                <w:rFonts w:ascii="Times New Roman" w:hAnsi="Times New Roman"/>
                <w:sz w:val="18"/>
                <w:szCs w:val="18"/>
              </w:rPr>
              <w:t xml:space="preserve"> (%)</w:t>
            </w:r>
          </w:p>
          <w:p w:rsidR="0003793F" w:rsidRDefault="0003793F" w:rsidP="0052750F">
            <w:pPr>
              <w:pStyle w:val="Paragraph"/>
              <w:spacing w:before="20" w:after="20"/>
              <w:rPr>
                <w:rFonts w:ascii="Times New Roman" w:hAnsi="Times New Roman"/>
                <w:sz w:val="18"/>
                <w:szCs w:val="18"/>
                <w:lang w:val="en-US"/>
              </w:rPr>
            </w:pPr>
            <w:r>
              <w:rPr>
                <w:rFonts w:ascii="Times New Roman" w:hAnsi="Times New Roman"/>
                <w:sz w:val="18"/>
                <w:szCs w:val="18"/>
              </w:rPr>
              <w:t>[95% CI]</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NormalWeb"/>
              <w:spacing w:before="20" w:after="20" w:line="280" w:lineRule="exact"/>
              <w:jc w:val="center"/>
              <w:rPr>
                <w:kern w:val="24"/>
                <w:sz w:val="18"/>
                <w:szCs w:val="18"/>
              </w:rPr>
            </w:pPr>
          </w:p>
          <w:p w:rsidR="0003793F" w:rsidRDefault="0003793F" w:rsidP="0052750F">
            <w:pPr>
              <w:pStyle w:val="NormalWeb"/>
              <w:spacing w:before="20" w:after="20" w:line="280" w:lineRule="exact"/>
              <w:jc w:val="center"/>
              <w:rPr>
                <w:b/>
                <w:caps/>
                <w:kern w:val="24"/>
                <w:sz w:val="18"/>
                <w:szCs w:val="18"/>
              </w:rPr>
            </w:pPr>
            <w:r>
              <w:rPr>
                <w:kern w:val="24"/>
                <w:sz w:val="18"/>
                <w:szCs w:val="18"/>
              </w:rPr>
              <w:t>13 (12.1%)</w:t>
            </w:r>
          </w:p>
          <w:p w:rsidR="0003793F" w:rsidRDefault="0003793F" w:rsidP="0052750F">
            <w:pPr>
              <w:pStyle w:val="NormalWeb"/>
              <w:spacing w:before="20" w:after="20" w:line="280" w:lineRule="exact"/>
              <w:jc w:val="center"/>
              <w:rPr>
                <w:b/>
                <w:caps/>
                <w:sz w:val="18"/>
                <w:szCs w:val="18"/>
              </w:rPr>
            </w:pPr>
            <w:r>
              <w:rPr>
                <w:sz w:val="18"/>
                <w:szCs w:val="18"/>
              </w:rPr>
              <w:t>[6.6; 19.9]</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NormalWeb"/>
              <w:spacing w:before="20" w:after="20" w:line="280" w:lineRule="exact"/>
              <w:jc w:val="center"/>
              <w:rPr>
                <w:kern w:val="24"/>
                <w:sz w:val="18"/>
                <w:szCs w:val="18"/>
              </w:rPr>
            </w:pPr>
          </w:p>
          <w:p w:rsidR="0003793F" w:rsidRDefault="0003793F" w:rsidP="0052750F">
            <w:pPr>
              <w:pStyle w:val="NormalWeb"/>
              <w:spacing w:before="20" w:after="20" w:line="280" w:lineRule="exact"/>
              <w:jc w:val="center"/>
              <w:rPr>
                <w:b/>
                <w:caps/>
                <w:kern w:val="24"/>
                <w:sz w:val="18"/>
                <w:szCs w:val="18"/>
              </w:rPr>
            </w:pPr>
            <w:r>
              <w:rPr>
                <w:kern w:val="24"/>
                <w:sz w:val="18"/>
                <w:szCs w:val="18"/>
              </w:rPr>
              <w:t>35 (32.7%)</w:t>
            </w:r>
          </w:p>
          <w:p w:rsidR="0003793F" w:rsidRDefault="0003793F" w:rsidP="0052750F">
            <w:pPr>
              <w:pStyle w:val="NormalWeb"/>
              <w:spacing w:before="20" w:after="20" w:line="280" w:lineRule="exact"/>
              <w:jc w:val="center"/>
              <w:rPr>
                <w:b/>
                <w:caps/>
                <w:sz w:val="18"/>
                <w:szCs w:val="18"/>
              </w:rPr>
            </w:pPr>
            <w:r>
              <w:rPr>
                <w:kern w:val="24"/>
                <w:sz w:val="18"/>
                <w:szCs w:val="18"/>
              </w:rPr>
              <w:t>[24.0; 42.5]</w:t>
            </w:r>
          </w:p>
        </w:tc>
        <w:tc>
          <w:tcPr>
            <w:tcW w:w="55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NormalWeb"/>
              <w:spacing w:before="20" w:after="20" w:line="280" w:lineRule="exact"/>
              <w:jc w:val="center"/>
              <w:rPr>
                <w:kern w:val="24"/>
                <w:sz w:val="18"/>
                <w:szCs w:val="18"/>
              </w:rPr>
            </w:pPr>
          </w:p>
          <w:p w:rsidR="0003793F" w:rsidRDefault="0003793F" w:rsidP="0052750F">
            <w:pPr>
              <w:pStyle w:val="NormalWeb"/>
              <w:spacing w:before="20" w:after="20" w:line="280" w:lineRule="exact"/>
              <w:jc w:val="center"/>
              <w:rPr>
                <w:b/>
                <w:caps/>
                <w:kern w:val="24"/>
                <w:sz w:val="18"/>
                <w:szCs w:val="18"/>
              </w:rPr>
            </w:pPr>
            <w:r>
              <w:rPr>
                <w:kern w:val="24"/>
                <w:sz w:val="18"/>
                <w:szCs w:val="18"/>
              </w:rPr>
              <w:t>6 (5.6)</w:t>
            </w:r>
          </w:p>
          <w:p w:rsidR="0003793F" w:rsidRDefault="0003793F" w:rsidP="0052750F">
            <w:pPr>
              <w:pStyle w:val="NormalWeb"/>
              <w:spacing w:before="20" w:after="20" w:line="280" w:lineRule="exact"/>
              <w:jc w:val="center"/>
              <w:rPr>
                <w:b/>
                <w:caps/>
                <w:sz w:val="18"/>
                <w:szCs w:val="18"/>
              </w:rPr>
            </w:pPr>
            <w:r>
              <w:rPr>
                <w:kern w:val="24"/>
                <w:sz w:val="18"/>
                <w:szCs w:val="18"/>
              </w:rPr>
              <w:t>[2.1; 11.8]</w:t>
            </w:r>
          </w:p>
        </w:tc>
        <w:tc>
          <w:tcPr>
            <w:tcW w:w="576" w:type="pct"/>
            <w:tcBorders>
              <w:top w:val="single" w:sz="4" w:space="0" w:color="auto"/>
              <w:left w:val="single" w:sz="4" w:space="0" w:color="auto"/>
              <w:bottom w:val="single" w:sz="4" w:space="0" w:color="auto"/>
              <w:right w:val="single" w:sz="4" w:space="0" w:color="auto"/>
            </w:tcBorders>
            <w:vAlign w:val="center"/>
          </w:tcPr>
          <w:p w:rsidR="0003793F" w:rsidRDefault="0003793F" w:rsidP="0052750F">
            <w:pPr>
              <w:pStyle w:val="NormalWeb"/>
              <w:spacing w:before="20" w:after="20" w:line="280" w:lineRule="exact"/>
              <w:jc w:val="center"/>
              <w:rPr>
                <w:kern w:val="24"/>
                <w:sz w:val="18"/>
                <w:szCs w:val="18"/>
              </w:rPr>
            </w:pPr>
          </w:p>
          <w:p w:rsidR="0003793F" w:rsidRDefault="0003793F" w:rsidP="0052750F">
            <w:pPr>
              <w:pStyle w:val="NormalWeb"/>
              <w:spacing w:before="20" w:after="20" w:line="280" w:lineRule="exact"/>
              <w:jc w:val="center"/>
              <w:rPr>
                <w:b/>
                <w:caps/>
                <w:kern w:val="24"/>
                <w:sz w:val="18"/>
                <w:szCs w:val="18"/>
              </w:rPr>
            </w:pPr>
            <w:r>
              <w:rPr>
                <w:kern w:val="24"/>
                <w:sz w:val="18"/>
                <w:szCs w:val="18"/>
              </w:rPr>
              <w:t>13 (13.2%)</w:t>
            </w:r>
          </w:p>
          <w:p w:rsidR="0003793F" w:rsidRDefault="0003793F" w:rsidP="0052750F">
            <w:pPr>
              <w:pStyle w:val="NormalWeb"/>
              <w:spacing w:before="20" w:after="20" w:line="280" w:lineRule="exact"/>
              <w:jc w:val="center"/>
              <w:rPr>
                <w:b/>
                <w:caps/>
                <w:sz w:val="18"/>
                <w:szCs w:val="18"/>
              </w:rPr>
            </w:pPr>
            <w:r>
              <w:rPr>
                <w:kern w:val="24"/>
                <w:sz w:val="18"/>
                <w:szCs w:val="18"/>
              </w:rPr>
              <w:t>[7.4; 22.0]</w:t>
            </w:r>
          </w:p>
        </w:tc>
        <w:tc>
          <w:tcPr>
            <w:tcW w:w="60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37 (50.7%)</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[38.7; 62.6]</w:t>
            </w:r>
          </w:p>
        </w:tc>
        <w:tc>
          <w:tcPr>
            <w:tcW w:w="53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34 (45.3%)</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[33.8; 57.3]</w:t>
            </w:r>
          </w:p>
        </w:tc>
        <w:tc>
          <w:tcPr>
            <w:tcW w:w="537" w:type="pct"/>
            <w:tcBorders>
              <w:top w:val="single" w:sz="4" w:space="0" w:color="auto"/>
              <w:left w:val="single" w:sz="4" w:space="0" w:color="auto"/>
              <w:bottom w:val="single" w:sz="4" w:space="0" w:color="auto"/>
              <w:right w:val="single" w:sz="4" w:space="0" w:color="auto"/>
            </w:tcBorders>
          </w:tcPr>
          <w:p w:rsidR="0003793F" w:rsidRDefault="0003793F" w:rsidP="0052750F">
            <w:pPr>
              <w:pStyle w:val="Paragraph"/>
              <w:spacing w:before="20" w:after="20"/>
              <w:jc w:val="center"/>
              <w:rPr>
                <w:rFonts w:ascii="Times New Roman" w:hAnsi="Times New Roman"/>
                <w:sz w:val="18"/>
                <w:szCs w:val="18"/>
                <w:lang w:val="en-US" w:eastAsia="zh-TW"/>
              </w:rPr>
            </w:pPr>
          </w:p>
          <w:p w:rsidR="0003793F" w:rsidRDefault="0003793F" w:rsidP="0052750F">
            <w:pPr>
              <w:pStyle w:val="Paragraph"/>
              <w:spacing w:before="20" w:after="20"/>
              <w:jc w:val="center"/>
              <w:rPr>
                <w:rFonts w:ascii="Times New Roman" w:hAnsi="Times New Roman"/>
                <w:sz w:val="18"/>
                <w:szCs w:val="18"/>
                <w:lang w:eastAsia="zh-TW"/>
              </w:rPr>
            </w:pPr>
            <w:r>
              <w:rPr>
                <w:rFonts w:ascii="Times New Roman" w:hAnsi="Times New Roman"/>
                <w:sz w:val="18"/>
                <w:szCs w:val="18"/>
                <w:lang w:eastAsia="zh-TW"/>
              </w:rPr>
              <w:t>40 (51.9%)</w:t>
            </w:r>
          </w:p>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lang w:eastAsia="zh-TW"/>
              </w:rPr>
              <w:t>[40.3; 63.5]</w:t>
            </w:r>
          </w:p>
        </w:tc>
      </w:tr>
      <w:tr w:rsidR="0003793F" w:rsidTr="00ED72A1">
        <w:trPr>
          <w:cantSplit/>
        </w:trPr>
        <w:tc>
          <w:tcPr>
            <w:tcW w:w="1076" w:type="pct"/>
            <w:tcBorders>
              <w:top w:val="single" w:sz="4" w:space="0" w:color="auto"/>
              <w:left w:val="single" w:sz="4" w:space="0" w:color="auto"/>
              <w:bottom w:val="single" w:sz="4" w:space="0" w:color="auto"/>
              <w:right w:val="single" w:sz="4" w:space="0" w:color="auto"/>
            </w:tcBorders>
            <w:hideMark/>
          </w:tcPr>
          <w:p w:rsidR="0003793F" w:rsidRDefault="0003793F" w:rsidP="0052750F">
            <w:pPr>
              <w:pStyle w:val="Paragraph"/>
              <w:spacing w:before="20" w:after="20"/>
              <w:rPr>
                <w:rFonts w:ascii="Times New Roman" w:hAnsi="Times New Roman"/>
                <w:sz w:val="18"/>
                <w:szCs w:val="18"/>
                <w:lang w:val="en-US"/>
              </w:rPr>
            </w:pPr>
            <w:r>
              <w:rPr>
                <w:rFonts w:ascii="Times New Roman" w:hAnsi="Times New Roman"/>
                <w:sz w:val="18"/>
                <w:szCs w:val="18"/>
              </w:rPr>
              <w:t>Clinical Response</w:t>
            </w:r>
            <w:r>
              <w:rPr>
                <w:rFonts w:ascii="Times New Roman" w:hAnsi="Times New Roman"/>
                <w:sz w:val="18"/>
                <w:szCs w:val="18"/>
                <w:vertAlign w:val="superscript"/>
              </w:rPr>
              <w:t>5</w:t>
            </w:r>
          </w:p>
        </w:tc>
        <w:tc>
          <w:tcPr>
            <w:tcW w:w="55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79 (79.8%)</w:t>
            </w:r>
          </w:p>
        </w:tc>
        <w:tc>
          <w:tcPr>
            <w:tcW w:w="55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89 (88.1%)</w:t>
            </w:r>
          </w:p>
        </w:tc>
        <w:tc>
          <w:tcPr>
            <w:tcW w:w="55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69 (67.6%)</w:t>
            </w:r>
          </w:p>
        </w:tc>
        <w:tc>
          <w:tcPr>
            <w:tcW w:w="576"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65 (71.4%)</w:t>
            </w:r>
          </w:p>
        </w:tc>
        <w:tc>
          <w:tcPr>
            <w:tcW w:w="60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67 (91.8%)</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71 (94.7%)</w:t>
            </w:r>
          </w:p>
        </w:tc>
        <w:tc>
          <w:tcPr>
            <w:tcW w:w="537" w:type="pct"/>
            <w:tcBorders>
              <w:top w:val="single" w:sz="4" w:space="0" w:color="auto"/>
              <w:left w:val="single" w:sz="4" w:space="0" w:color="auto"/>
              <w:bottom w:val="single" w:sz="4" w:space="0" w:color="auto"/>
              <w:right w:val="single" w:sz="4" w:space="0" w:color="auto"/>
            </w:tcBorders>
            <w:vAlign w:val="center"/>
            <w:hideMark/>
          </w:tcPr>
          <w:p w:rsidR="0003793F" w:rsidRDefault="0003793F" w:rsidP="0052750F">
            <w:pPr>
              <w:pStyle w:val="Paragraph"/>
              <w:spacing w:before="20" w:after="20"/>
              <w:jc w:val="center"/>
              <w:rPr>
                <w:rFonts w:ascii="Times New Roman" w:hAnsi="Times New Roman"/>
                <w:sz w:val="18"/>
                <w:szCs w:val="18"/>
                <w:lang w:val="en-US"/>
              </w:rPr>
            </w:pPr>
            <w:r>
              <w:rPr>
                <w:rFonts w:ascii="Times New Roman" w:hAnsi="Times New Roman"/>
                <w:sz w:val="18"/>
                <w:szCs w:val="18"/>
              </w:rPr>
              <w:t>69 (89.6%)</w:t>
            </w:r>
          </w:p>
        </w:tc>
      </w:tr>
    </w:tbl>
    <w:p w:rsidR="0003793F" w:rsidRDefault="0003793F" w:rsidP="0003793F">
      <w:pPr>
        <w:autoSpaceDE w:val="0"/>
        <w:autoSpaceDN w:val="0"/>
        <w:adjustRightInd w:val="0"/>
        <w:rPr>
          <w:rFonts w:eastAsia="SimSun"/>
          <w:b/>
          <w:sz w:val="20"/>
          <w:szCs w:val="20"/>
          <w:lang w:val="en-US"/>
        </w:rPr>
      </w:pPr>
    </w:p>
    <w:p w:rsidR="0003793F" w:rsidRDefault="0003793F" w:rsidP="0003793F">
      <w:pPr>
        <w:autoSpaceDE w:val="0"/>
        <w:autoSpaceDN w:val="0"/>
        <w:adjustRightInd w:val="0"/>
        <w:rPr>
          <w:sz w:val="20"/>
          <w:szCs w:val="20"/>
        </w:rPr>
      </w:pPr>
      <w:r>
        <w:rPr>
          <w:b/>
          <w:sz w:val="20"/>
          <w:szCs w:val="20"/>
        </w:rPr>
        <w:t>Key to abbreviations (Table 4)</w:t>
      </w:r>
      <w:r>
        <w:rPr>
          <w:sz w:val="20"/>
          <w:szCs w:val="20"/>
        </w:rPr>
        <w:t xml:space="preserve">: T: </w:t>
      </w:r>
      <w:proofErr w:type="spellStart"/>
      <w:r w:rsidR="0010680F">
        <w:rPr>
          <w:sz w:val="20"/>
          <w:szCs w:val="20"/>
        </w:rPr>
        <w:t>trastuzumab</w:t>
      </w:r>
      <w:proofErr w:type="spellEnd"/>
      <w:r>
        <w:rPr>
          <w:sz w:val="20"/>
          <w:szCs w:val="20"/>
        </w:rPr>
        <w:t xml:space="preserve">; D: docetaxel; </w:t>
      </w:r>
      <w:proofErr w:type="spellStart"/>
      <w:r>
        <w:rPr>
          <w:sz w:val="20"/>
          <w:szCs w:val="20"/>
        </w:rPr>
        <w:t>Ptz</w:t>
      </w:r>
      <w:proofErr w:type="spellEnd"/>
      <w:r>
        <w:rPr>
          <w:sz w:val="20"/>
          <w:szCs w:val="20"/>
        </w:rPr>
        <w:t>: P</w:t>
      </w:r>
      <w:r w:rsidR="00901AD7">
        <w:rPr>
          <w:sz w:val="20"/>
          <w:szCs w:val="20"/>
        </w:rPr>
        <w:t>ERJETA</w:t>
      </w:r>
      <w:r>
        <w:rPr>
          <w:sz w:val="20"/>
          <w:szCs w:val="20"/>
        </w:rPr>
        <w:t xml:space="preserve">; FEC: 5-fluorouracil, </w:t>
      </w:r>
      <w:proofErr w:type="spellStart"/>
      <w:r>
        <w:rPr>
          <w:sz w:val="20"/>
          <w:szCs w:val="20"/>
        </w:rPr>
        <w:t>epirubicin</w:t>
      </w:r>
      <w:proofErr w:type="spellEnd"/>
      <w:r>
        <w:rPr>
          <w:sz w:val="20"/>
          <w:szCs w:val="20"/>
        </w:rPr>
        <w:t xml:space="preserve">, cyclophosphamide; TCH: docetaxel, carboplatin and </w:t>
      </w:r>
      <w:proofErr w:type="spellStart"/>
      <w:r>
        <w:rPr>
          <w:sz w:val="20"/>
          <w:szCs w:val="20"/>
        </w:rPr>
        <w:t>trastuzumab</w:t>
      </w:r>
      <w:proofErr w:type="spellEnd"/>
      <w:r>
        <w:rPr>
          <w:sz w:val="20"/>
          <w:szCs w:val="20"/>
        </w:rPr>
        <w:t>.</w:t>
      </w:r>
    </w:p>
    <w:p w:rsidR="0003793F" w:rsidRPr="009244B2" w:rsidRDefault="009244B2" w:rsidP="0003793F">
      <w:pPr>
        <w:autoSpaceDE w:val="0"/>
        <w:autoSpaceDN w:val="0"/>
        <w:adjustRightInd w:val="0"/>
        <w:rPr>
          <w:sz w:val="20"/>
          <w:szCs w:val="20"/>
        </w:rPr>
      </w:pPr>
      <w:r>
        <w:rPr>
          <w:sz w:val="20"/>
          <w:szCs w:val="20"/>
        </w:rPr>
        <w:t xml:space="preserve">* </w:t>
      </w:r>
      <w:proofErr w:type="gramStart"/>
      <w:r>
        <w:rPr>
          <w:sz w:val="20"/>
          <w:szCs w:val="20"/>
        </w:rPr>
        <w:t>baseline</w:t>
      </w:r>
      <w:proofErr w:type="gramEnd"/>
      <w:r>
        <w:rPr>
          <w:sz w:val="20"/>
          <w:szCs w:val="20"/>
        </w:rPr>
        <w:t xml:space="preserve"> lymph node status was determined histologically in &lt;</w:t>
      </w:r>
      <w:r>
        <w:rPr>
          <w:sz w:val="20"/>
          <w:szCs w:val="20"/>
          <w:u w:val="single"/>
        </w:rPr>
        <w:t>2 % of patients</w:t>
      </w:r>
    </w:p>
    <w:p w:rsidR="0003793F" w:rsidRDefault="0003793F" w:rsidP="0003793F">
      <w:pPr>
        <w:autoSpaceDE w:val="0"/>
        <w:autoSpaceDN w:val="0"/>
        <w:adjustRightInd w:val="0"/>
        <w:rPr>
          <w:sz w:val="20"/>
          <w:szCs w:val="20"/>
          <w:lang w:eastAsia="zh-CN"/>
        </w:rPr>
      </w:pPr>
      <w:r>
        <w:rPr>
          <w:sz w:val="20"/>
          <w:szCs w:val="20"/>
        </w:rPr>
        <w:t>1. 95% CI for one sample binomial using Pearson-</w:t>
      </w:r>
      <w:proofErr w:type="spellStart"/>
      <w:r>
        <w:rPr>
          <w:sz w:val="20"/>
          <w:szCs w:val="20"/>
        </w:rPr>
        <w:t>Clopper</w:t>
      </w:r>
      <w:proofErr w:type="spellEnd"/>
      <w:r>
        <w:rPr>
          <w:sz w:val="20"/>
          <w:szCs w:val="20"/>
        </w:rPr>
        <w:t xml:space="preserve"> method.</w:t>
      </w:r>
    </w:p>
    <w:p w:rsidR="0003793F" w:rsidRPr="0003793F" w:rsidRDefault="0003793F" w:rsidP="0003793F">
      <w:pPr>
        <w:autoSpaceDE w:val="0"/>
        <w:autoSpaceDN w:val="0"/>
        <w:adjustRightInd w:val="0"/>
        <w:rPr>
          <w:sz w:val="20"/>
          <w:szCs w:val="20"/>
        </w:rPr>
      </w:pPr>
      <w:r w:rsidRPr="0003793F">
        <w:rPr>
          <w:sz w:val="20"/>
          <w:szCs w:val="20"/>
        </w:rPr>
        <w:t xml:space="preserve">2. Treatment </w:t>
      </w:r>
      <w:proofErr w:type="spellStart"/>
      <w:r w:rsidRPr="0003793F">
        <w:rPr>
          <w:sz w:val="20"/>
          <w:szCs w:val="20"/>
        </w:rPr>
        <w:t>Ptz+T+D</w:t>
      </w:r>
      <w:proofErr w:type="spellEnd"/>
      <w:r w:rsidRPr="0003793F">
        <w:rPr>
          <w:sz w:val="20"/>
          <w:szCs w:val="20"/>
        </w:rPr>
        <w:t xml:space="preserve"> and</w:t>
      </w:r>
      <w:r w:rsidRPr="0003793F">
        <w:rPr>
          <w:strike/>
          <w:sz w:val="20"/>
          <w:szCs w:val="20"/>
        </w:rPr>
        <w:t xml:space="preserve"> </w:t>
      </w:r>
      <w:proofErr w:type="spellStart"/>
      <w:r w:rsidRPr="0003793F">
        <w:rPr>
          <w:sz w:val="20"/>
          <w:szCs w:val="20"/>
        </w:rPr>
        <w:t>Ptz+T</w:t>
      </w:r>
      <w:proofErr w:type="spellEnd"/>
      <w:r w:rsidRPr="0003793F">
        <w:rPr>
          <w:sz w:val="20"/>
          <w:szCs w:val="20"/>
        </w:rPr>
        <w:t xml:space="preserve"> are compared with T+D, while </w:t>
      </w:r>
      <w:proofErr w:type="spellStart"/>
      <w:r w:rsidRPr="0003793F">
        <w:rPr>
          <w:sz w:val="20"/>
          <w:szCs w:val="20"/>
        </w:rPr>
        <w:t>Ptz+D</w:t>
      </w:r>
      <w:proofErr w:type="spellEnd"/>
      <w:r w:rsidRPr="0003793F">
        <w:rPr>
          <w:sz w:val="20"/>
          <w:szCs w:val="20"/>
        </w:rPr>
        <w:t xml:space="preserve"> is compared </w:t>
      </w:r>
      <w:proofErr w:type="gramStart"/>
      <w:r w:rsidRPr="0003793F">
        <w:rPr>
          <w:sz w:val="20"/>
          <w:szCs w:val="20"/>
        </w:rPr>
        <w:t xml:space="preserve">with  </w:t>
      </w:r>
      <w:proofErr w:type="spellStart"/>
      <w:r w:rsidRPr="0003793F">
        <w:rPr>
          <w:sz w:val="20"/>
          <w:szCs w:val="20"/>
        </w:rPr>
        <w:t>Ptz</w:t>
      </w:r>
      <w:proofErr w:type="gramEnd"/>
      <w:r w:rsidRPr="0003793F">
        <w:rPr>
          <w:sz w:val="20"/>
          <w:szCs w:val="20"/>
        </w:rPr>
        <w:t>+T+D</w:t>
      </w:r>
      <w:proofErr w:type="spellEnd"/>
    </w:p>
    <w:p w:rsidR="0003793F" w:rsidRDefault="0003793F" w:rsidP="0003793F">
      <w:pPr>
        <w:autoSpaceDE w:val="0"/>
        <w:autoSpaceDN w:val="0"/>
        <w:adjustRightInd w:val="0"/>
        <w:rPr>
          <w:sz w:val="20"/>
          <w:szCs w:val="20"/>
        </w:rPr>
      </w:pPr>
      <w:r>
        <w:rPr>
          <w:sz w:val="20"/>
          <w:szCs w:val="20"/>
        </w:rPr>
        <w:t>3. Approximate 95% CI for difference of two rates using Hauck-Anderson method.</w:t>
      </w:r>
    </w:p>
    <w:p w:rsidR="0003793F" w:rsidRDefault="0003793F" w:rsidP="0003793F">
      <w:pPr>
        <w:rPr>
          <w:rFonts w:eastAsia="SimSun"/>
          <w:strike/>
          <w:sz w:val="20"/>
          <w:szCs w:val="20"/>
        </w:rPr>
      </w:pPr>
      <w:r>
        <w:rPr>
          <w:sz w:val="20"/>
          <w:szCs w:val="20"/>
        </w:rPr>
        <w:t>4. p-value from Cochran-Mantel-</w:t>
      </w:r>
      <w:proofErr w:type="spellStart"/>
      <w:proofErr w:type="gramStart"/>
      <w:r>
        <w:rPr>
          <w:sz w:val="20"/>
          <w:szCs w:val="20"/>
        </w:rPr>
        <w:t>Haenszel</w:t>
      </w:r>
      <w:proofErr w:type="spellEnd"/>
      <w:r>
        <w:rPr>
          <w:sz w:val="20"/>
          <w:szCs w:val="20"/>
        </w:rPr>
        <w:t xml:space="preserve"> </w:t>
      </w:r>
      <w:r>
        <w:rPr>
          <w:strike/>
          <w:color w:val="0000FF"/>
          <w:sz w:val="20"/>
          <w:szCs w:val="20"/>
        </w:rPr>
        <w:t xml:space="preserve"> </w:t>
      </w:r>
      <w:r>
        <w:rPr>
          <w:sz w:val="20"/>
          <w:szCs w:val="20"/>
        </w:rPr>
        <w:t>test</w:t>
      </w:r>
      <w:proofErr w:type="gramEnd"/>
      <w:r>
        <w:rPr>
          <w:sz w:val="20"/>
          <w:szCs w:val="20"/>
        </w:rPr>
        <w:t xml:space="preserve">, with </w:t>
      </w:r>
      <w:proofErr w:type="spellStart"/>
      <w:r>
        <w:rPr>
          <w:sz w:val="20"/>
          <w:szCs w:val="20"/>
        </w:rPr>
        <w:t>Simes</w:t>
      </w:r>
      <w:proofErr w:type="spellEnd"/>
      <w:r>
        <w:rPr>
          <w:sz w:val="20"/>
          <w:szCs w:val="20"/>
        </w:rPr>
        <w:t xml:space="preserve"> multiplicity adjustment </w:t>
      </w:r>
    </w:p>
    <w:p w:rsidR="0003793F" w:rsidRDefault="0003793F" w:rsidP="0003793F">
      <w:pPr>
        <w:rPr>
          <w:sz w:val="20"/>
          <w:szCs w:val="20"/>
          <w:highlight w:val="yellow"/>
        </w:rPr>
      </w:pPr>
      <w:r>
        <w:rPr>
          <w:sz w:val="20"/>
          <w:szCs w:val="20"/>
        </w:rPr>
        <w:t>5. Clinical response represents patients with a best overall response of CR or PR during the neoadjuvant period (in the primary breast lesion)</w:t>
      </w:r>
      <w:r>
        <w:rPr>
          <w:sz w:val="20"/>
          <w:szCs w:val="20"/>
          <w:highlight w:val="yellow"/>
        </w:rPr>
        <w:t xml:space="preserve"> </w:t>
      </w:r>
    </w:p>
    <w:p w:rsidR="00185EA3" w:rsidRPr="008130BD" w:rsidRDefault="00185EA3" w:rsidP="00410126">
      <w:pPr>
        <w:pStyle w:val="Heading3"/>
      </w:pPr>
      <w:r w:rsidRPr="008130BD">
        <w:t xml:space="preserve">Metastatic Breast Cancer </w:t>
      </w:r>
    </w:p>
    <w:p w:rsidR="00185EA3" w:rsidRPr="008130BD" w:rsidRDefault="00123310" w:rsidP="007E03C2">
      <w:pPr>
        <w:pStyle w:val="Heading3"/>
      </w:pPr>
      <w:r>
        <w:t>PERJETA</w:t>
      </w:r>
      <w:r w:rsidR="00185EA3" w:rsidRPr="00571EB5">
        <w:t xml:space="preserve"> in combination with </w:t>
      </w:r>
      <w:proofErr w:type="spellStart"/>
      <w:r w:rsidR="007B49E5">
        <w:t>trastuzumab</w:t>
      </w:r>
      <w:proofErr w:type="spellEnd"/>
      <w:r w:rsidR="007B49E5" w:rsidRPr="00571EB5">
        <w:t xml:space="preserve"> </w:t>
      </w:r>
      <w:r w:rsidR="00185EA3" w:rsidRPr="00571EB5">
        <w:t>and docetaxel</w:t>
      </w:r>
    </w:p>
    <w:p w:rsidR="0016627F" w:rsidRPr="008130BD" w:rsidRDefault="0016627F" w:rsidP="00DE3CDE">
      <w:pPr>
        <w:pStyle w:val="Heading4"/>
      </w:pPr>
      <w:r w:rsidRPr="00571EB5">
        <w:t>WO20698/TOC4129g (CLEOPATRA)</w:t>
      </w:r>
    </w:p>
    <w:p w:rsidR="0022375A" w:rsidRPr="008130BD" w:rsidRDefault="0016627F" w:rsidP="00397C6E">
      <w:pPr>
        <w:spacing w:after="120"/>
        <w:rPr>
          <w:color w:val="000000"/>
          <w:lang w:val="en-US"/>
        </w:rPr>
      </w:pPr>
      <w:r w:rsidRPr="008130BD">
        <w:rPr>
          <w:color w:val="000000"/>
          <w:lang w:val="en-US"/>
        </w:rPr>
        <w:t xml:space="preserve">CLEOPATRA is a </w:t>
      </w:r>
      <w:proofErr w:type="spellStart"/>
      <w:r w:rsidRPr="008130BD">
        <w:rPr>
          <w:color w:val="000000"/>
          <w:lang w:val="en-US"/>
        </w:rPr>
        <w:t>multicentre</w:t>
      </w:r>
      <w:proofErr w:type="spellEnd"/>
      <w:r w:rsidRPr="008130BD">
        <w:rPr>
          <w:color w:val="000000"/>
          <w:lang w:val="en-US"/>
        </w:rPr>
        <w:t xml:space="preserve">, randomized, double-blind, placebo-controlled phase III clinical trial conducted in 808 patients with HER2-positive metastatic </w:t>
      </w:r>
      <w:r w:rsidR="00102C7A">
        <w:rPr>
          <w:color w:val="000000"/>
          <w:lang w:val="en-US"/>
        </w:rPr>
        <w:t xml:space="preserve">(n=789) </w:t>
      </w:r>
      <w:r w:rsidRPr="008130BD">
        <w:rPr>
          <w:color w:val="000000"/>
          <w:lang w:val="en-US"/>
        </w:rPr>
        <w:t xml:space="preserve">or locally recurrent </w:t>
      </w:r>
      <w:proofErr w:type="spellStart"/>
      <w:r w:rsidRPr="008130BD">
        <w:rPr>
          <w:color w:val="000000"/>
          <w:lang w:val="en-US"/>
        </w:rPr>
        <w:t>unresectable</w:t>
      </w:r>
      <w:proofErr w:type="spellEnd"/>
      <w:r w:rsidRPr="008130BD">
        <w:rPr>
          <w:color w:val="000000"/>
          <w:lang w:val="en-US"/>
        </w:rPr>
        <w:t xml:space="preserve"> breast cancer</w:t>
      </w:r>
      <w:r w:rsidR="00FB0F82">
        <w:rPr>
          <w:color w:val="000000"/>
          <w:lang w:val="en-US"/>
        </w:rPr>
        <w:t xml:space="preserve"> </w:t>
      </w:r>
      <w:r w:rsidR="00102C7A">
        <w:rPr>
          <w:color w:val="000000"/>
          <w:lang w:val="en-US"/>
        </w:rPr>
        <w:t xml:space="preserve">(n=19) </w:t>
      </w:r>
      <w:r w:rsidR="00FB0F82" w:rsidRPr="00FB0F82">
        <w:rPr>
          <w:color w:val="000000"/>
          <w:lang w:val="en-US"/>
        </w:rPr>
        <w:t>who have not received previous anti-HER2 therapy or chemotherapy for their metastatic disease</w:t>
      </w:r>
      <w:r w:rsidRPr="008130BD">
        <w:rPr>
          <w:color w:val="000000"/>
          <w:lang w:val="en-US"/>
        </w:rPr>
        <w:t xml:space="preserve">. </w:t>
      </w:r>
      <w:r w:rsidR="0022375A" w:rsidRPr="008130BD">
        <w:rPr>
          <w:color w:val="000000"/>
          <w:lang w:val="en-US"/>
        </w:rPr>
        <w:t xml:space="preserve">Breast </w:t>
      </w:r>
      <w:proofErr w:type="spellStart"/>
      <w:r w:rsidR="0022375A" w:rsidRPr="008130BD">
        <w:rPr>
          <w:color w:val="000000"/>
          <w:lang w:val="en-US"/>
        </w:rPr>
        <w:t>tumour</w:t>
      </w:r>
      <w:proofErr w:type="spellEnd"/>
      <w:r w:rsidR="0022375A" w:rsidRPr="008130BD">
        <w:rPr>
          <w:color w:val="000000"/>
          <w:lang w:val="en-US"/>
        </w:rPr>
        <w:t xml:space="preserve"> specimens were required to show HER2 overexpression defined as a score of 3+ by IHC or ISH amplification ratio ≥ 2.0 as determined at a central laboratory. Patients were randomized 1:1 to receive placebo </w:t>
      </w:r>
      <w:r w:rsidR="00E724BF" w:rsidRPr="008130BD">
        <w:rPr>
          <w:color w:val="000000"/>
          <w:lang w:val="en-US"/>
        </w:rPr>
        <w:t>+</w:t>
      </w:r>
      <w:r w:rsidR="0022375A" w:rsidRPr="008130BD">
        <w:rPr>
          <w:color w:val="000000"/>
          <w:lang w:val="en-US"/>
        </w:rPr>
        <w:t xml:space="preserve"> </w:t>
      </w:r>
      <w:proofErr w:type="spellStart"/>
      <w:r w:rsidR="007B49E5">
        <w:rPr>
          <w:color w:val="000000"/>
          <w:lang w:val="en-US"/>
        </w:rPr>
        <w:t>trastuzumab</w:t>
      </w:r>
      <w:proofErr w:type="spellEnd"/>
      <w:r w:rsidR="007B49E5" w:rsidRPr="008130BD">
        <w:rPr>
          <w:color w:val="000000"/>
          <w:lang w:val="en-US"/>
        </w:rPr>
        <w:t xml:space="preserve"> </w:t>
      </w:r>
      <w:r w:rsidR="0022375A" w:rsidRPr="008130BD">
        <w:rPr>
          <w:color w:val="000000"/>
          <w:lang w:val="en-US"/>
        </w:rPr>
        <w:t xml:space="preserve">and docetaxel or </w:t>
      </w:r>
      <w:r w:rsidR="00123310">
        <w:rPr>
          <w:color w:val="000000"/>
          <w:lang w:val="en-US"/>
        </w:rPr>
        <w:t>PERJETA</w:t>
      </w:r>
      <w:r w:rsidR="0022375A" w:rsidRPr="008130BD">
        <w:rPr>
          <w:color w:val="000000"/>
          <w:lang w:val="en-US"/>
        </w:rPr>
        <w:t xml:space="preserve"> </w:t>
      </w:r>
      <w:r w:rsidR="00E724BF" w:rsidRPr="008130BD">
        <w:rPr>
          <w:color w:val="000000"/>
          <w:lang w:val="en-US"/>
        </w:rPr>
        <w:t>+</w:t>
      </w:r>
      <w:r w:rsidR="0022375A" w:rsidRPr="008130BD">
        <w:rPr>
          <w:color w:val="000000"/>
          <w:lang w:val="en-US"/>
        </w:rPr>
        <w:t xml:space="preserve"> </w:t>
      </w:r>
      <w:proofErr w:type="spellStart"/>
      <w:r w:rsidR="007B49E5">
        <w:rPr>
          <w:color w:val="000000"/>
          <w:lang w:val="en-US"/>
        </w:rPr>
        <w:t>trastuzumab</w:t>
      </w:r>
      <w:proofErr w:type="spellEnd"/>
      <w:r w:rsidR="007B49E5" w:rsidRPr="008130BD">
        <w:rPr>
          <w:color w:val="000000"/>
          <w:lang w:val="en-US"/>
        </w:rPr>
        <w:t xml:space="preserve"> </w:t>
      </w:r>
      <w:r w:rsidR="0022375A" w:rsidRPr="008130BD">
        <w:rPr>
          <w:color w:val="000000"/>
          <w:lang w:val="en-US"/>
        </w:rPr>
        <w:t xml:space="preserve">and docetaxel. Randomization was stratified by prior treatment status (de novo or prior adjuvant/neoadjuvant therapy) and geographic region (Europe, North America, South America and </w:t>
      </w:r>
      <w:smartTag w:uri="urn:schemas-microsoft-com:office:smarttags" w:element="country-region">
        <w:r w:rsidR="0022375A" w:rsidRPr="008130BD">
          <w:rPr>
            <w:color w:val="000000"/>
            <w:lang w:val="en-US"/>
          </w:rPr>
          <w:t>Asia</w:t>
        </w:r>
      </w:smartTag>
      <w:r w:rsidR="0022375A" w:rsidRPr="008130BD">
        <w:rPr>
          <w:color w:val="000000"/>
          <w:lang w:val="en-US"/>
        </w:rPr>
        <w:t>). Patients with prior adjuvant or neoadjuvant therapy were required to have a disease free interval of at least 12 months before enrolment into the trial.</w:t>
      </w:r>
    </w:p>
    <w:p w:rsidR="0022375A" w:rsidRPr="008130BD" w:rsidRDefault="00123310" w:rsidP="00397C6E">
      <w:pPr>
        <w:adjustRightInd w:val="0"/>
        <w:spacing w:before="100" w:beforeAutospacing="1" w:after="170"/>
        <w:rPr>
          <w:color w:val="000000"/>
          <w:lang w:val="en-US"/>
        </w:rPr>
      </w:pPr>
      <w:r>
        <w:rPr>
          <w:color w:val="000000"/>
          <w:lang w:val="en-US"/>
        </w:rPr>
        <w:lastRenderedPageBreak/>
        <w:t>PERJETA</w:t>
      </w:r>
      <w:r w:rsidR="0022375A" w:rsidRPr="008130BD">
        <w:rPr>
          <w:color w:val="000000"/>
          <w:lang w:val="en-US"/>
        </w:rPr>
        <w:t xml:space="preserve"> was given intravenously as an initial dose of 840 mg, followed every three weeks thereafter by a dose of 420 mg. </w:t>
      </w:r>
      <w:proofErr w:type="spellStart"/>
      <w:r w:rsidR="007B49E5">
        <w:rPr>
          <w:color w:val="000000"/>
          <w:lang w:val="en-US"/>
        </w:rPr>
        <w:t>Trastuzumab</w:t>
      </w:r>
      <w:proofErr w:type="spellEnd"/>
      <w:r w:rsidR="007B49E5">
        <w:rPr>
          <w:color w:val="000000"/>
          <w:lang w:val="en-US"/>
        </w:rPr>
        <w:t xml:space="preserve"> </w:t>
      </w:r>
      <w:r w:rsidR="0022375A" w:rsidRPr="008130BD">
        <w:rPr>
          <w:color w:val="000000"/>
          <w:lang w:val="en-US"/>
        </w:rPr>
        <w:t xml:space="preserve">was given intravenously as an initial dose of 8 mg/kg, followed every three weeks thereafter by 6 mg/kg. Patients were treated with </w:t>
      </w:r>
      <w:r>
        <w:rPr>
          <w:color w:val="000000"/>
          <w:lang w:val="en-US"/>
        </w:rPr>
        <w:t>PERJETA</w:t>
      </w:r>
      <w:r w:rsidR="00E724BF" w:rsidRPr="008130BD">
        <w:rPr>
          <w:color w:val="000000"/>
          <w:lang w:val="en-US"/>
        </w:rPr>
        <w:t xml:space="preserve"> </w:t>
      </w:r>
      <w:r w:rsidR="0022375A" w:rsidRPr="008130BD">
        <w:rPr>
          <w:color w:val="000000"/>
          <w:lang w:val="en-US"/>
        </w:rPr>
        <w:t xml:space="preserve">and </w:t>
      </w:r>
      <w:proofErr w:type="spellStart"/>
      <w:r w:rsidR="007B49E5">
        <w:rPr>
          <w:color w:val="000000"/>
          <w:lang w:val="en-US"/>
        </w:rPr>
        <w:t>trastuzumab</w:t>
      </w:r>
      <w:proofErr w:type="spellEnd"/>
      <w:r w:rsidR="007B49E5">
        <w:rPr>
          <w:color w:val="000000"/>
          <w:lang w:val="en-US"/>
        </w:rPr>
        <w:t xml:space="preserve"> </w:t>
      </w:r>
      <w:r w:rsidR="0022375A" w:rsidRPr="008130BD">
        <w:rPr>
          <w:color w:val="000000"/>
          <w:lang w:val="en-US"/>
        </w:rPr>
        <w:t>until disease progression, withdrawal of consent or unmanageable toxicity. Docetaxel was given as an initial dose of 75 mg/m</w:t>
      </w:r>
      <w:r w:rsidR="0022375A" w:rsidRPr="008130BD">
        <w:rPr>
          <w:color w:val="000000"/>
          <w:vertAlign w:val="superscript"/>
          <w:lang w:val="en-US"/>
        </w:rPr>
        <w:t>2</w:t>
      </w:r>
      <w:r w:rsidR="0022375A" w:rsidRPr="008130BD">
        <w:rPr>
          <w:color w:val="000000"/>
          <w:lang w:val="en-US"/>
        </w:rPr>
        <w:t xml:space="preserve"> IV infusion every 3 weeks for at least 6 cycles. The dose of docetaxel could be escalated to 100 mg/m</w:t>
      </w:r>
      <w:r w:rsidR="0022375A" w:rsidRPr="008130BD">
        <w:rPr>
          <w:color w:val="000000"/>
          <w:vertAlign w:val="superscript"/>
          <w:lang w:val="en-US"/>
        </w:rPr>
        <w:t>2</w:t>
      </w:r>
      <w:r w:rsidR="0022375A" w:rsidRPr="008130BD">
        <w:rPr>
          <w:color w:val="000000"/>
          <w:lang w:val="en-US"/>
        </w:rPr>
        <w:t xml:space="preserve"> at the investigator’s discretion if the initial dose was well tolerated. </w:t>
      </w:r>
    </w:p>
    <w:p w:rsidR="0022375A" w:rsidRPr="008130BD" w:rsidRDefault="0022375A" w:rsidP="007F2992">
      <w:pPr>
        <w:adjustRightInd w:val="0"/>
        <w:spacing w:before="100" w:beforeAutospacing="1" w:after="170"/>
        <w:rPr>
          <w:color w:val="000000"/>
        </w:rPr>
      </w:pPr>
      <w:r w:rsidRPr="008130BD">
        <w:rPr>
          <w:color w:val="000000"/>
          <w:lang w:val="en-US"/>
        </w:rPr>
        <w:t xml:space="preserve">At the time of the primary analysis, the mean number of cycles of study treatment received was 16.2 in the placebo treatment group and 19.9 in the </w:t>
      </w:r>
      <w:r w:rsidR="00123310">
        <w:rPr>
          <w:color w:val="000000"/>
          <w:lang w:val="en-US"/>
        </w:rPr>
        <w:t>PERJETA</w:t>
      </w:r>
      <w:r w:rsidR="009B1D72" w:rsidRPr="008130BD">
        <w:rPr>
          <w:color w:val="000000"/>
          <w:lang w:val="en-US"/>
        </w:rPr>
        <w:t xml:space="preserve"> </w:t>
      </w:r>
      <w:r w:rsidRPr="008130BD">
        <w:rPr>
          <w:color w:val="000000"/>
          <w:lang w:val="en-US"/>
        </w:rPr>
        <w:t>treated group.</w:t>
      </w:r>
    </w:p>
    <w:p w:rsidR="0022375A" w:rsidRPr="008130BD" w:rsidRDefault="0022375A" w:rsidP="0072366E">
      <w:pPr>
        <w:pStyle w:val="Paragraph"/>
        <w:jc w:val="both"/>
        <w:rPr>
          <w:rFonts w:ascii="Times New Roman" w:eastAsia="PMingLiU" w:hAnsi="Times New Roman"/>
          <w:color w:val="000000"/>
          <w:szCs w:val="22"/>
          <w:lang w:val="en-US" w:eastAsia="zh-TW"/>
        </w:rPr>
      </w:pPr>
      <w:r w:rsidRPr="008130BD">
        <w:rPr>
          <w:rFonts w:ascii="Times New Roman" w:eastAsia="PMingLiU" w:hAnsi="Times New Roman"/>
          <w:color w:val="000000"/>
          <w:szCs w:val="22"/>
          <w:lang w:val="en-US" w:eastAsia="zh-TW"/>
        </w:rPr>
        <w:t xml:space="preserve">The primary endpoint of the study was progression-free survival (PFS) as assessed by an independent review facility (IRF) and defined as the time from the date of randomization to the date of disease progression or death (from any cause) if the death occurred within 18 weeks of the last </w:t>
      </w:r>
      <w:proofErr w:type="spellStart"/>
      <w:r w:rsidRPr="008130BD">
        <w:rPr>
          <w:rFonts w:ascii="Times New Roman" w:eastAsia="PMingLiU" w:hAnsi="Times New Roman"/>
          <w:color w:val="000000"/>
          <w:szCs w:val="22"/>
          <w:lang w:val="en-US" w:eastAsia="zh-TW"/>
        </w:rPr>
        <w:t>tumour</w:t>
      </w:r>
      <w:proofErr w:type="spellEnd"/>
      <w:r w:rsidRPr="008130BD">
        <w:rPr>
          <w:rFonts w:ascii="Times New Roman" w:eastAsia="PMingLiU" w:hAnsi="Times New Roman"/>
          <w:color w:val="000000"/>
          <w:szCs w:val="22"/>
          <w:lang w:val="en-US" w:eastAsia="zh-TW"/>
        </w:rPr>
        <w:t xml:space="preserve"> assessment. Secondary efficacy endpoints were overall survival (OS), PFS (investigator-assessed), </w:t>
      </w:r>
      <w:r w:rsidR="000C5411">
        <w:rPr>
          <w:rFonts w:ascii="Times New Roman" w:eastAsia="PMingLiU" w:hAnsi="Times New Roman"/>
          <w:color w:val="000000"/>
          <w:szCs w:val="22"/>
          <w:lang w:val="en-US" w:eastAsia="zh-TW"/>
        </w:rPr>
        <w:t xml:space="preserve">objective </w:t>
      </w:r>
      <w:r w:rsidR="000C5411" w:rsidRPr="008130BD">
        <w:rPr>
          <w:rFonts w:ascii="Times New Roman" w:eastAsia="PMingLiU" w:hAnsi="Times New Roman"/>
          <w:color w:val="000000"/>
          <w:szCs w:val="22"/>
          <w:lang w:val="en-US" w:eastAsia="zh-TW"/>
        </w:rPr>
        <w:t>response</w:t>
      </w:r>
      <w:r w:rsidRPr="008130BD">
        <w:rPr>
          <w:rFonts w:ascii="Times New Roman" w:eastAsia="PMingLiU" w:hAnsi="Times New Roman"/>
          <w:color w:val="000000"/>
          <w:szCs w:val="22"/>
          <w:lang w:val="en-US" w:eastAsia="zh-TW"/>
        </w:rPr>
        <w:t xml:space="preserve"> rate (ORR), duration of response, and time to symptom progression according to the FACT</w:t>
      </w:r>
      <w:r w:rsidR="006D562F" w:rsidRPr="008130BD">
        <w:rPr>
          <w:rFonts w:ascii="Times New Roman" w:eastAsia="PMingLiU" w:hAnsi="Times New Roman"/>
          <w:color w:val="000000"/>
          <w:szCs w:val="22"/>
          <w:lang w:val="en-US" w:eastAsia="zh-TW"/>
        </w:rPr>
        <w:t xml:space="preserve">-B </w:t>
      </w:r>
      <w:proofErr w:type="spellStart"/>
      <w:r w:rsidRPr="008130BD">
        <w:rPr>
          <w:rFonts w:ascii="Times New Roman" w:eastAsia="PMingLiU" w:hAnsi="Times New Roman"/>
          <w:color w:val="000000"/>
          <w:szCs w:val="22"/>
          <w:lang w:val="en-US" w:eastAsia="zh-TW"/>
        </w:rPr>
        <w:t>QoL</w:t>
      </w:r>
      <w:proofErr w:type="spellEnd"/>
      <w:r w:rsidRPr="008130BD">
        <w:rPr>
          <w:rFonts w:ascii="Times New Roman" w:eastAsia="PMingLiU" w:hAnsi="Times New Roman"/>
          <w:color w:val="000000"/>
          <w:szCs w:val="22"/>
          <w:lang w:val="en-US" w:eastAsia="zh-TW"/>
        </w:rPr>
        <w:t xml:space="preserve"> </w:t>
      </w:r>
      <w:r w:rsidR="006D562F" w:rsidRPr="008130BD">
        <w:rPr>
          <w:rFonts w:ascii="Times New Roman" w:eastAsia="PMingLiU" w:hAnsi="Times New Roman"/>
          <w:color w:val="000000"/>
          <w:szCs w:val="22"/>
          <w:lang w:val="en-US" w:eastAsia="zh-TW"/>
        </w:rPr>
        <w:t xml:space="preserve">(Functional Assessment of Cancer Therapy–Breast, Quality of Life) </w:t>
      </w:r>
      <w:r w:rsidRPr="008130BD">
        <w:rPr>
          <w:rFonts w:ascii="Times New Roman" w:eastAsia="PMingLiU" w:hAnsi="Times New Roman"/>
          <w:color w:val="000000"/>
          <w:szCs w:val="22"/>
          <w:lang w:val="en-US" w:eastAsia="zh-TW"/>
        </w:rPr>
        <w:t>questionnaire.</w:t>
      </w:r>
    </w:p>
    <w:p w:rsidR="0022375A" w:rsidRPr="008130BD" w:rsidRDefault="0022375A" w:rsidP="00397C6E">
      <w:pPr>
        <w:adjustRightInd w:val="0"/>
        <w:spacing w:after="170" w:line="280" w:lineRule="exact"/>
        <w:rPr>
          <w:color w:val="000000"/>
          <w:lang w:val="en-US"/>
        </w:rPr>
      </w:pPr>
      <w:r w:rsidRPr="008130BD">
        <w:rPr>
          <w:color w:val="000000"/>
          <w:lang w:val="en-US"/>
        </w:rPr>
        <w:t xml:space="preserve">Demographics were well balanced (median age </w:t>
      </w:r>
      <w:r w:rsidR="00397C6E" w:rsidRPr="008130BD">
        <w:rPr>
          <w:color w:val="000000"/>
          <w:lang w:val="en-US"/>
        </w:rPr>
        <w:t xml:space="preserve">was 54 years old, </w:t>
      </w:r>
      <w:r w:rsidRPr="008130BD">
        <w:rPr>
          <w:color w:val="000000"/>
          <w:lang w:val="en-US"/>
        </w:rPr>
        <w:t xml:space="preserve">majority Caucasian (59%) and all were female with the exception of 2 patients). Approximately half the patients in each treatment group had hormone receptor-positive disease (defined as </w:t>
      </w:r>
      <w:proofErr w:type="spellStart"/>
      <w:r w:rsidRPr="008130BD">
        <w:rPr>
          <w:color w:val="000000"/>
          <w:lang w:val="en-US"/>
        </w:rPr>
        <w:t>oestrogen</w:t>
      </w:r>
      <w:proofErr w:type="spellEnd"/>
      <w:r w:rsidRPr="008130BD">
        <w:rPr>
          <w:color w:val="000000"/>
          <w:lang w:val="en-US"/>
        </w:rPr>
        <w:t xml:space="preserve"> receptor positive and/or progesterone receptor positive)</w:t>
      </w:r>
      <w:r w:rsidR="00102C7A">
        <w:rPr>
          <w:color w:val="000000"/>
          <w:lang w:val="en-US"/>
        </w:rPr>
        <w:t>,</w:t>
      </w:r>
      <w:r w:rsidRPr="008130BD">
        <w:rPr>
          <w:color w:val="000000"/>
          <w:lang w:val="en-US"/>
        </w:rPr>
        <w:t xml:space="preserve">  approximately half of the patients in each treatment group had received prior adjuvant or neoadjuvant therapy (192 patients [47.3%] in the placebo treated group vs</w:t>
      </w:r>
      <w:r w:rsidR="005B680F" w:rsidRPr="008130BD">
        <w:rPr>
          <w:color w:val="000000"/>
          <w:lang w:val="en-US"/>
        </w:rPr>
        <w:t>.</w:t>
      </w:r>
      <w:r w:rsidRPr="008130BD">
        <w:rPr>
          <w:color w:val="000000"/>
          <w:lang w:val="en-US"/>
        </w:rPr>
        <w:t xml:space="preserve"> 184 patients [45.8%] </w:t>
      </w:r>
      <w:r w:rsidR="00397C6E" w:rsidRPr="008130BD">
        <w:rPr>
          <w:color w:val="000000"/>
          <w:lang w:val="en-US"/>
        </w:rPr>
        <w:t xml:space="preserve">in the </w:t>
      </w:r>
      <w:r w:rsidR="00123310">
        <w:rPr>
          <w:color w:val="000000"/>
          <w:lang w:val="en-US"/>
        </w:rPr>
        <w:t>PERJETA</w:t>
      </w:r>
      <w:r w:rsidR="00397C6E" w:rsidRPr="008130BD">
        <w:rPr>
          <w:color w:val="000000"/>
          <w:lang w:val="en-US"/>
        </w:rPr>
        <w:t xml:space="preserve"> </w:t>
      </w:r>
      <w:r w:rsidRPr="008130BD">
        <w:rPr>
          <w:color w:val="000000"/>
          <w:lang w:val="en-US"/>
        </w:rPr>
        <w:t>treated group)</w:t>
      </w:r>
      <w:r w:rsidR="00102C7A">
        <w:rPr>
          <w:color w:val="000000"/>
          <w:lang w:val="en-US"/>
        </w:rPr>
        <w:t xml:space="preserve">, </w:t>
      </w:r>
      <w:r w:rsidR="00102C7A" w:rsidRPr="00102C7A">
        <w:rPr>
          <w:color w:val="000000"/>
          <w:lang w:val="en-US"/>
        </w:rPr>
        <w:t xml:space="preserve">and approximately 11 % of patients had received prior </w:t>
      </w:r>
      <w:proofErr w:type="spellStart"/>
      <w:r w:rsidR="00102C7A" w:rsidRPr="00102C7A">
        <w:rPr>
          <w:color w:val="000000"/>
          <w:lang w:val="en-US"/>
        </w:rPr>
        <w:t>trastuzumab</w:t>
      </w:r>
      <w:proofErr w:type="spellEnd"/>
      <w:r w:rsidR="00102C7A" w:rsidRPr="00102C7A">
        <w:rPr>
          <w:color w:val="000000"/>
          <w:lang w:val="en-US"/>
        </w:rPr>
        <w:t xml:space="preserve"> (41 patients [10.1%] in the placebo treated group vs. 47 patients [11.7%] in the PERJETA treated group). Of the 19 patients categorized as having locally recurrent, </w:t>
      </w:r>
      <w:proofErr w:type="spellStart"/>
      <w:r w:rsidR="00102C7A" w:rsidRPr="00102C7A">
        <w:rPr>
          <w:color w:val="000000"/>
          <w:lang w:val="en-US"/>
        </w:rPr>
        <w:t>unresectable</w:t>
      </w:r>
      <w:proofErr w:type="spellEnd"/>
      <w:r w:rsidR="00102C7A" w:rsidRPr="00102C7A">
        <w:rPr>
          <w:color w:val="000000"/>
          <w:lang w:val="en-US"/>
        </w:rPr>
        <w:t xml:space="preserve"> disease, 6 patients (2 in the placebo group and 4 in the PERJETA group) had metastases on their baseline assessment.</w:t>
      </w:r>
    </w:p>
    <w:p w:rsidR="005307FA" w:rsidRPr="008130BD" w:rsidRDefault="0022375A" w:rsidP="0022375A">
      <w:pPr>
        <w:pStyle w:val="Paragraph"/>
        <w:jc w:val="both"/>
        <w:rPr>
          <w:rFonts w:ascii="Times New Roman" w:hAnsi="Times New Roman"/>
          <w:color w:val="000000"/>
        </w:rPr>
      </w:pPr>
      <w:r w:rsidRPr="008130BD">
        <w:rPr>
          <w:rFonts w:ascii="Times New Roman" w:eastAsia="PMingLiU" w:hAnsi="Times New Roman"/>
          <w:color w:val="000000"/>
          <w:szCs w:val="22"/>
          <w:lang w:val="en-US" w:eastAsia="zh-TW"/>
        </w:rPr>
        <w:t xml:space="preserve">At the time of the primary </w:t>
      </w:r>
      <w:r w:rsidR="00397C6E" w:rsidRPr="008130BD">
        <w:rPr>
          <w:rFonts w:ascii="Times New Roman" w:eastAsia="PMingLiU" w:hAnsi="Times New Roman"/>
          <w:color w:val="000000"/>
          <w:szCs w:val="22"/>
          <w:lang w:val="en-US" w:eastAsia="zh-TW"/>
        </w:rPr>
        <w:t>PFS</w:t>
      </w:r>
      <w:r w:rsidRPr="008130BD">
        <w:rPr>
          <w:rFonts w:ascii="Times New Roman" w:eastAsia="PMingLiU" w:hAnsi="Times New Roman"/>
          <w:color w:val="000000"/>
          <w:szCs w:val="22"/>
          <w:lang w:val="en-US" w:eastAsia="zh-TW"/>
        </w:rPr>
        <w:t xml:space="preserve"> analysis, a total of 242 patients (59%) in the placebo treated group and 191</w:t>
      </w:r>
      <w:r w:rsidR="00397C6E" w:rsidRPr="008130BD">
        <w:rPr>
          <w:rFonts w:ascii="Times New Roman" w:eastAsia="PMingLiU" w:hAnsi="Times New Roman"/>
          <w:color w:val="000000"/>
          <w:szCs w:val="22"/>
          <w:lang w:val="en-US" w:eastAsia="zh-TW"/>
        </w:rPr>
        <w:t xml:space="preserve"> patients (47.5%) in the </w:t>
      </w:r>
      <w:r w:rsidR="00123310">
        <w:rPr>
          <w:rFonts w:ascii="Times New Roman" w:hAnsi="Times New Roman"/>
          <w:color w:val="000000"/>
          <w:lang w:val="en-US"/>
        </w:rPr>
        <w:t>PERJETA</w:t>
      </w:r>
      <w:r w:rsidR="00397C6E" w:rsidRPr="008130BD">
        <w:rPr>
          <w:rFonts w:ascii="Times New Roman" w:eastAsia="PMingLiU" w:hAnsi="Times New Roman"/>
          <w:color w:val="000000"/>
          <w:szCs w:val="22"/>
          <w:lang w:val="en-US" w:eastAsia="zh-TW"/>
        </w:rPr>
        <w:t xml:space="preserve"> </w:t>
      </w:r>
      <w:r w:rsidRPr="008130BD">
        <w:rPr>
          <w:rFonts w:ascii="Times New Roman" w:eastAsia="PMingLiU" w:hAnsi="Times New Roman"/>
          <w:color w:val="000000"/>
          <w:szCs w:val="22"/>
          <w:lang w:val="en-US" w:eastAsia="zh-TW"/>
        </w:rPr>
        <w:t xml:space="preserve">treated group had IRF-confirmed progressive disease or had died within 18 weeks of their last </w:t>
      </w:r>
      <w:proofErr w:type="spellStart"/>
      <w:r w:rsidRPr="008130BD">
        <w:rPr>
          <w:rFonts w:ascii="Times New Roman" w:eastAsia="PMingLiU" w:hAnsi="Times New Roman"/>
          <w:color w:val="000000"/>
          <w:szCs w:val="22"/>
          <w:lang w:val="en-US" w:eastAsia="zh-TW"/>
        </w:rPr>
        <w:t>tumour</w:t>
      </w:r>
      <w:proofErr w:type="spellEnd"/>
      <w:r w:rsidRPr="008130BD">
        <w:rPr>
          <w:rFonts w:ascii="Times New Roman" w:eastAsia="PMingLiU" w:hAnsi="Times New Roman"/>
          <w:color w:val="000000"/>
          <w:szCs w:val="22"/>
          <w:lang w:val="en-US" w:eastAsia="zh-TW"/>
        </w:rPr>
        <w:t xml:space="preserve"> assessment</w:t>
      </w:r>
      <w:r w:rsidRPr="00717FA5">
        <w:rPr>
          <w:rFonts w:ascii="Times New Roman" w:hAnsi="Times New Roman"/>
          <w:color w:val="000000"/>
        </w:rPr>
        <w:t>.</w:t>
      </w:r>
    </w:p>
    <w:p w:rsidR="0022375A" w:rsidRPr="008130BD" w:rsidRDefault="00E05E77" w:rsidP="0022375A">
      <w:pPr>
        <w:pStyle w:val="Paragraph"/>
        <w:jc w:val="both"/>
        <w:rPr>
          <w:rFonts w:ascii="Times New Roman" w:eastAsia="PMingLiU" w:hAnsi="Times New Roman"/>
          <w:color w:val="000000"/>
          <w:szCs w:val="22"/>
          <w:lang w:val="en-US" w:eastAsia="zh-TW"/>
        </w:rPr>
      </w:pPr>
      <w:r>
        <w:rPr>
          <w:rFonts w:ascii="Times New Roman" w:eastAsia="PMingLiU" w:hAnsi="Times New Roman"/>
          <w:color w:val="000000"/>
          <w:szCs w:val="22"/>
          <w:lang w:val="en-US" w:eastAsia="zh-TW"/>
        </w:rPr>
        <w:t>At the time of the primary analysis, t</w:t>
      </w:r>
      <w:r w:rsidR="0022375A" w:rsidRPr="008130BD">
        <w:rPr>
          <w:rFonts w:ascii="Times New Roman" w:eastAsia="PMingLiU" w:hAnsi="Times New Roman"/>
          <w:color w:val="000000"/>
          <w:szCs w:val="22"/>
          <w:lang w:val="en-US" w:eastAsia="zh-TW"/>
        </w:rPr>
        <w:t>he CLEOPATRA</w:t>
      </w:r>
      <w:r w:rsidR="0022375A" w:rsidRPr="008130BD" w:rsidDel="008348CC">
        <w:rPr>
          <w:rFonts w:ascii="Times New Roman" w:eastAsia="PMingLiU" w:hAnsi="Times New Roman"/>
          <w:color w:val="000000"/>
          <w:szCs w:val="22"/>
          <w:lang w:val="en-US" w:eastAsia="zh-TW"/>
        </w:rPr>
        <w:t xml:space="preserve"> </w:t>
      </w:r>
      <w:r w:rsidR="0022375A" w:rsidRPr="008130BD">
        <w:rPr>
          <w:rFonts w:ascii="Times New Roman" w:eastAsia="PMingLiU" w:hAnsi="Times New Roman"/>
          <w:color w:val="000000"/>
          <w:szCs w:val="22"/>
          <w:lang w:val="en-US" w:eastAsia="zh-TW"/>
        </w:rPr>
        <w:t xml:space="preserve">study demonstrated a statistically significant improvement in IRF-assessed PFS (hazard ratio [HR] = 0.62, 95% CI = 0.51, 0.75, p&lt;0.0001) in the </w:t>
      </w:r>
      <w:r w:rsidR="00123310">
        <w:rPr>
          <w:rFonts w:ascii="Times New Roman" w:hAnsi="Times New Roman"/>
          <w:color w:val="000000"/>
          <w:lang w:val="en-US"/>
        </w:rPr>
        <w:t>PERJETA</w:t>
      </w:r>
      <w:r w:rsidR="0022375A" w:rsidRPr="008130BD">
        <w:rPr>
          <w:rFonts w:ascii="Times New Roman" w:eastAsia="PMingLiU" w:hAnsi="Times New Roman"/>
          <w:color w:val="000000"/>
          <w:szCs w:val="22"/>
          <w:lang w:val="en-US" w:eastAsia="zh-TW"/>
        </w:rPr>
        <w:t xml:space="preserve"> treated group compared with the placebo treated group, and an increase in median PFS of 6.1 months (median PFS of 12.4 months in the placebo treated group vs</w:t>
      </w:r>
      <w:r w:rsidR="00397C6E" w:rsidRPr="008130BD">
        <w:rPr>
          <w:rFonts w:ascii="Times New Roman" w:eastAsia="PMingLiU" w:hAnsi="Times New Roman"/>
          <w:color w:val="000000"/>
          <w:szCs w:val="22"/>
          <w:lang w:val="en-US" w:eastAsia="zh-TW"/>
        </w:rPr>
        <w:t>.</w:t>
      </w:r>
      <w:r w:rsidR="0022375A" w:rsidRPr="008130BD">
        <w:rPr>
          <w:rFonts w:ascii="Times New Roman" w:eastAsia="PMingLiU" w:hAnsi="Times New Roman"/>
          <w:color w:val="000000"/>
          <w:szCs w:val="22"/>
          <w:lang w:val="en-US" w:eastAsia="zh-TW"/>
        </w:rPr>
        <w:t xml:space="preserve"> 18.5 months in the </w:t>
      </w:r>
      <w:r w:rsidR="00123310">
        <w:rPr>
          <w:rFonts w:ascii="Times New Roman" w:hAnsi="Times New Roman"/>
          <w:color w:val="000000"/>
          <w:lang w:val="en-US"/>
        </w:rPr>
        <w:t>PERJETA</w:t>
      </w:r>
      <w:r w:rsidR="0022375A" w:rsidRPr="008130BD">
        <w:rPr>
          <w:rFonts w:ascii="Times New Roman" w:eastAsia="PMingLiU" w:hAnsi="Times New Roman"/>
          <w:color w:val="000000"/>
          <w:szCs w:val="22"/>
          <w:lang w:val="en-US" w:eastAsia="zh-TW"/>
        </w:rPr>
        <w:t xml:space="preserve"> treated group) (se</w:t>
      </w:r>
      <w:r w:rsidR="00AD0245" w:rsidRPr="008130BD">
        <w:rPr>
          <w:rFonts w:ascii="Times New Roman" w:eastAsia="PMingLiU" w:hAnsi="Times New Roman"/>
          <w:color w:val="000000"/>
          <w:szCs w:val="22"/>
          <w:lang w:val="en-US" w:eastAsia="zh-TW"/>
        </w:rPr>
        <w:t>e Figure 1).</w:t>
      </w:r>
      <w:r w:rsidR="00031BC6" w:rsidRPr="008130BD">
        <w:rPr>
          <w:rFonts w:ascii="Times New Roman" w:eastAsia="PMingLiU" w:hAnsi="Times New Roman"/>
          <w:color w:val="000000"/>
          <w:szCs w:val="22"/>
          <w:lang w:val="en-US" w:eastAsia="zh-TW"/>
        </w:rPr>
        <w:t xml:space="preserve"> </w:t>
      </w:r>
      <w:r w:rsidR="004335B1">
        <w:rPr>
          <w:rFonts w:ascii="Times New Roman" w:eastAsia="PMingLiU" w:hAnsi="Times New Roman"/>
          <w:color w:val="000000"/>
          <w:szCs w:val="22"/>
          <w:lang w:val="en-US" w:eastAsia="zh-TW"/>
        </w:rPr>
        <w:t>At the time of the primary analysis, t</w:t>
      </w:r>
      <w:r w:rsidR="0022375A" w:rsidRPr="008130BD">
        <w:rPr>
          <w:rFonts w:ascii="Times New Roman" w:eastAsia="PMingLiU" w:hAnsi="Times New Roman"/>
          <w:color w:val="000000"/>
          <w:szCs w:val="22"/>
          <w:lang w:val="en-US" w:eastAsia="zh-TW"/>
        </w:rPr>
        <w:t xml:space="preserve">he results for investigator-assessed PFS were comparable to those observed for IRF-assessed PFS (median PFS was 12.4 months for placebo vs 18.5 months for </w:t>
      </w:r>
      <w:r w:rsidR="00123310">
        <w:rPr>
          <w:rFonts w:ascii="Times New Roman" w:hAnsi="Times New Roman"/>
          <w:color w:val="000000"/>
          <w:lang w:val="en-US"/>
        </w:rPr>
        <w:t>PERJETA</w:t>
      </w:r>
      <w:r w:rsidR="0022375A" w:rsidRPr="008130BD">
        <w:rPr>
          <w:rFonts w:ascii="Times New Roman" w:eastAsia="PMingLiU" w:hAnsi="Times New Roman"/>
          <w:color w:val="000000"/>
          <w:szCs w:val="22"/>
          <w:lang w:val="en-US" w:eastAsia="zh-TW"/>
        </w:rPr>
        <w:t>) (see</w:t>
      </w:r>
      <w:r w:rsidR="00CC498E" w:rsidRPr="008130BD">
        <w:rPr>
          <w:rFonts w:ascii="Times New Roman" w:eastAsia="PMingLiU" w:hAnsi="Times New Roman"/>
          <w:color w:val="000000"/>
          <w:szCs w:val="22"/>
          <w:lang w:val="en-US" w:eastAsia="zh-TW"/>
        </w:rPr>
        <w:t xml:space="preserve"> Table 1</w:t>
      </w:r>
      <w:r w:rsidR="0022375A" w:rsidRPr="008130BD">
        <w:rPr>
          <w:rFonts w:ascii="Times New Roman" w:eastAsia="PMingLiU" w:hAnsi="Times New Roman"/>
          <w:color w:val="000000"/>
          <w:szCs w:val="22"/>
          <w:lang w:val="en-US" w:eastAsia="zh-TW"/>
        </w:rPr>
        <w:t xml:space="preserve">). </w:t>
      </w:r>
      <w:bookmarkStart w:id="2" w:name="_Toc303255446"/>
      <w:bookmarkStart w:id="3" w:name="_Toc303255554"/>
      <w:bookmarkStart w:id="4" w:name="_Ref301518543"/>
      <w:bookmarkEnd w:id="2"/>
      <w:bookmarkEnd w:id="3"/>
      <w:r w:rsidR="0022375A" w:rsidRPr="008130BD">
        <w:rPr>
          <w:rFonts w:ascii="Times New Roman" w:eastAsia="PMingLiU" w:hAnsi="Times New Roman"/>
          <w:color w:val="000000"/>
          <w:szCs w:val="22"/>
          <w:lang w:val="en-US" w:eastAsia="zh-TW"/>
        </w:rPr>
        <w:t xml:space="preserve">Consistent results were observed across pre-specified patient subgroups including the subgroups based on stratification factors of geographic region and prior adjuvant/neoadjuvant therapy or de novo metastatic breast cancer (see </w:t>
      </w:r>
      <w:r w:rsidR="00AD0245" w:rsidRPr="008130BD">
        <w:rPr>
          <w:rFonts w:ascii="Times New Roman" w:eastAsia="PMingLiU" w:hAnsi="Times New Roman"/>
          <w:color w:val="000000"/>
          <w:szCs w:val="22"/>
          <w:lang w:val="en-US" w:eastAsia="zh-TW"/>
        </w:rPr>
        <w:t>Figure 2</w:t>
      </w:r>
      <w:r w:rsidR="0022375A" w:rsidRPr="008130BD">
        <w:rPr>
          <w:rFonts w:ascii="Times New Roman" w:eastAsia="PMingLiU" w:hAnsi="Times New Roman"/>
          <w:color w:val="000000"/>
          <w:szCs w:val="22"/>
          <w:lang w:val="en-US" w:eastAsia="zh-TW"/>
        </w:rPr>
        <w:t>)</w:t>
      </w:r>
      <w:r w:rsidR="0022375A" w:rsidRPr="00717FA5">
        <w:rPr>
          <w:rFonts w:ascii="Times New Roman" w:hAnsi="Times New Roman"/>
          <w:color w:val="000000"/>
          <w:lang w:val="en-US"/>
        </w:rPr>
        <w:t>.</w:t>
      </w:r>
      <w:bookmarkEnd w:id="4"/>
    </w:p>
    <w:p w:rsidR="00ED72A1" w:rsidRDefault="00ED72A1" w:rsidP="0022375A">
      <w:pPr>
        <w:pStyle w:val="Paragraph"/>
        <w:jc w:val="both"/>
        <w:rPr>
          <w:rFonts w:ascii="Times New Roman" w:hAnsi="Times New Roman"/>
          <w:color w:val="000000"/>
        </w:rPr>
      </w:pPr>
    </w:p>
    <w:p w:rsidR="00ED72A1" w:rsidRDefault="00ED72A1" w:rsidP="0022375A">
      <w:pPr>
        <w:pStyle w:val="Paragraph"/>
        <w:jc w:val="both"/>
        <w:rPr>
          <w:rFonts w:ascii="Times New Roman" w:hAnsi="Times New Roman"/>
          <w:color w:val="000000"/>
        </w:rPr>
      </w:pPr>
    </w:p>
    <w:p w:rsidR="00ED72A1" w:rsidRDefault="00ED72A1" w:rsidP="0022375A">
      <w:pPr>
        <w:pStyle w:val="Paragraph"/>
        <w:jc w:val="both"/>
        <w:rPr>
          <w:rFonts w:ascii="Times New Roman" w:hAnsi="Times New Roman"/>
          <w:color w:val="000000"/>
        </w:rPr>
      </w:pPr>
    </w:p>
    <w:p w:rsidR="00ED72A1" w:rsidRDefault="00ED72A1" w:rsidP="0022375A">
      <w:pPr>
        <w:pStyle w:val="Paragraph"/>
        <w:jc w:val="both"/>
        <w:rPr>
          <w:rFonts w:ascii="Times New Roman" w:hAnsi="Times New Roman"/>
          <w:color w:val="000000"/>
        </w:rPr>
      </w:pPr>
    </w:p>
    <w:p w:rsidR="0022375A" w:rsidRPr="008130BD" w:rsidRDefault="0022375A" w:rsidP="0022375A">
      <w:pPr>
        <w:pStyle w:val="Paragraph"/>
        <w:jc w:val="both"/>
        <w:rPr>
          <w:rFonts w:ascii="Times New Roman" w:hAnsi="Times New Roman"/>
          <w:color w:val="000000"/>
        </w:rPr>
      </w:pPr>
      <w:r w:rsidRPr="00717FA5">
        <w:rPr>
          <w:rFonts w:ascii="Times New Roman" w:hAnsi="Times New Roman"/>
          <w:color w:val="000000"/>
        </w:rPr>
        <w:lastRenderedPageBreak/>
        <w:t>The efficacy results from the CLEOPATRA</w:t>
      </w:r>
      <w:r w:rsidRPr="00717FA5" w:rsidDel="008348CC">
        <w:rPr>
          <w:rFonts w:ascii="Times New Roman" w:hAnsi="Times New Roman"/>
          <w:color w:val="000000"/>
          <w:lang w:val="en-US"/>
        </w:rPr>
        <w:t xml:space="preserve"> </w:t>
      </w:r>
      <w:r w:rsidR="00EC63E0" w:rsidRPr="00717FA5">
        <w:rPr>
          <w:rFonts w:ascii="Times New Roman" w:hAnsi="Times New Roman"/>
          <w:color w:val="000000"/>
        </w:rPr>
        <w:t>trial are summariz</w:t>
      </w:r>
      <w:r w:rsidRPr="00717FA5">
        <w:rPr>
          <w:rFonts w:ascii="Times New Roman" w:hAnsi="Times New Roman"/>
          <w:color w:val="000000"/>
        </w:rPr>
        <w:t>ed in</w:t>
      </w:r>
      <w:r w:rsidR="00AD0245" w:rsidRPr="00717FA5">
        <w:rPr>
          <w:rFonts w:ascii="Times New Roman" w:hAnsi="Times New Roman"/>
          <w:color w:val="000000"/>
        </w:rPr>
        <w:t xml:space="preserve"> Table </w:t>
      </w:r>
      <w:r w:rsidR="0003793F">
        <w:rPr>
          <w:rFonts w:ascii="Times New Roman" w:hAnsi="Times New Roman"/>
          <w:color w:val="000000"/>
        </w:rPr>
        <w:t>2</w:t>
      </w:r>
      <w:r w:rsidR="00457780" w:rsidRPr="00717FA5">
        <w:rPr>
          <w:rFonts w:ascii="Times New Roman" w:hAnsi="Times New Roman"/>
          <w:color w:val="000000"/>
        </w:rPr>
        <w:t xml:space="preserve"> below</w:t>
      </w:r>
      <w:r w:rsidRPr="00717FA5">
        <w:rPr>
          <w:rFonts w:ascii="Times New Roman" w:hAnsi="Times New Roman"/>
          <w:color w:val="000000"/>
        </w:rPr>
        <w:t>:</w:t>
      </w:r>
    </w:p>
    <w:p w:rsidR="0022375A" w:rsidRPr="008130BD" w:rsidRDefault="003E3BE4" w:rsidP="003E3BE4">
      <w:pPr>
        <w:pStyle w:val="Caption"/>
        <w:rPr>
          <w:b w:val="0"/>
          <w:bCs w:val="0"/>
          <w:color w:val="000000"/>
        </w:rPr>
      </w:pPr>
      <w:bookmarkStart w:id="5" w:name="_Ref319416046"/>
      <w:r w:rsidRPr="008130BD">
        <w:t xml:space="preserve">Table </w:t>
      </w:r>
      <w:bookmarkEnd w:id="5"/>
      <w:r w:rsidR="0003793F">
        <w:t>2</w:t>
      </w:r>
      <w:r w:rsidR="00511756" w:rsidRPr="008130BD">
        <w:t>:</w:t>
      </w:r>
      <w:r w:rsidR="0022375A" w:rsidRPr="008130BD">
        <w:rPr>
          <w:b w:val="0"/>
          <w:bCs w:val="0"/>
          <w:color w:val="000000"/>
        </w:rPr>
        <w:t xml:space="preserve"> </w:t>
      </w:r>
      <w:r w:rsidR="0022375A" w:rsidRPr="008130BD">
        <w:t>Summary of efficacy from CLEOPATRA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701"/>
        <w:gridCol w:w="1701"/>
        <w:gridCol w:w="1276"/>
        <w:gridCol w:w="1093"/>
      </w:tblGrid>
      <w:tr w:rsidR="00571EB5" w:rsidRPr="008130BD" w:rsidTr="00E14D93">
        <w:tc>
          <w:tcPr>
            <w:tcW w:w="3085" w:type="dxa"/>
            <w:shd w:val="clear" w:color="auto" w:fill="auto"/>
            <w:vAlign w:val="center"/>
          </w:tcPr>
          <w:p w:rsidR="00571EB5" w:rsidRPr="008130BD" w:rsidRDefault="00571EB5" w:rsidP="00FB49D4">
            <w:pPr>
              <w:autoSpaceDE w:val="0"/>
              <w:autoSpaceDN w:val="0"/>
              <w:adjustRightInd w:val="0"/>
              <w:jc w:val="left"/>
              <w:rPr>
                <w:rFonts w:eastAsia="Times New Roman"/>
                <w:b/>
                <w:bCs/>
                <w:color w:val="000000"/>
                <w:sz w:val="22"/>
              </w:rPr>
            </w:pPr>
            <w:r w:rsidRPr="008130BD">
              <w:rPr>
                <w:rFonts w:eastAsia="Times New Roman"/>
                <w:b/>
                <w:bCs/>
                <w:color w:val="000000"/>
                <w:sz w:val="22"/>
              </w:rPr>
              <w:t>Parameter</w:t>
            </w:r>
          </w:p>
        </w:tc>
        <w:tc>
          <w:tcPr>
            <w:tcW w:w="1701" w:type="dxa"/>
            <w:shd w:val="clear" w:color="auto" w:fill="auto"/>
            <w:vAlign w:val="center"/>
          </w:tcPr>
          <w:p w:rsidR="00571EB5" w:rsidRPr="00C433BB" w:rsidRDefault="00571EB5" w:rsidP="00FB49D4">
            <w:pPr>
              <w:autoSpaceDE w:val="0"/>
              <w:autoSpaceDN w:val="0"/>
              <w:adjustRightInd w:val="0"/>
              <w:jc w:val="center"/>
              <w:rPr>
                <w:rFonts w:eastAsia="Times New Roman"/>
                <w:b/>
                <w:bCs/>
                <w:color w:val="000000"/>
                <w:sz w:val="22"/>
              </w:rPr>
            </w:pPr>
            <w:r w:rsidRPr="00C433BB">
              <w:rPr>
                <w:rFonts w:eastAsia="Times New Roman"/>
                <w:b/>
                <w:bCs/>
                <w:color w:val="000000"/>
                <w:sz w:val="22"/>
              </w:rPr>
              <w:t>Placebo</w:t>
            </w:r>
          </w:p>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 xml:space="preserve">+ </w:t>
            </w:r>
            <w:proofErr w:type="spellStart"/>
            <w:r w:rsidR="007B49E5">
              <w:rPr>
                <w:rFonts w:eastAsia="Times New Roman"/>
                <w:b/>
                <w:bCs/>
                <w:color w:val="000000"/>
                <w:sz w:val="22"/>
              </w:rPr>
              <w:t>trastuzumab</w:t>
            </w:r>
            <w:proofErr w:type="spellEnd"/>
          </w:p>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 docetaxel</w:t>
            </w:r>
          </w:p>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(n=406)</w:t>
            </w:r>
          </w:p>
        </w:tc>
        <w:tc>
          <w:tcPr>
            <w:tcW w:w="1701" w:type="dxa"/>
            <w:shd w:val="clear" w:color="auto" w:fill="auto"/>
            <w:vAlign w:val="center"/>
          </w:tcPr>
          <w:p w:rsidR="00571EB5" w:rsidRPr="008130BD" w:rsidRDefault="00123310" w:rsidP="00FB49D4">
            <w:pPr>
              <w:autoSpaceDE w:val="0"/>
              <w:autoSpaceDN w:val="0"/>
              <w:adjustRightInd w:val="0"/>
              <w:jc w:val="center"/>
              <w:rPr>
                <w:rFonts w:eastAsia="Times New Roman"/>
                <w:b/>
                <w:bCs/>
                <w:color w:val="000000"/>
                <w:sz w:val="22"/>
                <w:lang w:val="pt-BR"/>
              </w:rPr>
            </w:pPr>
            <w:r>
              <w:rPr>
                <w:rFonts w:eastAsia="Times New Roman"/>
                <w:b/>
                <w:bCs/>
                <w:color w:val="000000"/>
                <w:sz w:val="22"/>
              </w:rPr>
              <w:t>PERJETA</w:t>
            </w:r>
          </w:p>
          <w:p w:rsidR="00571EB5" w:rsidRPr="008130BD" w:rsidRDefault="00571EB5" w:rsidP="00FB49D4">
            <w:pPr>
              <w:autoSpaceDE w:val="0"/>
              <w:autoSpaceDN w:val="0"/>
              <w:adjustRightInd w:val="0"/>
              <w:jc w:val="center"/>
              <w:rPr>
                <w:rFonts w:eastAsia="Times New Roman"/>
                <w:b/>
                <w:bCs/>
                <w:color w:val="000000"/>
                <w:sz w:val="22"/>
                <w:lang w:val="pt-BR"/>
              </w:rPr>
            </w:pPr>
            <w:r w:rsidRPr="00717FA5">
              <w:rPr>
                <w:rFonts w:eastAsia="Times New Roman"/>
                <w:b/>
                <w:bCs/>
                <w:color w:val="000000"/>
                <w:sz w:val="22"/>
                <w:lang w:val="pt-BR"/>
              </w:rPr>
              <w:t xml:space="preserve">+ </w:t>
            </w:r>
            <w:r w:rsidR="007B49E5">
              <w:rPr>
                <w:rFonts w:eastAsia="Times New Roman"/>
                <w:b/>
                <w:bCs/>
                <w:color w:val="000000"/>
                <w:sz w:val="22"/>
                <w:lang w:val="pt-BR"/>
              </w:rPr>
              <w:t>trastuzumab</w:t>
            </w:r>
          </w:p>
          <w:p w:rsidR="00571EB5" w:rsidRPr="008130BD" w:rsidRDefault="00571EB5" w:rsidP="00FB49D4">
            <w:pPr>
              <w:autoSpaceDE w:val="0"/>
              <w:autoSpaceDN w:val="0"/>
              <w:adjustRightInd w:val="0"/>
              <w:jc w:val="center"/>
              <w:rPr>
                <w:rFonts w:eastAsia="Times New Roman"/>
                <w:b/>
                <w:bCs/>
                <w:color w:val="000000"/>
                <w:sz w:val="22"/>
                <w:lang w:val="pt-BR"/>
              </w:rPr>
            </w:pPr>
            <w:r w:rsidRPr="00717FA5">
              <w:rPr>
                <w:rFonts w:eastAsia="Times New Roman"/>
                <w:b/>
                <w:bCs/>
                <w:color w:val="000000"/>
                <w:sz w:val="22"/>
                <w:lang w:val="pt-BR"/>
              </w:rPr>
              <w:t>+ docetaxel</w:t>
            </w:r>
          </w:p>
          <w:p w:rsidR="00571EB5" w:rsidRPr="008130BD" w:rsidRDefault="00571EB5" w:rsidP="00FB49D4">
            <w:pPr>
              <w:autoSpaceDE w:val="0"/>
              <w:autoSpaceDN w:val="0"/>
              <w:adjustRightInd w:val="0"/>
              <w:jc w:val="center"/>
              <w:rPr>
                <w:rFonts w:eastAsia="Times New Roman"/>
                <w:b/>
                <w:bCs/>
                <w:color w:val="000000"/>
                <w:sz w:val="22"/>
                <w:lang w:val="pt-BR"/>
              </w:rPr>
            </w:pPr>
            <w:r w:rsidRPr="00717FA5">
              <w:rPr>
                <w:rFonts w:eastAsia="Times New Roman"/>
                <w:b/>
                <w:bCs/>
                <w:color w:val="000000"/>
                <w:sz w:val="22"/>
                <w:lang w:val="pt-BR"/>
              </w:rPr>
              <w:t>(n=402)</w:t>
            </w:r>
          </w:p>
        </w:tc>
        <w:tc>
          <w:tcPr>
            <w:tcW w:w="1276" w:type="dxa"/>
            <w:shd w:val="clear" w:color="auto" w:fill="auto"/>
            <w:vAlign w:val="center"/>
          </w:tcPr>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HR</w:t>
            </w:r>
          </w:p>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(95% CI)</w:t>
            </w:r>
          </w:p>
          <w:p w:rsidR="00571EB5" w:rsidRPr="008130BD" w:rsidRDefault="00571EB5" w:rsidP="00FB49D4">
            <w:pPr>
              <w:autoSpaceDE w:val="0"/>
              <w:autoSpaceDN w:val="0"/>
              <w:adjustRightInd w:val="0"/>
              <w:jc w:val="center"/>
              <w:rPr>
                <w:rFonts w:eastAsia="Times New Roman"/>
                <w:b/>
                <w:bCs/>
                <w:color w:val="000000"/>
                <w:sz w:val="22"/>
              </w:rPr>
            </w:pPr>
          </w:p>
        </w:tc>
        <w:tc>
          <w:tcPr>
            <w:tcW w:w="1093" w:type="dxa"/>
            <w:shd w:val="clear" w:color="auto" w:fill="auto"/>
            <w:vAlign w:val="center"/>
          </w:tcPr>
          <w:p w:rsidR="00571EB5" w:rsidRPr="008130BD" w:rsidRDefault="00571EB5" w:rsidP="00FB49D4">
            <w:pPr>
              <w:autoSpaceDE w:val="0"/>
              <w:autoSpaceDN w:val="0"/>
              <w:adjustRightInd w:val="0"/>
              <w:jc w:val="center"/>
              <w:rPr>
                <w:rFonts w:eastAsia="Times New Roman"/>
                <w:b/>
                <w:bCs/>
                <w:color w:val="000000"/>
                <w:sz w:val="22"/>
              </w:rPr>
            </w:pPr>
            <w:r w:rsidRPr="00717FA5">
              <w:rPr>
                <w:rFonts w:eastAsia="Times New Roman"/>
                <w:b/>
                <w:bCs/>
                <w:color w:val="000000"/>
                <w:sz w:val="22"/>
              </w:rPr>
              <w:t>p-value</w:t>
            </w:r>
          </w:p>
        </w:tc>
      </w:tr>
      <w:tr w:rsidR="00571EB5" w:rsidRPr="008130BD" w:rsidTr="00FB49D4">
        <w:tc>
          <w:tcPr>
            <w:tcW w:w="8856" w:type="dxa"/>
            <w:gridSpan w:val="5"/>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Primary Endpoint:</w:t>
            </w:r>
          </w:p>
        </w:tc>
      </w:tr>
      <w:tr w:rsidR="00571EB5" w:rsidRPr="008130BD" w:rsidTr="00E14D93">
        <w:tc>
          <w:tcPr>
            <w:tcW w:w="3085" w:type="dxa"/>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 xml:space="preserve">Progression-Free Survival </w:t>
            </w:r>
          </w:p>
          <w:p w:rsidR="00571EB5" w:rsidRPr="00571EB5" w:rsidRDefault="00571EB5" w:rsidP="00FB49D4">
            <w:pPr>
              <w:autoSpaceDE w:val="0"/>
              <w:autoSpaceDN w:val="0"/>
              <w:adjustRightInd w:val="0"/>
              <w:jc w:val="left"/>
              <w:rPr>
                <w:rFonts w:eastAsia="Times New Roman"/>
                <w:b/>
                <w:bCs/>
                <w:color w:val="000000"/>
                <w:sz w:val="20"/>
                <w:szCs w:val="20"/>
              </w:rPr>
            </w:pPr>
            <w:r w:rsidRPr="00571EB5">
              <w:rPr>
                <w:rFonts w:eastAsia="Times New Roman"/>
                <w:b/>
                <w:bCs/>
                <w:color w:val="000000"/>
                <w:sz w:val="20"/>
                <w:szCs w:val="20"/>
              </w:rPr>
              <w:t>(Independent review facility assessment)</w:t>
            </w:r>
            <w:r w:rsidR="00D66C97">
              <w:rPr>
                <w:rFonts w:eastAsia="Times New Roman"/>
                <w:b/>
                <w:bCs/>
                <w:color w:val="000000"/>
                <w:sz w:val="20"/>
                <w:szCs w:val="20"/>
              </w:rPr>
              <w:t xml:space="preserve"> – primary endpoint*</w:t>
            </w:r>
          </w:p>
          <w:p w:rsidR="00571EB5" w:rsidRPr="00571EB5" w:rsidRDefault="00571EB5" w:rsidP="00FB49D4">
            <w:pPr>
              <w:autoSpaceDE w:val="0"/>
              <w:autoSpaceDN w:val="0"/>
              <w:adjustRightInd w:val="0"/>
              <w:jc w:val="left"/>
              <w:rPr>
                <w:rFonts w:eastAsia="Times New Roman"/>
                <w:bCs/>
                <w:color w:val="000000"/>
                <w:sz w:val="20"/>
                <w:szCs w:val="20"/>
              </w:rPr>
            </w:pPr>
          </w:p>
          <w:p w:rsidR="00571EB5" w:rsidRPr="00717FA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No. of patients with an event</w:t>
            </w:r>
          </w:p>
          <w:p w:rsidR="00571EB5" w:rsidRPr="00717FA5" w:rsidRDefault="00571EB5" w:rsidP="00FB49D4">
            <w:pPr>
              <w:autoSpaceDE w:val="0"/>
              <w:autoSpaceDN w:val="0"/>
              <w:adjustRightInd w:val="0"/>
              <w:jc w:val="left"/>
              <w:rPr>
                <w:rFonts w:eastAsia="Times New Roman"/>
                <w:b/>
                <w:bCs/>
                <w:color w:val="000000"/>
                <w:sz w:val="20"/>
                <w:szCs w:val="20"/>
              </w:rPr>
            </w:pPr>
            <w:r w:rsidRPr="00571EB5">
              <w:rPr>
                <w:rFonts w:eastAsia="Times New Roman"/>
                <w:bCs/>
                <w:color w:val="000000"/>
                <w:sz w:val="20"/>
                <w:szCs w:val="20"/>
              </w:rPr>
              <w:t>Median months</w:t>
            </w:r>
          </w:p>
        </w:tc>
        <w:tc>
          <w:tcPr>
            <w:tcW w:w="1701"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242 (59%)</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12.4</w:t>
            </w:r>
          </w:p>
        </w:tc>
        <w:tc>
          <w:tcPr>
            <w:tcW w:w="1701"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191 (47.5%)</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18.5</w:t>
            </w:r>
          </w:p>
        </w:tc>
        <w:tc>
          <w:tcPr>
            <w:tcW w:w="1276" w:type="dxa"/>
            <w:shd w:val="clear" w:color="auto" w:fill="auto"/>
            <w:vAlign w:val="center"/>
          </w:tcPr>
          <w:p w:rsidR="00571EB5" w:rsidRPr="00717FA5" w:rsidRDefault="00571EB5" w:rsidP="00FB49D4">
            <w:pPr>
              <w:autoSpaceDE w:val="0"/>
              <w:autoSpaceDN w:val="0"/>
              <w:adjustRightInd w:val="0"/>
              <w:jc w:val="center"/>
              <w:rPr>
                <w:rFonts w:eastAsia="Times New Roman"/>
                <w:bCs/>
                <w:color w:val="000000"/>
                <w:sz w:val="20"/>
                <w:szCs w:val="20"/>
              </w:rPr>
            </w:pPr>
            <w:r w:rsidRPr="00717FA5">
              <w:rPr>
                <w:rFonts w:eastAsia="Times New Roman"/>
                <w:bCs/>
                <w:color w:val="000000"/>
                <w:sz w:val="20"/>
                <w:szCs w:val="20"/>
              </w:rPr>
              <w:t>0.62</w:t>
            </w:r>
          </w:p>
          <w:p w:rsidR="00571EB5" w:rsidRPr="00717FA5" w:rsidRDefault="00571EB5" w:rsidP="00FB49D4">
            <w:pPr>
              <w:autoSpaceDE w:val="0"/>
              <w:autoSpaceDN w:val="0"/>
              <w:adjustRightInd w:val="0"/>
              <w:jc w:val="center"/>
              <w:rPr>
                <w:rFonts w:eastAsia="Times New Roman"/>
                <w:bCs/>
                <w:color w:val="000000"/>
                <w:sz w:val="20"/>
                <w:szCs w:val="20"/>
              </w:rPr>
            </w:pPr>
            <w:r w:rsidRPr="00717FA5">
              <w:rPr>
                <w:rFonts w:eastAsia="Times New Roman"/>
                <w:bCs/>
                <w:color w:val="000000"/>
                <w:sz w:val="20"/>
                <w:szCs w:val="20"/>
              </w:rPr>
              <w:t>[0.51;0.75]</w:t>
            </w:r>
          </w:p>
        </w:tc>
        <w:tc>
          <w:tcPr>
            <w:tcW w:w="1093" w:type="dxa"/>
            <w:shd w:val="clear" w:color="auto" w:fill="auto"/>
            <w:vAlign w:val="center"/>
          </w:tcPr>
          <w:p w:rsidR="00571EB5" w:rsidRPr="00717FA5" w:rsidRDefault="00571EB5" w:rsidP="00FB49D4">
            <w:pPr>
              <w:autoSpaceDE w:val="0"/>
              <w:autoSpaceDN w:val="0"/>
              <w:adjustRightInd w:val="0"/>
              <w:jc w:val="center"/>
              <w:rPr>
                <w:rFonts w:eastAsia="Times New Roman"/>
                <w:bCs/>
                <w:color w:val="000000"/>
                <w:sz w:val="20"/>
                <w:szCs w:val="20"/>
              </w:rPr>
            </w:pPr>
            <w:r w:rsidRPr="00717FA5">
              <w:rPr>
                <w:rFonts w:eastAsia="Times New Roman"/>
                <w:bCs/>
                <w:color w:val="000000"/>
                <w:sz w:val="20"/>
                <w:szCs w:val="20"/>
              </w:rPr>
              <w:t>&lt;0.0001</w:t>
            </w:r>
          </w:p>
        </w:tc>
      </w:tr>
      <w:tr w:rsidR="00571EB5" w:rsidRPr="008130BD" w:rsidTr="00FB49D4">
        <w:tc>
          <w:tcPr>
            <w:tcW w:w="8856" w:type="dxa"/>
            <w:gridSpan w:val="5"/>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Secondary Endpoints:</w:t>
            </w:r>
          </w:p>
        </w:tc>
      </w:tr>
      <w:tr w:rsidR="00571EB5" w:rsidRPr="008130BD" w:rsidTr="00E14D93">
        <w:trPr>
          <w:trHeight w:val="676"/>
        </w:trPr>
        <w:tc>
          <w:tcPr>
            <w:tcW w:w="3085" w:type="dxa"/>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Overall Survival</w:t>
            </w:r>
            <w:r w:rsidR="00FC4504">
              <w:rPr>
                <w:rFonts w:eastAsia="Times New Roman"/>
                <w:b/>
                <w:bCs/>
                <w:color w:val="000000"/>
                <w:sz w:val="20"/>
                <w:szCs w:val="20"/>
              </w:rPr>
              <w:t xml:space="preserve"> </w:t>
            </w:r>
            <w:r w:rsidR="00E05E77">
              <w:rPr>
                <w:rFonts w:eastAsia="Times New Roman"/>
                <w:b/>
                <w:bCs/>
                <w:color w:val="000000"/>
                <w:sz w:val="20"/>
                <w:szCs w:val="20"/>
              </w:rPr>
              <w:t>(Final analysis of OS)</w:t>
            </w:r>
            <w:r w:rsidR="00D66C97">
              <w:rPr>
                <w:rFonts w:eastAsia="Times New Roman"/>
                <w:b/>
                <w:bCs/>
                <w:color w:val="000000"/>
                <w:sz w:val="20"/>
                <w:szCs w:val="20"/>
              </w:rPr>
              <w:t>**</w:t>
            </w:r>
          </w:p>
          <w:p w:rsidR="00571EB5" w:rsidRPr="00571EB5" w:rsidRDefault="00571EB5" w:rsidP="00FB49D4">
            <w:pPr>
              <w:autoSpaceDE w:val="0"/>
              <w:autoSpaceDN w:val="0"/>
              <w:adjustRightInd w:val="0"/>
              <w:jc w:val="left"/>
              <w:rPr>
                <w:rFonts w:eastAsia="Times New Roman"/>
                <w:b/>
                <w:bCs/>
                <w:color w:val="000000"/>
                <w:sz w:val="20"/>
                <w:szCs w:val="20"/>
              </w:rPr>
            </w:pPr>
          </w:p>
          <w:p w:rsidR="00571EB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No. of patients with an event*</w:t>
            </w:r>
          </w:p>
          <w:p w:rsidR="00FC4504" w:rsidRPr="00717FA5" w:rsidRDefault="00FC4504" w:rsidP="00FB49D4">
            <w:pPr>
              <w:autoSpaceDE w:val="0"/>
              <w:autoSpaceDN w:val="0"/>
              <w:adjustRightInd w:val="0"/>
              <w:jc w:val="left"/>
              <w:rPr>
                <w:rFonts w:eastAsia="Times New Roman"/>
                <w:bCs/>
                <w:color w:val="000000"/>
                <w:sz w:val="20"/>
                <w:szCs w:val="20"/>
              </w:rPr>
            </w:pPr>
            <w:r>
              <w:rPr>
                <w:rFonts w:eastAsia="Times New Roman"/>
                <w:bCs/>
                <w:color w:val="000000"/>
                <w:sz w:val="20"/>
                <w:szCs w:val="20"/>
              </w:rPr>
              <w:t>Median months</w:t>
            </w:r>
          </w:p>
        </w:tc>
        <w:tc>
          <w:tcPr>
            <w:tcW w:w="1701" w:type="dxa"/>
            <w:shd w:val="clear" w:color="auto" w:fill="auto"/>
            <w:vAlign w:val="center"/>
          </w:tcPr>
          <w:p w:rsidR="00571EB5" w:rsidRPr="00571EB5" w:rsidRDefault="00571EB5" w:rsidP="002C586E">
            <w:pPr>
              <w:autoSpaceDE w:val="0"/>
              <w:autoSpaceDN w:val="0"/>
              <w:adjustRightInd w:val="0"/>
              <w:jc w:val="center"/>
              <w:rPr>
                <w:rFonts w:eastAsia="Times New Roman"/>
                <w:bCs/>
                <w:color w:val="000000"/>
                <w:sz w:val="20"/>
                <w:szCs w:val="20"/>
              </w:rPr>
            </w:pPr>
          </w:p>
          <w:p w:rsidR="00571EB5" w:rsidRPr="00571EB5" w:rsidRDefault="00571EB5" w:rsidP="002C586E">
            <w:pPr>
              <w:autoSpaceDE w:val="0"/>
              <w:autoSpaceDN w:val="0"/>
              <w:adjustRightInd w:val="0"/>
              <w:jc w:val="center"/>
              <w:rPr>
                <w:rFonts w:eastAsia="Times New Roman"/>
                <w:bCs/>
                <w:color w:val="000000"/>
                <w:sz w:val="20"/>
                <w:szCs w:val="20"/>
              </w:rPr>
            </w:pPr>
          </w:p>
          <w:p w:rsidR="00FC4504" w:rsidRPr="00FC4504" w:rsidRDefault="00E05E77" w:rsidP="00FC4504">
            <w:pPr>
              <w:autoSpaceDE w:val="0"/>
              <w:autoSpaceDN w:val="0"/>
              <w:adjustRightInd w:val="0"/>
              <w:jc w:val="center"/>
              <w:rPr>
                <w:rFonts w:eastAsia="Times New Roman"/>
                <w:bCs/>
                <w:color w:val="000000"/>
                <w:sz w:val="20"/>
                <w:szCs w:val="20"/>
              </w:rPr>
            </w:pPr>
            <w:r>
              <w:rPr>
                <w:rFonts w:eastAsia="Times New Roman"/>
                <w:bCs/>
                <w:color w:val="000000"/>
                <w:sz w:val="20"/>
                <w:szCs w:val="20"/>
              </w:rPr>
              <w:t>221</w:t>
            </w:r>
            <w:r w:rsidRPr="00FC4504">
              <w:rPr>
                <w:rFonts w:eastAsia="Times New Roman"/>
                <w:bCs/>
                <w:color w:val="000000"/>
                <w:sz w:val="20"/>
                <w:szCs w:val="20"/>
              </w:rPr>
              <w:t xml:space="preserve"> </w:t>
            </w:r>
            <w:r w:rsidR="00FC4504" w:rsidRPr="00FC4504">
              <w:rPr>
                <w:rFonts w:eastAsia="Times New Roman"/>
                <w:bCs/>
                <w:color w:val="000000"/>
                <w:sz w:val="20"/>
                <w:szCs w:val="20"/>
              </w:rPr>
              <w:t>(</w:t>
            </w:r>
            <w:r>
              <w:rPr>
                <w:rFonts w:eastAsia="Times New Roman"/>
                <w:bCs/>
                <w:color w:val="000000"/>
                <w:sz w:val="20"/>
                <w:szCs w:val="20"/>
              </w:rPr>
              <w:t>54.4</w:t>
            </w:r>
            <w:r w:rsidR="00FC4504" w:rsidRPr="00FC4504">
              <w:rPr>
                <w:rFonts w:eastAsia="Times New Roman"/>
                <w:bCs/>
                <w:color w:val="000000"/>
                <w:sz w:val="20"/>
                <w:szCs w:val="20"/>
              </w:rPr>
              <w:t>%)</w:t>
            </w:r>
          </w:p>
          <w:p w:rsidR="00571EB5" w:rsidRPr="00717FA5" w:rsidRDefault="00E05E77" w:rsidP="00FC4504">
            <w:pPr>
              <w:autoSpaceDE w:val="0"/>
              <w:autoSpaceDN w:val="0"/>
              <w:adjustRightInd w:val="0"/>
              <w:jc w:val="center"/>
              <w:rPr>
                <w:rFonts w:eastAsia="Times New Roman"/>
                <w:bCs/>
                <w:color w:val="000000"/>
                <w:sz w:val="20"/>
                <w:szCs w:val="20"/>
              </w:rPr>
            </w:pPr>
            <w:r>
              <w:rPr>
                <w:rFonts w:eastAsia="Times New Roman"/>
                <w:bCs/>
                <w:color w:val="000000"/>
                <w:sz w:val="20"/>
                <w:szCs w:val="20"/>
              </w:rPr>
              <w:t>40.8</w:t>
            </w:r>
          </w:p>
        </w:tc>
        <w:tc>
          <w:tcPr>
            <w:tcW w:w="1701" w:type="dxa"/>
            <w:shd w:val="clear" w:color="auto" w:fill="auto"/>
            <w:vAlign w:val="center"/>
          </w:tcPr>
          <w:p w:rsidR="00571EB5" w:rsidRPr="00571EB5" w:rsidRDefault="00571EB5" w:rsidP="002C586E">
            <w:pPr>
              <w:autoSpaceDE w:val="0"/>
              <w:autoSpaceDN w:val="0"/>
              <w:adjustRightInd w:val="0"/>
              <w:jc w:val="center"/>
              <w:rPr>
                <w:rFonts w:eastAsia="Times New Roman"/>
                <w:bCs/>
                <w:color w:val="000000"/>
                <w:sz w:val="20"/>
                <w:szCs w:val="20"/>
              </w:rPr>
            </w:pPr>
          </w:p>
          <w:p w:rsidR="00571EB5" w:rsidRPr="00571EB5" w:rsidRDefault="00571EB5" w:rsidP="002C586E">
            <w:pPr>
              <w:autoSpaceDE w:val="0"/>
              <w:autoSpaceDN w:val="0"/>
              <w:adjustRightInd w:val="0"/>
              <w:jc w:val="center"/>
              <w:rPr>
                <w:rFonts w:eastAsia="Times New Roman"/>
                <w:bCs/>
                <w:color w:val="000000"/>
                <w:sz w:val="20"/>
                <w:szCs w:val="20"/>
              </w:rPr>
            </w:pPr>
          </w:p>
          <w:p w:rsidR="00F515B6" w:rsidRPr="00F515B6" w:rsidRDefault="00E05E77" w:rsidP="00F515B6">
            <w:pPr>
              <w:autoSpaceDE w:val="0"/>
              <w:autoSpaceDN w:val="0"/>
              <w:adjustRightInd w:val="0"/>
              <w:jc w:val="center"/>
              <w:rPr>
                <w:rFonts w:eastAsia="Times New Roman"/>
                <w:bCs/>
                <w:color w:val="000000"/>
                <w:sz w:val="20"/>
                <w:szCs w:val="20"/>
              </w:rPr>
            </w:pPr>
            <w:r>
              <w:rPr>
                <w:rFonts w:eastAsia="Times New Roman"/>
                <w:bCs/>
                <w:color w:val="000000"/>
                <w:sz w:val="20"/>
                <w:szCs w:val="20"/>
              </w:rPr>
              <w:t>168</w:t>
            </w:r>
            <w:r w:rsidRPr="00F515B6">
              <w:rPr>
                <w:rFonts w:eastAsia="Times New Roman"/>
                <w:bCs/>
                <w:color w:val="000000"/>
                <w:sz w:val="20"/>
                <w:szCs w:val="20"/>
              </w:rPr>
              <w:t xml:space="preserve"> </w:t>
            </w:r>
            <w:r w:rsidR="00F515B6" w:rsidRPr="00F515B6">
              <w:rPr>
                <w:rFonts w:eastAsia="Times New Roman"/>
                <w:bCs/>
                <w:color w:val="000000"/>
                <w:sz w:val="20"/>
                <w:szCs w:val="20"/>
              </w:rPr>
              <w:t>(</w:t>
            </w:r>
            <w:r>
              <w:rPr>
                <w:rFonts w:eastAsia="Times New Roman"/>
                <w:bCs/>
                <w:color w:val="000000"/>
                <w:sz w:val="20"/>
                <w:szCs w:val="20"/>
              </w:rPr>
              <w:t>41.8</w:t>
            </w:r>
            <w:r w:rsidR="00F515B6" w:rsidRPr="00F515B6">
              <w:rPr>
                <w:rFonts w:eastAsia="Times New Roman"/>
                <w:bCs/>
                <w:color w:val="000000"/>
                <w:sz w:val="20"/>
                <w:szCs w:val="20"/>
              </w:rPr>
              <w:t>%)</w:t>
            </w:r>
          </w:p>
          <w:p w:rsidR="00571EB5" w:rsidRPr="00717FA5" w:rsidRDefault="00E05E77" w:rsidP="00F515B6">
            <w:pPr>
              <w:autoSpaceDE w:val="0"/>
              <w:autoSpaceDN w:val="0"/>
              <w:adjustRightInd w:val="0"/>
              <w:jc w:val="center"/>
              <w:rPr>
                <w:rFonts w:eastAsia="Times New Roman"/>
                <w:bCs/>
                <w:color w:val="000000"/>
                <w:sz w:val="20"/>
                <w:szCs w:val="20"/>
              </w:rPr>
            </w:pPr>
            <w:r>
              <w:rPr>
                <w:rFonts w:eastAsia="Times New Roman"/>
                <w:bCs/>
                <w:color w:val="000000"/>
                <w:sz w:val="20"/>
                <w:szCs w:val="20"/>
              </w:rPr>
              <w:t>56.5</w:t>
            </w:r>
          </w:p>
        </w:tc>
        <w:tc>
          <w:tcPr>
            <w:tcW w:w="1276" w:type="dxa"/>
            <w:shd w:val="clear" w:color="auto" w:fill="auto"/>
            <w:vAlign w:val="center"/>
          </w:tcPr>
          <w:p w:rsidR="00F515B6" w:rsidRPr="00F515B6" w:rsidRDefault="00F515B6" w:rsidP="00F515B6">
            <w:pPr>
              <w:autoSpaceDE w:val="0"/>
              <w:autoSpaceDN w:val="0"/>
              <w:adjustRightInd w:val="0"/>
              <w:jc w:val="center"/>
              <w:rPr>
                <w:rFonts w:eastAsia="Times New Roman"/>
                <w:bCs/>
                <w:color w:val="000000"/>
                <w:sz w:val="20"/>
                <w:szCs w:val="20"/>
              </w:rPr>
            </w:pPr>
            <w:r>
              <w:t xml:space="preserve"> </w:t>
            </w:r>
            <w:r w:rsidRPr="00F515B6">
              <w:rPr>
                <w:rFonts w:eastAsia="Times New Roman"/>
                <w:bCs/>
                <w:color w:val="000000"/>
                <w:sz w:val="20"/>
                <w:szCs w:val="20"/>
              </w:rPr>
              <w:t>0.6</w:t>
            </w:r>
            <w:r w:rsidR="00E05E77">
              <w:rPr>
                <w:rFonts w:eastAsia="Times New Roman"/>
                <w:bCs/>
                <w:color w:val="000000"/>
                <w:sz w:val="20"/>
                <w:szCs w:val="20"/>
              </w:rPr>
              <w:t>8</w:t>
            </w:r>
          </w:p>
          <w:p w:rsidR="00571EB5" w:rsidRPr="00717FA5" w:rsidRDefault="00F515B6" w:rsidP="00E05E77">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[0.5</w:t>
            </w:r>
            <w:r w:rsidR="00E05E77">
              <w:rPr>
                <w:rFonts w:eastAsia="Times New Roman"/>
                <w:bCs/>
                <w:color w:val="000000"/>
                <w:sz w:val="20"/>
                <w:szCs w:val="20"/>
              </w:rPr>
              <w:t>6</w:t>
            </w:r>
            <w:r w:rsidRPr="00F515B6">
              <w:rPr>
                <w:rFonts w:eastAsia="Times New Roman"/>
                <w:bCs/>
                <w:color w:val="000000"/>
                <w:sz w:val="20"/>
                <w:szCs w:val="20"/>
              </w:rPr>
              <w:t>;0.84]</w:t>
            </w:r>
          </w:p>
        </w:tc>
        <w:tc>
          <w:tcPr>
            <w:tcW w:w="1093" w:type="dxa"/>
            <w:shd w:val="clear" w:color="auto" w:fill="auto"/>
            <w:vAlign w:val="center"/>
          </w:tcPr>
          <w:p w:rsidR="00571EB5" w:rsidRPr="00717FA5" w:rsidRDefault="00F515B6" w:rsidP="00893CAC">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0.000</w:t>
            </w:r>
            <w:r w:rsidR="00893CAC">
              <w:rPr>
                <w:rFonts w:eastAsia="Times New Roman"/>
                <w:bCs/>
                <w:color w:val="000000"/>
                <w:sz w:val="20"/>
                <w:szCs w:val="20"/>
              </w:rPr>
              <w:t>2</w:t>
            </w:r>
          </w:p>
        </w:tc>
      </w:tr>
      <w:tr w:rsidR="00571EB5" w:rsidRPr="008130BD" w:rsidTr="00E14D93">
        <w:tc>
          <w:tcPr>
            <w:tcW w:w="3085" w:type="dxa"/>
            <w:shd w:val="clear" w:color="auto" w:fill="auto"/>
            <w:vAlign w:val="center"/>
          </w:tcPr>
          <w:p w:rsidR="00571EB5" w:rsidRPr="00571EB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Progression-Free Survival (investigator assessment)</w:t>
            </w:r>
          </w:p>
          <w:p w:rsidR="00571EB5" w:rsidRPr="00571EB5" w:rsidRDefault="00571EB5" w:rsidP="00FB49D4">
            <w:pPr>
              <w:autoSpaceDE w:val="0"/>
              <w:autoSpaceDN w:val="0"/>
              <w:adjustRightInd w:val="0"/>
              <w:jc w:val="left"/>
              <w:rPr>
                <w:rFonts w:eastAsia="Times New Roman"/>
                <w:b/>
                <w:bCs/>
                <w:color w:val="000000"/>
                <w:sz w:val="20"/>
                <w:szCs w:val="20"/>
              </w:rPr>
            </w:pPr>
          </w:p>
          <w:p w:rsidR="00571EB5" w:rsidRPr="00717FA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No. of patients with an event</w:t>
            </w:r>
          </w:p>
          <w:p w:rsidR="00571EB5" w:rsidRPr="00717FA5" w:rsidRDefault="00571EB5" w:rsidP="00FB49D4">
            <w:pPr>
              <w:autoSpaceDE w:val="0"/>
              <w:autoSpaceDN w:val="0"/>
              <w:adjustRightInd w:val="0"/>
              <w:jc w:val="left"/>
              <w:rPr>
                <w:rFonts w:eastAsia="Times New Roman"/>
                <w:b/>
                <w:bCs/>
                <w:color w:val="000000"/>
                <w:sz w:val="20"/>
                <w:szCs w:val="20"/>
              </w:rPr>
            </w:pPr>
            <w:r w:rsidRPr="00571EB5">
              <w:rPr>
                <w:rFonts w:eastAsia="Times New Roman"/>
                <w:bCs/>
                <w:color w:val="000000"/>
                <w:sz w:val="20"/>
                <w:szCs w:val="20"/>
              </w:rPr>
              <w:t>Median months</w:t>
            </w:r>
          </w:p>
        </w:tc>
        <w:tc>
          <w:tcPr>
            <w:tcW w:w="1701" w:type="dxa"/>
            <w:shd w:val="clear" w:color="auto" w:fill="auto"/>
          </w:tcPr>
          <w:p w:rsidR="00571EB5" w:rsidRPr="00571EB5" w:rsidRDefault="00571EB5" w:rsidP="00E14D93">
            <w:pPr>
              <w:autoSpaceDE w:val="0"/>
              <w:autoSpaceDN w:val="0"/>
              <w:adjustRightInd w:val="0"/>
              <w:spacing w:after="12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250 (61.6%)</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12.4</w:t>
            </w:r>
          </w:p>
        </w:tc>
        <w:tc>
          <w:tcPr>
            <w:tcW w:w="1701" w:type="dxa"/>
            <w:shd w:val="clear" w:color="auto" w:fill="auto"/>
          </w:tcPr>
          <w:p w:rsidR="00571EB5" w:rsidRPr="00571EB5" w:rsidRDefault="00571EB5" w:rsidP="00E14D93">
            <w:pPr>
              <w:autoSpaceDE w:val="0"/>
              <w:autoSpaceDN w:val="0"/>
              <w:adjustRightInd w:val="0"/>
              <w:spacing w:after="12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201 (50.0%)</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18.5</w:t>
            </w:r>
          </w:p>
        </w:tc>
        <w:tc>
          <w:tcPr>
            <w:tcW w:w="1276" w:type="dxa"/>
            <w:shd w:val="clear" w:color="auto" w:fill="auto"/>
            <w:vAlign w:val="center"/>
          </w:tcPr>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0.65</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[0.54;0.78]</w:t>
            </w:r>
          </w:p>
        </w:tc>
        <w:tc>
          <w:tcPr>
            <w:tcW w:w="1093" w:type="dxa"/>
            <w:shd w:val="clear" w:color="auto" w:fill="auto"/>
            <w:vAlign w:val="center"/>
          </w:tcPr>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&lt;0.0001</w:t>
            </w:r>
          </w:p>
        </w:tc>
      </w:tr>
      <w:tr w:rsidR="00571EB5" w:rsidRPr="008130BD" w:rsidTr="00E14D93">
        <w:trPr>
          <w:trHeight w:val="420"/>
        </w:trPr>
        <w:tc>
          <w:tcPr>
            <w:tcW w:w="3085" w:type="dxa"/>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Objective Response Rate (ORR)</w:t>
            </w:r>
          </w:p>
          <w:p w:rsidR="00571EB5" w:rsidRPr="00717FA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No. of patients with an event</w:t>
            </w:r>
          </w:p>
          <w:p w:rsidR="00571EB5" w:rsidRPr="008130BD" w:rsidRDefault="00571EB5" w:rsidP="00FB49D4">
            <w:pPr>
              <w:jc w:val="left"/>
              <w:rPr>
                <w:color w:val="000000"/>
                <w:sz w:val="20"/>
                <w:szCs w:val="20"/>
              </w:rPr>
            </w:pPr>
            <w:r w:rsidRPr="00571EB5">
              <w:rPr>
                <w:color w:val="000000"/>
                <w:sz w:val="20"/>
                <w:szCs w:val="20"/>
              </w:rPr>
              <w:t>Responders</w:t>
            </w:r>
            <w:r w:rsidR="00D66C97">
              <w:rPr>
                <w:color w:val="000000"/>
                <w:sz w:val="20"/>
                <w:szCs w:val="20"/>
              </w:rPr>
              <w:t>*</w:t>
            </w:r>
            <w:r w:rsidRPr="00571EB5">
              <w:rPr>
                <w:color w:val="000000"/>
                <w:sz w:val="20"/>
                <w:szCs w:val="20"/>
              </w:rPr>
              <w:t xml:space="preserve">**                                      </w:t>
            </w:r>
          </w:p>
          <w:p w:rsidR="00571EB5" w:rsidRPr="008130BD" w:rsidRDefault="00571EB5" w:rsidP="00FB49D4">
            <w:pPr>
              <w:jc w:val="left"/>
              <w:rPr>
                <w:color w:val="000000"/>
                <w:sz w:val="20"/>
                <w:szCs w:val="20"/>
              </w:rPr>
            </w:pPr>
            <w:r w:rsidRPr="00571EB5">
              <w:rPr>
                <w:color w:val="000000"/>
                <w:sz w:val="20"/>
                <w:szCs w:val="20"/>
              </w:rPr>
              <w:t xml:space="preserve">95% CI for ORR               </w:t>
            </w:r>
          </w:p>
          <w:p w:rsidR="00571EB5" w:rsidRPr="008130BD" w:rsidRDefault="00571EB5" w:rsidP="00FB49D4">
            <w:pPr>
              <w:jc w:val="left"/>
              <w:rPr>
                <w:color w:val="000000"/>
                <w:sz w:val="20"/>
                <w:szCs w:val="20"/>
              </w:rPr>
            </w:pPr>
            <w:r w:rsidRPr="00571EB5">
              <w:rPr>
                <w:color w:val="000000"/>
                <w:sz w:val="20"/>
                <w:szCs w:val="20"/>
              </w:rPr>
              <w:t xml:space="preserve">Complete response (CR)                            </w:t>
            </w:r>
          </w:p>
          <w:p w:rsidR="00571EB5" w:rsidRPr="008130BD" w:rsidRDefault="00571EB5" w:rsidP="00FB49D4">
            <w:pPr>
              <w:jc w:val="left"/>
              <w:rPr>
                <w:color w:val="000000"/>
                <w:sz w:val="20"/>
                <w:szCs w:val="20"/>
              </w:rPr>
            </w:pPr>
            <w:r w:rsidRPr="00571EB5">
              <w:rPr>
                <w:color w:val="000000"/>
                <w:sz w:val="20"/>
                <w:szCs w:val="20"/>
              </w:rPr>
              <w:t xml:space="preserve">Partial Response (PR)                            </w:t>
            </w:r>
          </w:p>
          <w:p w:rsidR="00571EB5" w:rsidRPr="008130BD" w:rsidRDefault="00571EB5" w:rsidP="00FB49D4">
            <w:pPr>
              <w:jc w:val="left"/>
              <w:rPr>
                <w:color w:val="000000"/>
                <w:sz w:val="20"/>
                <w:szCs w:val="20"/>
              </w:rPr>
            </w:pPr>
            <w:r w:rsidRPr="00571EB5">
              <w:rPr>
                <w:color w:val="000000"/>
                <w:sz w:val="20"/>
                <w:szCs w:val="20"/>
              </w:rPr>
              <w:t xml:space="preserve">Stable disease (SD)                               </w:t>
            </w:r>
          </w:p>
          <w:p w:rsidR="00571EB5" w:rsidRPr="008130BD" w:rsidRDefault="00571EB5" w:rsidP="00FB49D4">
            <w:pPr>
              <w:jc w:val="left"/>
              <w:rPr>
                <w:color w:val="000000"/>
                <w:sz w:val="20"/>
                <w:szCs w:val="20"/>
              </w:rPr>
            </w:pPr>
            <w:r w:rsidRPr="00571EB5">
              <w:rPr>
                <w:color w:val="000000"/>
                <w:sz w:val="20"/>
                <w:szCs w:val="20"/>
              </w:rPr>
              <w:t xml:space="preserve">Progressive disease (PD)                         </w:t>
            </w:r>
          </w:p>
        </w:tc>
        <w:tc>
          <w:tcPr>
            <w:tcW w:w="1701" w:type="dxa"/>
            <w:shd w:val="clear" w:color="auto" w:fill="auto"/>
            <w:vAlign w:val="center"/>
          </w:tcPr>
          <w:p w:rsidR="00571EB5" w:rsidRPr="00717FA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336</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233 (69.3 %)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[64.1; 74.2]</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14 (4.2 %)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219 (65.2 %)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70 (20.8 %)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28 (8.3 %)</w:t>
            </w:r>
          </w:p>
        </w:tc>
        <w:tc>
          <w:tcPr>
            <w:tcW w:w="1701" w:type="dxa"/>
            <w:shd w:val="clear" w:color="auto" w:fill="auto"/>
            <w:vAlign w:val="center"/>
          </w:tcPr>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343</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275 (80.2 %)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[75.6; 84.3]</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19 (5.5 %)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256 (74.6 %)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50 (14.6 %)</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13 (3.8 %)</w:t>
            </w:r>
          </w:p>
        </w:tc>
        <w:tc>
          <w:tcPr>
            <w:tcW w:w="1276" w:type="dxa"/>
            <w:shd w:val="clear" w:color="auto" w:fill="auto"/>
          </w:tcPr>
          <w:p w:rsidR="00F515B6" w:rsidRDefault="00F515B6" w:rsidP="00F515B6">
            <w:pPr>
              <w:autoSpaceDE w:val="0"/>
              <w:autoSpaceDN w:val="0"/>
              <w:adjustRightInd w:val="0"/>
              <w:jc w:val="center"/>
              <w:rPr>
                <w:rFonts w:eastAsia="Times New Roman"/>
                <w:bCs/>
                <w:color w:val="000000"/>
                <w:sz w:val="20"/>
                <w:szCs w:val="20"/>
              </w:rPr>
            </w:pPr>
          </w:p>
          <w:p w:rsidR="005307FA" w:rsidRDefault="005307FA" w:rsidP="00F515B6">
            <w:pPr>
              <w:autoSpaceDE w:val="0"/>
              <w:autoSpaceDN w:val="0"/>
              <w:adjustRightInd w:val="0"/>
              <w:jc w:val="center"/>
              <w:rPr>
                <w:rFonts w:eastAsia="Times New Roman"/>
                <w:bCs/>
                <w:color w:val="000000"/>
                <w:sz w:val="20"/>
                <w:szCs w:val="20"/>
              </w:rPr>
            </w:pPr>
          </w:p>
          <w:p w:rsidR="00F515B6" w:rsidRPr="00F515B6" w:rsidRDefault="00F515B6" w:rsidP="00F515B6">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Difference in ORR:</w:t>
            </w:r>
          </w:p>
          <w:p w:rsidR="00F515B6" w:rsidRPr="00F515B6" w:rsidRDefault="00F515B6" w:rsidP="00F515B6">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10.8%</w:t>
            </w:r>
          </w:p>
          <w:p w:rsidR="00571EB5" w:rsidRPr="00571EB5" w:rsidRDefault="00F515B6" w:rsidP="00F515B6">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[4.2,17.5]%</w:t>
            </w:r>
          </w:p>
        </w:tc>
        <w:tc>
          <w:tcPr>
            <w:tcW w:w="1093" w:type="dxa"/>
            <w:shd w:val="clear" w:color="auto" w:fill="auto"/>
            <w:vAlign w:val="center"/>
          </w:tcPr>
          <w:p w:rsidR="00F515B6" w:rsidRDefault="00F515B6" w:rsidP="005307FA">
            <w:pPr>
              <w:autoSpaceDE w:val="0"/>
              <w:autoSpaceDN w:val="0"/>
              <w:adjustRightInd w:val="0"/>
              <w:jc w:val="center"/>
              <w:rPr>
                <w:rFonts w:eastAsia="Times New Roman"/>
                <w:bCs/>
                <w:color w:val="000000"/>
                <w:sz w:val="20"/>
                <w:szCs w:val="20"/>
              </w:rPr>
            </w:pPr>
          </w:p>
          <w:p w:rsidR="00571EB5" w:rsidRPr="00571EB5" w:rsidRDefault="00F515B6" w:rsidP="005307FA">
            <w:pPr>
              <w:autoSpaceDE w:val="0"/>
              <w:autoSpaceDN w:val="0"/>
              <w:adjustRightInd w:val="0"/>
              <w:jc w:val="center"/>
              <w:rPr>
                <w:rFonts w:eastAsia="Times New Roman"/>
                <w:bCs/>
                <w:color w:val="000000"/>
                <w:sz w:val="20"/>
                <w:szCs w:val="20"/>
              </w:rPr>
            </w:pPr>
            <w:r w:rsidRPr="00F515B6">
              <w:rPr>
                <w:rFonts w:eastAsia="Times New Roman"/>
                <w:bCs/>
                <w:color w:val="000000"/>
                <w:sz w:val="20"/>
                <w:szCs w:val="20"/>
              </w:rPr>
              <w:t>0.0011</w:t>
            </w:r>
          </w:p>
        </w:tc>
      </w:tr>
      <w:tr w:rsidR="00571EB5" w:rsidRPr="008130BD" w:rsidTr="00E14D93">
        <w:tc>
          <w:tcPr>
            <w:tcW w:w="3085" w:type="dxa"/>
            <w:shd w:val="clear" w:color="auto" w:fill="auto"/>
            <w:vAlign w:val="center"/>
          </w:tcPr>
          <w:p w:rsidR="00571EB5" w:rsidRPr="00717FA5" w:rsidRDefault="00571EB5" w:rsidP="00FB49D4">
            <w:pPr>
              <w:autoSpaceDE w:val="0"/>
              <w:autoSpaceDN w:val="0"/>
              <w:adjustRightInd w:val="0"/>
              <w:jc w:val="left"/>
              <w:rPr>
                <w:rFonts w:eastAsia="Times New Roman"/>
                <w:b/>
                <w:bCs/>
                <w:color w:val="000000"/>
                <w:sz w:val="20"/>
                <w:szCs w:val="20"/>
              </w:rPr>
            </w:pPr>
            <w:r w:rsidRPr="00717FA5">
              <w:rPr>
                <w:rFonts w:eastAsia="Times New Roman"/>
                <w:b/>
                <w:bCs/>
                <w:color w:val="000000"/>
                <w:sz w:val="20"/>
                <w:szCs w:val="20"/>
              </w:rPr>
              <w:t>Duration of Response ^</w:t>
            </w:r>
            <w:r w:rsidR="00D66C97">
              <w:rPr>
                <w:rFonts w:eastAsia="Times New Roman"/>
                <w:b/>
                <w:bCs/>
                <w:color w:val="000000"/>
                <w:sz w:val="20"/>
                <w:szCs w:val="20"/>
              </w:rPr>
              <w:t>#</w:t>
            </w:r>
          </w:p>
          <w:p w:rsidR="00571EB5" w:rsidRPr="00717FA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n=</w:t>
            </w:r>
          </w:p>
          <w:p w:rsidR="00571EB5" w:rsidRPr="00717FA5" w:rsidRDefault="00571EB5" w:rsidP="00FB49D4">
            <w:pPr>
              <w:autoSpaceDE w:val="0"/>
              <w:autoSpaceDN w:val="0"/>
              <w:adjustRightInd w:val="0"/>
              <w:jc w:val="left"/>
              <w:rPr>
                <w:rFonts w:eastAsia="Times New Roman"/>
                <w:bCs/>
                <w:color w:val="000000"/>
                <w:sz w:val="20"/>
                <w:szCs w:val="20"/>
              </w:rPr>
            </w:pPr>
            <w:r w:rsidRPr="00571EB5">
              <w:rPr>
                <w:rFonts w:eastAsia="Times New Roman"/>
                <w:bCs/>
                <w:color w:val="000000"/>
                <w:sz w:val="20"/>
                <w:szCs w:val="20"/>
              </w:rPr>
              <w:t xml:space="preserve">Median weeks </w:t>
            </w:r>
          </w:p>
          <w:p w:rsidR="00571EB5" w:rsidRPr="00717FA5" w:rsidRDefault="00571EB5" w:rsidP="00FB49D4">
            <w:pPr>
              <w:autoSpaceDE w:val="0"/>
              <w:autoSpaceDN w:val="0"/>
              <w:adjustRightInd w:val="0"/>
              <w:jc w:val="left"/>
              <w:rPr>
                <w:rFonts w:eastAsia="Times New Roman"/>
                <w:b/>
                <w:bCs/>
                <w:color w:val="000000"/>
                <w:sz w:val="20"/>
                <w:szCs w:val="20"/>
              </w:rPr>
            </w:pPr>
            <w:r w:rsidRPr="00571EB5">
              <w:rPr>
                <w:rFonts w:eastAsia="Times New Roman"/>
                <w:bCs/>
                <w:color w:val="000000"/>
                <w:sz w:val="20"/>
                <w:szCs w:val="20"/>
              </w:rPr>
              <w:t>95% CI for Median</w:t>
            </w:r>
          </w:p>
        </w:tc>
        <w:tc>
          <w:tcPr>
            <w:tcW w:w="1701"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233</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54.1</w:t>
            </w:r>
          </w:p>
          <w:p w:rsidR="00571EB5" w:rsidRPr="00717FA5" w:rsidRDefault="00571EB5" w:rsidP="004335B1">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[46;</w:t>
            </w:r>
            <w:r w:rsidR="004335B1">
              <w:rPr>
                <w:rFonts w:eastAsia="Times New Roman"/>
                <w:bCs/>
                <w:color w:val="000000"/>
                <w:sz w:val="20"/>
                <w:szCs w:val="20"/>
              </w:rPr>
              <w:t>6</w:t>
            </w:r>
            <w:r w:rsidRPr="00571EB5">
              <w:rPr>
                <w:rFonts w:eastAsia="Times New Roman"/>
                <w:bCs/>
                <w:color w:val="000000"/>
                <w:sz w:val="20"/>
                <w:szCs w:val="20"/>
              </w:rPr>
              <w:t>4]</w:t>
            </w:r>
          </w:p>
        </w:tc>
        <w:tc>
          <w:tcPr>
            <w:tcW w:w="1701"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275</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87.6</w:t>
            </w:r>
          </w:p>
          <w:p w:rsidR="00571EB5" w:rsidRPr="00717FA5" w:rsidRDefault="00571EB5" w:rsidP="00FB49D4">
            <w:pPr>
              <w:autoSpaceDE w:val="0"/>
              <w:autoSpaceDN w:val="0"/>
              <w:adjustRightInd w:val="0"/>
              <w:jc w:val="center"/>
              <w:rPr>
                <w:rFonts w:eastAsia="Times New Roman"/>
                <w:bCs/>
                <w:color w:val="000000"/>
                <w:sz w:val="20"/>
                <w:szCs w:val="20"/>
              </w:rPr>
            </w:pPr>
            <w:r w:rsidRPr="00571EB5">
              <w:rPr>
                <w:rFonts w:eastAsia="Times New Roman"/>
                <w:bCs/>
                <w:color w:val="000000"/>
                <w:sz w:val="20"/>
                <w:szCs w:val="20"/>
              </w:rPr>
              <w:t>[71;106]</w:t>
            </w:r>
          </w:p>
        </w:tc>
        <w:tc>
          <w:tcPr>
            <w:tcW w:w="1276"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tc>
        <w:tc>
          <w:tcPr>
            <w:tcW w:w="1093" w:type="dxa"/>
            <w:shd w:val="clear" w:color="auto" w:fill="auto"/>
          </w:tcPr>
          <w:p w:rsidR="00571EB5" w:rsidRPr="00571EB5" w:rsidRDefault="00571EB5" w:rsidP="00FB49D4">
            <w:pPr>
              <w:autoSpaceDE w:val="0"/>
              <w:autoSpaceDN w:val="0"/>
              <w:adjustRightInd w:val="0"/>
              <w:jc w:val="center"/>
              <w:rPr>
                <w:rFonts w:eastAsia="Times New Roman"/>
                <w:bCs/>
                <w:color w:val="000000"/>
                <w:sz w:val="20"/>
                <w:szCs w:val="20"/>
              </w:rPr>
            </w:pPr>
          </w:p>
        </w:tc>
      </w:tr>
    </w:tbl>
    <w:p w:rsidR="00D66C97" w:rsidRDefault="00F515B6" w:rsidP="00571EB5">
      <w:pPr>
        <w:rPr>
          <w:color w:val="000000"/>
          <w:sz w:val="20"/>
          <w:szCs w:val="20"/>
        </w:rPr>
      </w:pPr>
      <w:bookmarkStart w:id="6" w:name="_Ref319414139"/>
      <w:r w:rsidRPr="00F515B6">
        <w:rPr>
          <w:color w:val="000000"/>
          <w:sz w:val="20"/>
          <w:szCs w:val="20"/>
        </w:rPr>
        <w:t xml:space="preserve">* </w:t>
      </w:r>
      <w:r w:rsidR="004335B1" w:rsidDel="004335B1">
        <w:rPr>
          <w:color w:val="000000"/>
          <w:sz w:val="20"/>
          <w:szCs w:val="20"/>
        </w:rPr>
        <w:t xml:space="preserve"> </w:t>
      </w:r>
      <w:r w:rsidR="00D66C97">
        <w:rPr>
          <w:color w:val="000000"/>
          <w:sz w:val="20"/>
          <w:szCs w:val="20"/>
        </w:rPr>
        <w:t xml:space="preserve">Primary progression-free survival analysis, </w:t>
      </w:r>
      <w:proofErr w:type="spellStart"/>
      <w:r w:rsidR="00D66C97">
        <w:rPr>
          <w:color w:val="000000"/>
          <w:sz w:val="20"/>
          <w:szCs w:val="20"/>
        </w:rPr>
        <w:t>cutoff</w:t>
      </w:r>
      <w:proofErr w:type="spellEnd"/>
      <w:r w:rsidR="00D66C97">
        <w:rPr>
          <w:color w:val="000000"/>
          <w:sz w:val="20"/>
          <w:szCs w:val="20"/>
        </w:rPr>
        <w:t xml:space="preserve"> date 13 May 2011</w:t>
      </w:r>
    </w:p>
    <w:p w:rsidR="00D66C97" w:rsidRDefault="00D66C97" w:rsidP="00571EB5">
      <w:pPr>
        <w:rPr>
          <w:color w:val="000000"/>
          <w:sz w:val="20"/>
          <w:szCs w:val="20"/>
        </w:rPr>
      </w:pPr>
      <w:r>
        <w:rPr>
          <w:color w:val="000000"/>
          <w:sz w:val="20"/>
          <w:szCs w:val="20"/>
        </w:rPr>
        <w:t xml:space="preserve">** Final analysis of overall survival, </w:t>
      </w:r>
      <w:proofErr w:type="spellStart"/>
      <w:r>
        <w:rPr>
          <w:color w:val="000000"/>
          <w:sz w:val="20"/>
          <w:szCs w:val="20"/>
        </w:rPr>
        <w:t>cutoff</w:t>
      </w:r>
      <w:proofErr w:type="spellEnd"/>
      <w:r>
        <w:rPr>
          <w:color w:val="000000"/>
          <w:sz w:val="20"/>
          <w:szCs w:val="20"/>
        </w:rPr>
        <w:t xml:space="preserve"> date 11 February 2014</w:t>
      </w:r>
    </w:p>
    <w:p w:rsidR="00571EB5" w:rsidRPr="008130BD" w:rsidRDefault="00571EB5" w:rsidP="00571EB5">
      <w:pPr>
        <w:rPr>
          <w:color w:val="000000"/>
          <w:sz w:val="20"/>
          <w:szCs w:val="20"/>
        </w:rPr>
      </w:pPr>
      <w:r w:rsidRPr="00571EB5">
        <w:rPr>
          <w:color w:val="000000"/>
          <w:sz w:val="20"/>
          <w:szCs w:val="20"/>
        </w:rPr>
        <w:t>**</w:t>
      </w:r>
      <w:r w:rsidR="00D66C97">
        <w:rPr>
          <w:color w:val="000000"/>
          <w:sz w:val="20"/>
          <w:szCs w:val="20"/>
        </w:rPr>
        <w:t>*</w:t>
      </w:r>
      <w:r w:rsidRPr="00571EB5">
        <w:rPr>
          <w:color w:val="000000"/>
          <w:sz w:val="20"/>
          <w:szCs w:val="20"/>
        </w:rPr>
        <w:t xml:space="preserve"> Patients with best overall response of confirmed CR or PR by RECIST.</w:t>
      </w:r>
    </w:p>
    <w:p w:rsidR="00571EB5" w:rsidRPr="008130BD" w:rsidRDefault="00571EB5" w:rsidP="00571EB5">
      <w:pPr>
        <w:rPr>
          <w:color w:val="000000"/>
          <w:sz w:val="20"/>
          <w:szCs w:val="20"/>
        </w:rPr>
      </w:pPr>
      <w:r w:rsidRPr="00571EB5">
        <w:rPr>
          <w:color w:val="000000"/>
          <w:sz w:val="20"/>
          <w:szCs w:val="20"/>
        </w:rPr>
        <w:t>^ Evaluated in patients with best Overall Response of CR or PR</w:t>
      </w:r>
    </w:p>
    <w:p w:rsidR="00571EB5" w:rsidRPr="008130BD" w:rsidRDefault="00D66C97" w:rsidP="00571EB5">
      <w:pPr>
        <w:rPr>
          <w:color w:val="000000"/>
          <w:sz w:val="20"/>
          <w:szCs w:val="20"/>
        </w:rPr>
      </w:pPr>
      <w:r>
        <w:rPr>
          <w:color w:val="000000"/>
          <w:sz w:val="20"/>
          <w:szCs w:val="20"/>
        </w:rPr>
        <w:t xml:space="preserve"># </w:t>
      </w:r>
      <w:r w:rsidR="00571EB5" w:rsidRPr="00571EB5">
        <w:rPr>
          <w:color w:val="000000"/>
          <w:sz w:val="20"/>
          <w:szCs w:val="20"/>
        </w:rPr>
        <w:t>Objective response rate and duration of response are based on IRF-assessed tumour assessments</w:t>
      </w:r>
    </w:p>
    <w:p w:rsidR="00571EB5" w:rsidRPr="008130BD" w:rsidRDefault="00571EB5" w:rsidP="00571EB5">
      <w:pPr>
        <w:rPr>
          <w:color w:val="000000"/>
          <w:sz w:val="20"/>
          <w:szCs w:val="20"/>
        </w:rPr>
      </w:pPr>
    </w:p>
    <w:p w:rsidR="00717FA5" w:rsidRPr="00571EB5" w:rsidRDefault="00717FA5" w:rsidP="00490A0C">
      <w:pPr>
        <w:rPr>
          <w:b/>
          <w:bCs/>
        </w:rPr>
        <w:sectPr w:rsidR="00717FA5" w:rsidRPr="00571EB5" w:rsidSect="004A60B2">
          <w:headerReference w:type="default" r:id="rId9"/>
          <w:footerReference w:type="default" r:id="rId10"/>
          <w:pgSz w:w="11907" w:h="16839" w:code="9"/>
          <w:pgMar w:top="1418" w:right="1418" w:bottom="1418" w:left="1418" w:header="567" w:footer="567" w:gutter="0"/>
          <w:cols w:space="708"/>
          <w:docGrid w:linePitch="360"/>
        </w:sectPr>
      </w:pPr>
    </w:p>
    <w:p w:rsidR="00D906B8" w:rsidRPr="0003793F" w:rsidRDefault="00397C6E" w:rsidP="00DC654B">
      <w:pPr>
        <w:rPr>
          <w:b/>
        </w:rPr>
      </w:pPr>
      <w:r w:rsidRPr="0003793F">
        <w:rPr>
          <w:b/>
        </w:rPr>
        <w:lastRenderedPageBreak/>
        <w:t xml:space="preserve">Figure </w:t>
      </w:r>
      <w:r w:rsidR="00E4631F" w:rsidRPr="0003793F">
        <w:rPr>
          <w:b/>
        </w:rPr>
        <w:fldChar w:fldCharType="begin"/>
      </w:r>
      <w:r w:rsidR="00E4631F" w:rsidRPr="0003793F">
        <w:rPr>
          <w:b/>
        </w:rPr>
        <w:instrText xml:space="preserve"> SEQ Figure \* ARABIC </w:instrText>
      </w:r>
      <w:r w:rsidR="00E4631F" w:rsidRPr="0003793F">
        <w:rPr>
          <w:b/>
        </w:rPr>
        <w:fldChar w:fldCharType="separate"/>
      </w:r>
      <w:r w:rsidR="003C0FBE" w:rsidRPr="0003793F">
        <w:rPr>
          <w:b/>
          <w:noProof/>
        </w:rPr>
        <w:t>1</w:t>
      </w:r>
      <w:r w:rsidR="00E4631F" w:rsidRPr="0003793F">
        <w:rPr>
          <w:b/>
          <w:noProof/>
        </w:rPr>
        <w:fldChar w:fldCharType="end"/>
      </w:r>
      <w:bookmarkEnd w:id="6"/>
      <w:r w:rsidR="00B15931" w:rsidRPr="0003793F">
        <w:rPr>
          <w:b/>
          <w:color w:val="000000"/>
        </w:rPr>
        <w:t xml:space="preserve">: </w:t>
      </w:r>
      <w:r w:rsidR="0022375A" w:rsidRPr="0003793F">
        <w:rPr>
          <w:b/>
          <w:color w:val="000000"/>
        </w:rPr>
        <w:t>Kaplan-Meier curve of IRF-assessed progression-free survival</w:t>
      </w:r>
    </w:p>
    <w:p w:rsidR="0022375A" w:rsidRPr="008130BD" w:rsidRDefault="00C14501" w:rsidP="0022375A">
      <w:pPr>
        <w:pStyle w:val="FigureHolder"/>
        <w:jc w:val="both"/>
        <w:rPr>
          <w:rFonts w:ascii="Times New Roman" w:hAnsi="Times New Roman"/>
          <w:color w:val="000000"/>
        </w:rPr>
      </w:pPr>
      <w:r>
        <w:rPr>
          <w:rFonts w:ascii="Times New Roman" w:hAnsi="Times New Roman"/>
          <w:noProof/>
          <w:color w:val="000000"/>
          <w:lang w:val="en-AU" w:eastAsia="en-AU"/>
        </w:rPr>
        <w:drawing>
          <wp:inline distT="0" distB="0" distL="0" distR="0">
            <wp:extent cx="5486400" cy="3657600"/>
            <wp:effectExtent l="0" t="0" r="0" b="0"/>
            <wp:docPr id="2" name="Picture 3" descr="Description: f_ttev1_irf_pfs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_ttev1_irf_pfs_i"/>
                    <pic:cNvPicPr>
                      <a:picLocks noChangeAspect="1" noChangeArrowheads="1"/>
                    </pic:cNvPicPr>
                  </pic:nvPicPr>
                  <pic:blipFill>
                    <a:blip r:embed="rId11" cstate="print">
                      <a:extLst>
                        <a:ext uri="{28A0092B-C50C-407E-A947-70E740481C1C}">
                          <a14:useLocalDpi xmlns:a14="http://schemas.microsoft.com/office/drawing/2010/main" val="0"/>
                        </a:ext>
                      </a:extLst>
                    </a:blip>
                    <a:srcRect t="7416" b="6293"/>
                    <a:stretch>
                      <a:fillRect/>
                    </a:stretch>
                  </pic:blipFill>
                  <pic:spPr bwMode="auto">
                    <a:xfrm>
                      <a:off x="0" y="0"/>
                      <a:ext cx="5486400" cy="3657600"/>
                    </a:xfrm>
                    <a:prstGeom prst="rect">
                      <a:avLst/>
                    </a:prstGeom>
                    <a:noFill/>
                    <a:ln>
                      <a:noFill/>
                    </a:ln>
                  </pic:spPr>
                </pic:pic>
              </a:graphicData>
            </a:graphic>
          </wp:inline>
        </w:drawing>
      </w:r>
    </w:p>
    <w:p w:rsidR="00B15931" w:rsidRPr="008130BD" w:rsidRDefault="00B15931" w:rsidP="00C643A5"/>
    <w:p w:rsidR="0022375A" w:rsidRPr="008130BD" w:rsidRDefault="0022375A" w:rsidP="0022375A">
      <w:pPr>
        <w:pStyle w:val="Paragraph"/>
        <w:jc w:val="both"/>
        <w:rPr>
          <w:rFonts w:ascii="Times New Roman" w:hAnsi="Times New Roman"/>
          <w:color w:val="000000"/>
          <w:sz w:val="20"/>
          <w:szCs w:val="20"/>
        </w:rPr>
      </w:pPr>
    </w:p>
    <w:p w:rsidR="0022375A" w:rsidRPr="008130BD" w:rsidRDefault="003E3BE4" w:rsidP="003E3BE4">
      <w:pPr>
        <w:pStyle w:val="Caption"/>
        <w:rPr>
          <w:b w:val="0"/>
          <w:color w:val="000000"/>
          <w:lang w:val="en-US"/>
        </w:rPr>
      </w:pPr>
      <w:bookmarkStart w:id="8" w:name="_Ref319415101"/>
      <w:bookmarkStart w:id="9" w:name="_Ref301435981"/>
      <w:bookmarkStart w:id="10" w:name="_Toc303332048"/>
      <w:bookmarkStart w:id="11" w:name="_Toc304304270"/>
      <w:bookmarkStart w:id="12" w:name="_Toc304304751"/>
      <w:bookmarkStart w:id="13" w:name="_Toc304321784"/>
      <w:r w:rsidRPr="008130BD">
        <w:t xml:space="preserve">Figure </w:t>
      </w:r>
      <w:r w:rsidR="00BF2811">
        <w:fldChar w:fldCharType="begin"/>
      </w:r>
      <w:r w:rsidR="00BF2811">
        <w:instrText xml:space="preserve"> SEQ Figure \* ARABIC </w:instrText>
      </w:r>
      <w:r w:rsidR="00BF2811">
        <w:fldChar w:fldCharType="separate"/>
      </w:r>
      <w:r w:rsidR="003C0FBE">
        <w:rPr>
          <w:noProof/>
        </w:rPr>
        <w:t>2</w:t>
      </w:r>
      <w:r w:rsidR="00BF2811">
        <w:rPr>
          <w:noProof/>
        </w:rPr>
        <w:fldChar w:fldCharType="end"/>
      </w:r>
      <w:bookmarkEnd w:id="8"/>
      <w:r w:rsidR="00B15931" w:rsidRPr="008130BD">
        <w:t xml:space="preserve">: </w:t>
      </w:r>
      <w:r w:rsidR="0022375A" w:rsidRPr="008130BD">
        <w:rPr>
          <w:color w:val="000000"/>
        </w:rPr>
        <w:t>IRF assessed PFS by patient subgroup</w:t>
      </w:r>
    </w:p>
    <w:p w:rsidR="0022375A" w:rsidRPr="008130BD" w:rsidRDefault="00C14501" w:rsidP="0022375A">
      <w:pPr>
        <w:pStyle w:val="FigureHolder"/>
        <w:rPr>
          <w:rFonts w:ascii="Times New Roman" w:hAnsi="Times New Roman"/>
          <w:color w:val="000000"/>
          <w:lang w:val="en-US"/>
        </w:rPr>
      </w:pPr>
      <w:r>
        <w:rPr>
          <w:rFonts w:ascii="Times New Roman" w:eastAsia="PMingLiU" w:hAnsi="Times New Roman"/>
          <w:noProof/>
          <w:color w:val="000000"/>
          <w:lang w:val="en-AU" w:eastAsia="en-AU"/>
        </w:rPr>
        <w:drawing>
          <wp:inline distT="0" distB="0" distL="0" distR="0">
            <wp:extent cx="5638800" cy="3629025"/>
            <wp:effectExtent l="0" t="0" r="0" b="9525"/>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3629025"/>
                    </a:xfrm>
                    <a:prstGeom prst="rect">
                      <a:avLst/>
                    </a:prstGeom>
                    <a:noFill/>
                    <a:ln>
                      <a:noFill/>
                    </a:ln>
                  </pic:spPr>
                </pic:pic>
              </a:graphicData>
            </a:graphic>
          </wp:inline>
        </w:drawing>
      </w:r>
    </w:p>
    <w:p w:rsidR="000E408E" w:rsidRDefault="000E408E" w:rsidP="00E85C3D">
      <w:pPr>
        <w:pStyle w:val="Paragraph"/>
        <w:spacing w:after="120"/>
        <w:jc w:val="both"/>
        <w:rPr>
          <w:rFonts w:ascii="Times New Roman" w:eastAsia="PMingLiU" w:hAnsi="Times New Roman"/>
          <w:color w:val="000000"/>
          <w:szCs w:val="22"/>
          <w:lang w:val="en-US" w:eastAsia="zh-TW"/>
        </w:rPr>
      </w:pPr>
    </w:p>
    <w:p w:rsidR="000E408E" w:rsidRDefault="000E408E" w:rsidP="00E85C3D">
      <w:pPr>
        <w:pStyle w:val="Paragraph"/>
        <w:spacing w:after="120"/>
        <w:jc w:val="both"/>
        <w:rPr>
          <w:rFonts w:ascii="Times New Roman" w:eastAsia="PMingLiU" w:hAnsi="Times New Roman"/>
          <w:color w:val="000000"/>
          <w:szCs w:val="22"/>
          <w:lang w:val="en-US" w:eastAsia="zh-TW"/>
        </w:rPr>
      </w:pPr>
    </w:p>
    <w:p w:rsidR="00B45621" w:rsidRDefault="0022375A" w:rsidP="00E85C3D">
      <w:pPr>
        <w:pStyle w:val="Paragraph"/>
        <w:spacing w:after="120"/>
        <w:jc w:val="both"/>
      </w:pPr>
      <w:r w:rsidRPr="008130BD">
        <w:rPr>
          <w:rFonts w:ascii="Times New Roman" w:eastAsia="PMingLiU" w:hAnsi="Times New Roman"/>
          <w:color w:val="000000"/>
          <w:szCs w:val="22"/>
          <w:lang w:val="en-US" w:eastAsia="zh-TW"/>
        </w:rPr>
        <w:t xml:space="preserve">At the primary </w:t>
      </w:r>
      <w:r w:rsidR="00B45621">
        <w:rPr>
          <w:rFonts w:ascii="Times New Roman" w:eastAsia="PMingLiU" w:hAnsi="Times New Roman"/>
          <w:color w:val="000000"/>
          <w:szCs w:val="22"/>
          <w:lang w:val="en-US" w:eastAsia="zh-TW"/>
        </w:rPr>
        <w:t xml:space="preserve">analysis of </w:t>
      </w:r>
      <w:r w:rsidRPr="008130BD">
        <w:rPr>
          <w:rFonts w:ascii="Times New Roman" w:eastAsia="PMingLiU" w:hAnsi="Times New Roman"/>
          <w:color w:val="000000"/>
          <w:szCs w:val="22"/>
          <w:lang w:val="en-US" w:eastAsia="zh-TW"/>
        </w:rPr>
        <w:t>efficacy</w:t>
      </w:r>
      <w:r w:rsidR="00B45621" w:rsidRPr="00B45621">
        <w:t xml:space="preserve"> </w:t>
      </w:r>
      <w:r w:rsidR="00B45621" w:rsidRPr="00B45621">
        <w:rPr>
          <w:rFonts w:ascii="Times New Roman" w:eastAsia="PMingLiU" w:hAnsi="Times New Roman"/>
          <w:color w:val="000000"/>
          <w:szCs w:val="22"/>
          <w:lang w:val="en-US" w:eastAsia="zh-TW"/>
        </w:rPr>
        <w:t>an interim analysis of</w:t>
      </w:r>
      <w:r w:rsidRPr="008130BD">
        <w:rPr>
          <w:rFonts w:ascii="Times New Roman" w:eastAsia="PMingLiU" w:hAnsi="Times New Roman"/>
          <w:color w:val="000000"/>
          <w:szCs w:val="22"/>
          <w:lang w:val="en-US" w:eastAsia="zh-TW"/>
        </w:rPr>
        <w:t xml:space="preserve"> </w:t>
      </w:r>
      <w:r w:rsidRPr="00571EB5">
        <w:rPr>
          <w:rFonts w:ascii="Times New Roman" w:eastAsia="PMingLiU" w:hAnsi="Times New Roman"/>
          <w:color w:val="000000"/>
          <w:szCs w:val="22"/>
          <w:lang w:val="en-US" w:eastAsia="zh-TW"/>
        </w:rPr>
        <w:t xml:space="preserve">OS showed a strong trend suggestive of a survival benefit in </w:t>
      </w:r>
      <w:proofErr w:type="spellStart"/>
      <w:r w:rsidRPr="00571EB5">
        <w:rPr>
          <w:rFonts w:ascii="Times New Roman" w:eastAsia="PMingLiU" w:hAnsi="Times New Roman"/>
          <w:color w:val="000000"/>
          <w:szCs w:val="22"/>
          <w:lang w:val="en-US" w:eastAsia="zh-TW"/>
        </w:rPr>
        <w:t>favour</w:t>
      </w:r>
      <w:proofErr w:type="spellEnd"/>
      <w:r w:rsidRPr="00571EB5">
        <w:rPr>
          <w:rFonts w:ascii="Times New Roman" w:eastAsia="PMingLiU" w:hAnsi="Times New Roman"/>
          <w:color w:val="000000"/>
          <w:szCs w:val="22"/>
          <w:lang w:val="en-US" w:eastAsia="zh-TW"/>
        </w:rPr>
        <w:t xml:space="preserve"> of </w:t>
      </w:r>
      <w:r w:rsidR="00893CAC">
        <w:rPr>
          <w:rFonts w:ascii="Times New Roman" w:eastAsia="PMingLiU" w:hAnsi="Times New Roman"/>
          <w:color w:val="000000"/>
          <w:szCs w:val="22"/>
          <w:lang w:val="en-US" w:eastAsia="zh-TW"/>
        </w:rPr>
        <w:t xml:space="preserve">the </w:t>
      </w:r>
      <w:r w:rsidR="00123310">
        <w:rPr>
          <w:rFonts w:ascii="Times New Roman" w:eastAsia="PMingLiU" w:hAnsi="Times New Roman"/>
          <w:color w:val="000000"/>
          <w:szCs w:val="22"/>
          <w:lang w:val="en-US" w:eastAsia="zh-TW"/>
        </w:rPr>
        <w:t>PERJETA</w:t>
      </w:r>
      <w:r w:rsidRPr="00571EB5">
        <w:rPr>
          <w:rFonts w:ascii="Times New Roman" w:eastAsia="PMingLiU" w:hAnsi="Times New Roman"/>
          <w:color w:val="000000"/>
          <w:szCs w:val="22"/>
          <w:lang w:val="en-US" w:eastAsia="zh-TW"/>
        </w:rPr>
        <w:t xml:space="preserve"> treated group</w:t>
      </w:r>
      <w:r w:rsidRPr="00571EB5">
        <w:rPr>
          <w:rFonts w:ascii="Times New Roman" w:hAnsi="Times New Roman"/>
          <w:color w:val="000000"/>
        </w:rPr>
        <w:t>.</w:t>
      </w:r>
      <w:r w:rsidR="00B45621" w:rsidRPr="00B45621">
        <w:t xml:space="preserve"> </w:t>
      </w:r>
    </w:p>
    <w:p w:rsidR="00893CAC" w:rsidRPr="00FF379A" w:rsidRDefault="00893CAC" w:rsidP="00893CAC">
      <w:pPr>
        <w:keepNext/>
        <w:keepLines/>
        <w:spacing w:after="170"/>
      </w:pPr>
      <w:r w:rsidRPr="00FF379A">
        <w:t xml:space="preserve">The final analysis of OS was performed when 389 patients had died (221 in the Placebo-treated group and 168 in the PERJETA-treated group). The statistically significant OS benefit in favour of the PERJETA-treated group was maintained (HR 0.68, p = 0.0002 log-rank test). The median time to death was 40.8 months in the placebo-treated group and 56.5 months in the PERJETA-treated group (see Table 1, Figure 3). </w:t>
      </w:r>
    </w:p>
    <w:bookmarkEnd w:id="9"/>
    <w:bookmarkEnd w:id="10"/>
    <w:bookmarkEnd w:id="11"/>
    <w:bookmarkEnd w:id="12"/>
    <w:bookmarkEnd w:id="13"/>
    <w:p w:rsidR="0011052B" w:rsidRPr="0011052B" w:rsidRDefault="0011052B" w:rsidP="0011052B"/>
    <w:p w:rsidR="00D906B8" w:rsidRPr="00FF379A" w:rsidRDefault="00FF379A" w:rsidP="00DC654B">
      <w:pPr>
        <w:rPr>
          <w:b/>
        </w:rPr>
      </w:pPr>
      <w:r>
        <w:rPr>
          <w:b/>
        </w:rPr>
        <w:t>Figure 3 Kaplan-Meier curve of overall survival</w:t>
      </w:r>
    </w:p>
    <w:p w:rsidR="00D906B8" w:rsidRDefault="00D906B8" w:rsidP="00DC654B">
      <w:pPr>
        <w:rPr>
          <w:rFonts w:ascii="Minion" w:hAnsi="Minion"/>
          <w:color w:val="FF0000"/>
        </w:rPr>
      </w:pPr>
    </w:p>
    <w:p w:rsidR="00D906B8" w:rsidRPr="00D906B8" w:rsidRDefault="00C14501" w:rsidP="00DC654B">
      <w:r>
        <w:rPr>
          <w:noProof/>
          <w:color w:val="FF0000"/>
          <w:lang w:eastAsia="en-AU"/>
        </w:rPr>
        <w:drawing>
          <wp:inline distT="0" distB="0" distL="0" distR="0">
            <wp:extent cx="5715000" cy="35433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43300"/>
                    </a:xfrm>
                    <a:prstGeom prst="rect">
                      <a:avLst/>
                    </a:prstGeom>
                    <a:noFill/>
                    <a:ln>
                      <a:noFill/>
                    </a:ln>
                  </pic:spPr>
                </pic:pic>
              </a:graphicData>
            </a:graphic>
          </wp:inline>
        </w:drawing>
      </w:r>
    </w:p>
    <w:p w:rsidR="00893CAC" w:rsidRPr="0003793F" w:rsidRDefault="00893CAC" w:rsidP="00893CAC">
      <w:pPr>
        <w:spacing w:after="200" w:line="276" w:lineRule="auto"/>
        <w:rPr>
          <w:rFonts w:cs="Arial"/>
          <w:sz w:val="16"/>
          <w:szCs w:val="16"/>
          <w:lang w:val="en-GB"/>
        </w:rPr>
      </w:pPr>
      <w:r w:rsidRPr="00760524">
        <w:rPr>
          <w:rFonts w:cs="Arial"/>
          <w:noProof/>
          <w:sz w:val="16"/>
          <w:szCs w:val="16"/>
          <w:lang w:val="en-GB"/>
        </w:rPr>
        <w:t>D= docetaxel</w:t>
      </w:r>
      <w:r w:rsidRPr="00760524">
        <w:rPr>
          <w:rFonts w:cs="Arial"/>
          <w:sz w:val="16"/>
          <w:szCs w:val="16"/>
        </w:rPr>
        <w:t xml:space="preserve">; </w:t>
      </w:r>
      <w:r w:rsidRPr="00760524">
        <w:rPr>
          <w:rFonts w:cs="Arial"/>
          <w:noProof/>
          <w:sz w:val="16"/>
          <w:szCs w:val="16"/>
          <w:lang w:val="en-GB"/>
        </w:rPr>
        <w:t xml:space="preserve">HR= hazard ratio; Ptz= pertuzumab (Perjeta); T=trastuzumab (Herceptin); </w:t>
      </w:r>
    </w:p>
    <w:p w:rsidR="0022375A" w:rsidRDefault="0022375A" w:rsidP="00E738B6">
      <w:pPr>
        <w:spacing w:after="120" w:line="280" w:lineRule="exact"/>
        <w:rPr>
          <w:color w:val="000000"/>
          <w:lang w:val="en-US"/>
        </w:rPr>
      </w:pPr>
      <w:r w:rsidRPr="00E57B1F">
        <w:rPr>
          <w:color w:val="000000"/>
          <w:lang w:val="en-US"/>
        </w:rPr>
        <w:t xml:space="preserve">There was no statistically significant difference between treatment groups in Health Related Quality of Life as assessed by time to symptom progression on the FACT-B TOI-PFB subscale, defined as a 5 point reduction in subscale score (HR =0.97, 95% CI =0.81; 1.16). </w:t>
      </w:r>
    </w:p>
    <w:p w:rsidR="00C67215" w:rsidRPr="008130BD" w:rsidRDefault="00C67215" w:rsidP="00410126">
      <w:pPr>
        <w:pStyle w:val="Heading3"/>
      </w:pPr>
      <w:r w:rsidRPr="00E57B1F">
        <w:t>Immunogenicity</w:t>
      </w:r>
    </w:p>
    <w:p w:rsidR="00A91995" w:rsidRPr="008130BD" w:rsidRDefault="00A91995" w:rsidP="00A91995">
      <w:pPr>
        <w:pStyle w:val="Paragraph"/>
        <w:spacing w:after="120"/>
        <w:jc w:val="both"/>
        <w:rPr>
          <w:rFonts w:ascii="Times New Roman" w:eastAsia="PMingLiU" w:hAnsi="Times New Roman"/>
          <w:color w:val="000000"/>
          <w:lang w:val="en-US" w:eastAsia="zh-TW"/>
        </w:rPr>
      </w:pPr>
      <w:r w:rsidRPr="00E57B1F">
        <w:rPr>
          <w:rFonts w:ascii="Times New Roman" w:eastAsia="PMingLiU" w:hAnsi="Times New Roman"/>
          <w:color w:val="000000"/>
          <w:lang w:val="en-US" w:eastAsia="zh-TW"/>
        </w:rPr>
        <w:t>Patients in the pivotal trial CLEOPATRA were tested at multiple time-points for anti-therapeutic antibodies (ATA) to</w:t>
      </w:r>
      <w:r w:rsidRPr="00E57B1F">
        <w:rPr>
          <w:rFonts w:ascii="Times New Roman" w:hAnsi="Times New Roman"/>
          <w:color w:val="000000"/>
        </w:rPr>
        <w:t xml:space="preserve"> </w:t>
      </w:r>
      <w:r w:rsidR="00123310">
        <w:rPr>
          <w:rFonts w:ascii="Times New Roman" w:hAnsi="Times New Roman"/>
          <w:color w:val="000000"/>
        </w:rPr>
        <w:t>PERJETA</w:t>
      </w:r>
      <w:r w:rsidRPr="00E57B1F">
        <w:rPr>
          <w:rFonts w:ascii="Times New Roman" w:eastAsia="PMingLiU" w:hAnsi="Times New Roman"/>
          <w:color w:val="000000"/>
          <w:lang w:val="en-US" w:eastAsia="zh-TW"/>
        </w:rPr>
        <w:t xml:space="preserve">. Approximately 6.2% (23/372) of patients in the placebo treated group and 2.8% (11/386) of patients in the </w:t>
      </w:r>
      <w:r w:rsidR="00123310">
        <w:rPr>
          <w:rFonts w:ascii="Times New Roman" w:hAnsi="Times New Roman"/>
          <w:color w:val="000000"/>
        </w:rPr>
        <w:t>PERJETA</w:t>
      </w:r>
      <w:r w:rsidRPr="00E57B1F">
        <w:rPr>
          <w:rFonts w:ascii="Times New Roman" w:eastAsia="PMingLiU" w:hAnsi="Times New Roman"/>
          <w:color w:val="000000"/>
          <w:lang w:val="en-US" w:eastAsia="zh-TW"/>
        </w:rPr>
        <w:t xml:space="preserve"> treated group tested positive for ATA. Of these 34 patients, none experienced anaphylactic/hypersensitivity reactions that were clearly related to ATA.</w:t>
      </w:r>
    </w:p>
    <w:p w:rsidR="00A91995" w:rsidRPr="008130BD" w:rsidRDefault="00A91995" w:rsidP="00A91995">
      <w:pPr>
        <w:pStyle w:val="Paragraph"/>
        <w:spacing w:after="120"/>
        <w:jc w:val="both"/>
        <w:rPr>
          <w:rFonts w:ascii="Times New Roman" w:eastAsia="PMingLiU" w:hAnsi="Times New Roman"/>
          <w:color w:val="000000"/>
          <w:lang w:val="en-US" w:eastAsia="zh-TW"/>
        </w:rPr>
      </w:pPr>
      <w:r w:rsidRPr="00E57B1F">
        <w:rPr>
          <w:rFonts w:ascii="Times New Roman" w:eastAsia="PMingLiU" w:hAnsi="Times New Roman"/>
          <w:color w:val="000000"/>
          <w:lang w:val="en-US" w:eastAsia="zh-TW"/>
        </w:rPr>
        <w:t xml:space="preserve">Immunogenicity assay results are highly dependent on several factors including assay sensitivity and specificity, assay methodology, sample handling, timing of sample collection, concomitant medications and underlying disease. For these reasons, comparison of incidence </w:t>
      </w:r>
      <w:r w:rsidRPr="00E57B1F">
        <w:rPr>
          <w:rFonts w:ascii="Times New Roman" w:eastAsia="PMingLiU" w:hAnsi="Times New Roman"/>
          <w:color w:val="000000"/>
          <w:lang w:val="en-US" w:eastAsia="zh-TW"/>
        </w:rPr>
        <w:lastRenderedPageBreak/>
        <w:t>of antibodies to</w:t>
      </w:r>
      <w:r w:rsidRPr="00E57B1F">
        <w:rPr>
          <w:rFonts w:ascii="Times New Roman" w:hAnsi="Times New Roman"/>
          <w:color w:val="000000"/>
        </w:rPr>
        <w:t xml:space="preserve"> </w:t>
      </w:r>
      <w:r w:rsidR="00123310">
        <w:rPr>
          <w:rFonts w:ascii="Times New Roman" w:hAnsi="Times New Roman"/>
          <w:color w:val="000000"/>
        </w:rPr>
        <w:t>PERJETA</w:t>
      </w:r>
      <w:r w:rsidRPr="00E57B1F">
        <w:rPr>
          <w:rFonts w:ascii="Times New Roman" w:eastAsia="PMingLiU" w:hAnsi="Times New Roman"/>
          <w:color w:val="000000"/>
          <w:lang w:val="en-US" w:eastAsia="zh-TW"/>
        </w:rPr>
        <w:t xml:space="preserve"> with the incidence of antibodies to other products may be misleading.</w:t>
      </w:r>
    </w:p>
    <w:p w:rsidR="00D844B2" w:rsidRPr="008130BD" w:rsidRDefault="00410126" w:rsidP="00410126">
      <w:pPr>
        <w:pStyle w:val="Heading2"/>
      </w:pPr>
      <w:r w:rsidRPr="008130BD">
        <w:t>INDICATIONS</w:t>
      </w:r>
    </w:p>
    <w:p w:rsidR="00DC3752" w:rsidRPr="00DC3752" w:rsidRDefault="00DC3752" w:rsidP="007E03C2">
      <w:pPr>
        <w:pStyle w:val="TextTi12"/>
        <w:spacing w:after="120" w:line="240" w:lineRule="auto"/>
        <w:rPr>
          <w:b/>
          <w:color w:val="000000"/>
        </w:rPr>
      </w:pPr>
      <w:r>
        <w:rPr>
          <w:b/>
          <w:color w:val="000000"/>
        </w:rPr>
        <w:t>Neoadjuvant Treatment of Breast Cancer</w:t>
      </w:r>
    </w:p>
    <w:p w:rsidR="00DC3752" w:rsidRDefault="00DC3752" w:rsidP="007E03C2">
      <w:pPr>
        <w:pStyle w:val="TextTi12"/>
        <w:spacing w:after="120" w:line="240" w:lineRule="auto"/>
        <w:rPr>
          <w:color w:val="000000"/>
        </w:rPr>
      </w:pPr>
      <w:r w:rsidRPr="00FF74D8">
        <w:rPr>
          <w:color w:val="000000"/>
        </w:rPr>
        <w:t>P</w:t>
      </w:r>
      <w:r>
        <w:rPr>
          <w:color w:val="000000"/>
        </w:rPr>
        <w:t>ERJETA</w:t>
      </w:r>
      <w:r w:rsidRPr="00FF74D8">
        <w:rPr>
          <w:color w:val="000000"/>
        </w:rPr>
        <w:t xml:space="preserve"> is indicated in combination with </w:t>
      </w:r>
      <w:proofErr w:type="spellStart"/>
      <w:r>
        <w:rPr>
          <w:color w:val="000000"/>
        </w:rPr>
        <w:t>trastuzumab</w:t>
      </w:r>
      <w:proofErr w:type="spellEnd"/>
      <w:r w:rsidRPr="00FF74D8">
        <w:rPr>
          <w:color w:val="000000"/>
        </w:rPr>
        <w:t xml:space="preserve"> and </w:t>
      </w:r>
      <w:r w:rsidR="00B706CA">
        <w:rPr>
          <w:color w:val="000000"/>
        </w:rPr>
        <w:t xml:space="preserve">chemotherapy </w:t>
      </w:r>
      <w:r w:rsidRPr="00FF74D8">
        <w:rPr>
          <w:color w:val="000000"/>
        </w:rPr>
        <w:t>for the neoadjuvant treatment of patients with inflammatory</w:t>
      </w:r>
      <w:r w:rsidR="00A2463A">
        <w:rPr>
          <w:color w:val="000000"/>
        </w:rPr>
        <w:t xml:space="preserve"> </w:t>
      </w:r>
      <w:r w:rsidRPr="00FF74D8">
        <w:rPr>
          <w:color w:val="000000"/>
        </w:rPr>
        <w:t xml:space="preserve">or </w:t>
      </w:r>
      <w:r w:rsidR="001E1A99">
        <w:rPr>
          <w:color w:val="000000"/>
        </w:rPr>
        <w:t>locally advanced HER2-positive breast cancer</w:t>
      </w:r>
      <w:r w:rsidRPr="00FF74D8">
        <w:rPr>
          <w:color w:val="000000"/>
        </w:rPr>
        <w:t xml:space="preserve"> as part of</w:t>
      </w:r>
      <w:r w:rsidR="009244B2">
        <w:rPr>
          <w:color w:val="000000"/>
        </w:rPr>
        <w:t xml:space="preserve"> </w:t>
      </w:r>
      <w:r w:rsidR="00B706CA">
        <w:rPr>
          <w:color w:val="000000"/>
        </w:rPr>
        <w:t>a complete treatment regimen</w:t>
      </w:r>
      <w:r w:rsidR="00C14501">
        <w:rPr>
          <w:color w:val="000000"/>
        </w:rPr>
        <w:t>.</w:t>
      </w:r>
    </w:p>
    <w:p w:rsidR="009244B2" w:rsidRDefault="009244B2" w:rsidP="009244B2">
      <w:pPr>
        <w:pStyle w:val="TextTi12"/>
        <w:spacing w:after="120" w:line="240" w:lineRule="auto"/>
        <w:rPr>
          <w:color w:val="000000"/>
        </w:rPr>
      </w:pPr>
      <w:r>
        <w:rPr>
          <w:color w:val="000000"/>
        </w:rPr>
        <w:t>Note to indication: this approval is based on improvement in pathological complete response rate</w:t>
      </w:r>
      <w:r w:rsidR="001E1A99">
        <w:rPr>
          <w:color w:val="000000"/>
        </w:rPr>
        <w:t>.</w:t>
      </w:r>
      <w:r>
        <w:rPr>
          <w:color w:val="000000"/>
        </w:rPr>
        <w:t xml:space="preserve"> </w:t>
      </w:r>
      <w:r w:rsidR="001E1A99">
        <w:rPr>
          <w:color w:val="000000"/>
        </w:rPr>
        <w:t>N</w:t>
      </w:r>
      <w:r>
        <w:rPr>
          <w:color w:val="000000"/>
        </w:rPr>
        <w:t>o improvement in disease-free, progression-free or overall survival has been shown.</w:t>
      </w:r>
    </w:p>
    <w:p w:rsidR="00DC3752" w:rsidRPr="00DC3752" w:rsidRDefault="00DC3752" w:rsidP="007E03C2">
      <w:pPr>
        <w:pStyle w:val="TextTi12"/>
        <w:spacing w:after="120" w:line="240" w:lineRule="auto"/>
        <w:rPr>
          <w:b/>
          <w:color w:val="000000"/>
        </w:rPr>
      </w:pPr>
      <w:r>
        <w:rPr>
          <w:b/>
          <w:color w:val="000000"/>
        </w:rPr>
        <w:t>Metastatic Breast Cancer</w:t>
      </w:r>
    </w:p>
    <w:p w:rsidR="00CF7AB5" w:rsidRDefault="00123310" w:rsidP="007E03C2">
      <w:pPr>
        <w:pStyle w:val="TextTi12"/>
        <w:spacing w:after="120" w:line="240" w:lineRule="auto"/>
        <w:rPr>
          <w:color w:val="000000"/>
        </w:rPr>
      </w:pPr>
      <w:r>
        <w:rPr>
          <w:color w:val="000000"/>
        </w:rPr>
        <w:t>PERJETA</w:t>
      </w:r>
      <w:r w:rsidR="00F81802" w:rsidRPr="008130BD">
        <w:rPr>
          <w:color w:val="000000"/>
        </w:rPr>
        <w:t xml:space="preserve"> is indicated in combination with </w:t>
      </w:r>
      <w:proofErr w:type="spellStart"/>
      <w:r w:rsidR="003F2EEC">
        <w:rPr>
          <w:color w:val="000000"/>
        </w:rPr>
        <w:t>trastuzumab</w:t>
      </w:r>
      <w:proofErr w:type="spellEnd"/>
      <w:r w:rsidR="003F2EEC" w:rsidRPr="008130BD">
        <w:rPr>
          <w:color w:val="000000"/>
        </w:rPr>
        <w:t xml:space="preserve"> </w:t>
      </w:r>
      <w:r w:rsidR="00F81802" w:rsidRPr="008130BD">
        <w:rPr>
          <w:color w:val="000000"/>
        </w:rPr>
        <w:t>and docetaxel for patients with metastatic</w:t>
      </w:r>
      <w:r w:rsidR="00BC6623" w:rsidRPr="00C433BB">
        <w:rPr>
          <w:color w:val="000000"/>
        </w:rPr>
        <w:t xml:space="preserve"> </w:t>
      </w:r>
      <w:r w:rsidR="001E1A99">
        <w:rPr>
          <w:color w:val="000000"/>
        </w:rPr>
        <w:t xml:space="preserve">HER2-positive </w:t>
      </w:r>
      <w:r w:rsidR="00BC6623" w:rsidRPr="00C433BB">
        <w:rPr>
          <w:color w:val="000000"/>
        </w:rPr>
        <w:t>breast</w:t>
      </w:r>
      <w:r w:rsidR="00F81802" w:rsidRPr="00C433BB">
        <w:rPr>
          <w:color w:val="000000"/>
        </w:rPr>
        <w:t xml:space="preserve"> cancer who have not received </w:t>
      </w:r>
      <w:r w:rsidR="00CF7AB5">
        <w:rPr>
          <w:color w:val="000000"/>
        </w:rPr>
        <w:t>prior</w:t>
      </w:r>
      <w:r w:rsidR="00CF7AB5" w:rsidRPr="00C433BB">
        <w:rPr>
          <w:color w:val="000000"/>
        </w:rPr>
        <w:t xml:space="preserve"> </w:t>
      </w:r>
      <w:r w:rsidR="006C7336">
        <w:rPr>
          <w:color w:val="000000"/>
        </w:rPr>
        <w:t>anti-HER2 therapy or chemotherapy for their metastatic disease</w:t>
      </w:r>
      <w:r w:rsidR="00CC498E" w:rsidRPr="00E57B1F">
        <w:rPr>
          <w:color w:val="000000"/>
        </w:rPr>
        <w:t>.</w:t>
      </w:r>
    </w:p>
    <w:p w:rsidR="00D844B2" w:rsidRPr="008130BD" w:rsidRDefault="00410126" w:rsidP="00410126">
      <w:pPr>
        <w:pStyle w:val="Heading2"/>
      </w:pPr>
      <w:r w:rsidRPr="008130BD">
        <w:t>CONTRAINDICATIONS</w:t>
      </w:r>
    </w:p>
    <w:p w:rsidR="00750F8B" w:rsidRDefault="00361683" w:rsidP="00750F8B">
      <w:r w:rsidRPr="00EE28B0">
        <w:t>P</w:t>
      </w:r>
      <w:r>
        <w:t>ERJETA</w:t>
      </w:r>
      <w:r w:rsidRPr="00EE28B0">
        <w:t xml:space="preserve"> is</w:t>
      </w:r>
      <w:r w:rsidR="00EE28B0" w:rsidRPr="00EE28B0">
        <w:t xml:space="preserve"> contraindicated in patients with known hypersensitivity to </w:t>
      </w:r>
      <w:proofErr w:type="spellStart"/>
      <w:r w:rsidR="00EE28B0" w:rsidRPr="00EE28B0">
        <w:t>pertuzumab</w:t>
      </w:r>
      <w:proofErr w:type="spellEnd"/>
      <w:r w:rsidR="00FF3CEF">
        <w:t xml:space="preserve">, </w:t>
      </w:r>
      <w:proofErr w:type="spellStart"/>
      <w:r w:rsidR="00CF7AB5">
        <w:t>c</w:t>
      </w:r>
      <w:r w:rsidR="00FF3CEF" w:rsidRPr="00FF3CEF">
        <w:t>hinese</w:t>
      </w:r>
      <w:proofErr w:type="spellEnd"/>
      <w:r w:rsidR="00FF3CEF" w:rsidRPr="00FF3CEF">
        <w:t xml:space="preserve"> hamster ovary cell proteins or to any other component of the product</w:t>
      </w:r>
      <w:r w:rsidR="005E40E1" w:rsidRPr="008130BD">
        <w:t>.</w:t>
      </w:r>
      <w:bookmarkStart w:id="14" w:name="_Ref319584311"/>
    </w:p>
    <w:p w:rsidR="00D844B2" w:rsidRDefault="00410126" w:rsidP="00410126">
      <w:pPr>
        <w:pStyle w:val="Heading2"/>
      </w:pPr>
      <w:r w:rsidRPr="008130BD">
        <w:t>PRECAUTIONS</w:t>
      </w:r>
      <w:bookmarkEnd w:id="14"/>
    </w:p>
    <w:p w:rsidR="00133498" w:rsidRPr="00E82944" w:rsidRDefault="00D906B8" w:rsidP="00410126">
      <w:pPr>
        <w:pStyle w:val="Heading3"/>
        <w:rPr>
          <w:lang w:val="en-GB"/>
        </w:rPr>
      </w:pPr>
      <w:r w:rsidRPr="00E82944">
        <w:rPr>
          <w:lang w:val="en-GB"/>
        </w:rPr>
        <w:t>General</w:t>
      </w:r>
    </w:p>
    <w:p w:rsidR="00133498" w:rsidRPr="00C433BB" w:rsidRDefault="00133498" w:rsidP="00133498">
      <w:pPr>
        <w:autoSpaceDE w:val="0"/>
        <w:autoSpaceDN w:val="0"/>
        <w:adjustRightInd w:val="0"/>
        <w:spacing w:after="120"/>
      </w:pPr>
      <w:r>
        <w:t>P</w:t>
      </w:r>
      <w:r w:rsidR="00D906B8">
        <w:t>ERJETA</w:t>
      </w:r>
      <w:r>
        <w:t xml:space="preserve"> therapy should only be administered under the supervision of a healthcare professional experienced in th</w:t>
      </w:r>
      <w:r w:rsidR="00E47271">
        <w:t xml:space="preserve">e treatment of cancer patients. </w:t>
      </w:r>
      <w:r>
        <w:t>P</w:t>
      </w:r>
      <w:r w:rsidR="00E47271">
        <w:t xml:space="preserve">ERJETA </w:t>
      </w:r>
      <w:r>
        <w:t xml:space="preserve">must be diluted by a healthcare professional and administered as an </w:t>
      </w:r>
      <w:r w:rsidR="007C5678">
        <w:t>IV</w:t>
      </w:r>
      <w:r>
        <w:t xml:space="preserve"> infusion.</w:t>
      </w:r>
    </w:p>
    <w:p w:rsidR="00EE28B0" w:rsidRPr="00E76FBB" w:rsidRDefault="00E76FBB" w:rsidP="00E76FBB">
      <w:pPr>
        <w:rPr>
          <w:lang w:val="en-GB"/>
        </w:rPr>
      </w:pPr>
      <w:r w:rsidRPr="00E76FBB">
        <w:rPr>
          <w:lang w:val="en-GB"/>
        </w:rPr>
        <w:t xml:space="preserve">In order to improve traceability of biological medicinal products, the trade name of the administered product should be clearly recorded in the patient </w:t>
      </w:r>
      <w:r w:rsidR="00421B65">
        <w:rPr>
          <w:lang w:val="en-GB"/>
        </w:rPr>
        <w:t>medical record</w:t>
      </w:r>
      <w:r>
        <w:rPr>
          <w:lang w:val="en-GB"/>
        </w:rPr>
        <w:t>.</w:t>
      </w:r>
    </w:p>
    <w:p w:rsidR="00ED051C" w:rsidRPr="008130BD" w:rsidRDefault="00280A12" w:rsidP="00410126">
      <w:pPr>
        <w:pStyle w:val="Heading3"/>
      </w:pPr>
      <w:r>
        <w:t>Cardiac failure and l</w:t>
      </w:r>
      <w:r w:rsidR="00ED051C" w:rsidRPr="008130BD">
        <w:t>eft ventricular dysfunction</w:t>
      </w:r>
    </w:p>
    <w:p w:rsidR="00280A12" w:rsidRDefault="00F63507" w:rsidP="00F63507">
      <w:pPr>
        <w:pStyle w:val="Paragraph"/>
        <w:spacing w:after="120"/>
        <w:jc w:val="both"/>
        <w:rPr>
          <w:rFonts w:ascii="Times New Roman" w:hAnsi="Times New Roman"/>
          <w:color w:val="000000"/>
          <w:lang w:val="en-US"/>
        </w:rPr>
      </w:pPr>
      <w:r w:rsidRPr="008130BD">
        <w:rPr>
          <w:rFonts w:ascii="Times New Roman" w:hAnsi="Times New Roman"/>
          <w:color w:val="000000"/>
          <w:lang w:val="en-US"/>
        </w:rPr>
        <w:t>Decreases in left ventricular ejection fraction (LVEF</w:t>
      </w:r>
      <w:r w:rsidRPr="00C433BB">
        <w:rPr>
          <w:rFonts w:ascii="Times New Roman" w:hAnsi="Times New Roman"/>
          <w:color w:val="000000"/>
          <w:lang w:val="en-US"/>
        </w:rPr>
        <w:t>) have been reported with drugs that block HER2 activity, including</w:t>
      </w:r>
      <w:r w:rsidRPr="00EE367F">
        <w:rPr>
          <w:rFonts w:ascii="Times New Roman" w:hAnsi="Times New Roman"/>
          <w:color w:val="000000"/>
          <w:lang w:val="en-US"/>
        </w:rPr>
        <w:t xml:space="preserve"> </w:t>
      </w:r>
      <w:r w:rsidR="00123310">
        <w:rPr>
          <w:rFonts w:ascii="Times New Roman" w:hAnsi="Times New Roman"/>
          <w:color w:val="000000"/>
          <w:lang w:val="en-US"/>
        </w:rPr>
        <w:t>PERJETA</w:t>
      </w:r>
      <w:r w:rsidRPr="00EE367F">
        <w:rPr>
          <w:rFonts w:ascii="Times New Roman" w:hAnsi="Times New Roman"/>
          <w:color w:val="000000"/>
          <w:lang w:val="en-US"/>
        </w:rPr>
        <w:t>.</w:t>
      </w:r>
    </w:p>
    <w:p w:rsidR="00280A12" w:rsidRDefault="00280A12" w:rsidP="00280A12">
      <w:pPr>
        <w:pStyle w:val="Paragraph"/>
        <w:spacing w:after="120"/>
        <w:jc w:val="both"/>
        <w:rPr>
          <w:rFonts w:ascii="Times New Roman" w:hAnsi="Times New Roman"/>
          <w:color w:val="000000"/>
          <w:lang w:val="en-US"/>
        </w:rPr>
      </w:pPr>
      <w:r>
        <w:rPr>
          <w:rFonts w:ascii="Times New Roman" w:hAnsi="Times New Roman"/>
          <w:color w:val="000000"/>
          <w:lang w:val="en-US"/>
        </w:rPr>
        <w:t>Close clinical and regular radiological monitoring of cardiac function is recommended and any decision regarding commencing PERJETA in patients with cardiac risk factors should be balanced against the risk of possible cardiac dysfunction and necessitating discontinuation of therapy.</w:t>
      </w:r>
    </w:p>
    <w:p w:rsidR="00280A12" w:rsidRDefault="00280A12" w:rsidP="00280A12">
      <w:pPr>
        <w:pStyle w:val="Paragraph"/>
        <w:spacing w:after="120"/>
        <w:jc w:val="both"/>
        <w:rPr>
          <w:rFonts w:ascii="Times New Roman" w:hAnsi="Times New Roman"/>
          <w:color w:val="000000"/>
          <w:lang w:val="en-US"/>
        </w:rPr>
      </w:pPr>
      <w:r>
        <w:rPr>
          <w:rFonts w:ascii="Times New Roman" w:hAnsi="Times New Roman"/>
          <w:color w:val="000000"/>
          <w:lang w:val="en-US"/>
        </w:rPr>
        <w:t xml:space="preserve">PERJETA was associated with an increased risk of left ventricular dysfunction (LVD) in the NEOSPHERE and TRYPHAENA studies. Up to 16% of patients developed LVD in the arm receiving FEC followed by PERJETA plus </w:t>
      </w:r>
      <w:proofErr w:type="spellStart"/>
      <w:r>
        <w:rPr>
          <w:rFonts w:ascii="Times New Roman" w:hAnsi="Times New Roman"/>
          <w:color w:val="000000"/>
          <w:lang w:val="en-US"/>
        </w:rPr>
        <w:t>trastuzumab</w:t>
      </w:r>
      <w:proofErr w:type="spellEnd"/>
      <w:r>
        <w:rPr>
          <w:rFonts w:ascii="Times New Roman" w:hAnsi="Times New Roman"/>
          <w:color w:val="000000"/>
          <w:lang w:val="en-US"/>
        </w:rPr>
        <w:t xml:space="preserve"> and docetaxel in the TRYPHAENA study. Congestive heart failure necessitating discontinuation of therapy occurred in a patient with pre-existing cardiac risk factors receiving concurrent neoadjuvant PERJETA and </w:t>
      </w:r>
      <w:proofErr w:type="spellStart"/>
      <w:r>
        <w:rPr>
          <w:rFonts w:ascii="Times New Roman" w:hAnsi="Times New Roman"/>
          <w:color w:val="000000"/>
          <w:lang w:val="en-US"/>
        </w:rPr>
        <w:t>trastuzumab</w:t>
      </w:r>
      <w:proofErr w:type="spellEnd"/>
      <w:r>
        <w:rPr>
          <w:rFonts w:ascii="Times New Roman" w:hAnsi="Times New Roman"/>
          <w:color w:val="000000"/>
          <w:lang w:val="en-US"/>
        </w:rPr>
        <w:t xml:space="preserve"> without chemotherapy in the NEOSPHERE study. </w:t>
      </w:r>
    </w:p>
    <w:p w:rsidR="00280A12" w:rsidRPr="0003793F" w:rsidRDefault="00280A12" w:rsidP="00280A12">
      <w:pPr>
        <w:pStyle w:val="Paragraph"/>
        <w:spacing w:after="120"/>
        <w:jc w:val="both"/>
        <w:rPr>
          <w:rFonts w:ascii="Times New Roman" w:hAnsi="Times New Roman"/>
          <w:lang w:val="en-US"/>
        </w:rPr>
      </w:pPr>
      <w:r w:rsidRPr="0003793F">
        <w:rPr>
          <w:rFonts w:ascii="Times New Roman" w:hAnsi="Times New Roman"/>
          <w:lang w:val="en-US"/>
        </w:rPr>
        <w:t xml:space="preserve">In neoadjuvant treated patients (NEOSPHERE – </w:t>
      </w:r>
      <w:r w:rsidRPr="0003793F">
        <w:rPr>
          <w:rFonts w:ascii="Times New Roman" w:hAnsi="Times New Roman"/>
          <w:i/>
          <w:lang w:val="en-US"/>
        </w:rPr>
        <w:t>see CLINICAL TRIALS</w:t>
      </w:r>
      <w:r w:rsidRPr="0003793F">
        <w:rPr>
          <w:rFonts w:ascii="Times New Roman" w:hAnsi="Times New Roman"/>
          <w:lang w:val="en-US"/>
        </w:rPr>
        <w:t xml:space="preserve">) the incidence of LVD was higher in the PERJETA–treated groups than the </w:t>
      </w:r>
      <w:proofErr w:type="spellStart"/>
      <w:r w:rsidRPr="0003793F">
        <w:rPr>
          <w:rFonts w:ascii="Times New Roman" w:hAnsi="Times New Roman"/>
          <w:lang w:val="en-US"/>
        </w:rPr>
        <w:t>trastuzumab</w:t>
      </w:r>
      <w:proofErr w:type="spellEnd"/>
      <w:r w:rsidRPr="0003793F">
        <w:rPr>
          <w:rFonts w:ascii="Times New Roman" w:hAnsi="Times New Roman"/>
          <w:lang w:val="en-US"/>
        </w:rPr>
        <w:t xml:space="preserve"> and docetaxel treated group. An increased incidence of LVEF declines was observed in patients treated with </w:t>
      </w:r>
      <w:r w:rsidRPr="0003793F">
        <w:rPr>
          <w:rFonts w:ascii="Times New Roman" w:hAnsi="Times New Roman"/>
          <w:lang w:val="en-US"/>
        </w:rPr>
        <w:lastRenderedPageBreak/>
        <w:t xml:space="preserve">PERJETA in combination with </w:t>
      </w:r>
      <w:proofErr w:type="spellStart"/>
      <w:r w:rsidRPr="0003793F">
        <w:rPr>
          <w:rFonts w:ascii="Times New Roman" w:hAnsi="Times New Roman"/>
          <w:lang w:val="en-US"/>
        </w:rPr>
        <w:t>trastuzumab</w:t>
      </w:r>
      <w:proofErr w:type="spellEnd"/>
      <w:r w:rsidRPr="0003793F">
        <w:rPr>
          <w:rFonts w:ascii="Times New Roman" w:hAnsi="Times New Roman"/>
          <w:lang w:val="en-US"/>
        </w:rPr>
        <w:t xml:space="preserve"> and docetaxel; LVEF recovered to ≥50% in all patients.</w:t>
      </w:r>
    </w:p>
    <w:p w:rsidR="00280A12" w:rsidRDefault="00280A12" w:rsidP="00F63507">
      <w:pPr>
        <w:pStyle w:val="Paragraph"/>
        <w:spacing w:after="120"/>
        <w:jc w:val="both"/>
        <w:rPr>
          <w:rFonts w:ascii="Times New Roman" w:hAnsi="Times New Roman"/>
          <w:color w:val="000000"/>
          <w:lang w:val="en-US"/>
        </w:rPr>
      </w:pPr>
    </w:p>
    <w:p w:rsidR="00F63507" w:rsidRPr="008130BD" w:rsidRDefault="00F63507" w:rsidP="00F63507">
      <w:pPr>
        <w:pStyle w:val="Paragraph"/>
        <w:spacing w:after="120"/>
        <w:jc w:val="both"/>
        <w:rPr>
          <w:rFonts w:ascii="Times New Roman" w:hAnsi="Times New Roman"/>
          <w:color w:val="000000"/>
          <w:lang w:val="en-US"/>
        </w:rPr>
      </w:pPr>
      <w:r w:rsidRPr="00EE367F">
        <w:rPr>
          <w:rFonts w:ascii="Times New Roman" w:hAnsi="Times New Roman"/>
          <w:color w:val="000000"/>
          <w:lang w:val="en-US"/>
        </w:rPr>
        <w:t xml:space="preserve">In the pivotal </w:t>
      </w:r>
      <w:r w:rsidR="00DE3CDE">
        <w:rPr>
          <w:rFonts w:ascii="Times New Roman" w:hAnsi="Times New Roman"/>
          <w:color w:val="000000"/>
          <w:lang w:val="en-US"/>
        </w:rPr>
        <w:t xml:space="preserve">Phase III </w:t>
      </w:r>
      <w:r w:rsidRPr="00EE367F">
        <w:rPr>
          <w:rFonts w:ascii="Times New Roman" w:hAnsi="Times New Roman"/>
          <w:color w:val="000000"/>
          <w:lang w:val="en-US"/>
        </w:rPr>
        <w:t xml:space="preserve">trial </w:t>
      </w:r>
      <w:r w:rsidRPr="00EE367F">
        <w:rPr>
          <w:rFonts w:ascii="Times New Roman" w:hAnsi="Times New Roman"/>
          <w:color w:val="000000"/>
        </w:rPr>
        <w:t>CLEOPATRA,</w:t>
      </w:r>
      <w:r w:rsidRPr="00EE367F">
        <w:rPr>
          <w:rFonts w:ascii="Times New Roman" w:hAnsi="Times New Roman"/>
          <w:color w:val="000000"/>
          <w:lang w:val="en-US"/>
        </w:rPr>
        <w:t xml:space="preserve"> </w:t>
      </w:r>
      <w:r w:rsidR="00DE3CDE">
        <w:rPr>
          <w:rFonts w:ascii="Times New Roman" w:hAnsi="Times New Roman"/>
          <w:color w:val="000000"/>
          <w:lang w:val="en-US"/>
        </w:rPr>
        <w:t xml:space="preserve">for patients with metastatic breast cancer, PERJETA </w:t>
      </w:r>
      <w:r w:rsidRPr="00EE367F">
        <w:rPr>
          <w:rFonts w:ascii="Times New Roman" w:hAnsi="Times New Roman"/>
          <w:color w:val="000000"/>
          <w:lang w:val="en-US"/>
        </w:rPr>
        <w:t xml:space="preserve">in combination with </w:t>
      </w:r>
      <w:proofErr w:type="spellStart"/>
      <w:r w:rsidR="003F2EEC">
        <w:rPr>
          <w:rFonts w:ascii="Times New Roman" w:hAnsi="Times New Roman"/>
          <w:color w:val="000000"/>
          <w:lang w:val="en-US"/>
        </w:rPr>
        <w:t>trastuzumab</w:t>
      </w:r>
      <w:proofErr w:type="spellEnd"/>
      <w:r w:rsidR="003F2EEC">
        <w:rPr>
          <w:rFonts w:ascii="Times New Roman" w:hAnsi="Times New Roman"/>
          <w:color w:val="000000"/>
          <w:lang w:val="en-US"/>
        </w:rPr>
        <w:t xml:space="preserve"> </w:t>
      </w:r>
      <w:r w:rsidRPr="00E57B1F">
        <w:rPr>
          <w:rFonts w:ascii="Times New Roman" w:hAnsi="Times New Roman"/>
          <w:color w:val="000000"/>
          <w:lang w:val="en-US"/>
        </w:rPr>
        <w:t xml:space="preserve">and docetaxel was not associated with </w:t>
      </w:r>
      <w:r w:rsidR="00591979">
        <w:rPr>
          <w:rFonts w:ascii="Times New Roman" w:hAnsi="Times New Roman"/>
          <w:color w:val="000000"/>
          <w:lang w:val="en-US"/>
        </w:rPr>
        <w:t xml:space="preserve">an </w:t>
      </w:r>
      <w:r w:rsidRPr="00E57B1F">
        <w:rPr>
          <w:rFonts w:ascii="Times New Roman" w:hAnsi="Times New Roman"/>
          <w:color w:val="000000"/>
          <w:lang w:val="en-US"/>
        </w:rPr>
        <w:t>increase in the incidence of symptomatic left ventricular systolic dysfunction (LVD</w:t>
      </w:r>
      <w:r w:rsidR="00864903">
        <w:rPr>
          <w:rFonts w:ascii="Times New Roman" w:hAnsi="Times New Roman"/>
          <w:color w:val="000000"/>
          <w:lang w:val="en-US"/>
        </w:rPr>
        <w:t>[</w:t>
      </w:r>
      <w:r w:rsidR="005D28A5">
        <w:rPr>
          <w:rFonts w:ascii="Times New Roman" w:hAnsi="Times New Roman"/>
          <w:color w:val="000000"/>
          <w:lang w:val="en-US"/>
        </w:rPr>
        <w:t>congestive heart failure</w:t>
      </w:r>
      <w:r w:rsidR="00864903">
        <w:rPr>
          <w:rFonts w:ascii="Times New Roman" w:hAnsi="Times New Roman"/>
          <w:color w:val="000000"/>
          <w:lang w:val="en-US"/>
        </w:rPr>
        <w:t>]</w:t>
      </w:r>
      <w:r w:rsidRPr="00E57B1F">
        <w:rPr>
          <w:rFonts w:ascii="Times New Roman" w:hAnsi="Times New Roman"/>
          <w:color w:val="000000"/>
          <w:lang w:val="en-US"/>
        </w:rPr>
        <w:t xml:space="preserve">) or decreases in LVEF compared with placebo in combination with </w:t>
      </w:r>
      <w:proofErr w:type="spellStart"/>
      <w:r w:rsidR="003F2EEC">
        <w:rPr>
          <w:rFonts w:ascii="Times New Roman" w:hAnsi="Times New Roman"/>
          <w:color w:val="000000"/>
          <w:lang w:val="en-US"/>
        </w:rPr>
        <w:t>trastuzumab</w:t>
      </w:r>
      <w:proofErr w:type="spellEnd"/>
      <w:r w:rsidR="003F2EEC">
        <w:rPr>
          <w:rFonts w:ascii="Times New Roman" w:hAnsi="Times New Roman"/>
          <w:color w:val="000000"/>
          <w:lang w:val="en-US"/>
        </w:rPr>
        <w:t xml:space="preserve"> </w:t>
      </w:r>
      <w:r w:rsidRPr="00E57B1F">
        <w:rPr>
          <w:rFonts w:ascii="Times New Roman" w:hAnsi="Times New Roman"/>
          <w:color w:val="000000"/>
          <w:lang w:val="en-US"/>
        </w:rPr>
        <w:t>and docetaxel (</w:t>
      </w:r>
      <w:r w:rsidRPr="00E57B1F">
        <w:rPr>
          <w:rFonts w:ascii="Times New Roman" w:hAnsi="Times New Roman"/>
          <w:i/>
          <w:color w:val="000000"/>
          <w:lang w:val="en-US"/>
        </w:rPr>
        <w:t>see</w:t>
      </w:r>
      <w:r w:rsidR="00CC498E" w:rsidRPr="00E57B1F">
        <w:rPr>
          <w:rFonts w:ascii="Times New Roman" w:hAnsi="Times New Roman"/>
          <w:i/>
          <w:color w:val="000000"/>
          <w:lang w:val="en-US"/>
        </w:rPr>
        <w:t xml:space="preserve"> </w:t>
      </w:r>
      <w:r w:rsidR="00CC498E" w:rsidRPr="00E57B1F">
        <w:rPr>
          <w:rFonts w:ascii="Times New Roman" w:hAnsi="Times New Roman"/>
          <w:i/>
          <w:caps/>
          <w:color w:val="000000"/>
          <w:lang w:val="en-US"/>
        </w:rPr>
        <w:t>Adverse Effects</w:t>
      </w:r>
      <w:r w:rsidR="00CC498E" w:rsidRPr="00E57B1F">
        <w:rPr>
          <w:rFonts w:ascii="Times New Roman" w:hAnsi="Times New Roman"/>
          <w:i/>
          <w:color w:val="000000"/>
          <w:lang w:val="en-US"/>
        </w:rPr>
        <w:t>)</w:t>
      </w:r>
      <w:r w:rsidRPr="00E57B1F">
        <w:rPr>
          <w:rFonts w:ascii="Times New Roman" w:hAnsi="Times New Roman"/>
          <w:color w:val="000000"/>
          <w:lang w:val="en-US"/>
        </w:rPr>
        <w:t>. However</w:t>
      </w:r>
      <w:r w:rsidR="009A7457" w:rsidRPr="00E57B1F">
        <w:rPr>
          <w:rFonts w:ascii="Times New Roman" w:hAnsi="Times New Roman"/>
          <w:color w:val="000000"/>
          <w:lang w:val="en-US"/>
        </w:rPr>
        <w:t>,</w:t>
      </w:r>
      <w:r w:rsidRPr="00E57B1F">
        <w:rPr>
          <w:rFonts w:ascii="Times New Roman" w:hAnsi="Times New Roman"/>
          <w:color w:val="000000"/>
          <w:lang w:val="en-US"/>
        </w:rPr>
        <w:t xml:space="preserve"> patients who have received prior anthracyclines or prior radiotherapy to the chest area may be at higher risk of decreased LVEF.</w:t>
      </w:r>
    </w:p>
    <w:p w:rsidR="00F63507" w:rsidRPr="008130BD" w:rsidRDefault="00123310" w:rsidP="00F63507">
      <w:pPr>
        <w:pStyle w:val="Paragraph"/>
        <w:spacing w:after="120"/>
        <w:jc w:val="both"/>
        <w:rPr>
          <w:rFonts w:ascii="Times New Roman" w:hAnsi="Times New Roman"/>
          <w:color w:val="000000"/>
          <w:lang w:val="en-US"/>
        </w:rPr>
      </w:pPr>
      <w:r>
        <w:rPr>
          <w:rFonts w:ascii="Times New Roman" w:hAnsi="Times New Roman"/>
          <w:color w:val="000000"/>
          <w:lang w:val="en-US"/>
        </w:rPr>
        <w:t>PERJETA</w:t>
      </w:r>
      <w:r w:rsidR="00F63507" w:rsidRPr="00E57B1F">
        <w:rPr>
          <w:rFonts w:ascii="Times New Roman" w:hAnsi="Times New Roman"/>
          <w:color w:val="000000"/>
          <w:lang w:val="en-US"/>
        </w:rPr>
        <w:t xml:space="preserve"> has not been studied in patients with</w:t>
      </w:r>
      <w:r w:rsidR="009A7457" w:rsidRPr="00E57B1F">
        <w:rPr>
          <w:rFonts w:ascii="Times New Roman" w:hAnsi="Times New Roman"/>
          <w:color w:val="000000"/>
          <w:lang w:val="en-US"/>
        </w:rPr>
        <w:t xml:space="preserve"> </w:t>
      </w:r>
      <w:r w:rsidR="00F63507" w:rsidRPr="00E57B1F">
        <w:rPr>
          <w:rFonts w:ascii="Times New Roman" w:hAnsi="Times New Roman"/>
          <w:color w:val="000000"/>
          <w:lang w:val="en-US"/>
        </w:rPr>
        <w:t xml:space="preserve">a </w:t>
      </w:r>
      <w:r w:rsidR="00C433BB">
        <w:rPr>
          <w:rFonts w:ascii="Times New Roman" w:hAnsi="Times New Roman"/>
          <w:color w:val="000000"/>
          <w:lang w:val="en-US"/>
        </w:rPr>
        <w:t>baseline</w:t>
      </w:r>
      <w:r w:rsidR="00F63507" w:rsidRPr="00C433BB">
        <w:rPr>
          <w:rFonts w:ascii="Times New Roman" w:hAnsi="Times New Roman"/>
          <w:color w:val="000000"/>
          <w:lang w:val="en-US"/>
        </w:rPr>
        <w:t xml:space="preserve"> LVEF value of ≤50%</w:t>
      </w:r>
      <w:r w:rsidR="009A7457" w:rsidRPr="00C433BB">
        <w:rPr>
          <w:rFonts w:ascii="Times New Roman" w:hAnsi="Times New Roman"/>
          <w:color w:val="000000"/>
          <w:lang w:val="en-US"/>
        </w:rPr>
        <w:t xml:space="preserve">; </w:t>
      </w:r>
      <w:r w:rsidR="00F63507" w:rsidRPr="00C433BB">
        <w:rPr>
          <w:rFonts w:ascii="Times New Roman" w:hAnsi="Times New Roman"/>
          <w:color w:val="000000"/>
          <w:lang w:val="en-US"/>
        </w:rPr>
        <w:t>a prior history of</w:t>
      </w:r>
      <w:r w:rsidR="009A7457" w:rsidRPr="00C433BB">
        <w:rPr>
          <w:rFonts w:ascii="Times New Roman" w:hAnsi="Times New Roman"/>
          <w:color w:val="000000"/>
          <w:lang w:val="en-US"/>
        </w:rPr>
        <w:t xml:space="preserve"> congestive heart failure (CHF); </w:t>
      </w:r>
      <w:r w:rsidR="00F63507" w:rsidRPr="00C433BB">
        <w:rPr>
          <w:rFonts w:ascii="Times New Roman" w:hAnsi="Times New Roman"/>
          <w:color w:val="000000"/>
          <w:lang w:val="en-US"/>
        </w:rPr>
        <w:t xml:space="preserve">decreases in LVEF to &lt;50% during prior </w:t>
      </w:r>
      <w:proofErr w:type="spellStart"/>
      <w:r w:rsidR="003F2EEC">
        <w:rPr>
          <w:rFonts w:ascii="Times New Roman" w:hAnsi="Times New Roman"/>
          <w:color w:val="000000"/>
          <w:lang w:val="en-US"/>
        </w:rPr>
        <w:t>trastuzumab</w:t>
      </w:r>
      <w:proofErr w:type="spellEnd"/>
      <w:r w:rsidR="003F2EEC" w:rsidRPr="00EE367F">
        <w:rPr>
          <w:rFonts w:ascii="Times New Roman" w:hAnsi="Times New Roman"/>
          <w:color w:val="000000"/>
          <w:lang w:val="en-US"/>
        </w:rPr>
        <w:t xml:space="preserve"> </w:t>
      </w:r>
      <w:r w:rsidR="009A7457" w:rsidRPr="00EE367F">
        <w:rPr>
          <w:rFonts w:ascii="Times New Roman" w:hAnsi="Times New Roman"/>
          <w:color w:val="000000"/>
          <w:lang w:val="en-US"/>
        </w:rPr>
        <w:t xml:space="preserve">adjuvant therapy; </w:t>
      </w:r>
      <w:r w:rsidR="00F63507" w:rsidRPr="00EE367F">
        <w:rPr>
          <w:rFonts w:ascii="Times New Roman" w:hAnsi="Times New Roman"/>
          <w:color w:val="000000"/>
          <w:lang w:val="en-US"/>
        </w:rPr>
        <w:t>conditions that could impair left ventricular function such as uncontrolled hypertension, recent myocardial infarction, serious cardiac arrhythmia requiring treatment or a cumulative pr</w:t>
      </w:r>
      <w:r w:rsidR="009A7457" w:rsidRPr="00E57B1F">
        <w:rPr>
          <w:rFonts w:ascii="Times New Roman" w:hAnsi="Times New Roman"/>
          <w:color w:val="000000"/>
          <w:lang w:val="en-US"/>
        </w:rPr>
        <w:t>ior anthracycline exposure to &gt;</w:t>
      </w:r>
      <w:r w:rsidR="00F63507" w:rsidRPr="00E57B1F">
        <w:rPr>
          <w:rFonts w:ascii="Times New Roman" w:hAnsi="Times New Roman"/>
          <w:color w:val="000000"/>
          <w:lang w:val="en-US"/>
        </w:rPr>
        <w:t>360mg/m</w:t>
      </w:r>
      <w:r w:rsidR="00F63507" w:rsidRPr="00E57B1F">
        <w:rPr>
          <w:rFonts w:ascii="Times New Roman" w:hAnsi="Times New Roman"/>
          <w:color w:val="000000"/>
          <w:vertAlign w:val="superscript"/>
          <w:lang w:val="en-US"/>
        </w:rPr>
        <w:t>2</w:t>
      </w:r>
      <w:r w:rsidR="00F63507" w:rsidRPr="00E57B1F">
        <w:rPr>
          <w:rFonts w:ascii="Times New Roman" w:hAnsi="Times New Roman"/>
          <w:color w:val="000000"/>
          <w:lang w:val="en-US"/>
        </w:rPr>
        <w:t xml:space="preserve"> of doxorubicin </w:t>
      </w:r>
      <w:r w:rsidR="009A7457" w:rsidRPr="00E57B1F">
        <w:rPr>
          <w:rFonts w:ascii="Times New Roman" w:hAnsi="Times New Roman"/>
          <w:color w:val="000000"/>
          <w:lang w:val="en-US"/>
        </w:rPr>
        <w:t>(</w:t>
      </w:r>
      <w:r w:rsidR="00F63507" w:rsidRPr="00E57B1F">
        <w:rPr>
          <w:rFonts w:ascii="Times New Roman" w:hAnsi="Times New Roman"/>
          <w:color w:val="000000"/>
          <w:lang w:val="en-US"/>
        </w:rPr>
        <w:t xml:space="preserve">or </w:t>
      </w:r>
      <w:r w:rsidR="009A7457" w:rsidRPr="00E57B1F">
        <w:rPr>
          <w:rFonts w:ascii="Times New Roman" w:hAnsi="Times New Roman"/>
          <w:color w:val="000000"/>
          <w:lang w:val="en-US"/>
        </w:rPr>
        <w:t>its</w:t>
      </w:r>
      <w:r w:rsidR="00F63507" w:rsidRPr="00E57B1F">
        <w:rPr>
          <w:rFonts w:ascii="Times New Roman" w:hAnsi="Times New Roman"/>
          <w:color w:val="000000"/>
          <w:lang w:val="en-US"/>
        </w:rPr>
        <w:t xml:space="preserve"> equivalent</w:t>
      </w:r>
      <w:r w:rsidR="009A7457" w:rsidRPr="00E57B1F">
        <w:rPr>
          <w:rFonts w:ascii="Times New Roman" w:hAnsi="Times New Roman"/>
          <w:color w:val="000000"/>
          <w:lang w:val="en-US"/>
        </w:rPr>
        <w:t>)</w:t>
      </w:r>
      <w:r w:rsidR="00F63507" w:rsidRPr="00E57B1F">
        <w:rPr>
          <w:rFonts w:ascii="Times New Roman" w:hAnsi="Times New Roman"/>
          <w:color w:val="000000"/>
          <w:lang w:val="en-US"/>
        </w:rPr>
        <w:t>.</w:t>
      </w:r>
    </w:p>
    <w:p w:rsidR="00ED051C" w:rsidRPr="00EE367F" w:rsidRDefault="00F63507" w:rsidP="006A6E47">
      <w:pPr>
        <w:pStyle w:val="Paragraph"/>
        <w:spacing w:after="120"/>
        <w:jc w:val="both"/>
        <w:rPr>
          <w:rFonts w:ascii="Times New Roman" w:hAnsi="Times New Roman"/>
          <w:i/>
          <w:color w:val="777777"/>
        </w:rPr>
      </w:pPr>
      <w:r w:rsidRPr="00E57B1F">
        <w:rPr>
          <w:rFonts w:ascii="Times New Roman" w:hAnsi="Times New Roman"/>
          <w:color w:val="000000"/>
          <w:lang w:val="en-US"/>
        </w:rPr>
        <w:t xml:space="preserve">Assess LVEF prior to initiation of </w:t>
      </w:r>
      <w:r w:rsidR="00123310">
        <w:rPr>
          <w:rFonts w:ascii="Times New Roman" w:hAnsi="Times New Roman"/>
          <w:color w:val="000000"/>
          <w:lang w:val="en-US"/>
        </w:rPr>
        <w:t>PERJETA</w:t>
      </w:r>
      <w:r w:rsidRPr="00E57B1F">
        <w:rPr>
          <w:rFonts w:ascii="Times New Roman" w:hAnsi="Times New Roman"/>
          <w:color w:val="000000"/>
          <w:lang w:val="en-US"/>
        </w:rPr>
        <w:t xml:space="preserve"> and at regular intervals (e.g. every </w:t>
      </w:r>
      <w:r w:rsidR="009A7457" w:rsidRPr="00E57B1F">
        <w:rPr>
          <w:rFonts w:ascii="Times New Roman" w:hAnsi="Times New Roman"/>
          <w:color w:val="000000"/>
          <w:lang w:val="en-US"/>
        </w:rPr>
        <w:t>3</w:t>
      </w:r>
      <w:r w:rsidRPr="00E57B1F">
        <w:rPr>
          <w:rFonts w:ascii="Times New Roman" w:hAnsi="Times New Roman"/>
          <w:color w:val="000000"/>
          <w:lang w:val="en-US"/>
        </w:rPr>
        <w:t xml:space="preserve"> months</w:t>
      </w:r>
      <w:r w:rsidR="005D28A5">
        <w:rPr>
          <w:rFonts w:ascii="Times New Roman" w:hAnsi="Times New Roman"/>
          <w:color w:val="000000"/>
          <w:lang w:val="en-US"/>
        </w:rPr>
        <w:t xml:space="preserve"> in the metastatic setting and every six weeks in the neoadjuvant setting</w:t>
      </w:r>
      <w:r w:rsidRPr="00E57B1F">
        <w:rPr>
          <w:rFonts w:ascii="Times New Roman" w:hAnsi="Times New Roman"/>
          <w:color w:val="000000"/>
          <w:lang w:val="en-US"/>
        </w:rPr>
        <w:t>) during treatment to ensure that LVEF is within the institution’s normal limits.</w:t>
      </w:r>
      <w:r w:rsidRPr="00E57B1F">
        <w:rPr>
          <w:rFonts w:ascii="Times New Roman" w:hAnsi="Times New Roman"/>
          <w:color w:val="000000"/>
        </w:rPr>
        <w:t xml:space="preserve"> If LVEF is</w:t>
      </w:r>
      <w:r w:rsidRPr="00E57B1F">
        <w:rPr>
          <w:rFonts w:ascii="Times New Roman" w:hAnsi="Times New Roman"/>
          <w:color w:val="000000"/>
          <w:lang w:val="en-US"/>
        </w:rPr>
        <w:t xml:space="preserve"> </w:t>
      </w:r>
      <w:r w:rsidRPr="00E57B1F">
        <w:rPr>
          <w:rFonts w:ascii="Times New Roman" w:hAnsi="Times New Roman"/>
          <w:color w:val="000000"/>
        </w:rPr>
        <w:t>&lt;40% or</w:t>
      </w:r>
      <w:r w:rsidR="00BA2576">
        <w:rPr>
          <w:rFonts w:ascii="Times New Roman" w:hAnsi="Times New Roman"/>
          <w:color w:val="000000"/>
        </w:rPr>
        <w:t>,</w:t>
      </w:r>
      <w:r w:rsidRPr="00E57B1F">
        <w:rPr>
          <w:rFonts w:ascii="Times New Roman" w:hAnsi="Times New Roman"/>
          <w:color w:val="000000"/>
        </w:rPr>
        <w:t xml:space="preserve"> 40-45% </w:t>
      </w:r>
      <w:r w:rsidR="008130BD" w:rsidRPr="00E57B1F">
        <w:rPr>
          <w:rFonts w:ascii="Times New Roman" w:hAnsi="Times New Roman"/>
          <w:color w:val="000000"/>
        </w:rPr>
        <w:t>and</w:t>
      </w:r>
      <w:r w:rsidRPr="00E57B1F">
        <w:rPr>
          <w:rFonts w:ascii="Times New Roman" w:hAnsi="Times New Roman"/>
          <w:i/>
          <w:color w:val="000000"/>
        </w:rPr>
        <w:t xml:space="preserve"> ≥</w:t>
      </w:r>
      <w:r w:rsidRPr="00E57B1F">
        <w:rPr>
          <w:rFonts w:ascii="Times New Roman" w:hAnsi="Times New Roman"/>
          <w:color w:val="000000"/>
        </w:rPr>
        <w:t xml:space="preserve">10% points below </w:t>
      </w:r>
      <w:r w:rsidR="00C433BB" w:rsidRPr="00E57B1F">
        <w:rPr>
          <w:rFonts w:ascii="Times New Roman" w:hAnsi="Times New Roman"/>
          <w:color w:val="000000"/>
        </w:rPr>
        <w:t>baseline</w:t>
      </w:r>
      <w:r w:rsidRPr="002708E1">
        <w:rPr>
          <w:rFonts w:ascii="Times New Roman" w:hAnsi="Times New Roman"/>
          <w:color w:val="000000"/>
        </w:rPr>
        <w:t>,</w:t>
      </w:r>
      <w:r w:rsidRPr="00820E7A">
        <w:rPr>
          <w:rFonts w:ascii="Times New Roman" w:hAnsi="Times New Roman"/>
          <w:color w:val="000000"/>
          <w:lang w:val="en-US"/>
        </w:rPr>
        <w:t xml:space="preserve"> </w:t>
      </w:r>
      <w:r w:rsidR="00123310">
        <w:rPr>
          <w:rFonts w:ascii="Times New Roman" w:hAnsi="Times New Roman"/>
          <w:color w:val="000000"/>
          <w:lang w:val="en-US"/>
        </w:rPr>
        <w:t>PERJETA</w:t>
      </w:r>
      <w:r w:rsidRPr="00820E7A">
        <w:rPr>
          <w:rFonts w:ascii="Times New Roman" w:hAnsi="Times New Roman"/>
          <w:color w:val="000000"/>
        </w:rPr>
        <w:t xml:space="preserve"> and </w:t>
      </w:r>
      <w:proofErr w:type="spellStart"/>
      <w:r w:rsidR="003F2EEC">
        <w:rPr>
          <w:rFonts w:ascii="Times New Roman" w:hAnsi="Times New Roman"/>
          <w:color w:val="000000"/>
          <w:lang w:val="en-US"/>
        </w:rPr>
        <w:t>trastuzumab</w:t>
      </w:r>
      <w:proofErr w:type="spellEnd"/>
      <w:r w:rsidR="003F2EEC" w:rsidRPr="00820E7A">
        <w:rPr>
          <w:rFonts w:ascii="Times New Roman" w:hAnsi="Times New Roman"/>
          <w:color w:val="000000"/>
        </w:rPr>
        <w:t xml:space="preserve"> </w:t>
      </w:r>
      <w:r w:rsidRPr="00820E7A">
        <w:rPr>
          <w:rFonts w:ascii="Times New Roman" w:hAnsi="Times New Roman"/>
          <w:color w:val="000000"/>
        </w:rPr>
        <w:t>should be withheld and a repeat LVEF assessment performed within approximately 3 weeks.</w:t>
      </w:r>
      <w:r w:rsidRPr="00C433BB">
        <w:rPr>
          <w:rFonts w:ascii="Times New Roman" w:hAnsi="Times New Roman"/>
          <w:color w:val="000000"/>
        </w:rPr>
        <w:t xml:space="preserve"> </w:t>
      </w:r>
      <w:r w:rsidRPr="00C433BB">
        <w:rPr>
          <w:rFonts w:ascii="Times New Roman" w:eastAsia="PMingLiU" w:hAnsi="Times New Roman"/>
          <w:color w:val="000000"/>
          <w:lang w:val="en-US"/>
        </w:rPr>
        <w:t xml:space="preserve">If the LVEF has not improved, or has declined further, discontinuation of </w:t>
      </w:r>
      <w:r w:rsidR="00123310">
        <w:rPr>
          <w:rFonts w:ascii="Times New Roman" w:hAnsi="Times New Roman"/>
          <w:color w:val="000000"/>
          <w:lang w:val="en-US"/>
        </w:rPr>
        <w:t>PERJETA</w:t>
      </w:r>
      <w:r w:rsidRPr="00EE367F">
        <w:rPr>
          <w:rFonts w:ascii="Times New Roman" w:eastAsia="PMingLiU" w:hAnsi="Times New Roman"/>
          <w:color w:val="000000"/>
        </w:rPr>
        <w:t xml:space="preserve"> and </w:t>
      </w:r>
      <w:proofErr w:type="spellStart"/>
      <w:r w:rsidR="003F2EEC">
        <w:rPr>
          <w:rFonts w:ascii="Times New Roman" w:hAnsi="Times New Roman"/>
          <w:color w:val="000000"/>
          <w:lang w:val="en-US"/>
        </w:rPr>
        <w:t>trastuzumab</w:t>
      </w:r>
      <w:proofErr w:type="spellEnd"/>
      <w:r w:rsidR="003F2EEC" w:rsidRPr="00EE367F">
        <w:rPr>
          <w:rFonts w:ascii="Times New Roman" w:eastAsia="PMingLiU" w:hAnsi="Times New Roman"/>
          <w:color w:val="000000"/>
          <w:lang w:val="en-US"/>
        </w:rPr>
        <w:t xml:space="preserve"> </w:t>
      </w:r>
      <w:r w:rsidRPr="00EE367F">
        <w:rPr>
          <w:rFonts w:ascii="Times New Roman" w:eastAsia="PMingLiU" w:hAnsi="Times New Roman"/>
          <w:color w:val="000000"/>
          <w:lang w:val="en-US"/>
        </w:rPr>
        <w:t>should be strongly considered, unless the benefits for the individual patient are deemed to outweigh the risks</w:t>
      </w:r>
      <w:r w:rsidRPr="00E57B1F">
        <w:rPr>
          <w:rFonts w:ascii="Times New Roman" w:hAnsi="Times New Roman"/>
          <w:color w:val="000000"/>
          <w:lang w:val="en-US"/>
        </w:rPr>
        <w:t xml:space="preserve"> </w:t>
      </w:r>
      <w:r w:rsidRPr="00E57B1F">
        <w:rPr>
          <w:rFonts w:ascii="Times New Roman" w:hAnsi="Times New Roman"/>
          <w:color w:val="000000"/>
        </w:rPr>
        <w:t>(</w:t>
      </w:r>
      <w:r w:rsidRPr="00E57B1F">
        <w:rPr>
          <w:rFonts w:ascii="Times New Roman" w:hAnsi="Times New Roman"/>
          <w:i/>
          <w:color w:val="000000"/>
        </w:rPr>
        <w:t>see</w:t>
      </w:r>
      <w:r w:rsidR="00CC498E" w:rsidRPr="00E57B1F">
        <w:rPr>
          <w:rFonts w:ascii="Times New Roman" w:hAnsi="Times New Roman"/>
          <w:i/>
          <w:color w:val="000000"/>
        </w:rPr>
        <w:t xml:space="preserve"> </w:t>
      </w:r>
      <w:r w:rsidR="00CC498E" w:rsidRPr="00E57B1F">
        <w:rPr>
          <w:rFonts w:ascii="Times New Roman" w:hAnsi="Times New Roman"/>
          <w:i/>
          <w:caps/>
          <w:color w:val="000000"/>
        </w:rPr>
        <w:t>Dosage and Administration</w:t>
      </w:r>
      <w:r w:rsidR="00CC498E" w:rsidRPr="00E57B1F">
        <w:rPr>
          <w:rFonts w:ascii="Times New Roman" w:hAnsi="Times New Roman"/>
          <w:i/>
          <w:color w:val="000000"/>
        </w:rPr>
        <w:t>)</w:t>
      </w:r>
      <w:r w:rsidRPr="00E57B1F">
        <w:rPr>
          <w:rFonts w:ascii="Times New Roman" w:hAnsi="Times New Roman"/>
          <w:color w:val="000000"/>
        </w:rPr>
        <w:t>.</w:t>
      </w:r>
    </w:p>
    <w:p w:rsidR="00ED051C" w:rsidRPr="008130BD" w:rsidRDefault="00ED051C" w:rsidP="00410126">
      <w:pPr>
        <w:pStyle w:val="Heading3"/>
      </w:pPr>
      <w:r w:rsidRPr="008130BD">
        <w:t>Infusion</w:t>
      </w:r>
      <w:r w:rsidR="006033CD">
        <w:t xml:space="preserve"> related</w:t>
      </w:r>
      <w:r w:rsidRPr="008130BD">
        <w:t xml:space="preserve"> reactions </w:t>
      </w:r>
    </w:p>
    <w:p w:rsidR="00DB79EC" w:rsidRDefault="00123310" w:rsidP="00C643A5">
      <w:pPr>
        <w:pStyle w:val="Paragraph"/>
        <w:spacing w:after="120"/>
        <w:jc w:val="both"/>
        <w:rPr>
          <w:rFonts w:ascii="Times New Roman" w:hAnsi="Times New Roman"/>
          <w:color w:val="000000"/>
        </w:rPr>
      </w:pPr>
      <w:r>
        <w:rPr>
          <w:rFonts w:ascii="Times New Roman" w:hAnsi="Times New Roman"/>
          <w:color w:val="000000"/>
          <w:lang w:val="en-US"/>
        </w:rPr>
        <w:t>PERJETA</w:t>
      </w:r>
      <w:r w:rsidR="00EE367F" w:rsidRPr="00EF0931">
        <w:rPr>
          <w:rFonts w:ascii="Times New Roman" w:hAnsi="Times New Roman"/>
          <w:color w:val="000000"/>
          <w:lang w:val="en-US"/>
        </w:rPr>
        <w:t xml:space="preserve"> has been associated with infusion reactions (</w:t>
      </w:r>
      <w:r w:rsidR="00EE367F" w:rsidRPr="00EF0931">
        <w:rPr>
          <w:rFonts w:ascii="Times New Roman" w:hAnsi="Times New Roman"/>
          <w:i/>
          <w:color w:val="000000"/>
          <w:lang w:val="en-US"/>
        </w:rPr>
        <w:t xml:space="preserve">see </w:t>
      </w:r>
      <w:r w:rsidR="00EE367F" w:rsidRPr="00EF0931">
        <w:rPr>
          <w:rFonts w:ascii="Times New Roman" w:hAnsi="Times New Roman"/>
          <w:i/>
          <w:caps/>
          <w:color w:val="000000"/>
          <w:lang w:val="en-US"/>
        </w:rPr>
        <w:t>Adverse Effects</w:t>
      </w:r>
      <w:r w:rsidR="00EE367F" w:rsidRPr="00EF0931">
        <w:rPr>
          <w:rFonts w:ascii="Times New Roman" w:hAnsi="Times New Roman"/>
          <w:color w:val="000000"/>
          <w:lang w:val="en-US"/>
        </w:rPr>
        <w:t xml:space="preserve">). Close observation of the patient during, and for 60 min after the first infusion and during, and for 30 min following subsequent infusions, is recommended following the administration of </w:t>
      </w:r>
      <w:r>
        <w:rPr>
          <w:rFonts w:ascii="Times New Roman" w:hAnsi="Times New Roman"/>
          <w:color w:val="000000"/>
          <w:lang w:val="en-US"/>
        </w:rPr>
        <w:t>PERJETA</w:t>
      </w:r>
      <w:r w:rsidR="00EE367F" w:rsidRPr="00EF0931">
        <w:rPr>
          <w:rFonts w:ascii="Times New Roman" w:hAnsi="Times New Roman"/>
          <w:color w:val="000000"/>
          <w:lang w:val="en-US"/>
        </w:rPr>
        <w:t>. If a significant infusion</w:t>
      </w:r>
      <w:r w:rsidR="006033CD">
        <w:rPr>
          <w:rFonts w:ascii="Times New Roman" w:hAnsi="Times New Roman"/>
          <w:color w:val="000000"/>
          <w:lang w:val="en-US"/>
        </w:rPr>
        <w:t xml:space="preserve"> related</w:t>
      </w:r>
      <w:r w:rsidR="00EE367F" w:rsidRPr="00EF0931">
        <w:rPr>
          <w:rFonts w:ascii="Times New Roman" w:hAnsi="Times New Roman"/>
          <w:color w:val="000000"/>
          <w:lang w:val="en-US"/>
        </w:rPr>
        <w:t xml:space="preserve"> reaction occurs, the infusion should be slowed down or interrupted and appropriate medical therapies should be administered. </w:t>
      </w:r>
      <w:r w:rsidR="00EE367F" w:rsidRPr="00EF0931">
        <w:rPr>
          <w:rFonts w:ascii="Times New Roman" w:hAnsi="Times New Roman"/>
          <w:color w:val="000000"/>
        </w:rPr>
        <w:t xml:space="preserve">Patients should be evaluated and carefully monitored until complete resolution of signs and symptoms. Permanent discontinuation should be considered in patients with severe infusion reactions. </w:t>
      </w:r>
      <w:r w:rsidR="00EE367F" w:rsidRPr="00EF0931">
        <w:rPr>
          <w:rFonts w:ascii="Times New Roman" w:hAnsi="Times New Roman"/>
          <w:color w:val="000000"/>
          <w:lang w:val="en-US"/>
        </w:rPr>
        <w:t>This clinical assessment should be based on the severity of the preceding reaction and response to administered treatment</w:t>
      </w:r>
      <w:r w:rsidR="00EE367F" w:rsidRPr="00EF0931">
        <w:rPr>
          <w:rFonts w:ascii="Times New Roman" w:hAnsi="Times New Roman"/>
          <w:color w:val="000000"/>
        </w:rPr>
        <w:t xml:space="preserve"> for the adverse reaction (</w:t>
      </w:r>
      <w:r w:rsidR="00EE367F" w:rsidRPr="00EF0931">
        <w:rPr>
          <w:rFonts w:ascii="Times New Roman" w:hAnsi="Times New Roman"/>
          <w:i/>
          <w:color w:val="000000"/>
        </w:rPr>
        <w:t xml:space="preserve">see </w:t>
      </w:r>
      <w:r w:rsidR="00EE367F" w:rsidRPr="00EF0931">
        <w:rPr>
          <w:rFonts w:ascii="Times New Roman" w:hAnsi="Times New Roman"/>
          <w:i/>
          <w:caps/>
          <w:color w:val="000000"/>
        </w:rPr>
        <w:t>Dosage and Administration</w:t>
      </w:r>
      <w:r w:rsidR="00EE367F" w:rsidRPr="00EF0931">
        <w:rPr>
          <w:rFonts w:ascii="Times New Roman" w:hAnsi="Times New Roman"/>
          <w:i/>
          <w:color w:val="000000"/>
        </w:rPr>
        <w:t>)</w:t>
      </w:r>
      <w:r w:rsidR="00EE367F" w:rsidRPr="00EF0931">
        <w:rPr>
          <w:rFonts w:ascii="Times New Roman" w:hAnsi="Times New Roman"/>
          <w:color w:val="000000"/>
        </w:rPr>
        <w:t>.</w:t>
      </w:r>
    </w:p>
    <w:p w:rsidR="006033CD" w:rsidRDefault="006033CD" w:rsidP="00410126">
      <w:pPr>
        <w:pStyle w:val="Heading3"/>
      </w:pPr>
      <w:r>
        <w:t>H</w:t>
      </w:r>
      <w:r w:rsidRPr="006033CD">
        <w:t>ypersensitivity reactions/anaphylaxis</w:t>
      </w:r>
    </w:p>
    <w:p w:rsidR="006033CD" w:rsidRPr="006033CD" w:rsidRDefault="006033CD" w:rsidP="006033CD">
      <w:pPr>
        <w:pStyle w:val="Paragraph"/>
        <w:rPr>
          <w:rFonts w:ascii="Times New Roman" w:eastAsia="PMingLiU" w:hAnsi="Times New Roman"/>
          <w:noProof/>
          <w:szCs w:val="22"/>
          <w:lang w:val="en-AU" w:eastAsia="zh-TW"/>
        </w:rPr>
      </w:pPr>
      <w:r w:rsidRPr="006033CD">
        <w:rPr>
          <w:rFonts w:ascii="Times New Roman" w:eastAsia="PMingLiU" w:hAnsi="Times New Roman"/>
          <w:noProof/>
          <w:szCs w:val="22"/>
          <w:lang w:val="en-AU" w:eastAsia="zh-TW"/>
        </w:rPr>
        <w:t xml:space="preserve">Patients </w:t>
      </w:r>
      <w:r>
        <w:rPr>
          <w:rFonts w:ascii="Times New Roman" w:eastAsia="PMingLiU" w:hAnsi="Times New Roman"/>
          <w:noProof/>
          <w:szCs w:val="22"/>
          <w:lang w:val="en-AU" w:eastAsia="zh-TW"/>
        </w:rPr>
        <w:t>should be observed closely for hypersensitivity reactions. Severe hypersensitivity, including anaphylaxis, has been observed in clinical trials with treatment of PERJETA (</w:t>
      </w:r>
      <w:r w:rsidRPr="00EF0931">
        <w:rPr>
          <w:rFonts w:ascii="Times New Roman" w:hAnsi="Times New Roman"/>
          <w:i/>
          <w:color w:val="000000"/>
          <w:lang w:val="en-US"/>
        </w:rPr>
        <w:t xml:space="preserve">see </w:t>
      </w:r>
      <w:r w:rsidRPr="00EF0931">
        <w:rPr>
          <w:rFonts w:ascii="Times New Roman" w:hAnsi="Times New Roman"/>
          <w:i/>
          <w:caps/>
          <w:color w:val="000000"/>
          <w:lang w:val="en-US"/>
        </w:rPr>
        <w:t>Adverse Effects</w:t>
      </w:r>
      <w:r w:rsidRPr="00EF0931">
        <w:rPr>
          <w:rFonts w:ascii="Times New Roman" w:hAnsi="Times New Roman"/>
          <w:color w:val="000000"/>
          <w:lang w:val="en-US"/>
        </w:rPr>
        <w:t>).</w:t>
      </w:r>
      <w:r>
        <w:rPr>
          <w:rFonts w:ascii="Times New Roman" w:hAnsi="Times New Roman"/>
          <w:color w:val="000000"/>
          <w:lang w:val="en-US"/>
        </w:rPr>
        <w:t xml:space="preserve"> Medications to treat such reactions, as well as emergency equipment, should be available for immediate use. PERJETA is contraindicated in patients with known hypersensitivity to </w:t>
      </w:r>
      <w:proofErr w:type="spellStart"/>
      <w:r>
        <w:rPr>
          <w:rFonts w:ascii="Times New Roman" w:hAnsi="Times New Roman"/>
          <w:color w:val="000000"/>
          <w:lang w:val="en-US"/>
        </w:rPr>
        <w:t>pertuzumab</w:t>
      </w:r>
      <w:proofErr w:type="spellEnd"/>
      <w:r>
        <w:rPr>
          <w:rFonts w:ascii="Times New Roman" w:hAnsi="Times New Roman"/>
          <w:color w:val="000000"/>
          <w:lang w:val="en-US"/>
        </w:rPr>
        <w:t xml:space="preserve"> or to any PERJETA excipients (</w:t>
      </w:r>
      <w:r w:rsidRPr="006033CD">
        <w:rPr>
          <w:rFonts w:ascii="Times New Roman" w:hAnsi="Times New Roman"/>
          <w:i/>
          <w:color w:val="000000"/>
          <w:lang w:val="en-US"/>
        </w:rPr>
        <w:t>see CONTRAINDICATIONS</w:t>
      </w:r>
      <w:r>
        <w:rPr>
          <w:rFonts w:ascii="Times New Roman" w:hAnsi="Times New Roman"/>
          <w:color w:val="000000"/>
          <w:lang w:val="en-US"/>
        </w:rPr>
        <w:t>).</w:t>
      </w:r>
    </w:p>
    <w:p w:rsidR="00D20B0C" w:rsidRPr="00D20B0C" w:rsidRDefault="00D20B0C" w:rsidP="00410126">
      <w:pPr>
        <w:pStyle w:val="Heading3"/>
        <w:rPr>
          <w:lang w:val="en-GB"/>
        </w:rPr>
      </w:pPr>
      <w:r w:rsidRPr="00D20B0C">
        <w:rPr>
          <w:lang w:val="en-GB"/>
        </w:rPr>
        <w:t>Febrile neutropenia</w:t>
      </w:r>
    </w:p>
    <w:p w:rsidR="00E02EBE" w:rsidRDefault="00D20B0C" w:rsidP="00E02EBE">
      <w:pPr>
        <w:rPr>
          <w:rFonts w:eastAsia="Times New Roman"/>
          <w:color w:val="000000"/>
          <w:szCs w:val="24"/>
          <w:lang w:eastAsia="en-AU"/>
        </w:rPr>
      </w:pPr>
      <w:r w:rsidRPr="000E013C">
        <w:rPr>
          <w:noProof/>
        </w:rPr>
        <w:t xml:space="preserve">Patients treated with </w:t>
      </w:r>
      <w:r w:rsidR="00A0438B">
        <w:rPr>
          <w:noProof/>
        </w:rPr>
        <w:t>PERJETA</w:t>
      </w:r>
      <w:r w:rsidRPr="000E013C">
        <w:rPr>
          <w:noProof/>
        </w:rPr>
        <w:t xml:space="preserve">, trastuzumab and docetaxel are at increased risk of febrile neutropenia compared with patients treated with placebo, trastuzumab and docetaxel. </w:t>
      </w:r>
      <w:r w:rsidRPr="000E013C">
        <w:t xml:space="preserve">This </w:t>
      </w:r>
      <w:r w:rsidRPr="000E013C">
        <w:lastRenderedPageBreak/>
        <w:t xml:space="preserve">may be associated with a higher incidence of mucositis and diarrhoea in </w:t>
      </w:r>
      <w:r w:rsidR="00A0438B">
        <w:t>PERJETA</w:t>
      </w:r>
      <w:r w:rsidRPr="000E013C">
        <w:t xml:space="preserve">-treated patients. </w:t>
      </w:r>
      <w:r w:rsidR="00B706CA">
        <w:t>In the CLEOPATRA study i</w:t>
      </w:r>
      <w:r w:rsidRPr="000E013C">
        <w:t xml:space="preserve">n both treatment groups, the proportion of patients </w:t>
      </w:r>
      <w:r w:rsidR="00B706CA">
        <w:t xml:space="preserve">who </w:t>
      </w:r>
      <w:r w:rsidRPr="000E013C">
        <w:t>experienc</w:t>
      </w:r>
      <w:r w:rsidR="00B706CA">
        <w:t>ed</w:t>
      </w:r>
      <w:r w:rsidRPr="000E013C">
        <w:t xml:space="preserve"> febrile neutropenia was highest in the first cycle of therapy and declined steadily thereafter. An increased incidence of febrile neutropenia was observed for Asian patients in both treatment groups compared with patients of other races and from other geographic regions. </w:t>
      </w:r>
      <w:r w:rsidR="00B706CA">
        <w:t>In the CLEOPATRA study, a</w:t>
      </w:r>
      <w:r w:rsidRPr="000E013C">
        <w:t xml:space="preserve">mong Asian patients, the incidence of febrile neutropenia was 26% in the </w:t>
      </w:r>
      <w:r w:rsidR="00A0438B">
        <w:t>PERJETA</w:t>
      </w:r>
      <w:r w:rsidRPr="000E013C">
        <w:t>-treated group compared with 12% in the placebo-treated group.</w:t>
      </w:r>
      <w:r w:rsidR="000B41C5">
        <w:t xml:space="preserve"> </w:t>
      </w:r>
      <w:r w:rsidR="00E02EBE" w:rsidRPr="00E02EBE">
        <w:rPr>
          <w:rFonts w:eastAsia="Times New Roman"/>
          <w:color w:val="000000"/>
          <w:szCs w:val="24"/>
          <w:lang w:val="en-GB" w:eastAsia="en-AU"/>
        </w:rPr>
        <w:t>If treatment is necessary, it should be administered in accordance with local guidelines and administration of granulocyte colony-stimulating factors </w:t>
      </w:r>
      <w:r w:rsidR="00E02EBE" w:rsidRPr="00280A12">
        <w:rPr>
          <w:rFonts w:eastAsia="Times New Roman"/>
          <w:szCs w:val="24"/>
          <w:bdr w:val="none" w:sz="0" w:space="0" w:color="auto" w:frame="1"/>
          <w:lang w:val="en-GB" w:eastAsia="en-AU"/>
        </w:rPr>
        <w:t>(G-CSF)</w:t>
      </w:r>
      <w:r w:rsidR="00E02EBE" w:rsidRPr="00280A12">
        <w:rPr>
          <w:rFonts w:eastAsia="Times New Roman"/>
          <w:color w:val="008080"/>
          <w:szCs w:val="24"/>
          <w:bdr w:val="none" w:sz="0" w:space="0" w:color="auto" w:frame="1"/>
          <w:lang w:val="en-GB" w:eastAsia="en-AU"/>
        </w:rPr>
        <w:t> </w:t>
      </w:r>
      <w:r w:rsidR="00E02EBE" w:rsidRPr="00E02EBE">
        <w:rPr>
          <w:rFonts w:eastAsia="Times New Roman"/>
          <w:color w:val="000000"/>
          <w:szCs w:val="24"/>
          <w:lang w:val="en-GB" w:eastAsia="en-AU"/>
        </w:rPr>
        <w:t>should be considered. Any signs of concomitant infection should be treated as appropriate.</w:t>
      </w:r>
      <w:r w:rsidR="00E02EBE" w:rsidRPr="00E02EBE">
        <w:rPr>
          <w:rFonts w:eastAsia="Times New Roman"/>
          <w:color w:val="000000"/>
          <w:szCs w:val="24"/>
          <w:lang w:eastAsia="en-AU"/>
        </w:rPr>
        <w:t> </w:t>
      </w:r>
    </w:p>
    <w:p w:rsidR="00865852" w:rsidRDefault="00865852" w:rsidP="00E02EBE">
      <w:pPr>
        <w:rPr>
          <w:rFonts w:eastAsia="Times New Roman"/>
          <w:color w:val="000000"/>
          <w:szCs w:val="24"/>
          <w:lang w:eastAsia="en-AU"/>
        </w:rPr>
      </w:pPr>
    </w:p>
    <w:p w:rsidR="007104AA" w:rsidRPr="007104AA" w:rsidRDefault="007104AA" w:rsidP="00984275">
      <w:pPr>
        <w:spacing w:after="120" w:line="240" w:lineRule="exact"/>
        <w:rPr>
          <w:b/>
        </w:rPr>
      </w:pPr>
      <w:r w:rsidRPr="007104AA">
        <w:rPr>
          <w:b/>
        </w:rPr>
        <w:t>Tumour Lysis Syndrome</w:t>
      </w:r>
    </w:p>
    <w:p w:rsidR="007104AA" w:rsidRPr="007104AA" w:rsidRDefault="007104AA" w:rsidP="007104AA">
      <w:r w:rsidRPr="007104AA">
        <w:t xml:space="preserve">Tumour Lysis Syndrome (TLS) refers to the constellation of metabolic disturbances that may be seen after initiation of effective cancer treatment. It usually occurs in patients with high grade, bulky, rapidly proliferating, treatment-responsive tumours and in patients with acute haematological malignancies. </w:t>
      </w:r>
    </w:p>
    <w:p w:rsidR="007104AA" w:rsidRPr="007104AA" w:rsidRDefault="007104AA" w:rsidP="007104AA"/>
    <w:p w:rsidR="00D20B0C" w:rsidRPr="004A6BAB" w:rsidRDefault="007104AA" w:rsidP="00865852">
      <w:r w:rsidRPr="007104AA">
        <w:t>To date, while no cases have been reported from controlled investigational clinical trials in more than 10,000 patients exposed to PERJETA cases suggestive of TLS have been</w:t>
      </w:r>
      <w:r>
        <w:t xml:space="preserve"> </w:t>
      </w:r>
      <w:r w:rsidRPr="007104AA">
        <w:t xml:space="preserve">reported in the </w:t>
      </w:r>
      <w:proofErr w:type="spellStart"/>
      <w:r w:rsidRPr="007104AA">
        <w:t>postmarketing</w:t>
      </w:r>
      <w:proofErr w:type="spellEnd"/>
      <w:r w:rsidRPr="007104AA">
        <w:t xml:space="preserve"> setting. There is no confirmed causal association between TLS and PERJETA in these cases, however patients at risk of tumour lysis syndrome should be monitored closely and appropriate precautions taken.</w:t>
      </w:r>
    </w:p>
    <w:p w:rsidR="00D844B2" w:rsidRPr="00C433BB" w:rsidRDefault="00070B9A" w:rsidP="00984275">
      <w:pPr>
        <w:pStyle w:val="Heading3"/>
      </w:pPr>
      <w:r w:rsidRPr="008130BD">
        <w:t>Effects on fertility</w:t>
      </w:r>
    </w:p>
    <w:p w:rsidR="00633D83" w:rsidRPr="00EE367F" w:rsidRDefault="00943CD3" w:rsidP="00984275">
      <w:pPr>
        <w:spacing w:after="120" w:line="280" w:lineRule="exact"/>
      </w:pPr>
      <w:r w:rsidRPr="00C433BB">
        <w:rPr>
          <w:color w:val="000000"/>
        </w:rPr>
        <w:t xml:space="preserve">No specific fertility studies in animals have been performed to evaluate the effect of </w:t>
      </w:r>
      <w:r w:rsidR="00123310">
        <w:rPr>
          <w:color w:val="000000"/>
        </w:rPr>
        <w:t>PERJETA</w:t>
      </w:r>
      <w:r w:rsidRPr="00C433BB">
        <w:rPr>
          <w:color w:val="000000"/>
        </w:rPr>
        <w:t xml:space="preserve">. No adverse effects on male and female reproductive organs were observed in repeat-dose toxicity studies of up to six month duration in </w:t>
      </w:r>
      <w:proofErr w:type="spellStart"/>
      <w:r w:rsidRPr="00C433BB">
        <w:rPr>
          <w:color w:val="000000"/>
        </w:rPr>
        <w:t>cynomolgus</w:t>
      </w:r>
      <w:proofErr w:type="spellEnd"/>
      <w:r w:rsidRPr="00C433BB">
        <w:rPr>
          <w:color w:val="000000"/>
        </w:rPr>
        <w:t xml:space="preserve"> monkeys.</w:t>
      </w:r>
    </w:p>
    <w:p w:rsidR="00BB25EF" w:rsidRPr="00EE367F" w:rsidRDefault="00CB1612" w:rsidP="00410126">
      <w:pPr>
        <w:pStyle w:val="Heading3"/>
      </w:pPr>
      <w:r w:rsidRPr="00EE367F">
        <w:t>Use in p</w:t>
      </w:r>
      <w:r w:rsidR="00D844B2" w:rsidRPr="00EE367F">
        <w:t>regnancy</w:t>
      </w:r>
      <w:r w:rsidR="001B3631" w:rsidRPr="00EE367F">
        <w:t xml:space="preserve"> </w:t>
      </w:r>
      <w:r w:rsidR="00DB79EC" w:rsidRPr="00EE367F">
        <w:t xml:space="preserve">- Category </w:t>
      </w:r>
      <w:r w:rsidR="00096563">
        <w:t>D</w:t>
      </w:r>
    </w:p>
    <w:p w:rsidR="00A2463A" w:rsidRDefault="00A2463A" w:rsidP="00455676">
      <w:pPr>
        <w:pStyle w:val="Paragraph"/>
        <w:spacing w:after="120"/>
        <w:jc w:val="both"/>
        <w:rPr>
          <w:rFonts w:ascii="Times New Roman" w:hAnsi="Times New Roman"/>
        </w:rPr>
      </w:pPr>
      <w:r>
        <w:rPr>
          <w:rFonts w:ascii="Times New Roman" w:hAnsi="Times New Roman"/>
        </w:rPr>
        <w:t>PERJETA is not recommended during pregnancy and in women of childbearing potential not using contraception.</w:t>
      </w:r>
    </w:p>
    <w:p w:rsidR="00A2463A" w:rsidRDefault="00A2463A" w:rsidP="00455676">
      <w:pPr>
        <w:pStyle w:val="Paragraph"/>
        <w:spacing w:after="120"/>
        <w:jc w:val="both"/>
        <w:rPr>
          <w:rFonts w:ascii="Times New Roman" w:hAnsi="Times New Roman"/>
        </w:rPr>
      </w:pPr>
      <w:proofErr w:type="spellStart"/>
      <w:r>
        <w:rPr>
          <w:rFonts w:ascii="Times New Roman" w:hAnsi="Times New Roman"/>
        </w:rPr>
        <w:t>Pertuzumab</w:t>
      </w:r>
      <w:proofErr w:type="spellEnd"/>
      <w:r>
        <w:rPr>
          <w:rFonts w:ascii="Times New Roman" w:hAnsi="Times New Roman"/>
        </w:rPr>
        <w:t xml:space="preserve"> may cause embryo-</w:t>
      </w:r>
      <w:proofErr w:type="spellStart"/>
      <w:r>
        <w:rPr>
          <w:rFonts w:ascii="Times New Roman" w:hAnsi="Times New Roman"/>
        </w:rPr>
        <w:t>fetal</w:t>
      </w:r>
      <w:proofErr w:type="spellEnd"/>
      <w:r>
        <w:rPr>
          <w:rFonts w:ascii="Times New Roman" w:hAnsi="Times New Roman"/>
        </w:rPr>
        <w:t xml:space="preserve"> harm and death when administered during pregnancy. Confirm pregnancy status prior to the initiation of PERJTA and advice patients of the risks and the importance for contraception during and after treatment. PERJETA should be avoided during pregnancy unless the potential benefit for the mother outweighs the potential risk to the foetus.</w:t>
      </w:r>
    </w:p>
    <w:p w:rsidR="00AB2644" w:rsidRPr="00EE367F" w:rsidRDefault="00AB2644" w:rsidP="00455676">
      <w:pPr>
        <w:pStyle w:val="Paragraph"/>
        <w:spacing w:after="120"/>
        <w:jc w:val="both"/>
        <w:rPr>
          <w:rFonts w:ascii="Times New Roman" w:hAnsi="Times New Roman"/>
        </w:rPr>
      </w:pPr>
      <w:r w:rsidRPr="00EE367F">
        <w:rPr>
          <w:rFonts w:ascii="Times New Roman" w:hAnsi="Times New Roman"/>
        </w:rPr>
        <w:t xml:space="preserve">Women of child bearing potential and female partners of male patients of child bearing potential should use effective contraception while receiving </w:t>
      </w:r>
      <w:r w:rsidR="00123310">
        <w:rPr>
          <w:rFonts w:ascii="Times New Roman" w:hAnsi="Times New Roman"/>
          <w:color w:val="000000"/>
          <w:lang w:val="en-US"/>
        </w:rPr>
        <w:t>PERJETA</w:t>
      </w:r>
      <w:r w:rsidRPr="00EE367F">
        <w:rPr>
          <w:rFonts w:ascii="Times New Roman" w:hAnsi="Times New Roman"/>
        </w:rPr>
        <w:t xml:space="preserve"> and for 6 months following the last dose of </w:t>
      </w:r>
      <w:r w:rsidR="00123310">
        <w:rPr>
          <w:rFonts w:ascii="Times New Roman" w:hAnsi="Times New Roman"/>
          <w:color w:val="000000"/>
          <w:lang w:val="en-US"/>
        </w:rPr>
        <w:t>PERJETA</w:t>
      </w:r>
      <w:r w:rsidRPr="00EE367F">
        <w:rPr>
          <w:rFonts w:ascii="Times New Roman" w:hAnsi="Times New Roman"/>
        </w:rPr>
        <w:t>.</w:t>
      </w:r>
    </w:p>
    <w:p w:rsidR="00247B06" w:rsidRDefault="00AB2644" w:rsidP="0081710B">
      <w:pPr>
        <w:spacing w:after="120" w:line="280" w:lineRule="exact"/>
        <w:rPr>
          <w:color w:val="000000"/>
          <w:lang w:val="en-US"/>
        </w:rPr>
      </w:pPr>
      <w:r w:rsidRPr="00EE367F">
        <w:t xml:space="preserve">There are no studies of </w:t>
      </w:r>
      <w:r w:rsidR="00123310">
        <w:rPr>
          <w:color w:val="000000"/>
          <w:lang w:val="en-US"/>
        </w:rPr>
        <w:t>PERJETA</w:t>
      </w:r>
      <w:r w:rsidR="00455676" w:rsidRPr="00EE367F">
        <w:t xml:space="preserve"> </w:t>
      </w:r>
      <w:r w:rsidRPr="00EE367F">
        <w:t xml:space="preserve">in pregnant women. </w:t>
      </w:r>
      <w:r w:rsidR="00C112E2" w:rsidRPr="00EE367F">
        <w:rPr>
          <w:color w:val="000000"/>
          <w:lang w:val="en-US"/>
        </w:rPr>
        <w:t xml:space="preserve">Reproductive </w:t>
      </w:r>
      <w:r w:rsidR="00C112E2" w:rsidRPr="00FB36B9">
        <w:rPr>
          <w:color w:val="000000"/>
          <w:lang w:val="en-US"/>
        </w:rPr>
        <w:t xml:space="preserve">toxicology studies have been conducted in </w:t>
      </w:r>
      <w:proofErr w:type="spellStart"/>
      <w:r w:rsidR="00C112E2" w:rsidRPr="00FB36B9">
        <w:rPr>
          <w:color w:val="000000"/>
          <w:lang w:val="en-US"/>
        </w:rPr>
        <w:t>cynomolgus</w:t>
      </w:r>
      <w:proofErr w:type="spellEnd"/>
      <w:r w:rsidR="00C112E2" w:rsidRPr="00FB36B9">
        <w:rPr>
          <w:color w:val="000000"/>
          <w:lang w:val="en-US"/>
        </w:rPr>
        <w:t xml:space="preserve"> monkeys at loading doses of 30 to 150 mg/kg and maintenance doses of 10 to 100 mg/kg achie</w:t>
      </w:r>
      <w:r w:rsidR="00C112E2" w:rsidRPr="008130BD">
        <w:rPr>
          <w:color w:val="000000"/>
          <w:lang w:val="en-US"/>
        </w:rPr>
        <w:t xml:space="preserve">ving </w:t>
      </w:r>
      <w:r w:rsidR="0081710B" w:rsidRPr="0081710B">
        <w:rPr>
          <w:color w:val="000000"/>
          <w:lang w:val="en-US"/>
        </w:rPr>
        <w:t>plasma</w:t>
      </w:r>
      <w:r w:rsidR="00BB3537">
        <w:rPr>
          <w:color w:val="000000"/>
          <w:lang w:val="en-US"/>
        </w:rPr>
        <w:t xml:space="preserve"> </w:t>
      </w:r>
      <w:proofErr w:type="spellStart"/>
      <w:r w:rsidR="0081710B" w:rsidRPr="0081710B">
        <w:rPr>
          <w:color w:val="000000"/>
          <w:lang w:val="en-US"/>
        </w:rPr>
        <w:t>pertuzumab</w:t>
      </w:r>
      <w:proofErr w:type="spellEnd"/>
      <w:r w:rsidR="0081710B" w:rsidRPr="0081710B">
        <w:rPr>
          <w:color w:val="000000"/>
          <w:lang w:val="en-US"/>
        </w:rPr>
        <w:t xml:space="preserve"> concentrations approximately 2-19 times the clinical </w:t>
      </w:r>
      <w:proofErr w:type="spellStart"/>
      <w:r w:rsidR="0081710B" w:rsidRPr="0081710B">
        <w:rPr>
          <w:color w:val="000000"/>
          <w:lang w:val="en-US"/>
        </w:rPr>
        <w:t>Cmax</w:t>
      </w:r>
      <w:proofErr w:type="spellEnd"/>
      <w:r w:rsidR="0081710B" w:rsidRPr="0081710B">
        <w:rPr>
          <w:color w:val="000000"/>
          <w:lang w:val="en-US"/>
        </w:rPr>
        <w:t xml:space="preserve"> at the loading dose</w:t>
      </w:r>
      <w:r w:rsidR="00BB3537">
        <w:rPr>
          <w:color w:val="000000"/>
          <w:lang w:val="en-US"/>
        </w:rPr>
        <w:t xml:space="preserve"> </w:t>
      </w:r>
      <w:r w:rsidR="0081710B" w:rsidRPr="0081710B">
        <w:rPr>
          <w:color w:val="000000"/>
          <w:lang w:val="en-US"/>
        </w:rPr>
        <w:t>of 800 mg</w:t>
      </w:r>
      <w:r w:rsidR="00C112E2" w:rsidRPr="008130BD">
        <w:rPr>
          <w:color w:val="000000"/>
          <w:lang w:val="en-US"/>
        </w:rPr>
        <w:t xml:space="preserve">. </w:t>
      </w:r>
      <w:r w:rsidR="00C83448" w:rsidRPr="008130BD">
        <w:rPr>
          <w:color w:val="000000"/>
          <w:lang w:val="en-US"/>
        </w:rPr>
        <w:t xml:space="preserve">IV administration of </w:t>
      </w:r>
      <w:proofErr w:type="spellStart"/>
      <w:r w:rsidR="00C83448" w:rsidRPr="008130BD">
        <w:rPr>
          <w:color w:val="000000"/>
          <w:lang w:val="en-US"/>
        </w:rPr>
        <w:t>pertuzumab</w:t>
      </w:r>
      <w:proofErr w:type="spellEnd"/>
      <w:r w:rsidR="00C83448" w:rsidRPr="008130BD">
        <w:rPr>
          <w:color w:val="000000"/>
          <w:lang w:val="en-US"/>
        </w:rPr>
        <w:t xml:space="preserve"> from Gestation Day (GD) 19 through 50 (period of organogenesis) was shown to be embryo</w:t>
      </w:r>
      <w:r w:rsidR="00633D83">
        <w:rPr>
          <w:color w:val="000000"/>
          <w:lang w:val="en-US"/>
        </w:rPr>
        <w:t>-</w:t>
      </w:r>
      <w:r w:rsidR="008D5DDD">
        <w:rPr>
          <w:color w:val="000000"/>
          <w:lang w:val="en-US"/>
        </w:rPr>
        <w:t xml:space="preserve"> </w:t>
      </w:r>
      <w:r w:rsidR="0098338B">
        <w:rPr>
          <w:color w:val="000000"/>
          <w:lang w:val="en-US"/>
        </w:rPr>
        <w:t xml:space="preserve">and </w:t>
      </w:r>
      <w:proofErr w:type="spellStart"/>
      <w:r w:rsidR="0098338B">
        <w:rPr>
          <w:color w:val="000000"/>
          <w:lang w:val="en-US"/>
        </w:rPr>
        <w:t>f</w:t>
      </w:r>
      <w:r w:rsidR="00342B6E">
        <w:rPr>
          <w:color w:val="000000"/>
          <w:lang w:val="en-US"/>
        </w:rPr>
        <w:t>o</w:t>
      </w:r>
      <w:r w:rsidR="0098338B">
        <w:rPr>
          <w:color w:val="000000"/>
          <w:lang w:val="en-US"/>
        </w:rPr>
        <w:t>eto</w:t>
      </w:r>
      <w:r w:rsidR="00C83448" w:rsidRPr="008130BD">
        <w:rPr>
          <w:color w:val="000000"/>
          <w:lang w:val="en-US"/>
        </w:rPr>
        <w:t>toxic</w:t>
      </w:r>
      <w:proofErr w:type="spellEnd"/>
      <w:r w:rsidR="00C83448" w:rsidRPr="008130BD">
        <w:rPr>
          <w:color w:val="000000"/>
          <w:lang w:val="en-US"/>
        </w:rPr>
        <w:t xml:space="preserve"> with a dose dependent increase in embryo-</w:t>
      </w:r>
      <w:proofErr w:type="spellStart"/>
      <w:r w:rsidR="00C83448" w:rsidRPr="008130BD">
        <w:rPr>
          <w:color w:val="000000"/>
          <w:lang w:val="en-US"/>
        </w:rPr>
        <w:t>foetal</w:t>
      </w:r>
      <w:proofErr w:type="spellEnd"/>
      <w:r w:rsidR="00C83448" w:rsidRPr="008130BD">
        <w:rPr>
          <w:color w:val="000000"/>
          <w:lang w:val="en-US"/>
        </w:rPr>
        <w:t xml:space="preserve"> deaths </w:t>
      </w:r>
      <w:r w:rsidR="0098338B">
        <w:rPr>
          <w:color w:val="000000"/>
          <w:lang w:val="en-US"/>
        </w:rPr>
        <w:t xml:space="preserve">and abortions </w:t>
      </w:r>
      <w:r w:rsidR="00C83448" w:rsidRPr="008130BD">
        <w:rPr>
          <w:color w:val="000000"/>
          <w:lang w:val="en-US"/>
        </w:rPr>
        <w:t>between GD 25 to 70. Delayed renal development</w:t>
      </w:r>
      <w:r w:rsidR="008D5DDD">
        <w:rPr>
          <w:color w:val="000000"/>
          <w:lang w:val="en-US"/>
        </w:rPr>
        <w:t>,</w:t>
      </w:r>
      <w:r w:rsidR="00C83448" w:rsidRPr="008130BD">
        <w:rPr>
          <w:color w:val="000000"/>
          <w:lang w:val="en-US"/>
        </w:rPr>
        <w:t xml:space="preserve"> oligohydramnios </w:t>
      </w:r>
      <w:r w:rsidR="0098338B">
        <w:rPr>
          <w:color w:val="000000"/>
          <w:lang w:val="en-US"/>
        </w:rPr>
        <w:t xml:space="preserve">and other abnormalities </w:t>
      </w:r>
      <w:r w:rsidR="00C83448" w:rsidRPr="008130BD">
        <w:rPr>
          <w:color w:val="000000"/>
          <w:lang w:val="en-US"/>
        </w:rPr>
        <w:t>were identified at GD100.</w:t>
      </w:r>
      <w:r w:rsidR="00C112E2" w:rsidRPr="008130BD">
        <w:rPr>
          <w:color w:val="000000"/>
          <w:lang w:val="en-US"/>
        </w:rPr>
        <w:t xml:space="preserve"> </w:t>
      </w:r>
    </w:p>
    <w:p w:rsidR="00D844B2" w:rsidRPr="008130BD" w:rsidRDefault="00D844B2" w:rsidP="00410126">
      <w:pPr>
        <w:pStyle w:val="Heading3"/>
      </w:pPr>
      <w:r w:rsidRPr="002708E1">
        <w:lastRenderedPageBreak/>
        <w:t>Use in lactation</w:t>
      </w:r>
    </w:p>
    <w:p w:rsidR="00D844B2" w:rsidRPr="008130BD" w:rsidRDefault="00455676" w:rsidP="00455676">
      <w:pPr>
        <w:spacing w:after="120" w:line="280" w:lineRule="exact"/>
      </w:pPr>
      <w:r w:rsidRPr="008130BD">
        <w:rPr>
          <w:color w:val="000000"/>
        </w:rPr>
        <w:t xml:space="preserve">Because human IgG is secreted in human milk, and the potential for absorption and harm to the infant is unknown, a decision should be made to discontinue nursing or </w:t>
      </w:r>
      <w:r w:rsidR="00123310">
        <w:rPr>
          <w:color w:val="000000"/>
        </w:rPr>
        <w:t>PERJETA</w:t>
      </w:r>
      <w:r w:rsidRPr="008130BD">
        <w:rPr>
          <w:color w:val="000000"/>
        </w:rPr>
        <w:t xml:space="preserve"> taking into account the importance to the mother and the </w:t>
      </w:r>
      <w:r w:rsidR="00E76FBB">
        <w:rPr>
          <w:color w:val="000000"/>
        </w:rPr>
        <w:t xml:space="preserve">elimination </w:t>
      </w:r>
      <w:r w:rsidR="004A47CF" w:rsidRPr="008130BD">
        <w:rPr>
          <w:color w:val="000000"/>
        </w:rPr>
        <w:t>half-life</w:t>
      </w:r>
      <w:r w:rsidRPr="008130BD">
        <w:rPr>
          <w:color w:val="000000"/>
        </w:rPr>
        <w:t xml:space="preserve"> of </w:t>
      </w:r>
      <w:proofErr w:type="spellStart"/>
      <w:r w:rsidRPr="008130BD">
        <w:rPr>
          <w:color w:val="000000"/>
        </w:rPr>
        <w:t>pertuzumab</w:t>
      </w:r>
      <w:proofErr w:type="spellEnd"/>
      <w:r w:rsidRPr="008130BD">
        <w:rPr>
          <w:color w:val="000000"/>
        </w:rPr>
        <w:t xml:space="preserve"> (</w:t>
      </w:r>
      <w:r w:rsidRPr="008130BD">
        <w:rPr>
          <w:i/>
          <w:color w:val="000000"/>
        </w:rPr>
        <w:t>see</w:t>
      </w:r>
      <w:r w:rsidR="00C03171" w:rsidRPr="008130BD">
        <w:rPr>
          <w:i/>
          <w:color w:val="000000"/>
        </w:rPr>
        <w:t xml:space="preserve"> Excretion)</w:t>
      </w:r>
      <w:r w:rsidR="004A47CF" w:rsidRPr="008130BD">
        <w:rPr>
          <w:color w:val="000000"/>
        </w:rPr>
        <w:t>.</w:t>
      </w:r>
      <w:r w:rsidRPr="008130BD">
        <w:rPr>
          <w:color w:val="000000"/>
        </w:rPr>
        <w:t xml:space="preserve"> </w:t>
      </w:r>
    </w:p>
    <w:p w:rsidR="00D844B2" w:rsidRPr="008130BD" w:rsidRDefault="00D844B2" w:rsidP="00410126">
      <w:pPr>
        <w:pStyle w:val="Heading3"/>
      </w:pPr>
      <w:r w:rsidRPr="002708E1">
        <w:t>Paediatric use</w:t>
      </w:r>
    </w:p>
    <w:p w:rsidR="000F43F8" w:rsidRPr="008130BD" w:rsidRDefault="00732A9F" w:rsidP="00732A9F">
      <w:pPr>
        <w:pStyle w:val="Paragraph"/>
        <w:spacing w:after="120" w:line="240" w:lineRule="auto"/>
        <w:jc w:val="both"/>
        <w:rPr>
          <w:rFonts w:ascii="Times New Roman" w:eastAsia="PMingLiU" w:hAnsi="Times New Roman"/>
          <w:szCs w:val="22"/>
          <w:lang w:val="en-AU" w:eastAsia="zh-TW"/>
        </w:rPr>
      </w:pPr>
      <w:r w:rsidRPr="008130BD">
        <w:rPr>
          <w:rFonts w:ascii="Times New Roman" w:eastAsia="PMingLiU" w:hAnsi="Times New Roman"/>
          <w:szCs w:val="22"/>
          <w:lang w:val="en-AU" w:eastAsia="zh-TW"/>
        </w:rPr>
        <w:t xml:space="preserve">The safety and efficacy of </w:t>
      </w:r>
      <w:r w:rsidR="00123310">
        <w:rPr>
          <w:rFonts w:ascii="Times New Roman" w:eastAsia="PMingLiU" w:hAnsi="Times New Roman"/>
          <w:szCs w:val="22"/>
          <w:lang w:val="en-AU" w:eastAsia="zh-TW"/>
        </w:rPr>
        <w:t>PERJETA</w:t>
      </w:r>
      <w:r w:rsidRPr="008130BD">
        <w:rPr>
          <w:rFonts w:ascii="Times New Roman" w:eastAsia="PMingLiU" w:hAnsi="Times New Roman"/>
          <w:szCs w:val="22"/>
          <w:lang w:val="en-AU" w:eastAsia="zh-TW"/>
        </w:rPr>
        <w:t xml:space="preserve"> in children and adolescents below 18 years of age have not been established.</w:t>
      </w:r>
    </w:p>
    <w:p w:rsidR="00D844B2" w:rsidRPr="008130BD" w:rsidRDefault="00D844B2" w:rsidP="00410126">
      <w:pPr>
        <w:pStyle w:val="Heading3"/>
      </w:pPr>
      <w:r w:rsidRPr="002708E1">
        <w:t>Use in the elderly</w:t>
      </w:r>
    </w:p>
    <w:p w:rsidR="0084308D" w:rsidRPr="008130BD" w:rsidRDefault="008F36D3" w:rsidP="009D7130">
      <w:pPr>
        <w:spacing w:after="120"/>
      </w:pPr>
      <w:r w:rsidRPr="008130BD">
        <w:rPr>
          <w:color w:val="000000"/>
        </w:rPr>
        <w:t xml:space="preserve">No differences of safety and efficacy of </w:t>
      </w:r>
      <w:r w:rsidR="00123310">
        <w:rPr>
          <w:color w:val="000000"/>
        </w:rPr>
        <w:t>PERJETA</w:t>
      </w:r>
      <w:r w:rsidRPr="008130BD">
        <w:rPr>
          <w:color w:val="000000"/>
        </w:rPr>
        <w:t xml:space="preserve"> were observed between adult patients ≥65 and &lt;65 years of age.</w:t>
      </w:r>
    </w:p>
    <w:p w:rsidR="00D844B2" w:rsidRPr="008130BD" w:rsidRDefault="00D844B2" w:rsidP="00410126">
      <w:pPr>
        <w:pStyle w:val="Heading3"/>
      </w:pPr>
      <w:r w:rsidRPr="002708E1">
        <w:t>Genotoxicity</w:t>
      </w:r>
    </w:p>
    <w:p w:rsidR="000F43F8" w:rsidRPr="008130BD" w:rsidRDefault="00C83448" w:rsidP="006E6DC1">
      <w:pPr>
        <w:spacing w:after="120"/>
        <w:rPr>
          <w:i/>
        </w:rPr>
      </w:pPr>
      <w:r w:rsidRPr="008130BD">
        <w:rPr>
          <w:color w:val="000000"/>
        </w:rPr>
        <w:t xml:space="preserve">Studies have not been performed to evaluate the mutagenic potential of </w:t>
      </w:r>
      <w:proofErr w:type="spellStart"/>
      <w:r w:rsidRPr="008130BD">
        <w:rPr>
          <w:color w:val="000000"/>
        </w:rPr>
        <w:t>pertuzumab</w:t>
      </w:r>
      <w:proofErr w:type="spellEnd"/>
      <w:r w:rsidRPr="008130BD">
        <w:rPr>
          <w:color w:val="000000"/>
        </w:rPr>
        <w:t>.</w:t>
      </w:r>
      <w:r w:rsidRPr="008130BD" w:rsidDel="00C83448">
        <w:rPr>
          <w:i/>
          <w:color w:val="777777"/>
        </w:rPr>
        <w:t xml:space="preserve"> </w:t>
      </w:r>
    </w:p>
    <w:p w:rsidR="00D844B2" w:rsidRPr="008130BD" w:rsidRDefault="00D844B2" w:rsidP="00410126">
      <w:pPr>
        <w:pStyle w:val="Heading3"/>
      </w:pPr>
      <w:bookmarkStart w:id="15" w:name="_Ref319588392"/>
      <w:r w:rsidRPr="002708E1">
        <w:t>Carcinogenicity</w:t>
      </w:r>
      <w:bookmarkEnd w:id="15"/>
    </w:p>
    <w:p w:rsidR="000F43F8" w:rsidRPr="008130BD" w:rsidRDefault="00C83448" w:rsidP="006E6DC1">
      <w:pPr>
        <w:spacing w:after="120"/>
        <w:rPr>
          <w:i/>
        </w:rPr>
      </w:pPr>
      <w:r w:rsidRPr="008130BD">
        <w:rPr>
          <w:color w:val="000000"/>
        </w:rPr>
        <w:t xml:space="preserve">Long-term studies in animals have not been performed to evaluate the carcinogenic potential of </w:t>
      </w:r>
      <w:proofErr w:type="spellStart"/>
      <w:r w:rsidRPr="008130BD">
        <w:rPr>
          <w:color w:val="000000"/>
        </w:rPr>
        <w:t>pertuzumab</w:t>
      </w:r>
      <w:proofErr w:type="spellEnd"/>
      <w:r w:rsidRPr="008130BD">
        <w:rPr>
          <w:color w:val="000000"/>
        </w:rPr>
        <w:t>.</w:t>
      </w:r>
      <w:r w:rsidRPr="008130BD" w:rsidDel="00C83448">
        <w:rPr>
          <w:i/>
          <w:color w:val="777777"/>
        </w:rPr>
        <w:t xml:space="preserve"> </w:t>
      </w:r>
    </w:p>
    <w:p w:rsidR="00D844B2" w:rsidRPr="008130BD" w:rsidRDefault="00D844B2" w:rsidP="00410126">
      <w:pPr>
        <w:pStyle w:val="Heading3"/>
      </w:pPr>
      <w:r w:rsidRPr="002708E1">
        <w:t>Effect on laboratory tests</w:t>
      </w:r>
    </w:p>
    <w:p w:rsidR="00D844B2" w:rsidRPr="00717FA5" w:rsidRDefault="0063109A" w:rsidP="007E03C2">
      <w:pPr>
        <w:rPr>
          <w:color w:val="000000"/>
        </w:rPr>
      </w:pPr>
      <w:r w:rsidRPr="00717FA5">
        <w:rPr>
          <w:color w:val="000000"/>
        </w:rPr>
        <w:t>No text.</w:t>
      </w:r>
    </w:p>
    <w:p w:rsidR="003006B6" w:rsidRPr="008130BD" w:rsidRDefault="003006B6" w:rsidP="00410126">
      <w:pPr>
        <w:pStyle w:val="Heading3"/>
      </w:pPr>
      <w:r w:rsidRPr="002708E1">
        <w:t>Other</w:t>
      </w:r>
    </w:p>
    <w:p w:rsidR="003006B6" w:rsidRPr="008130BD" w:rsidRDefault="003006B6" w:rsidP="007D7CA4">
      <w:pPr>
        <w:rPr>
          <w:lang w:val="en-GB"/>
        </w:rPr>
      </w:pPr>
      <w:r w:rsidRPr="00717FA5">
        <w:rPr>
          <w:color w:val="000000"/>
        </w:rPr>
        <w:t xml:space="preserve">In </w:t>
      </w:r>
      <w:proofErr w:type="spellStart"/>
      <w:r w:rsidRPr="00717FA5">
        <w:rPr>
          <w:color w:val="000000"/>
        </w:rPr>
        <w:t>cynomolgus</w:t>
      </w:r>
      <w:proofErr w:type="spellEnd"/>
      <w:r w:rsidRPr="00717FA5">
        <w:rPr>
          <w:color w:val="000000"/>
        </w:rPr>
        <w:t xml:space="preserve"> monkeys, weekly IV administration of </w:t>
      </w:r>
      <w:proofErr w:type="spellStart"/>
      <w:r w:rsidRPr="00717FA5">
        <w:rPr>
          <w:color w:val="000000"/>
        </w:rPr>
        <w:t>pertuzumab</w:t>
      </w:r>
      <w:proofErr w:type="spellEnd"/>
      <w:r w:rsidRPr="00717FA5">
        <w:rPr>
          <w:color w:val="000000"/>
        </w:rPr>
        <w:t xml:space="preserve"> at doses up to 150 mg/kg/dose</w:t>
      </w:r>
      <w:r w:rsidRPr="00717FA5" w:rsidDel="00EB6329">
        <w:rPr>
          <w:color w:val="000000"/>
        </w:rPr>
        <w:t xml:space="preserve"> </w:t>
      </w:r>
      <w:r w:rsidRPr="00717FA5">
        <w:rPr>
          <w:color w:val="000000"/>
        </w:rPr>
        <w:t>were generally well tolerated. With doses of 15 mg/kg and higher intermittent mild treatment-associated diarrhoea was noted. In a subset of monkeys chronic dosing (7 to 26 weekly doses) resulted in episodes of diarrhoea-related dehydration which were manag</w:t>
      </w:r>
      <w:r w:rsidRPr="00E57B1F">
        <w:rPr>
          <w:color w:val="000000"/>
        </w:rPr>
        <w:t>ed with IV fluid replacement therapy</w:t>
      </w:r>
      <w:r w:rsidRPr="002708E1">
        <w:rPr>
          <w:color w:val="000000"/>
        </w:rPr>
        <w:t>.</w:t>
      </w:r>
    </w:p>
    <w:p w:rsidR="00732A9F" w:rsidRPr="008130BD" w:rsidRDefault="00732A9F" w:rsidP="00410126">
      <w:pPr>
        <w:pStyle w:val="Heading3"/>
      </w:pPr>
      <w:r w:rsidRPr="002708E1">
        <w:t>Use in renal impairment</w:t>
      </w:r>
    </w:p>
    <w:p w:rsidR="000F43F8" w:rsidRPr="008130BD" w:rsidRDefault="008F36D3" w:rsidP="006A6E47">
      <w:pPr>
        <w:spacing w:after="120" w:line="280" w:lineRule="exact"/>
        <w:rPr>
          <w:i/>
        </w:rPr>
      </w:pPr>
      <w:r w:rsidRPr="008130BD">
        <w:rPr>
          <w:color w:val="000000"/>
        </w:rPr>
        <w:t xml:space="preserve">The safety and efficacy of </w:t>
      </w:r>
      <w:r w:rsidR="00123310">
        <w:rPr>
          <w:color w:val="000000"/>
        </w:rPr>
        <w:t>PERJETA</w:t>
      </w:r>
      <w:r w:rsidRPr="008130BD">
        <w:rPr>
          <w:color w:val="000000"/>
        </w:rPr>
        <w:t xml:space="preserve"> have not been studied in patients with renal impairment.</w:t>
      </w:r>
    </w:p>
    <w:p w:rsidR="00732A9F" w:rsidRPr="008130BD" w:rsidRDefault="00732A9F" w:rsidP="00410126">
      <w:pPr>
        <w:pStyle w:val="Heading3"/>
      </w:pPr>
      <w:r w:rsidRPr="002708E1">
        <w:t>Use in hepatic impairment</w:t>
      </w:r>
    </w:p>
    <w:p w:rsidR="000F43F8" w:rsidRPr="008130BD" w:rsidRDefault="008F36D3" w:rsidP="00732A9F">
      <w:pPr>
        <w:spacing w:after="120"/>
        <w:rPr>
          <w:i/>
        </w:rPr>
      </w:pPr>
      <w:r w:rsidRPr="008130BD">
        <w:rPr>
          <w:color w:val="000000"/>
        </w:rPr>
        <w:t xml:space="preserve">The safety and efficacy of </w:t>
      </w:r>
      <w:r w:rsidR="00123310">
        <w:rPr>
          <w:color w:val="000000"/>
        </w:rPr>
        <w:t>PERJETA</w:t>
      </w:r>
      <w:r w:rsidRPr="008130BD">
        <w:rPr>
          <w:color w:val="000000"/>
        </w:rPr>
        <w:t xml:space="preserve"> have not been studied in patients with hepatic impairment.</w:t>
      </w:r>
    </w:p>
    <w:p w:rsidR="00D844B2" w:rsidRPr="00FB36B9" w:rsidRDefault="00410126" w:rsidP="00410126">
      <w:pPr>
        <w:pStyle w:val="Heading2"/>
      </w:pPr>
      <w:r w:rsidRPr="00FB36B9">
        <w:t>INTERACTIONS WITH OTHER MEDICINES</w:t>
      </w:r>
    </w:p>
    <w:p w:rsidR="00C75CAE" w:rsidRPr="00FB36B9" w:rsidRDefault="00C75CAE" w:rsidP="00C75CAE">
      <w:pPr>
        <w:pStyle w:val="Paragraph"/>
        <w:spacing w:after="120"/>
        <w:jc w:val="both"/>
        <w:rPr>
          <w:rFonts w:ascii="Times New Roman" w:hAnsi="Times New Roman"/>
          <w:iCs/>
          <w:color w:val="000000"/>
          <w:lang w:val="en-US"/>
        </w:rPr>
      </w:pPr>
      <w:r w:rsidRPr="008130BD">
        <w:rPr>
          <w:rFonts w:ascii="Times New Roman" w:hAnsi="Times New Roman"/>
          <w:iCs/>
          <w:color w:val="000000"/>
          <w:lang w:val="en-US"/>
        </w:rPr>
        <w:t xml:space="preserve">A sub-study in 37 patients in the pivotal trial </w:t>
      </w:r>
      <w:r w:rsidRPr="008130BD">
        <w:rPr>
          <w:rFonts w:ascii="Times New Roman" w:hAnsi="Times New Roman"/>
          <w:color w:val="000000"/>
        </w:rPr>
        <w:t>CLEOPATRA</w:t>
      </w:r>
      <w:r w:rsidRPr="008130BD">
        <w:rPr>
          <w:rFonts w:ascii="Times New Roman" w:hAnsi="Times New Roman"/>
          <w:color w:val="000000"/>
          <w:lang w:val="en-US"/>
        </w:rPr>
        <w:t xml:space="preserve"> </w:t>
      </w:r>
      <w:r w:rsidRPr="008130BD">
        <w:rPr>
          <w:rFonts w:ascii="Times New Roman" w:hAnsi="Times New Roman"/>
          <w:iCs/>
          <w:color w:val="000000"/>
          <w:lang w:val="en-US"/>
        </w:rPr>
        <w:t xml:space="preserve">showed no evidence of drug-drug interaction between </w:t>
      </w:r>
      <w:r w:rsidR="00123310">
        <w:rPr>
          <w:rFonts w:ascii="Times New Roman" w:hAnsi="Times New Roman"/>
          <w:iCs/>
          <w:color w:val="000000"/>
          <w:lang w:val="en-US"/>
        </w:rPr>
        <w:t>PERJETA</w:t>
      </w:r>
      <w:r w:rsidRPr="00C433BB">
        <w:rPr>
          <w:rFonts w:ascii="Times New Roman" w:hAnsi="Times New Roman"/>
          <w:iCs/>
          <w:color w:val="000000"/>
          <w:lang w:val="en-US"/>
        </w:rPr>
        <w:t xml:space="preserve"> and </w:t>
      </w:r>
      <w:proofErr w:type="spellStart"/>
      <w:r w:rsidR="003F2EEC">
        <w:rPr>
          <w:rFonts w:ascii="Times New Roman" w:hAnsi="Times New Roman"/>
          <w:color w:val="000000"/>
          <w:lang w:val="en-US"/>
        </w:rPr>
        <w:t>trastuzumab</w:t>
      </w:r>
      <w:proofErr w:type="spellEnd"/>
      <w:r w:rsidR="003F2EEC" w:rsidRPr="00EE367F">
        <w:rPr>
          <w:rFonts w:ascii="Times New Roman" w:hAnsi="Times New Roman"/>
          <w:iCs/>
          <w:color w:val="000000"/>
          <w:lang w:val="en-US"/>
        </w:rPr>
        <w:t xml:space="preserve"> </w:t>
      </w:r>
      <w:r w:rsidRPr="00EE367F">
        <w:rPr>
          <w:rFonts w:ascii="Times New Roman" w:hAnsi="Times New Roman"/>
          <w:iCs/>
          <w:color w:val="000000"/>
          <w:lang w:val="en-US"/>
        </w:rPr>
        <w:t xml:space="preserve">and between </w:t>
      </w:r>
      <w:r w:rsidR="00123310">
        <w:rPr>
          <w:rFonts w:ascii="Times New Roman" w:hAnsi="Times New Roman"/>
          <w:iCs/>
          <w:color w:val="000000"/>
          <w:lang w:val="en-US"/>
        </w:rPr>
        <w:t>PERJETA</w:t>
      </w:r>
      <w:r w:rsidRPr="00EE367F">
        <w:rPr>
          <w:rFonts w:ascii="Times New Roman" w:hAnsi="Times New Roman"/>
          <w:iCs/>
          <w:color w:val="000000"/>
          <w:lang w:val="en-US"/>
        </w:rPr>
        <w:t xml:space="preserve"> and docetaxel. In addition, no clinical relevant pharmacokinetic interaction of co-administered docetaxel or </w:t>
      </w:r>
      <w:proofErr w:type="spellStart"/>
      <w:r w:rsidR="003F2EEC">
        <w:rPr>
          <w:rFonts w:ascii="Times New Roman" w:hAnsi="Times New Roman"/>
          <w:color w:val="000000"/>
          <w:lang w:val="en-US"/>
        </w:rPr>
        <w:t>trastuzumab</w:t>
      </w:r>
      <w:proofErr w:type="spellEnd"/>
      <w:r w:rsidR="003F2EEC" w:rsidRPr="00EE367F">
        <w:rPr>
          <w:rFonts w:ascii="Times New Roman" w:hAnsi="Times New Roman"/>
          <w:iCs/>
          <w:color w:val="000000"/>
          <w:lang w:val="en-US"/>
        </w:rPr>
        <w:t xml:space="preserve"> </w:t>
      </w:r>
      <w:r w:rsidRPr="00EE367F">
        <w:rPr>
          <w:rFonts w:ascii="Times New Roman" w:hAnsi="Times New Roman"/>
          <w:iCs/>
          <w:color w:val="000000"/>
          <w:lang w:val="en-US"/>
        </w:rPr>
        <w:t xml:space="preserve">on </w:t>
      </w:r>
      <w:r w:rsidR="00123310">
        <w:rPr>
          <w:rFonts w:ascii="Times New Roman" w:hAnsi="Times New Roman"/>
          <w:iCs/>
          <w:color w:val="000000"/>
          <w:lang w:val="en-US"/>
        </w:rPr>
        <w:t>PERJETA</w:t>
      </w:r>
      <w:r w:rsidRPr="00EE367F">
        <w:rPr>
          <w:rFonts w:ascii="Times New Roman" w:hAnsi="Times New Roman"/>
          <w:iCs/>
          <w:color w:val="000000"/>
          <w:lang w:val="en-US"/>
        </w:rPr>
        <w:t xml:space="preserve"> </w:t>
      </w:r>
      <w:r w:rsidRPr="00FB36B9">
        <w:rPr>
          <w:rFonts w:ascii="Times New Roman" w:hAnsi="Times New Roman"/>
          <w:iCs/>
          <w:color w:val="000000"/>
          <w:lang w:val="en-US"/>
        </w:rPr>
        <w:t xml:space="preserve">was evident based on the population pharmacokinetics analysis. </w:t>
      </w:r>
      <w:r w:rsidR="005D28A5">
        <w:rPr>
          <w:rFonts w:ascii="Times New Roman" w:hAnsi="Times New Roman"/>
          <w:iCs/>
          <w:color w:val="000000"/>
          <w:lang w:val="en-US"/>
        </w:rPr>
        <w:t>This lack of drug-drug interaction was confirmed by pharmacokinetic data from the NEOSPHERE study.</w:t>
      </w:r>
    </w:p>
    <w:p w:rsidR="0063109A" w:rsidRPr="008130BD" w:rsidRDefault="00C75CAE" w:rsidP="00C75CAE">
      <w:pPr>
        <w:spacing w:after="120" w:line="280" w:lineRule="exact"/>
        <w:rPr>
          <w:i/>
          <w:color w:val="777777"/>
        </w:rPr>
      </w:pPr>
      <w:r w:rsidRPr="008130BD">
        <w:rPr>
          <w:iCs/>
          <w:color w:val="000000"/>
          <w:lang w:val="en-US"/>
        </w:rPr>
        <w:t xml:space="preserve">Four studies have evaluated the effects of </w:t>
      </w:r>
      <w:r w:rsidR="00123310">
        <w:rPr>
          <w:iCs/>
          <w:color w:val="000000"/>
          <w:lang w:val="en-US"/>
        </w:rPr>
        <w:t>PERJETA</w:t>
      </w:r>
      <w:r w:rsidRPr="008130BD">
        <w:rPr>
          <w:iCs/>
          <w:color w:val="000000"/>
          <w:lang w:val="en-US"/>
        </w:rPr>
        <w:t xml:space="preserve"> on the pharmacokinetics of c</w:t>
      </w:r>
      <w:r w:rsidR="00C90353">
        <w:rPr>
          <w:iCs/>
          <w:color w:val="000000"/>
          <w:lang w:val="en-US"/>
        </w:rPr>
        <w:t>o-administered cytotoxic agents;</w:t>
      </w:r>
      <w:r w:rsidRPr="008130BD">
        <w:rPr>
          <w:iCs/>
          <w:color w:val="000000"/>
          <w:lang w:val="en-US"/>
        </w:rPr>
        <w:t xml:space="preserve"> docetaxel, gemcitabine, </w:t>
      </w:r>
      <w:proofErr w:type="spellStart"/>
      <w:r w:rsidRPr="008130BD">
        <w:rPr>
          <w:iCs/>
          <w:color w:val="000000"/>
          <w:lang w:val="en-US"/>
        </w:rPr>
        <w:t>erlotinib</w:t>
      </w:r>
      <w:proofErr w:type="spellEnd"/>
      <w:r w:rsidRPr="008130BD">
        <w:rPr>
          <w:iCs/>
          <w:color w:val="000000"/>
          <w:lang w:val="en-US"/>
        </w:rPr>
        <w:t xml:space="preserve"> a</w:t>
      </w:r>
      <w:r w:rsidR="00C90353">
        <w:rPr>
          <w:iCs/>
          <w:color w:val="000000"/>
          <w:lang w:val="en-US"/>
        </w:rPr>
        <w:t xml:space="preserve">nd </w:t>
      </w:r>
      <w:proofErr w:type="spellStart"/>
      <w:r w:rsidR="00C90353">
        <w:rPr>
          <w:iCs/>
          <w:color w:val="000000"/>
          <w:lang w:val="en-US"/>
        </w:rPr>
        <w:t>capecitabine</w:t>
      </w:r>
      <w:proofErr w:type="spellEnd"/>
      <w:r w:rsidRPr="008130BD">
        <w:rPr>
          <w:iCs/>
          <w:color w:val="000000"/>
          <w:lang w:val="en-US"/>
        </w:rPr>
        <w:t xml:space="preserve">. There was </w:t>
      </w:r>
      <w:r w:rsidRPr="008130BD">
        <w:rPr>
          <w:iCs/>
          <w:color w:val="000000"/>
          <w:lang w:val="en-US"/>
        </w:rPr>
        <w:lastRenderedPageBreak/>
        <w:t xml:space="preserve">no evidence of any pharmacokinetics interaction between </w:t>
      </w:r>
      <w:r w:rsidR="00123310">
        <w:rPr>
          <w:iCs/>
          <w:color w:val="000000"/>
          <w:lang w:val="en-US"/>
        </w:rPr>
        <w:t>PERJETA</w:t>
      </w:r>
      <w:r w:rsidRPr="008130BD">
        <w:rPr>
          <w:iCs/>
          <w:color w:val="000000"/>
          <w:lang w:val="en-US"/>
        </w:rPr>
        <w:t xml:space="preserve"> and any of these agents. The pharmacokinetics of </w:t>
      </w:r>
      <w:r w:rsidR="00123310">
        <w:rPr>
          <w:iCs/>
          <w:color w:val="000000"/>
          <w:lang w:val="en-US"/>
        </w:rPr>
        <w:t>PERJETA</w:t>
      </w:r>
      <w:r w:rsidRPr="008130BD">
        <w:rPr>
          <w:iCs/>
          <w:color w:val="000000"/>
          <w:lang w:val="en-US"/>
        </w:rPr>
        <w:t xml:space="preserve"> in these studies w</w:t>
      </w:r>
      <w:r w:rsidR="00A36931">
        <w:rPr>
          <w:iCs/>
          <w:color w:val="000000"/>
          <w:lang w:val="en-US"/>
        </w:rPr>
        <w:t>as</w:t>
      </w:r>
      <w:r w:rsidRPr="008130BD">
        <w:rPr>
          <w:iCs/>
          <w:color w:val="000000"/>
          <w:lang w:val="en-US"/>
        </w:rPr>
        <w:t xml:space="preserve"> comparable to those observed in single-agent studies.</w:t>
      </w:r>
    </w:p>
    <w:p w:rsidR="00D844B2" w:rsidRPr="00FB36B9" w:rsidRDefault="00410126" w:rsidP="00410126">
      <w:pPr>
        <w:pStyle w:val="Heading2"/>
      </w:pPr>
      <w:bookmarkStart w:id="16" w:name="_Ref319419675"/>
      <w:r w:rsidRPr="00FB36B9">
        <w:t>ADVERSE EFFECTS</w:t>
      </w:r>
      <w:bookmarkEnd w:id="16"/>
    </w:p>
    <w:p w:rsidR="001C077E" w:rsidRDefault="0049353C" w:rsidP="0049353C">
      <w:pPr>
        <w:spacing w:after="120"/>
        <w:rPr>
          <w:color w:val="000000"/>
        </w:rPr>
      </w:pPr>
      <w:r w:rsidRPr="008130BD">
        <w:t xml:space="preserve">The safety of </w:t>
      </w:r>
      <w:r w:rsidR="00123310">
        <w:t>PERJETA</w:t>
      </w:r>
      <w:r w:rsidRPr="008130BD">
        <w:t xml:space="preserve"> has been evaluated in more than 1</w:t>
      </w:r>
      <w:r w:rsidR="007F21D2">
        <w:t>6</w:t>
      </w:r>
      <w:r w:rsidRPr="008130BD">
        <w:t xml:space="preserve">00 patients the </w:t>
      </w:r>
      <w:r w:rsidR="00A36931">
        <w:t xml:space="preserve"> randomised </w:t>
      </w:r>
      <w:r w:rsidRPr="008130BD">
        <w:t xml:space="preserve"> CLEOPATRA </w:t>
      </w:r>
      <w:r w:rsidR="005D787A">
        <w:t>(n=808), NEOSPHERE (n=</w:t>
      </w:r>
      <w:r w:rsidR="006F4C30">
        <w:t>417) and TRYP</w:t>
      </w:r>
      <w:r w:rsidR="0010680F">
        <w:t>H</w:t>
      </w:r>
      <w:r w:rsidR="006F4C30">
        <w:t xml:space="preserve">AENA (n=225) trials, and </w:t>
      </w:r>
      <w:r w:rsidRPr="008130BD">
        <w:t xml:space="preserve"> in </w:t>
      </w:r>
      <w:r w:rsidR="0097647B">
        <w:t>P</w:t>
      </w:r>
      <w:r w:rsidRPr="008130BD">
        <w:t>hase I and II trials conducted in patients with various malignancies</w:t>
      </w:r>
      <w:r w:rsidR="0097647B">
        <w:t>,</w:t>
      </w:r>
      <w:r w:rsidRPr="008130BD">
        <w:t xml:space="preserve"> and predominantly treated with </w:t>
      </w:r>
      <w:r w:rsidR="00123310">
        <w:t>PERJETA</w:t>
      </w:r>
      <w:r w:rsidRPr="00C433BB">
        <w:t xml:space="preserve"> in combination with other anti</w:t>
      </w:r>
      <w:r w:rsidR="001819A0">
        <w:t>-</w:t>
      </w:r>
      <w:r w:rsidRPr="00C433BB">
        <w:t>neoplastic agents</w:t>
      </w:r>
      <w:r w:rsidRPr="00EE367F">
        <w:t>.</w:t>
      </w:r>
      <w:r w:rsidR="002E0DB7">
        <w:t xml:space="preserve"> </w:t>
      </w:r>
      <w:r w:rsidR="002E0DB7" w:rsidRPr="008130BD">
        <w:rPr>
          <w:color w:val="000000"/>
        </w:rPr>
        <w:t xml:space="preserve">The safety of </w:t>
      </w:r>
      <w:r w:rsidR="002E0DB7">
        <w:t>PERJETA</w:t>
      </w:r>
      <w:r w:rsidR="002E0DB7" w:rsidRPr="008130BD">
        <w:rPr>
          <w:color w:val="000000"/>
        </w:rPr>
        <w:t xml:space="preserve"> in Phase I and </w:t>
      </w:r>
      <w:r w:rsidR="0097647B">
        <w:rPr>
          <w:color w:val="000000"/>
        </w:rPr>
        <w:t xml:space="preserve">Phase </w:t>
      </w:r>
      <w:r w:rsidR="002E0DB7" w:rsidRPr="008130BD">
        <w:rPr>
          <w:color w:val="000000"/>
        </w:rPr>
        <w:t>II studies was generally consistent with that observed in the CLEOPATRA</w:t>
      </w:r>
      <w:r w:rsidR="0097647B">
        <w:rPr>
          <w:color w:val="000000"/>
        </w:rPr>
        <w:t>, NEOSPHERE and TRYPHAENA</w:t>
      </w:r>
      <w:r w:rsidR="002E0DB7" w:rsidRPr="008130BD">
        <w:rPr>
          <w:color w:val="000000"/>
        </w:rPr>
        <w:t xml:space="preserve"> trial</w:t>
      </w:r>
      <w:r w:rsidR="0097647B">
        <w:rPr>
          <w:color w:val="000000"/>
        </w:rPr>
        <w:t>s</w:t>
      </w:r>
      <w:r w:rsidR="002E0DB7" w:rsidRPr="008130BD">
        <w:rPr>
          <w:color w:val="000000"/>
        </w:rPr>
        <w:t xml:space="preserve">, </w:t>
      </w:r>
      <w:r w:rsidR="0097647B">
        <w:rPr>
          <w:color w:val="000000"/>
        </w:rPr>
        <w:t>al</w:t>
      </w:r>
      <w:r w:rsidR="002E0DB7" w:rsidRPr="008130BD">
        <w:rPr>
          <w:color w:val="000000"/>
        </w:rPr>
        <w:t xml:space="preserve">though the incidence and most common </w:t>
      </w:r>
      <w:r w:rsidR="0097647B">
        <w:rPr>
          <w:color w:val="000000"/>
        </w:rPr>
        <w:t>adverse drug reactions (</w:t>
      </w:r>
      <w:r w:rsidR="002E0DB7" w:rsidRPr="008130BD">
        <w:rPr>
          <w:color w:val="000000"/>
        </w:rPr>
        <w:t>ADRs</w:t>
      </w:r>
      <w:r w:rsidR="0097647B">
        <w:rPr>
          <w:color w:val="000000"/>
        </w:rPr>
        <w:t>)</w:t>
      </w:r>
      <w:r w:rsidR="002E0DB7" w:rsidRPr="008130BD">
        <w:rPr>
          <w:color w:val="000000"/>
        </w:rPr>
        <w:t xml:space="preserve"> varied depending on whether </w:t>
      </w:r>
      <w:proofErr w:type="spellStart"/>
      <w:r w:rsidR="002E0DB7" w:rsidRPr="008130BD">
        <w:rPr>
          <w:color w:val="000000"/>
        </w:rPr>
        <w:t>pertuzumab</w:t>
      </w:r>
      <w:proofErr w:type="spellEnd"/>
      <w:r w:rsidR="002E0DB7" w:rsidRPr="008130BD">
        <w:rPr>
          <w:color w:val="000000"/>
        </w:rPr>
        <w:t xml:space="preserve"> was administered as monotherapy or </w:t>
      </w:r>
      <w:r w:rsidR="0097647B">
        <w:rPr>
          <w:color w:val="000000"/>
        </w:rPr>
        <w:t>in combination with other</w:t>
      </w:r>
      <w:r w:rsidR="002E0DB7" w:rsidRPr="008130BD">
        <w:rPr>
          <w:color w:val="000000"/>
        </w:rPr>
        <w:t xml:space="preserve"> anti-neoplastic agent(s).</w:t>
      </w:r>
    </w:p>
    <w:p w:rsidR="00215764" w:rsidRPr="005D787A" w:rsidRDefault="00215764" w:rsidP="00215764">
      <w:pPr>
        <w:pStyle w:val="TextTi12"/>
        <w:jc w:val="left"/>
        <w:rPr>
          <w:b/>
        </w:rPr>
      </w:pPr>
      <w:r w:rsidRPr="005D787A">
        <w:rPr>
          <w:b/>
        </w:rPr>
        <w:t>Neoadjuvant Treatment of Breast Cancer</w:t>
      </w:r>
    </w:p>
    <w:p w:rsidR="00215764" w:rsidRPr="005D787A" w:rsidRDefault="00215764" w:rsidP="00215764">
      <w:pPr>
        <w:pStyle w:val="TextTi12"/>
      </w:pPr>
      <w:r w:rsidRPr="005D787A">
        <w:t>In NEOSPHERE, the most common ADRs (≥50%) seen with P</w:t>
      </w:r>
      <w:r w:rsidR="001C6B66" w:rsidRPr="005D787A">
        <w:t>ERJETA</w:t>
      </w:r>
      <w:r w:rsidRPr="005D787A">
        <w:t xml:space="preserve"> in combination with </w:t>
      </w:r>
      <w:proofErr w:type="spellStart"/>
      <w:r w:rsidR="00B008D0" w:rsidRPr="005D787A">
        <w:t>trastuzumab</w:t>
      </w:r>
      <w:proofErr w:type="spellEnd"/>
      <w:r w:rsidRPr="005D787A">
        <w:t xml:space="preserve"> and docetaxel were alopecia and neutropenia. The most common NCI-CTCAE (version 3) Grade 3-4 ADR (≥10%) was neutropenia.</w:t>
      </w:r>
    </w:p>
    <w:p w:rsidR="00215764" w:rsidRPr="005D787A" w:rsidRDefault="00215764" w:rsidP="00215764">
      <w:pPr>
        <w:pStyle w:val="Paragraph"/>
        <w:jc w:val="both"/>
        <w:rPr>
          <w:rFonts w:ascii="Times New Roman" w:hAnsi="Times New Roman"/>
        </w:rPr>
      </w:pPr>
      <w:r w:rsidRPr="005D787A">
        <w:rPr>
          <w:rFonts w:ascii="Times New Roman" w:hAnsi="Times New Roman"/>
        </w:rPr>
        <w:t>In TRYPHAENA, when P</w:t>
      </w:r>
      <w:r w:rsidR="001C6B66" w:rsidRPr="005D787A">
        <w:rPr>
          <w:rFonts w:ascii="Times New Roman" w:hAnsi="Times New Roman"/>
        </w:rPr>
        <w:t>ERJETA</w:t>
      </w:r>
      <w:r w:rsidRPr="005D787A">
        <w:rPr>
          <w:rFonts w:ascii="Times New Roman" w:hAnsi="Times New Roman"/>
        </w:rPr>
        <w:t xml:space="preserve"> was administered in combination with </w:t>
      </w:r>
      <w:proofErr w:type="spellStart"/>
      <w:r w:rsidR="00B008D0" w:rsidRPr="005D787A">
        <w:rPr>
          <w:rFonts w:ascii="Times New Roman" w:hAnsi="Times New Roman"/>
        </w:rPr>
        <w:t>trastuzumab</w:t>
      </w:r>
      <w:proofErr w:type="spellEnd"/>
      <w:r w:rsidRPr="005D787A">
        <w:rPr>
          <w:rFonts w:ascii="Times New Roman" w:hAnsi="Times New Roman"/>
        </w:rPr>
        <w:t xml:space="preserve"> and docetaxel for three cycles following three cycles of FEC, the most common ADRs (≥50%) were diarrh</w:t>
      </w:r>
      <w:r w:rsidR="001C6B66" w:rsidRPr="005D787A">
        <w:rPr>
          <w:rFonts w:ascii="Times New Roman" w:hAnsi="Times New Roman"/>
        </w:rPr>
        <w:t>o</w:t>
      </w:r>
      <w:r w:rsidRPr="005D787A">
        <w:rPr>
          <w:rFonts w:ascii="Times New Roman" w:hAnsi="Times New Roman"/>
        </w:rPr>
        <w:t>ea, nausea and alopecia. The most common NCI-CTCAE (version 3) Grade 3-4 ADRs (≥10%) were neutropenia and leukopenia. Similarly, when P</w:t>
      </w:r>
      <w:r w:rsidR="001C6B66" w:rsidRPr="005D787A">
        <w:rPr>
          <w:rFonts w:ascii="Times New Roman" w:hAnsi="Times New Roman"/>
        </w:rPr>
        <w:t>ERJETA</w:t>
      </w:r>
      <w:r w:rsidRPr="005D787A">
        <w:rPr>
          <w:rFonts w:ascii="Times New Roman" w:hAnsi="Times New Roman"/>
        </w:rPr>
        <w:t xml:space="preserve"> was administered in combination with docetaxel, carboplatin and </w:t>
      </w:r>
      <w:proofErr w:type="spellStart"/>
      <w:r w:rsidR="00B008D0" w:rsidRPr="005D787A">
        <w:rPr>
          <w:rFonts w:ascii="Times New Roman" w:hAnsi="Times New Roman"/>
        </w:rPr>
        <w:t>trastuzumab</w:t>
      </w:r>
      <w:proofErr w:type="spellEnd"/>
      <w:r w:rsidRPr="005D787A">
        <w:rPr>
          <w:rFonts w:ascii="Times New Roman" w:hAnsi="Times New Roman"/>
        </w:rPr>
        <w:t xml:space="preserve"> (TCH) for six cycles, the most common ADRs (≥50%) were diarrh</w:t>
      </w:r>
      <w:r w:rsidR="001C6B66" w:rsidRPr="005D787A">
        <w:rPr>
          <w:rFonts w:ascii="Times New Roman" w:hAnsi="Times New Roman"/>
        </w:rPr>
        <w:t>o</w:t>
      </w:r>
      <w:r w:rsidRPr="005D787A">
        <w:rPr>
          <w:rFonts w:ascii="Times New Roman" w:hAnsi="Times New Roman"/>
        </w:rPr>
        <w:t xml:space="preserve">ea and alopecia. The most common NCI-CTCAE (version 3) Grade 3-4 ADRs (≥10%) were neutropenia, febrile neutropenia, </w:t>
      </w:r>
      <w:r w:rsidR="001C6B66" w:rsidRPr="005D787A">
        <w:rPr>
          <w:rFonts w:ascii="Times New Roman" w:hAnsi="Times New Roman"/>
        </w:rPr>
        <w:t>anaemia</w:t>
      </w:r>
      <w:r w:rsidRPr="005D787A">
        <w:rPr>
          <w:rFonts w:ascii="Times New Roman" w:hAnsi="Times New Roman"/>
        </w:rPr>
        <w:t xml:space="preserve">, leukopenia and </w:t>
      </w:r>
      <w:r w:rsidR="001C6B66" w:rsidRPr="005D787A">
        <w:rPr>
          <w:rFonts w:ascii="Times New Roman" w:hAnsi="Times New Roman"/>
        </w:rPr>
        <w:t>diarrhoea.</w:t>
      </w:r>
    </w:p>
    <w:p w:rsidR="0097647B" w:rsidRPr="005D787A" w:rsidRDefault="0097647B" w:rsidP="00215764">
      <w:pPr>
        <w:rPr>
          <w:b/>
        </w:rPr>
      </w:pPr>
      <w:r w:rsidRPr="005D787A">
        <w:rPr>
          <w:b/>
        </w:rPr>
        <w:t>Metastatic Breast Cancer</w:t>
      </w:r>
    </w:p>
    <w:p w:rsidR="007D7CA4" w:rsidRPr="005D787A" w:rsidRDefault="0097647B" w:rsidP="0049353C">
      <w:pPr>
        <w:spacing w:after="120"/>
      </w:pPr>
      <w:r w:rsidRPr="005D787A">
        <w:t>In the pivotal metastatic breast cancer (MBC) trial CLEOPATRA, t</w:t>
      </w:r>
      <w:r w:rsidR="007D7CA4" w:rsidRPr="005D787A">
        <w:t>he most common ADRs (</w:t>
      </w:r>
      <w:r w:rsidR="007D7CA4" w:rsidRPr="005D787A">
        <w:rPr>
          <w:u w:val="single"/>
        </w:rPr>
        <w:t>&gt;</w:t>
      </w:r>
      <w:r w:rsidR="007D7CA4" w:rsidRPr="005D787A">
        <w:t xml:space="preserve">50%) seen in </w:t>
      </w:r>
      <w:r w:rsidR="00123310" w:rsidRPr="005D787A">
        <w:t>PERJETA</w:t>
      </w:r>
      <w:r w:rsidR="007D7CA4" w:rsidRPr="005D787A">
        <w:t xml:space="preserve"> in combination </w:t>
      </w:r>
      <w:proofErr w:type="spellStart"/>
      <w:r w:rsidR="003F2EEC" w:rsidRPr="005D787A">
        <w:rPr>
          <w:lang w:val="en-US"/>
        </w:rPr>
        <w:t>trastuzumab</w:t>
      </w:r>
      <w:proofErr w:type="spellEnd"/>
      <w:r w:rsidR="003F2EEC" w:rsidRPr="005D787A">
        <w:t xml:space="preserve"> </w:t>
      </w:r>
      <w:r w:rsidR="007D7CA4" w:rsidRPr="005D787A">
        <w:t>and docetaxel were diarrhoea, alopecia and neutropenia. The most common NCI-CTCAE (version 3) grade 3-4 ADRs (&gt;10%) were neutropenia, febrile neutropenia and leu</w:t>
      </w:r>
      <w:r w:rsidR="00665D63" w:rsidRPr="005D787A">
        <w:t>k</w:t>
      </w:r>
      <w:r w:rsidR="007D7CA4" w:rsidRPr="005D787A">
        <w:t>openia.</w:t>
      </w:r>
      <w:r w:rsidRPr="005D787A">
        <w:t xml:space="preserve"> After discontinuation of docetaxel, ADRs in the PERJETA and </w:t>
      </w:r>
      <w:proofErr w:type="spellStart"/>
      <w:r w:rsidR="00B008D0" w:rsidRPr="005D787A">
        <w:t>trastuzumab</w:t>
      </w:r>
      <w:proofErr w:type="spellEnd"/>
      <w:r w:rsidRPr="005D787A">
        <w:t xml:space="preserve"> treatment group occurred in &lt;10% of patients with the exception of diarrhoea (28.1%), rash (18.3%), upper respiratory tract infection (18.3%), headache (17.0%), </w:t>
      </w:r>
      <w:proofErr w:type="spellStart"/>
      <w:r w:rsidRPr="005D787A">
        <w:t>nasopharyngitis</w:t>
      </w:r>
      <w:proofErr w:type="spellEnd"/>
      <w:r w:rsidRPr="005D787A">
        <w:t xml:space="preserve"> (17.05), </w:t>
      </w:r>
      <w:proofErr w:type="spellStart"/>
      <w:r w:rsidRPr="005D787A">
        <w:t>pruritis</w:t>
      </w:r>
      <w:proofErr w:type="spellEnd"/>
      <w:r w:rsidRPr="005D787A">
        <w:t>(13.750, fatigue (13.4%), asthenia (13.4%), nausea (12.7%)</w:t>
      </w:r>
      <w:r w:rsidR="00280A12">
        <w:t xml:space="preserve">, </w:t>
      </w:r>
      <w:r w:rsidRPr="005D787A">
        <w:t>arthralgia (11.4%)</w:t>
      </w:r>
      <w:r w:rsidR="00280A12">
        <w:t>, pain in extremity (13.4%), back pain (12.1%) and cough (12.1%)</w:t>
      </w:r>
      <w:r w:rsidR="00280A12" w:rsidRPr="005D787A">
        <w:t>.</w:t>
      </w:r>
    </w:p>
    <w:p w:rsidR="001C6B66" w:rsidRPr="005D787A" w:rsidRDefault="001C6B66" w:rsidP="001C6B66">
      <w:pPr>
        <w:spacing w:after="170" w:line="280" w:lineRule="exact"/>
        <w:rPr>
          <w:b/>
          <w:szCs w:val="20"/>
        </w:rPr>
      </w:pPr>
      <w:r w:rsidRPr="005D787A">
        <w:rPr>
          <w:b/>
        </w:rPr>
        <w:t>Metastatic Breast Cancer and Neoadjuvant Treatment of Breast Cancer</w:t>
      </w:r>
    </w:p>
    <w:p w:rsidR="001C6B66" w:rsidRDefault="001C6B66" w:rsidP="005D787A">
      <w:r>
        <w:t xml:space="preserve">Table </w:t>
      </w:r>
      <w:r w:rsidR="005D787A">
        <w:t>3</w:t>
      </w:r>
      <w:r>
        <w:t xml:space="preserve"> summarizes the ADRs from the treatment arm of the double-blind pivotal clinical trial, CLEOPATRA, in which PERJETA was given in combination with </w:t>
      </w:r>
      <w:proofErr w:type="spellStart"/>
      <w:r w:rsidR="00B008D0">
        <w:t>trastuzumab</w:t>
      </w:r>
      <w:proofErr w:type="spellEnd"/>
      <w:r>
        <w:t xml:space="preserve"> and docetaxel to patients with MBC, and from the neoadjuvant trials NEOSPHERE and TRYPHAENA, in which PERJETA was given in combination with </w:t>
      </w:r>
      <w:proofErr w:type="spellStart"/>
      <w:r w:rsidR="00B008D0">
        <w:t>trastuzumab</w:t>
      </w:r>
      <w:proofErr w:type="spellEnd"/>
      <w:r>
        <w:t xml:space="preserve"> and chemotherapy to patients with </w:t>
      </w:r>
      <w:r>
        <w:rPr>
          <w:bCs/>
          <w:shd w:val="clear" w:color="auto" w:fill="FFFFFF"/>
        </w:rPr>
        <w:t>locally advanced, inflammatory or</w:t>
      </w:r>
      <w:r>
        <w:t xml:space="preserve">  early breast cancer. As PERJETA is used with </w:t>
      </w:r>
      <w:proofErr w:type="spellStart"/>
      <w:r w:rsidR="00B008D0">
        <w:t>trastuzumab</w:t>
      </w:r>
      <w:proofErr w:type="spellEnd"/>
      <w:r>
        <w:t xml:space="preserve"> and chemotherapy, it is difficult to ascertain the causal relationship of an adverse reaction to a particular drug. </w:t>
      </w:r>
    </w:p>
    <w:p w:rsidR="003B6260" w:rsidRDefault="003B6260" w:rsidP="005D787A">
      <w:pPr>
        <w:rPr>
          <w:szCs w:val="20"/>
        </w:rPr>
      </w:pPr>
    </w:p>
    <w:p w:rsidR="00C4121E" w:rsidRPr="008130BD" w:rsidRDefault="00C4121E" w:rsidP="00790675">
      <w:pPr>
        <w:pStyle w:val="Paragraph"/>
        <w:jc w:val="both"/>
        <w:rPr>
          <w:color w:val="000000"/>
        </w:rPr>
      </w:pPr>
      <w:r w:rsidRPr="00C4121E">
        <w:rPr>
          <w:rFonts w:ascii="Times New Roman" w:eastAsia="PMingLiU" w:hAnsi="Times New Roman"/>
          <w:color w:val="000000"/>
          <w:szCs w:val="22"/>
          <w:lang w:val="en-AU" w:eastAsia="zh-TW"/>
        </w:rPr>
        <w:lastRenderedPageBreak/>
        <w:t>The following categories of frequency have been used: very common (≥1/10), common (≥1/100 to &lt;1/10), uncommon (≥1/1,000 to &lt;1/100), rare (≥1/10,000 to &lt;1/1000), very rare (&lt;1/10,000).</w:t>
      </w:r>
    </w:p>
    <w:p w:rsidR="00E90F86" w:rsidRPr="008130BD" w:rsidRDefault="00E90F86" w:rsidP="006A6E47">
      <w:pPr>
        <w:rPr>
          <w:color w:val="000000"/>
        </w:rPr>
      </w:pPr>
    </w:p>
    <w:p w:rsidR="00FB3AFD" w:rsidRPr="005D787A" w:rsidRDefault="00192373">
      <w:r w:rsidRPr="005D787A">
        <w:rPr>
          <w:b/>
        </w:rPr>
        <w:t>T</w:t>
      </w:r>
      <w:r w:rsidR="005D787A" w:rsidRPr="005D787A">
        <w:rPr>
          <w:b/>
        </w:rPr>
        <w:t xml:space="preserve">able </w:t>
      </w:r>
      <w:r w:rsidR="005D787A">
        <w:rPr>
          <w:b/>
        </w:rPr>
        <w:t>3</w:t>
      </w:r>
      <w:r w:rsidRPr="005D787A">
        <w:rPr>
          <w:b/>
        </w:rPr>
        <w:t xml:space="preserve"> – Summary of ADR’s in patients treated with P</w:t>
      </w:r>
      <w:r w:rsidR="005D787A">
        <w:rPr>
          <w:b/>
        </w:rPr>
        <w:t>ERJETA</w:t>
      </w:r>
      <w:r w:rsidRPr="005D787A">
        <w:rPr>
          <w:b/>
        </w:rPr>
        <w:t xml:space="preserve"> in the Metastatic and Neoadjuvant setting</w:t>
      </w:r>
      <w:r w:rsidRPr="005D787A">
        <w:rPr>
          <w:b/>
          <w:vertAlign w:val="superscript"/>
        </w:rPr>
        <w:t xml:space="preserv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559"/>
        <w:gridCol w:w="1417"/>
        <w:gridCol w:w="1985"/>
      </w:tblGrid>
      <w:tr w:rsidR="00192373" w:rsidRPr="005D787A" w:rsidTr="00FB3AFD">
        <w:tc>
          <w:tcPr>
            <w:tcW w:w="3369" w:type="dxa"/>
          </w:tcPr>
          <w:p w:rsidR="00192373" w:rsidRPr="005D787A" w:rsidRDefault="00192373" w:rsidP="00FB3AFD">
            <w:pPr>
              <w:autoSpaceDE w:val="0"/>
              <w:autoSpaceDN w:val="0"/>
              <w:adjustRightInd w:val="0"/>
              <w:jc w:val="center"/>
              <w:rPr>
                <w:rFonts w:eastAsia="Times New Roman" w:cs="Arial"/>
                <w:b/>
                <w:sz w:val="20"/>
                <w:szCs w:val="20"/>
              </w:rPr>
            </w:pPr>
          </w:p>
          <w:p w:rsidR="00192373" w:rsidRPr="005D787A" w:rsidRDefault="00192373" w:rsidP="00FB3AFD">
            <w:pPr>
              <w:autoSpaceDE w:val="0"/>
              <w:autoSpaceDN w:val="0"/>
              <w:adjustRightInd w:val="0"/>
              <w:jc w:val="center"/>
              <w:rPr>
                <w:rFonts w:eastAsia="Times New Roman" w:cs="Arial"/>
                <w:b/>
                <w:sz w:val="20"/>
                <w:szCs w:val="20"/>
              </w:rPr>
            </w:pPr>
            <w:r w:rsidRPr="005D787A">
              <w:rPr>
                <w:rFonts w:eastAsia="Times New Roman" w:cs="Arial"/>
                <w:b/>
                <w:sz w:val="20"/>
                <w:szCs w:val="20"/>
              </w:rPr>
              <w:t>ADR</w:t>
            </w: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w:t>
            </w:r>
            <w:proofErr w:type="spellStart"/>
            <w:r w:rsidRPr="005D787A">
              <w:rPr>
                <w:rFonts w:eastAsia="Times New Roman" w:cs="Arial"/>
                <w:b/>
                <w:bCs/>
                <w:sz w:val="20"/>
                <w:szCs w:val="20"/>
              </w:rPr>
              <w:t>MedDRA</w:t>
            </w:r>
            <w:proofErr w:type="spellEnd"/>
            <w:r w:rsidRPr="005D787A">
              <w:rPr>
                <w:rFonts w:eastAsia="Times New Roman" w:cs="Arial"/>
                <w:b/>
                <w:bCs/>
                <w:sz w:val="20"/>
                <w:szCs w:val="20"/>
              </w:rPr>
              <w:t xml:space="preserve"> Preferred Term)</w:t>
            </w:r>
          </w:p>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System Organ Class</w:t>
            </w:r>
          </w:p>
        </w:tc>
        <w:tc>
          <w:tcPr>
            <w:tcW w:w="2976" w:type="dxa"/>
            <w:gridSpan w:val="2"/>
          </w:tcPr>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5D787A" w:rsidP="00FB3AFD">
            <w:pPr>
              <w:autoSpaceDE w:val="0"/>
              <w:autoSpaceDN w:val="0"/>
              <w:adjustRightInd w:val="0"/>
              <w:jc w:val="center"/>
              <w:rPr>
                <w:rFonts w:eastAsia="Times New Roman" w:cs="Arial"/>
                <w:b/>
                <w:bCs/>
                <w:sz w:val="20"/>
                <w:szCs w:val="20"/>
              </w:rPr>
            </w:pPr>
            <w:r>
              <w:rPr>
                <w:rFonts w:eastAsia="Times New Roman" w:cs="Arial"/>
                <w:b/>
                <w:bCs/>
                <w:sz w:val="20"/>
                <w:szCs w:val="20"/>
              </w:rPr>
              <w:t>PERJETA</w:t>
            </w: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 Herceptin</w:t>
            </w: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 chemotherapy</w:t>
            </w:r>
            <w:r w:rsidRPr="005D787A">
              <w:rPr>
                <w:sz w:val="20"/>
                <w:szCs w:val="20"/>
                <w:vertAlign w:val="superscript"/>
                <w:lang w:val="en-GB"/>
              </w:rPr>
              <w:t>^ ^</w:t>
            </w:r>
          </w:p>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192373" w:rsidP="00FB3AFD">
            <w:pPr>
              <w:autoSpaceDE w:val="0"/>
              <w:autoSpaceDN w:val="0"/>
              <w:adjustRightInd w:val="0"/>
              <w:jc w:val="center"/>
              <w:rPr>
                <w:rFonts w:eastAsia="Times New Roman" w:cs="Arial"/>
                <w:b/>
                <w:sz w:val="20"/>
                <w:szCs w:val="20"/>
              </w:rPr>
            </w:pPr>
            <w:r w:rsidRPr="005D787A">
              <w:rPr>
                <w:rFonts w:eastAsia="Times New Roman" w:cs="Arial"/>
                <w:b/>
                <w:sz w:val="20"/>
                <w:szCs w:val="20"/>
              </w:rPr>
              <w:t>n = 980</w:t>
            </w:r>
            <w:r w:rsidRPr="005D787A">
              <w:rPr>
                <w:rFonts w:eastAsia="Times New Roman" w:cs="Arial"/>
                <w:sz w:val="20"/>
                <w:szCs w:val="20"/>
                <w:vertAlign w:val="superscript"/>
              </w:rPr>
              <w:t>^ ^ ^</w:t>
            </w:r>
            <w:r w:rsidRPr="005D787A">
              <w:rPr>
                <w:rFonts w:eastAsia="Times New Roman" w:cs="Arial"/>
                <w:b/>
                <w:sz w:val="20"/>
                <w:szCs w:val="20"/>
              </w:rPr>
              <w:t xml:space="preserve"> (100%)</w:t>
            </w:r>
          </w:p>
          <w:p w:rsidR="00192373" w:rsidRPr="005D787A" w:rsidRDefault="00192373" w:rsidP="00FB3AFD">
            <w:pPr>
              <w:autoSpaceDE w:val="0"/>
              <w:autoSpaceDN w:val="0"/>
              <w:adjustRightInd w:val="0"/>
              <w:jc w:val="center"/>
              <w:rPr>
                <w:rFonts w:eastAsia="Times New Roman" w:cs="Arial"/>
                <w:b/>
                <w:sz w:val="20"/>
                <w:szCs w:val="20"/>
              </w:rPr>
            </w:pPr>
          </w:p>
          <w:p w:rsidR="00192373" w:rsidRPr="005D787A" w:rsidRDefault="00192373" w:rsidP="00FB3AFD">
            <w:pPr>
              <w:autoSpaceDE w:val="0"/>
              <w:autoSpaceDN w:val="0"/>
              <w:adjustRightInd w:val="0"/>
              <w:jc w:val="center"/>
              <w:rPr>
                <w:b/>
                <w:sz w:val="20"/>
                <w:szCs w:val="20"/>
              </w:rPr>
            </w:pPr>
            <w:r w:rsidRPr="005D787A">
              <w:rPr>
                <w:b/>
                <w:sz w:val="20"/>
                <w:szCs w:val="20"/>
              </w:rPr>
              <w:t>Frequency rate %</w:t>
            </w:r>
          </w:p>
        </w:tc>
        <w:tc>
          <w:tcPr>
            <w:tcW w:w="1985" w:type="dxa"/>
          </w:tcPr>
          <w:p w:rsidR="00192373" w:rsidRPr="005D787A" w:rsidRDefault="00192373" w:rsidP="00FB3AFD">
            <w:pPr>
              <w:autoSpaceDE w:val="0"/>
              <w:autoSpaceDN w:val="0"/>
              <w:adjustRightInd w:val="0"/>
              <w:jc w:val="center"/>
              <w:rPr>
                <w:rFonts w:eastAsia="Times New Roman" w:cs="Arial"/>
                <w:b/>
                <w:bCs/>
                <w:sz w:val="20"/>
                <w:szCs w:val="20"/>
              </w:rPr>
            </w:pP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 xml:space="preserve">Frequency </w:t>
            </w:r>
          </w:p>
          <w:p w:rsidR="00192373" w:rsidRPr="005D787A" w:rsidRDefault="00192373" w:rsidP="00FB3AFD">
            <w:pPr>
              <w:autoSpaceDE w:val="0"/>
              <w:autoSpaceDN w:val="0"/>
              <w:adjustRightInd w:val="0"/>
              <w:jc w:val="center"/>
              <w:rPr>
                <w:rFonts w:eastAsia="Times New Roman" w:cs="Arial"/>
                <w:b/>
                <w:bCs/>
                <w:sz w:val="20"/>
                <w:szCs w:val="20"/>
              </w:rPr>
            </w:pPr>
            <w:r w:rsidRPr="005D787A">
              <w:rPr>
                <w:rFonts w:eastAsia="Times New Roman" w:cs="Arial"/>
                <w:b/>
                <w:bCs/>
                <w:sz w:val="20"/>
                <w:szCs w:val="20"/>
              </w:rPr>
              <w:t xml:space="preserve">category </w:t>
            </w:r>
          </w:p>
        </w:tc>
      </w:tr>
      <w:tr w:rsidR="00192373" w:rsidRPr="005D787A" w:rsidTr="00FB3AFD">
        <w:tc>
          <w:tcPr>
            <w:tcW w:w="3369" w:type="dxa"/>
          </w:tcPr>
          <w:p w:rsidR="00192373" w:rsidRPr="005D787A" w:rsidRDefault="00192373" w:rsidP="00FB3AFD">
            <w:pPr>
              <w:rPr>
                <w:sz w:val="20"/>
                <w:szCs w:val="20"/>
              </w:rPr>
            </w:pPr>
          </w:p>
        </w:tc>
        <w:tc>
          <w:tcPr>
            <w:tcW w:w="1559" w:type="dxa"/>
          </w:tcPr>
          <w:p w:rsidR="00192373" w:rsidRPr="005D787A" w:rsidRDefault="00192373" w:rsidP="00FB3AFD">
            <w:pPr>
              <w:jc w:val="center"/>
              <w:rPr>
                <w:rFonts w:eastAsia="Times New Roman" w:cs="Arial"/>
                <w:b/>
                <w:sz w:val="20"/>
                <w:szCs w:val="20"/>
                <w:lang w:eastAsia="de-DE"/>
              </w:rPr>
            </w:pPr>
            <w:r w:rsidRPr="005D787A">
              <w:rPr>
                <w:rFonts w:eastAsia="Times New Roman" w:cs="Arial"/>
                <w:b/>
                <w:sz w:val="20"/>
                <w:szCs w:val="20"/>
                <w:lang w:eastAsia="de-DE"/>
              </w:rPr>
              <w:t xml:space="preserve">All Grades </w:t>
            </w:r>
          </w:p>
          <w:p w:rsidR="00192373" w:rsidRPr="005D787A" w:rsidRDefault="00192373" w:rsidP="00FB3AFD">
            <w:pPr>
              <w:jc w:val="center"/>
              <w:rPr>
                <w:rFonts w:eastAsia="Times New Roman" w:cs="Arial"/>
                <w:b/>
                <w:sz w:val="20"/>
                <w:szCs w:val="20"/>
                <w:lang w:eastAsia="de-DE"/>
              </w:rPr>
            </w:pPr>
            <w:r w:rsidRPr="005D787A">
              <w:rPr>
                <w:rFonts w:eastAsia="Times New Roman" w:cs="Arial"/>
                <w:b/>
                <w:sz w:val="20"/>
                <w:szCs w:val="20"/>
                <w:lang w:eastAsia="de-DE"/>
              </w:rPr>
              <w:t>%</w:t>
            </w:r>
          </w:p>
        </w:tc>
        <w:tc>
          <w:tcPr>
            <w:tcW w:w="1417" w:type="dxa"/>
          </w:tcPr>
          <w:p w:rsidR="00192373" w:rsidRPr="005D787A" w:rsidRDefault="00192373" w:rsidP="00FB3AFD">
            <w:pPr>
              <w:jc w:val="center"/>
              <w:rPr>
                <w:rFonts w:eastAsia="Times New Roman" w:cs="Arial"/>
                <w:b/>
                <w:sz w:val="20"/>
                <w:szCs w:val="20"/>
                <w:lang w:eastAsia="de-DE"/>
              </w:rPr>
            </w:pPr>
            <w:r w:rsidRPr="005D787A">
              <w:rPr>
                <w:rFonts w:eastAsia="Times New Roman" w:cs="Arial"/>
                <w:b/>
                <w:sz w:val="20"/>
                <w:szCs w:val="20"/>
                <w:lang w:eastAsia="de-DE"/>
              </w:rPr>
              <w:t xml:space="preserve">Grades 3-4 </w:t>
            </w:r>
          </w:p>
          <w:p w:rsidR="00192373" w:rsidRPr="005D787A" w:rsidRDefault="00192373" w:rsidP="00FB3AFD">
            <w:pPr>
              <w:jc w:val="center"/>
              <w:rPr>
                <w:rFonts w:eastAsia="Times New Roman" w:cs="Arial"/>
                <w:b/>
                <w:sz w:val="20"/>
                <w:szCs w:val="20"/>
                <w:lang w:eastAsia="de-DE"/>
              </w:rPr>
            </w:pPr>
            <w:r w:rsidRPr="005D787A">
              <w:rPr>
                <w:rFonts w:eastAsia="Times New Roman" w:cs="Arial"/>
                <w:b/>
                <w:sz w:val="20"/>
                <w:szCs w:val="20"/>
                <w:lang w:eastAsia="de-DE"/>
              </w:rPr>
              <w:t>%</w:t>
            </w:r>
          </w:p>
        </w:tc>
        <w:tc>
          <w:tcPr>
            <w:tcW w:w="1985" w:type="dxa"/>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sz w:val="20"/>
                <w:szCs w:val="20"/>
              </w:rPr>
            </w:pPr>
            <w:r w:rsidRPr="005D787A">
              <w:rPr>
                <w:rFonts w:eastAsia="Times New Roman" w:cs="Arial"/>
                <w:b/>
                <w:sz w:val="20"/>
                <w:szCs w:val="20"/>
                <w:lang w:eastAsia="de-DE"/>
              </w:rPr>
              <w:t>Blood and lymphatic system</w:t>
            </w:r>
            <w:r w:rsidRPr="005D787A">
              <w:rPr>
                <w:rFonts w:eastAsia="Times New Roman" w:cs="Arial"/>
                <w:sz w:val="20"/>
                <w:szCs w:val="20"/>
                <w:lang w:eastAsia="de-DE"/>
              </w:rPr>
              <w:t xml:space="preserve"> </w:t>
            </w:r>
            <w:r w:rsidRPr="005D787A">
              <w:rPr>
                <w:rFonts w:eastAsia="Times New Roman" w:cs="Arial"/>
                <w:b/>
                <w:sz w:val="20"/>
                <w:szCs w:val="20"/>
                <w:lang w:eastAsia="de-DE"/>
              </w:rPr>
              <w:t>disorders</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sz w:val="20"/>
                <w:szCs w:val="20"/>
              </w:rPr>
            </w:pPr>
            <w:r w:rsidRPr="005D787A">
              <w:rPr>
                <w:sz w:val="20"/>
                <w:szCs w:val="20"/>
              </w:rPr>
              <w:t>Neutropenia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45.2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41.2</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cs="Arial"/>
                <w:sz w:val="20"/>
                <w:szCs w:val="20"/>
              </w:rPr>
            </w:pPr>
            <w:r w:rsidRPr="005D787A">
              <w:rPr>
                <w:sz w:val="20"/>
                <w:szCs w:val="20"/>
              </w:rPr>
              <w:t>Anaemia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17.1</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3.1</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Leukopenia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14.2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9.7</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Febrile neutropenia*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10.7</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10.4</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rFonts w:eastAsia="Times New Roman" w:cs="Arial"/>
                <w:b/>
                <w:sz w:val="20"/>
                <w:szCs w:val="20"/>
                <w:lang w:eastAsia="de-DE"/>
              </w:rPr>
              <w:t>Cardiac</w:t>
            </w:r>
            <w:r w:rsidRPr="005D787A">
              <w:rPr>
                <w:rFonts w:eastAsia="Times New Roman" w:cs="Arial"/>
                <w:sz w:val="20"/>
                <w:szCs w:val="20"/>
                <w:lang w:eastAsia="de-DE"/>
              </w:rPr>
              <w:t xml:space="preserve"> </w:t>
            </w:r>
            <w:r w:rsidRPr="005D787A">
              <w:rPr>
                <w:rFonts w:eastAsia="Times New Roman" w:cs="Arial"/>
                <w:b/>
                <w:sz w:val="20"/>
                <w:szCs w:val="20"/>
                <w:lang w:eastAsia="de-DE"/>
              </w:rPr>
              <w:t>disorders</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sz w:val="20"/>
                <w:szCs w:val="20"/>
              </w:rPr>
            </w:pPr>
            <w:r w:rsidRPr="005D787A">
              <w:rPr>
                <w:sz w:val="20"/>
                <w:szCs w:val="20"/>
              </w:rPr>
              <w:t>Left ventricular dysfunction**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4.5</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0.8</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Cardiac failure congestive**</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0.3</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0.2</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Uncommon</w:t>
            </w:r>
          </w:p>
        </w:tc>
      </w:tr>
      <w:tr w:rsidR="00192373" w:rsidRPr="005D787A" w:rsidTr="00FB3AFD">
        <w:tc>
          <w:tcPr>
            <w:tcW w:w="3369" w:type="dxa"/>
          </w:tcPr>
          <w:p w:rsidR="00192373" w:rsidRPr="005D787A" w:rsidRDefault="00192373" w:rsidP="00FB3AFD">
            <w:pPr>
              <w:rPr>
                <w:b/>
                <w:sz w:val="20"/>
                <w:szCs w:val="20"/>
              </w:rPr>
            </w:pPr>
            <w:r w:rsidRPr="005D787A">
              <w:rPr>
                <w:b/>
                <w:sz w:val="20"/>
                <w:szCs w:val="20"/>
              </w:rPr>
              <w:t>Eye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rFonts w:cs="Arial"/>
                <w:b/>
                <w:sz w:val="20"/>
                <w:szCs w:val="20"/>
              </w:rPr>
            </w:pPr>
            <w:r w:rsidRPr="005D787A">
              <w:rPr>
                <w:sz w:val="20"/>
                <w:szCs w:val="20"/>
              </w:rPr>
              <w:t>Lacrimation increased</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9.0</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sz w:val="20"/>
                <w:szCs w:val="20"/>
              </w:rPr>
            </w:pPr>
            <w:r w:rsidRPr="005D787A">
              <w:rPr>
                <w:rFonts w:eastAsia="Times New Roman" w:cs="Arial"/>
                <w:b/>
                <w:sz w:val="20"/>
                <w:szCs w:val="20"/>
                <w:lang w:eastAsia="de-DE"/>
              </w:rPr>
              <w:t>Gastrointestinal disorders</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Diarrhoea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58.9</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6.6</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Nausea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39.5</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0.7</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Vomiting</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23.4</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1.3</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Stomatitis</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15.2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0.2</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Constipation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12.3</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rFonts w:eastAsia="Times New Roman" w:cs="Arial"/>
                <w:b/>
                <w:sz w:val="20"/>
                <w:szCs w:val="20"/>
                <w:lang w:eastAsia="de-DE"/>
              </w:rPr>
              <w:t xml:space="preserve">General disorders and administration site conditions </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Fatigue</w:t>
            </w:r>
          </w:p>
        </w:tc>
        <w:tc>
          <w:tcPr>
            <w:tcW w:w="1559" w:type="dxa"/>
          </w:tcPr>
          <w:p w:rsidR="00192373" w:rsidRPr="005D787A" w:rsidRDefault="00192373" w:rsidP="00FB3AFD">
            <w:pPr>
              <w:jc w:val="center"/>
              <w:rPr>
                <w:rFonts w:cs="Arial"/>
                <w:sz w:val="20"/>
                <w:szCs w:val="20"/>
              </w:rPr>
            </w:pPr>
            <w:r w:rsidRPr="005D787A">
              <w:rPr>
                <w:rFonts w:cs="Arial"/>
                <w:sz w:val="20"/>
                <w:szCs w:val="20"/>
              </w:rPr>
              <w:t>31.5</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1.4</w:t>
            </w:r>
          </w:p>
        </w:tc>
        <w:tc>
          <w:tcPr>
            <w:tcW w:w="1985" w:type="dxa"/>
          </w:tcPr>
          <w:p w:rsidR="00192373" w:rsidRPr="005D787A" w:rsidRDefault="00192373" w:rsidP="00FB3AFD">
            <w:pPr>
              <w:jc w:val="center"/>
              <w:rPr>
                <w:rFonts w:cs="Arial"/>
                <w:sz w:val="20"/>
                <w:szCs w:val="20"/>
              </w:rPr>
            </w:pPr>
            <w:r w:rsidRPr="005D787A">
              <w:rPr>
                <w:sz w:val="20"/>
                <w:szCs w:val="20"/>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Mucosal inflammation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21.5</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0.9</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Asthenia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18.6</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1.7</w:t>
            </w:r>
          </w:p>
        </w:tc>
        <w:tc>
          <w:tcPr>
            <w:tcW w:w="1985" w:type="dxa"/>
          </w:tcPr>
          <w:p w:rsidR="00192373" w:rsidRPr="005D787A" w:rsidRDefault="00192373" w:rsidP="00FB3AFD">
            <w:pPr>
              <w:jc w:val="center"/>
              <w:rPr>
                <w:rFonts w:cs="Arial"/>
                <w:sz w:val="20"/>
                <w:szCs w:val="20"/>
              </w:rPr>
            </w:pPr>
            <w:r w:rsidRPr="005D787A">
              <w:rPr>
                <w:rFonts w:cs="Arial"/>
                <w:sz w:val="20"/>
                <w:szCs w:val="20"/>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Pyrexia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15.6</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0.5</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Oedema peripheral</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12.4</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0.2</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rFonts w:eastAsia="Times New Roman" w:cs="Arial"/>
                <w:b/>
                <w:sz w:val="20"/>
                <w:szCs w:val="20"/>
                <w:lang w:eastAsia="de-DE"/>
              </w:rPr>
              <w:t>Immune system disorders</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Drug hypersensitivity</w:t>
            </w:r>
          </w:p>
        </w:tc>
        <w:tc>
          <w:tcPr>
            <w:tcW w:w="1559" w:type="dxa"/>
          </w:tcPr>
          <w:p w:rsidR="00192373" w:rsidRPr="005D787A" w:rsidRDefault="00192373" w:rsidP="00FB3AFD">
            <w:pPr>
              <w:jc w:val="center"/>
              <w:rPr>
                <w:rFonts w:cs="Arial"/>
                <w:sz w:val="20"/>
                <w:szCs w:val="20"/>
              </w:rPr>
            </w:pPr>
            <w:r w:rsidRPr="005D787A">
              <w:rPr>
                <w:rFonts w:cs="Arial"/>
                <w:sz w:val="20"/>
                <w:szCs w:val="20"/>
              </w:rPr>
              <w:t>5.2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0.9</w:t>
            </w:r>
          </w:p>
        </w:tc>
        <w:tc>
          <w:tcPr>
            <w:tcW w:w="1985" w:type="dxa"/>
          </w:tcPr>
          <w:p w:rsidR="00192373" w:rsidRPr="005D787A" w:rsidRDefault="00192373" w:rsidP="00FB3AFD">
            <w:pPr>
              <w:jc w:val="center"/>
              <w:rPr>
                <w:rFonts w:cs="Arial"/>
                <w:sz w:val="20"/>
                <w:szCs w:val="20"/>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Hypersensitivity</w:t>
            </w:r>
          </w:p>
        </w:tc>
        <w:tc>
          <w:tcPr>
            <w:tcW w:w="1559" w:type="dxa"/>
          </w:tcPr>
          <w:p w:rsidR="00192373" w:rsidRPr="005D787A" w:rsidRDefault="00192373" w:rsidP="00FB3AFD">
            <w:pPr>
              <w:jc w:val="center"/>
              <w:rPr>
                <w:rFonts w:cs="Arial"/>
                <w:sz w:val="20"/>
                <w:szCs w:val="20"/>
              </w:rPr>
            </w:pPr>
            <w:r w:rsidRPr="005D787A">
              <w:rPr>
                <w:rFonts w:cs="Arial"/>
                <w:sz w:val="20"/>
                <w:szCs w:val="20"/>
              </w:rPr>
              <w:t>3.1</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0.4</w:t>
            </w:r>
          </w:p>
        </w:tc>
        <w:tc>
          <w:tcPr>
            <w:tcW w:w="1985" w:type="dxa"/>
          </w:tcPr>
          <w:p w:rsidR="00192373" w:rsidRPr="005D787A" w:rsidRDefault="00192373" w:rsidP="00FB3AFD">
            <w:pPr>
              <w:jc w:val="center"/>
              <w:rPr>
                <w:rFonts w:cs="Arial"/>
                <w:sz w:val="20"/>
                <w:szCs w:val="20"/>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b/>
                <w:sz w:val="20"/>
                <w:szCs w:val="20"/>
              </w:rPr>
              <w:t>Infections and infestations</w:t>
            </w:r>
          </w:p>
        </w:tc>
        <w:tc>
          <w:tcPr>
            <w:tcW w:w="4961" w:type="dxa"/>
            <w:gridSpan w:val="3"/>
          </w:tcPr>
          <w:p w:rsidR="00192373" w:rsidRPr="005D787A" w:rsidRDefault="00192373" w:rsidP="00FB3AFD">
            <w:pPr>
              <w:rPr>
                <w:sz w:val="20"/>
                <w:szCs w:val="20"/>
              </w:rPr>
            </w:pPr>
          </w:p>
        </w:tc>
      </w:tr>
      <w:tr w:rsidR="00192373" w:rsidRPr="005D787A" w:rsidTr="00FB3AFD">
        <w:tc>
          <w:tcPr>
            <w:tcW w:w="3369" w:type="dxa"/>
          </w:tcPr>
          <w:p w:rsidR="00192373" w:rsidRPr="005D787A" w:rsidRDefault="00192373" w:rsidP="00FB3AFD">
            <w:pPr>
              <w:rPr>
                <w:rFonts w:cs="Arial"/>
                <w:sz w:val="20"/>
                <w:szCs w:val="20"/>
              </w:rPr>
            </w:pPr>
            <w:r w:rsidRPr="005D787A">
              <w:rPr>
                <w:rFonts w:cs="Arial"/>
                <w:sz w:val="20"/>
                <w:szCs w:val="20"/>
              </w:rPr>
              <w:t>Upper respiratory tract infection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11.7</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0.3</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cs="Arial"/>
                <w:sz w:val="20"/>
                <w:szCs w:val="20"/>
              </w:rPr>
            </w:pPr>
            <w:proofErr w:type="spellStart"/>
            <w:r w:rsidRPr="005D787A">
              <w:rPr>
                <w:rFonts w:cs="Arial"/>
                <w:sz w:val="20"/>
                <w:szCs w:val="20"/>
              </w:rPr>
              <w:t>Nasopharyngitis</w:t>
            </w:r>
            <w:proofErr w:type="spellEnd"/>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10.8</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sz w:val="20"/>
                <w:szCs w:val="20"/>
              </w:rPr>
              <w:t>Paronychia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3.8</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b/>
                <w:sz w:val="20"/>
                <w:szCs w:val="20"/>
              </w:rPr>
              <w:t>Metabolism and nutrition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sz w:val="20"/>
                <w:szCs w:val="20"/>
              </w:rPr>
            </w:pPr>
            <w:r w:rsidRPr="005D787A">
              <w:rPr>
                <w:sz w:val="20"/>
                <w:szCs w:val="20"/>
              </w:rPr>
              <w:t>Decreased appetite</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19.6</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0.7</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b/>
                <w:sz w:val="20"/>
                <w:szCs w:val="20"/>
              </w:rPr>
              <w:t>Musculoskeletal and connective tissue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rFonts w:cs="Arial"/>
                <w:sz w:val="20"/>
                <w:szCs w:val="20"/>
              </w:rPr>
            </w:pPr>
            <w:r w:rsidRPr="005D787A">
              <w:rPr>
                <w:rFonts w:cs="Arial"/>
                <w:sz w:val="20"/>
                <w:szCs w:val="20"/>
              </w:rPr>
              <w:t>Myalgia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18.6</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0.6</w:t>
            </w:r>
          </w:p>
        </w:tc>
        <w:tc>
          <w:tcPr>
            <w:tcW w:w="1985" w:type="dxa"/>
          </w:tcPr>
          <w:p w:rsidR="00192373" w:rsidRPr="005D787A" w:rsidRDefault="00192373" w:rsidP="00FB3AFD">
            <w:pPr>
              <w:jc w:val="center"/>
              <w:rPr>
                <w:rFonts w:cs="Arial"/>
                <w:sz w:val="20"/>
                <w:szCs w:val="20"/>
              </w:rPr>
            </w:pPr>
            <w:r w:rsidRPr="005D787A">
              <w:rPr>
                <w:rFonts w:cs="Arial"/>
                <w:sz w:val="20"/>
                <w:szCs w:val="20"/>
              </w:rPr>
              <w:t>Very 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sz w:val="20"/>
                <w:szCs w:val="20"/>
              </w:rPr>
              <w:t>Arthralgia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13.2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0.1</w:t>
            </w:r>
          </w:p>
        </w:tc>
        <w:tc>
          <w:tcPr>
            <w:tcW w:w="1985" w:type="dxa"/>
          </w:tcPr>
          <w:p w:rsidR="00192373" w:rsidRPr="005D787A" w:rsidRDefault="00192373" w:rsidP="00FB3AFD">
            <w:pPr>
              <w:jc w:val="center"/>
              <w:rPr>
                <w:rFonts w:cs="Arial"/>
                <w:sz w:val="20"/>
                <w:szCs w:val="20"/>
              </w:rPr>
            </w:pPr>
            <w:r w:rsidRPr="005D787A">
              <w:rPr>
                <w:rFonts w:cs="Arial"/>
                <w:sz w:val="20"/>
                <w:szCs w:val="20"/>
              </w:rPr>
              <w:t>Very 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b/>
                <w:sz w:val="20"/>
                <w:szCs w:val="20"/>
              </w:rPr>
              <w:t>Nervous system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sz w:val="20"/>
                <w:szCs w:val="20"/>
              </w:rPr>
            </w:pPr>
            <w:r w:rsidRPr="005D787A">
              <w:rPr>
                <w:sz w:val="20"/>
                <w:szCs w:val="20"/>
              </w:rPr>
              <w:t>Headache</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19.3</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0.7</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proofErr w:type="spellStart"/>
            <w:r w:rsidRPr="005D787A">
              <w:rPr>
                <w:sz w:val="20"/>
                <w:szCs w:val="20"/>
              </w:rPr>
              <w:lastRenderedPageBreak/>
              <w:t>Dysgeusia</w:t>
            </w:r>
            <w:proofErr w:type="spellEnd"/>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14.1</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Neuropathy peripheral</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11.6</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1.1</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Dizziness</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9.9</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0.4</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Peripheral sensory neuropathy</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8.9</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0.3</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sz w:val="20"/>
                <w:szCs w:val="20"/>
              </w:rPr>
            </w:pPr>
            <w:r w:rsidRPr="005D787A">
              <w:rPr>
                <w:b/>
                <w:sz w:val="20"/>
                <w:szCs w:val="20"/>
              </w:rPr>
              <w:t>Psychiatric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sz w:val="20"/>
                <w:szCs w:val="20"/>
              </w:rPr>
            </w:pPr>
            <w:r w:rsidRPr="005D787A">
              <w:rPr>
                <w:sz w:val="20"/>
                <w:szCs w:val="20"/>
              </w:rPr>
              <w:t>Insomnia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12.2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cs="Arial"/>
                <w:sz w:val="20"/>
                <w:szCs w:val="20"/>
              </w:rPr>
            </w:pPr>
            <w:r w:rsidRPr="005D787A">
              <w:rPr>
                <w:rFonts w:cs="Arial"/>
                <w:b/>
                <w:sz w:val="20"/>
                <w:szCs w:val="20"/>
              </w:rPr>
              <w:t>Respiratory, thoracic and mediastinal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280A12" w:rsidRPr="005D787A" w:rsidTr="00FB3AFD">
        <w:tc>
          <w:tcPr>
            <w:tcW w:w="3369" w:type="dxa"/>
          </w:tcPr>
          <w:p w:rsidR="00280A12" w:rsidRPr="005D787A" w:rsidRDefault="00280A12" w:rsidP="00FB3AFD">
            <w:pPr>
              <w:rPr>
                <w:sz w:val="20"/>
                <w:szCs w:val="20"/>
              </w:rPr>
            </w:pPr>
            <w:r>
              <w:rPr>
                <w:sz w:val="20"/>
                <w:szCs w:val="20"/>
              </w:rPr>
              <w:t>Cough</w:t>
            </w:r>
          </w:p>
        </w:tc>
        <w:tc>
          <w:tcPr>
            <w:tcW w:w="1559" w:type="dxa"/>
          </w:tcPr>
          <w:p w:rsidR="00280A12" w:rsidRPr="00ED72A1" w:rsidRDefault="00ED72A1" w:rsidP="00FB3AFD">
            <w:pPr>
              <w:jc w:val="center"/>
              <w:rPr>
                <w:rFonts w:eastAsia="Times New Roman" w:cs="Arial"/>
                <w:sz w:val="20"/>
                <w:szCs w:val="20"/>
                <w:lang w:eastAsia="de-DE"/>
              </w:rPr>
            </w:pPr>
            <w:r w:rsidRPr="00ED72A1">
              <w:rPr>
                <w:rFonts w:eastAsia="Times New Roman" w:cs="Arial"/>
                <w:sz w:val="20"/>
                <w:szCs w:val="20"/>
                <w:lang w:eastAsia="de-DE"/>
              </w:rPr>
              <w:t>13.6</w:t>
            </w:r>
          </w:p>
        </w:tc>
        <w:tc>
          <w:tcPr>
            <w:tcW w:w="1417" w:type="dxa"/>
          </w:tcPr>
          <w:p w:rsidR="00280A12" w:rsidRPr="00ED72A1" w:rsidRDefault="00ED72A1" w:rsidP="00FB3AFD">
            <w:pPr>
              <w:jc w:val="center"/>
              <w:rPr>
                <w:rFonts w:eastAsia="Times New Roman" w:cs="Arial"/>
                <w:sz w:val="20"/>
                <w:szCs w:val="20"/>
                <w:lang w:eastAsia="de-DE"/>
              </w:rPr>
            </w:pPr>
            <w:r w:rsidRPr="00ED72A1">
              <w:rPr>
                <w:rFonts w:eastAsia="Times New Roman" w:cs="Arial"/>
                <w:sz w:val="20"/>
                <w:szCs w:val="20"/>
                <w:lang w:eastAsia="de-DE"/>
              </w:rPr>
              <w:t>0.2</w:t>
            </w:r>
          </w:p>
        </w:tc>
        <w:tc>
          <w:tcPr>
            <w:tcW w:w="1985" w:type="dxa"/>
          </w:tcPr>
          <w:p w:rsidR="00280A12" w:rsidRPr="005D787A" w:rsidRDefault="00280A12" w:rsidP="00FB3AFD">
            <w:pPr>
              <w:jc w:val="center"/>
              <w:rPr>
                <w:rFonts w:eastAsia="Times New Roman" w:cs="Arial"/>
                <w:sz w:val="20"/>
                <w:szCs w:val="20"/>
                <w:lang w:eastAsia="de-DE"/>
              </w:rPr>
            </w:pPr>
            <w:r>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Dyspnoea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9.8</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0.7</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sz w:val="20"/>
                <w:szCs w:val="20"/>
              </w:rPr>
            </w:pPr>
            <w:r w:rsidRPr="005D787A">
              <w:rPr>
                <w:sz w:val="20"/>
                <w:szCs w:val="20"/>
              </w:rPr>
              <w:t>Pleural effusion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2.2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0.1</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b/>
                <w:sz w:val="20"/>
                <w:szCs w:val="20"/>
                <w:lang w:eastAsia="de-DE"/>
              </w:rPr>
              <w:t>Skin and subcutaneous tissue disorders</w:t>
            </w:r>
          </w:p>
        </w:tc>
        <w:tc>
          <w:tcPr>
            <w:tcW w:w="4961" w:type="dxa"/>
            <w:gridSpan w:val="3"/>
          </w:tcPr>
          <w:p w:rsidR="00192373" w:rsidRPr="005D787A" w:rsidRDefault="00192373" w:rsidP="00FB3AFD">
            <w:pPr>
              <w:jc w:val="center"/>
              <w:rPr>
                <w:rFonts w:eastAsia="Times New Roman" w:cs="Arial"/>
                <w:sz w:val="20"/>
                <w:szCs w:val="20"/>
                <w:lang w:eastAsia="de-DE"/>
              </w:rPr>
            </w:pP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sz w:val="20"/>
                <w:szCs w:val="20"/>
              </w:rPr>
              <w:t>Alopecia</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51.0</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 xml:space="preserve">Rash </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27.1</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0.6</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Nail disorder</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13.5</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0.5</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Very 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Pruritus</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9.2</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r w:rsidR="00192373" w:rsidRPr="005D787A" w:rsidTr="00FB3AFD">
        <w:tc>
          <w:tcPr>
            <w:tcW w:w="3369" w:type="dxa"/>
          </w:tcPr>
          <w:p w:rsidR="00192373" w:rsidRPr="005D787A" w:rsidRDefault="00192373" w:rsidP="00FB3AFD">
            <w:pPr>
              <w:rPr>
                <w:rFonts w:eastAsia="Times New Roman" w:cs="Arial"/>
                <w:sz w:val="20"/>
                <w:szCs w:val="20"/>
                <w:lang w:eastAsia="de-DE"/>
              </w:rPr>
            </w:pPr>
            <w:r w:rsidRPr="005D787A">
              <w:rPr>
                <w:rFonts w:eastAsia="Times New Roman" w:cs="Arial"/>
                <w:sz w:val="20"/>
                <w:szCs w:val="20"/>
                <w:lang w:eastAsia="de-DE"/>
              </w:rPr>
              <w:t>Dry skin</w:t>
            </w:r>
          </w:p>
        </w:tc>
        <w:tc>
          <w:tcPr>
            <w:tcW w:w="1559"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7.7</w:t>
            </w:r>
          </w:p>
        </w:tc>
        <w:tc>
          <w:tcPr>
            <w:tcW w:w="1417"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w:t>
            </w:r>
          </w:p>
        </w:tc>
        <w:tc>
          <w:tcPr>
            <w:tcW w:w="1985" w:type="dxa"/>
          </w:tcPr>
          <w:p w:rsidR="00192373" w:rsidRPr="005D787A" w:rsidRDefault="00192373" w:rsidP="00FB3AFD">
            <w:pPr>
              <w:jc w:val="center"/>
              <w:rPr>
                <w:rFonts w:eastAsia="Times New Roman" w:cs="Arial"/>
                <w:sz w:val="20"/>
                <w:szCs w:val="20"/>
                <w:lang w:eastAsia="de-DE"/>
              </w:rPr>
            </w:pPr>
            <w:r w:rsidRPr="005D787A">
              <w:rPr>
                <w:rFonts w:eastAsia="Times New Roman" w:cs="Arial"/>
                <w:sz w:val="20"/>
                <w:szCs w:val="20"/>
                <w:lang w:eastAsia="de-DE"/>
              </w:rPr>
              <w:t>Common</w:t>
            </w:r>
          </w:p>
        </w:tc>
      </w:tr>
    </w:tbl>
    <w:p w:rsidR="00192373" w:rsidRPr="005D787A" w:rsidRDefault="00192373" w:rsidP="00192373">
      <w:pPr>
        <w:spacing w:after="170"/>
        <w:rPr>
          <w:sz w:val="20"/>
          <w:szCs w:val="20"/>
          <w:vertAlign w:val="superscript"/>
          <w:lang w:eastAsia="de-DE"/>
        </w:rPr>
      </w:pPr>
      <w:r w:rsidRPr="005D787A">
        <w:rPr>
          <w:b/>
          <w:sz w:val="20"/>
          <w:szCs w:val="20"/>
          <w:vertAlign w:val="superscript"/>
          <w:lang w:eastAsia="de-DE"/>
        </w:rPr>
        <w:t xml:space="preserve">^  </w:t>
      </w:r>
      <w:r w:rsidRPr="005D787A">
        <w:rPr>
          <w:sz w:val="20"/>
          <w:szCs w:val="20"/>
          <w:lang w:eastAsia="de-DE"/>
        </w:rPr>
        <w:t xml:space="preserve">Table 1 shows pooled data from the overall treatment period in CLEOPATRA (data </w:t>
      </w:r>
      <w:proofErr w:type="spellStart"/>
      <w:r w:rsidRPr="005D787A">
        <w:rPr>
          <w:sz w:val="20"/>
          <w:szCs w:val="20"/>
          <w:lang w:eastAsia="de-DE"/>
        </w:rPr>
        <w:t>cutoff</w:t>
      </w:r>
      <w:proofErr w:type="spellEnd"/>
      <w:r w:rsidRPr="005D787A">
        <w:rPr>
          <w:sz w:val="20"/>
          <w:szCs w:val="20"/>
          <w:lang w:eastAsia="de-DE"/>
        </w:rPr>
        <w:t xml:space="preserve"> 11 February 2014; median number of cycles of </w:t>
      </w:r>
      <w:proofErr w:type="spellStart"/>
      <w:r w:rsidRPr="005D787A">
        <w:rPr>
          <w:sz w:val="20"/>
          <w:szCs w:val="20"/>
          <w:lang w:eastAsia="de-DE"/>
        </w:rPr>
        <w:t>Perjeta</w:t>
      </w:r>
      <w:proofErr w:type="spellEnd"/>
      <w:r w:rsidRPr="005D787A">
        <w:rPr>
          <w:sz w:val="20"/>
          <w:szCs w:val="20"/>
          <w:lang w:eastAsia="de-DE"/>
        </w:rPr>
        <w:t xml:space="preserve"> was 24); and from the neoadjuvant treatment period in NEOSPHERE (median number of cycles of </w:t>
      </w:r>
      <w:proofErr w:type="spellStart"/>
      <w:r w:rsidRPr="005D787A">
        <w:rPr>
          <w:sz w:val="20"/>
          <w:szCs w:val="20"/>
          <w:lang w:eastAsia="de-DE"/>
        </w:rPr>
        <w:t>Perjeta</w:t>
      </w:r>
      <w:proofErr w:type="spellEnd"/>
      <w:r w:rsidRPr="005D787A">
        <w:rPr>
          <w:sz w:val="20"/>
          <w:szCs w:val="20"/>
          <w:lang w:eastAsia="de-DE"/>
        </w:rPr>
        <w:t xml:space="preserve"> was 4, across all treatment arms) and TRYPHAENA (median number of cycles of </w:t>
      </w:r>
      <w:proofErr w:type="spellStart"/>
      <w:r w:rsidRPr="005D787A">
        <w:rPr>
          <w:sz w:val="20"/>
          <w:szCs w:val="20"/>
          <w:lang w:eastAsia="de-DE"/>
        </w:rPr>
        <w:t>Perjeta</w:t>
      </w:r>
      <w:proofErr w:type="spellEnd"/>
      <w:r w:rsidRPr="005D787A">
        <w:rPr>
          <w:sz w:val="20"/>
          <w:szCs w:val="20"/>
          <w:lang w:eastAsia="de-DE"/>
        </w:rPr>
        <w:t xml:space="preserve"> was 3 in the FEC/</w:t>
      </w:r>
      <w:proofErr w:type="spellStart"/>
      <w:r w:rsidRPr="005D787A">
        <w:rPr>
          <w:sz w:val="20"/>
          <w:szCs w:val="20"/>
          <w:lang w:eastAsia="de-DE"/>
        </w:rPr>
        <w:t>Ptz+T+D</w:t>
      </w:r>
      <w:proofErr w:type="spellEnd"/>
      <w:r w:rsidRPr="005D787A">
        <w:rPr>
          <w:sz w:val="20"/>
          <w:szCs w:val="20"/>
          <w:lang w:eastAsia="de-DE"/>
        </w:rPr>
        <w:t xml:space="preserve"> arm and 6 in the </w:t>
      </w:r>
      <w:proofErr w:type="spellStart"/>
      <w:r w:rsidRPr="005D787A">
        <w:rPr>
          <w:sz w:val="20"/>
          <w:szCs w:val="20"/>
          <w:lang w:eastAsia="de-DE"/>
        </w:rPr>
        <w:t>Ptz+T+FEC</w:t>
      </w:r>
      <w:proofErr w:type="spellEnd"/>
      <w:r w:rsidRPr="005D787A">
        <w:rPr>
          <w:sz w:val="20"/>
          <w:szCs w:val="20"/>
          <w:lang w:eastAsia="de-DE"/>
        </w:rPr>
        <w:t>/</w:t>
      </w:r>
      <w:proofErr w:type="spellStart"/>
      <w:r w:rsidRPr="005D787A">
        <w:rPr>
          <w:sz w:val="20"/>
          <w:szCs w:val="20"/>
          <w:lang w:eastAsia="de-DE"/>
        </w:rPr>
        <w:t>Ptz+T+D</w:t>
      </w:r>
      <w:proofErr w:type="spellEnd"/>
      <w:r w:rsidRPr="005D787A">
        <w:rPr>
          <w:sz w:val="20"/>
          <w:szCs w:val="20"/>
          <w:lang w:eastAsia="de-DE"/>
        </w:rPr>
        <w:t xml:space="preserve"> and </w:t>
      </w:r>
      <w:proofErr w:type="spellStart"/>
      <w:r w:rsidRPr="005D787A">
        <w:rPr>
          <w:sz w:val="20"/>
          <w:szCs w:val="20"/>
          <w:lang w:eastAsia="de-DE"/>
        </w:rPr>
        <w:t>Ptz+TCH</w:t>
      </w:r>
      <w:proofErr w:type="spellEnd"/>
      <w:r w:rsidRPr="005D787A">
        <w:rPr>
          <w:sz w:val="20"/>
          <w:szCs w:val="20"/>
          <w:lang w:eastAsia="de-DE"/>
        </w:rPr>
        <w:t xml:space="preserve"> arms).</w:t>
      </w:r>
      <w:r w:rsidRPr="005D787A">
        <w:rPr>
          <w:sz w:val="20"/>
          <w:szCs w:val="20"/>
          <w:vertAlign w:val="superscript"/>
          <w:lang w:eastAsia="de-DE"/>
        </w:rPr>
        <w:t xml:space="preserve"> </w:t>
      </w:r>
    </w:p>
    <w:p w:rsidR="00192373" w:rsidRPr="005D787A" w:rsidRDefault="00192373" w:rsidP="00192373">
      <w:pPr>
        <w:spacing w:after="170"/>
        <w:rPr>
          <w:sz w:val="20"/>
          <w:szCs w:val="20"/>
          <w:lang w:eastAsia="de-DE"/>
        </w:rPr>
      </w:pPr>
      <w:r w:rsidRPr="005D787A">
        <w:rPr>
          <w:sz w:val="20"/>
          <w:szCs w:val="20"/>
          <w:vertAlign w:val="superscript"/>
          <w:lang w:eastAsia="de-DE"/>
        </w:rPr>
        <w:t>^ ^</w:t>
      </w:r>
      <w:r w:rsidRPr="005D787A">
        <w:rPr>
          <w:sz w:val="20"/>
          <w:szCs w:val="20"/>
          <w:lang w:eastAsia="de-DE"/>
        </w:rPr>
        <w:t xml:space="preserve"> In NEOSPHERE, 108 patients received </w:t>
      </w:r>
      <w:proofErr w:type="spellStart"/>
      <w:r w:rsidRPr="005D787A">
        <w:rPr>
          <w:sz w:val="20"/>
          <w:szCs w:val="20"/>
          <w:lang w:eastAsia="de-DE"/>
        </w:rPr>
        <w:t>Perjeta</w:t>
      </w:r>
      <w:proofErr w:type="spellEnd"/>
      <w:r w:rsidRPr="005D787A">
        <w:rPr>
          <w:sz w:val="20"/>
          <w:szCs w:val="20"/>
          <w:lang w:eastAsia="de-DE"/>
        </w:rPr>
        <w:t xml:space="preserve"> + Herceptin alone without docetaxel and 94 patients received </w:t>
      </w:r>
      <w:proofErr w:type="spellStart"/>
      <w:r w:rsidRPr="005D787A">
        <w:rPr>
          <w:sz w:val="20"/>
          <w:szCs w:val="20"/>
          <w:lang w:eastAsia="de-DE"/>
        </w:rPr>
        <w:t>Perjeta</w:t>
      </w:r>
      <w:proofErr w:type="spellEnd"/>
      <w:r w:rsidRPr="005D787A">
        <w:rPr>
          <w:sz w:val="20"/>
          <w:szCs w:val="20"/>
          <w:lang w:eastAsia="de-DE"/>
        </w:rPr>
        <w:t xml:space="preserve"> + docetaxel without Herceptin. </w:t>
      </w:r>
    </w:p>
    <w:p w:rsidR="00192373" w:rsidRPr="005D787A" w:rsidRDefault="00192373" w:rsidP="00192373">
      <w:pPr>
        <w:spacing w:after="170"/>
        <w:rPr>
          <w:sz w:val="20"/>
          <w:szCs w:val="20"/>
          <w:lang w:eastAsia="de-DE"/>
        </w:rPr>
      </w:pPr>
      <w:r w:rsidRPr="005D787A">
        <w:rPr>
          <w:rFonts w:eastAsia="Times New Roman" w:cs="Arial"/>
          <w:sz w:val="18"/>
          <w:szCs w:val="18"/>
          <w:vertAlign w:val="superscript"/>
          <w:lang w:eastAsia="de-DE"/>
        </w:rPr>
        <w:t xml:space="preserve">^ ^ ^  </w:t>
      </w:r>
      <w:r w:rsidRPr="005D787A">
        <w:rPr>
          <w:sz w:val="20"/>
          <w:szCs w:val="20"/>
          <w:lang w:eastAsia="de-DE"/>
        </w:rPr>
        <w:t>In CLEOPATRA,</w:t>
      </w:r>
      <w:r w:rsidRPr="005D787A">
        <w:rPr>
          <w:rFonts w:cs="Arial"/>
          <w:sz w:val="20"/>
          <w:szCs w:val="20"/>
          <w:shd w:val="clear" w:color="auto" w:fill="FFFFFF"/>
          <w:lang w:eastAsia="de-DE"/>
        </w:rPr>
        <w:t xml:space="preserve"> </w:t>
      </w:r>
      <w:r w:rsidRPr="005D787A">
        <w:rPr>
          <w:sz w:val="20"/>
          <w:szCs w:val="20"/>
          <w:lang w:eastAsia="de-DE"/>
        </w:rPr>
        <w:t xml:space="preserve">45 patients who were randomized to receive placebo and who had no prior exposure to </w:t>
      </w:r>
      <w:proofErr w:type="spellStart"/>
      <w:r w:rsidRPr="005D787A">
        <w:rPr>
          <w:sz w:val="20"/>
          <w:szCs w:val="20"/>
          <w:lang w:eastAsia="de-DE"/>
        </w:rPr>
        <w:t>Perjeta</w:t>
      </w:r>
      <w:proofErr w:type="spellEnd"/>
      <w:r w:rsidRPr="005D787A">
        <w:rPr>
          <w:sz w:val="20"/>
          <w:szCs w:val="20"/>
          <w:lang w:eastAsia="de-DE"/>
        </w:rPr>
        <w:t xml:space="preserve">, had crossed over to receive </w:t>
      </w:r>
      <w:proofErr w:type="spellStart"/>
      <w:r w:rsidRPr="005D787A">
        <w:rPr>
          <w:sz w:val="20"/>
          <w:szCs w:val="20"/>
          <w:lang w:eastAsia="de-DE"/>
        </w:rPr>
        <w:t>Perjeta</w:t>
      </w:r>
      <w:proofErr w:type="spellEnd"/>
      <w:r w:rsidRPr="005D787A">
        <w:rPr>
          <w:sz w:val="20"/>
          <w:szCs w:val="20"/>
          <w:lang w:eastAsia="de-DE"/>
        </w:rPr>
        <w:t xml:space="preserve"> and are included</w:t>
      </w:r>
      <w:r w:rsidRPr="005D787A">
        <w:rPr>
          <w:szCs w:val="20"/>
          <w:lang w:eastAsia="de-DE"/>
        </w:rPr>
        <w:t> </w:t>
      </w:r>
      <w:r w:rsidRPr="005D787A">
        <w:rPr>
          <w:sz w:val="20"/>
          <w:szCs w:val="20"/>
          <w:lang w:eastAsia="de-DE"/>
        </w:rPr>
        <w:t xml:space="preserve">in the 980 patients treated with </w:t>
      </w:r>
      <w:proofErr w:type="spellStart"/>
      <w:r w:rsidRPr="005D787A">
        <w:rPr>
          <w:sz w:val="20"/>
          <w:szCs w:val="20"/>
          <w:lang w:eastAsia="de-DE"/>
        </w:rPr>
        <w:t>Perjeta</w:t>
      </w:r>
      <w:proofErr w:type="spellEnd"/>
      <w:r w:rsidRPr="005D787A">
        <w:rPr>
          <w:sz w:val="20"/>
          <w:szCs w:val="20"/>
          <w:lang w:eastAsia="de-DE"/>
        </w:rPr>
        <w:t>.</w:t>
      </w:r>
    </w:p>
    <w:p w:rsidR="00192373" w:rsidRPr="005D787A" w:rsidRDefault="00192373" w:rsidP="00192373">
      <w:pPr>
        <w:spacing w:after="170"/>
        <w:rPr>
          <w:sz w:val="20"/>
          <w:szCs w:val="20"/>
          <w:lang w:eastAsia="de-DE"/>
        </w:rPr>
      </w:pPr>
      <w:r w:rsidRPr="005D787A">
        <w:rPr>
          <w:sz w:val="20"/>
          <w:szCs w:val="20"/>
          <w:lang w:eastAsia="de-DE"/>
        </w:rPr>
        <w:t>* In this table this denotes an adverse reaction that has been reported in association with a fatal outcome.</w:t>
      </w:r>
    </w:p>
    <w:p w:rsidR="00192373" w:rsidRPr="005D787A" w:rsidRDefault="00192373" w:rsidP="00192373">
      <w:pPr>
        <w:pStyle w:val="Paragraph"/>
        <w:spacing w:after="120"/>
        <w:jc w:val="both"/>
        <w:rPr>
          <w:rFonts w:ascii="Times New Roman" w:hAnsi="Times New Roman"/>
          <w:lang w:val="en-US"/>
        </w:rPr>
      </w:pPr>
      <w:r w:rsidRPr="005D787A">
        <w:rPr>
          <w:rFonts w:ascii="Times New Roman" w:hAnsi="Times New Roman"/>
          <w:sz w:val="20"/>
          <w:szCs w:val="20"/>
        </w:rPr>
        <w:t xml:space="preserve">** The incidence of left ventricular dysfunction and cardiac failure congestive reflect the </w:t>
      </w:r>
      <w:proofErr w:type="spellStart"/>
      <w:r w:rsidRPr="005D787A">
        <w:rPr>
          <w:rFonts w:ascii="Times New Roman" w:hAnsi="Times New Roman"/>
          <w:sz w:val="20"/>
          <w:szCs w:val="20"/>
        </w:rPr>
        <w:t>MedDRA</w:t>
      </w:r>
      <w:proofErr w:type="spellEnd"/>
      <w:r w:rsidRPr="005D787A">
        <w:rPr>
          <w:rFonts w:ascii="Times New Roman" w:hAnsi="Times New Roman"/>
          <w:sz w:val="20"/>
          <w:szCs w:val="20"/>
        </w:rPr>
        <w:t xml:space="preserve"> Preferred Terms reported in the individual studies.</w:t>
      </w:r>
    </w:p>
    <w:p w:rsidR="002374C7" w:rsidRPr="005D787A" w:rsidRDefault="002374C7" w:rsidP="00B75D54">
      <w:pPr>
        <w:pStyle w:val="Heading3"/>
      </w:pPr>
      <w:r w:rsidRPr="005D787A">
        <w:t>Further information on selected adverse drug reactions:</w:t>
      </w:r>
    </w:p>
    <w:p w:rsidR="00487D34" w:rsidRPr="006149FA" w:rsidRDefault="00280A12" w:rsidP="00487D34">
      <w:pPr>
        <w:rPr>
          <w:b/>
        </w:rPr>
      </w:pPr>
      <w:r>
        <w:rPr>
          <w:b/>
        </w:rPr>
        <w:t>Cardiac failure and l</w:t>
      </w:r>
      <w:r w:rsidR="00487D34" w:rsidRPr="006149FA">
        <w:rPr>
          <w:b/>
        </w:rPr>
        <w:t>eft ventricular dysfunction</w:t>
      </w:r>
    </w:p>
    <w:p w:rsidR="00487D34" w:rsidRPr="006149FA" w:rsidRDefault="00487D34" w:rsidP="00487D34"/>
    <w:p w:rsidR="00487D34" w:rsidRPr="005D787A" w:rsidRDefault="00487D34" w:rsidP="00487D34">
      <w:r w:rsidRPr="006149FA">
        <w:t>In NEOSPHERE</w:t>
      </w:r>
      <w:r w:rsidRPr="005D787A">
        <w:t xml:space="preserve">, in which patients received four cycles of PERJETA as neoadjuvant treatment, the incidence of LVD (during the overall treatment period) was higher in the PERJETA, </w:t>
      </w:r>
      <w:proofErr w:type="spellStart"/>
      <w:r w:rsidR="00B008D0" w:rsidRPr="005D787A">
        <w:t>trastuzumab</w:t>
      </w:r>
      <w:proofErr w:type="spellEnd"/>
      <w:r w:rsidRPr="005D787A">
        <w:t xml:space="preserve"> and docetaxel-treated group (</w:t>
      </w:r>
      <w:r w:rsidR="00280A12">
        <w:t>8.4</w:t>
      </w:r>
      <w:r w:rsidRPr="005D787A">
        <w:t xml:space="preserve">%) compared to the </w:t>
      </w:r>
      <w:proofErr w:type="spellStart"/>
      <w:r w:rsidR="00B008D0" w:rsidRPr="005D787A">
        <w:t>trastuzumab</w:t>
      </w:r>
      <w:proofErr w:type="spellEnd"/>
      <w:r w:rsidRPr="005D787A">
        <w:t xml:space="preserve"> and docetaxel-</w:t>
      </w:r>
      <w:r w:rsidRPr="005D787A">
        <w:rPr>
          <w:strike/>
        </w:rPr>
        <w:t xml:space="preserve"> </w:t>
      </w:r>
      <w:r w:rsidRPr="005D787A">
        <w:t xml:space="preserve">treated group (1.9%). There was one case of symptomatic LVD in the PERJETA and </w:t>
      </w:r>
      <w:proofErr w:type="spellStart"/>
      <w:r w:rsidR="00B008D0" w:rsidRPr="005D787A">
        <w:t>trastuzumab</w:t>
      </w:r>
      <w:proofErr w:type="spellEnd"/>
      <w:r w:rsidRPr="005D787A">
        <w:t>-</w:t>
      </w:r>
      <w:r w:rsidRPr="005D787A">
        <w:rPr>
          <w:strike/>
        </w:rPr>
        <w:t xml:space="preserve"> </w:t>
      </w:r>
      <w:r w:rsidRPr="005D787A">
        <w:t>treated group</w:t>
      </w:r>
      <w:r w:rsidR="00280A12">
        <w:t xml:space="preserve">. In NEOSPHERE there was no central review of cardiac imaging result (see </w:t>
      </w:r>
      <w:r w:rsidR="00280A12" w:rsidRPr="00280A12">
        <w:rPr>
          <w:i/>
        </w:rPr>
        <w:t>PRECAUTIONS</w:t>
      </w:r>
      <w:r w:rsidR="00280A12">
        <w:t>)</w:t>
      </w:r>
      <w:r w:rsidR="00C37A66" w:rsidRPr="005D787A">
        <w:t>.</w:t>
      </w:r>
    </w:p>
    <w:p w:rsidR="00487D34" w:rsidRPr="005D787A" w:rsidRDefault="00487D34" w:rsidP="00487D34"/>
    <w:p w:rsidR="00487D34" w:rsidRDefault="00487D34" w:rsidP="00487D34">
      <w:r w:rsidRPr="005D787A">
        <w:t>In TRYPHAENA, the incidence of LVD (during the overall treatment period) was</w:t>
      </w:r>
      <w:r w:rsidR="00280A12">
        <w:t>6.9</w:t>
      </w:r>
      <w:r w:rsidRPr="005D787A">
        <w:t xml:space="preserve">% in the group treated with PERJETA plus </w:t>
      </w:r>
      <w:proofErr w:type="spellStart"/>
      <w:r w:rsidR="00B008D0" w:rsidRPr="005D787A">
        <w:t>trastuzumab</w:t>
      </w:r>
      <w:proofErr w:type="spellEnd"/>
      <w:r w:rsidRPr="005D787A">
        <w:t xml:space="preserve"> and FEC followed by PERJETA plus </w:t>
      </w:r>
      <w:proofErr w:type="spellStart"/>
      <w:r w:rsidR="00B008D0" w:rsidRPr="005D787A">
        <w:t>trastuzumab</w:t>
      </w:r>
      <w:proofErr w:type="spellEnd"/>
      <w:r w:rsidRPr="005D787A">
        <w:t xml:space="preserve"> and docetaxel; </w:t>
      </w:r>
      <w:r w:rsidR="00280A12">
        <w:t>16.0</w:t>
      </w:r>
      <w:r w:rsidRPr="005D787A">
        <w:t xml:space="preserve">% in the group treated with PERJETA plus </w:t>
      </w:r>
      <w:proofErr w:type="spellStart"/>
      <w:r w:rsidR="00B008D0" w:rsidRPr="005D787A">
        <w:t>trastuzumab</w:t>
      </w:r>
      <w:proofErr w:type="spellEnd"/>
      <w:r w:rsidRPr="005D787A">
        <w:t xml:space="preserve"> and docetaxel following FEC; and </w:t>
      </w:r>
      <w:r w:rsidR="00280A12">
        <w:t>10.5</w:t>
      </w:r>
      <w:r w:rsidRPr="005D787A">
        <w:t xml:space="preserve">% in the group treated with PERJETA in combination with The incidence of symptomatic LVD (congestive heart failure) was 1.3% in the group treated with PERJETA plus </w:t>
      </w:r>
      <w:proofErr w:type="spellStart"/>
      <w:r w:rsidR="00B008D0" w:rsidRPr="005D787A">
        <w:t>trastuzumab</w:t>
      </w:r>
      <w:proofErr w:type="spellEnd"/>
      <w:r w:rsidRPr="005D787A">
        <w:t xml:space="preserve"> and docetaxel following FEC (this excludes a patient that experienced symptomatic LVD during FEC treatment prior to receiving PERJETA plus </w:t>
      </w:r>
      <w:proofErr w:type="spellStart"/>
      <w:r w:rsidR="00B008D0" w:rsidRPr="005D787A">
        <w:t>trastuzumab</w:t>
      </w:r>
      <w:proofErr w:type="spellEnd"/>
      <w:r w:rsidRPr="005D787A">
        <w:t xml:space="preserve"> and docetaxel) and also 1.3% in the group treated with PERJETA in combination with TCH. No patients in the group treated with PERJETA plus </w:t>
      </w:r>
      <w:proofErr w:type="spellStart"/>
      <w:r w:rsidR="00B008D0" w:rsidRPr="005D787A">
        <w:t>trastuzumab</w:t>
      </w:r>
      <w:proofErr w:type="spellEnd"/>
      <w:r w:rsidRPr="005D787A">
        <w:t xml:space="preserve"> and FEC </w:t>
      </w:r>
      <w:r w:rsidRPr="005D787A">
        <w:lastRenderedPageBreak/>
        <w:t xml:space="preserve">followed by PERJETA plus </w:t>
      </w:r>
      <w:proofErr w:type="spellStart"/>
      <w:r w:rsidR="00B008D0" w:rsidRPr="005D787A">
        <w:t>trastuzumab</w:t>
      </w:r>
      <w:proofErr w:type="spellEnd"/>
      <w:r w:rsidRPr="005D787A">
        <w:t xml:space="preserve"> and docetaxel experienced symptomatic</w:t>
      </w:r>
      <w:r w:rsidR="00280A12">
        <w:t xml:space="preserve"> LVD</w:t>
      </w:r>
      <w:r w:rsidR="001C5453">
        <w:t>. In TRYPHAENA cardiac imaging results were reviewed centrally</w:t>
      </w:r>
      <w:r w:rsidR="00280A12">
        <w:t xml:space="preserve"> (see </w:t>
      </w:r>
      <w:r w:rsidR="00280A12" w:rsidRPr="00280A12">
        <w:rPr>
          <w:i/>
        </w:rPr>
        <w:t>PRECAUTIONS</w:t>
      </w:r>
      <w:r w:rsidR="00280A12">
        <w:t>).</w:t>
      </w:r>
    </w:p>
    <w:p w:rsidR="00280A12" w:rsidRDefault="00280A12" w:rsidP="00487D34"/>
    <w:p w:rsidR="00280A12" w:rsidRPr="005D787A" w:rsidRDefault="00280A12" w:rsidP="00280A12">
      <w:r w:rsidRPr="006149FA">
        <w:t>In the pivotal trial CLEOPATRA, the incidence of LVD during study treatment was higher in the placebo</w:t>
      </w:r>
      <w:r w:rsidRPr="005D787A">
        <w:t>-</w:t>
      </w:r>
      <w:r w:rsidRPr="005D787A">
        <w:rPr>
          <w:strike/>
        </w:rPr>
        <w:t xml:space="preserve"> </w:t>
      </w:r>
      <w:r w:rsidRPr="005D787A">
        <w:t>treated group than the PERJETA</w:t>
      </w:r>
      <w:r w:rsidRPr="005D787A">
        <w:rPr>
          <w:strike/>
        </w:rPr>
        <w:t xml:space="preserve"> </w:t>
      </w:r>
      <w:r w:rsidRPr="005D787A">
        <w:t>treated group (8.6% and 6.6%, respectively). The incidence of symptomatic LVD was also lower in the PERJETA treated group (1.8% in the placebo-</w:t>
      </w:r>
      <w:r w:rsidRPr="005D787A">
        <w:rPr>
          <w:strike/>
        </w:rPr>
        <w:t xml:space="preserve"> </w:t>
      </w:r>
      <w:r w:rsidRPr="005D787A">
        <w:t>treated group vs. 1.5% in the PERJETA</w:t>
      </w:r>
      <w:r w:rsidRPr="005D787A">
        <w:rPr>
          <w:strike/>
        </w:rPr>
        <w:t xml:space="preserve"> </w:t>
      </w:r>
      <w:r w:rsidRPr="005D787A">
        <w:t xml:space="preserve">treated group) (see </w:t>
      </w:r>
      <w:r w:rsidRPr="005D787A">
        <w:rPr>
          <w:i/>
        </w:rPr>
        <w:t>PRECAUTIONS</w:t>
      </w:r>
      <w:r w:rsidRPr="005D787A">
        <w:t xml:space="preserve">). </w:t>
      </w:r>
    </w:p>
    <w:p w:rsidR="002374C7" w:rsidRPr="005D787A" w:rsidRDefault="002374C7" w:rsidP="00504C49">
      <w:pPr>
        <w:pStyle w:val="Heading4"/>
        <w:rPr>
          <w:color w:val="auto"/>
        </w:rPr>
      </w:pPr>
      <w:r w:rsidRPr="005D787A">
        <w:rPr>
          <w:color w:val="auto"/>
        </w:rPr>
        <w:t>Infusion</w:t>
      </w:r>
      <w:r w:rsidR="00C55896" w:rsidRPr="005D787A">
        <w:rPr>
          <w:color w:val="auto"/>
        </w:rPr>
        <w:t xml:space="preserve"> related</w:t>
      </w:r>
      <w:r w:rsidRPr="005D787A">
        <w:rPr>
          <w:color w:val="auto"/>
        </w:rPr>
        <w:t xml:space="preserve"> reactions</w:t>
      </w:r>
    </w:p>
    <w:p w:rsidR="0084284D" w:rsidRPr="005D787A" w:rsidRDefault="0084284D" w:rsidP="0084284D">
      <w:pPr>
        <w:pStyle w:val="paragraph0"/>
        <w:spacing w:after="120"/>
        <w:jc w:val="both"/>
        <w:rPr>
          <w:rFonts w:ascii="Times New Roman" w:hAnsi="Times New Roman" w:cs="Times New Roman"/>
        </w:rPr>
      </w:pPr>
      <w:r w:rsidRPr="005D787A">
        <w:rPr>
          <w:rFonts w:ascii="Times New Roman" w:hAnsi="Times New Roman" w:cs="Times New Roman"/>
        </w:rPr>
        <w:t>An infusion</w:t>
      </w:r>
      <w:r w:rsidR="00C55896" w:rsidRPr="005D787A">
        <w:rPr>
          <w:rFonts w:ascii="Times New Roman" w:hAnsi="Times New Roman" w:cs="Times New Roman"/>
        </w:rPr>
        <w:t xml:space="preserve"> related</w:t>
      </w:r>
      <w:r w:rsidRPr="005D787A">
        <w:rPr>
          <w:rFonts w:ascii="Times New Roman" w:hAnsi="Times New Roman" w:cs="Times New Roman"/>
        </w:rPr>
        <w:t xml:space="preserve"> reaction was defined in the pivotal trial as any </w:t>
      </w:r>
      <w:r w:rsidR="00C55896" w:rsidRPr="005D787A">
        <w:rPr>
          <w:rFonts w:ascii="Times New Roman" w:hAnsi="Times New Roman" w:cs="Times New Roman"/>
        </w:rPr>
        <w:t xml:space="preserve">event reported as hypersensitivity, anaphylactic reaction, acute infusion reaction or cytokine release syndrome </w:t>
      </w:r>
      <w:r w:rsidRPr="005D787A">
        <w:rPr>
          <w:rFonts w:ascii="Times New Roman" w:hAnsi="Times New Roman" w:cs="Times New Roman"/>
        </w:rPr>
        <w:t>occurring during an infusion</w:t>
      </w:r>
      <w:r w:rsidR="001F22B9" w:rsidRPr="005D787A">
        <w:rPr>
          <w:rFonts w:ascii="Times New Roman" w:hAnsi="Times New Roman" w:cs="Times New Roman"/>
        </w:rPr>
        <w:t>,</w:t>
      </w:r>
      <w:r w:rsidRPr="005D787A">
        <w:rPr>
          <w:rFonts w:ascii="Times New Roman" w:hAnsi="Times New Roman" w:cs="Times New Roman"/>
        </w:rPr>
        <w:t xml:space="preserve"> or on the same day as the infusion. In the pivotal trial CLEOPATRA, the initial dose of </w:t>
      </w:r>
      <w:r w:rsidR="00123310" w:rsidRPr="005D787A">
        <w:rPr>
          <w:rFonts w:ascii="Times New Roman" w:hAnsi="Times New Roman" w:cs="Times New Roman"/>
        </w:rPr>
        <w:t>PERJETA</w:t>
      </w:r>
      <w:r w:rsidRPr="005D787A">
        <w:rPr>
          <w:rFonts w:ascii="Times New Roman" w:hAnsi="Times New Roman" w:cs="Times New Roman"/>
        </w:rPr>
        <w:t xml:space="preserve"> was given the day before </w:t>
      </w:r>
      <w:proofErr w:type="spellStart"/>
      <w:r w:rsidR="003F2EEC" w:rsidRPr="005D787A">
        <w:rPr>
          <w:rFonts w:ascii="Times New Roman" w:hAnsi="Times New Roman"/>
        </w:rPr>
        <w:t>trastuzumab</w:t>
      </w:r>
      <w:proofErr w:type="spellEnd"/>
      <w:r w:rsidR="003F2EEC" w:rsidRPr="005D787A">
        <w:rPr>
          <w:rFonts w:ascii="Times New Roman" w:hAnsi="Times New Roman" w:cs="Times New Roman"/>
        </w:rPr>
        <w:t xml:space="preserve"> </w:t>
      </w:r>
      <w:r w:rsidRPr="005D787A">
        <w:rPr>
          <w:rFonts w:ascii="Times New Roman" w:hAnsi="Times New Roman" w:cs="Times New Roman"/>
        </w:rPr>
        <w:t xml:space="preserve">and docetaxel to allow for the examination of </w:t>
      </w:r>
      <w:r w:rsidR="00123310" w:rsidRPr="005D787A">
        <w:rPr>
          <w:rFonts w:ascii="Times New Roman" w:hAnsi="Times New Roman" w:cs="Times New Roman"/>
        </w:rPr>
        <w:t>PERJETA</w:t>
      </w:r>
      <w:r w:rsidRPr="005D787A">
        <w:rPr>
          <w:rFonts w:ascii="Times New Roman" w:hAnsi="Times New Roman" w:cs="Times New Roman"/>
        </w:rPr>
        <w:t xml:space="preserve"> associated reactions. On the first day</w:t>
      </w:r>
      <w:r w:rsidR="001F22B9" w:rsidRPr="005D787A">
        <w:rPr>
          <w:rFonts w:ascii="Times New Roman" w:hAnsi="Times New Roman" w:cs="Times New Roman"/>
        </w:rPr>
        <w:t>,</w:t>
      </w:r>
      <w:r w:rsidRPr="005D787A">
        <w:rPr>
          <w:rFonts w:ascii="Times New Roman" w:hAnsi="Times New Roman" w:cs="Times New Roman"/>
        </w:rPr>
        <w:t xml:space="preserve"> when only </w:t>
      </w:r>
      <w:r w:rsidR="00123310" w:rsidRPr="005D787A">
        <w:rPr>
          <w:rFonts w:ascii="Times New Roman" w:hAnsi="Times New Roman" w:cs="Times New Roman"/>
        </w:rPr>
        <w:t>PERJETA</w:t>
      </w:r>
      <w:r w:rsidRPr="005D787A">
        <w:rPr>
          <w:rFonts w:ascii="Times New Roman" w:hAnsi="Times New Roman" w:cs="Times New Roman"/>
        </w:rPr>
        <w:t xml:space="preserve"> was administered, the overall frequency of infusion</w:t>
      </w:r>
      <w:r w:rsidR="00AF6202" w:rsidRPr="005D787A">
        <w:rPr>
          <w:rFonts w:ascii="Times New Roman" w:hAnsi="Times New Roman" w:cs="Times New Roman"/>
        </w:rPr>
        <w:t xml:space="preserve"> related</w:t>
      </w:r>
      <w:r w:rsidRPr="005D787A">
        <w:rPr>
          <w:rFonts w:ascii="Times New Roman" w:hAnsi="Times New Roman" w:cs="Times New Roman"/>
        </w:rPr>
        <w:t xml:space="preserve"> reactions was </w:t>
      </w:r>
      <w:r w:rsidR="00AF6202" w:rsidRPr="005D787A">
        <w:rPr>
          <w:rFonts w:ascii="Times New Roman" w:hAnsi="Times New Roman" w:cs="Times New Roman"/>
        </w:rPr>
        <w:t>9.8</w:t>
      </w:r>
      <w:r w:rsidRPr="005D787A">
        <w:rPr>
          <w:rFonts w:ascii="Times New Roman" w:hAnsi="Times New Roman" w:cs="Times New Roman"/>
        </w:rPr>
        <w:t xml:space="preserve">% in the placebo treated group and </w:t>
      </w:r>
      <w:r w:rsidR="00AF6202" w:rsidRPr="005D787A">
        <w:rPr>
          <w:rFonts w:ascii="Times New Roman" w:hAnsi="Times New Roman" w:cs="Times New Roman"/>
        </w:rPr>
        <w:t>13.</w:t>
      </w:r>
      <w:r w:rsidR="005D787A" w:rsidRPr="005D787A" w:rsidDel="003D1E61">
        <w:rPr>
          <w:rFonts w:ascii="Times New Roman" w:hAnsi="Times New Roman" w:cs="Times New Roman"/>
        </w:rPr>
        <w:t xml:space="preserve"> </w:t>
      </w:r>
      <w:r w:rsidR="003D1E61" w:rsidRPr="005D787A">
        <w:rPr>
          <w:rFonts w:ascii="Times New Roman" w:hAnsi="Times New Roman" w:cs="Times New Roman"/>
        </w:rPr>
        <w:t>2</w:t>
      </w:r>
      <w:r w:rsidRPr="005D787A">
        <w:rPr>
          <w:rFonts w:ascii="Times New Roman" w:hAnsi="Times New Roman" w:cs="Times New Roman"/>
        </w:rPr>
        <w:t xml:space="preserve">% in the </w:t>
      </w:r>
      <w:r w:rsidR="00123310" w:rsidRPr="005D787A">
        <w:rPr>
          <w:rFonts w:ascii="Times New Roman" w:hAnsi="Times New Roman" w:cs="Times New Roman"/>
        </w:rPr>
        <w:t>PERJETA</w:t>
      </w:r>
      <w:r w:rsidRPr="005D787A">
        <w:rPr>
          <w:rFonts w:ascii="Times New Roman" w:hAnsi="Times New Roman" w:cs="Times New Roman"/>
        </w:rPr>
        <w:t xml:space="preserve"> treated group, with the majority of reactions being mild or moderate. The most common infusion</w:t>
      </w:r>
      <w:r w:rsidR="00AF6202" w:rsidRPr="005D787A">
        <w:rPr>
          <w:rFonts w:ascii="Times New Roman" w:hAnsi="Times New Roman" w:cs="Times New Roman"/>
        </w:rPr>
        <w:t xml:space="preserve"> related</w:t>
      </w:r>
      <w:r w:rsidRPr="005D787A">
        <w:rPr>
          <w:rFonts w:ascii="Times New Roman" w:hAnsi="Times New Roman" w:cs="Times New Roman"/>
        </w:rPr>
        <w:t xml:space="preserve"> reactions </w:t>
      </w:r>
      <w:r w:rsidRPr="005D787A">
        <w:rPr>
          <w:rFonts w:ascii="Times New Roman" w:hAnsi="Times New Roman" w:cs="Times New Roman"/>
          <w:szCs w:val="22"/>
        </w:rPr>
        <w:t>(</w:t>
      </w:r>
      <w:r w:rsidRPr="005D787A">
        <w:rPr>
          <w:rFonts w:ascii="Times New Roman" w:hAnsi="Times New Roman" w:cs="Times New Roman"/>
        </w:rPr>
        <w:t>≥</w:t>
      </w:r>
      <w:r w:rsidRPr="005D787A">
        <w:rPr>
          <w:rFonts w:ascii="Times New Roman" w:hAnsi="Times New Roman" w:cs="Times New Roman"/>
          <w:szCs w:val="22"/>
        </w:rPr>
        <w:t>1.</w:t>
      </w:r>
      <w:r w:rsidR="00AF6202" w:rsidRPr="005D787A">
        <w:rPr>
          <w:rFonts w:ascii="Times New Roman" w:hAnsi="Times New Roman" w:cs="Times New Roman"/>
          <w:szCs w:val="22"/>
        </w:rPr>
        <w:t>0</w:t>
      </w:r>
      <w:r w:rsidRPr="005D787A">
        <w:rPr>
          <w:rFonts w:ascii="Times New Roman" w:hAnsi="Times New Roman" w:cs="Times New Roman"/>
          <w:szCs w:val="22"/>
        </w:rPr>
        <w:t xml:space="preserve">%) </w:t>
      </w:r>
      <w:r w:rsidRPr="005D787A">
        <w:rPr>
          <w:rFonts w:ascii="Times New Roman" w:hAnsi="Times New Roman" w:cs="Times New Roman"/>
        </w:rPr>
        <w:t xml:space="preserve">in the </w:t>
      </w:r>
      <w:r w:rsidR="00123310" w:rsidRPr="005D787A">
        <w:rPr>
          <w:rFonts w:ascii="Times New Roman" w:hAnsi="Times New Roman" w:cs="Times New Roman"/>
        </w:rPr>
        <w:t>PERJETA</w:t>
      </w:r>
      <w:r w:rsidRPr="005D787A">
        <w:rPr>
          <w:rFonts w:ascii="Times New Roman" w:hAnsi="Times New Roman" w:cs="Times New Roman"/>
        </w:rPr>
        <w:t xml:space="preserve"> treated group were pyrexia, chills, fatigue</w:t>
      </w:r>
      <w:r w:rsidR="00AF6202" w:rsidRPr="005D787A">
        <w:rPr>
          <w:rFonts w:ascii="Times New Roman" w:hAnsi="Times New Roman" w:cs="Times New Roman"/>
        </w:rPr>
        <w:t>,</w:t>
      </w:r>
      <w:r w:rsidRPr="005D787A">
        <w:rPr>
          <w:rFonts w:ascii="Times New Roman" w:hAnsi="Times New Roman" w:cs="Times New Roman"/>
        </w:rPr>
        <w:t xml:space="preserve"> headache</w:t>
      </w:r>
      <w:r w:rsidR="00AF6202" w:rsidRPr="005D787A">
        <w:rPr>
          <w:rFonts w:ascii="Times New Roman" w:hAnsi="Times New Roman" w:cs="Times New Roman"/>
        </w:rPr>
        <w:t>, asthenia, hypersensitivity and vomiting</w:t>
      </w:r>
      <w:r w:rsidRPr="005D787A">
        <w:rPr>
          <w:rFonts w:ascii="Times New Roman" w:hAnsi="Times New Roman" w:cs="Times New Roman"/>
        </w:rPr>
        <w:t>.</w:t>
      </w:r>
    </w:p>
    <w:p w:rsidR="009E672B" w:rsidRPr="005D787A" w:rsidRDefault="0084284D" w:rsidP="0084284D">
      <w:pPr>
        <w:pStyle w:val="paragraph0"/>
        <w:spacing w:after="120"/>
        <w:jc w:val="both"/>
        <w:rPr>
          <w:rFonts w:ascii="Times New Roman" w:hAnsi="Times New Roman" w:cs="Times New Roman"/>
        </w:rPr>
      </w:pPr>
      <w:r w:rsidRPr="005D787A">
        <w:rPr>
          <w:rFonts w:ascii="Times New Roman" w:hAnsi="Times New Roman" w:cs="Times New Roman"/>
        </w:rPr>
        <w:t>During the second cycle</w:t>
      </w:r>
      <w:r w:rsidR="001F22B9" w:rsidRPr="005D787A">
        <w:rPr>
          <w:rFonts w:ascii="Times New Roman" w:hAnsi="Times New Roman" w:cs="Times New Roman"/>
        </w:rPr>
        <w:t>,</w:t>
      </w:r>
      <w:r w:rsidRPr="005D787A">
        <w:rPr>
          <w:rFonts w:ascii="Times New Roman" w:hAnsi="Times New Roman" w:cs="Times New Roman"/>
        </w:rPr>
        <w:t xml:space="preserve"> when all drugs were administered on the same day, the most common infusion</w:t>
      </w:r>
      <w:r w:rsidR="009E672B" w:rsidRPr="005D787A">
        <w:rPr>
          <w:rFonts w:ascii="Times New Roman" w:hAnsi="Times New Roman" w:cs="Times New Roman"/>
        </w:rPr>
        <w:t xml:space="preserve"> related</w:t>
      </w:r>
      <w:r w:rsidRPr="005D787A">
        <w:rPr>
          <w:rFonts w:ascii="Times New Roman" w:hAnsi="Times New Roman" w:cs="Times New Roman"/>
        </w:rPr>
        <w:t xml:space="preserve"> reactions (≥1.</w:t>
      </w:r>
      <w:r w:rsidR="009E672B" w:rsidRPr="005D787A">
        <w:rPr>
          <w:rFonts w:ascii="Times New Roman" w:hAnsi="Times New Roman" w:cs="Times New Roman"/>
        </w:rPr>
        <w:t>0</w:t>
      </w:r>
      <w:r w:rsidRPr="005D787A">
        <w:rPr>
          <w:rFonts w:ascii="Times New Roman" w:hAnsi="Times New Roman" w:cs="Times New Roman"/>
        </w:rPr>
        <w:t xml:space="preserve">%) in the </w:t>
      </w:r>
      <w:r w:rsidR="00123310" w:rsidRPr="005D787A">
        <w:rPr>
          <w:rFonts w:ascii="Times New Roman" w:hAnsi="Times New Roman" w:cs="Times New Roman"/>
        </w:rPr>
        <w:t>PERJETA</w:t>
      </w:r>
      <w:r w:rsidRPr="005D787A">
        <w:rPr>
          <w:rFonts w:ascii="Times New Roman" w:hAnsi="Times New Roman" w:cs="Times New Roman"/>
        </w:rPr>
        <w:t xml:space="preserve"> treated group were fatigue, drug hypersensitivity</w:t>
      </w:r>
      <w:r w:rsidR="009E672B" w:rsidRPr="005D787A">
        <w:rPr>
          <w:rFonts w:ascii="Times New Roman" w:hAnsi="Times New Roman" w:cs="Times New Roman"/>
        </w:rPr>
        <w:t xml:space="preserve">, </w:t>
      </w:r>
      <w:proofErr w:type="spellStart"/>
      <w:r w:rsidR="009E672B" w:rsidRPr="005D787A">
        <w:rPr>
          <w:rFonts w:ascii="Times New Roman" w:hAnsi="Times New Roman" w:cs="Times New Roman"/>
        </w:rPr>
        <w:t>dysgeusia</w:t>
      </w:r>
      <w:proofErr w:type="spellEnd"/>
      <w:r w:rsidR="009E672B" w:rsidRPr="005D787A">
        <w:rPr>
          <w:rFonts w:ascii="Times New Roman" w:hAnsi="Times New Roman" w:cs="Times New Roman"/>
        </w:rPr>
        <w:t xml:space="preserve">, hypersensitivity, myalgia and vomiting </w:t>
      </w:r>
      <w:r w:rsidR="00BD14F0" w:rsidRPr="005D787A">
        <w:rPr>
          <w:rFonts w:ascii="Times New Roman" w:hAnsi="Times New Roman" w:cs="Times New Roman"/>
        </w:rPr>
        <w:t>(</w:t>
      </w:r>
      <w:r w:rsidR="00BD14F0" w:rsidRPr="005D787A">
        <w:rPr>
          <w:rFonts w:ascii="Times New Roman" w:hAnsi="Times New Roman" w:cs="Times New Roman"/>
          <w:i/>
        </w:rPr>
        <w:t xml:space="preserve">see </w:t>
      </w:r>
      <w:r w:rsidR="00BD14F0" w:rsidRPr="005D787A">
        <w:rPr>
          <w:rFonts w:ascii="Times New Roman" w:hAnsi="Times New Roman" w:cs="Times New Roman"/>
          <w:i/>
          <w:caps/>
        </w:rPr>
        <w:t>Precautions</w:t>
      </w:r>
      <w:r w:rsidR="00BD14F0" w:rsidRPr="005D787A">
        <w:rPr>
          <w:rFonts w:ascii="Times New Roman" w:hAnsi="Times New Roman" w:cs="Times New Roman"/>
        </w:rPr>
        <w:t>)</w:t>
      </w:r>
      <w:r w:rsidRPr="005D787A">
        <w:rPr>
          <w:rFonts w:ascii="Times New Roman" w:hAnsi="Times New Roman" w:cs="Times New Roman"/>
        </w:rPr>
        <w:t>.</w:t>
      </w:r>
    </w:p>
    <w:p w:rsidR="003D1E61" w:rsidRPr="005D787A" w:rsidRDefault="003D1E61" w:rsidP="0084284D">
      <w:pPr>
        <w:pStyle w:val="paragraph0"/>
        <w:spacing w:after="120"/>
        <w:jc w:val="both"/>
        <w:rPr>
          <w:rFonts w:ascii="Times New Roman" w:hAnsi="Times New Roman" w:cs="Times New Roman"/>
        </w:rPr>
      </w:pPr>
      <w:r w:rsidRPr="005D787A">
        <w:rPr>
          <w:rFonts w:ascii="Times New Roman" w:hAnsi="Times New Roman" w:cs="Times New Roman"/>
        </w:rPr>
        <w:t>In NEOSPHERE and TRYPHAENA, PERJETA was administered on the same day as the other study treatment drugs. Infusion-related reactions were consistent with those observed in CLEOPATRA, with a majority of reactions being mild or moderate.</w:t>
      </w:r>
    </w:p>
    <w:p w:rsidR="00BD14F0" w:rsidRPr="005D787A" w:rsidRDefault="00BD14F0" w:rsidP="00504C49">
      <w:pPr>
        <w:pStyle w:val="Heading4"/>
        <w:rPr>
          <w:color w:val="auto"/>
        </w:rPr>
      </w:pPr>
      <w:r w:rsidRPr="005D787A">
        <w:rPr>
          <w:color w:val="auto"/>
        </w:rPr>
        <w:t>Hypersensitivity reactions/anaphylaxis</w:t>
      </w:r>
    </w:p>
    <w:p w:rsidR="00BD14F0" w:rsidRPr="005D787A" w:rsidRDefault="0084284D" w:rsidP="00B81BB5">
      <w:pPr>
        <w:pStyle w:val="paragraph0"/>
        <w:spacing w:after="120"/>
        <w:jc w:val="both"/>
        <w:rPr>
          <w:rFonts w:ascii="Times New Roman" w:hAnsi="Times New Roman" w:cs="Times New Roman"/>
        </w:rPr>
      </w:pPr>
      <w:r w:rsidRPr="005D787A">
        <w:rPr>
          <w:rFonts w:ascii="Times New Roman" w:hAnsi="Times New Roman" w:cs="Times New Roman"/>
        </w:rPr>
        <w:t>In the pivotal trial CLEOPATRA</w:t>
      </w:r>
      <w:r w:rsidR="001F22B9" w:rsidRPr="005D787A">
        <w:rPr>
          <w:rFonts w:ascii="Times New Roman" w:hAnsi="Times New Roman" w:cs="Times New Roman"/>
        </w:rPr>
        <w:t>,</w:t>
      </w:r>
      <w:r w:rsidRPr="005D787A">
        <w:rPr>
          <w:rFonts w:ascii="Times New Roman" w:hAnsi="Times New Roman" w:cs="Times New Roman"/>
        </w:rPr>
        <w:t xml:space="preserve"> the overall frequency of hypersensitivity/anaphylaxis </w:t>
      </w:r>
      <w:r w:rsidR="00BD14F0" w:rsidRPr="005D787A">
        <w:rPr>
          <w:rFonts w:ascii="Times New Roman" w:hAnsi="Times New Roman" w:cs="Times New Roman"/>
        </w:rPr>
        <w:t xml:space="preserve">reported </w:t>
      </w:r>
      <w:r w:rsidRPr="005D787A">
        <w:rPr>
          <w:rFonts w:ascii="Times New Roman" w:hAnsi="Times New Roman" w:cs="Times New Roman"/>
        </w:rPr>
        <w:t xml:space="preserve">events was 9.1% in the placebo treated patients and </w:t>
      </w:r>
      <w:r w:rsidR="00BD14F0" w:rsidRPr="005D787A">
        <w:rPr>
          <w:rFonts w:ascii="Times New Roman" w:hAnsi="Times New Roman" w:cs="Times New Roman"/>
        </w:rPr>
        <w:t>11.0</w:t>
      </w:r>
      <w:r w:rsidRPr="005D787A">
        <w:rPr>
          <w:rFonts w:ascii="Times New Roman" w:hAnsi="Times New Roman" w:cs="Times New Roman"/>
        </w:rPr>
        <w:t xml:space="preserve">% in the </w:t>
      </w:r>
      <w:r w:rsidR="00123310" w:rsidRPr="005D787A">
        <w:rPr>
          <w:rFonts w:ascii="Times New Roman" w:hAnsi="Times New Roman" w:cs="Times New Roman"/>
        </w:rPr>
        <w:t>PERJETA</w:t>
      </w:r>
      <w:r w:rsidRPr="005D787A">
        <w:rPr>
          <w:rFonts w:ascii="Times New Roman" w:hAnsi="Times New Roman" w:cs="Times New Roman"/>
        </w:rPr>
        <w:t xml:space="preserve"> treated patients, of which 2.5% and 2% were NCI-CTCAE (version 3) grade 3-4, respectively. Overall, 2 patients in placebo treated group and 4 patients in the </w:t>
      </w:r>
      <w:r w:rsidR="00123310" w:rsidRPr="005D787A">
        <w:rPr>
          <w:rFonts w:ascii="Times New Roman" w:hAnsi="Times New Roman" w:cs="Times New Roman"/>
        </w:rPr>
        <w:t>PERJETA</w:t>
      </w:r>
      <w:r w:rsidRPr="005D787A">
        <w:rPr>
          <w:rFonts w:ascii="Times New Roman" w:hAnsi="Times New Roman" w:cs="Times New Roman"/>
        </w:rPr>
        <w:t xml:space="preserve"> treated group experienced anaphylaxis (</w:t>
      </w:r>
      <w:r w:rsidRPr="005D787A">
        <w:rPr>
          <w:rFonts w:ascii="Times New Roman" w:hAnsi="Times New Roman" w:cs="Times New Roman"/>
          <w:i/>
        </w:rPr>
        <w:t xml:space="preserve">see </w:t>
      </w:r>
      <w:r w:rsidRPr="005D787A">
        <w:rPr>
          <w:rFonts w:ascii="Times New Roman" w:hAnsi="Times New Roman" w:cs="Times New Roman"/>
          <w:i/>
          <w:caps/>
        </w:rPr>
        <w:t>Precautions</w:t>
      </w:r>
      <w:r w:rsidRPr="005D787A">
        <w:rPr>
          <w:rFonts w:ascii="Times New Roman" w:hAnsi="Times New Roman" w:cs="Times New Roman"/>
        </w:rPr>
        <w:t xml:space="preserve">). </w:t>
      </w:r>
    </w:p>
    <w:p w:rsidR="00AE127D" w:rsidRPr="005D787A" w:rsidRDefault="0084284D" w:rsidP="00B81BB5">
      <w:pPr>
        <w:pStyle w:val="paragraph0"/>
        <w:spacing w:after="120"/>
        <w:jc w:val="both"/>
        <w:rPr>
          <w:rFonts w:ascii="Times New Roman" w:hAnsi="Times New Roman" w:cs="Times New Roman"/>
        </w:rPr>
      </w:pPr>
      <w:r w:rsidRPr="005D787A">
        <w:rPr>
          <w:rFonts w:ascii="Times New Roman" w:hAnsi="Times New Roman" w:cs="Times New Roman"/>
        </w:rPr>
        <w:t>Overall, the majority of hypersensitivity reactions were mild or moderate in severity and resolved upon treatment. Based on modifications made to study treatment, most reactions were assessed as secondary to docetaxel infusions.</w:t>
      </w:r>
    </w:p>
    <w:p w:rsidR="00FE59D2" w:rsidRPr="005D787A" w:rsidRDefault="00FE59D2" w:rsidP="00B81BB5">
      <w:pPr>
        <w:pStyle w:val="paragraph0"/>
        <w:spacing w:after="120"/>
        <w:jc w:val="both"/>
        <w:rPr>
          <w:rFonts w:ascii="Times New Roman" w:hAnsi="Times New Roman" w:cs="Times New Roman"/>
        </w:rPr>
      </w:pPr>
      <w:r w:rsidRPr="005D787A">
        <w:rPr>
          <w:rFonts w:ascii="Times New Roman" w:hAnsi="Times New Roman" w:cs="Times New Roman"/>
        </w:rPr>
        <w:t xml:space="preserve">In NEOSPHERE and TRYPHAENA, hypersensitivity/anaphylaxis events were consistent with those observed in CLEOPATRA. In NEOSPHERE, one patient in the PERJETA and docetaxel treated group experienced anaphylaxis. In TRYPHAENA, the overall frequency of </w:t>
      </w:r>
      <w:proofErr w:type="spellStart"/>
      <w:r w:rsidRPr="005D787A">
        <w:rPr>
          <w:rFonts w:ascii="Times New Roman" w:hAnsi="Times New Roman" w:cs="Times New Roman"/>
        </w:rPr>
        <w:t>hpersensitivity</w:t>
      </w:r>
      <w:proofErr w:type="spellEnd"/>
      <w:r w:rsidRPr="005D787A">
        <w:rPr>
          <w:rFonts w:ascii="Times New Roman" w:hAnsi="Times New Roman" w:cs="Times New Roman"/>
        </w:rPr>
        <w:t>/anaphylaxis was highest in the PERJE</w:t>
      </w:r>
      <w:r w:rsidR="009B3919">
        <w:rPr>
          <w:rFonts w:ascii="Times New Roman" w:hAnsi="Times New Roman" w:cs="Times New Roman"/>
        </w:rPr>
        <w:t>T</w:t>
      </w:r>
      <w:r w:rsidRPr="005D787A">
        <w:rPr>
          <w:rFonts w:ascii="Times New Roman" w:hAnsi="Times New Roman" w:cs="Times New Roman"/>
        </w:rPr>
        <w:t xml:space="preserve">A and TCH treated group (13.2%), of which 2.65 were NCI-CTCAE (version 3) grade 3-4. </w:t>
      </w:r>
    </w:p>
    <w:p w:rsidR="00373EF1" w:rsidRPr="005D787A" w:rsidRDefault="00373EF1" w:rsidP="00410126">
      <w:pPr>
        <w:pStyle w:val="Heading3"/>
      </w:pPr>
      <w:r w:rsidRPr="005D787A">
        <w:t>Laboratory Abnormalities</w:t>
      </w:r>
    </w:p>
    <w:p w:rsidR="003D2979" w:rsidRPr="00C433BB" w:rsidRDefault="003D2979" w:rsidP="00B81BB5">
      <w:pPr>
        <w:spacing w:after="120" w:line="280" w:lineRule="exact"/>
      </w:pPr>
      <w:r w:rsidRPr="005D787A">
        <w:t>In the pivotal trial CLEOPATRA, t</w:t>
      </w:r>
      <w:r w:rsidR="001F22B9" w:rsidRPr="005D787A">
        <w:t>he incidence of NCI-CTCAE (version 3) grade 3-4 decreases in neutrophil counts were bal</w:t>
      </w:r>
      <w:r w:rsidR="001F22B9" w:rsidRPr="00C433BB">
        <w:rPr>
          <w:color w:val="000000"/>
        </w:rPr>
        <w:t>anced in the two treat</w:t>
      </w:r>
      <w:r w:rsidR="00FE59D2">
        <w:rPr>
          <w:color w:val="000000"/>
        </w:rPr>
        <w:t>ment</w:t>
      </w:r>
      <w:r w:rsidR="001F22B9" w:rsidRPr="00C433BB">
        <w:rPr>
          <w:color w:val="000000"/>
        </w:rPr>
        <w:t xml:space="preserve"> groups.</w:t>
      </w:r>
    </w:p>
    <w:p w:rsidR="00D844B2" w:rsidRPr="00FB36B9" w:rsidRDefault="00410126" w:rsidP="00410126">
      <w:pPr>
        <w:pStyle w:val="Heading2"/>
      </w:pPr>
      <w:bookmarkStart w:id="17" w:name="_Ref319420821"/>
      <w:r w:rsidRPr="00FB36B9">
        <w:lastRenderedPageBreak/>
        <w:t>DOSAGE AND ADMINISTRATION</w:t>
      </w:r>
      <w:bookmarkEnd w:id="17"/>
    </w:p>
    <w:p w:rsidR="00EF3C14" w:rsidRPr="008130BD" w:rsidRDefault="00EF3C14" w:rsidP="00410126">
      <w:pPr>
        <w:pStyle w:val="Heading3"/>
      </w:pPr>
      <w:r w:rsidRPr="008130BD">
        <w:t>General</w:t>
      </w:r>
    </w:p>
    <w:p w:rsidR="00657CAB" w:rsidRDefault="00657CAB" w:rsidP="00657CAB">
      <w:pPr>
        <w:autoSpaceDE w:val="0"/>
        <w:autoSpaceDN w:val="0"/>
        <w:adjustRightInd w:val="0"/>
        <w:spacing w:after="120"/>
      </w:pPr>
      <w:r>
        <w:t>Substitution by any other biological medicinal product requires the consent of the prescribing physician. In order to prevent medication errors, it is important to check the vial labels to ensure that the drug being prepared and administered is PERJETA.</w:t>
      </w:r>
    </w:p>
    <w:p w:rsidR="00AA4D32" w:rsidRDefault="00AA4D32" w:rsidP="00657CAB">
      <w:pPr>
        <w:autoSpaceDE w:val="0"/>
        <w:autoSpaceDN w:val="0"/>
        <w:adjustRightInd w:val="0"/>
        <w:spacing w:after="120"/>
      </w:pPr>
      <w:r w:rsidRPr="00AA4D32">
        <w:t xml:space="preserve">DO NOT ADMINISTER PERJETA AS AN </w:t>
      </w:r>
      <w:r w:rsidR="007C5678">
        <w:t>IV</w:t>
      </w:r>
      <w:r w:rsidRPr="00AA4D32">
        <w:t xml:space="preserve"> PUSH OR BOLUS.</w:t>
      </w:r>
    </w:p>
    <w:p w:rsidR="00657CAB" w:rsidRPr="00410126" w:rsidRDefault="00657CAB" w:rsidP="00DE3CDE">
      <w:pPr>
        <w:pStyle w:val="Heading4"/>
        <w:rPr>
          <w:lang w:val="en-GB"/>
        </w:rPr>
      </w:pPr>
      <w:r w:rsidRPr="00410126">
        <w:rPr>
          <w:lang w:val="en-GB"/>
        </w:rPr>
        <w:t>Detection of HER2 Protein Overexpression or HER2 Gene Amplification</w:t>
      </w:r>
    </w:p>
    <w:p w:rsidR="00502A2B" w:rsidRDefault="00502A2B" w:rsidP="00502A2B">
      <w:pPr>
        <w:autoSpaceDE w:val="0"/>
        <w:autoSpaceDN w:val="0"/>
        <w:adjustRightInd w:val="0"/>
        <w:spacing w:after="120"/>
        <w:rPr>
          <w:rFonts w:eastAsia="MS Mincho"/>
          <w:lang w:val="en-GB"/>
        </w:rPr>
      </w:pPr>
      <w:r w:rsidRPr="008130BD">
        <w:t xml:space="preserve">Patients can only be treated with </w:t>
      </w:r>
      <w:r>
        <w:t>PERJETA</w:t>
      </w:r>
      <w:r w:rsidRPr="008130BD">
        <w:t xml:space="preserve"> in combination with </w:t>
      </w:r>
      <w:proofErr w:type="spellStart"/>
      <w:r>
        <w:rPr>
          <w:color w:val="000000"/>
          <w:lang w:val="en-US"/>
        </w:rPr>
        <w:t>trastuzumab</w:t>
      </w:r>
      <w:proofErr w:type="spellEnd"/>
      <w:r w:rsidRPr="008130BD">
        <w:t xml:space="preserve"> and </w:t>
      </w:r>
      <w:r>
        <w:t>must</w:t>
      </w:r>
      <w:r w:rsidRPr="008130BD">
        <w:t xml:space="preserve"> have a HER2-positive tumour status, defined as a score of 3+ by </w:t>
      </w:r>
      <w:r>
        <w:t>immunohistochemistry (</w:t>
      </w:r>
      <w:r w:rsidRPr="008130BD">
        <w:t>IHC</w:t>
      </w:r>
      <w:r>
        <w:t>)</w:t>
      </w:r>
      <w:r w:rsidRPr="008130BD">
        <w:t xml:space="preserve"> </w:t>
      </w:r>
      <w:r w:rsidR="00A442FC">
        <w:t>and/</w:t>
      </w:r>
      <w:r w:rsidRPr="008130BD">
        <w:rPr>
          <w:rFonts w:eastAsia="MS Mincho"/>
          <w:lang w:val="en-GB"/>
        </w:rPr>
        <w:t xml:space="preserve">or a </w:t>
      </w:r>
      <w:r>
        <w:rPr>
          <w:rFonts w:eastAsia="MS Mincho"/>
          <w:lang w:val="en-GB"/>
        </w:rPr>
        <w:t>ratio of ≥ 2.0 by</w:t>
      </w:r>
      <w:r w:rsidRPr="008130BD">
        <w:rPr>
          <w:rFonts w:eastAsia="MS Mincho"/>
          <w:lang w:val="en-GB"/>
        </w:rPr>
        <w:t xml:space="preserve"> </w:t>
      </w:r>
      <w:r>
        <w:rPr>
          <w:rFonts w:eastAsia="MS Mincho"/>
          <w:lang w:val="en-GB"/>
        </w:rPr>
        <w:t>in situ hybridization (</w:t>
      </w:r>
      <w:r w:rsidRPr="008130BD">
        <w:rPr>
          <w:rFonts w:eastAsia="MS Mincho"/>
          <w:lang w:val="en-GB"/>
        </w:rPr>
        <w:t>ISH</w:t>
      </w:r>
      <w:r>
        <w:rPr>
          <w:rFonts w:eastAsia="MS Mincho"/>
          <w:lang w:val="en-GB"/>
        </w:rPr>
        <w:t>)</w:t>
      </w:r>
      <w:r w:rsidRPr="00C433BB">
        <w:rPr>
          <w:rFonts w:eastAsia="MS Mincho"/>
          <w:lang w:val="en-GB"/>
        </w:rPr>
        <w:t>.</w:t>
      </w:r>
    </w:p>
    <w:p w:rsidR="00096563" w:rsidRDefault="00096563" w:rsidP="00657CAB">
      <w:pPr>
        <w:autoSpaceDE w:val="0"/>
        <w:autoSpaceDN w:val="0"/>
        <w:adjustRightInd w:val="0"/>
        <w:spacing w:after="120"/>
      </w:pPr>
      <w:r>
        <w:t>To ensure accurate and reproducible results, the testing must be performed in a specialised laboratory, which can ensure valida</w:t>
      </w:r>
      <w:r w:rsidR="00F9658B">
        <w:t>tion of the testing procedures.</w:t>
      </w:r>
    </w:p>
    <w:p w:rsidR="00657CAB" w:rsidRDefault="00657CAB" w:rsidP="00657CAB">
      <w:pPr>
        <w:autoSpaceDE w:val="0"/>
        <w:autoSpaceDN w:val="0"/>
        <w:adjustRightInd w:val="0"/>
        <w:spacing w:after="120"/>
      </w:pPr>
      <w:r>
        <w:t xml:space="preserve">HER2 protein overexpression should be detected using an IHC-based assessment of fixed tumour blocks. HER2 gene amplification should be detected using ISH of fixed tumour blocks. Examples of ISH include fluorescence in situ hybridization (FISH), chromogenic in situ hybridization (CISH) and silver in situ hybridization (SISH). </w:t>
      </w:r>
    </w:p>
    <w:p w:rsidR="00657CAB" w:rsidRDefault="00657CAB" w:rsidP="00657CAB">
      <w:pPr>
        <w:autoSpaceDE w:val="0"/>
        <w:autoSpaceDN w:val="0"/>
        <w:adjustRightInd w:val="0"/>
        <w:spacing w:after="120"/>
      </w:pPr>
      <w:r>
        <w:t>For any other method to be used for the assessment of HER2 protein or gene expression, the test method must be precise and accurate enough to demonstrate overexpression of HER2 (it must be able to distinguish between moderate (congruent with 2+) and strong (congruent with 3+) HER2 overexpression).</w:t>
      </w:r>
    </w:p>
    <w:p w:rsidR="00096563" w:rsidRDefault="00BE4FA5" w:rsidP="00657CAB">
      <w:pPr>
        <w:autoSpaceDE w:val="0"/>
        <w:autoSpaceDN w:val="0"/>
        <w:adjustRightInd w:val="0"/>
        <w:spacing w:after="120"/>
      </w:pPr>
      <w:r>
        <w:t>For full instructions on assay performance and interpretation please refer to the package inserts of validated HER2 testing assays</w:t>
      </w:r>
      <w:r w:rsidR="00657CAB">
        <w:t xml:space="preserve">. Official recommendations on HER2 testing may also apply. </w:t>
      </w:r>
    </w:p>
    <w:p w:rsidR="00CB1612" w:rsidRPr="004F3BC6" w:rsidRDefault="00CB1612" w:rsidP="00410126">
      <w:pPr>
        <w:pStyle w:val="Heading3"/>
      </w:pPr>
      <w:r w:rsidRPr="004F3BC6">
        <w:t xml:space="preserve">Dosage of </w:t>
      </w:r>
      <w:r w:rsidR="00123310" w:rsidRPr="004F3BC6">
        <w:t>PERJETA</w:t>
      </w:r>
      <w:r w:rsidRPr="004F3BC6">
        <w:t xml:space="preserve"> in combination with </w:t>
      </w:r>
      <w:proofErr w:type="spellStart"/>
      <w:r w:rsidR="003F2EEC" w:rsidRPr="004F3BC6">
        <w:t>trastuzumab</w:t>
      </w:r>
      <w:proofErr w:type="spellEnd"/>
      <w:r w:rsidR="003F2EEC" w:rsidRPr="004F3BC6">
        <w:t xml:space="preserve"> </w:t>
      </w:r>
      <w:r w:rsidRPr="004F3BC6">
        <w:t xml:space="preserve">and </w:t>
      </w:r>
      <w:r w:rsidR="00C95333">
        <w:t>chemotherapy</w:t>
      </w:r>
    </w:p>
    <w:p w:rsidR="00F930CD" w:rsidRPr="008130BD" w:rsidRDefault="00F930CD" w:rsidP="00F930CD">
      <w:pPr>
        <w:pStyle w:val="Paragraph"/>
        <w:spacing w:after="120" w:line="240" w:lineRule="auto"/>
        <w:jc w:val="both"/>
        <w:rPr>
          <w:rFonts w:ascii="Times New Roman" w:eastAsia="PMingLiU" w:hAnsi="Times New Roman"/>
          <w:szCs w:val="22"/>
          <w:lang w:val="en-AU" w:eastAsia="zh-TW"/>
        </w:rPr>
      </w:pPr>
      <w:r w:rsidRPr="00EE367F">
        <w:rPr>
          <w:rFonts w:ascii="Times New Roman" w:eastAsia="PMingLiU" w:hAnsi="Times New Roman"/>
          <w:szCs w:val="22"/>
          <w:lang w:val="en-AU" w:eastAsia="zh-TW"/>
        </w:rPr>
        <w:t>The</w:t>
      </w:r>
      <w:r w:rsidRPr="00FB36B9">
        <w:rPr>
          <w:rFonts w:ascii="Times New Roman" w:eastAsia="PMingLiU" w:hAnsi="Times New Roman"/>
          <w:szCs w:val="22"/>
          <w:lang w:val="en-AU" w:eastAsia="zh-TW"/>
        </w:rPr>
        <w:t xml:space="preserve"> recommended initial dose of </w:t>
      </w:r>
      <w:r w:rsidR="00123310">
        <w:rPr>
          <w:rFonts w:ascii="Times New Roman" w:eastAsia="PMingLiU" w:hAnsi="Times New Roman"/>
          <w:szCs w:val="22"/>
          <w:lang w:val="en-AU" w:eastAsia="zh-TW"/>
        </w:rPr>
        <w:t>PERJETA</w:t>
      </w:r>
      <w:r w:rsidRPr="00FB36B9">
        <w:rPr>
          <w:rFonts w:ascii="Times New Roman" w:eastAsia="PMingLiU" w:hAnsi="Times New Roman"/>
          <w:szCs w:val="22"/>
          <w:lang w:val="en-AU" w:eastAsia="zh-TW"/>
        </w:rPr>
        <w:t xml:space="preserve"> is 840 mg, administered as a 60 min </w:t>
      </w:r>
      <w:r w:rsidR="00FB5CFF" w:rsidRPr="00FB36B9">
        <w:rPr>
          <w:rFonts w:ascii="Times New Roman" w:eastAsia="PMingLiU" w:hAnsi="Times New Roman"/>
          <w:szCs w:val="22"/>
          <w:lang w:val="en-AU" w:eastAsia="zh-TW"/>
        </w:rPr>
        <w:t>IV</w:t>
      </w:r>
      <w:r w:rsidR="00FB5CFF" w:rsidRPr="008130BD">
        <w:rPr>
          <w:rFonts w:ascii="Times New Roman" w:eastAsia="PMingLiU" w:hAnsi="Times New Roman"/>
          <w:szCs w:val="22"/>
          <w:lang w:val="en-AU" w:eastAsia="zh-TW"/>
        </w:rPr>
        <w:t xml:space="preserve"> </w:t>
      </w:r>
      <w:r w:rsidRPr="008130BD">
        <w:rPr>
          <w:rFonts w:ascii="Times New Roman" w:eastAsia="PMingLiU" w:hAnsi="Times New Roman"/>
          <w:szCs w:val="22"/>
          <w:lang w:val="en-AU" w:eastAsia="zh-TW"/>
        </w:rPr>
        <w:t>infusion, followed by, every 3 weeks, a 420 mg dose administered over 30-60 min.</w:t>
      </w:r>
    </w:p>
    <w:p w:rsidR="00F930CD" w:rsidRPr="008130BD" w:rsidRDefault="00F930CD" w:rsidP="00F930CD">
      <w:pPr>
        <w:pStyle w:val="Paragraph"/>
        <w:spacing w:after="120" w:line="240" w:lineRule="auto"/>
        <w:jc w:val="both"/>
        <w:rPr>
          <w:rFonts w:ascii="Times New Roman" w:eastAsia="PMingLiU" w:hAnsi="Times New Roman"/>
          <w:lang w:val="en-AU" w:eastAsia="zh-TW"/>
        </w:rPr>
      </w:pPr>
      <w:r w:rsidRPr="00717FA5">
        <w:rPr>
          <w:rFonts w:ascii="Times New Roman" w:eastAsia="PMingLiU" w:hAnsi="Times New Roman"/>
          <w:lang w:val="en-AU" w:eastAsia="zh-TW"/>
        </w:rPr>
        <w:t xml:space="preserve">When </w:t>
      </w:r>
      <w:proofErr w:type="spellStart"/>
      <w:r w:rsidR="003F2EEC">
        <w:rPr>
          <w:rFonts w:ascii="Times New Roman" w:hAnsi="Times New Roman"/>
          <w:color w:val="000000"/>
          <w:lang w:val="en-US"/>
        </w:rPr>
        <w:t>trastuzumab</w:t>
      </w:r>
      <w:proofErr w:type="spellEnd"/>
      <w:r w:rsidR="003F2EEC" w:rsidRPr="00717FA5">
        <w:rPr>
          <w:rFonts w:ascii="Times New Roman" w:eastAsia="PMingLiU" w:hAnsi="Times New Roman"/>
          <w:lang w:val="en-AU" w:eastAsia="zh-TW"/>
        </w:rPr>
        <w:t xml:space="preserve"> </w:t>
      </w:r>
      <w:r w:rsidRPr="00717FA5">
        <w:rPr>
          <w:rFonts w:ascii="Times New Roman" w:eastAsia="PMingLiU" w:hAnsi="Times New Roman"/>
          <w:lang w:val="en-AU" w:eastAsia="zh-TW"/>
        </w:rPr>
        <w:t xml:space="preserve">is administered with </w:t>
      </w:r>
      <w:r w:rsidR="00123310">
        <w:rPr>
          <w:rFonts w:ascii="Times New Roman" w:eastAsia="PMingLiU" w:hAnsi="Times New Roman"/>
          <w:szCs w:val="22"/>
          <w:lang w:val="en-AU" w:eastAsia="zh-TW"/>
        </w:rPr>
        <w:t>PERJETA</w:t>
      </w:r>
      <w:r w:rsidRPr="008130BD">
        <w:rPr>
          <w:rFonts w:ascii="Times New Roman" w:eastAsia="PMingLiU" w:hAnsi="Times New Roman"/>
          <w:szCs w:val="22"/>
          <w:lang w:val="en-AU" w:eastAsia="zh-TW"/>
        </w:rPr>
        <w:t>,</w:t>
      </w:r>
      <w:r w:rsidRPr="00717FA5">
        <w:rPr>
          <w:rFonts w:ascii="Times New Roman" w:eastAsia="PMingLiU" w:hAnsi="Times New Roman"/>
          <w:lang w:val="en-AU" w:eastAsia="zh-TW"/>
        </w:rPr>
        <w:t xml:space="preserve"> the recommendation is to follow a 3-weekly schedule</w:t>
      </w:r>
      <w:r w:rsidRPr="00FB36B9">
        <w:rPr>
          <w:rFonts w:ascii="Times New Roman" w:eastAsia="PMingLiU" w:hAnsi="Times New Roman"/>
          <w:lang w:val="en-AU" w:eastAsia="zh-TW"/>
        </w:rPr>
        <w:t>, administered as an IV infusion</w:t>
      </w:r>
      <w:r w:rsidRPr="00717FA5">
        <w:rPr>
          <w:rFonts w:ascii="Times New Roman" w:eastAsia="PMingLiU" w:hAnsi="Times New Roman"/>
          <w:lang w:val="en-AU" w:eastAsia="zh-TW"/>
        </w:rPr>
        <w:t>, with an</w:t>
      </w:r>
      <w:r w:rsidR="00820E7A">
        <w:rPr>
          <w:rFonts w:ascii="Times New Roman" w:eastAsia="PMingLiU" w:hAnsi="Times New Roman"/>
          <w:lang w:val="en-AU" w:eastAsia="zh-TW"/>
        </w:rPr>
        <w:t xml:space="preserve"> </w:t>
      </w:r>
      <w:r w:rsidR="001C3D3E">
        <w:rPr>
          <w:rFonts w:ascii="Times New Roman" w:eastAsia="PMingLiU" w:hAnsi="Times New Roman"/>
          <w:lang w:val="en-AU" w:eastAsia="zh-TW"/>
        </w:rPr>
        <w:t xml:space="preserve">initial </w:t>
      </w:r>
      <w:proofErr w:type="spellStart"/>
      <w:r w:rsidR="003F2EEC">
        <w:rPr>
          <w:rFonts w:ascii="Times New Roman" w:hAnsi="Times New Roman"/>
          <w:color w:val="000000"/>
          <w:lang w:val="en-US"/>
        </w:rPr>
        <w:t>trastuzumab</w:t>
      </w:r>
      <w:proofErr w:type="spellEnd"/>
      <w:r w:rsidR="003F2EEC" w:rsidRPr="00717FA5">
        <w:rPr>
          <w:rFonts w:ascii="Times New Roman" w:eastAsia="PMingLiU" w:hAnsi="Times New Roman"/>
          <w:lang w:val="en-AU" w:eastAsia="zh-TW"/>
        </w:rPr>
        <w:t xml:space="preserve"> </w:t>
      </w:r>
      <w:r w:rsidRPr="00717FA5">
        <w:rPr>
          <w:rFonts w:ascii="Times New Roman" w:eastAsia="PMingLiU" w:hAnsi="Times New Roman"/>
          <w:lang w:val="en-AU" w:eastAsia="zh-TW"/>
        </w:rPr>
        <w:t>dose of 8 mg/kg followed by every 3 weeks, a dose of 6 mg/kg.</w:t>
      </w:r>
    </w:p>
    <w:p w:rsidR="00F930CD" w:rsidRDefault="00F930CD" w:rsidP="00F930CD">
      <w:pPr>
        <w:pStyle w:val="Paragraph"/>
        <w:spacing w:after="120" w:line="240" w:lineRule="auto"/>
        <w:jc w:val="both"/>
        <w:rPr>
          <w:rFonts w:ascii="Times New Roman" w:eastAsia="PMingLiU" w:hAnsi="Times New Roman"/>
          <w:lang w:val="en-AU" w:eastAsia="zh-TW"/>
        </w:rPr>
      </w:pPr>
      <w:r w:rsidRPr="00717FA5">
        <w:rPr>
          <w:rFonts w:ascii="Times New Roman" w:eastAsia="PMingLiU" w:hAnsi="Times New Roman"/>
          <w:lang w:val="en-AU" w:eastAsia="zh-TW"/>
        </w:rPr>
        <w:t xml:space="preserve">When docetaxel is administered with </w:t>
      </w:r>
      <w:r w:rsidR="00123310">
        <w:rPr>
          <w:rFonts w:ascii="Times New Roman" w:eastAsia="PMingLiU" w:hAnsi="Times New Roman"/>
          <w:szCs w:val="22"/>
          <w:lang w:val="en-AU" w:eastAsia="zh-TW"/>
        </w:rPr>
        <w:t>PERJETA</w:t>
      </w:r>
      <w:r w:rsidRPr="008130BD">
        <w:rPr>
          <w:rFonts w:ascii="Times New Roman" w:eastAsia="PMingLiU" w:hAnsi="Times New Roman"/>
          <w:szCs w:val="22"/>
          <w:lang w:val="en-AU" w:eastAsia="zh-TW"/>
        </w:rPr>
        <w:t>,</w:t>
      </w:r>
      <w:r w:rsidRPr="00717FA5">
        <w:rPr>
          <w:rFonts w:ascii="Times New Roman" w:eastAsia="PMingLiU" w:hAnsi="Times New Roman"/>
          <w:lang w:val="en-AU" w:eastAsia="zh-TW"/>
        </w:rPr>
        <w:t xml:space="preserve"> the recommended initial </w:t>
      </w:r>
      <w:r w:rsidR="00820E7A">
        <w:rPr>
          <w:rFonts w:ascii="Times New Roman" w:eastAsia="PMingLiU" w:hAnsi="Times New Roman"/>
          <w:lang w:val="en-AU" w:eastAsia="zh-TW"/>
        </w:rPr>
        <w:t xml:space="preserve">docetaxel </w:t>
      </w:r>
      <w:r w:rsidRPr="00717FA5">
        <w:rPr>
          <w:rFonts w:ascii="Times New Roman" w:eastAsia="PMingLiU" w:hAnsi="Times New Roman"/>
          <w:lang w:val="en-AU" w:eastAsia="zh-TW"/>
        </w:rPr>
        <w:t>dose is 75 mg/m</w:t>
      </w:r>
      <w:r w:rsidRPr="00571EB5">
        <w:rPr>
          <w:rFonts w:ascii="Times New Roman" w:eastAsia="PMingLiU" w:hAnsi="Times New Roman"/>
          <w:vertAlign w:val="superscript"/>
          <w:lang w:val="en-AU" w:eastAsia="zh-TW"/>
        </w:rPr>
        <w:t>2</w:t>
      </w:r>
      <w:r w:rsidRPr="00E57B1F">
        <w:rPr>
          <w:rFonts w:ascii="Times New Roman" w:eastAsia="PMingLiU" w:hAnsi="Times New Roman"/>
          <w:lang w:val="en-AU" w:eastAsia="zh-TW"/>
        </w:rPr>
        <w:t xml:space="preserve">. The dose </w:t>
      </w:r>
      <w:r w:rsidR="00820E7A">
        <w:rPr>
          <w:rFonts w:ascii="Times New Roman" w:eastAsia="PMingLiU" w:hAnsi="Times New Roman"/>
          <w:lang w:val="en-AU" w:eastAsia="zh-TW"/>
        </w:rPr>
        <w:t xml:space="preserve">of docetaxel </w:t>
      </w:r>
      <w:r w:rsidRPr="00E57B1F">
        <w:rPr>
          <w:rFonts w:ascii="Times New Roman" w:eastAsia="PMingLiU" w:hAnsi="Times New Roman"/>
          <w:lang w:val="en-AU" w:eastAsia="zh-TW"/>
        </w:rPr>
        <w:t>may be escalated to 100 mg/m</w:t>
      </w:r>
      <w:r w:rsidRPr="00E57B1F">
        <w:rPr>
          <w:rFonts w:ascii="Times New Roman" w:eastAsia="PMingLiU" w:hAnsi="Times New Roman"/>
          <w:vertAlign w:val="superscript"/>
          <w:lang w:val="en-AU" w:eastAsia="zh-TW"/>
        </w:rPr>
        <w:t>2</w:t>
      </w:r>
      <w:r w:rsidRPr="002708E1">
        <w:rPr>
          <w:rFonts w:ascii="Times New Roman" w:eastAsia="PMingLiU" w:hAnsi="Times New Roman"/>
          <w:lang w:val="en-AU" w:eastAsia="zh-TW"/>
        </w:rPr>
        <w:t xml:space="preserve"> if the initial dose is well tolerated.</w:t>
      </w:r>
    </w:p>
    <w:p w:rsidR="00345EA1" w:rsidRDefault="00F9658B" w:rsidP="00F930CD">
      <w:pPr>
        <w:pStyle w:val="Paragraph"/>
        <w:spacing w:after="120" w:line="240" w:lineRule="auto"/>
        <w:jc w:val="both"/>
        <w:rPr>
          <w:rFonts w:ascii="Times New Roman" w:eastAsia="PMingLiU" w:hAnsi="Times New Roman"/>
          <w:lang w:val="en-AU" w:eastAsia="zh-TW"/>
        </w:rPr>
      </w:pPr>
      <w:r w:rsidRPr="00F9658B">
        <w:rPr>
          <w:rFonts w:ascii="Times New Roman" w:eastAsia="PMingLiU" w:hAnsi="Times New Roman"/>
          <w:lang w:val="en-AU" w:eastAsia="zh-TW"/>
        </w:rPr>
        <w:t>The medicin</w:t>
      </w:r>
      <w:r w:rsidR="00E47271">
        <w:rPr>
          <w:rFonts w:ascii="Times New Roman" w:eastAsia="PMingLiU" w:hAnsi="Times New Roman"/>
          <w:lang w:val="en-AU" w:eastAsia="zh-TW"/>
        </w:rPr>
        <w:t>al</w:t>
      </w:r>
      <w:r w:rsidR="00345EA1">
        <w:rPr>
          <w:rFonts w:ascii="Times New Roman" w:eastAsia="PMingLiU" w:hAnsi="Times New Roman"/>
          <w:lang w:val="en-AU" w:eastAsia="zh-TW"/>
        </w:rPr>
        <w:t xml:space="preserve"> </w:t>
      </w:r>
      <w:r w:rsidRPr="00F9658B">
        <w:rPr>
          <w:rFonts w:ascii="Times New Roman" w:eastAsia="PMingLiU" w:hAnsi="Times New Roman"/>
          <w:lang w:val="en-AU" w:eastAsia="zh-TW"/>
        </w:rPr>
        <w:t xml:space="preserve">products should be administered sequentially. </w:t>
      </w:r>
      <w:r w:rsidR="00391B03">
        <w:rPr>
          <w:rFonts w:ascii="Times New Roman" w:eastAsia="PMingLiU" w:hAnsi="Times New Roman"/>
          <w:lang w:val="en-AU" w:eastAsia="zh-TW"/>
        </w:rPr>
        <w:t>PERJETA</w:t>
      </w:r>
      <w:r w:rsidRPr="00F9658B">
        <w:rPr>
          <w:rFonts w:ascii="Times New Roman" w:eastAsia="PMingLiU" w:hAnsi="Times New Roman"/>
          <w:lang w:val="en-AU" w:eastAsia="zh-TW"/>
        </w:rPr>
        <w:t xml:space="preserve"> and </w:t>
      </w:r>
      <w:proofErr w:type="spellStart"/>
      <w:r w:rsidRPr="00F9658B">
        <w:rPr>
          <w:rFonts w:ascii="Times New Roman" w:eastAsia="PMingLiU" w:hAnsi="Times New Roman"/>
          <w:lang w:val="en-AU" w:eastAsia="zh-TW"/>
        </w:rPr>
        <w:t>trastuzumab</w:t>
      </w:r>
      <w:proofErr w:type="spellEnd"/>
      <w:r w:rsidRPr="00F9658B">
        <w:rPr>
          <w:rFonts w:ascii="Times New Roman" w:eastAsia="PMingLiU" w:hAnsi="Times New Roman"/>
          <w:lang w:val="en-AU" w:eastAsia="zh-TW"/>
        </w:rPr>
        <w:t xml:space="preserve"> can be given in any order. When the patient is receiving docetaxel, the docetaxel should be administered after </w:t>
      </w:r>
      <w:r w:rsidR="00391B03">
        <w:rPr>
          <w:rFonts w:ascii="Times New Roman" w:eastAsia="PMingLiU" w:hAnsi="Times New Roman"/>
          <w:lang w:val="en-AU" w:eastAsia="zh-TW"/>
        </w:rPr>
        <w:t>PERJETA</w:t>
      </w:r>
      <w:r w:rsidRPr="00F9658B">
        <w:rPr>
          <w:rFonts w:ascii="Times New Roman" w:eastAsia="PMingLiU" w:hAnsi="Times New Roman"/>
          <w:lang w:val="en-AU" w:eastAsia="zh-TW"/>
        </w:rPr>
        <w:t xml:space="preserve"> and </w:t>
      </w:r>
      <w:proofErr w:type="spellStart"/>
      <w:r w:rsidRPr="00F9658B">
        <w:rPr>
          <w:rFonts w:ascii="Times New Roman" w:eastAsia="PMingLiU" w:hAnsi="Times New Roman"/>
          <w:lang w:val="en-AU" w:eastAsia="zh-TW"/>
        </w:rPr>
        <w:t>trastuzumab</w:t>
      </w:r>
      <w:proofErr w:type="spellEnd"/>
      <w:r w:rsidRPr="00F9658B">
        <w:rPr>
          <w:rFonts w:ascii="Times New Roman" w:eastAsia="PMingLiU" w:hAnsi="Times New Roman"/>
          <w:lang w:val="en-AU" w:eastAsia="zh-TW"/>
        </w:rPr>
        <w:t xml:space="preserve">. </w:t>
      </w:r>
    </w:p>
    <w:p w:rsidR="00F9658B" w:rsidRDefault="00F9658B" w:rsidP="00F930CD">
      <w:pPr>
        <w:pStyle w:val="Paragraph"/>
        <w:spacing w:after="120" w:line="240" w:lineRule="auto"/>
        <w:jc w:val="both"/>
        <w:rPr>
          <w:rFonts w:ascii="Times New Roman" w:eastAsia="PMingLiU" w:hAnsi="Times New Roman"/>
          <w:lang w:val="en-AU" w:eastAsia="zh-TW"/>
        </w:rPr>
      </w:pPr>
      <w:r w:rsidRPr="00F9658B">
        <w:rPr>
          <w:rFonts w:ascii="Times New Roman" w:eastAsia="PMingLiU" w:hAnsi="Times New Roman"/>
          <w:lang w:val="en-AU" w:eastAsia="zh-TW"/>
        </w:rPr>
        <w:t xml:space="preserve">An observation period of 30-60 minutes is recommended after each </w:t>
      </w:r>
      <w:r w:rsidR="00391B03">
        <w:rPr>
          <w:rFonts w:ascii="Times New Roman" w:eastAsia="PMingLiU" w:hAnsi="Times New Roman"/>
          <w:lang w:val="en-AU" w:eastAsia="zh-TW"/>
        </w:rPr>
        <w:t>PERJETA</w:t>
      </w:r>
      <w:r w:rsidRPr="00F9658B">
        <w:rPr>
          <w:rFonts w:ascii="Times New Roman" w:eastAsia="PMingLiU" w:hAnsi="Times New Roman"/>
          <w:lang w:val="en-AU" w:eastAsia="zh-TW"/>
        </w:rPr>
        <w:t xml:space="preserve"> infusion and before commencement of any subsequent infusion of </w:t>
      </w:r>
      <w:proofErr w:type="spellStart"/>
      <w:r>
        <w:rPr>
          <w:rFonts w:ascii="Times New Roman" w:eastAsia="PMingLiU" w:hAnsi="Times New Roman"/>
          <w:lang w:val="en-AU" w:eastAsia="zh-TW"/>
        </w:rPr>
        <w:t>trastuzumab</w:t>
      </w:r>
      <w:proofErr w:type="spellEnd"/>
      <w:r w:rsidRPr="00F9658B">
        <w:rPr>
          <w:rFonts w:ascii="Times New Roman" w:eastAsia="PMingLiU" w:hAnsi="Times New Roman"/>
          <w:lang w:val="en-AU" w:eastAsia="zh-TW"/>
        </w:rPr>
        <w:t xml:space="preserve"> or docetaxel</w:t>
      </w:r>
      <w:r w:rsidR="00EE28B0">
        <w:rPr>
          <w:rFonts w:ascii="Times New Roman" w:eastAsia="PMingLiU" w:hAnsi="Times New Roman"/>
          <w:lang w:val="en-AU" w:eastAsia="zh-TW"/>
        </w:rPr>
        <w:t xml:space="preserve"> </w:t>
      </w:r>
      <w:r w:rsidR="00EE28B0" w:rsidRPr="00EE28B0">
        <w:rPr>
          <w:rFonts w:ascii="Times New Roman" w:eastAsia="PMingLiU" w:hAnsi="Times New Roman"/>
          <w:lang w:val="en-AU" w:eastAsia="zh-TW"/>
        </w:rPr>
        <w:t>(</w:t>
      </w:r>
      <w:r w:rsidR="00EE28B0" w:rsidRPr="00EE28B0">
        <w:rPr>
          <w:rFonts w:ascii="Times New Roman" w:eastAsia="PMingLiU" w:hAnsi="Times New Roman"/>
          <w:i/>
          <w:lang w:val="en-AU" w:eastAsia="zh-TW"/>
        </w:rPr>
        <w:t>see PRECAUTIONS</w:t>
      </w:r>
      <w:r w:rsidR="00EE28B0" w:rsidRPr="00EE28B0">
        <w:rPr>
          <w:rFonts w:ascii="Times New Roman" w:eastAsia="PMingLiU" w:hAnsi="Times New Roman"/>
          <w:lang w:val="en-AU" w:eastAsia="zh-TW"/>
        </w:rPr>
        <w:t>).</w:t>
      </w:r>
    </w:p>
    <w:p w:rsidR="00436382" w:rsidRPr="00DA69BD" w:rsidRDefault="00436382" w:rsidP="00436382">
      <w:pPr>
        <w:pStyle w:val="Heading4"/>
        <w:rPr>
          <w:b w:val="0"/>
          <w:u w:val="single"/>
        </w:rPr>
      </w:pPr>
      <w:r w:rsidRPr="00DA69BD">
        <w:rPr>
          <w:b w:val="0"/>
          <w:u w:val="single"/>
        </w:rPr>
        <w:lastRenderedPageBreak/>
        <w:t>Neoadjuvant Treatment of Breast Cancer</w:t>
      </w:r>
    </w:p>
    <w:p w:rsidR="00E77619" w:rsidRDefault="00C95333" w:rsidP="00436382">
      <w:pPr>
        <w:pStyle w:val="Paragraph"/>
        <w:spacing w:after="120" w:line="240" w:lineRule="auto"/>
        <w:jc w:val="both"/>
        <w:rPr>
          <w:rFonts w:ascii="Times New Roman" w:eastAsia="PMingLiU" w:hAnsi="Times New Roman"/>
          <w:lang w:val="en-AU" w:eastAsia="zh-TW"/>
        </w:rPr>
      </w:pPr>
      <w:r w:rsidRPr="00E77619">
        <w:rPr>
          <w:rFonts w:ascii="Times New Roman" w:hAnsi="Times New Roman"/>
        </w:rPr>
        <w:t>P</w:t>
      </w:r>
      <w:r w:rsidR="00984275" w:rsidRPr="00E77619">
        <w:rPr>
          <w:rFonts w:ascii="Times New Roman" w:hAnsi="Times New Roman"/>
        </w:rPr>
        <w:t>ERJETA</w:t>
      </w:r>
      <w:r w:rsidRPr="00E77619">
        <w:rPr>
          <w:rFonts w:ascii="Times New Roman" w:hAnsi="Times New Roman"/>
        </w:rPr>
        <w:t xml:space="preserve"> should be administered for 3 to 6 cycles in combination with neoadjuvant </w:t>
      </w:r>
      <w:proofErr w:type="spellStart"/>
      <w:r w:rsidRPr="00E77619">
        <w:rPr>
          <w:rFonts w:ascii="Times New Roman" w:hAnsi="Times New Roman"/>
        </w:rPr>
        <w:t>trastuzumab</w:t>
      </w:r>
      <w:proofErr w:type="spellEnd"/>
      <w:r w:rsidRPr="00E77619">
        <w:rPr>
          <w:rFonts w:ascii="Times New Roman" w:hAnsi="Times New Roman"/>
        </w:rPr>
        <w:t xml:space="preserve"> and chemotherapy, as part of a treatment regimen for inflammatory or locally advanced </w:t>
      </w:r>
      <w:r w:rsidR="00AF4407" w:rsidRPr="00E77619">
        <w:rPr>
          <w:rFonts w:ascii="Times New Roman" w:hAnsi="Times New Roman"/>
        </w:rPr>
        <w:t>H</w:t>
      </w:r>
      <w:r w:rsidR="00984275" w:rsidRPr="00E77619">
        <w:rPr>
          <w:rFonts w:ascii="Times New Roman" w:hAnsi="Times New Roman"/>
        </w:rPr>
        <w:t>ER</w:t>
      </w:r>
      <w:r w:rsidR="00AF4407" w:rsidRPr="00E77619">
        <w:rPr>
          <w:rFonts w:ascii="Times New Roman" w:hAnsi="Times New Roman"/>
        </w:rPr>
        <w:t>2</w:t>
      </w:r>
      <w:r w:rsidR="00984275" w:rsidRPr="00E77619">
        <w:rPr>
          <w:rFonts w:ascii="Times New Roman" w:hAnsi="Times New Roman"/>
        </w:rPr>
        <w:t>-positive</w:t>
      </w:r>
      <w:r w:rsidR="00AF4407" w:rsidRPr="00E77619">
        <w:rPr>
          <w:rFonts w:ascii="Times New Roman" w:hAnsi="Times New Roman"/>
        </w:rPr>
        <w:t xml:space="preserve"> </w:t>
      </w:r>
      <w:r w:rsidRPr="00E77619">
        <w:rPr>
          <w:rFonts w:ascii="Times New Roman" w:hAnsi="Times New Roman"/>
        </w:rPr>
        <w:t>breast cancer</w:t>
      </w:r>
      <w:r w:rsidRPr="00E77619">
        <w:t xml:space="preserve">. </w:t>
      </w:r>
    </w:p>
    <w:p w:rsidR="00436382" w:rsidRDefault="00436382" w:rsidP="00436382">
      <w:pPr>
        <w:pStyle w:val="Paragraph"/>
        <w:spacing w:after="120" w:line="240" w:lineRule="auto"/>
        <w:jc w:val="both"/>
        <w:rPr>
          <w:rFonts w:ascii="Times New Roman" w:eastAsia="PMingLiU" w:hAnsi="Times New Roman"/>
          <w:szCs w:val="22"/>
          <w:lang w:val="en-AU" w:eastAsia="zh-TW"/>
        </w:rPr>
      </w:pPr>
      <w:r>
        <w:rPr>
          <w:rFonts w:ascii="Times New Roman" w:eastAsia="PMingLiU" w:hAnsi="Times New Roman"/>
          <w:szCs w:val="22"/>
          <w:lang w:val="en-AU" w:eastAsia="zh-TW"/>
        </w:rPr>
        <w:t>Following surgery, patients should be t</w:t>
      </w:r>
      <w:r w:rsidR="007C0CB9">
        <w:rPr>
          <w:rFonts w:ascii="Times New Roman" w:eastAsia="PMingLiU" w:hAnsi="Times New Roman"/>
          <w:szCs w:val="22"/>
          <w:lang w:val="en-AU" w:eastAsia="zh-TW"/>
        </w:rPr>
        <w:t>r</w:t>
      </w:r>
      <w:r>
        <w:rPr>
          <w:rFonts w:ascii="Times New Roman" w:eastAsia="PMingLiU" w:hAnsi="Times New Roman"/>
          <w:szCs w:val="22"/>
          <w:lang w:val="en-AU" w:eastAsia="zh-TW"/>
        </w:rPr>
        <w:t xml:space="preserve">eated with adjuvant </w:t>
      </w:r>
      <w:proofErr w:type="spellStart"/>
      <w:r>
        <w:rPr>
          <w:rFonts w:ascii="Times New Roman" w:eastAsia="PMingLiU" w:hAnsi="Times New Roman"/>
          <w:szCs w:val="22"/>
          <w:lang w:val="en-AU" w:eastAsia="zh-TW"/>
        </w:rPr>
        <w:t>trastuzumab</w:t>
      </w:r>
      <w:proofErr w:type="spellEnd"/>
      <w:r>
        <w:rPr>
          <w:rFonts w:ascii="Times New Roman" w:eastAsia="PMingLiU" w:hAnsi="Times New Roman"/>
          <w:szCs w:val="22"/>
          <w:lang w:val="en-AU" w:eastAsia="zh-TW"/>
        </w:rPr>
        <w:t xml:space="preserve"> to complete 1 year of treatment.</w:t>
      </w:r>
    </w:p>
    <w:p w:rsidR="00D16265" w:rsidRPr="00D16265" w:rsidRDefault="00D16265" w:rsidP="00436382">
      <w:pPr>
        <w:pStyle w:val="Paragraph"/>
        <w:spacing w:after="120" w:line="240" w:lineRule="auto"/>
        <w:jc w:val="both"/>
        <w:rPr>
          <w:rFonts w:ascii="Times New Roman" w:eastAsia="PMingLiU" w:hAnsi="Times New Roman"/>
          <w:lang w:val="en-AU" w:eastAsia="zh-TW"/>
        </w:rPr>
      </w:pPr>
      <w:r w:rsidRPr="00C55B0A">
        <w:rPr>
          <w:rFonts w:ascii="Times New Roman" w:eastAsia="PMingLiU" w:hAnsi="Times New Roman"/>
          <w:lang w:val="en-AU" w:eastAsia="zh-TW"/>
        </w:rPr>
        <w:t>The safety of P</w:t>
      </w:r>
      <w:r>
        <w:rPr>
          <w:rFonts w:ascii="Times New Roman" w:eastAsia="PMingLiU" w:hAnsi="Times New Roman"/>
          <w:lang w:val="en-AU" w:eastAsia="zh-TW"/>
        </w:rPr>
        <w:t>ERJETA</w:t>
      </w:r>
      <w:r w:rsidRPr="00C55B0A">
        <w:rPr>
          <w:rFonts w:ascii="Times New Roman" w:eastAsia="PMingLiU" w:hAnsi="Times New Roman"/>
          <w:lang w:val="en-AU" w:eastAsia="zh-TW"/>
        </w:rPr>
        <w:t xml:space="preserve"> as part of a doxorubicin-containing regimen has not been established.</w:t>
      </w:r>
    </w:p>
    <w:p w:rsidR="00436382" w:rsidRDefault="00436382" w:rsidP="00436382">
      <w:pPr>
        <w:pStyle w:val="Paragraph"/>
        <w:spacing w:after="120" w:line="240" w:lineRule="auto"/>
        <w:jc w:val="both"/>
        <w:rPr>
          <w:rFonts w:ascii="Times New Roman" w:eastAsia="PMingLiU" w:hAnsi="Times New Roman"/>
          <w:szCs w:val="22"/>
          <w:lang w:val="en-AU" w:eastAsia="zh-TW"/>
        </w:rPr>
      </w:pPr>
      <w:r w:rsidRPr="00DE3CDE">
        <w:rPr>
          <w:rFonts w:ascii="Times New Roman" w:eastAsia="PMingLiU" w:hAnsi="Times New Roman"/>
          <w:szCs w:val="22"/>
          <w:lang w:val="en-AU" w:eastAsia="zh-TW"/>
        </w:rPr>
        <w:t xml:space="preserve">There is insufficient evidence to recommend concomitant administration of </w:t>
      </w:r>
      <w:r>
        <w:rPr>
          <w:rFonts w:ascii="Times New Roman" w:eastAsia="PMingLiU" w:hAnsi="Times New Roman"/>
          <w:szCs w:val="22"/>
          <w:lang w:val="en-AU" w:eastAsia="zh-TW"/>
        </w:rPr>
        <w:t xml:space="preserve">an </w:t>
      </w:r>
      <w:r w:rsidRPr="00DE3CDE">
        <w:rPr>
          <w:rFonts w:ascii="Times New Roman" w:eastAsia="PMingLiU" w:hAnsi="Times New Roman"/>
          <w:szCs w:val="22"/>
          <w:lang w:val="en-AU" w:eastAsia="zh-TW"/>
        </w:rPr>
        <w:t xml:space="preserve">anthracycline </w:t>
      </w:r>
      <w:r>
        <w:rPr>
          <w:rFonts w:ascii="Times New Roman" w:eastAsia="PMingLiU" w:hAnsi="Times New Roman"/>
          <w:szCs w:val="22"/>
          <w:lang w:val="en-AU" w:eastAsia="zh-TW"/>
        </w:rPr>
        <w:t xml:space="preserve">with </w:t>
      </w:r>
      <w:r w:rsidRPr="00DE3CDE">
        <w:rPr>
          <w:rFonts w:ascii="Times New Roman" w:eastAsia="PMingLiU" w:hAnsi="Times New Roman"/>
          <w:szCs w:val="22"/>
          <w:lang w:val="en-AU" w:eastAsia="zh-TW"/>
        </w:rPr>
        <w:t>P</w:t>
      </w:r>
      <w:r>
        <w:rPr>
          <w:rFonts w:ascii="Times New Roman" w:eastAsia="PMingLiU" w:hAnsi="Times New Roman"/>
          <w:szCs w:val="22"/>
          <w:lang w:val="en-AU" w:eastAsia="zh-TW"/>
        </w:rPr>
        <w:t>ERJETA</w:t>
      </w:r>
      <w:r w:rsidRPr="00DE3CDE">
        <w:rPr>
          <w:rFonts w:ascii="Times New Roman" w:eastAsia="PMingLiU" w:hAnsi="Times New Roman"/>
          <w:szCs w:val="22"/>
          <w:lang w:val="en-AU" w:eastAsia="zh-TW"/>
        </w:rPr>
        <w:t xml:space="preserve">.  </w:t>
      </w:r>
    </w:p>
    <w:p w:rsidR="00436382" w:rsidRDefault="00436382" w:rsidP="00F930CD">
      <w:pPr>
        <w:pStyle w:val="Paragraph"/>
        <w:spacing w:after="120" w:line="240" w:lineRule="auto"/>
        <w:jc w:val="both"/>
        <w:rPr>
          <w:rFonts w:ascii="Times New Roman" w:eastAsia="PMingLiU" w:hAnsi="Times New Roman"/>
          <w:b/>
          <w:lang w:val="en-AU" w:eastAsia="zh-TW"/>
        </w:rPr>
      </w:pPr>
      <w:r w:rsidRPr="00436382">
        <w:rPr>
          <w:rFonts w:ascii="Times New Roman" w:eastAsia="PMingLiU" w:hAnsi="Times New Roman"/>
          <w:b/>
          <w:lang w:val="en-AU" w:eastAsia="zh-TW"/>
        </w:rPr>
        <w:t>Duration of treatment</w:t>
      </w:r>
    </w:p>
    <w:p w:rsidR="00436382" w:rsidRPr="00436382" w:rsidRDefault="00436382" w:rsidP="00436382">
      <w:pPr>
        <w:pStyle w:val="Paragraph"/>
        <w:spacing w:after="120" w:line="240" w:lineRule="auto"/>
        <w:jc w:val="both"/>
        <w:rPr>
          <w:rFonts w:ascii="Times New Roman" w:eastAsia="PMingLiU" w:hAnsi="Times New Roman"/>
          <w:szCs w:val="22"/>
          <w:u w:val="single"/>
          <w:lang w:val="en-AU" w:eastAsia="zh-TW"/>
        </w:rPr>
      </w:pPr>
      <w:r w:rsidRPr="00436382">
        <w:rPr>
          <w:rFonts w:ascii="Times New Roman" w:eastAsia="PMingLiU" w:hAnsi="Times New Roman"/>
          <w:szCs w:val="22"/>
          <w:u w:val="single"/>
          <w:lang w:val="en-AU" w:eastAsia="zh-TW"/>
        </w:rPr>
        <w:t xml:space="preserve">Metastatic Breast </w:t>
      </w:r>
      <w:r>
        <w:rPr>
          <w:rFonts w:ascii="Times New Roman" w:eastAsia="PMingLiU" w:hAnsi="Times New Roman"/>
          <w:szCs w:val="22"/>
          <w:u w:val="single"/>
          <w:lang w:val="en-AU" w:eastAsia="zh-TW"/>
        </w:rPr>
        <w:t>C</w:t>
      </w:r>
      <w:r w:rsidRPr="00436382">
        <w:rPr>
          <w:rFonts w:ascii="Times New Roman" w:eastAsia="PMingLiU" w:hAnsi="Times New Roman"/>
          <w:szCs w:val="22"/>
          <w:u w:val="single"/>
          <w:lang w:val="en-AU" w:eastAsia="zh-TW"/>
        </w:rPr>
        <w:t>ancer</w:t>
      </w:r>
    </w:p>
    <w:p w:rsidR="00F930CD" w:rsidRDefault="00F930CD" w:rsidP="00F930CD">
      <w:pPr>
        <w:pStyle w:val="Paragraph"/>
        <w:spacing w:after="120" w:line="240" w:lineRule="auto"/>
        <w:jc w:val="both"/>
        <w:rPr>
          <w:rFonts w:ascii="Times New Roman" w:eastAsia="PMingLiU" w:hAnsi="Times New Roman"/>
          <w:szCs w:val="22"/>
          <w:lang w:val="en-AU" w:eastAsia="zh-TW"/>
        </w:rPr>
      </w:pPr>
      <w:r w:rsidRPr="008130BD">
        <w:rPr>
          <w:rFonts w:ascii="Times New Roman" w:eastAsia="PMingLiU" w:hAnsi="Times New Roman"/>
          <w:szCs w:val="22"/>
          <w:lang w:val="en-AU" w:eastAsia="zh-TW"/>
        </w:rPr>
        <w:t xml:space="preserve">It is recommended that patients are treated with </w:t>
      </w:r>
      <w:r w:rsidR="00123310">
        <w:rPr>
          <w:rFonts w:ascii="Times New Roman" w:eastAsia="PMingLiU" w:hAnsi="Times New Roman"/>
          <w:szCs w:val="22"/>
          <w:lang w:val="en-AU" w:eastAsia="zh-TW"/>
        </w:rPr>
        <w:t>PERJETA</w:t>
      </w:r>
      <w:r w:rsidRPr="008130BD">
        <w:rPr>
          <w:rFonts w:ascii="Times New Roman" w:eastAsia="PMingLiU" w:hAnsi="Times New Roman"/>
          <w:szCs w:val="22"/>
          <w:lang w:val="en-AU" w:eastAsia="zh-TW"/>
        </w:rPr>
        <w:t xml:space="preserve"> until disease progression or unmanageable toxicity.</w:t>
      </w:r>
    </w:p>
    <w:p w:rsidR="00436382" w:rsidRPr="00436382" w:rsidRDefault="00436382" w:rsidP="00F930CD">
      <w:pPr>
        <w:pStyle w:val="Paragraph"/>
        <w:spacing w:after="120" w:line="240" w:lineRule="auto"/>
        <w:jc w:val="both"/>
        <w:rPr>
          <w:rFonts w:ascii="Times New Roman" w:eastAsia="PMingLiU" w:hAnsi="Times New Roman"/>
          <w:szCs w:val="22"/>
          <w:u w:val="single"/>
          <w:lang w:val="en-AU" w:eastAsia="zh-TW"/>
        </w:rPr>
      </w:pPr>
      <w:r w:rsidRPr="00436382">
        <w:rPr>
          <w:rFonts w:ascii="Times New Roman" w:eastAsia="PMingLiU" w:hAnsi="Times New Roman"/>
          <w:szCs w:val="22"/>
          <w:u w:val="single"/>
          <w:lang w:val="en-AU" w:eastAsia="zh-TW"/>
        </w:rPr>
        <w:t xml:space="preserve">Neoadjuvant Treatment of Breast </w:t>
      </w:r>
      <w:r>
        <w:rPr>
          <w:rFonts w:ascii="Times New Roman" w:eastAsia="PMingLiU" w:hAnsi="Times New Roman"/>
          <w:szCs w:val="22"/>
          <w:u w:val="single"/>
          <w:lang w:val="en-AU" w:eastAsia="zh-TW"/>
        </w:rPr>
        <w:t>C</w:t>
      </w:r>
      <w:r w:rsidRPr="00436382">
        <w:rPr>
          <w:rFonts w:ascii="Times New Roman" w:eastAsia="PMingLiU" w:hAnsi="Times New Roman"/>
          <w:szCs w:val="22"/>
          <w:u w:val="single"/>
          <w:lang w:val="en-AU" w:eastAsia="zh-TW"/>
        </w:rPr>
        <w:t>ancer</w:t>
      </w:r>
    </w:p>
    <w:p w:rsidR="00436382" w:rsidRDefault="00436382" w:rsidP="00436382">
      <w:pPr>
        <w:pStyle w:val="Paragraph"/>
        <w:spacing w:after="120" w:line="240" w:lineRule="auto"/>
        <w:jc w:val="both"/>
        <w:rPr>
          <w:rFonts w:ascii="Times New Roman" w:eastAsia="PMingLiU" w:hAnsi="Times New Roman"/>
          <w:szCs w:val="22"/>
          <w:lang w:val="en-AU" w:eastAsia="zh-TW"/>
        </w:rPr>
      </w:pPr>
      <w:r>
        <w:rPr>
          <w:rFonts w:ascii="Times New Roman" w:eastAsia="PMingLiU" w:hAnsi="Times New Roman"/>
          <w:szCs w:val="22"/>
          <w:lang w:val="en-AU" w:eastAsia="zh-TW"/>
        </w:rPr>
        <w:t>It is recommended that patients are treated with PERJETA for three to six cycles depending on the regimen chosen (see CLINICAL TRIALS).</w:t>
      </w:r>
    </w:p>
    <w:p w:rsidR="00D16265" w:rsidRPr="00D16265" w:rsidRDefault="00D16265" w:rsidP="009244B2">
      <w:pPr>
        <w:pStyle w:val="Paragraph"/>
        <w:spacing w:line="240" w:lineRule="auto"/>
        <w:jc w:val="both"/>
        <w:rPr>
          <w:rFonts w:ascii="Times New Roman" w:eastAsia="PMingLiU" w:hAnsi="Times New Roman"/>
          <w:lang w:val="en-AU" w:eastAsia="zh-TW"/>
        </w:rPr>
      </w:pPr>
      <w:r w:rsidRPr="00C55B0A">
        <w:rPr>
          <w:rFonts w:ascii="Times New Roman" w:eastAsia="PMingLiU" w:hAnsi="Times New Roman"/>
          <w:lang w:val="en-AU" w:eastAsia="zh-TW"/>
        </w:rPr>
        <w:t>The safety of P</w:t>
      </w:r>
      <w:r>
        <w:rPr>
          <w:rFonts w:ascii="Times New Roman" w:eastAsia="PMingLiU" w:hAnsi="Times New Roman"/>
          <w:lang w:val="en-AU" w:eastAsia="zh-TW"/>
        </w:rPr>
        <w:t>ERJETA</w:t>
      </w:r>
      <w:r w:rsidRPr="00C55B0A">
        <w:rPr>
          <w:rFonts w:ascii="Times New Roman" w:eastAsia="PMingLiU" w:hAnsi="Times New Roman"/>
          <w:lang w:val="en-AU" w:eastAsia="zh-TW"/>
        </w:rPr>
        <w:t xml:space="preserve"> administered for greater than 6 cycles for the neoadjuvant treatment of breast cancer has not been established.</w:t>
      </w:r>
    </w:p>
    <w:p w:rsidR="00CB1612" w:rsidRPr="008130BD" w:rsidRDefault="00CB1612" w:rsidP="007E03C2">
      <w:pPr>
        <w:pStyle w:val="Heading3"/>
      </w:pPr>
      <w:r w:rsidRPr="002708E1">
        <w:t>Dose modifications</w:t>
      </w:r>
    </w:p>
    <w:p w:rsidR="00F06ADE" w:rsidRPr="008130BD" w:rsidRDefault="00123310" w:rsidP="00F06ADE">
      <w:pPr>
        <w:pStyle w:val="Paragraph"/>
        <w:spacing w:after="120" w:line="240" w:lineRule="auto"/>
        <w:jc w:val="both"/>
        <w:rPr>
          <w:rFonts w:ascii="Times New Roman" w:hAnsi="Times New Roman"/>
          <w:color w:val="000000"/>
        </w:rPr>
      </w:pPr>
      <w:r>
        <w:rPr>
          <w:rFonts w:ascii="Times New Roman" w:hAnsi="Times New Roman"/>
          <w:color w:val="000000"/>
        </w:rPr>
        <w:t>PERJETA</w:t>
      </w:r>
      <w:r w:rsidR="00F06ADE" w:rsidRPr="002708E1">
        <w:rPr>
          <w:rFonts w:ascii="Times New Roman" w:hAnsi="Times New Roman"/>
          <w:color w:val="000000"/>
        </w:rPr>
        <w:t xml:space="preserve"> should be discontinued if </w:t>
      </w:r>
      <w:proofErr w:type="spellStart"/>
      <w:r w:rsidR="003F2EEC">
        <w:rPr>
          <w:rFonts w:ascii="Times New Roman" w:hAnsi="Times New Roman"/>
          <w:color w:val="000000"/>
          <w:lang w:val="en-US"/>
        </w:rPr>
        <w:t>trastuzumab</w:t>
      </w:r>
      <w:proofErr w:type="spellEnd"/>
      <w:r w:rsidR="003F2EEC" w:rsidRPr="002708E1">
        <w:rPr>
          <w:rFonts w:ascii="Times New Roman" w:hAnsi="Times New Roman"/>
          <w:color w:val="000000"/>
        </w:rPr>
        <w:t xml:space="preserve"> </w:t>
      </w:r>
      <w:r w:rsidR="00F06ADE" w:rsidRPr="002708E1">
        <w:rPr>
          <w:rFonts w:ascii="Times New Roman" w:hAnsi="Times New Roman"/>
          <w:color w:val="000000"/>
        </w:rPr>
        <w:t>treatment is discontinued.</w:t>
      </w:r>
    </w:p>
    <w:p w:rsidR="00F06ADE" w:rsidRPr="008130BD" w:rsidRDefault="00F06ADE" w:rsidP="00F06ADE">
      <w:pPr>
        <w:pStyle w:val="Paragraph"/>
        <w:spacing w:after="120" w:line="240" w:lineRule="auto"/>
        <w:jc w:val="both"/>
        <w:rPr>
          <w:rFonts w:ascii="Times New Roman" w:hAnsi="Times New Roman"/>
          <w:color w:val="000000"/>
        </w:rPr>
      </w:pPr>
      <w:r w:rsidRPr="002708E1">
        <w:rPr>
          <w:rFonts w:ascii="Times New Roman" w:hAnsi="Times New Roman"/>
          <w:color w:val="000000"/>
        </w:rPr>
        <w:t xml:space="preserve">If docetaxel is discontinued, treatment with </w:t>
      </w:r>
      <w:r w:rsidR="00123310">
        <w:rPr>
          <w:rFonts w:ascii="Times New Roman" w:hAnsi="Times New Roman"/>
          <w:color w:val="000000"/>
        </w:rPr>
        <w:t>PERJETA</w:t>
      </w:r>
      <w:r w:rsidRPr="002708E1">
        <w:rPr>
          <w:rFonts w:ascii="Times New Roman" w:hAnsi="Times New Roman"/>
          <w:color w:val="000000"/>
        </w:rPr>
        <w:t xml:space="preserve"> and </w:t>
      </w:r>
      <w:proofErr w:type="spellStart"/>
      <w:r w:rsidR="003F2EEC">
        <w:rPr>
          <w:rFonts w:ascii="Times New Roman" w:hAnsi="Times New Roman"/>
          <w:color w:val="000000"/>
          <w:lang w:val="en-US"/>
        </w:rPr>
        <w:t>trastuzumab</w:t>
      </w:r>
      <w:proofErr w:type="spellEnd"/>
      <w:r w:rsidR="003F2EEC" w:rsidRPr="002708E1">
        <w:rPr>
          <w:rFonts w:ascii="Times New Roman" w:hAnsi="Times New Roman"/>
          <w:color w:val="000000"/>
        </w:rPr>
        <w:t xml:space="preserve"> </w:t>
      </w:r>
      <w:r w:rsidRPr="002708E1">
        <w:rPr>
          <w:rFonts w:ascii="Times New Roman" w:hAnsi="Times New Roman"/>
          <w:color w:val="000000"/>
        </w:rPr>
        <w:t>may continue until disease progression or unmanageable toxicity</w:t>
      </w:r>
      <w:r w:rsidR="007175D6">
        <w:rPr>
          <w:rFonts w:ascii="Times New Roman" w:hAnsi="Times New Roman"/>
          <w:color w:val="000000"/>
        </w:rPr>
        <w:t xml:space="preserve"> in the metastatic setting</w:t>
      </w:r>
      <w:r w:rsidRPr="002708E1">
        <w:rPr>
          <w:rFonts w:ascii="Times New Roman" w:hAnsi="Times New Roman"/>
          <w:color w:val="000000"/>
        </w:rPr>
        <w:t>.</w:t>
      </w:r>
    </w:p>
    <w:p w:rsidR="00F06ADE" w:rsidRPr="008130BD" w:rsidRDefault="00F06ADE" w:rsidP="00F06ADE">
      <w:pPr>
        <w:pStyle w:val="Paragraph"/>
        <w:spacing w:after="120" w:line="240" w:lineRule="auto"/>
        <w:jc w:val="both"/>
        <w:rPr>
          <w:rFonts w:ascii="Times New Roman" w:hAnsi="Times New Roman"/>
          <w:color w:val="000000"/>
        </w:rPr>
      </w:pPr>
      <w:r w:rsidRPr="002708E1">
        <w:rPr>
          <w:rFonts w:ascii="Times New Roman" w:hAnsi="Times New Roman"/>
          <w:color w:val="000000"/>
        </w:rPr>
        <w:t xml:space="preserve">Dose reductions are not recommended for </w:t>
      </w:r>
      <w:r w:rsidR="00123310">
        <w:rPr>
          <w:rFonts w:ascii="Times New Roman" w:hAnsi="Times New Roman"/>
          <w:color w:val="000000"/>
        </w:rPr>
        <w:t>PERJETA</w:t>
      </w:r>
      <w:r w:rsidRPr="002708E1">
        <w:rPr>
          <w:rFonts w:ascii="Times New Roman" w:hAnsi="Times New Roman"/>
          <w:color w:val="000000"/>
        </w:rPr>
        <w:t xml:space="preserve"> </w:t>
      </w:r>
    </w:p>
    <w:p w:rsidR="00F06ADE" w:rsidRPr="008130BD" w:rsidRDefault="00DF4AD3" w:rsidP="00F06ADE">
      <w:pPr>
        <w:pStyle w:val="Paragraph"/>
        <w:spacing w:after="120" w:line="240" w:lineRule="auto"/>
        <w:jc w:val="both"/>
        <w:rPr>
          <w:rFonts w:ascii="Times New Roman" w:hAnsi="Times New Roman"/>
          <w:color w:val="000000"/>
        </w:rPr>
      </w:pPr>
      <w:proofErr w:type="spellStart"/>
      <w:r>
        <w:rPr>
          <w:rFonts w:ascii="Times New Roman" w:hAnsi="Times New Roman"/>
          <w:color w:val="000000"/>
          <w:lang w:val="en-US"/>
        </w:rPr>
        <w:t>T</w:t>
      </w:r>
      <w:r w:rsidR="003F2EEC">
        <w:rPr>
          <w:rFonts w:ascii="Times New Roman" w:hAnsi="Times New Roman"/>
          <w:color w:val="000000"/>
          <w:lang w:val="en-US"/>
        </w:rPr>
        <w:t>rastuzumab</w:t>
      </w:r>
      <w:proofErr w:type="spellEnd"/>
      <w:r w:rsidR="003F2EEC" w:rsidRPr="002708E1">
        <w:rPr>
          <w:rFonts w:ascii="Times New Roman" w:hAnsi="Times New Roman"/>
          <w:color w:val="000000"/>
        </w:rPr>
        <w:t xml:space="preserve"> </w:t>
      </w:r>
      <w:r w:rsidR="00F06ADE" w:rsidRPr="002708E1">
        <w:rPr>
          <w:rFonts w:ascii="Times New Roman" w:hAnsi="Times New Roman"/>
          <w:color w:val="000000"/>
        </w:rPr>
        <w:t xml:space="preserve">dose reductions are not recommended, see </w:t>
      </w:r>
      <w:proofErr w:type="spellStart"/>
      <w:r w:rsidR="003F2EEC">
        <w:rPr>
          <w:rFonts w:ascii="Times New Roman" w:hAnsi="Times New Roman"/>
          <w:color w:val="000000"/>
          <w:lang w:val="en-US"/>
        </w:rPr>
        <w:t>trastuzumab</w:t>
      </w:r>
      <w:proofErr w:type="spellEnd"/>
      <w:r w:rsidR="003F2EEC" w:rsidRPr="002708E1">
        <w:rPr>
          <w:rFonts w:ascii="Times New Roman" w:hAnsi="Times New Roman"/>
          <w:color w:val="000000"/>
        </w:rPr>
        <w:t xml:space="preserve"> </w:t>
      </w:r>
      <w:r w:rsidR="00F06ADE" w:rsidRPr="002708E1">
        <w:rPr>
          <w:rFonts w:ascii="Times New Roman" w:hAnsi="Times New Roman"/>
          <w:color w:val="000000"/>
        </w:rPr>
        <w:t>prescribing information.</w:t>
      </w:r>
    </w:p>
    <w:p w:rsidR="00F831AA" w:rsidRPr="008130BD" w:rsidRDefault="00F06ADE" w:rsidP="00F06ADE">
      <w:pPr>
        <w:pStyle w:val="Paragraph"/>
        <w:spacing w:after="120" w:line="240" w:lineRule="auto"/>
        <w:jc w:val="both"/>
        <w:rPr>
          <w:rFonts w:ascii="Times New Roman" w:hAnsi="Times New Roman"/>
          <w:color w:val="000000"/>
        </w:rPr>
      </w:pPr>
      <w:r w:rsidRPr="002708E1">
        <w:rPr>
          <w:rFonts w:ascii="Times New Roman" w:hAnsi="Times New Roman"/>
          <w:color w:val="000000"/>
        </w:rPr>
        <w:t xml:space="preserve">For docetaxel </w:t>
      </w:r>
      <w:r w:rsidR="00864903">
        <w:rPr>
          <w:rFonts w:ascii="Times New Roman" w:hAnsi="Times New Roman"/>
          <w:color w:val="000000"/>
        </w:rPr>
        <w:t xml:space="preserve">and other chemotherapy </w:t>
      </w:r>
      <w:r w:rsidRPr="002708E1">
        <w:rPr>
          <w:rFonts w:ascii="Times New Roman" w:hAnsi="Times New Roman"/>
          <w:color w:val="000000"/>
        </w:rPr>
        <w:t xml:space="preserve">dose modifications, see </w:t>
      </w:r>
      <w:r w:rsidR="0070554C">
        <w:rPr>
          <w:rFonts w:ascii="Times New Roman" w:hAnsi="Times New Roman"/>
          <w:color w:val="000000"/>
        </w:rPr>
        <w:t xml:space="preserve">the </w:t>
      </w:r>
      <w:r w:rsidR="00C95333">
        <w:rPr>
          <w:rFonts w:ascii="Times New Roman" w:hAnsi="Times New Roman"/>
          <w:color w:val="000000"/>
        </w:rPr>
        <w:t>product information for each agent</w:t>
      </w:r>
      <w:r w:rsidRPr="002708E1">
        <w:rPr>
          <w:rFonts w:ascii="Times New Roman" w:hAnsi="Times New Roman"/>
          <w:color w:val="000000"/>
        </w:rPr>
        <w:t>.</w:t>
      </w:r>
    </w:p>
    <w:p w:rsidR="00CB1612" w:rsidRPr="00DA69BD" w:rsidRDefault="00CB1612" w:rsidP="00DE3CDE">
      <w:pPr>
        <w:pStyle w:val="Heading4"/>
        <w:rPr>
          <w:b w:val="0"/>
          <w:i/>
          <w:u w:val="single"/>
        </w:rPr>
      </w:pPr>
      <w:r w:rsidRPr="00DA69BD">
        <w:rPr>
          <w:b w:val="0"/>
          <w:i/>
          <w:u w:val="single"/>
        </w:rPr>
        <w:t>Infusion-related reactions</w:t>
      </w:r>
    </w:p>
    <w:p w:rsidR="00F831AA" w:rsidRDefault="0017473F" w:rsidP="00D554BA">
      <w:pPr>
        <w:spacing w:after="120" w:line="280" w:lineRule="exact"/>
        <w:rPr>
          <w:color w:val="000000"/>
        </w:rPr>
      </w:pPr>
      <w:r w:rsidRPr="00717FA5">
        <w:rPr>
          <w:color w:val="000000"/>
        </w:rPr>
        <w:t xml:space="preserve">The infusion rate of </w:t>
      </w:r>
      <w:r w:rsidR="00123310">
        <w:rPr>
          <w:color w:val="000000"/>
        </w:rPr>
        <w:t>PERJETA</w:t>
      </w:r>
      <w:r w:rsidRPr="00717FA5">
        <w:rPr>
          <w:color w:val="000000"/>
        </w:rPr>
        <w:t xml:space="preserve"> may be slowed or interrupted if the patient develops an infusion-associated reaction. </w:t>
      </w:r>
    </w:p>
    <w:p w:rsidR="00F831AA" w:rsidRPr="00DA69BD" w:rsidRDefault="00F831AA" w:rsidP="00DE3CDE">
      <w:pPr>
        <w:pStyle w:val="Heading4"/>
        <w:rPr>
          <w:b w:val="0"/>
          <w:i/>
          <w:u w:val="single"/>
        </w:rPr>
      </w:pPr>
      <w:r w:rsidRPr="00DA69BD">
        <w:rPr>
          <w:b w:val="0"/>
          <w:i/>
          <w:u w:val="single"/>
        </w:rPr>
        <w:t>Hypersensitivity reactions/anaphylaxis</w:t>
      </w:r>
    </w:p>
    <w:p w:rsidR="00246913" w:rsidRPr="002708E1" w:rsidRDefault="0017473F" w:rsidP="00D554BA">
      <w:pPr>
        <w:spacing w:after="120" w:line="280" w:lineRule="exact"/>
        <w:rPr>
          <w:color w:val="000000"/>
        </w:rPr>
      </w:pPr>
      <w:r w:rsidRPr="00717FA5">
        <w:rPr>
          <w:color w:val="000000"/>
        </w:rPr>
        <w:t xml:space="preserve">The infusion should be discontinued immediately if the patient experiences a </w:t>
      </w:r>
      <w:r w:rsidRPr="00E57B1F">
        <w:rPr>
          <w:color w:val="000000"/>
        </w:rPr>
        <w:t>serious hypersensitivity reaction (</w:t>
      </w:r>
      <w:r w:rsidRPr="00E57B1F">
        <w:rPr>
          <w:i/>
          <w:color w:val="000000"/>
        </w:rPr>
        <w:t>see</w:t>
      </w:r>
      <w:r w:rsidR="009758A1" w:rsidRPr="002708E1">
        <w:rPr>
          <w:i/>
          <w:color w:val="000000"/>
        </w:rPr>
        <w:t xml:space="preserve"> </w:t>
      </w:r>
      <w:r w:rsidR="009758A1" w:rsidRPr="002708E1">
        <w:rPr>
          <w:i/>
          <w:caps/>
          <w:color w:val="000000"/>
        </w:rPr>
        <w:t>Precautions</w:t>
      </w:r>
      <w:r w:rsidRPr="002708E1">
        <w:rPr>
          <w:i/>
          <w:color w:val="000000"/>
        </w:rPr>
        <w:t>).</w:t>
      </w:r>
      <w:r w:rsidRPr="002708E1">
        <w:rPr>
          <w:color w:val="000000"/>
        </w:rPr>
        <w:t xml:space="preserve"> </w:t>
      </w:r>
    </w:p>
    <w:p w:rsidR="00CB1612" w:rsidRPr="00DA69BD" w:rsidRDefault="00CB1612" w:rsidP="00DE3CDE">
      <w:pPr>
        <w:pStyle w:val="Heading4"/>
        <w:rPr>
          <w:b w:val="0"/>
          <w:i/>
          <w:u w:val="single"/>
        </w:rPr>
      </w:pPr>
      <w:r w:rsidRPr="00DA69BD">
        <w:rPr>
          <w:b w:val="0"/>
          <w:i/>
          <w:u w:val="single"/>
        </w:rPr>
        <w:t xml:space="preserve">Left ventricular dysfunction </w:t>
      </w:r>
    </w:p>
    <w:p w:rsidR="0017473F" w:rsidRPr="00C433BB" w:rsidRDefault="0017473F" w:rsidP="000066B7">
      <w:pPr>
        <w:spacing w:after="120" w:line="280" w:lineRule="exact"/>
        <w:rPr>
          <w:color w:val="000000"/>
        </w:rPr>
      </w:pPr>
      <w:r w:rsidRPr="00C433BB">
        <w:rPr>
          <w:color w:val="000000"/>
        </w:rPr>
        <w:t xml:space="preserve">Withhold </w:t>
      </w:r>
      <w:r w:rsidR="00123310">
        <w:rPr>
          <w:color w:val="000000"/>
        </w:rPr>
        <w:t>PERJETA</w:t>
      </w:r>
      <w:r w:rsidRPr="00C433BB">
        <w:rPr>
          <w:color w:val="000000"/>
        </w:rPr>
        <w:t xml:space="preserve"> and </w:t>
      </w:r>
      <w:proofErr w:type="spellStart"/>
      <w:r w:rsidR="003F2EEC">
        <w:rPr>
          <w:color w:val="000000"/>
          <w:lang w:val="en-US"/>
        </w:rPr>
        <w:t>trastuzumab</w:t>
      </w:r>
      <w:proofErr w:type="spellEnd"/>
      <w:r w:rsidR="003F2EEC" w:rsidRPr="00C433BB">
        <w:rPr>
          <w:color w:val="000000"/>
        </w:rPr>
        <w:t xml:space="preserve"> </w:t>
      </w:r>
      <w:r w:rsidRPr="00C433BB">
        <w:rPr>
          <w:color w:val="000000"/>
        </w:rPr>
        <w:t>dosing for at least 3 weeks for either;</w:t>
      </w:r>
    </w:p>
    <w:p w:rsidR="0017473F" w:rsidRPr="008130BD" w:rsidRDefault="001F3A63" w:rsidP="000066B7">
      <w:pPr>
        <w:pStyle w:val="ListParagraph"/>
        <w:numPr>
          <w:ilvl w:val="0"/>
          <w:numId w:val="16"/>
        </w:numPr>
        <w:spacing w:after="120" w:line="280" w:lineRule="exact"/>
        <w:rPr>
          <w:color w:val="000000"/>
        </w:rPr>
      </w:pPr>
      <w:r w:rsidRPr="00C433BB">
        <w:rPr>
          <w:color w:val="000000"/>
        </w:rPr>
        <w:t xml:space="preserve">a </w:t>
      </w:r>
      <w:r w:rsidR="0017473F" w:rsidRPr="00C433BB">
        <w:rPr>
          <w:color w:val="000000"/>
        </w:rPr>
        <w:t xml:space="preserve">drop in left ventricular ejection fraction (LVEF) to </w:t>
      </w:r>
      <w:r w:rsidR="0017473F" w:rsidRPr="002708E1">
        <w:rPr>
          <w:rFonts w:cs="Arial"/>
          <w:color w:val="000000"/>
        </w:rPr>
        <w:t>&lt; 40%</w:t>
      </w:r>
      <w:r w:rsidR="0017473F" w:rsidRPr="008130BD">
        <w:rPr>
          <w:color w:val="000000"/>
        </w:rPr>
        <w:t xml:space="preserve"> </w:t>
      </w:r>
      <w:r w:rsidRPr="008130BD">
        <w:rPr>
          <w:color w:val="000000"/>
        </w:rPr>
        <w:t>or</w:t>
      </w:r>
    </w:p>
    <w:p w:rsidR="0017473F" w:rsidRPr="008130BD" w:rsidRDefault="0017473F" w:rsidP="000066B7">
      <w:pPr>
        <w:pStyle w:val="ListParagraph"/>
        <w:numPr>
          <w:ilvl w:val="0"/>
          <w:numId w:val="16"/>
        </w:numPr>
        <w:spacing w:after="120" w:line="280" w:lineRule="exact"/>
        <w:rPr>
          <w:color w:val="000000"/>
        </w:rPr>
      </w:pPr>
      <w:r w:rsidRPr="00C433BB">
        <w:rPr>
          <w:color w:val="000000"/>
        </w:rPr>
        <w:t xml:space="preserve">LVEF of </w:t>
      </w:r>
      <w:r w:rsidRPr="002708E1">
        <w:rPr>
          <w:rFonts w:cs="Arial"/>
          <w:color w:val="000000"/>
        </w:rPr>
        <w:t>40%-45%</w:t>
      </w:r>
      <w:r w:rsidRPr="008130BD">
        <w:rPr>
          <w:color w:val="000000"/>
        </w:rPr>
        <w:t xml:space="preserve"> associated with a fall of ≥10%-points below </w:t>
      </w:r>
      <w:r w:rsidR="00C433BB">
        <w:rPr>
          <w:color w:val="000000"/>
        </w:rPr>
        <w:t>baseline</w:t>
      </w:r>
      <w:r w:rsidRPr="008130BD">
        <w:rPr>
          <w:color w:val="000000"/>
        </w:rPr>
        <w:t>.</w:t>
      </w:r>
    </w:p>
    <w:p w:rsidR="0017473F" w:rsidRPr="008130BD" w:rsidRDefault="00123310" w:rsidP="000066B7">
      <w:pPr>
        <w:spacing w:after="120" w:line="280" w:lineRule="exact"/>
        <w:rPr>
          <w:color w:val="000000"/>
        </w:rPr>
      </w:pPr>
      <w:r>
        <w:rPr>
          <w:color w:val="000000"/>
        </w:rPr>
        <w:t>PERJETA</w:t>
      </w:r>
      <w:r w:rsidR="0017473F" w:rsidRPr="00C433BB">
        <w:rPr>
          <w:color w:val="000000"/>
        </w:rPr>
        <w:t xml:space="preserve"> and </w:t>
      </w:r>
      <w:proofErr w:type="spellStart"/>
      <w:r w:rsidR="003F2EEC">
        <w:rPr>
          <w:color w:val="000000"/>
          <w:lang w:val="en-US"/>
        </w:rPr>
        <w:t>trastuzumab</w:t>
      </w:r>
      <w:proofErr w:type="spellEnd"/>
      <w:r w:rsidR="003F2EEC" w:rsidRPr="00C433BB">
        <w:rPr>
          <w:color w:val="000000"/>
        </w:rPr>
        <w:t xml:space="preserve"> </w:t>
      </w:r>
      <w:r w:rsidR="0017473F" w:rsidRPr="00C433BB">
        <w:rPr>
          <w:color w:val="000000"/>
        </w:rPr>
        <w:t>may be resumed if the LVEF has recovered to &gt;45% or 40-45% associated with &lt;10%-points</w:t>
      </w:r>
      <w:r w:rsidR="0017473F" w:rsidRPr="008130BD">
        <w:rPr>
          <w:color w:val="000000"/>
        </w:rPr>
        <w:t xml:space="preserve"> below </w:t>
      </w:r>
      <w:r w:rsidR="00C433BB">
        <w:rPr>
          <w:color w:val="000000"/>
        </w:rPr>
        <w:t>baseline</w:t>
      </w:r>
      <w:r w:rsidR="0017473F" w:rsidRPr="008130BD">
        <w:rPr>
          <w:color w:val="000000"/>
        </w:rPr>
        <w:t xml:space="preserve">. </w:t>
      </w:r>
    </w:p>
    <w:p w:rsidR="00F7281C" w:rsidRPr="00EE367F" w:rsidRDefault="0017473F" w:rsidP="001F3A63">
      <w:pPr>
        <w:spacing w:after="120" w:line="280" w:lineRule="exact"/>
        <w:rPr>
          <w:color w:val="000000"/>
        </w:rPr>
      </w:pPr>
      <w:r w:rsidRPr="008130BD">
        <w:rPr>
          <w:color w:val="000000"/>
        </w:rPr>
        <w:lastRenderedPageBreak/>
        <w:t xml:space="preserve">If after a repeat assessment within approximately 3 weeks, the LVEF has not improved, or has declined further, discontinuation of </w:t>
      </w:r>
      <w:r w:rsidR="00123310">
        <w:rPr>
          <w:color w:val="000000"/>
        </w:rPr>
        <w:t>PERJETA</w:t>
      </w:r>
      <w:r w:rsidRPr="00C433BB">
        <w:rPr>
          <w:color w:val="000000"/>
        </w:rPr>
        <w:t xml:space="preserve"> and </w:t>
      </w:r>
      <w:proofErr w:type="spellStart"/>
      <w:r w:rsidR="003F2EEC">
        <w:rPr>
          <w:color w:val="000000"/>
          <w:lang w:val="en-US"/>
        </w:rPr>
        <w:t>trastuzumab</w:t>
      </w:r>
      <w:proofErr w:type="spellEnd"/>
      <w:r w:rsidR="003F2EEC" w:rsidRPr="00C433BB">
        <w:rPr>
          <w:color w:val="000000"/>
        </w:rPr>
        <w:t xml:space="preserve"> </w:t>
      </w:r>
      <w:r w:rsidRPr="00C433BB">
        <w:rPr>
          <w:color w:val="000000"/>
        </w:rPr>
        <w:t>should be strongly considered, unless the benefits for the individual patient are deemed to outweigh the</w:t>
      </w:r>
      <w:r w:rsidRPr="00EE367F">
        <w:rPr>
          <w:color w:val="000000"/>
        </w:rPr>
        <w:t xml:space="preserve"> risks</w:t>
      </w:r>
      <w:r w:rsidRPr="00EE367F">
        <w:rPr>
          <w:color w:val="000000"/>
          <w:lang w:val="en-US"/>
        </w:rPr>
        <w:t xml:space="preserve"> </w:t>
      </w:r>
      <w:r w:rsidRPr="00EE367F">
        <w:rPr>
          <w:color w:val="000000"/>
        </w:rPr>
        <w:t>(</w:t>
      </w:r>
      <w:r w:rsidRPr="00EE367F">
        <w:rPr>
          <w:i/>
          <w:color w:val="000000"/>
        </w:rPr>
        <w:t>see</w:t>
      </w:r>
      <w:r w:rsidR="0017524D" w:rsidRPr="00EE367F">
        <w:rPr>
          <w:i/>
          <w:color w:val="000000"/>
        </w:rPr>
        <w:t xml:space="preserve"> </w:t>
      </w:r>
      <w:r w:rsidR="0017524D" w:rsidRPr="00EE367F">
        <w:rPr>
          <w:i/>
          <w:caps/>
          <w:color w:val="000000"/>
        </w:rPr>
        <w:t>Precautions</w:t>
      </w:r>
      <w:r w:rsidRPr="00EE367F">
        <w:rPr>
          <w:i/>
          <w:color w:val="000000"/>
        </w:rPr>
        <w:t>).</w:t>
      </w:r>
      <w:r w:rsidRPr="00EE367F">
        <w:rPr>
          <w:color w:val="000000"/>
        </w:rPr>
        <w:t xml:space="preserve"> </w:t>
      </w:r>
    </w:p>
    <w:p w:rsidR="00246913" w:rsidRPr="00DA69BD" w:rsidRDefault="00246913" w:rsidP="00DE3CDE">
      <w:pPr>
        <w:pStyle w:val="Heading4"/>
        <w:rPr>
          <w:b w:val="0"/>
          <w:i/>
          <w:u w:val="single"/>
        </w:rPr>
      </w:pPr>
      <w:r w:rsidRPr="00DA69BD">
        <w:rPr>
          <w:b w:val="0"/>
          <w:i/>
          <w:u w:val="single"/>
        </w:rPr>
        <w:t>Special populations</w:t>
      </w:r>
    </w:p>
    <w:p w:rsidR="00F7281C" w:rsidRPr="008130BD" w:rsidRDefault="00F7281C" w:rsidP="002617B6">
      <w:pPr>
        <w:pStyle w:val="Paragraph"/>
        <w:spacing w:after="120"/>
        <w:jc w:val="both"/>
        <w:rPr>
          <w:rFonts w:ascii="Times New Roman" w:hAnsi="Times New Roman"/>
          <w:i/>
          <w:color w:val="000000"/>
        </w:rPr>
      </w:pPr>
      <w:r w:rsidRPr="00EE367F">
        <w:rPr>
          <w:rFonts w:ascii="Times New Roman" w:hAnsi="Times New Roman"/>
          <w:i/>
          <w:color w:val="000000"/>
        </w:rPr>
        <w:t>Elderly</w:t>
      </w:r>
      <w:r w:rsidRPr="00FB36B9">
        <w:rPr>
          <w:rFonts w:ascii="Times New Roman" w:hAnsi="Times New Roman"/>
          <w:color w:val="000000"/>
        </w:rPr>
        <w:t xml:space="preserve">: No differences of safety and efficacy of </w:t>
      </w:r>
      <w:r w:rsidR="00123310">
        <w:rPr>
          <w:rFonts w:ascii="Times New Roman" w:hAnsi="Times New Roman"/>
          <w:color w:val="000000"/>
        </w:rPr>
        <w:t>PERJETA</w:t>
      </w:r>
      <w:r w:rsidRPr="00FB36B9">
        <w:rPr>
          <w:rFonts w:ascii="Times New Roman" w:hAnsi="Times New Roman"/>
          <w:color w:val="000000"/>
        </w:rPr>
        <w:t xml:space="preserve"> were observed between adult patients ≥65 and &lt;65 years of age. No dose adjustment is required in the elderly population.</w:t>
      </w:r>
    </w:p>
    <w:p w:rsidR="00F7281C" w:rsidRPr="008130BD" w:rsidRDefault="00F7281C" w:rsidP="002617B6">
      <w:pPr>
        <w:pStyle w:val="Paragraph"/>
        <w:spacing w:after="120"/>
        <w:jc w:val="both"/>
        <w:rPr>
          <w:rFonts w:ascii="Times New Roman" w:hAnsi="Times New Roman"/>
          <w:color w:val="000000"/>
        </w:rPr>
      </w:pPr>
      <w:r w:rsidRPr="00FB49D4">
        <w:rPr>
          <w:rFonts w:ascii="Times New Roman" w:hAnsi="Times New Roman"/>
          <w:i/>
          <w:color w:val="000000"/>
        </w:rPr>
        <w:t>Children:</w:t>
      </w:r>
      <w:r w:rsidRPr="00FB49D4">
        <w:rPr>
          <w:rFonts w:ascii="Times New Roman" w:hAnsi="Times New Roman"/>
          <w:color w:val="000000"/>
        </w:rPr>
        <w:t xml:space="preserve"> The safety and efficacy of </w:t>
      </w:r>
      <w:r w:rsidR="00123310">
        <w:rPr>
          <w:rFonts w:ascii="Times New Roman" w:hAnsi="Times New Roman"/>
          <w:color w:val="000000"/>
        </w:rPr>
        <w:t>PERJETA</w:t>
      </w:r>
      <w:r w:rsidRPr="00FB49D4">
        <w:rPr>
          <w:rFonts w:ascii="Times New Roman" w:hAnsi="Times New Roman"/>
          <w:color w:val="000000"/>
        </w:rPr>
        <w:t xml:space="preserve"> in children and adolescents below 18 years of age have not been established.</w:t>
      </w:r>
      <w:r w:rsidRPr="00FB49D4" w:rsidDel="004E2E61">
        <w:rPr>
          <w:rFonts w:ascii="Times New Roman" w:hAnsi="Times New Roman"/>
          <w:color w:val="000000"/>
        </w:rPr>
        <w:t xml:space="preserve"> </w:t>
      </w:r>
    </w:p>
    <w:p w:rsidR="00F7281C" w:rsidRPr="008130BD" w:rsidRDefault="00F7281C" w:rsidP="002617B6">
      <w:pPr>
        <w:pStyle w:val="Paragraph"/>
        <w:spacing w:after="120"/>
        <w:jc w:val="both"/>
        <w:rPr>
          <w:rFonts w:ascii="Times New Roman" w:hAnsi="Times New Roman"/>
          <w:color w:val="000000"/>
        </w:rPr>
      </w:pPr>
      <w:r w:rsidRPr="00FB49D4">
        <w:rPr>
          <w:rFonts w:ascii="Times New Roman" w:hAnsi="Times New Roman"/>
          <w:i/>
          <w:color w:val="000000"/>
        </w:rPr>
        <w:t>Renal impairment:</w:t>
      </w:r>
      <w:r w:rsidRPr="00FB49D4">
        <w:rPr>
          <w:rFonts w:ascii="Times New Roman" w:hAnsi="Times New Roman"/>
          <w:color w:val="000000"/>
        </w:rPr>
        <w:t xml:space="preserve"> </w:t>
      </w:r>
      <w:r w:rsidR="00EE28B0" w:rsidRPr="00EE28B0">
        <w:rPr>
          <w:rFonts w:ascii="Times New Roman" w:hAnsi="Times New Roman"/>
          <w:color w:val="000000"/>
        </w:rPr>
        <w:t>Dose adjustments of P</w:t>
      </w:r>
      <w:r w:rsidR="00506887">
        <w:rPr>
          <w:rFonts w:ascii="Times New Roman" w:hAnsi="Times New Roman"/>
          <w:color w:val="000000"/>
        </w:rPr>
        <w:t>ERJETA</w:t>
      </w:r>
      <w:r w:rsidR="00EE28B0" w:rsidRPr="00EE28B0">
        <w:rPr>
          <w:rFonts w:ascii="Times New Roman" w:hAnsi="Times New Roman"/>
          <w:color w:val="000000"/>
        </w:rPr>
        <w:t xml:space="preserve"> are not needed in patients with mild or moderate renal impairment. No dose recommendations can be made for patients with severe renal impairment because of the limited pharmacokinetic data available</w:t>
      </w:r>
      <w:r w:rsidR="00EE28B0">
        <w:rPr>
          <w:rFonts w:ascii="Times New Roman" w:hAnsi="Times New Roman"/>
          <w:color w:val="000000"/>
        </w:rPr>
        <w:t xml:space="preserve"> </w:t>
      </w:r>
      <w:r w:rsidRPr="00FB49D4">
        <w:rPr>
          <w:rFonts w:ascii="Times New Roman" w:hAnsi="Times New Roman"/>
          <w:color w:val="000000"/>
        </w:rPr>
        <w:t>(</w:t>
      </w:r>
      <w:r w:rsidRPr="00FB49D4">
        <w:rPr>
          <w:rFonts w:ascii="Times New Roman" w:hAnsi="Times New Roman"/>
          <w:i/>
          <w:color w:val="000000"/>
        </w:rPr>
        <w:t>see</w:t>
      </w:r>
      <w:r w:rsidR="0017524D" w:rsidRPr="00FB49D4">
        <w:rPr>
          <w:rFonts w:ascii="Times New Roman" w:hAnsi="Times New Roman"/>
          <w:i/>
          <w:color w:val="000000"/>
        </w:rPr>
        <w:t xml:space="preserve"> Pharmacokinetics in special populations)</w:t>
      </w:r>
      <w:r w:rsidRPr="00FB49D4">
        <w:rPr>
          <w:rFonts w:ascii="Times New Roman" w:hAnsi="Times New Roman"/>
          <w:color w:val="000000"/>
        </w:rPr>
        <w:t>.</w:t>
      </w:r>
    </w:p>
    <w:p w:rsidR="00F7281C" w:rsidRPr="008130BD" w:rsidRDefault="00F7281C" w:rsidP="002617B6">
      <w:pPr>
        <w:pStyle w:val="Paragraph"/>
        <w:spacing w:after="120"/>
        <w:jc w:val="both"/>
        <w:rPr>
          <w:rFonts w:ascii="Times New Roman" w:hAnsi="Times New Roman"/>
          <w:color w:val="000000"/>
        </w:rPr>
      </w:pPr>
      <w:r w:rsidRPr="00FB49D4">
        <w:rPr>
          <w:rFonts w:ascii="Times New Roman" w:hAnsi="Times New Roman"/>
          <w:i/>
          <w:color w:val="000000"/>
        </w:rPr>
        <w:t>Hepatic impairment:</w:t>
      </w:r>
      <w:r w:rsidRPr="00FB49D4">
        <w:rPr>
          <w:rFonts w:ascii="Times New Roman" w:hAnsi="Times New Roman"/>
          <w:color w:val="000000"/>
        </w:rPr>
        <w:t xml:space="preserve"> The safety and efficacy of </w:t>
      </w:r>
      <w:r w:rsidR="00123310">
        <w:rPr>
          <w:rFonts w:ascii="Times New Roman" w:hAnsi="Times New Roman"/>
          <w:color w:val="000000"/>
        </w:rPr>
        <w:t>PERJETA</w:t>
      </w:r>
      <w:r w:rsidRPr="00FB49D4">
        <w:rPr>
          <w:rFonts w:ascii="Times New Roman" w:hAnsi="Times New Roman"/>
          <w:color w:val="000000"/>
        </w:rPr>
        <w:t xml:space="preserve"> have not been studied in patients with hepatic impairment.</w:t>
      </w:r>
    </w:p>
    <w:p w:rsidR="001A1CB0" w:rsidRPr="008130BD" w:rsidRDefault="001A1CB0" w:rsidP="00410126">
      <w:pPr>
        <w:pStyle w:val="Heading3"/>
      </w:pPr>
      <w:r w:rsidRPr="00FB49D4">
        <w:t>Delayed or missed doses</w:t>
      </w:r>
    </w:p>
    <w:p w:rsidR="001A1CB0" w:rsidRPr="008130BD" w:rsidRDefault="005E25AE" w:rsidP="001A1CB0">
      <w:pPr>
        <w:spacing w:after="120"/>
        <w:rPr>
          <w:i/>
          <w:color w:val="777777"/>
        </w:rPr>
      </w:pPr>
      <w:r w:rsidRPr="008130BD">
        <w:rPr>
          <w:color w:val="000000"/>
        </w:rPr>
        <w:t xml:space="preserve">If the time between two sequential infusions is less than 6 weeks, the 420 mg dose of </w:t>
      </w:r>
      <w:r w:rsidR="00123310">
        <w:rPr>
          <w:color w:val="000000"/>
        </w:rPr>
        <w:t>PERJETA</w:t>
      </w:r>
      <w:r w:rsidRPr="008130BD">
        <w:rPr>
          <w:b/>
          <w:i/>
          <w:color w:val="000000"/>
        </w:rPr>
        <w:t xml:space="preserve"> </w:t>
      </w:r>
      <w:r w:rsidRPr="008130BD">
        <w:rPr>
          <w:color w:val="000000"/>
        </w:rPr>
        <w:t xml:space="preserve">should be administered as soon as possible. Do not wait until the next planned dose. If the time between two sequential infusions is 6 weeks or more, the initial dose of 840 mg </w:t>
      </w:r>
      <w:r w:rsidR="00123310">
        <w:rPr>
          <w:color w:val="000000"/>
        </w:rPr>
        <w:t>PERJETA</w:t>
      </w:r>
      <w:r w:rsidRPr="008130BD">
        <w:rPr>
          <w:color w:val="000000"/>
        </w:rPr>
        <w:t xml:space="preserve"> should be re-administered as a 60 min </w:t>
      </w:r>
      <w:r w:rsidR="001F3A63" w:rsidRPr="008130BD">
        <w:rPr>
          <w:color w:val="000000"/>
        </w:rPr>
        <w:t>IV</w:t>
      </w:r>
      <w:r w:rsidRPr="008130BD">
        <w:rPr>
          <w:color w:val="000000"/>
        </w:rPr>
        <w:t xml:space="preserve"> infusion</w:t>
      </w:r>
      <w:r w:rsidR="001F3A63" w:rsidRPr="008130BD">
        <w:rPr>
          <w:color w:val="000000"/>
        </w:rPr>
        <w:t>,</w:t>
      </w:r>
      <w:r w:rsidRPr="008130BD">
        <w:rPr>
          <w:color w:val="000000"/>
        </w:rPr>
        <w:t xml:space="preserve"> followed every 3 weeks thereafter by a dose of 420 mg administered over a period of 30</w:t>
      </w:r>
      <w:r w:rsidR="00EE28B0">
        <w:rPr>
          <w:color w:val="000000"/>
        </w:rPr>
        <w:t xml:space="preserve"> to </w:t>
      </w:r>
      <w:r w:rsidRPr="008130BD">
        <w:rPr>
          <w:color w:val="000000"/>
        </w:rPr>
        <w:t>60 min</w:t>
      </w:r>
      <w:r w:rsidR="001F3A63" w:rsidRPr="008130BD">
        <w:rPr>
          <w:color w:val="000000"/>
        </w:rPr>
        <w:t>.</w:t>
      </w:r>
      <w:r w:rsidRPr="008130BD">
        <w:rPr>
          <w:color w:val="000000"/>
        </w:rPr>
        <w:t xml:space="preserve"> </w:t>
      </w:r>
    </w:p>
    <w:p w:rsidR="00087B8E" w:rsidRPr="008130BD" w:rsidRDefault="00087B8E" w:rsidP="00410126">
      <w:pPr>
        <w:pStyle w:val="Heading3"/>
      </w:pPr>
      <w:r w:rsidRPr="00FB49D4">
        <w:t>Instructions for dilution</w:t>
      </w:r>
    </w:p>
    <w:p w:rsidR="00D16265" w:rsidRDefault="00D16265" w:rsidP="00D16265">
      <w:pPr>
        <w:pStyle w:val="Paragraph"/>
        <w:spacing w:after="120"/>
        <w:jc w:val="both"/>
        <w:rPr>
          <w:rFonts w:ascii="Times New Roman" w:hAnsi="Times New Roman"/>
          <w:color w:val="000000"/>
        </w:rPr>
      </w:pPr>
      <w:r>
        <w:rPr>
          <w:rFonts w:ascii="Times New Roman" w:hAnsi="Times New Roman"/>
          <w:color w:val="000000"/>
        </w:rPr>
        <w:t xml:space="preserve">PERJETA should be prepared by a healthcare professional using aseptic technique. </w:t>
      </w:r>
    </w:p>
    <w:p w:rsidR="00D16265" w:rsidRDefault="00D16265" w:rsidP="00D16265">
      <w:pPr>
        <w:pStyle w:val="Heading3"/>
        <w:rPr>
          <w:i/>
          <w:u w:val="single"/>
        </w:rPr>
      </w:pPr>
      <w:r>
        <w:rPr>
          <w:bCs w:val="0"/>
          <w:i/>
          <w:u w:val="single"/>
        </w:rPr>
        <w:t>Initial dose</w:t>
      </w:r>
    </w:p>
    <w:p w:rsidR="00D16265" w:rsidRDefault="00D16265" w:rsidP="00D16265">
      <w:pPr>
        <w:pStyle w:val="Paragraph"/>
        <w:spacing w:after="120"/>
        <w:jc w:val="both"/>
        <w:rPr>
          <w:rFonts w:ascii="Times New Roman" w:hAnsi="Times New Roman"/>
          <w:color w:val="000000"/>
        </w:rPr>
      </w:pPr>
      <w:r>
        <w:rPr>
          <w:rFonts w:ascii="Times New Roman" w:hAnsi="Times New Roman"/>
          <w:color w:val="000000"/>
        </w:rPr>
        <w:t xml:space="preserve">Dilute 28 mL (two vials, 840 mg) of PERJETA in 250 mL of 0.9% sodium chloride (do not withdraw saline out of the infusion bag). After dilution, of the solution should contain approximately 3.0 mg/mL of </w:t>
      </w:r>
      <w:proofErr w:type="spellStart"/>
      <w:r>
        <w:rPr>
          <w:rFonts w:ascii="Times New Roman" w:hAnsi="Times New Roman"/>
          <w:color w:val="000000"/>
        </w:rPr>
        <w:t>pertuzumab</w:t>
      </w:r>
      <w:proofErr w:type="spellEnd"/>
      <w:r>
        <w:rPr>
          <w:rFonts w:ascii="Times New Roman" w:hAnsi="Times New Roman"/>
          <w:color w:val="000000"/>
        </w:rPr>
        <w:t xml:space="preserve">. </w:t>
      </w:r>
    </w:p>
    <w:p w:rsidR="00D16265" w:rsidRDefault="00D16265" w:rsidP="00D16265">
      <w:pPr>
        <w:pStyle w:val="Heading3"/>
        <w:rPr>
          <w:b w:val="0"/>
          <w:i/>
          <w:u w:val="single"/>
        </w:rPr>
      </w:pPr>
      <w:r>
        <w:rPr>
          <w:b w:val="0"/>
          <w:i/>
          <w:u w:val="single"/>
        </w:rPr>
        <w:t>Subsequent doses</w:t>
      </w:r>
    </w:p>
    <w:p w:rsidR="00D16265" w:rsidRDefault="00D16265" w:rsidP="00D16265">
      <w:pPr>
        <w:pStyle w:val="Paragraph"/>
        <w:spacing w:after="120"/>
        <w:jc w:val="both"/>
        <w:rPr>
          <w:rFonts w:ascii="Times New Roman" w:hAnsi="Times New Roman"/>
          <w:color w:val="000000"/>
        </w:rPr>
      </w:pPr>
      <w:r>
        <w:rPr>
          <w:rFonts w:ascii="Times New Roman" w:hAnsi="Times New Roman"/>
          <w:color w:val="000000"/>
        </w:rPr>
        <w:t xml:space="preserve">Dilute 14mL (one vial, 420 mg) of PERJETA in 250 mL of 0.9% sodium chloride (do not withdraw saline out of the infusion bag). After dilution the solution should contain approximately 1.6 mg/mL of </w:t>
      </w:r>
      <w:proofErr w:type="spellStart"/>
      <w:r>
        <w:rPr>
          <w:rFonts w:ascii="Times New Roman" w:hAnsi="Times New Roman"/>
          <w:color w:val="000000"/>
        </w:rPr>
        <w:t>pertuzumab</w:t>
      </w:r>
      <w:proofErr w:type="spellEnd"/>
      <w:r>
        <w:rPr>
          <w:rFonts w:ascii="Times New Roman" w:hAnsi="Times New Roman"/>
          <w:color w:val="000000"/>
        </w:rPr>
        <w:t>.</w:t>
      </w:r>
    </w:p>
    <w:p w:rsidR="00D16265" w:rsidRPr="008130BD" w:rsidRDefault="00D16265" w:rsidP="00D16265">
      <w:pPr>
        <w:pStyle w:val="Paragraph"/>
        <w:spacing w:after="120"/>
        <w:jc w:val="both"/>
        <w:rPr>
          <w:rFonts w:ascii="Times New Roman" w:hAnsi="Times New Roman"/>
          <w:color w:val="000000"/>
        </w:rPr>
      </w:pPr>
      <w:r>
        <w:rPr>
          <w:rFonts w:ascii="Times New Roman" w:hAnsi="Times New Roman"/>
          <w:color w:val="000000"/>
        </w:rPr>
        <w:t>Glucose</w:t>
      </w:r>
      <w:r w:rsidRPr="00FB49D4">
        <w:rPr>
          <w:rFonts w:ascii="Times New Roman" w:hAnsi="Times New Roman"/>
          <w:color w:val="000000"/>
        </w:rPr>
        <w:t xml:space="preserve"> (5%) solution should not be used (</w:t>
      </w:r>
      <w:r w:rsidRPr="00FB49D4">
        <w:rPr>
          <w:rFonts w:ascii="Times New Roman" w:hAnsi="Times New Roman"/>
          <w:i/>
          <w:color w:val="000000"/>
        </w:rPr>
        <w:t>see Incompatibilities</w:t>
      </w:r>
      <w:r w:rsidRPr="00FB49D4">
        <w:rPr>
          <w:rFonts w:ascii="Times New Roman" w:hAnsi="Times New Roman"/>
          <w:color w:val="000000"/>
        </w:rPr>
        <w:t>).</w:t>
      </w:r>
    </w:p>
    <w:p w:rsidR="00D16265" w:rsidRPr="008130BD" w:rsidRDefault="00D16265" w:rsidP="00D16265">
      <w:pPr>
        <w:pStyle w:val="Paragraph"/>
        <w:spacing w:after="120"/>
        <w:jc w:val="both"/>
        <w:rPr>
          <w:rFonts w:ascii="Times New Roman" w:hAnsi="Times New Roman"/>
          <w:color w:val="000000"/>
        </w:rPr>
      </w:pPr>
      <w:r w:rsidRPr="00FB49D4">
        <w:rPr>
          <w:rFonts w:ascii="Times New Roman" w:hAnsi="Times New Roman"/>
          <w:color w:val="000000"/>
        </w:rPr>
        <w:t xml:space="preserve">The bag should be </w:t>
      </w:r>
      <w:r w:rsidRPr="001E6BF4">
        <w:rPr>
          <w:rFonts w:ascii="Times New Roman" w:hAnsi="Times New Roman"/>
          <w:i/>
          <w:color w:val="000000"/>
        </w:rPr>
        <w:t>gently</w:t>
      </w:r>
      <w:r w:rsidRPr="00FB49D4">
        <w:rPr>
          <w:rFonts w:ascii="Times New Roman" w:hAnsi="Times New Roman"/>
          <w:color w:val="000000"/>
        </w:rPr>
        <w:t xml:space="preserve"> inverted to mix the solution in order to avoid foaming. </w:t>
      </w:r>
    </w:p>
    <w:p w:rsidR="00D16265" w:rsidRDefault="00D16265" w:rsidP="00D16265">
      <w:pPr>
        <w:pStyle w:val="Paragraph"/>
        <w:spacing w:after="120"/>
        <w:jc w:val="both"/>
        <w:rPr>
          <w:rFonts w:ascii="Times New Roman" w:hAnsi="Times New Roman"/>
          <w:color w:val="000000"/>
        </w:rPr>
      </w:pPr>
      <w:r w:rsidRPr="00FB49D4">
        <w:rPr>
          <w:rFonts w:ascii="Times New Roman" w:hAnsi="Times New Roman"/>
          <w:color w:val="000000"/>
        </w:rPr>
        <w:t xml:space="preserve">Parenteral drug products should be inspected visually for particulates and discolouration prior to administration. </w:t>
      </w:r>
    </w:p>
    <w:p w:rsidR="00D16265" w:rsidRPr="008130BD" w:rsidRDefault="00D16265" w:rsidP="00D16265">
      <w:pPr>
        <w:pStyle w:val="Paragraph"/>
        <w:spacing w:after="120"/>
        <w:jc w:val="both"/>
        <w:rPr>
          <w:rFonts w:ascii="Times New Roman" w:hAnsi="Times New Roman"/>
          <w:color w:val="000000"/>
        </w:rPr>
      </w:pPr>
      <w:r>
        <w:rPr>
          <w:rFonts w:ascii="Times New Roman" w:hAnsi="Times New Roman"/>
          <w:color w:val="000000"/>
        </w:rPr>
        <w:t>PERJETA</w:t>
      </w:r>
      <w:r w:rsidRPr="007A5BC9">
        <w:rPr>
          <w:rFonts w:ascii="Times New Roman" w:hAnsi="Times New Roman"/>
          <w:color w:val="000000"/>
        </w:rPr>
        <w:t xml:space="preserve"> is for single use in one patient only</w:t>
      </w:r>
      <w:r>
        <w:rPr>
          <w:rFonts w:ascii="Times New Roman" w:hAnsi="Times New Roman"/>
          <w:color w:val="000000"/>
        </w:rPr>
        <w:t xml:space="preserve">. </w:t>
      </w:r>
      <w:r w:rsidRPr="00FB49D4">
        <w:rPr>
          <w:rFonts w:ascii="Times New Roman" w:hAnsi="Times New Roman"/>
          <w:color w:val="000000"/>
        </w:rPr>
        <w:t>Once the infusion is prepared it should be administered immediately (</w:t>
      </w:r>
      <w:r w:rsidRPr="00FB49D4">
        <w:rPr>
          <w:rFonts w:ascii="Times New Roman" w:hAnsi="Times New Roman"/>
          <w:i/>
          <w:color w:val="000000"/>
        </w:rPr>
        <w:t>see Storage conditions)</w:t>
      </w:r>
      <w:r w:rsidRPr="00FB49D4">
        <w:rPr>
          <w:rFonts w:ascii="Times New Roman" w:hAnsi="Times New Roman"/>
          <w:color w:val="000000"/>
        </w:rPr>
        <w:t>.</w:t>
      </w:r>
      <w:r>
        <w:rPr>
          <w:rFonts w:ascii="Times New Roman" w:hAnsi="Times New Roman"/>
          <w:color w:val="000000"/>
        </w:rPr>
        <w:t xml:space="preserve"> </w:t>
      </w:r>
    </w:p>
    <w:p w:rsidR="00087B8E" w:rsidRPr="008130BD" w:rsidRDefault="00087B8E" w:rsidP="00410126">
      <w:pPr>
        <w:pStyle w:val="Heading3"/>
      </w:pPr>
      <w:r w:rsidRPr="00FB49D4">
        <w:lastRenderedPageBreak/>
        <w:t>Incompatibilities</w:t>
      </w:r>
    </w:p>
    <w:p w:rsidR="00461170" w:rsidRPr="008130BD" w:rsidRDefault="00461170" w:rsidP="00461170">
      <w:pPr>
        <w:pStyle w:val="Paragraph"/>
        <w:spacing w:after="120"/>
        <w:jc w:val="both"/>
        <w:rPr>
          <w:rFonts w:ascii="Times New Roman" w:hAnsi="Times New Roman"/>
          <w:color w:val="000000"/>
        </w:rPr>
      </w:pPr>
      <w:r w:rsidRPr="00FB49D4">
        <w:rPr>
          <w:rFonts w:ascii="Times New Roman" w:hAnsi="Times New Roman"/>
          <w:color w:val="000000"/>
        </w:rPr>
        <w:t xml:space="preserve">No incompatibilities between </w:t>
      </w:r>
      <w:r w:rsidR="00123310">
        <w:rPr>
          <w:rFonts w:ascii="Times New Roman" w:hAnsi="Times New Roman"/>
          <w:color w:val="000000"/>
        </w:rPr>
        <w:t>PERJETA</w:t>
      </w:r>
      <w:r w:rsidRPr="00FB49D4">
        <w:rPr>
          <w:rFonts w:ascii="Times New Roman" w:hAnsi="Times New Roman"/>
          <w:color w:val="000000"/>
        </w:rPr>
        <w:t xml:space="preserve"> and polyvinylchloride</w:t>
      </w:r>
      <w:r w:rsidR="001E6BF4">
        <w:rPr>
          <w:rFonts w:ascii="Times New Roman" w:hAnsi="Times New Roman"/>
          <w:color w:val="000000"/>
        </w:rPr>
        <w:t xml:space="preserve"> (PVC)</w:t>
      </w:r>
      <w:r w:rsidRPr="00FB49D4">
        <w:rPr>
          <w:rFonts w:ascii="Times New Roman" w:hAnsi="Times New Roman"/>
          <w:color w:val="000000"/>
        </w:rPr>
        <w:t>, polyethylene or non-PVC polyolefin bags have been observed.</w:t>
      </w:r>
    </w:p>
    <w:p w:rsidR="00461170" w:rsidRPr="008130BD" w:rsidRDefault="00D16265" w:rsidP="00461170">
      <w:pPr>
        <w:pStyle w:val="Paragraph"/>
        <w:spacing w:after="120"/>
        <w:jc w:val="both"/>
        <w:rPr>
          <w:rFonts w:ascii="Times New Roman" w:eastAsia="MS Mincho" w:hAnsi="Times New Roman"/>
          <w:color w:val="000000"/>
          <w:sz w:val="23"/>
          <w:szCs w:val="23"/>
          <w:lang w:eastAsia="ja-JP"/>
        </w:rPr>
      </w:pPr>
      <w:r>
        <w:rPr>
          <w:rFonts w:ascii="Times New Roman" w:hAnsi="Times New Roman"/>
          <w:color w:val="000000"/>
        </w:rPr>
        <w:t>Glucose</w:t>
      </w:r>
      <w:r w:rsidRPr="00FB49D4">
        <w:rPr>
          <w:rFonts w:ascii="Times New Roman" w:hAnsi="Times New Roman"/>
          <w:color w:val="000000"/>
        </w:rPr>
        <w:t xml:space="preserve"> </w:t>
      </w:r>
      <w:r w:rsidR="00461170" w:rsidRPr="00FB49D4">
        <w:rPr>
          <w:rFonts w:ascii="Times New Roman" w:hAnsi="Times New Roman"/>
          <w:color w:val="000000"/>
        </w:rPr>
        <w:t xml:space="preserve">(5%) solution </w:t>
      </w:r>
      <w:r w:rsidR="001E6BF4">
        <w:rPr>
          <w:rFonts w:ascii="Times New Roman" w:hAnsi="Times New Roman"/>
          <w:color w:val="000000"/>
        </w:rPr>
        <w:t xml:space="preserve"> </w:t>
      </w:r>
      <w:r w:rsidR="00461170" w:rsidRPr="00FB49D4">
        <w:rPr>
          <w:rFonts w:ascii="Times New Roman" w:hAnsi="Times New Roman"/>
          <w:color w:val="000000"/>
        </w:rPr>
        <w:t xml:space="preserve">should not be used to dilute </w:t>
      </w:r>
      <w:r w:rsidR="00123310">
        <w:rPr>
          <w:rFonts w:ascii="Times New Roman" w:hAnsi="Times New Roman"/>
          <w:color w:val="000000"/>
        </w:rPr>
        <w:t>PERJETA</w:t>
      </w:r>
      <w:r w:rsidR="00461170" w:rsidRPr="00FB49D4">
        <w:rPr>
          <w:rFonts w:ascii="Times New Roman" w:hAnsi="Times New Roman"/>
          <w:color w:val="000000"/>
        </w:rPr>
        <w:t xml:space="preserve"> since it </w:t>
      </w:r>
      <w:r w:rsidR="00B524D2">
        <w:rPr>
          <w:rFonts w:ascii="Times New Roman" w:hAnsi="Times New Roman"/>
          <w:color w:val="000000"/>
        </w:rPr>
        <w:t>i</w:t>
      </w:r>
      <w:r w:rsidR="00461170" w:rsidRPr="00FB49D4">
        <w:rPr>
          <w:rFonts w:ascii="Times New Roman" w:hAnsi="Times New Roman"/>
          <w:color w:val="000000"/>
        </w:rPr>
        <w:t>s chemically and physically unstable (</w:t>
      </w:r>
      <w:r w:rsidR="00B524D2">
        <w:rPr>
          <w:rFonts w:ascii="Times New Roman" w:eastAsia="MS Mincho" w:hAnsi="Times New Roman"/>
          <w:color w:val="000000"/>
          <w:lang w:eastAsia="ja-JP"/>
        </w:rPr>
        <w:t>d</w:t>
      </w:r>
      <w:r w:rsidR="00461170" w:rsidRPr="00FB49D4">
        <w:rPr>
          <w:rFonts w:ascii="Times New Roman" w:eastAsia="MS Mincho" w:hAnsi="Times New Roman"/>
          <w:color w:val="000000"/>
          <w:lang w:eastAsia="ja-JP"/>
        </w:rPr>
        <w:t>ilute</w:t>
      </w:r>
      <w:r w:rsidR="001E6BF4">
        <w:rPr>
          <w:rFonts w:ascii="Times New Roman" w:eastAsia="MS Mincho" w:hAnsi="Times New Roman"/>
          <w:color w:val="000000"/>
          <w:lang w:eastAsia="ja-JP"/>
        </w:rPr>
        <w:t>d</w:t>
      </w:r>
      <w:r w:rsidR="00461170" w:rsidRPr="00FB49D4">
        <w:rPr>
          <w:rFonts w:ascii="Times New Roman" w:eastAsia="MS Mincho" w:hAnsi="Times New Roman"/>
          <w:color w:val="000000"/>
          <w:lang w:eastAsia="ja-JP"/>
        </w:rPr>
        <w:t xml:space="preserve"> formulations of </w:t>
      </w:r>
      <w:proofErr w:type="spellStart"/>
      <w:r w:rsidR="00B524D2">
        <w:rPr>
          <w:rFonts w:ascii="Times New Roman" w:eastAsia="MS Mincho" w:hAnsi="Times New Roman"/>
          <w:color w:val="000000"/>
          <w:lang w:eastAsia="ja-JP"/>
        </w:rPr>
        <w:t>pertuzumab</w:t>
      </w:r>
      <w:proofErr w:type="spellEnd"/>
      <w:r w:rsidR="00B524D2">
        <w:rPr>
          <w:rFonts w:ascii="Times New Roman" w:eastAsia="MS Mincho" w:hAnsi="Times New Roman"/>
          <w:color w:val="000000"/>
          <w:lang w:eastAsia="ja-JP"/>
        </w:rPr>
        <w:t xml:space="preserve"> concentrate solution</w:t>
      </w:r>
      <w:r w:rsidR="00461170" w:rsidRPr="00FB49D4">
        <w:rPr>
          <w:rFonts w:ascii="Times New Roman" w:eastAsia="MS Mincho" w:hAnsi="Times New Roman"/>
          <w:color w:val="000000"/>
          <w:lang w:eastAsia="ja-JP"/>
        </w:rPr>
        <w:t xml:space="preserve"> in </w:t>
      </w:r>
      <w:r>
        <w:rPr>
          <w:rFonts w:ascii="Times New Roman" w:eastAsia="MS Mincho" w:hAnsi="Times New Roman"/>
          <w:color w:val="000000"/>
          <w:lang w:eastAsia="ja-JP"/>
        </w:rPr>
        <w:t>Glucose (5%)</w:t>
      </w:r>
      <w:r w:rsidRPr="00FB49D4">
        <w:rPr>
          <w:rFonts w:ascii="Times New Roman" w:eastAsia="MS Mincho" w:hAnsi="Times New Roman"/>
          <w:color w:val="000000"/>
          <w:lang w:eastAsia="ja-JP"/>
        </w:rPr>
        <w:t xml:space="preserve"> </w:t>
      </w:r>
      <w:r w:rsidR="00461170" w:rsidRPr="00FB49D4">
        <w:rPr>
          <w:rFonts w:ascii="Times New Roman" w:eastAsia="MS Mincho" w:hAnsi="Times New Roman"/>
          <w:color w:val="000000"/>
          <w:lang w:eastAsia="ja-JP"/>
        </w:rPr>
        <w:t xml:space="preserve">IV bags did not maintain stable pH after storage at room temperature (27-33°C) for 24 hours followed by 24 hours at </w:t>
      </w:r>
      <w:r w:rsidR="00B524D2">
        <w:rPr>
          <w:rFonts w:ascii="Times New Roman" w:eastAsia="MS Mincho" w:hAnsi="Times New Roman"/>
          <w:color w:val="000000"/>
          <w:lang w:eastAsia="ja-JP"/>
        </w:rPr>
        <w:t>2-8°C</w:t>
      </w:r>
      <w:r w:rsidR="00461170" w:rsidRPr="00FB49D4">
        <w:rPr>
          <w:rFonts w:ascii="Times New Roman" w:hAnsi="Times New Roman"/>
          <w:color w:val="000000"/>
        </w:rPr>
        <w:t>).</w:t>
      </w:r>
    </w:p>
    <w:p w:rsidR="00461170" w:rsidRPr="008130BD" w:rsidRDefault="00123310" w:rsidP="00461170">
      <w:pPr>
        <w:pStyle w:val="Paragraph"/>
        <w:spacing w:after="120"/>
        <w:jc w:val="both"/>
        <w:rPr>
          <w:rFonts w:ascii="Times New Roman" w:hAnsi="Times New Roman"/>
          <w:color w:val="000000"/>
        </w:rPr>
      </w:pPr>
      <w:r>
        <w:rPr>
          <w:rFonts w:ascii="Times New Roman" w:hAnsi="Times New Roman"/>
          <w:color w:val="000000"/>
        </w:rPr>
        <w:t>PERJETA</w:t>
      </w:r>
      <w:r w:rsidR="00461170" w:rsidRPr="00FB49D4">
        <w:rPr>
          <w:rFonts w:ascii="Times New Roman" w:hAnsi="Times New Roman"/>
          <w:color w:val="000000"/>
        </w:rPr>
        <w:t xml:space="preserve"> should not be mixed or diluted with other drugs.</w:t>
      </w:r>
    </w:p>
    <w:p w:rsidR="00D844B2" w:rsidRPr="0060000C" w:rsidRDefault="003B570F" w:rsidP="003B570F">
      <w:pPr>
        <w:pStyle w:val="Heading2"/>
      </w:pPr>
      <w:r w:rsidRPr="0060000C">
        <w:t>OVERDOSAGE</w:t>
      </w:r>
    </w:p>
    <w:p w:rsidR="00877FB8" w:rsidRPr="008130BD" w:rsidRDefault="00877FB8" w:rsidP="00877FB8">
      <w:pPr>
        <w:spacing w:after="120" w:line="280" w:lineRule="exact"/>
      </w:pPr>
      <w:r w:rsidRPr="008130BD">
        <w:t xml:space="preserve">There is no experience with </w:t>
      </w:r>
      <w:proofErr w:type="spellStart"/>
      <w:r w:rsidRPr="008130BD">
        <w:t>overdosage</w:t>
      </w:r>
      <w:proofErr w:type="spellEnd"/>
      <w:r w:rsidRPr="008130BD">
        <w:t xml:space="preserve"> in human clinical trials. Single doses higher than 25 mg/kg (1727 mg) have not been tested.</w:t>
      </w:r>
    </w:p>
    <w:p w:rsidR="00877FB8" w:rsidRPr="00C433BB" w:rsidRDefault="00877FB8" w:rsidP="00877FB8">
      <w:pPr>
        <w:pStyle w:val="BodyText"/>
        <w:spacing w:line="280" w:lineRule="exact"/>
      </w:pPr>
      <w:r w:rsidRPr="00C433BB">
        <w:t>Treatment of overdose should consist of general supportive measures.</w:t>
      </w:r>
    </w:p>
    <w:p w:rsidR="001C3D3E" w:rsidRPr="00EE367F" w:rsidRDefault="00877FB8" w:rsidP="00877FB8">
      <w:pPr>
        <w:spacing w:after="120" w:line="280" w:lineRule="exact"/>
      </w:pPr>
      <w:r w:rsidRPr="00EE367F">
        <w:t xml:space="preserve">For information on the management of overdose, contact the Poison Information Centre </w:t>
      </w:r>
      <w:r w:rsidR="001C3D3E">
        <w:t>(in Australia call</w:t>
      </w:r>
      <w:r w:rsidRPr="00EE367F">
        <w:t xml:space="preserve"> 131126</w:t>
      </w:r>
      <w:r w:rsidR="001C3D3E">
        <w:t>; in New Zealand call 0800 764 766</w:t>
      </w:r>
      <w:r w:rsidRPr="00EE367F">
        <w:t>).</w:t>
      </w:r>
    </w:p>
    <w:p w:rsidR="00D844B2" w:rsidRPr="0060000C" w:rsidRDefault="00410126" w:rsidP="00410126">
      <w:pPr>
        <w:pStyle w:val="Heading2"/>
      </w:pPr>
      <w:r w:rsidRPr="0060000C">
        <w:t>PRESENTATION AND STORAGE CONDITIONS</w:t>
      </w:r>
    </w:p>
    <w:p w:rsidR="004D3170" w:rsidRPr="0060000C" w:rsidRDefault="00123310" w:rsidP="00310E01">
      <w:pPr>
        <w:pStyle w:val="Paragraph"/>
        <w:spacing w:after="120" w:line="240" w:lineRule="auto"/>
        <w:jc w:val="both"/>
        <w:rPr>
          <w:rFonts w:ascii="Times New Roman" w:eastAsia="PMingLiU" w:hAnsi="Times New Roman"/>
          <w:szCs w:val="22"/>
          <w:lang w:val="en-AU" w:eastAsia="zh-TW"/>
        </w:rPr>
      </w:pPr>
      <w:r>
        <w:rPr>
          <w:rFonts w:ascii="Times New Roman" w:eastAsia="PMingLiU" w:hAnsi="Times New Roman"/>
          <w:szCs w:val="22"/>
          <w:lang w:val="en-AU" w:eastAsia="zh-TW"/>
        </w:rPr>
        <w:t>PERJETA</w:t>
      </w:r>
      <w:r w:rsidR="00405386" w:rsidRPr="008130BD">
        <w:rPr>
          <w:rFonts w:ascii="Times New Roman" w:eastAsia="PMingLiU" w:hAnsi="Times New Roman"/>
          <w:szCs w:val="22"/>
          <w:lang w:val="en-AU" w:eastAsia="zh-TW"/>
        </w:rPr>
        <w:t xml:space="preserve"> is supplied in a single-dose</w:t>
      </w:r>
      <w:r w:rsidR="004D3170" w:rsidRPr="008130BD">
        <w:rPr>
          <w:rFonts w:ascii="Times New Roman" w:eastAsia="PMingLiU" w:hAnsi="Times New Roman"/>
          <w:szCs w:val="22"/>
          <w:lang w:val="en-AU" w:eastAsia="zh-TW"/>
        </w:rPr>
        <w:t xml:space="preserve"> </w:t>
      </w:r>
      <w:r w:rsidR="00405386" w:rsidRPr="00C433BB">
        <w:rPr>
          <w:rFonts w:ascii="Times New Roman" w:eastAsia="PMingLiU" w:hAnsi="Times New Roman"/>
          <w:szCs w:val="22"/>
          <w:lang w:val="en-AU" w:eastAsia="zh-TW"/>
        </w:rPr>
        <w:t>glass</w:t>
      </w:r>
      <w:r w:rsidR="00186EC0" w:rsidRPr="00C433BB">
        <w:rPr>
          <w:rFonts w:ascii="Times New Roman" w:eastAsia="PMingLiU" w:hAnsi="Times New Roman"/>
          <w:szCs w:val="22"/>
          <w:lang w:val="en-AU" w:eastAsia="zh-TW"/>
        </w:rPr>
        <w:t xml:space="preserve"> </w:t>
      </w:r>
      <w:r w:rsidR="004D3170" w:rsidRPr="00C433BB">
        <w:rPr>
          <w:rFonts w:ascii="Times New Roman" w:eastAsia="PMingLiU" w:hAnsi="Times New Roman"/>
          <w:szCs w:val="22"/>
          <w:lang w:val="en-AU" w:eastAsia="zh-TW"/>
        </w:rPr>
        <w:t xml:space="preserve">vial </w:t>
      </w:r>
      <w:r w:rsidR="00405386" w:rsidRPr="00C433BB">
        <w:rPr>
          <w:rFonts w:ascii="Times New Roman" w:eastAsia="PMingLiU" w:hAnsi="Times New Roman"/>
          <w:szCs w:val="22"/>
          <w:lang w:val="en-AU" w:eastAsia="zh-TW"/>
        </w:rPr>
        <w:t>containing 14mL of</w:t>
      </w:r>
      <w:r w:rsidR="000C0A1E" w:rsidRPr="00EE367F">
        <w:rPr>
          <w:rFonts w:ascii="Times New Roman" w:eastAsia="PMingLiU" w:hAnsi="Times New Roman"/>
          <w:szCs w:val="22"/>
          <w:lang w:val="en-AU" w:eastAsia="zh-TW"/>
        </w:rPr>
        <w:t xml:space="preserve"> clear to opalescent, colourless to slightly brownish solution</w:t>
      </w:r>
      <w:r w:rsidR="00405386" w:rsidRPr="00EE367F">
        <w:rPr>
          <w:rFonts w:ascii="Times New Roman" w:eastAsia="PMingLiU" w:hAnsi="Times New Roman"/>
          <w:szCs w:val="22"/>
          <w:lang w:val="en-AU" w:eastAsia="zh-TW"/>
        </w:rPr>
        <w:t>. Each vial contains</w:t>
      </w:r>
      <w:r w:rsidR="004D3170" w:rsidRPr="00EE367F">
        <w:rPr>
          <w:rFonts w:ascii="Times New Roman" w:eastAsia="PMingLiU" w:hAnsi="Times New Roman"/>
          <w:szCs w:val="22"/>
          <w:lang w:val="en-AU" w:eastAsia="zh-TW"/>
        </w:rPr>
        <w:t xml:space="preserve"> 420 mg </w:t>
      </w:r>
      <w:r w:rsidR="00EC1417" w:rsidRPr="00FB36B9">
        <w:rPr>
          <w:rFonts w:ascii="Times New Roman" w:eastAsia="PMingLiU" w:hAnsi="Times New Roman"/>
          <w:szCs w:val="22"/>
          <w:lang w:val="en-AU" w:eastAsia="zh-TW"/>
        </w:rPr>
        <w:t xml:space="preserve">of </w:t>
      </w:r>
      <w:proofErr w:type="spellStart"/>
      <w:r w:rsidR="00405386" w:rsidRPr="00FB36B9">
        <w:rPr>
          <w:rFonts w:ascii="Times New Roman" w:eastAsia="PMingLiU" w:hAnsi="Times New Roman"/>
          <w:szCs w:val="22"/>
          <w:lang w:val="en-AU" w:eastAsia="zh-TW"/>
        </w:rPr>
        <w:t>pertuzumab</w:t>
      </w:r>
      <w:proofErr w:type="spellEnd"/>
      <w:r w:rsidR="003471FF" w:rsidRPr="0060000C">
        <w:rPr>
          <w:rFonts w:ascii="Times New Roman" w:eastAsia="PMingLiU" w:hAnsi="Times New Roman"/>
          <w:szCs w:val="22"/>
          <w:lang w:val="en-AU" w:eastAsia="zh-TW"/>
        </w:rPr>
        <w:t xml:space="preserve"> (30 mg/mL)</w:t>
      </w:r>
      <w:r w:rsidR="00405386" w:rsidRPr="0060000C">
        <w:rPr>
          <w:rFonts w:ascii="Times New Roman" w:eastAsia="PMingLiU" w:hAnsi="Times New Roman"/>
          <w:szCs w:val="22"/>
          <w:lang w:val="en-AU" w:eastAsia="zh-TW"/>
        </w:rPr>
        <w:t>.</w:t>
      </w:r>
    </w:p>
    <w:p w:rsidR="00D844B2" w:rsidRPr="008130BD" w:rsidRDefault="00D844B2" w:rsidP="003B570F">
      <w:pPr>
        <w:pStyle w:val="Heading3"/>
      </w:pPr>
      <w:bookmarkStart w:id="18" w:name="_Ref319587093"/>
      <w:r w:rsidRPr="000E40CA">
        <w:t>Storage conditions</w:t>
      </w:r>
      <w:bookmarkEnd w:id="18"/>
    </w:p>
    <w:p w:rsidR="00405386" w:rsidRPr="0060000C" w:rsidRDefault="00405386" w:rsidP="0095618B">
      <w:pPr>
        <w:pStyle w:val="Paragraph"/>
        <w:spacing w:after="120"/>
        <w:jc w:val="both"/>
        <w:rPr>
          <w:rFonts w:ascii="Times New Roman" w:hAnsi="Times New Roman"/>
          <w:lang w:val="en-AU" w:eastAsia="zh-TW"/>
        </w:rPr>
      </w:pPr>
      <w:r w:rsidRPr="008130BD">
        <w:rPr>
          <w:rFonts w:ascii="Times New Roman" w:eastAsia="PMingLiU" w:hAnsi="Times New Roman"/>
          <w:szCs w:val="22"/>
          <w:lang w:val="en-AU" w:eastAsia="zh-TW"/>
        </w:rPr>
        <w:t>Store vials in a refrigerator at 2°C</w:t>
      </w:r>
      <w:r w:rsidRPr="008130BD">
        <w:rPr>
          <w:rFonts w:ascii="Times New Roman" w:eastAsia="PMingLiU" w:hAnsi="Times New Roman"/>
          <w:szCs w:val="22"/>
          <w:lang w:val="en-AU" w:eastAsia="zh-TW"/>
        </w:rPr>
        <w:noBreakHyphen/>
        <w:t xml:space="preserve">8°C. </w:t>
      </w:r>
      <w:r w:rsidR="000C0A1E" w:rsidRPr="008130BD">
        <w:rPr>
          <w:rFonts w:ascii="Times New Roman" w:eastAsia="PMingLiU" w:hAnsi="Times New Roman"/>
          <w:szCs w:val="22"/>
          <w:lang w:val="en-AU" w:eastAsia="zh-TW"/>
        </w:rPr>
        <w:t xml:space="preserve">Keep vial in the outer carton in order to protect from light. </w:t>
      </w:r>
      <w:r w:rsidR="00310E01" w:rsidRPr="008130BD">
        <w:rPr>
          <w:rFonts w:ascii="Times New Roman" w:eastAsia="PMingLiU" w:hAnsi="Times New Roman"/>
          <w:szCs w:val="22"/>
          <w:lang w:val="en-AU" w:eastAsia="zh-TW"/>
        </w:rPr>
        <w:t>Do not freeze. Do not shake.</w:t>
      </w:r>
      <w:r w:rsidR="008A5DAE" w:rsidRPr="008130BD">
        <w:rPr>
          <w:rFonts w:ascii="Times New Roman" w:eastAsia="PMingLiU" w:hAnsi="Times New Roman"/>
          <w:szCs w:val="22"/>
          <w:lang w:val="en-AU" w:eastAsia="zh-TW"/>
        </w:rPr>
        <w:t xml:space="preserve"> Do not use after the expiry date (EXP) shown on the pack.</w:t>
      </w:r>
    </w:p>
    <w:p w:rsidR="00405386" w:rsidRPr="00C433BB" w:rsidRDefault="00405386" w:rsidP="00410126">
      <w:pPr>
        <w:pStyle w:val="Heading3"/>
      </w:pPr>
      <w:r w:rsidRPr="008130BD">
        <w:t xml:space="preserve">Shelf-life of </w:t>
      </w:r>
      <w:r w:rsidR="00123310">
        <w:t>PERJETA</w:t>
      </w:r>
      <w:r w:rsidRPr="008130BD">
        <w:t xml:space="preserve"> solution for infusion </w:t>
      </w:r>
    </w:p>
    <w:p w:rsidR="00405386" w:rsidRPr="00EE367F" w:rsidRDefault="00123310" w:rsidP="00405386">
      <w:pPr>
        <w:pStyle w:val="Paragraph"/>
        <w:jc w:val="both"/>
        <w:rPr>
          <w:rFonts w:ascii="Times New Roman" w:eastAsia="PMingLiU" w:hAnsi="Times New Roman"/>
          <w:szCs w:val="22"/>
          <w:lang w:val="en-AU" w:eastAsia="zh-TW"/>
        </w:rPr>
      </w:pPr>
      <w:r>
        <w:rPr>
          <w:rFonts w:ascii="Times New Roman" w:eastAsia="PMingLiU" w:hAnsi="Times New Roman"/>
          <w:szCs w:val="22"/>
          <w:lang w:val="en-AU" w:eastAsia="zh-TW"/>
        </w:rPr>
        <w:t>PERJETA</w:t>
      </w:r>
      <w:r w:rsidR="00405386" w:rsidRPr="00C433BB">
        <w:rPr>
          <w:rFonts w:ascii="Times New Roman" w:eastAsia="PMingLiU" w:hAnsi="Times New Roman"/>
          <w:szCs w:val="22"/>
          <w:lang w:val="en-AU" w:eastAsia="zh-TW"/>
        </w:rPr>
        <w:t xml:space="preserve"> does not contain any anti</w:t>
      </w:r>
      <w:r w:rsidR="005B2806" w:rsidRPr="00C433BB">
        <w:rPr>
          <w:rFonts w:ascii="Times New Roman" w:eastAsia="PMingLiU" w:hAnsi="Times New Roman"/>
          <w:szCs w:val="22"/>
          <w:lang w:val="en-AU" w:eastAsia="zh-TW"/>
        </w:rPr>
        <w:t>-</w:t>
      </w:r>
      <w:r w:rsidR="00405386" w:rsidRPr="00EE367F">
        <w:rPr>
          <w:rFonts w:ascii="Times New Roman" w:eastAsia="PMingLiU" w:hAnsi="Times New Roman"/>
          <w:szCs w:val="22"/>
          <w:lang w:val="en-AU" w:eastAsia="zh-TW"/>
        </w:rPr>
        <w:t>microbial preservative; therefore, care must be taken to ensure the sterility of the prepared solution.</w:t>
      </w:r>
    </w:p>
    <w:p w:rsidR="00CA0E39" w:rsidRPr="0060000C" w:rsidRDefault="00405386" w:rsidP="00D17D54">
      <w:pPr>
        <w:pStyle w:val="Paragraph"/>
        <w:jc w:val="both"/>
        <w:rPr>
          <w:rFonts w:ascii="Times New Roman" w:hAnsi="Times New Roman"/>
          <w:color w:val="000000"/>
        </w:rPr>
      </w:pPr>
      <w:r w:rsidRPr="00EE367F">
        <w:rPr>
          <w:rFonts w:ascii="Times New Roman" w:eastAsia="PMingLiU" w:hAnsi="Times New Roman"/>
          <w:szCs w:val="22"/>
          <w:lang w:val="en-AU" w:eastAsia="zh-TW"/>
        </w:rPr>
        <w:t xml:space="preserve">The </w:t>
      </w:r>
      <w:r w:rsidR="00123310">
        <w:rPr>
          <w:rFonts w:ascii="Times New Roman" w:eastAsia="PMingLiU" w:hAnsi="Times New Roman"/>
          <w:szCs w:val="22"/>
          <w:lang w:val="en-AU" w:eastAsia="zh-TW"/>
        </w:rPr>
        <w:t>PERJETA</w:t>
      </w:r>
      <w:r w:rsidR="005B2806" w:rsidRPr="00EE367F">
        <w:rPr>
          <w:rFonts w:ascii="Times New Roman" w:eastAsia="PMingLiU" w:hAnsi="Times New Roman"/>
          <w:szCs w:val="22"/>
          <w:lang w:val="en-AU" w:eastAsia="zh-TW"/>
        </w:rPr>
        <w:t xml:space="preserve"> infusion solution,</w:t>
      </w:r>
      <w:r w:rsidRPr="00EE367F">
        <w:rPr>
          <w:rFonts w:ascii="Times New Roman" w:eastAsia="PMingLiU" w:hAnsi="Times New Roman"/>
          <w:szCs w:val="22"/>
          <w:lang w:val="en-AU" w:eastAsia="zh-TW"/>
        </w:rPr>
        <w:t xml:space="preserve"> diluted in PVC or non-PVC polyolefin bags</w:t>
      </w:r>
      <w:r w:rsidR="005B2806" w:rsidRPr="00EE367F">
        <w:rPr>
          <w:rFonts w:ascii="Times New Roman" w:eastAsia="PMingLiU" w:hAnsi="Times New Roman"/>
          <w:szCs w:val="22"/>
          <w:lang w:val="en-AU" w:eastAsia="zh-TW"/>
        </w:rPr>
        <w:t xml:space="preserve">, may be stored at 2°C–8°C </w:t>
      </w:r>
      <w:r w:rsidRPr="00EE367F">
        <w:rPr>
          <w:rFonts w:ascii="Times New Roman" w:eastAsia="PMingLiU" w:hAnsi="Times New Roman"/>
          <w:szCs w:val="22"/>
          <w:lang w:val="en-AU" w:eastAsia="zh-TW"/>
        </w:rPr>
        <w:t xml:space="preserve">for up to 24 hours prior to use. Diluted </w:t>
      </w:r>
      <w:r w:rsidR="00123310">
        <w:rPr>
          <w:rFonts w:ascii="Times New Roman" w:eastAsia="PMingLiU" w:hAnsi="Times New Roman"/>
          <w:szCs w:val="22"/>
          <w:lang w:val="en-AU" w:eastAsia="zh-TW"/>
        </w:rPr>
        <w:t>PERJETA</w:t>
      </w:r>
      <w:r w:rsidRPr="00EE367F">
        <w:rPr>
          <w:rFonts w:ascii="Times New Roman" w:eastAsia="PMingLiU" w:hAnsi="Times New Roman"/>
          <w:szCs w:val="22"/>
          <w:lang w:val="en-AU" w:eastAsia="zh-TW"/>
        </w:rPr>
        <w:t xml:space="preserve"> has been shown to be stable for up to 24 h</w:t>
      </w:r>
      <w:r w:rsidR="005B2806" w:rsidRPr="00EE367F">
        <w:rPr>
          <w:rFonts w:ascii="Times New Roman" w:eastAsia="PMingLiU" w:hAnsi="Times New Roman"/>
          <w:szCs w:val="22"/>
          <w:lang w:val="en-AU" w:eastAsia="zh-TW"/>
        </w:rPr>
        <w:t>ours (up to 30°C) h</w:t>
      </w:r>
      <w:r w:rsidRPr="00EE367F">
        <w:rPr>
          <w:rFonts w:ascii="Times New Roman" w:eastAsia="PMingLiU" w:hAnsi="Times New Roman"/>
          <w:szCs w:val="22"/>
          <w:lang w:val="en-AU" w:eastAsia="zh-TW"/>
        </w:rPr>
        <w:t xml:space="preserve">owever, since diluted </w:t>
      </w:r>
      <w:r w:rsidR="00123310">
        <w:rPr>
          <w:rFonts w:ascii="Times New Roman" w:eastAsia="PMingLiU" w:hAnsi="Times New Roman"/>
          <w:szCs w:val="22"/>
          <w:lang w:val="en-AU" w:eastAsia="zh-TW"/>
        </w:rPr>
        <w:t>PERJETA</w:t>
      </w:r>
      <w:r w:rsidRPr="0060000C">
        <w:rPr>
          <w:rFonts w:ascii="Times New Roman" w:eastAsia="PMingLiU" w:hAnsi="Times New Roman"/>
          <w:szCs w:val="22"/>
          <w:lang w:val="en-AU" w:eastAsia="zh-TW"/>
        </w:rPr>
        <w:t xml:space="preserve"> contains no preservative, the d</w:t>
      </w:r>
      <w:r w:rsidR="005B2806" w:rsidRPr="0060000C">
        <w:rPr>
          <w:rFonts w:ascii="Times New Roman" w:eastAsia="PMingLiU" w:hAnsi="Times New Roman"/>
          <w:szCs w:val="22"/>
          <w:lang w:val="en-AU" w:eastAsia="zh-TW"/>
        </w:rPr>
        <w:t>iluted solution should be</w:t>
      </w:r>
      <w:r w:rsidRPr="0060000C">
        <w:rPr>
          <w:rFonts w:ascii="Times New Roman" w:eastAsia="PMingLiU" w:hAnsi="Times New Roman"/>
          <w:szCs w:val="22"/>
          <w:lang w:val="en-AU" w:eastAsia="zh-TW"/>
        </w:rPr>
        <w:t xml:space="preserve"> refrigerated (2°C–8°C).</w:t>
      </w:r>
    </w:p>
    <w:p w:rsidR="00CA0E39" w:rsidRPr="008130BD" w:rsidRDefault="00CA0E39" w:rsidP="00410126">
      <w:pPr>
        <w:pStyle w:val="Heading3"/>
      </w:pPr>
      <w:r w:rsidRPr="008130BD">
        <w:t>Disposal of unused/expired medicines</w:t>
      </w:r>
    </w:p>
    <w:p w:rsidR="0093016F" w:rsidRPr="00EE367F" w:rsidRDefault="008A5DAE" w:rsidP="0093016F">
      <w:pPr>
        <w:adjustRightInd w:val="0"/>
        <w:rPr>
          <w:rFonts w:eastAsia="SimSun"/>
          <w:szCs w:val="24"/>
          <w:lang w:eastAsia="zh-CN"/>
        </w:rPr>
      </w:pPr>
      <w:r w:rsidRPr="00C433BB">
        <w:rPr>
          <w:rFonts w:eastAsia="SimSun"/>
          <w:bCs/>
          <w:iCs/>
          <w:szCs w:val="24"/>
          <w:lang w:val="en-GB" w:eastAsia="zh-CN"/>
        </w:rPr>
        <w:t xml:space="preserve">The release of </w:t>
      </w:r>
      <w:r w:rsidRPr="00C433BB">
        <w:rPr>
          <w:rFonts w:eastAsia="SimSun"/>
          <w:bCs/>
          <w:iCs/>
          <w:szCs w:val="24"/>
          <w:lang w:eastAsia="zh-CN"/>
        </w:rPr>
        <w:t>medicines</w:t>
      </w:r>
      <w:r w:rsidR="0093016F" w:rsidRPr="00C433BB">
        <w:rPr>
          <w:rFonts w:eastAsia="SimSun"/>
          <w:bCs/>
          <w:iCs/>
          <w:szCs w:val="24"/>
          <w:lang w:eastAsia="zh-CN"/>
        </w:rPr>
        <w:t xml:space="preserve"> </w:t>
      </w:r>
      <w:r w:rsidR="0093016F" w:rsidRPr="00EE367F">
        <w:rPr>
          <w:rFonts w:eastAsia="SimSun"/>
          <w:bCs/>
          <w:iCs/>
          <w:szCs w:val="24"/>
          <w:lang w:val="en-GB" w:eastAsia="zh-CN"/>
        </w:rPr>
        <w:t>into the environment should be minimized.  Medicines should not be disposed of via w</w:t>
      </w:r>
      <w:r w:rsidRPr="00EE367F">
        <w:rPr>
          <w:rFonts w:eastAsia="SimSun"/>
          <w:bCs/>
          <w:iCs/>
          <w:szCs w:val="24"/>
          <w:lang w:val="en-GB" w:eastAsia="zh-CN"/>
        </w:rPr>
        <w:t xml:space="preserve">astewater and disposal through </w:t>
      </w:r>
      <w:r w:rsidRPr="00EE367F">
        <w:rPr>
          <w:rFonts w:eastAsia="SimSun"/>
          <w:bCs/>
          <w:iCs/>
          <w:szCs w:val="24"/>
          <w:lang w:eastAsia="zh-CN"/>
        </w:rPr>
        <w:t>household</w:t>
      </w:r>
      <w:r w:rsidR="0093016F" w:rsidRPr="00EE367F">
        <w:rPr>
          <w:rFonts w:eastAsia="SimSun"/>
          <w:bCs/>
          <w:iCs/>
          <w:szCs w:val="24"/>
          <w:lang w:eastAsia="zh-CN"/>
        </w:rPr>
        <w:t xml:space="preserve"> waste should be avoided. Unused or expired medicine should be returned to a pharmacy for disposal. </w:t>
      </w:r>
    </w:p>
    <w:p w:rsidR="00D844B2" w:rsidRPr="00410126" w:rsidRDefault="00410126" w:rsidP="00410126">
      <w:pPr>
        <w:pStyle w:val="Heading2"/>
      </w:pPr>
      <w:r w:rsidRPr="00410126">
        <w:t>NAME AND ADDRESS OF THE SPONSOR</w:t>
      </w:r>
    </w:p>
    <w:p w:rsidR="00D844B2" w:rsidRPr="008130BD" w:rsidRDefault="00D844B2" w:rsidP="007E03C2">
      <w:pPr>
        <w:keepNext/>
        <w:rPr>
          <w:color w:val="000000"/>
          <w:lang w:val="en-GB"/>
        </w:rPr>
      </w:pPr>
      <w:r w:rsidRPr="008130BD">
        <w:rPr>
          <w:color w:val="000000"/>
          <w:lang w:val="en-GB"/>
        </w:rPr>
        <w:t>Roche Products Pty Limited</w:t>
      </w:r>
    </w:p>
    <w:p w:rsidR="00D844B2" w:rsidRPr="00C433BB" w:rsidRDefault="00D844B2" w:rsidP="007E03C2">
      <w:pPr>
        <w:keepNext/>
        <w:rPr>
          <w:color w:val="000000"/>
          <w:lang w:val="en-GB"/>
        </w:rPr>
      </w:pPr>
      <w:r w:rsidRPr="00C433BB">
        <w:rPr>
          <w:color w:val="000000"/>
          <w:lang w:val="en-GB"/>
        </w:rPr>
        <w:t>ABN 70 000 132 865</w:t>
      </w:r>
    </w:p>
    <w:p w:rsidR="00D844B2" w:rsidRPr="00EE367F" w:rsidRDefault="00D844B2" w:rsidP="007E03C2">
      <w:pPr>
        <w:keepNext/>
        <w:rPr>
          <w:color w:val="000000"/>
          <w:lang w:val="en-GB"/>
        </w:rPr>
      </w:pPr>
      <w:r w:rsidRPr="00C433BB">
        <w:rPr>
          <w:color w:val="000000"/>
          <w:lang w:val="en-GB"/>
        </w:rPr>
        <w:t>4</w:t>
      </w:r>
      <w:r w:rsidRPr="00C433BB">
        <w:rPr>
          <w:color w:val="000000"/>
          <w:lang w:val="en-GB"/>
        </w:rPr>
        <w:sym w:font="Symbol" w:char="F02D"/>
      </w:r>
      <w:r w:rsidRPr="00C433BB">
        <w:rPr>
          <w:color w:val="000000"/>
          <w:lang w:val="en-GB"/>
        </w:rPr>
        <w:t>10 Inman Road</w:t>
      </w:r>
    </w:p>
    <w:p w:rsidR="00D844B2" w:rsidRPr="00EE367F" w:rsidRDefault="00D844B2" w:rsidP="007E03C2">
      <w:pPr>
        <w:keepNext/>
        <w:rPr>
          <w:color w:val="000000"/>
          <w:lang w:val="en-GB"/>
        </w:rPr>
      </w:pPr>
      <w:r w:rsidRPr="00EE367F">
        <w:rPr>
          <w:color w:val="000000"/>
          <w:lang w:val="en-GB"/>
        </w:rPr>
        <w:t>Dee Why   NSW   2099</w:t>
      </w:r>
    </w:p>
    <w:p w:rsidR="00D844B2" w:rsidRPr="00EE367F" w:rsidRDefault="00D844B2" w:rsidP="005975E8">
      <w:pPr>
        <w:keepNext/>
        <w:spacing w:after="120" w:line="280" w:lineRule="exact"/>
        <w:rPr>
          <w:color w:val="000000"/>
          <w:lang w:val="en-GB"/>
        </w:rPr>
      </w:pPr>
      <w:r w:rsidRPr="00EE367F">
        <w:rPr>
          <w:color w:val="000000"/>
          <w:lang w:val="en-GB"/>
        </w:rPr>
        <w:t>AUSTRALIA</w:t>
      </w:r>
    </w:p>
    <w:p w:rsidR="00D844B2" w:rsidRDefault="00B75D54" w:rsidP="007E03C2">
      <w:pPr>
        <w:spacing w:after="120"/>
        <w:rPr>
          <w:color w:val="000000"/>
          <w:lang w:val="en-GB"/>
        </w:rPr>
      </w:pPr>
      <w:r>
        <w:rPr>
          <w:color w:val="000000"/>
          <w:lang w:val="en-GB"/>
        </w:rPr>
        <w:t>Medical</w:t>
      </w:r>
      <w:r w:rsidRPr="00EE367F">
        <w:rPr>
          <w:color w:val="000000"/>
          <w:lang w:val="en-GB"/>
        </w:rPr>
        <w:t xml:space="preserve"> </w:t>
      </w:r>
      <w:r w:rsidR="00D844B2" w:rsidRPr="00EE367F">
        <w:rPr>
          <w:color w:val="000000"/>
          <w:lang w:val="en-GB"/>
        </w:rPr>
        <w:t>enquiries: 1800 233 950</w:t>
      </w:r>
    </w:p>
    <w:p w:rsidR="00D158FF" w:rsidRDefault="00D158FF" w:rsidP="004F2A93">
      <w:pPr>
        <w:rPr>
          <w:color w:val="000000"/>
          <w:lang w:val="en-GB"/>
        </w:rPr>
      </w:pPr>
    </w:p>
    <w:p w:rsidR="002A7CBD" w:rsidRDefault="002A7CBD" w:rsidP="007E03C2">
      <w:pPr>
        <w:spacing w:after="120"/>
        <w:rPr>
          <w:color w:val="000000"/>
          <w:lang w:val="en-GB"/>
        </w:rPr>
      </w:pPr>
      <w:r>
        <w:rPr>
          <w:color w:val="000000"/>
          <w:lang w:val="en-GB"/>
        </w:rPr>
        <w:t>Distributed in New Zealand by:</w:t>
      </w:r>
    </w:p>
    <w:p w:rsidR="002A7CBD" w:rsidRDefault="002A7CBD" w:rsidP="002A7CBD">
      <w:pPr>
        <w:rPr>
          <w:color w:val="000000"/>
          <w:lang w:val="en-GB"/>
        </w:rPr>
      </w:pPr>
      <w:r>
        <w:rPr>
          <w:color w:val="000000"/>
          <w:lang w:val="en-GB"/>
        </w:rPr>
        <w:t>Roche Products (New Zealand) Limited</w:t>
      </w:r>
    </w:p>
    <w:p w:rsidR="002A7CBD" w:rsidRDefault="002A7CBD" w:rsidP="002A7CBD">
      <w:pPr>
        <w:rPr>
          <w:color w:val="000000"/>
          <w:lang w:val="en-GB"/>
        </w:rPr>
      </w:pPr>
      <w:r>
        <w:rPr>
          <w:color w:val="000000"/>
          <w:lang w:val="en-GB"/>
        </w:rPr>
        <w:t>PO Box 109113 Newmarket</w:t>
      </w:r>
    </w:p>
    <w:p w:rsidR="002A7CBD" w:rsidRDefault="002A7CBD" w:rsidP="002A7CBD">
      <w:pPr>
        <w:rPr>
          <w:color w:val="000000"/>
          <w:lang w:val="en-GB"/>
        </w:rPr>
      </w:pPr>
      <w:r>
        <w:rPr>
          <w:color w:val="000000"/>
          <w:lang w:val="en-GB"/>
        </w:rPr>
        <w:t>Auckland 1149</w:t>
      </w:r>
    </w:p>
    <w:p w:rsidR="002A7CBD" w:rsidRDefault="002A7CBD" w:rsidP="002A7CBD">
      <w:pPr>
        <w:rPr>
          <w:color w:val="000000"/>
          <w:lang w:val="en-GB"/>
        </w:rPr>
      </w:pPr>
      <w:r>
        <w:rPr>
          <w:color w:val="000000"/>
          <w:lang w:val="en-GB"/>
        </w:rPr>
        <w:t>NEW ZEALAND</w:t>
      </w:r>
    </w:p>
    <w:p w:rsidR="002A7CBD" w:rsidRDefault="002A7CBD" w:rsidP="006F054B">
      <w:pPr>
        <w:rPr>
          <w:color w:val="000000"/>
          <w:lang w:val="en-GB"/>
        </w:rPr>
      </w:pPr>
    </w:p>
    <w:p w:rsidR="002A7CBD" w:rsidRDefault="00B75D54" w:rsidP="007E03C2">
      <w:pPr>
        <w:spacing w:after="120"/>
        <w:rPr>
          <w:color w:val="000000"/>
          <w:lang w:val="en-GB"/>
        </w:rPr>
      </w:pPr>
      <w:r>
        <w:rPr>
          <w:color w:val="000000"/>
          <w:lang w:val="en-GB"/>
        </w:rPr>
        <w:t xml:space="preserve">Medical </w:t>
      </w:r>
      <w:r w:rsidR="002A7CBD">
        <w:rPr>
          <w:color w:val="000000"/>
          <w:lang w:val="en-GB"/>
        </w:rPr>
        <w:t>enquiries: 0800 656 464</w:t>
      </w:r>
    </w:p>
    <w:p w:rsidR="00D844B2" w:rsidRPr="0060000C" w:rsidRDefault="00410126" w:rsidP="00410126">
      <w:pPr>
        <w:pStyle w:val="Heading2"/>
      </w:pPr>
      <w:r w:rsidRPr="0060000C">
        <w:t>POISON SCHEDULE OF THE MEDICINE</w:t>
      </w:r>
    </w:p>
    <w:p w:rsidR="00D844B2" w:rsidRPr="00EE367F" w:rsidRDefault="007E03C2" w:rsidP="007E03C2">
      <w:pPr>
        <w:spacing w:after="120"/>
      </w:pPr>
      <w:r w:rsidRPr="008130BD">
        <w:t xml:space="preserve">Schedule 4. </w:t>
      </w:r>
      <w:r w:rsidR="00B34100" w:rsidRPr="008130BD">
        <w:t>P</w:t>
      </w:r>
      <w:r w:rsidRPr="008130BD">
        <w:t xml:space="preserve">rescription Only </w:t>
      </w:r>
      <w:r w:rsidRPr="00C433BB">
        <w:t>Medicine</w:t>
      </w:r>
      <w:r w:rsidR="001D0F03" w:rsidRPr="00C433BB">
        <w:t>.</w:t>
      </w:r>
      <w:r w:rsidRPr="00C433BB">
        <w:t xml:space="preserve"> </w:t>
      </w:r>
      <w:r w:rsidR="009B5E75" w:rsidRPr="00C433BB">
        <w:t xml:space="preserve"> </w:t>
      </w:r>
    </w:p>
    <w:p w:rsidR="00D844B2" w:rsidRPr="0060000C" w:rsidRDefault="00410126" w:rsidP="00410126">
      <w:pPr>
        <w:pStyle w:val="Heading2"/>
      </w:pPr>
      <w:r w:rsidRPr="0060000C">
        <w:t>DATE OF FIRST INCLUSION IN THE AUSTRALIAN REGISTER OF THERAPEUTIC GOODS (THE ARTG)</w:t>
      </w:r>
    </w:p>
    <w:p w:rsidR="00D844B2" w:rsidRPr="008130BD" w:rsidRDefault="001F64F6" w:rsidP="007E03C2">
      <w:r>
        <w:t>6</w:t>
      </w:r>
      <w:r w:rsidR="00F938CD">
        <w:t xml:space="preserve"> May 2013</w:t>
      </w:r>
    </w:p>
    <w:p w:rsidR="00E64797" w:rsidRPr="00410126" w:rsidRDefault="00410126" w:rsidP="00410126">
      <w:pPr>
        <w:pStyle w:val="Heading2"/>
      </w:pPr>
      <w:r w:rsidRPr="00410126">
        <w:t>DATE OF MOST RECENT AMENDMENT</w:t>
      </w:r>
    </w:p>
    <w:p w:rsidR="00E64797" w:rsidRPr="008130BD" w:rsidRDefault="00CF0FE2" w:rsidP="00E64797">
      <w:r>
        <w:t>24 May 2016</w:t>
      </w:r>
    </w:p>
    <w:p w:rsidR="00E64797" w:rsidRPr="00C433BB" w:rsidRDefault="00E64797" w:rsidP="007E03C2">
      <w:bookmarkStart w:id="19" w:name="_GoBack"/>
      <w:bookmarkEnd w:id="19"/>
    </w:p>
    <w:sectPr w:rsidR="00E64797" w:rsidRPr="00C433BB" w:rsidSect="004A60B2">
      <w:pgSz w:w="11907" w:h="16839"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89" w:rsidRDefault="00ED2B89" w:rsidP="000471CA">
      <w:r>
        <w:separator/>
      </w:r>
    </w:p>
  </w:endnote>
  <w:endnote w:type="continuationSeparator" w:id="0">
    <w:p w:rsidR="00ED2B89" w:rsidRDefault="00ED2B89"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5E3" w:rsidRDefault="004025E3" w:rsidP="00DA1628">
    <w:pPr>
      <w:pStyle w:val="Footer"/>
      <w:pBdr>
        <w:top w:val="single" w:sz="4" w:space="1" w:color="auto"/>
      </w:pBdr>
      <w:tabs>
        <w:tab w:val="clear" w:pos="4513"/>
        <w:tab w:val="clear" w:pos="9026"/>
        <w:tab w:val="right" w:pos="9072"/>
      </w:tabs>
      <w:rPr>
        <w:color w:val="000000"/>
        <w:sz w:val="16"/>
        <w:szCs w:val="16"/>
      </w:rPr>
    </w:pPr>
    <w:proofErr w:type="spellStart"/>
    <w:r>
      <w:rPr>
        <w:color w:val="000000"/>
        <w:sz w:val="16"/>
        <w:szCs w:val="16"/>
      </w:rPr>
      <w:t>Perjeta</w:t>
    </w:r>
    <w:proofErr w:type="spellEnd"/>
    <w:r w:rsidRPr="00DA1628">
      <w:rPr>
        <w:color w:val="000000"/>
        <w:sz w:val="16"/>
        <w:szCs w:val="16"/>
        <w:vertAlign w:val="superscript"/>
      </w:rPr>
      <w:sym w:font="Symbol" w:char="F0D2"/>
    </w:r>
    <w:r w:rsidRPr="00DA1628">
      <w:rPr>
        <w:color w:val="000000"/>
        <w:sz w:val="16"/>
        <w:szCs w:val="16"/>
      </w:rPr>
      <w:t xml:space="preserve"> PI </w:t>
    </w:r>
    <w:r w:rsidR="00865852">
      <w:rPr>
        <w:color w:val="000000"/>
        <w:sz w:val="16"/>
        <w:szCs w:val="16"/>
      </w:rPr>
      <w:t>1605</w:t>
    </w:r>
    <w:r w:rsidR="00C14501">
      <w:rPr>
        <w:color w:val="000000"/>
        <w:sz w:val="16"/>
        <w:szCs w:val="16"/>
      </w:rPr>
      <w:t>20</w:t>
    </w:r>
    <w:r w:rsidRPr="00DA1628">
      <w:rPr>
        <w:color w:val="000000"/>
        <w:sz w:val="16"/>
        <w:szCs w:val="16"/>
      </w:rPr>
      <w:tab/>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836B50">
      <w:rPr>
        <w:noProof/>
        <w:color w:val="000000"/>
        <w:sz w:val="16"/>
        <w:szCs w:val="16"/>
      </w:rPr>
      <w:t>20</w:t>
    </w:r>
    <w:r w:rsidRPr="00DA1628">
      <w:rPr>
        <w:color w:val="000000"/>
        <w:sz w:val="16"/>
        <w:szCs w:val="16"/>
      </w:rPr>
      <w:fldChar w:fldCharType="end"/>
    </w:r>
    <w:bookmarkStart w:id="7" w:name="_Ref319414898"/>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89" w:rsidRDefault="00ED2B89" w:rsidP="000471CA">
      <w:r>
        <w:separator/>
      </w:r>
    </w:p>
  </w:footnote>
  <w:footnote w:type="continuationSeparator" w:id="0">
    <w:p w:rsidR="00ED2B89" w:rsidRDefault="00ED2B89"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101"/>
    </w:tblGrid>
    <w:tr w:rsidR="00765C64" w:rsidTr="00836B50">
      <w:trPr>
        <w:trHeight w:val="750"/>
      </w:trPr>
      <w:tc>
        <w:tcPr>
          <w:tcW w:w="8101" w:type="dxa"/>
          <w:shd w:val="clear" w:color="auto" w:fill="E4F2E0"/>
        </w:tcPr>
        <w:p w:rsidR="00765C64" w:rsidRDefault="00836B50" w:rsidP="00765C64">
          <w:pPr>
            <w:pStyle w:val="Header"/>
            <w:jc w:val="left"/>
            <w:rPr>
              <w:sz w:val="52"/>
              <w:szCs w:val="52"/>
            </w:rPr>
          </w:pPr>
          <w:r>
            <w:rPr>
              <w:noProof/>
              <w:lang w:eastAsia="en-AU"/>
            </w:rPr>
            <w:drawing>
              <wp:anchor distT="0" distB="0" distL="114300" distR="114300" simplePos="0" relativeHeight="251658240" behindDoc="0" locked="0" layoutInCell="1" allowOverlap="1" wp14:anchorId="5FA8ACFD" wp14:editId="6501551A">
                <wp:simplePos x="0" y="0"/>
                <wp:positionH relativeFrom="column">
                  <wp:posOffset>5195570</wp:posOffset>
                </wp:positionH>
                <wp:positionV relativeFrom="paragraph">
                  <wp:posOffset>33655</wp:posOffset>
                </wp:positionV>
                <wp:extent cx="695325" cy="361950"/>
                <wp:effectExtent l="0" t="0" r="9525" b="0"/>
                <wp:wrapNone/>
                <wp:docPr id="1" name="Logo" descr="Description: RoLo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Description: RoLo40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C64" w:rsidRPr="00D361CA">
            <w:rPr>
              <w:b/>
              <w:sz w:val="20"/>
              <w:szCs w:val="20"/>
            </w:rPr>
            <w:t xml:space="preserve">Attachment 1: Product information for </w:t>
          </w:r>
          <w:proofErr w:type="spellStart"/>
          <w:r w:rsidR="00765C64" w:rsidRPr="00765C64">
            <w:rPr>
              <w:b/>
              <w:sz w:val="20"/>
              <w:szCs w:val="20"/>
            </w:rPr>
            <w:t>AusPAR</w:t>
          </w:r>
          <w:proofErr w:type="spellEnd"/>
          <w:r w:rsidR="00765C64" w:rsidRPr="00765C64">
            <w:rPr>
              <w:b/>
              <w:sz w:val="20"/>
              <w:szCs w:val="20"/>
            </w:rPr>
            <w:t xml:space="preserve"> </w:t>
          </w:r>
          <w:proofErr w:type="spellStart"/>
          <w:r w:rsidR="00765C64" w:rsidRPr="00765C64">
            <w:rPr>
              <w:b/>
              <w:sz w:val="20"/>
              <w:szCs w:val="20"/>
            </w:rPr>
            <w:t>Perjeta</w:t>
          </w:r>
          <w:proofErr w:type="spellEnd"/>
          <w:r w:rsidR="00765C64" w:rsidRPr="00765C64">
            <w:rPr>
              <w:b/>
              <w:sz w:val="20"/>
              <w:szCs w:val="20"/>
            </w:rPr>
            <w:t xml:space="preserve"> </w:t>
          </w:r>
          <w:proofErr w:type="spellStart"/>
          <w:r w:rsidR="00765C64" w:rsidRPr="00765C64">
            <w:rPr>
              <w:b/>
              <w:sz w:val="20"/>
              <w:szCs w:val="20"/>
            </w:rPr>
            <w:t>Pertuzumab</w:t>
          </w:r>
          <w:proofErr w:type="spellEnd"/>
          <w:r w:rsidR="00765C64" w:rsidRPr="00765C64">
            <w:rPr>
              <w:b/>
              <w:sz w:val="20"/>
              <w:szCs w:val="20"/>
            </w:rPr>
            <w:t xml:space="preserve"> Roche Products Pty Limited PM-2014-04259-1-4 Draft 2.0 16 June 2016</w:t>
          </w:r>
          <w:r w:rsidR="00765C64" w:rsidRPr="00D361CA">
            <w:rPr>
              <w:b/>
              <w:sz w:val="20"/>
              <w:szCs w:val="20"/>
            </w:rPr>
            <w:t xml:space="preserve">. This Product Information was approved at the time this </w:t>
          </w:r>
          <w:proofErr w:type="spellStart"/>
          <w:r w:rsidR="00765C64" w:rsidRPr="00D361CA">
            <w:rPr>
              <w:b/>
              <w:sz w:val="20"/>
              <w:szCs w:val="20"/>
            </w:rPr>
            <w:t>AusPAR</w:t>
          </w:r>
          <w:proofErr w:type="spellEnd"/>
          <w:r w:rsidR="00765C64" w:rsidRPr="00D361CA">
            <w:rPr>
              <w:b/>
              <w:sz w:val="20"/>
              <w:szCs w:val="20"/>
            </w:rPr>
            <w:t xml:space="preserve"> was published.</w:t>
          </w:r>
        </w:p>
      </w:tc>
    </w:tr>
  </w:tbl>
  <w:p w:rsidR="004025E3" w:rsidRPr="00836B50" w:rsidRDefault="004025E3" w:rsidP="00836B50">
    <w:pPr>
      <w:pStyle w:val="Header"/>
      <w:spacing w:after="120"/>
      <w:rPr>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26" type="#_x0000_t75" alt="Description: RoLo40c" style="width:188.25pt;height:97.5pt;visibility:visible;mso-wrap-style:square" o:bullet="t">
        <v:imagedata r:id="rId1" o:title=" RoLo40c"/>
      </v:shape>
    </w:pict>
  </w:numPicBullet>
  <w:abstractNum w:abstractNumId="0">
    <w:nsid w:val="FFFFFF89"/>
    <w:multiLevelType w:val="singleLevel"/>
    <w:tmpl w:val="B76C5344"/>
    <w:lvl w:ilvl="0">
      <w:start w:val="1"/>
      <w:numFmt w:val="bullet"/>
      <w:lvlText w:val=""/>
      <w:lvlJc w:val="left"/>
      <w:pPr>
        <w:tabs>
          <w:tab w:val="num" w:pos="432"/>
        </w:tabs>
        <w:ind w:left="432" w:hanging="331"/>
      </w:pPr>
      <w:rPr>
        <w:rFonts w:ascii="Symbol" w:hAnsi="Symbol" w:hint="default"/>
      </w:rPr>
    </w:lvl>
  </w:abstractNum>
  <w:abstractNum w:abstractNumId="1">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2F42B5"/>
    <w:multiLevelType w:val="hybridMultilevel"/>
    <w:tmpl w:val="D66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0D0F35"/>
    <w:multiLevelType w:val="hybridMultilevel"/>
    <w:tmpl w:val="2946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6F38F5"/>
    <w:multiLevelType w:val="hybridMultilevel"/>
    <w:tmpl w:val="EC6C9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FF252E"/>
    <w:multiLevelType w:val="hybridMultilevel"/>
    <w:tmpl w:val="3A64996C"/>
    <w:lvl w:ilvl="0" w:tplc="44EC8224">
      <w:start w:val="2"/>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9">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351BC3"/>
    <w:multiLevelType w:val="hybridMultilevel"/>
    <w:tmpl w:val="A10CE6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F84AE7"/>
    <w:multiLevelType w:val="hybridMultilevel"/>
    <w:tmpl w:val="9A3A29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9B7282"/>
    <w:multiLevelType w:val="hybridMultilevel"/>
    <w:tmpl w:val="C5E4706A"/>
    <w:lvl w:ilvl="0" w:tplc="D0DE909A">
      <w:numFmt w:val="bullet"/>
      <w:lvlText w:val="•"/>
      <w:lvlJc w:val="left"/>
      <w:pPr>
        <w:ind w:left="1080" w:hanging="72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930644"/>
    <w:multiLevelType w:val="hybridMultilevel"/>
    <w:tmpl w:val="EC6C9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A88758E"/>
    <w:multiLevelType w:val="hybridMultilevel"/>
    <w:tmpl w:val="0A48A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D7D6BF4"/>
    <w:multiLevelType w:val="hybridMultilevel"/>
    <w:tmpl w:val="C79A1CC4"/>
    <w:lvl w:ilvl="0" w:tplc="C97E97B0">
      <w:start w:val="2"/>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6B93E59"/>
    <w:multiLevelType w:val="hybridMultilevel"/>
    <w:tmpl w:val="204A2B7A"/>
    <w:lvl w:ilvl="0" w:tplc="06E60A2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E93A88"/>
    <w:multiLevelType w:val="hybridMultilevel"/>
    <w:tmpl w:val="5D7CB3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6926186C"/>
    <w:multiLevelType w:val="hybridMultilevel"/>
    <w:tmpl w:val="06E26BC4"/>
    <w:lvl w:ilvl="0" w:tplc="33C69FFC">
      <w:start w:val="1"/>
      <w:numFmt w:val="decimal"/>
      <w:lvlText w:val="%1."/>
      <w:lvlJc w:val="left"/>
      <w:pPr>
        <w:ind w:left="720" w:hanging="36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5534639"/>
    <w:multiLevelType w:val="hybridMultilevel"/>
    <w:tmpl w:val="7E74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7F6C5D"/>
    <w:multiLevelType w:val="hybridMultilevel"/>
    <w:tmpl w:val="F1A29E52"/>
    <w:lvl w:ilvl="0" w:tplc="D0DE909A">
      <w:numFmt w:val="bullet"/>
      <w:lvlText w:val="•"/>
      <w:lvlJc w:val="left"/>
      <w:pPr>
        <w:ind w:left="1080" w:hanging="72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6"/>
  </w:num>
  <w:num w:numId="4">
    <w:abstractNumId w:val="13"/>
  </w:num>
  <w:num w:numId="5">
    <w:abstractNumId w:val="10"/>
  </w:num>
  <w:num w:numId="6">
    <w:abstractNumId w:val="20"/>
  </w:num>
  <w:num w:numId="7">
    <w:abstractNumId w:val="28"/>
  </w:num>
  <w:num w:numId="8">
    <w:abstractNumId w:val="1"/>
  </w:num>
  <w:num w:numId="9">
    <w:abstractNumId w:val="25"/>
  </w:num>
  <w:num w:numId="10">
    <w:abstractNumId w:val="9"/>
  </w:num>
  <w:num w:numId="11">
    <w:abstractNumId w:val="14"/>
  </w:num>
  <w:num w:numId="12">
    <w:abstractNumId w:val="6"/>
  </w:num>
  <w:num w:numId="13">
    <w:abstractNumId w:val="22"/>
  </w:num>
  <w:num w:numId="14">
    <w:abstractNumId w:val="8"/>
  </w:num>
  <w:num w:numId="15">
    <w:abstractNumId w:val="26"/>
  </w:num>
  <w:num w:numId="16">
    <w:abstractNumId w:val="21"/>
  </w:num>
  <w:num w:numId="17">
    <w:abstractNumId w:val="0"/>
  </w:num>
  <w:num w:numId="18">
    <w:abstractNumId w:val="12"/>
  </w:num>
  <w:num w:numId="19">
    <w:abstractNumId w:val="23"/>
  </w:num>
  <w:num w:numId="20">
    <w:abstractNumId w:val="2"/>
  </w:num>
  <w:num w:numId="21">
    <w:abstractNumId w:val="15"/>
  </w:num>
  <w:num w:numId="22">
    <w:abstractNumId w:val="27"/>
  </w:num>
  <w:num w:numId="23">
    <w:abstractNumId w:val="11"/>
  </w:num>
  <w:num w:numId="24">
    <w:abstractNumId w:val="18"/>
  </w:num>
  <w:num w:numId="25">
    <w:abstractNumId w:val="5"/>
  </w:num>
  <w:num w:numId="26">
    <w:abstractNumId w:val="17"/>
  </w:num>
  <w:num w:numId="27">
    <w:abstractNumId w:val="4"/>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62"/>
    <w:rsid w:val="000066B7"/>
    <w:rsid w:val="00010DB6"/>
    <w:rsid w:val="00015957"/>
    <w:rsid w:val="00015FFA"/>
    <w:rsid w:val="00022E38"/>
    <w:rsid w:val="000243BA"/>
    <w:rsid w:val="00026E1A"/>
    <w:rsid w:val="00027629"/>
    <w:rsid w:val="000278C4"/>
    <w:rsid w:val="00031BC6"/>
    <w:rsid w:val="000321BD"/>
    <w:rsid w:val="00032959"/>
    <w:rsid w:val="00036561"/>
    <w:rsid w:val="0003793F"/>
    <w:rsid w:val="00040DEC"/>
    <w:rsid w:val="00042FD8"/>
    <w:rsid w:val="0004654C"/>
    <w:rsid w:val="000471CA"/>
    <w:rsid w:val="00065352"/>
    <w:rsid w:val="00066483"/>
    <w:rsid w:val="0006710B"/>
    <w:rsid w:val="00070B9A"/>
    <w:rsid w:val="0007794E"/>
    <w:rsid w:val="00081FE5"/>
    <w:rsid w:val="0008207A"/>
    <w:rsid w:val="0008792C"/>
    <w:rsid w:val="00087B8E"/>
    <w:rsid w:val="00092C48"/>
    <w:rsid w:val="00094EE0"/>
    <w:rsid w:val="00095A9D"/>
    <w:rsid w:val="00096563"/>
    <w:rsid w:val="00096EC6"/>
    <w:rsid w:val="000A5358"/>
    <w:rsid w:val="000B41C5"/>
    <w:rsid w:val="000C0A1E"/>
    <w:rsid w:val="000C476F"/>
    <w:rsid w:val="000C5411"/>
    <w:rsid w:val="000D5B5C"/>
    <w:rsid w:val="000D7EB9"/>
    <w:rsid w:val="000E3A56"/>
    <w:rsid w:val="000E408E"/>
    <w:rsid w:val="000E40CA"/>
    <w:rsid w:val="000E4ED0"/>
    <w:rsid w:val="000E6ABF"/>
    <w:rsid w:val="000F2814"/>
    <w:rsid w:val="000F43F8"/>
    <w:rsid w:val="000F641A"/>
    <w:rsid w:val="00102178"/>
    <w:rsid w:val="00102C7A"/>
    <w:rsid w:val="00104A21"/>
    <w:rsid w:val="0010680F"/>
    <w:rsid w:val="0011052B"/>
    <w:rsid w:val="0011064F"/>
    <w:rsid w:val="0011100F"/>
    <w:rsid w:val="00112EEA"/>
    <w:rsid w:val="00123310"/>
    <w:rsid w:val="00130E46"/>
    <w:rsid w:val="00132E44"/>
    <w:rsid w:val="00133498"/>
    <w:rsid w:val="00133874"/>
    <w:rsid w:val="001405E0"/>
    <w:rsid w:val="001467C3"/>
    <w:rsid w:val="00160DA5"/>
    <w:rsid w:val="0016106A"/>
    <w:rsid w:val="001634B0"/>
    <w:rsid w:val="00164E13"/>
    <w:rsid w:val="00165792"/>
    <w:rsid w:val="0016627F"/>
    <w:rsid w:val="00166F46"/>
    <w:rsid w:val="00173738"/>
    <w:rsid w:val="0017473F"/>
    <w:rsid w:val="0017524D"/>
    <w:rsid w:val="00177590"/>
    <w:rsid w:val="00180E78"/>
    <w:rsid w:val="001819A0"/>
    <w:rsid w:val="00185EA3"/>
    <w:rsid w:val="00186EC0"/>
    <w:rsid w:val="00192084"/>
    <w:rsid w:val="00192373"/>
    <w:rsid w:val="001966CA"/>
    <w:rsid w:val="001A029E"/>
    <w:rsid w:val="001A1CB0"/>
    <w:rsid w:val="001A1F2C"/>
    <w:rsid w:val="001A33D2"/>
    <w:rsid w:val="001A7D1C"/>
    <w:rsid w:val="001B3631"/>
    <w:rsid w:val="001B3B4A"/>
    <w:rsid w:val="001B5294"/>
    <w:rsid w:val="001C00FE"/>
    <w:rsid w:val="001C0335"/>
    <w:rsid w:val="001C077E"/>
    <w:rsid w:val="001C3D3E"/>
    <w:rsid w:val="001C5453"/>
    <w:rsid w:val="001C6B66"/>
    <w:rsid w:val="001D0F03"/>
    <w:rsid w:val="001E1A99"/>
    <w:rsid w:val="001E4015"/>
    <w:rsid w:val="001E62BB"/>
    <w:rsid w:val="001E6BF4"/>
    <w:rsid w:val="001F22B9"/>
    <w:rsid w:val="001F3A63"/>
    <w:rsid w:val="001F4D8B"/>
    <w:rsid w:val="001F64F6"/>
    <w:rsid w:val="00202A1D"/>
    <w:rsid w:val="00215764"/>
    <w:rsid w:val="00217558"/>
    <w:rsid w:val="00217798"/>
    <w:rsid w:val="0022375A"/>
    <w:rsid w:val="0022434D"/>
    <w:rsid w:val="00232880"/>
    <w:rsid w:val="002368C0"/>
    <w:rsid w:val="002374C7"/>
    <w:rsid w:val="00246913"/>
    <w:rsid w:val="00246FAB"/>
    <w:rsid w:val="00247B06"/>
    <w:rsid w:val="00251CCA"/>
    <w:rsid w:val="002617B6"/>
    <w:rsid w:val="002708E1"/>
    <w:rsid w:val="00272B78"/>
    <w:rsid w:val="00273A29"/>
    <w:rsid w:val="00280A12"/>
    <w:rsid w:val="002916AB"/>
    <w:rsid w:val="00293660"/>
    <w:rsid w:val="00294062"/>
    <w:rsid w:val="00296764"/>
    <w:rsid w:val="00297BF5"/>
    <w:rsid w:val="002A65CE"/>
    <w:rsid w:val="002A7CBD"/>
    <w:rsid w:val="002B730D"/>
    <w:rsid w:val="002C3164"/>
    <w:rsid w:val="002C586E"/>
    <w:rsid w:val="002C7C26"/>
    <w:rsid w:val="002C7EA8"/>
    <w:rsid w:val="002D4C76"/>
    <w:rsid w:val="002E0DB7"/>
    <w:rsid w:val="002E11FB"/>
    <w:rsid w:val="002E1C73"/>
    <w:rsid w:val="002E3282"/>
    <w:rsid w:val="002E38A2"/>
    <w:rsid w:val="002F1A73"/>
    <w:rsid w:val="002F2927"/>
    <w:rsid w:val="002F7BDC"/>
    <w:rsid w:val="003006B6"/>
    <w:rsid w:val="00302F40"/>
    <w:rsid w:val="00310E01"/>
    <w:rsid w:val="00314C9C"/>
    <w:rsid w:val="00316CBA"/>
    <w:rsid w:val="0031797C"/>
    <w:rsid w:val="00322A72"/>
    <w:rsid w:val="00323F16"/>
    <w:rsid w:val="003365C6"/>
    <w:rsid w:val="00342441"/>
    <w:rsid w:val="00342B6E"/>
    <w:rsid w:val="00345EA1"/>
    <w:rsid w:val="00346AC2"/>
    <w:rsid w:val="00346D38"/>
    <w:rsid w:val="003471FF"/>
    <w:rsid w:val="003511F0"/>
    <w:rsid w:val="00352DDC"/>
    <w:rsid w:val="003607B4"/>
    <w:rsid w:val="00361683"/>
    <w:rsid w:val="00373EF1"/>
    <w:rsid w:val="003756E1"/>
    <w:rsid w:val="003826A9"/>
    <w:rsid w:val="00382F43"/>
    <w:rsid w:val="003835E0"/>
    <w:rsid w:val="003866E6"/>
    <w:rsid w:val="00391B03"/>
    <w:rsid w:val="00393DF5"/>
    <w:rsid w:val="00397C6E"/>
    <w:rsid w:val="003A4FCE"/>
    <w:rsid w:val="003A60D4"/>
    <w:rsid w:val="003A6164"/>
    <w:rsid w:val="003B3F5D"/>
    <w:rsid w:val="003B570F"/>
    <w:rsid w:val="003B6260"/>
    <w:rsid w:val="003B7FC6"/>
    <w:rsid w:val="003C0FBE"/>
    <w:rsid w:val="003C120F"/>
    <w:rsid w:val="003C3640"/>
    <w:rsid w:val="003D1E61"/>
    <w:rsid w:val="003D2979"/>
    <w:rsid w:val="003D45EC"/>
    <w:rsid w:val="003E0A39"/>
    <w:rsid w:val="003E35FE"/>
    <w:rsid w:val="003E3BE4"/>
    <w:rsid w:val="003E44D7"/>
    <w:rsid w:val="003E618E"/>
    <w:rsid w:val="003F2EEC"/>
    <w:rsid w:val="003F57CB"/>
    <w:rsid w:val="0040087F"/>
    <w:rsid w:val="004025E3"/>
    <w:rsid w:val="00404441"/>
    <w:rsid w:val="0040466D"/>
    <w:rsid w:val="00405386"/>
    <w:rsid w:val="00410126"/>
    <w:rsid w:val="00421B65"/>
    <w:rsid w:val="00423E27"/>
    <w:rsid w:val="00427AFA"/>
    <w:rsid w:val="00427D32"/>
    <w:rsid w:val="0043052F"/>
    <w:rsid w:val="004335B1"/>
    <w:rsid w:val="00435C55"/>
    <w:rsid w:val="00436382"/>
    <w:rsid w:val="00437763"/>
    <w:rsid w:val="00444151"/>
    <w:rsid w:val="00445E02"/>
    <w:rsid w:val="0044709B"/>
    <w:rsid w:val="00447CC7"/>
    <w:rsid w:val="00453EF0"/>
    <w:rsid w:val="00455676"/>
    <w:rsid w:val="00457780"/>
    <w:rsid w:val="00460686"/>
    <w:rsid w:val="00461170"/>
    <w:rsid w:val="0046483F"/>
    <w:rsid w:val="00467CBA"/>
    <w:rsid w:val="00480B3C"/>
    <w:rsid w:val="00481ECF"/>
    <w:rsid w:val="00486ACF"/>
    <w:rsid w:val="00487D34"/>
    <w:rsid w:val="00490A0C"/>
    <w:rsid w:val="0049353C"/>
    <w:rsid w:val="0049501E"/>
    <w:rsid w:val="004A02B7"/>
    <w:rsid w:val="004A0565"/>
    <w:rsid w:val="004A10B0"/>
    <w:rsid w:val="004A47CF"/>
    <w:rsid w:val="004A60B2"/>
    <w:rsid w:val="004A6BAB"/>
    <w:rsid w:val="004B083D"/>
    <w:rsid w:val="004C050F"/>
    <w:rsid w:val="004D3170"/>
    <w:rsid w:val="004D4A44"/>
    <w:rsid w:val="004D50BD"/>
    <w:rsid w:val="004E3EB6"/>
    <w:rsid w:val="004E54F9"/>
    <w:rsid w:val="004F18E9"/>
    <w:rsid w:val="004F2A93"/>
    <w:rsid w:val="004F3816"/>
    <w:rsid w:val="004F3BC6"/>
    <w:rsid w:val="004F6586"/>
    <w:rsid w:val="00500C63"/>
    <w:rsid w:val="005013B7"/>
    <w:rsid w:val="00502A2B"/>
    <w:rsid w:val="00504C49"/>
    <w:rsid w:val="005060E2"/>
    <w:rsid w:val="00506887"/>
    <w:rsid w:val="00511756"/>
    <w:rsid w:val="00515161"/>
    <w:rsid w:val="0052750F"/>
    <w:rsid w:val="005307FA"/>
    <w:rsid w:val="0054250A"/>
    <w:rsid w:val="005469A1"/>
    <w:rsid w:val="00561047"/>
    <w:rsid w:val="00571EB5"/>
    <w:rsid w:val="00582942"/>
    <w:rsid w:val="005862E4"/>
    <w:rsid w:val="00586F8E"/>
    <w:rsid w:val="00587318"/>
    <w:rsid w:val="00591979"/>
    <w:rsid w:val="00592DCE"/>
    <w:rsid w:val="00593BE6"/>
    <w:rsid w:val="005942FC"/>
    <w:rsid w:val="0059476A"/>
    <w:rsid w:val="00595BB9"/>
    <w:rsid w:val="005962AB"/>
    <w:rsid w:val="005975E8"/>
    <w:rsid w:val="00597ECD"/>
    <w:rsid w:val="00597F18"/>
    <w:rsid w:val="005B2806"/>
    <w:rsid w:val="005B680F"/>
    <w:rsid w:val="005C0D06"/>
    <w:rsid w:val="005C2176"/>
    <w:rsid w:val="005D009D"/>
    <w:rsid w:val="005D28A5"/>
    <w:rsid w:val="005D6DD3"/>
    <w:rsid w:val="005D787A"/>
    <w:rsid w:val="005E117D"/>
    <w:rsid w:val="005E25AE"/>
    <w:rsid w:val="005E40E1"/>
    <w:rsid w:val="005E472F"/>
    <w:rsid w:val="005F7F62"/>
    <w:rsid w:val="0060000C"/>
    <w:rsid w:val="006033CD"/>
    <w:rsid w:val="00604F5C"/>
    <w:rsid w:val="00605DA8"/>
    <w:rsid w:val="006110FE"/>
    <w:rsid w:val="006124A2"/>
    <w:rsid w:val="006149FA"/>
    <w:rsid w:val="0061719F"/>
    <w:rsid w:val="00617E20"/>
    <w:rsid w:val="00625D79"/>
    <w:rsid w:val="0063026F"/>
    <w:rsid w:val="0063109A"/>
    <w:rsid w:val="00633D83"/>
    <w:rsid w:val="00637092"/>
    <w:rsid w:val="00657CAB"/>
    <w:rsid w:val="00665D63"/>
    <w:rsid w:val="00666CBA"/>
    <w:rsid w:val="00667510"/>
    <w:rsid w:val="006676BD"/>
    <w:rsid w:val="00670C96"/>
    <w:rsid w:val="00690293"/>
    <w:rsid w:val="006A6E47"/>
    <w:rsid w:val="006B1BAC"/>
    <w:rsid w:val="006C7336"/>
    <w:rsid w:val="006D51D6"/>
    <w:rsid w:val="006D5407"/>
    <w:rsid w:val="006D562F"/>
    <w:rsid w:val="006D5E6C"/>
    <w:rsid w:val="006D655B"/>
    <w:rsid w:val="006D6B29"/>
    <w:rsid w:val="006D7E88"/>
    <w:rsid w:val="006E6DC1"/>
    <w:rsid w:val="006F054B"/>
    <w:rsid w:val="006F3108"/>
    <w:rsid w:val="006F3F98"/>
    <w:rsid w:val="006F4C30"/>
    <w:rsid w:val="007006ED"/>
    <w:rsid w:val="0070554C"/>
    <w:rsid w:val="00705790"/>
    <w:rsid w:val="0070611B"/>
    <w:rsid w:val="007104AA"/>
    <w:rsid w:val="007169B5"/>
    <w:rsid w:val="007175D6"/>
    <w:rsid w:val="00717FA5"/>
    <w:rsid w:val="00720925"/>
    <w:rsid w:val="00720FA7"/>
    <w:rsid w:val="0072366E"/>
    <w:rsid w:val="00732A9F"/>
    <w:rsid w:val="007369A9"/>
    <w:rsid w:val="007433FE"/>
    <w:rsid w:val="00750F8B"/>
    <w:rsid w:val="007577C1"/>
    <w:rsid w:val="00760524"/>
    <w:rsid w:val="00765C64"/>
    <w:rsid w:val="007702FD"/>
    <w:rsid w:val="007723F5"/>
    <w:rsid w:val="00777571"/>
    <w:rsid w:val="00790675"/>
    <w:rsid w:val="007A5BC9"/>
    <w:rsid w:val="007B46D6"/>
    <w:rsid w:val="007B49E5"/>
    <w:rsid w:val="007C0457"/>
    <w:rsid w:val="007C0CB9"/>
    <w:rsid w:val="007C505A"/>
    <w:rsid w:val="007C5678"/>
    <w:rsid w:val="007D396C"/>
    <w:rsid w:val="007D58DB"/>
    <w:rsid w:val="007D7CA4"/>
    <w:rsid w:val="007E03C2"/>
    <w:rsid w:val="007E06B8"/>
    <w:rsid w:val="007E5165"/>
    <w:rsid w:val="007E7AE4"/>
    <w:rsid w:val="007F0975"/>
    <w:rsid w:val="007F21D2"/>
    <w:rsid w:val="007F2464"/>
    <w:rsid w:val="007F2992"/>
    <w:rsid w:val="007F4292"/>
    <w:rsid w:val="0080297D"/>
    <w:rsid w:val="008130BD"/>
    <w:rsid w:val="0081710B"/>
    <w:rsid w:val="0082060D"/>
    <w:rsid w:val="00820E7A"/>
    <w:rsid w:val="00824EA2"/>
    <w:rsid w:val="00825DAE"/>
    <w:rsid w:val="00830F35"/>
    <w:rsid w:val="00836B50"/>
    <w:rsid w:val="00836F87"/>
    <w:rsid w:val="0084284D"/>
    <w:rsid w:val="0084308D"/>
    <w:rsid w:val="00846667"/>
    <w:rsid w:val="00862370"/>
    <w:rsid w:val="0086378F"/>
    <w:rsid w:val="00863E6D"/>
    <w:rsid w:val="00864503"/>
    <w:rsid w:val="00864903"/>
    <w:rsid w:val="00865852"/>
    <w:rsid w:val="00865EE5"/>
    <w:rsid w:val="00870BA8"/>
    <w:rsid w:val="00876AE7"/>
    <w:rsid w:val="00877D72"/>
    <w:rsid w:val="00877FB8"/>
    <w:rsid w:val="00887C04"/>
    <w:rsid w:val="008906E9"/>
    <w:rsid w:val="00893CAC"/>
    <w:rsid w:val="00897658"/>
    <w:rsid w:val="008A1B0C"/>
    <w:rsid w:val="008A2CCA"/>
    <w:rsid w:val="008A2CFC"/>
    <w:rsid w:val="008A5DAE"/>
    <w:rsid w:val="008B4C98"/>
    <w:rsid w:val="008B62BE"/>
    <w:rsid w:val="008B6F61"/>
    <w:rsid w:val="008C4322"/>
    <w:rsid w:val="008C7A6B"/>
    <w:rsid w:val="008D03E2"/>
    <w:rsid w:val="008D5DDD"/>
    <w:rsid w:val="008D6DD5"/>
    <w:rsid w:val="008E63BE"/>
    <w:rsid w:val="008E74A1"/>
    <w:rsid w:val="008E7BD8"/>
    <w:rsid w:val="008F2C88"/>
    <w:rsid w:val="008F36D3"/>
    <w:rsid w:val="008F536E"/>
    <w:rsid w:val="008F7A05"/>
    <w:rsid w:val="00901AD7"/>
    <w:rsid w:val="00912CB5"/>
    <w:rsid w:val="00913C48"/>
    <w:rsid w:val="009244B2"/>
    <w:rsid w:val="009259E2"/>
    <w:rsid w:val="0093016F"/>
    <w:rsid w:val="00930956"/>
    <w:rsid w:val="009325C7"/>
    <w:rsid w:val="0093771E"/>
    <w:rsid w:val="00943CD3"/>
    <w:rsid w:val="0094530D"/>
    <w:rsid w:val="009538B8"/>
    <w:rsid w:val="0095618B"/>
    <w:rsid w:val="00957AA7"/>
    <w:rsid w:val="00965106"/>
    <w:rsid w:val="00971F34"/>
    <w:rsid w:val="009739C4"/>
    <w:rsid w:val="009741B5"/>
    <w:rsid w:val="009758A1"/>
    <w:rsid w:val="0097647B"/>
    <w:rsid w:val="00981627"/>
    <w:rsid w:val="00982D00"/>
    <w:rsid w:val="0098338B"/>
    <w:rsid w:val="00984275"/>
    <w:rsid w:val="009868F0"/>
    <w:rsid w:val="00997510"/>
    <w:rsid w:val="009A0D6F"/>
    <w:rsid w:val="009A693A"/>
    <w:rsid w:val="009A7457"/>
    <w:rsid w:val="009B1D72"/>
    <w:rsid w:val="009B3919"/>
    <w:rsid w:val="009B5E75"/>
    <w:rsid w:val="009C169C"/>
    <w:rsid w:val="009C3E09"/>
    <w:rsid w:val="009C516A"/>
    <w:rsid w:val="009C5828"/>
    <w:rsid w:val="009D0F60"/>
    <w:rsid w:val="009D7130"/>
    <w:rsid w:val="009E5770"/>
    <w:rsid w:val="009E647D"/>
    <w:rsid w:val="009E672B"/>
    <w:rsid w:val="009E6A5E"/>
    <w:rsid w:val="009F1ED1"/>
    <w:rsid w:val="009F34C0"/>
    <w:rsid w:val="00A0438B"/>
    <w:rsid w:val="00A07193"/>
    <w:rsid w:val="00A1079E"/>
    <w:rsid w:val="00A23257"/>
    <w:rsid w:val="00A2463A"/>
    <w:rsid w:val="00A36931"/>
    <w:rsid w:val="00A4073A"/>
    <w:rsid w:val="00A4137F"/>
    <w:rsid w:val="00A442FC"/>
    <w:rsid w:val="00A44DF7"/>
    <w:rsid w:val="00A47F86"/>
    <w:rsid w:val="00A54A26"/>
    <w:rsid w:val="00A615E0"/>
    <w:rsid w:val="00A642D3"/>
    <w:rsid w:val="00A64C0B"/>
    <w:rsid w:val="00A74CB6"/>
    <w:rsid w:val="00A86D25"/>
    <w:rsid w:val="00A90EF2"/>
    <w:rsid w:val="00A91995"/>
    <w:rsid w:val="00A92342"/>
    <w:rsid w:val="00A9621C"/>
    <w:rsid w:val="00AA3B47"/>
    <w:rsid w:val="00AA4D32"/>
    <w:rsid w:val="00AB07CF"/>
    <w:rsid w:val="00AB2644"/>
    <w:rsid w:val="00AB2C54"/>
    <w:rsid w:val="00AB78C0"/>
    <w:rsid w:val="00AC0F73"/>
    <w:rsid w:val="00AC17D8"/>
    <w:rsid w:val="00AC2188"/>
    <w:rsid w:val="00AC5765"/>
    <w:rsid w:val="00AD0245"/>
    <w:rsid w:val="00AD1013"/>
    <w:rsid w:val="00AD2A27"/>
    <w:rsid w:val="00AD4605"/>
    <w:rsid w:val="00AD594A"/>
    <w:rsid w:val="00AE127D"/>
    <w:rsid w:val="00AE1E23"/>
    <w:rsid w:val="00AF2DF9"/>
    <w:rsid w:val="00AF4407"/>
    <w:rsid w:val="00AF4428"/>
    <w:rsid w:val="00AF48C1"/>
    <w:rsid w:val="00AF6202"/>
    <w:rsid w:val="00B008D0"/>
    <w:rsid w:val="00B009AF"/>
    <w:rsid w:val="00B0588A"/>
    <w:rsid w:val="00B11F2B"/>
    <w:rsid w:val="00B123C2"/>
    <w:rsid w:val="00B14B26"/>
    <w:rsid w:val="00B15931"/>
    <w:rsid w:val="00B207BF"/>
    <w:rsid w:val="00B22FE1"/>
    <w:rsid w:val="00B30F23"/>
    <w:rsid w:val="00B34100"/>
    <w:rsid w:val="00B34F7D"/>
    <w:rsid w:val="00B41F2B"/>
    <w:rsid w:val="00B42BEC"/>
    <w:rsid w:val="00B45621"/>
    <w:rsid w:val="00B4765F"/>
    <w:rsid w:val="00B524D2"/>
    <w:rsid w:val="00B562B6"/>
    <w:rsid w:val="00B63031"/>
    <w:rsid w:val="00B706CA"/>
    <w:rsid w:val="00B75D54"/>
    <w:rsid w:val="00B81BB5"/>
    <w:rsid w:val="00BA2576"/>
    <w:rsid w:val="00BA6599"/>
    <w:rsid w:val="00BB25EF"/>
    <w:rsid w:val="00BB275B"/>
    <w:rsid w:val="00BB3537"/>
    <w:rsid w:val="00BB4718"/>
    <w:rsid w:val="00BC4067"/>
    <w:rsid w:val="00BC6623"/>
    <w:rsid w:val="00BC6BBF"/>
    <w:rsid w:val="00BD14F0"/>
    <w:rsid w:val="00BD17F8"/>
    <w:rsid w:val="00BE4FA5"/>
    <w:rsid w:val="00BE5191"/>
    <w:rsid w:val="00BE78B8"/>
    <w:rsid w:val="00BF2811"/>
    <w:rsid w:val="00BF4567"/>
    <w:rsid w:val="00BF62CC"/>
    <w:rsid w:val="00C021DA"/>
    <w:rsid w:val="00C03171"/>
    <w:rsid w:val="00C0670F"/>
    <w:rsid w:val="00C112E2"/>
    <w:rsid w:val="00C14501"/>
    <w:rsid w:val="00C16AE3"/>
    <w:rsid w:val="00C21343"/>
    <w:rsid w:val="00C242BB"/>
    <w:rsid w:val="00C27BA4"/>
    <w:rsid w:val="00C32BC1"/>
    <w:rsid w:val="00C361C7"/>
    <w:rsid w:val="00C37A66"/>
    <w:rsid w:val="00C4121E"/>
    <w:rsid w:val="00C41942"/>
    <w:rsid w:val="00C41F94"/>
    <w:rsid w:val="00C433BB"/>
    <w:rsid w:val="00C4416B"/>
    <w:rsid w:val="00C55338"/>
    <w:rsid w:val="00C55896"/>
    <w:rsid w:val="00C56DAB"/>
    <w:rsid w:val="00C57B5C"/>
    <w:rsid w:val="00C633DF"/>
    <w:rsid w:val="00C643A5"/>
    <w:rsid w:val="00C67215"/>
    <w:rsid w:val="00C75CAE"/>
    <w:rsid w:val="00C83448"/>
    <w:rsid w:val="00C90201"/>
    <w:rsid w:val="00C90353"/>
    <w:rsid w:val="00C91D7F"/>
    <w:rsid w:val="00C92279"/>
    <w:rsid w:val="00C95333"/>
    <w:rsid w:val="00CA0E39"/>
    <w:rsid w:val="00CB1612"/>
    <w:rsid w:val="00CB1685"/>
    <w:rsid w:val="00CB1D02"/>
    <w:rsid w:val="00CB35E7"/>
    <w:rsid w:val="00CB65DB"/>
    <w:rsid w:val="00CB7AB4"/>
    <w:rsid w:val="00CC1A7E"/>
    <w:rsid w:val="00CC3EFC"/>
    <w:rsid w:val="00CC498E"/>
    <w:rsid w:val="00CD3D49"/>
    <w:rsid w:val="00CE0B3E"/>
    <w:rsid w:val="00CE1629"/>
    <w:rsid w:val="00CE1EC7"/>
    <w:rsid w:val="00CE4E89"/>
    <w:rsid w:val="00CF01FE"/>
    <w:rsid w:val="00CF09D7"/>
    <w:rsid w:val="00CF0FE2"/>
    <w:rsid w:val="00CF3480"/>
    <w:rsid w:val="00CF7AB5"/>
    <w:rsid w:val="00D02D09"/>
    <w:rsid w:val="00D02F8A"/>
    <w:rsid w:val="00D158FF"/>
    <w:rsid w:val="00D16265"/>
    <w:rsid w:val="00D17D54"/>
    <w:rsid w:val="00D20B0C"/>
    <w:rsid w:val="00D238B6"/>
    <w:rsid w:val="00D252EC"/>
    <w:rsid w:val="00D27178"/>
    <w:rsid w:val="00D3443F"/>
    <w:rsid w:val="00D349BF"/>
    <w:rsid w:val="00D40D63"/>
    <w:rsid w:val="00D44954"/>
    <w:rsid w:val="00D4730F"/>
    <w:rsid w:val="00D52BD6"/>
    <w:rsid w:val="00D554BA"/>
    <w:rsid w:val="00D55B2D"/>
    <w:rsid w:val="00D56892"/>
    <w:rsid w:val="00D64C30"/>
    <w:rsid w:val="00D65952"/>
    <w:rsid w:val="00D66C97"/>
    <w:rsid w:val="00D72212"/>
    <w:rsid w:val="00D81796"/>
    <w:rsid w:val="00D81CF5"/>
    <w:rsid w:val="00D839F0"/>
    <w:rsid w:val="00D844B2"/>
    <w:rsid w:val="00D906B8"/>
    <w:rsid w:val="00D90E1F"/>
    <w:rsid w:val="00D95EB7"/>
    <w:rsid w:val="00DA1628"/>
    <w:rsid w:val="00DA1D64"/>
    <w:rsid w:val="00DA309E"/>
    <w:rsid w:val="00DA69BD"/>
    <w:rsid w:val="00DB1707"/>
    <w:rsid w:val="00DB497D"/>
    <w:rsid w:val="00DB79EC"/>
    <w:rsid w:val="00DC3752"/>
    <w:rsid w:val="00DC54EB"/>
    <w:rsid w:val="00DC654B"/>
    <w:rsid w:val="00DC7B59"/>
    <w:rsid w:val="00DD684E"/>
    <w:rsid w:val="00DE0D78"/>
    <w:rsid w:val="00DE3CDE"/>
    <w:rsid w:val="00DE7757"/>
    <w:rsid w:val="00DF0104"/>
    <w:rsid w:val="00DF4AD3"/>
    <w:rsid w:val="00DF5179"/>
    <w:rsid w:val="00E00892"/>
    <w:rsid w:val="00E02B4D"/>
    <w:rsid w:val="00E02EBE"/>
    <w:rsid w:val="00E05E77"/>
    <w:rsid w:val="00E1058A"/>
    <w:rsid w:val="00E14D93"/>
    <w:rsid w:val="00E22113"/>
    <w:rsid w:val="00E22546"/>
    <w:rsid w:val="00E31E39"/>
    <w:rsid w:val="00E407DE"/>
    <w:rsid w:val="00E4631F"/>
    <w:rsid w:val="00E47271"/>
    <w:rsid w:val="00E474DE"/>
    <w:rsid w:val="00E478F8"/>
    <w:rsid w:val="00E47904"/>
    <w:rsid w:val="00E51448"/>
    <w:rsid w:val="00E548FF"/>
    <w:rsid w:val="00E558C7"/>
    <w:rsid w:val="00E56D8E"/>
    <w:rsid w:val="00E57B1F"/>
    <w:rsid w:val="00E64797"/>
    <w:rsid w:val="00E724BF"/>
    <w:rsid w:val="00E738B6"/>
    <w:rsid w:val="00E741C0"/>
    <w:rsid w:val="00E76FBB"/>
    <w:rsid w:val="00E77042"/>
    <w:rsid w:val="00E773C9"/>
    <w:rsid w:val="00E77619"/>
    <w:rsid w:val="00E82944"/>
    <w:rsid w:val="00E85C3D"/>
    <w:rsid w:val="00E90F86"/>
    <w:rsid w:val="00EA00EB"/>
    <w:rsid w:val="00EA36B4"/>
    <w:rsid w:val="00EA575E"/>
    <w:rsid w:val="00EB1E52"/>
    <w:rsid w:val="00EB1FE0"/>
    <w:rsid w:val="00EB6986"/>
    <w:rsid w:val="00EB7435"/>
    <w:rsid w:val="00EC0E5D"/>
    <w:rsid w:val="00EC1417"/>
    <w:rsid w:val="00EC5C41"/>
    <w:rsid w:val="00EC63E0"/>
    <w:rsid w:val="00ED00B9"/>
    <w:rsid w:val="00ED051C"/>
    <w:rsid w:val="00ED24C8"/>
    <w:rsid w:val="00ED2B89"/>
    <w:rsid w:val="00ED4158"/>
    <w:rsid w:val="00ED72A1"/>
    <w:rsid w:val="00EE28B0"/>
    <w:rsid w:val="00EE367F"/>
    <w:rsid w:val="00EF3B5C"/>
    <w:rsid w:val="00EF3C14"/>
    <w:rsid w:val="00EF4B2F"/>
    <w:rsid w:val="00F00BE8"/>
    <w:rsid w:val="00F03342"/>
    <w:rsid w:val="00F03BF3"/>
    <w:rsid w:val="00F06ADE"/>
    <w:rsid w:val="00F06F24"/>
    <w:rsid w:val="00F0705A"/>
    <w:rsid w:val="00F21231"/>
    <w:rsid w:val="00F24FA0"/>
    <w:rsid w:val="00F24FB6"/>
    <w:rsid w:val="00F252E7"/>
    <w:rsid w:val="00F25A7B"/>
    <w:rsid w:val="00F27E42"/>
    <w:rsid w:val="00F3037B"/>
    <w:rsid w:val="00F515B6"/>
    <w:rsid w:val="00F530D3"/>
    <w:rsid w:val="00F601FD"/>
    <w:rsid w:val="00F6065D"/>
    <w:rsid w:val="00F63507"/>
    <w:rsid w:val="00F70200"/>
    <w:rsid w:val="00F7281C"/>
    <w:rsid w:val="00F73F63"/>
    <w:rsid w:val="00F75152"/>
    <w:rsid w:val="00F75EE9"/>
    <w:rsid w:val="00F81802"/>
    <w:rsid w:val="00F831AA"/>
    <w:rsid w:val="00F86876"/>
    <w:rsid w:val="00F87C04"/>
    <w:rsid w:val="00F87EFE"/>
    <w:rsid w:val="00F90E23"/>
    <w:rsid w:val="00F930CD"/>
    <w:rsid w:val="00F938CD"/>
    <w:rsid w:val="00F9658B"/>
    <w:rsid w:val="00FA743C"/>
    <w:rsid w:val="00FB0F82"/>
    <w:rsid w:val="00FB345B"/>
    <w:rsid w:val="00FB36B9"/>
    <w:rsid w:val="00FB3AFD"/>
    <w:rsid w:val="00FB4509"/>
    <w:rsid w:val="00FB49D4"/>
    <w:rsid w:val="00FB4B35"/>
    <w:rsid w:val="00FB5CFF"/>
    <w:rsid w:val="00FC4504"/>
    <w:rsid w:val="00FD192B"/>
    <w:rsid w:val="00FD7A5B"/>
    <w:rsid w:val="00FE59D2"/>
    <w:rsid w:val="00FF379A"/>
    <w:rsid w:val="00FF3CEF"/>
    <w:rsid w:val="00FF4341"/>
    <w:rsid w:val="00FF56CF"/>
    <w:rsid w:val="00FF5AF6"/>
    <w:rsid w:val="00FF7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38"/>
    <w:pPr>
      <w:jc w:val="both"/>
    </w:pPr>
    <w:rPr>
      <w:rFonts w:ascii="Times New Roman" w:hAnsi="Times New Roman"/>
      <w:sz w:val="24"/>
      <w:szCs w:val="22"/>
      <w:lang w:eastAsia="zh-TW"/>
    </w:rPr>
  </w:style>
  <w:style w:type="paragraph" w:styleId="Heading1">
    <w:name w:val="heading 1"/>
    <w:basedOn w:val="Normal"/>
    <w:next w:val="Normal"/>
    <w:link w:val="Heading1Char"/>
    <w:uiPriority w:val="9"/>
    <w:qFormat/>
    <w:rsid w:val="00410126"/>
    <w:pPr>
      <w:keepNext/>
      <w:keepLines/>
      <w:spacing w:before="480" w:after="60"/>
      <w:jc w:val="left"/>
      <w:outlineLvl w:val="0"/>
    </w:pPr>
    <w:rPr>
      <w:rFonts w:ascii="Times New Roman Bold" w:hAnsi="Times New Roman Bold"/>
      <w:b/>
      <w:bCs/>
      <w:caps/>
      <w:sz w:val="40"/>
      <w:szCs w:val="40"/>
      <w:lang w:val="en-GB"/>
    </w:rPr>
  </w:style>
  <w:style w:type="paragraph" w:styleId="Heading2">
    <w:name w:val="heading 2"/>
    <w:basedOn w:val="Normal"/>
    <w:next w:val="Normal"/>
    <w:link w:val="Heading2Char"/>
    <w:uiPriority w:val="9"/>
    <w:unhideWhenUsed/>
    <w:qFormat/>
    <w:rsid w:val="00410126"/>
    <w:pPr>
      <w:keepNext/>
      <w:keepLines/>
      <w:spacing w:before="240" w:after="60"/>
      <w:jc w:val="left"/>
      <w:outlineLvl w:val="1"/>
    </w:pPr>
    <w:rPr>
      <w:b/>
      <w:bCs/>
      <w:sz w:val="28"/>
      <w:szCs w:val="28"/>
      <w:lang w:val="en-GB"/>
    </w:rPr>
  </w:style>
  <w:style w:type="paragraph" w:styleId="Heading3">
    <w:name w:val="heading 3"/>
    <w:basedOn w:val="Normal"/>
    <w:next w:val="Normal"/>
    <w:link w:val="Heading3Char"/>
    <w:uiPriority w:val="9"/>
    <w:unhideWhenUsed/>
    <w:qFormat/>
    <w:rsid w:val="00605DA8"/>
    <w:pPr>
      <w:keepNext/>
      <w:keepLines/>
      <w:spacing w:before="240" w:after="60"/>
      <w:jc w:val="left"/>
      <w:outlineLvl w:val="2"/>
    </w:pPr>
    <w:rPr>
      <w:b/>
      <w:bCs/>
    </w:rPr>
  </w:style>
  <w:style w:type="paragraph" w:styleId="Heading4">
    <w:name w:val="heading 4"/>
    <w:basedOn w:val="Normal"/>
    <w:next w:val="Normal"/>
    <w:link w:val="Heading4Char"/>
    <w:uiPriority w:val="9"/>
    <w:unhideWhenUsed/>
    <w:qFormat/>
    <w:rsid w:val="00DE3CDE"/>
    <w:pPr>
      <w:keepNext/>
      <w:keepLines/>
      <w:spacing w:before="240" w:after="60"/>
      <w:jc w:val="left"/>
      <w:outlineLvl w:val="3"/>
    </w:pPr>
    <w:rPr>
      <w:b/>
      <w:bCs/>
      <w:iCs/>
      <w:color w:val="000000"/>
      <w:szCs w:val="24"/>
    </w:rPr>
  </w:style>
  <w:style w:type="paragraph" w:styleId="Heading5">
    <w:name w:val="heading 5"/>
    <w:basedOn w:val="Normal"/>
    <w:next w:val="Normal"/>
    <w:link w:val="Heading5Char"/>
    <w:uiPriority w:val="9"/>
    <w:unhideWhenUsed/>
    <w:qFormat/>
    <w:rsid w:val="00B009AF"/>
    <w:pPr>
      <w:keepNext/>
      <w:keepLines/>
      <w:spacing w:before="200" w:after="120"/>
      <w:outlineLvl w:val="4"/>
    </w:pPr>
    <w:rPr>
      <w:i/>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410126"/>
    <w:rPr>
      <w:rFonts w:ascii="Times New Roman Bold" w:hAnsi="Times New Roman Bold"/>
      <w:b/>
      <w:bCs/>
      <w:caps/>
      <w:sz w:val="40"/>
      <w:szCs w:val="40"/>
      <w:lang w:val="en-GB" w:eastAsia="zh-TW"/>
    </w:rPr>
  </w:style>
  <w:style w:type="character" w:customStyle="1" w:styleId="Heading2Char">
    <w:name w:val="Heading 2 Char"/>
    <w:link w:val="Heading2"/>
    <w:uiPriority w:val="9"/>
    <w:rsid w:val="00410126"/>
    <w:rPr>
      <w:rFonts w:ascii="Times New Roman" w:hAnsi="Times New Roman"/>
      <w:b/>
      <w:bCs/>
      <w:sz w:val="28"/>
      <w:szCs w:val="28"/>
      <w:lang w:val="en-GB" w:eastAsia="zh-TW"/>
    </w:rPr>
  </w:style>
  <w:style w:type="character" w:customStyle="1" w:styleId="Heading3Char">
    <w:name w:val="Heading 3 Char"/>
    <w:link w:val="Heading3"/>
    <w:uiPriority w:val="9"/>
    <w:rsid w:val="00605DA8"/>
    <w:rPr>
      <w:rFonts w:ascii="Times New Roman" w:hAnsi="Times New Roman"/>
      <w:b/>
      <w:bCs/>
      <w:sz w:val="24"/>
      <w:szCs w:val="22"/>
    </w:rPr>
  </w:style>
  <w:style w:type="character" w:customStyle="1" w:styleId="Heading4Char">
    <w:name w:val="Heading 4 Char"/>
    <w:link w:val="Heading4"/>
    <w:uiPriority w:val="9"/>
    <w:rsid w:val="00DE3CDE"/>
    <w:rPr>
      <w:rFonts w:ascii="Times New Roman" w:hAnsi="Times New Roman"/>
      <w:b/>
      <w:bCs/>
      <w:iCs/>
      <w:color w:val="000000"/>
      <w:sz w:val="24"/>
      <w:szCs w:val="24"/>
      <w:lang w:eastAsia="zh-TW"/>
    </w:rPr>
  </w:style>
  <w:style w:type="character" w:customStyle="1" w:styleId="Heading5Char">
    <w:name w:val="Heading 5 Char"/>
    <w:link w:val="Heading5"/>
    <w:uiPriority w:val="9"/>
    <w:rsid w:val="00B009AF"/>
    <w:rPr>
      <w:rFonts w:ascii="Times New Roman" w:hAnsi="Times New Roman"/>
      <w:i/>
      <w:sz w:val="24"/>
      <w:szCs w:val="22"/>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customStyle="1" w:styleId="Paragraph">
    <w:name w:val="Paragraph"/>
    <w:basedOn w:val="Normal"/>
    <w:link w:val="ParagraphChar"/>
    <w:rsid w:val="00435C55"/>
    <w:pPr>
      <w:spacing w:after="170" w:line="280" w:lineRule="exact"/>
      <w:jc w:val="left"/>
    </w:pPr>
    <w:rPr>
      <w:rFonts w:ascii="Arial" w:eastAsia="SimSun" w:hAnsi="Arial"/>
      <w:szCs w:val="24"/>
      <w:lang w:val="en-GB" w:eastAsia="zh-CN"/>
    </w:rPr>
  </w:style>
  <w:style w:type="character" w:customStyle="1" w:styleId="ParagraphChar">
    <w:name w:val="Paragraph Char"/>
    <w:link w:val="Paragraph"/>
    <w:rsid w:val="00435C55"/>
    <w:rPr>
      <w:rFonts w:ascii="Arial" w:eastAsia="SimSun" w:hAnsi="Arial"/>
      <w:sz w:val="24"/>
      <w:szCs w:val="24"/>
      <w:lang w:val="en-GB" w:eastAsia="zh-CN"/>
    </w:rPr>
  </w:style>
  <w:style w:type="character" w:customStyle="1" w:styleId="TextTi12Char1">
    <w:name w:val="Text:Ti12 Char1"/>
    <w:rsid w:val="00DE0D78"/>
    <w:rPr>
      <w:sz w:val="24"/>
      <w:lang w:val="en-US" w:eastAsia="ja-JP" w:bidi="ar-SA"/>
    </w:rPr>
  </w:style>
  <w:style w:type="character" w:styleId="CommentReference">
    <w:name w:val="annotation reference"/>
    <w:uiPriority w:val="99"/>
    <w:semiHidden/>
    <w:rsid w:val="00CB1612"/>
    <w:rPr>
      <w:sz w:val="16"/>
      <w:szCs w:val="16"/>
    </w:rPr>
  </w:style>
  <w:style w:type="paragraph" w:styleId="CommentText">
    <w:name w:val="annotation text"/>
    <w:basedOn w:val="Normal"/>
    <w:link w:val="CommentTextChar1"/>
    <w:uiPriority w:val="99"/>
    <w:rsid w:val="00CB1612"/>
    <w:pPr>
      <w:jc w:val="left"/>
    </w:pPr>
    <w:rPr>
      <w:rFonts w:eastAsia="Times New Roman"/>
      <w:sz w:val="20"/>
      <w:szCs w:val="20"/>
      <w:lang w:val="en-GB" w:eastAsia="en-US"/>
    </w:rPr>
  </w:style>
  <w:style w:type="character" w:customStyle="1" w:styleId="CommentTextChar">
    <w:name w:val="Comment Text Char"/>
    <w:semiHidden/>
    <w:rsid w:val="00CB1612"/>
    <w:rPr>
      <w:rFonts w:ascii="Times New Roman" w:hAnsi="Times New Roman"/>
    </w:rPr>
  </w:style>
  <w:style w:type="character" w:customStyle="1" w:styleId="CommentTextChar1">
    <w:name w:val="Comment Text Char1"/>
    <w:link w:val="CommentText"/>
    <w:uiPriority w:val="99"/>
    <w:rsid w:val="00CB1612"/>
    <w:rPr>
      <w:rFonts w:ascii="Times New Roman" w:eastAsia="Times New Roman" w:hAnsi="Times New Roman"/>
      <w:lang w:val="en-GB" w:eastAsia="en-US"/>
    </w:rPr>
  </w:style>
  <w:style w:type="paragraph" w:styleId="BodyText">
    <w:name w:val="Body Text"/>
    <w:basedOn w:val="Normal"/>
    <w:link w:val="BodyTextChar"/>
    <w:uiPriority w:val="99"/>
    <w:unhideWhenUsed/>
    <w:rsid w:val="001E4015"/>
    <w:pPr>
      <w:spacing w:after="120"/>
    </w:pPr>
  </w:style>
  <w:style w:type="character" w:customStyle="1" w:styleId="BodyTextChar">
    <w:name w:val="Body Text Char"/>
    <w:link w:val="BodyText"/>
    <w:uiPriority w:val="99"/>
    <w:rsid w:val="001E4015"/>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EC5C41"/>
    <w:pPr>
      <w:jc w:val="both"/>
    </w:pPr>
    <w:rPr>
      <w:rFonts w:eastAsia="PMingLiU"/>
      <w:b/>
      <w:bCs/>
      <w:lang w:val="en-AU" w:eastAsia="zh-TW"/>
    </w:rPr>
  </w:style>
  <w:style w:type="character" w:customStyle="1" w:styleId="CommentSubjectChar">
    <w:name w:val="Comment Subject Char"/>
    <w:link w:val="CommentSubject"/>
    <w:uiPriority w:val="99"/>
    <w:semiHidden/>
    <w:rsid w:val="00EC5C41"/>
    <w:rPr>
      <w:rFonts w:ascii="Times New Roman" w:eastAsia="Times New Roman" w:hAnsi="Times New Roman"/>
      <w:b/>
      <w:bCs/>
      <w:lang w:val="en-GB" w:eastAsia="en-US"/>
    </w:rPr>
  </w:style>
  <w:style w:type="paragraph" w:styleId="Caption">
    <w:name w:val="caption"/>
    <w:basedOn w:val="Normal"/>
    <w:next w:val="Normal"/>
    <w:uiPriority w:val="35"/>
    <w:unhideWhenUsed/>
    <w:qFormat/>
    <w:rsid w:val="0049353C"/>
    <w:pPr>
      <w:spacing w:after="200"/>
      <w:jc w:val="left"/>
    </w:pPr>
    <w:rPr>
      <w:b/>
      <w:bCs/>
      <w:szCs w:val="24"/>
    </w:rPr>
  </w:style>
  <w:style w:type="paragraph" w:customStyle="1" w:styleId="paragraph0">
    <w:name w:val="paragraph"/>
    <w:basedOn w:val="Normal"/>
    <w:uiPriority w:val="99"/>
    <w:rsid w:val="0070611B"/>
    <w:pPr>
      <w:spacing w:after="170" w:line="280" w:lineRule="atLeast"/>
      <w:jc w:val="left"/>
    </w:pPr>
    <w:rPr>
      <w:rFonts w:ascii="Arial" w:hAnsi="Arial" w:cs="Arial"/>
      <w:szCs w:val="24"/>
      <w:lang w:val="en-US" w:eastAsia="zh-CN"/>
    </w:rPr>
  </w:style>
  <w:style w:type="paragraph" w:customStyle="1" w:styleId="FigureTitle">
    <w:name w:val="Figure Title"/>
    <w:basedOn w:val="Normal"/>
    <w:next w:val="FigureHolder"/>
    <w:rsid w:val="0022375A"/>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paragraph" w:customStyle="1" w:styleId="FigureHolder">
    <w:name w:val="Figure Holder"/>
    <w:basedOn w:val="Normal"/>
    <w:next w:val="Normal"/>
    <w:rsid w:val="0022375A"/>
    <w:pPr>
      <w:keepNext/>
      <w:keepLines/>
      <w:spacing w:after="120" w:line="240" w:lineRule="atLeast"/>
      <w:jc w:val="center"/>
    </w:pPr>
    <w:rPr>
      <w:rFonts w:ascii="Arial" w:eastAsia="SimSun" w:hAnsi="Arial"/>
      <w:szCs w:val="24"/>
      <w:lang w:val="en-GB" w:eastAsia="zh-CN"/>
    </w:rPr>
  </w:style>
  <w:style w:type="paragraph" w:styleId="Revision">
    <w:name w:val="Revision"/>
    <w:hidden/>
    <w:uiPriority w:val="99"/>
    <w:semiHidden/>
    <w:rsid w:val="00C4416B"/>
    <w:rPr>
      <w:rFonts w:ascii="Times New Roman" w:hAnsi="Times New Roman"/>
      <w:sz w:val="24"/>
      <w:szCs w:val="22"/>
      <w:lang w:eastAsia="zh-TW"/>
    </w:rPr>
  </w:style>
  <w:style w:type="paragraph" w:customStyle="1" w:styleId="SynopsisText">
    <w:name w:val="Synopsis Text"/>
    <w:basedOn w:val="Normal"/>
    <w:rsid w:val="00F63507"/>
    <w:pPr>
      <w:spacing w:after="60" w:line="220" w:lineRule="exact"/>
      <w:ind w:left="72" w:right="72"/>
      <w:jc w:val="left"/>
    </w:pPr>
    <w:rPr>
      <w:rFonts w:ascii="Arial" w:eastAsia="SimSun" w:hAnsi="Arial"/>
      <w:sz w:val="20"/>
      <w:szCs w:val="24"/>
      <w:lang w:val="en-GB" w:eastAsia="zh-CN"/>
    </w:rPr>
  </w:style>
  <w:style w:type="paragraph" w:customStyle="1" w:styleId="TextRef">
    <w:name w:val="Text:Ref"/>
    <w:basedOn w:val="Normal"/>
    <w:rsid w:val="00F63507"/>
    <w:pPr>
      <w:numPr>
        <w:numId w:val="14"/>
      </w:numPr>
      <w:tabs>
        <w:tab w:val="clear" w:pos="360"/>
        <w:tab w:val="left" w:pos="1134"/>
      </w:tabs>
      <w:spacing w:after="170" w:line="280" w:lineRule="atLeast"/>
      <w:ind w:left="1134" w:hanging="1134"/>
      <w:jc w:val="left"/>
    </w:pPr>
    <w:rPr>
      <w:rFonts w:eastAsia="Times New Roman"/>
      <w:szCs w:val="20"/>
      <w:lang w:val="en-GB" w:eastAsia="ja-JP"/>
    </w:rPr>
  </w:style>
  <w:style w:type="paragraph" w:customStyle="1" w:styleId="SynopsisBullet">
    <w:name w:val="Synopsis Bullet"/>
    <w:basedOn w:val="ListBullet"/>
    <w:rsid w:val="0017524D"/>
    <w:pPr>
      <w:keepLines/>
      <w:spacing w:after="80" w:line="220" w:lineRule="exact"/>
      <w:ind w:left="720" w:right="72"/>
      <w:contextualSpacing w:val="0"/>
      <w:jc w:val="left"/>
    </w:pPr>
    <w:rPr>
      <w:rFonts w:ascii="Arial" w:eastAsia="SimSun" w:hAnsi="Arial"/>
      <w:sz w:val="20"/>
      <w:szCs w:val="24"/>
      <w:lang w:val="en-GB" w:eastAsia="zh-CN"/>
    </w:rPr>
  </w:style>
  <w:style w:type="paragraph" w:styleId="ListBullet">
    <w:name w:val="List Bullet"/>
    <w:basedOn w:val="Normal"/>
    <w:uiPriority w:val="99"/>
    <w:semiHidden/>
    <w:unhideWhenUsed/>
    <w:rsid w:val="0017524D"/>
    <w:pPr>
      <w:tabs>
        <w:tab w:val="num" w:pos="432"/>
      </w:tabs>
      <w:ind w:left="432" w:hanging="331"/>
      <w:contextualSpacing/>
    </w:pPr>
  </w:style>
  <w:style w:type="paragraph" w:customStyle="1" w:styleId="AppHeading3">
    <w:name w:val="App Heading 3"/>
    <w:basedOn w:val="Normal"/>
    <w:next w:val="Paragraph"/>
    <w:uiPriority w:val="99"/>
    <w:rsid w:val="00192373"/>
    <w:pPr>
      <w:keepNext/>
      <w:spacing w:before="300" w:after="120" w:line="280" w:lineRule="exact"/>
      <w:jc w:val="left"/>
    </w:pPr>
    <w:rPr>
      <w:rFonts w:ascii="Arial" w:eastAsia="SimSun" w:hAnsi="Arial"/>
      <w:b/>
      <w:smallCaps/>
      <w:sz w:val="28"/>
      <w:szCs w:val="24"/>
      <w:lang w:val="en-US" w:eastAsia="zh-CN"/>
    </w:rPr>
  </w:style>
  <w:style w:type="paragraph" w:styleId="NormalWeb">
    <w:name w:val="Normal (Web)"/>
    <w:basedOn w:val="Normal"/>
    <w:uiPriority w:val="99"/>
    <w:unhideWhenUsed/>
    <w:rsid w:val="00893CAC"/>
    <w:pPr>
      <w:jc w:val="left"/>
    </w:pPr>
    <w:rPr>
      <w:rFonts w:eastAsia="SimSun"/>
      <w:szCs w:val="24"/>
      <w:lang w:val="en-US" w:eastAsia="zh-CN"/>
    </w:rPr>
  </w:style>
  <w:style w:type="character" w:customStyle="1" w:styleId="TableCell10LeftChar">
    <w:name w:val="Table Cell 10 Left Char"/>
    <w:link w:val="TableCell10Left"/>
    <w:uiPriority w:val="99"/>
    <w:locked/>
    <w:rsid w:val="00893CAC"/>
    <w:rPr>
      <w:rFonts w:ascii="Arial" w:hAnsi="Arial" w:cs="Arial"/>
      <w:sz w:val="24"/>
      <w:lang w:val="en-US" w:eastAsia="zh-CN"/>
    </w:rPr>
  </w:style>
  <w:style w:type="paragraph" w:customStyle="1" w:styleId="TableCell10Left">
    <w:name w:val="Table Cell 10 Left"/>
    <w:basedOn w:val="Normal"/>
    <w:link w:val="TableCell10LeftChar"/>
    <w:uiPriority w:val="99"/>
    <w:rsid w:val="00893CAC"/>
    <w:pPr>
      <w:keepNext/>
      <w:keepLines/>
      <w:spacing w:before="50" w:after="50" w:line="240" w:lineRule="exact"/>
      <w:jc w:val="left"/>
    </w:pPr>
    <w:rPr>
      <w:rFonts w:ascii="Arial" w:hAnsi="Arial" w:cs="Arial"/>
      <w:szCs w:val="20"/>
      <w:lang w:val="en-US" w:eastAsia="zh-CN"/>
    </w:rPr>
  </w:style>
  <w:style w:type="paragraph" w:customStyle="1" w:styleId="TableCell10Center">
    <w:name w:val="Table Cell 10 Center"/>
    <w:basedOn w:val="TableCell10Left"/>
    <w:uiPriority w:val="99"/>
    <w:rsid w:val="00893CAC"/>
    <w:pPr>
      <w:jc w:val="center"/>
    </w:pPr>
  </w:style>
  <w:style w:type="table" w:styleId="TableGrid">
    <w:name w:val="Table Grid"/>
    <w:basedOn w:val="TableNormal"/>
    <w:uiPriority w:val="59"/>
    <w:rsid w:val="0076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38"/>
    <w:pPr>
      <w:jc w:val="both"/>
    </w:pPr>
    <w:rPr>
      <w:rFonts w:ascii="Times New Roman" w:hAnsi="Times New Roman"/>
      <w:sz w:val="24"/>
      <w:szCs w:val="22"/>
      <w:lang w:eastAsia="zh-TW"/>
    </w:rPr>
  </w:style>
  <w:style w:type="paragraph" w:styleId="Heading1">
    <w:name w:val="heading 1"/>
    <w:basedOn w:val="Normal"/>
    <w:next w:val="Normal"/>
    <w:link w:val="Heading1Char"/>
    <w:uiPriority w:val="9"/>
    <w:qFormat/>
    <w:rsid w:val="00410126"/>
    <w:pPr>
      <w:keepNext/>
      <w:keepLines/>
      <w:spacing w:before="480" w:after="60"/>
      <w:jc w:val="left"/>
      <w:outlineLvl w:val="0"/>
    </w:pPr>
    <w:rPr>
      <w:rFonts w:ascii="Times New Roman Bold" w:hAnsi="Times New Roman Bold"/>
      <w:b/>
      <w:bCs/>
      <w:caps/>
      <w:sz w:val="40"/>
      <w:szCs w:val="40"/>
      <w:lang w:val="en-GB"/>
    </w:rPr>
  </w:style>
  <w:style w:type="paragraph" w:styleId="Heading2">
    <w:name w:val="heading 2"/>
    <w:basedOn w:val="Normal"/>
    <w:next w:val="Normal"/>
    <w:link w:val="Heading2Char"/>
    <w:uiPriority w:val="9"/>
    <w:unhideWhenUsed/>
    <w:qFormat/>
    <w:rsid w:val="00410126"/>
    <w:pPr>
      <w:keepNext/>
      <w:keepLines/>
      <w:spacing w:before="240" w:after="60"/>
      <w:jc w:val="left"/>
      <w:outlineLvl w:val="1"/>
    </w:pPr>
    <w:rPr>
      <w:b/>
      <w:bCs/>
      <w:sz w:val="28"/>
      <w:szCs w:val="28"/>
      <w:lang w:val="en-GB"/>
    </w:rPr>
  </w:style>
  <w:style w:type="paragraph" w:styleId="Heading3">
    <w:name w:val="heading 3"/>
    <w:basedOn w:val="Normal"/>
    <w:next w:val="Normal"/>
    <w:link w:val="Heading3Char"/>
    <w:uiPriority w:val="9"/>
    <w:unhideWhenUsed/>
    <w:qFormat/>
    <w:rsid w:val="00605DA8"/>
    <w:pPr>
      <w:keepNext/>
      <w:keepLines/>
      <w:spacing w:before="240" w:after="60"/>
      <w:jc w:val="left"/>
      <w:outlineLvl w:val="2"/>
    </w:pPr>
    <w:rPr>
      <w:b/>
      <w:bCs/>
    </w:rPr>
  </w:style>
  <w:style w:type="paragraph" w:styleId="Heading4">
    <w:name w:val="heading 4"/>
    <w:basedOn w:val="Normal"/>
    <w:next w:val="Normal"/>
    <w:link w:val="Heading4Char"/>
    <w:uiPriority w:val="9"/>
    <w:unhideWhenUsed/>
    <w:qFormat/>
    <w:rsid w:val="00DE3CDE"/>
    <w:pPr>
      <w:keepNext/>
      <w:keepLines/>
      <w:spacing w:before="240" w:after="60"/>
      <w:jc w:val="left"/>
      <w:outlineLvl w:val="3"/>
    </w:pPr>
    <w:rPr>
      <w:b/>
      <w:bCs/>
      <w:iCs/>
      <w:color w:val="000000"/>
      <w:szCs w:val="24"/>
    </w:rPr>
  </w:style>
  <w:style w:type="paragraph" w:styleId="Heading5">
    <w:name w:val="heading 5"/>
    <w:basedOn w:val="Normal"/>
    <w:next w:val="Normal"/>
    <w:link w:val="Heading5Char"/>
    <w:uiPriority w:val="9"/>
    <w:unhideWhenUsed/>
    <w:qFormat/>
    <w:rsid w:val="00B009AF"/>
    <w:pPr>
      <w:keepNext/>
      <w:keepLines/>
      <w:spacing w:before="200" w:after="120"/>
      <w:outlineLvl w:val="4"/>
    </w:pPr>
    <w:rPr>
      <w:i/>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410126"/>
    <w:rPr>
      <w:rFonts w:ascii="Times New Roman Bold" w:hAnsi="Times New Roman Bold"/>
      <w:b/>
      <w:bCs/>
      <w:caps/>
      <w:sz w:val="40"/>
      <w:szCs w:val="40"/>
      <w:lang w:val="en-GB" w:eastAsia="zh-TW"/>
    </w:rPr>
  </w:style>
  <w:style w:type="character" w:customStyle="1" w:styleId="Heading2Char">
    <w:name w:val="Heading 2 Char"/>
    <w:link w:val="Heading2"/>
    <w:uiPriority w:val="9"/>
    <w:rsid w:val="00410126"/>
    <w:rPr>
      <w:rFonts w:ascii="Times New Roman" w:hAnsi="Times New Roman"/>
      <w:b/>
      <w:bCs/>
      <w:sz w:val="28"/>
      <w:szCs w:val="28"/>
      <w:lang w:val="en-GB" w:eastAsia="zh-TW"/>
    </w:rPr>
  </w:style>
  <w:style w:type="character" w:customStyle="1" w:styleId="Heading3Char">
    <w:name w:val="Heading 3 Char"/>
    <w:link w:val="Heading3"/>
    <w:uiPriority w:val="9"/>
    <w:rsid w:val="00605DA8"/>
    <w:rPr>
      <w:rFonts w:ascii="Times New Roman" w:hAnsi="Times New Roman"/>
      <w:b/>
      <w:bCs/>
      <w:sz w:val="24"/>
      <w:szCs w:val="22"/>
    </w:rPr>
  </w:style>
  <w:style w:type="character" w:customStyle="1" w:styleId="Heading4Char">
    <w:name w:val="Heading 4 Char"/>
    <w:link w:val="Heading4"/>
    <w:uiPriority w:val="9"/>
    <w:rsid w:val="00DE3CDE"/>
    <w:rPr>
      <w:rFonts w:ascii="Times New Roman" w:hAnsi="Times New Roman"/>
      <w:b/>
      <w:bCs/>
      <w:iCs/>
      <w:color w:val="000000"/>
      <w:sz w:val="24"/>
      <w:szCs w:val="24"/>
      <w:lang w:eastAsia="zh-TW"/>
    </w:rPr>
  </w:style>
  <w:style w:type="character" w:customStyle="1" w:styleId="Heading5Char">
    <w:name w:val="Heading 5 Char"/>
    <w:link w:val="Heading5"/>
    <w:uiPriority w:val="9"/>
    <w:rsid w:val="00B009AF"/>
    <w:rPr>
      <w:rFonts w:ascii="Times New Roman" w:hAnsi="Times New Roman"/>
      <w:i/>
      <w:sz w:val="24"/>
      <w:szCs w:val="22"/>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customStyle="1" w:styleId="Paragraph">
    <w:name w:val="Paragraph"/>
    <w:basedOn w:val="Normal"/>
    <w:link w:val="ParagraphChar"/>
    <w:rsid w:val="00435C55"/>
    <w:pPr>
      <w:spacing w:after="170" w:line="280" w:lineRule="exact"/>
      <w:jc w:val="left"/>
    </w:pPr>
    <w:rPr>
      <w:rFonts w:ascii="Arial" w:eastAsia="SimSun" w:hAnsi="Arial"/>
      <w:szCs w:val="24"/>
      <w:lang w:val="en-GB" w:eastAsia="zh-CN"/>
    </w:rPr>
  </w:style>
  <w:style w:type="character" w:customStyle="1" w:styleId="ParagraphChar">
    <w:name w:val="Paragraph Char"/>
    <w:link w:val="Paragraph"/>
    <w:rsid w:val="00435C55"/>
    <w:rPr>
      <w:rFonts w:ascii="Arial" w:eastAsia="SimSun" w:hAnsi="Arial"/>
      <w:sz w:val="24"/>
      <w:szCs w:val="24"/>
      <w:lang w:val="en-GB" w:eastAsia="zh-CN"/>
    </w:rPr>
  </w:style>
  <w:style w:type="character" w:customStyle="1" w:styleId="TextTi12Char1">
    <w:name w:val="Text:Ti12 Char1"/>
    <w:rsid w:val="00DE0D78"/>
    <w:rPr>
      <w:sz w:val="24"/>
      <w:lang w:val="en-US" w:eastAsia="ja-JP" w:bidi="ar-SA"/>
    </w:rPr>
  </w:style>
  <w:style w:type="character" w:styleId="CommentReference">
    <w:name w:val="annotation reference"/>
    <w:uiPriority w:val="99"/>
    <w:semiHidden/>
    <w:rsid w:val="00CB1612"/>
    <w:rPr>
      <w:sz w:val="16"/>
      <w:szCs w:val="16"/>
    </w:rPr>
  </w:style>
  <w:style w:type="paragraph" w:styleId="CommentText">
    <w:name w:val="annotation text"/>
    <w:basedOn w:val="Normal"/>
    <w:link w:val="CommentTextChar1"/>
    <w:uiPriority w:val="99"/>
    <w:rsid w:val="00CB1612"/>
    <w:pPr>
      <w:jc w:val="left"/>
    </w:pPr>
    <w:rPr>
      <w:rFonts w:eastAsia="Times New Roman"/>
      <w:sz w:val="20"/>
      <w:szCs w:val="20"/>
      <w:lang w:val="en-GB" w:eastAsia="en-US"/>
    </w:rPr>
  </w:style>
  <w:style w:type="character" w:customStyle="1" w:styleId="CommentTextChar">
    <w:name w:val="Comment Text Char"/>
    <w:semiHidden/>
    <w:rsid w:val="00CB1612"/>
    <w:rPr>
      <w:rFonts w:ascii="Times New Roman" w:hAnsi="Times New Roman"/>
    </w:rPr>
  </w:style>
  <w:style w:type="character" w:customStyle="1" w:styleId="CommentTextChar1">
    <w:name w:val="Comment Text Char1"/>
    <w:link w:val="CommentText"/>
    <w:uiPriority w:val="99"/>
    <w:rsid w:val="00CB1612"/>
    <w:rPr>
      <w:rFonts w:ascii="Times New Roman" w:eastAsia="Times New Roman" w:hAnsi="Times New Roman"/>
      <w:lang w:val="en-GB" w:eastAsia="en-US"/>
    </w:rPr>
  </w:style>
  <w:style w:type="paragraph" w:styleId="BodyText">
    <w:name w:val="Body Text"/>
    <w:basedOn w:val="Normal"/>
    <w:link w:val="BodyTextChar"/>
    <w:uiPriority w:val="99"/>
    <w:unhideWhenUsed/>
    <w:rsid w:val="001E4015"/>
    <w:pPr>
      <w:spacing w:after="120"/>
    </w:pPr>
  </w:style>
  <w:style w:type="character" w:customStyle="1" w:styleId="BodyTextChar">
    <w:name w:val="Body Text Char"/>
    <w:link w:val="BodyText"/>
    <w:uiPriority w:val="99"/>
    <w:rsid w:val="001E4015"/>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EC5C41"/>
    <w:pPr>
      <w:jc w:val="both"/>
    </w:pPr>
    <w:rPr>
      <w:rFonts w:eastAsia="PMingLiU"/>
      <w:b/>
      <w:bCs/>
      <w:lang w:val="en-AU" w:eastAsia="zh-TW"/>
    </w:rPr>
  </w:style>
  <w:style w:type="character" w:customStyle="1" w:styleId="CommentSubjectChar">
    <w:name w:val="Comment Subject Char"/>
    <w:link w:val="CommentSubject"/>
    <w:uiPriority w:val="99"/>
    <w:semiHidden/>
    <w:rsid w:val="00EC5C41"/>
    <w:rPr>
      <w:rFonts w:ascii="Times New Roman" w:eastAsia="Times New Roman" w:hAnsi="Times New Roman"/>
      <w:b/>
      <w:bCs/>
      <w:lang w:val="en-GB" w:eastAsia="en-US"/>
    </w:rPr>
  </w:style>
  <w:style w:type="paragraph" w:styleId="Caption">
    <w:name w:val="caption"/>
    <w:basedOn w:val="Normal"/>
    <w:next w:val="Normal"/>
    <w:uiPriority w:val="35"/>
    <w:unhideWhenUsed/>
    <w:qFormat/>
    <w:rsid w:val="0049353C"/>
    <w:pPr>
      <w:spacing w:after="200"/>
      <w:jc w:val="left"/>
    </w:pPr>
    <w:rPr>
      <w:b/>
      <w:bCs/>
      <w:szCs w:val="24"/>
    </w:rPr>
  </w:style>
  <w:style w:type="paragraph" w:customStyle="1" w:styleId="paragraph0">
    <w:name w:val="paragraph"/>
    <w:basedOn w:val="Normal"/>
    <w:uiPriority w:val="99"/>
    <w:rsid w:val="0070611B"/>
    <w:pPr>
      <w:spacing w:after="170" w:line="280" w:lineRule="atLeast"/>
      <w:jc w:val="left"/>
    </w:pPr>
    <w:rPr>
      <w:rFonts w:ascii="Arial" w:hAnsi="Arial" w:cs="Arial"/>
      <w:szCs w:val="24"/>
      <w:lang w:val="en-US" w:eastAsia="zh-CN"/>
    </w:rPr>
  </w:style>
  <w:style w:type="paragraph" w:customStyle="1" w:styleId="FigureTitle">
    <w:name w:val="Figure Title"/>
    <w:basedOn w:val="Normal"/>
    <w:next w:val="FigureHolder"/>
    <w:rsid w:val="0022375A"/>
    <w:pPr>
      <w:keepNext/>
      <w:keepLines/>
      <w:tabs>
        <w:tab w:val="left" w:pos="1080"/>
      </w:tabs>
      <w:spacing w:before="40" w:after="160" w:line="280" w:lineRule="exact"/>
      <w:ind w:left="1080" w:hanging="1080"/>
      <w:jc w:val="left"/>
    </w:pPr>
    <w:rPr>
      <w:rFonts w:ascii="Arial" w:eastAsia="SimSun" w:hAnsi="Arial"/>
      <w:b/>
      <w:szCs w:val="24"/>
      <w:lang w:val="en-GB" w:eastAsia="zh-CN"/>
    </w:rPr>
  </w:style>
  <w:style w:type="paragraph" w:customStyle="1" w:styleId="FigureHolder">
    <w:name w:val="Figure Holder"/>
    <w:basedOn w:val="Normal"/>
    <w:next w:val="Normal"/>
    <w:rsid w:val="0022375A"/>
    <w:pPr>
      <w:keepNext/>
      <w:keepLines/>
      <w:spacing w:after="120" w:line="240" w:lineRule="atLeast"/>
      <w:jc w:val="center"/>
    </w:pPr>
    <w:rPr>
      <w:rFonts w:ascii="Arial" w:eastAsia="SimSun" w:hAnsi="Arial"/>
      <w:szCs w:val="24"/>
      <w:lang w:val="en-GB" w:eastAsia="zh-CN"/>
    </w:rPr>
  </w:style>
  <w:style w:type="paragraph" w:styleId="Revision">
    <w:name w:val="Revision"/>
    <w:hidden/>
    <w:uiPriority w:val="99"/>
    <w:semiHidden/>
    <w:rsid w:val="00C4416B"/>
    <w:rPr>
      <w:rFonts w:ascii="Times New Roman" w:hAnsi="Times New Roman"/>
      <w:sz w:val="24"/>
      <w:szCs w:val="22"/>
      <w:lang w:eastAsia="zh-TW"/>
    </w:rPr>
  </w:style>
  <w:style w:type="paragraph" w:customStyle="1" w:styleId="SynopsisText">
    <w:name w:val="Synopsis Text"/>
    <w:basedOn w:val="Normal"/>
    <w:rsid w:val="00F63507"/>
    <w:pPr>
      <w:spacing w:after="60" w:line="220" w:lineRule="exact"/>
      <w:ind w:left="72" w:right="72"/>
      <w:jc w:val="left"/>
    </w:pPr>
    <w:rPr>
      <w:rFonts w:ascii="Arial" w:eastAsia="SimSun" w:hAnsi="Arial"/>
      <w:sz w:val="20"/>
      <w:szCs w:val="24"/>
      <w:lang w:val="en-GB" w:eastAsia="zh-CN"/>
    </w:rPr>
  </w:style>
  <w:style w:type="paragraph" w:customStyle="1" w:styleId="TextRef">
    <w:name w:val="Text:Ref"/>
    <w:basedOn w:val="Normal"/>
    <w:rsid w:val="00F63507"/>
    <w:pPr>
      <w:numPr>
        <w:numId w:val="14"/>
      </w:numPr>
      <w:tabs>
        <w:tab w:val="clear" w:pos="360"/>
        <w:tab w:val="left" w:pos="1134"/>
      </w:tabs>
      <w:spacing w:after="170" w:line="280" w:lineRule="atLeast"/>
      <w:ind w:left="1134" w:hanging="1134"/>
      <w:jc w:val="left"/>
    </w:pPr>
    <w:rPr>
      <w:rFonts w:eastAsia="Times New Roman"/>
      <w:szCs w:val="20"/>
      <w:lang w:val="en-GB" w:eastAsia="ja-JP"/>
    </w:rPr>
  </w:style>
  <w:style w:type="paragraph" w:customStyle="1" w:styleId="SynopsisBullet">
    <w:name w:val="Synopsis Bullet"/>
    <w:basedOn w:val="ListBullet"/>
    <w:rsid w:val="0017524D"/>
    <w:pPr>
      <w:keepLines/>
      <w:spacing w:after="80" w:line="220" w:lineRule="exact"/>
      <w:ind w:left="720" w:right="72"/>
      <w:contextualSpacing w:val="0"/>
      <w:jc w:val="left"/>
    </w:pPr>
    <w:rPr>
      <w:rFonts w:ascii="Arial" w:eastAsia="SimSun" w:hAnsi="Arial"/>
      <w:sz w:val="20"/>
      <w:szCs w:val="24"/>
      <w:lang w:val="en-GB" w:eastAsia="zh-CN"/>
    </w:rPr>
  </w:style>
  <w:style w:type="paragraph" w:styleId="ListBullet">
    <w:name w:val="List Bullet"/>
    <w:basedOn w:val="Normal"/>
    <w:uiPriority w:val="99"/>
    <w:semiHidden/>
    <w:unhideWhenUsed/>
    <w:rsid w:val="0017524D"/>
    <w:pPr>
      <w:tabs>
        <w:tab w:val="num" w:pos="432"/>
      </w:tabs>
      <w:ind w:left="432" w:hanging="331"/>
      <w:contextualSpacing/>
    </w:pPr>
  </w:style>
  <w:style w:type="paragraph" w:customStyle="1" w:styleId="AppHeading3">
    <w:name w:val="App Heading 3"/>
    <w:basedOn w:val="Normal"/>
    <w:next w:val="Paragraph"/>
    <w:uiPriority w:val="99"/>
    <w:rsid w:val="00192373"/>
    <w:pPr>
      <w:keepNext/>
      <w:spacing w:before="300" w:after="120" w:line="280" w:lineRule="exact"/>
      <w:jc w:val="left"/>
    </w:pPr>
    <w:rPr>
      <w:rFonts w:ascii="Arial" w:eastAsia="SimSun" w:hAnsi="Arial"/>
      <w:b/>
      <w:smallCaps/>
      <w:sz w:val="28"/>
      <w:szCs w:val="24"/>
      <w:lang w:val="en-US" w:eastAsia="zh-CN"/>
    </w:rPr>
  </w:style>
  <w:style w:type="paragraph" w:styleId="NormalWeb">
    <w:name w:val="Normal (Web)"/>
    <w:basedOn w:val="Normal"/>
    <w:uiPriority w:val="99"/>
    <w:unhideWhenUsed/>
    <w:rsid w:val="00893CAC"/>
    <w:pPr>
      <w:jc w:val="left"/>
    </w:pPr>
    <w:rPr>
      <w:rFonts w:eastAsia="SimSun"/>
      <w:szCs w:val="24"/>
      <w:lang w:val="en-US" w:eastAsia="zh-CN"/>
    </w:rPr>
  </w:style>
  <w:style w:type="character" w:customStyle="1" w:styleId="TableCell10LeftChar">
    <w:name w:val="Table Cell 10 Left Char"/>
    <w:link w:val="TableCell10Left"/>
    <w:uiPriority w:val="99"/>
    <w:locked/>
    <w:rsid w:val="00893CAC"/>
    <w:rPr>
      <w:rFonts w:ascii="Arial" w:hAnsi="Arial" w:cs="Arial"/>
      <w:sz w:val="24"/>
      <w:lang w:val="en-US" w:eastAsia="zh-CN"/>
    </w:rPr>
  </w:style>
  <w:style w:type="paragraph" w:customStyle="1" w:styleId="TableCell10Left">
    <w:name w:val="Table Cell 10 Left"/>
    <w:basedOn w:val="Normal"/>
    <w:link w:val="TableCell10LeftChar"/>
    <w:uiPriority w:val="99"/>
    <w:rsid w:val="00893CAC"/>
    <w:pPr>
      <w:keepNext/>
      <w:keepLines/>
      <w:spacing w:before="50" w:after="50" w:line="240" w:lineRule="exact"/>
      <w:jc w:val="left"/>
    </w:pPr>
    <w:rPr>
      <w:rFonts w:ascii="Arial" w:hAnsi="Arial" w:cs="Arial"/>
      <w:szCs w:val="20"/>
      <w:lang w:val="en-US" w:eastAsia="zh-CN"/>
    </w:rPr>
  </w:style>
  <w:style w:type="paragraph" w:customStyle="1" w:styleId="TableCell10Center">
    <w:name w:val="Table Cell 10 Center"/>
    <w:basedOn w:val="TableCell10Left"/>
    <w:uiPriority w:val="99"/>
    <w:rsid w:val="00893CAC"/>
    <w:pPr>
      <w:jc w:val="center"/>
    </w:pPr>
  </w:style>
  <w:style w:type="table" w:styleId="TableGrid">
    <w:name w:val="Table Grid"/>
    <w:basedOn w:val="TableNormal"/>
    <w:uiPriority w:val="59"/>
    <w:rsid w:val="0076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720">
      <w:bodyDiv w:val="1"/>
      <w:marLeft w:val="0"/>
      <w:marRight w:val="0"/>
      <w:marTop w:val="0"/>
      <w:marBottom w:val="0"/>
      <w:divBdr>
        <w:top w:val="none" w:sz="0" w:space="0" w:color="auto"/>
        <w:left w:val="none" w:sz="0" w:space="0" w:color="auto"/>
        <w:bottom w:val="none" w:sz="0" w:space="0" w:color="auto"/>
        <w:right w:val="none" w:sz="0" w:space="0" w:color="auto"/>
      </w:divBdr>
    </w:div>
    <w:div w:id="329607215">
      <w:bodyDiv w:val="1"/>
      <w:marLeft w:val="0"/>
      <w:marRight w:val="0"/>
      <w:marTop w:val="0"/>
      <w:marBottom w:val="0"/>
      <w:divBdr>
        <w:top w:val="none" w:sz="0" w:space="0" w:color="auto"/>
        <w:left w:val="none" w:sz="0" w:space="0" w:color="auto"/>
        <w:bottom w:val="none" w:sz="0" w:space="0" w:color="auto"/>
        <w:right w:val="none" w:sz="0" w:space="0" w:color="auto"/>
      </w:divBdr>
    </w:div>
    <w:div w:id="456413041">
      <w:bodyDiv w:val="1"/>
      <w:marLeft w:val="0"/>
      <w:marRight w:val="0"/>
      <w:marTop w:val="0"/>
      <w:marBottom w:val="0"/>
      <w:divBdr>
        <w:top w:val="none" w:sz="0" w:space="0" w:color="auto"/>
        <w:left w:val="none" w:sz="0" w:space="0" w:color="auto"/>
        <w:bottom w:val="none" w:sz="0" w:space="0" w:color="auto"/>
        <w:right w:val="none" w:sz="0" w:space="0" w:color="auto"/>
      </w:divBdr>
    </w:div>
    <w:div w:id="851259137">
      <w:bodyDiv w:val="1"/>
      <w:marLeft w:val="0"/>
      <w:marRight w:val="0"/>
      <w:marTop w:val="0"/>
      <w:marBottom w:val="0"/>
      <w:divBdr>
        <w:top w:val="none" w:sz="0" w:space="0" w:color="auto"/>
        <w:left w:val="none" w:sz="0" w:space="0" w:color="auto"/>
        <w:bottom w:val="none" w:sz="0" w:space="0" w:color="auto"/>
        <w:right w:val="none" w:sz="0" w:space="0" w:color="auto"/>
      </w:divBdr>
    </w:div>
    <w:div w:id="1404599982">
      <w:bodyDiv w:val="1"/>
      <w:marLeft w:val="0"/>
      <w:marRight w:val="0"/>
      <w:marTop w:val="0"/>
      <w:marBottom w:val="0"/>
      <w:divBdr>
        <w:top w:val="none" w:sz="0" w:space="0" w:color="auto"/>
        <w:left w:val="none" w:sz="0" w:space="0" w:color="auto"/>
        <w:bottom w:val="none" w:sz="0" w:space="0" w:color="auto"/>
        <w:right w:val="none" w:sz="0" w:space="0" w:color="auto"/>
      </w:divBdr>
    </w:div>
    <w:div w:id="1432971584">
      <w:bodyDiv w:val="1"/>
      <w:marLeft w:val="0"/>
      <w:marRight w:val="0"/>
      <w:marTop w:val="0"/>
      <w:marBottom w:val="0"/>
      <w:divBdr>
        <w:top w:val="none" w:sz="0" w:space="0" w:color="auto"/>
        <w:left w:val="none" w:sz="0" w:space="0" w:color="auto"/>
        <w:bottom w:val="none" w:sz="0" w:space="0" w:color="auto"/>
        <w:right w:val="none" w:sz="0" w:space="0" w:color="auto"/>
      </w:divBdr>
    </w:div>
    <w:div w:id="1494250722">
      <w:bodyDiv w:val="1"/>
      <w:marLeft w:val="0"/>
      <w:marRight w:val="0"/>
      <w:marTop w:val="0"/>
      <w:marBottom w:val="0"/>
      <w:divBdr>
        <w:top w:val="none" w:sz="0" w:space="0" w:color="auto"/>
        <w:left w:val="none" w:sz="0" w:space="0" w:color="auto"/>
        <w:bottom w:val="none" w:sz="0" w:space="0" w:color="auto"/>
        <w:right w:val="none" w:sz="0" w:space="0" w:color="auto"/>
      </w:divBdr>
    </w:div>
    <w:div w:id="1723863250">
      <w:bodyDiv w:val="1"/>
      <w:marLeft w:val="0"/>
      <w:marRight w:val="0"/>
      <w:marTop w:val="0"/>
      <w:marBottom w:val="0"/>
      <w:divBdr>
        <w:top w:val="none" w:sz="0" w:space="0" w:color="auto"/>
        <w:left w:val="none" w:sz="0" w:space="0" w:color="auto"/>
        <w:bottom w:val="none" w:sz="0" w:space="0" w:color="auto"/>
        <w:right w:val="none" w:sz="0" w:space="0" w:color="auto"/>
      </w:divBdr>
    </w:div>
    <w:div w:id="1855419735">
      <w:bodyDiv w:val="1"/>
      <w:marLeft w:val="0"/>
      <w:marRight w:val="0"/>
      <w:marTop w:val="0"/>
      <w:marBottom w:val="0"/>
      <w:divBdr>
        <w:top w:val="none" w:sz="0" w:space="0" w:color="auto"/>
        <w:left w:val="none" w:sz="0" w:space="0" w:color="auto"/>
        <w:bottom w:val="none" w:sz="0" w:space="0" w:color="auto"/>
        <w:right w:val="none" w:sz="0" w:space="0" w:color="auto"/>
      </w:divBdr>
    </w:div>
    <w:div w:id="1879052778">
      <w:bodyDiv w:val="1"/>
      <w:marLeft w:val="0"/>
      <w:marRight w:val="0"/>
      <w:marTop w:val="0"/>
      <w:marBottom w:val="0"/>
      <w:divBdr>
        <w:top w:val="none" w:sz="0" w:space="0" w:color="auto"/>
        <w:left w:val="none" w:sz="0" w:space="0" w:color="auto"/>
        <w:bottom w:val="none" w:sz="0" w:space="0" w:color="auto"/>
        <w:right w:val="none" w:sz="0" w:space="0" w:color="auto"/>
      </w:divBdr>
    </w:div>
    <w:div w:id="1988706582">
      <w:bodyDiv w:val="1"/>
      <w:marLeft w:val="0"/>
      <w:marRight w:val="0"/>
      <w:marTop w:val="0"/>
      <w:marBottom w:val="0"/>
      <w:divBdr>
        <w:top w:val="none" w:sz="0" w:space="0" w:color="auto"/>
        <w:left w:val="none" w:sz="0" w:space="0" w:color="auto"/>
        <w:bottom w:val="none" w:sz="0" w:space="0" w:color="auto"/>
        <w:right w:val="none" w:sz="0" w:space="0" w:color="auto"/>
      </w:divBdr>
      <w:divsChild>
        <w:div w:id="101688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B7E29-1A82-4B75-A676-099ABB52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dc:creator>
  <cp:lastModifiedBy>Schilg, Cassie</cp:lastModifiedBy>
  <cp:revision>6</cp:revision>
  <cp:lastPrinted>2014-11-04T03:06:00Z</cp:lastPrinted>
  <dcterms:created xsi:type="dcterms:W3CDTF">2016-06-20T23:27:00Z</dcterms:created>
  <dcterms:modified xsi:type="dcterms:W3CDTF">2016-06-23T03:09:00Z</dcterms:modified>
</cp:coreProperties>
</file>