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5510376D" w14:textId="77777777" w:rsidTr="00BF1190">
        <w:trPr>
          <w:trHeight w:val="1863"/>
        </w:trPr>
        <w:tc>
          <w:tcPr>
            <w:tcW w:w="3652" w:type="dxa"/>
            <w:tcBorders>
              <w:top w:val="nil"/>
              <w:left w:val="nil"/>
              <w:bottom w:val="nil"/>
              <w:right w:val="nil"/>
            </w:tcBorders>
          </w:tcPr>
          <w:p w14:paraId="5829C24F" w14:textId="77777777" w:rsidR="008E7846" w:rsidRPr="00096AA7" w:rsidRDefault="00FD4695" w:rsidP="00096AA7">
            <w:pPr>
              <w:rPr>
                <w:rFonts w:ascii="Arial" w:hAnsi="Arial" w:cs="Arial"/>
                <w:b/>
                <w:color w:val="002C47"/>
                <w:sz w:val="36"/>
                <w:szCs w:val="36"/>
              </w:rPr>
            </w:pPr>
            <w:r>
              <w:rPr>
                <w:rFonts w:ascii="Arial" w:hAnsi="Arial" w:cs="Arial"/>
                <w:b/>
                <w:color w:val="002C47"/>
                <w:sz w:val="36"/>
                <w:szCs w:val="36"/>
              </w:rPr>
              <w:t>March</w:t>
            </w:r>
            <w:r w:rsidR="0059183C">
              <w:rPr>
                <w:rFonts w:ascii="Arial" w:hAnsi="Arial" w:cs="Arial"/>
                <w:b/>
                <w:color w:val="002C47"/>
                <w:sz w:val="36"/>
                <w:szCs w:val="36"/>
              </w:rPr>
              <w:t xml:space="preserve"> 2020</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1532FA6C" w14:textId="77777777" w:rsidTr="0032583B">
        <w:trPr>
          <w:trHeight w:val="868"/>
        </w:trPr>
        <w:tc>
          <w:tcPr>
            <w:tcW w:w="9079" w:type="dxa"/>
          </w:tcPr>
          <w:p w14:paraId="6A2B2B8F" w14:textId="77777777" w:rsidR="0032583B" w:rsidRPr="00A964D1" w:rsidRDefault="0032583B" w:rsidP="00A964D1">
            <w:pPr>
              <w:pStyle w:val="Title"/>
              <w:rPr>
                <w:color w:val="FFFFFF" w:themeColor="background1"/>
              </w:rPr>
            </w:pPr>
            <w:r w:rsidRPr="00A964D1">
              <w:rPr>
                <w:color w:val="FFFFFF" w:themeColor="background1"/>
              </w:rPr>
              <w:t xml:space="preserve">Australian Public Assessment Report for </w:t>
            </w:r>
            <w:r w:rsidR="0059183C">
              <w:rPr>
                <w:color w:val="FFFFFF" w:themeColor="background1"/>
              </w:rPr>
              <w:t>P</w:t>
            </w:r>
            <w:r w:rsidR="0059183C" w:rsidRPr="006876C5">
              <w:rPr>
                <w:color w:val="FFFFFF" w:themeColor="background1"/>
              </w:rPr>
              <w:t>ertussis vaccine</w:t>
            </w:r>
            <w:r w:rsidR="0059183C">
              <w:rPr>
                <w:color w:val="FFFFFF" w:themeColor="background1"/>
              </w:rPr>
              <w:t xml:space="preserve"> </w:t>
            </w:r>
            <w:r w:rsidR="0059183C" w:rsidRPr="006876C5">
              <w:rPr>
                <w:color w:val="FFFFFF" w:themeColor="background1"/>
              </w:rPr>
              <w:t>-</w:t>
            </w:r>
            <w:r w:rsidR="0059183C">
              <w:rPr>
                <w:color w:val="FFFFFF" w:themeColor="background1"/>
              </w:rPr>
              <w:t xml:space="preserve"> </w:t>
            </w:r>
            <w:r w:rsidR="0059183C" w:rsidRPr="006876C5">
              <w:rPr>
                <w:color w:val="FFFFFF" w:themeColor="background1"/>
              </w:rPr>
              <w:t xml:space="preserve">acellular combined with diphtheria </w:t>
            </w:r>
            <w:r w:rsidR="0059183C">
              <w:rPr>
                <w:color w:val="FFFFFF" w:themeColor="background1"/>
              </w:rPr>
              <w:t>and tetanus toxoids (adsorbed)</w:t>
            </w:r>
          </w:p>
        </w:tc>
      </w:tr>
      <w:tr w:rsidR="0032583B" w:rsidRPr="00B64760" w14:paraId="0DF542D5" w14:textId="77777777" w:rsidTr="0032583B">
        <w:tc>
          <w:tcPr>
            <w:tcW w:w="9079" w:type="dxa"/>
          </w:tcPr>
          <w:p w14:paraId="5FBDC32B" w14:textId="77777777" w:rsidR="0032583B" w:rsidRPr="008E7846" w:rsidRDefault="0032583B" w:rsidP="0032583B">
            <w:pPr>
              <w:pStyle w:val="Subtitle"/>
              <w:rPr>
                <w:color w:val="FFFFFF" w:themeColor="background1"/>
              </w:rPr>
            </w:pPr>
            <w:r w:rsidRPr="008E7846">
              <w:rPr>
                <w:color w:val="FFFFFF" w:themeColor="background1"/>
              </w:rPr>
              <w:t xml:space="preserve">Proprietary Product Name: </w:t>
            </w:r>
            <w:r w:rsidR="0059183C">
              <w:rPr>
                <w:color w:val="FFFFFF" w:themeColor="background1"/>
              </w:rPr>
              <w:t>Adacel</w:t>
            </w:r>
          </w:p>
        </w:tc>
      </w:tr>
      <w:tr w:rsidR="0032583B" w:rsidRPr="00B64760" w14:paraId="609A6A49" w14:textId="77777777" w:rsidTr="0032583B">
        <w:trPr>
          <w:trHeight w:val="486"/>
        </w:trPr>
        <w:tc>
          <w:tcPr>
            <w:tcW w:w="9079" w:type="dxa"/>
          </w:tcPr>
          <w:p w14:paraId="1511A2AC" w14:textId="77777777" w:rsidR="0032583B" w:rsidRPr="008E7846" w:rsidRDefault="0032583B" w:rsidP="0032583B">
            <w:pPr>
              <w:pStyle w:val="Subtitle"/>
              <w:rPr>
                <w:color w:val="FFFFFF" w:themeColor="background1"/>
              </w:rPr>
            </w:pPr>
            <w:r w:rsidRPr="008E7846">
              <w:rPr>
                <w:color w:val="FFFFFF" w:themeColor="background1"/>
              </w:rPr>
              <w:t xml:space="preserve">Sponsor: </w:t>
            </w:r>
            <w:r w:rsidR="0059183C">
              <w:rPr>
                <w:color w:val="FFFFFF" w:themeColor="background1"/>
              </w:rPr>
              <w:t>Sanofi-Aventis Australia Pty Ltd</w:t>
            </w:r>
          </w:p>
        </w:tc>
      </w:tr>
    </w:tbl>
    <w:p w14:paraId="1EEC6F81" w14:textId="77777777" w:rsidR="008E7846" w:rsidRPr="0085156D" w:rsidRDefault="008E7846" w:rsidP="0085156D">
      <w:r w:rsidRPr="0085156D">
        <w:br w:type="page"/>
      </w:r>
    </w:p>
    <w:p w14:paraId="6F7E5A70" w14:textId="77777777" w:rsidR="008E7846" w:rsidRPr="001F6CBA" w:rsidRDefault="008E7846" w:rsidP="008E7846">
      <w:pPr>
        <w:pStyle w:val="NonTOCHeading2"/>
      </w:pPr>
      <w:r w:rsidRPr="001F6CBA">
        <w:lastRenderedPageBreak/>
        <w:t>About the Therapeutic Goods Administration (TGA)</w:t>
      </w:r>
    </w:p>
    <w:p w14:paraId="5D606BD4"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571588A5"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7027F99B"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489F9D14"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2E59E627" w14:textId="77777777"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8" w:history="1">
        <w:r w:rsidR="00441C3F">
          <w:rPr>
            <w:rStyle w:val="Hyperlink"/>
          </w:rPr>
          <w:t>https://www.tga.gov.au</w:t>
        </w:r>
      </w:hyperlink>
      <w:r w:rsidR="00441C3F">
        <w:t>&gt;.</w:t>
      </w:r>
    </w:p>
    <w:p w14:paraId="49DF307F" w14:textId="77777777" w:rsidR="008E7846" w:rsidRDefault="008E7846" w:rsidP="00875A6B">
      <w:pPr>
        <w:pStyle w:val="NonTOCHeading2"/>
      </w:pPr>
      <w:r>
        <w:t>About AusPARs</w:t>
      </w:r>
    </w:p>
    <w:p w14:paraId="1254592C" w14:textId="77777777"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48EDA914" w14:textId="77777777" w:rsidR="008E7846" w:rsidRDefault="008E7846" w:rsidP="008E7846">
      <w:pPr>
        <w:pStyle w:val="ListBullet"/>
        <w:numPr>
          <w:ilvl w:val="0"/>
          <w:numId w:val="3"/>
        </w:numPr>
        <w:ind w:left="357" w:hanging="357"/>
      </w:pPr>
      <w:r>
        <w:t>AusPARs are prepared and published by the TGA.</w:t>
      </w:r>
    </w:p>
    <w:p w14:paraId="607C31AA" w14:textId="77777777"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14:paraId="178A38F4"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2CB79539" w14:textId="77777777"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14:paraId="19E48879" w14:textId="77777777" w:rsidR="00924482" w:rsidRPr="00DF1D7F" w:rsidRDefault="00924482" w:rsidP="00F54B65">
      <w:pPr>
        <w:pStyle w:val="LegalSubheading"/>
        <w:spacing w:before="3120"/>
      </w:pPr>
      <w:r w:rsidRPr="00DF1D7F">
        <w:t>Copyright</w:t>
      </w:r>
    </w:p>
    <w:p w14:paraId="6F54387C" w14:textId="77777777" w:rsidR="00924482" w:rsidRDefault="00924482" w:rsidP="00924482">
      <w:pPr>
        <w:pStyle w:val="LegalCopy"/>
      </w:pPr>
      <w:r w:rsidRPr="00191B3B">
        <w:rPr>
          <w:rFonts w:cs="Arial"/>
          <w:lang w:val="en-GB"/>
        </w:rPr>
        <w:t>© Comm</w:t>
      </w:r>
      <w:r w:rsidR="0059183C">
        <w:rPr>
          <w:rFonts w:cs="Arial"/>
          <w:lang w:val="en-GB"/>
        </w:rPr>
        <w:t>onwealth of Australia 2020</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9" w:history="1">
        <w:r w:rsidRPr="00191B3B">
          <w:rPr>
            <w:rStyle w:val="Hyperlink"/>
            <w:rFonts w:cs="Arial"/>
            <w:lang w:val="en-GB"/>
          </w:rPr>
          <w:t>tga.copyright@tga.gov.au</w:t>
        </w:r>
      </w:hyperlink>
      <w:r w:rsidRPr="00191B3B">
        <w:rPr>
          <w:rFonts w:cs="Arial"/>
        </w:rPr>
        <w:t>&gt;.</w:t>
      </w:r>
    </w:p>
    <w:p w14:paraId="0D07E589" w14:textId="77777777" w:rsidR="00924482" w:rsidRDefault="00924482" w:rsidP="00924482">
      <w:pPr>
        <w:pStyle w:val="LegalCopy"/>
        <w:sectPr w:rsidR="00924482" w:rsidSect="003D1E62">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02FD6F3F" w14:textId="77777777" w:rsidR="0089635C" w:rsidRPr="0089635C" w:rsidRDefault="0089635C" w:rsidP="0010788A">
          <w:pPr>
            <w:pStyle w:val="Contents"/>
          </w:pPr>
          <w:r w:rsidRPr="0010788A">
            <w:t>Conte</w:t>
          </w:r>
          <w:bookmarkStart w:id="2" w:name="_GoBack"/>
          <w:bookmarkEnd w:id="2"/>
          <w:r w:rsidRPr="0010788A">
            <w:t>nts</w:t>
          </w:r>
        </w:p>
        <w:p w14:paraId="23FB5DF3" w14:textId="102CF201" w:rsidR="006E7419" w:rsidRDefault="00960520">
          <w:pPr>
            <w:pStyle w:val="TOC2"/>
            <w:rPr>
              <w:rFonts w:asciiTheme="minorHAnsi" w:eastAsiaTheme="minorEastAsia" w:hAnsiTheme="minorHAnsi" w:cstheme="minorBidi"/>
              <w:b w:val="0"/>
              <w:noProof/>
              <w:sz w:val="22"/>
              <w:lang w:eastAsia="en-AU"/>
            </w:rPr>
          </w:pPr>
          <w:r>
            <w:fldChar w:fldCharType="begin"/>
          </w:r>
          <w:r>
            <w:instrText xml:space="preserve"> TOC \o "3-3" \h \z \t "Heading 1,1,Heading 2,2" </w:instrText>
          </w:r>
          <w:r>
            <w:fldChar w:fldCharType="separate"/>
          </w:r>
          <w:hyperlink w:anchor="_Toc36126281" w:history="1">
            <w:r w:rsidR="006E7419" w:rsidRPr="0029067E">
              <w:rPr>
                <w:rStyle w:val="Hyperlink"/>
                <w:noProof/>
              </w:rPr>
              <w:t>Common abbreviations</w:t>
            </w:r>
            <w:r w:rsidR="006E7419">
              <w:rPr>
                <w:noProof/>
                <w:webHidden/>
              </w:rPr>
              <w:tab/>
            </w:r>
            <w:r w:rsidR="006E7419">
              <w:rPr>
                <w:noProof/>
                <w:webHidden/>
              </w:rPr>
              <w:fldChar w:fldCharType="begin"/>
            </w:r>
            <w:r w:rsidR="006E7419">
              <w:rPr>
                <w:noProof/>
                <w:webHidden/>
              </w:rPr>
              <w:instrText xml:space="preserve"> PAGEREF _Toc36126281 \h </w:instrText>
            </w:r>
            <w:r w:rsidR="006E7419">
              <w:rPr>
                <w:noProof/>
                <w:webHidden/>
              </w:rPr>
            </w:r>
            <w:r w:rsidR="006E7419">
              <w:rPr>
                <w:noProof/>
                <w:webHidden/>
              </w:rPr>
              <w:fldChar w:fldCharType="separate"/>
            </w:r>
            <w:r w:rsidR="006E7419">
              <w:rPr>
                <w:noProof/>
                <w:webHidden/>
              </w:rPr>
              <w:t>4</w:t>
            </w:r>
            <w:r w:rsidR="006E7419">
              <w:rPr>
                <w:noProof/>
                <w:webHidden/>
              </w:rPr>
              <w:fldChar w:fldCharType="end"/>
            </w:r>
          </w:hyperlink>
        </w:p>
        <w:p w14:paraId="7D4FEF5E" w14:textId="5754C36A" w:rsidR="006E7419" w:rsidRDefault="006E7419">
          <w:pPr>
            <w:pStyle w:val="TOC2"/>
            <w:rPr>
              <w:rFonts w:asciiTheme="minorHAnsi" w:eastAsiaTheme="minorEastAsia" w:hAnsiTheme="minorHAnsi" w:cstheme="minorBidi"/>
              <w:b w:val="0"/>
              <w:noProof/>
              <w:sz w:val="22"/>
              <w:lang w:eastAsia="en-AU"/>
            </w:rPr>
          </w:pPr>
          <w:hyperlink w:anchor="_Toc36126282" w:history="1">
            <w:r w:rsidRPr="0029067E">
              <w:rPr>
                <w:rStyle w:val="Hyperlink"/>
                <w:noProof/>
              </w:rPr>
              <w:t>I. Introduction to product submission</w:t>
            </w:r>
            <w:r>
              <w:rPr>
                <w:noProof/>
                <w:webHidden/>
              </w:rPr>
              <w:tab/>
            </w:r>
            <w:r>
              <w:rPr>
                <w:noProof/>
                <w:webHidden/>
              </w:rPr>
              <w:fldChar w:fldCharType="begin"/>
            </w:r>
            <w:r>
              <w:rPr>
                <w:noProof/>
                <w:webHidden/>
              </w:rPr>
              <w:instrText xml:space="preserve"> PAGEREF _Toc36126282 \h </w:instrText>
            </w:r>
            <w:r>
              <w:rPr>
                <w:noProof/>
                <w:webHidden/>
              </w:rPr>
            </w:r>
            <w:r>
              <w:rPr>
                <w:noProof/>
                <w:webHidden/>
              </w:rPr>
              <w:fldChar w:fldCharType="separate"/>
            </w:r>
            <w:r>
              <w:rPr>
                <w:noProof/>
                <w:webHidden/>
              </w:rPr>
              <w:t>6</w:t>
            </w:r>
            <w:r>
              <w:rPr>
                <w:noProof/>
                <w:webHidden/>
              </w:rPr>
              <w:fldChar w:fldCharType="end"/>
            </w:r>
          </w:hyperlink>
        </w:p>
        <w:p w14:paraId="7E9EDCE9" w14:textId="17928248" w:rsidR="006E7419" w:rsidRDefault="006E7419">
          <w:pPr>
            <w:pStyle w:val="TOC3"/>
            <w:rPr>
              <w:rFonts w:asciiTheme="minorHAnsi" w:eastAsiaTheme="minorEastAsia" w:hAnsiTheme="minorHAnsi" w:cstheme="minorBidi"/>
              <w:noProof/>
              <w:lang w:eastAsia="en-AU"/>
            </w:rPr>
          </w:pPr>
          <w:hyperlink w:anchor="_Toc36126283" w:history="1">
            <w:r w:rsidRPr="0029067E">
              <w:rPr>
                <w:rStyle w:val="Hyperlink"/>
                <w:noProof/>
                <w:lang w:eastAsia="en-AU"/>
              </w:rPr>
              <w:t>Submission details</w:t>
            </w:r>
            <w:r>
              <w:rPr>
                <w:noProof/>
                <w:webHidden/>
              </w:rPr>
              <w:tab/>
            </w:r>
            <w:r>
              <w:rPr>
                <w:noProof/>
                <w:webHidden/>
              </w:rPr>
              <w:fldChar w:fldCharType="begin"/>
            </w:r>
            <w:r>
              <w:rPr>
                <w:noProof/>
                <w:webHidden/>
              </w:rPr>
              <w:instrText xml:space="preserve"> PAGEREF _Toc36126283 \h </w:instrText>
            </w:r>
            <w:r>
              <w:rPr>
                <w:noProof/>
                <w:webHidden/>
              </w:rPr>
            </w:r>
            <w:r>
              <w:rPr>
                <w:noProof/>
                <w:webHidden/>
              </w:rPr>
              <w:fldChar w:fldCharType="separate"/>
            </w:r>
            <w:r>
              <w:rPr>
                <w:noProof/>
                <w:webHidden/>
              </w:rPr>
              <w:t>6</w:t>
            </w:r>
            <w:r>
              <w:rPr>
                <w:noProof/>
                <w:webHidden/>
              </w:rPr>
              <w:fldChar w:fldCharType="end"/>
            </w:r>
          </w:hyperlink>
        </w:p>
        <w:p w14:paraId="2F8DC8E9" w14:textId="09E758BE" w:rsidR="006E7419" w:rsidRDefault="006E7419">
          <w:pPr>
            <w:pStyle w:val="TOC3"/>
            <w:rPr>
              <w:rFonts w:asciiTheme="minorHAnsi" w:eastAsiaTheme="minorEastAsia" w:hAnsiTheme="minorHAnsi" w:cstheme="minorBidi"/>
              <w:noProof/>
              <w:lang w:eastAsia="en-AU"/>
            </w:rPr>
          </w:pPr>
          <w:hyperlink w:anchor="_Toc36126284" w:history="1">
            <w:r w:rsidRPr="0029067E">
              <w:rPr>
                <w:rStyle w:val="Hyperlink"/>
                <w:noProof/>
              </w:rPr>
              <w:t>Product background</w:t>
            </w:r>
            <w:r>
              <w:rPr>
                <w:noProof/>
                <w:webHidden/>
              </w:rPr>
              <w:tab/>
            </w:r>
            <w:r>
              <w:rPr>
                <w:noProof/>
                <w:webHidden/>
              </w:rPr>
              <w:fldChar w:fldCharType="begin"/>
            </w:r>
            <w:r>
              <w:rPr>
                <w:noProof/>
                <w:webHidden/>
              </w:rPr>
              <w:instrText xml:space="preserve"> PAGEREF _Toc36126284 \h </w:instrText>
            </w:r>
            <w:r>
              <w:rPr>
                <w:noProof/>
                <w:webHidden/>
              </w:rPr>
            </w:r>
            <w:r>
              <w:rPr>
                <w:noProof/>
                <w:webHidden/>
              </w:rPr>
              <w:fldChar w:fldCharType="separate"/>
            </w:r>
            <w:r>
              <w:rPr>
                <w:noProof/>
                <w:webHidden/>
              </w:rPr>
              <w:t>7</w:t>
            </w:r>
            <w:r>
              <w:rPr>
                <w:noProof/>
                <w:webHidden/>
              </w:rPr>
              <w:fldChar w:fldCharType="end"/>
            </w:r>
          </w:hyperlink>
        </w:p>
        <w:p w14:paraId="6D616CA2" w14:textId="17A8D8C4" w:rsidR="006E7419" w:rsidRDefault="006E7419">
          <w:pPr>
            <w:pStyle w:val="TOC3"/>
            <w:rPr>
              <w:rFonts w:asciiTheme="minorHAnsi" w:eastAsiaTheme="minorEastAsia" w:hAnsiTheme="minorHAnsi" w:cstheme="minorBidi"/>
              <w:noProof/>
              <w:lang w:eastAsia="en-AU"/>
            </w:rPr>
          </w:pPr>
          <w:hyperlink w:anchor="_Toc36126285" w:history="1">
            <w:r w:rsidRPr="0029067E">
              <w:rPr>
                <w:rStyle w:val="Hyperlink"/>
                <w:noProof/>
              </w:rPr>
              <w:t>Regulatory status</w:t>
            </w:r>
            <w:r>
              <w:rPr>
                <w:noProof/>
                <w:webHidden/>
              </w:rPr>
              <w:tab/>
            </w:r>
            <w:r>
              <w:rPr>
                <w:noProof/>
                <w:webHidden/>
              </w:rPr>
              <w:fldChar w:fldCharType="begin"/>
            </w:r>
            <w:r>
              <w:rPr>
                <w:noProof/>
                <w:webHidden/>
              </w:rPr>
              <w:instrText xml:space="preserve"> PAGEREF _Toc36126285 \h </w:instrText>
            </w:r>
            <w:r>
              <w:rPr>
                <w:noProof/>
                <w:webHidden/>
              </w:rPr>
            </w:r>
            <w:r>
              <w:rPr>
                <w:noProof/>
                <w:webHidden/>
              </w:rPr>
              <w:fldChar w:fldCharType="separate"/>
            </w:r>
            <w:r>
              <w:rPr>
                <w:noProof/>
                <w:webHidden/>
              </w:rPr>
              <w:t>9</w:t>
            </w:r>
            <w:r>
              <w:rPr>
                <w:noProof/>
                <w:webHidden/>
              </w:rPr>
              <w:fldChar w:fldCharType="end"/>
            </w:r>
          </w:hyperlink>
        </w:p>
        <w:p w14:paraId="4D916276" w14:textId="6F80C156" w:rsidR="006E7419" w:rsidRDefault="006E7419">
          <w:pPr>
            <w:pStyle w:val="TOC3"/>
            <w:rPr>
              <w:rFonts w:asciiTheme="minorHAnsi" w:eastAsiaTheme="minorEastAsia" w:hAnsiTheme="minorHAnsi" w:cstheme="minorBidi"/>
              <w:noProof/>
              <w:lang w:eastAsia="en-AU"/>
            </w:rPr>
          </w:pPr>
          <w:hyperlink w:anchor="_Toc36126286" w:history="1">
            <w:r w:rsidRPr="0029067E">
              <w:rPr>
                <w:rStyle w:val="Hyperlink"/>
                <w:noProof/>
              </w:rPr>
              <w:t>Product Information</w:t>
            </w:r>
            <w:r>
              <w:rPr>
                <w:noProof/>
                <w:webHidden/>
              </w:rPr>
              <w:tab/>
            </w:r>
            <w:r>
              <w:rPr>
                <w:noProof/>
                <w:webHidden/>
              </w:rPr>
              <w:fldChar w:fldCharType="begin"/>
            </w:r>
            <w:r>
              <w:rPr>
                <w:noProof/>
                <w:webHidden/>
              </w:rPr>
              <w:instrText xml:space="preserve"> PAGEREF _Toc36126286 \h </w:instrText>
            </w:r>
            <w:r>
              <w:rPr>
                <w:noProof/>
                <w:webHidden/>
              </w:rPr>
            </w:r>
            <w:r>
              <w:rPr>
                <w:noProof/>
                <w:webHidden/>
              </w:rPr>
              <w:fldChar w:fldCharType="separate"/>
            </w:r>
            <w:r>
              <w:rPr>
                <w:noProof/>
                <w:webHidden/>
              </w:rPr>
              <w:t>10</w:t>
            </w:r>
            <w:r>
              <w:rPr>
                <w:noProof/>
                <w:webHidden/>
              </w:rPr>
              <w:fldChar w:fldCharType="end"/>
            </w:r>
          </w:hyperlink>
        </w:p>
        <w:p w14:paraId="5D7B1A03" w14:textId="6E332B3B" w:rsidR="006E7419" w:rsidRDefault="006E7419">
          <w:pPr>
            <w:pStyle w:val="TOC2"/>
            <w:rPr>
              <w:rFonts w:asciiTheme="minorHAnsi" w:eastAsiaTheme="minorEastAsia" w:hAnsiTheme="minorHAnsi" w:cstheme="minorBidi"/>
              <w:b w:val="0"/>
              <w:noProof/>
              <w:sz w:val="22"/>
              <w:lang w:eastAsia="en-AU"/>
            </w:rPr>
          </w:pPr>
          <w:hyperlink w:anchor="_Toc36126287" w:history="1">
            <w:r w:rsidRPr="0029067E">
              <w:rPr>
                <w:rStyle w:val="Hyperlink"/>
                <w:noProof/>
              </w:rPr>
              <w:t>II. Registration timeline</w:t>
            </w:r>
            <w:r>
              <w:rPr>
                <w:noProof/>
                <w:webHidden/>
              </w:rPr>
              <w:tab/>
            </w:r>
            <w:r>
              <w:rPr>
                <w:noProof/>
                <w:webHidden/>
              </w:rPr>
              <w:fldChar w:fldCharType="begin"/>
            </w:r>
            <w:r>
              <w:rPr>
                <w:noProof/>
                <w:webHidden/>
              </w:rPr>
              <w:instrText xml:space="preserve"> PAGEREF _Toc36126287 \h </w:instrText>
            </w:r>
            <w:r>
              <w:rPr>
                <w:noProof/>
                <w:webHidden/>
              </w:rPr>
            </w:r>
            <w:r>
              <w:rPr>
                <w:noProof/>
                <w:webHidden/>
              </w:rPr>
              <w:fldChar w:fldCharType="separate"/>
            </w:r>
            <w:r>
              <w:rPr>
                <w:noProof/>
                <w:webHidden/>
              </w:rPr>
              <w:t>10</w:t>
            </w:r>
            <w:r>
              <w:rPr>
                <w:noProof/>
                <w:webHidden/>
              </w:rPr>
              <w:fldChar w:fldCharType="end"/>
            </w:r>
          </w:hyperlink>
        </w:p>
        <w:p w14:paraId="56A1DA6D" w14:textId="6527D963" w:rsidR="006E7419" w:rsidRDefault="006E7419">
          <w:pPr>
            <w:pStyle w:val="TOC2"/>
            <w:rPr>
              <w:rFonts w:asciiTheme="minorHAnsi" w:eastAsiaTheme="minorEastAsia" w:hAnsiTheme="minorHAnsi" w:cstheme="minorBidi"/>
              <w:b w:val="0"/>
              <w:noProof/>
              <w:sz w:val="22"/>
              <w:lang w:eastAsia="en-AU"/>
            </w:rPr>
          </w:pPr>
          <w:hyperlink w:anchor="_Toc36126288" w:history="1">
            <w:r w:rsidRPr="0029067E">
              <w:rPr>
                <w:rStyle w:val="Hyperlink"/>
                <w:noProof/>
              </w:rPr>
              <w:t>III. Submission overview and risk/benefit assessment</w:t>
            </w:r>
            <w:r>
              <w:rPr>
                <w:noProof/>
                <w:webHidden/>
              </w:rPr>
              <w:tab/>
            </w:r>
            <w:r>
              <w:rPr>
                <w:noProof/>
                <w:webHidden/>
              </w:rPr>
              <w:fldChar w:fldCharType="begin"/>
            </w:r>
            <w:r>
              <w:rPr>
                <w:noProof/>
                <w:webHidden/>
              </w:rPr>
              <w:instrText xml:space="preserve"> PAGEREF _Toc36126288 \h </w:instrText>
            </w:r>
            <w:r>
              <w:rPr>
                <w:noProof/>
                <w:webHidden/>
              </w:rPr>
            </w:r>
            <w:r>
              <w:rPr>
                <w:noProof/>
                <w:webHidden/>
              </w:rPr>
              <w:fldChar w:fldCharType="separate"/>
            </w:r>
            <w:r>
              <w:rPr>
                <w:noProof/>
                <w:webHidden/>
              </w:rPr>
              <w:t>11</w:t>
            </w:r>
            <w:r>
              <w:rPr>
                <w:noProof/>
                <w:webHidden/>
              </w:rPr>
              <w:fldChar w:fldCharType="end"/>
            </w:r>
          </w:hyperlink>
        </w:p>
        <w:p w14:paraId="1A4572AC" w14:textId="61ABFBD5" w:rsidR="006E7419" w:rsidRDefault="006E7419">
          <w:pPr>
            <w:pStyle w:val="TOC3"/>
            <w:rPr>
              <w:rFonts w:asciiTheme="minorHAnsi" w:eastAsiaTheme="minorEastAsia" w:hAnsiTheme="minorHAnsi" w:cstheme="minorBidi"/>
              <w:noProof/>
              <w:lang w:eastAsia="en-AU"/>
            </w:rPr>
          </w:pPr>
          <w:hyperlink w:anchor="_Toc36126289" w:history="1">
            <w:r w:rsidRPr="0029067E">
              <w:rPr>
                <w:rStyle w:val="Hyperlink"/>
                <w:noProof/>
              </w:rPr>
              <w:t>Quality</w:t>
            </w:r>
            <w:r>
              <w:rPr>
                <w:noProof/>
                <w:webHidden/>
              </w:rPr>
              <w:tab/>
            </w:r>
            <w:r>
              <w:rPr>
                <w:noProof/>
                <w:webHidden/>
              </w:rPr>
              <w:fldChar w:fldCharType="begin"/>
            </w:r>
            <w:r>
              <w:rPr>
                <w:noProof/>
                <w:webHidden/>
              </w:rPr>
              <w:instrText xml:space="preserve"> PAGEREF _Toc36126289 \h </w:instrText>
            </w:r>
            <w:r>
              <w:rPr>
                <w:noProof/>
                <w:webHidden/>
              </w:rPr>
            </w:r>
            <w:r>
              <w:rPr>
                <w:noProof/>
                <w:webHidden/>
              </w:rPr>
              <w:fldChar w:fldCharType="separate"/>
            </w:r>
            <w:r>
              <w:rPr>
                <w:noProof/>
                <w:webHidden/>
              </w:rPr>
              <w:t>11</w:t>
            </w:r>
            <w:r>
              <w:rPr>
                <w:noProof/>
                <w:webHidden/>
              </w:rPr>
              <w:fldChar w:fldCharType="end"/>
            </w:r>
          </w:hyperlink>
        </w:p>
        <w:p w14:paraId="754CF99D" w14:textId="4BAD9ADE" w:rsidR="006E7419" w:rsidRDefault="006E7419">
          <w:pPr>
            <w:pStyle w:val="TOC3"/>
            <w:rPr>
              <w:rFonts w:asciiTheme="minorHAnsi" w:eastAsiaTheme="minorEastAsia" w:hAnsiTheme="minorHAnsi" w:cstheme="minorBidi"/>
              <w:noProof/>
              <w:lang w:eastAsia="en-AU"/>
            </w:rPr>
          </w:pPr>
          <w:hyperlink w:anchor="_Toc36126290" w:history="1">
            <w:r w:rsidRPr="0029067E">
              <w:rPr>
                <w:rStyle w:val="Hyperlink"/>
                <w:noProof/>
              </w:rPr>
              <w:t>Nonclinical</w:t>
            </w:r>
            <w:r>
              <w:rPr>
                <w:noProof/>
                <w:webHidden/>
              </w:rPr>
              <w:tab/>
            </w:r>
            <w:r>
              <w:rPr>
                <w:noProof/>
                <w:webHidden/>
              </w:rPr>
              <w:fldChar w:fldCharType="begin"/>
            </w:r>
            <w:r>
              <w:rPr>
                <w:noProof/>
                <w:webHidden/>
              </w:rPr>
              <w:instrText xml:space="preserve"> PAGEREF _Toc36126290 \h </w:instrText>
            </w:r>
            <w:r>
              <w:rPr>
                <w:noProof/>
                <w:webHidden/>
              </w:rPr>
            </w:r>
            <w:r>
              <w:rPr>
                <w:noProof/>
                <w:webHidden/>
              </w:rPr>
              <w:fldChar w:fldCharType="separate"/>
            </w:r>
            <w:r>
              <w:rPr>
                <w:noProof/>
                <w:webHidden/>
              </w:rPr>
              <w:t>11</w:t>
            </w:r>
            <w:r>
              <w:rPr>
                <w:noProof/>
                <w:webHidden/>
              </w:rPr>
              <w:fldChar w:fldCharType="end"/>
            </w:r>
          </w:hyperlink>
        </w:p>
        <w:p w14:paraId="2510E0AA" w14:textId="6CC320B0" w:rsidR="006E7419" w:rsidRDefault="006E7419">
          <w:pPr>
            <w:pStyle w:val="TOC3"/>
            <w:rPr>
              <w:rFonts w:asciiTheme="minorHAnsi" w:eastAsiaTheme="minorEastAsia" w:hAnsiTheme="minorHAnsi" w:cstheme="minorBidi"/>
              <w:noProof/>
              <w:lang w:eastAsia="en-AU"/>
            </w:rPr>
          </w:pPr>
          <w:hyperlink w:anchor="_Toc36126291" w:history="1">
            <w:r w:rsidRPr="0029067E">
              <w:rPr>
                <w:rStyle w:val="Hyperlink"/>
                <w:noProof/>
              </w:rPr>
              <w:t>Clinical</w:t>
            </w:r>
            <w:r>
              <w:rPr>
                <w:noProof/>
                <w:webHidden/>
              </w:rPr>
              <w:tab/>
            </w:r>
            <w:r>
              <w:rPr>
                <w:noProof/>
                <w:webHidden/>
              </w:rPr>
              <w:fldChar w:fldCharType="begin"/>
            </w:r>
            <w:r>
              <w:rPr>
                <w:noProof/>
                <w:webHidden/>
              </w:rPr>
              <w:instrText xml:space="preserve"> PAGEREF _Toc36126291 \h </w:instrText>
            </w:r>
            <w:r>
              <w:rPr>
                <w:noProof/>
                <w:webHidden/>
              </w:rPr>
            </w:r>
            <w:r>
              <w:rPr>
                <w:noProof/>
                <w:webHidden/>
              </w:rPr>
              <w:fldChar w:fldCharType="separate"/>
            </w:r>
            <w:r>
              <w:rPr>
                <w:noProof/>
                <w:webHidden/>
              </w:rPr>
              <w:t>11</w:t>
            </w:r>
            <w:r>
              <w:rPr>
                <w:noProof/>
                <w:webHidden/>
              </w:rPr>
              <w:fldChar w:fldCharType="end"/>
            </w:r>
          </w:hyperlink>
        </w:p>
        <w:p w14:paraId="1387B180" w14:textId="48F3CDCA" w:rsidR="006E7419" w:rsidRDefault="006E7419">
          <w:pPr>
            <w:pStyle w:val="TOC3"/>
            <w:rPr>
              <w:rFonts w:asciiTheme="minorHAnsi" w:eastAsiaTheme="minorEastAsia" w:hAnsiTheme="minorHAnsi" w:cstheme="minorBidi"/>
              <w:noProof/>
              <w:lang w:eastAsia="en-AU"/>
            </w:rPr>
          </w:pPr>
          <w:hyperlink w:anchor="_Toc36126292" w:history="1">
            <w:r w:rsidRPr="0029067E">
              <w:rPr>
                <w:rStyle w:val="Hyperlink"/>
                <w:noProof/>
                <w:lang w:eastAsia="en-AU"/>
              </w:rPr>
              <w:t>Risk management plan</w:t>
            </w:r>
            <w:r>
              <w:rPr>
                <w:noProof/>
                <w:webHidden/>
              </w:rPr>
              <w:tab/>
            </w:r>
            <w:r>
              <w:rPr>
                <w:noProof/>
                <w:webHidden/>
              </w:rPr>
              <w:fldChar w:fldCharType="begin"/>
            </w:r>
            <w:r>
              <w:rPr>
                <w:noProof/>
                <w:webHidden/>
              </w:rPr>
              <w:instrText xml:space="preserve"> PAGEREF _Toc36126292 \h </w:instrText>
            </w:r>
            <w:r>
              <w:rPr>
                <w:noProof/>
                <w:webHidden/>
              </w:rPr>
            </w:r>
            <w:r>
              <w:rPr>
                <w:noProof/>
                <w:webHidden/>
              </w:rPr>
              <w:fldChar w:fldCharType="separate"/>
            </w:r>
            <w:r>
              <w:rPr>
                <w:noProof/>
                <w:webHidden/>
              </w:rPr>
              <w:t>26</w:t>
            </w:r>
            <w:r>
              <w:rPr>
                <w:noProof/>
                <w:webHidden/>
              </w:rPr>
              <w:fldChar w:fldCharType="end"/>
            </w:r>
          </w:hyperlink>
        </w:p>
        <w:p w14:paraId="57B149E0" w14:textId="4A547FFF" w:rsidR="006E7419" w:rsidRDefault="006E7419">
          <w:pPr>
            <w:pStyle w:val="TOC3"/>
            <w:rPr>
              <w:rFonts w:asciiTheme="minorHAnsi" w:eastAsiaTheme="minorEastAsia" w:hAnsiTheme="minorHAnsi" w:cstheme="minorBidi"/>
              <w:noProof/>
              <w:lang w:eastAsia="en-AU"/>
            </w:rPr>
          </w:pPr>
          <w:hyperlink w:anchor="_Toc36126293" w:history="1">
            <w:r w:rsidRPr="0029067E">
              <w:rPr>
                <w:rStyle w:val="Hyperlink"/>
                <w:noProof/>
              </w:rPr>
              <w:t>Risk-benefit analysis</w:t>
            </w:r>
            <w:r>
              <w:rPr>
                <w:noProof/>
                <w:webHidden/>
              </w:rPr>
              <w:tab/>
            </w:r>
            <w:r>
              <w:rPr>
                <w:noProof/>
                <w:webHidden/>
              </w:rPr>
              <w:fldChar w:fldCharType="begin"/>
            </w:r>
            <w:r>
              <w:rPr>
                <w:noProof/>
                <w:webHidden/>
              </w:rPr>
              <w:instrText xml:space="preserve"> PAGEREF _Toc36126293 \h </w:instrText>
            </w:r>
            <w:r>
              <w:rPr>
                <w:noProof/>
                <w:webHidden/>
              </w:rPr>
            </w:r>
            <w:r>
              <w:rPr>
                <w:noProof/>
                <w:webHidden/>
              </w:rPr>
              <w:fldChar w:fldCharType="separate"/>
            </w:r>
            <w:r>
              <w:rPr>
                <w:noProof/>
                <w:webHidden/>
              </w:rPr>
              <w:t>27</w:t>
            </w:r>
            <w:r>
              <w:rPr>
                <w:noProof/>
                <w:webHidden/>
              </w:rPr>
              <w:fldChar w:fldCharType="end"/>
            </w:r>
          </w:hyperlink>
        </w:p>
        <w:p w14:paraId="476BF010" w14:textId="65B85B96" w:rsidR="006E7419" w:rsidRDefault="006E7419">
          <w:pPr>
            <w:pStyle w:val="TOC3"/>
            <w:rPr>
              <w:rFonts w:asciiTheme="minorHAnsi" w:eastAsiaTheme="minorEastAsia" w:hAnsiTheme="minorHAnsi" w:cstheme="minorBidi"/>
              <w:noProof/>
              <w:lang w:eastAsia="en-AU"/>
            </w:rPr>
          </w:pPr>
          <w:hyperlink w:anchor="_Toc36126294" w:history="1">
            <w:r w:rsidRPr="0029067E">
              <w:rPr>
                <w:rStyle w:val="Hyperlink"/>
                <w:noProof/>
              </w:rPr>
              <w:t>Outcome</w:t>
            </w:r>
            <w:r>
              <w:rPr>
                <w:noProof/>
                <w:webHidden/>
              </w:rPr>
              <w:tab/>
            </w:r>
            <w:r>
              <w:rPr>
                <w:noProof/>
                <w:webHidden/>
              </w:rPr>
              <w:fldChar w:fldCharType="begin"/>
            </w:r>
            <w:r>
              <w:rPr>
                <w:noProof/>
                <w:webHidden/>
              </w:rPr>
              <w:instrText xml:space="preserve"> PAGEREF _Toc36126294 \h </w:instrText>
            </w:r>
            <w:r>
              <w:rPr>
                <w:noProof/>
                <w:webHidden/>
              </w:rPr>
            </w:r>
            <w:r>
              <w:rPr>
                <w:noProof/>
                <w:webHidden/>
              </w:rPr>
              <w:fldChar w:fldCharType="separate"/>
            </w:r>
            <w:r>
              <w:rPr>
                <w:noProof/>
                <w:webHidden/>
              </w:rPr>
              <w:t>31</w:t>
            </w:r>
            <w:r>
              <w:rPr>
                <w:noProof/>
                <w:webHidden/>
              </w:rPr>
              <w:fldChar w:fldCharType="end"/>
            </w:r>
          </w:hyperlink>
        </w:p>
        <w:p w14:paraId="12E57FEA" w14:textId="1420ED55" w:rsidR="006E7419" w:rsidRDefault="006E7419">
          <w:pPr>
            <w:pStyle w:val="TOC2"/>
            <w:rPr>
              <w:rFonts w:asciiTheme="minorHAnsi" w:eastAsiaTheme="minorEastAsia" w:hAnsiTheme="minorHAnsi" w:cstheme="minorBidi"/>
              <w:b w:val="0"/>
              <w:noProof/>
              <w:sz w:val="22"/>
              <w:lang w:eastAsia="en-AU"/>
            </w:rPr>
          </w:pPr>
          <w:hyperlink w:anchor="_Toc36126295" w:history="1">
            <w:r w:rsidRPr="0029067E">
              <w:rPr>
                <w:rStyle w:val="Hyperlink"/>
                <w:noProof/>
              </w:rPr>
              <w:t>Attachment 1. Product Information</w:t>
            </w:r>
            <w:r>
              <w:rPr>
                <w:noProof/>
                <w:webHidden/>
              </w:rPr>
              <w:tab/>
            </w:r>
            <w:r>
              <w:rPr>
                <w:noProof/>
                <w:webHidden/>
              </w:rPr>
              <w:fldChar w:fldCharType="begin"/>
            </w:r>
            <w:r>
              <w:rPr>
                <w:noProof/>
                <w:webHidden/>
              </w:rPr>
              <w:instrText xml:space="preserve"> PAGEREF _Toc36126295 \h </w:instrText>
            </w:r>
            <w:r>
              <w:rPr>
                <w:noProof/>
                <w:webHidden/>
              </w:rPr>
            </w:r>
            <w:r>
              <w:rPr>
                <w:noProof/>
                <w:webHidden/>
              </w:rPr>
              <w:fldChar w:fldCharType="separate"/>
            </w:r>
            <w:r>
              <w:rPr>
                <w:noProof/>
                <w:webHidden/>
              </w:rPr>
              <w:t>32</w:t>
            </w:r>
            <w:r>
              <w:rPr>
                <w:noProof/>
                <w:webHidden/>
              </w:rPr>
              <w:fldChar w:fldCharType="end"/>
            </w:r>
          </w:hyperlink>
        </w:p>
        <w:p w14:paraId="3684C12E" w14:textId="15BD8DF3" w:rsidR="003A7F6C" w:rsidRPr="00B811C6" w:rsidRDefault="00960520" w:rsidP="00B811C6">
          <w:pPr>
            <w:pStyle w:val="TOC2"/>
          </w:pPr>
          <w:r>
            <w:fldChar w:fldCharType="end"/>
          </w:r>
        </w:p>
      </w:sdtContent>
    </w:sdt>
    <w:bookmarkStart w:id="3" w:name="_Toc314842482" w:displacedByCustomXml="prev"/>
    <w:p w14:paraId="1DF3C36D" w14:textId="77777777" w:rsidR="00FD119B" w:rsidRDefault="00FD119B">
      <w:pPr>
        <w:spacing w:before="0" w:after="200" w:line="0" w:lineRule="auto"/>
      </w:pPr>
      <w:r>
        <w:br w:type="page"/>
      </w:r>
    </w:p>
    <w:p w14:paraId="2B9CEB8A" w14:textId="77777777" w:rsidR="00C52E24" w:rsidRPr="00C52E24" w:rsidRDefault="00441C3F" w:rsidP="0059183C">
      <w:pPr>
        <w:pStyle w:val="Heading2"/>
      </w:pPr>
      <w:bookmarkStart w:id="4" w:name="_Toc351716269"/>
      <w:bookmarkStart w:id="5" w:name="_Toc351718881"/>
      <w:bookmarkStart w:id="6" w:name="_Toc355338616"/>
      <w:bookmarkStart w:id="7" w:name="_Toc356306144"/>
      <w:bookmarkStart w:id="8" w:name="_Toc36126281"/>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09"/>
        <w:gridCol w:w="6911"/>
      </w:tblGrid>
      <w:tr w:rsidR="00F17260" w:rsidRPr="00FD119B" w14:paraId="31C3759F" w14:textId="77777777" w:rsidTr="00FD119B">
        <w:trPr>
          <w:cnfStyle w:val="100000000000" w:firstRow="1" w:lastRow="0" w:firstColumn="0" w:lastColumn="0" w:oddVBand="0" w:evenVBand="0" w:oddHBand="0" w:evenHBand="0" w:firstRowFirstColumn="0" w:firstRowLastColumn="0" w:lastRowFirstColumn="0" w:lastRowLastColumn="0"/>
        </w:trPr>
        <w:tc>
          <w:tcPr>
            <w:tcW w:w="1809" w:type="dxa"/>
          </w:tcPr>
          <w:p w14:paraId="13535791" w14:textId="77777777" w:rsidR="00F17260" w:rsidRPr="00FD119B" w:rsidRDefault="00F17260" w:rsidP="00FD119B">
            <w:pPr>
              <w:keepNext w:val="0"/>
              <w:ind w:left="0" w:right="0"/>
              <w:rPr>
                <w:szCs w:val="22"/>
                <w:lang w:eastAsia="en-US"/>
              </w:rPr>
            </w:pPr>
            <w:r w:rsidRPr="00FD119B">
              <w:rPr>
                <w:szCs w:val="22"/>
                <w:lang w:eastAsia="en-US"/>
              </w:rPr>
              <w:t>Abbreviation</w:t>
            </w:r>
          </w:p>
        </w:tc>
        <w:tc>
          <w:tcPr>
            <w:tcW w:w="6911" w:type="dxa"/>
          </w:tcPr>
          <w:p w14:paraId="7F5317C2" w14:textId="77777777" w:rsidR="00F17260" w:rsidRPr="00FD119B" w:rsidRDefault="00F17260" w:rsidP="00FD119B">
            <w:pPr>
              <w:keepNext w:val="0"/>
              <w:ind w:left="0" w:right="0"/>
              <w:rPr>
                <w:szCs w:val="22"/>
                <w:lang w:eastAsia="en-US"/>
              </w:rPr>
            </w:pPr>
            <w:r w:rsidRPr="00FD119B">
              <w:rPr>
                <w:szCs w:val="22"/>
                <w:lang w:eastAsia="en-US"/>
              </w:rPr>
              <w:t>Meaning</w:t>
            </w:r>
          </w:p>
        </w:tc>
      </w:tr>
      <w:tr w:rsidR="00F17260" w:rsidRPr="00FD119B" w14:paraId="56F7EF62" w14:textId="77777777" w:rsidTr="00FD119B">
        <w:tc>
          <w:tcPr>
            <w:tcW w:w="1809" w:type="dxa"/>
          </w:tcPr>
          <w:p w14:paraId="32843040" w14:textId="77777777" w:rsidR="00F17260" w:rsidRPr="00F505FD" w:rsidRDefault="00F17260" w:rsidP="0059183C">
            <w:r>
              <w:t>ACV</w:t>
            </w:r>
          </w:p>
        </w:tc>
        <w:tc>
          <w:tcPr>
            <w:tcW w:w="6911" w:type="dxa"/>
          </w:tcPr>
          <w:p w14:paraId="143BD8C6" w14:textId="77777777" w:rsidR="00F17260" w:rsidRPr="00967D8E" w:rsidRDefault="00F17260" w:rsidP="00590F90">
            <w:r>
              <w:t>Advisory Committee on Vaccines</w:t>
            </w:r>
          </w:p>
        </w:tc>
      </w:tr>
      <w:tr w:rsidR="00F17260" w:rsidRPr="00FD119B" w14:paraId="3369F185" w14:textId="77777777" w:rsidTr="00FD119B">
        <w:tc>
          <w:tcPr>
            <w:tcW w:w="1809" w:type="dxa"/>
          </w:tcPr>
          <w:p w14:paraId="00A75913" w14:textId="77777777" w:rsidR="00F17260" w:rsidRPr="00F505FD" w:rsidRDefault="00F17260" w:rsidP="0059183C">
            <w:r>
              <w:t>ASA</w:t>
            </w:r>
          </w:p>
        </w:tc>
        <w:tc>
          <w:tcPr>
            <w:tcW w:w="6911" w:type="dxa"/>
          </w:tcPr>
          <w:p w14:paraId="2F10D28B" w14:textId="77777777" w:rsidR="00F17260" w:rsidRPr="00967D8E" w:rsidRDefault="00F17260" w:rsidP="0059183C">
            <w:r>
              <w:t>Australian specific Annex</w:t>
            </w:r>
          </w:p>
        </w:tc>
      </w:tr>
      <w:tr w:rsidR="00F17260" w:rsidRPr="00FD119B" w14:paraId="4B3C410C" w14:textId="77777777" w:rsidTr="00FD119B">
        <w:tc>
          <w:tcPr>
            <w:tcW w:w="1809" w:type="dxa"/>
          </w:tcPr>
          <w:p w14:paraId="02634430" w14:textId="77777777" w:rsidR="00F17260" w:rsidRPr="00F505FD" w:rsidRDefault="00F17260" w:rsidP="0059183C">
            <w:r>
              <w:t>ATAGI</w:t>
            </w:r>
          </w:p>
        </w:tc>
        <w:tc>
          <w:tcPr>
            <w:tcW w:w="6911" w:type="dxa"/>
          </w:tcPr>
          <w:p w14:paraId="353B9E7F" w14:textId="77777777" w:rsidR="00F17260" w:rsidRPr="00967D8E" w:rsidRDefault="00F17260" w:rsidP="0059183C">
            <w:r w:rsidRPr="00B4057E">
              <w:t>Australian Technical Advisory Group on Immunisation</w:t>
            </w:r>
          </w:p>
        </w:tc>
      </w:tr>
      <w:tr w:rsidR="00F17260" w:rsidRPr="00FD119B" w14:paraId="3F036519" w14:textId="77777777" w:rsidTr="00FD119B">
        <w:tc>
          <w:tcPr>
            <w:tcW w:w="1809" w:type="dxa"/>
          </w:tcPr>
          <w:p w14:paraId="61984675" w14:textId="77777777" w:rsidR="00F17260" w:rsidRPr="00F505FD" w:rsidRDefault="00F17260" w:rsidP="0059183C">
            <w:r w:rsidRPr="00053E5A">
              <w:t>CDC</w:t>
            </w:r>
          </w:p>
        </w:tc>
        <w:tc>
          <w:tcPr>
            <w:tcW w:w="6911" w:type="dxa"/>
          </w:tcPr>
          <w:p w14:paraId="29D3D79D" w14:textId="77777777" w:rsidR="00F17260" w:rsidRDefault="00F17260" w:rsidP="00CC7C78">
            <w:r w:rsidRPr="00A641AD">
              <w:t>Centers for</w:t>
            </w:r>
            <w:r>
              <w:t xml:space="preserve"> Disease Control and Prevention (US)</w:t>
            </w:r>
          </w:p>
        </w:tc>
      </w:tr>
      <w:tr w:rsidR="00F17260" w:rsidRPr="00FD119B" w14:paraId="79066955" w14:textId="77777777" w:rsidTr="00FD119B">
        <w:tc>
          <w:tcPr>
            <w:tcW w:w="1809" w:type="dxa"/>
          </w:tcPr>
          <w:p w14:paraId="004A395E" w14:textId="77777777" w:rsidR="00F17260" w:rsidRPr="00F505FD" w:rsidRDefault="00F17260" w:rsidP="0059183C">
            <w:r w:rsidRPr="00F505FD">
              <w:t>CI</w:t>
            </w:r>
          </w:p>
        </w:tc>
        <w:tc>
          <w:tcPr>
            <w:tcW w:w="6911" w:type="dxa"/>
          </w:tcPr>
          <w:p w14:paraId="3A8770FD" w14:textId="77777777" w:rsidR="00F17260" w:rsidRPr="00F505FD" w:rsidRDefault="00F17260" w:rsidP="0059183C">
            <w:r>
              <w:t>C</w:t>
            </w:r>
            <w:r w:rsidRPr="00967D8E">
              <w:t>onfidence interval</w:t>
            </w:r>
          </w:p>
        </w:tc>
      </w:tr>
      <w:tr w:rsidR="00F17260" w:rsidRPr="00FD119B" w14:paraId="0F5E3D0C" w14:textId="77777777" w:rsidTr="00FD119B">
        <w:tc>
          <w:tcPr>
            <w:tcW w:w="1809" w:type="dxa"/>
          </w:tcPr>
          <w:p w14:paraId="0603DECA" w14:textId="77777777" w:rsidR="00F17260" w:rsidRPr="00F505FD" w:rsidRDefault="00F17260" w:rsidP="0059183C">
            <w:r>
              <w:t>CMI</w:t>
            </w:r>
          </w:p>
        </w:tc>
        <w:tc>
          <w:tcPr>
            <w:tcW w:w="6911" w:type="dxa"/>
          </w:tcPr>
          <w:p w14:paraId="5D869711" w14:textId="77777777" w:rsidR="00F17260" w:rsidRDefault="00F17260" w:rsidP="0059183C">
            <w:r>
              <w:t>Consumer Medicines Information</w:t>
            </w:r>
          </w:p>
        </w:tc>
      </w:tr>
      <w:tr w:rsidR="00F17260" w:rsidRPr="00FD119B" w14:paraId="5D4F05EE" w14:textId="77777777" w:rsidTr="00FD119B">
        <w:tc>
          <w:tcPr>
            <w:tcW w:w="1809" w:type="dxa"/>
          </w:tcPr>
          <w:p w14:paraId="2D58AEFB" w14:textId="77777777" w:rsidR="00F17260" w:rsidRDefault="00F17260" w:rsidP="0059183C">
            <w:r>
              <w:t>DLP</w:t>
            </w:r>
          </w:p>
        </w:tc>
        <w:tc>
          <w:tcPr>
            <w:tcW w:w="6911" w:type="dxa"/>
          </w:tcPr>
          <w:p w14:paraId="3E3DA0CF" w14:textId="77777777" w:rsidR="00F17260" w:rsidRPr="00967D8E" w:rsidRDefault="00F17260" w:rsidP="0059183C">
            <w:r>
              <w:t>Data lock point</w:t>
            </w:r>
          </w:p>
        </w:tc>
      </w:tr>
      <w:tr w:rsidR="00F17260" w:rsidRPr="00FD119B" w14:paraId="3CA2D973" w14:textId="77777777" w:rsidTr="00FD119B">
        <w:tc>
          <w:tcPr>
            <w:tcW w:w="1809" w:type="dxa"/>
          </w:tcPr>
          <w:p w14:paraId="3BA36868" w14:textId="77777777" w:rsidR="00F17260" w:rsidRPr="00F505FD" w:rsidRDefault="00F17260" w:rsidP="0059183C">
            <w:r w:rsidRPr="00F505FD">
              <w:t>DTP</w:t>
            </w:r>
          </w:p>
        </w:tc>
        <w:tc>
          <w:tcPr>
            <w:tcW w:w="6911" w:type="dxa"/>
          </w:tcPr>
          <w:p w14:paraId="06E93BAC" w14:textId="77777777" w:rsidR="00F17260" w:rsidRPr="00F505FD" w:rsidRDefault="00F17260" w:rsidP="0059183C">
            <w:r w:rsidRPr="00967D8E">
              <w:t xml:space="preserve">Diphtheria, </w:t>
            </w:r>
            <w:r>
              <w:t>t</w:t>
            </w:r>
            <w:r w:rsidRPr="00967D8E">
              <w:t xml:space="preserve">etanus, and whole cell </w:t>
            </w:r>
            <w:r>
              <w:t>p</w:t>
            </w:r>
            <w:r w:rsidRPr="00967D8E">
              <w:t>ertussis</w:t>
            </w:r>
            <w:r>
              <w:t xml:space="preserve"> (vaccine)</w:t>
            </w:r>
          </w:p>
        </w:tc>
      </w:tr>
      <w:tr w:rsidR="00F17260" w:rsidRPr="00FD119B" w14:paraId="2B691E6F" w14:textId="77777777" w:rsidTr="00FD119B">
        <w:tc>
          <w:tcPr>
            <w:tcW w:w="1809" w:type="dxa"/>
          </w:tcPr>
          <w:p w14:paraId="4E7CF1CF" w14:textId="77777777" w:rsidR="00F17260" w:rsidRPr="00F505FD" w:rsidRDefault="00F17260" w:rsidP="0059183C">
            <w:r>
              <w:t>DT</w:t>
            </w:r>
            <w:r w:rsidRPr="00F505FD">
              <w:t>P</w:t>
            </w:r>
            <w:r>
              <w:t>a</w:t>
            </w:r>
          </w:p>
        </w:tc>
        <w:tc>
          <w:tcPr>
            <w:tcW w:w="6911" w:type="dxa"/>
          </w:tcPr>
          <w:p w14:paraId="2A5574A8" w14:textId="77777777" w:rsidR="00F17260" w:rsidRPr="00F505FD" w:rsidRDefault="00F17260" w:rsidP="0059183C">
            <w:r w:rsidRPr="00967D8E">
              <w:t xml:space="preserve">Diphtheria, </w:t>
            </w:r>
            <w:r>
              <w:t>t</w:t>
            </w:r>
            <w:r w:rsidRPr="00967D8E">
              <w:t xml:space="preserve">etanus, and acellular </w:t>
            </w:r>
            <w:r>
              <w:t>pertussis (vaccine;paediatric formulation containing substantially greater amount of diphtheria toxoid and pertussis antigens compared with adult (dTpa) formulations)</w:t>
            </w:r>
          </w:p>
        </w:tc>
      </w:tr>
      <w:tr w:rsidR="00F17260" w:rsidRPr="00FD119B" w14:paraId="7F0A485E" w14:textId="77777777" w:rsidTr="00FD119B">
        <w:tc>
          <w:tcPr>
            <w:tcW w:w="1809" w:type="dxa"/>
          </w:tcPr>
          <w:p w14:paraId="7AC15426" w14:textId="77777777" w:rsidR="00F17260" w:rsidRDefault="00F17260" w:rsidP="0059183C">
            <w:r>
              <w:t>dTpa</w:t>
            </w:r>
          </w:p>
        </w:tc>
        <w:tc>
          <w:tcPr>
            <w:tcW w:w="6911" w:type="dxa"/>
          </w:tcPr>
          <w:p w14:paraId="65C62F1D" w14:textId="77777777" w:rsidR="00F17260" w:rsidRPr="00967D8E" w:rsidRDefault="00F17260" w:rsidP="00CC7C78">
            <w:r w:rsidRPr="00967D8E">
              <w:t xml:space="preserve">Diphtheria, </w:t>
            </w:r>
            <w:r>
              <w:t>t</w:t>
            </w:r>
            <w:r w:rsidRPr="00967D8E">
              <w:t xml:space="preserve">etanus, and acellular </w:t>
            </w:r>
            <w:r>
              <w:t xml:space="preserve">pertussis (vaccine; formulation used in adolescents and adults </w:t>
            </w:r>
            <w:r w:rsidRPr="001408A9">
              <w:t>contain</w:t>
            </w:r>
            <w:r>
              <w:t>ing</w:t>
            </w:r>
            <w:r w:rsidRPr="001408A9">
              <w:t xml:space="preserve"> substantially lesser amounts of diphtheria toxoid and pertussis antigens</w:t>
            </w:r>
            <w:r>
              <w:t xml:space="preserve"> (compared with paediatric (DTPa) formulations)</w:t>
            </w:r>
          </w:p>
        </w:tc>
      </w:tr>
      <w:tr w:rsidR="00F17260" w:rsidRPr="00FD119B" w14:paraId="09A5DE55" w14:textId="77777777" w:rsidTr="00FD119B">
        <w:tc>
          <w:tcPr>
            <w:tcW w:w="1809" w:type="dxa"/>
          </w:tcPr>
          <w:p w14:paraId="48874060" w14:textId="77777777" w:rsidR="00F17260" w:rsidRPr="00F505FD" w:rsidRDefault="00F17260" w:rsidP="0059183C">
            <w:r>
              <w:t>ELISA</w:t>
            </w:r>
          </w:p>
        </w:tc>
        <w:tc>
          <w:tcPr>
            <w:tcW w:w="6911" w:type="dxa"/>
          </w:tcPr>
          <w:p w14:paraId="07BD7107" w14:textId="77777777" w:rsidR="00F17260" w:rsidRPr="00F505FD" w:rsidRDefault="00F17260" w:rsidP="0059183C">
            <w:r>
              <w:t>Enzyme-linked immunosorbent a</w:t>
            </w:r>
            <w:r w:rsidRPr="00967D8E">
              <w:t>ssay</w:t>
            </w:r>
          </w:p>
        </w:tc>
      </w:tr>
      <w:tr w:rsidR="00F17260" w:rsidRPr="00FD119B" w14:paraId="3F91838A" w14:textId="77777777" w:rsidTr="00FD119B">
        <w:tc>
          <w:tcPr>
            <w:tcW w:w="1809" w:type="dxa"/>
          </w:tcPr>
          <w:p w14:paraId="3B4F0C9D" w14:textId="77777777" w:rsidR="00F17260" w:rsidRDefault="00F17260" w:rsidP="0059183C">
            <w:r>
              <w:t>EU</w:t>
            </w:r>
          </w:p>
        </w:tc>
        <w:tc>
          <w:tcPr>
            <w:tcW w:w="6911" w:type="dxa"/>
          </w:tcPr>
          <w:p w14:paraId="62A3C38A" w14:textId="77777777" w:rsidR="00F17260" w:rsidRDefault="00F17260" w:rsidP="0059183C">
            <w:r>
              <w:t>European Union</w:t>
            </w:r>
          </w:p>
        </w:tc>
      </w:tr>
      <w:tr w:rsidR="00F17260" w:rsidRPr="00FD119B" w14:paraId="62EA8169" w14:textId="77777777" w:rsidTr="00FD119B">
        <w:tc>
          <w:tcPr>
            <w:tcW w:w="1809" w:type="dxa"/>
          </w:tcPr>
          <w:p w14:paraId="4C700904" w14:textId="77777777" w:rsidR="00F17260" w:rsidRDefault="00F17260" w:rsidP="0059183C">
            <w:r>
              <w:t>EU-RMP</w:t>
            </w:r>
          </w:p>
        </w:tc>
        <w:tc>
          <w:tcPr>
            <w:tcW w:w="6911" w:type="dxa"/>
          </w:tcPr>
          <w:p w14:paraId="0116CE07" w14:textId="77777777" w:rsidR="00F17260" w:rsidRDefault="00F17260" w:rsidP="00DF1893">
            <w:r>
              <w:t>European Union-Risk Management Plan</w:t>
            </w:r>
          </w:p>
        </w:tc>
      </w:tr>
      <w:tr w:rsidR="00F17260" w:rsidRPr="00FD119B" w14:paraId="62D2B626" w14:textId="77777777" w:rsidTr="00FD119B">
        <w:tc>
          <w:tcPr>
            <w:tcW w:w="1809" w:type="dxa"/>
          </w:tcPr>
          <w:p w14:paraId="5973930E" w14:textId="77777777" w:rsidR="00F17260" w:rsidRPr="00F505FD" w:rsidRDefault="00F17260" w:rsidP="0059183C">
            <w:r>
              <w:t>FDA</w:t>
            </w:r>
          </w:p>
        </w:tc>
        <w:tc>
          <w:tcPr>
            <w:tcW w:w="6911" w:type="dxa"/>
          </w:tcPr>
          <w:p w14:paraId="41DD5355" w14:textId="77777777" w:rsidR="00F17260" w:rsidRDefault="00F17260" w:rsidP="00CC7C78">
            <w:r>
              <w:t>Food and Drug Administration (US)</w:t>
            </w:r>
          </w:p>
        </w:tc>
      </w:tr>
      <w:tr w:rsidR="00F17260" w:rsidRPr="00FD119B" w14:paraId="1A0F0BB8" w14:textId="77777777" w:rsidTr="00FD119B">
        <w:tc>
          <w:tcPr>
            <w:tcW w:w="1809" w:type="dxa"/>
          </w:tcPr>
          <w:p w14:paraId="48A2BA94" w14:textId="77777777" w:rsidR="00F17260" w:rsidRPr="00F505FD" w:rsidRDefault="00F17260" w:rsidP="0059183C">
            <w:r>
              <w:t>FHA</w:t>
            </w:r>
          </w:p>
        </w:tc>
        <w:tc>
          <w:tcPr>
            <w:tcW w:w="6911" w:type="dxa"/>
          </w:tcPr>
          <w:p w14:paraId="25DC9363" w14:textId="77777777" w:rsidR="00F17260" w:rsidRPr="00F505FD" w:rsidRDefault="00F17260" w:rsidP="0059183C">
            <w:r w:rsidRPr="00967D8E">
              <w:t>Filamentous h</w:t>
            </w:r>
            <w:r>
              <w:t>aemagglutinin</w:t>
            </w:r>
          </w:p>
        </w:tc>
      </w:tr>
      <w:tr w:rsidR="00F17260" w:rsidRPr="00FD119B" w14:paraId="2DF53F9E" w14:textId="77777777" w:rsidTr="00FD119B">
        <w:tc>
          <w:tcPr>
            <w:tcW w:w="1809" w:type="dxa"/>
          </w:tcPr>
          <w:p w14:paraId="4E4141A6" w14:textId="77777777" w:rsidR="00F17260" w:rsidRPr="00F505FD" w:rsidRDefault="00F17260" w:rsidP="0059183C">
            <w:r w:rsidRPr="00F505FD">
              <w:t xml:space="preserve">FIM </w:t>
            </w:r>
            <w:r>
              <w:t>2-3</w:t>
            </w:r>
          </w:p>
        </w:tc>
        <w:tc>
          <w:tcPr>
            <w:tcW w:w="6911" w:type="dxa"/>
          </w:tcPr>
          <w:p w14:paraId="388052CC" w14:textId="77777777" w:rsidR="00F17260" w:rsidRPr="00F505FD" w:rsidRDefault="00F17260" w:rsidP="0059183C">
            <w:r w:rsidRPr="00967D8E">
              <w:t>Fimbriae types 2 and 3</w:t>
            </w:r>
          </w:p>
        </w:tc>
      </w:tr>
      <w:tr w:rsidR="00F17260" w:rsidRPr="00FD119B" w14:paraId="52DA8B81" w14:textId="77777777" w:rsidTr="00FD119B">
        <w:tc>
          <w:tcPr>
            <w:tcW w:w="1809" w:type="dxa"/>
          </w:tcPr>
          <w:p w14:paraId="34964C44" w14:textId="77777777" w:rsidR="00F17260" w:rsidRPr="00F505FD" w:rsidRDefault="00F17260" w:rsidP="0059183C">
            <w:r>
              <w:t>Hib</w:t>
            </w:r>
          </w:p>
        </w:tc>
        <w:tc>
          <w:tcPr>
            <w:tcW w:w="6911" w:type="dxa"/>
          </w:tcPr>
          <w:p w14:paraId="04F8AB91" w14:textId="77777777" w:rsidR="00F17260" w:rsidRPr="00967D8E" w:rsidRDefault="00F17260" w:rsidP="0059183C">
            <w:r w:rsidRPr="00967D8E">
              <w:t>Haemophilus influenza type b</w:t>
            </w:r>
          </w:p>
        </w:tc>
      </w:tr>
      <w:tr w:rsidR="00F17260" w:rsidRPr="00FD119B" w14:paraId="154E90E7" w14:textId="77777777" w:rsidTr="00FD119B">
        <w:tc>
          <w:tcPr>
            <w:tcW w:w="1809" w:type="dxa"/>
          </w:tcPr>
          <w:p w14:paraId="2526A5B0" w14:textId="77777777" w:rsidR="00F17260" w:rsidRPr="00F505FD" w:rsidRDefault="00F17260" w:rsidP="0059183C">
            <w:r w:rsidRPr="00053E5A">
              <w:t>HPV4 vaccine</w:t>
            </w:r>
          </w:p>
        </w:tc>
        <w:tc>
          <w:tcPr>
            <w:tcW w:w="6911" w:type="dxa"/>
          </w:tcPr>
          <w:p w14:paraId="56AF11E6" w14:textId="77777777" w:rsidR="00F17260" w:rsidRPr="00967D8E" w:rsidRDefault="00F17260" w:rsidP="00DF1893">
            <w:r>
              <w:t>H</w:t>
            </w:r>
            <w:r w:rsidRPr="00A641AD">
              <w:t>uman papillomavirus vaccine that contains 4 serotypes</w:t>
            </w:r>
          </w:p>
        </w:tc>
      </w:tr>
      <w:tr w:rsidR="00F17260" w:rsidRPr="00FD119B" w14:paraId="2B54FDA9" w14:textId="77777777" w:rsidTr="00FD119B">
        <w:tc>
          <w:tcPr>
            <w:tcW w:w="1809" w:type="dxa"/>
          </w:tcPr>
          <w:p w14:paraId="0219BA6D" w14:textId="77777777" w:rsidR="00F17260" w:rsidRPr="00F505FD" w:rsidRDefault="00F17260" w:rsidP="0059183C">
            <w:r w:rsidRPr="00F505FD">
              <w:t>I</w:t>
            </w:r>
            <w:r>
              <w:t>PV</w:t>
            </w:r>
          </w:p>
        </w:tc>
        <w:tc>
          <w:tcPr>
            <w:tcW w:w="6911" w:type="dxa"/>
          </w:tcPr>
          <w:p w14:paraId="3011862B" w14:textId="77777777" w:rsidR="00F17260" w:rsidRPr="00F505FD" w:rsidRDefault="00F17260" w:rsidP="0059183C">
            <w:r>
              <w:t>I</w:t>
            </w:r>
            <w:r w:rsidRPr="00967D8E">
              <w:t>n</w:t>
            </w:r>
            <w:r>
              <w:t>activated poliomyelitis vaccine</w:t>
            </w:r>
          </w:p>
        </w:tc>
      </w:tr>
      <w:tr w:rsidR="00F17260" w:rsidRPr="00FD119B" w14:paraId="2D1ED2B2" w14:textId="77777777" w:rsidTr="00FD119B">
        <w:tc>
          <w:tcPr>
            <w:tcW w:w="1809" w:type="dxa"/>
          </w:tcPr>
          <w:p w14:paraId="7694054C" w14:textId="77777777" w:rsidR="00F17260" w:rsidRPr="00F505FD" w:rsidRDefault="00F17260" w:rsidP="0059183C">
            <w:r>
              <w:t>IU</w:t>
            </w:r>
          </w:p>
        </w:tc>
        <w:tc>
          <w:tcPr>
            <w:tcW w:w="6911" w:type="dxa"/>
          </w:tcPr>
          <w:p w14:paraId="279C2AB3" w14:textId="77777777" w:rsidR="00F17260" w:rsidRPr="00F505FD" w:rsidRDefault="00F17260" w:rsidP="0059183C">
            <w:r w:rsidRPr="00967D8E">
              <w:t>International unit</w:t>
            </w:r>
          </w:p>
        </w:tc>
      </w:tr>
      <w:tr w:rsidR="00F17260" w:rsidRPr="00FD119B" w14:paraId="534989B2" w14:textId="77777777" w:rsidTr="00FD119B">
        <w:tc>
          <w:tcPr>
            <w:tcW w:w="1809" w:type="dxa"/>
          </w:tcPr>
          <w:p w14:paraId="1285BCF3" w14:textId="77777777" w:rsidR="00F17260" w:rsidRPr="00F505FD" w:rsidRDefault="00F17260" w:rsidP="0059183C">
            <w:r>
              <w:t>KPNC</w:t>
            </w:r>
          </w:p>
        </w:tc>
        <w:tc>
          <w:tcPr>
            <w:tcW w:w="6911" w:type="dxa"/>
          </w:tcPr>
          <w:p w14:paraId="2FAE784A" w14:textId="77777777" w:rsidR="00F17260" w:rsidRPr="00F505FD" w:rsidRDefault="00F17260" w:rsidP="0059183C">
            <w:r w:rsidRPr="00967D8E">
              <w:t>Kaiser</w:t>
            </w:r>
            <w:r>
              <w:t xml:space="preserve"> Permanente Northern California</w:t>
            </w:r>
          </w:p>
        </w:tc>
      </w:tr>
      <w:tr w:rsidR="00F17260" w:rsidRPr="00FD119B" w14:paraId="70C881D9" w14:textId="77777777" w:rsidTr="00FD119B">
        <w:tc>
          <w:tcPr>
            <w:tcW w:w="1809" w:type="dxa"/>
          </w:tcPr>
          <w:p w14:paraId="47345133" w14:textId="77777777" w:rsidR="00F17260" w:rsidRPr="00F505FD" w:rsidRDefault="00F17260" w:rsidP="0059183C">
            <w:r>
              <w:lastRenderedPageBreak/>
              <w:t>LBS</w:t>
            </w:r>
          </w:p>
        </w:tc>
        <w:tc>
          <w:tcPr>
            <w:tcW w:w="6911" w:type="dxa"/>
          </w:tcPr>
          <w:p w14:paraId="3D1BDBB5" w14:textId="77777777" w:rsidR="00F17260" w:rsidRPr="00F505FD" w:rsidRDefault="00F17260" w:rsidP="0059183C">
            <w:r>
              <w:t>L</w:t>
            </w:r>
            <w:r w:rsidRPr="00967D8E">
              <w:t xml:space="preserve">iterature based submission </w:t>
            </w:r>
          </w:p>
        </w:tc>
      </w:tr>
      <w:tr w:rsidR="00F17260" w:rsidRPr="00FD119B" w14:paraId="41427452" w14:textId="77777777" w:rsidTr="00FD119B">
        <w:tc>
          <w:tcPr>
            <w:tcW w:w="1809" w:type="dxa"/>
          </w:tcPr>
          <w:p w14:paraId="572A4C87" w14:textId="77777777" w:rsidR="00F17260" w:rsidRPr="00F505FD" w:rsidRDefault="00F17260" w:rsidP="0059183C">
            <w:r>
              <w:t>PRN</w:t>
            </w:r>
          </w:p>
        </w:tc>
        <w:tc>
          <w:tcPr>
            <w:tcW w:w="6911" w:type="dxa"/>
          </w:tcPr>
          <w:p w14:paraId="0CC6CA10" w14:textId="77777777" w:rsidR="00F17260" w:rsidRPr="00F505FD" w:rsidRDefault="00F17260" w:rsidP="0059183C">
            <w:r>
              <w:t>Pertactin</w:t>
            </w:r>
          </w:p>
        </w:tc>
      </w:tr>
      <w:tr w:rsidR="00F17260" w:rsidRPr="00FD119B" w14:paraId="70105130" w14:textId="77777777" w:rsidTr="00FD119B">
        <w:tc>
          <w:tcPr>
            <w:tcW w:w="1809" w:type="dxa"/>
          </w:tcPr>
          <w:p w14:paraId="2D754395" w14:textId="77777777" w:rsidR="00F17260" w:rsidRPr="00F505FD" w:rsidRDefault="00F17260" w:rsidP="0059183C">
            <w:r>
              <w:t>PT</w:t>
            </w:r>
          </w:p>
        </w:tc>
        <w:tc>
          <w:tcPr>
            <w:tcW w:w="6911" w:type="dxa"/>
          </w:tcPr>
          <w:p w14:paraId="06AE8426" w14:textId="77777777" w:rsidR="00F17260" w:rsidRPr="00F505FD" w:rsidRDefault="00F17260" w:rsidP="0059183C">
            <w:r w:rsidRPr="00967D8E">
              <w:t xml:space="preserve">Pertussis </w:t>
            </w:r>
            <w:r>
              <w:t>t</w:t>
            </w:r>
            <w:r w:rsidRPr="00967D8E">
              <w:t>oxin</w:t>
            </w:r>
          </w:p>
        </w:tc>
      </w:tr>
      <w:tr w:rsidR="00F17260" w:rsidRPr="00FD119B" w14:paraId="5E6B23D9" w14:textId="77777777" w:rsidTr="00FD119B">
        <w:tc>
          <w:tcPr>
            <w:tcW w:w="1809" w:type="dxa"/>
          </w:tcPr>
          <w:p w14:paraId="3D077ECC" w14:textId="77777777" w:rsidR="00F17260" w:rsidRPr="00F505FD" w:rsidRDefault="00F17260" w:rsidP="0059183C">
            <w:r>
              <w:t>RMP</w:t>
            </w:r>
          </w:p>
        </w:tc>
        <w:tc>
          <w:tcPr>
            <w:tcW w:w="6911" w:type="dxa"/>
          </w:tcPr>
          <w:p w14:paraId="6398225D" w14:textId="77777777" w:rsidR="00F17260" w:rsidRPr="00967D8E" w:rsidRDefault="00F17260" w:rsidP="0059183C">
            <w:r>
              <w:t>Risk management plan</w:t>
            </w:r>
          </w:p>
        </w:tc>
      </w:tr>
      <w:tr w:rsidR="00F17260" w:rsidRPr="00FD119B" w14:paraId="48DEDE55" w14:textId="77777777" w:rsidTr="00FD119B">
        <w:tc>
          <w:tcPr>
            <w:tcW w:w="1809" w:type="dxa"/>
          </w:tcPr>
          <w:p w14:paraId="4F4B2269" w14:textId="77777777" w:rsidR="00F17260" w:rsidRPr="00F505FD" w:rsidRDefault="00F17260" w:rsidP="0059183C">
            <w:r>
              <w:t>Td</w:t>
            </w:r>
          </w:p>
        </w:tc>
        <w:tc>
          <w:tcPr>
            <w:tcW w:w="6911" w:type="dxa"/>
          </w:tcPr>
          <w:p w14:paraId="1073E32D" w14:textId="77777777" w:rsidR="00F17260" w:rsidRPr="00F505FD" w:rsidRDefault="00F17260" w:rsidP="003E22A7">
            <w:r w:rsidRPr="00967D8E">
              <w:t>Tetanus</w:t>
            </w:r>
            <w:r>
              <w:t xml:space="preserve">, reduced </w:t>
            </w:r>
            <w:r w:rsidRPr="00967D8E">
              <w:t>diphtheria</w:t>
            </w:r>
            <w:r>
              <w:t xml:space="preserve"> (vaccine)</w:t>
            </w:r>
          </w:p>
        </w:tc>
      </w:tr>
      <w:tr w:rsidR="00F17260" w:rsidRPr="00FD119B" w14:paraId="6499C355" w14:textId="77777777" w:rsidTr="00FD119B">
        <w:tc>
          <w:tcPr>
            <w:tcW w:w="1809" w:type="dxa"/>
          </w:tcPr>
          <w:p w14:paraId="29044A6E" w14:textId="77777777" w:rsidR="00F17260" w:rsidRDefault="00F17260" w:rsidP="0059183C">
            <w:r>
              <w:t>TDaP</w:t>
            </w:r>
          </w:p>
        </w:tc>
        <w:tc>
          <w:tcPr>
            <w:tcW w:w="6911" w:type="dxa"/>
          </w:tcPr>
          <w:p w14:paraId="24A838DA" w14:textId="77777777" w:rsidR="00F17260" w:rsidRPr="00967D8E" w:rsidRDefault="00F17260" w:rsidP="00BC13B6">
            <w:r w:rsidRPr="00967D8E">
              <w:t xml:space="preserve">Tetanus </w:t>
            </w:r>
            <w:r>
              <w:t>t</w:t>
            </w:r>
            <w:r w:rsidRPr="00967D8E">
              <w:t xml:space="preserve">oxoid, </w:t>
            </w:r>
            <w:r>
              <w:t>d</w:t>
            </w:r>
            <w:r w:rsidRPr="00967D8E">
              <w:t xml:space="preserve">iphtheria </w:t>
            </w:r>
            <w:r>
              <w:t>t</w:t>
            </w:r>
            <w:r w:rsidRPr="00967D8E">
              <w:t xml:space="preserve">oxoid and </w:t>
            </w:r>
            <w:r>
              <w:t>a</w:t>
            </w:r>
            <w:r w:rsidRPr="00967D8E">
              <w:t xml:space="preserve">cellular </w:t>
            </w:r>
            <w:r>
              <w:t>p</w:t>
            </w:r>
            <w:r w:rsidRPr="00967D8E">
              <w:t xml:space="preserve">ertussis </w:t>
            </w:r>
            <w:r>
              <w:t>(v</w:t>
            </w:r>
            <w:r w:rsidRPr="00967D8E">
              <w:t>accine</w:t>
            </w:r>
            <w:r>
              <w:t>); also known as DTPa (see above)</w:t>
            </w:r>
          </w:p>
        </w:tc>
      </w:tr>
      <w:tr w:rsidR="00F17260" w:rsidRPr="00FD119B" w14:paraId="31091F61" w14:textId="77777777" w:rsidTr="00FD119B">
        <w:tc>
          <w:tcPr>
            <w:tcW w:w="1809" w:type="dxa"/>
          </w:tcPr>
          <w:p w14:paraId="79E7804C" w14:textId="77777777" w:rsidR="00F17260" w:rsidRPr="00F505FD" w:rsidRDefault="00F17260" w:rsidP="0059183C">
            <w:r>
              <w:t>Tdap</w:t>
            </w:r>
          </w:p>
        </w:tc>
        <w:tc>
          <w:tcPr>
            <w:tcW w:w="6911" w:type="dxa"/>
          </w:tcPr>
          <w:p w14:paraId="4131DD71" w14:textId="77777777" w:rsidR="00F17260" w:rsidRPr="00F505FD" w:rsidRDefault="00F17260" w:rsidP="00BC13B6">
            <w:r w:rsidRPr="00967D8E">
              <w:t xml:space="preserve">Tetanus </w:t>
            </w:r>
            <w:r>
              <w:t>t</w:t>
            </w:r>
            <w:r w:rsidRPr="00967D8E">
              <w:t xml:space="preserve">oxoid, </w:t>
            </w:r>
            <w:r>
              <w:t>r</w:t>
            </w:r>
            <w:r w:rsidRPr="00967D8E">
              <w:t xml:space="preserve">educed </w:t>
            </w:r>
            <w:r>
              <w:t>d</w:t>
            </w:r>
            <w:r w:rsidRPr="00967D8E">
              <w:t xml:space="preserve">iphtheria </w:t>
            </w:r>
            <w:r>
              <w:t>t</w:t>
            </w:r>
            <w:r w:rsidRPr="00967D8E">
              <w:t xml:space="preserve">oxoid and </w:t>
            </w:r>
            <w:r>
              <w:t>a</w:t>
            </w:r>
            <w:r w:rsidRPr="00967D8E">
              <w:t xml:space="preserve">cellular </w:t>
            </w:r>
            <w:r>
              <w:t>p</w:t>
            </w:r>
            <w:r w:rsidRPr="00967D8E">
              <w:t xml:space="preserve">ertussis </w:t>
            </w:r>
            <w:r>
              <w:t>(v</w:t>
            </w:r>
            <w:r w:rsidRPr="00967D8E">
              <w:t>accine</w:t>
            </w:r>
            <w:r>
              <w:t>); also known as dTpa (see above)</w:t>
            </w:r>
          </w:p>
        </w:tc>
      </w:tr>
      <w:tr w:rsidR="00F17260" w:rsidRPr="00FD119B" w14:paraId="21E9198E" w14:textId="77777777" w:rsidTr="00FD119B">
        <w:tc>
          <w:tcPr>
            <w:tcW w:w="1809" w:type="dxa"/>
          </w:tcPr>
          <w:p w14:paraId="46059239" w14:textId="77777777" w:rsidR="00F17260" w:rsidRPr="00F505FD" w:rsidRDefault="00F17260" w:rsidP="0059183C">
            <w:r>
              <w:t>UK</w:t>
            </w:r>
          </w:p>
        </w:tc>
        <w:tc>
          <w:tcPr>
            <w:tcW w:w="6911" w:type="dxa"/>
          </w:tcPr>
          <w:p w14:paraId="5EC76135" w14:textId="77777777" w:rsidR="00F17260" w:rsidRDefault="00F17260" w:rsidP="0059183C">
            <w:r>
              <w:t>United Kingdom</w:t>
            </w:r>
          </w:p>
        </w:tc>
      </w:tr>
      <w:tr w:rsidR="00F17260" w:rsidRPr="00FD119B" w14:paraId="5A4A2350" w14:textId="77777777" w:rsidTr="00FD119B">
        <w:tc>
          <w:tcPr>
            <w:tcW w:w="1809" w:type="dxa"/>
          </w:tcPr>
          <w:p w14:paraId="06861443" w14:textId="77777777" w:rsidR="00F17260" w:rsidRPr="00F505FD" w:rsidRDefault="00F17260" w:rsidP="0059183C">
            <w:r>
              <w:t>US</w:t>
            </w:r>
          </w:p>
        </w:tc>
        <w:tc>
          <w:tcPr>
            <w:tcW w:w="6911" w:type="dxa"/>
          </w:tcPr>
          <w:p w14:paraId="60C4003E" w14:textId="77777777" w:rsidR="00F17260" w:rsidRPr="00F505FD" w:rsidRDefault="00F17260" w:rsidP="0059183C">
            <w:r>
              <w:t>United States</w:t>
            </w:r>
          </w:p>
        </w:tc>
      </w:tr>
      <w:tr w:rsidR="00F17260" w:rsidRPr="00FD119B" w14:paraId="2C833694" w14:textId="77777777" w:rsidTr="00FD119B">
        <w:tc>
          <w:tcPr>
            <w:tcW w:w="1809" w:type="dxa"/>
          </w:tcPr>
          <w:p w14:paraId="69399744" w14:textId="77777777" w:rsidR="00F17260" w:rsidRDefault="00F17260" w:rsidP="0059183C">
            <w:r w:rsidRPr="00053E5A">
              <w:t>VAERS</w:t>
            </w:r>
          </w:p>
        </w:tc>
        <w:tc>
          <w:tcPr>
            <w:tcW w:w="6911" w:type="dxa"/>
          </w:tcPr>
          <w:p w14:paraId="616CF86C" w14:textId="77777777" w:rsidR="00F17260" w:rsidRDefault="00F17260" w:rsidP="00A641AD">
            <w:r>
              <w:rPr>
                <w:lang w:val="en"/>
              </w:rPr>
              <w:t>Vaccine Adverse Event Report System</w:t>
            </w:r>
          </w:p>
        </w:tc>
      </w:tr>
      <w:tr w:rsidR="00F17260" w:rsidRPr="00FD119B" w14:paraId="7FCAA329" w14:textId="77777777" w:rsidTr="00FD119B">
        <w:tc>
          <w:tcPr>
            <w:tcW w:w="1809" w:type="dxa"/>
          </w:tcPr>
          <w:p w14:paraId="40D1A275" w14:textId="77777777" w:rsidR="00F17260" w:rsidRPr="00F33AC7" w:rsidRDefault="00F17260" w:rsidP="0059183C">
            <w:r>
              <w:t>VE</w:t>
            </w:r>
          </w:p>
        </w:tc>
        <w:tc>
          <w:tcPr>
            <w:tcW w:w="6911" w:type="dxa"/>
          </w:tcPr>
          <w:p w14:paraId="4552426A" w14:textId="77777777" w:rsidR="00F17260" w:rsidRPr="00F505FD" w:rsidRDefault="00F17260" w:rsidP="0059183C">
            <w:r>
              <w:t>Vaccine effectiveness</w:t>
            </w:r>
          </w:p>
        </w:tc>
      </w:tr>
      <w:tr w:rsidR="00F17260" w:rsidRPr="00FD119B" w14:paraId="5EA8DF2C" w14:textId="77777777" w:rsidTr="00FD119B">
        <w:tc>
          <w:tcPr>
            <w:tcW w:w="1809" w:type="dxa"/>
          </w:tcPr>
          <w:p w14:paraId="1BE2671D" w14:textId="77777777" w:rsidR="00F17260" w:rsidRPr="00F505FD" w:rsidRDefault="00F17260" w:rsidP="0059183C">
            <w:r>
              <w:t>WHO</w:t>
            </w:r>
          </w:p>
        </w:tc>
        <w:tc>
          <w:tcPr>
            <w:tcW w:w="6911" w:type="dxa"/>
          </w:tcPr>
          <w:p w14:paraId="579A89E4" w14:textId="77777777" w:rsidR="00F17260" w:rsidRPr="00F505FD" w:rsidRDefault="00F17260" w:rsidP="0059183C">
            <w:r>
              <w:t>World Health Organization</w:t>
            </w:r>
          </w:p>
        </w:tc>
      </w:tr>
    </w:tbl>
    <w:p w14:paraId="47FF4602" w14:textId="77777777" w:rsidR="00FD119B" w:rsidRDefault="00FD119B" w:rsidP="00FD119B"/>
    <w:p w14:paraId="272DA62D" w14:textId="77777777" w:rsidR="00940A89" w:rsidRPr="0059183C" w:rsidRDefault="00FD119B" w:rsidP="0059183C">
      <w:pPr>
        <w:spacing w:before="0" w:after="200" w:line="0" w:lineRule="auto"/>
        <w:rPr>
          <w:b/>
          <w:i/>
          <w:sz w:val="24"/>
          <w:szCs w:val="24"/>
        </w:rPr>
      </w:pPr>
      <w:r w:rsidRPr="00FD119B">
        <w:rPr>
          <w:b/>
          <w:i/>
          <w:sz w:val="24"/>
          <w:szCs w:val="24"/>
        </w:rPr>
        <w:br w:type="page"/>
      </w:r>
    </w:p>
    <w:p w14:paraId="1D4CD1F5" w14:textId="77777777" w:rsidR="008E7846" w:rsidRDefault="00F53C07" w:rsidP="008E7846">
      <w:pPr>
        <w:pStyle w:val="Heading2"/>
      </w:pPr>
      <w:bookmarkStart w:id="9" w:name="_Toc36126282"/>
      <w:r>
        <w:lastRenderedPageBreak/>
        <w:t>I.</w:t>
      </w:r>
      <w:r w:rsidR="008E7846">
        <w:t xml:space="preserve"> Introduction to product submission</w:t>
      </w:r>
      <w:bookmarkEnd w:id="0"/>
      <w:bookmarkEnd w:id="3"/>
      <w:bookmarkEnd w:id="9"/>
    </w:p>
    <w:p w14:paraId="271F7407" w14:textId="77777777" w:rsidR="008E7846" w:rsidRDefault="008E7846" w:rsidP="008E7846">
      <w:pPr>
        <w:pStyle w:val="Heading3"/>
        <w:rPr>
          <w:lang w:eastAsia="en-AU"/>
        </w:rPr>
      </w:pPr>
      <w:bookmarkStart w:id="10" w:name="_Toc247691502"/>
      <w:bookmarkStart w:id="11" w:name="_Toc314842483"/>
      <w:bookmarkStart w:id="12" w:name="_Toc36126283"/>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59183C" w:rsidRPr="003D1E62" w14:paraId="5D166668" w14:textId="77777777" w:rsidTr="003735BC">
        <w:tc>
          <w:tcPr>
            <w:tcW w:w="2907" w:type="dxa"/>
          </w:tcPr>
          <w:p w14:paraId="7CB30A14" w14:textId="77777777" w:rsidR="0059183C" w:rsidRPr="003D1E62" w:rsidRDefault="0059183C" w:rsidP="0059183C">
            <w:pPr>
              <w:rPr>
                <w:i/>
              </w:rPr>
            </w:pPr>
            <w:r>
              <w:rPr>
                <w:i/>
              </w:rPr>
              <w:t>Type of s</w:t>
            </w:r>
            <w:r w:rsidRPr="003D1E62">
              <w:rPr>
                <w:i/>
              </w:rPr>
              <w:t>ubmission</w:t>
            </w:r>
            <w:r>
              <w:rPr>
                <w:i/>
              </w:rPr>
              <w:t>:</w:t>
            </w:r>
          </w:p>
        </w:tc>
        <w:tc>
          <w:tcPr>
            <w:tcW w:w="6307" w:type="dxa"/>
          </w:tcPr>
          <w:p w14:paraId="7B96A3CA" w14:textId="77777777" w:rsidR="0059183C" w:rsidRPr="00882ED2" w:rsidRDefault="0059183C" w:rsidP="0059183C">
            <w:r w:rsidRPr="00882ED2">
              <w:t>Extension of indications</w:t>
            </w:r>
          </w:p>
        </w:tc>
      </w:tr>
      <w:tr w:rsidR="0059183C" w:rsidRPr="003D1E62" w14:paraId="0E9E8868" w14:textId="77777777" w:rsidTr="003735BC">
        <w:tc>
          <w:tcPr>
            <w:tcW w:w="2907" w:type="dxa"/>
          </w:tcPr>
          <w:p w14:paraId="3F637E85" w14:textId="77777777" w:rsidR="0059183C" w:rsidRPr="003D1E62" w:rsidRDefault="0059183C" w:rsidP="0059183C">
            <w:r w:rsidRPr="003D1E62">
              <w:rPr>
                <w:i/>
              </w:rPr>
              <w:t>Decision</w:t>
            </w:r>
            <w:r w:rsidRPr="003D1E62">
              <w:t>:</w:t>
            </w:r>
          </w:p>
        </w:tc>
        <w:tc>
          <w:tcPr>
            <w:tcW w:w="6307" w:type="dxa"/>
          </w:tcPr>
          <w:p w14:paraId="66F98CE1" w14:textId="77777777" w:rsidR="0059183C" w:rsidRPr="00882ED2" w:rsidRDefault="0059183C" w:rsidP="0059183C">
            <w:r w:rsidRPr="00882ED2">
              <w:t>Approved</w:t>
            </w:r>
          </w:p>
        </w:tc>
      </w:tr>
      <w:tr w:rsidR="0059183C" w:rsidRPr="003D1E62" w14:paraId="42952828" w14:textId="77777777" w:rsidTr="003735BC">
        <w:tc>
          <w:tcPr>
            <w:tcW w:w="2907" w:type="dxa"/>
          </w:tcPr>
          <w:p w14:paraId="72E3AA23" w14:textId="77777777" w:rsidR="0059183C" w:rsidRPr="003D1E62" w:rsidRDefault="0059183C" w:rsidP="0059183C">
            <w:pPr>
              <w:rPr>
                <w:i/>
              </w:rPr>
            </w:pPr>
            <w:r w:rsidRPr="003D1E62">
              <w:rPr>
                <w:i/>
              </w:rPr>
              <w:t xml:space="preserve">Date of </w:t>
            </w:r>
            <w:r>
              <w:rPr>
                <w:i/>
              </w:rPr>
              <w:t>d</w:t>
            </w:r>
            <w:r w:rsidRPr="003D1E62">
              <w:rPr>
                <w:i/>
              </w:rPr>
              <w:t>ecision:</w:t>
            </w:r>
          </w:p>
        </w:tc>
        <w:tc>
          <w:tcPr>
            <w:tcW w:w="6307" w:type="dxa"/>
          </w:tcPr>
          <w:p w14:paraId="2302EEF0" w14:textId="77777777" w:rsidR="0059183C" w:rsidRPr="00882ED2" w:rsidRDefault="0059183C" w:rsidP="0059183C">
            <w:r w:rsidRPr="00882ED2">
              <w:t>14 May 2019</w:t>
            </w:r>
          </w:p>
        </w:tc>
      </w:tr>
      <w:tr w:rsidR="0059183C" w:rsidRPr="003D1E62" w14:paraId="52890345" w14:textId="77777777" w:rsidTr="003735BC">
        <w:tc>
          <w:tcPr>
            <w:tcW w:w="2907" w:type="dxa"/>
          </w:tcPr>
          <w:p w14:paraId="6F325E7F" w14:textId="77777777" w:rsidR="0059183C" w:rsidRPr="00441C3F" w:rsidRDefault="0059183C" w:rsidP="0059183C">
            <w:pPr>
              <w:rPr>
                <w:i/>
              </w:rPr>
            </w:pPr>
            <w:r w:rsidRPr="00441C3F">
              <w:rPr>
                <w:i/>
              </w:rPr>
              <w:t>Date of entry onto ARTG</w:t>
            </w:r>
            <w:r>
              <w:rPr>
                <w:i/>
              </w:rPr>
              <w:t>:</w:t>
            </w:r>
          </w:p>
        </w:tc>
        <w:tc>
          <w:tcPr>
            <w:tcW w:w="6307" w:type="dxa"/>
          </w:tcPr>
          <w:p w14:paraId="7A60116A" w14:textId="77777777" w:rsidR="0059183C" w:rsidRPr="00882ED2" w:rsidRDefault="0059183C" w:rsidP="0059183C">
            <w:r>
              <w:t>20 May 2019</w:t>
            </w:r>
          </w:p>
        </w:tc>
      </w:tr>
      <w:tr w:rsidR="0059183C" w:rsidRPr="003D1E62" w14:paraId="4CED2263" w14:textId="77777777" w:rsidTr="003735BC">
        <w:tc>
          <w:tcPr>
            <w:tcW w:w="2907" w:type="dxa"/>
          </w:tcPr>
          <w:p w14:paraId="6D4F6054" w14:textId="77777777" w:rsidR="0059183C" w:rsidRPr="00441C3F" w:rsidRDefault="00141CB9" w:rsidP="0059183C">
            <w:pPr>
              <w:rPr>
                <w:i/>
              </w:rPr>
            </w:pPr>
            <w:r>
              <w:rPr>
                <w:i/>
              </w:rPr>
              <w:t>ARTG numbers</w:t>
            </w:r>
            <w:r w:rsidR="0059183C">
              <w:rPr>
                <w:i/>
              </w:rPr>
              <w:t>:</w:t>
            </w:r>
          </w:p>
        </w:tc>
        <w:tc>
          <w:tcPr>
            <w:tcW w:w="6307" w:type="dxa"/>
          </w:tcPr>
          <w:p w14:paraId="192F76CC" w14:textId="77777777" w:rsidR="0059183C" w:rsidRPr="00882ED2" w:rsidRDefault="0059183C" w:rsidP="0059183C">
            <w:r w:rsidRPr="00882ED2">
              <w:t>106554; 297685</w:t>
            </w:r>
          </w:p>
        </w:tc>
      </w:tr>
      <w:tr w:rsidR="0059183C" w:rsidRPr="003D1E62" w14:paraId="42791A49" w14:textId="77777777" w:rsidTr="003735BC">
        <w:tc>
          <w:tcPr>
            <w:tcW w:w="2907" w:type="dxa"/>
          </w:tcPr>
          <w:p w14:paraId="404D053C" w14:textId="77777777" w:rsidR="0059183C" w:rsidRDefault="0059183C" w:rsidP="0059183C">
            <w:pPr>
              <w:rPr>
                <w:i/>
              </w:rPr>
            </w:pPr>
            <w:r>
              <w:rPr>
                <w:rFonts w:ascii="Wingdings 3" w:hAnsi="Wingdings 3"/>
                <w:sz w:val="34"/>
                <w:szCs w:val="34"/>
                <w:lang w:eastAsia="en-AU"/>
              </w:rPr>
              <w:t></w:t>
            </w:r>
            <w:r w:rsidRPr="003735BC">
              <w:rPr>
                <w:i/>
              </w:rPr>
              <w:t>Black Triangle Scheme</w:t>
            </w:r>
          </w:p>
        </w:tc>
        <w:tc>
          <w:tcPr>
            <w:tcW w:w="6307" w:type="dxa"/>
          </w:tcPr>
          <w:p w14:paraId="65CE9D65" w14:textId="77777777" w:rsidR="0059183C" w:rsidRDefault="0059183C" w:rsidP="0059183C">
            <w:r w:rsidRPr="00882ED2">
              <w:t>No</w:t>
            </w:r>
          </w:p>
        </w:tc>
      </w:tr>
      <w:tr w:rsidR="008E7846" w:rsidRPr="00487162" w14:paraId="77649403" w14:textId="77777777" w:rsidTr="00BF1190">
        <w:tc>
          <w:tcPr>
            <w:tcW w:w="2907" w:type="dxa"/>
          </w:tcPr>
          <w:p w14:paraId="7A97E05E" w14:textId="77777777" w:rsidR="008E7846" w:rsidRPr="00487162" w:rsidRDefault="00141CB9" w:rsidP="00E45619">
            <w:pPr>
              <w:rPr>
                <w:i/>
              </w:rPr>
            </w:pPr>
            <w:r>
              <w:rPr>
                <w:i/>
              </w:rPr>
              <w:t>Active ingredients</w:t>
            </w:r>
            <w:r w:rsidR="001B5C90">
              <w:rPr>
                <w:i/>
              </w:rPr>
              <w:t>:</w:t>
            </w:r>
          </w:p>
        </w:tc>
        <w:tc>
          <w:tcPr>
            <w:tcW w:w="6307" w:type="dxa"/>
          </w:tcPr>
          <w:p w14:paraId="2F875F6D" w14:textId="77777777" w:rsidR="008E7846" w:rsidRPr="00487162" w:rsidRDefault="00141CB9" w:rsidP="00141CB9">
            <w:r>
              <w:t>Pertussis vaccine-acellular combined with diphtheria and tetanus toxoids (adsorbed)</w:t>
            </w:r>
          </w:p>
        </w:tc>
      </w:tr>
      <w:tr w:rsidR="008E7846" w:rsidRPr="00487162" w14:paraId="6DD50576" w14:textId="77777777" w:rsidTr="00BF1190">
        <w:tc>
          <w:tcPr>
            <w:tcW w:w="2907" w:type="dxa"/>
          </w:tcPr>
          <w:p w14:paraId="688F38DD" w14:textId="77777777" w:rsidR="008E7846" w:rsidRPr="00487162" w:rsidRDefault="008E7846" w:rsidP="001B5C90">
            <w:pPr>
              <w:rPr>
                <w:i/>
              </w:rPr>
            </w:pPr>
            <w:r w:rsidRPr="00487162">
              <w:rPr>
                <w:i/>
              </w:rPr>
              <w:t>Product</w:t>
            </w:r>
            <w:r w:rsidR="00141CB9">
              <w:rPr>
                <w:i/>
              </w:rPr>
              <w:t xml:space="preserve"> name</w:t>
            </w:r>
            <w:r w:rsidR="001B5C90">
              <w:rPr>
                <w:i/>
              </w:rPr>
              <w:t>:</w:t>
            </w:r>
          </w:p>
        </w:tc>
        <w:tc>
          <w:tcPr>
            <w:tcW w:w="6307" w:type="dxa"/>
          </w:tcPr>
          <w:p w14:paraId="59856733" w14:textId="77777777" w:rsidR="008E7846" w:rsidRPr="00487162" w:rsidRDefault="00141CB9" w:rsidP="00E45619">
            <w:r w:rsidRPr="00141CB9">
              <w:t>Adacel</w:t>
            </w:r>
          </w:p>
        </w:tc>
      </w:tr>
      <w:tr w:rsidR="00141CB9" w:rsidRPr="00487162" w14:paraId="5B1683B7" w14:textId="77777777" w:rsidTr="00BF1190">
        <w:tc>
          <w:tcPr>
            <w:tcW w:w="2907" w:type="dxa"/>
          </w:tcPr>
          <w:p w14:paraId="203F7C53" w14:textId="77777777" w:rsidR="00141CB9" w:rsidRPr="00487162" w:rsidRDefault="00141CB9" w:rsidP="00141CB9">
            <w:pPr>
              <w:rPr>
                <w:i/>
              </w:rPr>
            </w:pPr>
            <w:r w:rsidRPr="00487162">
              <w:rPr>
                <w:i/>
              </w:rPr>
              <w:t xml:space="preserve">Sponsor’s </w:t>
            </w:r>
            <w:r>
              <w:rPr>
                <w:i/>
              </w:rPr>
              <w:t>n</w:t>
            </w:r>
            <w:r w:rsidRPr="00487162">
              <w:rPr>
                <w:i/>
              </w:rPr>
              <w:t xml:space="preserve">ame and </w:t>
            </w:r>
            <w:r>
              <w:rPr>
                <w:i/>
              </w:rPr>
              <w:t>a</w:t>
            </w:r>
            <w:r w:rsidRPr="00487162">
              <w:rPr>
                <w:i/>
              </w:rPr>
              <w:t>ddress:</w:t>
            </w:r>
          </w:p>
        </w:tc>
        <w:tc>
          <w:tcPr>
            <w:tcW w:w="6307" w:type="dxa"/>
          </w:tcPr>
          <w:p w14:paraId="3E914AC1" w14:textId="77777777" w:rsidR="00141CB9" w:rsidRDefault="00141CB9" w:rsidP="00141CB9">
            <w:r>
              <w:t>Sanofi-Aventis Australia Pty Ltd</w:t>
            </w:r>
          </w:p>
          <w:p w14:paraId="66ED9658" w14:textId="77777777" w:rsidR="00141CB9" w:rsidRDefault="00141CB9" w:rsidP="00141CB9">
            <w:r>
              <w:t>Talavera Corporate Centre, Building D</w:t>
            </w:r>
          </w:p>
          <w:p w14:paraId="43AD8BB4" w14:textId="77777777" w:rsidR="00141CB9" w:rsidRDefault="00141CB9" w:rsidP="00141CB9">
            <w:r>
              <w:t>12-24 Talavera Rd</w:t>
            </w:r>
          </w:p>
          <w:p w14:paraId="73D55B25" w14:textId="77777777" w:rsidR="00141CB9" w:rsidRPr="00487162" w:rsidRDefault="00141CB9" w:rsidP="00141CB9">
            <w:r>
              <w:t>Macquarie Park NSW 2113</w:t>
            </w:r>
          </w:p>
        </w:tc>
      </w:tr>
      <w:tr w:rsidR="00141CB9" w:rsidRPr="00487162" w14:paraId="757CB4AA" w14:textId="77777777" w:rsidTr="00BF1190">
        <w:tc>
          <w:tcPr>
            <w:tcW w:w="2907" w:type="dxa"/>
          </w:tcPr>
          <w:p w14:paraId="09C7E544" w14:textId="77777777" w:rsidR="00141CB9" w:rsidRPr="00487162" w:rsidRDefault="00141CB9" w:rsidP="00141CB9">
            <w:pPr>
              <w:rPr>
                <w:i/>
              </w:rPr>
            </w:pPr>
            <w:r>
              <w:rPr>
                <w:i/>
              </w:rPr>
              <w:t>Dose form:</w:t>
            </w:r>
          </w:p>
        </w:tc>
        <w:tc>
          <w:tcPr>
            <w:tcW w:w="6307" w:type="dxa"/>
          </w:tcPr>
          <w:p w14:paraId="54B316C0" w14:textId="77777777" w:rsidR="00141CB9" w:rsidRPr="00487162" w:rsidRDefault="00141CB9" w:rsidP="00141CB9">
            <w:r>
              <w:t>Suspension for injection</w:t>
            </w:r>
          </w:p>
        </w:tc>
      </w:tr>
      <w:tr w:rsidR="00141CB9" w:rsidRPr="00487162" w14:paraId="7BE56729" w14:textId="77777777" w:rsidTr="00BF1190">
        <w:tc>
          <w:tcPr>
            <w:tcW w:w="2907" w:type="dxa"/>
          </w:tcPr>
          <w:p w14:paraId="4C2BD3B2" w14:textId="77777777" w:rsidR="00141CB9" w:rsidRPr="00487162" w:rsidRDefault="00141CB9" w:rsidP="00141CB9">
            <w:pPr>
              <w:rPr>
                <w:i/>
              </w:rPr>
            </w:pPr>
            <w:r>
              <w:rPr>
                <w:i/>
              </w:rPr>
              <w:t>Strength</w:t>
            </w:r>
            <w:r w:rsidRPr="00487162">
              <w:rPr>
                <w:i/>
              </w:rPr>
              <w:t xml:space="preserve">: </w:t>
            </w:r>
          </w:p>
        </w:tc>
        <w:tc>
          <w:tcPr>
            <w:tcW w:w="6307" w:type="dxa"/>
          </w:tcPr>
          <w:p w14:paraId="486529E8" w14:textId="77777777" w:rsidR="00141CB9" w:rsidRDefault="00141CB9" w:rsidP="00141CB9">
            <w:r>
              <w:t>Each 0.5 mL dose of Adacel contains:</w:t>
            </w:r>
          </w:p>
          <w:p w14:paraId="6C0585BE" w14:textId="77777777" w:rsidR="00141CB9" w:rsidRDefault="00141CB9" w:rsidP="00141CB9">
            <w:pPr>
              <w:pStyle w:val="ListBullet"/>
            </w:pPr>
            <w:r>
              <w:t>Diphtheria toxoid: ≥ 2 IU (2 Lf);</w:t>
            </w:r>
          </w:p>
          <w:p w14:paraId="2AE8A969" w14:textId="77777777" w:rsidR="00141CB9" w:rsidRDefault="00141CB9" w:rsidP="00141CB9">
            <w:pPr>
              <w:pStyle w:val="ListBullet"/>
            </w:pPr>
            <w:r>
              <w:t>Tetanus toxoid: ≥ 20 IU (5 Lf);*</w:t>
            </w:r>
          </w:p>
          <w:p w14:paraId="3AB7DD76" w14:textId="77777777" w:rsidR="00141CB9" w:rsidRDefault="00141CB9" w:rsidP="00141CB9">
            <w:pPr>
              <w:pStyle w:val="ListBullet"/>
            </w:pPr>
            <w:r>
              <w:t>Pertussis toxoid: 2.5 micrograms;</w:t>
            </w:r>
          </w:p>
          <w:p w14:paraId="3AB7DA2C" w14:textId="77777777" w:rsidR="00141CB9" w:rsidRDefault="00141CB9" w:rsidP="00141CB9">
            <w:pPr>
              <w:pStyle w:val="ListBullet"/>
            </w:pPr>
            <w:r>
              <w:t>Pertussis filamentous haemagglutinin: 5 micrograms;</w:t>
            </w:r>
          </w:p>
          <w:p w14:paraId="3A39AFD0" w14:textId="77777777" w:rsidR="00141CB9" w:rsidRDefault="00141CB9" w:rsidP="00141CB9">
            <w:pPr>
              <w:pStyle w:val="ListBullet"/>
            </w:pPr>
            <w:r>
              <w:t>Pertactin: 3 micrograms;</w:t>
            </w:r>
          </w:p>
          <w:p w14:paraId="521A92A2" w14:textId="77777777" w:rsidR="00141CB9" w:rsidRDefault="00141CB9" w:rsidP="00141CB9">
            <w:pPr>
              <w:pStyle w:val="ListBullet"/>
            </w:pPr>
            <w:r>
              <w:t>Pertussis fimbriae types 2 and 3: 5 micrograms.</w:t>
            </w:r>
          </w:p>
          <w:p w14:paraId="6078230C" w14:textId="77777777" w:rsidR="00141CB9" w:rsidRPr="00487162" w:rsidRDefault="00141CB9" w:rsidP="00141CB9">
            <w:r>
              <w:t>*The formulated content of 5 Lf of tetanus toxoid per 0.5mL dose is the same as the related product Tripacel</w:t>
            </w:r>
          </w:p>
        </w:tc>
      </w:tr>
      <w:tr w:rsidR="00141CB9" w:rsidRPr="00487162" w14:paraId="5E29706F" w14:textId="77777777" w:rsidTr="00BF1190">
        <w:tc>
          <w:tcPr>
            <w:tcW w:w="2907" w:type="dxa"/>
          </w:tcPr>
          <w:p w14:paraId="2AB38E00" w14:textId="77777777" w:rsidR="00141CB9" w:rsidRPr="00487162" w:rsidRDefault="00141CB9" w:rsidP="00141CB9">
            <w:pPr>
              <w:rPr>
                <w:i/>
              </w:rPr>
            </w:pPr>
            <w:r>
              <w:rPr>
                <w:i/>
              </w:rPr>
              <w:t>Containers</w:t>
            </w:r>
            <w:r w:rsidRPr="00487162">
              <w:rPr>
                <w:i/>
              </w:rPr>
              <w:t>:</w:t>
            </w:r>
          </w:p>
        </w:tc>
        <w:tc>
          <w:tcPr>
            <w:tcW w:w="6307" w:type="dxa"/>
          </w:tcPr>
          <w:p w14:paraId="455B6473" w14:textId="77777777" w:rsidR="00141CB9" w:rsidRPr="00487162" w:rsidRDefault="00141CB9" w:rsidP="00141CB9">
            <w:r>
              <w:t>Vial; pre-filled syringe</w:t>
            </w:r>
          </w:p>
        </w:tc>
      </w:tr>
      <w:tr w:rsidR="00141CB9" w:rsidRPr="00487162" w14:paraId="578EA958" w14:textId="77777777" w:rsidTr="00BF1190">
        <w:tc>
          <w:tcPr>
            <w:tcW w:w="2907" w:type="dxa"/>
          </w:tcPr>
          <w:p w14:paraId="76CB384C" w14:textId="77777777" w:rsidR="00141CB9" w:rsidRPr="00487162" w:rsidRDefault="00141CB9" w:rsidP="00141CB9">
            <w:pPr>
              <w:rPr>
                <w:i/>
              </w:rPr>
            </w:pPr>
            <w:r>
              <w:rPr>
                <w:i/>
              </w:rPr>
              <w:t>Pack sizes</w:t>
            </w:r>
            <w:r w:rsidRPr="00487162">
              <w:rPr>
                <w:i/>
              </w:rPr>
              <w:t>:</w:t>
            </w:r>
          </w:p>
        </w:tc>
        <w:tc>
          <w:tcPr>
            <w:tcW w:w="6307" w:type="dxa"/>
          </w:tcPr>
          <w:p w14:paraId="6D3BC3FA" w14:textId="77777777" w:rsidR="00141CB9" w:rsidRDefault="00141CB9" w:rsidP="00141CB9">
            <w:r>
              <w:t>Vial: 1 or 5,</w:t>
            </w:r>
          </w:p>
          <w:p w14:paraId="28DA3E24" w14:textId="77777777" w:rsidR="00141CB9" w:rsidRPr="00487162" w:rsidRDefault="00141CB9" w:rsidP="00141CB9">
            <w:r>
              <w:t>Prefilled syringe: 1 or 10 with or without separate needles.</w:t>
            </w:r>
          </w:p>
        </w:tc>
      </w:tr>
      <w:tr w:rsidR="00141CB9" w:rsidRPr="00487162" w14:paraId="29CC6193" w14:textId="77777777" w:rsidTr="00BF1190">
        <w:tc>
          <w:tcPr>
            <w:tcW w:w="2907" w:type="dxa"/>
          </w:tcPr>
          <w:p w14:paraId="17036CA3" w14:textId="77777777" w:rsidR="00141CB9" w:rsidRPr="00487162" w:rsidRDefault="00141CB9" w:rsidP="00141CB9">
            <w:pPr>
              <w:rPr>
                <w:i/>
              </w:rPr>
            </w:pPr>
            <w:r w:rsidRPr="00487162">
              <w:rPr>
                <w:i/>
              </w:rPr>
              <w:t xml:space="preserve">Approved </w:t>
            </w:r>
            <w:r>
              <w:rPr>
                <w:i/>
              </w:rPr>
              <w:t>t</w:t>
            </w:r>
            <w:r w:rsidRPr="00487162">
              <w:rPr>
                <w:i/>
              </w:rPr>
              <w:t>herapeutic use:</w:t>
            </w:r>
          </w:p>
        </w:tc>
        <w:tc>
          <w:tcPr>
            <w:tcW w:w="6307" w:type="dxa"/>
          </w:tcPr>
          <w:p w14:paraId="796B709E" w14:textId="77777777" w:rsidR="00141CB9" w:rsidRPr="00F17A2D" w:rsidRDefault="00141CB9" w:rsidP="00141CB9">
            <w:pPr>
              <w:rPr>
                <w:i/>
              </w:rPr>
            </w:pPr>
            <w:r w:rsidRPr="00F17A2D">
              <w:rPr>
                <w:i/>
              </w:rPr>
              <w:t>Adacel may be administered during pregnancy for prevention of pertussis in young infants via transplacental antibody transfer from the pregnant woman to the fetus.</w:t>
            </w:r>
          </w:p>
        </w:tc>
      </w:tr>
      <w:tr w:rsidR="00141CB9" w:rsidRPr="00487162" w14:paraId="5D05FA5A" w14:textId="77777777" w:rsidTr="00BF1190">
        <w:tc>
          <w:tcPr>
            <w:tcW w:w="2907" w:type="dxa"/>
          </w:tcPr>
          <w:p w14:paraId="20C807C4" w14:textId="77777777" w:rsidR="00141CB9" w:rsidRPr="00487162" w:rsidRDefault="00141CB9" w:rsidP="00141CB9">
            <w:pPr>
              <w:rPr>
                <w:i/>
              </w:rPr>
            </w:pPr>
            <w:r>
              <w:rPr>
                <w:i/>
              </w:rPr>
              <w:t>Route</w:t>
            </w:r>
            <w:r w:rsidRPr="00487162">
              <w:rPr>
                <w:i/>
              </w:rPr>
              <w:t xml:space="preserve"> of administration:</w:t>
            </w:r>
          </w:p>
        </w:tc>
        <w:tc>
          <w:tcPr>
            <w:tcW w:w="6307" w:type="dxa"/>
          </w:tcPr>
          <w:p w14:paraId="34DEA8FE" w14:textId="77777777" w:rsidR="00141CB9" w:rsidRPr="00487162" w:rsidRDefault="00141CB9" w:rsidP="00141CB9">
            <w:r>
              <w:t>Intramuscular injection</w:t>
            </w:r>
          </w:p>
        </w:tc>
      </w:tr>
      <w:tr w:rsidR="00141CB9" w:rsidRPr="00487162" w14:paraId="5E1ACE11" w14:textId="77777777" w:rsidTr="00BF1190">
        <w:tc>
          <w:tcPr>
            <w:tcW w:w="2907" w:type="dxa"/>
          </w:tcPr>
          <w:p w14:paraId="496245FB" w14:textId="77777777" w:rsidR="00141CB9" w:rsidRPr="00487162" w:rsidRDefault="00141CB9" w:rsidP="00141CB9">
            <w:pPr>
              <w:rPr>
                <w:i/>
              </w:rPr>
            </w:pPr>
            <w:r w:rsidRPr="00487162">
              <w:rPr>
                <w:i/>
              </w:rPr>
              <w:lastRenderedPageBreak/>
              <w:t>Dosage:</w:t>
            </w:r>
          </w:p>
        </w:tc>
        <w:tc>
          <w:tcPr>
            <w:tcW w:w="6307" w:type="dxa"/>
          </w:tcPr>
          <w:p w14:paraId="5A238E9D" w14:textId="77777777" w:rsidR="00141CB9" w:rsidRDefault="00141CB9" w:rsidP="00141CB9">
            <w:r>
              <w:t>Adacel (0.5 mL) should be administered by intramuscular route.</w:t>
            </w:r>
          </w:p>
          <w:p w14:paraId="21231479" w14:textId="77777777" w:rsidR="00141CB9" w:rsidRDefault="00141CB9" w:rsidP="00141CB9">
            <w:r>
              <w:t>Booster doses of Adacel should be given according to the official national recommendations as per the current Immunisation Handbook.</w:t>
            </w:r>
          </w:p>
          <w:p w14:paraId="59D52DF6" w14:textId="77777777" w:rsidR="00141CB9" w:rsidRDefault="00141CB9" w:rsidP="00141CB9">
            <w:r>
              <w:t>Administration to a pregnant woman should be done according to official national recommendations for pertussis vaccination of a pregnant woman.</w:t>
            </w:r>
          </w:p>
          <w:p w14:paraId="6251258F" w14:textId="77777777" w:rsidR="00141CB9" w:rsidRPr="00487162" w:rsidRDefault="00141CB9" w:rsidP="00141CB9">
            <w:r>
              <w:t>For further information, refer to the Product Information (PI) and current Immunisation Handbook.</w:t>
            </w:r>
          </w:p>
        </w:tc>
      </w:tr>
    </w:tbl>
    <w:p w14:paraId="45604A53" w14:textId="77777777" w:rsidR="008E7846" w:rsidRDefault="008E7846" w:rsidP="008E7846">
      <w:pPr>
        <w:pStyle w:val="Heading3"/>
      </w:pPr>
      <w:bookmarkStart w:id="13" w:name="_Toc247691503"/>
      <w:bookmarkStart w:id="14" w:name="_Toc314842484"/>
      <w:bookmarkStart w:id="15" w:name="_Toc36126284"/>
      <w:r>
        <w:t>Product background</w:t>
      </w:r>
      <w:bookmarkEnd w:id="13"/>
      <w:bookmarkEnd w:id="14"/>
      <w:bookmarkEnd w:id="15"/>
    </w:p>
    <w:p w14:paraId="1A103E6D" w14:textId="77777777" w:rsidR="00746C1D" w:rsidRPr="00EE1903" w:rsidRDefault="00746C1D" w:rsidP="00746C1D">
      <w:r w:rsidRPr="00940A89">
        <w:t>This AusPAR describes the applicat</w:t>
      </w:r>
      <w:r>
        <w:t>ion by Sanofi-Aventis Australia Pty Ltd (the sponsor) to register Adacel pertussis vaccine</w:t>
      </w:r>
      <w:r>
        <w:noBreakHyphen/>
        <w:t xml:space="preserve">acellular combined with diphtheria and tetanus toxoids (adsorbed) 0.5 mL </w:t>
      </w:r>
      <w:r w:rsidR="00F25025">
        <w:t xml:space="preserve">suspension for </w:t>
      </w:r>
      <w:r>
        <w:t>injection</w:t>
      </w:r>
      <w:r w:rsidR="00F25025">
        <w:t>,</w:t>
      </w:r>
      <w:r>
        <w:t xml:space="preserve"> vial and pre-filled needle-free syringe for the following proposed extension of indications</w:t>
      </w:r>
      <w:r>
        <w:rPr>
          <w:i/>
        </w:rPr>
        <w:t>:</w:t>
      </w:r>
    </w:p>
    <w:p w14:paraId="7C37A121" w14:textId="77777777" w:rsidR="00746C1D" w:rsidRPr="00746C1D" w:rsidRDefault="00746C1D" w:rsidP="00746C1D">
      <w:pPr>
        <w:ind w:left="720"/>
        <w:rPr>
          <w:i/>
        </w:rPr>
      </w:pPr>
      <w:r w:rsidRPr="00746C1D">
        <w:rPr>
          <w:i/>
        </w:rPr>
        <w:t>Adacel may be administered during pregnancy for prevention of pertussis in young infants.</w:t>
      </w:r>
    </w:p>
    <w:p w14:paraId="7D2D5E67" w14:textId="21695F0D" w:rsidR="00EE1903" w:rsidRDefault="00EE1903" w:rsidP="00746C1D">
      <w:r>
        <w:t>Pertussis is an important cause of morbidity in all age groups and of mortality in infants. The disease burden remains high compared to that of other vaccine-preventable diseases. Worldwide, in children younger than 5 years, there were an estimated 24.1 million cases of pertussis and an estimated 160,700 deaths from pertussis in 2014 according to a recent publication modelling these data.</w:t>
      </w:r>
      <w:r>
        <w:rPr>
          <w:rStyle w:val="FootnoteReference"/>
        </w:rPr>
        <w:footnoteReference w:id="1"/>
      </w:r>
      <w:r>
        <w:t xml:space="preserve"> Of these, an estimated 5.1 million cases and an estimated 85,900 deaths occurred in infants younger than 1 year of age. In Australia, during a pertussis outbreak (2008 to 2012) the rate of pertussis peaked in the overall population in 2011 (173.5 cases per 100,000) with 333.8 cases per 100,000 in children less than 4 years of age.</w:t>
      </w:r>
      <w:bookmarkStart w:id="16" w:name="_Ref14710720"/>
      <w:r>
        <w:rPr>
          <w:rStyle w:val="FootnoteReference"/>
        </w:rPr>
        <w:footnoteReference w:id="2"/>
      </w:r>
      <w:bookmarkEnd w:id="16"/>
      <w:r>
        <w:t xml:space="preserve"> Between 2006 and 2012, infants aged &lt; 6 months accounted for 42% (1,832 of 4,408) of pertussis-related hospitalisations. During this period there were 11 deaths attributed to pertussis; 10 of these deaths were in infants &lt; 6 months of age.</w:t>
      </w:r>
      <w:r>
        <w:rPr>
          <w:rStyle w:val="FootnoteReference"/>
        </w:rPr>
        <w:footnoteReference w:id="3"/>
      </w:r>
      <w:r>
        <w:t xml:space="preserve"> Rates of pertussis were lower overall in 2013 and 2014 (approximately 50 cases per 100,000) with 95.4 and 72.4 cases, respectively, per 100,000 in children less than 4 years of age.</w:t>
      </w:r>
      <w:r w:rsidR="00C13240">
        <w:rPr>
          <w:vertAlign w:val="superscript"/>
        </w:rPr>
        <w:fldChar w:fldCharType="begin"/>
      </w:r>
      <w:r w:rsidR="00C13240">
        <w:instrText xml:space="preserve"> NOTEREF _Ref14710720 \f \h </w:instrText>
      </w:r>
      <w:r w:rsidR="00C13240">
        <w:rPr>
          <w:vertAlign w:val="superscript"/>
        </w:rPr>
      </w:r>
      <w:r w:rsidR="00C13240">
        <w:rPr>
          <w:vertAlign w:val="superscript"/>
        </w:rPr>
        <w:fldChar w:fldCharType="separate"/>
      </w:r>
      <w:r w:rsidR="00C13240" w:rsidRPr="00C13240">
        <w:rPr>
          <w:rStyle w:val="FootnoteReference"/>
        </w:rPr>
        <w:t>2</w:t>
      </w:r>
      <w:r w:rsidR="00C13240">
        <w:rPr>
          <w:vertAlign w:val="superscript"/>
        </w:rPr>
        <w:fldChar w:fldCharType="end"/>
      </w:r>
      <w:r>
        <w:t xml:space="preserve"> During 2014, there were 39 reported cases of pertussis in infants</w:t>
      </w:r>
      <w:r w:rsidR="00F17260">
        <w:t xml:space="preserve"> less than 6 </w:t>
      </w:r>
      <w:r>
        <w:t>weeks of age, and 98 reported cases in those 6 weeks to less than 4 months of age. In 2015 and 2016, the number of pertussis cases increased overall (94.5 and 83.1 cases per 100,000), mostly due to increased reporting in several states/territories, with 186.1 and 185.5 cases, respectively, in children less than 4 years of age.</w:t>
      </w:r>
    </w:p>
    <w:p w14:paraId="508B9984" w14:textId="510AC69C" w:rsidR="00EE1903" w:rsidRDefault="00EE1903" w:rsidP="00EE1903">
      <w:r>
        <w:t xml:space="preserve">Even though there is antibiotic treatment for pertussis, it has its highest mortality in children under 6 months of age; hence, prevention is very important in this age group. Acellular pertussis-containing vaccines for the prevention of pertussis have been used for both primary and booster vaccination of children in Australia since 1999 and the primary vaccination series commences at 2 months of age in Australia. The acronym DTPa, using capital letters, signifies child formulations of diphtheria, tetanus and acellular pertussis-containing vaccines. The acronym dTpa is used for formulations that contain substantially </w:t>
      </w:r>
      <w:r>
        <w:lastRenderedPageBreak/>
        <w:t>lesser amounts of diphtheria toxoid and pertussis antigens and are usually used in adolescents and adults.</w:t>
      </w:r>
      <w:r w:rsidR="00F8651F">
        <w:rPr>
          <w:rStyle w:val="FootnoteReference"/>
        </w:rPr>
        <w:footnoteReference w:id="4"/>
      </w:r>
      <w:r w:rsidR="00F829F5">
        <w:rPr>
          <w:vertAlign w:val="superscript"/>
        </w:rPr>
        <w:t>,</w:t>
      </w:r>
      <w:r w:rsidR="00BC13B6">
        <w:rPr>
          <w:rStyle w:val="FootnoteReference"/>
        </w:rPr>
        <w:footnoteReference w:id="5"/>
      </w:r>
    </w:p>
    <w:p w14:paraId="168D3FC9" w14:textId="77777777" w:rsidR="00F8651F" w:rsidRDefault="00F8651F" w:rsidP="00F8651F">
      <w:r>
        <w:t>Vaccination of pregnant women with dTpa has been shown to be effective in preventing pertussis disease in newborn infants via the transfer of maternal antibodies in utero and this strategy has been widely used for over a decade in many countries (including Australia), particularly during pertussis outbreaks. Vaccination of mothers at least 7 days before delivery reduced pertussis disease by 91% in infants &lt; 3 months of age.</w:t>
      </w:r>
    </w:p>
    <w:p w14:paraId="43D4CBE6" w14:textId="77777777" w:rsidR="00F8651F" w:rsidRDefault="00F8651F" w:rsidP="00F8651F">
      <w:r w:rsidRPr="005177FC">
        <w:t xml:space="preserve">The World Health Organization </w:t>
      </w:r>
      <w:r>
        <w:t xml:space="preserve">(WHO) </w:t>
      </w:r>
      <w:r w:rsidRPr="005177FC">
        <w:t xml:space="preserve">position paper on pertussis vaccines (2015) recommends that national programs consider vaccination of pregnant women with one dose of </w:t>
      </w:r>
      <w:r>
        <w:t>dTpa in the second or third</w:t>
      </w:r>
      <w:r w:rsidRPr="005177FC">
        <w:t xml:space="preserve"> trimester and preferably at least 15 days before the end of the pregnancy.</w:t>
      </w:r>
      <w:r>
        <w:rPr>
          <w:rStyle w:val="FootnoteReference"/>
        </w:rPr>
        <w:footnoteReference w:id="6"/>
      </w:r>
      <w:r w:rsidRPr="005177FC">
        <w:t xml:space="preserve"> The routine prim</w:t>
      </w:r>
      <w:r>
        <w:t>ary infant immunisation during the first year of life with DTP</w:t>
      </w:r>
      <w:r w:rsidRPr="005177FC">
        <w:t>a should remain unchanged.</w:t>
      </w:r>
    </w:p>
    <w:p w14:paraId="559F1424" w14:textId="0EE9571F" w:rsidR="00F8651F" w:rsidRDefault="00F8651F" w:rsidP="00F17260">
      <w:r>
        <w:t xml:space="preserve">In Australia, the </w:t>
      </w:r>
      <w:r w:rsidR="00A0110C">
        <w:t>‘</w:t>
      </w:r>
      <w:r>
        <w:t>cocoon</w:t>
      </w:r>
      <w:r w:rsidR="00A0110C">
        <w:t>’</w:t>
      </w:r>
      <w:r>
        <w:t xml:space="preserve"> strategy </w:t>
      </w:r>
      <w:r w:rsidR="00F17260">
        <w:t xml:space="preserve">(vaccinating </w:t>
      </w:r>
      <w:r w:rsidR="00A0110C">
        <w:t>those who will be in close contact with</w:t>
      </w:r>
      <w:r w:rsidR="00F17260">
        <w:t xml:space="preserve"> infants</w:t>
      </w:r>
      <w:r w:rsidR="00A0110C">
        <w:t>, in order to reduce exposure to pertussis</w:t>
      </w:r>
      <w:r w:rsidR="00F17260">
        <w:t xml:space="preserve">) </w:t>
      </w:r>
      <w:r>
        <w:t>has been recommended in the Australian Immunisation Handbook since 2003 and this has been funded by state and territory governments as an outbreak response measure since 2008 to various populations at various times. In 2013, the Australian Immunisation Handbook pertussis vaccine recommendations were extended to include the option of vaccinating pregnant women in the third trimester of pregnancy, and in March 2015 this recommendation was updated to support a preference for pertussis vaccination during each pregnancy (optimally between 28 and 32 weeks), rather than postpartum.</w:t>
      </w:r>
      <w:bookmarkStart w:id="17" w:name="_Ref34040957"/>
      <w:r>
        <w:rPr>
          <w:rStyle w:val="FootnoteReference"/>
        </w:rPr>
        <w:footnoteReference w:id="7"/>
      </w:r>
      <w:bookmarkEnd w:id="17"/>
    </w:p>
    <w:p w14:paraId="52D47DE5" w14:textId="337952AA" w:rsidR="00450598" w:rsidRDefault="00450598" w:rsidP="00450598">
      <w:r w:rsidRPr="0000319B">
        <w:t>Adacel is an adult/adolescent formulation of diphtheria, tetanus and acellular pertussis with reduced content (dTpa) of diphtheria toxoid, pertussis toxoid and filamentous haemagglutinin compared to paedi</w:t>
      </w:r>
      <w:r>
        <w:t xml:space="preserve">atric formulations of DTPa. </w:t>
      </w:r>
      <w:r w:rsidR="00285C78">
        <w:t xml:space="preserve">At the time the submission described in this AusPAR was under consideration, Adacel was not recommended for use in pregnancy in Australia. </w:t>
      </w:r>
      <w:r w:rsidR="00F8651F">
        <w:t>It</w:t>
      </w:r>
      <w:r>
        <w:t>s</w:t>
      </w:r>
      <w:r w:rsidRPr="0000319B">
        <w:t xml:space="preserve"> comparison with Boostrix, which is another registered </w:t>
      </w:r>
      <w:r>
        <w:t>dTpa formulation, is as follows in Table 1, below.</w:t>
      </w:r>
      <w:r w:rsidR="00285C78">
        <w:t xml:space="preserve"> </w:t>
      </w:r>
      <w:r w:rsidR="00285C78" w:rsidRPr="0083654D">
        <w:t xml:space="preserve">In Australia, Boostrix is approved as booster from age 4 years onwards, has pregnancy classification </w:t>
      </w:r>
      <w:r w:rsidR="00285C78">
        <w:t xml:space="preserve">Category </w:t>
      </w:r>
      <w:r w:rsidR="00285C78" w:rsidRPr="0083654D">
        <w:t>B1</w:t>
      </w:r>
      <w:r w:rsidR="00285C78">
        <w:t>;</w:t>
      </w:r>
      <w:bookmarkStart w:id="18" w:name="_Ref34055119"/>
      <w:r w:rsidR="00285C78">
        <w:rPr>
          <w:rStyle w:val="FootnoteReference"/>
        </w:rPr>
        <w:footnoteReference w:id="8"/>
      </w:r>
      <w:bookmarkEnd w:id="18"/>
      <w:r w:rsidR="00285C78" w:rsidRPr="0083654D">
        <w:t xml:space="preserve"> and is allowed use in pregnancy for prevention of pertussis in young infants.</w:t>
      </w:r>
    </w:p>
    <w:p w14:paraId="3CEEABB5" w14:textId="77777777" w:rsidR="00450598" w:rsidRPr="00482424" w:rsidRDefault="00450598" w:rsidP="00450598">
      <w:pPr>
        <w:pStyle w:val="TableTitle"/>
      </w:pPr>
      <w:r w:rsidRPr="00482424">
        <w:lastRenderedPageBreak/>
        <w:t xml:space="preserve">Table </w:t>
      </w:r>
      <w:r w:rsidR="006E7419">
        <w:fldChar w:fldCharType="begin"/>
      </w:r>
      <w:r w:rsidR="006E7419">
        <w:instrText xml:space="preserve"> SEQ Table \* ARABIC </w:instrText>
      </w:r>
      <w:r w:rsidR="006E7419">
        <w:fldChar w:fldCharType="separate"/>
      </w:r>
      <w:r>
        <w:rPr>
          <w:noProof/>
        </w:rPr>
        <w:t>1</w:t>
      </w:r>
      <w:r w:rsidR="006E7419">
        <w:rPr>
          <w:noProof/>
        </w:rPr>
        <w:fldChar w:fldCharType="end"/>
      </w:r>
      <w:r w:rsidRPr="00482424">
        <w:t>: Comparison of antigen composition of Adacel and Boostrix dTpa vaccines</w:t>
      </w:r>
    </w:p>
    <w:p w14:paraId="2B3E1FB6" w14:textId="77777777" w:rsidR="00450598" w:rsidRDefault="00450598" w:rsidP="00450598">
      <w:r w:rsidRPr="000A4803">
        <w:rPr>
          <w:noProof/>
          <w:lang w:eastAsia="en-AU"/>
        </w:rPr>
        <w:drawing>
          <wp:inline distT="0" distB="0" distL="0" distR="0" wp14:anchorId="10631273" wp14:editId="43C7858B">
            <wp:extent cx="5237683" cy="1755066"/>
            <wp:effectExtent l="0" t="0" r="1270" b="0"/>
            <wp:docPr id="19" name="Picture 19" descr="Comparison of antigen composition of Adacel and Boostrix dTpa vacc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_2019_CEU2\ACV2019\tables_adacel\products_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8446" cy="1765374"/>
                    </a:xfrm>
                    <a:prstGeom prst="rect">
                      <a:avLst/>
                    </a:prstGeom>
                    <a:noFill/>
                    <a:ln>
                      <a:noFill/>
                    </a:ln>
                  </pic:spPr>
                </pic:pic>
              </a:graphicData>
            </a:graphic>
          </wp:inline>
        </w:drawing>
      </w:r>
    </w:p>
    <w:p w14:paraId="0953649C" w14:textId="77777777" w:rsidR="00746C1D" w:rsidRDefault="00746C1D" w:rsidP="00746C1D">
      <w:r>
        <w:t xml:space="preserve">In addition to the proposed </w:t>
      </w:r>
      <w:r w:rsidRPr="00883D55">
        <w:t>extension of indication</w:t>
      </w:r>
      <w:r>
        <w:t>s</w:t>
      </w:r>
      <w:r w:rsidRPr="00883D55">
        <w:t xml:space="preserve"> </w:t>
      </w:r>
      <w:r>
        <w:t>for</w:t>
      </w:r>
      <w:r w:rsidRPr="00883D55">
        <w:t xml:space="preserve"> use </w:t>
      </w:r>
      <w:r w:rsidR="00EE1903">
        <w:t xml:space="preserve">of </w:t>
      </w:r>
      <w:r w:rsidRPr="00883D55">
        <w:t>Adacel in pregnancy</w:t>
      </w:r>
      <w:r>
        <w:t>,</w:t>
      </w:r>
      <w:r w:rsidRPr="00883D55">
        <w:t xml:space="preserve"> </w:t>
      </w:r>
      <w:r>
        <w:t>this submission also sought the following changes:</w:t>
      </w:r>
      <w:r w:rsidR="00D041DD">
        <w:rPr>
          <w:rStyle w:val="FootnoteReference"/>
        </w:rPr>
        <w:footnoteReference w:id="9"/>
      </w:r>
    </w:p>
    <w:p w14:paraId="5F475FD4" w14:textId="77777777" w:rsidR="00746C1D" w:rsidRDefault="00746C1D" w:rsidP="00746C1D">
      <w:pPr>
        <w:pStyle w:val="ListBullet"/>
      </w:pPr>
      <w:r>
        <w:t>To update the Product Information (PI) regarding use of Adacel for repeat vaccination in accordance with the current recommendations as per the Australian Immunisation Handbook.</w:t>
      </w:r>
      <w:r w:rsidR="002B488A">
        <w:fldChar w:fldCharType="begin"/>
      </w:r>
      <w:r w:rsidR="002B488A">
        <w:instrText xml:space="preserve"> NOTEREF _Ref34040957 \f \h </w:instrText>
      </w:r>
      <w:r w:rsidR="002B488A">
        <w:fldChar w:fldCharType="separate"/>
      </w:r>
      <w:r w:rsidR="00F8651F" w:rsidRPr="00F8651F">
        <w:rPr>
          <w:rStyle w:val="FootnoteReference"/>
        </w:rPr>
        <w:t>6</w:t>
      </w:r>
      <w:r w:rsidR="002B488A">
        <w:fldChar w:fldCharType="end"/>
      </w:r>
    </w:p>
    <w:p w14:paraId="503439D5" w14:textId="77777777" w:rsidR="00746C1D" w:rsidRDefault="00746C1D" w:rsidP="00746C1D">
      <w:pPr>
        <w:pStyle w:val="ListBullet"/>
      </w:pPr>
      <w:r>
        <w:t xml:space="preserve">Change in </w:t>
      </w:r>
      <w:r w:rsidR="00FD4695">
        <w:t>Adacel</w:t>
      </w:r>
      <w:r>
        <w:t xml:space="preserve"> Pregnancy classification from Category B2</w:t>
      </w:r>
      <w:r w:rsidR="00C13240">
        <w:t>;</w:t>
      </w:r>
      <w:bookmarkStart w:id="19" w:name="_Ref34054924"/>
      <w:r w:rsidR="00C13240">
        <w:rPr>
          <w:rStyle w:val="FootnoteReference"/>
        </w:rPr>
        <w:footnoteReference w:id="10"/>
      </w:r>
      <w:bookmarkEnd w:id="19"/>
      <w:r>
        <w:t xml:space="preserve"> to Category A.</w:t>
      </w:r>
      <w:bookmarkStart w:id="20" w:name="_Ref34055188"/>
      <w:r w:rsidR="00C13240">
        <w:rPr>
          <w:rStyle w:val="FootnoteReference"/>
        </w:rPr>
        <w:footnoteReference w:id="11"/>
      </w:r>
      <w:bookmarkEnd w:id="20"/>
    </w:p>
    <w:p w14:paraId="7E9B76D8" w14:textId="77777777" w:rsidR="00940A89" w:rsidRDefault="00746C1D" w:rsidP="00940A89">
      <w:pPr>
        <w:pStyle w:val="ListBullet"/>
      </w:pPr>
      <w:r>
        <w:t xml:space="preserve">Other changes/updates to the PI including interaction with other vaccines (tetravalent meningococcal vaccine </w:t>
      </w:r>
      <w:r w:rsidR="00FD4695">
        <w:t>Menactra</w:t>
      </w:r>
      <w:r>
        <w:t>).</w:t>
      </w:r>
    </w:p>
    <w:p w14:paraId="2D2B2DD6" w14:textId="77777777" w:rsidR="00D041DD" w:rsidRDefault="00D041DD" w:rsidP="00D041DD">
      <w:r>
        <w:t>This submission was a literature based submission (LBS), as agreed with the TGA.</w:t>
      </w:r>
    </w:p>
    <w:p w14:paraId="6C8A3DD6" w14:textId="77777777" w:rsidR="008E7846" w:rsidRPr="003F31A2" w:rsidRDefault="00386150" w:rsidP="008E7846">
      <w:pPr>
        <w:pStyle w:val="Heading3"/>
      </w:pPr>
      <w:bookmarkStart w:id="21" w:name="_Toc314842485"/>
      <w:bookmarkStart w:id="22" w:name="_Toc247691504"/>
      <w:bookmarkStart w:id="23" w:name="_Toc36126285"/>
      <w:r>
        <w:t>Regulatory s</w:t>
      </w:r>
      <w:r w:rsidR="008E7846">
        <w:t>tatus</w:t>
      </w:r>
      <w:bookmarkEnd w:id="21"/>
      <w:bookmarkEnd w:id="22"/>
      <w:bookmarkEnd w:id="23"/>
    </w:p>
    <w:p w14:paraId="0E732572" w14:textId="77777777" w:rsidR="00EE1903" w:rsidRDefault="00EE1903" w:rsidP="00EE1903">
      <w:bookmarkStart w:id="24" w:name="_Toc247691505"/>
      <w:bookmarkStart w:id="25" w:name="_Toc314842486"/>
      <w:r>
        <w:t>Adacel</w:t>
      </w:r>
      <w:r w:rsidRPr="00940A89">
        <w:t xml:space="preserve"> received initial registration on the Australian Register o</w:t>
      </w:r>
      <w:r>
        <w:t xml:space="preserve">f Therapeutic Goods (ARTG) on </w:t>
      </w:r>
      <w:r w:rsidRPr="001873FE">
        <w:t>21</w:t>
      </w:r>
      <w:r>
        <w:t xml:space="preserve"> November </w:t>
      </w:r>
      <w:r w:rsidRPr="001873FE">
        <w:t>2005</w:t>
      </w:r>
      <w:r>
        <w:t xml:space="preserve"> for the following indication:</w:t>
      </w:r>
    </w:p>
    <w:p w14:paraId="72702CB3" w14:textId="77777777" w:rsidR="00EE1903" w:rsidRPr="001873FE" w:rsidRDefault="00EE1903" w:rsidP="00EE1903">
      <w:pPr>
        <w:ind w:left="720"/>
        <w:rPr>
          <w:i/>
        </w:rPr>
      </w:pPr>
      <w:r>
        <w:rPr>
          <w:i/>
        </w:rPr>
        <w:t>‘</w:t>
      </w:r>
      <w:r w:rsidRPr="001873FE">
        <w:rPr>
          <w:i/>
        </w:rPr>
        <w:t>active immunisation against tetanus, diphtheria a</w:t>
      </w:r>
      <w:r>
        <w:rPr>
          <w:i/>
        </w:rPr>
        <w:t>nd pertussis in persons aged 10 </w:t>
      </w:r>
      <w:r w:rsidRPr="001873FE">
        <w:rPr>
          <w:i/>
        </w:rPr>
        <w:t>years and over as a booster following primary immunisation</w:t>
      </w:r>
      <w:r>
        <w:rPr>
          <w:i/>
        </w:rPr>
        <w:t>’</w:t>
      </w:r>
      <w:r w:rsidRPr="001873FE">
        <w:rPr>
          <w:i/>
        </w:rPr>
        <w:t>.</w:t>
      </w:r>
    </w:p>
    <w:p w14:paraId="546FC843" w14:textId="77777777" w:rsidR="00EE1903" w:rsidRDefault="00EE1903" w:rsidP="00EE1903">
      <w:r w:rsidRPr="00940A89">
        <w:t xml:space="preserve">At the time the TGA considered this application, </w:t>
      </w:r>
      <w:r>
        <w:t>Adacel was</w:t>
      </w:r>
      <w:r w:rsidRPr="00DB0137">
        <w:t xml:space="preserve"> currently registered in</w:t>
      </w:r>
      <w:r>
        <w:t xml:space="preserve"> 67 </w:t>
      </w:r>
      <w:r w:rsidRPr="00DB0137">
        <w:t xml:space="preserve">countries including </w:t>
      </w:r>
      <w:r>
        <w:t>the United States (</w:t>
      </w:r>
      <w:r w:rsidRPr="00DB0137">
        <w:t>US</w:t>
      </w:r>
      <w:r>
        <w:t>)</w:t>
      </w:r>
      <w:r w:rsidRPr="00DB0137">
        <w:t xml:space="preserve">, </w:t>
      </w:r>
      <w:r>
        <w:t>United Kingdom (</w:t>
      </w:r>
      <w:r w:rsidRPr="00DB0137">
        <w:t>UK</w:t>
      </w:r>
      <w:r>
        <w:t>)</w:t>
      </w:r>
      <w:r w:rsidRPr="00DB0137">
        <w:t>, Canada, Singapore and the countries in the European Union (EU).</w:t>
      </w:r>
    </w:p>
    <w:p w14:paraId="5F628848" w14:textId="77777777" w:rsidR="00EE1903" w:rsidRDefault="00450598" w:rsidP="00EE1903">
      <w:r>
        <w:fldChar w:fldCharType="begin"/>
      </w:r>
      <w:r>
        <w:instrText xml:space="preserve"> REF _Ref34038242 \h </w:instrText>
      </w:r>
      <w:r>
        <w:fldChar w:fldCharType="separate"/>
      </w:r>
      <w:r>
        <w:t xml:space="preserve">Table </w:t>
      </w:r>
      <w:r>
        <w:rPr>
          <w:noProof/>
        </w:rPr>
        <w:t>2</w:t>
      </w:r>
      <w:r>
        <w:fldChar w:fldCharType="end"/>
      </w:r>
      <w:r>
        <w:t xml:space="preserve"> </w:t>
      </w:r>
      <w:r w:rsidR="00EE1903" w:rsidRPr="00DB0137">
        <w:t xml:space="preserve">below outlines the countries where the dossier for use of Adacel during pregnancy has been submitted or </w:t>
      </w:r>
      <w:r w:rsidR="002B488A">
        <w:t>was under evaluation,</w:t>
      </w:r>
      <w:r w:rsidR="00EE1903">
        <w:t xml:space="preserve"> as of </w:t>
      </w:r>
      <w:r>
        <w:t>the time the submission was under consideration in Australia</w:t>
      </w:r>
      <w:r w:rsidR="00EE1903" w:rsidRPr="00DB0137">
        <w:t>.</w:t>
      </w:r>
    </w:p>
    <w:p w14:paraId="6213191B" w14:textId="77777777" w:rsidR="00EE1903" w:rsidRDefault="00EE1903" w:rsidP="00EE1903">
      <w:pPr>
        <w:pStyle w:val="TableTitle"/>
      </w:pPr>
      <w:bookmarkStart w:id="26" w:name="_Ref34038242"/>
      <w:r>
        <w:lastRenderedPageBreak/>
        <w:t xml:space="preserve">Table </w:t>
      </w:r>
      <w:r w:rsidR="006E7419">
        <w:fldChar w:fldCharType="begin"/>
      </w:r>
      <w:r w:rsidR="006E7419">
        <w:instrText xml:space="preserve"> SEQ Table \* ARABIC </w:instrText>
      </w:r>
      <w:r w:rsidR="006E7419">
        <w:fldChar w:fldCharType="separate"/>
      </w:r>
      <w:r>
        <w:rPr>
          <w:noProof/>
        </w:rPr>
        <w:t>2</w:t>
      </w:r>
      <w:r w:rsidR="006E7419">
        <w:rPr>
          <w:noProof/>
        </w:rPr>
        <w:fldChar w:fldCharType="end"/>
      </w:r>
      <w:bookmarkEnd w:id="26"/>
      <w:r>
        <w:t>: International regulatory status</w:t>
      </w:r>
      <w:r w:rsidR="00450598">
        <w:t xml:space="preserve"> as of March 2019</w:t>
      </w:r>
    </w:p>
    <w:tbl>
      <w:tblPr>
        <w:tblStyle w:val="TableTGAblue"/>
        <w:tblW w:w="5000" w:type="pct"/>
        <w:tblLook w:val="04A0" w:firstRow="1" w:lastRow="0" w:firstColumn="1" w:lastColumn="0" w:noHBand="0" w:noVBand="1"/>
      </w:tblPr>
      <w:tblGrid>
        <w:gridCol w:w="1297"/>
        <w:gridCol w:w="1983"/>
        <w:gridCol w:w="1983"/>
        <w:gridCol w:w="3457"/>
      </w:tblGrid>
      <w:tr w:rsidR="00450598" w:rsidRPr="00450598" w14:paraId="0A0710B6" w14:textId="77777777" w:rsidTr="002B488A">
        <w:trPr>
          <w:cnfStyle w:val="100000000000" w:firstRow="1" w:lastRow="0" w:firstColumn="0" w:lastColumn="0" w:oddVBand="0" w:evenVBand="0" w:oddHBand="0" w:evenHBand="0" w:firstRowFirstColumn="0" w:firstRowLastColumn="0" w:lastRowFirstColumn="0" w:lastRowLastColumn="0"/>
        </w:trPr>
        <w:tc>
          <w:tcPr>
            <w:tcW w:w="744" w:type="pct"/>
          </w:tcPr>
          <w:p w14:paraId="11B710AE" w14:textId="77777777" w:rsidR="00450598" w:rsidRPr="00450598" w:rsidRDefault="00450598" w:rsidP="00F25025">
            <w:pPr>
              <w:rPr>
                <w:sz w:val="20"/>
                <w:szCs w:val="20"/>
              </w:rPr>
            </w:pPr>
            <w:r w:rsidRPr="00450598">
              <w:rPr>
                <w:sz w:val="20"/>
                <w:szCs w:val="20"/>
              </w:rPr>
              <w:t>Country or region</w:t>
            </w:r>
          </w:p>
        </w:tc>
        <w:tc>
          <w:tcPr>
            <w:tcW w:w="1137" w:type="pct"/>
          </w:tcPr>
          <w:p w14:paraId="37079DF5" w14:textId="77777777" w:rsidR="00450598" w:rsidRPr="00450598" w:rsidRDefault="00450598" w:rsidP="00F25025">
            <w:pPr>
              <w:rPr>
                <w:sz w:val="20"/>
                <w:szCs w:val="20"/>
              </w:rPr>
            </w:pPr>
            <w:r>
              <w:rPr>
                <w:sz w:val="20"/>
                <w:szCs w:val="20"/>
              </w:rPr>
              <w:t>Submission date</w:t>
            </w:r>
          </w:p>
        </w:tc>
        <w:tc>
          <w:tcPr>
            <w:tcW w:w="1137" w:type="pct"/>
          </w:tcPr>
          <w:p w14:paraId="3A438311" w14:textId="77777777" w:rsidR="00450598" w:rsidRPr="00450598" w:rsidRDefault="00450598" w:rsidP="00F25025">
            <w:pPr>
              <w:rPr>
                <w:sz w:val="20"/>
                <w:szCs w:val="20"/>
              </w:rPr>
            </w:pPr>
            <w:r>
              <w:rPr>
                <w:sz w:val="20"/>
                <w:szCs w:val="20"/>
              </w:rPr>
              <w:t>A</w:t>
            </w:r>
            <w:r w:rsidRPr="00450598">
              <w:rPr>
                <w:sz w:val="20"/>
                <w:szCs w:val="20"/>
              </w:rPr>
              <w:t>pproval status</w:t>
            </w:r>
          </w:p>
        </w:tc>
        <w:tc>
          <w:tcPr>
            <w:tcW w:w="1982" w:type="pct"/>
          </w:tcPr>
          <w:p w14:paraId="4B07EC75" w14:textId="77777777" w:rsidR="00450598" w:rsidRPr="00450598" w:rsidRDefault="00450598" w:rsidP="00F25025">
            <w:pPr>
              <w:rPr>
                <w:sz w:val="20"/>
                <w:szCs w:val="20"/>
              </w:rPr>
            </w:pPr>
            <w:r w:rsidRPr="00450598">
              <w:rPr>
                <w:sz w:val="20"/>
                <w:szCs w:val="20"/>
              </w:rPr>
              <w:t>Approved indication</w:t>
            </w:r>
          </w:p>
        </w:tc>
      </w:tr>
      <w:tr w:rsidR="00450598" w:rsidRPr="00450598" w14:paraId="2DED694D" w14:textId="77777777" w:rsidTr="002B488A">
        <w:tc>
          <w:tcPr>
            <w:tcW w:w="744" w:type="pct"/>
          </w:tcPr>
          <w:p w14:paraId="4C18BF2D" w14:textId="77777777" w:rsidR="00450598" w:rsidRPr="00450598" w:rsidRDefault="00450598" w:rsidP="00F25025">
            <w:pPr>
              <w:rPr>
                <w:sz w:val="20"/>
                <w:szCs w:val="20"/>
              </w:rPr>
            </w:pPr>
            <w:r w:rsidRPr="00450598">
              <w:rPr>
                <w:sz w:val="20"/>
                <w:szCs w:val="20"/>
              </w:rPr>
              <w:t>EU</w:t>
            </w:r>
          </w:p>
        </w:tc>
        <w:tc>
          <w:tcPr>
            <w:tcW w:w="1137" w:type="pct"/>
          </w:tcPr>
          <w:p w14:paraId="6C6B0FDD" w14:textId="77777777" w:rsidR="00450598" w:rsidRPr="00450598" w:rsidRDefault="00450598" w:rsidP="00F25025">
            <w:pPr>
              <w:rPr>
                <w:sz w:val="20"/>
                <w:szCs w:val="20"/>
              </w:rPr>
            </w:pPr>
            <w:r w:rsidRPr="00450598">
              <w:rPr>
                <w:sz w:val="20"/>
                <w:szCs w:val="20"/>
              </w:rPr>
              <w:t>Variation submission: 11 June 2018</w:t>
            </w:r>
          </w:p>
        </w:tc>
        <w:tc>
          <w:tcPr>
            <w:tcW w:w="1137" w:type="pct"/>
          </w:tcPr>
          <w:p w14:paraId="624C8E6A" w14:textId="77777777" w:rsidR="00450598" w:rsidRPr="00450598" w:rsidRDefault="00450598" w:rsidP="00450598">
            <w:pPr>
              <w:ind w:left="0"/>
              <w:rPr>
                <w:sz w:val="20"/>
                <w:szCs w:val="20"/>
              </w:rPr>
            </w:pPr>
            <w:r w:rsidRPr="00450598">
              <w:rPr>
                <w:sz w:val="20"/>
                <w:szCs w:val="20"/>
              </w:rPr>
              <w:t>Approved: 20 February 2019</w:t>
            </w:r>
          </w:p>
        </w:tc>
        <w:tc>
          <w:tcPr>
            <w:tcW w:w="1982" w:type="pct"/>
          </w:tcPr>
          <w:p w14:paraId="2E005F89" w14:textId="77777777" w:rsidR="00450598" w:rsidRPr="00450598" w:rsidRDefault="00450598" w:rsidP="00450598">
            <w:pPr>
              <w:rPr>
                <w:i/>
                <w:sz w:val="20"/>
                <w:szCs w:val="20"/>
              </w:rPr>
            </w:pPr>
            <w:r w:rsidRPr="00450598">
              <w:rPr>
                <w:i/>
                <w:sz w:val="20"/>
                <w:szCs w:val="20"/>
              </w:rPr>
              <w:t>Covaxis is indicated for:</w:t>
            </w:r>
          </w:p>
          <w:p w14:paraId="5F5DDB3E" w14:textId="77777777" w:rsidR="00450598" w:rsidRPr="00450598" w:rsidRDefault="00450598" w:rsidP="00F25025">
            <w:pPr>
              <w:rPr>
                <w:i/>
                <w:sz w:val="20"/>
                <w:szCs w:val="20"/>
              </w:rPr>
            </w:pPr>
            <w:r w:rsidRPr="00450598">
              <w:rPr>
                <w:i/>
                <w:sz w:val="20"/>
                <w:szCs w:val="20"/>
              </w:rPr>
              <w:t>Active immunization against tetanus, diphtheria and pertussis in persons from 4 years of age as a booster following primary immunization.</w:t>
            </w:r>
          </w:p>
          <w:p w14:paraId="2EB0B683" w14:textId="77777777" w:rsidR="00450598" w:rsidRPr="00450598" w:rsidRDefault="00450598" w:rsidP="00F25025">
            <w:pPr>
              <w:rPr>
                <w:i/>
                <w:sz w:val="20"/>
                <w:szCs w:val="20"/>
              </w:rPr>
            </w:pPr>
            <w:r w:rsidRPr="00450598">
              <w:rPr>
                <w:i/>
                <w:sz w:val="20"/>
                <w:szCs w:val="20"/>
              </w:rPr>
              <w:t>Passive protection against pertussis in early infancy following maternal immunization during pregnancy (see sections 4.2, 4.4, 4.6 and 5.1).</w:t>
            </w:r>
          </w:p>
          <w:p w14:paraId="4C568306" w14:textId="77777777" w:rsidR="00450598" w:rsidRPr="00450598" w:rsidRDefault="00450598" w:rsidP="00F25025">
            <w:pPr>
              <w:rPr>
                <w:sz w:val="20"/>
                <w:szCs w:val="20"/>
              </w:rPr>
            </w:pPr>
            <w:r w:rsidRPr="00450598">
              <w:rPr>
                <w:i/>
                <w:sz w:val="20"/>
                <w:szCs w:val="20"/>
              </w:rPr>
              <w:t>Covaxis should be used in accordance with official recommendations.</w:t>
            </w:r>
          </w:p>
        </w:tc>
      </w:tr>
      <w:tr w:rsidR="00450598" w:rsidRPr="00450598" w14:paraId="19DAF5CF" w14:textId="77777777" w:rsidTr="002B488A">
        <w:tc>
          <w:tcPr>
            <w:tcW w:w="744" w:type="pct"/>
          </w:tcPr>
          <w:p w14:paraId="07ED8CF0" w14:textId="77777777" w:rsidR="00450598" w:rsidRPr="00450598" w:rsidRDefault="00450598" w:rsidP="00F25025">
            <w:pPr>
              <w:rPr>
                <w:sz w:val="20"/>
                <w:szCs w:val="20"/>
              </w:rPr>
            </w:pPr>
            <w:r w:rsidRPr="00450598">
              <w:rPr>
                <w:sz w:val="20"/>
                <w:szCs w:val="20"/>
              </w:rPr>
              <w:t>Canada</w:t>
            </w:r>
          </w:p>
        </w:tc>
        <w:tc>
          <w:tcPr>
            <w:tcW w:w="1137" w:type="pct"/>
          </w:tcPr>
          <w:p w14:paraId="3F447E1F" w14:textId="77777777" w:rsidR="00450598" w:rsidRPr="00450598" w:rsidRDefault="00450598" w:rsidP="00F25025">
            <w:pPr>
              <w:rPr>
                <w:sz w:val="20"/>
                <w:szCs w:val="20"/>
              </w:rPr>
            </w:pPr>
            <w:r w:rsidRPr="00450598">
              <w:rPr>
                <w:sz w:val="20"/>
                <w:szCs w:val="20"/>
              </w:rPr>
              <w:t>Supplemental New Drug Submission: 18 September 2018</w:t>
            </w:r>
          </w:p>
        </w:tc>
        <w:tc>
          <w:tcPr>
            <w:tcW w:w="1137" w:type="pct"/>
          </w:tcPr>
          <w:p w14:paraId="41A7482C" w14:textId="77777777" w:rsidR="00450598" w:rsidRPr="00450598" w:rsidRDefault="00450598" w:rsidP="00450598">
            <w:pPr>
              <w:ind w:left="0"/>
              <w:rPr>
                <w:sz w:val="20"/>
                <w:szCs w:val="20"/>
              </w:rPr>
            </w:pPr>
            <w:r>
              <w:rPr>
                <w:sz w:val="20"/>
                <w:szCs w:val="20"/>
              </w:rPr>
              <w:t>Under consideration</w:t>
            </w:r>
          </w:p>
        </w:tc>
        <w:tc>
          <w:tcPr>
            <w:tcW w:w="1982" w:type="pct"/>
          </w:tcPr>
          <w:p w14:paraId="4988A2D1" w14:textId="77777777" w:rsidR="00450598" w:rsidRPr="00450598" w:rsidRDefault="00450598" w:rsidP="00F25025">
            <w:pPr>
              <w:rPr>
                <w:i/>
                <w:sz w:val="20"/>
                <w:szCs w:val="20"/>
              </w:rPr>
            </w:pPr>
            <w:r w:rsidRPr="00450598">
              <w:rPr>
                <w:sz w:val="20"/>
                <w:szCs w:val="20"/>
              </w:rPr>
              <w:t>Under consideration</w:t>
            </w:r>
          </w:p>
        </w:tc>
      </w:tr>
    </w:tbl>
    <w:p w14:paraId="0014BD6D" w14:textId="77777777" w:rsidR="008E7846" w:rsidRDefault="008E7846" w:rsidP="00940A89">
      <w:pPr>
        <w:pStyle w:val="Heading3"/>
      </w:pPr>
      <w:bookmarkStart w:id="27" w:name="_Toc36126286"/>
      <w:r>
        <w:t>Product Information</w:t>
      </w:r>
      <w:bookmarkEnd w:id="24"/>
      <w:bookmarkEnd w:id="25"/>
      <w:bookmarkEnd w:id="27"/>
    </w:p>
    <w:p w14:paraId="36B3AD0E" w14:textId="77777777" w:rsidR="00940A89" w:rsidRDefault="006136D7" w:rsidP="00940A89">
      <w:bookmarkStart w:id="28" w:name="_Toc247691506"/>
      <w:bookmarkStart w:id="29"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7" w:history="1">
        <w:r w:rsidR="00441C3F" w:rsidRPr="00441C3F">
          <w:rPr>
            <w:rStyle w:val="Hyperlink"/>
          </w:rPr>
          <w:t>https://www.tga.gov.au/product-information-pi</w:t>
        </w:r>
      </w:hyperlink>
      <w:r w:rsidR="00441C3F">
        <w:t>&gt;</w:t>
      </w:r>
      <w:r w:rsidR="00940A89" w:rsidRPr="00940A89">
        <w:t>.</w:t>
      </w:r>
    </w:p>
    <w:p w14:paraId="2602BD3E" w14:textId="77777777" w:rsidR="00500337" w:rsidRDefault="00500337" w:rsidP="00500337">
      <w:pPr>
        <w:pStyle w:val="Heading2"/>
      </w:pPr>
      <w:bookmarkStart w:id="30" w:name="_Toc504480011"/>
      <w:bookmarkStart w:id="31" w:name="_Toc36126287"/>
      <w:r>
        <w:t>II</w:t>
      </w:r>
      <w:r w:rsidR="00EE1903">
        <w:t>. Registration time</w:t>
      </w:r>
      <w:r>
        <w:t>line</w:t>
      </w:r>
      <w:bookmarkEnd w:id="30"/>
      <w:bookmarkEnd w:id="31"/>
    </w:p>
    <w:p w14:paraId="5222BBC1" w14:textId="77777777" w:rsidR="00500337" w:rsidRDefault="00500337" w:rsidP="00500337">
      <w:r>
        <w:t xml:space="preserve">The following table captures the key steps and dates for this application and which are detailed </w:t>
      </w:r>
      <w:r w:rsidR="00EE1903">
        <w:t>and discussed in this AusPAR</w:t>
      </w:r>
      <w:r>
        <w:t>.</w:t>
      </w:r>
    </w:p>
    <w:p w14:paraId="1989B8DA" w14:textId="77777777" w:rsidR="00500337" w:rsidRPr="00377BD4" w:rsidRDefault="00EE1903" w:rsidP="00EE1903">
      <w:pPr>
        <w:pStyle w:val="TableTitle"/>
      </w:pPr>
      <w:r>
        <w:t xml:space="preserve">Table </w:t>
      </w:r>
      <w:r w:rsidR="006E7419">
        <w:fldChar w:fldCharType="begin"/>
      </w:r>
      <w:r w:rsidR="006E7419">
        <w:instrText xml:space="preserve"> SEQ Table \* ARABIC </w:instrText>
      </w:r>
      <w:r w:rsidR="006E7419">
        <w:fldChar w:fldCharType="separate"/>
      </w:r>
      <w:r>
        <w:rPr>
          <w:noProof/>
        </w:rPr>
        <w:t>3</w:t>
      </w:r>
      <w:r w:rsidR="006E7419">
        <w:rPr>
          <w:noProof/>
        </w:rPr>
        <w:fldChar w:fldCharType="end"/>
      </w:r>
      <w:r>
        <w:t>: Timeline for Submission PM-2018</w:t>
      </w:r>
      <w:r w:rsidRPr="002633D4">
        <w:t>-</w:t>
      </w:r>
      <w:r>
        <w:t>01989-1-2</w:t>
      </w:r>
    </w:p>
    <w:tbl>
      <w:tblPr>
        <w:tblStyle w:val="TableTGAblue"/>
        <w:tblW w:w="0" w:type="auto"/>
        <w:tblLook w:val="04A0" w:firstRow="1" w:lastRow="0" w:firstColumn="1" w:lastColumn="0" w:noHBand="0" w:noVBand="1"/>
      </w:tblPr>
      <w:tblGrid>
        <w:gridCol w:w="4360"/>
        <w:gridCol w:w="4360"/>
      </w:tblGrid>
      <w:tr w:rsidR="00500337" w14:paraId="2BD8AEE9" w14:textId="77777777" w:rsidTr="00500337">
        <w:trPr>
          <w:cnfStyle w:val="100000000000" w:firstRow="1" w:lastRow="0" w:firstColumn="0" w:lastColumn="0" w:oddVBand="0" w:evenVBand="0" w:oddHBand="0" w:evenHBand="0" w:firstRowFirstColumn="0" w:firstRowLastColumn="0" w:lastRowFirstColumn="0" w:lastRowLastColumn="0"/>
          <w:cantSplit/>
        </w:trPr>
        <w:tc>
          <w:tcPr>
            <w:tcW w:w="4360" w:type="dxa"/>
          </w:tcPr>
          <w:p w14:paraId="53853F96" w14:textId="77777777" w:rsidR="00500337" w:rsidRDefault="00500337" w:rsidP="00500337">
            <w:pPr>
              <w:ind w:left="0" w:right="0"/>
            </w:pPr>
            <w:r>
              <w:t>Description</w:t>
            </w:r>
          </w:p>
        </w:tc>
        <w:tc>
          <w:tcPr>
            <w:tcW w:w="4360" w:type="dxa"/>
          </w:tcPr>
          <w:p w14:paraId="39E546C4" w14:textId="77777777" w:rsidR="00500337" w:rsidRDefault="00500337" w:rsidP="00500337">
            <w:pPr>
              <w:ind w:left="0" w:right="0"/>
            </w:pPr>
            <w:r>
              <w:t>Date</w:t>
            </w:r>
          </w:p>
        </w:tc>
      </w:tr>
      <w:tr w:rsidR="00500337" w14:paraId="0046FC1C" w14:textId="77777777" w:rsidTr="00500337">
        <w:tc>
          <w:tcPr>
            <w:tcW w:w="4360" w:type="dxa"/>
          </w:tcPr>
          <w:p w14:paraId="32BAF517" w14:textId="77777777" w:rsidR="00500337" w:rsidRDefault="00500337" w:rsidP="00500337">
            <w:pPr>
              <w:ind w:left="0" w:right="0"/>
            </w:pPr>
            <w:r>
              <w:t>Submission dossier accepted and first round evaluation commenced</w:t>
            </w:r>
          </w:p>
        </w:tc>
        <w:tc>
          <w:tcPr>
            <w:tcW w:w="4360" w:type="dxa"/>
          </w:tcPr>
          <w:p w14:paraId="49594208" w14:textId="77777777" w:rsidR="00500337" w:rsidRDefault="00450598" w:rsidP="00500337">
            <w:pPr>
              <w:ind w:left="0" w:right="0"/>
            </w:pPr>
            <w:r>
              <w:t>2 July 2018</w:t>
            </w:r>
          </w:p>
        </w:tc>
      </w:tr>
      <w:tr w:rsidR="00500337" w14:paraId="03EE26EE" w14:textId="77777777" w:rsidTr="00500337">
        <w:tc>
          <w:tcPr>
            <w:tcW w:w="4360" w:type="dxa"/>
          </w:tcPr>
          <w:p w14:paraId="3E42716C" w14:textId="77777777" w:rsidR="00500337" w:rsidRDefault="00500337" w:rsidP="00500337">
            <w:pPr>
              <w:ind w:left="0" w:right="0"/>
            </w:pPr>
            <w:r>
              <w:t>First round evaluation completed</w:t>
            </w:r>
          </w:p>
        </w:tc>
        <w:tc>
          <w:tcPr>
            <w:tcW w:w="4360" w:type="dxa"/>
          </w:tcPr>
          <w:p w14:paraId="16061F5E" w14:textId="77777777" w:rsidR="00500337" w:rsidRDefault="00450598" w:rsidP="00500337">
            <w:pPr>
              <w:ind w:left="0" w:right="0"/>
            </w:pPr>
            <w:r>
              <w:t>30 November 2018</w:t>
            </w:r>
          </w:p>
        </w:tc>
      </w:tr>
      <w:tr w:rsidR="00500337" w14:paraId="513271E5" w14:textId="77777777" w:rsidTr="00500337">
        <w:tc>
          <w:tcPr>
            <w:tcW w:w="4360" w:type="dxa"/>
          </w:tcPr>
          <w:p w14:paraId="62581A67" w14:textId="77777777" w:rsidR="00500337" w:rsidRDefault="00500337" w:rsidP="00500337">
            <w:pPr>
              <w:ind w:left="0" w:right="0"/>
            </w:pPr>
            <w:r>
              <w:t>Sponsor provides responses on questions raised in first round evaluation</w:t>
            </w:r>
          </w:p>
        </w:tc>
        <w:tc>
          <w:tcPr>
            <w:tcW w:w="4360" w:type="dxa"/>
          </w:tcPr>
          <w:p w14:paraId="68F9C61F" w14:textId="77777777" w:rsidR="00500337" w:rsidRDefault="00450598" w:rsidP="00500337">
            <w:pPr>
              <w:ind w:left="0" w:right="0"/>
            </w:pPr>
            <w:r>
              <w:t>2 January 2019</w:t>
            </w:r>
          </w:p>
        </w:tc>
      </w:tr>
      <w:tr w:rsidR="00500337" w14:paraId="48E7BA16" w14:textId="77777777" w:rsidTr="00500337">
        <w:tc>
          <w:tcPr>
            <w:tcW w:w="4360" w:type="dxa"/>
          </w:tcPr>
          <w:p w14:paraId="174847D8" w14:textId="77777777" w:rsidR="00500337" w:rsidRDefault="00500337" w:rsidP="00500337">
            <w:pPr>
              <w:ind w:left="0" w:right="0"/>
            </w:pPr>
            <w:r>
              <w:t>Second round evaluation completed</w:t>
            </w:r>
          </w:p>
        </w:tc>
        <w:tc>
          <w:tcPr>
            <w:tcW w:w="4360" w:type="dxa"/>
          </w:tcPr>
          <w:p w14:paraId="4AF8E14A" w14:textId="77777777" w:rsidR="00500337" w:rsidRDefault="00450598" w:rsidP="00500337">
            <w:pPr>
              <w:ind w:left="0" w:right="0"/>
            </w:pPr>
            <w:r>
              <w:t>15 February 2019</w:t>
            </w:r>
          </w:p>
        </w:tc>
      </w:tr>
      <w:tr w:rsidR="00500337" w14:paraId="3E16D9D2" w14:textId="77777777" w:rsidTr="00500337">
        <w:tc>
          <w:tcPr>
            <w:tcW w:w="4360" w:type="dxa"/>
          </w:tcPr>
          <w:p w14:paraId="7CDAAE89" w14:textId="77777777" w:rsidR="00500337" w:rsidRDefault="00500337" w:rsidP="00500337">
            <w:pPr>
              <w:ind w:left="0" w:right="0"/>
            </w:pPr>
            <w:r>
              <w:lastRenderedPageBreak/>
              <w:t>Delegate’s Overall benefit-risk assessment and request for Advisory Committee advice</w:t>
            </w:r>
          </w:p>
        </w:tc>
        <w:tc>
          <w:tcPr>
            <w:tcW w:w="4360" w:type="dxa"/>
          </w:tcPr>
          <w:p w14:paraId="6C66C816" w14:textId="77777777" w:rsidR="00500337" w:rsidRDefault="00450598" w:rsidP="00500337">
            <w:pPr>
              <w:ind w:left="0" w:right="0"/>
            </w:pPr>
            <w:r>
              <w:t>1 March 2019</w:t>
            </w:r>
          </w:p>
        </w:tc>
      </w:tr>
      <w:tr w:rsidR="00500337" w14:paraId="7DF53317" w14:textId="77777777" w:rsidTr="00500337">
        <w:tc>
          <w:tcPr>
            <w:tcW w:w="4360" w:type="dxa"/>
          </w:tcPr>
          <w:p w14:paraId="0DAF2170" w14:textId="77777777" w:rsidR="00500337" w:rsidRDefault="00500337" w:rsidP="00500337">
            <w:pPr>
              <w:ind w:left="0" w:right="0"/>
            </w:pPr>
            <w:r>
              <w:t>Sponsor’s pre-Advisory Committee response</w:t>
            </w:r>
          </w:p>
        </w:tc>
        <w:tc>
          <w:tcPr>
            <w:tcW w:w="4360" w:type="dxa"/>
          </w:tcPr>
          <w:p w14:paraId="12A2787E" w14:textId="77777777" w:rsidR="00500337" w:rsidRDefault="00450598" w:rsidP="00500337">
            <w:pPr>
              <w:ind w:left="0" w:right="0"/>
            </w:pPr>
            <w:r>
              <w:t>18 March 2019</w:t>
            </w:r>
          </w:p>
        </w:tc>
      </w:tr>
      <w:tr w:rsidR="00500337" w14:paraId="24518DAB" w14:textId="77777777" w:rsidTr="00500337">
        <w:tc>
          <w:tcPr>
            <w:tcW w:w="4360" w:type="dxa"/>
          </w:tcPr>
          <w:p w14:paraId="42B5F7D6" w14:textId="77777777" w:rsidR="00500337" w:rsidRDefault="00500337" w:rsidP="00500337">
            <w:pPr>
              <w:ind w:left="0" w:right="0"/>
            </w:pPr>
            <w:r>
              <w:t>Advisory Committee meeting</w:t>
            </w:r>
          </w:p>
        </w:tc>
        <w:tc>
          <w:tcPr>
            <w:tcW w:w="4360" w:type="dxa"/>
          </w:tcPr>
          <w:p w14:paraId="59F19798" w14:textId="77777777" w:rsidR="00500337" w:rsidRDefault="00450598" w:rsidP="00500337">
            <w:pPr>
              <w:ind w:left="0" w:right="0"/>
            </w:pPr>
            <w:r>
              <w:t>3 April 2019</w:t>
            </w:r>
          </w:p>
        </w:tc>
      </w:tr>
      <w:tr w:rsidR="00D041DD" w14:paraId="301AFF8B" w14:textId="77777777" w:rsidTr="00500337">
        <w:tc>
          <w:tcPr>
            <w:tcW w:w="4360" w:type="dxa"/>
          </w:tcPr>
          <w:p w14:paraId="67B49EBA" w14:textId="77777777" w:rsidR="00D041DD" w:rsidRDefault="00D041DD" w:rsidP="00D041DD">
            <w:pPr>
              <w:ind w:left="0" w:right="0"/>
            </w:pPr>
            <w:r>
              <w:t>Registration decision (Outcome)</w:t>
            </w:r>
          </w:p>
        </w:tc>
        <w:tc>
          <w:tcPr>
            <w:tcW w:w="4360" w:type="dxa"/>
          </w:tcPr>
          <w:p w14:paraId="173A3BF6" w14:textId="77777777" w:rsidR="00D041DD" w:rsidRPr="00FB1AFB" w:rsidRDefault="00D041DD" w:rsidP="00D041DD">
            <w:pPr>
              <w:ind w:left="0" w:right="0"/>
            </w:pPr>
            <w:r w:rsidRPr="00FB1AFB">
              <w:t>14 May 2019</w:t>
            </w:r>
          </w:p>
        </w:tc>
      </w:tr>
      <w:tr w:rsidR="00D041DD" w14:paraId="506BBA02" w14:textId="77777777" w:rsidTr="00500337">
        <w:tc>
          <w:tcPr>
            <w:tcW w:w="4360" w:type="dxa"/>
          </w:tcPr>
          <w:p w14:paraId="16CA53A9" w14:textId="23963F12" w:rsidR="00D041DD" w:rsidRDefault="00D041DD" w:rsidP="00D041DD">
            <w:pPr>
              <w:ind w:left="0" w:right="0"/>
            </w:pPr>
            <w:r>
              <w:t xml:space="preserve">Completion of administrative activities and registration on </w:t>
            </w:r>
            <w:r w:rsidR="00B30DD7">
              <w:t xml:space="preserve">the </w:t>
            </w:r>
            <w:r>
              <w:t>ARTG</w:t>
            </w:r>
          </w:p>
        </w:tc>
        <w:tc>
          <w:tcPr>
            <w:tcW w:w="4360" w:type="dxa"/>
          </w:tcPr>
          <w:p w14:paraId="6AF83DE7" w14:textId="77777777" w:rsidR="00D041DD" w:rsidRDefault="00D041DD" w:rsidP="00D041DD">
            <w:pPr>
              <w:ind w:left="0" w:right="0"/>
            </w:pPr>
            <w:r w:rsidRPr="00FB1AFB">
              <w:t>20 May 2019</w:t>
            </w:r>
          </w:p>
        </w:tc>
      </w:tr>
      <w:tr w:rsidR="00500337" w14:paraId="6D3A83B8" w14:textId="77777777" w:rsidTr="00500337">
        <w:tc>
          <w:tcPr>
            <w:tcW w:w="4360" w:type="dxa"/>
          </w:tcPr>
          <w:p w14:paraId="4FCBB891" w14:textId="77777777" w:rsidR="00500337" w:rsidRDefault="00500337" w:rsidP="00500337">
            <w:pPr>
              <w:ind w:left="0" w:right="0"/>
            </w:pPr>
            <w:r>
              <w:t>Number of working days from submission dossier acceptance to registration decision*</w:t>
            </w:r>
          </w:p>
        </w:tc>
        <w:tc>
          <w:tcPr>
            <w:tcW w:w="4360" w:type="dxa"/>
          </w:tcPr>
          <w:p w14:paraId="55746459" w14:textId="77777777" w:rsidR="00500337" w:rsidRDefault="00D041DD" w:rsidP="00500337">
            <w:pPr>
              <w:ind w:left="0" w:right="0"/>
            </w:pPr>
            <w:r>
              <w:t>197</w:t>
            </w:r>
          </w:p>
        </w:tc>
      </w:tr>
    </w:tbl>
    <w:p w14:paraId="78DC1E6E" w14:textId="77777777" w:rsidR="00500337" w:rsidRDefault="00500337" w:rsidP="00EE1903">
      <w:pPr>
        <w:pStyle w:val="TableDescription"/>
      </w:pPr>
      <w:r>
        <w:t>*</w:t>
      </w:r>
      <w:r w:rsidR="00BF3774" w:rsidRPr="00BF3774">
        <w:t xml:space="preserve">Statutory </w:t>
      </w:r>
      <w:r>
        <w:t>timeframe for standard applications is 2</w:t>
      </w:r>
      <w:r w:rsidR="00BF3774">
        <w:t>55</w:t>
      </w:r>
      <w:r w:rsidR="00EE1903">
        <w:t xml:space="preserve"> working days</w:t>
      </w:r>
    </w:p>
    <w:p w14:paraId="2F885414" w14:textId="77777777" w:rsidR="008E7846" w:rsidRPr="00792A32" w:rsidRDefault="00456765" w:rsidP="008E7846">
      <w:pPr>
        <w:pStyle w:val="Heading2"/>
      </w:pPr>
      <w:bookmarkStart w:id="32" w:name="_Toc196046504"/>
      <w:bookmarkStart w:id="33" w:name="_Toc247691527"/>
      <w:bookmarkStart w:id="34" w:name="_Toc314842510"/>
      <w:bookmarkStart w:id="35" w:name="_Toc163441390"/>
      <w:bookmarkStart w:id="36" w:name="_Toc36126288"/>
      <w:bookmarkEnd w:id="1"/>
      <w:bookmarkEnd w:id="28"/>
      <w:bookmarkEnd w:id="29"/>
      <w:r>
        <w:t>I</w:t>
      </w:r>
      <w:r w:rsidR="00DA64CB">
        <w:t>I</w:t>
      </w:r>
      <w:r w:rsidR="008E7846">
        <w:t xml:space="preserve">I. </w:t>
      </w:r>
      <w:r w:rsidR="0059183C">
        <w:t>Submission overview</w:t>
      </w:r>
      <w:r w:rsidR="008E7846" w:rsidRPr="00792A32">
        <w:t xml:space="preserve"> and </w:t>
      </w:r>
      <w:r w:rsidR="008E7846">
        <w:t>r</w:t>
      </w:r>
      <w:r w:rsidR="008E7846" w:rsidRPr="00792A32">
        <w:t>isk/</w:t>
      </w:r>
      <w:r w:rsidR="008E7846">
        <w:t>b</w:t>
      </w:r>
      <w:r w:rsidR="008E7846" w:rsidRPr="00792A32">
        <w:t xml:space="preserve">enefit </w:t>
      </w:r>
      <w:r w:rsidR="008E7846">
        <w:t>a</w:t>
      </w:r>
      <w:r w:rsidR="008E7846" w:rsidRPr="00792A32">
        <w:t>ssessment</w:t>
      </w:r>
      <w:bookmarkEnd w:id="32"/>
      <w:bookmarkEnd w:id="33"/>
      <w:bookmarkEnd w:id="34"/>
      <w:bookmarkEnd w:id="36"/>
    </w:p>
    <w:p w14:paraId="1C0E4F52" w14:textId="77777777" w:rsidR="008E7846" w:rsidRDefault="008E7846" w:rsidP="008E7846">
      <w:bookmarkStart w:id="37" w:name="_Toc247691528"/>
      <w:r>
        <w:t xml:space="preserve">The submission was summarised in the following </w:t>
      </w:r>
      <w:r w:rsidRPr="00EF5C48">
        <w:t xml:space="preserve">Delegate’s </w:t>
      </w:r>
      <w:r>
        <w:t>overview</w:t>
      </w:r>
      <w:r w:rsidRPr="00EF5C48">
        <w:t xml:space="preserve"> and recommendation</w:t>
      </w:r>
      <w:r w:rsidR="00FD4695">
        <w:t>s.</w:t>
      </w:r>
    </w:p>
    <w:p w14:paraId="6C05BE46" w14:textId="77777777" w:rsidR="008E7846" w:rsidRDefault="008E7846" w:rsidP="008E7846">
      <w:pPr>
        <w:pStyle w:val="Heading3"/>
      </w:pPr>
      <w:bookmarkStart w:id="38" w:name="_Toc314842511"/>
      <w:bookmarkStart w:id="39" w:name="_Toc36126289"/>
      <w:r>
        <w:t>Quality</w:t>
      </w:r>
      <w:bookmarkEnd w:id="37"/>
      <w:bookmarkEnd w:id="38"/>
      <w:bookmarkEnd w:id="39"/>
    </w:p>
    <w:p w14:paraId="33617A31" w14:textId="77777777" w:rsidR="00E45619" w:rsidRDefault="008E7846" w:rsidP="003A7F6C">
      <w:r>
        <w:t>There was no requirement for a quality evaluation in a submission of this type.</w:t>
      </w:r>
    </w:p>
    <w:p w14:paraId="3D997FE5" w14:textId="77777777" w:rsidR="008E7846" w:rsidRDefault="008E7846" w:rsidP="008E7846">
      <w:pPr>
        <w:pStyle w:val="Heading3"/>
      </w:pPr>
      <w:bookmarkStart w:id="40" w:name="_Toc314842512"/>
      <w:bookmarkStart w:id="41" w:name="_Toc36126290"/>
      <w:r>
        <w:t>Nonclinical</w:t>
      </w:r>
      <w:bookmarkEnd w:id="40"/>
      <w:bookmarkEnd w:id="41"/>
    </w:p>
    <w:p w14:paraId="44CC42B7" w14:textId="77777777" w:rsidR="008E7846" w:rsidRDefault="008E7846" w:rsidP="008E7846">
      <w:r>
        <w:t>There was no requirement for a nonclinical evaluation in a submission of this type.</w:t>
      </w:r>
    </w:p>
    <w:p w14:paraId="6B284E1B" w14:textId="77777777" w:rsidR="008E7846" w:rsidRDefault="008E7846" w:rsidP="008E7846">
      <w:pPr>
        <w:pStyle w:val="Heading3"/>
      </w:pPr>
      <w:bookmarkStart w:id="42" w:name="_Toc247691530"/>
      <w:bookmarkStart w:id="43" w:name="_Toc314842513"/>
      <w:bookmarkStart w:id="44" w:name="_Toc36126291"/>
      <w:r>
        <w:t>Clinical</w:t>
      </w:r>
      <w:bookmarkEnd w:id="42"/>
      <w:bookmarkEnd w:id="43"/>
      <w:bookmarkEnd w:id="44"/>
    </w:p>
    <w:p w14:paraId="044943AB" w14:textId="1A3FB470" w:rsidR="00EE1903" w:rsidRDefault="00EE1903" w:rsidP="00EE1903">
      <w:bookmarkStart w:id="45" w:name="_Toc314842514"/>
      <w:r>
        <w:t xml:space="preserve">To support the efficacy and safety of maternal pertussis vaccination a </w:t>
      </w:r>
      <w:r w:rsidR="00D55905">
        <w:t>LBS</w:t>
      </w:r>
      <w:r>
        <w:t xml:space="preserve"> has been submitted after discussion with the TGA (and the search strategy approved). </w:t>
      </w:r>
      <w:r w:rsidR="00D104AA">
        <w:t>[Information redacted]</w:t>
      </w:r>
      <w:r w:rsidR="00A0110C">
        <w:t>.</w:t>
      </w:r>
      <w:r w:rsidR="00254A53">
        <w:t xml:space="preserve"> </w:t>
      </w:r>
      <w:r>
        <w:t xml:space="preserve">A total of 13 published immunogenicity and 4 vaccine effectiveness </w:t>
      </w:r>
      <w:r w:rsidR="00931772">
        <w:t xml:space="preserve">(VE) </w:t>
      </w:r>
      <w:r>
        <w:t>studies that support use of dTpa vaccine during pregnancy were identified in the literature search. A total of 22 published studies provide safety data that support use of dTpa vaccine during pregnancy were identified in the literature search.</w:t>
      </w:r>
    </w:p>
    <w:p w14:paraId="09B5B34B" w14:textId="73983CB7" w:rsidR="00EE1903" w:rsidRDefault="00EE1903" w:rsidP="00EE1903">
      <w:r>
        <w:t>To support repeat vaccination</w:t>
      </w:r>
      <w:r w:rsidR="00A0110C">
        <w:t>,</w:t>
      </w:r>
      <w:r>
        <w:t xml:space="preserve"> two pivotal immunogenicity studies are submitted and 3 supportive studies present antibody persistence data from Studies TC9704-LT, Td9707</w:t>
      </w:r>
      <w:r>
        <w:noBreakHyphen/>
        <w:t>LT and Td9805-LT.</w:t>
      </w:r>
    </w:p>
    <w:p w14:paraId="1AABF241" w14:textId="77777777" w:rsidR="00F25025" w:rsidRDefault="00F25025" w:rsidP="00EE1903">
      <w:r w:rsidRPr="00C05F99">
        <w:t xml:space="preserve">The main results of some selected papers are discussed in this </w:t>
      </w:r>
      <w:r>
        <w:t>section</w:t>
      </w:r>
      <w:r w:rsidRPr="00C05F99">
        <w:t>.</w:t>
      </w:r>
    </w:p>
    <w:p w14:paraId="51796F52" w14:textId="77777777" w:rsidR="00EE1903" w:rsidRDefault="00EE1903" w:rsidP="00D041DD">
      <w:pPr>
        <w:pStyle w:val="Heading4"/>
      </w:pPr>
      <w:r>
        <w:lastRenderedPageBreak/>
        <w:t>Details of the studies</w:t>
      </w:r>
    </w:p>
    <w:p w14:paraId="3AB0701C" w14:textId="77777777" w:rsidR="00EE1903" w:rsidRDefault="00D55905" w:rsidP="00D041DD">
      <w:pPr>
        <w:pStyle w:val="Heading5"/>
      </w:pPr>
      <w:r>
        <w:t>Immunogenicity</w:t>
      </w:r>
      <w:r w:rsidR="002B488A">
        <w:t xml:space="preserve"> and vaccine effectiveness</w:t>
      </w:r>
    </w:p>
    <w:p w14:paraId="1DC9BB6A" w14:textId="77777777" w:rsidR="00EE1903" w:rsidRDefault="00EE1903" w:rsidP="006E7419">
      <w:pPr>
        <w:pStyle w:val="ListBullet"/>
      </w:pPr>
      <w:r>
        <w:t>Four randomised clinical studies provide immunogenicity data in pregnant women and their infants through the infant series or booster dose of DTPa vaccines:</w:t>
      </w:r>
    </w:p>
    <w:p w14:paraId="5F2791CB" w14:textId="77777777" w:rsidR="00EE1903" w:rsidRDefault="00EE1903" w:rsidP="006E7419">
      <w:pPr>
        <w:pStyle w:val="ListBullet2"/>
      </w:pPr>
      <w:r>
        <w:t>Munoz et al.;</w:t>
      </w:r>
      <w:bookmarkStart w:id="46" w:name="_Ref17935029"/>
      <w:r>
        <w:rPr>
          <w:rStyle w:val="FootnoteReference"/>
        </w:rPr>
        <w:footnoteReference w:id="12"/>
      </w:r>
      <w:bookmarkEnd w:id="46"/>
    </w:p>
    <w:p w14:paraId="0C11131C" w14:textId="77777777" w:rsidR="00EE1903" w:rsidRDefault="00EE1903" w:rsidP="00EE1903">
      <w:pPr>
        <w:pStyle w:val="ListBullet2"/>
        <w:numPr>
          <w:ilvl w:val="1"/>
          <w:numId w:val="29"/>
        </w:numPr>
      </w:pPr>
      <w:r>
        <w:t>Villarreal Perez et al.;</w:t>
      </w:r>
      <w:bookmarkStart w:id="47" w:name="_Ref17935032"/>
      <w:r>
        <w:rPr>
          <w:rStyle w:val="FootnoteReference"/>
        </w:rPr>
        <w:footnoteReference w:id="13"/>
      </w:r>
      <w:bookmarkEnd w:id="47"/>
    </w:p>
    <w:p w14:paraId="0616BE0A" w14:textId="77777777" w:rsidR="00EE1903" w:rsidRDefault="00EE1903" w:rsidP="00EE1903">
      <w:pPr>
        <w:pStyle w:val="ListBullet2"/>
        <w:numPr>
          <w:ilvl w:val="1"/>
          <w:numId w:val="29"/>
        </w:numPr>
      </w:pPr>
      <w:r>
        <w:t>Halperin et al.;</w:t>
      </w:r>
      <w:bookmarkStart w:id="48" w:name="_Ref17935034"/>
      <w:r>
        <w:rPr>
          <w:rStyle w:val="FootnoteReference"/>
        </w:rPr>
        <w:footnoteReference w:id="14"/>
      </w:r>
      <w:bookmarkEnd w:id="48"/>
      <w:r>
        <w:t xml:space="preserve"> and</w:t>
      </w:r>
    </w:p>
    <w:p w14:paraId="31854732" w14:textId="77777777" w:rsidR="00EE1903" w:rsidRDefault="002B488A" w:rsidP="00EE1903">
      <w:pPr>
        <w:pStyle w:val="ListBullet2"/>
        <w:numPr>
          <w:ilvl w:val="1"/>
          <w:numId w:val="29"/>
        </w:numPr>
      </w:pPr>
      <w:bookmarkStart w:id="49" w:name="_Ref17935036"/>
      <w:r>
        <w:t>Hoang et al.</w:t>
      </w:r>
      <w:bookmarkStart w:id="50" w:name="_Ref34041740"/>
      <w:r w:rsidR="00EE1903">
        <w:rPr>
          <w:rStyle w:val="FootnoteReference"/>
        </w:rPr>
        <w:footnoteReference w:id="15"/>
      </w:r>
      <w:bookmarkEnd w:id="49"/>
      <w:bookmarkEnd w:id="50"/>
    </w:p>
    <w:p w14:paraId="61092087" w14:textId="77777777" w:rsidR="00EE1903" w:rsidRDefault="00EE1903" w:rsidP="006E7419">
      <w:pPr>
        <w:pStyle w:val="ListBullet"/>
      </w:pPr>
      <w:r>
        <w:t>Four cohort or observational studies provide immunogenicity data in pregnant women and their infants at birth:</w:t>
      </w:r>
    </w:p>
    <w:p w14:paraId="3631D34E" w14:textId="77777777" w:rsidR="00EE1903" w:rsidRDefault="00EE1903" w:rsidP="00EE1903">
      <w:pPr>
        <w:pStyle w:val="ListBullet2"/>
        <w:numPr>
          <w:ilvl w:val="1"/>
          <w:numId w:val="29"/>
        </w:numPr>
      </w:pPr>
      <w:r>
        <w:t>Healy et al.;</w:t>
      </w:r>
      <w:bookmarkStart w:id="51" w:name="_Ref17935230"/>
      <w:r>
        <w:rPr>
          <w:rStyle w:val="FootnoteReference"/>
        </w:rPr>
        <w:footnoteReference w:id="16"/>
      </w:r>
      <w:bookmarkEnd w:id="51"/>
    </w:p>
    <w:p w14:paraId="30841F45" w14:textId="77777777" w:rsidR="00EE1903" w:rsidRDefault="00EE1903" w:rsidP="00EE1903">
      <w:pPr>
        <w:pStyle w:val="ListBullet2"/>
        <w:numPr>
          <w:ilvl w:val="1"/>
          <w:numId w:val="29"/>
        </w:numPr>
      </w:pPr>
      <w:r>
        <w:t>Vilajeliu et al.;</w:t>
      </w:r>
      <w:bookmarkStart w:id="52" w:name="_Ref17935232"/>
      <w:r>
        <w:rPr>
          <w:rStyle w:val="FootnoteReference"/>
        </w:rPr>
        <w:footnoteReference w:id="17"/>
      </w:r>
      <w:bookmarkEnd w:id="52"/>
    </w:p>
    <w:p w14:paraId="57B05BED" w14:textId="77777777" w:rsidR="00EE1903" w:rsidRDefault="00EE1903" w:rsidP="00EE1903">
      <w:pPr>
        <w:pStyle w:val="ListBullet2"/>
        <w:numPr>
          <w:ilvl w:val="1"/>
          <w:numId w:val="29"/>
        </w:numPr>
      </w:pPr>
      <w:r>
        <w:t>Gall et al.;</w:t>
      </w:r>
      <w:bookmarkStart w:id="53" w:name="_Ref17935234"/>
      <w:r>
        <w:rPr>
          <w:rStyle w:val="FootnoteReference"/>
        </w:rPr>
        <w:footnoteReference w:id="18"/>
      </w:r>
      <w:bookmarkEnd w:id="53"/>
      <w:r>
        <w:t xml:space="preserve"> and</w:t>
      </w:r>
    </w:p>
    <w:p w14:paraId="23C38657" w14:textId="77777777" w:rsidR="00EE1903" w:rsidRDefault="00EE1903" w:rsidP="00EE1903">
      <w:pPr>
        <w:pStyle w:val="ListBullet2"/>
        <w:numPr>
          <w:ilvl w:val="1"/>
          <w:numId w:val="29"/>
        </w:numPr>
      </w:pPr>
      <w:r>
        <w:t>Fallo et al.</w:t>
      </w:r>
      <w:bookmarkStart w:id="54" w:name="_Ref17935236"/>
      <w:r>
        <w:rPr>
          <w:rStyle w:val="FootnoteReference"/>
        </w:rPr>
        <w:footnoteReference w:id="19"/>
      </w:r>
      <w:bookmarkEnd w:id="54"/>
    </w:p>
    <w:p w14:paraId="1F057905" w14:textId="77777777" w:rsidR="00EE1903" w:rsidRDefault="00EE1903" w:rsidP="00EE1903">
      <w:pPr>
        <w:pStyle w:val="ListBullet2"/>
        <w:numPr>
          <w:ilvl w:val="1"/>
          <w:numId w:val="29"/>
        </w:numPr>
      </w:pPr>
      <w:r>
        <w:t>In addition, one further study provided evidence through the booster dose of DTPa vaccine: Hardy-Fairbanks et al.</w:t>
      </w:r>
      <w:bookmarkStart w:id="55" w:name="_Ref18001977"/>
      <w:r>
        <w:rPr>
          <w:rStyle w:val="FootnoteReference"/>
        </w:rPr>
        <w:footnoteReference w:id="20"/>
      </w:r>
      <w:bookmarkEnd w:id="55"/>
    </w:p>
    <w:p w14:paraId="30007E3F" w14:textId="77777777" w:rsidR="00EE1903" w:rsidRPr="006E7419" w:rsidRDefault="00EE1903" w:rsidP="006E7419">
      <w:pPr>
        <w:pStyle w:val="ListBullet"/>
      </w:pPr>
      <w:r w:rsidRPr="006E7419">
        <w:t>One randomised clinical study reported by Maertens et al.;</w:t>
      </w:r>
      <w:bookmarkStart w:id="56" w:name="_Ref17935324"/>
      <w:r w:rsidRPr="006E7419">
        <w:rPr>
          <w:rStyle w:val="FootnoteReference"/>
          <w:vertAlign w:val="baseline"/>
        </w:rPr>
        <w:footnoteReference w:id="21"/>
      </w:r>
      <w:bookmarkEnd w:id="56"/>
      <w:r w:rsidRPr="006E7419">
        <w:t xml:space="preserve"> provides immunogenicity data in infants after the booster dose of DTPa vaccine.</w:t>
      </w:r>
    </w:p>
    <w:p w14:paraId="1DF81107" w14:textId="77777777" w:rsidR="00EE1903" w:rsidRPr="006E7419" w:rsidRDefault="00EE1903" w:rsidP="006E7419">
      <w:pPr>
        <w:pStyle w:val="ListBullet"/>
      </w:pPr>
      <w:r w:rsidRPr="006E7419">
        <w:t>Three cohort, case, or observational studies provide immunogenicity data in infants:</w:t>
      </w:r>
    </w:p>
    <w:p w14:paraId="50B200B9" w14:textId="77777777" w:rsidR="00EE1903" w:rsidRDefault="00EE1903" w:rsidP="00EE1903">
      <w:pPr>
        <w:pStyle w:val="ListBullet2"/>
        <w:numPr>
          <w:ilvl w:val="1"/>
          <w:numId w:val="29"/>
        </w:numPr>
      </w:pPr>
      <w:r>
        <w:t>Vilajeliu et al.;</w:t>
      </w:r>
      <w:bookmarkStart w:id="57" w:name="_Ref18001992"/>
      <w:r>
        <w:rPr>
          <w:rStyle w:val="FootnoteReference"/>
        </w:rPr>
        <w:footnoteReference w:id="22"/>
      </w:r>
      <w:bookmarkEnd w:id="57"/>
    </w:p>
    <w:p w14:paraId="57D2A879" w14:textId="77777777" w:rsidR="00EE1903" w:rsidRDefault="00EE1903" w:rsidP="002B488A">
      <w:pPr>
        <w:pStyle w:val="ListBullet2"/>
      </w:pPr>
      <w:r>
        <w:t>Ladhani et al.;</w:t>
      </w:r>
      <w:bookmarkStart w:id="58" w:name="_Ref17935178"/>
      <w:r>
        <w:rPr>
          <w:rStyle w:val="FootnoteReference"/>
        </w:rPr>
        <w:footnoteReference w:id="23"/>
      </w:r>
      <w:bookmarkEnd w:id="58"/>
      <w:r>
        <w:t xml:space="preserve"> and</w:t>
      </w:r>
    </w:p>
    <w:p w14:paraId="4796200B" w14:textId="77777777" w:rsidR="00EE1903" w:rsidRDefault="00EE1903" w:rsidP="002B488A">
      <w:pPr>
        <w:pStyle w:val="ListBullet2"/>
      </w:pPr>
      <w:r>
        <w:t>Kent et al.</w:t>
      </w:r>
      <w:bookmarkStart w:id="59" w:name="_Ref17935180"/>
      <w:r>
        <w:rPr>
          <w:rStyle w:val="FootnoteReference"/>
        </w:rPr>
        <w:footnoteReference w:id="24"/>
      </w:r>
      <w:bookmarkEnd w:id="59"/>
    </w:p>
    <w:p w14:paraId="65582A06" w14:textId="77777777" w:rsidR="00EE1903" w:rsidRDefault="00EE1903" w:rsidP="00D041DD">
      <w:pPr>
        <w:pStyle w:val="Heading5"/>
      </w:pPr>
      <w:r>
        <w:lastRenderedPageBreak/>
        <w:t>Vaccine effectiveness</w:t>
      </w:r>
    </w:p>
    <w:p w14:paraId="025114D4" w14:textId="14E702C0" w:rsidR="00EE1903" w:rsidRDefault="00EE1903" w:rsidP="006E7419">
      <w:pPr>
        <w:pStyle w:val="ListBullet"/>
      </w:pPr>
      <w:r>
        <w:t xml:space="preserve">Four case-coverage/control and cohort studies that support </w:t>
      </w:r>
      <w:r w:rsidR="00931772">
        <w:t>VE</w:t>
      </w:r>
      <w:r w:rsidR="002B488A">
        <w:t xml:space="preserve"> from the use of </w:t>
      </w:r>
      <w:r>
        <w:t>d</w:t>
      </w:r>
      <w:r w:rsidR="002B488A">
        <w:t>Tp</w:t>
      </w:r>
      <w:r w:rsidR="00B30DD7">
        <w:t>a</w:t>
      </w:r>
      <w:r>
        <w:t xml:space="preserve"> vaccine during pregnancy:</w:t>
      </w:r>
    </w:p>
    <w:p w14:paraId="7B98CB06" w14:textId="77777777" w:rsidR="00EE1903" w:rsidRDefault="00EE1903" w:rsidP="00EE1903">
      <w:pPr>
        <w:pStyle w:val="ListBullet2"/>
        <w:numPr>
          <w:ilvl w:val="1"/>
          <w:numId w:val="29"/>
        </w:numPr>
      </w:pPr>
      <w:r>
        <w:t>2 studies reported by Amirthalingam et al.;</w:t>
      </w:r>
      <w:bookmarkStart w:id="60" w:name="_Ref17935408"/>
      <w:r>
        <w:rPr>
          <w:rStyle w:val="FootnoteReference"/>
        </w:rPr>
        <w:footnoteReference w:id="25"/>
      </w:r>
      <w:bookmarkEnd w:id="60"/>
      <w:r>
        <w:rPr>
          <w:vertAlign w:val="superscript"/>
        </w:rPr>
        <w:t>,</w:t>
      </w:r>
      <w:bookmarkStart w:id="61" w:name="_Ref17935410"/>
      <w:r>
        <w:rPr>
          <w:rStyle w:val="FootnoteReference"/>
        </w:rPr>
        <w:footnoteReference w:id="26"/>
      </w:r>
      <w:bookmarkEnd w:id="61"/>
    </w:p>
    <w:p w14:paraId="2FB1A65C" w14:textId="77777777" w:rsidR="00EE1903" w:rsidRDefault="00EE1903" w:rsidP="00EE1903">
      <w:pPr>
        <w:pStyle w:val="ListBullet2"/>
        <w:numPr>
          <w:ilvl w:val="1"/>
          <w:numId w:val="29"/>
        </w:numPr>
      </w:pPr>
      <w:r>
        <w:t>Baxter et al.;</w:t>
      </w:r>
      <w:bookmarkStart w:id="62" w:name="_Ref17935413"/>
      <w:r>
        <w:rPr>
          <w:rStyle w:val="FootnoteReference"/>
        </w:rPr>
        <w:footnoteReference w:id="27"/>
      </w:r>
      <w:bookmarkEnd w:id="62"/>
      <w:r>
        <w:t xml:space="preserve"> and</w:t>
      </w:r>
    </w:p>
    <w:p w14:paraId="4D47E7AB" w14:textId="77777777" w:rsidR="00EE1903" w:rsidRDefault="00EE1903" w:rsidP="00EE1903">
      <w:pPr>
        <w:pStyle w:val="ListBullet2"/>
        <w:numPr>
          <w:ilvl w:val="1"/>
          <w:numId w:val="29"/>
        </w:numPr>
      </w:pPr>
      <w:r>
        <w:t>Dabrera et al.</w:t>
      </w:r>
      <w:bookmarkStart w:id="63" w:name="_Ref17935414"/>
      <w:r>
        <w:rPr>
          <w:rStyle w:val="FootnoteReference"/>
        </w:rPr>
        <w:footnoteReference w:id="28"/>
      </w:r>
      <w:bookmarkEnd w:id="63"/>
    </w:p>
    <w:p w14:paraId="5A8F7990" w14:textId="77777777" w:rsidR="00EE1903" w:rsidRDefault="00EE1903" w:rsidP="00D041DD">
      <w:pPr>
        <w:pStyle w:val="Heading5"/>
      </w:pPr>
      <w:r>
        <w:t>Safety</w:t>
      </w:r>
    </w:p>
    <w:p w14:paraId="4D377F79" w14:textId="77777777" w:rsidR="00EE1903" w:rsidRDefault="00EE1903" w:rsidP="006E7419">
      <w:pPr>
        <w:pStyle w:val="ListBullet"/>
      </w:pPr>
      <w:r>
        <w:t>The four randomised clinical studies mentioned above also collected safety data:</w:t>
      </w:r>
    </w:p>
    <w:p w14:paraId="65222FF4" w14:textId="2B4D0BB0" w:rsidR="00EE1903" w:rsidRDefault="00EE1903" w:rsidP="00EE1903">
      <w:pPr>
        <w:pStyle w:val="ListBullet2"/>
        <w:numPr>
          <w:ilvl w:val="1"/>
          <w:numId w:val="29"/>
        </w:numPr>
      </w:pPr>
      <w:r>
        <w:t>Munoz et al.;</w:t>
      </w:r>
      <w:r w:rsidR="00E22E65">
        <w:fldChar w:fldCharType="begin"/>
      </w:r>
      <w:r w:rsidR="00E22E65">
        <w:instrText xml:space="preserve"> NOTEREF _Ref17935029 \f \h </w:instrText>
      </w:r>
      <w:r w:rsidR="00E22E65">
        <w:fldChar w:fldCharType="separate"/>
      </w:r>
      <w:r w:rsidR="00EA66A2" w:rsidRPr="00EA66A2">
        <w:rPr>
          <w:rStyle w:val="FootnoteReference"/>
        </w:rPr>
        <w:t>12</w:t>
      </w:r>
      <w:r w:rsidR="00E22E65">
        <w:fldChar w:fldCharType="end"/>
      </w:r>
    </w:p>
    <w:p w14:paraId="6B968C2A" w14:textId="5C1BEE67" w:rsidR="00EE1903" w:rsidRDefault="00EE1903" w:rsidP="00EE1903">
      <w:pPr>
        <w:pStyle w:val="ListBullet2"/>
        <w:numPr>
          <w:ilvl w:val="1"/>
          <w:numId w:val="29"/>
        </w:numPr>
      </w:pPr>
      <w:r>
        <w:t>Villarreal Perez et al.;</w:t>
      </w:r>
      <w:r w:rsidR="00E22E65">
        <w:fldChar w:fldCharType="begin"/>
      </w:r>
      <w:r w:rsidR="00E22E65">
        <w:instrText xml:space="preserve"> NOTEREF _Ref17935032 \f \h </w:instrText>
      </w:r>
      <w:r w:rsidR="00E22E65">
        <w:fldChar w:fldCharType="separate"/>
      </w:r>
      <w:r w:rsidR="00EA66A2" w:rsidRPr="00EA66A2">
        <w:rPr>
          <w:rStyle w:val="FootnoteReference"/>
        </w:rPr>
        <w:t>13</w:t>
      </w:r>
      <w:r w:rsidR="00E22E65">
        <w:fldChar w:fldCharType="end"/>
      </w:r>
    </w:p>
    <w:p w14:paraId="098C1003" w14:textId="292AA069" w:rsidR="00EE1903" w:rsidRDefault="00EE1903" w:rsidP="00EE1903">
      <w:pPr>
        <w:pStyle w:val="ListBullet2"/>
        <w:numPr>
          <w:ilvl w:val="1"/>
          <w:numId w:val="29"/>
        </w:numPr>
      </w:pPr>
      <w:r>
        <w:t>Halperin et al.;</w:t>
      </w:r>
      <w:r w:rsidR="00E22E65">
        <w:fldChar w:fldCharType="begin"/>
      </w:r>
      <w:r w:rsidR="00E22E65">
        <w:instrText xml:space="preserve"> NOTEREF _Ref17935034 \f \h </w:instrText>
      </w:r>
      <w:r w:rsidR="00E22E65">
        <w:fldChar w:fldCharType="separate"/>
      </w:r>
      <w:r w:rsidR="00EA66A2" w:rsidRPr="00EA66A2">
        <w:rPr>
          <w:rStyle w:val="FootnoteReference"/>
        </w:rPr>
        <w:t>14</w:t>
      </w:r>
      <w:r w:rsidR="00E22E65">
        <w:fldChar w:fldCharType="end"/>
      </w:r>
      <w:r>
        <w:t xml:space="preserve"> and</w:t>
      </w:r>
    </w:p>
    <w:p w14:paraId="5D4EF42B" w14:textId="5A08BBB9" w:rsidR="00EE1903" w:rsidRDefault="00EE1903" w:rsidP="00EE1903">
      <w:pPr>
        <w:pStyle w:val="ListBullet2"/>
        <w:numPr>
          <w:ilvl w:val="1"/>
          <w:numId w:val="29"/>
        </w:numPr>
      </w:pPr>
      <w:r>
        <w:t>Hoang et al.</w:t>
      </w:r>
      <w:r w:rsidR="00E22E65">
        <w:fldChar w:fldCharType="begin"/>
      </w:r>
      <w:r w:rsidR="00E22E65">
        <w:instrText xml:space="preserve"> NOTEREF _Ref34041740 \f \h </w:instrText>
      </w:r>
      <w:r w:rsidR="00E22E65">
        <w:fldChar w:fldCharType="separate"/>
      </w:r>
      <w:r w:rsidR="00EA66A2" w:rsidRPr="00EA66A2">
        <w:rPr>
          <w:rStyle w:val="FootnoteReference"/>
        </w:rPr>
        <w:t>15</w:t>
      </w:r>
      <w:r w:rsidR="00E22E65">
        <w:fldChar w:fldCharType="end"/>
      </w:r>
    </w:p>
    <w:p w14:paraId="38F9EE7D" w14:textId="77777777" w:rsidR="00EE1903" w:rsidRDefault="00EE1903" w:rsidP="006E7419">
      <w:pPr>
        <w:pStyle w:val="ListBullet"/>
      </w:pPr>
      <w:r>
        <w:t>Twelve cohort or observational studies reported by:</w:t>
      </w:r>
    </w:p>
    <w:p w14:paraId="673EF538" w14:textId="77777777" w:rsidR="00EE1903" w:rsidRDefault="00EE1903" w:rsidP="00EE1903">
      <w:pPr>
        <w:pStyle w:val="ListBullet2"/>
        <w:numPr>
          <w:ilvl w:val="1"/>
          <w:numId w:val="29"/>
        </w:numPr>
      </w:pPr>
      <w:r>
        <w:t>Kharbanda et al.;</w:t>
      </w:r>
      <w:bookmarkStart w:id="64" w:name="_Ref18002071"/>
      <w:r>
        <w:rPr>
          <w:rStyle w:val="FootnoteReference"/>
        </w:rPr>
        <w:footnoteReference w:id="29"/>
      </w:r>
      <w:bookmarkEnd w:id="64"/>
    </w:p>
    <w:p w14:paraId="75524DF1" w14:textId="77777777" w:rsidR="00EE1903" w:rsidRDefault="00EE1903" w:rsidP="00EE1903">
      <w:pPr>
        <w:pStyle w:val="ListBullet2"/>
        <w:numPr>
          <w:ilvl w:val="1"/>
          <w:numId w:val="29"/>
        </w:numPr>
      </w:pPr>
      <w:r>
        <w:t>Morgan et al.;</w:t>
      </w:r>
      <w:bookmarkStart w:id="65" w:name="_Ref18002099"/>
      <w:r>
        <w:rPr>
          <w:rStyle w:val="FootnoteReference"/>
        </w:rPr>
        <w:footnoteReference w:id="30"/>
      </w:r>
      <w:bookmarkEnd w:id="65"/>
    </w:p>
    <w:p w14:paraId="71850644" w14:textId="77777777" w:rsidR="00EE1903" w:rsidRDefault="00EE1903" w:rsidP="00EE1903">
      <w:pPr>
        <w:pStyle w:val="ListBullet2"/>
        <w:numPr>
          <w:ilvl w:val="1"/>
          <w:numId w:val="29"/>
        </w:numPr>
      </w:pPr>
      <w:r>
        <w:t>DeSilva et al.;</w:t>
      </w:r>
      <w:bookmarkStart w:id="66" w:name="_Ref18002106"/>
      <w:r>
        <w:rPr>
          <w:rStyle w:val="FootnoteReference"/>
        </w:rPr>
        <w:footnoteReference w:id="31"/>
      </w:r>
      <w:bookmarkEnd w:id="66"/>
    </w:p>
    <w:p w14:paraId="174E5851" w14:textId="77777777" w:rsidR="00EE1903" w:rsidRDefault="00EE1903" w:rsidP="00EE1903">
      <w:pPr>
        <w:pStyle w:val="ListBullet2"/>
        <w:numPr>
          <w:ilvl w:val="1"/>
          <w:numId w:val="29"/>
        </w:numPr>
      </w:pPr>
      <w:r>
        <w:t>Zheteyeva et al.;</w:t>
      </w:r>
      <w:bookmarkStart w:id="67" w:name="_Ref18002114"/>
      <w:r>
        <w:rPr>
          <w:rStyle w:val="FootnoteReference"/>
        </w:rPr>
        <w:footnoteReference w:id="32"/>
      </w:r>
      <w:bookmarkEnd w:id="67"/>
    </w:p>
    <w:p w14:paraId="339EC769" w14:textId="77777777" w:rsidR="00EE1903" w:rsidRDefault="00EE1903" w:rsidP="00EE1903">
      <w:pPr>
        <w:pStyle w:val="ListBullet2"/>
        <w:numPr>
          <w:ilvl w:val="1"/>
          <w:numId w:val="29"/>
        </w:numPr>
      </w:pPr>
      <w:r>
        <w:t>Donegan et al.;</w:t>
      </w:r>
      <w:bookmarkStart w:id="68" w:name="_Ref18002120"/>
      <w:r>
        <w:rPr>
          <w:rStyle w:val="FootnoteReference"/>
        </w:rPr>
        <w:footnoteReference w:id="33"/>
      </w:r>
      <w:bookmarkEnd w:id="68"/>
    </w:p>
    <w:p w14:paraId="6D54D285" w14:textId="77777777" w:rsidR="00EE1903" w:rsidRDefault="00EE1903" w:rsidP="00EE1903">
      <w:pPr>
        <w:pStyle w:val="ListBullet2"/>
        <w:numPr>
          <w:ilvl w:val="1"/>
          <w:numId w:val="29"/>
        </w:numPr>
      </w:pPr>
      <w:r>
        <w:t>Sukumaran et al.;</w:t>
      </w:r>
      <w:bookmarkStart w:id="69" w:name="_Ref18002126"/>
      <w:r>
        <w:rPr>
          <w:rStyle w:val="FootnoteReference"/>
        </w:rPr>
        <w:footnoteReference w:id="34"/>
      </w:r>
      <w:bookmarkEnd w:id="69"/>
      <w:r>
        <w:rPr>
          <w:vertAlign w:val="superscript"/>
        </w:rPr>
        <w:t>,</w:t>
      </w:r>
      <w:bookmarkStart w:id="70" w:name="_Ref18002134"/>
      <w:r>
        <w:rPr>
          <w:rStyle w:val="FootnoteReference"/>
        </w:rPr>
        <w:footnoteReference w:id="35"/>
      </w:r>
      <w:bookmarkEnd w:id="70"/>
    </w:p>
    <w:p w14:paraId="6A1D2E2D" w14:textId="77777777" w:rsidR="00EE1903" w:rsidRDefault="00EE1903" w:rsidP="00EE1903">
      <w:pPr>
        <w:pStyle w:val="ListBullet2"/>
        <w:numPr>
          <w:ilvl w:val="1"/>
          <w:numId w:val="29"/>
        </w:numPr>
      </w:pPr>
      <w:r>
        <w:t>Regan et al.;</w:t>
      </w:r>
      <w:bookmarkStart w:id="71" w:name="_Ref18002141"/>
      <w:r>
        <w:rPr>
          <w:rStyle w:val="FootnoteReference"/>
        </w:rPr>
        <w:footnoteReference w:id="36"/>
      </w:r>
      <w:bookmarkEnd w:id="71"/>
    </w:p>
    <w:p w14:paraId="7C8169E8" w14:textId="77777777" w:rsidR="00EE1903" w:rsidRDefault="00EE1903" w:rsidP="00EE1903">
      <w:pPr>
        <w:pStyle w:val="ListBullet2"/>
        <w:numPr>
          <w:ilvl w:val="1"/>
          <w:numId w:val="29"/>
        </w:numPr>
      </w:pPr>
      <w:r>
        <w:t>Moro et al.;</w:t>
      </w:r>
      <w:bookmarkStart w:id="72" w:name="_Ref18002148"/>
      <w:r>
        <w:rPr>
          <w:rStyle w:val="FootnoteReference"/>
        </w:rPr>
        <w:footnoteReference w:id="37"/>
      </w:r>
      <w:bookmarkEnd w:id="72"/>
    </w:p>
    <w:p w14:paraId="0BC8E943" w14:textId="77777777" w:rsidR="00EE1903" w:rsidRDefault="00EE1903" w:rsidP="00EE1903">
      <w:pPr>
        <w:pStyle w:val="ListBullet2"/>
        <w:numPr>
          <w:ilvl w:val="1"/>
          <w:numId w:val="29"/>
        </w:numPr>
      </w:pPr>
      <w:r>
        <w:lastRenderedPageBreak/>
        <w:t>Perry et al.;</w:t>
      </w:r>
      <w:bookmarkStart w:id="73" w:name="_Ref18002155"/>
      <w:r>
        <w:rPr>
          <w:rStyle w:val="FootnoteReference"/>
        </w:rPr>
        <w:footnoteReference w:id="38"/>
      </w:r>
      <w:bookmarkEnd w:id="73"/>
      <w:r>
        <w:t xml:space="preserve"> and</w:t>
      </w:r>
    </w:p>
    <w:p w14:paraId="35A96C1C" w14:textId="77777777" w:rsidR="00EE1903" w:rsidRDefault="00EE1903" w:rsidP="00EE1903">
      <w:pPr>
        <w:pStyle w:val="ListBullet2"/>
        <w:numPr>
          <w:ilvl w:val="1"/>
          <w:numId w:val="29"/>
        </w:numPr>
      </w:pPr>
      <w:r>
        <w:t>Talbot et al.</w:t>
      </w:r>
      <w:bookmarkStart w:id="74" w:name="_Ref18002165"/>
      <w:r>
        <w:rPr>
          <w:rStyle w:val="FootnoteReference"/>
        </w:rPr>
        <w:footnoteReference w:id="39"/>
      </w:r>
      <w:bookmarkEnd w:id="74"/>
    </w:p>
    <w:p w14:paraId="3FA52D90" w14:textId="77777777" w:rsidR="00EE1903" w:rsidRDefault="00EE1903" w:rsidP="006E7419">
      <w:pPr>
        <w:pStyle w:val="ListBullet"/>
      </w:pPr>
      <w:r>
        <w:t>Six cohort or observational studies reported by:</w:t>
      </w:r>
    </w:p>
    <w:p w14:paraId="3ED1BA6A" w14:textId="77777777" w:rsidR="00EE1903" w:rsidRDefault="00EE1903" w:rsidP="00EE1903">
      <w:pPr>
        <w:pStyle w:val="ListBullet2"/>
        <w:numPr>
          <w:ilvl w:val="1"/>
          <w:numId w:val="29"/>
        </w:numPr>
      </w:pPr>
      <w:r>
        <w:t>Shakib et al.;</w:t>
      </w:r>
      <w:bookmarkStart w:id="75" w:name="_Ref18018769"/>
      <w:r>
        <w:rPr>
          <w:rStyle w:val="FootnoteReference"/>
        </w:rPr>
        <w:footnoteReference w:id="40"/>
      </w:r>
      <w:bookmarkEnd w:id="75"/>
    </w:p>
    <w:p w14:paraId="0EE94AD4" w14:textId="77777777" w:rsidR="00EE1903" w:rsidRDefault="00EE1903" w:rsidP="00EE1903">
      <w:pPr>
        <w:pStyle w:val="ListBullet2"/>
        <w:numPr>
          <w:ilvl w:val="1"/>
          <w:numId w:val="29"/>
        </w:numPr>
      </w:pPr>
      <w:r>
        <w:t>Berenson et al.;</w:t>
      </w:r>
      <w:bookmarkStart w:id="76" w:name="_Ref18005666"/>
      <w:r>
        <w:rPr>
          <w:rStyle w:val="FootnoteReference"/>
        </w:rPr>
        <w:footnoteReference w:id="41"/>
      </w:r>
      <w:bookmarkEnd w:id="76"/>
    </w:p>
    <w:p w14:paraId="26E86416" w14:textId="77777777" w:rsidR="00EE1903" w:rsidRDefault="00EE1903" w:rsidP="00EE1903">
      <w:pPr>
        <w:pStyle w:val="ListBullet2"/>
        <w:numPr>
          <w:ilvl w:val="1"/>
          <w:numId w:val="29"/>
        </w:numPr>
      </w:pPr>
      <w:r>
        <w:t>Layton et al.;</w:t>
      </w:r>
      <w:bookmarkStart w:id="77" w:name="_Ref18005701"/>
      <w:r>
        <w:rPr>
          <w:rStyle w:val="FootnoteReference"/>
        </w:rPr>
        <w:footnoteReference w:id="42"/>
      </w:r>
      <w:bookmarkEnd w:id="77"/>
    </w:p>
    <w:p w14:paraId="3C5454E4" w14:textId="77777777" w:rsidR="00EE1903" w:rsidRDefault="00EE1903" w:rsidP="00EE1903">
      <w:pPr>
        <w:pStyle w:val="ListBullet2"/>
        <w:numPr>
          <w:ilvl w:val="1"/>
          <w:numId w:val="29"/>
        </w:numPr>
      </w:pPr>
      <w:r>
        <w:t>Zerbo et al.;</w:t>
      </w:r>
      <w:bookmarkStart w:id="78" w:name="_Ref18018809"/>
      <w:r>
        <w:rPr>
          <w:rStyle w:val="FootnoteReference"/>
        </w:rPr>
        <w:footnoteReference w:id="43"/>
      </w:r>
      <w:bookmarkEnd w:id="78"/>
    </w:p>
    <w:p w14:paraId="0A4991D0" w14:textId="77777777" w:rsidR="00EE1903" w:rsidRDefault="00EE1903" w:rsidP="00EE1903">
      <w:pPr>
        <w:pStyle w:val="ListBullet2"/>
        <w:numPr>
          <w:ilvl w:val="1"/>
          <w:numId w:val="29"/>
        </w:numPr>
      </w:pPr>
      <w:r>
        <w:t>Datwani et al.;</w:t>
      </w:r>
      <w:bookmarkStart w:id="79" w:name="_Ref18005812"/>
      <w:r>
        <w:rPr>
          <w:rStyle w:val="FootnoteReference"/>
        </w:rPr>
        <w:footnoteReference w:id="44"/>
      </w:r>
      <w:bookmarkEnd w:id="79"/>
      <w:r>
        <w:t xml:space="preserve"> and</w:t>
      </w:r>
    </w:p>
    <w:p w14:paraId="436B8A04" w14:textId="77777777" w:rsidR="00EE1903" w:rsidRDefault="00EE1903" w:rsidP="00EE1903">
      <w:pPr>
        <w:pStyle w:val="ListBullet2"/>
        <w:numPr>
          <w:ilvl w:val="1"/>
          <w:numId w:val="29"/>
        </w:numPr>
      </w:pPr>
      <w:r>
        <w:t>Moro et al.</w:t>
      </w:r>
      <w:bookmarkStart w:id="80" w:name="_Ref18005978"/>
      <w:r>
        <w:rPr>
          <w:rStyle w:val="FootnoteReference"/>
        </w:rPr>
        <w:footnoteReference w:id="45"/>
      </w:r>
      <w:bookmarkEnd w:id="80"/>
    </w:p>
    <w:p w14:paraId="0F9A90CD" w14:textId="77777777" w:rsidR="00EE1903" w:rsidRDefault="00EE1903" w:rsidP="00EE1903">
      <w:pPr>
        <w:pStyle w:val="Heading5"/>
      </w:pPr>
      <w:r>
        <w:t>Data supporting repeat vaccination (2 pivotal and 3 supportive studies)</w:t>
      </w:r>
    </w:p>
    <w:p w14:paraId="37B1B7AE" w14:textId="3E74B00B" w:rsidR="00EE1903" w:rsidRDefault="00EE1903" w:rsidP="00EE1903">
      <w:pPr>
        <w:pStyle w:val="Heading6"/>
      </w:pPr>
      <w:r>
        <w:t xml:space="preserve">Pivotal </w:t>
      </w:r>
      <w:r w:rsidR="006E7419">
        <w:t>s</w:t>
      </w:r>
      <w:r>
        <w:t>tudies</w:t>
      </w:r>
    </w:p>
    <w:p w14:paraId="37E05252" w14:textId="77777777" w:rsidR="00EE1903" w:rsidRDefault="00EE1903" w:rsidP="006E7419">
      <w:pPr>
        <w:pStyle w:val="ListBullet"/>
      </w:pPr>
      <w:r>
        <w:t>Study Td518: Safety and immunogenicity in adolescents and adults following revaccination with Adacel 4 to 5 years after a previous dose of Adacel. A Phase IV, descriptive, open-label, multicentre study in Canada and the US.</w:t>
      </w:r>
    </w:p>
    <w:p w14:paraId="33C2F1E6" w14:textId="77777777" w:rsidR="00EE1903" w:rsidRDefault="00EE1903" w:rsidP="006E7419">
      <w:pPr>
        <w:pStyle w:val="ListBullet"/>
      </w:pPr>
      <w:r>
        <w:t>Study Td526: Safety and immunogenicity in adults following revaccination with Adacel approximately 10 years after a previous dose of Adacel or Adacel Polio vaccine. Phase IV, open-label, multicentre study in Canada.</w:t>
      </w:r>
    </w:p>
    <w:p w14:paraId="58C6E3CA" w14:textId="77777777" w:rsidR="00EE1903" w:rsidRDefault="00EE1903" w:rsidP="00EE1903">
      <w:pPr>
        <w:pStyle w:val="Heading6"/>
      </w:pPr>
      <w:r>
        <w:t>Supportive studies</w:t>
      </w:r>
    </w:p>
    <w:p w14:paraId="611D910D" w14:textId="77777777" w:rsidR="00EE1903" w:rsidRPr="006E7419" w:rsidRDefault="00EE1903" w:rsidP="006E7419">
      <w:pPr>
        <w:pStyle w:val="ListBullet"/>
      </w:pPr>
      <w:r w:rsidRPr="006E7419">
        <w:t>Study TC9704</w:t>
      </w:r>
      <w:r w:rsidR="00F315E3" w:rsidRPr="006E7419">
        <w:t xml:space="preserve">-LT Long-term immunogenicity: 1, 3, 5, 8, and 10 year follow </w:t>
      </w:r>
      <w:r w:rsidRPr="006E7419">
        <w:t>up.</w:t>
      </w:r>
    </w:p>
    <w:p w14:paraId="4652834D" w14:textId="77777777" w:rsidR="00EE1903" w:rsidRPr="006E7419" w:rsidRDefault="00EE1903" w:rsidP="006E7419">
      <w:pPr>
        <w:pStyle w:val="ListBullet"/>
      </w:pPr>
      <w:r w:rsidRPr="006E7419">
        <w:t>Study Td9707</w:t>
      </w:r>
      <w:r w:rsidR="00F315E3" w:rsidRPr="006E7419">
        <w:t>-LT Long-term immunogenicity: 6 month, 1, 3, 5</w:t>
      </w:r>
      <w:r w:rsidRPr="006E7419">
        <w:t>, a</w:t>
      </w:r>
      <w:r w:rsidR="00F315E3" w:rsidRPr="006E7419">
        <w:t xml:space="preserve">nd 10 year follow </w:t>
      </w:r>
      <w:r w:rsidRPr="006E7419">
        <w:t>up.</w:t>
      </w:r>
    </w:p>
    <w:p w14:paraId="66840A2C" w14:textId="77777777" w:rsidR="00EE1903" w:rsidRPr="006E7419" w:rsidRDefault="00EE1903" w:rsidP="006E7419">
      <w:pPr>
        <w:pStyle w:val="ListBullet"/>
      </w:pPr>
      <w:r w:rsidRPr="006E7419">
        <w:t>Study Td9805</w:t>
      </w:r>
      <w:r w:rsidR="00F315E3" w:rsidRPr="006E7419">
        <w:t xml:space="preserve">-LT Long-term immunogenicity: 1, 3, 5, and 10 year follow </w:t>
      </w:r>
      <w:r w:rsidRPr="006E7419">
        <w:t>up.</w:t>
      </w:r>
    </w:p>
    <w:p w14:paraId="728714B8" w14:textId="5EBA05D5" w:rsidR="00EE1903" w:rsidRDefault="00EE1903" w:rsidP="00EE1903">
      <w:r>
        <w:t>These 3 studies were included in the original (new entity) application (Submission</w:t>
      </w:r>
      <w:r w:rsidR="00B30DD7">
        <w:t> </w:t>
      </w:r>
      <w:r>
        <w:t>No. 2004-1199-2) submitted in 2004 in support of Adacel registration in Australia and the data in this submission is the long-term (LT) follow-up immunogenicity studies in adolescents and adults.</w:t>
      </w:r>
    </w:p>
    <w:p w14:paraId="4332D5C6" w14:textId="77777777" w:rsidR="00EE1903" w:rsidRDefault="00EE1903" w:rsidP="00EE1903">
      <w:pPr>
        <w:pStyle w:val="Heading5"/>
      </w:pPr>
      <w:r>
        <w:t>Other documents</w:t>
      </w:r>
    </w:p>
    <w:p w14:paraId="103FDB62" w14:textId="77777777" w:rsidR="007B6132" w:rsidRDefault="00EE1903" w:rsidP="00EE1903">
      <w:r>
        <w:t xml:space="preserve">A clinical overview and summaries for both parts of the submission </w:t>
      </w:r>
      <w:r w:rsidR="00F924D9">
        <w:t>were</w:t>
      </w:r>
      <w:r>
        <w:t xml:space="preserve"> included as </w:t>
      </w:r>
      <w:r w:rsidR="00F924D9">
        <w:t>were</w:t>
      </w:r>
      <w:r>
        <w:t xml:space="preserve"> the draft new copies of the Australian PI and Consumer Medicines Information (CMI), </w:t>
      </w:r>
      <w:r>
        <w:lastRenderedPageBreak/>
        <w:t xml:space="preserve">planning for submission and search strategy, risk management and pharmacovigilance system, and </w:t>
      </w:r>
      <w:r w:rsidR="00F8651F">
        <w:t>overseas regulatory status</w:t>
      </w:r>
      <w:r>
        <w:t>.</w:t>
      </w:r>
    </w:p>
    <w:p w14:paraId="7CCFF8E4" w14:textId="77777777" w:rsidR="00F25025" w:rsidRPr="00C05F99" w:rsidRDefault="00F25025" w:rsidP="00F25025">
      <w:pPr>
        <w:pStyle w:val="Heading4"/>
      </w:pPr>
      <w:r>
        <w:t>Efficacy</w:t>
      </w:r>
    </w:p>
    <w:p w14:paraId="518C4F2B" w14:textId="77777777" w:rsidR="00F25025" w:rsidRPr="001F6650" w:rsidRDefault="00F25025" w:rsidP="00F25025">
      <w:pPr>
        <w:pStyle w:val="Heading5"/>
      </w:pPr>
      <w:r>
        <w:t>Immunogenicity (randomised controlled trials)</w:t>
      </w:r>
    </w:p>
    <w:p w14:paraId="0EC606B5" w14:textId="77777777" w:rsidR="00F25025" w:rsidRDefault="00F25025" w:rsidP="00F25025">
      <w:pPr>
        <w:pStyle w:val="Heading6"/>
      </w:pPr>
      <w:r w:rsidRPr="00C153CA">
        <w:t>Munoz et al</w:t>
      </w:r>
      <w:r>
        <w:t>.,</w:t>
      </w:r>
      <w:r w:rsidRPr="00C153CA">
        <w:t xml:space="preserve"> (2014)</w:t>
      </w:r>
    </w:p>
    <w:p w14:paraId="5DFBF850" w14:textId="015C601A" w:rsidR="00F25025" w:rsidRPr="002D3249" w:rsidRDefault="00F924D9" w:rsidP="00F25025">
      <w:r>
        <w:fldChar w:fldCharType="begin"/>
      </w:r>
      <w:r>
        <w:instrText xml:space="preserve"> REF _Ref34042451 \h </w:instrText>
      </w:r>
      <w:r>
        <w:fldChar w:fldCharType="separate"/>
      </w:r>
      <w:r>
        <w:t xml:space="preserve">Table </w:t>
      </w:r>
      <w:r>
        <w:rPr>
          <w:noProof/>
        </w:rPr>
        <w:t>4</w:t>
      </w:r>
      <w:r>
        <w:fldChar w:fldCharType="end"/>
      </w:r>
      <w:r>
        <w:t xml:space="preserve"> </w:t>
      </w:r>
      <w:r w:rsidR="00F25025">
        <w:t>provides an overview of the study by Munoz et al., (2014).</w:t>
      </w:r>
      <w:r w:rsidR="00F25025" w:rsidRPr="002D3249">
        <w:rPr>
          <w:vertAlign w:val="superscript"/>
        </w:rPr>
        <w:fldChar w:fldCharType="begin"/>
      </w:r>
      <w:r w:rsidR="00F25025" w:rsidRPr="002D3249">
        <w:rPr>
          <w:vertAlign w:val="superscript"/>
        </w:rPr>
        <w:instrText xml:space="preserve"> NOTEREF _Ref17935029 \h </w:instrText>
      </w:r>
      <w:r w:rsidR="00F25025">
        <w:rPr>
          <w:vertAlign w:val="superscript"/>
        </w:rPr>
        <w:instrText xml:space="preserve"> \* MERGEFORMAT </w:instrText>
      </w:r>
      <w:r w:rsidR="00F25025" w:rsidRPr="002D3249">
        <w:rPr>
          <w:vertAlign w:val="superscript"/>
        </w:rPr>
      </w:r>
      <w:r w:rsidR="00F25025" w:rsidRPr="002D3249">
        <w:rPr>
          <w:vertAlign w:val="superscript"/>
        </w:rPr>
        <w:fldChar w:fldCharType="separate"/>
      </w:r>
      <w:r w:rsidR="00EA66A2">
        <w:rPr>
          <w:vertAlign w:val="superscript"/>
        </w:rPr>
        <w:t>12</w:t>
      </w:r>
      <w:r w:rsidR="00F25025" w:rsidRPr="002D3249">
        <w:rPr>
          <w:vertAlign w:val="superscript"/>
        </w:rPr>
        <w:fldChar w:fldCharType="end"/>
      </w:r>
    </w:p>
    <w:p w14:paraId="2671F57F" w14:textId="77777777" w:rsidR="00F25025" w:rsidRDefault="00F25025" w:rsidP="00F25025">
      <w:pPr>
        <w:pStyle w:val="TableTitle"/>
      </w:pPr>
      <w:bookmarkStart w:id="81" w:name="_Ref34042451"/>
      <w:r>
        <w:t xml:space="preserve">Table </w:t>
      </w:r>
      <w:r w:rsidR="006E7419">
        <w:fldChar w:fldCharType="begin"/>
      </w:r>
      <w:r w:rsidR="006E7419">
        <w:instrText xml:space="preserve"> SEQ Table \* ARABIC </w:instrText>
      </w:r>
      <w:r w:rsidR="006E7419">
        <w:fldChar w:fldCharType="separate"/>
      </w:r>
      <w:r w:rsidR="00F924D9">
        <w:rPr>
          <w:noProof/>
        </w:rPr>
        <w:t>4</w:t>
      </w:r>
      <w:r w:rsidR="006E7419">
        <w:rPr>
          <w:noProof/>
        </w:rPr>
        <w:fldChar w:fldCharType="end"/>
      </w:r>
      <w:bookmarkEnd w:id="81"/>
      <w:r>
        <w:t>: Munoz et al., (2014) study overview</w:t>
      </w:r>
    </w:p>
    <w:p w14:paraId="7CE3DA35" w14:textId="77777777" w:rsidR="00F25025" w:rsidRPr="00E822C0" w:rsidRDefault="00F25025" w:rsidP="00F25025">
      <w:r w:rsidRPr="00C05F99">
        <w:rPr>
          <w:noProof/>
          <w:lang w:eastAsia="en-AU"/>
        </w:rPr>
        <w:drawing>
          <wp:inline distT="0" distB="0" distL="0" distR="0" wp14:anchorId="585AEF13" wp14:editId="339293FB">
            <wp:extent cx="4856480" cy="925454"/>
            <wp:effectExtent l="0" t="0" r="1270" b="8255"/>
            <wp:docPr id="23" name="Picture 23" descr="Munoz et al., (2014) study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_2019_CEU2\ACV2019\tables_adacel\munoz (2014).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69181" cy="927874"/>
                    </a:xfrm>
                    <a:prstGeom prst="rect">
                      <a:avLst/>
                    </a:prstGeom>
                    <a:noFill/>
                    <a:ln>
                      <a:noFill/>
                    </a:ln>
                  </pic:spPr>
                </pic:pic>
              </a:graphicData>
            </a:graphic>
          </wp:inline>
        </w:drawing>
      </w:r>
    </w:p>
    <w:p w14:paraId="4C37119F" w14:textId="77777777" w:rsidR="00F25025" w:rsidRDefault="00F25025" w:rsidP="00F25025">
      <w:r w:rsidRPr="00E822C0">
        <w:t xml:space="preserve">The dTpa vaccine (Adacel) or placebo was given at </w:t>
      </w:r>
      <w:r>
        <w:t xml:space="preserve">30 to </w:t>
      </w:r>
      <w:r w:rsidRPr="00E822C0">
        <w:t>32 w</w:t>
      </w:r>
      <w:r>
        <w:t>eeks gestation. The results were as follows in</w:t>
      </w:r>
      <w:r w:rsidR="00F924D9">
        <w:t xml:space="preserve"> </w:t>
      </w:r>
      <w:r w:rsidR="00F924D9">
        <w:fldChar w:fldCharType="begin"/>
      </w:r>
      <w:r w:rsidR="00F924D9">
        <w:instrText xml:space="preserve"> REF _Ref34042518 \h </w:instrText>
      </w:r>
      <w:r w:rsidR="00F924D9">
        <w:fldChar w:fldCharType="separate"/>
      </w:r>
      <w:r w:rsidR="00F924D9">
        <w:t xml:space="preserve">Table </w:t>
      </w:r>
      <w:r w:rsidR="00F924D9">
        <w:rPr>
          <w:noProof/>
        </w:rPr>
        <w:t>5</w:t>
      </w:r>
      <w:r w:rsidR="00F924D9">
        <w:fldChar w:fldCharType="end"/>
      </w:r>
      <w:r>
        <w:t>.</w:t>
      </w:r>
    </w:p>
    <w:p w14:paraId="77ABF007" w14:textId="77777777" w:rsidR="00F25025" w:rsidRDefault="00F25025" w:rsidP="00F25025">
      <w:pPr>
        <w:pStyle w:val="TableTitle"/>
      </w:pPr>
      <w:bookmarkStart w:id="82" w:name="_Ref34042518"/>
      <w:r>
        <w:t xml:space="preserve">Table </w:t>
      </w:r>
      <w:r w:rsidR="006E7419">
        <w:fldChar w:fldCharType="begin"/>
      </w:r>
      <w:r w:rsidR="006E7419">
        <w:instrText xml:space="preserve"> SEQ Table \* ARABIC </w:instrText>
      </w:r>
      <w:r w:rsidR="006E7419">
        <w:fldChar w:fldCharType="separate"/>
      </w:r>
      <w:r w:rsidR="00F8651F">
        <w:rPr>
          <w:noProof/>
        </w:rPr>
        <w:t>5</w:t>
      </w:r>
      <w:r w:rsidR="006E7419">
        <w:rPr>
          <w:noProof/>
        </w:rPr>
        <w:fldChar w:fldCharType="end"/>
      </w:r>
      <w:bookmarkEnd w:id="82"/>
      <w:r>
        <w:t>: Munoz et al., (2014) study results</w:t>
      </w:r>
    </w:p>
    <w:p w14:paraId="1A2432A2" w14:textId="77777777" w:rsidR="00F25025" w:rsidRPr="005F14E2" w:rsidRDefault="00F25025" w:rsidP="00F25025">
      <w:r w:rsidRPr="00C05F99">
        <w:rPr>
          <w:noProof/>
          <w:lang w:eastAsia="en-AU"/>
        </w:rPr>
        <w:drawing>
          <wp:inline distT="0" distB="0" distL="0" distR="0" wp14:anchorId="1943C320" wp14:editId="57A16C47">
            <wp:extent cx="5492050" cy="5219700"/>
            <wp:effectExtent l="0" t="0" r="0" b="0"/>
            <wp:docPr id="9" name="Picture 9" descr="Munoz et al., (2014) study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_2019_CEU2\captur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1307" cy="5228498"/>
                    </a:xfrm>
                    <a:prstGeom prst="rect">
                      <a:avLst/>
                    </a:prstGeom>
                    <a:noFill/>
                    <a:ln>
                      <a:noFill/>
                    </a:ln>
                  </pic:spPr>
                </pic:pic>
              </a:graphicData>
            </a:graphic>
          </wp:inline>
        </w:drawing>
      </w:r>
    </w:p>
    <w:p w14:paraId="79B72E84" w14:textId="77777777" w:rsidR="00F25025" w:rsidRPr="00E822C0" w:rsidRDefault="00F25025" w:rsidP="00F25025">
      <w:r>
        <w:lastRenderedPageBreak/>
        <w:t>Immune response to antepartum dTpa results in h</w:t>
      </w:r>
      <w:r w:rsidRPr="00E822C0">
        <w:t>igh concentrations of antibodies against all pertussi</w:t>
      </w:r>
      <w:r>
        <w:t>s antigens (</w:t>
      </w:r>
      <w:r w:rsidR="00E274BC">
        <w:t>p</w:t>
      </w:r>
      <w:r w:rsidR="00E274BC" w:rsidRPr="00967D8E">
        <w:t xml:space="preserve">ertussis </w:t>
      </w:r>
      <w:r w:rsidR="00E274BC">
        <w:t>t</w:t>
      </w:r>
      <w:r w:rsidR="00E274BC" w:rsidRPr="00967D8E">
        <w:t>oxin</w:t>
      </w:r>
      <w:r w:rsidR="00E274BC">
        <w:t xml:space="preserve"> (</w:t>
      </w:r>
      <w:r>
        <w:t>PT</w:t>
      </w:r>
      <w:r w:rsidR="00E274BC">
        <w:t>)</w:t>
      </w:r>
      <w:r>
        <w:t xml:space="preserve">, </w:t>
      </w:r>
      <w:r w:rsidR="00E274BC">
        <w:t>f</w:t>
      </w:r>
      <w:r w:rsidR="00E274BC" w:rsidRPr="00967D8E">
        <w:t>ilamentous h</w:t>
      </w:r>
      <w:r w:rsidR="00E274BC">
        <w:t>aemagglutinin (</w:t>
      </w:r>
      <w:r>
        <w:t>FHA</w:t>
      </w:r>
      <w:r w:rsidR="00E274BC">
        <w:t>)</w:t>
      </w:r>
      <w:r>
        <w:t xml:space="preserve">, </w:t>
      </w:r>
      <w:r w:rsidR="00E274BC">
        <w:t>p</w:t>
      </w:r>
      <w:r w:rsidR="00E274BC" w:rsidRPr="00E274BC">
        <w:t xml:space="preserve">ertactin </w:t>
      </w:r>
      <w:r w:rsidR="00E274BC">
        <w:t>(</w:t>
      </w:r>
      <w:r>
        <w:t>PRN</w:t>
      </w:r>
      <w:r w:rsidR="00E274BC">
        <w:t>)</w:t>
      </w:r>
      <w:r>
        <w:t xml:space="preserve">, </w:t>
      </w:r>
      <w:r w:rsidR="00E274BC">
        <w:t>f</w:t>
      </w:r>
      <w:r w:rsidR="00E274BC" w:rsidRPr="00967D8E">
        <w:t>imbriae types 2 and 3</w:t>
      </w:r>
      <w:r w:rsidR="00E274BC">
        <w:t xml:space="preserve"> (</w:t>
      </w:r>
      <w:r>
        <w:t>FIM 2-3</w:t>
      </w:r>
      <w:r w:rsidR="00E274BC">
        <w:t>)</w:t>
      </w:r>
      <w:r>
        <w:t>) at delivery in women</w:t>
      </w:r>
      <w:r w:rsidRPr="00E822C0">
        <w:t xml:space="preserve"> with comparable levels in cord blood. These levels wer</w:t>
      </w:r>
      <w:r>
        <w:t>e still persisting in mothers at 2 months after delivery</w:t>
      </w:r>
      <w:r w:rsidRPr="00E822C0">
        <w:t>. In the infant at age 2 mon</w:t>
      </w:r>
      <w:r>
        <w:t>ths, the levels were roughly a third to a half of</w:t>
      </w:r>
      <w:r w:rsidRPr="00E822C0">
        <w:t xml:space="preserve"> the cord blood levels</w:t>
      </w:r>
      <w:r>
        <w:t>. The</w:t>
      </w:r>
      <w:r w:rsidRPr="00E822C0">
        <w:t xml:space="preserve"> immune response to </w:t>
      </w:r>
      <w:r>
        <w:t xml:space="preserve">DTPa in infant for </w:t>
      </w:r>
      <w:r w:rsidRPr="00E822C0">
        <w:t>FHA and FIM was</w:t>
      </w:r>
      <w:r>
        <w:t xml:space="preserve"> relatively</w:t>
      </w:r>
      <w:r w:rsidRPr="00E822C0">
        <w:t xml:space="preserve"> lower at age 7 months after completion of 3 priming doses of DTPa in infants.</w:t>
      </w:r>
      <w:r>
        <w:t xml:space="preserve"> At 13 months, one month after fourth </w:t>
      </w:r>
      <w:r w:rsidRPr="00E822C0">
        <w:t xml:space="preserve">booster dose of DTPa, the responses were similar for all pertussis antigens. In infants born to women who were given dTpa postpartum, cord levels and </w:t>
      </w:r>
      <w:r>
        <w:t>M</w:t>
      </w:r>
      <w:r w:rsidRPr="00E822C0">
        <w:t>onth 2 levels were low as expected but response measured at 7 and 13 month</w:t>
      </w:r>
      <w:r>
        <w:t>s was unaffected.</w:t>
      </w:r>
    </w:p>
    <w:p w14:paraId="03806A9A" w14:textId="77777777" w:rsidR="00F25025" w:rsidRDefault="00E274BC" w:rsidP="00F25025">
      <w:pPr>
        <w:pStyle w:val="Heading6"/>
      </w:pPr>
      <w:r>
        <w:t>Villarreal</w:t>
      </w:r>
      <w:r w:rsidRPr="00C153CA">
        <w:t xml:space="preserve"> </w:t>
      </w:r>
      <w:r w:rsidR="00F25025" w:rsidRPr="00C153CA">
        <w:t>Perez et al</w:t>
      </w:r>
      <w:r w:rsidR="00F25025">
        <w:t>.,</w:t>
      </w:r>
      <w:r w:rsidR="00F25025" w:rsidRPr="00C153CA">
        <w:t xml:space="preserve"> (2017)</w:t>
      </w:r>
    </w:p>
    <w:p w14:paraId="7086581B" w14:textId="56A1633A" w:rsidR="00F25025" w:rsidRPr="002D3249" w:rsidRDefault="00E274BC" w:rsidP="00F25025">
      <w:pPr>
        <w:rPr>
          <w:vertAlign w:val="superscript"/>
        </w:rPr>
      </w:pPr>
      <w:r>
        <w:fldChar w:fldCharType="begin"/>
      </w:r>
      <w:r>
        <w:instrText xml:space="preserve"> REF _Ref34050155 \h </w:instrText>
      </w:r>
      <w:r>
        <w:fldChar w:fldCharType="separate"/>
      </w:r>
      <w:r>
        <w:t xml:space="preserve">Table </w:t>
      </w:r>
      <w:r>
        <w:rPr>
          <w:noProof/>
        </w:rPr>
        <w:t>6</w:t>
      </w:r>
      <w:r>
        <w:fldChar w:fldCharType="end"/>
      </w:r>
      <w:r>
        <w:t xml:space="preserve"> </w:t>
      </w:r>
      <w:r w:rsidR="00F25025">
        <w:t xml:space="preserve">provides an overview of the study by </w:t>
      </w:r>
      <w:r>
        <w:t xml:space="preserve">Villarreal </w:t>
      </w:r>
      <w:r w:rsidR="00F25025">
        <w:t>Perez et al., (2007).</w:t>
      </w:r>
      <w:r w:rsidR="00F25025" w:rsidRPr="002D3249">
        <w:rPr>
          <w:vertAlign w:val="superscript"/>
        </w:rPr>
        <w:fldChar w:fldCharType="begin"/>
      </w:r>
      <w:r w:rsidR="00F25025" w:rsidRPr="002D3249">
        <w:rPr>
          <w:vertAlign w:val="superscript"/>
        </w:rPr>
        <w:instrText xml:space="preserve"> NOTEREF _Ref17935032 \h </w:instrText>
      </w:r>
      <w:r w:rsidR="00F25025">
        <w:rPr>
          <w:vertAlign w:val="superscript"/>
        </w:rPr>
        <w:instrText xml:space="preserve"> \* MERGEFORMAT </w:instrText>
      </w:r>
      <w:r w:rsidR="00F25025" w:rsidRPr="002D3249">
        <w:rPr>
          <w:vertAlign w:val="superscript"/>
        </w:rPr>
      </w:r>
      <w:r w:rsidR="00F25025" w:rsidRPr="002D3249">
        <w:rPr>
          <w:vertAlign w:val="superscript"/>
        </w:rPr>
        <w:fldChar w:fldCharType="separate"/>
      </w:r>
      <w:r w:rsidR="00EA66A2">
        <w:rPr>
          <w:vertAlign w:val="superscript"/>
        </w:rPr>
        <w:t>13</w:t>
      </w:r>
      <w:r w:rsidR="00F25025" w:rsidRPr="002D3249">
        <w:rPr>
          <w:vertAlign w:val="superscript"/>
        </w:rPr>
        <w:fldChar w:fldCharType="end"/>
      </w:r>
    </w:p>
    <w:p w14:paraId="6CEEEC8E" w14:textId="77777777" w:rsidR="00F25025" w:rsidRDefault="00F25025" w:rsidP="00F25025">
      <w:pPr>
        <w:pStyle w:val="TableTitle"/>
      </w:pPr>
      <w:bookmarkStart w:id="83" w:name="_Ref34050155"/>
      <w:r>
        <w:t xml:space="preserve">Table </w:t>
      </w:r>
      <w:r w:rsidR="006E7419">
        <w:fldChar w:fldCharType="begin"/>
      </w:r>
      <w:r w:rsidR="006E7419">
        <w:instrText xml:space="preserve"> SEQ Table \* ARABIC </w:instrText>
      </w:r>
      <w:r w:rsidR="006E7419">
        <w:fldChar w:fldCharType="separate"/>
      </w:r>
      <w:r w:rsidR="00E274BC">
        <w:rPr>
          <w:noProof/>
        </w:rPr>
        <w:t>6</w:t>
      </w:r>
      <w:r w:rsidR="006E7419">
        <w:rPr>
          <w:noProof/>
        </w:rPr>
        <w:fldChar w:fldCharType="end"/>
      </w:r>
      <w:bookmarkEnd w:id="83"/>
      <w:r>
        <w:t xml:space="preserve">: </w:t>
      </w:r>
      <w:r w:rsidR="00E274BC">
        <w:t>Villarreal</w:t>
      </w:r>
      <w:r w:rsidR="00E274BC" w:rsidRPr="00E644B5">
        <w:t xml:space="preserve"> </w:t>
      </w:r>
      <w:r w:rsidRPr="00E644B5">
        <w:t>Perez et al</w:t>
      </w:r>
      <w:r>
        <w:t>.,</w:t>
      </w:r>
      <w:r w:rsidRPr="00E644B5">
        <w:t xml:space="preserve"> (2017)</w:t>
      </w:r>
      <w:r>
        <w:t xml:space="preserve"> study overview</w:t>
      </w:r>
    </w:p>
    <w:p w14:paraId="24F60164" w14:textId="77777777" w:rsidR="00F25025" w:rsidRPr="00E822C0" w:rsidRDefault="00F25025" w:rsidP="00F25025">
      <w:r w:rsidRPr="00E822C0">
        <w:rPr>
          <w:noProof/>
          <w:lang w:eastAsia="en-AU"/>
        </w:rPr>
        <w:drawing>
          <wp:inline distT="0" distB="0" distL="0" distR="0" wp14:anchorId="66C3CED6" wp14:editId="00E2C8EE">
            <wp:extent cx="5416062" cy="1043489"/>
            <wp:effectExtent l="0" t="0" r="0" b="4445"/>
            <wp:docPr id="24" name="Picture 24" descr="Villarreal Perez et al., (2017) study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_2019_CEU2\ACV2019\tables_adacel\perez (2017) 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5046" cy="1043293"/>
                    </a:xfrm>
                    <a:prstGeom prst="rect">
                      <a:avLst/>
                    </a:prstGeom>
                    <a:noFill/>
                    <a:ln>
                      <a:noFill/>
                    </a:ln>
                  </pic:spPr>
                </pic:pic>
              </a:graphicData>
            </a:graphic>
          </wp:inline>
        </w:drawing>
      </w:r>
    </w:p>
    <w:p w14:paraId="0CA03245" w14:textId="77777777" w:rsidR="00F25025" w:rsidRPr="00E822C0" w:rsidRDefault="00F25025" w:rsidP="00E274BC">
      <w:r w:rsidRPr="00E822C0">
        <w:t>The dTpa vaccine (brand not specif</w:t>
      </w:r>
      <w:r>
        <w:t xml:space="preserve">ied) or placebo was given at 30 to </w:t>
      </w:r>
      <w:r w:rsidRPr="00E822C0">
        <w:t>32 weeks gestation. The anti-PT response was slower and lower compared to the anti-PRN response in the mo</w:t>
      </w:r>
      <w:r>
        <w:t>ther (placebo response</w:t>
      </w:r>
      <w:r w:rsidRPr="00E822C0">
        <w:t xml:space="preserve"> shown in dotted line). The PT response to DTPa in infants was subdued at age 2 </w:t>
      </w:r>
      <w:r>
        <w:t>and 4 months but robust at age 6 months. T</w:t>
      </w:r>
      <w:r w:rsidRPr="00E822C0">
        <w:t>here was no PRN response to DTPa in infants</w:t>
      </w:r>
      <w:r>
        <w:t xml:space="preserve"> in this study.</w:t>
      </w:r>
    </w:p>
    <w:p w14:paraId="78B54BD7" w14:textId="77777777" w:rsidR="00F25025" w:rsidRDefault="00F25025" w:rsidP="00F25025">
      <w:pPr>
        <w:pStyle w:val="FigureTitle"/>
      </w:pPr>
      <w:r>
        <w:t xml:space="preserve">Figure </w:t>
      </w:r>
      <w:r w:rsidR="006E7419">
        <w:fldChar w:fldCharType="begin"/>
      </w:r>
      <w:r w:rsidR="006E7419">
        <w:instrText xml:space="preserve"> SEQ</w:instrText>
      </w:r>
      <w:r w:rsidR="006E7419">
        <w:instrText xml:space="preserve"> Figure \* ARABIC </w:instrText>
      </w:r>
      <w:r w:rsidR="006E7419">
        <w:fldChar w:fldCharType="separate"/>
      </w:r>
      <w:r w:rsidR="00E274BC">
        <w:rPr>
          <w:noProof/>
        </w:rPr>
        <w:t>1</w:t>
      </w:r>
      <w:r w:rsidR="006E7419">
        <w:rPr>
          <w:noProof/>
        </w:rPr>
        <w:fldChar w:fldCharType="end"/>
      </w:r>
      <w:r>
        <w:t xml:space="preserve">: </w:t>
      </w:r>
      <w:r w:rsidRPr="003B2F54">
        <w:t>Perez et al</w:t>
      </w:r>
      <w:r>
        <w:t>.,</w:t>
      </w:r>
      <w:r w:rsidRPr="003B2F54">
        <w:t xml:space="preserve"> (2017)</w:t>
      </w:r>
      <w:r>
        <w:t xml:space="preserve"> study results</w:t>
      </w:r>
    </w:p>
    <w:p w14:paraId="5E2B81F2" w14:textId="77777777" w:rsidR="00F25025" w:rsidRDefault="00F25025" w:rsidP="00F25025">
      <w:r w:rsidRPr="00E822C0">
        <w:rPr>
          <w:noProof/>
          <w:lang w:eastAsia="en-AU"/>
        </w:rPr>
        <w:drawing>
          <wp:inline distT="0" distB="0" distL="0" distR="0" wp14:anchorId="1742F621" wp14:editId="7EE91525">
            <wp:extent cx="5762625" cy="2650445"/>
            <wp:effectExtent l="0" t="0" r="0" b="0"/>
            <wp:docPr id="6" name="Picture 6" descr="Perez et al., (2017) study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_2019_CEU2\captur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9007" cy="2653380"/>
                    </a:xfrm>
                    <a:prstGeom prst="rect">
                      <a:avLst/>
                    </a:prstGeom>
                    <a:noFill/>
                    <a:ln>
                      <a:noFill/>
                    </a:ln>
                  </pic:spPr>
                </pic:pic>
              </a:graphicData>
            </a:graphic>
          </wp:inline>
        </w:drawing>
      </w:r>
    </w:p>
    <w:p w14:paraId="46251115" w14:textId="77777777" w:rsidR="00F25025" w:rsidRDefault="00F25025" w:rsidP="00F25025">
      <w:pPr>
        <w:pStyle w:val="Heading6"/>
      </w:pPr>
      <w:r w:rsidRPr="00C153CA">
        <w:t>Hoang et al</w:t>
      </w:r>
      <w:r>
        <w:t>.,</w:t>
      </w:r>
      <w:r w:rsidRPr="00C153CA">
        <w:t xml:space="preserve"> (2016)</w:t>
      </w:r>
      <w:r>
        <w:t xml:space="preserve"> and </w:t>
      </w:r>
      <w:r w:rsidRPr="00C153CA">
        <w:t>Maertens et al</w:t>
      </w:r>
      <w:r>
        <w:t>.,</w:t>
      </w:r>
      <w:r w:rsidRPr="00C153CA">
        <w:t xml:space="preserve"> (2016)</w:t>
      </w:r>
    </w:p>
    <w:p w14:paraId="170D2940" w14:textId="150EB7DC" w:rsidR="00F25025" w:rsidRPr="002D3249" w:rsidRDefault="00F25025" w:rsidP="00F25025">
      <w:pPr>
        <w:rPr>
          <w:vertAlign w:val="superscript"/>
        </w:rPr>
      </w:pPr>
      <w:r w:rsidRPr="002D3249">
        <w:t>The following table</w:t>
      </w:r>
      <w:r>
        <w:t>s provide</w:t>
      </w:r>
      <w:r w:rsidRPr="002D3249">
        <w:t xml:space="preserve"> an overview </w:t>
      </w:r>
      <w:r>
        <w:t>of studies by Hoang et al., (2016)</w:t>
      </w:r>
      <w:r w:rsidR="00E274BC">
        <w:fldChar w:fldCharType="begin"/>
      </w:r>
      <w:r w:rsidR="00E274BC">
        <w:instrText xml:space="preserve"> NOTEREF _Ref34041740 \f \h </w:instrText>
      </w:r>
      <w:r w:rsidR="00E274BC">
        <w:fldChar w:fldCharType="separate"/>
      </w:r>
      <w:r w:rsidR="00EA66A2" w:rsidRPr="00EA66A2">
        <w:rPr>
          <w:rStyle w:val="FootnoteReference"/>
        </w:rPr>
        <w:t>15</w:t>
      </w:r>
      <w:r w:rsidR="00E274BC">
        <w:fldChar w:fldCharType="end"/>
      </w:r>
      <w:r>
        <w:t xml:space="preserve"> and Maertens et al., (2016).</w:t>
      </w:r>
      <w:r w:rsidRPr="002D3249">
        <w:rPr>
          <w:vertAlign w:val="superscript"/>
        </w:rPr>
        <w:fldChar w:fldCharType="begin"/>
      </w:r>
      <w:r w:rsidRPr="002D3249">
        <w:rPr>
          <w:vertAlign w:val="superscript"/>
        </w:rPr>
        <w:instrText xml:space="preserve"> NOTEREF _Ref17935324 \h </w:instrText>
      </w:r>
      <w:r>
        <w:rPr>
          <w:vertAlign w:val="superscript"/>
        </w:rPr>
        <w:instrText xml:space="preserve"> \* MERGEFORMAT </w:instrText>
      </w:r>
      <w:r w:rsidRPr="002D3249">
        <w:rPr>
          <w:vertAlign w:val="superscript"/>
        </w:rPr>
      </w:r>
      <w:r w:rsidRPr="002D3249">
        <w:rPr>
          <w:vertAlign w:val="superscript"/>
        </w:rPr>
        <w:fldChar w:fldCharType="separate"/>
      </w:r>
      <w:r w:rsidR="00EA66A2">
        <w:rPr>
          <w:vertAlign w:val="superscript"/>
        </w:rPr>
        <w:t>21</w:t>
      </w:r>
      <w:r w:rsidRPr="002D3249">
        <w:rPr>
          <w:vertAlign w:val="superscript"/>
        </w:rPr>
        <w:fldChar w:fldCharType="end"/>
      </w:r>
    </w:p>
    <w:p w14:paraId="6EF42ED3" w14:textId="77777777" w:rsidR="00F25025" w:rsidRDefault="00F25025" w:rsidP="00F25025">
      <w:pPr>
        <w:pStyle w:val="TableTitle"/>
      </w:pPr>
      <w:r>
        <w:lastRenderedPageBreak/>
        <w:t xml:space="preserve">Table </w:t>
      </w:r>
      <w:r w:rsidR="006E7419">
        <w:fldChar w:fldCharType="begin"/>
      </w:r>
      <w:r w:rsidR="006E7419">
        <w:instrText xml:space="preserve"> SEQ Table \* ARABIC </w:instrText>
      </w:r>
      <w:r w:rsidR="006E7419">
        <w:fldChar w:fldCharType="separate"/>
      </w:r>
      <w:r w:rsidR="00E274BC">
        <w:rPr>
          <w:noProof/>
        </w:rPr>
        <w:t>7</w:t>
      </w:r>
      <w:r w:rsidR="006E7419">
        <w:rPr>
          <w:noProof/>
        </w:rPr>
        <w:fldChar w:fldCharType="end"/>
      </w:r>
      <w:r>
        <w:t>: Hoang et al., (2016) study overview</w:t>
      </w:r>
    </w:p>
    <w:p w14:paraId="28B545CC" w14:textId="77777777" w:rsidR="00F25025" w:rsidRDefault="00F25025" w:rsidP="00F25025">
      <w:r w:rsidRPr="00C05F99">
        <w:rPr>
          <w:noProof/>
          <w:lang w:eastAsia="en-AU"/>
        </w:rPr>
        <w:drawing>
          <wp:inline distT="0" distB="0" distL="0" distR="0" wp14:anchorId="4EDD2AE2" wp14:editId="15C2FAB1">
            <wp:extent cx="5130800" cy="812349"/>
            <wp:effectExtent l="0" t="0" r="0" b="6985"/>
            <wp:docPr id="26" name="Picture 26" descr="Hoang et al., (2016) study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_2019_CEU2\ACV2019\tables_adacel\hoang (201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55923" cy="816327"/>
                    </a:xfrm>
                    <a:prstGeom prst="rect">
                      <a:avLst/>
                    </a:prstGeom>
                    <a:noFill/>
                    <a:ln>
                      <a:noFill/>
                    </a:ln>
                  </pic:spPr>
                </pic:pic>
              </a:graphicData>
            </a:graphic>
          </wp:inline>
        </w:drawing>
      </w:r>
    </w:p>
    <w:p w14:paraId="4D436160" w14:textId="77777777" w:rsidR="00F25025" w:rsidRDefault="00F25025" w:rsidP="00F25025">
      <w:pPr>
        <w:pStyle w:val="TableTitle"/>
      </w:pPr>
      <w:r>
        <w:t xml:space="preserve">Table </w:t>
      </w:r>
      <w:r w:rsidR="006E7419">
        <w:fldChar w:fldCharType="begin"/>
      </w:r>
      <w:r w:rsidR="006E7419">
        <w:instrText xml:space="preserve"> SEQ Table \* ARABIC </w:instrText>
      </w:r>
      <w:r w:rsidR="006E7419">
        <w:fldChar w:fldCharType="separate"/>
      </w:r>
      <w:r w:rsidR="00E274BC">
        <w:rPr>
          <w:noProof/>
        </w:rPr>
        <w:t>8</w:t>
      </w:r>
      <w:r w:rsidR="006E7419">
        <w:rPr>
          <w:noProof/>
        </w:rPr>
        <w:fldChar w:fldCharType="end"/>
      </w:r>
      <w:r>
        <w:t xml:space="preserve">: </w:t>
      </w:r>
      <w:r w:rsidRPr="00C46DA2">
        <w:t>Maertens et al</w:t>
      </w:r>
      <w:r>
        <w:t>.,</w:t>
      </w:r>
      <w:r w:rsidRPr="00C46DA2">
        <w:t xml:space="preserve"> (2016)</w:t>
      </w:r>
      <w:r>
        <w:t xml:space="preserve"> study overview</w:t>
      </w:r>
    </w:p>
    <w:p w14:paraId="2CFB778B" w14:textId="77777777" w:rsidR="00F25025" w:rsidRPr="00E822C0" w:rsidRDefault="00F25025" w:rsidP="00F25025">
      <w:r w:rsidRPr="00E822C0">
        <w:rPr>
          <w:noProof/>
          <w:lang w:eastAsia="en-AU"/>
        </w:rPr>
        <w:drawing>
          <wp:inline distT="0" distB="0" distL="0" distR="0" wp14:anchorId="741822ED" wp14:editId="5D00DB00">
            <wp:extent cx="5130800" cy="1056466"/>
            <wp:effectExtent l="0" t="0" r="0" b="0"/>
            <wp:docPr id="32" name="Picture 32" descr="Maertens et al., (2016) study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_2019_CEU2\ACV2019\tables_adacel\maertens (201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4405" cy="1059267"/>
                    </a:xfrm>
                    <a:prstGeom prst="rect">
                      <a:avLst/>
                    </a:prstGeom>
                    <a:noFill/>
                    <a:ln>
                      <a:noFill/>
                    </a:ln>
                  </pic:spPr>
                </pic:pic>
              </a:graphicData>
            </a:graphic>
          </wp:inline>
        </w:drawing>
      </w:r>
    </w:p>
    <w:p w14:paraId="4625D6E7" w14:textId="77777777" w:rsidR="00F25025" w:rsidRPr="00E822C0" w:rsidRDefault="00F25025" w:rsidP="00F25025">
      <w:r w:rsidRPr="00E822C0">
        <w:t xml:space="preserve">The dTpa vaccine (Adacel) or </w:t>
      </w:r>
      <w:r>
        <w:t xml:space="preserve">tetanus vaccine was given at 18 to </w:t>
      </w:r>
      <w:r w:rsidRPr="00E822C0">
        <w:t>36 weeks gestati</w:t>
      </w:r>
      <w:r>
        <w:t>on. Prior to the start of dTPa primary series in infants, there were persisting, moderate levels of antibodies against pertussis antigens in infants of dTpa maternal vaccination group compared to unprotected levels in infants whose mothers received antepartum TT.</w:t>
      </w:r>
    </w:p>
    <w:p w14:paraId="34B239BB" w14:textId="77777777" w:rsidR="00F25025" w:rsidRDefault="00F25025" w:rsidP="00F25025">
      <w:pPr>
        <w:pStyle w:val="TableTitle"/>
      </w:pPr>
      <w:r>
        <w:t xml:space="preserve">Table </w:t>
      </w:r>
      <w:r w:rsidR="006E7419">
        <w:fldChar w:fldCharType="begin"/>
      </w:r>
      <w:r w:rsidR="006E7419">
        <w:instrText xml:space="preserve"> SEQ Table \* ARABIC </w:instrText>
      </w:r>
      <w:r w:rsidR="006E7419">
        <w:fldChar w:fldCharType="separate"/>
      </w:r>
      <w:r w:rsidR="00E274BC">
        <w:rPr>
          <w:noProof/>
        </w:rPr>
        <w:t>9</w:t>
      </w:r>
      <w:r w:rsidR="006E7419">
        <w:rPr>
          <w:noProof/>
        </w:rPr>
        <w:fldChar w:fldCharType="end"/>
      </w:r>
      <w:r>
        <w:t xml:space="preserve">: </w:t>
      </w:r>
      <w:r w:rsidRPr="0020786C">
        <w:t>Hoang et al</w:t>
      </w:r>
      <w:r>
        <w:t>.,</w:t>
      </w:r>
      <w:r w:rsidRPr="0020786C">
        <w:t xml:space="preserve"> (2016)</w:t>
      </w:r>
      <w:r>
        <w:t xml:space="preserve"> study</w:t>
      </w:r>
      <w:r w:rsidRPr="0020786C">
        <w:t xml:space="preserve"> and Maertens et al</w:t>
      </w:r>
      <w:r>
        <w:t>.,</w:t>
      </w:r>
      <w:r w:rsidRPr="0020786C">
        <w:t xml:space="preserve"> (2016)</w:t>
      </w:r>
      <w:r>
        <w:t xml:space="preserve"> study</w:t>
      </w:r>
      <w:r>
        <w:rPr>
          <w:noProof/>
        </w:rPr>
        <w:t xml:space="preserve"> results</w:t>
      </w:r>
    </w:p>
    <w:p w14:paraId="345D7E4C" w14:textId="77777777" w:rsidR="00F25025" w:rsidRPr="00E822C0" w:rsidRDefault="00F25025" w:rsidP="00F25025">
      <w:r w:rsidRPr="00C05F99">
        <w:rPr>
          <w:noProof/>
          <w:lang w:eastAsia="en-AU"/>
        </w:rPr>
        <w:drawing>
          <wp:inline distT="0" distB="0" distL="0" distR="0" wp14:anchorId="04DE876A" wp14:editId="67FD9D03">
            <wp:extent cx="5288889" cy="2238333"/>
            <wp:effectExtent l="0" t="0" r="7620" b="0"/>
            <wp:docPr id="34" name="Picture 34" descr="Hoang et al., (2016) study and Maertens et al., (2016) study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_2019_CEU2\captur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15625" cy="2249648"/>
                    </a:xfrm>
                    <a:prstGeom prst="rect">
                      <a:avLst/>
                    </a:prstGeom>
                    <a:noFill/>
                    <a:ln>
                      <a:noFill/>
                    </a:ln>
                  </pic:spPr>
                </pic:pic>
              </a:graphicData>
            </a:graphic>
          </wp:inline>
        </w:drawing>
      </w:r>
    </w:p>
    <w:p w14:paraId="01C2E867" w14:textId="77777777" w:rsidR="00F25025" w:rsidRDefault="00F25025" w:rsidP="00F25025">
      <w:r>
        <w:t>The</w:t>
      </w:r>
      <w:r w:rsidRPr="00E822C0">
        <w:t xml:space="preserve"> resul</w:t>
      </w:r>
      <w:r>
        <w:t>ts at one month after booster (fourth</w:t>
      </w:r>
      <w:r w:rsidRPr="00E822C0">
        <w:t>) dos</w:t>
      </w:r>
      <w:r>
        <w:t>e</w:t>
      </w:r>
      <w:r w:rsidRPr="00E822C0">
        <w:t xml:space="preserve"> </w:t>
      </w:r>
      <w:r>
        <w:t>of dTPa were separately reported</w:t>
      </w:r>
      <w:r w:rsidRPr="00E822C0">
        <w:t xml:space="preserve"> </w:t>
      </w:r>
      <w:r>
        <w:t>by Maertens et al (2016) as follows.</w:t>
      </w:r>
    </w:p>
    <w:p w14:paraId="2D5A7323" w14:textId="77777777" w:rsidR="00F25025" w:rsidRDefault="00F25025" w:rsidP="00F25025">
      <w:pPr>
        <w:pStyle w:val="TableTitle"/>
      </w:pPr>
      <w:r>
        <w:t xml:space="preserve">Table </w:t>
      </w:r>
      <w:r w:rsidR="006E7419">
        <w:fldChar w:fldCharType="begin"/>
      </w:r>
      <w:r w:rsidR="006E7419">
        <w:instrText xml:space="preserve"> SEQ Table \* ARABIC </w:instrText>
      </w:r>
      <w:r w:rsidR="006E7419">
        <w:fldChar w:fldCharType="separate"/>
      </w:r>
      <w:r w:rsidR="00E274BC">
        <w:rPr>
          <w:noProof/>
        </w:rPr>
        <w:t>10</w:t>
      </w:r>
      <w:r w:rsidR="006E7419">
        <w:rPr>
          <w:noProof/>
        </w:rPr>
        <w:fldChar w:fldCharType="end"/>
      </w:r>
      <w:r>
        <w:t>:</w:t>
      </w:r>
      <w:r w:rsidRPr="00CC5A94">
        <w:t xml:space="preserve"> Maertens et al</w:t>
      </w:r>
      <w:r>
        <w:t>.,</w:t>
      </w:r>
      <w:r w:rsidRPr="00CC5A94">
        <w:t xml:space="preserve"> (2016)</w:t>
      </w:r>
      <w:r>
        <w:rPr>
          <w:noProof/>
        </w:rPr>
        <w:t xml:space="preserve"> study results (one month after booster (fourth) dose)</w:t>
      </w:r>
    </w:p>
    <w:p w14:paraId="01FFD6A5" w14:textId="77777777" w:rsidR="00F25025" w:rsidRDefault="00F25025" w:rsidP="00F25025">
      <w:r w:rsidRPr="00C05F99">
        <w:rPr>
          <w:noProof/>
          <w:lang w:eastAsia="en-AU"/>
        </w:rPr>
        <w:drawing>
          <wp:inline distT="0" distB="0" distL="0" distR="0" wp14:anchorId="077D5C14" wp14:editId="6F421287">
            <wp:extent cx="5123263" cy="1857375"/>
            <wp:effectExtent l="0" t="0" r="1270" b="0"/>
            <wp:docPr id="10" name="Picture 10" descr="Maertens et al., (2016) study results (one month after booster (fourth)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_2019_CEU2\captur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28363" cy="1859224"/>
                    </a:xfrm>
                    <a:prstGeom prst="rect">
                      <a:avLst/>
                    </a:prstGeom>
                    <a:noFill/>
                    <a:ln>
                      <a:noFill/>
                    </a:ln>
                  </pic:spPr>
                </pic:pic>
              </a:graphicData>
            </a:graphic>
          </wp:inline>
        </w:drawing>
      </w:r>
    </w:p>
    <w:p w14:paraId="4EDA22A6" w14:textId="77777777" w:rsidR="00F25025" w:rsidRDefault="00F25025" w:rsidP="00F25025">
      <w:r>
        <w:t>The immune response to fourth dose of dTPa was indicative of similarly robust reaction in the vaccinated and the control group.</w:t>
      </w:r>
    </w:p>
    <w:p w14:paraId="217028AE" w14:textId="77777777" w:rsidR="00F25025" w:rsidRDefault="00F25025" w:rsidP="00F25025">
      <w:pPr>
        <w:pStyle w:val="Heading6"/>
      </w:pPr>
      <w:r w:rsidRPr="00C153CA">
        <w:lastRenderedPageBreak/>
        <w:t>Halperin et al</w:t>
      </w:r>
      <w:r>
        <w:t>.,</w:t>
      </w:r>
      <w:r w:rsidRPr="00C153CA">
        <w:t xml:space="preserve"> (2018)</w:t>
      </w:r>
    </w:p>
    <w:p w14:paraId="66D554AE" w14:textId="395AB7AC" w:rsidR="00F25025" w:rsidRPr="0023625C" w:rsidRDefault="00E274BC" w:rsidP="00F25025">
      <w:pPr>
        <w:rPr>
          <w:vertAlign w:val="superscript"/>
        </w:rPr>
      </w:pPr>
      <w:r>
        <w:fldChar w:fldCharType="begin"/>
      </w:r>
      <w:r>
        <w:instrText xml:space="preserve"> REF _Ref34050472 \h </w:instrText>
      </w:r>
      <w:r>
        <w:fldChar w:fldCharType="separate"/>
      </w:r>
      <w:r>
        <w:t xml:space="preserve">Table </w:t>
      </w:r>
      <w:r>
        <w:rPr>
          <w:noProof/>
        </w:rPr>
        <w:t>11</w:t>
      </w:r>
      <w:r>
        <w:fldChar w:fldCharType="end"/>
      </w:r>
      <w:r>
        <w:t xml:space="preserve"> </w:t>
      </w:r>
      <w:r w:rsidR="00F25025" w:rsidRPr="0023625C">
        <w:t>provides an overview of the study</w:t>
      </w:r>
      <w:r w:rsidR="00F25025">
        <w:t xml:space="preserve"> by Halperin et al., (2018).</w:t>
      </w:r>
      <w:r w:rsidR="00F25025" w:rsidRPr="0023625C">
        <w:rPr>
          <w:vertAlign w:val="superscript"/>
        </w:rPr>
        <w:fldChar w:fldCharType="begin"/>
      </w:r>
      <w:r w:rsidR="00F25025" w:rsidRPr="0023625C">
        <w:rPr>
          <w:vertAlign w:val="superscript"/>
        </w:rPr>
        <w:instrText xml:space="preserve"> NOTEREF _Ref17935034 \h </w:instrText>
      </w:r>
      <w:r w:rsidR="00F25025">
        <w:rPr>
          <w:vertAlign w:val="superscript"/>
        </w:rPr>
        <w:instrText xml:space="preserve"> \* MERGEFORMAT </w:instrText>
      </w:r>
      <w:r w:rsidR="00F25025" w:rsidRPr="0023625C">
        <w:rPr>
          <w:vertAlign w:val="superscript"/>
        </w:rPr>
      </w:r>
      <w:r w:rsidR="00F25025" w:rsidRPr="0023625C">
        <w:rPr>
          <w:vertAlign w:val="superscript"/>
        </w:rPr>
        <w:fldChar w:fldCharType="separate"/>
      </w:r>
      <w:r w:rsidR="00EA66A2">
        <w:rPr>
          <w:vertAlign w:val="superscript"/>
        </w:rPr>
        <w:t>14</w:t>
      </w:r>
      <w:r w:rsidR="00F25025" w:rsidRPr="0023625C">
        <w:rPr>
          <w:vertAlign w:val="superscript"/>
        </w:rPr>
        <w:fldChar w:fldCharType="end"/>
      </w:r>
    </w:p>
    <w:p w14:paraId="211E7D44" w14:textId="77777777" w:rsidR="00F25025" w:rsidRDefault="00F25025" w:rsidP="00F25025">
      <w:pPr>
        <w:pStyle w:val="TableTitle"/>
      </w:pPr>
      <w:bookmarkStart w:id="84" w:name="_Ref34050472"/>
      <w:r>
        <w:t xml:space="preserve">Table </w:t>
      </w:r>
      <w:r w:rsidR="006E7419">
        <w:fldChar w:fldCharType="begin"/>
      </w:r>
      <w:r w:rsidR="006E7419">
        <w:instrText xml:space="preserve"> SEQ Table \* ARABIC </w:instrText>
      </w:r>
      <w:r w:rsidR="006E7419">
        <w:fldChar w:fldCharType="separate"/>
      </w:r>
      <w:r w:rsidR="00E274BC">
        <w:rPr>
          <w:noProof/>
        </w:rPr>
        <w:t>11</w:t>
      </w:r>
      <w:r w:rsidR="006E7419">
        <w:rPr>
          <w:noProof/>
        </w:rPr>
        <w:fldChar w:fldCharType="end"/>
      </w:r>
      <w:bookmarkEnd w:id="84"/>
      <w:r>
        <w:t xml:space="preserve">: </w:t>
      </w:r>
      <w:r w:rsidRPr="00816B08">
        <w:t>Halperin et al (2018)</w:t>
      </w:r>
      <w:r>
        <w:t xml:space="preserve"> study overview</w:t>
      </w:r>
    </w:p>
    <w:p w14:paraId="29B85C51" w14:textId="77777777" w:rsidR="00F25025" w:rsidRPr="00E822C0" w:rsidRDefault="00F25025" w:rsidP="00F25025">
      <w:r w:rsidRPr="00C05F99">
        <w:rPr>
          <w:noProof/>
          <w:lang w:eastAsia="en-AU"/>
        </w:rPr>
        <w:drawing>
          <wp:inline distT="0" distB="0" distL="0" distR="0" wp14:anchorId="54CDA5C6" wp14:editId="705D89F3">
            <wp:extent cx="4704080" cy="752579"/>
            <wp:effectExtent l="0" t="0" r="1270" b="9525"/>
            <wp:docPr id="25" name="Picture 25" descr="Halperin et al (2018) study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_2019_CEU2\ACV2019\tables_adacel\halperin (2018).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30790" cy="756852"/>
                    </a:xfrm>
                    <a:prstGeom prst="rect">
                      <a:avLst/>
                    </a:prstGeom>
                    <a:noFill/>
                    <a:ln>
                      <a:noFill/>
                    </a:ln>
                  </pic:spPr>
                </pic:pic>
              </a:graphicData>
            </a:graphic>
          </wp:inline>
        </w:drawing>
      </w:r>
    </w:p>
    <w:p w14:paraId="20BA5543" w14:textId="77777777" w:rsidR="00F25025" w:rsidRDefault="00F25025" w:rsidP="00F25025">
      <w:r>
        <w:t xml:space="preserve">This is the most recently reported clinical trial in which dTPa (Adacel) or </w:t>
      </w:r>
      <w:r w:rsidR="00931772">
        <w:t>t</w:t>
      </w:r>
      <w:r w:rsidR="00931772" w:rsidRPr="00967D8E">
        <w:t xml:space="preserve">etanus diphtheria </w:t>
      </w:r>
      <w:r w:rsidR="00931772">
        <w:t>(</w:t>
      </w:r>
      <w:r>
        <w:t>Td</w:t>
      </w:r>
      <w:r w:rsidR="00931772">
        <w:t>)</w:t>
      </w:r>
      <w:r>
        <w:t xml:space="preserve"> vaccine were</w:t>
      </w:r>
      <w:r w:rsidRPr="00E822C0">
        <w:t xml:space="preserve"> given in </w:t>
      </w:r>
      <w:r>
        <w:t xml:space="preserve">third </w:t>
      </w:r>
      <w:r w:rsidRPr="00E822C0">
        <w:t>trimester</w:t>
      </w:r>
      <w:r>
        <w:t xml:space="preserve"> of pregnancy (range 33.3 to 35.7 weeks gestation). The infant results were as follows in </w:t>
      </w:r>
      <w:r w:rsidR="00E274BC">
        <w:fldChar w:fldCharType="begin"/>
      </w:r>
      <w:r w:rsidR="00E274BC">
        <w:instrText xml:space="preserve"> REF _Ref34050512 \h </w:instrText>
      </w:r>
      <w:r w:rsidR="00E274BC">
        <w:fldChar w:fldCharType="separate"/>
      </w:r>
      <w:r w:rsidR="00E274BC">
        <w:t xml:space="preserve">Table </w:t>
      </w:r>
      <w:r w:rsidR="00E274BC">
        <w:rPr>
          <w:noProof/>
        </w:rPr>
        <w:t>12</w:t>
      </w:r>
      <w:r w:rsidR="00E274BC">
        <w:fldChar w:fldCharType="end"/>
      </w:r>
      <w:r w:rsidR="00E274BC">
        <w:t>.</w:t>
      </w:r>
    </w:p>
    <w:p w14:paraId="2765A9E8" w14:textId="77777777" w:rsidR="00F25025" w:rsidRDefault="00F25025" w:rsidP="00F25025">
      <w:pPr>
        <w:pStyle w:val="TableTitle"/>
      </w:pPr>
      <w:bookmarkStart w:id="85" w:name="_Ref34050512"/>
      <w:r>
        <w:t xml:space="preserve">Table </w:t>
      </w:r>
      <w:r w:rsidR="006E7419">
        <w:fldChar w:fldCharType="begin"/>
      </w:r>
      <w:r w:rsidR="006E7419">
        <w:instrText xml:space="preserve"> SEQ Table \* ARABIC </w:instrText>
      </w:r>
      <w:r w:rsidR="006E7419">
        <w:fldChar w:fldCharType="separate"/>
      </w:r>
      <w:r w:rsidR="00E274BC">
        <w:rPr>
          <w:noProof/>
        </w:rPr>
        <w:t>12</w:t>
      </w:r>
      <w:r w:rsidR="006E7419">
        <w:rPr>
          <w:noProof/>
        </w:rPr>
        <w:fldChar w:fldCharType="end"/>
      </w:r>
      <w:bookmarkEnd w:id="85"/>
      <w:r>
        <w:t xml:space="preserve">: </w:t>
      </w:r>
      <w:r w:rsidRPr="00373661">
        <w:t>Halperin et al</w:t>
      </w:r>
      <w:r>
        <w:t>.,</w:t>
      </w:r>
      <w:r w:rsidRPr="00373661">
        <w:t xml:space="preserve"> (2018)</w:t>
      </w:r>
      <w:r>
        <w:t xml:space="preserve"> study results</w:t>
      </w:r>
      <w:r w:rsidR="00933BE8">
        <w:t>, geometric mean antibody concentration (95 % confidence interval)</w:t>
      </w:r>
    </w:p>
    <w:p w14:paraId="0233F676" w14:textId="77777777" w:rsidR="00F25025" w:rsidRDefault="00F25025" w:rsidP="00F25025">
      <w:r w:rsidRPr="00C05F99">
        <w:rPr>
          <w:noProof/>
          <w:lang w:eastAsia="en-AU"/>
        </w:rPr>
        <w:drawing>
          <wp:inline distT="0" distB="0" distL="0" distR="0" wp14:anchorId="4F821421" wp14:editId="4C4B22B5">
            <wp:extent cx="5186476" cy="1964416"/>
            <wp:effectExtent l="0" t="0" r="0" b="0"/>
            <wp:docPr id="39" name="Picture 39" descr="Halperin et al., (2018) study results, geometric mean antibody concentration (95 % confidence inter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_2019_CEU2\Capture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21888" cy="1977828"/>
                    </a:xfrm>
                    <a:prstGeom prst="rect">
                      <a:avLst/>
                    </a:prstGeom>
                    <a:noFill/>
                    <a:ln>
                      <a:noFill/>
                    </a:ln>
                  </pic:spPr>
                </pic:pic>
              </a:graphicData>
            </a:graphic>
          </wp:inline>
        </w:drawing>
      </w:r>
    </w:p>
    <w:p w14:paraId="1E82C3CB" w14:textId="77777777" w:rsidR="00F25025" w:rsidRDefault="00F25025" w:rsidP="00F25025">
      <w:r>
        <w:t xml:space="preserve">This is considered pivotal comparative data (antepartum dTPa versus Td) based on sufficient numbers in each group and administration of dTPa/Td is a standardised narrow time period between 33 and 36 weeks of gestation. It confirms the pattern of relatively subdued response to dTPa at all timepoints in the presence of antepartum maternal pertussis vaccination compared to antepartum Td control. The responses to </w:t>
      </w:r>
      <w:r w:rsidR="00931772">
        <w:t>diphtheria, tetanus</w:t>
      </w:r>
      <w:r>
        <w:t xml:space="preserve"> and </w:t>
      </w:r>
      <w:r w:rsidR="00931772">
        <w:t>h</w:t>
      </w:r>
      <w:r w:rsidR="00931772" w:rsidRPr="00931772">
        <w:t xml:space="preserve">aemophilus influenza type b </w:t>
      </w:r>
      <w:r w:rsidR="00931772">
        <w:t>(</w:t>
      </w:r>
      <w:r>
        <w:t>Hib</w:t>
      </w:r>
      <w:r w:rsidR="00931772">
        <w:t>)</w:t>
      </w:r>
      <w:r>
        <w:t xml:space="preserve"> antigens in infants were not affected.</w:t>
      </w:r>
    </w:p>
    <w:p w14:paraId="199DFBB2" w14:textId="77777777" w:rsidR="00F25025" w:rsidRDefault="00F25025" w:rsidP="00F25025">
      <w:pPr>
        <w:pStyle w:val="FigureTitle"/>
      </w:pPr>
      <w:r>
        <w:lastRenderedPageBreak/>
        <w:t xml:space="preserve">Figure </w:t>
      </w:r>
      <w:r w:rsidR="006E7419">
        <w:fldChar w:fldCharType="begin"/>
      </w:r>
      <w:r w:rsidR="006E7419">
        <w:instrText xml:space="preserve"> SEQ Figure \* ARABIC </w:instrText>
      </w:r>
      <w:r w:rsidR="006E7419">
        <w:fldChar w:fldCharType="separate"/>
      </w:r>
      <w:r w:rsidR="00931772">
        <w:rPr>
          <w:noProof/>
        </w:rPr>
        <w:t>2</w:t>
      </w:r>
      <w:r w:rsidR="006E7419">
        <w:rPr>
          <w:noProof/>
        </w:rPr>
        <w:fldChar w:fldCharType="end"/>
      </w:r>
      <w:r>
        <w:t xml:space="preserve">: </w:t>
      </w:r>
      <w:r w:rsidRPr="00045D54">
        <w:t>Halperin et al</w:t>
      </w:r>
      <w:r>
        <w:t>.,</w:t>
      </w:r>
      <w:r w:rsidRPr="00045D54">
        <w:t xml:space="preserve"> (2018)</w:t>
      </w:r>
      <w:r>
        <w:t xml:space="preserve"> study results (responses to antigens in infants)</w:t>
      </w:r>
    </w:p>
    <w:p w14:paraId="5CCDA7F1" w14:textId="77777777" w:rsidR="00F25025" w:rsidRPr="00E822C0" w:rsidRDefault="00F25025" w:rsidP="00F25025">
      <w:r w:rsidRPr="00C05F99">
        <w:rPr>
          <w:noProof/>
          <w:lang w:eastAsia="en-AU"/>
        </w:rPr>
        <w:drawing>
          <wp:inline distT="0" distB="0" distL="0" distR="0" wp14:anchorId="797F6918" wp14:editId="27EFBAC7">
            <wp:extent cx="5125720" cy="3895672"/>
            <wp:effectExtent l="0" t="0" r="0" b="0"/>
            <wp:docPr id="41" name="Picture 41" descr="Halperin et al., (2018) study results (responses to antigens in inf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_2019_CEU2\captur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25720" cy="3895672"/>
                    </a:xfrm>
                    <a:prstGeom prst="rect">
                      <a:avLst/>
                    </a:prstGeom>
                    <a:noFill/>
                    <a:ln>
                      <a:noFill/>
                    </a:ln>
                  </pic:spPr>
                </pic:pic>
              </a:graphicData>
            </a:graphic>
          </wp:inline>
        </w:drawing>
      </w:r>
    </w:p>
    <w:p w14:paraId="58B09EF1" w14:textId="77777777" w:rsidR="00F25025" w:rsidRPr="000A4803" w:rsidRDefault="00F25025" w:rsidP="00F25025">
      <w:pPr>
        <w:pStyle w:val="Heading5"/>
      </w:pPr>
      <w:r>
        <w:t xml:space="preserve">Vaccine effectiveness </w:t>
      </w:r>
      <w:r w:rsidRPr="000A4803">
        <w:t>studies</w:t>
      </w:r>
    </w:p>
    <w:p w14:paraId="0ACE6DF4" w14:textId="77777777" w:rsidR="00F25025" w:rsidRPr="00C05F99" w:rsidRDefault="00F25025" w:rsidP="00F25025">
      <w:r w:rsidRPr="00C05F99">
        <w:t>Estimates of VE of maternal pertussis vaccination, from 4 observational studies, were available and are</w:t>
      </w:r>
      <w:r>
        <w:t xml:space="preserve"> briefly presented below.</w:t>
      </w:r>
    </w:p>
    <w:p w14:paraId="2C5CDA6C" w14:textId="77777777" w:rsidR="00F25025" w:rsidRDefault="00F25025" w:rsidP="00F25025">
      <w:pPr>
        <w:pStyle w:val="Heading6"/>
        <w:rPr>
          <w:rFonts w:eastAsiaTheme="minorHAnsi"/>
        </w:rPr>
      </w:pPr>
      <w:r w:rsidRPr="00737A85">
        <w:rPr>
          <w:rFonts w:eastAsiaTheme="minorHAnsi"/>
        </w:rPr>
        <w:t>Amirthalingam et al</w:t>
      </w:r>
      <w:r>
        <w:rPr>
          <w:rFonts w:eastAsiaTheme="minorHAnsi"/>
        </w:rPr>
        <w:t>.,</w:t>
      </w:r>
      <w:r w:rsidRPr="00737A85">
        <w:rPr>
          <w:rFonts w:eastAsiaTheme="minorHAnsi"/>
        </w:rPr>
        <w:t xml:space="preserve"> (</w:t>
      </w:r>
      <w:r>
        <w:rPr>
          <w:rFonts w:eastAsiaTheme="minorHAnsi"/>
        </w:rPr>
        <w:t xml:space="preserve">2014 and </w:t>
      </w:r>
      <w:r w:rsidRPr="00737A85">
        <w:rPr>
          <w:rFonts w:eastAsiaTheme="minorHAnsi"/>
        </w:rPr>
        <w:t>2016)</w:t>
      </w:r>
    </w:p>
    <w:p w14:paraId="01341E3B" w14:textId="5E8A80F2" w:rsidR="00F25025" w:rsidRPr="00C05F99" w:rsidRDefault="00F25025" w:rsidP="00F25025">
      <w:r w:rsidRPr="00C05F99">
        <w:t xml:space="preserve">The </w:t>
      </w:r>
      <w:r>
        <w:t>Amirthalingam el al., (</w:t>
      </w:r>
      <w:r w:rsidRPr="00C05F99">
        <w:t>2014</w:t>
      </w:r>
      <w:r>
        <w:t>)</w:t>
      </w:r>
      <w:r w:rsidRPr="00C05F99">
        <w:t xml:space="preserve"> report was based on 82 cases and 26,684 live births w</w:t>
      </w:r>
      <w:r>
        <w:t>ith maternal coverage from 1 October 2012 to 30 September</w:t>
      </w:r>
      <w:r w:rsidRPr="00C05F99">
        <w:t>2014.</w:t>
      </w:r>
      <w:r w:rsidRPr="006337A0">
        <w:rPr>
          <w:vertAlign w:val="superscript"/>
        </w:rPr>
        <w:fldChar w:fldCharType="begin"/>
      </w:r>
      <w:r w:rsidRPr="006337A0">
        <w:rPr>
          <w:vertAlign w:val="superscript"/>
        </w:rPr>
        <w:instrText xml:space="preserve"> NOTEREF _Ref17935408 \h </w:instrText>
      </w:r>
      <w:r>
        <w:rPr>
          <w:vertAlign w:val="superscript"/>
        </w:rPr>
        <w:instrText xml:space="preserve"> \* MERGEFORMAT </w:instrText>
      </w:r>
      <w:r w:rsidRPr="006337A0">
        <w:rPr>
          <w:vertAlign w:val="superscript"/>
        </w:rPr>
      </w:r>
      <w:r w:rsidRPr="006337A0">
        <w:rPr>
          <w:vertAlign w:val="superscript"/>
        </w:rPr>
        <w:fldChar w:fldCharType="separate"/>
      </w:r>
      <w:r w:rsidR="00EA66A2">
        <w:rPr>
          <w:vertAlign w:val="superscript"/>
        </w:rPr>
        <w:t>25</w:t>
      </w:r>
      <w:r w:rsidRPr="006337A0">
        <w:rPr>
          <w:vertAlign w:val="superscript"/>
        </w:rPr>
        <w:fldChar w:fldCharType="end"/>
      </w:r>
      <w:r w:rsidRPr="00C05F99">
        <w:t xml:space="preserve"> It was followed by publication of Amirthalingam el al (2016) with extended coverage and a</w:t>
      </w:r>
      <w:r>
        <w:t xml:space="preserve"> larger dataset.</w:t>
      </w:r>
      <w:r w:rsidRPr="0023625C">
        <w:rPr>
          <w:vertAlign w:val="superscript"/>
        </w:rPr>
        <w:fldChar w:fldCharType="begin"/>
      </w:r>
      <w:r w:rsidRPr="0023625C">
        <w:rPr>
          <w:vertAlign w:val="superscript"/>
        </w:rPr>
        <w:instrText xml:space="preserve"> NOTEREF _Ref17935410 \h </w:instrText>
      </w:r>
      <w:r>
        <w:rPr>
          <w:vertAlign w:val="superscript"/>
        </w:rPr>
        <w:instrText xml:space="preserve"> \* MERGEFORMAT </w:instrText>
      </w:r>
      <w:r w:rsidRPr="0023625C">
        <w:rPr>
          <w:vertAlign w:val="superscript"/>
        </w:rPr>
      </w:r>
      <w:r w:rsidRPr="0023625C">
        <w:rPr>
          <w:vertAlign w:val="superscript"/>
        </w:rPr>
        <w:fldChar w:fldCharType="separate"/>
      </w:r>
      <w:r w:rsidR="00EA66A2">
        <w:rPr>
          <w:vertAlign w:val="superscript"/>
        </w:rPr>
        <w:t>26</w:t>
      </w:r>
      <w:r w:rsidRPr="0023625C">
        <w:rPr>
          <w:vertAlign w:val="superscript"/>
        </w:rPr>
        <w:fldChar w:fldCharType="end"/>
      </w:r>
    </w:p>
    <w:p w14:paraId="47786B5D" w14:textId="77777777" w:rsidR="00F25025" w:rsidRDefault="00F25025" w:rsidP="00F25025">
      <w:pPr>
        <w:pStyle w:val="TableTitle"/>
      </w:pPr>
      <w:r>
        <w:t xml:space="preserve">Table </w:t>
      </w:r>
      <w:r w:rsidR="006E7419">
        <w:fldChar w:fldCharType="begin"/>
      </w:r>
      <w:r w:rsidR="006E7419">
        <w:instrText xml:space="preserve"> SEQ Table \* ARABIC </w:instrText>
      </w:r>
      <w:r w:rsidR="006E7419">
        <w:fldChar w:fldCharType="separate"/>
      </w:r>
      <w:r w:rsidR="00931772">
        <w:rPr>
          <w:noProof/>
        </w:rPr>
        <w:t>13</w:t>
      </w:r>
      <w:r w:rsidR="006E7419">
        <w:rPr>
          <w:noProof/>
        </w:rPr>
        <w:fldChar w:fldCharType="end"/>
      </w:r>
      <w:r>
        <w:t>: Amirthalingam et al., (</w:t>
      </w:r>
      <w:r w:rsidRPr="00803A63">
        <w:t>2016)</w:t>
      </w:r>
      <w:r>
        <w:rPr>
          <w:noProof/>
        </w:rPr>
        <w:t xml:space="preserve"> overview</w:t>
      </w:r>
    </w:p>
    <w:p w14:paraId="71BBB5E3" w14:textId="77777777" w:rsidR="00F25025" w:rsidRPr="00E822C0" w:rsidRDefault="00F25025" w:rsidP="00F25025">
      <w:pPr>
        <w:rPr>
          <w:rFonts w:eastAsiaTheme="minorEastAsia" w:cs="TimesNewRomanPSMT"/>
        </w:rPr>
      </w:pPr>
      <w:r w:rsidRPr="00C05F99">
        <w:rPr>
          <w:noProof/>
          <w:lang w:eastAsia="en-AU"/>
        </w:rPr>
        <w:drawing>
          <wp:inline distT="0" distB="0" distL="0" distR="0" wp14:anchorId="32DD1DEA" wp14:editId="67D167A2">
            <wp:extent cx="4790440" cy="1399073"/>
            <wp:effectExtent l="0" t="0" r="0" b="0"/>
            <wp:docPr id="38" name="Picture 38" descr="Amirthalingam et al., (2016)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_2019_CEU2\ACV2019\tables_adacel\amirthal (2016).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90440" cy="1399073"/>
                    </a:xfrm>
                    <a:prstGeom prst="rect">
                      <a:avLst/>
                    </a:prstGeom>
                    <a:noFill/>
                    <a:ln>
                      <a:noFill/>
                    </a:ln>
                  </pic:spPr>
                </pic:pic>
              </a:graphicData>
            </a:graphic>
          </wp:inline>
        </w:drawing>
      </w:r>
    </w:p>
    <w:p w14:paraId="493DA85F" w14:textId="77777777" w:rsidR="00F25025" w:rsidRDefault="00F25025" w:rsidP="00F25025">
      <w:r w:rsidRPr="00C05F99">
        <w:t>VE calculated (screening or case coverage method) as 1 minus odds of maternal vaccination in cases/odds of vaccination in matched populati</w:t>
      </w:r>
      <w:r>
        <w:t>on as reported as follows.</w:t>
      </w:r>
    </w:p>
    <w:p w14:paraId="5D71155C" w14:textId="77777777" w:rsidR="00F25025" w:rsidRPr="00C05F99" w:rsidRDefault="00F25025" w:rsidP="00F25025">
      <w:pPr>
        <w:pStyle w:val="TableTitle"/>
      </w:pPr>
      <w:r>
        <w:t xml:space="preserve">Table </w:t>
      </w:r>
      <w:r w:rsidR="006E7419">
        <w:fldChar w:fldCharType="begin"/>
      </w:r>
      <w:r w:rsidR="006E7419">
        <w:instrText xml:space="preserve"> SEQ Table \* ARABIC </w:instrText>
      </w:r>
      <w:r w:rsidR="006E7419">
        <w:fldChar w:fldCharType="separate"/>
      </w:r>
      <w:r w:rsidR="00931772">
        <w:rPr>
          <w:noProof/>
        </w:rPr>
        <w:t>14</w:t>
      </w:r>
      <w:r w:rsidR="006E7419">
        <w:rPr>
          <w:noProof/>
        </w:rPr>
        <w:fldChar w:fldCharType="end"/>
      </w:r>
      <w:r>
        <w:t>: Amirthalingam et al</w:t>
      </w:r>
      <w:r w:rsidR="00931772">
        <w:t>.</w:t>
      </w:r>
      <w:r>
        <w:t xml:space="preserve"> (</w:t>
      </w:r>
      <w:r w:rsidRPr="00803A63">
        <w:t>2016)</w:t>
      </w:r>
      <w:r>
        <w:t>,</w:t>
      </w:r>
      <w:r>
        <w:rPr>
          <w:noProof/>
        </w:rPr>
        <w:t xml:space="preserve"> results for maternal vaccinations at least 1 week before delivery</w:t>
      </w:r>
    </w:p>
    <w:p w14:paraId="564D43E3" w14:textId="77777777" w:rsidR="00F25025" w:rsidRPr="00E822C0" w:rsidRDefault="00A8279A" w:rsidP="00F25025">
      <w:pPr>
        <w:rPr>
          <w:rFonts w:eastAsiaTheme="minorEastAsia" w:cs="TimesNewRomanPSMT"/>
        </w:rPr>
      </w:pPr>
      <w:r>
        <w:rPr>
          <w:noProof/>
          <w:lang w:eastAsia="en-AU"/>
        </w:rPr>
        <w:drawing>
          <wp:inline distT="0" distB="0" distL="0" distR="0" wp14:anchorId="67819295" wp14:editId="70E14B12">
            <wp:extent cx="5400040" cy="546100"/>
            <wp:effectExtent l="0" t="0" r="0" b="6350"/>
            <wp:docPr id="4" name="Picture 4" descr="Amirthalingam et al. (2016), results for maternal vaccinations at least 1 week before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040" cy="546100"/>
                    </a:xfrm>
                    <a:prstGeom prst="rect">
                      <a:avLst/>
                    </a:prstGeom>
                  </pic:spPr>
                </pic:pic>
              </a:graphicData>
            </a:graphic>
          </wp:inline>
        </w:drawing>
      </w:r>
    </w:p>
    <w:p w14:paraId="6D3230A8" w14:textId="77777777" w:rsidR="00F25025" w:rsidRDefault="00F25025" w:rsidP="00F25025">
      <w:r w:rsidRPr="00C05F99">
        <w:lastRenderedPageBreak/>
        <w:t xml:space="preserve">Estimates of VE by timing of maternal pertussis vaccination were as follows indicative </w:t>
      </w:r>
      <w:r>
        <w:t>of significant drop in VE if dTP</w:t>
      </w:r>
      <w:r w:rsidRPr="00C05F99">
        <w:t>a was given within one</w:t>
      </w:r>
      <w:r>
        <w:t xml:space="preserve"> week of delivery or postpartum.</w:t>
      </w:r>
    </w:p>
    <w:p w14:paraId="39818B07" w14:textId="77777777" w:rsidR="00F25025" w:rsidRPr="00C05F99" w:rsidRDefault="00F25025" w:rsidP="00F25025">
      <w:pPr>
        <w:pStyle w:val="TableTitle"/>
      </w:pPr>
      <w:bookmarkStart w:id="86" w:name="_Ref34051335"/>
      <w:r>
        <w:t xml:space="preserve">Table </w:t>
      </w:r>
      <w:r w:rsidR="006E7419">
        <w:fldChar w:fldCharType="begin"/>
      </w:r>
      <w:r w:rsidR="006E7419">
        <w:instrText xml:space="preserve"> SEQ Table \* ARABIC </w:instrText>
      </w:r>
      <w:r w:rsidR="006E7419">
        <w:fldChar w:fldCharType="separate"/>
      </w:r>
      <w:r w:rsidR="00931772">
        <w:rPr>
          <w:noProof/>
        </w:rPr>
        <w:t>15</w:t>
      </w:r>
      <w:r w:rsidR="006E7419">
        <w:rPr>
          <w:noProof/>
        </w:rPr>
        <w:fldChar w:fldCharType="end"/>
      </w:r>
      <w:bookmarkEnd w:id="86"/>
      <w:r>
        <w:t>: Amirthalingam et al</w:t>
      </w:r>
      <w:r w:rsidR="00931772">
        <w:t>.</w:t>
      </w:r>
      <w:r>
        <w:t xml:space="preserve"> (</w:t>
      </w:r>
      <w:r w:rsidRPr="00803A63">
        <w:t>2016)</w:t>
      </w:r>
      <w:r>
        <w:t>,</w:t>
      </w:r>
      <w:r>
        <w:rPr>
          <w:noProof/>
        </w:rPr>
        <w:t xml:space="preserve"> results, </w:t>
      </w:r>
      <w:r w:rsidR="00933BE8">
        <w:rPr>
          <w:noProof/>
        </w:rPr>
        <w:t xml:space="preserve">vaccine effectiveness </w:t>
      </w:r>
      <w:r>
        <w:rPr>
          <w:noProof/>
        </w:rPr>
        <w:t>by timing of maternal vaccination</w:t>
      </w:r>
    </w:p>
    <w:p w14:paraId="39BF57E5" w14:textId="77777777" w:rsidR="00F25025" w:rsidRPr="00E822C0" w:rsidRDefault="00931772" w:rsidP="00F25025">
      <w:r>
        <w:rPr>
          <w:noProof/>
          <w:lang w:eastAsia="en-AU"/>
        </w:rPr>
        <w:drawing>
          <wp:inline distT="0" distB="0" distL="0" distR="0" wp14:anchorId="0E09F5CA" wp14:editId="2F2710CA">
            <wp:extent cx="5303520" cy="1496136"/>
            <wp:effectExtent l="0" t="0" r="0" b="8890"/>
            <wp:docPr id="3" name="Picture 3" descr="Amirthalingam et al. (2016), results, vaccine effectiveness by timing of maternal vacc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12468" cy="1498660"/>
                    </a:xfrm>
                    <a:prstGeom prst="rect">
                      <a:avLst/>
                    </a:prstGeom>
                  </pic:spPr>
                </pic:pic>
              </a:graphicData>
            </a:graphic>
          </wp:inline>
        </w:drawing>
      </w:r>
    </w:p>
    <w:p w14:paraId="7C9BC98C" w14:textId="77777777" w:rsidR="00F25025" w:rsidRDefault="00F25025" w:rsidP="00F25025">
      <w:r>
        <w:t>Estimates of VE by d</w:t>
      </w:r>
      <w:r w:rsidRPr="00E822C0">
        <w:t xml:space="preserve">TPa </w:t>
      </w:r>
      <w:r>
        <w:t xml:space="preserve">dose </w:t>
      </w:r>
      <w:r w:rsidRPr="00E822C0">
        <w:t xml:space="preserve">were as follows, indicative of declining </w:t>
      </w:r>
      <w:r>
        <w:t>vaccine efficacy despite the priming dTPa series; that is, clinical data consistent with the immunogenicity data seen earlier.</w:t>
      </w:r>
    </w:p>
    <w:p w14:paraId="7F900C7F" w14:textId="77777777" w:rsidR="00F25025" w:rsidRPr="00C05F99" w:rsidRDefault="00F25025" w:rsidP="00F25025">
      <w:pPr>
        <w:pStyle w:val="TableTitle"/>
      </w:pPr>
      <w:r>
        <w:t xml:space="preserve">Table </w:t>
      </w:r>
      <w:r w:rsidR="006E7419">
        <w:fldChar w:fldCharType="begin"/>
      </w:r>
      <w:r w:rsidR="006E7419">
        <w:instrText xml:space="preserve"> SEQ Table \* ARABIC </w:instrText>
      </w:r>
      <w:r w:rsidR="006E7419">
        <w:fldChar w:fldCharType="separate"/>
      </w:r>
      <w:r w:rsidR="00931772">
        <w:rPr>
          <w:noProof/>
        </w:rPr>
        <w:t>16</w:t>
      </w:r>
      <w:r w:rsidR="006E7419">
        <w:rPr>
          <w:noProof/>
        </w:rPr>
        <w:fldChar w:fldCharType="end"/>
      </w:r>
      <w:r w:rsidR="00931772">
        <w:t>: Amirthalingam et al.</w:t>
      </w:r>
      <w:r>
        <w:t xml:space="preserve"> (</w:t>
      </w:r>
      <w:r w:rsidRPr="00803A63">
        <w:t>2016)</w:t>
      </w:r>
      <w:r>
        <w:rPr>
          <w:noProof/>
        </w:rPr>
        <w:t xml:space="preserve"> results, </w:t>
      </w:r>
      <w:r w:rsidR="00933BE8">
        <w:rPr>
          <w:noProof/>
        </w:rPr>
        <w:t xml:space="preserve">vaccine effectiveness </w:t>
      </w:r>
      <w:r>
        <w:rPr>
          <w:noProof/>
        </w:rPr>
        <w:t>by number</w:t>
      </w:r>
      <w:r w:rsidR="00931772">
        <w:rPr>
          <w:noProof/>
        </w:rPr>
        <w:t xml:space="preserve"> </w:t>
      </w:r>
      <w:r>
        <w:rPr>
          <w:noProof/>
        </w:rPr>
        <w:t>of doses</w:t>
      </w:r>
    </w:p>
    <w:p w14:paraId="543C6217" w14:textId="77777777" w:rsidR="00F25025" w:rsidRPr="00E822C0" w:rsidRDefault="00A8279A" w:rsidP="00A8279A">
      <w:r>
        <w:rPr>
          <w:noProof/>
          <w:lang w:eastAsia="en-AU"/>
        </w:rPr>
        <w:drawing>
          <wp:inline distT="0" distB="0" distL="0" distR="0" wp14:anchorId="08BBD706" wp14:editId="2934B927">
            <wp:extent cx="5400040" cy="1380490"/>
            <wp:effectExtent l="0" t="0" r="0" b="0"/>
            <wp:docPr id="5" name="Picture 5" descr="Amirthalingam et al. (2016) results, vaccine effectiveness by number of d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00040" cy="1380490"/>
                    </a:xfrm>
                    <a:prstGeom prst="rect">
                      <a:avLst/>
                    </a:prstGeom>
                  </pic:spPr>
                </pic:pic>
              </a:graphicData>
            </a:graphic>
          </wp:inline>
        </w:drawing>
      </w:r>
    </w:p>
    <w:p w14:paraId="2B8BF33C" w14:textId="77777777" w:rsidR="00F25025" w:rsidRDefault="00F25025" w:rsidP="00F25025">
      <w:pPr>
        <w:pStyle w:val="Heading6"/>
        <w:rPr>
          <w:rFonts w:eastAsiaTheme="minorHAnsi"/>
        </w:rPr>
      </w:pPr>
      <w:r w:rsidRPr="00EE7D75">
        <w:rPr>
          <w:rFonts w:eastAsiaTheme="minorHAnsi"/>
        </w:rPr>
        <w:t>Dabrera et al</w:t>
      </w:r>
      <w:r>
        <w:rPr>
          <w:rFonts w:eastAsiaTheme="minorHAnsi"/>
        </w:rPr>
        <w:t>.,</w:t>
      </w:r>
      <w:r w:rsidRPr="00EE7D75">
        <w:rPr>
          <w:rFonts w:eastAsiaTheme="minorHAnsi"/>
        </w:rPr>
        <w:t xml:space="preserve"> (2015)</w:t>
      </w:r>
    </w:p>
    <w:p w14:paraId="32FF0756" w14:textId="14B409BF" w:rsidR="00F25025" w:rsidRPr="006337A0" w:rsidRDefault="00F25025" w:rsidP="00F25025">
      <w:pPr>
        <w:spacing w:after="0" w:line="276" w:lineRule="auto"/>
        <w:jc w:val="both"/>
        <w:rPr>
          <w:vertAlign w:val="superscript"/>
        </w:rPr>
      </w:pPr>
      <w:r>
        <w:rPr>
          <w:rFonts w:eastAsiaTheme="minorHAnsi" w:cstheme="minorBidi"/>
        </w:rPr>
        <w:t>Dabrera et al., (2015) was a case control study as follows in</w:t>
      </w:r>
      <w:r w:rsidR="00931772">
        <w:rPr>
          <w:rFonts w:eastAsiaTheme="minorHAnsi" w:cstheme="minorBidi"/>
        </w:rPr>
        <w:t xml:space="preserve"> </w:t>
      </w:r>
      <w:r w:rsidR="00931772">
        <w:rPr>
          <w:rFonts w:eastAsiaTheme="minorHAnsi" w:cstheme="minorBidi"/>
        </w:rPr>
        <w:fldChar w:fldCharType="begin"/>
      </w:r>
      <w:r w:rsidR="00931772">
        <w:rPr>
          <w:rFonts w:eastAsiaTheme="minorHAnsi" w:cstheme="minorBidi"/>
        </w:rPr>
        <w:instrText xml:space="preserve"> REF _Ref34051076 \h </w:instrText>
      </w:r>
      <w:r w:rsidR="00931772">
        <w:rPr>
          <w:rFonts w:eastAsiaTheme="minorHAnsi" w:cstheme="minorBidi"/>
        </w:rPr>
      </w:r>
      <w:r w:rsidR="00931772">
        <w:rPr>
          <w:rFonts w:eastAsiaTheme="minorHAnsi" w:cstheme="minorBidi"/>
        </w:rPr>
        <w:fldChar w:fldCharType="separate"/>
      </w:r>
      <w:r w:rsidR="00931772">
        <w:t xml:space="preserve">Table </w:t>
      </w:r>
      <w:r w:rsidR="00931772">
        <w:rPr>
          <w:noProof/>
        </w:rPr>
        <w:t>17</w:t>
      </w:r>
      <w:r w:rsidR="00931772">
        <w:rPr>
          <w:rFonts w:eastAsiaTheme="minorHAnsi" w:cstheme="minorBidi"/>
        </w:rPr>
        <w:fldChar w:fldCharType="end"/>
      </w:r>
      <w:r>
        <w:rPr>
          <w:rFonts w:eastAsiaTheme="minorHAnsi" w:cstheme="minorBidi"/>
        </w:rPr>
        <w:t>.</w:t>
      </w:r>
      <w:r w:rsidRPr="006337A0">
        <w:rPr>
          <w:rFonts w:eastAsiaTheme="minorHAnsi" w:cstheme="minorBidi"/>
          <w:vertAlign w:val="superscript"/>
        </w:rPr>
        <w:fldChar w:fldCharType="begin"/>
      </w:r>
      <w:r w:rsidRPr="006337A0">
        <w:rPr>
          <w:rFonts w:eastAsiaTheme="minorHAnsi" w:cstheme="minorBidi"/>
          <w:vertAlign w:val="superscript"/>
        </w:rPr>
        <w:instrText xml:space="preserve"> NOTEREF _Ref17935414 \h </w:instrText>
      </w:r>
      <w:r>
        <w:rPr>
          <w:rFonts w:eastAsiaTheme="minorHAnsi" w:cstheme="minorBidi"/>
          <w:vertAlign w:val="superscript"/>
        </w:rPr>
        <w:instrText xml:space="preserve"> \* MERGEFORMAT </w:instrText>
      </w:r>
      <w:r w:rsidRPr="006337A0">
        <w:rPr>
          <w:rFonts w:eastAsiaTheme="minorHAnsi" w:cstheme="minorBidi"/>
          <w:vertAlign w:val="superscript"/>
        </w:rPr>
      </w:r>
      <w:r w:rsidRPr="006337A0">
        <w:rPr>
          <w:rFonts w:eastAsiaTheme="minorHAnsi" w:cstheme="minorBidi"/>
          <w:vertAlign w:val="superscript"/>
        </w:rPr>
        <w:fldChar w:fldCharType="separate"/>
      </w:r>
      <w:r w:rsidR="00EA66A2">
        <w:rPr>
          <w:rFonts w:eastAsiaTheme="minorHAnsi" w:cstheme="minorBidi"/>
          <w:vertAlign w:val="superscript"/>
        </w:rPr>
        <w:t>28</w:t>
      </w:r>
      <w:r w:rsidRPr="006337A0">
        <w:rPr>
          <w:rFonts w:eastAsiaTheme="minorHAnsi" w:cstheme="minorBidi"/>
          <w:vertAlign w:val="superscript"/>
        </w:rPr>
        <w:fldChar w:fldCharType="end"/>
      </w:r>
    </w:p>
    <w:p w14:paraId="7CC92D1B" w14:textId="77777777" w:rsidR="00F25025" w:rsidRDefault="00F25025" w:rsidP="00F25025">
      <w:pPr>
        <w:pStyle w:val="TableTitle"/>
      </w:pPr>
      <w:bookmarkStart w:id="87" w:name="_Ref34051076"/>
      <w:r>
        <w:t xml:space="preserve">Table </w:t>
      </w:r>
      <w:r w:rsidR="006E7419">
        <w:fldChar w:fldCharType="begin"/>
      </w:r>
      <w:r w:rsidR="006E7419">
        <w:instrText xml:space="preserve"> SEQ Table \* ARABIC </w:instrText>
      </w:r>
      <w:r w:rsidR="006E7419">
        <w:fldChar w:fldCharType="separate"/>
      </w:r>
      <w:r w:rsidR="00931772">
        <w:rPr>
          <w:noProof/>
        </w:rPr>
        <w:t>17</w:t>
      </w:r>
      <w:r w:rsidR="006E7419">
        <w:rPr>
          <w:noProof/>
        </w:rPr>
        <w:fldChar w:fldCharType="end"/>
      </w:r>
      <w:bookmarkEnd w:id="87"/>
      <w:r>
        <w:t xml:space="preserve">: </w:t>
      </w:r>
      <w:r w:rsidRPr="00F92517">
        <w:t>Dabrera et al</w:t>
      </w:r>
      <w:r>
        <w:t>.,</w:t>
      </w:r>
      <w:r w:rsidRPr="00F92517">
        <w:t xml:space="preserve"> (2015)</w:t>
      </w:r>
      <w:r>
        <w:t xml:space="preserve"> overview</w:t>
      </w:r>
    </w:p>
    <w:p w14:paraId="4CD44DDC" w14:textId="77777777" w:rsidR="00F25025" w:rsidRPr="00E822C0" w:rsidRDefault="00F25025" w:rsidP="00F25025">
      <w:pPr>
        <w:spacing w:before="0" w:line="240" w:lineRule="auto"/>
        <w:jc w:val="both"/>
        <w:rPr>
          <w:rFonts w:eastAsiaTheme="minorEastAsia" w:cs="TimesNewRomanPSMT"/>
        </w:rPr>
      </w:pPr>
      <w:r w:rsidRPr="00E822C0">
        <w:rPr>
          <w:noProof/>
          <w:lang w:eastAsia="en-AU"/>
        </w:rPr>
        <w:drawing>
          <wp:inline distT="0" distB="0" distL="0" distR="0" wp14:anchorId="66AFDAF1" wp14:editId="036F3E39">
            <wp:extent cx="5384800" cy="1237323"/>
            <wp:effectExtent l="0" t="0" r="6350" b="1270"/>
            <wp:docPr id="40" name="Picture 40" descr="Dabrera et al., (2015)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_2019_CEU2\ACV2019\tables_adacel\dabrera (2015).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89998" cy="1238517"/>
                    </a:xfrm>
                    <a:prstGeom prst="rect">
                      <a:avLst/>
                    </a:prstGeom>
                    <a:noFill/>
                    <a:ln>
                      <a:noFill/>
                    </a:ln>
                  </pic:spPr>
                </pic:pic>
              </a:graphicData>
            </a:graphic>
          </wp:inline>
        </w:drawing>
      </w:r>
    </w:p>
    <w:p w14:paraId="07BBBDE1" w14:textId="77777777" w:rsidR="00F25025" w:rsidRDefault="00F25025" w:rsidP="00F25025">
      <w:r w:rsidRPr="00C05F99">
        <w:t xml:space="preserve">The median gestation at </w:t>
      </w:r>
      <w:r>
        <w:t>the time of dTP</w:t>
      </w:r>
      <w:r w:rsidRPr="00C05F99">
        <w:t>a vaccination was</w:t>
      </w:r>
      <w:r>
        <w:t xml:space="preserve"> 31.5 weeks (range, 28 to 38 </w:t>
      </w:r>
      <w:r w:rsidRPr="00C05F99">
        <w:t>weeks) fo</w:t>
      </w:r>
      <w:r>
        <w:t xml:space="preserve">r cases and 33 weeks (range, 26 to </w:t>
      </w:r>
      <w:r w:rsidRPr="00C05F99">
        <w:t>38 weeks) for controls. The estimate of VE was as follows</w:t>
      </w:r>
      <w:r w:rsidR="00931772">
        <w:t xml:space="preserve"> in </w:t>
      </w:r>
      <w:r w:rsidR="00931772">
        <w:fldChar w:fldCharType="begin"/>
      </w:r>
      <w:r w:rsidR="00931772">
        <w:instrText xml:space="preserve"> REF _Ref34051151 \h </w:instrText>
      </w:r>
      <w:r w:rsidR="00931772">
        <w:fldChar w:fldCharType="separate"/>
      </w:r>
      <w:r w:rsidR="00931772">
        <w:t xml:space="preserve">Table </w:t>
      </w:r>
      <w:r w:rsidR="00931772">
        <w:rPr>
          <w:noProof/>
        </w:rPr>
        <w:t>18</w:t>
      </w:r>
      <w:r w:rsidR="00931772">
        <w:fldChar w:fldCharType="end"/>
      </w:r>
      <w:r w:rsidRPr="00C05F99">
        <w:t>, consistent with the estimate seen in Amirt</w:t>
      </w:r>
      <w:r w:rsidR="00A8279A">
        <w:t>halingam et</w:t>
      </w:r>
      <w:r>
        <w:t xml:space="preserve"> al., (2016) above</w:t>
      </w:r>
      <w:r w:rsidR="00A8279A">
        <w:t xml:space="preserve"> (</w:t>
      </w:r>
      <w:r w:rsidR="00A8279A">
        <w:fldChar w:fldCharType="begin"/>
      </w:r>
      <w:r w:rsidR="00A8279A">
        <w:instrText xml:space="preserve"> REF _Ref34051335 \h </w:instrText>
      </w:r>
      <w:r w:rsidR="00A8279A">
        <w:fldChar w:fldCharType="separate"/>
      </w:r>
      <w:r w:rsidR="00A8279A">
        <w:t xml:space="preserve">Table </w:t>
      </w:r>
      <w:r w:rsidR="00A8279A">
        <w:rPr>
          <w:noProof/>
        </w:rPr>
        <w:t>15</w:t>
      </w:r>
      <w:r w:rsidR="00A8279A">
        <w:fldChar w:fldCharType="end"/>
      </w:r>
      <w:r w:rsidR="00A8279A">
        <w:t>)</w:t>
      </w:r>
      <w:r>
        <w:t>.</w:t>
      </w:r>
    </w:p>
    <w:p w14:paraId="487002C1" w14:textId="77777777" w:rsidR="00F25025" w:rsidRPr="00C05F99" w:rsidRDefault="00F25025" w:rsidP="00F25025">
      <w:pPr>
        <w:pStyle w:val="TableTitle"/>
      </w:pPr>
      <w:bookmarkStart w:id="88" w:name="_Ref34051151"/>
      <w:r>
        <w:t xml:space="preserve">Table </w:t>
      </w:r>
      <w:r w:rsidR="006E7419">
        <w:fldChar w:fldCharType="begin"/>
      </w:r>
      <w:r w:rsidR="006E7419">
        <w:instrText xml:space="preserve"> SEQ Table \* ARABIC </w:instrText>
      </w:r>
      <w:r w:rsidR="006E7419">
        <w:fldChar w:fldCharType="separate"/>
      </w:r>
      <w:r w:rsidR="00931772">
        <w:rPr>
          <w:noProof/>
        </w:rPr>
        <w:t>18</w:t>
      </w:r>
      <w:r w:rsidR="006E7419">
        <w:rPr>
          <w:noProof/>
        </w:rPr>
        <w:fldChar w:fldCharType="end"/>
      </w:r>
      <w:bookmarkEnd w:id="88"/>
      <w:r>
        <w:t xml:space="preserve">: </w:t>
      </w:r>
      <w:r w:rsidRPr="00F92517">
        <w:t>Dabrera et al</w:t>
      </w:r>
      <w:r>
        <w:t>.,</w:t>
      </w:r>
      <w:r w:rsidRPr="00F92517">
        <w:t xml:space="preserve"> (2015)</w:t>
      </w:r>
      <w:r>
        <w:t xml:space="preserve"> results</w:t>
      </w:r>
      <w:r w:rsidR="00A8279A">
        <w:t>, vaccine effectiveness</w:t>
      </w:r>
    </w:p>
    <w:p w14:paraId="0C2691CA" w14:textId="77777777" w:rsidR="00F25025" w:rsidRPr="00E822C0" w:rsidRDefault="00F25025" w:rsidP="00F25025">
      <w:pPr>
        <w:spacing w:line="240" w:lineRule="auto"/>
        <w:jc w:val="both"/>
      </w:pPr>
      <w:r w:rsidRPr="00E822C0">
        <w:rPr>
          <w:noProof/>
          <w:lang w:eastAsia="en-AU"/>
        </w:rPr>
        <w:drawing>
          <wp:inline distT="0" distB="0" distL="0" distR="0" wp14:anchorId="5DB2CF0C" wp14:editId="2FBDDDFF">
            <wp:extent cx="5455920" cy="967822"/>
            <wp:effectExtent l="0" t="0" r="0" b="3810"/>
            <wp:docPr id="17" name="Picture 17" descr="Dabrera et al., (2015) results, vaccine effectiv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_2019_CEU2\capture.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59727" cy="968497"/>
                    </a:xfrm>
                    <a:prstGeom prst="rect">
                      <a:avLst/>
                    </a:prstGeom>
                    <a:noFill/>
                    <a:ln>
                      <a:noFill/>
                    </a:ln>
                  </pic:spPr>
                </pic:pic>
              </a:graphicData>
            </a:graphic>
          </wp:inline>
        </w:drawing>
      </w:r>
    </w:p>
    <w:p w14:paraId="3EB3A689" w14:textId="77777777" w:rsidR="00F25025" w:rsidRDefault="00F25025" w:rsidP="00F25025">
      <w:pPr>
        <w:pStyle w:val="Heading6"/>
        <w:rPr>
          <w:rFonts w:eastAsiaTheme="minorHAnsi"/>
        </w:rPr>
      </w:pPr>
      <w:r w:rsidRPr="00071D52">
        <w:rPr>
          <w:rFonts w:eastAsiaTheme="minorHAnsi"/>
        </w:rPr>
        <w:lastRenderedPageBreak/>
        <w:t>Baxter et al</w:t>
      </w:r>
      <w:r>
        <w:rPr>
          <w:rFonts w:eastAsiaTheme="minorHAnsi"/>
        </w:rPr>
        <w:t>.,</w:t>
      </w:r>
      <w:r w:rsidRPr="00071D52">
        <w:rPr>
          <w:rFonts w:eastAsiaTheme="minorHAnsi"/>
        </w:rPr>
        <w:t xml:space="preserve"> (2017)</w:t>
      </w:r>
    </w:p>
    <w:p w14:paraId="0D08996F" w14:textId="6CB7F2A1" w:rsidR="00F25025" w:rsidRPr="006337A0" w:rsidRDefault="00F25025" w:rsidP="00F25025">
      <w:pPr>
        <w:spacing w:after="0" w:line="276" w:lineRule="auto"/>
        <w:jc w:val="both"/>
        <w:rPr>
          <w:rFonts w:eastAsiaTheme="minorHAnsi" w:cstheme="minorBidi"/>
          <w:vertAlign w:val="superscript"/>
        </w:rPr>
      </w:pPr>
      <w:r>
        <w:rPr>
          <w:rFonts w:eastAsiaTheme="minorHAnsi" w:cstheme="minorBidi"/>
        </w:rPr>
        <w:t>Baxter et al., (2017) was a retrospective cohort study based on larger dataset.</w:t>
      </w:r>
      <w:r w:rsidRPr="006337A0">
        <w:rPr>
          <w:rFonts w:eastAsiaTheme="minorHAnsi" w:cstheme="minorBidi"/>
          <w:vertAlign w:val="superscript"/>
        </w:rPr>
        <w:fldChar w:fldCharType="begin"/>
      </w:r>
      <w:r w:rsidRPr="006337A0">
        <w:rPr>
          <w:rFonts w:eastAsiaTheme="minorHAnsi" w:cstheme="minorBidi"/>
          <w:vertAlign w:val="superscript"/>
        </w:rPr>
        <w:instrText xml:space="preserve"> NOTEREF _Ref17935413 \h </w:instrText>
      </w:r>
      <w:r>
        <w:rPr>
          <w:rFonts w:eastAsiaTheme="minorHAnsi" w:cstheme="minorBidi"/>
          <w:vertAlign w:val="superscript"/>
        </w:rPr>
        <w:instrText xml:space="preserve"> \* MERGEFORMAT </w:instrText>
      </w:r>
      <w:r w:rsidRPr="006337A0">
        <w:rPr>
          <w:rFonts w:eastAsiaTheme="minorHAnsi" w:cstheme="minorBidi"/>
          <w:vertAlign w:val="superscript"/>
        </w:rPr>
      </w:r>
      <w:r w:rsidRPr="006337A0">
        <w:rPr>
          <w:rFonts w:eastAsiaTheme="minorHAnsi" w:cstheme="minorBidi"/>
          <w:vertAlign w:val="superscript"/>
        </w:rPr>
        <w:fldChar w:fldCharType="separate"/>
      </w:r>
      <w:r w:rsidR="00EA66A2">
        <w:rPr>
          <w:rFonts w:eastAsiaTheme="minorHAnsi" w:cstheme="minorBidi"/>
          <w:vertAlign w:val="superscript"/>
        </w:rPr>
        <w:t>27</w:t>
      </w:r>
      <w:r w:rsidRPr="006337A0">
        <w:rPr>
          <w:rFonts w:eastAsiaTheme="minorHAnsi" w:cstheme="minorBidi"/>
          <w:vertAlign w:val="superscript"/>
        </w:rPr>
        <w:fldChar w:fldCharType="end"/>
      </w:r>
    </w:p>
    <w:p w14:paraId="1DF2EBA0" w14:textId="77777777" w:rsidR="00F25025" w:rsidRDefault="00F25025" w:rsidP="00F25025">
      <w:pPr>
        <w:pStyle w:val="TableTitle"/>
      </w:pPr>
      <w:r>
        <w:t xml:space="preserve">Table </w:t>
      </w:r>
      <w:r w:rsidR="006E7419">
        <w:fldChar w:fldCharType="begin"/>
      </w:r>
      <w:r w:rsidR="006E7419">
        <w:instrText xml:space="preserve"> SEQ Table \* ARABIC </w:instrText>
      </w:r>
      <w:r w:rsidR="006E7419">
        <w:fldChar w:fldCharType="separate"/>
      </w:r>
      <w:r w:rsidR="00A8279A">
        <w:rPr>
          <w:noProof/>
        </w:rPr>
        <w:t>19</w:t>
      </w:r>
      <w:r w:rsidR="006E7419">
        <w:rPr>
          <w:noProof/>
        </w:rPr>
        <w:fldChar w:fldCharType="end"/>
      </w:r>
      <w:r>
        <w:t xml:space="preserve">: </w:t>
      </w:r>
      <w:r w:rsidRPr="00777112">
        <w:t>Baxter et al</w:t>
      </w:r>
      <w:r w:rsidR="00A8279A">
        <w:t>.</w:t>
      </w:r>
      <w:r w:rsidRPr="00777112">
        <w:t xml:space="preserve"> (2017)</w:t>
      </w:r>
      <w:r>
        <w:t xml:space="preserve"> overview</w:t>
      </w:r>
    </w:p>
    <w:p w14:paraId="0B462ABA" w14:textId="77777777" w:rsidR="00F25025" w:rsidRPr="00E822C0" w:rsidRDefault="00F25025" w:rsidP="00F25025">
      <w:pPr>
        <w:spacing w:before="0" w:line="240" w:lineRule="auto"/>
        <w:jc w:val="both"/>
      </w:pPr>
      <w:r w:rsidRPr="00E822C0">
        <w:rPr>
          <w:noProof/>
          <w:sz w:val="20"/>
          <w:lang w:eastAsia="en-AU"/>
        </w:rPr>
        <w:drawing>
          <wp:inline distT="0" distB="0" distL="0" distR="0" wp14:anchorId="21FA42ED" wp14:editId="18E635EC">
            <wp:extent cx="5288280" cy="1531308"/>
            <wp:effectExtent l="0" t="0" r="7620" b="0"/>
            <wp:docPr id="18" name="Picture 18" descr="Baxter et al. (2017)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_2019_CEU2\captur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89452" cy="1531647"/>
                    </a:xfrm>
                    <a:prstGeom prst="rect">
                      <a:avLst/>
                    </a:prstGeom>
                    <a:noFill/>
                    <a:ln>
                      <a:noFill/>
                    </a:ln>
                  </pic:spPr>
                </pic:pic>
              </a:graphicData>
            </a:graphic>
          </wp:inline>
        </w:drawing>
      </w:r>
    </w:p>
    <w:p w14:paraId="1DE1CDA1" w14:textId="77777777" w:rsidR="00F25025" w:rsidRPr="00C05F99" w:rsidRDefault="00F25025" w:rsidP="00F25025">
      <w:r w:rsidRPr="00C05F99">
        <w:t>The database was Kaiser Permanente of Northern California (KPNC), which is a medical care organisation providing integrated medical services to nearly 3.7 million members. The estimates of VE can be expected to be more reliable with this larger dataset. The study had 2 overlapping (retrospective) follow-up periods from birth to 2 months of age and from birth to 1 year of age.</w:t>
      </w:r>
    </w:p>
    <w:p w14:paraId="7A9A6BD5" w14:textId="77777777" w:rsidR="00F25025" w:rsidRDefault="00F25025" w:rsidP="00F25025">
      <w:r w:rsidRPr="00C05F99">
        <w:t>The VE of maternal pertussis vaccination during pregnancy was 91.4% (95%</w:t>
      </w:r>
      <w:r>
        <w:t xml:space="preserve"> </w:t>
      </w:r>
      <w:r w:rsidR="00A8279A">
        <w:t>confidence interval (</w:t>
      </w:r>
      <w:r w:rsidRPr="00C05F99">
        <w:t>CI</w:t>
      </w:r>
      <w:r w:rsidR="00A8279A">
        <w:t>)</w:t>
      </w:r>
      <w:r w:rsidRPr="00C05F99">
        <w:t xml:space="preserve"> 19.5%, 99.1%) for prevention of pertussis during 2 months follow up in infants after birth and was 69.0% (95%</w:t>
      </w:r>
      <w:r>
        <w:t xml:space="preserve"> </w:t>
      </w:r>
      <w:r w:rsidRPr="00C05F99">
        <w:t>CI 43.6%, 82.9%) during fi</w:t>
      </w:r>
      <w:r>
        <w:t>rst year of life (during which d</w:t>
      </w:r>
      <w:r w:rsidRPr="00C05F99">
        <w:t>TPa primary seri</w:t>
      </w:r>
      <w:r>
        <w:t>es was also carried out).</w:t>
      </w:r>
    </w:p>
    <w:p w14:paraId="1127BC20" w14:textId="6ACEC95C" w:rsidR="00F25025" w:rsidRPr="00C05F99" w:rsidRDefault="00F25025" w:rsidP="00F25025">
      <w:pPr>
        <w:pStyle w:val="TableTitle"/>
      </w:pPr>
      <w:r>
        <w:t xml:space="preserve">Table </w:t>
      </w:r>
      <w:r w:rsidR="006E7419">
        <w:fldChar w:fldCharType="begin"/>
      </w:r>
      <w:r w:rsidR="006E7419">
        <w:instrText xml:space="preserve"> SEQ Table \* ARABIC </w:instrText>
      </w:r>
      <w:r w:rsidR="006E7419">
        <w:fldChar w:fldCharType="separate"/>
      </w:r>
      <w:r w:rsidR="00A8279A">
        <w:rPr>
          <w:noProof/>
        </w:rPr>
        <w:t>20</w:t>
      </w:r>
      <w:r w:rsidR="006E7419">
        <w:rPr>
          <w:noProof/>
        </w:rPr>
        <w:fldChar w:fldCharType="end"/>
      </w:r>
      <w:r>
        <w:t>: Baxter et al., (2017) results</w:t>
      </w:r>
      <w:r w:rsidR="00A8279A">
        <w:t>, vaccine effectiveness in maternal d</w:t>
      </w:r>
      <w:r w:rsidR="003E22A7">
        <w:t>T</w:t>
      </w:r>
      <w:r w:rsidR="00A8279A">
        <w:t>p</w:t>
      </w:r>
      <w:r w:rsidR="003E22A7">
        <w:t>a</w:t>
      </w:r>
      <w:r w:rsidR="00A8279A">
        <w:t xml:space="preserve"> and DT</w:t>
      </w:r>
      <w:r w:rsidR="003E22A7">
        <w:t>Pa</w:t>
      </w:r>
      <w:r w:rsidR="00A8279A">
        <w:t xml:space="preserve"> vaccination in preventing pertussis </w:t>
      </w:r>
      <w:r w:rsidR="00933BE8">
        <w:t xml:space="preserve">in 148, 981 infants </w:t>
      </w:r>
      <w:r w:rsidR="00A8279A">
        <w:t xml:space="preserve">following from birth until 2 and 12 </w:t>
      </w:r>
      <w:r w:rsidR="00933BE8">
        <w:t>months of age</w:t>
      </w:r>
    </w:p>
    <w:p w14:paraId="3C68C0E9" w14:textId="77777777" w:rsidR="00F25025" w:rsidRPr="00E822C0" w:rsidRDefault="00A8279A" w:rsidP="00F25025">
      <w:pPr>
        <w:spacing w:line="240" w:lineRule="auto"/>
        <w:rPr>
          <w:rFonts w:eastAsiaTheme="minorEastAsia" w:cs="TimesNewRomanPSMT"/>
        </w:rPr>
      </w:pPr>
      <w:r>
        <w:rPr>
          <w:noProof/>
          <w:lang w:eastAsia="en-AU"/>
        </w:rPr>
        <w:drawing>
          <wp:inline distT="0" distB="0" distL="0" distR="0" wp14:anchorId="52AF5E93" wp14:editId="6A387F8E">
            <wp:extent cx="5400040" cy="1807845"/>
            <wp:effectExtent l="0" t="0" r="0" b="1905"/>
            <wp:docPr id="7" name="Picture 7" descr="Baxter et al., (2017) results, vaccine effectiveness in maternal dTpa and DTPa vaccination in preventing pertussis in 148, 981 infants following from birth until 2 and 12 months of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00040" cy="1807845"/>
                    </a:xfrm>
                    <a:prstGeom prst="rect">
                      <a:avLst/>
                    </a:prstGeom>
                  </pic:spPr>
                </pic:pic>
              </a:graphicData>
            </a:graphic>
          </wp:inline>
        </w:drawing>
      </w:r>
    </w:p>
    <w:p w14:paraId="19BD87B5" w14:textId="1FC0DFEC" w:rsidR="00F25025" w:rsidRDefault="00F25025" w:rsidP="00F25025">
      <w:r w:rsidRPr="00C32827">
        <w:t xml:space="preserve">The </w:t>
      </w:r>
      <w:r>
        <w:t>VE</w:t>
      </w:r>
      <w:r w:rsidRPr="00C32827">
        <w:t xml:space="preserve"> was 87.9% </w:t>
      </w:r>
      <w:r>
        <w:t xml:space="preserve">(95% </w:t>
      </w:r>
      <w:r w:rsidRPr="00C32827">
        <w:t>CI</w:t>
      </w:r>
      <w:r>
        <w:t>:</w:t>
      </w:r>
      <w:r w:rsidRPr="00C32827">
        <w:t xml:space="preserve"> 41.4</w:t>
      </w:r>
      <w:r>
        <w:t xml:space="preserve">%, </w:t>
      </w:r>
      <w:r w:rsidRPr="00C32827">
        <w:t>97.5</w:t>
      </w:r>
      <w:r>
        <w:t xml:space="preserve">%) before infants had any </w:t>
      </w:r>
      <w:r w:rsidR="003E22A7">
        <w:t>D</w:t>
      </w:r>
      <w:r>
        <w:t>TPa</w:t>
      </w:r>
      <w:r w:rsidRPr="00C32827">
        <w:t xml:space="preserve"> vaccin</w:t>
      </w:r>
      <w:r>
        <w:t>e dose, 81.4% (95% CI:</w:t>
      </w:r>
      <w:r w:rsidRPr="00C32827">
        <w:t xml:space="preserve"> 42.5</w:t>
      </w:r>
      <w:r>
        <w:t xml:space="preserve">%, </w:t>
      </w:r>
      <w:r w:rsidRPr="00C32827">
        <w:t>94.0</w:t>
      </w:r>
      <w:r>
        <w:t>%) between Doses 1 and 2, 6.4% (95% CI:</w:t>
      </w:r>
      <w:r w:rsidRPr="00C32827">
        <w:t xml:space="preserve"> </w:t>
      </w:r>
      <w:r>
        <w:t>-</w:t>
      </w:r>
      <w:r w:rsidRPr="00C32827">
        <w:t>165.1</w:t>
      </w:r>
      <w:r>
        <w:t xml:space="preserve">%, </w:t>
      </w:r>
      <w:r w:rsidRPr="00C32827">
        <w:t>66.9</w:t>
      </w:r>
      <w:r>
        <w:t>%) between Doses 2 and</w:t>
      </w:r>
      <w:r w:rsidRPr="00C32827">
        <w:t xml:space="preserve"> 3, and </w:t>
      </w:r>
      <w:r>
        <w:t xml:space="preserve">65.9% (95% CI: 4.5%, </w:t>
      </w:r>
      <w:r w:rsidRPr="00C32827">
        <w:t>87.8</w:t>
      </w:r>
      <w:r>
        <w:t xml:space="preserve">%) after infants had 3 </w:t>
      </w:r>
      <w:r w:rsidR="003E22A7">
        <w:t>D</w:t>
      </w:r>
      <w:r>
        <w:t>TPa doses.</w:t>
      </w:r>
    </w:p>
    <w:p w14:paraId="170BF529" w14:textId="5F6987FD" w:rsidR="00F25025" w:rsidRDefault="00F25025" w:rsidP="00F25025">
      <w:pPr>
        <w:pStyle w:val="TableTitle"/>
      </w:pPr>
      <w:r>
        <w:lastRenderedPageBreak/>
        <w:t xml:space="preserve">Table </w:t>
      </w:r>
      <w:r w:rsidR="006E7419">
        <w:fldChar w:fldCharType="begin"/>
      </w:r>
      <w:r w:rsidR="006E7419">
        <w:instrText xml:space="preserve"> SEQ Table \* ARABIC </w:instrText>
      </w:r>
      <w:r w:rsidR="006E7419">
        <w:fldChar w:fldCharType="separate"/>
      </w:r>
      <w:r w:rsidR="00FD7608">
        <w:rPr>
          <w:noProof/>
        </w:rPr>
        <w:t>21</w:t>
      </w:r>
      <w:r w:rsidR="006E7419">
        <w:rPr>
          <w:noProof/>
        </w:rPr>
        <w:fldChar w:fldCharType="end"/>
      </w:r>
      <w:r>
        <w:t xml:space="preserve">: </w:t>
      </w:r>
      <w:r w:rsidRPr="00777112">
        <w:t>Baxter et al</w:t>
      </w:r>
      <w:r>
        <w:t>.,</w:t>
      </w:r>
      <w:r w:rsidRPr="00777112">
        <w:t xml:space="preserve"> (2017</w:t>
      </w:r>
      <w:r>
        <w:t>) results</w:t>
      </w:r>
      <w:r w:rsidR="00A8279A">
        <w:t>, protection against pertussis from maternal d</w:t>
      </w:r>
      <w:r w:rsidR="003E22A7">
        <w:t>T</w:t>
      </w:r>
      <w:r w:rsidR="00A8279A">
        <w:t>p</w:t>
      </w:r>
      <w:r w:rsidR="003E22A7">
        <w:t>a</w:t>
      </w:r>
      <w:r w:rsidR="00A8279A">
        <w:t xml:space="preserve"> vaccination during pregnancy before and after infant DTP</w:t>
      </w:r>
      <w:r w:rsidR="003E22A7">
        <w:t>a</w:t>
      </w:r>
      <w:r w:rsidR="00A8279A">
        <w:t xml:space="preserve"> vaccination</w:t>
      </w:r>
      <w:r w:rsidR="00933BE8">
        <w:t xml:space="preserve"> in 148,981 infants following from birth until 12 months of age</w:t>
      </w:r>
    </w:p>
    <w:p w14:paraId="40C8E788" w14:textId="77777777" w:rsidR="00F25025" w:rsidRPr="00C32827" w:rsidRDefault="00933BE8" w:rsidP="00F25025">
      <w:pPr>
        <w:spacing w:line="240" w:lineRule="auto"/>
        <w:jc w:val="both"/>
        <w:rPr>
          <w:rFonts w:eastAsiaTheme="minorEastAsia" w:cs="TimesNewRomanPSMT"/>
        </w:rPr>
      </w:pPr>
      <w:r>
        <w:rPr>
          <w:noProof/>
          <w:lang w:eastAsia="en-AU"/>
        </w:rPr>
        <w:drawing>
          <wp:inline distT="0" distB="0" distL="0" distR="0" wp14:anchorId="28DA373C" wp14:editId="5685B81C">
            <wp:extent cx="5400040" cy="1881505"/>
            <wp:effectExtent l="0" t="0" r="0" b="4445"/>
            <wp:docPr id="8" name="Picture 8" descr="Baxter et al., (2017) results, protection against pertussis from maternal Tdap vaccination during pregnancy before and after infant DTaP vaccination in 148,981 infants following from birth until 12 months of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00040" cy="1881505"/>
                    </a:xfrm>
                    <a:prstGeom prst="rect">
                      <a:avLst/>
                    </a:prstGeom>
                  </pic:spPr>
                </pic:pic>
              </a:graphicData>
            </a:graphic>
          </wp:inline>
        </w:drawing>
      </w:r>
    </w:p>
    <w:p w14:paraId="76672ABD" w14:textId="77777777" w:rsidR="00F25025" w:rsidRPr="00C05F99" w:rsidRDefault="00F25025" w:rsidP="00933BE8">
      <w:pPr>
        <w:pStyle w:val="Heading5"/>
      </w:pPr>
      <w:r>
        <w:t>Published papers supporting proposed changes to repeat vaccination</w:t>
      </w:r>
    </w:p>
    <w:p w14:paraId="6EDF88CC" w14:textId="77777777" w:rsidR="00F25025" w:rsidRDefault="00F25025" w:rsidP="00F25025">
      <w:pPr>
        <w:spacing w:line="240" w:lineRule="auto"/>
        <w:jc w:val="both"/>
        <w:rPr>
          <w:rFonts w:eastAsiaTheme="minorEastAsia" w:cs="TimesNewRomanPSMT"/>
        </w:rPr>
      </w:pPr>
      <w:r>
        <w:rPr>
          <w:rFonts w:eastAsiaTheme="minorEastAsia" w:cs="TimesNewRomanPSMT"/>
        </w:rPr>
        <w:t>The following studies were submitted:</w:t>
      </w:r>
    </w:p>
    <w:p w14:paraId="108FE8EE" w14:textId="77777777" w:rsidR="00F25025" w:rsidRDefault="00F25025" w:rsidP="006E7419">
      <w:pPr>
        <w:pStyle w:val="ListBullet"/>
      </w:pPr>
      <w:r w:rsidRPr="00C05F99">
        <w:t>Pivotal studies</w:t>
      </w:r>
    </w:p>
    <w:p w14:paraId="7BE7BECF" w14:textId="77777777" w:rsidR="00F25025" w:rsidRDefault="00F25025" w:rsidP="00F25025">
      <w:pPr>
        <w:pStyle w:val="ListBullet2"/>
        <w:numPr>
          <w:ilvl w:val="1"/>
          <w:numId w:val="29"/>
        </w:numPr>
      </w:pPr>
      <w:r>
        <w:t xml:space="preserve">Study </w:t>
      </w:r>
      <w:r w:rsidRPr="00C05F99">
        <w:t>Td518</w:t>
      </w:r>
    </w:p>
    <w:p w14:paraId="04900EED" w14:textId="77777777" w:rsidR="00F25025" w:rsidRPr="00C05F99" w:rsidRDefault="00F25025" w:rsidP="006E7419">
      <w:pPr>
        <w:pStyle w:val="ListBullet"/>
      </w:pPr>
      <w:r w:rsidRPr="00C05F99">
        <w:t>Long-term follow up studies</w:t>
      </w:r>
    </w:p>
    <w:p w14:paraId="25995A2A" w14:textId="77777777" w:rsidR="00F25025" w:rsidRDefault="00F25025" w:rsidP="00F25025">
      <w:pPr>
        <w:pStyle w:val="ListBullet2"/>
        <w:numPr>
          <w:ilvl w:val="1"/>
          <w:numId w:val="29"/>
        </w:numPr>
      </w:pPr>
      <w:r>
        <w:t xml:space="preserve">Study </w:t>
      </w:r>
      <w:r w:rsidRPr="00C05F99">
        <w:t>TC9704-LT</w:t>
      </w:r>
    </w:p>
    <w:p w14:paraId="0724BC5A" w14:textId="77777777" w:rsidR="00F25025" w:rsidRPr="00C05F99" w:rsidRDefault="00F25025" w:rsidP="00F25025">
      <w:pPr>
        <w:pStyle w:val="ListBullet2"/>
        <w:numPr>
          <w:ilvl w:val="1"/>
          <w:numId w:val="29"/>
        </w:numPr>
      </w:pPr>
      <w:r>
        <w:t xml:space="preserve">Study </w:t>
      </w:r>
      <w:r w:rsidRPr="00C05F99">
        <w:rPr>
          <w:rFonts w:eastAsiaTheme="minorEastAsia" w:cs="TimesNewRomanPSMT"/>
        </w:rPr>
        <w:t>Td9805-LT</w:t>
      </w:r>
    </w:p>
    <w:p w14:paraId="275A79ED" w14:textId="77777777" w:rsidR="00F25025" w:rsidRDefault="00F25025" w:rsidP="00F25025">
      <w:pPr>
        <w:pStyle w:val="ListBullet2"/>
        <w:numPr>
          <w:ilvl w:val="1"/>
          <w:numId w:val="29"/>
        </w:numPr>
      </w:pPr>
      <w:r>
        <w:t>Study Td526</w:t>
      </w:r>
    </w:p>
    <w:p w14:paraId="55043989" w14:textId="77777777" w:rsidR="00F25025" w:rsidRPr="00C05F99" w:rsidRDefault="00F25025" w:rsidP="00F25025">
      <w:pPr>
        <w:pStyle w:val="ListBullet2"/>
        <w:numPr>
          <w:ilvl w:val="1"/>
          <w:numId w:val="29"/>
        </w:numPr>
      </w:pPr>
      <w:r>
        <w:t>Study Td9707-LT</w:t>
      </w:r>
    </w:p>
    <w:p w14:paraId="1E201EB4" w14:textId="77777777" w:rsidR="00F25025" w:rsidRDefault="00F25025" w:rsidP="00F25025">
      <w:r>
        <w:t>The data is supportive of the update. The recommended text is same as that proposed initially at the time of submission, that is:</w:t>
      </w:r>
    </w:p>
    <w:p w14:paraId="5146A260" w14:textId="7351DD29" w:rsidR="00F25025" w:rsidRDefault="00933BE8" w:rsidP="00933BE8">
      <w:pPr>
        <w:ind w:left="720"/>
      </w:pPr>
      <w:r>
        <w:t>‘</w:t>
      </w:r>
      <w:r w:rsidR="00F25025" w:rsidRPr="00C05F99">
        <w:t>Adacel can be used for repeat vaccination, after a previous dose of dTpa or dTpa</w:t>
      </w:r>
      <w:r w:rsidR="003E22A7">
        <w:noBreakHyphen/>
      </w:r>
      <w:r w:rsidR="00F25025" w:rsidRPr="00C05F99">
        <w:t>IPV to boost immunity to diphtheria, tetanus and pertussis. Repeat vaccination should be performed according to official national recommendations.</w:t>
      </w:r>
      <w:r>
        <w:t>’</w:t>
      </w:r>
    </w:p>
    <w:p w14:paraId="1DD0258D" w14:textId="77777777" w:rsidR="00F25025" w:rsidRPr="006C4457" w:rsidRDefault="00F25025" w:rsidP="00F25025">
      <w:pPr>
        <w:pStyle w:val="Heading4"/>
      </w:pPr>
      <w:r>
        <w:t>Clinical s</w:t>
      </w:r>
      <w:r w:rsidRPr="006C4457">
        <w:t>afety</w:t>
      </w:r>
    </w:p>
    <w:p w14:paraId="553D628B" w14:textId="77777777" w:rsidR="00F25025" w:rsidRPr="00053E5A" w:rsidRDefault="00F25025" w:rsidP="00F25025">
      <w:r w:rsidRPr="00053E5A">
        <w:t xml:space="preserve">A small risk of chorioamnionitis was noted with the use of maternal dTpa, particularly in </w:t>
      </w:r>
      <w:r>
        <w:t>third</w:t>
      </w:r>
      <w:r w:rsidRPr="00053E5A">
        <w:t xml:space="preserve"> trimester, in a number of large observational studies. However, an association with adverse maternal, foetal, perinatal or neonatal outcomes was not found in these datasets.</w:t>
      </w:r>
    </w:p>
    <w:p w14:paraId="2EFA63E9" w14:textId="4A76B36E" w:rsidR="00F25025" w:rsidRPr="00053E5A" w:rsidRDefault="00F25025" w:rsidP="00F25025">
      <w:r w:rsidRPr="00053E5A">
        <w:t>Kharbanda et al</w:t>
      </w:r>
      <w:r>
        <w:t>.,</w:t>
      </w:r>
      <w:r w:rsidRPr="00053E5A">
        <w:t xml:space="preserve"> (2016)</w:t>
      </w:r>
      <w:r w:rsidR="00933BE8">
        <w:t>;</w:t>
      </w:r>
      <w:r w:rsidR="00933BE8">
        <w:fldChar w:fldCharType="begin"/>
      </w:r>
      <w:r w:rsidR="00933BE8">
        <w:instrText xml:space="preserve"> NOTEREF _Ref18002071 \f \h </w:instrText>
      </w:r>
      <w:r w:rsidR="00933BE8">
        <w:fldChar w:fldCharType="separate"/>
      </w:r>
      <w:r w:rsidR="00EA66A2" w:rsidRPr="00EA66A2">
        <w:rPr>
          <w:rStyle w:val="FootnoteReference"/>
        </w:rPr>
        <w:t>29</w:t>
      </w:r>
      <w:r w:rsidR="00933BE8">
        <w:fldChar w:fldCharType="end"/>
      </w:r>
      <w:r w:rsidRPr="00053E5A">
        <w:t xml:space="preserve"> was a large retrospective cohort study (dTpa exposed</w:t>
      </w:r>
      <w:r>
        <w:t> </w:t>
      </w:r>
      <w:r w:rsidRPr="00053E5A">
        <w:t>=</w:t>
      </w:r>
      <w:r>
        <w:t> </w:t>
      </w:r>
      <w:r w:rsidRPr="00053E5A">
        <w:t>53,885; unexposed</w:t>
      </w:r>
      <w:r>
        <w:t> </w:t>
      </w:r>
      <w:r w:rsidRPr="00053E5A">
        <w:t>=</w:t>
      </w:r>
      <w:r>
        <w:t> </w:t>
      </w:r>
      <w:r w:rsidRPr="00053E5A">
        <w:t>109,253) in which ri</w:t>
      </w:r>
      <w:r>
        <w:t xml:space="preserve">sks for acute adverse events (0 to 3 and 0 to </w:t>
      </w:r>
      <w:r w:rsidRPr="00053E5A">
        <w:t>42 days following maternal dTpa) were reported. The reporting rates were similar for the exposed and unexposed. An earlier, retrospective cohort study by Kharbanda et al</w:t>
      </w:r>
      <w:r>
        <w:t>.,</w:t>
      </w:r>
      <w:r w:rsidRPr="00053E5A">
        <w:t xml:space="preserve"> (2014)</w:t>
      </w:r>
      <w:r w:rsidR="00933BE8">
        <w:t>;</w:t>
      </w:r>
      <w:bookmarkStart w:id="89" w:name="_Ref34052871"/>
      <w:r w:rsidR="00FD7608">
        <w:rPr>
          <w:rStyle w:val="FootnoteReference"/>
        </w:rPr>
        <w:footnoteReference w:id="46"/>
      </w:r>
      <w:bookmarkEnd w:id="89"/>
      <w:r w:rsidRPr="00053E5A">
        <w:t xml:space="preserve"> also reported birth outcomes (dTpa exposed pregnant women 26,229; unexposed 97,265) </w:t>
      </w:r>
      <w:r>
        <w:t>as follows</w:t>
      </w:r>
      <w:r w:rsidR="00FD7608">
        <w:t xml:space="preserve"> in </w:t>
      </w:r>
      <w:r w:rsidR="00FD7608">
        <w:fldChar w:fldCharType="begin"/>
      </w:r>
      <w:r w:rsidR="00FD7608">
        <w:instrText xml:space="preserve"> REF _Ref34052591 \h </w:instrText>
      </w:r>
      <w:r w:rsidR="00FD7608">
        <w:fldChar w:fldCharType="separate"/>
      </w:r>
      <w:r w:rsidR="00FD7608">
        <w:t xml:space="preserve">Table </w:t>
      </w:r>
      <w:r w:rsidR="00FD7608">
        <w:rPr>
          <w:noProof/>
        </w:rPr>
        <w:t>22</w:t>
      </w:r>
      <w:r w:rsidR="00FD7608">
        <w:fldChar w:fldCharType="end"/>
      </w:r>
      <w:r>
        <w:t>.</w:t>
      </w:r>
    </w:p>
    <w:p w14:paraId="56D7AD52" w14:textId="5CE161E4" w:rsidR="00F25025" w:rsidRPr="00053E5A" w:rsidRDefault="00F25025" w:rsidP="00F25025">
      <w:pPr>
        <w:pStyle w:val="TableTitle"/>
      </w:pPr>
      <w:bookmarkStart w:id="90" w:name="_Ref34052591"/>
      <w:r>
        <w:lastRenderedPageBreak/>
        <w:t xml:space="preserve">Table </w:t>
      </w:r>
      <w:r w:rsidR="006E7419">
        <w:fldChar w:fldCharType="begin"/>
      </w:r>
      <w:r w:rsidR="006E7419">
        <w:instrText xml:space="preserve"> SEQ Table \* ARABIC </w:instrText>
      </w:r>
      <w:r w:rsidR="006E7419">
        <w:fldChar w:fldCharType="separate"/>
      </w:r>
      <w:r w:rsidR="00FD7608">
        <w:rPr>
          <w:noProof/>
        </w:rPr>
        <w:t>22</w:t>
      </w:r>
      <w:r w:rsidR="006E7419">
        <w:rPr>
          <w:noProof/>
        </w:rPr>
        <w:fldChar w:fldCharType="end"/>
      </w:r>
      <w:bookmarkEnd w:id="90"/>
      <w:r>
        <w:t xml:space="preserve">: </w:t>
      </w:r>
      <w:r w:rsidRPr="00CD1392">
        <w:t>Kharbanda et al</w:t>
      </w:r>
      <w:r>
        <w:t>.,</w:t>
      </w:r>
      <w:r w:rsidR="00FD7608">
        <w:t xml:space="preserve"> (2014</w:t>
      </w:r>
      <w:r>
        <w:t>) study results</w:t>
      </w:r>
      <w:r w:rsidR="00FD7608">
        <w:t xml:space="preserve">, </w:t>
      </w:r>
      <w:r w:rsidR="00FD7608" w:rsidRPr="00FD7608">
        <w:t xml:space="preserve">rates of adverse gestational and birth outcomes and relative risks associated with receipt of </w:t>
      </w:r>
      <w:r w:rsidR="00FD7608">
        <w:t>d</w:t>
      </w:r>
      <w:r w:rsidR="003E22A7">
        <w:t>T</w:t>
      </w:r>
      <w:r w:rsidR="00FD7608">
        <w:t>p</w:t>
      </w:r>
      <w:r w:rsidR="003E22A7">
        <w:t>a</w:t>
      </w:r>
      <w:r w:rsidR="00FD7608" w:rsidRPr="00FD7608">
        <w:t xml:space="preserve"> during pregnancy</w:t>
      </w:r>
    </w:p>
    <w:p w14:paraId="2B210E2A" w14:textId="77777777" w:rsidR="00F25025" w:rsidRPr="00323640" w:rsidRDefault="00F25025" w:rsidP="00F25025">
      <w:r w:rsidRPr="00053E5A">
        <w:rPr>
          <w:noProof/>
          <w:lang w:eastAsia="en-AU"/>
        </w:rPr>
        <w:drawing>
          <wp:inline distT="0" distB="0" distL="0" distR="0" wp14:anchorId="62F4F6AB" wp14:editId="6AA7D88F">
            <wp:extent cx="5339555" cy="2926080"/>
            <wp:effectExtent l="0" t="0" r="0" b="7620"/>
            <wp:docPr id="1" name="Picture 1" descr="Kharbanda et al., (2014) study results, rates of adverse gestational and birth outcomes and relative risks associated with receipt of Tdap during pregn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_2019_CEU2\capture.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62828" cy="2938834"/>
                    </a:xfrm>
                    <a:prstGeom prst="rect">
                      <a:avLst/>
                    </a:prstGeom>
                    <a:noFill/>
                    <a:ln>
                      <a:noFill/>
                    </a:ln>
                  </pic:spPr>
                </pic:pic>
              </a:graphicData>
            </a:graphic>
          </wp:inline>
        </w:drawing>
      </w:r>
    </w:p>
    <w:p w14:paraId="2E291FE6" w14:textId="66FC265B" w:rsidR="00F25025" w:rsidRPr="00053E5A" w:rsidRDefault="00F25025" w:rsidP="00F25025">
      <w:r w:rsidRPr="00053E5A">
        <w:t>DeSilva et al</w:t>
      </w:r>
      <w:r>
        <w:t>.,</w:t>
      </w:r>
      <w:r w:rsidRPr="00053E5A">
        <w:t xml:space="preserve"> (2017)</w:t>
      </w:r>
      <w:r>
        <w:t>;</w:t>
      </w:r>
      <w:r w:rsidRPr="006337A0">
        <w:rPr>
          <w:vertAlign w:val="superscript"/>
        </w:rPr>
        <w:fldChar w:fldCharType="begin"/>
      </w:r>
      <w:r w:rsidRPr="006337A0">
        <w:rPr>
          <w:vertAlign w:val="superscript"/>
        </w:rPr>
        <w:instrText xml:space="preserve"> NOTEREF _Ref18002106 \h </w:instrText>
      </w:r>
      <w:r>
        <w:rPr>
          <w:vertAlign w:val="superscript"/>
        </w:rPr>
        <w:instrText xml:space="preserve"> \* MERGEFORMAT </w:instrText>
      </w:r>
      <w:r w:rsidRPr="006337A0">
        <w:rPr>
          <w:vertAlign w:val="superscript"/>
        </w:rPr>
      </w:r>
      <w:r w:rsidRPr="006337A0">
        <w:rPr>
          <w:vertAlign w:val="superscript"/>
        </w:rPr>
        <w:fldChar w:fldCharType="separate"/>
      </w:r>
      <w:r w:rsidR="00EA66A2">
        <w:rPr>
          <w:vertAlign w:val="superscript"/>
        </w:rPr>
        <w:t>31</w:t>
      </w:r>
      <w:r w:rsidRPr="006337A0">
        <w:rPr>
          <w:vertAlign w:val="superscript"/>
        </w:rPr>
        <w:fldChar w:fldCharType="end"/>
      </w:r>
      <w:r w:rsidRPr="00053E5A">
        <w:t xml:space="preserve"> was a follow on study from the above Kharbanda et al</w:t>
      </w:r>
      <w:r>
        <w:t>.,</w:t>
      </w:r>
      <w:r w:rsidR="00FD7608">
        <w:t xml:space="preserve"> (2014</w:t>
      </w:r>
      <w:r w:rsidRPr="00053E5A">
        <w:t>)</w:t>
      </w:r>
      <w:r w:rsidR="00FD7608">
        <w:fldChar w:fldCharType="begin"/>
      </w:r>
      <w:r w:rsidR="00FD7608">
        <w:instrText xml:space="preserve"> NOTEREF _Ref34052871 \f \h </w:instrText>
      </w:r>
      <w:r w:rsidR="00FD7608">
        <w:fldChar w:fldCharType="separate"/>
      </w:r>
      <w:r w:rsidR="00EA66A2" w:rsidRPr="00EA66A2">
        <w:rPr>
          <w:rStyle w:val="FootnoteReference"/>
        </w:rPr>
        <w:t>46</w:t>
      </w:r>
      <w:r w:rsidR="00FD7608">
        <w:fldChar w:fldCharType="end"/>
      </w:r>
      <w:r w:rsidRPr="00053E5A">
        <w:t xml:space="preserve"> dataset. The reported adverse outcomes were as follows and the finding of chorioamnionitis was consistent wi</w:t>
      </w:r>
      <w:r>
        <w:t>th the previous data.</w:t>
      </w:r>
    </w:p>
    <w:p w14:paraId="7AB98EB2" w14:textId="7CBBF6EC" w:rsidR="00F25025" w:rsidRDefault="00F25025" w:rsidP="00F25025">
      <w:pPr>
        <w:pStyle w:val="TableTitle"/>
      </w:pPr>
      <w:r>
        <w:t xml:space="preserve">Table </w:t>
      </w:r>
      <w:r w:rsidR="006E7419">
        <w:fldChar w:fldCharType="begin"/>
      </w:r>
      <w:r w:rsidR="006E7419">
        <w:instrText xml:space="preserve"> SEQ Table \* ARABIC </w:instrText>
      </w:r>
      <w:r w:rsidR="006E7419">
        <w:fldChar w:fldCharType="separate"/>
      </w:r>
      <w:r w:rsidR="00502327">
        <w:rPr>
          <w:noProof/>
        </w:rPr>
        <w:t>23</w:t>
      </w:r>
      <w:r w:rsidR="006E7419">
        <w:rPr>
          <w:noProof/>
        </w:rPr>
        <w:fldChar w:fldCharType="end"/>
      </w:r>
      <w:r>
        <w:t xml:space="preserve">: </w:t>
      </w:r>
      <w:r w:rsidRPr="005A7579">
        <w:t>DeSilva et al</w:t>
      </w:r>
      <w:r>
        <w:t>.,</w:t>
      </w:r>
      <w:r w:rsidRPr="005A7579">
        <w:t xml:space="preserve"> (2017) </w:t>
      </w:r>
      <w:r>
        <w:t>study results</w:t>
      </w:r>
      <w:r w:rsidR="00FD7608">
        <w:t>, i</w:t>
      </w:r>
      <w:r w:rsidR="00FD7608" w:rsidRPr="00FD7608">
        <w:t>ncidence rates, rate differences, and rate ratios of infant outcomes associated with receipt of d</w:t>
      </w:r>
      <w:r w:rsidR="003E22A7">
        <w:t>T</w:t>
      </w:r>
      <w:r w:rsidR="00FD7608" w:rsidRPr="00FD7608">
        <w:t>p</w:t>
      </w:r>
      <w:r w:rsidR="003E22A7">
        <w:t>a</w:t>
      </w:r>
      <w:r w:rsidR="00FD7608" w:rsidRPr="00FD7608">
        <w:t xml:space="preserve"> during pregnancy at 7 Vacc</w:t>
      </w:r>
      <w:r w:rsidR="00FD7608">
        <w:t>ine Safety Datalink sites, 2010 to 2013, (n</w:t>
      </w:r>
      <w:r w:rsidR="00FD7608" w:rsidRPr="00FD7608">
        <w:t xml:space="preserve"> = 197,564), by time period during pregnancy in which </w:t>
      </w:r>
      <w:r w:rsidR="00F829F5">
        <w:t>dT</w:t>
      </w:r>
      <w:r w:rsidR="00FD7608" w:rsidRPr="00FD7608">
        <w:t>p</w:t>
      </w:r>
      <w:r w:rsidR="00F829F5">
        <w:t>a</w:t>
      </w:r>
      <w:r w:rsidR="00FD7608" w:rsidRPr="00FD7608">
        <w:t xml:space="preserve"> was administered and limiting results to infants born &lt; 34 weeks gestation</w:t>
      </w:r>
    </w:p>
    <w:p w14:paraId="3BA44231" w14:textId="77777777" w:rsidR="00F25025" w:rsidRDefault="00FD7608" w:rsidP="00F25025">
      <w:r>
        <w:rPr>
          <w:noProof/>
          <w:lang w:eastAsia="en-AU"/>
        </w:rPr>
        <w:drawing>
          <wp:inline distT="0" distB="0" distL="0" distR="0" wp14:anchorId="442BC901" wp14:editId="62183400">
            <wp:extent cx="5400040" cy="3486785"/>
            <wp:effectExtent l="0" t="0" r="0" b="0"/>
            <wp:docPr id="20" name="Picture 20" descr="DeSilva et al., (2017) study results, incidence rates, rate differences, and rate ratios of infant outcomes associated with receipt of dTpa during pregnancy at 7 Vaccine Safety Datalink sites, 2010 to 2013, (n = 197,564), by time period during pregnancy in which dTpa was administered and limiting results to infants born &lt; 34 weeks ge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00040" cy="3486785"/>
                    </a:xfrm>
                    <a:prstGeom prst="rect">
                      <a:avLst/>
                    </a:prstGeom>
                  </pic:spPr>
                </pic:pic>
              </a:graphicData>
            </a:graphic>
          </wp:inline>
        </w:drawing>
      </w:r>
    </w:p>
    <w:p w14:paraId="278C31A3" w14:textId="43014407" w:rsidR="00F25025" w:rsidRPr="00502327" w:rsidRDefault="00F25025" w:rsidP="00502327">
      <w:r w:rsidRPr="00323640">
        <w:t>Berenson et al</w:t>
      </w:r>
      <w:r>
        <w:t>.,</w:t>
      </w:r>
      <w:r w:rsidRPr="00323640">
        <w:t xml:space="preserve"> (2016)</w:t>
      </w:r>
      <w:r w:rsidR="00502327">
        <w:fldChar w:fldCharType="begin"/>
      </w:r>
      <w:r w:rsidR="00502327">
        <w:instrText xml:space="preserve"> NOTEREF _Ref18005666 \f \h </w:instrText>
      </w:r>
      <w:r w:rsidR="00502327">
        <w:fldChar w:fldCharType="separate"/>
      </w:r>
      <w:r w:rsidR="00EA66A2" w:rsidRPr="00EA66A2">
        <w:rPr>
          <w:rStyle w:val="FootnoteReference"/>
        </w:rPr>
        <w:t>41</w:t>
      </w:r>
      <w:r w:rsidR="00502327">
        <w:fldChar w:fldCharType="end"/>
      </w:r>
      <w:r w:rsidRPr="00323640">
        <w:t xml:space="preserve"> was a small retrospective review which reported maternal</w:t>
      </w:r>
      <w:r>
        <w:t xml:space="preserve"> and infant outcomes as shown in the following table.</w:t>
      </w:r>
    </w:p>
    <w:p w14:paraId="4858F9E7" w14:textId="44D3416A" w:rsidR="00F25025" w:rsidRPr="00053E5A" w:rsidRDefault="00F25025" w:rsidP="00F25025">
      <w:pPr>
        <w:pStyle w:val="TableTitle"/>
      </w:pPr>
      <w:r>
        <w:lastRenderedPageBreak/>
        <w:t xml:space="preserve">Table </w:t>
      </w:r>
      <w:r w:rsidR="006E7419">
        <w:fldChar w:fldCharType="begin"/>
      </w:r>
      <w:r w:rsidR="006E7419">
        <w:instrText xml:space="preserve"> SEQ Table \* ARABIC </w:instrText>
      </w:r>
      <w:r w:rsidR="006E7419">
        <w:fldChar w:fldCharType="separate"/>
      </w:r>
      <w:r w:rsidR="00502327">
        <w:rPr>
          <w:noProof/>
        </w:rPr>
        <w:t>24</w:t>
      </w:r>
      <w:r w:rsidR="006E7419">
        <w:rPr>
          <w:noProof/>
        </w:rPr>
        <w:fldChar w:fldCharType="end"/>
      </w:r>
      <w:r>
        <w:t xml:space="preserve">: </w:t>
      </w:r>
      <w:r w:rsidRPr="00C476DC">
        <w:t>Berenson et al</w:t>
      </w:r>
      <w:r>
        <w:t>.,</w:t>
      </w:r>
      <w:r w:rsidRPr="00C476DC">
        <w:t xml:space="preserve"> (2016) </w:t>
      </w:r>
      <w:r>
        <w:rPr>
          <w:noProof/>
        </w:rPr>
        <w:t>study results</w:t>
      </w:r>
      <w:r w:rsidR="00502327">
        <w:rPr>
          <w:noProof/>
        </w:rPr>
        <w:t xml:space="preserve">, maternal and infant outcomes by </w:t>
      </w:r>
      <w:r w:rsidR="003E22A7">
        <w:rPr>
          <w:noProof/>
        </w:rPr>
        <w:t>dTpa</w:t>
      </w:r>
      <w:r w:rsidR="00502327">
        <w:rPr>
          <w:noProof/>
        </w:rPr>
        <w:t xml:space="preserve"> vaccination status (n = 1,759)</w:t>
      </w:r>
    </w:p>
    <w:p w14:paraId="1877FBE5" w14:textId="77777777" w:rsidR="00F25025" w:rsidRPr="00323640" w:rsidRDefault="00502327" w:rsidP="00F25025">
      <w:r>
        <w:rPr>
          <w:noProof/>
          <w:lang w:eastAsia="en-AU"/>
        </w:rPr>
        <w:drawing>
          <wp:inline distT="0" distB="0" distL="0" distR="0" wp14:anchorId="2E512507" wp14:editId="4E3791F6">
            <wp:extent cx="5400040" cy="2308225"/>
            <wp:effectExtent l="0" t="0" r="0" b="0"/>
            <wp:docPr id="21" name="Picture 21" descr="Berenson et al., (2016) study results, maternal and infant outcomes by dTpa vaccination status (n =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00040" cy="2308225"/>
                    </a:xfrm>
                    <a:prstGeom prst="rect">
                      <a:avLst/>
                    </a:prstGeom>
                  </pic:spPr>
                </pic:pic>
              </a:graphicData>
            </a:graphic>
          </wp:inline>
        </w:drawing>
      </w:r>
    </w:p>
    <w:p w14:paraId="4E074606" w14:textId="65AA7C5D" w:rsidR="00F25025" w:rsidRPr="00E84527" w:rsidRDefault="00F25025" w:rsidP="00F25025">
      <w:pPr>
        <w:rPr>
          <w:vertAlign w:val="superscript"/>
        </w:rPr>
      </w:pPr>
      <w:r w:rsidRPr="00323640">
        <w:t>Layton et al</w:t>
      </w:r>
      <w:r>
        <w:t>.,</w:t>
      </w:r>
      <w:r w:rsidRPr="00323640">
        <w:t xml:space="preserve"> (2017) was a large cohort stu</w:t>
      </w:r>
      <w:r>
        <w:t>dy with</w:t>
      </w:r>
      <w:r w:rsidRPr="00323640">
        <w:t xml:space="preserve"> repo</w:t>
      </w:r>
      <w:r>
        <w:t>rted safety outcomes as follows in</w:t>
      </w:r>
      <w:r w:rsidR="00502327">
        <w:t xml:space="preserve"> </w:t>
      </w:r>
      <w:r w:rsidR="00502327">
        <w:fldChar w:fldCharType="begin"/>
      </w:r>
      <w:r w:rsidR="00502327">
        <w:instrText xml:space="preserve"> REF _Ref34053161 \h </w:instrText>
      </w:r>
      <w:r w:rsidR="00502327">
        <w:fldChar w:fldCharType="separate"/>
      </w:r>
      <w:r w:rsidR="00502327">
        <w:t xml:space="preserve">Table </w:t>
      </w:r>
      <w:r w:rsidR="00502327">
        <w:rPr>
          <w:noProof/>
        </w:rPr>
        <w:t>25</w:t>
      </w:r>
      <w:r w:rsidR="00502327">
        <w:fldChar w:fldCharType="end"/>
      </w:r>
      <w:r>
        <w:t>.</w:t>
      </w:r>
      <w:r w:rsidRPr="00E84527">
        <w:rPr>
          <w:vertAlign w:val="superscript"/>
        </w:rPr>
        <w:fldChar w:fldCharType="begin"/>
      </w:r>
      <w:r w:rsidRPr="00E84527">
        <w:rPr>
          <w:vertAlign w:val="superscript"/>
        </w:rPr>
        <w:instrText xml:space="preserve"> NOTEREF _Ref18005701 \h </w:instrText>
      </w:r>
      <w:r>
        <w:rPr>
          <w:vertAlign w:val="superscript"/>
        </w:rPr>
        <w:instrText xml:space="preserve"> \* MERGEFORMAT </w:instrText>
      </w:r>
      <w:r w:rsidRPr="00E84527">
        <w:rPr>
          <w:vertAlign w:val="superscript"/>
        </w:rPr>
      </w:r>
      <w:r w:rsidRPr="00E84527">
        <w:rPr>
          <w:vertAlign w:val="superscript"/>
        </w:rPr>
        <w:fldChar w:fldCharType="separate"/>
      </w:r>
      <w:r w:rsidR="00EA66A2">
        <w:rPr>
          <w:vertAlign w:val="superscript"/>
        </w:rPr>
        <w:t>42</w:t>
      </w:r>
      <w:r w:rsidRPr="00E84527">
        <w:rPr>
          <w:vertAlign w:val="superscript"/>
        </w:rPr>
        <w:fldChar w:fldCharType="end"/>
      </w:r>
    </w:p>
    <w:p w14:paraId="0816391D" w14:textId="77777777" w:rsidR="00F25025" w:rsidRDefault="00F25025" w:rsidP="00F25025">
      <w:pPr>
        <w:pStyle w:val="TableTitle"/>
      </w:pPr>
      <w:bookmarkStart w:id="91" w:name="_Ref34053161"/>
      <w:r>
        <w:t xml:space="preserve">Table </w:t>
      </w:r>
      <w:r w:rsidR="006E7419">
        <w:fldChar w:fldCharType="begin"/>
      </w:r>
      <w:r w:rsidR="006E7419">
        <w:instrText xml:space="preserve"> SEQ Table \* ARABIC </w:instrText>
      </w:r>
      <w:r w:rsidR="006E7419">
        <w:fldChar w:fldCharType="separate"/>
      </w:r>
      <w:r w:rsidR="00502327">
        <w:rPr>
          <w:noProof/>
        </w:rPr>
        <w:t>25</w:t>
      </w:r>
      <w:r w:rsidR="006E7419">
        <w:rPr>
          <w:noProof/>
        </w:rPr>
        <w:fldChar w:fldCharType="end"/>
      </w:r>
      <w:bookmarkEnd w:id="91"/>
      <w:r>
        <w:t xml:space="preserve">: </w:t>
      </w:r>
      <w:r w:rsidRPr="009251A0">
        <w:t>Layton et al</w:t>
      </w:r>
      <w:r>
        <w:t>.,</w:t>
      </w:r>
      <w:r w:rsidRPr="009251A0">
        <w:t xml:space="preserve"> (2017) </w:t>
      </w:r>
      <w:r>
        <w:t>study results</w:t>
      </w:r>
      <w:r w:rsidR="00502327">
        <w:t xml:space="preserve">, </w:t>
      </w:r>
      <w:r w:rsidR="00A641AD">
        <w:t>birth and newborn outcomes by immunisation status</w:t>
      </w:r>
    </w:p>
    <w:p w14:paraId="5799B459" w14:textId="77777777" w:rsidR="00F25025" w:rsidRPr="00323640" w:rsidRDefault="00F25025" w:rsidP="00F25025">
      <w:r w:rsidRPr="00053E5A">
        <w:rPr>
          <w:noProof/>
          <w:lang w:eastAsia="en-AU"/>
        </w:rPr>
        <w:drawing>
          <wp:inline distT="0" distB="0" distL="0" distR="0" wp14:anchorId="5FBDA2FF" wp14:editId="092300A8">
            <wp:extent cx="5215737" cy="5297721"/>
            <wp:effectExtent l="0" t="0" r="4445" b="0"/>
            <wp:docPr id="29" name="Picture 29" descr="Layton et al., (2017) study results, birth and newborn outcomes by immunisatio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_2019_CEU2\captur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28574" cy="5310759"/>
                    </a:xfrm>
                    <a:prstGeom prst="rect">
                      <a:avLst/>
                    </a:prstGeom>
                    <a:noFill/>
                    <a:ln>
                      <a:noFill/>
                    </a:ln>
                  </pic:spPr>
                </pic:pic>
              </a:graphicData>
            </a:graphic>
          </wp:inline>
        </w:drawing>
      </w:r>
    </w:p>
    <w:p w14:paraId="3EA8979E" w14:textId="77777777" w:rsidR="00F25025" w:rsidRPr="00053E5A" w:rsidRDefault="00F25025" w:rsidP="00F25025">
      <w:r w:rsidRPr="00053E5A">
        <w:lastRenderedPageBreak/>
        <w:t>Thus chorioamnionitis appears to show up consistently in all datasets with relatively higher occurrence in dTpa exposed groups compared to dTpa unexposed controls. The related perinatal or natal outcomes are variable, uncertain due to low reporting or not affected.</w:t>
      </w:r>
    </w:p>
    <w:p w14:paraId="64CD67B5" w14:textId="5707D3B6" w:rsidR="00F25025" w:rsidRPr="00053E5A" w:rsidRDefault="00F25025" w:rsidP="00F25025">
      <w:r w:rsidRPr="00053E5A">
        <w:t>Datwani et al</w:t>
      </w:r>
      <w:r>
        <w:t>.,</w:t>
      </w:r>
      <w:r w:rsidRPr="00053E5A">
        <w:t xml:space="preserve"> (2015)</w:t>
      </w:r>
      <w:r w:rsidR="00A641AD">
        <w:fldChar w:fldCharType="begin"/>
      </w:r>
      <w:r w:rsidR="00A641AD">
        <w:instrText xml:space="preserve"> NOTEREF _Ref18005812 \f \h </w:instrText>
      </w:r>
      <w:r w:rsidR="00A641AD">
        <w:fldChar w:fldCharType="separate"/>
      </w:r>
      <w:r w:rsidR="00EA66A2" w:rsidRPr="00EA66A2">
        <w:rPr>
          <w:rStyle w:val="FootnoteReference"/>
        </w:rPr>
        <w:t>44</w:t>
      </w:r>
      <w:r w:rsidR="00A641AD">
        <w:fldChar w:fldCharType="end"/>
      </w:r>
      <w:r w:rsidRPr="00053E5A">
        <w:t xml:space="preserve"> was a retrospective review of </w:t>
      </w:r>
      <w:r w:rsidR="00A641AD">
        <w:rPr>
          <w:lang w:val="en"/>
        </w:rPr>
        <w:t>Vaccine Adverse Event Report System (</w:t>
      </w:r>
      <w:r w:rsidRPr="00053E5A">
        <w:t>VAERS</w:t>
      </w:r>
      <w:r w:rsidR="00A641AD">
        <w:t>)</w:t>
      </w:r>
      <w:r w:rsidRPr="00053E5A">
        <w:t xml:space="preserve"> database to study any association of maternal vaccinations in pregnancy and chorioamnionitis. VAERS is a spontaneous (passive) reporting system managed by </w:t>
      </w:r>
      <w:r w:rsidR="00A641AD" w:rsidRPr="00A641AD">
        <w:t xml:space="preserve">Centers for Disease Control and Prevention </w:t>
      </w:r>
      <w:r w:rsidR="00A641AD">
        <w:t>(</w:t>
      </w:r>
      <w:r w:rsidRPr="00053E5A">
        <w:t>CDC</w:t>
      </w:r>
      <w:r w:rsidR="00A641AD">
        <w:t>)</w:t>
      </w:r>
      <w:r w:rsidRPr="00053E5A">
        <w:t xml:space="preserve"> and </w:t>
      </w:r>
      <w:r w:rsidR="00A641AD">
        <w:t>the Food and Drug Administration (</w:t>
      </w:r>
      <w:r w:rsidRPr="00053E5A">
        <w:t>FDA</w:t>
      </w:r>
      <w:r w:rsidR="00A641AD">
        <w:t>)</w:t>
      </w:r>
      <w:r w:rsidRPr="00053E5A">
        <w:t xml:space="preserve">. A total of 31 reports of chorioamnionitis were received out of 3389 pregnancy reports in 24 years (1990 to 2014). These were evenly distributed amongst recipients of 2009 H1N1 inactivated flu vaccine, </w:t>
      </w:r>
      <w:r w:rsidR="00A641AD" w:rsidRPr="00A641AD">
        <w:t xml:space="preserve">human papillomavirus vaccine that contains 4 serotypes </w:t>
      </w:r>
      <w:r w:rsidR="00A641AD">
        <w:t>(</w:t>
      </w:r>
      <w:r w:rsidRPr="00053E5A">
        <w:t>HPV4 vaccine</w:t>
      </w:r>
      <w:r w:rsidR="00A641AD">
        <w:t>)</w:t>
      </w:r>
      <w:r w:rsidRPr="00053E5A">
        <w:t xml:space="preserve">, dTpa and seasonal trivalent flu vaccine. Chorioamnionitis was identified in 3 reports of spontaneous abortion and 6 stillbirths, 6 reports of pre-term birth (two of whom died) and 16 reports of term birth. </w:t>
      </w:r>
      <w:r>
        <w:t>Maternal outcomes included 2 </w:t>
      </w:r>
      <w:r w:rsidRPr="00053E5A">
        <w:t>reports of postpartum haemorrhage and one report of admission to the intensive care unit. A formal data mining analysis to assess disproportionate reporting or calculate crude reporting rates was not done.</w:t>
      </w:r>
    </w:p>
    <w:p w14:paraId="37106664" w14:textId="2A7383B4" w:rsidR="00F25025" w:rsidRPr="00323640" w:rsidRDefault="00F25025" w:rsidP="00F25025">
      <w:r w:rsidRPr="00323640">
        <w:t>Donegan et al</w:t>
      </w:r>
      <w:r>
        <w:t>.,</w:t>
      </w:r>
      <w:r w:rsidRPr="00323640">
        <w:t xml:space="preserve"> (2014)</w:t>
      </w:r>
      <w:r w:rsidR="00DF1893">
        <w:fldChar w:fldCharType="begin"/>
      </w:r>
      <w:r w:rsidR="00DF1893">
        <w:instrText xml:space="preserve"> NOTEREF _Ref18002120 \f \h </w:instrText>
      </w:r>
      <w:r w:rsidR="00DF1893">
        <w:fldChar w:fldCharType="separate"/>
      </w:r>
      <w:r w:rsidR="00EA66A2" w:rsidRPr="00EA66A2">
        <w:rPr>
          <w:rStyle w:val="FootnoteReference"/>
        </w:rPr>
        <w:t>33</w:t>
      </w:r>
      <w:r w:rsidR="00DF1893">
        <w:fldChar w:fldCharType="end"/>
      </w:r>
      <w:r w:rsidRPr="00323640">
        <w:t xml:space="preserve"> was a cohort study after a large pertussis outbreak in the UK, follow</w:t>
      </w:r>
      <w:r>
        <w:t xml:space="preserve">ed </w:t>
      </w:r>
      <w:r w:rsidRPr="00053E5A">
        <w:t>by</w:t>
      </w:r>
      <w:r>
        <w:t xml:space="preserve"> high uptake of dTpa in third trimester of pregnancy. Predefined safety outcomes were as follows </w:t>
      </w:r>
      <w:r w:rsidR="00DF1893">
        <w:t xml:space="preserve">in </w:t>
      </w:r>
      <w:r w:rsidR="00DF1893">
        <w:fldChar w:fldCharType="begin"/>
      </w:r>
      <w:r w:rsidR="00DF1893">
        <w:instrText xml:space="preserve"> REF _Ref34053730 \h </w:instrText>
      </w:r>
      <w:r w:rsidR="00DF1893">
        <w:fldChar w:fldCharType="separate"/>
      </w:r>
      <w:r w:rsidR="00DF1893">
        <w:t xml:space="preserve">Table </w:t>
      </w:r>
      <w:r w:rsidR="00DF1893">
        <w:rPr>
          <w:noProof/>
        </w:rPr>
        <w:t>26</w:t>
      </w:r>
      <w:r w:rsidR="00DF1893">
        <w:fldChar w:fldCharType="end"/>
      </w:r>
      <w:r w:rsidR="00DF1893">
        <w:t xml:space="preserve"> </w:t>
      </w:r>
      <w:r>
        <w:t>and did not indicate any untoward signal with the use of maternal dTpa.</w:t>
      </w:r>
    </w:p>
    <w:p w14:paraId="0B34E9CA" w14:textId="77777777" w:rsidR="00F25025" w:rsidRPr="00053E5A" w:rsidRDefault="00F25025" w:rsidP="00F25025">
      <w:pPr>
        <w:pStyle w:val="TableTitle"/>
      </w:pPr>
      <w:bookmarkStart w:id="92" w:name="_Ref34053730"/>
      <w:r>
        <w:t xml:space="preserve">Table </w:t>
      </w:r>
      <w:r w:rsidR="006E7419">
        <w:fldChar w:fldCharType="begin"/>
      </w:r>
      <w:r w:rsidR="006E7419">
        <w:instrText xml:space="preserve"> SEQ Table \* ARABIC </w:instrText>
      </w:r>
      <w:r w:rsidR="006E7419">
        <w:fldChar w:fldCharType="separate"/>
      </w:r>
      <w:r w:rsidR="00DF1893">
        <w:rPr>
          <w:noProof/>
        </w:rPr>
        <w:t>26</w:t>
      </w:r>
      <w:r w:rsidR="006E7419">
        <w:rPr>
          <w:noProof/>
        </w:rPr>
        <w:fldChar w:fldCharType="end"/>
      </w:r>
      <w:bookmarkEnd w:id="92"/>
      <w:r>
        <w:t xml:space="preserve">: </w:t>
      </w:r>
      <w:r w:rsidRPr="00545C36">
        <w:t xml:space="preserve">Donegan et al (2014) </w:t>
      </w:r>
      <w:r>
        <w:t>study results</w:t>
      </w:r>
      <w:r w:rsidR="00DF1893">
        <w:t>, matched cohort analysis, overall risk of predefined potential adverse events in vaccinated women and all women eligible for vaccination versus historical unvaccinated controls</w:t>
      </w:r>
    </w:p>
    <w:p w14:paraId="07F9AD99" w14:textId="77777777" w:rsidR="00F25025" w:rsidRDefault="00DF1893" w:rsidP="00F25025">
      <w:r>
        <w:rPr>
          <w:noProof/>
          <w:lang w:eastAsia="en-AU"/>
        </w:rPr>
        <w:drawing>
          <wp:inline distT="0" distB="0" distL="0" distR="0" wp14:anchorId="1EDCF5B7" wp14:editId="1DCB284D">
            <wp:extent cx="5400040" cy="2307590"/>
            <wp:effectExtent l="0" t="0" r="0" b="0"/>
            <wp:docPr id="33" name="Picture 33" descr="Donegan et al (2014) study results, matched cohort analysis, overall risk of predefined potential adverse events in vaccinated women and all women eligible for vaccination versus historical unvaccinated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00040" cy="2307590"/>
                    </a:xfrm>
                    <a:prstGeom prst="rect">
                      <a:avLst/>
                    </a:prstGeom>
                  </pic:spPr>
                </pic:pic>
              </a:graphicData>
            </a:graphic>
          </wp:inline>
        </w:drawing>
      </w:r>
    </w:p>
    <w:p w14:paraId="10857770" w14:textId="5A0F46DB" w:rsidR="00F25025" w:rsidRPr="00053E5A" w:rsidRDefault="00F25025" w:rsidP="00F25025">
      <w:r w:rsidRPr="00323640">
        <w:t xml:space="preserve">A more </w:t>
      </w:r>
      <w:r>
        <w:t>recent publication based on VAERS</w:t>
      </w:r>
      <w:r w:rsidRPr="00323640">
        <w:t xml:space="preserve"> database was Moro et al</w:t>
      </w:r>
      <w:r>
        <w:t>.,</w:t>
      </w:r>
      <w:r w:rsidRPr="00323640">
        <w:t xml:space="preserve"> (2017)</w:t>
      </w:r>
      <w:r w:rsidR="00DF1893">
        <w:fldChar w:fldCharType="begin"/>
      </w:r>
      <w:r w:rsidR="00DF1893">
        <w:instrText xml:space="preserve"> NOTEREF _Ref18005978 \f \h </w:instrText>
      </w:r>
      <w:r w:rsidR="00DF1893">
        <w:fldChar w:fldCharType="separate"/>
      </w:r>
      <w:r w:rsidR="00EA66A2" w:rsidRPr="00EA66A2">
        <w:rPr>
          <w:rStyle w:val="FootnoteReference"/>
        </w:rPr>
        <w:t>45</w:t>
      </w:r>
      <w:r w:rsidR="00DF1893">
        <w:fldChar w:fldCharType="end"/>
      </w:r>
      <w:r w:rsidRPr="00323640">
        <w:t xml:space="preserve"> which sought to assess major birth defects following vaccination during pregnancy</w:t>
      </w:r>
      <w:r>
        <w:t xml:space="preserve"> (1990 to 2014)</w:t>
      </w:r>
      <w:r w:rsidRPr="00323640">
        <w:t>. The r</w:t>
      </w:r>
      <w:r>
        <w:t xml:space="preserve">eported results were as follows </w:t>
      </w:r>
      <w:r w:rsidR="00DF1893">
        <w:t xml:space="preserve">in </w:t>
      </w:r>
      <w:r w:rsidR="00DF1893">
        <w:fldChar w:fldCharType="begin"/>
      </w:r>
      <w:r w:rsidR="00DF1893">
        <w:instrText xml:space="preserve"> REF _Ref34053997 \h </w:instrText>
      </w:r>
      <w:r w:rsidR="00DF1893">
        <w:fldChar w:fldCharType="separate"/>
      </w:r>
      <w:r w:rsidR="00DF1893">
        <w:t xml:space="preserve">Table </w:t>
      </w:r>
      <w:r w:rsidR="00DF1893">
        <w:rPr>
          <w:noProof/>
        </w:rPr>
        <w:t>27</w:t>
      </w:r>
      <w:r w:rsidR="00DF1893">
        <w:fldChar w:fldCharType="end"/>
      </w:r>
      <w:r w:rsidR="00DF1893">
        <w:t xml:space="preserve"> </w:t>
      </w:r>
      <w:r>
        <w:t>and demonstrate the issue of underreporting in spontaneous safety datasets.</w:t>
      </w:r>
    </w:p>
    <w:p w14:paraId="6B43C7A5" w14:textId="77777777" w:rsidR="00F25025" w:rsidRDefault="00F25025" w:rsidP="00F25025">
      <w:pPr>
        <w:pStyle w:val="TableTitle"/>
      </w:pPr>
      <w:bookmarkStart w:id="93" w:name="_Ref34053997"/>
      <w:r>
        <w:lastRenderedPageBreak/>
        <w:t xml:space="preserve">Table </w:t>
      </w:r>
      <w:r w:rsidR="006E7419">
        <w:fldChar w:fldCharType="begin"/>
      </w:r>
      <w:r w:rsidR="006E7419">
        <w:instrText xml:space="preserve"> SEQ Table \* ARABIC </w:instrText>
      </w:r>
      <w:r w:rsidR="006E7419">
        <w:fldChar w:fldCharType="separate"/>
      </w:r>
      <w:r w:rsidR="00DF1893">
        <w:rPr>
          <w:noProof/>
        </w:rPr>
        <w:t>27</w:t>
      </w:r>
      <w:r w:rsidR="006E7419">
        <w:rPr>
          <w:noProof/>
        </w:rPr>
        <w:fldChar w:fldCharType="end"/>
      </w:r>
      <w:bookmarkEnd w:id="93"/>
      <w:r>
        <w:t xml:space="preserve">: </w:t>
      </w:r>
      <w:r w:rsidRPr="008A6CE8">
        <w:t xml:space="preserve">Moro et al (2017) </w:t>
      </w:r>
      <w:r>
        <w:t>study results</w:t>
      </w:r>
    </w:p>
    <w:p w14:paraId="224EFB7B" w14:textId="77777777" w:rsidR="00F25025" w:rsidRPr="007B6132" w:rsidRDefault="00F25025" w:rsidP="00EE1903">
      <w:r w:rsidRPr="00053E5A">
        <w:rPr>
          <w:noProof/>
          <w:lang w:eastAsia="en-AU"/>
        </w:rPr>
        <w:drawing>
          <wp:inline distT="0" distB="0" distL="0" distR="0" wp14:anchorId="15D5DC01" wp14:editId="4865D786">
            <wp:extent cx="4521200" cy="2726802"/>
            <wp:effectExtent l="0" t="0" r="0" b="0"/>
            <wp:docPr id="30" name="Picture 30" descr="Moro et al (2017) study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_2019_CEU2\capture.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26740" cy="2730143"/>
                    </a:xfrm>
                    <a:prstGeom prst="rect">
                      <a:avLst/>
                    </a:prstGeom>
                    <a:noFill/>
                    <a:ln>
                      <a:noFill/>
                    </a:ln>
                  </pic:spPr>
                </pic:pic>
              </a:graphicData>
            </a:graphic>
          </wp:inline>
        </w:drawing>
      </w:r>
    </w:p>
    <w:p w14:paraId="4B125EF2" w14:textId="77777777" w:rsidR="008E7846" w:rsidRDefault="00386150" w:rsidP="007B6132">
      <w:pPr>
        <w:pStyle w:val="Heading3"/>
        <w:rPr>
          <w:lang w:eastAsia="en-AU"/>
        </w:rPr>
      </w:pPr>
      <w:bookmarkStart w:id="94" w:name="_Toc36126292"/>
      <w:r>
        <w:rPr>
          <w:lang w:eastAsia="en-AU"/>
        </w:rPr>
        <w:t>Risk m</w:t>
      </w:r>
      <w:r w:rsidR="008E7846">
        <w:rPr>
          <w:lang w:eastAsia="en-AU"/>
        </w:rPr>
        <w:t xml:space="preserve">anagement </w:t>
      </w:r>
      <w:r>
        <w:rPr>
          <w:lang w:eastAsia="en-AU"/>
        </w:rPr>
        <w:t>p</w:t>
      </w:r>
      <w:r w:rsidR="008E7846">
        <w:rPr>
          <w:lang w:eastAsia="en-AU"/>
        </w:rPr>
        <w:t>lan</w:t>
      </w:r>
      <w:bookmarkEnd w:id="45"/>
      <w:bookmarkEnd w:id="94"/>
    </w:p>
    <w:p w14:paraId="1AD14BC6" w14:textId="77777777" w:rsidR="00F25025" w:rsidRDefault="00F25025" w:rsidP="00F25025">
      <w:pPr>
        <w:rPr>
          <w:lang w:eastAsia="en-AU"/>
        </w:rPr>
      </w:pPr>
      <w:r>
        <w:rPr>
          <w:lang w:eastAsia="en-AU"/>
        </w:rPr>
        <w:t xml:space="preserve">The sponsor submitted </w:t>
      </w:r>
      <w:r w:rsidR="00DF1893">
        <w:rPr>
          <w:lang w:eastAsia="en-AU"/>
        </w:rPr>
        <w:t>European Union-Risk Management Plan (</w:t>
      </w:r>
      <w:r>
        <w:rPr>
          <w:lang w:eastAsia="en-AU"/>
        </w:rPr>
        <w:t>EU-RMP</w:t>
      </w:r>
      <w:r w:rsidR="00DF1893">
        <w:rPr>
          <w:lang w:eastAsia="en-AU"/>
        </w:rPr>
        <w:t>)</w:t>
      </w:r>
      <w:r>
        <w:rPr>
          <w:lang w:eastAsia="en-AU"/>
        </w:rPr>
        <w:t xml:space="preserve"> version 4.0 (dated 15 May 2018; data lock point (DLP) 16 March 2017) and </w:t>
      </w:r>
      <w:r w:rsidR="00DF1893">
        <w:rPr>
          <w:lang w:eastAsia="en-AU"/>
        </w:rPr>
        <w:t>Australian specific Annex (</w:t>
      </w:r>
      <w:r>
        <w:rPr>
          <w:lang w:eastAsia="en-AU"/>
        </w:rPr>
        <w:t>ASA</w:t>
      </w:r>
      <w:r w:rsidR="00DF1893">
        <w:rPr>
          <w:lang w:eastAsia="en-AU"/>
        </w:rPr>
        <w:t>)</w:t>
      </w:r>
      <w:r>
        <w:rPr>
          <w:lang w:eastAsia="en-AU"/>
        </w:rPr>
        <w:t xml:space="preserve"> version 1.0 (dated 31 May 2018) in support of this application. Adacel has been in the </w:t>
      </w:r>
      <w:r w:rsidR="00DF1893">
        <w:rPr>
          <w:lang w:eastAsia="en-AU"/>
        </w:rPr>
        <w:t>ARTG</w:t>
      </w:r>
      <w:r>
        <w:rPr>
          <w:lang w:eastAsia="en-AU"/>
        </w:rPr>
        <w:t xml:space="preserve"> since 200</w:t>
      </w:r>
      <w:r w:rsidR="00DF1893">
        <w:rPr>
          <w:lang w:eastAsia="en-AU"/>
        </w:rPr>
        <w:t>5. The TGA has not evaluated a risk management plan (</w:t>
      </w:r>
      <w:r>
        <w:rPr>
          <w:lang w:eastAsia="en-AU"/>
        </w:rPr>
        <w:t>RMP</w:t>
      </w:r>
      <w:r w:rsidR="00DF1893">
        <w:rPr>
          <w:lang w:eastAsia="en-AU"/>
        </w:rPr>
        <w:t>)</w:t>
      </w:r>
      <w:r>
        <w:rPr>
          <w:lang w:eastAsia="en-AU"/>
        </w:rPr>
        <w:t xml:space="preserve"> for this product previously.</w:t>
      </w:r>
    </w:p>
    <w:p w14:paraId="6A54A6F2" w14:textId="77777777" w:rsidR="00F25025" w:rsidRDefault="00F25025" w:rsidP="00F25025">
      <w:pPr>
        <w:rPr>
          <w:lang w:eastAsia="en-AU"/>
        </w:rPr>
      </w:pPr>
      <w:r>
        <w:rPr>
          <w:lang w:eastAsia="en-AU"/>
        </w:rPr>
        <w:t>The proposed summary of safety concerns and their associated risk monitoring and mitigation strategies for Australia are summarised in the</w:t>
      </w:r>
      <w:r w:rsidR="00DF1893">
        <w:rPr>
          <w:lang w:eastAsia="en-AU"/>
        </w:rPr>
        <w:t xml:space="preserve"> </w:t>
      </w:r>
      <w:r w:rsidR="00DF1893">
        <w:rPr>
          <w:lang w:eastAsia="en-AU"/>
        </w:rPr>
        <w:fldChar w:fldCharType="begin"/>
      </w:r>
      <w:r w:rsidR="00DF1893">
        <w:rPr>
          <w:lang w:eastAsia="en-AU"/>
        </w:rPr>
        <w:instrText xml:space="preserve"> REF _Ref34054013 \h </w:instrText>
      </w:r>
      <w:r w:rsidR="00DF1893">
        <w:rPr>
          <w:lang w:eastAsia="en-AU"/>
        </w:rPr>
      </w:r>
      <w:r w:rsidR="00DF1893">
        <w:rPr>
          <w:lang w:eastAsia="en-AU"/>
        </w:rPr>
        <w:fldChar w:fldCharType="separate"/>
      </w:r>
      <w:r w:rsidR="00DF1893">
        <w:t xml:space="preserve">Table </w:t>
      </w:r>
      <w:r w:rsidR="00DF1893">
        <w:rPr>
          <w:noProof/>
        </w:rPr>
        <w:t>28</w:t>
      </w:r>
      <w:r w:rsidR="00DF1893">
        <w:rPr>
          <w:lang w:eastAsia="en-AU"/>
        </w:rPr>
        <w:fldChar w:fldCharType="end"/>
      </w:r>
      <w:r>
        <w:rPr>
          <w:lang w:eastAsia="en-AU"/>
        </w:rPr>
        <w:t>.</w:t>
      </w:r>
      <w:r>
        <w:rPr>
          <w:rStyle w:val="FootnoteReference"/>
          <w:lang w:eastAsia="en-AU"/>
        </w:rPr>
        <w:footnoteReference w:id="47"/>
      </w:r>
    </w:p>
    <w:p w14:paraId="4C957EB6" w14:textId="77777777" w:rsidR="00F25025" w:rsidRDefault="00F25025" w:rsidP="00EA66A2">
      <w:pPr>
        <w:pStyle w:val="TableTitle"/>
      </w:pPr>
      <w:bookmarkStart w:id="95" w:name="_Ref34054013"/>
      <w:r>
        <w:lastRenderedPageBreak/>
        <w:t xml:space="preserve">Table </w:t>
      </w:r>
      <w:r w:rsidR="006E7419">
        <w:fldChar w:fldCharType="begin"/>
      </w:r>
      <w:r w:rsidR="006E7419">
        <w:instrText xml:space="preserve"> SEQ Table \* ARABIC </w:instrText>
      </w:r>
      <w:r w:rsidR="006E7419">
        <w:fldChar w:fldCharType="separate"/>
      </w:r>
      <w:r w:rsidR="00DF1893">
        <w:rPr>
          <w:noProof/>
        </w:rPr>
        <w:t>28</w:t>
      </w:r>
      <w:r w:rsidR="006E7419">
        <w:rPr>
          <w:noProof/>
        </w:rPr>
        <w:fldChar w:fldCharType="end"/>
      </w:r>
      <w:bookmarkEnd w:id="95"/>
      <w:r>
        <w:t>: Summary of safety concerns</w:t>
      </w:r>
    </w:p>
    <w:tbl>
      <w:tblPr>
        <w:tblStyle w:val="TableTGAblue"/>
        <w:tblW w:w="5000" w:type="pct"/>
        <w:tblLook w:val="04A0" w:firstRow="1" w:lastRow="0" w:firstColumn="1" w:lastColumn="0" w:noHBand="0" w:noVBand="1"/>
      </w:tblPr>
      <w:tblGrid>
        <w:gridCol w:w="1519"/>
        <w:gridCol w:w="2680"/>
        <w:gridCol w:w="992"/>
        <w:gridCol w:w="1270"/>
        <w:gridCol w:w="992"/>
        <w:gridCol w:w="1267"/>
      </w:tblGrid>
      <w:tr w:rsidR="00F25025" w:rsidRPr="004F1C07" w14:paraId="4240C6B2" w14:textId="77777777" w:rsidTr="00AB2E44">
        <w:trPr>
          <w:cnfStyle w:val="100000000000" w:firstRow="1" w:lastRow="0" w:firstColumn="0" w:lastColumn="0" w:oddVBand="0" w:evenVBand="0" w:oddHBand="0" w:evenHBand="0" w:firstRowFirstColumn="0" w:firstRowLastColumn="0" w:lastRowFirstColumn="0" w:lastRowLastColumn="0"/>
          <w:trHeight w:val="131"/>
        </w:trPr>
        <w:tc>
          <w:tcPr>
            <w:tcW w:w="2409" w:type="pct"/>
            <w:gridSpan w:val="2"/>
            <w:vMerge w:val="restart"/>
          </w:tcPr>
          <w:p w14:paraId="1E2ADC11" w14:textId="77777777" w:rsidR="00F25025" w:rsidRPr="004F1C07" w:rsidRDefault="00F25025" w:rsidP="00EA66A2">
            <w:pPr>
              <w:pStyle w:val="Tabletext"/>
              <w:rPr>
                <w:b w:val="0"/>
              </w:rPr>
            </w:pPr>
            <w:r w:rsidRPr="004F1C07">
              <w:t>Summary of safety concerns</w:t>
            </w:r>
          </w:p>
        </w:tc>
        <w:tc>
          <w:tcPr>
            <w:tcW w:w="1295" w:type="pct"/>
            <w:gridSpan w:val="2"/>
          </w:tcPr>
          <w:p w14:paraId="6D494ABF" w14:textId="77777777" w:rsidR="00F25025" w:rsidRPr="0011726C" w:rsidRDefault="00F25025" w:rsidP="00EA66A2">
            <w:pPr>
              <w:pStyle w:val="Tabletext"/>
              <w:ind w:left="0"/>
              <w:rPr>
                <w:b w:val="0"/>
                <w:sz w:val="18"/>
              </w:rPr>
            </w:pPr>
            <w:r w:rsidRPr="0011726C">
              <w:rPr>
                <w:sz w:val="18"/>
              </w:rPr>
              <w:t>Pharmacovigilance</w:t>
            </w:r>
          </w:p>
        </w:tc>
        <w:tc>
          <w:tcPr>
            <w:tcW w:w="1295" w:type="pct"/>
            <w:gridSpan w:val="2"/>
          </w:tcPr>
          <w:p w14:paraId="2FC561AC" w14:textId="77777777" w:rsidR="00F25025" w:rsidRPr="0011726C" w:rsidRDefault="00F25025" w:rsidP="00EA66A2">
            <w:pPr>
              <w:pStyle w:val="Tabletext"/>
              <w:ind w:left="0"/>
              <w:rPr>
                <w:b w:val="0"/>
                <w:sz w:val="18"/>
              </w:rPr>
            </w:pPr>
            <w:r w:rsidRPr="0011726C">
              <w:rPr>
                <w:sz w:val="18"/>
              </w:rPr>
              <w:t>Risk Minimisation</w:t>
            </w:r>
          </w:p>
        </w:tc>
      </w:tr>
      <w:tr w:rsidR="00F25025" w:rsidRPr="004F1C07" w14:paraId="45A066B4" w14:textId="77777777" w:rsidTr="00AB2E44">
        <w:trPr>
          <w:trHeight w:val="150"/>
        </w:trPr>
        <w:tc>
          <w:tcPr>
            <w:tcW w:w="2409" w:type="pct"/>
            <w:gridSpan w:val="2"/>
            <w:vMerge/>
          </w:tcPr>
          <w:p w14:paraId="4A1371E1" w14:textId="77777777" w:rsidR="00F25025" w:rsidRPr="004F1C07" w:rsidRDefault="00F25025" w:rsidP="00EA66A2">
            <w:pPr>
              <w:pStyle w:val="Tabletext"/>
              <w:keepNext/>
              <w:rPr>
                <w:b/>
              </w:rPr>
            </w:pPr>
          </w:p>
        </w:tc>
        <w:tc>
          <w:tcPr>
            <w:tcW w:w="567" w:type="pct"/>
          </w:tcPr>
          <w:p w14:paraId="6704AF0F" w14:textId="77777777" w:rsidR="00F25025" w:rsidRPr="0011726C" w:rsidRDefault="00F25025" w:rsidP="00EA66A2">
            <w:pPr>
              <w:pStyle w:val="Tabletext"/>
              <w:keepNext/>
              <w:ind w:left="0"/>
              <w:rPr>
                <w:sz w:val="18"/>
              </w:rPr>
            </w:pPr>
            <w:r w:rsidRPr="0011726C">
              <w:rPr>
                <w:sz w:val="18"/>
              </w:rPr>
              <w:t>Routine</w:t>
            </w:r>
          </w:p>
        </w:tc>
        <w:tc>
          <w:tcPr>
            <w:tcW w:w="729" w:type="pct"/>
          </w:tcPr>
          <w:p w14:paraId="39BCC8FD" w14:textId="77777777" w:rsidR="00F25025" w:rsidRPr="0011726C" w:rsidRDefault="00F25025" w:rsidP="00EA66A2">
            <w:pPr>
              <w:pStyle w:val="Tabletext"/>
              <w:keepNext/>
              <w:ind w:left="0"/>
              <w:rPr>
                <w:sz w:val="18"/>
              </w:rPr>
            </w:pPr>
            <w:r w:rsidRPr="0011726C">
              <w:rPr>
                <w:sz w:val="18"/>
              </w:rPr>
              <w:t>Additional</w:t>
            </w:r>
          </w:p>
        </w:tc>
        <w:tc>
          <w:tcPr>
            <w:tcW w:w="567" w:type="pct"/>
          </w:tcPr>
          <w:p w14:paraId="1A775307" w14:textId="77777777" w:rsidR="00F25025" w:rsidRPr="0011726C" w:rsidRDefault="00F25025" w:rsidP="00EA66A2">
            <w:pPr>
              <w:pStyle w:val="Tabletext"/>
              <w:keepNext/>
              <w:ind w:left="0"/>
              <w:rPr>
                <w:sz w:val="18"/>
              </w:rPr>
            </w:pPr>
            <w:r w:rsidRPr="0011726C">
              <w:rPr>
                <w:sz w:val="18"/>
              </w:rPr>
              <w:t>Routine</w:t>
            </w:r>
          </w:p>
        </w:tc>
        <w:tc>
          <w:tcPr>
            <w:tcW w:w="729" w:type="pct"/>
          </w:tcPr>
          <w:p w14:paraId="6EB8E119" w14:textId="77777777" w:rsidR="00F25025" w:rsidRPr="0011726C" w:rsidRDefault="00F25025" w:rsidP="00EA66A2">
            <w:pPr>
              <w:pStyle w:val="Tabletext"/>
              <w:keepNext/>
              <w:ind w:left="0"/>
              <w:rPr>
                <w:sz w:val="18"/>
              </w:rPr>
            </w:pPr>
            <w:r w:rsidRPr="0011726C">
              <w:rPr>
                <w:sz w:val="18"/>
              </w:rPr>
              <w:t>Additional</w:t>
            </w:r>
          </w:p>
        </w:tc>
      </w:tr>
      <w:tr w:rsidR="00F25025" w:rsidRPr="004F1C07" w14:paraId="75671CB1" w14:textId="77777777" w:rsidTr="00AB2E44">
        <w:trPr>
          <w:trHeight w:val="137"/>
        </w:trPr>
        <w:tc>
          <w:tcPr>
            <w:tcW w:w="872" w:type="pct"/>
            <w:vMerge w:val="restart"/>
          </w:tcPr>
          <w:p w14:paraId="3590F383" w14:textId="77777777" w:rsidR="00F25025" w:rsidRPr="00680101" w:rsidRDefault="00F25025" w:rsidP="00EA66A2">
            <w:pPr>
              <w:pStyle w:val="Tabletext"/>
              <w:keepNext/>
              <w:ind w:left="0"/>
              <w:rPr>
                <w:b/>
              </w:rPr>
            </w:pPr>
            <w:r w:rsidRPr="00680101">
              <w:rPr>
                <w:b/>
              </w:rPr>
              <w:t>Important identified risks</w:t>
            </w:r>
          </w:p>
        </w:tc>
        <w:tc>
          <w:tcPr>
            <w:tcW w:w="1538" w:type="pct"/>
          </w:tcPr>
          <w:p w14:paraId="14DAC68E" w14:textId="77777777" w:rsidR="00F25025" w:rsidRPr="001B5922" w:rsidRDefault="00F25025" w:rsidP="00EA66A2">
            <w:pPr>
              <w:pStyle w:val="Summaryofsafetyconcerns"/>
              <w:keepNext/>
              <w:keepLines/>
              <w:ind w:left="0" w:right="0"/>
              <w:rPr>
                <w:b w:val="0"/>
              </w:rPr>
            </w:pPr>
            <w:r w:rsidRPr="001B5922">
              <w:rPr>
                <w:b w:val="0"/>
              </w:rPr>
              <w:t>Convulsion</w:t>
            </w:r>
          </w:p>
        </w:tc>
        <w:tc>
          <w:tcPr>
            <w:tcW w:w="567" w:type="pct"/>
          </w:tcPr>
          <w:p w14:paraId="27FFE086" w14:textId="77777777" w:rsidR="00F25025" w:rsidRPr="005D2BF4" w:rsidRDefault="00F25025" w:rsidP="00EA66A2">
            <w:pPr>
              <w:pStyle w:val="Tabletext"/>
              <w:keepNext/>
              <w:jc w:val="center"/>
            </w:pPr>
            <w:r w:rsidRPr="005D2BF4">
              <w:sym w:font="Wingdings" w:char="F0FC"/>
            </w:r>
          </w:p>
        </w:tc>
        <w:tc>
          <w:tcPr>
            <w:tcW w:w="729" w:type="pct"/>
          </w:tcPr>
          <w:p w14:paraId="1E552B3B" w14:textId="77777777" w:rsidR="00F25025" w:rsidRPr="005D2BF4" w:rsidRDefault="00F25025" w:rsidP="00EA66A2">
            <w:pPr>
              <w:keepNext/>
              <w:jc w:val="center"/>
            </w:pPr>
            <w:r w:rsidRPr="005D2BF4">
              <w:t>–</w:t>
            </w:r>
          </w:p>
        </w:tc>
        <w:tc>
          <w:tcPr>
            <w:tcW w:w="567" w:type="pct"/>
          </w:tcPr>
          <w:p w14:paraId="446832E7" w14:textId="77777777" w:rsidR="00F25025" w:rsidRPr="005D2BF4" w:rsidRDefault="00F25025" w:rsidP="00EA66A2">
            <w:pPr>
              <w:pStyle w:val="Tabletext"/>
              <w:keepNext/>
              <w:jc w:val="center"/>
            </w:pPr>
            <w:r w:rsidRPr="005D2BF4">
              <w:sym w:font="Wingdings" w:char="F0FC"/>
            </w:r>
          </w:p>
        </w:tc>
        <w:tc>
          <w:tcPr>
            <w:tcW w:w="729" w:type="pct"/>
          </w:tcPr>
          <w:p w14:paraId="6C7591CB" w14:textId="77777777" w:rsidR="00F25025" w:rsidRPr="005D2BF4" w:rsidRDefault="00F25025" w:rsidP="00EA66A2">
            <w:pPr>
              <w:keepNext/>
              <w:jc w:val="center"/>
            </w:pPr>
            <w:r w:rsidRPr="005D2BF4">
              <w:t>–</w:t>
            </w:r>
          </w:p>
        </w:tc>
      </w:tr>
      <w:tr w:rsidR="00F25025" w:rsidRPr="004F1C07" w14:paraId="1D22FF8F" w14:textId="77777777" w:rsidTr="00AB2E44">
        <w:trPr>
          <w:trHeight w:val="94"/>
        </w:trPr>
        <w:tc>
          <w:tcPr>
            <w:tcW w:w="872" w:type="pct"/>
            <w:vMerge/>
          </w:tcPr>
          <w:p w14:paraId="0FC4AD90" w14:textId="77777777" w:rsidR="00F25025" w:rsidRPr="00680101" w:rsidRDefault="00F25025" w:rsidP="00EA66A2">
            <w:pPr>
              <w:pStyle w:val="Tabletext"/>
              <w:keepNext/>
              <w:rPr>
                <w:b/>
              </w:rPr>
            </w:pPr>
          </w:p>
        </w:tc>
        <w:tc>
          <w:tcPr>
            <w:tcW w:w="1538" w:type="pct"/>
          </w:tcPr>
          <w:p w14:paraId="07431926" w14:textId="77777777" w:rsidR="00F25025" w:rsidRPr="001B5922" w:rsidRDefault="00F25025" w:rsidP="00EA66A2">
            <w:pPr>
              <w:pStyle w:val="Summaryofsafetyconcerns"/>
              <w:keepNext/>
              <w:keepLines/>
              <w:ind w:left="0" w:right="0"/>
              <w:rPr>
                <w:b w:val="0"/>
              </w:rPr>
            </w:pPr>
            <w:r w:rsidRPr="001B5922">
              <w:rPr>
                <w:b w:val="0"/>
              </w:rPr>
              <w:t>Extensive limb swelling</w:t>
            </w:r>
          </w:p>
        </w:tc>
        <w:tc>
          <w:tcPr>
            <w:tcW w:w="567" w:type="pct"/>
          </w:tcPr>
          <w:p w14:paraId="3428843F" w14:textId="77777777" w:rsidR="00F25025" w:rsidRPr="005D2BF4" w:rsidRDefault="00F25025" w:rsidP="00EA66A2">
            <w:pPr>
              <w:pStyle w:val="Tabletext"/>
              <w:keepNext/>
              <w:jc w:val="center"/>
            </w:pPr>
            <w:r w:rsidRPr="005D2BF4">
              <w:sym w:font="Wingdings" w:char="F0FC"/>
            </w:r>
          </w:p>
        </w:tc>
        <w:tc>
          <w:tcPr>
            <w:tcW w:w="729" w:type="pct"/>
          </w:tcPr>
          <w:p w14:paraId="11663CA2" w14:textId="77777777" w:rsidR="00F25025" w:rsidRPr="005D2BF4" w:rsidRDefault="00F25025" w:rsidP="00EA66A2">
            <w:pPr>
              <w:keepNext/>
              <w:jc w:val="center"/>
            </w:pPr>
            <w:r w:rsidRPr="005D2BF4">
              <w:t>–</w:t>
            </w:r>
          </w:p>
        </w:tc>
        <w:tc>
          <w:tcPr>
            <w:tcW w:w="567" w:type="pct"/>
          </w:tcPr>
          <w:p w14:paraId="1A30BADE" w14:textId="77777777" w:rsidR="00F25025" w:rsidRPr="005D2BF4" w:rsidRDefault="00F25025" w:rsidP="00EA66A2">
            <w:pPr>
              <w:pStyle w:val="Tabletext"/>
              <w:keepNext/>
              <w:jc w:val="center"/>
            </w:pPr>
            <w:r w:rsidRPr="005D2BF4">
              <w:sym w:font="Wingdings" w:char="F0FC"/>
            </w:r>
          </w:p>
        </w:tc>
        <w:tc>
          <w:tcPr>
            <w:tcW w:w="729" w:type="pct"/>
          </w:tcPr>
          <w:p w14:paraId="5A7D89F9" w14:textId="77777777" w:rsidR="00F25025" w:rsidRPr="005D2BF4" w:rsidRDefault="00F25025" w:rsidP="00EA66A2">
            <w:pPr>
              <w:keepNext/>
              <w:jc w:val="center"/>
            </w:pPr>
            <w:r w:rsidRPr="005D2BF4">
              <w:t>–</w:t>
            </w:r>
          </w:p>
        </w:tc>
      </w:tr>
      <w:tr w:rsidR="00F25025" w:rsidRPr="004F1C07" w14:paraId="2CBF41F6" w14:textId="77777777" w:rsidTr="00AB2E44">
        <w:trPr>
          <w:trHeight w:val="94"/>
        </w:trPr>
        <w:tc>
          <w:tcPr>
            <w:tcW w:w="872" w:type="pct"/>
            <w:vMerge/>
          </w:tcPr>
          <w:p w14:paraId="62B2CC37" w14:textId="77777777" w:rsidR="00F25025" w:rsidRPr="00680101" w:rsidRDefault="00F25025" w:rsidP="00EA66A2">
            <w:pPr>
              <w:pStyle w:val="Tabletext"/>
              <w:keepNext/>
              <w:rPr>
                <w:b/>
              </w:rPr>
            </w:pPr>
          </w:p>
        </w:tc>
        <w:tc>
          <w:tcPr>
            <w:tcW w:w="1538" w:type="pct"/>
          </w:tcPr>
          <w:p w14:paraId="00514DD3" w14:textId="77777777" w:rsidR="00F25025" w:rsidRPr="001B5922" w:rsidRDefault="00F25025" w:rsidP="00EA66A2">
            <w:pPr>
              <w:pStyle w:val="Summaryofsafetyconcerns"/>
              <w:keepNext/>
              <w:keepLines/>
              <w:ind w:left="0" w:right="0"/>
              <w:rPr>
                <w:b w:val="0"/>
              </w:rPr>
            </w:pPr>
            <w:r w:rsidRPr="001B5922">
              <w:rPr>
                <w:b w:val="0"/>
              </w:rPr>
              <w:t>Hypersensitivity reactions</w:t>
            </w:r>
          </w:p>
        </w:tc>
        <w:tc>
          <w:tcPr>
            <w:tcW w:w="567" w:type="pct"/>
          </w:tcPr>
          <w:p w14:paraId="4A234416" w14:textId="77777777" w:rsidR="00F25025" w:rsidRPr="005D2BF4" w:rsidRDefault="00F25025" w:rsidP="00EA66A2">
            <w:pPr>
              <w:pStyle w:val="Tabletext"/>
              <w:keepNext/>
              <w:jc w:val="center"/>
            </w:pPr>
            <w:r w:rsidRPr="005D2BF4">
              <w:sym w:font="Wingdings" w:char="F0FC"/>
            </w:r>
          </w:p>
        </w:tc>
        <w:tc>
          <w:tcPr>
            <w:tcW w:w="729" w:type="pct"/>
          </w:tcPr>
          <w:p w14:paraId="45F7CED1" w14:textId="77777777" w:rsidR="00F25025" w:rsidRPr="005D2BF4" w:rsidRDefault="00F25025" w:rsidP="00EA66A2">
            <w:pPr>
              <w:keepNext/>
              <w:jc w:val="center"/>
            </w:pPr>
            <w:r w:rsidRPr="005D2BF4">
              <w:t>–</w:t>
            </w:r>
          </w:p>
        </w:tc>
        <w:tc>
          <w:tcPr>
            <w:tcW w:w="567" w:type="pct"/>
          </w:tcPr>
          <w:p w14:paraId="4EC61373" w14:textId="77777777" w:rsidR="00F25025" w:rsidRPr="005D2BF4" w:rsidRDefault="00F25025" w:rsidP="00EA66A2">
            <w:pPr>
              <w:pStyle w:val="Tabletext"/>
              <w:keepNext/>
              <w:jc w:val="center"/>
            </w:pPr>
            <w:r w:rsidRPr="005D2BF4">
              <w:sym w:font="Wingdings" w:char="F0FC"/>
            </w:r>
          </w:p>
        </w:tc>
        <w:tc>
          <w:tcPr>
            <w:tcW w:w="729" w:type="pct"/>
          </w:tcPr>
          <w:p w14:paraId="1FE4EF5B" w14:textId="77777777" w:rsidR="00F25025" w:rsidRPr="005D2BF4" w:rsidRDefault="00F25025" w:rsidP="00EA66A2">
            <w:pPr>
              <w:keepNext/>
              <w:jc w:val="center"/>
            </w:pPr>
            <w:r w:rsidRPr="005D2BF4">
              <w:t>–</w:t>
            </w:r>
          </w:p>
        </w:tc>
      </w:tr>
      <w:tr w:rsidR="00F25025" w:rsidRPr="004F1C07" w14:paraId="4EE61193" w14:textId="77777777" w:rsidTr="00AB2E44">
        <w:trPr>
          <w:trHeight w:val="187"/>
        </w:trPr>
        <w:tc>
          <w:tcPr>
            <w:tcW w:w="872" w:type="pct"/>
            <w:vMerge/>
          </w:tcPr>
          <w:p w14:paraId="40525448" w14:textId="77777777" w:rsidR="00F25025" w:rsidRPr="00680101" w:rsidRDefault="00F25025" w:rsidP="00EA66A2">
            <w:pPr>
              <w:pStyle w:val="Tabletext"/>
              <w:keepNext/>
              <w:rPr>
                <w:b/>
              </w:rPr>
            </w:pPr>
          </w:p>
        </w:tc>
        <w:tc>
          <w:tcPr>
            <w:tcW w:w="1538" w:type="pct"/>
          </w:tcPr>
          <w:p w14:paraId="317826CC" w14:textId="77777777" w:rsidR="00F25025" w:rsidRPr="001B5922" w:rsidRDefault="00F25025" w:rsidP="00EA66A2">
            <w:pPr>
              <w:pStyle w:val="Summaryofsafetyconcerns"/>
              <w:keepNext/>
              <w:keepLines/>
              <w:ind w:left="0" w:right="0"/>
              <w:rPr>
                <w:b w:val="0"/>
              </w:rPr>
            </w:pPr>
            <w:r w:rsidRPr="001B5922">
              <w:rPr>
                <w:b w:val="0"/>
              </w:rPr>
              <w:t>Syncope</w:t>
            </w:r>
          </w:p>
        </w:tc>
        <w:tc>
          <w:tcPr>
            <w:tcW w:w="567" w:type="pct"/>
          </w:tcPr>
          <w:p w14:paraId="69753560" w14:textId="77777777" w:rsidR="00F25025" w:rsidRPr="005D2BF4" w:rsidRDefault="00F25025" w:rsidP="00EA66A2">
            <w:pPr>
              <w:pStyle w:val="Tabletext"/>
              <w:keepNext/>
              <w:jc w:val="center"/>
            </w:pPr>
            <w:r w:rsidRPr="005D2BF4">
              <w:sym w:font="Wingdings" w:char="F0FC"/>
            </w:r>
          </w:p>
        </w:tc>
        <w:tc>
          <w:tcPr>
            <w:tcW w:w="729" w:type="pct"/>
          </w:tcPr>
          <w:p w14:paraId="508D98D6" w14:textId="77777777" w:rsidR="00F25025" w:rsidRPr="005D2BF4" w:rsidRDefault="00F25025" w:rsidP="00EA66A2">
            <w:pPr>
              <w:keepNext/>
              <w:jc w:val="center"/>
            </w:pPr>
            <w:r w:rsidRPr="005D2BF4">
              <w:t>–</w:t>
            </w:r>
          </w:p>
        </w:tc>
        <w:tc>
          <w:tcPr>
            <w:tcW w:w="567" w:type="pct"/>
          </w:tcPr>
          <w:p w14:paraId="632D3856" w14:textId="77777777" w:rsidR="00F25025" w:rsidRPr="005D2BF4" w:rsidRDefault="00F25025" w:rsidP="00EA66A2">
            <w:pPr>
              <w:pStyle w:val="Tabletext"/>
              <w:keepNext/>
              <w:jc w:val="center"/>
            </w:pPr>
            <w:r w:rsidRPr="005D2BF4">
              <w:sym w:font="Wingdings" w:char="F0FC"/>
            </w:r>
          </w:p>
        </w:tc>
        <w:tc>
          <w:tcPr>
            <w:tcW w:w="729" w:type="pct"/>
          </w:tcPr>
          <w:p w14:paraId="58D718FA" w14:textId="77777777" w:rsidR="00F25025" w:rsidRPr="005D2BF4" w:rsidRDefault="00F25025" w:rsidP="00EA66A2">
            <w:pPr>
              <w:keepNext/>
              <w:jc w:val="center"/>
            </w:pPr>
            <w:r w:rsidRPr="005D2BF4">
              <w:t>–</w:t>
            </w:r>
          </w:p>
        </w:tc>
      </w:tr>
      <w:tr w:rsidR="00F25025" w:rsidRPr="004F1C07" w14:paraId="19474BFE" w14:textId="77777777" w:rsidTr="00AB2E44">
        <w:trPr>
          <w:trHeight w:val="159"/>
        </w:trPr>
        <w:tc>
          <w:tcPr>
            <w:tcW w:w="872" w:type="pct"/>
            <w:vMerge w:val="restart"/>
          </w:tcPr>
          <w:p w14:paraId="6B3D1DAD" w14:textId="77777777" w:rsidR="00F25025" w:rsidRPr="00680101" w:rsidRDefault="00F25025" w:rsidP="00EA66A2">
            <w:pPr>
              <w:pStyle w:val="Tabletext"/>
              <w:keepNext/>
              <w:ind w:left="0"/>
              <w:rPr>
                <w:b/>
              </w:rPr>
            </w:pPr>
            <w:r w:rsidRPr="00680101">
              <w:rPr>
                <w:b/>
              </w:rPr>
              <w:t>Important potential risks</w:t>
            </w:r>
          </w:p>
        </w:tc>
        <w:tc>
          <w:tcPr>
            <w:tcW w:w="1538" w:type="pct"/>
          </w:tcPr>
          <w:p w14:paraId="22A8578E" w14:textId="77777777" w:rsidR="00F25025" w:rsidRPr="001B5922" w:rsidRDefault="00F25025" w:rsidP="00EA66A2">
            <w:pPr>
              <w:pStyle w:val="Summaryofsafetyconcerns"/>
              <w:keepNext/>
              <w:keepLines/>
              <w:ind w:left="0" w:right="0"/>
              <w:rPr>
                <w:b w:val="0"/>
              </w:rPr>
            </w:pPr>
            <w:r w:rsidRPr="001B5922">
              <w:rPr>
                <w:b w:val="0"/>
              </w:rPr>
              <w:t>Facial (Bell’s) palsy</w:t>
            </w:r>
          </w:p>
        </w:tc>
        <w:tc>
          <w:tcPr>
            <w:tcW w:w="567" w:type="pct"/>
          </w:tcPr>
          <w:p w14:paraId="2F33B708" w14:textId="77777777" w:rsidR="00F25025" w:rsidRPr="005D2BF4" w:rsidRDefault="00F25025" w:rsidP="00EA66A2">
            <w:pPr>
              <w:pStyle w:val="Tabletext"/>
              <w:keepNext/>
              <w:jc w:val="center"/>
            </w:pPr>
            <w:r w:rsidRPr="005D2BF4">
              <w:sym w:font="Wingdings" w:char="F0FC"/>
            </w:r>
          </w:p>
        </w:tc>
        <w:tc>
          <w:tcPr>
            <w:tcW w:w="729" w:type="pct"/>
          </w:tcPr>
          <w:p w14:paraId="6E017C94" w14:textId="77777777" w:rsidR="00F25025" w:rsidRPr="005D2BF4" w:rsidRDefault="00F25025" w:rsidP="00EA66A2">
            <w:pPr>
              <w:keepNext/>
              <w:jc w:val="center"/>
            </w:pPr>
            <w:r w:rsidRPr="005D2BF4">
              <w:t>–</w:t>
            </w:r>
          </w:p>
        </w:tc>
        <w:tc>
          <w:tcPr>
            <w:tcW w:w="567" w:type="pct"/>
          </w:tcPr>
          <w:p w14:paraId="4A152F54" w14:textId="77777777" w:rsidR="00F25025" w:rsidRPr="005D2BF4" w:rsidRDefault="00F25025" w:rsidP="00EA66A2">
            <w:pPr>
              <w:pStyle w:val="Tabletext"/>
              <w:keepNext/>
              <w:jc w:val="center"/>
            </w:pPr>
            <w:r w:rsidRPr="005D2BF4">
              <w:sym w:font="Wingdings" w:char="F0FC"/>
            </w:r>
          </w:p>
        </w:tc>
        <w:tc>
          <w:tcPr>
            <w:tcW w:w="729" w:type="pct"/>
          </w:tcPr>
          <w:p w14:paraId="29C58335" w14:textId="77777777" w:rsidR="00F25025" w:rsidRPr="005D2BF4" w:rsidRDefault="00F25025" w:rsidP="00EA66A2">
            <w:pPr>
              <w:keepNext/>
              <w:jc w:val="center"/>
            </w:pPr>
            <w:r w:rsidRPr="005D2BF4">
              <w:t>–</w:t>
            </w:r>
          </w:p>
        </w:tc>
      </w:tr>
      <w:tr w:rsidR="00F25025" w:rsidRPr="004F1C07" w14:paraId="5C4CAD43" w14:textId="77777777" w:rsidTr="00AB2E44">
        <w:trPr>
          <w:trHeight w:val="122"/>
        </w:trPr>
        <w:tc>
          <w:tcPr>
            <w:tcW w:w="872" w:type="pct"/>
            <w:vMerge/>
          </w:tcPr>
          <w:p w14:paraId="5F3B0A8A" w14:textId="77777777" w:rsidR="00F25025" w:rsidRPr="00680101" w:rsidRDefault="00F25025" w:rsidP="00EA66A2">
            <w:pPr>
              <w:pStyle w:val="Tabletext"/>
              <w:keepNext/>
              <w:rPr>
                <w:b/>
              </w:rPr>
            </w:pPr>
          </w:p>
        </w:tc>
        <w:tc>
          <w:tcPr>
            <w:tcW w:w="1538" w:type="pct"/>
          </w:tcPr>
          <w:p w14:paraId="771043F8" w14:textId="77777777" w:rsidR="00F25025" w:rsidRPr="001B5922" w:rsidRDefault="00F25025" w:rsidP="00EA66A2">
            <w:pPr>
              <w:pStyle w:val="Summaryofsafetyconcerns"/>
              <w:keepNext/>
              <w:keepLines/>
              <w:ind w:left="0" w:right="0"/>
              <w:rPr>
                <w:b w:val="0"/>
              </w:rPr>
            </w:pPr>
            <w:r w:rsidRPr="001B5922">
              <w:rPr>
                <w:b w:val="0"/>
              </w:rPr>
              <w:t>Guillain-Barré syndrome</w:t>
            </w:r>
          </w:p>
        </w:tc>
        <w:tc>
          <w:tcPr>
            <w:tcW w:w="567" w:type="pct"/>
          </w:tcPr>
          <w:p w14:paraId="460C7A41" w14:textId="77777777" w:rsidR="00F25025" w:rsidRPr="005D2BF4" w:rsidRDefault="00F25025" w:rsidP="00EA66A2">
            <w:pPr>
              <w:pStyle w:val="Tabletext"/>
              <w:keepNext/>
              <w:jc w:val="center"/>
            </w:pPr>
            <w:r w:rsidRPr="005D2BF4">
              <w:sym w:font="Wingdings" w:char="F0FC"/>
            </w:r>
          </w:p>
        </w:tc>
        <w:tc>
          <w:tcPr>
            <w:tcW w:w="729" w:type="pct"/>
          </w:tcPr>
          <w:p w14:paraId="67BADE83" w14:textId="77777777" w:rsidR="00F25025" w:rsidRPr="005D2BF4" w:rsidRDefault="00F25025" w:rsidP="00EA66A2">
            <w:pPr>
              <w:keepNext/>
              <w:jc w:val="center"/>
            </w:pPr>
            <w:r w:rsidRPr="005D2BF4">
              <w:t>–</w:t>
            </w:r>
          </w:p>
        </w:tc>
        <w:tc>
          <w:tcPr>
            <w:tcW w:w="567" w:type="pct"/>
          </w:tcPr>
          <w:p w14:paraId="06F72BB3" w14:textId="77777777" w:rsidR="00F25025" w:rsidRPr="005D2BF4" w:rsidRDefault="00F25025" w:rsidP="00EA66A2">
            <w:pPr>
              <w:pStyle w:val="Tabletext"/>
              <w:keepNext/>
              <w:jc w:val="center"/>
            </w:pPr>
            <w:r w:rsidRPr="005D2BF4">
              <w:sym w:font="Wingdings" w:char="F0FC"/>
            </w:r>
          </w:p>
        </w:tc>
        <w:tc>
          <w:tcPr>
            <w:tcW w:w="729" w:type="pct"/>
          </w:tcPr>
          <w:p w14:paraId="535418EA" w14:textId="77777777" w:rsidR="00F25025" w:rsidRPr="005D2BF4" w:rsidRDefault="00F25025" w:rsidP="00EA66A2">
            <w:pPr>
              <w:keepNext/>
              <w:jc w:val="center"/>
            </w:pPr>
            <w:r w:rsidRPr="005D2BF4">
              <w:t>–</w:t>
            </w:r>
          </w:p>
        </w:tc>
      </w:tr>
      <w:tr w:rsidR="00F25025" w:rsidRPr="004F1C07" w14:paraId="04C9B4BA" w14:textId="77777777" w:rsidTr="00AB2E44">
        <w:trPr>
          <w:trHeight w:val="122"/>
        </w:trPr>
        <w:tc>
          <w:tcPr>
            <w:tcW w:w="872" w:type="pct"/>
            <w:vMerge/>
          </w:tcPr>
          <w:p w14:paraId="049FBE88" w14:textId="77777777" w:rsidR="00F25025" w:rsidRPr="00680101" w:rsidRDefault="00F25025" w:rsidP="00EA66A2">
            <w:pPr>
              <w:pStyle w:val="Tabletext"/>
              <w:keepNext/>
              <w:rPr>
                <w:b/>
              </w:rPr>
            </w:pPr>
          </w:p>
        </w:tc>
        <w:tc>
          <w:tcPr>
            <w:tcW w:w="1538" w:type="pct"/>
          </w:tcPr>
          <w:p w14:paraId="7F5D1D0D" w14:textId="77777777" w:rsidR="00F25025" w:rsidRPr="001B5922" w:rsidRDefault="00F25025" w:rsidP="00EA66A2">
            <w:pPr>
              <w:pStyle w:val="Summaryofsafetyconcerns"/>
              <w:keepNext/>
              <w:keepLines/>
              <w:ind w:left="0" w:right="0"/>
              <w:rPr>
                <w:b w:val="0"/>
              </w:rPr>
            </w:pPr>
            <w:r w:rsidRPr="001B5922">
              <w:rPr>
                <w:b w:val="0"/>
              </w:rPr>
              <w:t>Brachial neuritis</w:t>
            </w:r>
          </w:p>
        </w:tc>
        <w:tc>
          <w:tcPr>
            <w:tcW w:w="567" w:type="pct"/>
          </w:tcPr>
          <w:p w14:paraId="32307E06" w14:textId="77777777" w:rsidR="00F25025" w:rsidRPr="005D2BF4" w:rsidRDefault="00F25025" w:rsidP="00EA66A2">
            <w:pPr>
              <w:pStyle w:val="Tabletext"/>
              <w:keepNext/>
              <w:jc w:val="center"/>
            </w:pPr>
            <w:r w:rsidRPr="005D2BF4">
              <w:sym w:font="Wingdings" w:char="F0FC"/>
            </w:r>
          </w:p>
        </w:tc>
        <w:tc>
          <w:tcPr>
            <w:tcW w:w="729" w:type="pct"/>
          </w:tcPr>
          <w:p w14:paraId="095F813A" w14:textId="77777777" w:rsidR="00F25025" w:rsidRPr="005D2BF4" w:rsidRDefault="00F25025" w:rsidP="00EA66A2">
            <w:pPr>
              <w:keepNext/>
              <w:jc w:val="center"/>
            </w:pPr>
            <w:r w:rsidRPr="005D2BF4">
              <w:t>–</w:t>
            </w:r>
          </w:p>
        </w:tc>
        <w:tc>
          <w:tcPr>
            <w:tcW w:w="567" w:type="pct"/>
          </w:tcPr>
          <w:p w14:paraId="2FED47C4" w14:textId="77777777" w:rsidR="00F25025" w:rsidRPr="005D2BF4" w:rsidRDefault="00F25025" w:rsidP="00EA66A2">
            <w:pPr>
              <w:pStyle w:val="Tabletext"/>
              <w:keepNext/>
              <w:jc w:val="center"/>
            </w:pPr>
          </w:p>
        </w:tc>
        <w:tc>
          <w:tcPr>
            <w:tcW w:w="729" w:type="pct"/>
          </w:tcPr>
          <w:p w14:paraId="3CE6FECC" w14:textId="77777777" w:rsidR="00F25025" w:rsidRPr="005D2BF4" w:rsidRDefault="00F25025" w:rsidP="00EA66A2">
            <w:pPr>
              <w:keepNext/>
              <w:jc w:val="center"/>
            </w:pPr>
            <w:r w:rsidRPr="005D2BF4">
              <w:t>–</w:t>
            </w:r>
          </w:p>
        </w:tc>
      </w:tr>
      <w:tr w:rsidR="00F25025" w:rsidRPr="004F1C07" w14:paraId="3D7611B3" w14:textId="77777777" w:rsidTr="00AB2E44">
        <w:trPr>
          <w:trHeight w:val="112"/>
        </w:trPr>
        <w:tc>
          <w:tcPr>
            <w:tcW w:w="872" w:type="pct"/>
            <w:vMerge/>
          </w:tcPr>
          <w:p w14:paraId="4926E42A" w14:textId="77777777" w:rsidR="00F25025" w:rsidRPr="00680101" w:rsidRDefault="00F25025" w:rsidP="00EA66A2">
            <w:pPr>
              <w:pStyle w:val="Tabletext"/>
              <w:keepNext/>
              <w:rPr>
                <w:b/>
              </w:rPr>
            </w:pPr>
          </w:p>
        </w:tc>
        <w:tc>
          <w:tcPr>
            <w:tcW w:w="1538" w:type="pct"/>
          </w:tcPr>
          <w:p w14:paraId="740BF99E" w14:textId="77777777" w:rsidR="00F25025" w:rsidRPr="001B5922" w:rsidRDefault="00F25025" w:rsidP="00EA66A2">
            <w:pPr>
              <w:pStyle w:val="Summaryofsafetyconcerns"/>
              <w:keepNext/>
              <w:keepLines/>
              <w:ind w:left="0" w:right="0"/>
              <w:rPr>
                <w:b w:val="0"/>
              </w:rPr>
            </w:pPr>
            <w:r w:rsidRPr="001B5922">
              <w:rPr>
                <w:b w:val="0"/>
              </w:rPr>
              <w:t>Myelitis</w:t>
            </w:r>
          </w:p>
        </w:tc>
        <w:tc>
          <w:tcPr>
            <w:tcW w:w="567" w:type="pct"/>
          </w:tcPr>
          <w:p w14:paraId="0A7424DA" w14:textId="77777777" w:rsidR="00F25025" w:rsidRPr="005D2BF4" w:rsidRDefault="00F25025" w:rsidP="00EA66A2">
            <w:pPr>
              <w:pStyle w:val="Tabletext"/>
              <w:keepNext/>
              <w:jc w:val="center"/>
            </w:pPr>
            <w:r w:rsidRPr="005D2BF4">
              <w:sym w:font="Wingdings" w:char="F0FC"/>
            </w:r>
          </w:p>
        </w:tc>
        <w:tc>
          <w:tcPr>
            <w:tcW w:w="729" w:type="pct"/>
          </w:tcPr>
          <w:p w14:paraId="24B67BD0" w14:textId="77777777" w:rsidR="00F25025" w:rsidRPr="005D2BF4" w:rsidRDefault="00F25025" w:rsidP="00EA66A2">
            <w:pPr>
              <w:keepNext/>
              <w:jc w:val="center"/>
            </w:pPr>
            <w:r w:rsidRPr="005D2BF4">
              <w:t>–</w:t>
            </w:r>
          </w:p>
        </w:tc>
        <w:tc>
          <w:tcPr>
            <w:tcW w:w="567" w:type="pct"/>
          </w:tcPr>
          <w:p w14:paraId="07B8B262" w14:textId="77777777" w:rsidR="00F25025" w:rsidRPr="005D2BF4" w:rsidRDefault="00F25025" w:rsidP="00EA66A2">
            <w:pPr>
              <w:pStyle w:val="Tabletext"/>
              <w:keepNext/>
              <w:jc w:val="center"/>
            </w:pPr>
            <w:r w:rsidRPr="005D2BF4">
              <w:sym w:font="Wingdings" w:char="F0FC"/>
            </w:r>
          </w:p>
        </w:tc>
        <w:tc>
          <w:tcPr>
            <w:tcW w:w="729" w:type="pct"/>
          </w:tcPr>
          <w:p w14:paraId="53A00895" w14:textId="77777777" w:rsidR="00F25025" w:rsidRPr="005D2BF4" w:rsidRDefault="00F25025" w:rsidP="00EA66A2">
            <w:pPr>
              <w:keepNext/>
              <w:jc w:val="center"/>
            </w:pPr>
            <w:r w:rsidRPr="005D2BF4">
              <w:t>–</w:t>
            </w:r>
          </w:p>
        </w:tc>
      </w:tr>
      <w:tr w:rsidR="00F25025" w:rsidRPr="004F1C07" w14:paraId="56365256" w14:textId="77777777" w:rsidTr="00AB2E44">
        <w:trPr>
          <w:trHeight w:val="178"/>
        </w:trPr>
        <w:tc>
          <w:tcPr>
            <w:tcW w:w="872" w:type="pct"/>
            <w:vMerge w:val="restart"/>
          </w:tcPr>
          <w:p w14:paraId="7591C422" w14:textId="77777777" w:rsidR="00F25025" w:rsidRPr="00680101" w:rsidRDefault="00F25025" w:rsidP="00EA66A2">
            <w:pPr>
              <w:pStyle w:val="Tabletext"/>
              <w:keepNext/>
              <w:ind w:left="0"/>
              <w:rPr>
                <w:b/>
              </w:rPr>
            </w:pPr>
            <w:r w:rsidRPr="00680101">
              <w:rPr>
                <w:b/>
              </w:rPr>
              <w:t>Missing information</w:t>
            </w:r>
          </w:p>
        </w:tc>
        <w:tc>
          <w:tcPr>
            <w:tcW w:w="1538" w:type="pct"/>
          </w:tcPr>
          <w:p w14:paraId="741E50D2" w14:textId="77777777" w:rsidR="00F25025" w:rsidRPr="001B5922" w:rsidRDefault="00F25025" w:rsidP="00EA66A2">
            <w:pPr>
              <w:pStyle w:val="Summaryofsafetyconcerns"/>
              <w:keepNext/>
              <w:keepLines/>
              <w:ind w:left="0" w:right="0"/>
              <w:rPr>
                <w:b w:val="0"/>
              </w:rPr>
            </w:pPr>
            <w:r w:rsidRPr="001B5922">
              <w:rPr>
                <w:b w:val="0"/>
              </w:rPr>
              <w:t>Limited information on use in pregnant women during</w:t>
            </w:r>
            <w:r>
              <w:rPr>
                <w:b w:val="0"/>
              </w:rPr>
              <w:t xml:space="preserve"> first</w:t>
            </w:r>
            <w:r w:rsidRPr="001B5922">
              <w:rPr>
                <w:b w:val="0"/>
              </w:rPr>
              <w:t xml:space="preserve"> trimester of pregnancy</w:t>
            </w:r>
          </w:p>
        </w:tc>
        <w:tc>
          <w:tcPr>
            <w:tcW w:w="567" w:type="pct"/>
          </w:tcPr>
          <w:p w14:paraId="4A0F8DE3" w14:textId="77777777" w:rsidR="00F25025" w:rsidRPr="005D2BF4" w:rsidRDefault="00F25025" w:rsidP="00EA66A2">
            <w:pPr>
              <w:pStyle w:val="Tabletext"/>
              <w:keepNext/>
              <w:jc w:val="center"/>
            </w:pPr>
            <w:r w:rsidRPr="005D2BF4">
              <w:sym w:font="Wingdings" w:char="F0FC"/>
            </w:r>
          </w:p>
        </w:tc>
        <w:tc>
          <w:tcPr>
            <w:tcW w:w="729" w:type="pct"/>
          </w:tcPr>
          <w:p w14:paraId="51C31235" w14:textId="77777777" w:rsidR="00F25025" w:rsidRPr="005D2BF4" w:rsidRDefault="00F25025" w:rsidP="00EA66A2">
            <w:pPr>
              <w:pStyle w:val="Tabletext"/>
              <w:keepNext/>
              <w:jc w:val="center"/>
            </w:pPr>
            <w:r w:rsidRPr="005D2BF4">
              <w:sym w:font="Wingdings" w:char="F0FC"/>
            </w:r>
            <w:r>
              <w:t>*</w:t>
            </w:r>
          </w:p>
        </w:tc>
        <w:tc>
          <w:tcPr>
            <w:tcW w:w="567" w:type="pct"/>
          </w:tcPr>
          <w:p w14:paraId="439E65CD" w14:textId="77777777" w:rsidR="00F25025" w:rsidRPr="005D2BF4" w:rsidRDefault="00F25025" w:rsidP="00EA66A2">
            <w:pPr>
              <w:pStyle w:val="Tabletext"/>
              <w:keepNext/>
              <w:jc w:val="center"/>
            </w:pPr>
            <w:r w:rsidRPr="005D2BF4">
              <w:sym w:font="Wingdings" w:char="F0FC"/>
            </w:r>
          </w:p>
        </w:tc>
        <w:tc>
          <w:tcPr>
            <w:tcW w:w="729" w:type="pct"/>
          </w:tcPr>
          <w:p w14:paraId="2EB44E8D" w14:textId="77777777" w:rsidR="00F25025" w:rsidRPr="005D2BF4" w:rsidRDefault="00F25025" w:rsidP="00EA66A2">
            <w:pPr>
              <w:keepNext/>
              <w:jc w:val="center"/>
            </w:pPr>
            <w:r w:rsidRPr="005D2BF4">
              <w:t>–</w:t>
            </w:r>
          </w:p>
        </w:tc>
      </w:tr>
      <w:tr w:rsidR="00F25025" w:rsidRPr="004F1C07" w14:paraId="50B7CE05" w14:textId="77777777" w:rsidTr="00AB2E44">
        <w:trPr>
          <w:trHeight w:val="103"/>
        </w:trPr>
        <w:tc>
          <w:tcPr>
            <w:tcW w:w="872" w:type="pct"/>
            <w:vMerge/>
          </w:tcPr>
          <w:p w14:paraId="7D018248" w14:textId="77777777" w:rsidR="00F25025" w:rsidRPr="004F1C07" w:rsidRDefault="00F25025" w:rsidP="00EA66A2">
            <w:pPr>
              <w:pStyle w:val="Tabletext"/>
              <w:keepNext/>
            </w:pPr>
          </w:p>
        </w:tc>
        <w:tc>
          <w:tcPr>
            <w:tcW w:w="1538" w:type="pct"/>
          </w:tcPr>
          <w:p w14:paraId="3DF00A94" w14:textId="77777777" w:rsidR="00F25025" w:rsidRPr="001B5922" w:rsidRDefault="00F25025" w:rsidP="00EA66A2">
            <w:pPr>
              <w:pStyle w:val="Summaryofsafetyconcerns"/>
              <w:keepNext/>
              <w:keepLines/>
              <w:ind w:left="0" w:right="0"/>
              <w:rPr>
                <w:b w:val="0"/>
              </w:rPr>
            </w:pPr>
            <w:r w:rsidRPr="001B5922">
              <w:rPr>
                <w:b w:val="0"/>
              </w:rPr>
              <w:t>Limited information on use in breastfeeding women</w:t>
            </w:r>
          </w:p>
        </w:tc>
        <w:tc>
          <w:tcPr>
            <w:tcW w:w="567" w:type="pct"/>
          </w:tcPr>
          <w:p w14:paraId="3CD2A483" w14:textId="77777777" w:rsidR="00F25025" w:rsidRPr="005D2BF4" w:rsidRDefault="00F25025" w:rsidP="00EA66A2">
            <w:pPr>
              <w:pStyle w:val="Tabletext"/>
              <w:keepNext/>
              <w:jc w:val="center"/>
            </w:pPr>
            <w:r w:rsidRPr="005D2BF4">
              <w:sym w:font="Wingdings" w:char="F0FC"/>
            </w:r>
          </w:p>
        </w:tc>
        <w:tc>
          <w:tcPr>
            <w:tcW w:w="729" w:type="pct"/>
          </w:tcPr>
          <w:p w14:paraId="77FDF9C6" w14:textId="77777777" w:rsidR="00F25025" w:rsidRPr="005D2BF4" w:rsidRDefault="00F25025" w:rsidP="00EA66A2">
            <w:pPr>
              <w:pStyle w:val="Tabletext"/>
              <w:keepNext/>
              <w:jc w:val="center"/>
            </w:pPr>
            <w:r w:rsidRPr="005D2BF4">
              <w:sym w:font="Wingdings" w:char="F0FC"/>
            </w:r>
            <w:r>
              <w:t>*</w:t>
            </w:r>
          </w:p>
        </w:tc>
        <w:tc>
          <w:tcPr>
            <w:tcW w:w="567" w:type="pct"/>
          </w:tcPr>
          <w:p w14:paraId="65640602" w14:textId="77777777" w:rsidR="00F25025" w:rsidRPr="005D2BF4" w:rsidRDefault="00F25025" w:rsidP="00EA66A2">
            <w:pPr>
              <w:pStyle w:val="Tabletext"/>
              <w:keepNext/>
              <w:jc w:val="center"/>
            </w:pPr>
            <w:r w:rsidRPr="005D2BF4">
              <w:sym w:font="Wingdings" w:char="F0FC"/>
            </w:r>
          </w:p>
        </w:tc>
        <w:tc>
          <w:tcPr>
            <w:tcW w:w="729" w:type="pct"/>
          </w:tcPr>
          <w:p w14:paraId="494755EA" w14:textId="77777777" w:rsidR="00F25025" w:rsidRPr="005D2BF4" w:rsidRDefault="00F25025" w:rsidP="00EA66A2">
            <w:pPr>
              <w:keepNext/>
              <w:jc w:val="center"/>
            </w:pPr>
            <w:r w:rsidRPr="005D2BF4">
              <w:t>–</w:t>
            </w:r>
          </w:p>
        </w:tc>
      </w:tr>
      <w:tr w:rsidR="00F25025" w:rsidRPr="004F1C07" w14:paraId="5F3553EC" w14:textId="77777777" w:rsidTr="00AB2E44">
        <w:trPr>
          <w:trHeight w:val="103"/>
        </w:trPr>
        <w:tc>
          <w:tcPr>
            <w:tcW w:w="872" w:type="pct"/>
            <w:vMerge/>
          </w:tcPr>
          <w:p w14:paraId="366771C1" w14:textId="77777777" w:rsidR="00F25025" w:rsidRPr="004F1C07" w:rsidRDefault="00F25025" w:rsidP="00EA66A2">
            <w:pPr>
              <w:pStyle w:val="Tabletext"/>
              <w:keepNext/>
            </w:pPr>
          </w:p>
        </w:tc>
        <w:tc>
          <w:tcPr>
            <w:tcW w:w="1538" w:type="pct"/>
          </w:tcPr>
          <w:p w14:paraId="3983CE15" w14:textId="77777777" w:rsidR="00F25025" w:rsidRPr="00D5714B" w:rsidRDefault="00F25025" w:rsidP="00EA66A2">
            <w:pPr>
              <w:pStyle w:val="Summaryofsafetyconcerns"/>
              <w:keepNext/>
              <w:keepLines/>
              <w:ind w:left="0" w:right="0"/>
              <w:rPr>
                <w:b w:val="0"/>
              </w:rPr>
            </w:pPr>
            <w:r w:rsidRPr="00D5714B">
              <w:rPr>
                <w:b w:val="0"/>
              </w:rPr>
              <w:t>Duration of protection with pertussis antigens</w:t>
            </w:r>
          </w:p>
        </w:tc>
        <w:tc>
          <w:tcPr>
            <w:tcW w:w="567" w:type="pct"/>
          </w:tcPr>
          <w:p w14:paraId="1085D4B9" w14:textId="77777777" w:rsidR="00F25025" w:rsidRPr="00D5714B" w:rsidRDefault="00F25025" w:rsidP="00EA66A2">
            <w:pPr>
              <w:pStyle w:val="Tabletext"/>
              <w:keepNext/>
              <w:jc w:val="center"/>
            </w:pPr>
            <w:r w:rsidRPr="00D5714B">
              <w:sym w:font="Wingdings" w:char="F0FC"/>
            </w:r>
          </w:p>
        </w:tc>
        <w:tc>
          <w:tcPr>
            <w:tcW w:w="729" w:type="pct"/>
          </w:tcPr>
          <w:p w14:paraId="793E6F8E" w14:textId="77777777" w:rsidR="00F25025" w:rsidRPr="00D5714B" w:rsidRDefault="00F25025" w:rsidP="00EA66A2">
            <w:pPr>
              <w:keepNext/>
              <w:jc w:val="center"/>
            </w:pPr>
            <w:r w:rsidRPr="00D5714B">
              <w:t>–</w:t>
            </w:r>
          </w:p>
        </w:tc>
        <w:tc>
          <w:tcPr>
            <w:tcW w:w="567" w:type="pct"/>
          </w:tcPr>
          <w:p w14:paraId="6B4A9D2F" w14:textId="77777777" w:rsidR="00F25025" w:rsidRPr="00D5714B" w:rsidRDefault="00F25025" w:rsidP="00EA66A2">
            <w:pPr>
              <w:pStyle w:val="Tabletext"/>
              <w:keepNext/>
              <w:jc w:val="center"/>
            </w:pPr>
            <w:r w:rsidRPr="005D2BF4">
              <w:sym w:font="Wingdings" w:char="F0FC"/>
            </w:r>
          </w:p>
        </w:tc>
        <w:tc>
          <w:tcPr>
            <w:tcW w:w="729" w:type="pct"/>
          </w:tcPr>
          <w:p w14:paraId="287D04FE" w14:textId="77777777" w:rsidR="00F25025" w:rsidRPr="005D2BF4" w:rsidRDefault="00F25025" w:rsidP="00EA66A2">
            <w:pPr>
              <w:keepNext/>
              <w:jc w:val="center"/>
            </w:pPr>
            <w:r w:rsidRPr="005D2BF4">
              <w:t>–</w:t>
            </w:r>
          </w:p>
        </w:tc>
      </w:tr>
      <w:tr w:rsidR="00F25025" w:rsidRPr="004F1C07" w14:paraId="7487FB3D" w14:textId="77777777" w:rsidTr="00AB2E44">
        <w:trPr>
          <w:trHeight w:val="103"/>
        </w:trPr>
        <w:tc>
          <w:tcPr>
            <w:tcW w:w="872" w:type="pct"/>
            <w:vMerge/>
          </w:tcPr>
          <w:p w14:paraId="1BE161CC" w14:textId="77777777" w:rsidR="00F25025" w:rsidRPr="004F1C07" w:rsidRDefault="00F25025" w:rsidP="00EA66A2">
            <w:pPr>
              <w:pStyle w:val="Tabletext"/>
              <w:keepNext/>
            </w:pPr>
          </w:p>
        </w:tc>
        <w:tc>
          <w:tcPr>
            <w:tcW w:w="1538" w:type="pct"/>
          </w:tcPr>
          <w:p w14:paraId="30719984" w14:textId="77777777" w:rsidR="00F25025" w:rsidRPr="00D5714B" w:rsidRDefault="00F25025" w:rsidP="00EA66A2">
            <w:pPr>
              <w:pStyle w:val="Summaryofsafetyconcerns"/>
              <w:keepNext/>
              <w:keepLines/>
              <w:ind w:left="0" w:right="0"/>
              <w:rPr>
                <w:b w:val="0"/>
              </w:rPr>
            </w:pPr>
            <w:r w:rsidRPr="00D5714B">
              <w:rPr>
                <w:b w:val="0"/>
              </w:rPr>
              <w:t>Immuno-compromised patients</w:t>
            </w:r>
          </w:p>
        </w:tc>
        <w:tc>
          <w:tcPr>
            <w:tcW w:w="567" w:type="pct"/>
          </w:tcPr>
          <w:p w14:paraId="111B1E98" w14:textId="77777777" w:rsidR="00F25025" w:rsidRPr="00D5714B" w:rsidRDefault="00F25025" w:rsidP="00EA66A2">
            <w:pPr>
              <w:pStyle w:val="Tabletext"/>
              <w:keepNext/>
              <w:jc w:val="center"/>
            </w:pPr>
            <w:r w:rsidRPr="00D5714B">
              <w:sym w:font="Wingdings" w:char="F0FC"/>
            </w:r>
          </w:p>
        </w:tc>
        <w:tc>
          <w:tcPr>
            <w:tcW w:w="729" w:type="pct"/>
          </w:tcPr>
          <w:p w14:paraId="58716530" w14:textId="77777777" w:rsidR="00F25025" w:rsidRPr="00D5714B" w:rsidRDefault="00F25025" w:rsidP="00EA66A2">
            <w:pPr>
              <w:keepNext/>
              <w:jc w:val="center"/>
            </w:pPr>
            <w:r w:rsidRPr="00D5714B">
              <w:t>–</w:t>
            </w:r>
          </w:p>
        </w:tc>
        <w:tc>
          <w:tcPr>
            <w:tcW w:w="567" w:type="pct"/>
          </w:tcPr>
          <w:p w14:paraId="1143D694" w14:textId="77777777" w:rsidR="00F25025" w:rsidRPr="00D5714B" w:rsidRDefault="00F25025" w:rsidP="00EA66A2">
            <w:pPr>
              <w:pStyle w:val="Tabletext"/>
              <w:keepNext/>
              <w:jc w:val="center"/>
            </w:pPr>
            <w:r w:rsidRPr="00D5714B">
              <w:sym w:font="Wingdings" w:char="F0FC"/>
            </w:r>
          </w:p>
        </w:tc>
        <w:tc>
          <w:tcPr>
            <w:tcW w:w="729" w:type="pct"/>
          </w:tcPr>
          <w:p w14:paraId="728BB412" w14:textId="77777777" w:rsidR="00F25025" w:rsidRPr="005D2BF4" w:rsidRDefault="00F25025" w:rsidP="00EA66A2">
            <w:pPr>
              <w:keepNext/>
              <w:jc w:val="center"/>
            </w:pPr>
            <w:r w:rsidRPr="005D2BF4">
              <w:t>–</w:t>
            </w:r>
          </w:p>
        </w:tc>
      </w:tr>
      <w:tr w:rsidR="00F25025" w:rsidRPr="004F1C07" w14:paraId="620C091E" w14:textId="77777777" w:rsidTr="00AB2E44">
        <w:trPr>
          <w:trHeight w:val="103"/>
        </w:trPr>
        <w:tc>
          <w:tcPr>
            <w:tcW w:w="872" w:type="pct"/>
            <w:vMerge/>
          </w:tcPr>
          <w:p w14:paraId="1FBE5829" w14:textId="77777777" w:rsidR="00F25025" w:rsidRPr="004F1C07" w:rsidRDefault="00F25025" w:rsidP="00EA66A2">
            <w:pPr>
              <w:pStyle w:val="Tabletext"/>
              <w:keepNext/>
            </w:pPr>
          </w:p>
        </w:tc>
        <w:tc>
          <w:tcPr>
            <w:tcW w:w="1538" w:type="pct"/>
          </w:tcPr>
          <w:p w14:paraId="6448E041" w14:textId="77777777" w:rsidR="00F25025" w:rsidRPr="00D5714B" w:rsidRDefault="00F25025" w:rsidP="00EA66A2">
            <w:pPr>
              <w:pStyle w:val="Summaryofsafetyconcerns"/>
              <w:keepNext/>
              <w:keepLines/>
              <w:ind w:left="0" w:right="0"/>
              <w:rPr>
                <w:b w:val="0"/>
              </w:rPr>
            </w:pPr>
            <w:r w:rsidRPr="00D5714B">
              <w:rPr>
                <w:b w:val="0"/>
              </w:rPr>
              <w:t>Patients with other relevant co-morbidities</w:t>
            </w:r>
          </w:p>
        </w:tc>
        <w:tc>
          <w:tcPr>
            <w:tcW w:w="567" w:type="pct"/>
          </w:tcPr>
          <w:p w14:paraId="5AD002C4" w14:textId="77777777" w:rsidR="00F25025" w:rsidRPr="00D5714B" w:rsidRDefault="00F25025" w:rsidP="00EA66A2">
            <w:pPr>
              <w:pStyle w:val="Tabletext"/>
              <w:keepNext/>
              <w:jc w:val="center"/>
            </w:pPr>
            <w:r w:rsidRPr="00D5714B">
              <w:sym w:font="Wingdings" w:char="F0FC"/>
            </w:r>
          </w:p>
        </w:tc>
        <w:tc>
          <w:tcPr>
            <w:tcW w:w="729" w:type="pct"/>
          </w:tcPr>
          <w:p w14:paraId="7906FB48" w14:textId="77777777" w:rsidR="00F25025" w:rsidRPr="00D5714B" w:rsidRDefault="00F25025" w:rsidP="00EA66A2">
            <w:pPr>
              <w:keepNext/>
              <w:jc w:val="center"/>
            </w:pPr>
            <w:r w:rsidRPr="00D5714B">
              <w:t>–</w:t>
            </w:r>
          </w:p>
        </w:tc>
        <w:tc>
          <w:tcPr>
            <w:tcW w:w="567" w:type="pct"/>
          </w:tcPr>
          <w:p w14:paraId="1BE2F072" w14:textId="77777777" w:rsidR="00F25025" w:rsidRPr="00D5714B" w:rsidRDefault="00F25025" w:rsidP="00EA66A2">
            <w:pPr>
              <w:pStyle w:val="Tabletext"/>
              <w:keepNext/>
              <w:jc w:val="center"/>
            </w:pPr>
            <w:r w:rsidRPr="00D5714B">
              <w:sym w:font="Wingdings" w:char="F0FC"/>
            </w:r>
          </w:p>
        </w:tc>
        <w:tc>
          <w:tcPr>
            <w:tcW w:w="729" w:type="pct"/>
          </w:tcPr>
          <w:p w14:paraId="6C2EFF7B" w14:textId="77777777" w:rsidR="00F25025" w:rsidRPr="005D2BF4" w:rsidRDefault="00F25025" w:rsidP="00EA66A2">
            <w:pPr>
              <w:keepNext/>
              <w:jc w:val="center"/>
            </w:pPr>
            <w:r w:rsidRPr="005D2BF4">
              <w:t>–</w:t>
            </w:r>
          </w:p>
        </w:tc>
      </w:tr>
      <w:tr w:rsidR="00F25025" w:rsidRPr="004F1C07" w14:paraId="75BFA257" w14:textId="77777777" w:rsidTr="00AB2E44">
        <w:trPr>
          <w:trHeight w:val="140"/>
        </w:trPr>
        <w:tc>
          <w:tcPr>
            <w:tcW w:w="872" w:type="pct"/>
            <w:vMerge/>
          </w:tcPr>
          <w:p w14:paraId="02C6B26C" w14:textId="77777777" w:rsidR="00F25025" w:rsidRPr="004F1C07" w:rsidRDefault="00F25025" w:rsidP="00EA66A2">
            <w:pPr>
              <w:pStyle w:val="Tabletext"/>
              <w:keepNext/>
            </w:pPr>
          </w:p>
        </w:tc>
        <w:tc>
          <w:tcPr>
            <w:tcW w:w="1538" w:type="pct"/>
          </w:tcPr>
          <w:p w14:paraId="1BB789A4" w14:textId="77777777" w:rsidR="00F25025" w:rsidRPr="001B5922" w:rsidRDefault="00F25025" w:rsidP="00EA66A2">
            <w:pPr>
              <w:pStyle w:val="Summaryofsafetyconcerns"/>
              <w:keepNext/>
              <w:keepLines/>
              <w:ind w:left="0" w:right="0"/>
              <w:rPr>
                <w:b w:val="0"/>
              </w:rPr>
            </w:pPr>
            <w:r w:rsidRPr="001B5922">
              <w:rPr>
                <w:b w:val="0"/>
              </w:rPr>
              <w:t>Sub-populations carrying known and relevant polymorphisms</w:t>
            </w:r>
          </w:p>
        </w:tc>
        <w:tc>
          <w:tcPr>
            <w:tcW w:w="567" w:type="pct"/>
          </w:tcPr>
          <w:p w14:paraId="6B281917" w14:textId="77777777" w:rsidR="00F25025" w:rsidRPr="005D2BF4" w:rsidRDefault="00F25025" w:rsidP="00EA66A2">
            <w:pPr>
              <w:pStyle w:val="Tabletext"/>
              <w:keepNext/>
              <w:jc w:val="center"/>
            </w:pPr>
            <w:r w:rsidRPr="005D2BF4">
              <w:sym w:font="Wingdings" w:char="F0FC"/>
            </w:r>
          </w:p>
        </w:tc>
        <w:tc>
          <w:tcPr>
            <w:tcW w:w="729" w:type="pct"/>
          </w:tcPr>
          <w:p w14:paraId="7C578741" w14:textId="77777777" w:rsidR="00F25025" w:rsidRPr="005D2BF4" w:rsidRDefault="00F25025" w:rsidP="00EA66A2">
            <w:pPr>
              <w:keepNext/>
              <w:jc w:val="center"/>
            </w:pPr>
            <w:r w:rsidRPr="005D2BF4">
              <w:t>–</w:t>
            </w:r>
          </w:p>
        </w:tc>
        <w:tc>
          <w:tcPr>
            <w:tcW w:w="567" w:type="pct"/>
          </w:tcPr>
          <w:p w14:paraId="44ECCB37" w14:textId="77777777" w:rsidR="00F25025" w:rsidRPr="005D2BF4" w:rsidRDefault="00F25025" w:rsidP="00EA66A2">
            <w:pPr>
              <w:pStyle w:val="Tabletext"/>
              <w:keepNext/>
              <w:jc w:val="center"/>
            </w:pPr>
            <w:r w:rsidRPr="005D2BF4">
              <w:t>–</w:t>
            </w:r>
          </w:p>
        </w:tc>
        <w:tc>
          <w:tcPr>
            <w:tcW w:w="729" w:type="pct"/>
          </w:tcPr>
          <w:p w14:paraId="4B3CC789" w14:textId="77777777" w:rsidR="00F25025" w:rsidRPr="005D2BF4" w:rsidRDefault="00F25025" w:rsidP="00EA66A2">
            <w:pPr>
              <w:keepNext/>
              <w:jc w:val="center"/>
            </w:pPr>
            <w:r w:rsidRPr="005D2BF4">
              <w:t>–</w:t>
            </w:r>
          </w:p>
        </w:tc>
      </w:tr>
    </w:tbl>
    <w:p w14:paraId="53C3E00F" w14:textId="77777777" w:rsidR="00F25025" w:rsidRDefault="00F25025" w:rsidP="00EA66A2">
      <w:pPr>
        <w:pStyle w:val="TableDescription"/>
        <w:keepNext/>
        <w:rPr>
          <w:lang w:eastAsia="en-AU"/>
        </w:rPr>
      </w:pPr>
      <w:r>
        <w:rPr>
          <w:lang w:eastAsia="en-AU"/>
        </w:rPr>
        <w:t>*Pregnancy registry</w:t>
      </w:r>
    </w:p>
    <w:p w14:paraId="1C77946A" w14:textId="77777777" w:rsidR="00F25025" w:rsidRDefault="00F25025" w:rsidP="00F25025">
      <w:r>
        <w:t xml:space="preserve">A pregnancy registry was established by the sponsor in 2005 at request of the US FDA. Data from Australian patients is included in this registry. </w:t>
      </w:r>
      <w:r w:rsidR="009A471F">
        <w:t>The TGA considers this to be</w:t>
      </w:r>
      <w:r>
        <w:t xml:space="preserve"> acceptable as an additional pharmacovigilance activity.</w:t>
      </w:r>
    </w:p>
    <w:p w14:paraId="32856EBD" w14:textId="77777777" w:rsidR="008E7846" w:rsidRDefault="00F25025" w:rsidP="008E7846">
      <w:r>
        <w:t>Routine pharmacovigilance measures are proposed for all safety concerns. This is also considered acceptable by the TGA. There are no outstanding issues.</w:t>
      </w:r>
    </w:p>
    <w:p w14:paraId="43F62665" w14:textId="77777777" w:rsidR="008E7846" w:rsidRDefault="00AA0ED0" w:rsidP="008E7846">
      <w:pPr>
        <w:pStyle w:val="Heading3"/>
      </w:pPr>
      <w:bookmarkStart w:id="96" w:name="_Toc247691531"/>
      <w:bookmarkStart w:id="97" w:name="_Toc314842515"/>
      <w:bookmarkStart w:id="98" w:name="_Toc196046505"/>
      <w:bookmarkStart w:id="99" w:name="_Toc196046949"/>
      <w:bookmarkStart w:id="100" w:name="_Toc36126293"/>
      <w:r>
        <w:t>Risk-benefit a</w:t>
      </w:r>
      <w:r w:rsidR="008E7846">
        <w:t>nalysis</w:t>
      </w:r>
      <w:bookmarkEnd w:id="96"/>
      <w:bookmarkEnd w:id="97"/>
      <w:bookmarkEnd w:id="100"/>
    </w:p>
    <w:p w14:paraId="552BD372" w14:textId="77777777" w:rsidR="00D23139" w:rsidRDefault="00F25025" w:rsidP="00D23139">
      <w:pPr>
        <w:pStyle w:val="Heading4"/>
      </w:pPr>
      <w:r>
        <w:t>Delegate’s considerations</w:t>
      </w:r>
    </w:p>
    <w:p w14:paraId="0D5BA5B1" w14:textId="77777777" w:rsidR="00F25025" w:rsidRDefault="00F25025" w:rsidP="00F25025">
      <w:pPr>
        <w:pStyle w:val="Heading5"/>
      </w:pPr>
      <w:r>
        <w:t>Summary</w:t>
      </w:r>
    </w:p>
    <w:p w14:paraId="0FF032A6" w14:textId="77777777" w:rsidR="00F25025" w:rsidRPr="006E7419" w:rsidRDefault="00F25025" w:rsidP="006E7419">
      <w:pPr>
        <w:pStyle w:val="ListBullet"/>
      </w:pPr>
      <w:r w:rsidRPr="006E7419">
        <w:t xml:space="preserve">Antepartum maternal vaccination with dTpa in second or third trimester of pregnancy, for prevention of pertussis in early infant period (0 to 3 months of age), is current </w:t>
      </w:r>
      <w:r w:rsidRPr="006E7419">
        <w:lastRenderedPageBreak/>
        <w:t>policy and established clinical practice in Australia as well as numerous jurisdictions around the world.</w:t>
      </w:r>
    </w:p>
    <w:p w14:paraId="0CD3B864" w14:textId="77777777" w:rsidR="00F25025" w:rsidRPr="006E7419" w:rsidRDefault="00F25025" w:rsidP="006E7419">
      <w:pPr>
        <w:pStyle w:val="ListBullet"/>
      </w:pPr>
      <w:r w:rsidRPr="006E7419">
        <w:t>Adacel is a 5 (toxoid and subunit) component, reduced-content, formulation (dTpa) currently approved for use as a booster from age 10 years where primary immunisation in childhood has been completed in the past.</w:t>
      </w:r>
    </w:p>
    <w:p w14:paraId="31557CA4" w14:textId="77777777" w:rsidR="00F25025" w:rsidRPr="006E7419" w:rsidRDefault="00F25025" w:rsidP="006E7419">
      <w:pPr>
        <w:pStyle w:val="ListBullet"/>
      </w:pPr>
      <w:r w:rsidRPr="006E7419">
        <w:t>The diverse amount of published data evaluated in this submission show that immune responses (</w:t>
      </w:r>
      <w:r w:rsidR="00AB2E44" w:rsidRPr="006E7419">
        <w:t xml:space="preserve">immunoglobulin G; </w:t>
      </w:r>
      <w:r w:rsidRPr="006E7419">
        <w:t>IgG) to the dTpa vaccine antigens in pregnant women are similar to the immune responses in non-pregnant women. High levels are found in cord blood and efficiently transmitted across placenta.</w:t>
      </w:r>
    </w:p>
    <w:p w14:paraId="379B6EC7" w14:textId="77777777" w:rsidR="00F25025" w:rsidRPr="006E7419" w:rsidRDefault="00F25025" w:rsidP="006E7419">
      <w:pPr>
        <w:pStyle w:val="ListBullet"/>
      </w:pPr>
      <w:r w:rsidRPr="006E7419">
        <w:t>Passive immunity is conferred with the passage of maternal antibodies to pertussis antigens to the fetus/infant which persi</w:t>
      </w:r>
      <w:r w:rsidR="00AB2E44" w:rsidRPr="006E7419">
        <w:t xml:space="preserve">st up to the time of start of 3 </w:t>
      </w:r>
      <w:r w:rsidRPr="006E7419">
        <w:t>dose priming series of DTPa at the age of 2, 3 or 4 months, providing beneficial protective effect in this uncovered period.</w:t>
      </w:r>
    </w:p>
    <w:p w14:paraId="60F5A1E8" w14:textId="6D14DA8D" w:rsidR="00F25025" w:rsidRPr="006E7419" w:rsidRDefault="00F25025" w:rsidP="006E7419">
      <w:pPr>
        <w:pStyle w:val="ListBullet"/>
      </w:pPr>
      <w:r w:rsidRPr="006E7419">
        <w:t xml:space="preserve">The response to the primary DTPa series in infants of mothers exposed to dTpa during pregnancy is somewhat subdued compared to infants born to mothers who did not received dTpa during pregnancy. The immune responses become </w:t>
      </w:r>
      <w:r w:rsidR="00EA66A2" w:rsidRPr="006E7419">
        <w:t>comparable following the fourth</w:t>
      </w:r>
      <w:r w:rsidRPr="006E7419">
        <w:t xml:space="preserve"> dose of DTPa at 12 months in infants born to dTpa exposed or unexposed mothers.</w:t>
      </w:r>
    </w:p>
    <w:p w14:paraId="4A512469" w14:textId="77777777" w:rsidR="00F25025" w:rsidRPr="006E7419" w:rsidRDefault="00F25025" w:rsidP="006E7419">
      <w:pPr>
        <w:pStyle w:val="ListBullet"/>
      </w:pPr>
      <w:r w:rsidRPr="006E7419">
        <w:t xml:space="preserve">Serological correlates of protection for pertussis have not been established. Long standing data, from </w:t>
      </w:r>
      <w:r w:rsidR="00AB2E44" w:rsidRPr="006E7419">
        <w:t xml:space="preserve">a </w:t>
      </w:r>
      <w:r w:rsidRPr="006E7419">
        <w:t>vaccine efficacy trial conducted in Sweden, were suggestive that anti-FHA levels did not correlate with clinical protection; low (&lt;</w:t>
      </w:r>
      <w:r w:rsidR="00AB2E44" w:rsidRPr="006E7419">
        <w:t xml:space="preserve"> </w:t>
      </w:r>
      <w:r w:rsidRPr="006E7419">
        <w:t xml:space="preserve">5 IgG </w:t>
      </w:r>
      <w:r w:rsidR="00AB2E44" w:rsidRPr="006E7419">
        <w:t>enzyme-linked immunosorbent assay (</w:t>
      </w:r>
      <w:r w:rsidRPr="006E7419">
        <w:t>ELISA</w:t>
      </w:r>
      <w:r w:rsidR="00AB2E44" w:rsidRPr="006E7419">
        <w:t>)</w:t>
      </w:r>
      <w:r w:rsidRPr="006E7419">
        <w:t xml:space="preserve"> units/mL) anti-PRN, high (≥ 5 </w:t>
      </w:r>
      <w:r w:rsidR="00AB2E44" w:rsidRPr="006E7419">
        <w:t>ELISA</w:t>
      </w:r>
      <w:r w:rsidRPr="006E7419">
        <w:t xml:space="preserve"> units/mL) anti-PT, and low anti-FIM levels correlated with efficacy of 46.1% (95%CI: 13.9%, 66.4%); low anti-PRN combined with high anti-PT and high anti-FIM levels correlated with efficacy of 72.2% (95%CI: 22.4%, 90.1%); and high anti-PRN</w:t>
      </w:r>
      <w:r w:rsidR="00AB2E44" w:rsidRPr="006E7419">
        <w:t xml:space="preserve"> levels combined with high anti</w:t>
      </w:r>
      <w:r w:rsidR="00AB2E44" w:rsidRPr="006E7419">
        <w:noBreakHyphen/>
      </w:r>
      <w:r w:rsidRPr="006E7419">
        <w:t>PT and high anti-FIM levels correlated with an efficacy of 84.9% (95%CI: 65.0%, 93.5%).</w:t>
      </w:r>
      <w:r w:rsidRPr="006E7419">
        <w:rPr>
          <w:rStyle w:val="FootnoteReference"/>
          <w:vertAlign w:val="baseline"/>
        </w:rPr>
        <w:footnoteReference w:id="48"/>
      </w:r>
      <w:r w:rsidR="00AB2E44" w:rsidRPr="006E7419">
        <w:t xml:space="preserve"> </w:t>
      </w:r>
      <w:r w:rsidRPr="006E7419">
        <w:rPr>
          <w:rStyle w:val="FootnoteReference"/>
          <w:vertAlign w:val="baseline"/>
        </w:rPr>
        <w:footnoteReference w:id="49"/>
      </w:r>
    </w:p>
    <w:p w14:paraId="25EEB5E6" w14:textId="77777777" w:rsidR="00F25025" w:rsidRPr="006E7419" w:rsidRDefault="00F25025" w:rsidP="006E7419">
      <w:pPr>
        <w:pStyle w:val="ListBullet"/>
      </w:pPr>
      <w:r w:rsidRPr="006E7419">
        <w:t>The mean antibody titres to DTPa in infants of dTpa exposed mothers reported in the datasets in this submission were high but only tended to be relatively lower than in infants born to controls (dTpa unexposed mothers).</w:t>
      </w:r>
    </w:p>
    <w:p w14:paraId="51C505A8" w14:textId="77777777" w:rsidR="00F25025" w:rsidRPr="006E7419" w:rsidRDefault="00F25025" w:rsidP="006E7419">
      <w:pPr>
        <w:pStyle w:val="ListBullet"/>
      </w:pPr>
      <w:r w:rsidRPr="006E7419">
        <w:t xml:space="preserve">However, the VE data from observational studies in this submission, does point to a drop in </w:t>
      </w:r>
      <w:r w:rsidR="00931772" w:rsidRPr="006E7419">
        <w:t>VE</w:t>
      </w:r>
      <w:r w:rsidRPr="006E7419">
        <w:t xml:space="preserve"> in infants during the primary series of DTPa born to mothers who received dTpa during pregnancy compared to controls. The protection conferred until 3 months of age is unmistakable.</w:t>
      </w:r>
    </w:p>
    <w:p w14:paraId="0E76D45A" w14:textId="77777777" w:rsidR="00F25025" w:rsidRPr="006E7419" w:rsidRDefault="00F25025" w:rsidP="006E7419">
      <w:pPr>
        <w:pStyle w:val="ListBullet"/>
      </w:pPr>
      <w:r w:rsidRPr="006E7419">
        <w:t>Safety data are indicative of a small risk of chorioamnionitis in pregnant women following vaccination with dTpa during pregnancy. This was not associated with adverse maternal, perinatal or natal outcomes. The effect (chorioamnionitis) does not seem to be specific to dTpa vaccines and was also noted with other vaccines used in pregnancy such as inactivated influenza vaccines.</w:t>
      </w:r>
    </w:p>
    <w:p w14:paraId="7FBD3DC2" w14:textId="77777777" w:rsidR="00F25025" w:rsidRDefault="00F25025" w:rsidP="00F25025">
      <w:pPr>
        <w:pStyle w:val="Heading5"/>
      </w:pPr>
      <w:r>
        <w:t>Delegate’s conclusions</w:t>
      </w:r>
    </w:p>
    <w:p w14:paraId="19F73D1B" w14:textId="77777777" w:rsidR="00F25025" w:rsidRDefault="00F25025" w:rsidP="006E7419">
      <w:pPr>
        <w:pStyle w:val="ListBullet"/>
      </w:pPr>
      <w:r>
        <w:t>The use of Adacel in pregnancy is supported. However, this does not require update as an addition to the therapeutic indication. The indication as currently approved is up to date and specific to the use of a dTpa vaccine as booster formulation.</w:t>
      </w:r>
    </w:p>
    <w:p w14:paraId="3CEFF193" w14:textId="77777777" w:rsidR="00F25025" w:rsidRDefault="00F25025" w:rsidP="00F25025">
      <w:pPr>
        <w:pStyle w:val="ListBullet"/>
        <w:numPr>
          <w:ilvl w:val="0"/>
          <w:numId w:val="0"/>
        </w:numPr>
        <w:ind w:left="360"/>
      </w:pPr>
      <w:r>
        <w:lastRenderedPageBreak/>
        <w:t>The recommendation that Adacel may be used in pregnancy for prevention of pertussis in infant should be placed in the dosage section following on from directions for use as a booster and preceding the recommendation to use it in pregnancy according to the national guidelines. A note here that routine DTPa, in children whose mothers received dTpa in pregnancy, according to national guidelines is also recommended.</w:t>
      </w:r>
    </w:p>
    <w:p w14:paraId="5C137A27" w14:textId="77777777" w:rsidR="00F25025" w:rsidRDefault="00F25025" w:rsidP="00F25025">
      <w:pPr>
        <w:pStyle w:val="ListBullet"/>
        <w:numPr>
          <w:ilvl w:val="0"/>
          <w:numId w:val="0"/>
        </w:numPr>
        <w:ind w:left="360"/>
      </w:pPr>
      <w:r>
        <w:t xml:space="preserve">The timing of administration of maternal dTpa in pregnancy is noted only under the proposed text in </w:t>
      </w:r>
      <w:r w:rsidRPr="002253E2">
        <w:rPr>
          <w:i/>
        </w:rPr>
        <w:t>Use in Pregnancy</w:t>
      </w:r>
      <w:r>
        <w:t>, where it refers to the availability of most data in secondand third trimesters. This is considered acceptable.</w:t>
      </w:r>
    </w:p>
    <w:p w14:paraId="72421DA1" w14:textId="28E1198D" w:rsidR="00F25025" w:rsidRPr="006E7419" w:rsidRDefault="00F25025" w:rsidP="006E7419">
      <w:pPr>
        <w:pStyle w:val="ListBullet"/>
      </w:pPr>
      <w:r w:rsidRPr="006E7419">
        <w:t>Change from Pregnancy Category B2</w:t>
      </w:r>
      <w:r w:rsidR="00AB2E44" w:rsidRPr="006E7419">
        <w:t>;</w:t>
      </w:r>
      <w:r w:rsidR="00AB2E44" w:rsidRPr="006E7419">
        <w:fldChar w:fldCharType="begin"/>
      </w:r>
      <w:r w:rsidR="00AB2E44" w:rsidRPr="006E7419">
        <w:instrText xml:space="preserve"> NOTEREF _Ref34054924 \f \h </w:instrText>
      </w:r>
      <w:r w:rsidR="006E7419" w:rsidRPr="006E7419">
        <w:instrText xml:space="preserve"> \* MERGEFORMAT </w:instrText>
      </w:r>
      <w:r w:rsidR="00AB2E44" w:rsidRPr="006E7419">
        <w:fldChar w:fldCharType="separate"/>
      </w:r>
      <w:r w:rsidR="00EA66A2" w:rsidRPr="006E7419">
        <w:rPr>
          <w:rStyle w:val="FootnoteReference"/>
          <w:vertAlign w:val="baseline"/>
        </w:rPr>
        <w:t>10</w:t>
      </w:r>
      <w:r w:rsidR="00AB2E44" w:rsidRPr="006E7419">
        <w:fldChar w:fldCharType="end"/>
      </w:r>
      <w:r w:rsidRPr="006E7419">
        <w:t xml:space="preserve"> to B1</w:t>
      </w:r>
      <w:r w:rsidR="00AB2E44" w:rsidRPr="006E7419">
        <w:t>;</w:t>
      </w:r>
      <w:r w:rsidR="00AB2E44" w:rsidRPr="006E7419">
        <w:fldChar w:fldCharType="begin"/>
      </w:r>
      <w:r w:rsidR="00AB2E44" w:rsidRPr="006E7419">
        <w:instrText xml:space="preserve"> NOTEREF _Ref34055119 \f \h </w:instrText>
      </w:r>
      <w:r w:rsidR="006E7419">
        <w:instrText xml:space="preserve"> \* MERGEFORMAT </w:instrText>
      </w:r>
      <w:r w:rsidR="00AB2E44" w:rsidRPr="006E7419">
        <w:fldChar w:fldCharType="separate"/>
      </w:r>
      <w:r w:rsidR="00EA66A2" w:rsidRPr="006E7419">
        <w:rPr>
          <w:rStyle w:val="FootnoteReference"/>
          <w:vertAlign w:val="baseline"/>
        </w:rPr>
        <w:t>8</w:t>
      </w:r>
      <w:r w:rsidR="00AB2E44" w:rsidRPr="006E7419">
        <w:fldChar w:fldCharType="end"/>
      </w:r>
      <w:r w:rsidRPr="006E7419">
        <w:t xml:space="preserve"> is supported. The proposed change to Category A;</w:t>
      </w:r>
      <w:r w:rsidR="00590F90" w:rsidRPr="006E7419">
        <w:fldChar w:fldCharType="begin"/>
      </w:r>
      <w:r w:rsidR="00590F90" w:rsidRPr="006E7419">
        <w:instrText xml:space="preserve"> NOTEREF _Ref34055188 \f \h </w:instrText>
      </w:r>
      <w:r w:rsidR="006E7419">
        <w:instrText xml:space="preserve"> \* MERGEFORMAT </w:instrText>
      </w:r>
      <w:r w:rsidR="00590F90" w:rsidRPr="006E7419">
        <w:fldChar w:fldCharType="separate"/>
      </w:r>
      <w:r w:rsidR="00EA66A2" w:rsidRPr="006E7419">
        <w:rPr>
          <w:rStyle w:val="FootnoteReference"/>
          <w:vertAlign w:val="baseline"/>
        </w:rPr>
        <w:t>11</w:t>
      </w:r>
      <w:r w:rsidR="00590F90" w:rsidRPr="006E7419">
        <w:fldChar w:fldCharType="end"/>
      </w:r>
      <w:r w:rsidRPr="006E7419">
        <w:t xml:space="preserve"> is not supported as most data relate to the use of dTpa in second and third trimester of pregnancy (data on use in first trimester is neither required nor available) and there is the finding of a small risk of chorioamnionitis of uncertain clinical significance.</w:t>
      </w:r>
    </w:p>
    <w:p w14:paraId="6D77A62B" w14:textId="77777777" w:rsidR="00F25025" w:rsidRPr="006E7419" w:rsidRDefault="00F25025" w:rsidP="006E7419">
      <w:pPr>
        <w:pStyle w:val="ListBullet"/>
      </w:pPr>
      <w:r w:rsidRPr="006E7419">
        <w:t xml:space="preserve">In addition, the use of dTpa vaccines in pregnancy and Category A classification is more suitable for consideration as a policy matter, along the lines of unadjuvanted, inactivated subunit influenza vaccines, by advisory bodies such as </w:t>
      </w:r>
      <w:r w:rsidR="00590F90" w:rsidRPr="006E7419">
        <w:t>Australian Technical Advisory Group on Immunisation (</w:t>
      </w:r>
      <w:r w:rsidRPr="006E7419">
        <w:t>ATAGI</w:t>
      </w:r>
      <w:r w:rsidR="00590F90" w:rsidRPr="006E7419">
        <w:t>)</w:t>
      </w:r>
      <w:r w:rsidRPr="006E7419">
        <w:t xml:space="preserve"> or </w:t>
      </w:r>
      <w:r w:rsidR="00590F90" w:rsidRPr="006E7419">
        <w:t>the Advisory Committee on Vaccines (</w:t>
      </w:r>
      <w:r w:rsidRPr="006E7419">
        <w:t>ACV</w:t>
      </w:r>
      <w:r w:rsidR="00590F90" w:rsidRPr="006E7419">
        <w:t>)</w:t>
      </w:r>
      <w:r w:rsidRPr="006E7419">
        <w:t xml:space="preserve"> with subsequent action by TGA if required.</w:t>
      </w:r>
    </w:p>
    <w:p w14:paraId="222EA30E" w14:textId="77777777" w:rsidR="00F25025" w:rsidRPr="006E7419" w:rsidRDefault="00F25025" w:rsidP="006E7419">
      <w:pPr>
        <w:pStyle w:val="ListBullet"/>
      </w:pPr>
      <w:r w:rsidRPr="006E7419">
        <w:t>The updated recommendation for repeat (booster) vaccination (where a dTpa or dTpa-IPV has previously been given) is supported by data. The recommended text, originally submitted by the sponsor, has been noted above.</w:t>
      </w:r>
    </w:p>
    <w:p w14:paraId="7232050F" w14:textId="77777777" w:rsidR="00F25025" w:rsidRPr="006E7419" w:rsidRDefault="00F25025" w:rsidP="006E7419">
      <w:pPr>
        <w:pStyle w:val="ListBullet"/>
      </w:pPr>
      <w:r w:rsidRPr="006E7419">
        <w:t>The proposed text on interaction with the meningococcal vaccine Menactra is consistent with the findings in the previously supplied study report of Study MTA21 and is also supported.</w:t>
      </w:r>
    </w:p>
    <w:p w14:paraId="03F8FA67" w14:textId="77777777" w:rsidR="00F25025" w:rsidRDefault="00F25025" w:rsidP="00F25025">
      <w:pPr>
        <w:pStyle w:val="Heading5"/>
      </w:pPr>
      <w:r>
        <w:t>Summary of issues</w:t>
      </w:r>
    </w:p>
    <w:p w14:paraId="01AAEEE7" w14:textId="77777777" w:rsidR="00456765" w:rsidRPr="00456765" w:rsidRDefault="00F25025" w:rsidP="00456765">
      <w:r>
        <w:t>The proposed addition to the currently approved indication and the change to Pregnancy Category A are not supported.</w:t>
      </w:r>
    </w:p>
    <w:p w14:paraId="159BD136" w14:textId="77777777" w:rsidR="00D23139" w:rsidRDefault="00D23139" w:rsidP="00D23139">
      <w:pPr>
        <w:pStyle w:val="Heading4"/>
      </w:pPr>
      <w:r w:rsidRPr="00D23139">
        <w:t>Proposed action</w:t>
      </w:r>
    </w:p>
    <w:p w14:paraId="15B5CE6D" w14:textId="77777777" w:rsidR="00456765" w:rsidRPr="00456765" w:rsidRDefault="00F25025" w:rsidP="00456765">
      <w:r>
        <w:t>The Delegate had</w:t>
      </w:r>
      <w:r w:rsidRPr="00C05F99">
        <w:t xml:space="preserve"> no reason to say, at this time, that the application for Adacel should not be approved for registration, incorporating </w:t>
      </w:r>
      <w:r>
        <w:t>the changes recommended by the D</w:t>
      </w:r>
      <w:r w:rsidRPr="00C05F99">
        <w:t>elegate and any advice and comments from the ACV.</w:t>
      </w:r>
    </w:p>
    <w:p w14:paraId="7ABCF2DA" w14:textId="77777777" w:rsidR="00D23139" w:rsidRDefault="00A22D57" w:rsidP="00D23139">
      <w:pPr>
        <w:pStyle w:val="Heading4"/>
      </w:pPr>
      <w:r>
        <w:t>Request for AC</w:t>
      </w:r>
      <w:r w:rsidR="00F25025">
        <w:t>V</w:t>
      </w:r>
      <w:r w:rsidR="00D23139" w:rsidRPr="00D23139">
        <w:t xml:space="preserve"> advice</w:t>
      </w:r>
    </w:p>
    <w:p w14:paraId="3DBD8B6F" w14:textId="77777777" w:rsidR="00F25025" w:rsidRDefault="00F25025" w:rsidP="00F25025">
      <w:r>
        <w:t>The Advisory Committee on Vaccines (ACV) is requested to provide advice on the following specific issues:</w:t>
      </w:r>
    </w:p>
    <w:p w14:paraId="2B9AED14" w14:textId="77777777" w:rsidR="00F25025" w:rsidRDefault="00F25025" w:rsidP="00F25025">
      <w:pPr>
        <w:pStyle w:val="Numberbullet0"/>
      </w:pPr>
      <w:r>
        <w:t>The Delegate supports the use of Adacel in pregnancy and recommends addition of recommendation to the Dosage section and Use in Pregnancy sections. Advice is requested from the ACV.</w:t>
      </w:r>
    </w:p>
    <w:p w14:paraId="7185E43D" w14:textId="77777777" w:rsidR="00456765" w:rsidRPr="00456765" w:rsidRDefault="00F25025" w:rsidP="00F25025">
      <w:pPr>
        <w:pStyle w:val="Numberbullet0"/>
      </w:pPr>
      <w:r>
        <w:t>The Delegate supports change in Adacel Pregnancy Category from B2 to B1. Advice is requested from the ACV.</w:t>
      </w:r>
    </w:p>
    <w:p w14:paraId="3891FF68" w14:textId="6DC7D0EE" w:rsidR="008E7846" w:rsidRDefault="008E7846" w:rsidP="008E7846">
      <w:pPr>
        <w:pStyle w:val="Heading4"/>
      </w:pPr>
      <w:r>
        <w:lastRenderedPageBreak/>
        <w:t>Advisory Committee Considerations</w:t>
      </w:r>
      <w:r w:rsidR="00EE6EB2">
        <w:rPr>
          <w:rStyle w:val="FootnoteReference"/>
        </w:rPr>
        <w:footnoteReference w:id="50"/>
      </w:r>
    </w:p>
    <w:p w14:paraId="54000D60" w14:textId="77777777" w:rsidR="00F25025" w:rsidRDefault="00F25025" w:rsidP="00F25025">
      <w:r>
        <w:t xml:space="preserve">The ACV, taking into account the submitted evidence of efficacy and safety, considered the vaccine Adacel, a </w:t>
      </w:r>
      <w:r w:rsidR="00590F90">
        <w:t>dTpa</w:t>
      </w:r>
      <w:r>
        <w:t xml:space="preserve"> combination vaccine formulated for adults and adolescents to have an overall positive benefit-risk profile for the extended indication [as italicised, with an addition recommended by the committee in bold]</w:t>
      </w:r>
      <w:r w:rsidR="009A471F">
        <w:t>.</w:t>
      </w:r>
    </w:p>
    <w:p w14:paraId="210DF87D" w14:textId="77777777" w:rsidR="00F25025" w:rsidRPr="0070103F" w:rsidRDefault="00F25025" w:rsidP="00590F90">
      <w:pPr>
        <w:autoSpaceDE w:val="0"/>
        <w:autoSpaceDN w:val="0"/>
        <w:adjustRightInd w:val="0"/>
        <w:spacing w:after="180" w:line="240" w:lineRule="auto"/>
        <w:ind w:left="720"/>
        <w:rPr>
          <w:rFonts w:eastAsiaTheme="minorHAnsi" w:cs="Cambria"/>
          <w:i/>
          <w:color w:val="000000"/>
        </w:rPr>
      </w:pPr>
      <w:r w:rsidRPr="0070103F">
        <w:rPr>
          <w:rFonts w:eastAsiaTheme="minorHAnsi" w:cs="Cambria"/>
          <w:i/>
          <w:color w:val="000000"/>
        </w:rPr>
        <w:t xml:space="preserve">Adacel may be administered during pregnancy for prevention of pertussis in young infants </w:t>
      </w:r>
      <w:r w:rsidRPr="0070103F">
        <w:rPr>
          <w:rFonts w:eastAsiaTheme="minorHAnsi" w:cs="Cambria"/>
          <w:b/>
          <w:bCs/>
          <w:i/>
          <w:color w:val="000000"/>
        </w:rPr>
        <w:t>via ant</w:t>
      </w:r>
      <w:r w:rsidR="00590F90">
        <w:rPr>
          <w:rFonts w:eastAsiaTheme="minorHAnsi" w:cs="Cambria"/>
          <w:b/>
          <w:bCs/>
          <w:i/>
          <w:color w:val="000000"/>
        </w:rPr>
        <w:t>ibody transfer from the mother.</w:t>
      </w:r>
    </w:p>
    <w:p w14:paraId="30029A5E" w14:textId="77777777" w:rsidR="00F25025" w:rsidRPr="0070103F" w:rsidRDefault="00F25025" w:rsidP="00F25025">
      <w:pPr>
        <w:autoSpaceDE w:val="0"/>
        <w:autoSpaceDN w:val="0"/>
        <w:adjustRightInd w:val="0"/>
        <w:spacing w:after="180" w:line="240" w:lineRule="auto"/>
        <w:rPr>
          <w:rFonts w:eastAsiaTheme="minorHAnsi" w:cs="Cambria"/>
          <w:color w:val="000000"/>
        </w:rPr>
      </w:pPr>
      <w:r w:rsidRPr="0070103F">
        <w:rPr>
          <w:rFonts w:eastAsiaTheme="minorHAnsi" w:cs="Cambria"/>
          <w:color w:val="000000"/>
        </w:rPr>
        <w:t>In maki</w:t>
      </w:r>
      <w:r>
        <w:rPr>
          <w:rFonts w:eastAsiaTheme="minorHAnsi" w:cs="Cambria"/>
          <w:color w:val="000000"/>
        </w:rPr>
        <w:t>ng this recommendation the ACV:</w:t>
      </w:r>
    </w:p>
    <w:p w14:paraId="6EE8E282" w14:textId="77777777" w:rsidR="00F25025" w:rsidRPr="006E7419" w:rsidRDefault="00F25025" w:rsidP="006E7419">
      <w:pPr>
        <w:pStyle w:val="ListBullet"/>
      </w:pPr>
      <w:r w:rsidRPr="006E7419">
        <w:t xml:space="preserve">noted the range of published immunogenicity studies, </w:t>
      </w:r>
      <w:r w:rsidR="00931772" w:rsidRPr="006E7419">
        <w:t>VE</w:t>
      </w:r>
      <w:r w:rsidRPr="006E7419">
        <w:t xml:space="preserve"> studies and clinical safety studies submitted in support of the application;</w:t>
      </w:r>
    </w:p>
    <w:p w14:paraId="774697AC" w14:textId="77777777" w:rsidR="00F25025" w:rsidRPr="006E7419" w:rsidRDefault="00F25025" w:rsidP="006E7419">
      <w:pPr>
        <w:pStyle w:val="ListBullet"/>
      </w:pPr>
      <w:r w:rsidRPr="006E7419">
        <w:t>considered the indication should be clarified to highlight that the protection for the infant is via passive prevention;</w:t>
      </w:r>
    </w:p>
    <w:p w14:paraId="6A35AAD3" w14:textId="77777777" w:rsidR="00F25025" w:rsidRPr="006E7419" w:rsidRDefault="00F25025" w:rsidP="006E7419">
      <w:pPr>
        <w:pStyle w:val="ListBullet"/>
      </w:pPr>
      <w:r w:rsidRPr="006E7419">
        <w:t xml:space="preserve">had no objection to the proposals to update the dosage information to include a repeat (booster) vaccination </w:t>
      </w:r>
      <w:r w:rsidR="00590F90" w:rsidRPr="006E7419">
        <w:t xml:space="preserve">after a previous dose of a dTpa </w:t>
      </w:r>
      <w:r w:rsidRPr="006E7419">
        <w:t>containing vaccine, to boost immunity to diphtheria, tetanus and pertussis at 5 to 10 year intervals</w:t>
      </w:r>
    </w:p>
    <w:p w14:paraId="27E75EE9" w14:textId="77777777" w:rsidR="00F25025" w:rsidRPr="006E7419" w:rsidRDefault="00F25025" w:rsidP="006E7419">
      <w:pPr>
        <w:pStyle w:val="ListBullet"/>
      </w:pPr>
      <w:r w:rsidRPr="006E7419">
        <w:t>had no objection to the proposal to update the PI on interaction with the meningococcal A C W135 Y vaccine Menactra (also sponsored by the same sponsor).</w:t>
      </w:r>
    </w:p>
    <w:p w14:paraId="7230C697" w14:textId="77777777" w:rsidR="00F25025" w:rsidRPr="0070103F" w:rsidRDefault="00F25025" w:rsidP="00F25025">
      <w:pPr>
        <w:pStyle w:val="Heading5"/>
        <w:rPr>
          <w:rFonts w:eastAsiaTheme="minorHAnsi"/>
        </w:rPr>
      </w:pPr>
      <w:r w:rsidRPr="0070103F">
        <w:rPr>
          <w:rFonts w:eastAsiaTheme="minorHAnsi"/>
        </w:rPr>
        <w:t>P</w:t>
      </w:r>
      <w:r w:rsidR="00590F90">
        <w:rPr>
          <w:rFonts w:eastAsiaTheme="minorHAnsi"/>
        </w:rPr>
        <w:t>roposed Product In</w:t>
      </w:r>
      <w:r w:rsidR="009A471F">
        <w:rPr>
          <w:rFonts w:eastAsiaTheme="minorHAnsi"/>
        </w:rPr>
        <w:t>formation/</w:t>
      </w:r>
      <w:r w:rsidRPr="0070103F">
        <w:rPr>
          <w:rFonts w:eastAsiaTheme="minorHAnsi"/>
        </w:rPr>
        <w:t>Consumer Medici</w:t>
      </w:r>
      <w:r w:rsidR="00590F90">
        <w:rPr>
          <w:rFonts w:eastAsiaTheme="minorHAnsi"/>
        </w:rPr>
        <w:t>ne Information</w:t>
      </w:r>
      <w:r>
        <w:rPr>
          <w:rFonts w:eastAsiaTheme="minorHAnsi"/>
        </w:rPr>
        <w:t xml:space="preserve"> amendments</w:t>
      </w:r>
    </w:p>
    <w:p w14:paraId="543F86AA" w14:textId="77777777" w:rsidR="00F25025" w:rsidRPr="0070103F" w:rsidRDefault="00F25025" w:rsidP="00F25025">
      <w:pPr>
        <w:autoSpaceDE w:val="0"/>
        <w:autoSpaceDN w:val="0"/>
        <w:adjustRightInd w:val="0"/>
        <w:spacing w:after="180" w:line="240" w:lineRule="auto"/>
        <w:rPr>
          <w:rFonts w:eastAsiaTheme="minorHAnsi" w:cs="Cambria"/>
          <w:color w:val="000000"/>
        </w:rPr>
      </w:pPr>
      <w:r w:rsidRPr="0070103F">
        <w:rPr>
          <w:rFonts w:eastAsiaTheme="minorHAnsi" w:cs="Cambria"/>
          <w:color w:val="000000"/>
        </w:rPr>
        <w:t>The com</w:t>
      </w:r>
      <w:r>
        <w:rPr>
          <w:rFonts w:eastAsiaTheme="minorHAnsi" w:cs="Cambria"/>
          <w:color w:val="000000"/>
        </w:rPr>
        <w:t>mittee recommended:</w:t>
      </w:r>
    </w:p>
    <w:p w14:paraId="241E12AF" w14:textId="77777777" w:rsidR="00F25025" w:rsidRPr="0070103F" w:rsidRDefault="00F25025" w:rsidP="006E7419">
      <w:pPr>
        <w:pStyle w:val="ListBullet"/>
      </w:pPr>
      <w:r w:rsidRPr="0070103F">
        <w:t xml:space="preserve">references to the ‘Immunisation Handbook’ should be corrected to ‘current </w:t>
      </w:r>
      <w:r w:rsidRPr="0070103F">
        <w:rPr>
          <w:i/>
        </w:rPr>
        <w:t xml:space="preserve">Australian </w:t>
      </w:r>
      <w:r>
        <w:t>Immunisation Handbook’</w:t>
      </w:r>
    </w:p>
    <w:p w14:paraId="30BF7EC5" w14:textId="77777777" w:rsidR="00F25025" w:rsidRPr="0070103F" w:rsidRDefault="00F25025" w:rsidP="006E7419">
      <w:pPr>
        <w:pStyle w:val="ListBullet"/>
      </w:pPr>
      <w:r w:rsidRPr="0070103F">
        <w:t xml:space="preserve">the PI should state that the adverse effects profile in pregnant women does not appear different to the safety profile in </w:t>
      </w:r>
      <w:r>
        <w:t>non-pregnant women</w:t>
      </w:r>
    </w:p>
    <w:p w14:paraId="3D6F1213" w14:textId="77777777" w:rsidR="00F25025" w:rsidRPr="0070103F" w:rsidRDefault="00F25025" w:rsidP="006E7419">
      <w:pPr>
        <w:pStyle w:val="ListBullet"/>
      </w:pPr>
      <w:r w:rsidRPr="0070103F">
        <w:t>the PI should mention the large number of randomised clinical trials and observational studi</w:t>
      </w:r>
      <w:r>
        <w:t>es undertaken in pregnant women</w:t>
      </w:r>
    </w:p>
    <w:p w14:paraId="691539D1" w14:textId="77777777" w:rsidR="00F25025" w:rsidRPr="0070103F" w:rsidRDefault="00F25025" w:rsidP="006E7419">
      <w:pPr>
        <w:pStyle w:val="ListBullet"/>
      </w:pPr>
      <w:r w:rsidRPr="0070103F">
        <w:t>minor changes for clarity in the use in pregnancy se</w:t>
      </w:r>
      <w:r>
        <w:t>ction of the PI, as italicised:</w:t>
      </w:r>
    </w:p>
    <w:p w14:paraId="6E57FBBD" w14:textId="77777777" w:rsidR="00F25025" w:rsidRPr="0070103F" w:rsidRDefault="00F25025" w:rsidP="006E7419">
      <w:pPr>
        <w:pStyle w:val="ListBullet"/>
        <w:rPr>
          <w:rFonts w:eastAsiaTheme="minorHAnsi" w:cs="Cambria"/>
          <w:color w:val="000000"/>
        </w:rPr>
      </w:pPr>
      <w:r>
        <w:rPr>
          <w:rFonts w:eastAsiaTheme="minorHAnsi" w:cs="Cambria"/>
          <w:color w:val="000000"/>
        </w:rPr>
        <w:t>‘</w:t>
      </w:r>
      <w:r w:rsidRPr="0070103F">
        <w:rPr>
          <w:rFonts w:eastAsiaTheme="minorHAnsi" w:cs="Cambria"/>
          <w:color w:val="000000"/>
        </w:rPr>
        <w:t>Pertussis antibody responses following vaccination with Adacel are robust in most pregnant women, are amplified when measured in newborn</w:t>
      </w:r>
      <w:r>
        <w:rPr>
          <w:rFonts w:eastAsiaTheme="minorHAnsi" w:cs="Cambria"/>
          <w:color w:val="000000"/>
        </w:rPr>
        <w:t xml:space="preserve"> cord blood, persist for 2 to 4 </w:t>
      </w:r>
      <w:r w:rsidRPr="0070103F">
        <w:rPr>
          <w:rFonts w:eastAsiaTheme="minorHAnsi" w:cs="Cambria"/>
          <w:color w:val="000000"/>
        </w:rPr>
        <w:t xml:space="preserve">months in the infant, but appear to blunt (reduce) the infant’s antibody responses to her or his own pertussis vaccinations </w:t>
      </w:r>
      <w:r w:rsidRPr="0070103F">
        <w:rPr>
          <w:rFonts w:eastAsiaTheme="minorHAnsi" w:cs="Cambria"/>
          <w:i/>
          <w:color w:val="000000"/>
        </w:rPr>
        <w:t>later in infancy</w:t>
      </w:r>
      <w:r w:rsidRPr="0070103F">
        <w:rPr>
          <w:rFonts w:eastAsiaTheme="minorHAnsi" w:cs="Cambria"/>
          <w:color w:val="000000"/>
        </w:rPr>
        <w:t>. There is no evidence to suggest that this blunting is clinically relevant in</w:t>
      </w:r>
      <w:r>
        <w:rPr>
          <w:rFonts w:eastAsiaTheme="minorHAnsi" w:cs="Cambria"/>
          <w:color w:val="000000"/>
        </w:rPr>
        <w:t xml:space="preserve"> protection against pertussis’.</w:t>
      </w:r>
    </w:p>
    <w:p w14:paraId="40616251" w14:textId="77777777" w:rsidR="00F25025" w:rsidRPr="0070103F" w:rsidRDefault="00F25025" w:rsidP="006E7419">
      <w:pPr>
        <w:pStyle w:val="ListBullet"/>
        <w:rPr>
          <w:rFonts w:eastAsiaTheme="minorHAnsi" w:cs="Cambria"/>
          <w:color w:val="000000"/>
        </w:rPr>
      </w:pPr>
      <w:r>
        <w:rPr>
          <w:rFonts w:eastAsiaTheme="minorHAnsi" w:cs="Cambria"/>
          <w:color w:val="000000"/>
        </w:rPr>
        <w:t>‘</w:t>
      </w:r>
      <w:r w:rsidRPr="0070103F">
        <w:rPr>
          <w:rFonts w:eastAsiaTheme="minorHAnsi" w:cs="Cambria"/>
          <w:color w:val="000000"/>
        </w:rPr>
        <w:t xml:space="preserve">Several analyses have shown Adacel and Adacel Polio to be &gt; 90% effective when given </w:t>
      </w:r>
      <w:r w:rsidRPr="009A471F">
        <w:rPr>
          <w:rFonts w:eastAsiaTheme="minorHAnsi" w:cs="Cambria"/>
          <w:i/>
          <w:color w:val="000000"/>
        </w:rPr>
        <w:t>to</w:t>
      </w:r>
      <w:r w:rsidRPr="009A471F">
        <w:rPr>
          <w:rFonts w:eastAsiaTheme="minorHAnsi" w:cs="Cambria"/>
          <w:color w:val="000000"/>
        </w:rPr>
        <w:t xml:space="preserve"> </w:t>
      </w:r>
      <w:r w:rsidRPr="009A471F">
        <w:rPr>
          <w:rFonts w:eastAsiaTheme="minorHAnsi" w:cs="Cambria"/>
          <w:i/>
          <w:color w:val="000000"/>
        </w:rPr>
        <w:t>women</w:t>
      </w:r>
      <w:r w:rsidRPr="009A471F">
        <w:rPr>
          <w:rFonts w:eastAsiaTheme="minorHAnsi" w:cs="Cambria"/>
          <w:color w:val="000000"/>
        </w:rPr>
        <w:t xml:space="preserve"> during</w:t>
      </w:r>
      <w:r w:rsidRPr="0070103F">
        <w:rPr>
          <w:rFonts w:eastAsiaTheme="minorHAnsi" w:cs="Cambria"/>
          <w:color w:val="000000"/>
        </w:rPr>
        <w:t xml:space="preserve"> pregnancy in preventing pertussis disease and hospitalisation </w:t>
      </w:r>
      <w:r w:rsidRPr="0070103F">
        <w:rPr>
          <w:rFonts w:eastAsiaTheme="minorHAnsi" w:cs="Cambria"/>
          <w:i/>
          <w:color w:val="000000"/>
        </w:rPr>
        <w:t xml:space="preserve">in </w:t>
      </w:r>
      <w:r w:rsidRPr="009A471F">
        <w:rPr>
          <w:rFonts w:eastAsiaTheme="minorHAnsi" w:cs="Cambria"/>
          <w:i/>
          <w:color w:val="000000"/>
        </w:rPr>
        <w:t>their</w:t>
      </w:r>
      <w:r w:rsidRPr="009A471F">
        <w:rPr>
          <w:rFonts w:eastAsiaTheme="minorHAnsi" w:cs="Cambria"/>
          <w:color w:val="000000"/>
        </w:rPr>
        <w:t xml:space="preserve"> a</w:t>
      </w:r>
      <w:r w:rsidRPr="0070103F">
        <w:rPr>
          <w:rFonts w:eastAsiaTheme="minorHAnsi" w:cs="Cambria"/>
          <w:color w:val="000000"/>
        </w:rPr>
        <w:t>mong infant</w:t>
      </w:r>
      <w:r>
        <w:rPr>
          <w:rFonts w:eastAsiaTheme="minorHAnsi" w:cs="Cambria"/>
          <w:color w:val="000000"/>
        </w:rPr>
        <w:t>s younger than 3 months of age.’</w:t>
      </w:r>
    </w:p>
    <w:p w14:paraId="7305A38D" w14:textId="77777777" w:rsidR="00F25025" w:rsidRPr="0070103F" w:rsidRDefault="00F25025" w:rsidP="006E7419">
      <w:pPr>
        <w:pStyle w:val="ListBullet"/>
      </w:pPr>
      <w:r w:rsidRPr="0070103F">
        <w:t>mention of chorioamnionitis, including the lack of ass</w:t>
      </w:r>
      <w:r>
        <w:t>ociation with adverse outcomes.</w:t>
      </w:r>
    </w:p>
    <w:p w14:paraId="3A60482B" w14:textId="77777777" w:rsidR="00F25025" w:rsidRPr="0070103F" w:rsidRDefault="00F25025" w:rsidP="00F25025">
      <w:pPr>
        <w:autoSpaceDE w:val="0"/>
        <w:autoSpaceDN w:val="0"/>
        <w:adjustRightInd w:val="0"/>
        <w:spacing w:after="180" w:line="240" w:lineRule="auto"/>
        <w:rPr>
          <w:rFonts w:eastAsiaTheme="minorHAnsi" w:cs="Cambria"/>
          <w:color w:val="000000"/>
        </w:rPr>
      </w:pPr>
      <w:r w:rsidRPr="0070103F">
        <w:rPr>
          <w:rFonts w:eastAsiaTheme="minorHAnsi" w:cs="Cambria"/>
          <w:color w:val="000000"/>
        </w:rPr>
        <w:lastRenderedPageBreak/>
        <w:t xml:space="preserve">The committee commented favourably on the context provided in the opening paragraph after the post-marketing experience subheading </w:t>
      </w:r>
      <w:r>
        <w:rPr>
          <w:rFonts w:eastAsiaTheme="minorHAnsi" w:cs="Cambria"/>
          <w:color w:val="000000"/>
        </w:rPr>
        <w:t>in the adverse effects section.</w:t>
      </w:r>
    </w:p>
    <w:p w14:paraId="1ABD5B7C" w14:textId="77777777" w:rsidR="00F25025" w:rsidRPr="0070103F" w:rsidRDefault="00F25025" w:rsidP="00F25025">
      <w:pPr>
        <w:pStyle w:val="Heading5"/>
        <w:rPr>
          <w:rFonts w:eastAsiaTheme="minorHAnsi"/>
        </w:rPr>
      </w:pPr>
      <w:r>
        <w:rPr>
          <w:rFonts w:eastAsiaTheme="minorHAnsi"/>
        </w:rPr>
        <w:t>Specific a</w:t>
      </w:r>
      <w:r w:rsidR="00590F90">
        <w:rPr>
          <w:rFonts w:eastAsiaTheme="minorHAnsi"/>
        </w:rPr>
        <w:t>dvice</w:t>
      </w:r>
    </w:p>
    <w:p w14:paraId="6D6B70EC" w14:textId="77777777" w:rsidR="00F25025" w:rsidRDefault="00F25025" w:rsidP="00F25025">
      <w:pPr>
        <w:rPr>
          <w:rFonts w:eastAsiaTheme="minorHAnsi" w:cs="Cambria"/>
          <w:color w:val="000000"/>
        </w:rPr>
      </w:pPr>
      <w:r w:rsidRPr="0070103F">
        <w:rPr>
          <w:rFonts w:eastAsiaTheme="minorHAnsi" w:cs="Cambria"/>
          <w:color w:val="000000"/>
        </w:rPr>
        <w:t>The ACV advised the following in response to the Delegate’s specific questions on the submission.</w:t>
      </w:r>
    </w:p>
    <w:p w14:paraId="4DD7F582" w14:textId="77777777" w:rsidR="00F25025" w:rsidRPr="009A471F" w:rsidRDefault="00F25025" w:rsidP="00F25025">
      <w:pPr>
        <w:pStyle w:val="Numberbullet0"/>
        <w:numPr>
          <w:ilvl w:val="0"/>
          <w:numId w:val="30"/>
        </w:numPr>
        <w:rPr>
          <w:b/>
          <w:i/>
        </w:rPr>
      </w:pPr>
      <w:r w:rsidRPr="009A471F">
        <w:rPr>
          <w:b/>
          <w:i/>
        </w:rPr>
        <w:t>The use of Adacel in pregnancy and the addition of recommendations to the Dosage section and Use in pregnancy section (Indications section)</w:t>
      </w:r>
    </w:p>
    <w:p w14:paraId="70F26C18" w14:textId="77777777" w:rsidR="00F25025" w:rsidRDefault="00F25025" w:rsidP="00F25025">
      <w:r>
        <w:t>The ACV advised that it is appropriate to include in the indication section of the PI the use of the vaccine during pregnancy for prevention of pertussis in young infants.</w:t>
      </w:r>
    </w:p>
    <w:p w14:paraId="1F29B5D4" w14:textId="77777777" w:rsidR="00F25025" w:rsidRDefault="00F25025" w:rsidP="00F25025">
      <w:r>
        <w:t>The currently approved indication refers to ‘active immunisation’. The intent of vaccination during pregnancy is not to improve the mother’s resistance to pertussis. Protection of the infant is via passive prevention in the first few months of life.</w:t>
      </w:r>
    </w:p>
    <w:p w14:paraId="1E314914" w14:textId="77777777" w:rsidR="00F25025" w:rsidRDefault="00F25025" w:rsidP="00F25025">
      <w:r>
        <w:t>The ACV advised that it would be useful to add ‘via antibody transfer from the mother’ at the end of the indication, for clarity and to support appropriate statements in the CMI. Mention of antibody transfer in the CMI should assist in education of a pregnant woman of the need for re-vaccination during a subsequent pregnancy and that the protection of the infant is not via protection of the infant’s environment (that is, vaccine protection of the persons surrounding the infant). The term ‘passive prevention’ is technically correct but less informative than ‘antibody transfer from the mother’ for patients.</w:t>
      </w:r>
    </w:p>
    <w:p w14:paraId="63CD4D8B" w14:textId="77777777" w:rsidR="00F25025" w:rsidRPr="009A471F" w:rsidRDefault="00F25025" w:rsidP="00F25025">
      <w:pPr>
        <w:pStyle w:val="Numberbullet0"/>
        <w:numPr>
          <w:ilvl w:val="0"/>
          <w:numId w:val="8"/>
        </w:numPr>
        <w:rPr>
          <w:b/>
          <w:i/>
        </w:rPr>
      </w:pPr>
      <w:r w:rsidRPr="009A471F">
        <w:rPr>
          <w:b/>
          <w:i/>
        </w:rPr>
        <w:t>The appropriate category under the Australian categorisation system for prescribing medicines in pregnancy</w:t>
      </w:r>
    </w:p>
    <w:p w14:paraId="5624C00F" w14:textId="472E2296" w:rsidR="00F25025" w:rsidRDefault="00F25025" w:rsidP="00F25025">
      <w:r>
        <w:t>The committee noted that the sponsor sought to change the use in</w:t>
      </w:r>
      <w:r w:rsidR="00590F90">
        <w:t xml:space="preserve"> pregnancy categorisation from C</w:t>
      </w:r>
      <w:r>
        <w:t>ategory B2</w:t>
      </w:r>
      <w:r w:rsidR="00590F90">
        <w:t>;</w:t>
      </w:r>
      <w:r w:rsidR="00590F90">
        <w:fldChar w:fldCharType="begin"/>
      </w:r>
      <w:r w:rsidR="00590F90">
        <w:instrText xml:space="preserve"> NOTEREF _Ref34054924 \f \h </w:instrText>
      </w:r>
      <w:r w:rsidR="00590F90">
        <w:fldChar w:fldCharType="separate"/>
      </w:r>
      <w:r w:rsidR="00EA66A2" w:rsidRPr="00EA66A2">
        <w:rPr>
          <w:rStyle w:val="FootnoteReference"/>
        </w:rPr>
        <w:t>10</w:t>
      </w:r>
      <w:r w:rsidR="00590F90">
        <w:fldChar w:fldCharType="end"/>
      </w:r>
      <w:r>
        <w:t xml:space="preserve"> to A;</w:t>
      </w:r>
      <w:r w:rsidR="00590F90">
        <w:fldChar w:fldCharType="begin"/>
      </w:r>
      <w:r w:rsidR="00590F90">
        <w:instrText xml:space="preserve"> NOTEREF _Ref34055188 \f \h </w:instrText>
      </w:r>
      <w:r w:rsidR="00590F90">
        <w:fldChar w:fldCharType="separate"/>
      </w:r>
      <w:r w:rsidR="00EA66A2" w:rsidRPr="00EA66A2">
        <w:rPr>
          <w:rStyle w:val="FootnoteReference"/>
        </w:rPr>
        <w:t>11</w:t>
      </w:r>
      <w:r w:rsidR="00590F90">
        <w:fldChar w:fldCharType="end"/>
      </w:r>
      <w:r>
        <w:t xml:space="preserve"> while the Delegate’s position was to change from B2 to B1 category.</w:t>
      </w:r>
      <w:r w:rsidR="00590F90">
        <w:fldChar w:fldCharType="begin"/>
      </w:r>
      <w:r w:rsidR="00590F90">
        <w:instrText xml:space="preserve"> NOTEREF _Ref34055119 \f \h </w:instrText>
      </w:r>
      <w:r w:rsidR="00590F90">
        <w:fldChar w:fldCharType="separate"/>
      </w:r>
      <w:r w:rsidR="00EA66A2" w:rsidRPr="00EA66A2">
        <w:rPr>
          <w:rStyle w:val="FootnoteReference"/>
        </w:rPr>
        <w:t>8</w:t>
      </w:r>
      <w:r w:rsidR="00590F90">
        <w:fldChar w:fldCharType="end"/>
      </w:r>
    </w:p>
    <w:p w14:paraId="5AE8F53C" w14:textId="77777777" w:rsidR="00F25025" w:rsidRDefault="00F25025" w:rsidP="00F25025">
      <w:r>
        <w:t>The ACV advised that Category A is more appropriate than Category B1, based on evidence of safety and benefit risk profile. Data show that the vaccine has been administered to ‘a large number’ (as per Category A) and not ‘a limited number’ (as per Category B1 and B2) of pregnant women without evidence of harm.</w:t>
      </w:r>
    </w:p>
    <w:p w14:paraId="3614ED51" w14:textId="77777777" w:rsidR="00F25025" w:rsidRDefault="00F25025" w:rsidP="00F25025">
      <w:r>
        <w:t>The ACV noted that safety data suggested a small risk of chorioamnionitis in pregnant women following vaccination with dTpa during pregnancy. This was not associated with adverse maternal, perinatal or natal outcomes. The observations on chorioamnionitis, including the lack of association with adverse outcomes, should be mentioned in the PI.</w:t>
      </w:r>
    </w:p>
    <w:p w14:paraId="5BE11331" w14:textId="77777777" w:rsidR="00F25025" w:rsidRDefault="00F25025" w:rsidP="00F25025">
      <w:pPr>
        <w:pStyle w:val="Heading5"/>
      </w:pPr>
      <w:r>
        <w:t>Other advice</w:t>
      </w:r>
    </w:p>
    <w:p w14:paraId="64AA25AD" w14:textId="77777777" w:rsidR="00F25025" w:rsidRDefault="00F25025" w:rsidP="00F25025">
      <w:r>
        <w:t>The ACV recommended that consideration should be given to emerging literature on closely spaced repeat vaccination in women vaccinated in consecutive pregnancies; possible risks include increase in injection site reactions.</w:t>
      </w:r>
    </w:p>
    <w:p w14:paraId="6E7446BF" w14:textId="77777777" w:rsidR="00456765" w:rsidRPr="00F25025" w:rsidRDefault="00F25025" w:rsidP="008E7846">
      <w:r>
        <w:t xml:space="preserve">At this time there is a disconnection between the presented data on revaccination responses after 5 to 10 years in non-pregnant adults and real-world use where pregnancy is the usual basis for revaccination. Women recommended to receive </w:t>
      </w:r>
      <w:r w:rsidRPr="00270BDB">
        <w:t>the vaccine during each pregnancy will often receive several closely spaced doses of dTpa.</w:t>
      </w:r>
    </w:p>
    <w:p w14:paraId="7DCAF29D" w14:textId="77777777" w:rsidR="008E7846" w:rsidRPr="002E238E" w:rsidRDefault="008E7846" w:rsidP="008E7846">
      <w:pPr>
        <w:pStyle w:val="Heading3"/>
      </w:pPr>
      <w:bookmarkStart w:id="101" w:name="_Toc247691532"/>
      <w:bookmarkStart w:id="102" w:name="_Toc314842516"/>
      <w:bookmarkStart w:id="103" w:name="_Toc36126294"/>
      <w:bookmarkEnd w:id="35"/>
      <w:bookmarkEnd w:id="98"/>
      <w:bookmarkEnd w:id="99"/>
      <w:r>
        <w:t>Outcome</w:t>
      </w:r>
      <w:bookmarkEnd w:id="101"/>
      <w:bookmarkEnd w:id="102"/>
      <w:bookmarkEnd w:id="103"/>
    </w:p>
    <w:p w14:paraId="6DCA5A28" w14:textId="77777777" w:rsidR="00F25025" w:rsidRDefault="00F25025" w:rsidP="00F25025">
      <w:bookmarkStart w:id="104" w:name="_Toc247691533"/>
      <w:bookmarkStart w:id="105" w:name="_Toc314842517"/>
      <w:r w:rsidRPr="00D23139">
        <w:t xml:space="preserve">Based on a review of quality, safety and efficacy, TGA approved </w:t>
      </w:r>
      <w:r w:rsidR="009A471F">
        <w:t>the following extension of indications for</w:t>
      </w:r>
      <w:r>
        <w:t xml:space="preserve"> Adacel containing pertussis vaccine-acellular combined with diphtheria and tetanus toxoids (adsorbed) 0.5mL suspension for injection vial and pre-filled needle-free syringe:</w:t>
      </w:r>
    </w:p>
    <w:p w14:paraId="06F1AABE" w14:textId="77777777" w:rsidR="00F25025" w:rsidRPr="00EC69A0" w:rsidRDefault="00F25025" w:rsidP="00F25025">
      <w:pPr>
        <w:ind w:left="720"/>
        <w:rPr>
          <w:i/>
        </w:rPr>
      </w:pPr>
      <w:r w:rsidRPr="00EC69A0">
        <w:rPr>
          <w:i/>
        </w:rPr>
        <w:lastRenderedPageBreak/>
        <w:t>Adacel may be administered during pregnancy for prevention of pertussis in young infants via transplacental antibody transfer from the pregnant woman to the fetus.</w:t>
      </w:r>
    </w:p>
    <w:p w14:paraId="002FF865" w14:textId="77777777" w:rsidR="00F25025" w:rsidRDefault="00F25025" w:rsidP="00F25025">
      <w:r>
        <w:t>The full indications at this time were thus:</w:t>
      </w:r>
    </w:p>
    <w:p w14:paraId="4B58E51A" w14:textId="77777777" w:rsidR="00F25025" w:rsidRPr="00EC69A0" w:rsidRDefault="00F25025" w:rsidP="00F25025">
      <w:pPr>
        <w:ind w:left="720"/>
        <w:rPr>
          <w:i/>
        </w:rPr>
      </w:pPr>
      <w:r w:rsidRPr="00EC69A0">
        <w:rPr>
          <w:i/>
        </w:rPr>
        <w:t>Adacel is indicated for active immunisation against tetanus, diphtheria and pertussis in persons aged 10 years and over as a booster following primary immunisation.</w:t>
      </w:r>
    </w:p>
    <w:p w14:paraId="2C59E8F2" w14:textId="77777777" w:rsidR="00D23139" w:rsidRDefault="00F25025" w:rsidP="00F25025">
      <w:pPr>
        <w:ind w:left="720"/>
        <w:rPr>
          <w:i/>
        </w:rPr>
      </w:pPr>
      <w:r w:rsidRPr="00EC69A0">
        <w:rPr>
          <w:i/>
        </w:rPr>
        <w:t>Adacel may be administered during pregnancy for prevention of pertussis in young infants via transplacental antibody transfer from the pregnant woman to the fetus.</w:t>
      </w:r>
    </w:p>
    <w:p w14:paraId="104A4D41" w14:textId="77777777" w:rsidR="009A471F" w:rsidRPr="00F25025" w:rsidRDefault="009A471F" w:rsidP="009A471F">
      <w:r>
        <w:t>In addition, the Australian Pregnancy Category for Adacel was changed to Category A.</w:t>
      </w:r>
      <w:r>
        <w:fldChar w:fldCharType="begin"/>
      </w:r>
      <w:r>
        <w:instrText xml:space="preserve"> NOTEREF _Ref34055188 \f \h </w:instrText>
      </w:r>
      <w:r>
        <w:fldChar w:fldCharType="separate"/>
      </w:r>
      <w:r w:rsidRPr="009A471F">
        <w:rPr>
          <w:rStyle w:val="FootnoteReference"/>
        </w:rPr>
        <w:t>10</w:t>
      </w:r>
      <w:r>
        <w:fldChar w:fldCharType="end"/>
      </w:r>
    </w:p>
    <w:p w14:paraId="0D827914" w14:textId="77777777" w:rsidR="00D23139" w:rsidRPr="00D23139" w:rsidRDefault="00D23139" w:rsidP="00D23139">
      <w:pPr>
        <w:pStyle w:val="Heading4"/>
      </w:pPr>
      <w:r w:rsidRPr="00D23139">
        <w:t>Specific conditions of registration applying to these goods</w:t>
      </w:r>
    </w:p>
    <w:p w14:paraId="616BAC29" w14:textId="77777777" w:rsidR="00F25025" w:rsidRDefault="00F25025" w:rsidP="006E7419">
      <w:pPr>
        <w:pStyle w:val="ListBullet"/>
      </w:pPr>
      <w:r>
        <w:t>The Adacel EU-</w:t>
      </w:r>
      <w:r w:rsidR="00590F90">
        <w:t>RMP</w:t>
      </w:r>
      <w:r>
        <w:t xml:space="preserve"> (version 4.0, dated 15 May 2018; DLP 16 March 2017)), with ASA </w:t>
      </w:r>
      <w:r w:rsidR="00590F90">
        <w:t>(</w:t>
      </w:r>
      <w:r>
        <w:t>version 1.0, dated 31 May 2018), included with submission PM-2018-01989-1-2, and any subsequent revisions, as agreed with the TGA will be implemented in Australia.</w:t>
      </w:r>
    </w:p>
    <w:p w14:paraId="7AB88E10" w14:textId="77777777" w:rsidR="00F25025" w:rsidRDefault="00F25025" w:rsidP="00F25025">
      <w:pPr>
        <w:pStyle w:val="ListBullet"/>
        <w:numPr>
          <w:ilvl w:val="0"/>
          <w:numId w:val="0"/>
        </w:numPr>
        <w:ind w:left="360"/>
      </w:pPr>
      <w:r>
        <w:t>An obligatory component of risk management plans is routine pharmacovigilance. Routine pharmacovigilance includes the submission of periodic safety update reports (PSURs).</w:t>
      </w:r>
    </w:p>
    <w:p w14:paraId="152EEE9B" w14:textId="77777777" w:rsidR="009752A5" w:rsidRDefault="00F25025" w:rsidP="00F25025">
      <w:pPr>
        <w:pStyle w:val="ListBullet"/>
        <w:numPr>
          <w:ilvl w:val="0"/>
          <w:numId w:val="0"/>
        </w:numPr>
        <w:ind w:left="360"/>
      </w:pPr>
      <w:r>
        <w:t>Unless agreed separately between the supplier who is the recipient of the approval and the TGA, the first report must be submitted to TGA no later than 15 calendar months after the date of this approval letter. The subsequent reports must be submitted no less frequently than annually from the date of the first submitted report until the period covered by such reports is not less than three years from the date of this approval letter. The annual submission may be made up of two PSURs each covering six months. If the sponsor wishes, the six monthly reports may be submitted separately as they become available.</w:t>
      </w:r>
    </w:p>
    <w:p w14:paraId="44846E46" w14:textId="77777777" w:rsidR="00F25025" w:rsidRPr="00F25025" w:rsidRDefault="00F25025" w:rsidP="006E7419">
      <w:pPr>
        <w:pStyle w:val="ListBullet"/>
      </w:pPr>
      <w:r>
        <w:t>For all injectable products the Product Information must be included with the product as a package insert.</w:t>
      </w:r>
    </w:p>
    <w:p w14:paraId="27875596" w14:textId="77777777" w:rsidR="008E7846" w:rsidRDefault="00A80B5B" w:rsidP="00D23139">
      <w:pPr>
        <w:pStyle w:val="Heading2"/>
      </w:pPr>
      <w:bookmarkStart w:id="106" w:name="_Toc36126295"/>
      <w:r>
        <w:t xml:space="preserve">Attachment 1. </w:t>
      </w:r>
      <w:r w:rsidR="008E7846">
        <w:t xml:space="preserve">Product </w:t>
      </w:r>
      <w:r w:rsidR="00AA0ED0">
        <w:t>I</w:t>
      </w:r>
      <w:r w:rsidR="008E7846">
        <w:t>nformation</w:t>
      </w:r>
      <w:bookmarkEnd w:id="104"/>
      <w:bookmarkEnd w:id="105"/>
      <w:bookmarkEnd w:id="106"/>
    </w:p>
    <w:p w14:paraId="0DEB3363" w14:textId="77777777" w:rsidR="00770CAC" w:rsidRPr="00CD4EAC" w:rsidRDefault="006136D7" w:rsidP="00CD4EAC">
      <w:pPr>
        <w:rPr>
          <w:color w:val="000000"/>
          <w:lang w:eastAsia="en-AU"/>
        </w:rPr>
      </w:pPr>
      <w:r w:rsidRPr="002B3624">
        <w:t xml:space="preserve">The </w:t>
      </w:r>
      <w:r>
        <w:t>PI</w:t>
      </w:r>
      <w:r w:rsidRPr="002B3624">
        <w:t xml:space="preserve"> for </w:t>
      </w:r>
      <w:r w:rsidR="00F25025" w:rsidRPr="0021496C">
        <w:t>Adacel</w:t>
      </w:r>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44" w:history="1">
        <w:r w:rsidR="007C6B9B" w:rsidRPr="007C6B9B">
          <w:rPr>
            <w:rStyle w:val="Hyperlink"/>
          </w:rPr>
          <w:t>https://www.tga.gov.au/product-information-pi</w:t>
        </w:r>
      </w:hyperlink>
      <w:r w:rsidR="007C6B9B" w:rsidRPr="007C6B9B">
        <w:t>&gt;.</w:t>
      </w:r>
    </w:p>
    <w:p w14:paraId="131F12EB" w14:textId="77777777" w:rsidR="00291957" w:rsidRDefault="00291957" w:rsidP="00291957">
      <w:pPr>
        <w:rPr>
          <w:lang w:eastAsia="ja-JP"/>
        </w:rPr>
      </w:pPr>
    </w:p>
    <w:p w14:paraId="2A256C75" w14:textId="77777777" w:rsidR="00C80137" w:rsidRPr="001D043B" w:rsidRDefault="00C80137" w:rsidP="003A7F6C">
      <w:pPr>
        <w:pStyle w:val="TableTitle"/>
        <w:sectPr w:rsidR="00C80137" w:rsidRPr="001D043B" w:rsidSect="00B452CE">
          <w:headerReference w:type="even" r:id="rId45"/>
          <w:headerReference w:type="default" r:id="rId46"/>
          <w:headerReference w:type="first" r:id="rId47"/>
          <w:footerReference w:type="first" r:id="rId48"/>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409A2C80" w14:textId="77777777" w:rsidTr="00A05FA4">
        <w:trPr>
          <w:trHeight w:hRule="exact" w:val="704"/>
        </w:trPr>
        <w:tc>
          <w:tcPr>
            <w:tcW w:w="9175" w:type="dxa"/>
          </w:tcPr>
          <w:p w14:paraId="78BE88FC" w14:textId="77777777" w:rsidR="001C32CD" w:rsidRPr="00487162" w:rsidRDefault="001C32CD" w:rsidP="00A05FA4">
            <w:pPr>
              <w:pStyle w:val="TGASignoff"/>
            </w:pPr>
            <w:r w:rsidRPr="00487162">
              <w:lastRenderedPageBreak/>
              <w:t>Therapeutic Goods Administration</w:t>
            </w:r>
          </w:p>
        </w:tc>
      </w:tr>
      <w:tr w:rsidR="001C32CD" w:rsidRPr="004C239D" w14:paraId="03610058" w14:textId="77777777" w:rsidTr="00A05FA4">
        <w:trPr>
          <w:trHeight w:val="1221"/>
        </w:trPr>
        <w:tc>
          <w:tcPr>
            <w:tcW w:w="9175" w:type="dxa"/>
            <w:tcMar>
              <w:top w:w="28" w:type="dxa"/>
            </w:tcMar>
          </w:tcPr>
          <w:p w14:paraId="75A9F533" w14:textId="77777777" w:rsidR="001C32CD" w:rsidRPr="00487162" w:rsidRDefault="001C32CD" w:rsidP="00A05FA4">
            <w:pPr>
              <w:pStyle w:val="Address"/>
            </w:pPr>
            <w:r w:rsidRPr="00487162">
              <w:t>PO Box 100 Woden ACT 2606 Australia</w:t>
            </w:r>
          </w:p>
          <w:p w14:paraId="1430A967" w14:textId="77777777" w:rsidR="001C32CD" w:rsidRPr="00487162" w:rsidRDefault="001C32CD" w:rsidP="00A05FA4">
            <w:pPr>
              <w:pStyle w:val="Address"/>
            </w:pPr>
            <w:r w:rsidRPr="00487162">
              <w:t xml:space="preserve">Email: </w:t>
            </w:r>
            <w:hyperlink r:id="rId49" w:history="1">
              <w:r w:rsidRPr="004C239D">
                <w:rPr>
                  <w:rStyle w:val="Hyperlink"/>
                </w:rPr>
                <w:t>info@tga.gov.au</w:t>
              </w:r>
            </w:hyperlink>
            <w:r w:rsidRPr="00487162">
              <w:t xml:space="preserve">  Phone: 1800 020 653  Fax: 02 6232 8605</w:t>
            </w:r>
          </w:p>
          <w:p w14:paraId="29DFA245" w14:textId="77777777" w:rsidR="001C32CD" w:rsidRPr="004C239D" w:rsidRDefault="006E7419" w:rsidP="00A05FA4">
            <w:pPr>
              <w:pStyle w:val="Address"/>
              <w:spacing w:line="260" w:lineRule="atLeast"/>
              <w:rPr>
                <w:b/>
                <w:color w:val="0000FF"/>
                <w:u w:val="single"/>
              </w:rPr>
            </w:pPr>
            <w:hyperlink r:id="rId50" w:history="1">
              <w:r w:rsidR="007C6B9B" w:rsidRPr="007C6B9B">
                <w:rPr>
                  <w:rStyle w:val="Hyperlink"/>
                  <w:b/>
                </w:rPr>
                <w:t>https://www.tga.gov.au</w:t>
              </w:r>
            </w:hyperlink>
          </w:p>
        </w:tc>
      </w:tr>
    </w:tbl>
    <w:p w14:paraId="3B56EA30" w14:textId="77777777" w:rsidR="00774E1D" w:rsidRPr="008A5E0B" w:rsidRDefault="00774E1D" w:rsidP="004C239D"/>
    <w:sectPr w:rsidR="00774E1D" w:rsidRPr="008A5E0B" w:rsidSect="001C32CD">
      <w:headerReference w:type="even" r:id="rId51"/>
      <w:headerReference w:type="default" r:id="rId52"/>
      <w:footerReference w:type="default" r:id="rId53"/>
      <w:headerReference w:type="first" r:id="rId54"/>
      <w:footerReference w:type="first" r:id="rId55"/>
      <w:pgSz w:w="11906" w:h="16838" w:code="9"/>
      <w:pgMar w:top="13467" w:right="1701" w:bottom="426" w:left="1701" w:header="907" w:footer="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81F3BE1" w16cid:durableId="221211F7"/>
  <w16cid:commentId w16cid:paraId="714900A6" w16cid:durableId="2212127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92D902" w14:textId="77777777" w:rsidR="00F829F5" w:rsidRDefault="00F829F5" w:rsidP="00C40A36">
      <w:pPr>
        <w:spacing w:after="0"/>
      </w:pPr>
      <w:r>
        <w:separator/>
      </w:r>
    </w:p>
  </w:endnote>
  <w:endnote w:type="continuationSeparator" w:id="0">
    <w:p w14:paraId="440952A0" w14:textId="77777777" w:rsidR="00F829F5" w:rsidRDefault="00F829F5"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2AFF" w:usb1="4000ACFF" w:usb2="00000009" w:usb3="00000000" w:csb0="000001FF" w:csb1="00000000"/>
  </w:font>
  <w:font w:name="PMingLiU">
    <w:altName w:val="新細明體"/>
    <w:panose1 w:val="02020500000000000000"/>
    <w:charset w:val="88"/>
    <w:family w:val="roman"/>
    <w:pitch w:val="variable"/>
    <w:sig w:usb0="A00002FF" w:usb1="2A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9070000" w:usb2="00000010" w:usb3="00000000" w:csb0="000A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5C2EC" w14:textId="77777777" w:rsidR="006E7419" w:rsidRDefault="006E74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F829F5" w:rsidRPr="00487162" w14:paraId="051E7A0A" w14:textId="77777777" w:rsidTr="00DB750B">
      <w:trPr>
        <w:trHeight w:val="269"/>
      </w:trPr>
      <w:tc>
        <w:tcPr>
          <w:tcW w:w="7371" w:type="dxa"/>
          <w:tcMar>
            <w:top w:w="142" w:type="dxa"/>
            <w:bottom w:w="0" w:type="dxa"/>
          </w:tcMar>
        </w:tcPr>
        <w:p w14:paraId="1B294B29" w14:textId="77D46EDC" w:rsidR="00F829F5" w:rsidRPr="00487162" w:rsidRDefault="00F829F5" w:rsidP="00F829F5">
          <w:pPr>
            <w:pStyle w:val="Footer"/>
          </w:pPr>
          <w:r w:rsidRPr="00487162">
            <w:t>AusPA</w:t>
          </w:r>
          <w:r>
            <w:t xml:space="preserve">R </w:t>
          </w:r>
          <w:r w:rsidRPr="0059183C">
            <w:t>Adacel - Pertussis Vaccine - Acellular combined with Diphtheria and Tetanus Toxoids (Adsorbed) - Sanofi-Aventis Australia Pty Ltd - PM-2018-01989-1-2</w:t>
          </w:r>
          <w:r>
            <w:br/>
            <w:t>FINAL 23 March 2020</w:t>
          </w:r>
        </w:p>
      </w:tc>
      <w:tc>
        <w:tcPr>
          <w:tcW w:w="1490" w:type="dxa"/>
          <w:tcMar>
            <w:top w:w="142" w:type="dxa"/>
            <w:bottom w:w="0" w:type="dxa"/>
          </w:tcMar>
        </w:tcPr>
        <w:p w14:paraId="1A352D7B" w14:textId="6B0C0027" w:rsidR="00F829F5" w:rsidRPr="00487162" w:rsidRDefault="00F829F5" w:rsidP="00DB750B">
          <w:pPr>
            <w:pStyle w:val="Footer"/>
            <w:jc w:val="right"/>
          </w:pPr>
          <w:r w:rsidRPr="00487162">
            <w:t xml:space="preserve">Page </w:t>
          </w:r>
          <w:r>
            <w:fldChar w:fldCharType="begin"/>
          </w:r>
          <w:r>
            <w:instrText xml:space="preserve"> PAGE  \* Arabic </w:instrText>
          </w:r>
          <w:r>
            <w:fldChar w:fldCharType="separate"/>
          </w:r>
          <w:r w:rsidR="006E7419">
            <w:rPr>
              <w:noProof/>
            </w:rPr>
            <w:t>3</w:t>
          </w:r>
          <w:r>
            <w:fldChar w:fldCharType="end"/>
          </w:r>
          <w:r w:rsidRPr="00487162">
            <w:t xml:space="preserve"> of </w:t>
          </w:r>
          <w:r w:rsidR="006E7419">
            <w:fldChar w:fldCharType="begin"/>
          </w:r>
          <w:r w:rsidR="006E7419">
            <w:instrText xml:space="preserve"> NUMPAGES  \* Arabic </w:instrText>
          </w:r>
          <w:r w:rsidR="006E7419">
            <w:fldChar w:fldCharType="separate"/>
          </w:r>
          <w:r w:rsidR="006E7419">
            <w:rPr>
              <w:noProof/>
            </w:rPr>
            <w:t>33</w:t>
          </w:r>
          <w:r w:rsidR="006E7419">
            <w:rPr>
              <w:noProof/>
            </w:rPr>
            <w:fldChar w:fldCharType="end"/>
          </w:r>
        </w:p>
      </w:tc>
    </w:tr>
  </w:tbl>
  <w:p w14:paraId="7D3C8781" w14:textId="77777777" w:rsidR="00F829F5" w:rsidRDefault="00F829F5"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38D016" w14:textId="77777777" w:rsidR="006E7419" w:rsidRDefault="006E741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F829F5" w:rsidRPr="00487162" w14:paraId="556A6B22" w14:textId="77777777" w:rsidTr="00E45619">
      <w:trPr>
        <w:trHeight w:val="269"/>
      </w:trPr>
      <w:tc>
        <w:tcPr>
          <w:tcW w:w="4519" w:type="dxa"/>
          <w:tcBorders>
            <w:top w:val="single" w:sz="4" w:space="0" w:color="auto"/>
          </w:tcBorders>
          <w:tcMar>
            <w:top w:w="142" w:type="dxa"/>
            <w:bottom w:w="0" w:type="dxa"/>
          </w:tcMar>
        </w:tcPr>
        <w:p w14:paraId="78E2215F" w14:textId="77777777" w:rsidR="00F829F5" w:rsidRPr="00487162" w:rsidRDefault="00F829F5" w:rsidP="00FE1DEE">
          <w:pPr>
            <w:pStyle w:val="Footer"/>
          </w:pPr>
          <w:r w:rsidRPr="00487162">
            <w:t>Document title, Part #, Section # - Section title</w:t>
          </w:r>
        </w:p>
        <w:p w14:paraId="16271F31" w14:textId="77777777" w:rsidR="00F829F5" w:rsidRPr="00487162" w:rsidRDefault="00F829F5" w:rsidP="00FE1DEE">
          <w:pPr>
            <w:pStyle w:val="Footer"/>
          </w:pPr>
          <w:r w:rsidRPr="00487162">
            <w:t>V1.0 October 2010</w:t>
          </w:r>
        </w:p>
      </w:tc>
      <w:tc>
        <w:tcPr>
          <w:tcW w:w="4342" w:type="dxa"/>
          <w:tcBorders>
            <w:top w:val="single" w:sz="4" w:space="0" w:color="auto"/>
          </w:tcBorders>
          <w:tcMar>
            <w:top w:w="142" w:type="dxa"/>
            <w:bottom w:w="0" w:type="dxa"/>
          </w:tcMar>
        </w:tcPr>
        <w:p w14:paraId="75E46101" w14:textId="77777777" w:rsidR="00F829F5" w:rsidRPr="00487162" w:rsidRDefault="00F829F5"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6E7419">
            <w:fldChar w:fldCharType="begin"/>
          </w:r>
          <w:r w:rsidR="006E7419">
            <w:instrText xml:space="preserve"> NUMPAGES  </w:instrText>
          </w:r>
          <w:r w:rsidR="006E7419">
            <w:fldChar w:fldCharType="separate"/>
          </w:r>
          <w:r>
            <w:rPr>
              <w:noProof/>
            </w:rPr>
            <w:t>3</w:t>
          </w:r>
          <w:r w:rsidR="006E7419">
            <w:rPr>
              <w:noProof/>
            </w:rPr>
            <w:fldChar w:fldCharType="end"/>
          </w:r>
        </w:p>
      </w:tc>
    </w:tr>
  </w:tbl>
  <w:p w14:paraId="6E9CD648" w14:textId="77777777" w:rsidR="00F829F5" w:rsidRDefault="00F829F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54FF45" w14:textId="77777777" w:rsidR="00F829F5" w:rsidRPr="001C32CD" w:rsidRDefault="00F829F5"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F829F5" w14:paraId="5D83B6B1" w14:textId="77777777" w:rsidTr="0010601F">
      <w:trPr>
        <w:trHeight w:val="108"/>
      </w:trPr>
      <w:tc>
        <w:tcPr>
          <w:tcW w:w="8875" w:type="dxa"/>
          <w:gridSpan w:val="2"/>
          <w:tcBorders>
            <w:bottom w:val="single" w:sz="4" w:space="0" w:color="auto"/>
          </w:tcBorders>
          <w:tcMar>
            <w:right w:w="284" w:type="dxa"/>
          </w:tcMar>
        </w:tcPr>
        <w:p w14:paraId="3F3CD4F5" w14:textId="77777777" w:rsidR="00F829F5" w:rsidRDefault="00F829F5" w:rsidP="006E08B3">
          <w:pPr>
            <w:pStyle w:val="Heading3"/>
          </w:pPr>
          <w:r>
            <w:t>Copyright</w:t>
          </w:r>
        </w:p>
        <w:p w14:paraId="1BC29C57" w14:textId="77777777" w:rsidR="00F829F5" w:rsidRDefault="00F829F5" w:rsidP="006E08B3">
          <w:r>
            <w:rPr>
              <w:rFonts w:cs="Arial"/>
            </w:rPr>
            <w:t>©</w:t>
          </w:r>
          <w:r>
            <w:t xml:space="preserve"> Commonwealth of Australia [add year]</w:t>
          </w:r>
        </w:p>
        <w:p w14:paraId="13F46736" w14:textId="77777777" w:rsidR="00F829F5" w:rsidRDefault="00F829F5" w:rsidP="006E08B3"/>
        <w:p w14:paraId="22283F89" w14:textId="77777777" w:rsidR="00F829F5" w:rsidRDefault="00F829F5"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7D1A3818" w14:textId="77777777" w:rsidR="00F829F5" w:rsidRDefault="00F829F5" w:rsidP="006E08B3"/>
        <w:p w14:paraId="71E6DBF0" w14:textId="77777777" w:rsidR="00F829F5" w:rsidRDefault="00F829F5" w:rsidP="006E08B3">
          <w:pPr>
            <w:pStyle w:val="Heading3"/>
          </w:pPr>
          <w:r>
            <w:t>Confidentiality</w:t>
          </w:r>
        </w:p>
        <w:p w14:paraId="409083B1" w14:textId="77777777" w:rsidR="00F829F5" w:rsidRDefault="00F829F5"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031900BC" w14:textId="77777777" w:rsidR="00F829F5" w:rsidRDefault="00F829F5" w:rsidP="006E08B3"/>
        <w:p w14:paraId="713DE132" w14:textId="77777777" w:rsidR="00F829F5" w:rsidRDefault="00F829F5" w:rsidP="006E08B3">
          <w:r>
            <w:t>For submission made by individuals, all personal details, other than your name, will be removed from your submission before it is published on the TGA’s Internet site.</w:t>
          </w:r>
        </w:p>
        <w:p w14:paraId="6DF51E25" w14:textId="77777777" w:rsidR="00F829F5" w:rsidRDefault="00F829F5" w:rsidP="006E08B3"/>
        <w:p w14:paraId="6F926042" w14:textId="77777777" w:rsidR="00F829F5" w:rsidRDefault="00F829F5" w:rsidP="006E08B3">
          <w:r>
            <w:t>In addition, a list of parties making submissions will be published. If you do not wish to be identified with your submission you must specifically request this in the space provided ib the submission coversheet.</w:t>
          </w:r>
        </w:p>
      </w:tc>
    </w:tr>
    <w:tr w:rsidR="00F829F5" w14:paraId="43CADC09" w14:textId="77777777" w:rsidTr="0010601F">
      <w:trPr>
        <w:trHeight w:val="417"/>
      </w:trPr>
      <w:tc>
        <w:tcPr>
          <w:tcW w:w="4519" w:type="dxa"/>
          <w:tcBorders>
            <w:top w:val="single" w:sz="4" w:space="0" w:color="auto"/>
          </w:tcBorders>
          <w:tcMar>
            <w:top w:w="142" w:type="dxa"/>
            <w:bottom w:w="0" w:type="dxa"/>
          </w:tcMar>
        </w:tcPr>
        <w:p w14:paraId="210481BD" w14:textId="77777777" w:rsidR="00F829F5" w:rsidRDefault="00F829F5" w:rsidP="006E08B3">
          <w:r>
            <w:t>Document title, Part #, Section # - Section title</w:t>
          </w:r>
        </w:p>
        <w:p w14:paraId="44F1F68B" w14:textId="77777777" w:rsidR="00F829F5" w:rsidRDefault="00F829F5" w:rsidP="006E08B3">
          <w:r>
            <w:t>V1.0 October 2010</w:t>
          </w:r>
        </w:p>
      </w:tc>
      <w:tc>
        <w:tcPr>
          <w:tcW w:w="4356" w:type="dxa"/>
          <w:tcBorders>
            <w:top w:val="single" w:sz="4" w:space="0" w:color="auto"/>
          </w:tcBorders>
          <w:tcMar>
            <w:top w:w="142" w:type="dxa"/>
            <w:bottom w:w="0" w:type="dxa"/>
          </w:tcMar>
        </w:tcPr>
        <w:p w14:paraId="118C05E5" w14:textId="77777777" w:rsidR="00F829F5" w:rsidRDefault="00F829F5"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6E7419">
            <w:fldChar w:fldCharType="begin"/>
          </w:r>
          <w:r w:rsidR="006E7419">
            <w:instrText xml:space="preserve"> NUMPAGES  \* Arabic </w:instrText>
          </w:r>
          <w:r w:rsidR="006E7419">
            <w:fldChar w:fldCharType="separate"/>
          </w:r>
          <w:r>
            <w:rPr>
              <w:noProof/>
            </w:rPr>
            <w:t>3</w:t>
          </w:r>
          <w:r w:rsidR="006E7419">
            <w:rPr>
              <w:noProof/>
            </w:rPr>
            <w:fldChar w:fldCharType="end"/>
          </w:r>
          <w:r>
            <w:t xml:space="preserve">  </w:t>
          </w:r>
        </w:p>
      </w:tc>
    </w:tr>
  </w:tbl>
  <w:p w14:paraId="586827CD" w14:textId="77777777" w:rsidR="00F829F5" w:rsidRDefault="00F829F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45AF0A" w14:textId="77777777" w:rsidR="00F829F5" w:rsidRDefault="00F829F5" w:rsidP="00C40A36">
      <w:pPr>
        <w:spacing w:after="0"/>
      </w:pPr>
      <w:r>
        <w:separator/>
      </w:r>
    </w:p>
  </w:footnote>
  <w:footnote w:type="continuationSeparator" w:id="0">
    <w:p w14:paraId="2D9094F0" w14:textId="77777777" w:rsidR="00F829F5" w:rsidRDefault="00F829F5" w:rsidP="00C40A36">
      <w:pPr>
        <w:spacing w:after="0"/>
      </w:pPr>
      <w:r>
        <w:continuationSeparator/>
      </w:r>
    </w:p>
  </w:footnote>
  <w:footnote w:id="1">
    <w:p w14:paraId="492EB9C8" w14:textId="77777777" w:rsidR="00F829F5" w:rsidRPr="005177FC" w:rsidRDefault="00F829F5" w:rsidP="00EE1903">
      <w:pPr>
        <w:pStyle w:val="FootnoteText"/>
        <w:rPr>
          <w:lang w:val="en-GB"/>
        </w:rPr>
      </w:pPr>
      <w:r>
        <w:rPr>
          <w:rStyle w:val="FootnoteReference"/>
        </w:rPr>
        <w:footnoteRef/>
      </w:r>
      <w:r>
        <w:t xml:space="preserve"> Yeung, K. </w:t>
      </w:r>
      <w:r w:rsidRPr="005177FC">
        <w:t xml:space="preserve">et al. </w:t>
      </w:r>
      <w:r>
        <w:t xml:space="preserve">(2017). </w:t>
      </w:r>
      <w:r w:rsidRPr="005177FC">
        <w:t>An update of the global burden of pertussis in children younger than 5 years: A modelling study</w:t>
      </w:r>
      <w:r w:rsidRPr="00FD4695">
        <w:rPr>
          <w:i/>
        </w:rPr>
        <w:t>. Lancet Infect Dis</w:t>
      </w:r>
      <w:r w:rsidRPr="005177FC">
        <w:t>. 2017;</w:t>
      </w:r>
      <w:r>
        <w:t xml:space="preserve"> 17</w:t>
      </w:r>
      <w:r w:rsidRPr="005177FC">
        <w:t>:</w:t>
      </w:r>
      <w:r>
        <w:t xml:space="preserve"> </w:t>
      </w:r>
      <w:r w:rsidRPr="005177FC">
        <w:t>974-</w:t>
      </w:r>
      <w:r>
        <w:t>9</w:t>
      </w:r>
      <w:r w:rsidRPr="005177FC">
        <w:t>80.</w:t>
      </w:r>
    </w:p>
  </w:footnote>
  <w:footnote w:id="2">
    <w:p w14:paraId="209A1596" w14:textId="77777777" w:rsidR="00F829F5" w:rsidRPr="005177FC" w:rsidRDefault="00F829F5" w:rsidP="00EE1903">
      <w:pPr>
        <w:pStyle w:val="FootnoteText"/>
        <w:rPr>
          <w:lang w:val="en-GB"/>
        </w:rPr>
      </w:pPr>
      <w:r>
        <w:rPr>
          <w:rStyle w:val="FootnoteReference"/>
        </w:rPr>
        <w:footnoteRef/>
      </w:r>
      <w:r>
        <w:t xml:space="preserve"> </w:t>
      </w:r>
      <w:r w:rsidRPr="005177FC">
        <w:t>National Notifiable Diseases Surveillance System. Australian Government Department</w:t>
      </w:r>
      <w:r>
        <w:t xml:space="preserve"> of Health Web site. http://www</w:t>
      </w:r>
      <w:r w:rsidRPr="005177FC">
        <w:t>.health.gov.au/cda/source/cda-index.cfm. Accessed October 23, 2017.</w:t>
      </w:r>
    </w:p>
  </w:footnote>
  <w:footnote w:id="3">
    <w:p w14:paraId="523ACC7F" w14:textId="77777777" w:rsidR="00F829F5" w:rsidRPr="005177FC" w:rsidRDefault="00F829F5" w:rsidP="00EE1903">
      <w:pPr>
        <w:pStyle w:val="FootnoteText"/>
        <w:rPr>
          <w:lang w:val="en-GB"/>
        </w:rPr>
      </w:pPr>
      <w:r>
        <w:rPr>
          <w:rStyle w:val="FootnoteReference"/>
        </w:rPr>
        <w:footnoteRef/>
      </w:r>
      <w:r>
        <w:t xml:space="preserve"> Pillsbury, A., Quinn, H. and McIntyre, P</w:t>
      </w:r>
      <w:r w:rsidRPr="005177FC">
        <w:t>.</w:t>
      </w:r>
      <w:r>
        <w:t xml:space="preserve"> (2014).</w:t>
      </w:r>
      <w:r w:rsidRPr="005177FC">
        <w:t xml:space="preserve"> Australian vaccine preventable disease epidemiological review series: Pertussis, 2006-2012. </w:t>
      </w:r>
      <w:r w:rsidRPr="00FD4695">
        <w:rPr>
          <w:i/>
        </w:rPr>
        <w:t>Commun Dis Intell</w:t>
      </w:r>
      <w:r w:rsidRPr="005177FC">
        <w:t>. 2014;</w:t>
      </w:r>
      <w:r>
        <w:t xml:space="preserve"> 38</w:t>
      </w:r>
      <w:r w:rsidRPr="005177FC">
        <w:t>:</w:t>
      </w:r>
      <w:r>
        <w:t xml:space="preserve"> </w:t>
      </w:r>
      <w:r w:rsidRPr="005177FC">
        <w:t>E179-</w:t>
      </w:r>
      <w:r>
        <w:t>1</w:t>
      </w:r>
      <w:r w:rsidRPr="005177FC">
        <w:t>94.</w:t>
      </w:r>
    </w:p>
  </w:footnote>
  <w:footnote w:id="4">
    <w:p w14:paraId="34C3F609" w14:textId="77777777" w:rsidR="00F829F5" w:rsidRPr="00AA3EFC" w:rsidRDefault="00F829F5" w:rsidP="00F8651F">
      <w:pPr>
        <w:pStyle w:val="FootnoteText"/>
        <w:rPr>
          <w:lang w:val="en-GB"/>
        </w:rPr>
      </w:pPr>
      <w:r>
        <w:rPr>
          <w:rStyle w:val="FootnoteReference"/>
        </w:rPr>
        <w:footnoteRef/>
      </w:r>
      <w:r>
        <w:t xml:space="preserve"> </w:t>
      </w:r>
      <w:r w:rsidRPr="00AA3EFC">
        <w:t>The acronym DTPa, using capital letters, signifies child formulations of diphtheria, tetanus and acellular pertussis-containing vaccines. The acronym dTpa is used for formulations that contain substantially lesser amounts of diphtheria toxoid and pertussis antigens and are usually used in adolescents and adults.</w:t>
      </w:r>
    </w:p>
  </w:footnote>
  <w:footnote w:id="5">
    <w:p w14:paraId="7CCB6759" w14:textId="349DDF02" w:rsidR="00F829F5" w:rsidRPr="00F829F5" w:rsidRDefault="00F829F5">
      <w:pPr>
        <w:pStyle w:val="FootnoteText"/>
        <w:rPr>
          <w:lang w:val="en-GB"/>
        </w:rPr>
      </w:pPr>
      <w:r>
        <w:rPr>
          <w:rStyle w:val="FootnoteReference"/>
        </w:rPr>
        <w:footnoteRef/>
      </w:r>
      <w:r>
        <w:t xml:space="preserve"> </w:t>
      </w:r>
      <w:r>
        <w:rPr>
          <w:lang w:val="en-GB"/>
        </w:rPr>
        <w:t>Note, the acronyms DTPa and dTpa are used throughout this document; however, in some tables and figures, the acronym TDaP and Tdap are used. TDaP is synonymous with DTPa, and Tdap is synonymous with dTpa.</w:t>
      </w:r>
    </w:p>
  </w:footnote>
  <w:footnote w:id="6">
    <w:p w14:paraId="5CC27F33" w14:textId="77777777" w:rsidR="00F829F5" w:rsidRPr="00841FEF" w:rsidRDefault="00F829F5" w:rsidP="00F8651F">
      <w:pPr>
        <w:pStyle w:val="FootnoteText"/>
        <w:rPr>
          <w:lang w:val="en-GB"/>
        </w:rPr>
      </w:pPr>
      <w:r>
        <w:rPr>
          <w:rStyle w:val="FootnoteReference"/>
        </w:rPr>
        <w:footnoteRef/>
      </w:r>
      <w:r>
        <w:t xml:space="preserve"> World Health Organization</w:t>
      </w:r>
      <w:r w:rsidRPr="00841FEF">
        <w:t xml:space="preserve"> </w:t>
      </w:r>
      <w:r>
        <w:t xml:space="preserve">(2015), </w:t>
      </w:r>
      <w:r w:rsidRPr="00841FEF">
        <w:t xml:space="preserve">Pertussis vaccines: WHO </w:t>
      </w:r>
      <w:r>
        <w:t xml:space="preserve">position paper - September 2015. </w:t>
      </w:r>
      <w:r w:rsidRPr="002B488A">
        <w:rPr>
          <w:i/>
        </w:rPr>
        <w:t>Wkly Epidemiol</w:t>
      </w:r>
      <w:r>
        <w:t>, 2015; 90</w:t>
      </w:r>
      <w:r w:rsidRPr="00841FEF">
        <w:t>:</w:t>
      </w:r>
      <w:r>
        <w:t xml:space="preserve"> </w:t>
      </w:r>
      <w:r w:rsidRPr="00841FEF">
        <w:t>433-</w:t>
      </w:r>
      <w:r>
        <w:t>4</w:t>
      </w:r>
      <w:r w:rsidRPr="00841FEF">
        <w:t>58</w:t>
      </w:r>
      <w:r>
        <w:t>.</w:t>
      </w:r>
    </w:p>
  </w:footnote>
  <w:footnote w:id="7">
    <w:p w14:paraId="2C96AFC1" w14:textId="77777777" w:rsidR="00F829F5" w:rsidRPr="00906F7E" w:rsidRDefault="00F829F5" w:rsidP="00F8651F">
      <w:pPr>
        <w:pStyle w:val="FootnoteText"/>
        <w:rPr>
          <w:lang w:val="en-GB"/>
        </w:rPr>
      </w:pPr>
      <w:r>
        <w:rPr>
          <w:rStyle w:val="FootnoteReference"/>
        </w:rPr>
        <w:footnoteRef/>
      </w:r>
      <w:r>
        <w:t xml:space="preserve"> </w:t>
      </w:r>
      <w:r w:rsidRPr="00906F7E">
        <w:t>Australian Technical Advisory Group on Immunisation (ATAGI). The Australian immunisation handbook 10th ed (2017 update). Canberra: Australian Government Department of Health, 2017.</w:t>
      </w:r>
    </w:p>
  </w:footnote>
  <w:footnote w:id="8">
    <w:p w14:paraId="2BE14BFE" w14:textId="77777777" w:rsidR="00F829F5" w:rsidRPr="001873FE" w:rsidRDefault="00F829F5" w:rsidP="00285C78">
      <w:pPr>
        <w:pStyle w:val="FootnoteText"/>
        <w:rPr>
          <w:lang w:val="en-GB"/>
        </w:rPr>
      </w:pPr>
      <w:r>
        <w:rPr>
          <w:rStyle w:val="FootnoteReference"/>
        </w:rPr>
        <w:footnoteRef/>
      </w:r>
      <w:r>
        <w:t xml:space="preserve"> </w:t>
      </w:r>
      <w:r>
        <w:rPr>
          <w:lang w:val="en-GB"/>
        </w:rPr>
        <w:t xml:space="preserve">Pregnancy Category B1: </w:t>
      </w:r>
      <w:r w:rsidRPr="001873FE">
        <w:rPr>
          <w:lang w:val="en-GB"/>
        </w:rPr>
        <w:t>Drugs which have been taken by only a limited number of pregnant women and women of childbearing age, without an increase in the frequency of malformation or other direct or indirect harmful effects on the hu</w:t>
      </w:r>
      <w:r>
        <w:rPr>
          <w:lang w:val="en-GB"/>
        </w:rPr>
        <w:t xml:space="preserve">man fetus having been observed. </w:t>
      </w:r>
      <w:r w:rsidRPr="001873FE">
        <w:rPr>
          <w:lang w:val="en-GB"/>
        </w:rPr>
        <w:t>Studies in animals have not shown evidence of an increased occurrence of fetal damage.</w:t>
      </w:r>
    </w:p>
  </w:footnote>
  <w:footnote w:id="9">
    <w:p w14:paraId="7D2D10AF" w14:textId="6FA158A9" w:rsidR="00F829F5" w:rsidRDefault="00F829F5">
      <w:pPr>
        <w:pStyle w:val="FootnoteText"/>
      </w:pPr>
      <w:r>
        <w:rPr>
          <w:rStyle w:val="FootnoteReference"/>
        </w:rPr>
        <w:footnoteRef/>
      </w:r>
      <w:r>
        <w:t xml:space="preserve"> </w:t>
      </w:r>
      <w:r w:rsidRPr="00D041DD">
        <w:t>Note this submission does not apply to Adacel-Polio</w:t>
      </w:r>
      <w:r>
        <w:t>,</w:t>
      </w:r>
      <w:r w:rsidRPr="00D041DD">
        <w:t xml:space="preserve"> which is approved </w:t>
      </w:r>
      <w:r>
        <w:t>in Australia (</w:t>
      </w:r>
      <w:r w:rsidRPr="00D104AA">
        <w:t>AUST R 106565 and 106576)</w:t>
      </w:r>
      <w:r>
        <w:t xml:space="preserve"> </w:t>
      </w:r>
      <w:r w:rsidRPr="00D041DD">
        <w:t>for boosting from age 4 years and above and similarly has B2 classification.</w:t>
      </w:r>
    </w:p>
  </w:footnote>
  <w:footnote w:id="10">
    <w:p w14:paraId="44E5F95E" w14:textId="77777777" w:rsidR="00F829F5" w:rsidRPr="001873FE" w:rsidRDefault="00F829F5" w:rsidP="00C13240">
      <w:pPr>
        <w:pStyle w:val="FootnoteText"/>
      </w:pPr>
      <w:r>
        <w:rPr>
          <w:rStyle w:val="FootnoteReference"/>
        </w:rPr>
        <w:footnoteRef/>
      </w:r>
      <w:r>
        <w:t xml:space="preserve"> Pregnancy Category B2: Drugs which have been taken by only a limited number of pregnant women and women of childbearing age, without an increase in the frequency of malformation or other direct or indirect harmful effects on the human fetus having been observed. Studies in animals are inadequate or may be lacking, but available data show no evidence of an increased occurrence of fetal damage.</w:t>
      </w:r>
    </w:p>
  </w:footnote>
  <w:footnote w:id="11">
    <w:p w14:paraId="459C654A" w14:textId="77777777" w:rsidR="00F829F5" w:rsidRPr="00AB0BAA" w:rsidRDefault="00F829F5" w:rsidP="00C13240">
      <w:pPr>
        <w:pStyle w:val="FootnoteText"/>
        <w:rPr>
          <w:lang w:val="en-GB"/>
        </w:rPr>
      </w:pPr>
      <w:r>
        <w:rPr>
          <w:rStyle w:val="FootnoteReference"/>
        </w:rPr>
        <w:footnoteRef/>
      </w:r>
      <w:r>
        <w:t xml:space="preserve"> Pregnancy Category A: Drugs which have been taken by a large number of pregnant women and women of childbearing age without any proven increase in the frequency of malformations or other direct or indirect harmful effects on the fetus having been observed.</w:t>
      </w:r>
    </w:p>
  </w:footnote>
  <w:footnote w:id="12">
    <w:p w14:paraId="1BE68F11" w14:textId="77777777" w:rsidR="00F829F5" w:rsidRPr="006D25B5" w:rsidRDefault="00F829F5" w:rsidP="00EE1903">
      <w:pPr>
        <w:pStyle w:val="FootnoteText"/>
      </w:pPr>
      <w:r>
        <w:rPr>
          <w:rStyle w:val="FootnoteReference"/>
        </w:rPr>
        <w:footnoteRef/>
      </w:r>
      <w:r>
        <w:t xml:space="preserve"> Munoz, F. et al. (2014). Safety and immunogenicity of tetanus diphtheria and acellular pertussis (Tdap) immunisation during pregnancy in mothers and infants: a randomised clinical trial. JAMA, 2014; 311:1760‐1769.</w:t>
      </w:r>
    </w:p>
  </w:footnote>
  <w:footnote w:id="13">
    <w:p w14:paraId="770B4814" w14:textId="77777777" w:rsidR="00F829F5" w:rsidRPr="006D25B5" w:rsidRDefault="00F829F5" w:rsidP="00EE1903">
      <w:pPr>
        <w:pStyle w:val="FootnoteText"/>
      </w:pPr>
      <w:r>
        <w:rPr>
          <w:rStyle w:val="FootnoteReference"/>
        </w:rPr>
        <w:footnoteRef/>
      </w:r>
      <w:r>
        <w:t xml:space="preserve"> Villarreal Perez, J. Z. et al. (2017). Randomised clinical trial of the safety and immunogenicity of the Tdap vaccine in pregnant Mexican women. </w:t>
      </w:r>
      <w:r w:rsidRPr="000F3D19">
        <w:rPr>
          <w:i/>
        </w:rPr>
        <w:t>Human Vaccines &amp; Immunotherapeutics</w:t>
      </w:r>
      <w:r>
        <w:t>. 2017; 13: 128–135.</w:t>
      </w:r>
    </w:p>
  </w:footnote>
  <w:footnote w:id="14">
    <w:p w14:paraId="06D91D5B" w14:textId="77777777" w:rsidR="00F829F5" w:rsidRPr="006D25B5" w:rsidRDefault="00F829F5" w:rsidP="00EE1903">
      <w:pPr>
        <w:pStyle w:val="FootnoteText"/>
      </w:pPr>
      <w:r>
        <w:rPr>
          <w:rStyle w:val="FootnoteReference"/>
        </w:rPr>
        <w:footnoteRef/>
      </w:r>
      <w:r>
        <w:t xml:space="preserve"> Halperin S et al. (2018). A Randomised Controlled Trial of the Safety and Immunogenicity of Tetanus, Diphtheria, and Acellular Pertussis Vaccine Immunisation During Pregnancy and Subsequent Infant Immune Response, </w:t>
      </w:r>
      <w:r w:rsidRPr="000F3D19">
        <w:rPr>
          <w:i/>
        </w:rPr>
        <w:t>Clin Infect Dis</w:t>
      </w:r>
      <w:r w:rsidRPr="002B488A">
        <w:t>. 2018</w:t>
      </w:r>
      <w:r>
        <w:t xml:space="preserve">; 67 </w:t>
      </w:r>
      <w:r w:rsidRPr="002B488A">
        <w:t>:1063-1071</w:t>
      </w:r>
      <w:r>
        <w:t>.</w:t>
      </w:r>
    </w:p>
  </w:footnote>
  <w:footnote w:id="15">
    <w:p w14:paraId="5247E9B9" w14:textId="77777777" w:rsidR="00F829F5" w:rsidRPr="006D25B5" w:rsidRDefault="00F829F5" w:rsidP="00EE1903">
      <w:pPr>
        <w:pStyle w:val="FootnoteText"/>
        <w:rPr>
          <w:lang w:val="en-GB"/>
        </w:rPr>
      </w:pPr>
      <w:r>
        <w:rPr>
          <w:rStyle w:val="FootnoteReference"/>
        </w:rPr>
        <w:footnoteRef/>
      </w:r>
      <w:r>
        <w:t xml:space="preserve"> Hoang H </w:t>
      </w:r>
      <w:r w:rsidRPr="006D25B5">
        <w:t xml:space="preserve">et al. </w:t>
      </w:r>
      <w:r>
        <w:t xml:space="preserve">(2016). </w:t>
      </w:r>
      <w:r w:rsidRPr="006D25B5">
        <w:t>Pertussis vaccination during pregnancy in</w:t>
      </w:r>
      <w:r>
        <w:t xml:space="preserve"> </w:t>
      </w:r>
      <w:r w:rsidRPr="006D25B5">
        <w:t>Vietnam: results of a randomised controlled trial Pertussis vaccinat</w:t>
      </w:r>
      <w:r>
        <w:t xml:space="preserve">ion during pregnancy. </w:t>
      </w:r>
      <w:r w:rsidRPr="000F3D19">
        <w:rPr>
          <w:i/>
        </w:rPr>
        <w:t>Vaccine</w:t>
      </w:r>
      <w:r>
        <w:t>,</w:t>
      </w:r>
      <w:r w:rsidRPr="006D25B5">
        <w:t xml:space="preserve"> 2016;</w:t>
      </w:r>
      <w:r>
        <w:t xml:space="preserve"> </w:t>
      </w:r>
      <w:r w:rsidRPr="006D25B5">
        <w:t>34:</w:t>
      </w:r>
      <w:r>
        <w:t xml:space="preserve"> </w:t>
      </w:r>
      <w:r w:rsidRPr="006D25B5">
        <w:t>151-</w:t>
      </w:r>
      <w:r>
        <w:t>15</w:t>
      </w:r>
      <w:r w:rsidRPr="006D25B5">
        <w:t>9.</w:t>
      </w:r>
    </w:p>
  </w:footnote>
  <w:footnote w:id="16">
    <w:p w14:paraId="2BDE4ADB" w14:textId="77777777" w:rsidR="00F829F5" w:rsidRPr="006D25B5" w:rsidRDefault="00F829F5" w:rsidP="00EE1903">
      <w:pPr>
        <w:pStyle w:val="FootnoteText"/>
      </w:pPr>
      <w:r>
        <w:rPr>
          <w:rStyle w:val="FootnoteReference"/>
        </w:rPr>
        <w:footnoteRef/>
      </w:r>
      <w:r>
        <w:t xml:space="preserve"> Healy C et al. (2013). Importance of timing of maternal combined tetanus, diphtheria, and acellular pertussis (Tdap) immunisation and protection of young infants. </w:t>
      </w:r>
      <w:r w:rsidRPr="000F3D19">
        <w:rPr>
          <w:i/>
        </w:rPr>
        <w:t>Clin Infect Dis</w:t>
      </w:r>
      <w:r>
        <w:t>. 2013; 56: 539-544.</w:t>
      </w:r>
    </w:p>
  </w:footnote>
  <w:footnote w:id="17">
    <w:p w14:paraId="09EA7593" w14:textId="77777777" w:rsidR="00F829F5" w:rsidRPr="006D25B5" w:rsidRDefault="00F829F5" w:rsidP="00EE1903">
      <w:pPr>
        <w:pStyle w:val="FootnoteText"/>
      </w:pPr>
      <w:r>
        <w:rPr>
          <w:rStyle w:val="FootnoteReference"/>
        </w:rPr>
        <w:footnoteRef/>
      </w:r>
      <w:r>
        <w:t xml:space="preserve"> Vilajeliu A et al. (2015). PERTU Working Group. Combined tetanus-diphtheria and pertussis vaccine during pregnancy: transfer of maternal pertussis antibodies to the newborn. </w:t>
      </w:r>
      <w:r w:rsidRPr="000F3D19">
        <w:rPr>
          <w:i/>
        </w:rPr>
        <w:t>Vaccine</w:t>
      </w:r>
      <w:r>
        <w:t>. 2015; 33: 1056-1062.</w:t>
      </w:r>
    </w:p>
  </w:footnote>
  <w:footnote w:id="18">
    <w:p w14:paraId="02AD3CDB" w14:textId="77777777" w:rsidR="00F829F5" w:rsidRPr="006D25B5" w:rsidRDefault="00F829F5" w:rsidP="00EE1903">
      <w:pPr>
        <w:pStyle w:val="FootnoteText"/>
      </w:pPr>
      <w:r>
        <w:rPr>
          <w:rStyle w:val="FootnoteReference"/>
        </w:rPr>
        <w:footnoteRef/>
      </w:r>
      <w:r>
        <w:t xml:space="preserve"> Gall S et al. (2011). Maternal immunisation with tetanus-diphtheria-pertussis vaccine: effect on maternal and neonatal serum antibody levels. </w:t>
      </w:r>
      <w:r w:rsidRPr="000F3D19">
        <w:rPr>
          <w:i/>
        </w:rPr>
        <w:t>Amer J Obstet Gynecol</w:t>
      </w:r>
      <w:r>
        <w:t>. 2011; 204: 334.e1-5.</w:t>
      </w:r>
    </w:p>
  </w:footnote>
  <w:footnote w:id="19">
    <w:p w14:paraId="4B0456BB" w14:textId="77777777" w:rsidR="00F829F5" w:rsidRPr="006D25B5" w:rsidRDefault="00F829F5" w:rsidP="00EE1903">
      <w:pPr>
        <w:pStyle w:val="FootnoteText"/>
      </w:pPr>
      <w:r>
        <w:rPr>
          <w:rStyle w:val="FootnoteReference"/>
        </w:rPr>
        <w:footnoteRef/>
      </w:r>
      <w:r>
        <w:t xml:space="preserve"> Fallo A et al. (2016). Prevalence of pertussis antibodies in maternal blood, cord serum, and infants from mothers with and those without tdap booster vaccination during pregnancy in Argentina. </w:t>
      </w:r>
      <w:r w:rsidRPr="000F3D19">
        <w:rPr>
          <w:i/>
        </w:rPr>
        <w:t>J Pediatric Infect Dis Soc</w:t>
      </w:r>
      <w:r>
        <w:t>. 2016; 00: 1-7.</w:t>
      </w:r>
    </w:p>
  </w:footnote>
  <w:footnote w:id="20">
    <w:p w14:paraId="00800E1F" w14:textId="77777777" w:rsidR="00F829F5" w:rsidRPr="006D25B5" w:rsidRDefault="00F829F5" w:rsidP="00EE1903">
      <w:pPr>
        <w:pStyle w:val="FootnoteText"/>
        <w:rPr>
          <w:lang w:val="en-GB"/>
        </w:rPr>
      </w:pPr>
      <w:r>
        <w:rPr>
          <w:rStyle w:val="FootnoteReference"/>
        </w:rPr>
        <w:footnoteRef/>
      </w:r>
      <w:r>
        <w:t xml:space="preserve"> </w:t>
      </w:r>
      <w:r w:rsidRPr="006D25B5">
        <w:t xml:space="preserve">Hardy-Fairbanks A et al. </w:t>
      </w:r>
      <w:r>
        <w:t xml:space="preserve">(2013). </w:t>
      </w:r>
      <w:r w:rsidRPr="006D25B5">
        <w:t xml:space="preserve">Immune responses in infants whose mothers received Tdap vaccine during pregnancy. </w:t>
      </w:r>
      <w:r w:rsidRPr="000F3D19">
        <w:rPr>
          <w:i/>
        </w:rPr>
        <w:t>Pediatr Infect Dis J</w:t>
      </w:r>
      <w:r w:rsidRPr="006D25B5">
        <w:t>. 2013;</w:t>
      </w:r>
      <w:r>
        <w:t xml:space="preserve"> 32</w:t>
      </w:r>
      <w:r w:rsidRPr="006D25B5">
        <w:t>:</w:t>
      </w:r>
      <w:r>
        <w:t xml:space="preserve"> </w:t>
      </w:r>
      <w:r w:rsidRPr="006D25B5">
        <w:t>1257-</w:t>
      </w:r>
      <w:r>
        <w:t>12</w:t>
      </w:r>
      <w:r w:rsidRPr="006D25B5">
        <w:t>60.</w:t>
      </w:r>
    </w:p>
  </w:footnote>
  <w:footnote w:id="21">
    <w:p w14:paraId="4BAA58A2" w14:textId="77777777" w:rsidR="00F829F5" w:rsidRPr="006D25B5" w:rsidRDefault="00F829F5" w:rsidP="00EE1903">
      <w:pPr>
        <w:pStyle w:val="FootnoteText"/>
        <w:rPr>
          <w:lang w:val="en-GB"/>
        </w:rPr>
      </w:pPr>
      <w:r>
        <w:rPr>
          <w:rStyle w:val="FootnoteReference"/>
        </w:rPr>
        <w:footnoteRef/>
      </w:r>
      <w:r>
        <w:t xml:space="preserve"> </w:t>
      </w:r>
      <w:r w:rsidRPr="006D25B5">
        <w:t xml:space="preserve">Maertens K et al. </w:t>
      </w:r>
      <w:r>
        <w:t xml:space="preserve">(2016). </w:t>
      </w:r>
      <w:r w:rsidRPr="006D25B5">
        <w:t xml:space="preserve">The effect of maternal pertussis immunisation on infant vaccine responses to a booster pertussis-containing vaccine in Vietnam. </w:t>
      </w:r>
      <w:r w:rsidRPr="000F3D19">
        <w:rPr>
          <w:i/>
        </w:rPr>
        <w:t>Clin Infect Dis</w:t>
      </w:r>
      <w:r w:rsidRPr="006D25B5">
        <w:t>. 2016;</w:t>
      </w:r>
      <w:r>
        <w:t xml:space="preserve"> 63</w:t>
      </w:r>
      <w:r w:rsidRPr="006D25B5">
        <w:t>:</w:t>
      </w:r>
      <w:r>
        <w:t xml:space="preserve"> </w:t>
      </w:r>
      <w:r w:rsidRPr="006D25B5">
        <w:t>s197-s204.</w:t>
      </w:r>
    </w:p>
  </w:footnote>
  <w:footnote w:id="22">
    <w:p w14:paraId="6117207C" w14:textId="77777777" w:rsidR="00F829F5" w:rsidRPr="006D25B5" w:rsidRDefault="00F829F5" w:rsidP="00EE1903">
      <w:pPr>
        <w:pStyle w:val="FootnoteText"/>
      </w:pPr>
      <w:r>
        <w:rPr>
          <w:rStyle w:val="FootnoteReference"/>
        </w:rPr>
        <w:footnoteRef/>
      </w:r>
      <w:r>
        <w:t xml:space="preserve"> Vilajeliu A et al. (2016). The PERTU Working Group. Pertussis vaccination during pregnancy: antibody persistence in infants. </w:t>
      </w:r>
      <w:r w:rsidRPr="000F3D19">
        <w:rPr>
          <w:i/>
        </w:rPr>
        <w:t>Vaccine</w:t>
      </w:r>
      <w:r>
        <w:t>. 2016; 34: 3719-3722.</w:t>
      </w:r>
    </w:p>
  </w:footnote>
  <w:footnote w:id="23">
    <w:p w14:paraId="4F460DFC" w14:textId="77777777" w:rsidR="00F829F5" w:rsidRPr="006D25B5" w:rsidRDefault="00F829F5" w:rsidP="00EE1903">
      <w:pPr>
        <w:pStyle w:val="FootnoteText"/>
      </w:pPr>
      <w:r>
        <w:rPr>
          <w:rStyle w:val="FootnoteReference"/>
        </w:rPr>
        <w:footnoteRef/>
      </w:r>
      <w:r>
        <w:t xml:space="preserve"> Ladhani S et al. (2015). Antibody responses after primary immunisation in infants born to women receiving a pertussis-containing vaccine during pregnancy: single arm observational study with a historical comparator. </w:t>
      </w:r>
      <w:r w:rsidRPr="000F3D19">
        <w:rPr>
          <w:i/>
        </w:rPr>
        <w:t>Clin Infect Dis</w:t>
      </w:r>
      <w:r>
        <w:t>. 2015; 61: 1637-1644.</w:t>
      </w:r>
    </w:p>
  </w:footnote>
  <w:footnote w:id="24">
    <w:p w14:paraId="4D936DB0" w14:textId="77777777" w:rsidR="00F829F5" w:rsidRPr="006D25B5" w:rsidRDefault="00F829F5" w:rsidP="00EE1903">
      <w:pPr>
        <w:pStyle w:val="FootnoteText"/>
        <w:rPr>
          <w:lang w:val="en-GB"/>
        </w:rPr>
      </w:pPr>
      <w:r>
        <w:rPr>
          <w:rStyle w:val="FootnoteReference"/>
        </w:rPr>
        <w:footnoteRef/>
      </w:r>
      <w:r>
        <w:t xml:space="preserve"> </w:t>
      </w:r>
      <w:r w:rsidRPr="006D25B5">
        <w:t xml:space="preserve">Kent A et al. </w:t>
      </w:r>
      <w:r>
        <w:t xml:space="preserve">(2016). </w:t>
      </w:r>
      <w:r w:rsidRPr="006D25B5">
        <w:t>Pertussis antibody concentrations in infants born prematurely to mothers vaccinated in pr</w:t>
      </w:r>
      <w:r>
        <w:t>egnancy</w:t>
      </w:r>
      <w:r w:rsidRPr="000F3D19">
        <w:rPr>
          <w:i/>
        </w:rPr>
        <w:t>. Pediatrics</w:t>
      </w:r>
      <w:r>
        <w:t>. 2016; 138</w:t>
      </w:r>
      <w:r w:rsidRPr="006D25B5">
        <w:t>:</w:t>
      </w:r>
      <w:r>
        <w:t xml:space="preserve"> </w:t>
      </w:r>
      <w:r w:rsidRPr="006D25B5">
        <w:t>e20153854</w:t>
      </w:r>
    </w:p>
  </w:footnote>
  <w:footnote w:id="25">
    <w:p w14:paraId="2BE3DD6B" w14:textId="77777777" w:rsidR="00F829F5" w:rsidRPr="00CD3162" w:rsidRDefault="00F829F5" w:rsidP="00EE1903">
      <w:pPr>
        <w:pStyle w:val="FootnoteText"/>
      </w:pPr>
      <w:r>
        <w:rPr>
          <w:rStyle w:val="FootnoteReference"/>
        </w:rPr>
        <w:footnoteRef/>
      </w:r>
      <w:r>
        <w:t xml:space="preserve"> Amirthalingam G et al. (2014). Effectiveness of maternal pertussis vaccination in England: an observational study. </w:t>
      </w:r>
      <w:r w:rsidRPr="000F3D19">
        <w:rPr>
          <w:i/>
        </w:rPr>
        <w:t>Lancet</w:t>
      </w:r>
      <w:r>
        <w:t>. 2014; 384: 1521-1528.</w:t>
      </w:r>
    </w:p>
  </w:footnote>
  <w:footnote w:id="26">
    <w:p w14:paraId="5FB21B99" w14:textId="77777777" w:rsidR="00F829F5" w:rsidRPr="00CD3162" w:rsidRDefault="00F829F5" w:rsidP="00EE1903">
      <w:pPr>
        <w:pStyle w:val="FootnoteText"/>
      </w:pPr>
      <w:r>
        <w:rPr>
          <w:rStyle w:val="FootnoteReference"/>
        </w:rPr>
        <w:footnoteRef/>
      </w:r>
      <w:r>
        <w:t xml:space="preserve"> Amirthalingam G et al. (2016). Sustained effectiveness of the Maternal Pertussis Immunisation Program in England 3 years following introduction. </w:t>
      </w:r>
      <w:r w:rsidRPr="000F3D19">
        <w:rPr>
          <w:i/>
        </w:rPr>
        <w:t>Clin Infect Dis</w:t>
      </w:r>
      <w:r>
        <w:t>. 2016; 63: s236-243.</w:t>
      </w:r>
    </w:p>
  </w:footnote>
  <w:footnote w:id="27">
    <w:p w14:paraId="4ED9B298" w14:textId="77777777" w:rsidR="00F829F5" w:rsidRPr="00CD3162" w:rsidRDefault="00F829F5" w:rsidP="00EE1903">
      <w:pPr>
        <w:pStyle w:val="FootnoteText"/>
      </w:pPr>
      <w:r>
        <w:rPr>
          <w:rStyle w:val="FootnoteReference"/>
        </w:rPr>
        <w:footnoteRef/>
      </w:r>
      <w:r>
        <w:t xml:space="preserve"> Baxter R et al. (2017). Effectiveness of vaccination during pregnancy to prevent infant pertussis. </w:t>
      </w:r>
      <w:r w:rsidRPr="000F3D19">
        <w:rPr>
          <w:i/>
        </w:rPr>
        <w:t>Pediatrics</w:t>
      </w:r>
      <w:r>
        <w:t>. 2017; 139: e20164091.</w:t>
      </w:r>
    </w:p>
  </w:footnote>
  <w:footnote w:id="28">
    <w:p w14:paraId="10A54E48" w14:textId="77777777" w:rsidR="00F829F5" w:rsidRPr="00CD3162" w:rsidRDefault="00F829F5" w:rsidP="00EE1903">
      <w:pPr>
        <w:pStyle w:val="FootnoteText"/>
        <w:rPr>
          <w:lang w:val="en-GB"/>
        </w:rPr>
      </w:pPr>
      <w:r>
        <w:rPr>
          <w:rStyle w:val="FootnoteReference"/>
        </w:rPr>
        <w:footnoteRef/>
      </w:r>
      <w:r>
        <w:t xml:space="preserve"> Dabrera G </w:t>
      </w:r>
      <w:r w:rsidRPr="00CD3162">
        <w:t>et al.</w:t>
      </w:r>
      <w:r>
        <w:t>(2015).</w:t>
      </w:r>
      <w:r w:rsidRPr="00CD3162">
        <w:t xml:space="preserve"> A case-control study to estimate the effectiveness of maternal pertussis vaccination in protecting newborn infants in England and Wales, 2012-2013. </w:t>
      </w:r>
      <w:r w:rsidRPr="000F3D19">
        <w:rPr>
          <w:i/>
        </w:rPr>
        <w:t>Clin Infect Dis</w:t>
      </w:r>
      <w:r w:rsidRPr="00CD3162">
        <w:t>. 2015;</w:t>
      </w:r>
      <w:r>
        <w:t xml:space="preserve"> 60</w:t>
      </w:r>
      <w:r w:rsidRPr="00CD3162">
        <w:t>:333-</w:t>
      </w:r>
      <w:r>
        <w:t>33</w:t>
      </w:r>
      <w:r w:rsidRPr="00CD3162">
        <w:t>7.</w:t>
      </w:r>
    </w:p>
  </w:footnote>
  <w:footnote w:id="29">
    <w:p w14:paraId="30B8EA90" w14:textId="77777777" w:rsidR="00F829F5" w:rsidRPr="001D0CB5" w:rsidRDefault="00F829F5" w:rsidP="00EE1903">
      <w:pPr>
        <w:pStyle w:val="FootnoteText"/>
      </w:pPr>
      <w:r>
        <w:rPr>
          <w:rStyle w:val="FootnoteReference"/>
        </w:rPr>
        <w:footnoteRef/>
      </w:r>
      <w:r>
        <w:t xml:space="preserve"> Kharbanda, E. et al. (2016). Maternal Tdap vaccination: Coverage and acute safety outcomes in the vaccine safety datalink, 2007-2013. </w:t>
      </w:r>
      <w:r w:rsidRPr="00E22E65">
        <w:rPr>
          <w:i/>
        </w:rPr>
        <w:t>Vaccine</w:t>
      </w:r>
      <w:r>
        <w:t>. 2016; 34: 968-973.</w:t>
      </w:r>
    </w:p>
  </w:footnote>
  <w:footnote w:id="30">
    <w:p w14:paraId="410B57F3" w14:textId="77777777" w:rsidR="00F829F5" w:rsidRPr="001D0CB5" w:rsidRDefault="00F829F5" w:rsidP="00EE1903">
      <w:pPr>
        <w:pStyle w:val="FootnoteText"/>
      </w:pPr>
      <w:r>
        <w:rPr>
          <w:rStyle w:val="FootnoteReference"/>
        </w:rPr>
        <w:footnoteRef/>
      </w:r>
      <w:r>
        <w:t xml:space="preserve"> Morgan, J. et al. (2015). Pregnancy outcomes after antepartum tetanus, diphtheria, and acellular pertussis vaccination</w:t>
      </w:r>
      <w:r w:rsidRPr="00E22E65">
        <w:rPr>
          <w:i/>
        </w:rPr>
        <w:t>. Obstet Gynecol</w:t>
      </w:r>
      <w:r>
        <w:t>. 2015; 125: 1433-1438.</w:t>
      </w:r>
    </w:p>
  </w:footnote>
  <w:footnote w:id="31">
    <w:p w14:paraId="6B39E39C" w14:textId="77777777" w:rsidR="00F829F5" w:rsidRPr="001D0CB5" w:rsidRDefault="00F829F5" w:rsidP="00EE1903">
      <w:pPr>
        <w:pStyle w:val="FootnoteText"/>
      </w:pPr>
      <w:r>
        <w:rPr>
          <w:rStyle w:val="FootnoteReference"/>
        </w:rPr>
        <w:footnoteRef/>
      </w:r>
      <w:r>
        <w:t xml:space="preserve"> </w:t>
      </w:r>
      <w:r>
        <w:rPr>
          <w:lang w:eastAsia="ja-JP"/>
        </w:rPr>
        <w:t>DeSilva, M. et al. (2017). Maternal Tdap vaccination and risk of infant morbidity</w:t>
      </w:r>
      <w:r w:rsidRPr="00FD7608">
        <w:rPr>
          <w:i/>
          <w:lang w:eastAsia="ja-JP"/>
        </w:rPr>
        <w:t>. Vaccine</w:t>
      </w:r>
      <w:r>
        <w:rPr>
          <w:lang w:eastAsia="ja-JP"/>
        </w:rPr>
        <w:t>. 2017; 35: 3655-3660</w:t>
      </w:r>
      <w:r>
        <w:t>.</w:t>
      </w:r>
    </w:p>
  </w:footnote>
  <w:footnote w:id="32">
    <w:p w14:paraId="26DDCBD0" w14:textId="77777777" w:rsidR="00F829F5" w:rsidRPr="001D0CB5" w:rsidRDefault="00F829F5" w:rsidP="00EE1903">
      <w:pPr>
        <w:pStyle w:val="FootnoteText"/>
      </w:pPr>
      <w:r>
        <w:rPr>
          <w:rStyle w:val="FootnoteReference"/>
        </w:rPr>
        <w:footnoteRef/>
      </w:r>
      <w:r>
        <w:t xml:space="preserve"> Zheteyeva Y et al. (2012). Adverse event reports after tetanus toxoid, reduced diphtheria toxoid, and acellular pertussis vaccines in pregnant women. </w:t>
      </w:r>
      <w:r w:rsidRPr="00F315E3">
        <w:rPr>
          <w:i/>
        </w:rPr>
        <w:t>Am J Obstet Gynecol</w:t>
      </w:r>
      <w:r>
        <w:t>. 2012; 207: 59.e1-7.</w:t>
      </w:r>
    </w:p>
  </w:footnote>
  <w:footnote w:id="33">
    <w:p w14:paraId="25E0B305" w14:textId="77777777" w:rsidR="00F829F5" w:rsidRPr="001D0CB5" w:rsidRDefault="00F829F5" w:rsidP="00EE1903">
      <w:pPr>
        <w:pStyle w:val="FootnoteText"/>
      </w:pPr>
      <w:r>
        <w:rPr>
          <w:rStyle w:val="FootnoteReference"/>
        </w:rPr>
        <w:footnoteRef/>
      </w:r>
      <w:r>
        <w:t xml:space="preserve"> Donegan K, et al. (2014). Safety of pertussis vaccination in pregnant women in UK: observational study. </w:t>
      </w:r>
      <w:r w:rsidRPr="00F315E3">
        <w:rPr>
          <w:i/>
        </w:rPr>
        <w:t>BMJ</w:t>
      </w:r>
      <w:r>
        <w:t>. 2014; 349: g4219.</w:t>
      </w:r>
    </w:p>
  </w:footnote>
  <w:footnote w:id="34">
    <w:p w14:paraId="38409318" w14:textId="77777777" w:rsidR="00F829F5" w:rsidRPr="001D0CB5" w:rsidRDefault="00F829F5" w:rsidP="00EE1903">
      <w:pPr>
        <w:pStyle w:val="FootnoteText"/>
      </w:pPr>
      <w:r>
        <w:rPr>
          <w:rStyle w:val="FootnoteReference"/>
        </w:rPr>
        <w:footnoteRef/>
      </w:r>
      <w:r>
        <w:t xml:space="preserve"> Sukumaran L, et al. (2015). Safety of tetanus toxoid, reduced diphtheria toxoid, and acellular pertussis and influenza vaccinations in pregnancy. </w:t>
      </w:r>
      <w:r w:rsidRPr="00F315E3">
        <w:rPr>
          <w:i/>
        </w:rPr>
        <w:t>Obstet Gynecol</w:t>
      </w:r>
      <w:r>
        <w:t>. 2015; 126: 1069-1074.</w:t>
      </w:r>
    </w:p>
  </w:footnote>
  <w:footnote w:id="35">
    <w:p w14:paraId="2057D61D" w14:textId="77777777" w:rsidR="00F829F5" w:rsidRPr="001D0CB5" w:rsidRDefault="00F829F5" w:rsidP="00EE1903">
      <w:pPr>
        <w:pStyle w:val="FootnoteText"/>
      </w:pPr>
      <w:r>
        <w:rPr>
          <w:rStyle w:val="FootnoteReference"/>
        </w:rPr>
        <w:footnoteRef/>
      </w:r>
      <w:r>
        <w:t xml:space="preserve"> Sukumaran L et al. (2015). Association of Tdap vaccination with acute events and adverse birth outcomes among pregnant women with prior tetanus containing immunisations, </w:t>
      </w:r>
      <w:r w:rsidRPr="00F315E3">
        <w:rPr>
          <w:i/>
        </w:rPr>
        <w:t>JAMA</w:t>
      </w:r>
      <w:r>
        <w:t>. 2015; 314:1581-1587.</w:t>
      </w:r>
    </w:p>
  </w:footnote>
  <w:footnote w:id="36">
    <w:p w14:paraId="64BDDA91" w14:textId="77777777" w:rsidR="00F829F5" w:rsidRPr="001D0CB5" w:rsidRDefault="00F829F5" w:rsidP="00EE1903">
      <w:pPr>
        <w:pStyle w:val="FootnoteText"/>
      </w:pPr>
      <w:r>
        <w:rPr>
          <w:rStyle w:val="FootnoteReference"/>
        </w:rPr>
        <w:footnoteRef/>
      </w:r>
      <w:r>
        <w:t xml:space="preserve"> Regan A et al. (2016). A prospective cohort study assessing the reactogenicity of pertussis and influenza vaccines administered during pregnancy. </w:t>
      </w:r>
      <w:r w:rsidRPr="00F315E3">
        <w:rPr>
          <w:i/>
        </w:rPr>
        <w:t>Vaccine</w:t>
      </w:r>
      <w:r>
        <w:t>. 2016;34: 2299-2304.</w:t>
      </w:r>
    </w:p>
  </w:footnote>
  <w:footnote w:id="37">
    <w:p w14:paraId="6276EA2E" w14:textId="77777777" w:rsidR="00F829F5" w:rsidRPr="001D0CB5" w:rsidRDefault="00F829F5" w:rsidP="00EE1903">
      <w:pPr>
        <w:pStyle w:val="FootnoteText"/>
        <w:rPr>
          <w:lang w:val="en-GB"/>
        </w:rPr>
      </w:pPr>
      <w:r>
        <w:rPr>
          <w:rStyle w:val="FootnoteReference"/>
        </w:rPr>
        <w:footnoteRef/>
      </w:r>
      <w:r>
        <w:t xml:space="preserve"> Moro P et al. (2016). Enhanced surveillance of tetanus toxoid, reduced diphtheria toxoid, and acellular pertussis (Tdap) vaccines in pregnancy in the Vaccine Adverse Event Reporting System (VAERS), 2011-2015. </w:t>
      </w:r>
      <w:r w:rsidRPr="00F315E3">
        <w:rPr>
          <w:i/>
        </w:rPr>
        <w:t>Vaccine</w:t>
      </w:r>
      <w:r>
        <w:t>. 2016; 34: 2349-2353.</w:t>
      </w:r>
    </w:p>
  </w:footnote>
  <w:footnote w:id="38">
    <w:p w14:paraId="0702CA12" w14:textId="77777777" w:rsidR="00F829F5" w:rsidRPr="001D0CB5" w:rsidRDefault="00F829F5" w:rsidP="00EE1903">
      <w:pPr>
        <w:pStyle w:val="FootnoteText"/>
      </w:pPr>
      <w:r>
        <w:rPr>
          <w:rStyle w:val="FootnoteReference"/>
        </w:rPr>
        <w:footnoteRef/>
      </w:r>
      <w:r>
        <w:t xml:space="preserve"> Perry J et al.; (2017). Patient reaction to Tdap vaccination in pregnancy. Vaccine. 2017; 35:3064-3066.</w:t>
      </w:r>
    </w:p>
  </w:footnote>
  <w:footnote w:id="39">
    <w:p w14:paraId="110EC279" w14:textId="77777777" w:rsidR="00F829F5" w:rsidRPr="001D0CB5" w:rsidRDefault="00F829F5" w:rsidP="00EE1903">
      <w:pPr>
        <w:pStyle w:val="FootnoteText"/>
        <w:rPr>
          <w:lang w:val="en-GB"/>
        </w:rPr>
      </w:pPr>
      <w:r>
        <w:rPr>
          <w:rStyle w:val="FootnoteReference"/>
        </w:rPr>
        <w:footnoteRef/>
      </w:r>
      <w:r>
        <w:t xml:space="preserve"> Talbot E et al. (2010). The safety of immunizing with tetanus-diphtheria-acellular pertussis vaccine (Tdap) less than 2 years following previous tetanus vaccination: experience during a mass vaccination campaign of healthcare personnel during a respiratory illness outbreak. </w:t>
      </w:r>
      <w:r w:rsidRPr="00F315E3">
        <w:rPr>
          <w:i/>
        </w:rPr>
        <w:t>Vaccine</w:t>
      </w:r>
      <w:r>
        <w:t>. 2010; 28: 8001-8007.</w:t>
      </w:r>
    </w:p>
  </w:footnote>
  <w:footnote w:id="40">
    <w:p w14:paraId="7E475CB1" w14:textId="77777777" w:rsidR="00F829F5" w:rsidRPr="00E84527" w:rsidRDefault="00F829F5" w:rsidP="00EE1903">
      <w:pPr>
        <w:pStyle w:val="FootnoteText"/>
        <w:rPr>
          <w:lang w:val="en-GB"/>
        </w:rPr>
      </w:pPr>
      <w:r>
        <w:rPr>
          <w:rStyle w:val="FootnoteReference"/>
        </w:rPr>
        <w:footnoteRef/>
      </w:r>
      <w:r>
        <w:t xml:space="preserve"> </w:t>
      </w:r>
      <w:r w:rsidRPr="00E84527">
        <w:t xml:space="preserve">Shakib J et al. </w:t>
      </w:r>
      <w:r>
        <w:t xml:space="preserve">(2013). </w:t>
      </w:r>
      <w:r w:rsidRPr="00E84527">
        <w:t xml:space="preserve">Tetanus, diphtheria, acellular pertussis vaccine during pregnancy: pregnancy and infant health outcomes. </w:t>
      </w:r>
      <w:r w:rsidRPr="00F315E3">
        <w:rPr>
          <w:i/>
        </w:rPr>
        <w:t>J Pediatr</w:t>
      </w:r>
      <w:r w:rsidRPr="00E84527">
        <w:t>. 2013;</w:t>
      </w:r>
      <w:r>
        <w:t xml:space="preserve"> 163</w:t>
      </w:r>
      <w:r w:rsidRPr="00E84527">
        <w:t>:</w:t>
      </w:r>
      <w:r>
        <w:t xml:space="preserve"> </w:t>
      </w:r>
      <w:r w:rsidRPr="00E84527">
        <w:t>1422-</w:t>
      </w:r>
      <w:r>
        <w:t>142</w:t>
      </w:r>
      <w:r w:rsidRPr="00E84527">
        <w:t>6.</w:t>
      </w:r>
    </w:p>
  </w:footnote>
  <w:footnote w:id="41">
    <w:p w14:paraId="12BBF01C" w14:textId="77777777" w:rsidR="00F829F5" w:rsidRPr="00E84527" w:rsidRDefault="00F829F5" w:rsidP="00EE1903">
      <w:pPr>
        <w:pStyle w:val="FootnoteText"/>
        <w:rPr>
          <w:lang w:val="en-GB"/>
        </w:rPr>
      </w:pPr>
      <w:r>
        <w:rPr>
          <w:rStyle w:val="FootnoteReference"/>
        </w:rPr>
        <w:footnoteRef/>
      </w:r>
      <w:r>
        <w:t xml:space="preserve"> </w:t>
      </w:r>
      <w:r w:rsidRPr="00E84527">
        <w:t xml:space="preserve">Berenson A et al. </w:t>
      </w:r>
      <w:r>
        <w:t xml:space="preserve">(2016). </w:t>
      </w:r>
      <w:r w:rsidRPr="00E84527">
        <w:t xml:space="preserve">Maternal and infant outcomes among women vaccinated against pertussis during pregnancy. </w:t>
      </w:r>
      <w:r w:rsidRPr="00F315E3">
        <w:rPr>
          <w:i/>
        </w:rPr>
        <w:t>Hum Vaccines Immunother</w:t>
      </w:r>
      <w:r w:rsidRPr="00E84527">
        <w:t>. 2016;</w:t>
      </w:r>
      <w:r>
        <w:t xml:space="preserve"> 12</w:t>
      </w:r>
      <w:r w:rsidRPr="00E84527">
        <w:t>:</w:t>
      </w:r>
      <w:r>
        <w:t xml:space="preserve"> </w:t>
      </w:r>
      <w:r w:rsidRPr="00E84527">
        <w:t>1965-</w:t>
      </w:r>
      <w:r>
        <w:t>19</w:t>
      </w:r>
      <w:r w:rsidRPr="00E84527">
        <w:t>71.</w:t>
      </w:r>
    </w:p>
  </w:footnote>
  <w:footnote w:id="42">
    <w:p w14:paraId="4EF714BF" w14:textId="77777777" w:rsidR="00F829F5" w:rsidRPr="00E84527" w:rsidRDefault="00F829F5" w:rsidP="00EE1903">
      <w:pPr>
        <w:pStyle w:val="FootnoteText"/>
      </w:pPr>
      <w:r>
        <w:rPr>
          <w:rStyle w:val="FootnoteReference"/>
        </w:rPr>
        <w:footnoteRef/>
      </w:r>
      <w:r>
        <w:t xml:space="preserve"> Layton et al. (2017). Prenatal Tdap immunisation and risk of maternal and newborn adverse events. </w:t>
      </w:r>
      <w:r w:rsidRPr="00F315E3">
        <w:rPr>
          <w:i/>
        </w:rPr>
        <w:t>Vaccine</w:t>
      </w:r>
      <w:r>
        <w:t>. 2017; 35: 4072-4078.</w:t>
      </w:r>
    </w:p>
  </w:footnote>
  <w:footnote w:id="43">
    <w:p w14:paraId="77E3D486" w14:textId="77777777" w:rsidR="00F829F5" w:rsidRPr="00E84527" w:rsidRDefault="00F829F5" w:rsidP="00EE1903">
      <w:pPr>
        <w:pStyle w:val="FootnoteText"/>
      </w:pPr>
      <w:r>
        <w:rPr>
          <w:rStyle w:val="FootnoteReference"/>
        </w:rPr>
        <w:footnoteRef/>
      </w:r>
      <w:r>
        <w:t xml:space="preserve"> Zerbo, et al. (2016). Kaiser Permanente Northern California pregnancy database: Description and proof of concept study. </w:t>
      </w:r>
      <w:r w:rsidRPr="00F924D9">
        <w:rPr>
          <w:i/>
        </w:rPr>
        <w:t>Vaccine</w:t>
      </w:r>
      <w:r>
        <w:t>. 2016; 34: 5519-5523.</w:t>
      </w:r>
    </w:p>
  </w:footnote>
  <w:footnote w:id="44">
    <w:p w14:paraId="7A5D2385" w14:textId="77777777" w:rsidR="00F829F5" w:rsidRPr="00E84527" w:rsidRDefault="00F829F5" w:rsidP="00EE1903">
      <w:pPr>
        <w:pStyle w:val="FootnoteText"/>
        <w:rPr>
          <w:lang w:val="en-GB"/>
        </w:rPr>
      </w:pPr>
      <w:r>
        <w:rPr>
          <w:rStyle w:val="FootnoteReference"/>
        </w:rPr>
        <w:footnoteRef/>
      </w:r>
      <w:r>
        <w:t xml:space="preserve"> </w:t>
      </w:r>
      <w:r w:rsidRPr="00E84527">
        <w:t xml:space="preserve">Datwani et al.. </w:t>
      </w:r>
      <w:r>
        <w:t xml:space="preserve">(2015). </w:t>
      </w:r>
      <w:r w:rsidRPr="00E84527">
        <w:t xml:space="preserve">Chorioamnionitis following vaccination in the Vaccine Adverse Event Reporting System. </w:t>
      </w:r>
      <w:r w:rsidRPr="00F924D9">
        <w:rPr>
          <w:i/>
        </w:rPr>
        <w:t>Vaccine</w:t>
      </w:r>
      <w:r w:rsidRPr="00E84527">
        <w:t>. 2015;</w:t>
      </w:r>
      <w:r>
        <w:t xml:space="preserve"> 33</w:t>
      </w:r>
      <w:r w:rsidRPr="00E84527">
        <w:t>:</w:t>
      </w:r>
      <w:r>
        <w:t xml:space="preserve"> </w:t>
      </w:r>
      <w:r w:rsidRPr="00E84527">
        <w:t>3110-</w:t>
      </w:r>
      <w:r>
        <w:t>311</w:t>
      </w:r>
      <w:r w:rsidRPr="00E84527">
        <w:t>3.</w:t>
      </w:r>
    </w:p>
  </w:footnote>
  <w:footnote w:id="45">
    <w:p w14:paraId="6228957B" w14:textId="77777777" w:rsidR="00F829F5" w:rsidRPr="00E84527" w:rsidRDefault="00F829F5" w:rsidP="00EE1903">
      <w:pPr>
        <w:pStyle w:val="FootnoteText"/>
        <w:rPr>
          <w:lang w:val="en-GB"/>
        </w:rPr>
      </w:pPr>
      <w:r>
        <w:rPr>
          <w:rStyle w:val="FootnoteReference"/>
        </w:rPr>
        <w:footnoteRef/>
      </w:r>
      <w:r>
        <w:t xml:space="preserve"> Moro P et al.</w:t>
      </w:r>
      <w:r w:rsidRPr="00E84527">
        <w:t xml:space="preserve"> </w:t>
      </w:r>
      <w:r>
        <w:t xml:space="preserve">(2017). </w:t>
      </w:r>
      <w:r w:rsidRPr="00E84527">
        <w:t xml:space="preserve">Brief report: major birth defects after vaccination reported to the Vaccine Adverse Event Reporting System (VAERS), 1990 to 2014. </w:t>
      </w:r>
      <w:r w:rsidRPr="00F924D9">
        <w:rPr>
          <w:i/>
        </w:rPr>
        <w:t>Birth Defects Res</w:t>
      </w:r>
      <w:r w:rsidRPr="00E84527">
        <w:t>. 2017;</w:t>
      </w:r>
      <w:r>
        <w:t xml:space="preserve"> </w:t>
      </w:r>
      <w:r w:rsidRPr="00E84527">
        <w:t>109:</w:t>
      </w:r>
      <w:r>
        <w:t xml:space="preserve"> </w:t>
      </w:r>
      <w:r w:rsidRPr="00E84527">
        <w:t>1057-</w:t>
      </w:r>
      <w:r>
        <w:t>10</w:t>
      </w:r>
      <w:r w:rsidRPr="00E84527">
        <w:t>62.</w:t>
      </w:r>
    </w:p>
  </w:footnote>
  <w:footnote w:id="46">
    <w:p w14:paraId="49FB8CBD" w14:textId="77777777" w:rsidR="00F829F5" w:rsidRDefault="00F829F5">
      <w:pPr>
        <w:pStyle w:val="FootnoteText"/>
      </w:pPr>
      <w:r>
        <w:rPr>
          <w:rStyle w:val="FootnoteReference"/>
        </w:rPr>
        <w:footnoteRef/>
      </w:r>
      <w:r>
        <w:t xml:space="preserve"> Kharbanda, E. O. et al (2014). </w:t>
      </w:r>
      <w:r w:rsidRPr="00FD7608">
        <w:t>Evaluation of the Association of Maternal Pertussis Vaccination With Obstetric Events and Birth Outcomes</w:t>
      </w:r>
      <w:r>
        <w:t xml:space="preserve">, </w:t>
      </w:r>
      <w:r w:rsidRPr="00FD7608">
        <w:rPr>
          <w:i/>
        </w:rPr>
        <w:t>JAMA</w:t>
      </w:r>
      <w:r w:rsidRPr="00FD7608">
        <w:t>. 2014</w:t>
      </w:r>
      <w:r>
        <w:t>; 312</w:t>
      </w:r>
      <w:r w:rsidRPr="00FD7608">
        <w:t>: 1897–1904.</w:t>
      </w:r>
    </w:p>
  </w:footnote>
  <w:footnote w:id="47">
    <w:p w14:paraId="52530E91" w14:textId="77777777" w:rsidR="00F829F5" w:rsidRDefault="00F829F5" w:rsidP="00F25025">
      <w:pPr>
        <w:pStyle w:val="FootnoteText"/>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w:t>
      </w:r>
    </w:p>
    <w:p w14:paraId="5762BDB2" w14:textId="77777777" w:rsidR="00F829F5" w:rsidRDefault="00F829F5" w:rsidP="00F25025">
      <w:pPr>
        <w:pStyle w:val="FootnoteText"/>
      </w:pPr>
      <w:r w:rsidRPr="00F12492">
        <w:rPr>
          <w:i/>
        </w:rPr>
        <w:t>Routine pharmacovigilance</w:t>
      </w:r>
      <w:r>
        <w:t xml:space="preserve"> practices involve the following activities:</w:t>
      </w:r>
    </w:p>
    <w:p w14:paraId="02143A86" w14:textId="77777777" w:rsidR="00F829F5" w:rsidRDefault="00F829F5" w:rsidP="00F25025">
      <w:pPr>
        <w:pStyle w:val="FootnoteText"/>
        <w:numPr>
          <w:ilvl w:val="0"/>
          <w:numId w:val="28"/>
        </w:numPr>
      </w:pPr>
      <w:r>
        <w:t>All suspected adverse reactions that are reported to the personnel of the company are collected and collated in an accessible manner;</w:t>
      </w:r>
    </w:p>
    <w:p w14:paraId="5D15C686" w14:textId="77777777" w:rsidR="00F829F5" w:rsidRDefault="00F829F5" w:rsidP="00F25025">
      <w:pPr>
        <w:pStyle w:val="FootnoteText"/>
        <w:numPr>
          <w:ilvl w:val="0"/>
          <w:numId w:val="28"/>
        </w:numPr>
      </w:pPr>
      <w:r>
        <w:t>Reporting to regulatory authorities;</w:t>
      </w:r>
    </w:p>
    <w:p w14:paraId="276DE417" w14:textId="77777777" w:rsidR="00F829F5" w:rsidRDefault="00F829F5" w:rsidP="00F25025">
      <w:pPr>
        <w:pStyle w:val="FootnoteText"/>
        <w:numPr>
          <w:ilvl w:val="0"/>
          <w:numId w:val="28"/>
        </w:numPr>
      </w:pPr>
      <w:r>
        <w:t>Continuous monitoring of the safety profiles of approved products including signal detection and updating of labelling;</w:t>
      </w:r>
    </w:p>
    <w:p w14:paraId="3DD415EE" w14:textId="77777777" w:rsidR="00F829F5" w:rsidRDefault="00F829F5" w:rsidP="00F25025">
      <w:pPr>
        <w:pStyle w:val="FootnoteText"/>
        <w:numPr>
          <w:ilvl w:val="0"/>
          <w:numId w:val="28"/>
        </w:numPr>
      </w:pPr>
      <w:r>
        <w:t>Submission of PSURs;</w:t>
      </w:r>
    </w:p>
    <w:p w14:paraId="0C5A218F" w14:textId="77777777" w:rsidR="00F829F5" w:rsidRPr="00F12492" w:rsidRDefault="00F829F5" w:rsidP="00F25025">
      <w:pPr>
        <w:pStyle w:val="FootnoteText"/>
        <w:numPr>
          <w:ilvl w:val="0"/>
          <w:numId w:val="28"/>
        </w:numPr>
        <w:rPr>
          <w:lang w:val="en-US"/>
        </w:rPr>
      </w:pPr>
      <w:r>
        <w:t>Meeting other local regulatory agency requirements.</w:t>
      </w:r>
    </w:p>
  </w:footnote>
  <w:footnote w:id="48">
    <w:p w14:paraId="78C6131C" w14:textId="77777777" w:rsidR="00F829F5" w:rsidRPr="00A30CC6" w:rsidRDefault="00F829F5" w:rsidP="00F25025">
      <w:pPr>
        <w:autoSpaceDE w:val="0"/>
        <w:autoSpaceDN w:val="0"/>
        <w:spacing w:before="0" w:after="0" w:line="240" w:lineRule="auto"/>
        <w:rPr>
          <w:rFonts w:asciiTheme="minorHAnsi" w:eastAsiaTheme="minorHAnsi" w:hAnsiTheme="minorHAnsi"/>
          <w:sz w:val="18"/>
          <w:szCs w:val="18"/>
        </w:rPr>
      </w:pPr>
      <w:r>
        <w:rPr>
          <w:rStyle w:val="FootnoteReference"/>
        </w:rPr>
        <w:footnoteRef/>
      </w:r>
      <w:r>
        <w:t xml:space="preserve"> </w:t>
      </w:r>
      <w:r>
        <w:rPr>
          <w:rFonts w:asciiTheme="minorHAnsi" w:eastAsiaTheme="minorHAnsi" w:hAnsiTheme="minorHAnsi"/>
          <w:sz w:val="18"/>
          <w:szCs w:val="18"/>
        </w:rPr>
        <w:t>Gustafsson et al</w:t>
      </w:r>
      <w:r w:rsidRPr="00A30CC6">
        <w:rPr>
          <w:rFonts w:asciiTheme="minorHAnsi" w:eastAsiaTheme="minorHAnsi" w:hAnsiTheme="minorHAnsi"/>
          <w:sz w:val="18"/>
          <w:szCs w:val="18"/>
        </w:rPr>
        <w:t xml:space="preserve">. </w:t>
      </w:r>
      <w:r>
        <w:rPr>
          <w:rFonts w:asciiTheme="minorHAnsi" w:eastAsiaTheme="minorHAnsi" w:hAnsiTheme="minorHAnsi"/>
          <w:sz w:val="18"/>
          <w:szCs w:val="18"/>
        </w:rPr>
        <w:t xml:space="preserve">(1995). </w:t>
      </w:r>
      <w:r w:rsidRPr="00A30CC6">
        <w:rPr>
          <w:rFonts w:asciiTheme="minorHAnsi" w:eastAsiaTheme="minorHAnsi" w:hAnsiTheme="minorHAnsi"/>
          <w:sz w:val="18"/>
          <w:szCs w:val="18"/>
        </w:rPr>
        <w:t>Efficacy trial of acellular pertussis vaccine. Technical report trial 1. Stockholm, Sweden: Swedish Institute for Infectious Disease Control; 31 August 1995.</w:t>
      </w:r>
    </w:p>
  </w:footnote>
  <w:footnote w:id="49">
    <w:p w14:paraId="61D800CC" w14:textId="77777777" w:rsidR="00F829F5" w:rsidRPr="00A30CC6" w:rsidRDefault="00F829F5" w:rsidP="00F25025">
      <w:pPr>
        <w:autoSpaceDE w:val="0"/>
        <w:autoSpaceDN w:val="0"/>
        <w:spacing w:before="0" w:after="0" w:line="240" w:lineRule="auto"/>
        <w:rPr>
          <w:rFonts w:asciiTheme="minorHAnsi" w:eastAsiaTheme="minorHAnsi" w:hAnsiTheme="minorHAnsi"/>
          <w:sz w:val="18"/>
          <w:szCs w:val="18"/>
        </w:rPr>
      </w:pPr>
      <w:r>
        <w:rPr>
          <w:rStyle w:val="FootnoteReference"/>
        </w:rPr>
        <w:footnoteRef/>
      </w:r>
      <w:r>
        <w:t xml:space="preserve"> </w:t>
      </w:r>
      <w:r>
        <w:rPr>
          <w:rFonts w:asciiTheme="minorHAnsi" w:eastAsiaTheme="minorHAnsi" w:hAnsiTheme="minorHAnsi"/>
          <w:sz w:val="18"/>
          <w:szCs w:val="18"/>
        </w:rPr>
        <w:t>Storsaeter et al</w:t>
      </w:r>
      <w:r w:rsidRPr="00A30CC6">
        <w:rPr>
          <w:rFonts w:asciiTheme="minorHAnsi" w:eastAsiaTheme="minorHAnsi" w:hAnsiTheme="minorHAnsi"/>
          <w:sz w:val="18"/>
          <w:szCs w:val="18"/>
        </w:rPr>
        <w:t xml:space="preserve">. </w:t>
      </w:r>
      <w:r>
        <w:rPr>
          <w:rFonts w:asciiTheme="minorHAnsi" w:eastAsiaTheme="minorHAnsi" w:hAnsiTheme="minorHAnsi"/>
          <w:sz w:val="18"/>
          <w:szCs w:val="18"/>
        </w:rPr>
        <w:t xml:space="preserve">(1998). </w:t>
      </w:r>
      <w:r w:rsidRPr="00A30CC6">
        <w:rPr>
          <w:rFonts w:asciiTheme="minorHAnsi" w:eastAsiaTheme="minorHAnsi" w:hAnsiTheme="minorHAnsi"/>
          <w:sz w:val="18"/>
          <w:szCs w:val="18"/>
        </w:rPr>
        <w:t xml:space="preserve">Levels of anti-pertussis antibodies related to protection after household exposure to Bordetella pertussis. </w:t>
      </w:r>
      <w:r w:rsidRPr="00AB2E44">
        <w:rPr>
          <w:rFonts w:asciiTheme="minorHAnsi" w:eastAsiaTheme="minorHAnsi" w:hAnsiTheme="minorHAnsi"/>
          <w:i/>
          <w:sz w:val="18"/>
          <w:szCs w:val="18"/>
        </w:rPr>
        <w:t>Vaccine</w:t>
      </w:r>
      <w:r w:rsidRPr="00A30CC6">
        <w:rPr>
          <w:rFonts w:asciiTheme="minorHAnsi" w:eastAsiaTheme="minorHAnsi" w:hAnsiTheme="minorHAnsi"/>
          <w:sz w:val="18"/>
          <w:szCs w:val="18"/>
        </w:rPr>
        <w:t>. 1998;16:</w:t>
      </w:r>
      <w:r>
        <w:rPr>
          <w:rFonts w:asciiTheme="minorHAnsi" w:eastAsiaTheme="minorHAnsi" w:hAnsiTheme="minorHAnsi"/>
          <w:sz w:val="18"/>
          <w:szCs w:val="18"/>
        </w:rPr>
        <w:t xml:space="preserve"> </w:t>
      </w:r>
      <w:r w:rsidRPr="00A30CC6">
        <w:rPr>
          <w:rFonts w:asciiTheme="minorHAnsi" w:eastAsiaTheme="minorHAnsi" w:hAnsiTheme="minorHAnsi"/>
          <w:sz w:val="18"/>
          <w:szCs w:val="18"/>
        </w:rPr>
        <w:t>1907-</w:t>
      </w:r>
      <w:r>
        <w:rPr>
          <w:rFonts w:asciiTheme="minorHAnsi" w:eastAsiaTheme="minorHAnsi" w:hAnsiTheme="minorHAnsi"/>
          <w:sz w:val="18"/>
          <w:szCs w:val="18"/>
        </w:rPr>
        <w:t>19</w:t>
      </w:r>
      <w:r w:rsidRPr="00A30CC6">
        <w:rPr>
          <w:rFonts w:asciiTheme="minorHAnsi" w:eastAsiaTheme="minorHAnsi" w:hAnsiTheme="minorHAnsi"/>
          <w:sz w:val="18"/>
          <w:szCs w:val="18"/>
        </w:rPr>
        <w:t>16.</w:t>
      </w:r>
    </w:p>
  </w:footnote>
  <w:footnote w:id="50">
    <w:p w14:paraId="643EB7A0" w14:textId="0C0D5E3D" w:rsidR="00F829F5" w:rsidRDefault="00F829F5" w:rsidP="00EE6EB2">
      <w:pPr>
        <w:pStyle w:val="FootnoteText"/>
      </w:pPr>
      <w:r>
        <w:rPr>
          <w:rStyle w:val="FootnoteReference"/>
        </w:rPr>
        <w:footnoteRef/>
      </w:r>
      <w:r>
        <w:t xml:space="preserve"> The Advisory Committee on Vaccine (ACV) provides independent medical and scientific advice to the Minister for Health and the Therapeutic Goods Administration (TGA) on issues relating to the safety, quality and efficacy of vaccines supplied in Australia including issues relating to pre-market assessment, post-market monitoring and safe use in national immunisation programs.</w:t>
      </w:r>
    </w:p>
    <w:p w14:paraId="7C11B652" w14:textId="0F288C81" w:rsidR="00F829F5" w:rsidRDefault="00F829F5" w:rsidP="00EE6EB2">
      <w:pPr>
        <w:pStyle w:val="FootnoteText"/>
      </w:pPr>
      <w:r>
        <w:t>The Committee is established under Regulation 39F of the Therapeutic Goods Regulations 1990 and the members are appointed by the Minister for Health.</w:t>
      </w:r>
    </w:p>
    <w:p w14:paraId="787ECF79" w14:textId="576B9F1C" w:rsidR="00F829F5" w:rsidRDefault="00F829F5" w:rsidP="00EE6EB2">
      <w:pPr>
        <w:pStyle w:val="FootnoteText"/>
      </w:pPr>
      <w:r>
        <w:t>The ACV was established in January 2017, following consolidation of previous functions of the Advisory Committee on the Safety of Vaccines (ACSOV) and the pre-market functions for vaccines of the Advisory Committee on Prescription Medicines (ACPM).</w:t>
      </w:r>
    </w:p>
    <w:p w14:paraId="25A724A3" w14:textId="33EA487F" w:rsidR="00F829F5" w:rsidRDefault="00F829F5" w:rsidP="00EE6EB2">
      <w:pPr>
        <w:pStyle w:val="FootnoteText"/>
      </w:pPr>
      <w:r>
        <w:t>Membership comprises professionals with expertise in specific scientific, medical or clinical fields, or consumer health issues.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7032C6" w14:textId="77777777" w:rsidR="006E7419" w:rsidRDefault="006E74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D08EF" w14:textId="77777777" w:rsidR="00F829F5" w:rsidRDefault="00F829F5"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FF882" w14:textId="77777777" w:rsidR="00F829F5" w:rsidRDefault="00F829F5">
    <w:pPr>
      <w:rPr>
        <w:noProof/>
        <w:lang w:eastAsia="en-AU"/>
      </w:rPr>
    </w:pPr>
    <w:r w:rsidRPr="00347824">
      <w:rPr>
        <w:noProof/>
        <w:lang w:eastAsia="en-AU"/>
      </w:rPr>
      <w:drawing>
        <wp:anchor distT="0" distB="0" distL="114300" distR="114300" simplePos="0" relativeHeight="251659264" behindDoc="1" locked="0" layoutInCell="1" allowOverlap="1" wp14:anchorId="5B2C0EAB" wp14:editId="443B8F5C">
          <wp:simplePos x="0" y="0"/>
          <wp:positionH relativeFrom="column">
            <wp:posOffset>-1089660</wp:posOffset>
          </wp:positionH>
          <wp:positionV relativeFrom="paragraph">
            <wp:posOffset>-585470</wp:posOffset>
          </wp:positionV>
          <wp:extent cx="7572375" cy="10706100"/>
          <wp:effectExtent l="19050" t="0" r="0" b="0"/>
          <wp:wrapNone/>
          <wp:docPr id="1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7FFD7B60" w14:textId="7366A7D2" w:rsidR="00F829F5" w:rsidRDefault="00F829F5" w:rsidP="00593AD1">
    <w:pPr>
      <w:pStyle w:val="HeaderNoLin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27D27" w14:textId="77777777" w:rsidR="00F829F5" w:rsidRDefault="00F829F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BEA5A" w14:textId="77777777" w:rsidR="00F829F5" w:rsidRDefault="00F829F5">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EE3997" w14:textId="77777777" w:rsidR="00F829F5" w:rsidRDefault="00F829F5">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91A10" w14:textId="77777777" w:rsidR="00F829F5" w:rsidRDefault="00F829F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BD792" w14:textId="77777777" w:rsidR="00F829F5" w:rsidRDefault="00F829F5"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B36CD" w14:textId="77777777" w:rsidR="00F829F5" w:rsidRDefault="00F829F5" w:rsidP="006E08B3">
    <w:r>
      <w:t>Therapeutic Goods Administration</w:t>
    </w:r>
  </w:p>
  <w:p w14:paraId="34423BC7" w14:textId="77777777" w:rsidR="00F829F5" w:rsidRDefault="00F829F5"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15:restartNumberingAfterBreak="0">
    <w:nsid w:val="168F13E9"/>
    <w:multiLevelType w:val="multilevel"/>
    <w:tmpl w:val="C512E726"/>
    <w:styleLink w:val="ListBullets"/>
    <w:lvl w:ilvl="0">
      <w:numFmt w:val="bullet"/>
      <w:pStyle w:val="ListBullet"/>
      <w:lvlText w:val="•"/>
      <w:lvlJc w:val="left"/>
      <w:pPr>
        <w:ind w:left="360" w:hanging="360"/>
      </w:pPr>
      <w:rPr>
        <w:rFonts w:ascii="Cambria" w:eastAsia="Cambria" w:hAnsi="Cambria" w:cs="Times New Roman"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num>
  <w:num w:numId="22">
    <w:abstractNumId w:val="4"/>
  </w:num>
  <w:num w:numId="23">
    <w:abstractNumId w:val="4"/>
  </w:num>
  <w:num w:numId="24">
    <w:abstractNumId w:val="4"/>
  </w:num>
  <w:num w:numId="25">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6"/>
  </w:num>
  <w:num w:numId="28">
    <w:abstractNumId w:val="7"/>
  </w:num>
  <w:num w:numId="29">
    <w:abstractNumId w:val="5"/>
    <w:lvlOverride w:ilvl="0">
      <w:lvl w:ilvl="0">
        <w:start w:val="1"/>
        <w:numFmt w:val="bullet"/>
        <w:pStyle w:val="ListBullet"/>
        <w:lvlText w:val=""/>
        <w:lvlJc w:val="left"/>
        <w:pPr>
          <w:ind w:left="360" w:hanging="360"/>
        </w:pPr>
        <w:rPr>
          <w:rFonts w:ascii="Symbol" w:hAnsi="Symbol" w:hint="default"/>
        </w:rPr>
      </w:lvl>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7ED8"/>
    <w:rsid w:val="00002031"/>
    <w:rsid w:val="00004734"/>
    <w:rsid w:val="00006B22"/>
    <w:rsid w:val="0001276A"/>
    <w:rsid w:val="000246AE"/>
    <w:rsid w:val="00025C67"/>
    <w:rsid w:val="00044772"/>
    <w:rsid w:val="0004541C"/>
    <w:rsid w:val="0005559E"/>
    <w:rsid w:val="000604D6"/>
    <w:rsid w:val="000734D8"/>
    <w:rsid w:val="00077775"/>
    <w:rsid w:val="00090471"/>
    <w:rsid w:val="00096AA7"/>
    <w:rsid w:val="000A3AED"/>
    <w:rsid w:val="000B3532"/>
    <w:rsid w:val="000B3A75"/>
    <w:rsid w:val="000C00C2"/>
    <w:rsid w:val="000C690F"/>
    <w:rsid w:val="000D1295"/>
    <w:rsid w:val="000D391B"/>
    <w:rsid w:val="000D3D6D"/>
    <w:rsid w:val="000D4FC7"/>
    <w:rsid w:val="000E6196"/>
    <w:rsid w:val="000F3D19"/>
    <w:rsid w:val="000F4869"/>
    <w:rsid w:val="000F5B42"/>
    <w:rsid w:val="000F6E6F"/>
    <w:rsid w:val="0010601F"/>
    <w:rsid w:val="0010788A"/>
    <w:rsid w:val="00107A31"/>
    <w:rsid w:val="00110EA5"/>
    <w:rsid w:val="00112F56"/>
    <w:rsid w:val="00124ACD"/>
    <w:rsid w:val="00125318"/>
    <w:rsid w:val="001305A2"/>
    <w:rsid w:val="00133238"/>
    <w:rsid w:val="00133A1B"/>
    <w:rsid w:val="0014197B"/>
    <w:rsid w:val="00141CB9"/>
    <w:rsid w:val="001447CD"/>
    <w:rsid w:val="001516B1"/>
    <w:rsid w:val="00154EBB"/>
    <w:rsid w:val="00156316"/>
    <w:rsid w:val="00161181"/>
    <w:rsid w:val="00162D14"/>
    <w:rsid w:val="00163780"/>
    <w:rsid w:val="00165389"/>
    <w:rsid w:val="0017693F"/>
    <w:rsid w:val="0018110E"/>
    <w:rsid w:val="00181684"/>
    <w:rsid w:val="001843C6"/>
    <w:rsid w:val="001850E0"/>
    <w:rsid w:val="001A03AF"/>
    <w:rsid w:val="001A2158"/>
    <w:rsid w:val="001A525F"/>
    <w:rsid w:val="001B09F9"/>
    <w:rsid w:val="001B5C90"/>
    <w:rsid w:val="001B6448"/>
    <w:rsid w:val="001C32CD"/>
    <w:rsid w:val="001D2984"/>
    <w:rsid w:val="001E07CF"/>
    <w:rsid w:val="001E59F1"/>
    <w:rsid w:val="001F2CEE"/>
    <w:rsid w:val="001F49EB"/>
    <w:rsid w:val="001F6CBA"/>
    <w:rsid w:val="00201D4E"/>
    <w:rsid w:val="002076C9"/>
    <w:rsid w:val="0021496C"/>
    <w:rsid w:val="00220B8A"/>
    <w:rsid w:val="002257F3"/>
    <w:rsid w:val="00233456"/>
    <w:rsid w:val="002339A5"/>
    <w:rsid w:val="00254A53"/>
    <w:rsid w:val="00257848"/>
    <w:rsid w:val="002578E8"/>
    <w:rsid w:val="0027084A"/>
    <w:rsid w:val="00280265"/>
    <w:rsid w:val="00285C78"/>
    <w:rsid w:val="00286434"/>
    <w:rsid w:val="00286C59"/>
    <w:rsid w:val="00291957"/>
    <w:rsid w:val="002942D1"/>
    <w:rsid w:val="0029501A"/>
    <w:rsid w:val="002A3721"/>
    <w:rsid w:val="002B1638"/>
    <w:rsid w:val="002B3624"/>
    <w:rsid w:val="002B488A"/>
    <w:rsid w:val="002D0952"/>
    <w:rsid w:val="002E40B3"/>
    <w:rsid w:val="002E4C9A"/>
    <w:rsid w:val="002F11F8"/>
    <w:rsid w:val="002F3F56"/>
    <w:rsid w:val="002F44B5"/>
    <w:rsid w:val="002F5122"/>
    <w:rsid w:val="00311AC0"/>
    <w:rsid w:val="003176FC"/>
    <w:rsid w:val="0032583B"/>
    <w:rsid w:val="00327883"/>
    <w:rsid w:val="00335504"/>
    <w:rsid w:val="00340C18"/>
    <w:rsid w:val="003442FD"/>
    <w:rsid w:val="00347824"/>
    <w:rsid w:val="00350567"/>
    <w:rsid w:val="003521E8"/>
    <w:rsid w:val="00370CE3"/>
    <w:rsid w:val="003728F3"/>
    <w:rsid w:val="003735BC"/>
    <w:rsid w:val="0037496E"/>
    <w:rsid w:val="00383221"/>
    <w:rsid w:val="00386150"/>
    <w:rsid w:val="003874CE"/>
    <w:rsid w:val="00390900"/>
    <w:rsid w:val="003A7F6C"/>
    <w:rsid w:val="003B4D60"/>
    <w:rsid w:val="003B7E39"/>
    <w:rsid w:val="003C58DC"/>
    <w:rsid w:val="003D1E62"/>
    <w:rsid w:val="003E0B99"/>
    <w:rsid w:val="003E22A7"/>
    <w:rsid w:val="003E2486"/>
    <w:rsid w:val="003E3208"/>
    <w:rsid w:val="003F0B04"/>
    <w:rsid w:val="0040134E"/>
    <w:rsid w:val="0041326A"/>
    <w:rsid w:val="004334C7"/>
    <w:rsid w:val="00440A2D"/>
    <w:rsid w:val="00441C3F"/>
    <w:rsid w:val="00444D1A"/>
    <w:rsid w:val="00450598"/>
    <w:rsid w:val="0045186A"/>
    <w:rsid w:val="004564A7"/>
    <w:rsid w:val="00456765"/>
    <w:rsid w:val="004617BF"/>
    <w:rsid w:val="00463658"/>
    <w:rsid w:val="004637A0"/>
    <w:rsid w:val="004722CC"/>
    <w:rsid w:val="00490483"/>
    <w:rsid w:val="004936E4"/>
    <w:rsid w:val="00494E60"/>
    <w:rsid w:val="00497487"/>
    <w:rsid w:val="004A2771"/>
    <w:rsid w:val="004A6189"/>
    <w:rsid w:val="004A7390"/>
    <w:rsid w:val="004B7B76"/>
    <w:rsid w:val="004C239D"/>
    <w:rsid w:val="004C2DCA"/>
    <w:rsid w:val="004C61D2"/>
    <w:rsid w:val="004F0C4A"/>
    <w:rsid w:val="004F0F38"/>
    <w:rsid w:val="004F30A6"/>
    <w:rsid w:val="004F47D6"/>
    <w:rsid w:val="00500337"/>
    <w:rsid w:val="00501921"/>
    <w:rsid w:val="00502327"/>
    <w:rsid w:val="00530354"/>
    <w:rsid w:val="0053625B"/>
    <w:rsid w:val="005434C6"/>
    <w:rsid w:val="00543B39"/>
    <w:rsid w:val="00546154"/>
    <w:rsid w:val="00550096"/>
    <w:rsid w:val="00555280"/>
    <w:rsid w:val="00557FF9"/>
    <w:rsid w:val="00562327"/>
    <w:rsid w:val="005711D5"/>
    <w:rsid w:val="00576378"/>
    <w:rsid w:val="00577130"/>
    <w:rsid w:val="00577945"/>
    <w:rsid w:val="00577E38"/>
    <w:rsid w:val="00585322"/>
    <w:rsid w:val="005857C6"/>
    <w:rsid w:val="00590F90"/>
    <w:rsid w:val="0059183C"/>
    <w:rsid w:val="00592F6E"/>
    <w:rsid w:val="00593AD1"/>
    <w:rsid w:val="005A68B6"/>
    <w:rsid w:val="005C5570"/>
    <w:rsid w:val="005C79A4"/>
    <w:rsid w:val="005D5442"/>
    <w:rsid w:val="00603F32"/>
    <w:rsid w:val="00605AD4"/>
    <w:rsid w:val="006136D7"/>
    <w:rsid w:val="00625A6E"/>
    <w:rsid w:val="00632398"/>
    <w:rsid w:val="00640FC3"/>
    <w:rsid w:val="00642020"/>
    <w:rsid w:val="006430EE"/>
    <w:rsid w:val="0065337B"/>
    <w:rsid w:val="0065419D"/>
    <w:rsid w:val="006603BC"/>
    <w:rsid w:val="006604D8"/>
    <w:rsid w:val="00664A5B"/>
    <w:rsid w:val="0066735C"/>
    <w:rsid w:val="006763D2"/>
    <w:rsid w:val="00680C08"/>
    <w:rsid w:val="006916A0"/>
    <w:rsid w:val="006931B1"/>
    <w:rsid w:val="006A15C0"/>
    <w:rsid w:val="006A58A8"/>
    <w:rsid w:val="006C3E2A"/>
    <w:rsid w:val="006C642F"/>
    <w:rsid w:val="006D03E5"/>
    <w:rsid w:val="006D5D3E"/>
    <w:rsid w:val="006E08B3"/>
    <w:rsid w:val="006E7419"/>
    <w:rsid w:val="006E7ED8"/>
    <w:rsid w:val="006F17AC"/>
    <w:rsid w:val="006F25B8"/>
    <w:rsid w:val="006F572E"/>
    <w:rsid w:val="007046D6"/>
    <w:rsid w:val="00705DB0"/>
    <w:rsid w:val="00722B57"/>
    <w:rsid w:val="00730F8A"/>
    <w:rsid w:val="00735A8C"/>
    <w:rsid w:val="0074253D"/>
    <w:rsid w:val="0074429B"/>
    <w:rsid w:val="00746C1D"/>
    <w:rsid w:val="007615BC"/>
    <w:rsid w:val="00762F05"/>
    <w:rsid w:val="007652FF"/>
    <w:rsid w:val="00770CAC"/>
    <w:rsid w:val="00770EF1"/>
    <w:rsid w:val="00773EF7"/>
    <w:rsid w:val="00774E1D"/>
    <w:rsid w:val="007765D8"/>
    <w:rsid w:val="0077675A"/>
    <w:rsid w:val="00780355"/>
    <w:rsid w:val="007819FD"/>
    <w:rsid w:val="00785717"/>
    <w:rsid w:val="00785721"/>
    <w:rsid w:val="00793A59"/>
    <w:rsid w:val="007A46F5"/>
    <w:rsid w:val="007A6505"/>
    <w:rsid w:val="007B6132"/>
    <w:rsid w:val="007B6E9F"/>
    <w:rsid w:val="007C1216"/>
    <w:rsid w:val="007C1AF7"/>
    <w:rsid w:val="007C6B9B"/>
    <w:rsid w:val="00805D27"/>
    <w:rsid w:val="00806DCB"/>
    <w:rsid w:val="00821776"/>
    <w:rsid w:val="008321F5"/>
    <w:rsid w:val="00832369"/>
    <w:rsid w:val="00834660"/>
    <w:rsid w:val="00836BC2"/>
    <w:rsid w:val="0085156D"/>
    <w:rsid w:val="00852B28"/>
    <w:rsid w:val="0085641B"/>
    <w:rsid w:val="00857136"/>
    <w:rsid w:val="00875A6B"/>
    <w:rsid w:val="00885B11"/>
    <w:rsid w:val="00886D15"/>
    <w:rsid w:val="00887DD8"/>
    <w:rsid w:val="00891BA9"/>
    <w:rsid w:val="00896018"/>
    <w:rsid w:val="008960DD"/>
    <w:rsid w:val="0089635C"/>
    <w:rsid w:val="008A2B9D"/>
    <w:rsid w:val="008A3D9F"/>
    <w:rsid w:val="008A5E0B"/>
    <w:rsid w:val="008A6D59"/>
    <w:rsid w:val="008B4B03"/>
    <w:rsid w:val="008B596F"/>
    <w:rsid w:val="008C159F"/>
    <w:rsid w:val="008C1623"/>
    <w:rsid w:val="008C1850"/>
    <w:rsid w:val="008C51A9"/>
    <w:rsid w:val="008C639D"/>
    <w:rsid w:val="008E7846"/>
    <w:rsid w:val="008F02E5"/>
    <w:rsid w:val="008F1CCC"/>
    <w:rsid w:val="008F2967"/>
    <w:rsid w:val="008F6943"/>
    <w:rsid w:val="00902A21"/>
    <w:rsid w:val="0091523F"/>
    <w:rsid w:val="00920330"/>
    <w:rsid w:val="009219D7"/>
    <w:rsid w:val="00922D53"/>
    <w:rsid w:val="00923B70"/>
    <w:rsid w:val="00924482"/>
    <w:rsid w:val="00930237"/>
    <w:rsid w:val="00931772"/>
    <w:rsid w:val="00933BE8"/>
    <w:rsid w:val="00937C17"/>
    <w:rsid w:val="00940A89"/>
    <w:rsid w:val="00941F77"/>
    <w:rsid w:val="00946EA5"/>
    <w:rsid w:val="00960520"/>
    <w:rsid w:val="00963C08"/>
    <w:rsid w:val="009752A5"/>
    <w:rsid w:val="0098585A"/>
    <w:rsid w:val="009A471F"/>
    <w:rsid w:val="009A4CED"/>
    <w:rsid w:val="009A690D"/>
    <w:rsid w:val="009B1D12"/>
    <w:rsid w:val="009B416B"/>
    <w:rsid w:val="009C4BD5"/>
    <w:rsid w:val="009D7B77"/>
    <w:rsid w:val="009E0BB0"/>
    <w:rsid w:val="009E3FBB"/>
    <w:rsid w:val="009F7353"/>
    <w:rsid w:val="00A0110C"/>
    <w:rsid w:val="00A04F85"/>
    <w:rsid w:val="00A05FA4"/>
    <w:rsid w:val="00A102E4"/>
    <w:rsid w:val="00A1219C"/>
    <w:rsid w:val="00A12C42"/>
    <w:rsid w:val="00A14DF7"/>
    <w:rsid w:val="00A22D57"/>
    <w:rsid w:val="00A3246D"/>
    <w:rsid w:val="00A36FA7"/>
    <w:rsid w:val="00A44DDB"/>
    <w:rsid w:val="00A475B7"/>
    <w:rsid w:val="00A47AF7"/>
    <w:rsid w:val="00A47C3E"/>
    <w:rsid w:val="00A50226"/>
    <w:rsid w:val="00A60BAD"/>
    <w:rsid w:val="00A641AD"/>
    <w:rsid w:val="00A77F87"/>
    <w:rsid w:val="00A80B5B"/>
    <w:rsid w:val="00A8279A"/>
    <w:rsid w:val="00A84E36"/>
    <w:rsid w:val="00A964D1"/>
    <w:rsid w:val="00AA0ED0"/>
    <w:rsid w:val="00AB2E44"/>
    <w:rsid w:val="00AC2B40"/>
    <w:rsid w:val="00AC2BB2"/>
    <w:rsid w:val="00AC2C3C"/>
    <w:rsid w:val="00AC512D"/>
    <w:rsid w:val="00AD0083"/>
    <w:rsid w:val="00AD3935"/>
    <w:rsid w:val="00AE65EB"/>
    <w:rsid w:val="00AE67A7"/>
    <w:rsid w:val="00AF1D94"/>
    <w:rsid w:val="00AF60C5"/>
    <w:rsid w:val="00B009C6"/>
    <w:rsid w:val="00B01548"/>
    <w:rsid w:val="00B130C5"/>
    <w:rsid w:val="00B13EBD"/>
    <w:rsid w:val="00B21D29"/>
    <w:rsid w:val="00B25034"/>
    <w:rsid w:val="00B30DD7"/>
    <w:rsid w:val="00B33588"/>
    <w:rsid w:val="00B33863"/>
    <w:rsid w:val="00B37D17"/>
    <w:rsid w:val="00B4175E"/>
    <w:rsid w:val="00B41C85"/>
    <w:rsid w:val="00B452CE"/>
    <w:rsid w:val="00B54C25"/>
    <w:rsid w:val="00B76B91"/>
    <w:rsid w:val="00B77EB1"/>
    <w:rsid w:val="00B811C6"/>
    <w:rsid w:val="00B855B0"/>
    <w:rsid w:val="00B92E08"/>
    <w:rsid w:val="00BC13B6"/>
    <w:rsid w:val="00BC622A"/>
    <w:rsid w:val="00BE0A78"/>
    <w:rsid w:val="00BE4939"/>
    <w:rsid w:val="00BE79F0"/>
    <w:rsid w:val="00BF046D"/>
    <w:rsid w:val="00BF1190"/>
    <w:rsid w:val="00BF3774"/>
    <w:rsid w:val="00BF5D04"/>
    <w:rsid w:val="00C009AA"/>
    <w:rsid w:val="00C1164D"/>
    <w:rsid w:val="00C13240"/>
    <w:rsid w:val="00C16861"/>
    <w:rsid w:val="00C346AB"/>
    <w:rsid w:val="00C404A6"/>
    <w:rsid w:val="00C40A36"/>
    <w:rsid w:val="00C44419"/>
    <w:rsid w:val="00C45E7B"/>
    <w:rsid w:val="00C471B1"/>
    <w:rsid w:val="00C52E24"/>
    <w:rsid w:val="00C6316B"/>
    <w:rsid w:val="00C634A9"/>
    <w:rsid w:val="00C64586"/>
    <w:rsid w:val="00C70D53"/>
    <w:rsid w:val="00C73D0B"/>
    <w:rsid w:val="00C74F5C"/>
    <w:rsid w:val="00C772FF"/>
    <w:rsid w:val="00C80137"/>
    <w:rsid w:val="00C801AF"/>
    <w:rsid w:val="00C80256"/>
    <w:rsid w:val="00C94CD4"/>
    <w:rsid w:val="00C9747E"/>
    <w:rsid w:val="00CB6BC0"/>
    <w:rsid w:val="00CC1B7C"/>
    <w:rsid w:val="00CC727F"/>
    <w:rsid w:val="00CC7C78"/>
    <w:rsid w:val="00CD4EAC"/>
    <w:rsid w:val="00CF15C3"/>
    <w:rsid w:val="00CF2B6F"/>
    <w:rsid w:val="00CF2F3E"/>
    <w:rsid w:val="00CF58B6"/>
    <w:rsid w:val="00D0062D"/>
    <w:rsid w:val="00D017ED"/>
    <w:rsid w:val="00D040D3"/>
    <w:rsid w:val="00D041DD"/>
    <w:rsid w:val="00D04C65"/>
    <w:rsid w:val="00D104AA"/>
    <w:rsid w:val="00D153D8"/>
    <w:rsid w:val="00D201D2"/>
    <w:rsid w:val="00D224FE"/>
    <w:rsid w:val="00D23139"/>
    <w:rsid w:val="00D425BB"/>
    <w:rsid w:val="00D453FA"/>
    <w:rsid w:val="00D55905"/>
    <w:rsid w:val="00D6493E"/>
    <w:rsid w:val="00D7195D"/>
    <w:rsid w:val="00D7301E"/>
    <w:rsid w:val="00D83AE1"/>
    <w:rsid w:val="00D855D4"/>
    <w:rsid w:val="00D902C9"/>
    <w:rsid w:val="00D93466"/>
    <w:rsid w:val="00DA1124"/>
    <w:rsid w:val="00DA64CB"/>
    <w:rsid w:val="00DB06B8"/>
    <w:rsid w:val="00DB6124"/>
    <w:rsid w:val="00DB750B"/>
    <w:rsid w:val="00DB75B7"/>
    <w:rsid w:val="00DC0A2F"/>
    <w:rsid w:val="00DC1948"/>
    <w:rsid w:val="00DC6E02"/>
    <w:rsid w:val="00DD28CD"/>
    <w:rsid w:val="00DE02AE"/>
    <w:rsid w:val="00DE39D1"/>
    <w:rsid w:val="00DF1893"/>
    <w:rsid w:val="00DF1D7F"/>
    <w:rsid w:val="00DF4BE4"/>
    <w:rsid w:val="00E02382"/>
    <w:rsid w:val="00E02FB4"/>
    <w:rsid w:val="00E13FC7"/>
    <w:rsid w:val="00E20571"/>
    <w:rsid w:val="00E22E65"/>
    <w:rsid w:val="00E235F7"/>
    <w:rsid w:val="00E23659"/>
    <w:rsid w:val="00E239D4"/>
    <w:rsid w:val="00E26130"/>
    <w:rsid w:val="00E274BC"/>
    <w:rsid w:val="00E40B22"/>
    <w:rsid w:val="00E44ED1"/>
    <w:rsid w:val="00E45619"/>
    <w:rsid w:val="00E4588F"/>
    <w:rsid w:val="00E46DA3"/>
    <w:rsid w:val="00E51BB1"/>
    <w:rsid w:val="00E55CB0"/>
    <w:rsid w:val="00E624A5"/>
    <w:rsid w:val="00E64BA4"/>
    <w:rsid w:val="00E7344E"/>
    <w:rsid w:val="00E82665"/>
    <w:rsid w:val="00EA66A2"/>
    <w:rsid w:val="00EB0798"/>
    <w:rsid w:val="00EB40AD"/>
    <w:rsid w:val="00EB586E"/>
    <w:rsid w:val="00EB5FC8"/>
    <w:rsid w:val="00EC463D"/>
    <w:rsid w:val="00EC7A85"/>
    <w:rsid w:val="00ED2922"/>
    <w:rsid w:val="00ED3CAD"/>
    <w:rsid w:val="00ED5A41"/>
    <w:rsid w:val="00EE1903"/>
    <w:rsid w:val="00EE1DE8"/>
    <w:rsid w:val="00EE27C2"/>
    <w:rsid w:val="00EE6EB2"/>
    <w:rsid w:val="00EF4BAD"/>
    <w:rsid w:val="00EF59DC"/>
    <w:rsid w:val="00F033EC"/>
    <w:rsid w:val="00F04F68"/>
    <w:rsid w:val="00F12670"/>
    <w:rsid w:val="00F14B27"/>
    <w:rsid w:val="00F17260"/>
    <w:rsid w:val="00F25025"/>
    <w:rsid w:val="00F3148D"/>
    <w:rsid w:val="00F315E3"/>
    <w:rsid w:val="00F325C5"/>
    <w:rsid w:val="00F32FE0"/>
    <w:rsid w:val="00F35298"/>
    <w:rsid w:val="00F47333"/>
    <w:rsid w:val="00F47E37"/>
    <w:rsid w:val="00F53C07"/>
    <w:rsid w:val="00F54B65"/>
    <w:rsid w:val="00F640B6"/>
    <w:rsid w:val="00F66DF2"/>
    <w:rsid w:val="00F80E40"/>
    <w:rsid w:val="00F829F5"/>
    <w:rsid w:val="00F848D9"/>
    <w:rsid w:val="00F8651F"/>
    <w:rsid w:val="00F924D9"/>
    <w:rsid w:val="00FA5069"/>
    <w:rsid w:val="00FA5B82"/>
    <w:rsid w:val="00FA639E"/>
    <w:rsid w:val="00FC1FCA"/>
    <w:rsid w:val="00FC25E4"/>
    <w:rsid w:val="00FC4EF7"/>
    <w:rsid w:val="00FD0824"/>
    <w:rsid w:val="00FD119B"/>
    <w:rsid w:val="00FD1EDC"/>
    <w:rsid w:val="00FD4695"/>
    <w:rsid w:val="00FD7608"/>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1D861DC"/>
  <w15:docId w15:val="{EF7EF405-4C9A-45F2-8801-4F34E3A23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6E7419"/>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TabletextChar">
    <w:name w:val="Table text Char"/>
    <w:basedOn w:val="DefaultParagraphFont"/>
    <w:link w:val="Tabletext"/>
    <w:rsid w:val="00F25025"/>
    <w:rPr>
      <w:rFonts w:ascii="Cambria" w:eastAsia="Cambria" w:hAnsi="Cambria" w:cs="Times New Roman"/>
      <w:sz w:val="19"/>
    </w:rPr>
  </w:style>
  <w:style w:type="paragraph" w:customStyle="1" w:styleId="Summaryofsafetyconcerns">
    <w:name w:val="Summary of safety concerns"/>
    <w:basedOn w:val="Tabletext"/>
    <w:link w:val="SummaryofsafetyconcernsChar"/>
    <w:qFormat/>
    <w:rsid w:val="00F25025"/>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F25025"/>
    <w:rPr>
      <w:rFonts w:ascii="Cambria" w:eastAsia="Times New Roman" w:hAnsi="Cambria" w:cs="Times New Roman"/>
      <w:b/>
      <w:snapToGrid w:val="0"/>
      <w:kern w:val="16"/>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7113111">
      <w:bodyDiv w:val="1"/>
      <w:marLeft w:val="0"/>
      <w:marRight w:val="0"/>
      <w:marTop w:val="0"/>
      <w:marBottom w:val="0"/>
      <w:divBdr>
        <w:top w:val="none" w:sz="0" w:space="0" w:color="auto"/>
        <w:left w:val="none" w:sz="0" w:space="0" w:color="auto"/>
        <w:bottom w:val="none" w:sz="0" w:space="0" w:color="auto"/>
        <w:right w:val="none" w:sz="0" w:space="0" w:color="auto"/>
      </w:divBdr>
      <w:divsChild>
        <w:div w:id="484706441">
          <w:marLeft w:val="0"/>
          <w:marRight w:val="0"/>
          <w:marTop w:val="0"/>
          <w:marBottom w:val="0"/>
          <w:divBdr>
            <w:top w:val="none" w:sz="0" w:space="0" w:color="auto"/>
            <w:left w:val="none" w:sz="0" w:space="0" w:color="auto"/>
            <w:bottom w:val="none" w:sz="0" w:space="0" w:color="auto"/>
            <w:right w:val="none" w:sz="0" w:space="0" w:color="auto"/>
          </w:divBdr>
          <w:divsChild>
            <w:div w:id="1816875782">
              <w:marLeft w:val="0"/>
              <w:marRight w:val="0"/>
              <w:marTop w:val="0"/>
              <w:marBottom w:val="0"/>
              <w:divBdr>
                <w:top w:val="none" w:sz="0" w:space="0" w:color="auto"/>
                <w:left w:val="none" w:sz="0" w:space="0" w:color="auto"/>
                <w:bottom w:val="none" w:sz="0" w:space="0" w:color="auto"/>
                <w:right w:val="none" w:sz="0" w:space="0" w:color="auto"/>
              </w:divBdr>
              <w:divsChild>
                <w:div w:id="745539931">
                  <w:marLeft w:val="0"/>
                  <w:marRight w:val="0"/>
                  <w:marTop w:val="0"/>
                  <w:marBottom w:val="0"/>
                  <w:divBdr>
                    <w:top w:val="none" w:sz="0" w:space="0" w:color="auto"/>
                    <w:left w:val="none" w:sz="0" w:space="0" w:color="auto"/>
                    <w:bottom w:val="none" w:sz="0" w:space="0" w:color="auto"/>
                    <w:right w:val="none" w:sz="0" w:space="0" w:color="auto"/>
                  </w:divBdr>
                  <w:divsChild>
                    <w:div w:id="1667243138">
                      <w:marLeft w:val="0"/>
                      <w:marRight w:val="0"/>
                      <w:marTop w:val="0"/>
                      <w:marBottom w:val="0"/>
                      <w:divBdr>
                        <w:top w:val="none" w:sz="0" w:space="0" w:color="auto"/>
                        <w:left w:val="none" w:sz="0" w:space="0" w:color="auto"/>
                        <w:bottom w:val="none" w:sz="0" w:space="0" w:color="auto"/>
                        <w:right w:val="none" w:sz="0" w:space="0" w:color="auto"/>
                      </w:divBdr>
                      <w:divsChild>
                        <w:div w:id="933392184">
                          <w:marLeft w:val="0"/>
                          <w:marRight w:val="0"/>
                          <w:marTop w:val="0"/>
                          <w:marBottom w:val="0"/>
                          <w:divBdr>
                            <w:top w:val="none" w:sz="0" w:space="0" w:color="auto"/>
                            <w:left w:val="none" w:sz="0" w:space="0" w:color="auto"/>
                            <w:bottom w:val="none" w:sz="0" w:space="0" w:color="auto"/>
                            <w:right w:val="none" w:sz="0" w:space="0" w:color="auto"/>
                          </w:divBdr>
                          <w:divsChild>
                            <w:div w:id="2109811476">
                              <w:marLeft w:val="0"/>
                              <w:marRight w:val="0"/>
                              <w:marTop w:val="0"/>
                              <w:marBottom w:val="0"/>
                              <w:divBdr>
                                <w:top w:val="none" w:sz="0" w:space="0" w:color="auto"/>
                                <w:left w:val="none" w:sz="0" w:space="0" w:color="auto"/>
                                <w:bottom w:val="none" w:sz="0" w:space="0" w:color="auto"/>
                                <w:right w:val="none" w:sz="0" w:space="0" w:color="auto"/>
                              </w:divBdr>
                              <w:divsChild>
                                <w:div w:id="742944892">
                                  <w:marLeft w:val="0"/>
                                  <w:marRight w:val="0"/>
                                  <w:marTop w:val="0"/>
                                  <w:marBottom w:val="0"/>
                                  <w:divBdr>
                                    <w:top w:val="none" w:sz="0" w:space="0" w:color="auto"/>
                                    <w:left w:val="none" w:sz="0" w:space="0" w:color="auto"/>
                                    <w:bottom w:val="none" w:sz="0" w:space="0" w:color="auto"/>
                                    <w:right w:val="none" w:sz="0" w:space="0" w:color="auto"/>
                                  </w:divBdr>
                                  <w:divsChild>
                                    <w:div w:id="2072733955">
                                      <w:marLeft w:val="0"/>
                                      <w:marRight w:val="0"/>
                                      <w:marTop w:val="0"/>
                                      <w:marBottom w:val="0"/>
                                      <w:divBdr>
                                        <w:top w:val="none" w:sz="0" w:space="0" w:color="auto"/>
                                        <w:left w:val="none" w:sz="0" w:space="0" w:color="auto"/>
                                        <w:bottom w:val="none" w:sz="0" w:space="0" w:color="auto"/>
                                        <w:right w:val="none" w:sz="0" w:space="0" w:color="auto"/>
                                      </w:divBdr>
                                      <w:divsChild>
                                        <w:div w:id="182054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header" Target="header6.xml"/><Relationship Id="rId50" Type="http://schemas.openxmlformats.org/officeDocument/2006/relationships/hyperlink" Target="https://www.tga.gov.au" TargetMode="External"/><Relationship Id="rId55"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tga.gov.au/product-information-pi"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eader" Target="header4.xml"/><Relationship Id="rId53" Type="http://schemas.openxmlformats.org/officeDocument/2006/relationships/footer" Target="footer5.xml"/><Relationship Id="rId58"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mailto:info@tga.gov.au" TargetMode="External"/><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hyperlink" Target="https://www.tga.gov.au/product-information-pi" TargetMode="External"/><Relationship Id="rId52"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footer" Target="footer4.xml"/><Relationship Id="rId56" Type="http://schemas.openxmlformats.org/officeDocument/2006/relationships/fontTable" Target="fontTable.xml"/><Relationship Id="rId8" Type="http://schemas.openxmlformats.org/officeDocument/2006/relationships/hyperlink" Target="https://www.tga.gov.au" TargetMode="External"/><Relationship Id="rId51" Type="http://schemas.openxmlformats.org/officeDocument/2006/relationships/header" Target="header7.xm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rgul\AppData\Local\Hewlett-Packard\HP%20TRIM\TEMP\HPTRIM.13708\t0Q8OMK7.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248CB2-BE92-4D67-A305-3B167576D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t0Q8OMK7</Template>
  <TotalTime>0</TotalTime>
  <Pages>33</Pages>
  <Words>7466</Words>
  <Characters>42559</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Australian public assessment report for Pertussis vaccine - acellular combined with diphtheria and tetanus toxoids (adsorbed)</vt:lpstr>
    </vt:vector>
  </TitlesOfParts>
  <Company>Department of Health Therapeutic Goods Administration</Company>
  <LinksUpToDate>false</LinksUpToDate>
  <CharactersWithSpaces>49926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Pertussis vaccine - acellular combined with diphtheria and tetanus toxoids (adsorbed)</dc:title>
  <dc:subject>prescription medicines</dc:subject>
  <dc:creator>Therapeutic Goods Administration</dc:creator>
  <cp:lastPrinted>2019-08-14T04:30:00Z</cp:lastPrinted>
  <dcterms:created xsi:type="dcterms:W3CDTF">2020-03-26T03:49:00Z</dcterms:created>
  <dcterms:modified xsi:type="dcterms:W3CDTF">2020-03-26T03:49:00Z</dcterms:modified>
</cp:coreProperties>
</file>