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922" w:rsidRPr="00717E34" w:rsidRDefault="005A2922" w:rsidP="005A2922">
      <w:pPr>
        <w:pStyle w:val="Heading2"/>
        <w:numPr>
          <w:ilvl w:val="0"/>
          <w:numId w:val="0"/>
        </w:numPr>
        <w:ind w:left="360"/>
        <w:rPr>
          <w:rFonts w:eastAsia="SimSun"/>
        </w:rPr>
      </w:pPr>
      <w:bookmarkStart w:id="0" w:name="_GoBack"/>
      <w:bookmarkEnd w:id="0"/>
      <w:r w:rsidRPr="00717E34">
        <w:rPr>
          <w:rFonts w:eastAsia="SimSun"/>
        </w:rPr>
        <w:t>Australian PI –</w:t>
      </w:r>
      <w:r>
        <w:rPr>
          <w:rFonts w:eastAsia="SimSun"/>
        </w:rPr>
        <w:t xml:space="preserve"> </w:t>
      </w:r>
      <w:proofErr w:type="spellStart"/>
      <w:r w:rsidRPr="00717E34">
        <w:rPr>
          <w:rFonts w:eastAsia="SimSun"/>
        </w:rPr>
        <w:t>adacel</w:t>
      </w:r>
      <w:proofErr w:type="spellEnd"/>
      <w:r w:rsidRPr="00717E34">
        <w:rPr>
          <w:rFonts w:eastAsia="SimSun"/>
          <w:vertAlign w:val="superscript"/>
        </w:rPr>
        <w:t>®</w:t>
      </w:r>
      <w:r>
        <w:rPr>
          <w:rFonts w:eastAsia="SimSun"/>
          <w:vertAlign w:val="superscript"/>
        </w:rPr>
        <w:t xml:space="preserve"> </w:t>
      </w:r>
      <w:r w:rsidRPr="00717E34">
        <w:rPr>
          <w:rFonts w:eastAsia="SimSun"/>
        </w:rPr>
        <w:t xml:space="preserve">Pertussis Vaccine-Acellular Combined with Diphtheria and Tetanus Toxoids (Adsorbed) </w:t>
      </w:r>
    </w:p>
    <w:p w:rsidR="005A2922" w:rsidRPr="00717E34" w:rsidRDefault="005A2922" w:rsidP="005A2922">
      <w:pPr>
        <w:pStyle w:val="Heading2"/>
      </w:pPr>
      <w:r w:rsidRPr="00717E34">
        <w:t>Name of the medicine</w:t>
      </w:r>
    </w:p>
    <w:p w:rsidR="005A2922" w:rsidRPr="00717E34" w:rsidRDefault="005A2922" w:rsidP="005A2922">
      <w:pPr>
        <w:spacing w:before="120"/>
        <w:rPr>
          <w:b/>
          <w:bCs/>
        </w:rPr>
      </w:pPr>
      <w:r w:rsidRPr="00717E34">
        <w:rPr>
          <w:b/>
          <w:bCs/>
        </w:rPr>
        <w:t>ADACEL</w:t>
      </w:r>
      <w:r w:rsidRPr="00717E34">
        <w:rPr>
          <w:b/>
          <w:bCs/>
          <w:vertAlign w:val="superscript"/>
        </w:rPr>
        <w:sym w:font="Symbol" w:char="F0D2"/>
      </w:r>
    </w:p>
    <w:p w:rsidR="005A2922" w:rsidRPr="00717E34" w:rsidRDefault="005A2922" w:rsidP="005A2922">
      <w:pPr>
        <w:spacing w:before="120"/>
      </w:pPr>
      <w:r w:rsidRPr="00717E34">
        <w:t xml:space="preserve">Pertussis Vaccine-Acellular Combined with Diphtheria and Tetanus Toxoids (Adsorbed) </w:t>
      </w:r>
    </w:p>
    <w:p w:rsidR="005A2922" w:rsidRDefault="005A2922" w:rsidP="005A2922">
      <w:pPr>
        <w:pStyle w:val="Heading2"/>
      </w:pPr>
      <w:r w:rsidRPr="00717E34">
        <w:t>Qualitative and quantitative composition</w:t>
      </w:r>
    </w:p>
    <w:p w:rsidR="005A2922" w:rsidRPr="00325FA5" w:rsidRDefault="005A2922" w:rsidP="005A2922">
      <w:r w:rsidRPr="00325FA5">
        <w:t>Each 0.5 mL dose of Adacel contains:</w:t>
      </w:r>
    </w:p>
    <w:p w:rsidR="005A2922" w:rsidRPr="00325FA5" w:rsidRDefault="005A2922" w:rsidP="005A2922">
      <w:r w:rsidRPr="00325FA5">
        <w:t>Diphtheria toxoid</w:t>
      </w:r>
      <w:r w:rsidRPr="00325FA5">
        <w:tab/>
      </w:r>
      <w:r w:rsidRPr="00325FA5">
        <w:tab/>
      </w:r>
      <w:r w:rsidRPr="00325FA5">
        <w:tab/>
      </w:r>
      <w:r w:rsidRPr="00325FA5">
        <w:tab/>
        <w:t>≥ 2 IU (2 Lf)</w:t>
      </w:r>
    </w:p>
    <w:p w:rsidR="005A2922" w:rsidRPr="00325FA5" w:rsidRDefault="005A2922" w:rsidP="005A2922">
      <w:r w:rsidRPr="00325FA5">
        <w:t>Tetanus toxoid</w:t>
      </w:r>
      <w:r w:rsidRPr="00325FA5">
        <w:tab/>
      </w:r>
      <w:r w:rsidRPr="00325FA5">
        <w:tab/>
      </w:r>
      <w:r w:rsidRPr="00325FA5">
        <w:tab/>
      </w:r>
      <w:r w:rsidRPr="00325FA5">
        <w:tab/>
        <w:t>≥ 20 IU (5 Lf)*</w:t>
      </w:r>
    </w:p>
    <w:p w:rsidR="005A2922" w:rsidRPr="00325FA5" w:rsidRDefault="005A2922" w:rsidP="005A2922">
      <w:r w:rsidRPr="00325FA5">
        <w:t>Pertussis toxoid</w:t>
      </w:r>
      <w:r w:rsidRPr="00325FA5">
        <w:tab/>
      </w:r>
      <w:r w:rsidRPr="00325FA5">
        <w:tab/>
      </w:r>
      <w:r w:rsidRPr="00325FA5">
        <w:tab/>
      </w:r>
      <w:r w:rsidRPr="00325FA5">
        <w:tab/>
        <w:t>2.5 micrograms</w:t>
      </w:r>
    </w:p>
    <w:p w:rsidR="005A2922" w:rsidRPr="00325FA5" w:rsidRDefault="005A2922" w:rsidP="005A2922">
      <w:r w:rsidRPr="00325FA5">
        <w:t xml:space="preserve">Pertussis filamentous </w:t>
      </w:r>
      <w:proofErr w:type="spellStart"/>
      <w:r w:rsidRPr="00325FA5">
        <w:t>haemagglutinin</w:t>
      </w:r>
      <w:proofErr w:type="spellEnd"/>
      <w:r w:rsidRPr="00325FA5">
        <w:tab/>
        <w:t>5 micrograms</w:t>
      </w:r>
    </w:p>
    <w:p w:rsidR="005A2922" w:rsidRPr="00325FA5" w:rsidRDefault="005A2922" w:rsidP="005A2922">
      <w:proofErr w:type="spellStart"/>
      <w:r w:rsidRPr="00325FA5">
        <w:t>Pertactin</w:t>
      </w:r>
      <w:proofErr w:type="spellEnd"/>
      <w:r w:rsidRPr="00325FA5">
        <w:tab/>
      </w:r>
      <w:r w:rsidRPr="00325FA5">
        <w:tab/>
      </w:r>
      <w:r w:rsidRPr="00325FA5">
        <w:tab/>
      </w:r>
      <w:r w:rsidRPr="00325FA5">
        <w:tab/>
        <w:t>3 micrograms</w:t>
      </w:r>
    </w:p>
    <w:p w:rsidR="005A2922" w:rsidRPr="00325FA5" w:rsidRDefault="005A2922" w:rsidP="005A2922">
      <w:r w:rsidRPr="00325FA5">
        <w:t>Pertussis fimbriae 2+3</w:t>
      </w:r>
      <w:r w:rsidRPr="00325FA5">
        <w:tab/>
      </w:r>
      <w:r w:rsidRPr="00325FA5">
        <w:tab/>
      </w:r>
      <w:r w:rsidRPr="00325FA5">
        <w:tab/>
        <w:t>5 micrograms</w:t>
      </w:r>
    </w:p>
    <w:p w:rsidR="005A2922" w:rsidRPr="00325FA5" w:rsidRDefault="005A2922" w:rsidP="005A2922">
      <w:r w:rsidRPr="00325FA5">
        <w:t xml:space="preserve">Adsorbed on aluminium phosphate                   </w:t>
      </w:r>
      <w:r w:rsidRPr="00325FA5">
        <w:tab/>
        <w:t>1.5 mg</w:t>
      </w:r>
    </w:p>
    <w:p w:rsidR="005A2922" w:rsidRPr="00325FA5" w:rsidRDefault="005A2922" w:rsidP="005A2922">
      <w:r w:rsidRPr="00325FA5">
        <w:t>(0.33 mg aluminium)</w:t>
      </w:r>
    </w:p>
    <w:p w:rsidR="005A2922" w:rsidRPr="00325FA5" w:rsidRDefault="005A2922" w:rsidP="005A2922">
      <w:r w:rsidRPr="00325FA5">
        <w:t xml:space="preserve">*The formulated content of 5 Lf of tetanus toxoid per 0.5mL dose is the same as the related product </w:t>
      </w:r>
      <w:proofErr w:type="spellStart"/>
      <w:r w:rsidRPr="00325FA5">
        <w:t>Tripacel</w:t>
      </w:r>
      <w:proofErr w:type="spellEnd"/>
      <w:r w:rsidRPr="00325FA5">
        <w:t>®.</w:t>
      </w:r>
    </w:p>
    <w:p w:rsidR="005A2922" w:rsidRPr="00325FA5" w:rsidRDefault="005A2922" w:rsidP="005A2922">
      <w:r w:rsidRPr="00325FA5">
        <w:t xml:space="preserve">This vaccine may contain traces of formaldehyde and </w:t>
      </w:r>
      <w:proofErr w:type="spellStart"/>
      <w:r w:rsidRPr="00325FA5">
        <w:t>glutaral</w:t>
      </w:r>
      <w:proofErr w:type="spellEnd"/>
      <w:r w:rsidRPr="00325FA5">
        <w:t xml:space="preserve"> which are used during the manufacturing process. </w:t>
      </w:r>
    </w:p>
    <w:p w:rsidR="005A2922" w:rsidRPr="00325FA5" w:rsidRDefault="005A2922" w:rsidP="005A2922">
      <w:r w:rsidRPr="00325FA5">
        <w:t>For the full list of excipients, see Section 6.1 List of excipients.</w:t>
      </w:r>
    </w:p>
    <w:p w:rsidR="005A2922" w:rsidRPr="00325FA5" w:rsidRDefault="005A2922" w:rsidP="005A2922">
      <w:r w:rsidRPr="00325FA5">
        <w:t xml:space="preserve">The vaccine is prepared from: purified, formaldehyde-detoxified and adsorbed diphtheria and tetanus toxins; purified, </w:t>
      </w:r>
      <w:proofErr w:type="spellStart"/>
      <w:r w:rsidRPr="00325FA5">
        <w:t>glutaral</w:t>
      </w:r>
      <w:proofErr w:type="spellEnd"/>
      <w:r w:rsidRPr="00325FA5">
        <w:t xml:space="preserve">-detoxified and adsorbed pertussis toxin (pertussis toxoid or PT); purified, formaldehyde-treated and adsorbed filamentous </w:t>
      </w:r>
      <w:proofErr w:type="spellStart"/>
      <w:r w:rsidRPr="00325FA5">
        <w:t>haemagglutinin</w:t>
      </w:r>
      <w:proofErr w:type="spellEnd"/>
      <w:r w:rsidRPr="00325FA5">
        <w:t xml:space="preserve"> (FHA); purified and adsorbed </w:t>
      </w:r>
      <w:proofErr w:type="spellStart"/>
      <w:r w:rsidRPr="00325FA5">
        <w:t>pertactin</w:t>
      </w:r>
      <w:proofErr w:type="spellEnd"/>
      <w:r w:rsidRPr="00325FA5">
        <w:t xml:space="preserve"> (PRN) and co-purified and adsorbed fimbriae types 2 and 3 (FIM).</w:t>
      </w:r>
    </w:p>
    <w:p w:rsidR="005A2922" w:rsidRDefault="005A2922" w:rsidP="005A2922">
      <w:r w:rsidRPr="00325FA5">
        <w:t>Adacel is an adult/adolescent formulation diphtheria-tetanus-acellular pertussis (</w:t>
      </w:r>
      <w:proofErr w:type="spellStart"/>
      <w:r w:rsidRPr="00325FA5">
        <w:t>dTpa</w:t>
      </w:r>
      <w:proofErr w:type="spellEnd"/>
      <w:r w:rsidRPr="00325FA5">
        <w:t xml:space="preserve">) combination vaccine with reduced content of pertussis toxoid, filamentous </w:t>
      </w:r>
      <w:proofErr w:type="spellStart"/>
      <w:r w:rsidRPr="00325FA5">
        <w:t>haemagglutinin</w:t>
      </w:r>
      <w:proofErr w:type="spellEnd"/>
      <w:r>
        <w:t xml:space="preserve"> and diphtheria toxoid compared to paediatric diphtheria-tetanus-acellular pertussis (</w:t>
      </w:r>
      <w:proofErr w:type="spellStart"/>
      <w:r>
        <w:t>DTPa</w:t>
      </w:r>
      <w:proofErr w:type="spellEnd"/>
      <w:r>
        <w:t>) formulations.</w:t>
      </w:r>
    </w:p>
    <w:p w:rsidR="005A2922" w:rsidRDefault="005A2922" w:rsidP="005A2922">
      <w:r>
        <w:lastRenderedPageBreak/>
        <w:t xml:space="preserve">The manufacture of this product includes exposure to bovine materials. No evidence exists that any case of </w:t>
      </w:r>
      <w:proofErr w:type="spellStart"/>
      <w:r>
        <w:t>vCJD</w:t>
      </w:r>
      <w:proofErr w:type="spellEnd"/>
      <w:r>
        <w:t xml:space="preserve"> (considered to be the human form of bovine spongiform encephalopathy) has resulted from the administration of any vaccine product.</w:t>
      </w:r>
    </w:p>
    <w:p w:rsidR="005A2922" w:rsidRDefault="005A2922" w:rsidP="005A2922">
      <w:pPr>
        <w:pStyle w:val="Heading2"/>
      </w:pPr>
      <w:r>
        <w:tab/>
        <w:t>PHARMACEUTICAL FORM</w:t>
      </w:r>
    </w:p>
    <w:p w:rsidR="005A2922" w:rsidRDefault="005A2922" w:rsidP="005A2922">
      <w:r>
        <w:t xml:space="preserve">Sterile suspension for injection. Adacel appears as a sterile, uniform, cloudy, white suspension. </w:t>
      </w:r>
    </w:p>
    <w:p w:rsidR="005A2922" w:rsidRDefault="005A2922" w:rsidP="005A2922">
      <w:pPr>
        <w:pStyle w:val="Heading2"/>
      </w:pPr>
      <w:r>
        <w:tab/>
        <w:t>CLINICAL PARTICULARS</w:t>
      </w:r>
    </w:p>
    <w:p w:rsidR="005A2922" w:rsidRDefault="000B137F" w:rsidP="000B137F">
      <w:pPr>
        <w:pStyle w:val="Heading3"/>
      </w:pPr>
      <w:r>
        <w:t>4.1</w:t>
      </w:r>
      <w:r w:rsidR="005A2922">
        <w:tab/>
        <w:t>THERAPEUTIC INDICATIONS</w:t>
      </w:r>
    </w:p>
    <w:p w:rsidR="005A2922" w:rsidRDefault="005A2922" w:rsidP="005A2922">
      <w:r>
        <w:t>Adacel is indicated for active immunisation against tetanus, diphtheria and pertussis in persons aged 10 years and over as a booster following primary immunisation.</w:t>
      </w:r>
    </w:p>
    <w:p w:rsidR="005A2922" w:rsidRDefault="005A2922" w:rsidP="005A2922">
      <w:r>
        <w:t xml:space="preserve">Adacel may be administered during pregnancy for prevention of pertussis in young infants via </w:t>
      </w:r>
      <w:proofErr w:type="spellStart"/>
      <w:r>
        <w:t>transplacental</w:t>
      </w:r>
      <w:proofErr w:type="spellEnd"/>
      <w:r>
        <w:t xml:space="preserve"> antibody transfer from the pregnant woman to the </w:t>
      </w:r>
      <w:proofErr w:type="spellStart"/>
      <w:r>
        <w:t>fetus</w:t>
      </w:r>
      <w:proofErr w:type="spellEnd"/>
      <w:r>
        <w:t xml:space="preserve">. </w:t>
      </w:r>
    </w:p>
    <w:p w:rsidR="005A2922" w:rsidRDefault="005A2922" w:rsidP="005A2922">
      <w:pPr>
        <w:pStyle w:val="Heading3"/>
      </w:pPr>
      <w:r>
        <w:t>4.2</w:t>
      </w:r>
      <w:r>
        <w:tab/>
        <w:t xml:space="preserve">DOSE AND METHOD OF ADMINISTRATION </w:t>
      </w:r>
    </w:p>
    <w:p w:rsidR="005A2922" w:rsidRDefault="005A2922" w:rsidP="005A2922">
      <w:r>
        <w:t>Adacel (0.5 mL) should be administered by intramuscular route.</w:t>
      </w:r>
    </w:p>
    <w:p w:rsidR="005A2922" w:rsidRDefault="005A2922" w:rsidP="005A2922">
      <w:r>
        <w:t xml:space="preserve">Booster doses of Adacel should be given according to the official national recommendations as per the current Immunisation Handbook. </w:t>
      </w:r>
    </w:p>
    <w:p w:rsidR="005A2922" w:rsidRDefault="005A2922" w:rsidP="005A2922">
      <w:r>
        <w:t xml:space="preserve">Consistent with the official national recommendations, in adolescents or adults with an unknown or incomplete vaccination against diphtheria, tetanus and pertussis, one dose of </w:t>
      </w:r>
      <w:proofErr w:type="spellStart"/>
      <w:r>
        <w:t>dTpa</w:t>
      </w:r>
      <w:proofErr w:type="spellEnd"/>
      <w:r>
        <w:t xml:space="preserve"> vaccine should be administered as part of a vaccination series against diphtheria, tetanus, and pertussis. Two additional doses of a diphtheria and tetanus containing vaccine should also be given.  </w:t>
      </w:r>
    </w:p>
    <w:p w:rsidR="005A2922" w:rsidRDefault="005A2922" w:rsidP="005A2922">
      <w:r>
        <w:t xml:space="preserve">Adacel can be used for repeat vaccination, after a previous dose of </w:t>
      </w:r>
      <w:proofErr w:type="spellStart"/>
      <w:r>
        <w:t>dTpa</w:t>
      </w:r>
      <w:proofErr w:type="spellEnd"/>
      <w:r>
        <w:t xml:space="preserve"> or </w:t>
      </w:r>
      <w:proofErr w:type="spellStart"/>
      <w:r>
        <w:t>dTpa</w:t>
      </w:r>
      <w:proofErr w:type="spellEnd"/>
      <w:r>
        <w:t xml:space="preserve">-IPV to boost immunity to diphtheria, tetanus and pertussis at 5- to 10-year intervals. Repeat vaccination should be performed taking into account official national recommendations.  </w:t>
      </w:r>
    </w:p>
    <w:p w:rsidR="005A2922" w:rsidRDefault="005A2922" w:rsidP="005A2922">
      <w:r>
        <w:t>If Adacel is administered to a pregnant woman, it should be done according to official national recommendations for pertussis vaccination of a pregnant woman.</w:t>
      </w:r>
    </w:p>
    <w:p w:rsidR="005A2922" w:rsidRDefault="005A2922" w:rsidP="005A2922">
      <w:r>
        <w:t>For further information, refer to the current Immunisation Handbook.</w:t>
      </w:r>
    </w:p>
    <w:p w:rsidR="005A2922" w:rsidRDefault="005A2922" w:rsidP="005A2922">
      <w:pPr>
        <w:pStyle w:val="Heading4"/>
      </w:pPr>
      <w:r>
        <w:t>Administration</w:t>
      </w:r>
    </w:p>
    <w:p w:rsidR="005A2922" w:rsidRDefault="005A2922" w:rsidP="005A2922">
      <w:r>
        <w:t>Inject 0.5 mL intramuscularly. The preferred site is into the deltoid muscle. The vaccine should not be injected into the gluteal area.</w:t>
      </w:r>
    </w:p>
    <w:p w:rsidR="00682851" w:rsidRDefault="00682851" w:rsidP="00682851">
      <w:r>
        <w:lastRenderedPageBreak/>
        <w:t>The vaccine’s normal appearance is a uniform, cloudy, white suspension which may sediment during storage. Shake the vial well to uniformly distribute the suspension before withdrawing the dose.</w:t>
      </w:r>
    </w:p>
    <w:p w:rsidR="00682851" w:rsidRDefault="00682851" w:rsidP="00682851">
      <w:r>
        <w:t>Parenteral biological products should be inspected visually for extraneous particulate matter and/or discolouration prior to administration. If these conditions exist, the product should not be administered.</w:t>
      </w:r>
    </w:p>
    <w:p w:rsidR="00682851" w:rsidRDefault="00682851" w:rsidP="00682851">
      <w:r>
        <w:t xml:space="preserve">When administering a dose from a stoppered vial, do not remove either the stopper or the metal seal holding it in place. Once the vial has been opened, any of its contents not used immediately should be discarded. Aseptic technique must be used for withdrawal of the dose. </w:t>
      </w:r>
    </w:p>
    <w:p w:rsidR="00682851" w:rsidRDefault="00682851" w:rsidP="00682851">
      <w:r>
        <w:t>Separate syringes, separate injection sites and preferably separate limbs must be used in case of concomitant administration.</w:t>
      </w:r>
    </w:p>
    <w:p w:rsidR="00682851" w:rsidRDefault="00682851" w:rsidP="00682851">
      <w:r>
        <w:t>Product is for single use in one patient on one occasion only. Discard any residue.</w:t>
      </w:r>
    </w:p>
    <w:p w:rsidR="00682851" w:rsidRDefault="00682851" w:rsidP="00682851">
      <w:pPr>
        <w:pStyle w:val="Heading3"/>
      </w:pPr>
      <w:r>
        <w:t>4.3</w:t>
      </w:r>
      <w:r>
        <w:tab/>
        <w:t>CONTRAINDICATIONS</w:t>
      </w:r>
    </w:p>
    <w:p w:rsidR="00682851" w:rsidRDefault="00682851" w:rsidP="00682851">
      <w:r>
        <w:t>Hypersensitivity</w:t>
      </w:r>
    </w:p>
    <w:p w:rsidR="00682851" w:rsidRDefault="00682851" w:rsidP="00682851">
      <w:r>
        <w:t xml:space="preserve">Adacel should not be administered to individuals with a history of severe allergic reaction after previous administration of the vaccine or a vaccine containing the same components or constituents. </w:t>
      </w:r>
    </w:p>
    <w:p w:rsidR="00682851" w:rsidRDefault="00682851" w:rsidP="00682851">
      <w:r>
        <w:t xml:space="preserve">Adacel should not be administered to individuals with a history of severe allergic reaction to any component of the vaccine (see components listed in Section 2 Qualitative and quantitative composition and Section 6.1 List of excipients). </w:t>
      </w:r>
    </w:p>
    <w:p w:rsidR="00682851" w:rsidRDefault="00682851" w:rsidP="00682851">
      <w:r>
        <w:t>Febrile or acute disease</w:t>
      </w:r>
    </w:p>
    <w:p w:rsidR="00682851" w:rsidRDefault="00682851" w:rsidP="00682851">
      <w:r>
        <w:t>Generally, vaccination must be postponed in cases of moderate or severe febrile and/or acute disease. Low-grade fever does not constitute a contraindication.</w:t>
      </w:r>
    </w:p>
    <w:p w:rsidR="00682851" w:rsidRDefault="00682851" w:rsidP="00682851">
      <w:r>
        <w:t>Neurological disorders</w:t>
      </w:r>
    </w:p>
    <w:p w:rsidR="00682851" w:rsidRDefault="00682851" w:rsidP="00682851">
      <w:r>
        <w:t>Adacel should not be administered to individuals who experienced an encephalopathy of unknown origin within 7 days of previous immunisation with a pertussis-containing vaccine, or to individuals who have experienced other neurological complications following previous immunisation with any of the antigens in Adacel.</w:t>
      </w:r>
    </w:p>
    <w:p w:rsidR="00682851" w:rsidRDefault="00682851" w:rsidP="00682851">
      <w:pPr>
        <w:pStyle w:val="Heading3"/>
      </w:pPr>
      <w:r>
        <w:t>4.4</w:t>
      </w:r>
      <w:r>
        <w:tab/>
        <w:t>SPECIAL WARNINGS AND PRECAUTIONS FOR USE</w:t>
      </w:r>
    </w:p>
    <w:p w:rsidR="00682851" w:rsidRDefault="00682851" w:rsidP="00682851">
      <w:pPr>
        <w:pStyle w:val="Heading4"/>
      </w:pPr>
      <w:r>
        <w:t>Hypersensitivity</w:t>
      </w:r>
    </w:p>
    <w:p w:rsidR="00682851" w:rsidRDefault="00682851" w:rsidP="00682851">
      <w:r>
        <w:t xml:space="preserve">Formaldehyde and </w:t>
      </w:r>
      <w:proofErr w:type="spellStart"/>
      <w:r>
        <w:t>glutaral</w:t>
      </w:r>
      <w:proofErr w:type="spellEnd"/>
      <w:r>
        <w:t xml:space="preserve"> have been used in the manufacturing process of this product and trace residual amounts may be present in the final product. Therefore, a hypersensitivity reaction may occur.</w:t>
      </w:r>
    </w:p>
    <w:p w:rsidR="00682851" w:rsidRDefault="00682851" w:rsidP="00682851">
      <w:pPr>
        <w:pStyle w:val="Heading4"/>
      </w:pPr>
      <w:r>
        <w:lastRenderedPageBreak/>
        <w:t>Administration route related precautions</w:t>
      </w:r>
    </w:p>
    <w:p w:rsidR="00682851" w:rsidRDefault="00682851" w:rsidP="00682851">
      <w:r>
        <w:t>Do not administer by intravascular injection: ensure that the needle does not penetrate a blood vessel.</w:t>
      </w:r>
    </w:p>
    <w:p w:rsidR="00682851" w:rsidRDefault="00682851" w:rsidP="00682851">
      <w:r>
        <w:t>As with all injectable vaccines, the vaccine must be administered with caution to individuals with thrombocytopenia or a bleeding disorder since bleeding may occur following an intramuscular administration to these individuals.</w:t>
      </w:r>
    </w:p>
    <w:p w:rsidR="00682851" w:rsidRDefault="00682851" w:rsidP="00682851">
      <w:pPr>
        <w:pStyle w:val="Heading4"/>
      </w:pPr>
      <w:r>
        <w:t>Serious and severe adverse events related precautions</w:t>
      </w:r>
    </w:p>
    <w:p w:rsidR="00682851" w:rsidRDefault="00682851" w:rsidP="00682851">
      <w:r>
        <w:t>As with all injectable vaccines, appropriate medical treatment and supervision should be readily available for immediate use in case of a rare anaphylactic reaction following the administration of vaccine. As a precautionary measure, adrenaline (epinephrine) injection (1:1,000) must be immediately available in case of unexpected anaphylactic or serious allergic reactions.</w:t>
      </w:r>
    </w:p>
    <w:p w:rsidR="00682851" w:rsidRDefault="00682851" w:rsidP="00682851">
      <w:pPr>
        <w:pStyle w:val="Heading4"/>
      </w:pPr>
      <w:r>
        <w:t>Syncope</w:t>
      </w:r>
    </w:p>
    <w:p w:rsidR="00682851" w:rsidRDefault="00682851" w:rsidP="00682851">
      <w:r>
        <w:t>Syncope (fainting) can occur following, or even before, administration of injectable vaccines, including Adacel. Procedures should be in place to prevent falling injury and manage syncopal reactions.</w:t>
      </w:r>
    </w:p>
    <w:p w:rsidR="00682851" w:rsidRDefault="00682851" w:rsidP="00682851">
      <w:pPr>
        <w:pStyle w:val="Heading4"/>
      </w:pPr>
      <w:r>
        <w:t>Neurological disorders</w:t>
      </w:r>
    </w:p>
    <w:p w:rsidR="00682851" w:rsidRDefault="00682851" w:rsidP="00682851">
      <w:r>
        <w:t xml:space="preserve">If </w:t>
      </w:r>
      <w:proofErr w:type="spellStart"/>
      <w:r>
        <w:t>Guillain-Barré</w:t>
      </w:r>
      <w:proofErr w:type="spellEnd"/>
      <w:r>
        <w:t xml:space="preserve"> syndrome occurred within 6 weeks of receipt of prior vaccine containing tetanus toxoid, the decision to give any vaccine containing tetanus toxoid, including Adacel, should be based on careful consideration of the potential benefits and possible risks.</w:t>
      </w:r>
    </w:p>
    <w:p w:rsidR="00682851" w:rsidRDefault="00682851" w:rsidP="00682851">
      <w:r>
        <w:t>Adacel should not be administered to individuals with progressive or unstable neurological disorders, uncontrolled epilepsy or progressive encephalopathy until a treatment regimen has been established, the condition has stabilised and the benefit clearly outweighs the risk.</w:t>
      </w:r>
    </w:p>
    <w:p w:rsidR="00682851" w:rsidRDefault="00682851" w:rsidP="00682851">
      <w:pPr>
        <w:pStyle w:val="Heading4"/>
      </w:pPr>
      <w:r>
        <w:t>Altered immune status</w:t>
      </w:r>
    </w:p>
    <w:p w:rsidR="00682851" w:rsidRDefault="00682851" w:rsidP="00682851">
      <w:r>
        <w:t xml:space="preserve">Immunocompromised individuals (whether from disease or treatment) may not obtain the expected immune response. If possible, consideration should be given to delaying vaccination until after the completion of any immunosuppressive treatment. Nevertheless, vaccination of individuals with chronic immunodeficiency such as HIV infection is recommended even if the immune response might be limited. </w:t>
      </w:r>
    </w:p>
    <w:p w:rsidR="00682851" w:rsidRDefault="00682851" w:rsidP="00682851">
      <w:pPr>
        <w:pStyle w:val="Heading4"/>
      </w:pPr>
      <w:r>
        <w:t>Protection</w:t>
      </w:r>
    </w:p>
    <w:p w:rsidR="00682851" w:rsidRDefault="00682851" w:rsidP="00682851">
      <w:r>
        <w:t>As with any vaccine, immunisation with Adacel may not protect 100% of susceptible individuals.</w:t>
      </w:r>
    </w:p>
    <w:p w:rsidR="00682851" w:rsidRDefault="00682851" w:rsidP="00682851">
      <w:r>
        <w:t>The use of Adacel as a primary series, or to complete the primary series, has not been studied. A booster response will only be elicited in individuals who have been previously primed by vaccination or infection.</w:t>
      </w:r>
    </w:p>
    <w:p w:rsidR="00682851" w:rsidRDefault="00682851" w:rsidP="00682851">
      <w:pPr>
        <w:pStyle w:val="Heading4"/>
      </w:pPr>
      <w:r>
        <w:lastRenderedPageBreak/>
        <w:t>Use in the elderly</w:t>
      </w:r>
    </w:p>
    <w:p w:rsidR="00682851" w:rsidRDefault="00682851" w:rsidP="00682851">
      <w:r>
        <w:t>Adacel is indicated for use in the elderly.</w:t>
      </w:r>
    </w:p>
    <w:p w:rsidR="00682851" w:rsidRDefault="00682851" w:rsidP="00682851">
      <w:pPr>
        <w:pStyle w:val="Heading4"/>
      </w:pPr>
      <w:r>
        <w:t>Paediatric use</w:t>
      </w:r>
    </w:p>
    <w:p w:rsidR="00682851" w:rsidRDefault="00682851" w:rsidP="00682851">
      <w:r>
        <w:t>Adacel is indicated for use in children aged 10 years and over.</w:t>
      </w:r>
    </w:p>
    <w:p w:rsidR="00682851" w:rsidRDefault="00682851" w:rsidP="00682851">
      <w:r>
        <w:t>Adacel should not be used for primary immunisation.</w:t>
      </w:r>
    </w:p>
    <w:p w:rsidR="00682851" w:rsidRDefault="00682851" w:rsidP="00682851">
      <w:pPr>
        <w:pStyle w:val="Heading4"/>
      </w:pPr>
      <w:r>
        <w:t>Effects on laboratory tests</w:t>
      </w:r>
    </w:p>
    <w:p w:rsidR="00682851" w:rsidRDefault="00682851" w:rsidP="00682851">
      <w:r>
        <w:t xml:space="preserve">Interference of Adacel with laboratory and/or diagnostic tests has not been studied. </w:t>
      </w:r>
    </w:p>
    <w:p w:rsidR="00682851" w:rsidRDefault="00682851" w:rsidP="00682851">
      <w:pPr>
        <w:pStyle w:val="Heading3"/>
      </w:pPr>
      <w:r>
        <w:t>4.5</w:t>
      </w:r>
      <w:r>
        <w:tab/>
        <w:t>INTERACTIONS WITH OTHER MEDICINES AND OTHER FORMS OF INTERACTIONS</w:t>
      </w:r>
    </w:p>
    <w:p w:rsidR="00682851" w:rsidRDefault="00682851" w:rsidP="00682851">
      <w:r>
        <w:t xml:space="preserve">Adacel can be administered concomitantly with Hepatitis B vaccine, using a separate limb for the site of injection.  </w:t>
      </w:r>
    </w:p>
    <w:p w:rsidR="00682851" w:rsidRDefault="00682851" w:rsidP="00682851">
      <w:r>
        <w:t xml:space="preserve">In a clinical trial conducted in adolescents 11 to 17 years of age, when Adacel was administered concomitantly with </w:t>
      </w:r>
      <w:proofErr w:type="spellStart"/>
      <w:r>
        <w:t>Menactra</w:t>
      </w:r>
      <w:proofErr w:type="spellEnd"/>
      <w:r>
        <w:t xml:space="preserve">, antibody responses to pertussis (with the exception of PRN and FIM), tetanus and diphtheria antigens were non-inferior to those observed when each vaccine was administered separately. Geometric mean concentrations (GMCs) of antibodies to the pertussis antigens PRN and FIM were lower when Adacel was administered concomitantly with </w:t>
      </w:r>
      <w:proofErr w:type="spellStart"/>
      <w:r>
        <w:t>Menactra</w:t>
      </w:r>
      <w:proofErr w:type="spellEnd"/>
      <w:r>
        <w:t xml:space="preserve"> than when Adacel was administered alone. Given the strong response to all pertussis antigens across the treatment groups, and since there are no widely accepted serological correlates of protection for pertussis, the clinical significance of these lower pertussis antibody responses is unknown. The immunogenicity profile of </w:t>
      </w:r>
      <w:proofErr w:type="spellStart"/>
      <w:r>
        <w:t>Menactra</w:t>
      </w:r>
      <w:proofErr w:type="spellEnd"/>
      <w:r>
        <w:t xml:space="preserve"> was similar when administered concomitantly with Adacel or separately. </w:t>
      </w:r>
    </w:p>
    <w:p w:rsidR="00682851" w:rsidRDefault="00682851" w:rsidP="00682851">
      <w:r>
        <w:t>Separate injection sites and separate syringes must be used in case of concomitant administration.</w:t>
      </w:r>
    </w:p>
    <w:p w:rsidR="00682851" w:rsidRDefault="00682851" w:rsidP="00682851">
      <w:r>
        <w:t>Immunosuppressive treatment may interfere with the development of the expected immune response to Adacel, refer to Section 4.4 Special warnings and precautions for use.</w:t>
      </w:r>
    </w:p>
    <w:p w:rsidR="00682851" w:rsidRDefault="00682851" w:rsidP="00682851">
      <w:pPr>
        <w:pStyle w:val="Heading3"/>
      </w:pPr>
      <w:r>
        <w:t>4.6</w:t>
      </w:r>
      <w:r>
        <w:tab/>
        <w:t xml:space="preserve">FERTILITY, PREGNANCY AND LACTATION </w:t>
      </w:r>
    </w:p>
    <w:p w:rsidR="00682851" w:rsidRDefault="00682851" w:rsidP="00682851">
      <w:pPr>
        <w:pStyle w:val="Heading4"/>
      </w:pPr>
      <w:r>
        <w:t>Effects on fertility</w:t>
      </w:r>
    </w:p>
    <w:p w:rsidR="00682851" w:rsidRDefault="00682851" w:rsidP="00682851">
      <w:r>
        <w:t>Adacel has not been evaluated for the possible effects on fertility.</w:t>
      </w:r>
    </w:p>
    <w:p w:rsidR="00682851" w:rsidRPr="00682851" w:rsidRDefault="00682851" w:rsidP="00682851">
      <w:pPr>
        <w:pStyle w:val="Heading4"/>
        <w:ind w:left="862" w:hanging="862"/>
      </w:pPr>
      <w:r w:rsidRPr="00682851">
        <w:lastRenderedPageBreak/>
        <w:t>Use in pregnancy</w:t>
      </w:r>
      <w:r>
        <w:t xml:space="preserve"> </w:t>
      </w:r>
    </w:p>
    <w:p w:rsidR="00682851" w:rsidRDefault="00682851" w:rsidP="00682851">
      <w:r w:rsidRPr="00682851">
        <w:t xml:space="preserve">(Category A – Definition: Drugs which have been taken by a large number of pregnant women and women of childbearing age without any proven increase in the frequency of malformations or other direct or indirect harmful effects on the </w:t>
      </w:r>
      <w:proofErr w:type="spellStart"/>
      <w:r w:rsidRPr="00682851">
        <w:t>fetus</w:t>
      </w:r>
      <w:proofErr w:type="spellEnd"/>
      <w:r w:rsidRPr="00682851">
        <w:t xml:space="preserve"> having been observed) </w:t>
      </w:r>
    </w:p>
    <w:p w:rsidR="00682851" w:rsidRPr="0019043E" w:rsidRDefault="00682851" w:rsidP="00682851">
      <w:pPr>
        <w:pStyle w:val="Heading4"/>
      </w:pPr>
      <w:r w:rsidRPr="00682851">
        <w:t>Human Data</w:t>
      </w:r>
    </w:p>
    <w:p w:rsidR="00682851" w:rsidRDefault="00682851" w:rsidP="00682851">
      <w:pPr>
        <w:spacing w:before="120"/>
        <w:ind w:right="3"/>
      </w:pPr>
      <w:r>
        <w:t xml:space="preserve">Multiple studies involving numerous pregnant women and their offspring </w:t>
      </w:r>
      <w:r w:rsidRPr="00320855">
        <w:t>have generated considerable safety, immunogenicity and effectiveness data on the use of Adacel and Adacel Polio, which contains the same tetanus, diphtheria and acellular pertussis components as Adacel, primarily during the second an</w:t>
      </w:r>
      <w:r>
        <w:t>d third trimesters of pregnancy.</w:t>
      </w:r>
    </w:p>
    <w:p w:rsidR="00682851" w:rsidRPr="00320855" w:rsidRDefault="00682851" w:rsidP="00682851">
      <w:pPr>
        <w:spacing w:before="120"/>
        <w:ind w:right="3"/>
      </w:pPr>
      <w:r>
        <w:t>Safety data are available from 4 randomised controlled trials (310 pregnancy outcomes), 6 observational studies (84,371 pregnancy outcomes) and from passive surveillance:</w:t>
      </w:r>
    </w:p>
    <w:p w:rsidR="00682851" w:rsidRDefault="00682851" w:rsidP="00682851">
      <w:pPr>
        <w:pStyle w:val="ListBullet"/>
      </w:pPr>
      <w:r w:rsidRPr="0019043E">
        <w:t>Adacel and Adacel</w:t>
      </w:r>
      <w:r>
        <w:t xml:space="preserve"> </w:t>
      </w:r>
      <w:r w:rsidRPr="0019043E">
        <w:t>Polio led to no more than the expected (generally mild or moderate, and usually self-limited) adverse events for pregnant women who receive it</w:t>
      </w:r>
      <w:r>
        <w:t xml:space="preserve">. Safety outcomes for pregnant women were very similar to those seen when these vaccines were given to non-pregnant women of childbearing age. </w:t>
      </w:r>
    </w:p>
    <w:p w:rsidR="00682851" w:rsidRDefault="00682851" w:rsidP="00682851">
      <w:pPr>
        <w:pStyle w:val="ListBullet"/>
      </w:pPr>
      <w:r>
        <w:t xml:space="preserve">Adacel and Adacel Polio </w:t>
      </w:r>
      <w:r w:rsidRPr="0019043E">
        <w:t xml:space="preserve">have not been shown to cause harm to the </w:t>
      </w:r>
      <w:proofErr w:type="spellStart"/>
      <w:r w:rsidRPr="0019043E">
        <w:t>fetus</w:t>
      </w:r>
      <w:proofErr w:type="spellEnd"/>
      <w:r w:rsidRPr="0019043E">
        <w:t xml:space="preserve"> or newborn. </w:t>
      </w:r>
    </w:p>
    <w:p w:rsidR="00682851" w:rsidRPr="0019043E" w:rsidRDefault="00682851" w:rsidP="00682851">
      <w:pPr>
        <w:pStyle w:val="ListBullet"/>
      </w:pPr>
      <w:r>
        <w:t xml:space="preserve">Although some observational studies report a slight increase in </w:t>
      </w:r>
      <w:proofErr w:type="spellStart"/>
      <w:r>
        <w:t>chorioamnionitis</w:t>
      </w:r>
      <w:proofErr w:type="spellEnd"/>
      <w:r>
        <w:t xml:space="preserve"> when </w:t>
      </w:r>
      <w:proofErr w:type="spellStart"/>
      <w:r>
        <w:t>dTpa</w:t>
      </w:r>
      <w:proofErr w:type="spellEnd"/>
      <w:r>
        <w:t xml:space="preserve"> vaccine has been given to pregnant women, this has not been associated with adverse outcomes for the pregnant women or their newborns. </w:t>
      </w:r>
    </w:p>
    <w:p w:rsidR="00682851" w:rsidRPr="00B60D9E" w:rsidRDefault="00682851" w:rsidP="0068285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before="120"/>
      </w:pPr>
      <w:r>
        <w:t>Immunogenicity data from 13 studies and effective data from 3 studies have shown:</w:t>
      </w:r>
    </w:p>
    <w:p w:rsidR="00682851" w:rsidRPr="0019043E" w:rsidRDefault="00682851" w:rsidP="00682851">
      <w:pPr>
        <w:pStyle w:val="ListBullet"/>
      </w:pPr>
      <w:r w:rsidRPr="0019043E">
        <w:t>Pertussis antibody responses following vaccination with Adacel are robust in most pregnant women, are amplified when measured in newborn cord blood, persist for 2 to 4 months in the infant, but appear to blunt (reduce) the infant’s antibody responses to her or his own pertussis vaccinations</w:t>
      </w:r>
      <w:r>
        <w:t xml:space="preserve"> later in infancy</w:t>
      </w:r>
      <w:r w:rsidRPr="0019043E">
        <w:t xml:space="preserve">. There is no evidence to suggest that this blunting is clinically relevant in protection against pertussis. </w:t>
      </w:r>
    </w:p>
    <w:p w:rsidR="00682851" w:rsidRPr="0019043E" w:rsidRDefault="00682851" w:rsidP="00682851">
      <w:pPr>
        <w:pStyle w:val="ListBullet"/>
      </w:pPr>
      <w:r w:rsidRPr="0019043E">
        <w:t xml:space="preserve">Adacel and </w:t>
      </w:r>
      <w:r>
        <w:t>Adacel Polio</w:t>
      </w:r>
      <w:r w:rsidRPr="0019043E">
        <w:t xml:space="preserve"> </w:t>
      </w:r>
      <w:r>
        <w:t>are</w:t>
      </w:r>
      <w:r w:rsidRPr="0019043E">
        <w:t xml:space="preserve"> &gt; 90% effective when given </w:t>
      </w:r>
      <w:r>
        <w:t xml:space="preserve">to women </w:t>
      </w:r>
      <w:r w:rsidRPr="0019043E">
        <w:t xml:space="preserve">during pregnancy in preventing pertussis disease and hospitalisation </w:t>
      </w:r>
      <w:r>
        <w:t xml:space="preserve">in their </w:t>
      </w:r>
      <w:r w:rsidRPr="0019043E">
        <w:t>infants younger than 3 months of age</w:t>
      </w:r>
      <w:r>
        <w:t xml:space="preserve"> as details in the following table</w:t>
      </w:r>
      <w:r w:rsidRPr="0019043E">
        <w:t xml:space="preserve">. </w:t>
      </w:r>
    </w:p>
    <w:p w:rsidR="00682851" w:rsidRDefault="00682851" w:rsidP="00682851">
      <w:pPr>
        <w:pStyle w:val="Caption"/>
        <w:ind w:left="142"/>
      </w:pPr>
      <w:r w:rsidRPr="00320855">
        <w:t>Table </w:t>
      </w:r>
      <w:r w:rsidR="002C09A7">
        <w:fldChar w:fldCharType="begin"/>
      </w:r>
      <w:r w:rsidR="002C09A7">
        <w:instrText xml:space="preserve"> SEQ Table \* ARABIC </w:instrText>
      </w:r>
      <w:r w:rsidR="002C09A7">
        <w:fldChar w:fldCharType="separate"/>
      </w:r>
      <w:r>
        <w:rPr>
          <w:noProof/>
        </w:rPr>
        <w:t>1</w:t>
      </w:r>
      <w:r w:rsidR="002C09A7">
        <w:rPr>
          <w:noProof/>
        </w:rPr>
        <w:fldChar w:fldCharType="end"/>
      </w:r>
      <w:r w:rsidRPr="00320855">
        <w:t xml:space="preserve"> ­ Vaccine effectiveness (VE) against pertussis disease in young infants born to mothers vaccinated during pregnancy with Adacel or Adacel Polio in 3 retrospective studies</w:t>
      </w:r>
    </w:p>
    <w:tbl>
      <w:tblPr>
        <w:tblStyle w:val="TableGrid"/>
        <w:tblW w:w="0" w:type="auto"/>
        <w:tblLook w:val="04A0" w:firstRow="1" w:lastRow="0" w:firstColumn="1" w:lastColumn="0" w:noHBand="0" w:noVBand="1"/>
      </w:tblPr>
      <w:tblGrid>
        <w:gridCol w:w="1803"/>
        <w:gridCol w:w="1803"/>
        <w:gridCol w:w="1803"/>
        <w:gridCol w:w="1803"/>
        <w:gridCol w:w="1804"/>
      </w:tblGrid>
      <w:tr w:rsidR="00682851" w:rsidRPr="00764A37" w:rsidTr="00F04F07">
        <w:trPr>
          <w:tblHeader/>
        </w:trPr>
        <w:tc>
          <w:tcPr>
            <w:tcW w:w="1803" w:type="dxa"/>
          </w:tcPr>
          <w:p w:rsidR="00682851" w:rsidRPr="00764A37" w:rsidRDefault="00682851" w:rsidP="00F04F07">
            <w:pPr>
              <w:rPr>
                <w:b/>
                <w:sz w:val="20"/>
                <w:szCs w:val="20"/>
              </w:rPr>
            </w:pPr>
            <w:r w:rsidRPr="00764A37">
              <w:rPr>
                <w:b/>
                <w:sz w:val="20"/>
                <w:szCs w:val="20"/>
              </w:rPr>
              <w:t>Location</w:t>
            </w:r>
          </w:p>
        </w:tc>
        <w:tc>
          <w:tcPr>
            <w:tcW w:w="1803" w:type="dxa"/>
          </w:tcPr>
          <w:p w:rsidR="00682851" w:rsidRPr="00764A37" w:rsidRDefault="00682851" w:rsidP="00F04F07">
            <w:pPr>
              <w:rPr>
                <w:b/>
                <w:sz w:val="20"/>
                <w:szCs w:val="20"/>
              </w:rPr>
            </w:pPr>
            <w:r w:rsidRPr="00764A37">
              <w:rPr>
                <w:b/>
                <w:sz w:val="20"/>
                <w:szCs w:val="20"/>
              </w:rPr>
              <w:t>Vaccine</w:t>
            </w:r>
          </w:p>
        </w:tc>
        <w:tc>
          <w:tcPr>
            <w:tcW w:w="1803" w:type="dxa"/>
          </w:tcPr>
          <w:p w:rsidR="00682851" w:rsidRPr="00764A37" w:rsidRDefault="00682851" w:rsidP="00F04F07">
            <w:pPr>
              <w:rPr>
                <w:b/>
                <w:sz w:val="20"/>
                <w:szCs w:val="20"/>
              </w:rPr>
            </w:pPr>
            <w:r w:rsidRPr="00764A37">
              <w:rPr>
                <w:b/>
                <w:sz w:val="20"/>
                <w:szCs w:val="20"/>
              </w:rPr>
              <w:t>VE (95% CI)</w:t>
            </w:r>
          </w:p>
        </w:tc>
        <w:tc>
          <w:tcPr>
            <w:tcW w:w="1803" w:type="dxa"/>
          </w:tcPr>
          <w:p w:rsidR="00682851" w:rsidRPr="00764A37" w:rsidRDefault="00682851" w:rsidP="00F04F07">
            <w:pPr>
              <w:rPr>
                <w:b/>
                <w:sz w:val="20"/>
                <w:szCs w:val="20"/>
              </w:rPr>
            </w:pPr>
            <w:r w:rsidRPr="00764A37">
              <w:rPr>
                <w:b/>
                <w:sz w:val="20"/>
                <w:szCs w:val="20"/>
              </w:rPr>
              <w:t>VE estimation method</w:t>
            </w:r>
          </w:p>
        </w:tc>
        <w:tc>
          <w:tcPr>
            <w:tcW w:w="1804" w:type="dxa"/>
          </w:tcPr>
          <w:p w:rsidR="00682851" w:rsidRPr="00764A37" w:rsidRDefault="00682851" w:rsidP="00F04F07">
            <w:pPr>
              <w:rPr>
                <w:b/>
                <w:sz w:val="20"/>
                <w:szCs w:val="20"/>
              </w:rPr>
            </w:pPr>
            <w:r w:rsidRPr="00764A37">
              <w:rPr>
                <w:b/>
                <w:sz w:val="20"/>
                <w:szCs w:val="20"/>
              </w:rPr>
              <w:t>Infant follow-up period</w:t>
            </w:r>
          </w:p>
        </w:tc>
      </w:tr>
      <w:tr w:rsidR="00682851" w:rsidRPr="00764A37" w:rsidTr="00F04F07">
        <w:tc>
          <w:tcPr>
            <w:tcW w:w="1803" w:type="dxa"/>
          </w:tcPr>
          <w:p w:rsidR="00682851" w:rsidRPr="00764A37" w:rsidRDefault="00682851" w:rsidP="00F04F07">
            <w:pPr>
              <w:rPr>
                <w:sz w:val="20"/>
                <w:szCs w:val="20"/>
              </w:rPr>
            </w:pPr>
            <w:r w:rsidRPr="00764A37">
              <w:rPr>
                <w:sz w:val="20"/>
                <w:szCs w:val="20"/>
              </w:rPr>
              <w:t>UK</w:t>
            </w:r>
          </w:p>
        </w:tc>
        <w:tc>
          <w:tcPr>
            <w:tcW w:w="1803" w:type="dxa"/>
          </w:tcPr>
          <w:p w:rsidR="00682851" w:rsidRPr="00764A37" w:rsidRDefault="00682851" w:rsidP="00F04F07">
            <w:pPr>
              <w:rPr>
                <w:sz w:val="20"/>
                <w:szCs w:val="20"/>
              </w:rPr>
            </w:pPr>
            <w:r w:rsidRPr="00764A37">
              <w:rPr>
                <w:sz w:val="20"/>
                <w:szCs w:val="20"/>
              </w:rPr>
              <w:t>Adacel Polio</w:t>
            </w:r>
          </w:p>
        </w:tc>
        <w:tc>
          <w:tcPr>
            <w:tcW w:w="1803" w:type="dxa"/>
          </w:tcPr>
          <w:p w:rsidR="00682851" w:rsidRPr="00764A37" w:rsidRDefault="00682851" w:rsidP="00F04F07">
            <w:pPr>
              <w:rPr>
                <w:sz w:val="20"/>
                <w:szCs w:val="20"/>
              </w:rPr>
            </w:pPr>
            <w:r w:rsidRPr="00764A37">
              <w:rPr>
                <w:sz w:val="20"/>
                <w:szCs w:val="20"/>
              </w:rPr>
              <w:t>93% (81, 97)</w:t>
            </w:r>
          </w:p>
        </w:tc>
        <w:tc>
          <w:tcPr>
            <w:tcW w:w="1803" w:type="dxa"/>
          </w:tcPr>
          <w:p w:rsidR="00682851" w:rsidRPr="00764A37" w:rsidRDefault="00682851" w:rsidP="00F04F07">
            <w:pPr>
              <w:rPr>
                <w:sz w:val="20"/>
                <w:szCs w:val="20"/>
              </w:rPr>
            </w:pPr>
            <w:r w:rsidRPr="00764A37">
              <w:rPr>
                <w:sz w:val="20"/>
                <w:szCs w:val="20"/>
              </w:rPr>
              <w:t>Unmatched case-control</w:t>
            </w:r>
          </w:p>
        </w:tc>
        <w:tc>
          <w:tcPr>
            <w:tcW w:w="1804" w:type="dxa"/>
          </w:tcPr>
          <w:p w:rsidR="00682851" w:rsidRPr="00764A37" w:rsidRDefault="00682851" w:rsidP="00F04F07">
            <w:pPr>
              <w:rPr>
                <w:sz w:val="20"/>
                <w:szCs w:val="20"/>
              </w:rPr>
            </w:pPr>
            <w:r w:rsidRPr="00764A37">
              <w:rPr>
                <w:sz w:val="20"/>
                <w:szCs w:val="20"/>
              </w:rPr>
              <w:t>3 months</w:t>
            </w:r>
          </w:p>
        </w:tc>
      </w:tr>
      <w:tr w:rsidR="00682851" w:rsidRPr="00764A37" w:rsidTr="00F04F07">
        <w:tc>
          <w:tcPr>
            <w:tcW w:w="1803" w:type="dxa"/>
          </w:tcPr>
          <w:p w:rsidR="00682851" w:rsidRPr="00764A37" w:rsidRDefault="00682851" w:rsidP="00F04F07">
            <w:pPr>
              <w:rPr>
                <w:sz w:val="20"/>
                <w:szCs w:val="20"/>
              </w:rPr>
            </w:pPr>
            <w:r w:rsidRPr="00764A37">
              <w:rPr>
                <w:sz w:val="20"/>
                <w:szCs w:val="20"/>
              </w:rPr>
              <w:lastRenderedPageBreak/>
              <w:t>US</w:t>
            </w:r>
          </w:p>
        </w:tc>
        <w:tc>
          <w:tcPr>
            <w:tcW w:w="1803" w:type="dxa"/>
          </w:tcPr>
          <w:p w:rsidR="00682851" w:rsidRPr="00764A37" w:rsidRDefault="00682851" w:rsidP="00F04F07">
            <w:pPr>
              <w:rPr>
                <w:sz w:val="20"/>
                <w:szCs w:val="20"/>
              </w:rPr>
            </w:pPr>
            <w:r w:rsidRPr="00764A37">
              <w:rPr>
                <w:sz w:val="20"/>
                <w:szCs w:val="20"/>
              </w:rPr>
              <w:t>Adacel*</w:t>
            </w:r>
          </w:p>
        </w:tc>
        <w:tc>
          <w:tcPr>
            <w:tcW w:w="1803" w:type="dxa"/>
          </w:tcPr>
          <w:p w:rsidR="00682851" w:rsidRPr="00764A37" w:rsidRDefault="00682851" w:rsidP="00F04F07">
            <w:pPr>
              <w:rPr>
                <w:sz w:val="20"/>
                <w:szCs w:val="20"/>
              </w:rPr>
            </w:pPr>
            <w:r w:rsidRPr="00764A37">
              <w:rPr>
                <w:sz w:val="20"/>
                <w:szCs w:val="20"/>
              </w:rPr>
              <w:t>91.4% (19.5, 99.1)</w:t>
            </w:r>
          </w:p>
        </w:tc>
        <w:tc>
          <w:tcPr>
            <w:tcW w:w="1803" w:type="dxa"/>
          </w:tcPr>
          <w:p w:rsidR="00682851" w:rsidRPr="00764A37" w:rsidRDefault="00682851" w:rsidP="00F04F07">
            <w:pPr>
              <w:rPr>
                <w:sz w:val="20"/>
                <w:szCs w:val="20"/>
              </w:rPr>
            </w:pPr>
            <w:r w:rsidRPr="00764A37">
              <w:rPr>
                <w:sz w:val="20"/>
                <w:szCs w:val="20"/>
              </w:rPr>
              <w:t>Cohort regression model</w:t>
            </w:r>
          </w:p>
        </w:tc>
        <w:tc>
          <w:tcPr>
            <w:tcW w:w="1804" w:type="dxa"/>
          </w:tcPr>
          <w:p w:rsidR="00682851" w:rsidRPr="00764A37" w:rsidRDefault="00682851" w:rsidP="00F04F07">
            <w:pPr>
              <w:rPr>
                <w:sz w:val="20"/>
                <w:szCs w:val="20"/>
              </w:rPr>
            </w:pPr>
            <w:r w:rsidRPr="00764A37">
              <w:rPr>
                <w:sz w:val="20"/>
                <w:szCs w:val="20"/>
              </w:rPr>
              <w:t>2 months</w:t>
            </w:r>
          </w:p>
        </w:tc>
      </w:tr>
      <w:tr w:rsidR="00682851" w:rsidRPr="00764A37" w:rsidTr="00F04F07">
        <w:tc>
          <w:tcPr>
            <w:tcW w:w="1803" w:type="dxa"/>
          </w:tcPr>
          <w:p w:rsidR="00682851" w:rsidRPr="00764A37" w:rsidRDefault="00682851" w:rsidP="00F04F07">
            <w:pPr>
              <w:rPr>
                <w:sz w:val="20"/>
                <w:szCs w:val="20"/>
              </w:rPr>
            </w:pPr>
            <w:r w:rsidRPr="00764A37">
              <w:rPr>
                <w:sz w:val="20"/>
                <w:szCs w:val="20"/>
              </w:rPr>
              <w:t>UK</w:t>
            </w:r>
          </w:p>
        </w:tc>
        <w:tc>
          <w:tcPr>
            <w:tcW w:w="1803" w:type="dxa"/>
          </w:tcPr>
          <w:p w:rsidR="00682851" w:rsidRPr="00764A37" w:rsidRDefault="00682851" w:rsidP="00F04F07">
            <w:pPr>
              <w:rPr>
                <w:sz w:val="20"/>
                <w:szCs w:val="20"/>
              </w:rPr>
            </w:pPr>
            <w:r w:rsidRPr="00764A37">
              <w:rPr>
                <w:sz w:val="20"/>
                <w:szCs w:val="20"/>
              </w:rPr>
              <w:t>Adacel Polio</w:t>
            </w:r>
          </w:p>
        </w:tc>
        <w:tc>
          <w:tcPr>
            <w:tcW w:w="1803" w:type="dxa"/>
          </w:tcPr>
          <w:p w:rsidR="00682851" w:rsidRPr="00764A37" w:rsidRDefault="00682851" w:rsidP="00F04F07">
            <w:pPr>
              <w:rPr>
                <w:sz w:val="20"/>
                <w:szCs w:val="20"/>
              </w:rPr>
            </w:pPr>
            <w:r w:rsidRPr="00764A37">
              <w:rPr>
                <w:sz w:val="20"/>
                <w:szCs w:val="20"/>
              </w:rPr>
              <w:t>93% (89, 95)</w:t>
            </w:r>
          </w:p>
        </w:tc>
        <w:tc>
          <w:tcPr>
            <w:tcW w:w="1803" w:type="dxa"/>
          </w:tcPr>
          <w:p w:rsidR="00682851" w:rsidRPr="00764A37" w:rsidRDefault="00682851" w:rsidP="00F04F07">
            <w:pPr>
              <w:rPr>
                <w:sz w:val="20"/>
                <w:szCs w:val="20"/>
              </w:rPr>
            </w:pPr>
            <w:r w:rsidRPr="00764A37">
              <w:rPr>
                <w:sz w:val="20"/>
                <w:szCs w:val="20"/>
              </w:rPr>
              <w:t>Screening (case-coverage)</w:t>
            </w:r>
          </w:p>
        </w:tc>
        <w:tc>
          <w:tcPr>
            <w:tcW w:w="1804" w:type="dxa"/>
          </w:tcPr>
          <w:p w:rsidR="00682851" w:rsidRPr="00764A37" w:rsidRDefault="00682851" w:rsidP="00F04F07">
            <w:pPr>
              <w:rPr>
                <w:sz w:val="20"/>
                <w:szCs w:val="20"/>
              </w:rPr>
            </w:pPr>
            <w:r w:rsidRPr="00764A37">
              <w:rPr>
                <w:sz w:val="20"/>
                <w:szCs w:val="20"/>
              </w:rPr>
              <w:t>3 months</w:t>
            </w:r>
          </w:p>
        </w:tc>
      </w:tr>
    </w:tbl>
    <w:p w:rsidR="00682851" w:rsidRPr="0019043E" w:rsidRDefault="00682851" w:rsidP="0068285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before="120"/>
      </w:pPr>
      <w:r w:rsidRPr="0019043E">
        <w:t>The decision to administer Adacel to a pregnant woman should be made according to the official national recommendations for pertussis vaccination of a pregnant woman.</w:t>
      </w:r>
    </w:p>
    <w:p w:rsidR="00974ABB" w:rsidRPr="00717E34" w:rsidRDefault="000B137F" w:rsidP="00974ABB">
      <w:pPr>
        <w:pStyle w:val="Heading4"/>
      </w:pPr>
      <w:r>
        <w:t>Use in lactation</w:t>
      </w:r>
    </w:p>
    <w:p w:rsidR="00974ABB" w:rsidRPr="0019043E" w:rsidRDefault="00974ABB" w:rsidP="00974AB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before="120"/>
      </w:pPr>
      <w:r w:rsidRPr="0019043E">
        <w:t xml:space="preserve">It is not known whether the active substances included in Adacel are excreted in human milk, but antibodies to the vaccine antigens have been found to be transferred to the suckling offspring of rabbits. </w:t>
      </w:r>
    </w:p>
    <w:p w:rsidR="00974ABB" w:rsidRPr="0019043E" w:rsidRDefault="00974ABB" w:rsidP="00974AB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before="120"/>
      </w:pPr>
      <w:r w:rsidRPr="0019043E">
        <w:t>The effect on breast-fed infants of the administration of Adacel to their mothers has not been studied. As Adacel is inactivated, any risk to the mother or the infant is improbable. The risks and benefits of vaccination should be assessed before making the decision to immunise a nursing woman.</w:t>
      </w:r>
    </w:p>
    <w:p w:rsidR="00974ABB" w:rsidRPr="00717E34" w:rsidRDefault="000B137F" w:rsidP="000B137F">
      <w:pPr>
        <w:pStyle w:val="Heading3"/>
      </w:pPr>
      <w:r>
        <w:t>4.7</w:t>
      </w:r>
      <w:r>
        <w:tab/>
      </w:r>
      <w:r w:rsidR="00974ABB" w:rsidRPr="00717E34">
        <w:t>Effects on ab</w:t>
      </w:r>
      <w:r>
        <w:t>ility to drive and use machines</w:t>
      </w:r>
    </w:p>
    <w:p w:rsidR="00974ABB" w:rsidRPr="007C4C57" w:rsidRDefault="00974ABB" w:rsidP="00974ABB">
      <w:r w:rsidRPr="007C4C57">
        <w:t>No studies on the effects on the ability to drive and use machines have been performed.</w:t>
      </w:r>
    </w:p>
    <w:p w:rsidR="00974ABB" w:rsidRPr="00717E34" w:rsidRDefault="000B137F" w:rsidP="000B137F">
      <w:pPr>
        <w:pStyle w:val="Heading3"/>
      </w:pPr>
      <w:r>
        <w:t>4.8</w:t>
      </w:r>
      <w:r>
        <w:tab/>
      </w:r>
      <w:r w:rsidR="00974ABB" w:rsidRPr="00717E34">
        <w:t>Adverse effects (Undesirable effects)</w:t>
      </w:r>
    </w:p>
    <w:p w:rsidR="00974ABB" w:rsidRPr="00717E34" w:rsidRDefault="00974ABB" w:rsidP="00974A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120"/>
      </w:pPr>
      <w:r w:rsidRPr="00717E34">
        <w:t xml:space="preserve">The reactions are listed within body systems and categorised by frequency according to the following definitions: </w:t>
      </w:r>
    </w:p>
    <w:p w:rsidR="00974ABB" w:rsidRPr="00717E34" w:rsidRDefault="00974ABB" w:rsidP="00974ABB">
      <w:pPr>
        <w:spacing w:before="120"/>
      </w:pPr>
      <w:r w:rsidRPr="00717E34">
        <w:t xml:space="preserve">Very common </w:t>
      </w:r>
      <w:r w:rsidRPr="00717E34">
        <w:tab/>
        <w:t>(</w:t>
      </w:r>
      <w:r w:rsidRPr="00717E34">
        <w:sym w:font="Symbol" w:char="F0B3"/>
      </w:r>
      <w:r w:rsidRPr="00717E34">
        <w:t xml:space="preserve"> 1/10)</w:t>
      </w:r>
    </w:p>
    <w:p w:rsidR="00974ABB" w:rsidRPr="00717E34" w:rsidRDefault="00974ABB" w:rsidP="00974ABB">
      <w:pPr>
        <w:spacing w:before="120"/>
      </w:pPr>
      <w:r w:rsidRPr="00717E34">
        <w:t>Common</w:t>
      </w:r>
      <w:r w:rsidRPr="00717E34">
        <w:tab/>
      </w:r>
      <w:r w:rsidRPr="00717E34">
        <w:tab/>
        <w:t>(&lt; 1/10 and</w:t>
      </w:r>
      <w:r>
        <w:t xml:space="preserve"> </w:t>
      </w:r>
      <w:r w:rsidRPr="00717E34">
        <w:sym w:font="Symbol" w:char="F0B3"/>
      </w:r>
      <w:r w:rsidRPr="00717E34">
        <w:t xml:space="preserve"> 1/100)</w:t>
      </w:r>
    </w:p>
    <w:p w:rsidR="00974ABB" w:rsidRPr="00717E34" w:rsidRDefault="00974ABB" w:rsidP="00974ABB">
      <w:pPr>
        <w:spacing w:before="120"/>
      </w:pPr>
      <w:r w:rsidRPr="00717E34">
        <w:t>Uncommon</w:t>
      </w:r>
      <w:r w:rsidRPr="00717E34">
        <w:tab/>
        <w:t>(&lt; 1/100</w:t>
      </w:r>
      <w:r>
        <w:t xml:space="preserve"> </w:t>
      </w:r>
      <w:r w:rsidRPr="00717E34">
        <w:t>and</w:t>
      </w:r>
      <w:r>
        <w:t xml:space="preserve"> </w:t>
      </w:r>
      <w:r w:rsidRPr="00717E34">
        <w:sym w:font="Symbol" w:char="F0B3"/>
      </w:r>
      <w:r w:rsidRPr="00717E34">
        <w:t xml:space="preserve"> 1/1,000)</w:t>
      </w:r>
    </w:p>
    <w:p w:rsidR="00974ABB" w:rsidRPr="00717E34" w:rsidRDefault="00974ABB" w:rsidP="00974ABB">
      <w:pPr>
        <w:pStyle w:val="Heading3"/>
      </w:pPr>
      <w:r w:rsidRPr="00717E34">
        <w:t xml:space="preserve">Clinical </w:t>
      </w:r>
      <w:r>
        <w:t>t</w:t>
      </w:r>
      <w:r w:rsidRPr="00717E34">
        <w:t xml:space="preserve">rial </w:t>
      </w:r>
      <w:r>
        <w:t>e</w:t>
      </w:r>
      <w:r w:rsidRPr="00717E34">
        <w:t>xperience</w:t>
      </w:r>
    </w:p>
    <w:p w:rsidR="00974ABB" w:rsidRPr="00717E34" w:rsidRDefault="00974ABB" w:rsidP="00974AB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120"/>
      </w:pPr>
      <w:r w:rsidRPr="00717E34">
        <w:t>In clinical studies with 324 adolescents and 638 adults given A</w:t>
      </w:r>
      <w:r>
        <w:t>dacel</w:t>
      </w:r>
      <w:r w:rsidRPr="00717E34">
        <w:rPr>
          <w:b/>
        </w:rPr>
        <w:t>,</w:t>
      </w:r>
      <w:r w:rsidRPr="00717E34">
        <w:t xml:space="preserve"> the most frequently reported adverse reactions occurring during the first 24 hours included the following:</w:t>
      </w:r>
    </w:p>
    <w:p w:rsidR="00974ABB" w:rsidRPr="00717E34" w:rsidRDefault="00974ABB" w:rsidP="00974ABB">
      <w:pPr>
        <w:tabs>
          <w:tab w:val="left" w:pos="24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120"/>
      </w:pPr>
      <w:r w:rsidRPr="00717E34">
        <w:t>Very common</w:t>
      </w:r>
      <w:r w:rsidRPr="00717E34">
        <w:tab/>
        <w:t>Pain, swelling, redness at the injection site</w:t>
      </w:r>
    </w:p>
    <w:p w:rsidR="00974ABB" w:rsidRPr="00717E34" w:rsidRDefault="00974ABB" w:rsidP="00974ABB">
      <w:pPr>
        <w:tabs>
          <w:tab w:val="left" w:pos="24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120"/>
      </w:pPr>
      <w:r w:rsidRPr="00717E34">
        <w:tab/>
        <w:t>Headache, decreased energy, generalised body-ache</w:t>
      </w:r>
    </w:p>
    <w:p w:rsidR="00974ABB" w:rsidRPr="00717E34" w:rsidRDefault="00974ABB" w:rsidP="00974ABB">
      <w:pPr>
        <w:tabs>
          <w:tab w:val="left" w:pos="24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120"/>
      </w:pPr>
      <w:r w:rsidRPr="00717E34">
        <w:t>Common</w:t>
      </w:r>
      <w:r w:rsidRPr="00717E34">
        <w:tab/>
        <w:t>Fever, chills, nausea, diarrhoea, sore or swollen joints</w:t>
      </w:r>
    </w:p>
    <w:p w:rsidR="00974ABB" w:rsidRPr="00717E34" w:rsidRDefault="00974ABB" w:rsidP="00974ABB">
      <w:pPr>
        <w:tabs>
          <w:tab w:val="left" w:pos="243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before="120"/>
      </w:pPr>
      <w:r w:rsidRPr="00717E34">
        <w:lastRenderedPageBreak/>
        <w:t>Uncommon</w:t>
      </w:r>
      <w:r w:rsidRPr="00717E34">
        <w:tab/>
        <w:t>Vomiting</w:t>
      </w:r>
    </w:p>
    <w:p w:rsidR="00974ABB" w:rsidRPr="00717E34" w:rsidRDefault="00974ABB" w:rsidP="00974ABB">
      <w:pPr>
        <w:tabs>
          <w:tab w:val="left" w:leader="dot" w:pos="0"/>
          <w:tab w:val="left" w:leader="dot" w:pos="5040"/>
        </w:tabs>
        <w:spacing w:before="120"/>
        <w:ind w:right="3"/>
      </w:pPr>
      <w:r w:rsidRPr="00717E34">
        <w:t>A causal relationship to vaccination was not established in all cases. All adverse reactions were generally mild and transient in duration</w:t>
      </w:r>
      <w:r w:rsidRPr="00717E34">
        <w:rPr>
          <w:b/>
        </w:rPr>
        <w:t xml:space="preserve">. </w:t>
      </w:r>
      <w:r w:rsidRPr="00717E34">
        <w:t xml:space="preserve">Fever was reported in less than 3% of </w:t>
      </w:r>
      <w:proofErr w:type="spellStart"/>
      <w:r w:rsidRPr="00717E34">
        <w:t>vaccinees</w:t>
      </w:r>
      <w:proofErr w:type="spellEnd"/>
      <w:r w:rsidRPr="00717E34">
        <w:t xml:space="preserve">. There were no reports of fever over 39.9°C. This adverse reaction profile was shown to be comparable to that seen in </w:t>
      </w:r>
      <w:proofErr w:type="spellStart"/>
      <w:r w:rsidRPr="00717E34">
        <w:t>vaccinees</w:t>
      </w:r>
      <w:proofErr w:type="spellEnd"/>
      <w:r w:rsidRPr="00717E34">
        <w:t xml:space="preserve"> who received a booster with Td adsorbed vaccine (tetanus (5 Lf) and diphtheria (2 Lf) toxoids adsorbed). Late-onset local adverse reactions (i.e. a local adverse reaction which had an onset or increase in severity 3 to 8 days post-immunisation) such as redness, swelling and pain, occurred in less than 2%.</w:t>
      </w:r>
    </w:p>
    <w:p w:rsidR="00974ABB" w:rsidRDefault="00974ABB" w:rsidP="00974ABB">
      <w:pPr>
        <w:tabs>
          <w:tab w:val="left" w:leader="dot" w:pos="0"/>
          <w:tab w:val="left" w:leader="dot" w:pos="5040"/>
        </w:tabs>
        <w:spacing w:before="120"/>
        <w:ind w:right="3"/>
      </w:pPr>
      <w:r w:rsidRPr="00717E34">
        <w:t>The following table summarises Adverse Events (%) in A</w:t>
      </w:r>
      <w:r>
        <w:t>dacel</w:t>
      </w:r>
      <w:r w:rsidRPr="00717E34">
        <w:t xml:space="preserve"> (</w:t>
      </w:r>
      <w:proofErr w:type="spellStart"/>
      <w:r w:rsidRPr="00717E34">
        <w:t>dTpa</w:t>
      </w:r>
      <w:proofErr w:type="spellEnd"/>
      <w:r w:rsidRPr="00717E34">
        <w:t>) recipients 0 - 24 hours post vaccin</w:t>
      </w:r>
      <w:r>
        <w:t>ation:</w:t>
      </w:r>
    </w:p>
    <w:p w:rsidR="00974ABB" w:rsidRDefault="00974ABB" w:rsidP="008317DE">
      <w:pPr>
        <w:pStyle w:val="Tabletitle"/>
      </w:pPr>
      <w:r w:rsidRPr="0019043E">
        <w:t>Table </w:t>
      </w:r>
      <w:r w:rsidR="002C09A7">
        <w:fldChar w:fldCharType="begin"/>
      </w:r>
      <w:r w:rsidR="002C09A7">
        <w:instrText xml:space="preserve"> SEQ Table \* ARABIC </w:instrText>
      </w:r>
      <w:r w:rsidR="002C09A7">
        <w:fldChar w:fldCharType="separate"/>
      </w:r>
      <w:r>
        <w:rPr>
          <w:noProof/>
        </w:rPr>
        <w:t>2</w:t>
      </w:r>
      <w:r w:rsidR="002C09A7">
        <w:rPr>
          <w:noProof/>
        </w:rPr>
        <w:fldChar w:fldCharType="end"/>
      </w:r>
      <w:r w:rsidRPr="0019043E">
        <w:t xml:space="preserve"> ­ Frequency (%) of adverse events in adolescents and adults 0-24 hours after receiving Adacel</w:t>
      </w:r>
    </w:p>
    <w:tbl>
      <w:tblPr>
        <w:tblStyle w:val="TableGrid"/>
        <w:tblW w:w="0" w:type="auto"/>
        <w:tblLook w:val="04A0" w:firstRow="1" w:lastRow="0" w:firstColumn="1" w:lastColumn="0" w:noHBand="0" w:noVBand="1"/>
      </w:tblPr>
      <w:tblGrid>
        <w:gridCol w:w="2972"/>
        <w:gridCol w:w="1276"/>
        <w:gridCol w:w="1134"/>
        <w:gridCol w:w="1559"/>
        <w:gridCol w:w="992"/>
        <w:gridCol w:w="1083"/>
      </w:tblGrid>
      <w:tr w:rsidR="00974ABB" w:rsidRPr="0067408E" w:rsidTr="00F04F07">
        <w:trPr>
          <w:trHeight w:val="551"/>
          <w:tblHeader/>
        </w:trPr>
        <w:tc>
          <w:tcPr>
            <w:tcW w:w="2972" w:type="dxa"/>
          </w:tcPr>
          <w:p w:rsidR="00974ABB" w:rsidRPr="0067408E" w:rsidRDefault="00974ABB" w:rsidP="00F04F07">
            <w:pPr>
              <w:rPr>
                <w:sz w:val="21"/>
                <w:szCs w:val="21"/>
              </w:rPr>
            </w:pPr>
          </w:p>
        </w:tc>
        <w:tc>
          <w:tcPr>
            <w:tcW w:w="3969" w:type="dxa"/>
            <w:gridSpan w:val="3"/>
          </w:tcPr>
          <w:p w:rsidR="00974ABB" w:rsidRPr="0067408E" w:rsidRDefault="00974ABB" w:rsidP="00F04F07">
            <w:pPr>
              <w:rPr>
                <w:b/>
                <w:sz w:val="21"/>
                <w:szCs w:val="21"/>
              </w:rPr>
            </w:pPr>
            <w:r w:rsidRPr="0067408E">
              <w:rPr>
                <w:b/>
                <w:sz w:val="21"/>
                <w:szCs w:val="21"/>
              </w:rPr>
              <w:t>Adolescents **</w:t>
            </w:r>
          </w:p>
        </w:tc>
        <w:tc>
          <w:tcPr>
            <w:tcW w:w="2075" w:type="dxa"/>
            <w:gridSpan w:val="2"/>
          </w:tcPr>
          <w:p w:rsidR="00974ABB" w:rsidRPr="0067408E" w:rsidRDefault="00974ABB" w:rsidP="00F04F07">
            <w:pPr>
              <w:rPr>
                <w:b/>
                <w:sz w:val="21"/>
                <w:szCs w:val="21"/>
              </w:rPr>
            </w:pPr>
            <w:r w:rsidRPr="0067408E">
              <w:rPr>
                <w:b/>
                <w:sz w:val="21"/>
                <w:szCs w:val="21"/>
              </w:rPr>
              <w:t>Adults</w:t>
            </w:r>
          </w:p>
        </w:tc>
      </w:tr>
      <w:tr w:rsidR="00974ABB" w:rsidRPr="0067408E" w:rsidTr="00F04F07">
        <w:trPr>
          <w:trHeight w:val="559"/>
        </w:trPr>
        <w:tc>
          <w:tcPr>
            <w:tcW w:w="2972" w:type="dxa"/>
          </w:tcPr>
          <w:p w:rsidR="00974ABB" w:rsidRPr="0067408E" w:rsidRDefault="00974ABB" w:rsidP="00F04F07">
            <w:pPr>
              <w:rPr>
                <w:sz w:val="21"/>
                <w:szCs w:val="21"/>
              </w:rPr>
            </w:pPr>
          </w:p>
        </w:tc>
        <w:tc>
          <w:tcPr>
            <w:tcW w:w="1276" w:type="dxa"/>
          </w:tcPr>
          <w:p w:rsidR="00974ABB" w:rsidRPr="0067408E" w:rsidRDefault="00974ABB" w:rsidP="00F04F07">
            <w:pPr>
              <w:rPr>
                <w:sz w:val="21"/>
                <w:szCs w:val="21"/>
              </w:rPr>
            </w:pPr>
            <w:proofErr w:type="spellStart"/>
            <w:r w:rsidRPr="0067408E">
              <w:rPr>
                <w:sz w:val="21"/>
                <w:szCs w:val="21"/>
              </w:rPr>
              <w:t>dTpa</w:t>
            </w:r>
            <w:proofErr w:type="spellEnd"/>
          </w:p>
        </w:tc>
        <w:tc>
          <w:tcPr>
            <w:tcW w:w="1134" w:type="dxa"/>
          </w:tcPr>
          <w:p w:rsidR="00974ABB" w:rsidRPr="0067408E" w:rsidRDefault="00974ABB" w:rsidP="00F04F07">
            <w:pPr>
              <w:rPr>
                <w:sz w:val="21"/>
                <w:szCs w:val="21"/>
              </w:rPr>
            </w:pPr>
            <w:proofErr w:type="spellStart"/>
            <w:r w:rsidRPr="0067408E">
              <w:rPr>
                <w:sz w:val="21"/>
                <w:szCs w:val="21"/>
              </w:rPr>
              <w:t>dTpa</w:t>
            </w:r>
            <w:proofErr w:type="spellEnd"/>
          </w:p>
        </w:tc>
        <w:tc>
          <w:tcPr>
            <w:tcW w:w="1559" w:type="dxa"/>
          </w:tcPr>
          <w:p w:rsidR="00974ABB" w:rsidRPr="0067408E" w:rsidRDefault="00974ABB" w:rsidP="00F04F07">
            <w:pPr>
              <w:rPr>
                <w:sz w:val="21"/>
                <w:szCs w:val="21"/>
              </w:rPr>
            </w:pPr>
            <w:proofErr w:type="spellStart"/>
            <w:r w:rsidRPr="0067408E">
              <w:rPr>
                <w:sz w:val="21"/>
                <w:szCs w:val="21"/>
              </w:rPr>
              <w:t>dTpa</w:t>
            </w:r>
            <w:proofErr w:type="spellEnd"/>
            <w:r w:rsidRPr="0067408E">
              <w:rPr>
                <w:sz w:val="21"/>
                <w:szCs w:val="21"/>
              </w:rPr>
              <w:t xml:space="preserve"> +Hep B</w:t>
            </w:r>
          </w:p>
        </w:tc>
        <w:tc>
          <w:tcPr>
            <w:tcW w:w="992" w:type="dxa"/>
          </w:tcPr>
          <w:p w:rsidR="00974ABB" w:rsidRPr="0067408E" w:rsidRDefault="00974ABB" w:rsidP="00F04F07">
            <w:pPr>
              <w:rPr>
                <w:sz w:val="21"/>
                <w:szCs w:val="21"/>
              </w:rPr>
            </w:pPr>
            <w:proofErr w:type="spellStart"/>
            <w:r w:rsidRPr="0067408E">
              <w:rPr>
                <w:sz w:val="21"/>
                <w:szCs w:val="21"/>
              </w:rPr>
              <w:t>dTpa</w:t>
            </w:r>
            <w:proofErr w:type="spellEnd"/>
            <w:r w:rsidRPr="0067408E">
              <w:rPr>
                <w:sz w:val="21"/>
                <w:szCs w:val="21"/>
              </w:rPr>
              <w:t>***</w:t>
            </w:r>
          </w:p>
        </w:tc>
        <w:tc>
          <w:tcPr>
            <w:tcW w:w="1083" w:type="dxa"/>
          </w:tcPr>
          <w:p w:rsidR="00974ABB" w:rsidRPr="0067408E" w:rsidRDefault="00974ABB" w:rsidP="00F04F07">
            <w:pPr>
              <w:rPr>
                <w:sz w:val="21"/>
                <w:szCs w:val="21"/>
              </w:rPr>
            </w:pPr>
            <w:r w:rsidRPr="0067408E">
              <w:rPr>
                <w:sz w:val="21"/>
                <w:szCs w:val="21"/>
              </w:rPr>
              <w:t>Td</w:t>
            </w:r>
          </w:p>
        </w:tc>
      </w:tr>
      <w:tr w:rsidR="00974ABB" w:rsidRPr="0067408E" w:rsidTr="00F04F07">
        <w:trPr>
          <w:trHeight w:val="553"/>
        </w:trPr>
        <w:tc>
          <w:tcPr>
            <w:tcW w:w="2972" w:type="dxa"/>
          </w:tcPr>
          <w:p w:rsidR="00974ABB" w:rsidRPr="0067408E" w:rsidRDefault="00974ABB" w:rsidP="00F04F07">
            <w:pPr>
              <w:rPr>
                <w:sz w:val="21"/>
                <w:szCs w:val="21"/>
              </w:rPr>
            </w:pPr>
          </w:p>
        </w:tc>
        <w:tc>
          <w:tcPr>
            <w:tcW w:w="1276" w:type="dxa"/>
          </w:tcPr>
          <w:p w:rsidR="00974ABB" w:rsidRPr="0067408E" w:rsidRDefault="00974ABB" w:rsidP="00F04F07">
            <w:pPr>
              <w:rPr>
                <w:sz w:val="21"/>
                <w:szCs w:val="21"/>
              </w:rPr>
            </w:pPr>
            <w:r w:rsidRPr="0067408E">
              <w:rPr>
                <w:sz w:val="21"/>
                <w:szCs w:val="21"/>
              </w:rPr>
              <w:t>N = 59</w:t>
            </w:r>
          </w:p>
        </w:tc>
        <w:tc>
          <w:tcPr>
            <w:tcW w:w="1134" w:type="dxa"/>
          </w:tcPr>
          <w:p w:rsidR="00974ABB" w:rsidRPr="0067408E" w:rsidRDefault="00974ABB" w:rsidP="00F04F07">
            <w:pPr>
              <w:rPr>
                <w:sz w:val="21"/>
                <w:szCs w:val="21"/>
              </w:rPr>
            </w:pPr>
            <w:r w:rsidRPr="0067408E">
              <w:rPr>
                <w:sz w:val="21"/>
                <w:szCs w:val="21"/>
              </w:rPr>
              <w:t>N = 135</w:t>
            </w:r>
          </w:p>
        </w:tc>
        <w:tc>
          <w:tcPr>
            <w:tcW w:w="1559" w:type="dxa"/>
          </w:tcPr>
          <w:p w:rsidR="00974ABB" w:rsidRPr="0067408E" w:rsidRDefault="00974ABB" w:rsidP="00F04F07">
            <w:pPr>
              <w:rPr>
                <w:sz w:val="21"/>
                <w:szCs w:val="21"/>
              </w:rPr>
            </w:pPr>
            <w:r w:rsidRPr="0067408E">
              <w:rPr>
                <w:sz w:val="21"/>
                <w:szCs w:val="21"/>
              </w:rPr>
              <w:t>N = 134</w:t>
            </w:r>
          </w:p>
        </w:tc>
        <w:tc>
          <w:tcPr>
            <w:tcW w:w="992" w:type="dxa"/>
          </w:tcPr>
          <w:p w:rsidR="00974ABB" w:rsidRPr="0067408E" w:rsidRDefault="00974ABB" w:rsidP="00F04F07">
            <w:pPr>
              <w:rPr>
                <w:sz w:val="21"/>
                <w:szCs w:val="21"/>
              </w:rPr>
            </w:pPr>
            <w:r w:rsidRPr="0067408E">
              <w:rPr>
                <w:sz w:val="21"/>
                <w:szCs w:val="21"/>
              </w:rPr>
              <w:t>N = 390</w:t>
            </w:r>
          </w:p>
        </w:tc>
        <w:tc>
          <w:tcPr>
            <w:tcW w:w="1083" w:type="dxa"/>
          </w:tcPr>
          <w:p w:rsidR="00974ABB" w:rsidRPr="0067408E" w:rsidRDefault="00974ABB" w:rsidP="00F04F07">
            <w:pPr>
              <w:rPr>
                <w:sz w:val="21"/>
                <w:szCs w:val="21"/>
              </w:rPr>
            </w:pPr>
            <w:r w:rsidRPr="0067408E">
              <w:rPr>
                <w:sz w:val="21"/>
                <w:szCs w:val="21"/>
              </w:rPr>
              <w:t>N = 151§</w:t>
            </w:r>
          </w:p>
        </w:tc>
      </w:tr>
      <w:tr w:rsidR="00974ABB" w:rsidRPr="0067408E" w:rsidTr="00F04F07">
        <w:trPr>
          <w:trHeight w:val="561"/>
        </w:trPr>
        <w:tc>
          <w:tcPr>
            <w:tcW w:w="2972" w:type="dxa"/>
          </w:tcPr>
          <w:p w:rsidR="00974ABB" w:rsidRPr="0067408E" w:rsidRDefault="00974ABB" w:rsidP="00F04F07">
            <w:pPr>
              <w:rPr>
                <w:sz w:val="21"/>
                <w:szCs w:val="21"/>
              </w:rPr>
            </w:pPr>
            <w:r w:rsidRPr="0067408E">
              <w:rPr>
                <w:sz w:val="21"/>
                <w:szCs w:val="21"/>
              </w:rPr>
              <w:t>Local Reactions</w:t>
            </w:r>
          </w:p>
        </w:tc>
        <w:tc>
          <w:tcPr>
            <w:tcW w:w="1276" w:type="dxa"/>
          </w:tcPr>
          <w:p w:rsidR="00974ABB" w:rsidRPr="0067408E" w:rsidRDefault="00974ABB" w:rsidP="00F04F07">
            <w:pPr>
              <w:rPr>
                <w:sz w:val="21"/>
                <w:szCs w:val="21"/>
              </w:rPr>
            </w:pPr>
          </w:p>
        </w:tc>
        <w:tc>
          <w:tcPr>
            <w:tcW w:w="1134" w:type="dxa"/>
          </w:tcPr>
          <w:p w:rsidR="00974ABB" w:rsidRPr="0067408E" w:rsidRDefault="00974ABB" w:rsidP="00F04F07">
            <w:pPr>
              <w:rPr>
                <w:sz w:val="21"/>
                <w:szCs w:val="21"/>
              </w:rPr>
            </w:pPr>
          </w:p>
        </w:tc>
        <w:tc>
          <w:tcPr>
            <w:tcW w:w="1559" w:type="dxa"/>
          </w:tcPr>
          <w:p w:rsidR="00974ABB" w:rsidRPr="0067408E" w:rsidRDefault="00974ABB" w:rsidP="00F04F07">
            <w:pPr>
              <w:rPr>
                <w:sz w:val="21"/>
                <w:szCs w:val="21"/>
              </w:rPr>
            </w:pPr>
          </w:p>
        </w:tc>
        <w:tc>
          <w:tcPr>
            <w:tcW w:w="992" w:type="dxa"/>
          </w:tcPr>
          <w:p w:rsidR="00974ABB" w:rsidRPr="0067408E" w:rsidRDefault="00974ABB" w:rsidP="00F04F07">
            <w:pPr>
              <w:rPr>
                <w:sz w:val="21"/>
                <w:szCs w:val="21"/>
              </w:rPr>
            </w:pPr>
          </w:p>
        </w:tc>
        <w:tc>
          <w:tcPr>
            <w:tcW w:w="1083" w:type="dxa"/>
          </w:tcPr>
          <w:p w:rsidR="00974ABB" w:rsidRPr="0067408E" w:rsidRDefault="00974ABB" w:rsidP="00F04F07">
            <w:pPr>
              <w:rPr>
                <w:sz w:val="21"/>
                <w:szCs w:val="21"/>
              </w:rPr>
            </w:pPr>
          </w:p>
        </w:tc>
      </w:tr>
      <w:tr w:rsidR="00974ABB" w:rsidRPr="0067408E" w:rsidTr="00F04F07">
        <w:trPr>
          <w:trHeight w:val="555"/>
        </w:trPr>
        <w:tc>
          <w:tcPr>
            <w:tcW w:w="2972" w:type="dxa"/>
          </w:tcPr>
          <w:p w:rsidR="00974ABB" w:rsidRPr="0067408E" w:rsidRDefault="00974ABB" w:rsidP="00F04F07">
            <w:pPr>
              <w:rPr>
                <w:sz w:val="21"/>
                <w:szCs w:val="21"/>
              </w:rPr>
            </w:pPr>
            <w:r w:rsidRPr="0067408E">
              <w:rPr>
                <w:sz w:val="21"/>
                <w:szCs w:val="21"/>
              </w:rPr>
              <w:t>Redness</w:t>
            </w:r>
          </w:p>
        </w:tc>
        <w:tc>
          <w:tcPr>
            <w:tcW w:w="1276" w:type="dxa"/>
          </w:tcPr>
          <w:p w:rsidR="00974ABB" w:rsidRPr="0067408E" w:rsidRDefault="00974ABB" w:rsidP="00F04F07">
            <w:pPr>
              <w:rPr>
                <w:sz w:val="21"/>
                <w:szCs w:val="21"/>
              </w:rPr>
            </w:pPr>
            <w:r w:rsidRPr="0067408E">
              <w:rPr>
                <w:sz w:val="21"/>
                <w:szCs w:val="21"/>
              </w:rPr>
              <w:t>8.5</w:t>
            </w:r>
          </w:p>
        </w:tc>
        <w:tc>
          <w:tcPr>
            <w:tcW w:w="1134" w:type="dxa"/>
          </w:tcPr>
          <w:p w:rsidR="00974ABB" w:rsidRPr="0067408E" w:rsidRDefault="00974ABB" w:rsidP="00F04F07">
            <w:pPr>
              <w:rPr>
                <w:sz w:val="21"/>
                <w:szCs w:val="21"/>
              </w:rPr>
            </w:pPr>
            <w:r w:rsidRPr="0067408E">
              <w:rPr>
                <w:sz w:val="21"/>
                <w:szCs w:val="21"/>
              </w:rPr>
              <w:t>9.6</w:t>
            </w:r>
          </w:p>
        </w:tc>
        <w:tc>
          <w:tcPr>
            <w:tcW w:w="1559" w:type="dxa"/>
          </w:tcPr>
          <w:p w:rsidR="00974ABB" w:rsidRPr="0067408E" w:rsidRDefault="00974ABB" w:rsidP="00F04F07">
            <w:pPr>
              <w:rPr>
                <w:sz w:val="21"/>
                <w:szCs w:val="21"/>
              </w:rPr>
            </w:pPr>
            <w:r w:rsidRPr="0067408E">
              <w:rPr>
                <w:sz w:val="21"/>
                <w:szCs w:val="21"/>
              </w:rPr>
              <w:t>12.7</w:t>
            </w:r>
          </w:p>
        </w:tc>
        <w:tc>
          <w:tcPr>
            <w:tcW w:w="992" w:type="dxa"/>
          </w:tcPr>
          <w:p w:rsidR="00974ABB" w:rsidRPr="0067408E" w:rsidRDefault="00974ABB" w:rsidP="00F04F07">
            <w:pPr>
              <w:rPr>
                <w:sz w:val="21"/>
                <w:szCs w:val="21"/>
              </w:rPr>
            </w:pPr>
            <w:r w:rsidRPr="0067408E">
              <w:rPr>
                <w:sz w:val="21"/>
                <w:szCs w:val="21"/>
              </w:rPr>
              <w:t>7.2</w:t>
            </w:r>
          </w:p>
        </w:tc>
        <w:tc>
          <w:tcPr>
            <w:tcW w:w="1083" w:type="dxa"/>
          </w:tcPr>
          <w:p w:rsidR="00974ABB" w:rsidRPr="0067408E" w:rsidRDefault="00974ABB" w:rsidP="00F04F07">
            <w:pPr>
              <w:rPr>
                <w:sz w:val="21"/>
                <w:szCs w:val="21"/>
              </w:rPr>
            </w:pPr>
            <w:r w:rsidRPr="0067408E">
              <w:rPr>
                <w:sz w:val="21"/>
                <w:szCs w:val="21"/>
              </w:rPr>
              <w:t>6.6</w:t>
            </w:r>
          </w:p>
        </w:tc>
      </w:tr>
      <w:tr w:rsidR="00974ABB" w:rsidRPr="0067408E" w:rsidTr="00F04F07">
        <w:trPr>
          <w:trHeight w:val="549"/>
        </w:trPr>
        <w:tc>
          <w:tcPr>
            <w:tcW w:w="2972" w:type="dxa"/>
          </w:tcPr>
          <w:p w:rsidR="00974ABB" w:rsidRPr="0067408E" w:rsidRDefault="00974ABB" w:rsidP="00F04F07">
            <w:pPr>
              <w:rPr>
                <w:sz w:val="21"/>
                <w:szCs w:val="21"/>
              </w:rPr>
            </w:pPr>
            <w:r w:rsidRPr="0067408E">
              <w:rPr>
                <w:sz w:val="21"/>
                <w:szCs w:val="21"/>
              </w:rPr>
              <w:t>Swelling</w:t>
            </w:r>
          </w:p>
        </w:tc>
        <w:tc>
          <w:tcPr>
            <w:tcW w:w="1276" w:type="dxa"/>
          </w:tcPr>
          <w:p w:rsidR="00974ABB" w:rsidRPr="0067408E" w:rsidRDefault="00974ABB" w:rsidP="00F04F07">
            <w:pPr>
              <w:rPr>
                <w:sz w:val="21"/>
                <w:szCs w:val="21"/>
              </w:rPr>
            </w:pPr>
            <w:r w:rsidRPr="0067408E">
              <w:rPr>
                <w:sz w:val="21"/>
                <w:szCs w:val="21"/>
              </w:rPr>
              <w:t>18.6</w:t>
            </w:r>
          </w:p>
        </w:tc>
        <w:tc>
          <w:tcPr>
            <w:tcW w:w="1134" w:type="dxa"/>
          </w:tcPr>
          <w:p w:rsidR="00974ABB" w:rsidRPr="0067408E" w:rsidRDefault="00974ABB" w:rsidP="00F04F07">
            <w:pPr>
              <w:rPr>
                <w:sz w:val="21"/>
                <w:szCs w:val="21"/>
              </w:rPr>
            </w:pPr>
            <w:r w:rsidRPr="0067408E">
              <w:rPr>
                <w:sz w:val="21"/>
                <w:szCs w:val="21"/>
              </w:rPr>
              <w:t>15.6</w:t>
            </w:r>
          </w:p>
        </w:tc>
        <w:tc>
          <w:tcPr>
            <w:tcW w:w="1559" w:type="dxa"/>
          </w:tcPr>
          <w:p w:rsidR="00974ABB" w:rsidRPr="0067408E" w:rsidRDefault="00974ABB" w:rsidP="00F04F07">
            <w:pPr>
              <w:rPr>
                <w:sz w:val="21"/>
                <w:szCs w:val="21"/>
              </w:rPr>
            </w:pPr>
            <w:r w:rsidRPr="0067408E">
              <w:rPr>
                <w:sz w:val="21"/>
                <w:szCs w:val="21"/>
              </w:rPr>
              <w:t>20.1</w:t>
            </w:r>
          </w:p>
        </w:tc>
        <w:tc>
          <w:tcPr>
            <w:tcW w:w="992" w:type="dxa"/>
          </w:tcPr>
          <w:p w:rsidR="00974ABB" w:rsidRPr="0067408E" w:rsidRDefault="00974ABB" w:rsidP="00F04F07">
            <w:pPr>
              <w:rPr>
                <w:sz w:val="21"/>
                <w:szCs w:val="21"/>
              </w:rPr>
            </w:pPr>
            <w:r w:rsidRPr="0067408E">
              <w:rPr>
                <w:sz w:val="21"/>
                <w:szCs w:val="21"/>
              </w:rPr>
              <w:t>11.3</w:t>
            </w:r>
          </w:p>
        </w:tc>
        <w:tc>
          <w:tcPr>
            <w:tcW w:w="1083" w:type="dxa"/>
          </w:tcPr>
          <w:p w:rsidR="00974ABB" w:rsidRPr="0067408E" w:rsidRDefault="00974ABB" w:rsidP="00F04F07">
            <w:pPr>
              <w:rPr>
                <w:sz w:val="21"/>
                <w:szCs w:val="21"/>
              </w:rPr>
            </w:pPr>
            <w:r w:rsidRPr="0067408E">
              <w:rPr>
                <w:sz w:val="21"/>
                <w:szCs w:val="21"/>
              </w:rPr>
              <w:t>13.9</w:t>
            </w:r>
          </w:p>
        </w:tc>
      </w:tr>
      <w:tr w:rsidR="00974ABB" w:rsidRPr="0067408E" w:rsidTr="00F04F07">
        <w:trPr>
          <w:trHeight w:val="557"/>
        </w:trPr>
        <w:tc>
          <w:tcPr>
            <w:tcW w:w="2972" w:type="dxa"/>
          </w:tcPr>
          <w:p w:rsidR="00974ABB" w:rsidRPr="0067408E" w:rsidRDefault="00974ABB" w:rsidP="00F04F07">
            <w:pPr>
              <w:rPr>
                <w:sz w:val="21"/>
                <w:szCs w:val="21"/>
              </w:rPr>
            </w:pPr>
            <w:r w:rsidRPr="0067408E">
              <w:rPr>
                <w:sz w:val="21"/>
                <w:szCs w:val="21"/>
              </w:rPr>
              <w:t>Pain</w:t>
            </w:r>
          </w:p>
        </w:tc>
        <w:tc>
          <w:tcPr>
            <w:tcW w:w="1276" w:type="dxa"/>
          </w:tcPr>
          <w:p w:rsidR="00974ABB" w:rsidRPr="0067408E" w:rsidRDefault="00974ABB" w:rsidP="00F04F07">
            <w:pPr>
              <w:rPr>
                <w:sz w:val="21"/>
                <w:szCs w:val="21"/>
              </w:rPr>
            </w:pPr>
            <w:r w:rsidRPr="0067408E">
              <w:rPr>
                <w:sz w:val="21"/>
                <w:szCs w:val="21"/>
              </w:rPr>
              <w:t>94.9</w:t>
            </w:r>
          </w:p>
        </w:tc>
        <w:tc>
          <w:tcPr>
            <w:tcW w:w="1134" w:type="dxa"/>
          </w:tcPr>
          <w:p w:rsidR="00974ABB" w:rsidRPr="0067408E" w:rsidRDefault="00974ABB" w:rsidP="00F04F07">
            <w:pPr>
              <w:rPr>
                <w:sz w:val="21"/>
                <w:szCs w:val="21"/>
              </w:rPr>
            </w:pPr>
            <w:r w:rsidRPr="0067408E">
              <w:rPr>
                <w:sz w:val="21"/>
                <w:szCs w:val="21"/>
              </w:rPr>
              <w:t>69.6</w:t>
            </w:r>
          </w:p>
        </w:tc>
        <w:tc>
          <w:tcPr>
            <w:tcW w:w="1559" w:type="dxa"/>
          </w:tcPr>
          <w:p w:rsidR="00974ABB" w:rsidRPr="0067408E" w:rsidRDefault="00974ABB" w:rsidP="00F04F07">
            <w:pPr>
              <w:rPr>
                <w:sz w:val="21"/>
                <w:szCs w:val="21"/>
              </w:rPr>
            </w:pPr>
            <w:r w:rsidRPr="0067408E">
              <w:rPr>
                <w:sz w:val="21"/>
                <w:szCs w:val="21"/>
              </w:rPr>
              <w:t>75.4</w:t>
            </w:r>
          </w:p>
        </w:tc>
        <w:tc>
          <w:tcPr>
            <w:tcW w:w="992" w:type="dxa"/>
          </w:tcPr>
          <w:p w:rsidR="00974ABB" w:rsidRPr="0067408E" w:rsidRDefault="00974ABB" w:rsidP="00F04F07">
            <w:pPr>
              <w:rPr>
                <w:sz w:val="21"/>
                <w:szCs w:val="21"/>
              </w:rPr>
            </w:pPr>
            <w:r w:rsidRPr="0067408E">
              <w:rPr>
                <w:sz w:val="21"/>
                <w:szCs w:val="21"/>
              </w:rPr>
              <w:t>84.6</w:t>
            </w:r>
          </w:p>
        </w:tc>
        <w:tc>
          <w:tcPr>
            <w:tcW w:w="1083" w:type="dxa"/>
          </w:tcPr>
          <w:p w:rsidR="00974ABB" w:rsidRPr="0067408E" w:rsidRDefault="00974ABB" w:rsidP="00F04F07">
            <w:pPr>
              <w:rPr>
                <w:sz w:val="21"/>
                <w:szCs w:val="21"/>
              </w:rPr>
            </w:pPr>
            <w:r w:rsidRPr="0067408E">
              <w:rPr>
                <w:sz w:val="21"/>
                <w:szCs w:val="21"/>
              </w:rPr>
              <w:t>86.1</w:t>
            </w:r>
          </w:p>
        </w:tc>
      </w:tr>
      <w:tr w:rsidR="00974ABB" w:rsidRPr="0067408E" w:rsidTr="00F04F07">
        <w:tc>
          <w:tcPr>
            <w:tcW w:w="2972" w:type="dxa"/>
          </w:tcPr>
          <w:p w:rsidR="00974ABB" w:rsidRPr="0067408E" w:rsidRDefault="00974ABB" w:rsidP="00F04F07">
            <w:pPr>
              <w:rPr>
                <w:sz w:val="21"/>
                <w:szCs w:val="21"/>
              </w:rPr>
            </w:pPr>
            <w:r w:rsidRPr="0067408E">
              <w:rPr>
                <w:sz w:val="21"/>
                <w:szCs w:val="21"/>
              </w:rPr>
              <w:t>Systemic Reactions</w:t>
            </w:r>
          </w:p>
        </w:tc>
        <w:tc>
          <w:tcPr>
            <w:tcW w:w="1276" w:type="dxa"/>
          </w:tcPr>
          <w:p w:rsidR="00974ABB" w:rsidRPr="0067408E" w:rsidRDefault="00974ABB" w:rsidP="00F04F07">
            <w:pPr>
              <w:rPr>
                <w:sz w:val="21"/>
                <w:szCs w:val="21"/>
              </w:rPr>
            </w:pPr>
          </w:p>
        </w:tc>
        <w:tc>
          <w:tcPr>
            <w:tcW w:w="1134" w:type="dxa"/>
          </w:tcPr>
          <w:p w:rsidR="00974ABB" w:rsidRPr="0067408E" w:rsidRDefault="00974ABB" w:rsidP="00F04F07">
            <w:pPr>
              <w:rPr>
                <w:sz w:val="21"/>
                <w:szCs w:val="21"/>
              </w:rPr>
            </w:pPr>
          </w:p>
        </w:tc>
        <w:tc>
          <w:tcPr>
            <w:tcW w:w="1559" w:type="dxa"/>
          </w:tcPr>
          <w:p w:rsidR="00974ABB" w:rsidRPr="0067408E" w:rsidRDefault="00974ABB" w:rsidP="00F04F07">
            <w:pPr>
              <w:rPr>
                <w:sz w:val="21"/>
                <w:szCs w:val="21"/>
              </w:rPr>
            </w:pPr>
          </w:p>
        </w:tc>
        <w:tc>
          <w:tcPr>
            <w:tcW w:w="992" w:type="dxa"/>
          </w:tcPr>
          <w:p w:rsidR="00974ABB" w:rsidRPr="0067408E" w:rsidRDefault="00974ABB" w:rsidP="00F04F07">
            <w:pPr>
              <w:rPr>
                <w:sz w:val="21"/>
                <w:szCs w:val="21"/>
              </w:rPr>
            </w:pPr>
          </w:p>
        </w:tc>
        <w:tc>
          <w:tcPr>
            <w:tcW w:w="1083" w:type="dxa"/>
          </w:tcPr>
          <w:p w:rsidR="00974ABB" w:rsidRPr="0067408E" w:rsidRDefault="00974ABB" w:rsidP="00F04F07">
            <w:pPr>
              <w:rPr>
                <w:sz w:val="21"/>
                <w:szCs w:val="21"/>
              </w:rPr>
            </w:pPr>
          </w:p>
        </w:tc>
      </w:tr>
      <w:tr w:rsidR="00974ABB" w:rsidRPr="0067408E" w:rsidTr="00F04F07">
        <w:tc>
          <w:tcPr>
            <w:tcW w:w="2972" w:type="dxa"/>
          </w:tcPr>
          <w:p w:rsidR="00974ABB" w:rsidRPr="0067408E" w:rsidRDefault="00974ABB" w:rsidP="00F04F07">
            <w:pPr>
              <w:rPr>
                <w:sz w:val="21"/>
                <w:szCs w:val="21"/>
              </w:rPr>
            </w:pPr>
            <w:r w:rsidRPr="0067408E">
              <w:rPr>
                <w:sz w:val="21"/>
                <w:szCs w:val="21"/>
              </w:rPr>
              <w:t>Fever*</w:t>
            </w:r>
          </w:p>
        </w:tc>
        <w:tc>
          <w:tcPr>
            <w:tcW w:w="1276" w:type="dxa"/>
          </w:tcPr>
          <w:p w:rsidR="00974ABB" w:rsidRPr="0067408E" w:rsidRDefault="00974ABB" w:rsidP="00F04F07">
            <w:pPr>
              <w:rPr>
                <w:sz w:val="21"/>
                <w:szCs w:val="21"/>
              </w:rPr>
            </w:pPr>
            <w:r w:rsidRPr="0067408E">
              <w:rPr>
                <w:sz w:val="21"/>
                <w:szCs w:val="21"/>
              </w:rPr>
              <w:t>5.1</w:t>
            </w:r>
          </w:p>
        </w:tc>
        <w:tc>
          <w:tcPr>
            <w:tcW w:w="1134" w:type="dxa"/>
          </w:tcPr>
          <w:p w:rsidR="00974ABB" w:rsidRPr="0067408E" w:rsidRDefault="00974ABB" w:rsidP="00F04F07">
            <w:pPr>
              <w:rPr>
                <w:sz w:val="21"/>
                <w:szCs w:val="21"/>
              </w:rPr>
            </w:pPr>
            <w:r w:rsidRPr="0067408E">
              <w:rPr>
                <w:sz w:val="21"/>
                <w:szCs w:val="21"/>
              </w:rPr>
              <w:t>0.7</w:t>
            </w:r>
          </w:p>
        </w:tc>
        <w:tc>
          <w:tcPr>
            <w:tcW w:w="1559" w:type="dxa"/>
          </w:tcPr>
          <w:p w:rsidR="00974ABB" w:rsidRPr="0067408E" w:rsidRDefault="00974ABB" w:rsidP="00F04F07">
            <w:pPr>
              <w:rPr>
                <w:sz w:val="21"/>
                <w:szCs w:val="21"/>
              </w:rPr>
            </w:pPr>
            <w:r w:rsidRPr="0067408E">
              <w:rPr>
                <w:sz w:val="21"/>
                <w:szCs w:val="21"/>
              </w:rPr>
              <w:t>1.5</w:t>
            </w:r>
          </w:p>
        </w:tc>
        <w:tc>
          <w:tcPr>
            <w:tcW w:w="992" w:type="dxa"/>
          </w:tcPr>
          <w:p w:rsidR="00974ABB" w:rsidRPr="0067408E" w:rsidRDefault="00974ABB" w:rsidP="00F04F07">
            <w:pPr>
              <w:rPr>
                <w:sz w:val="21"/>
                <w:szCs w:val="21"/>
              </w:rPr>
            </w:pPr>
            <w:r w:rsidRPr="0067408E">
              <w:rPr>
                <w:sz w:val="21"/>
                <w:szCs w:val="21"/>
              </w:rPr>
              <w:t>1.3</w:t>
            </w:r>
          </w:p>
        </w:tc>
        <w:tc>
          <w:tcPr>
            <w:tcW w:w="1083" w:type="dxa"/>
          </w:tcPr>
          <w:p w:rsidR="00974ABB" w:rsidRPr="0067408E" w:rsidRDefault="00974ABB" w:rsidP="00F04F07">
            <w:pPr>
              <w:rPr>
                <w:sz w:val="21"/>
                <w:szCs w:val="21"/>
              </w:rPr>
            </w:pPr>
            <w:r w:rsidRPr="0067408E">
              <w:rPr>
                <w:sz w:val="21"/>
                <w:szCs w:val="21"/>
              </w:rPr>
              <w:t>1.3</w:t>
            </w:r>
          </w:p>
        </w:tc>
      </w:tr>
      <w:tr w:rsidR="00974ABB" w:rsidRPr="0067408E" w:rsidTr="00F04F07">
        <w:tc>
          <w:tcPr>
            <w:tcW w:w="2972" w:type="dxa"/>
          </w:tcPr>
          <w:p w:rsidR="00974ABB" w:rsidRPr="0067408E" w:rsidRDefault="00974ABB" w:rsidP="00F04F07">
            <w:pPr>
              <w:rPr>
                <w:sz w:val="21"/>
                <w:szCs w:val="21"/>
              </w:rPr>
            </w:pPr>
            <w:r w:rsidRPr="0067408E">
              <w:rPr>
                <w:sz w:val="21"/>
                <w:szCs w:val="21"/>
              </w:rPr>
              <w:t>Headache</w:t>
            </w:r>
          </w:p>
        </w:tc>
        <w:tc>
          <w:tcPr>
            <w:tcW w:w="1276" w:type="dxa"/>
          </w:tcPr>
          <w:p w:rsidR="00974ABB" w:rsidRPr="0067408E" w:rsidRDefault="00974ABB" w:rsidP="00F04F07">
            <w:pPr>
              <w:rPr>
                <w:sz w:val="21"/>
                <w:szCs w:val="21"/>
              </w:rPr>
            </w:pPr>
            <w:r w:rsidRPr="0067408E">
              <w:rPr>
                <w:sz w:val="21"/>
                <w:szCs w:val="21"/>
              </w:rPr>
              <w:t>37.3</w:t>
            </w:r>
          </w:p>
        </w:tc>
        <w:tc>
          <w:tcPr>
            <w:tcW w:w="1134" w:type="dxa"/>
          </w:tcPr>
          <w:p w:rsidR="00974ABB" w:rsidRPr="0067408E" w:rsidRDefault="00974ABB" w:rsidP="00F04F07">
            <w:pPr>
              <w:rPr>
                <w:sz w:val="21"/>
                <w:szCs w:val="21"/>
              </w:rPr>
            </w:pPr>
            <w:r w:rsidRPr="0067408E">
              <w:rPr>
                <w:sz w:val="21"/>
                <w:szCs w:val="21"/>
              </w:rPr>
              <w:t>28.1</w:t>
            </w:r>
          </w:p>
        </w:tc>
        <w:tc>
          <w:tcPr>
            <w:tcW w:w="1559" w:type="dxa"/>
          </w:tcPr>
          <w:p w:rsidR="00974ABB" w:rsidRPr="0067408E" w:rsidRDefault="00974ABB" w:rsidP="00F04F07">
            <w:pPr>
              <w:rPr>
                <w:sz w:val="21"/>
                <w:szCs w:val="21"/>
              </w:rPr>
            </w:pPr>
            <w:r w:rsidRPr="0067408E">
              <w:rPr>
                <w:sz w:val="21"/>
                <w:szCs w:val="21"/>
              </w:rPr>
              <w:t>23.9</w:t>
            </w:r>
          </w:p>
        </w:tc>
        <w:tc>
          <w:tcPr>
            <w:tcW w:w="992" w:type="dxa"/>
          </w:tcPr>
          <w:p w:rsidR="00974ABB" w:rsidRPr="0067408E" w:rsidRDefault="00974ABB" w:rsidP="00F04F07">
            <w:pPr>
              <w:rPr>
                <w:sz w:val="21"/>
                <w:szCs w:val="21"/>
              </w:rPr>
            </w:pPr>
            <w:r w:rsidRPr="0067408E">
              <w:rPr>
                <w:sz w:val="21"/>
                <w:szCs w:val="21"/>
              </w:rPr>
              <w:t>14.4</w:t>
            </w:r>
          </w:p>
        </w:tc>
        <w:tc>
          <w:tcPr>
            <w:tcW w:w="1083" w:type="dxa"/>
          </w:tcPr>
          <w:p w:rsidR="00974ABB" w:rsidRPr="0067408E" w:rsidRDefault="00974ABB" w:rsidP="00F04F07">
            <w:pPr>
              <w:rPr>
                <w:sz w:val="21"/>
                <w:szCs w:val="21"/>
              </w:rPr>
            </w:pPr>
            <w:r w:rsidRPr="0067408E">
              <w:rPr>
                <w:sz w:val="21"/>
                <w:szCs w:val="21"/>
              </w:rPr>
              <w:t>13.9</w:t>
            </w:r>
          </w:p>
        </w:tc>
      </w:tr>
      <w:tr w:rsidR="00974ABB" w:rsidRPr="0067408E" w:rsidTr="00F04F07">
        <w:tc>
          <w:tcPr>
            <w:tcW w:w="2972" w:type="dxa"/>
          </w:tcPr>
          <w:p w:rsidR="00974ABB" w:rsidRPr="0067408E" w:rsidRDefault="00974ABB" w:rsidP="00F04F07">
            <w:pPr>
              <w:rPr>
                <w:sz w:val="21"/>
                <w:szCs w:val="21"/>
              </w:rPr>
            </w:pPr>
            <w:r w:rsidRPr="0067408E">
              <w:rPr>
                <w:sz w:val="21"/>
                <w:szCs w:val="21"/>
              </w:rPr>
              <w:t>Chills</w:t>
            </w:r>
          </w:p>
        </w:tc>
        <w:tc>
          <w:tcPr>
            <w:tcW w:w="1276" w:type="dxa"/>
          </w:tcPr>
          <w:p w:rsidR="00974ABB" w:rsidRPr="0067408E" w:rsidRDefault="00974ABB" w:rsidP="00F04F07">
            <w:pPr>
              <w:rPr>
                <w:sz w:val="21"/>
                <w:szCs w:val="21"/>
              </w:rPr>
            </w:pPr>
            <w:r w:rsidRPr="0067408E">
              <w:rPr>
                <w:sz w:val="21"/>
                <w:szCs w:val="21"/>
              </w:rPr>
              <w:t>15.3</w:t>
            </w:r>
          </w:p>
        </w:tc>
        <w:tc>
          <w:tcPr>
            <w:tcW w:w="1134" w:type="dxa"/>
          </w:tcPr>
          <w:p w:rsidR="00974ABB" w:rsidRPr="0067408E" w:rsidRDefault="00974ABB" w:rsidP="00F04F07">
            <w:pPr>
              <w:rPr>
                <w:sz w:val="21"/>
                <w:szCs w:val="21"/>
              </w:rPr>
            </w:pPr>
            <w:r w:rsidRPr="0067408E">
              <w:rPr>
                <w:sz w:val="21"/>
                <w:szCs w:val="21"/>
              </w:rPr>
              <w:t>12.6</w:t>
            </w:r>
          </w:p>
        </w:tc>
        <w:tc>
          <w:tcPr>
            <w:tcW w:w="1559" w:type="dxa"/>
          </w:tcPr>
          <w:p w:rsidR="00974ABB" w:rsidRPr="0067408E" w:rsidRDefault="00974ABB" w:rsidP="00F04F07">
            <w:pPr>
              <w:rPr>
                <w:sz w:val="21"/>
                <w:szCs w:val="21"/>
              </w:rPr>
            </w:pPr>
            <w:r w:rsidRPr="0067408E">
              <w:rPr>
                <w:sz w:val="21"/>
                <w:szCs w:val="21"/>
              </w:rPr>
              <w:t>13.4</w:t>
            </w:r>
          </w:p>
        </w:tc>
        <w:tc>
          <w:tcPr>
            <w:tcW w:w="992" w:type="dxa"/>
          </w:tcPr>
          <w:p w:rsidR="00974ABB" w:rsidRPr="0067408E" w:rsidRDefault="00974ABB" w:rsidP="00F04F07">
            <w:pPr>
              <w:rPr>
                <w:sz w:val="21"/>
                <w:szCs w:val="21"/>
              </w:rPr>
            </w:pPr>
            <w:r w:rsidRPr="0067408E">
              <w:rPr>
                <w:sz w:val="21"/>
                <w:szCs w:val="21"/>
              </w:rPr>
              <w:t>3.6</w:t>
            </w:r>
          </w:p>
        </w:tc>
        <w:tc>
          <w:tcPr>
            <w:tcW w:w="1083" w:type="dxa"/>
          </w:tcPr>
          <w:p w:rsidR="00974ABB" w:rsidRPr="0067408E" w:rsidRDefault="00974ABB" w:rsidP="00F04F07">
            <w:pPr>
              <w:rPr>
                <w:sz w:val="21"/>
                <w:szCs w:val="21"/>
              </w:rPr>
            </w:pPr>
            <w:r w:rsidRPr="0067408E">
              <w:rPr>
                <w:sz w:val="21"/>
                <w:szCs w:val="21"/>
              </w:rPr>
              <w:t>2.0</w:t>
            </w:r>
          </w:p>
        </w:tc>
      </w:tr>
      <w:tr w:rsidR="00974ABB" w:rsidRPr="0067408E" w:rsidTr="00F04F07">
        <w:tc>
          <w:tcPr>
            <w:tcW w:w="2972" w:type="dxa"/>
          </w:tcPr>
          <w:p w:rsidR="00974ABB" w:rsidRPr="0067408E" w:rsidRDefault="00974ABB" w:rsidP="00F04F07">
            <w:pPr>
              <w:rPr>
                <w:sz w:val="21"/>
                <w:szCs w:val="21"/>
              </w:rPr>
            </w:pPr>
            <w:r w:rsidRPr="0067408E">
              <w:rPr>
                <w:sz w:val="21"/>
                <w:szCs w:val="21"/>
              </w:rPr>
              <w:t>Body ache</w:t>
            </w:r>
          </w:p>
        </w:tc>
        <w:tc>
          <w:tcPr>
            <w:tcW w:w="1276" w:type="dxa"/>
          </w:tcPr>
          <w:p w:rsidR="00974ABB" w:rsidRPr="0067408E" w:rsidRDefault="00974ABB" w:rsidP="00F04F07">
            <w:pPr>
              <w:rPr>
                <w:sz w:val="21"/>
                <w:szCs w:val="21"/>
              </w:rPr>
            </w:pPr>
            <w:r w:rsidRPr="0067408E">
              <w:rPr>
                <w:sz w:val="21"/>
                <w:szCs w:val="21"/>
              </w:rPr>
              <w:t>15.3</w:t>
            </w:r>
          </w:p>
        </w:tc>
        <w:tc>
          <w:tcPr>
            <w:tcW w:w="1134" w:type="dxa"/>
          </w:tcPr>
          <w:p w:rsidR="00974ABB" w:rsidRPr="0067408E" w:rsidRDefault="00974ABB" w:rsidP="00F04F07">
            <w:pPr>
              <w:rPr>
                <w:sz w:val="21"/>
                <w:szCs w:val="21"/>
              </w:rPr>
            </w:pPr>
            <w:r w:rsidRPr="0067408E">
              <w:rPr>
                <w:sz w:val="21"/>
                <w:szCs w:val="21"/>
              </w:rPr>
              <w:t>18.5</w:t>
            </w:r>
          </w:p>
        </w:tc>
        <w:tc>
          <w:tcPr>
            <w:tcW w:w="1559" w:type="dxa"/>
          </w:tcPr>
          <w:p w:rsidR="00974ABB" w:rsidRPr="0067408E" w:rsidRDefault="00974ABB" w:rsidP="00F04F07">
            <w:pPr>
              <w:rPr>
                <w:sz w:val="21"/>
                <w:szCs w:val="21"/>
              </w:rPr>
            </w:pPr>
            <w:r w:rsidRPr="0067408E">
              <w:rPr>
                <w:sz w:val="21"/>
                <w:szCs w:val="21"/>
              </w:rPr>
              <w:t>19.4</w:t>
            </w:r>
          </w:p>
        </w:tc>
        <w:tc>
          <w:tcPr>
            <w:tcW w:w="992" w:type="dxa"/>
          </w:tcPr>
          <w:p w:rsidR="00974ABB" w:rsidRPr="0067408E" w:rsidRDefault="00974ABB" w:rsidP="00F04F07">
            <w:pPr>
              <w:rPr>
                <w:sz w:val="21"/>
                <w:szCs w:val="21"/>
              </w:rPr>
            </w:pPr>
            <w:r w:rsidRPr="0067408E">
              <w:rPr>
                <w:sz w:val="21"/>
                <w:szCs w:val="21"/>
              </w:rPr>
              <w:t>11.8</w:t>
            </w:r>
          </w:p>
        </w:tc>
        <w:tc>
          <w:tcPr>
            <w:tcW w:w="1083" w:type="dxa"/>
          </w:tcPr>
          <w:p w:rsidR="00974ABB" w:rsidRPr="0067408E" w:rsidRDefault="00974ABB" w:rsidP="00F04F07">
            <w:pPr>
              <w:rPr>
                <w:sz w:val="21"/>
                <w:szCs w:val="21"/>
              </w:rPr>
            </w:pPr>
            <w:r w:rsidRPr="0067408E">
              <w:rPr>
                <w:sz w:val="21"/>
                <w:szCs w:val="21"/>
              </w:rPr>
              <w:t>8.6</w:t>
            </w:r>
          </w:p>
        </w:tc>
      </w:tr>
      <w:tr w:rsidR="00974ABB" w:rsidRPr="0067408E" w:rsidTr="00F04F07">
        <w:tc>
          <w:tcPr>
            <w:tcW w:w="2972" w:type="dxa"/>
          </w:tcPr>
          <w:p w:rsidR="00974ABB" w:rsidRPr="0067408E" w:rsidRDefault="00974ABB" w:rsidP="00F04F07">
            <w:pPr>
              <w:rPr>
                <w:sz w:val="21"/>
                <w:szCs w:val="21"/>
              </w:rPr>
            </w:pPr>
            <w:r w:rsidRPr="0067408E">
              <w:rPr>
                <w:sz w:val="21"/>
                <w:szCs w:val="21"/>
              </w:rPr>
              <w:t>Tiredness</w:t>
            </w:r>
          </w:p>
        </w:tc>
        <w:tc>
          <w:tcPr>
            <w:tcW w:w="1276" w:type="dxa"/>
          </w:tcPr>
          <w:p w:rsidR="00974ABB" w:rsidRPr="0067408E" w:rsidRDefault="00974ABB" w:rsidP="00F04F07">
            <w:pPr>
              <w:rPr>
                <w:sz w:val="21"/>
                <w:szCs w:val="21"/>
              </w:rPr>
            </w:pPr>
            <w:r w:rsidRPr="0067408E">
              <w:rPr>
                <w:sz w:val="21"/>
                <w:szCs w:val="21"/>
              </w:rPr>
              <w:t>23.7</w:t>
            </w:r>
          </w:p>
        </w:tc>
        <w:tc>
          <w:tcPr>
            <w:tcW w:w="1134" w:type="dxa"/>
          </w:tcPr>
          <w:p w:rsidR="00974ABB" w:rsidRPr="0067408E" w:rsidRDefault="00974ABB" w:rsidP="00F04F07">
            <w:pPr>
              <w:rPr>
                <w:sz w:val="21"/>
                <w:szCs w:val="21"/>
              </w:rPr>
            </w:pPr>
            <w:r w:rsidRPr="0067408E">
              <w:rPr>
                <w:sz w:val="21"/>
                <w:szCs w:val="21"/>
              </w:rPr>
              <w:t>37.0</w:t>
            </w:r>
          </w:p>
        </w:tc>
        <w:tc>
          <w:tcPr>
            <w:tcW w:w="1559" w:type="dxa"/>
          </w:tcPr>
          <w:p w:rsidR="00974ABB" w:rsidRPr="0067408E" w:rsidRDefault="00974ABB" w:rsidP="00F04F07">
            <w:pPr>
              <w:rPr>
                <w:sz w:val="21"/>
                <w:szCs w:val="21"/>
              </w:rPr>
            </w:pPr>
            <w:r w:rsidRPr="0067408E">
              <w:rPr>
                <w:sz w:val="21"/>
                <w:szCs w:val="21"/>
              </w:rPr>
              <w:t>31.3</w:t>
            </w:r>
          </w:p>
        </w:tc>
        <w:tc>
          <w:tcPr>
            <w:tcW w:w="992" w:type="dxa"/>
          </w:tcPr>
          <w:p w:rsidR="00974ABB" w:rsidRPr="0067408E" w:rsidRDefault="00974ABB" w:rsidP="00F04F07">
            <w:pPr>
              <w:rPr>
                <w:sz w:val="21"/>
                <w:szCs w:val="21"/>
              </w:rPr>
            </w:pPr>
            <w:r w:rsidRPr="0067408E">
              <w:rPr>
                <w:sz w:val="21"/>
                <w:szCs w:val="21"/>
              </w:rPr>
              <w:t>11.5</w:t>
            </w:r>
          </w:p>
        </w:tc>
        <w:tc>
          <w:tcPr>
            <w:tcW w:w="1083" w:type="dxa"/>
          </w:tcPr>
          <w:p w:rsidR="00974ABB" w:rsidRPr="0067408E" w:rsidRDefault="00974ABB" w:rsidP="00F04F07">
            <w:pPr>
              <w:rPr>
                <w:sz w:val="21"/>
                <w:szCs w:val="21"/>
              </w:rPr>
            </w:pPr>
            <w:r w:rsidRPr="0067408E">
              <w:rPr>
                <w:sz w:val="21"/>
                <w:szCs w:val="21"/>
              </w:rPr>
              <w:t>14.6</w:t>
            </w:r>
          </w:p>
        </w:tc>
      </w:tr>
      <w:tr w:rsidR="00974ABB" w:rsidRPr="0067408E" w:rsidTr="00F04F07">
        <w:tc>
          <w:tcPr>
            <w:tcW w:w="2972" w:type="dxa"/>
          </w:tcPr>
          <w:p w:rsidR="00974ABB" w:rsidRPr="0067408E" w:rsidRDefault="00974ABB" w:rsidP="00F04F07">
            <w:pPr>
              <w:rPr>
                <w:sz w:val="21"/>
                <w:szCs w:val="21"/>
              </w:rPr>
            </w:pPr>
            <w:r w:rsidRPr="0067408E">
              <w:rPr>
                <w:sz w:val="21"/>
                <w:szCs w:val="21"/>
              </w:rPr>
              <w:t>Sore Joints</w:t>
            </w:r>
          </w:p>
        </w:tc>
        <w:tc>
          <w:tcPr>
            <w:tcW w:w="1276" w:type="dxa"/>
          </w:tcPr>
          <w:p w:rsidR="00974ABB" w:rsidRPr="0067408E" w:rsidRDefault="00974ABB" w:rsidP="00F04F07">
            <w:pPr>
              <w:rPr>
                <w:sz w:val="21"/>
                <w:szCs w:val="21"/>
              </w:rPr>
            </w:pPr>
            <w:r w:rsidRPr="0067408E">
              <w:rPr>
                <w:sz w:val="21"/>
                <w:szCs w:val="21"/>
              </w:rPr>
              <w:t>3.4</w:t>
            </w:r>
          </w:p>
        </w:tc>
        <w:tc>
          <w:tcPr>
            <w:tcW w:w="1134" w:type="dxa"/>
          </w:tcPr>
          <w:p w:rsidR="00974ABB" w:rsidRPr="0067408E" w:rsidRDefault="00974ABB" w:rsidP="00F04F07">
            <w:pPr>
              <w:rPr>
                <w:sz w:val="21"/>
                <w:szCs w:val="21"/>
              </w:rPr>
            </w:pPr>
            <w:r w:rsidRPr="0067408E">
              <w:rPr>
                <w:sz w:val="21"/>
                <w:szCs w:val="21"/>
              </w:rPr>
              <w:t>19.3</w:t>
            </w:r>
          </w:p>
        </w:tc>
        <w:tc>
          <w:tcPr>
            <w:tcW w:w="1559" w:type="dxa"/>
          </w:tcPr>
          <w:p w:rsidR="00974ABB" w:rsidRPr="0067408E" w:rsidRDefault="00974ABB" w:rsidP="00F04F07">
            <w:pPr>
              <w:rPr>
                <w:sz w:val="21"/>
                <w:szCs w:val="21"/>
              </w:rPr>
            </w:pPr>
            <w:r w:rsidRPr="0067408E">
              <w:rPr>
                <w:sz w:val="21"/>
                <w:szCs w:val="21"/>
              </w:rPr>
              <w:t>12.7</w:t>
            </w:r>
          </w:p>
        </w:tc>
        <w:tc>
          <w:tcPr>
            <w:tcW w:w="992" w:type="dxa"/>
          </w:tcPr>
          <w:p w:rsidR="00974ABB" w:rsidRPr="0067408E" w:rsidRDefault="00974ABB" w:rsidP="00F04F07">
            <w:pPr>
              <w:rPr>
                <w:sz w:val="21"/>
                <w:szCs w:val="21"/>
              </w:rPr>
            </w:pPr>
            <w:r w:rsidRPr="0067408E">
              <w:rPr>
                <w:sz w:val="21"/>
                <w:szCs w:val="21"/>
              </w:rPr>
              <w:t>5.4</w:t>
            </w:r>
          </w:p>
        </w:tc>
        <w:tc>
          <w:tcPr>
            <w:tcW w:w="1083" w:type="dxa"/>
          </w:tcPr>
          <w:p w:rsidR="00974ABB" w:rsidRPr="0067408E" w:rsidRDefault="00974ABB" w:rsidP="00F04F07">
            <w:pPr>
              <w:rPr>
                <w:sz w:val="21"/>
                <w:szCs w:val="21"/>
              </w:rPr>
            </w:pPr>
            <w:r w:rsidRPr="0067408E">
              <w:rPr>
                <w:sz w:val="21"/>
                <w:szCs w:val="21"/>
              </w:rPr>
              <w:t>4.0</w:t>
            </w:r>
          </w:p>
        </w:tc>
      </w:tr>
      <w:tr w:rsidR="00974ABB" w:rsidRPr="0067408E" w:rsidTr="00F04F07">
        <w:tc>
          <w:tcPr>
            <w:tcW w:w="2972" w:type="dxa"/>
          </w:tcPr>
          <w:p w:rsidR="00974ABB" w:rsidRPr="0067408E" w:rsidRDefault="00974ABB" w:rsidP="00F04F07">
            <w:pPr>
              <w:rPr>
                <w:sz w:val="21"/>
                <w:szCs w:val="21"/>
              </w:rPr>
            </w:pPr>
            <w:r w:rsidRPr="0067408E">
              <w:rPr>
                <w:sz w:val="21"/>
                <w:szCs w:val="21"/>
              </w:rPr>
              <w:lastRenderedPageBreak/>
              <w:t>Nausea</w:t>
            </w:r>
          </w:p>
        </w:tc>
        <w:tc>
          <w:tcPr>
            <w:tcW w:w="1276" w:type="dxa"/>
          </w:tcPr>
          <w:p w:rsidR="00974ABB" w:rsidRPr="0067408E" w:rsidRDefault="00974ABB" w:rsidP="00F04F07">
            <w:pPr>
              <w:rPr>
                <w:sz w:val="21"/>
                <w:szCs w:val="21"/>
              </w:rPr>
            </w:pPr>
            <w:r w:rsidRPr="0067408E">
              <w:rPr>
                <w:sz w:val="21"/>
                <w:szCs w:val="21"/>
              </w:rPr>
              <w:t>6.8</w:t>
            </w:r>
          </w:p>
        </w:tc>
        <w:tc>
          <w:tcPr>
            <w:tcW w:w="1134" w:type="dxa"/>
          </w:tcPr>
          <w:p w:rsidR="00974ABB" w:rsidRPr="0067408E" w:rsidRDefault="00974ABB" w:rsidP="00F04F07">
            <w:pPr>
              <w:rPr>
                <w:sz w:val="21"/>
                <w:szCs w:val="21"/>
              </w:rPr>
            </w:pPr>
            <w:r w:rsidRPr="0067408E">
              <w:rPr>
                <w:sz w:val="21"/>
                <w:szCs w:val="21"/>
              </w:rPr>
              <w:t>12.6</w:t>
            </w:r>
          </w:p>
        </w:tc>
        <w:tc>
          <w:tcPr>
            <w:tcW w:w="1559" w:type="dxa"/>
          </w:tcPr>
          <w:p w:rsidR="00974ABB" w:rsidRPr="0067408E" w:rsidRDefault="00974ABB" w:rsidP="00F04F07">
            <w:pPr>
              <w:rPr>
                <w:sz w:val="21"/>
                <w:szCs w:val="21"/>
              </w:rPr>
            </w:pPr>
            <w:r w:rsidRPr="0067408E">
              <w:rPr>
                <w:sz w:val="21"/>
                <w:szCs w:val="21"/>
              </w:rPr>
              <w:t>12.7</w:t>
            </w:r>
          </w:p>
        </w:tc>
        <w:tc>
          <w:tcPr>
            <w:tcW w:w="992" w:type="dxa"/>
          </w:tcPr>
          <w:p w:rsidR="00974ABB" w:rsidRPr="0067408E" w:rsidRDefault="00974ABB" w:rsidP="00F04F07">
            <w:pPr>
              <w:rPr>
                <w:sz w:val="21"/>
                <w:szCs w:val="21"/>
              </w:rPr>
            </w:pPr>
            <w:r w:rsidRPr="0067408E">
              <w:rPr>
                <w:sz w:val="21"/>
                <w:szCs w:val="21"/>
              </w:rPr>
              <w:t>6.9</w:t>
            </w:r>
          </w:p>
        </w:tc>
        <w:tc>
          <w:tcPr>
            <w:tcW w:w="1083" w:type="dxa"/>
          </w:tcPr>
          <w:p w:rsidR="00974ABB" w:rsidRPr="0067408E" w:rsidRDefault="00974ABB" w:rsidP="00F04F07">
            <w:pPr>
              <w:rPr>
                <w:sz w:val="21"/>
                <w:szCs w:val="21"/>
              </w:rPr>
            </w:pPr>
            <w:r w:rsidRPr="0067408E">
              <w:rPr>
                <w:sz w:val="21"/>
                <w:szCs w:val="21"/>
              </w:rPr>
              <w:t>5.3</w:t>
            </w:r>
          </w:p>
        </w:tc>
      </w:tr>
      <w:tr w:rsidR="00974ABB" w:rsidRPr="0067408E" w:rsidTr="00F04F07">
        <w:tc>
          <w:tcPr>
            <w:tcW w:w="2972" w:type="dxa"/>
          </w:tcPr>
          <w:p w:rsidR="00974ABB" w:rsidRPr="0067408E" w:rsidRDefault="00974ABB" w:rsidP="00F04F07">
            <w:pPr>
              <w:rPr>
                <w:sz w:val="21"/>
                <w:szCs w:val="21"/>
              </w:rPr>
            </w:pPr>
            <w:r w:rsidRPr="0067408E">
              <w:rPr>
                <w:sz w:val="21"/>
                <w:szCs w:val="21"/>
              </w:rPr>
              <w:t>Vomiting</w:t>
            </w:r>
          </w:p>
        </w:tc>
        <w:tc>
          <w:tcPr>
            <w:tcW w:w="1276" w:type="dxa"/>
          </w:tcPr>
          <w:p w:rsidR="00974ABB" w:rsidRPr="0067408E" w:rsidRDefault="00974ABB" w:rsidP="00F04F07">
            <w:pPr>
              <w:rPr>
                <w:sz w:val="21"/>
                <w:szCs w:val="21"/>
              </w:rPr>
            </w:pPr>
            <w:r w:rsidRPr="0067408E">
              <w:rPr>
                <w:sz w:val="21"/>
                <w:szCs w:val="21"/>
              </w:rPr>
              <w:t>1.7</w:t>
            </w:r>
          </w:p>
        </w:tc>
        <w:tc>
          <w:tcPr>
            <w:tcW w:w="1134" w:type="dxa"/>
          </w:tcPr>
          <w:p w:rsidR="00974ABB" w:rsidRPr="0067408E" w:rsidRDefault="00974ABB" w:rsidP="00F04F07">
            <w:pPr>
              <w:rPr>
                <w:sz w:val="21"/>
                <w:szCs w:val="21"/>
              </w:rPr>
            </w:pPr>
            <w:r w:rsidRPr="0067408E">
              <w:rPr>
                <w:sz w:val="21"/>
                <w:szCs w:val="21"/>
              </w:rPr>
              <w:t>0.0</w:t>
            </w:r>
          </w:p>
        </w:tc>
        <w:tc>
          <w:tcPr>
            <w:tcW w:w="1559" w:type="dxa"/>
          </w:tcPr>
          <w:p w:rsidR="00974ABB" w:rsidRPr="0067408E" w:rsidRDefault="00974ABB" w:rsidP="00F04F07">
            <w:pPr>
              <w:rPr>
                <w:sz w:val="21"/>
                <w:szCs w:val="21"/>
              </w:rPr>
            </w:pPr>
            <w:r w:rsidRPr="0067408E">
              <w:rPr>
                <w:sz w:val="21"/>
                <w:szCs w:val="21"/>
              </w:rPr>
              <w:t>1.5</w:t>
            </w:r>
          </w:p>
        </w:tc>
        <w:tc>
          <w:tcPr>
            <w:tcW w:w="992" w:type="dxa"/>
          </w:tcPr>
          <w:p w:rsidR="00974ABB" w:rsidRPr="0067408E" w:rsidRDefault="00974ABB" w:rsidP="00F04F07">
            <w:pPr>
              <w:rPr>
                <w:sz w:val="21"/>
                <w:szCs w:val="21"/>
              </w:rPr>
            </w:pPr>
            <w:r w:rsidRPr="0067408E">
              <w:rPr>
                <w:sz w:val="21"/>
                <w:szCs w:val="21"/>
              </w:rPr>
              <w:t>0.5</w:t>
            </w:r>
          </w:p>
        </w:tc>
        <w:tc>
          <w:tcPr>
            <w:tcW w:w="1083" w:type="dxa"/>
          </w:tcPr>
          <w:p w:rsidR="00974ABB" w:rsidRPr="0067408E" w:rsidRDefault="00974ABB" w:rsidP="00F04F07">
            <w:pPr>
              <w:rPr>
                <w:sz w:val="21"/>
                <w:szCs w:val="21"/>
              </w:rPr>
            </w:pPr>
            <w:r w:rsidRPr="0067408E">
              <w:rPr>
                <w:sz w:val="21"/>
                <w:szCs w:val="21"/>
              </w:rPr>
              <w:t>0.0</w:t>
            </w:r>
          </w:p>
        </w:tc>
      </w:tr>
      <w:tr w:rsidR="00974ABB" w:rsidRPr="0067408E" w:rsidTr="00F04F07">
        <w:tc>
          <w:tcPr>
            <w:tcW w:w="2972" w:type="dxa"/>
          </w:tcPr>
          <w:p w:rsidR="00974ABB" w:rsidRPr="0067408E" w:rsidRDefault="00974ABB" w:rsidP="00F04F07">
            <w:pPr>
              <w:rPr>
                <w:sz w:val="21"/>
                <w:szCs w:val="21"/>
              </w:rPr>
            </w:pPr>
            <w:r w:rsidRPr="0067408E">
              <w:rPr>
                <w:sz w:val="21"/>
                <w:szCs w:val="21"/>
              </w:rPr>
              <w:t>Diarrhoea</w:t>
            </w:r>
          </w:p>
        </w:tc>
        <w:tc>
          <w:tcPr>
            <w:tcW w:w="1276" w:type="dxa"/>
          </w:tcPr>
          <w:p w:rsidR="00974ABB" w:rsidRPr="0067408E" w:rsidRDefault="00974ABB" w:rsidP="00F04F07">
            <w:pPr>
              <w:rPr>
                <w:sz w:val="21"/>
                <w:szCs w:val="21"/>
              </w:rPr>
            </w:pPr>
            <w:r w:rsidRPr="0067408E">
              <w:rPr>
                <w:sz w:val="21"/>
                <w:szCs w:val="21"/>
              </w:rPr>
              <w:t>1.7</w:t>
            </w:r>
          </w:p>
        </w:tc>
        <w:tc>
          <w:tcPr>
            <w:tcW w:w="1134" w:type="dxa"/>
          </w:tcPr>
          <w:p w:rsidR="00974ABB" w:rsidRPr="0067408E" w:rsidRDefault="00974ABB" w:rsidP="00F04F07">
            <w:pPr>
              <w:rPr>
                <w:sz w:val="21"/>
                <w:szCs w:val="21"/>
              </w:rPr>
            </w:pPr>
            <w:r w:rsidRPr="0067408E">
              <w:rPr>
                <w:sz w:val="21"/>
                <w:szCs w:val="21"/>
              </w:rPr>
              <w:t>4.4</w:t>
            </w:r>
          </w:p>
        </w:tc>
        <w:tc>
          <w:tcPr>
            <w:tcW w:w="1559" w:type="dxa"/>
          </w:tcPr>
          <w:p w:rsidR="00974ABB" w:rsidRPr="0067408E" w:rsidRDefault="00974ABB" w:rsidP="00F04F07">
            <w:pPr>
              <w:rPr>
                <w:sz w:val="21"/>
                <w:szCs w:val="21"/>
              </w:rPr>
            </w:pPr>
            <w:r w:rsidRPr="0067408E">
              <w:rPr>
                <w:sz w:val="21"/>
                <w:szCs w:val="21"/>
              </w:rPr>
              <w:t>3.0</w:t>
            </w:r>
          </w:p>
        </w:tc>
        <w:tc>
          <w:tcPr>
            <w:tcW w:w="992" w:type="dxa"/>
          </w:tcPr>
          <w:p w:rsidR="00974ABB" w:rsidRPr="0067408E" w:rsidRDefault="00974ABB" w:rsidP="00F04F07">
            <w:pPr>
              <w:rPr>
                <w:sz w:val="21"/>
                <w:szCs w:val="21"/>
              </w:rPr>
            </w:pPr>
            <w:r w:rsidRPr="0067408E">
              <w:rPr>
                <w:sz w:val="21"/>
                <w:szCs w:val="21"/>
              </w:rPr>
              <w:t>2.3</w:t>
            </w:r>
          </w:p>
        </w:tc>
        <w:tc>
          <w:tcPr>
            <w:tcW w:w="1083" w:type="dxa"/>
          </w:tcPr>
          <w:p w:rsidR="00974ABB" w:rsidRPr="0067408E" w:rsidRDefault="00974ABB" w:rsidP="00F04F07">
            <w:pPr>
              <w:rPr>
                <w:sz w:val="21"/>
                <w:szCs w:val="21"/>
              </w:rPr>
            </w:pPr>
            <w:r w:rsidRPr="0067408E">
              <w:rPr>
                <w:sz w:val="21"/>
                <w:szCs w:val="21"/>
              </w:rPr>
              <w:t>1.3</w:t>
            </w:r>
          </w:p>
        </w:tc>
      </w:tr>
    </w:tbl>
    <w:p w:rsidR="00974ABB" w:rsidRPr="003E3F40" w:rsidRDefault="00974ABB" w:rsidP="00974ABB">
      <w:pPr>
        <w:pStyle w:val="Tabledescription"/>
        <w:rPr>
          <w:szCs w:val="20"/>
        </w:rPr>
      </w:pPr>
      <w:r w:rsidRPr="003E3F40">
        <w:t>* Includes fever ≥37.5°C and ≥ 39.1°C</w:t>
      </w:r>
      <w:r>
        <w:br/>
      </w:r>
      <w:r w:rsidRPr="003E3F40">
        <w:rPr>
          <w:szCs w:val="20"/>
        </w:rPr>
        <w:t>** 12 - 18 years of age in TC9704 and 11-12 years of age in T</w:t>
      </w:r>
      <w:r w:rsidRPr="00E70300">
        <w:rPr>
          <w:szCs w:val="20"/>
        </w:rPr>
        <w:t>d</w:t>
      </w:r>
      <w:r w:rsidRPr="003E3F40">
        <w:rPr>
          <w:szCs w:val="20"/>
        </w:rPr>
        <w:t>9805</w:t>
      </w:r>
      <w:r>
        <w:rPr>
          <w:szCs w:val="20"/>
        </w:rPr>
        <w:br/>
      </w:r>
      <w:r w:rsidRPr="003E3F40">
        <w:rPr>
          <w:szCs w:val="20"/>
        </w:rPr>
        <w:t>*** &gt;19 years of age</w:t>
      </w:r>
      <w:r>
        <w:rPr>
          <w:szCs w:val="20"/>
        </w:rPr>
        <w:br/>
      </w:r>
      <w:r w:rsidRPr="003E3F40">
        <w:rPr>
          <w:szCs w:val="20"/>
          <w:vertAlign w:val="superscript"/>
        </w:rPr>
        <w:t>§</w:t>
      </w:r>
      <w:r w:rsidRPr="003E3F40">
        <w:rPr>
          <w:szCs w:val="20"/>
        </w:rPr>
        <w:t xml:space="preserve"> Includes (N=20) adolescents</w:t>
      </w:r>
    </w:p>
    <w:p w:rsidR="00974ABB" w:rsidRPr="003A3E77" w:rsidRDefault="00974ABB" w:rsidP="00974ABB">
      <w:pPr>
        <w:pStyle w:val="Heading3"/>
      </w:pPr>
      <w:r w:rsidRPr="003A3E77">
        <w:t>Safety following repeat vaccination</w:t>
      </w:r>
    </w:p>
    <w:p w:rsidR="00974ABB" w:rsidRPr="0019043E" w:rsidRDefault="00974ABB" w:rsidP="00974ABB">
      <w:pPr>
        <w:autoSpaceDE w:val="0"/>
        <w:autoSpaceDN w:val="0"/>
        <w:adjustRightInd w:val="0"/>
        <w:spacing w:before="120"/>
      </w:pPr>
      <w:r w:rsidRPr="0019043E">
        <w:t>The safety and tolerability of repeat vaccination with Adacel was evaluated in two open-label, non-randomised clinical studies. In study Td518, adolescent and adult subjects received Adacel approximately 5 years after a previous dose of Adacel. In study Td526, adult subjects received Adacel 10 years after a previous dose of Adacel or Adacel</w:t>
      </w:r>
      <w:r>
        <w:t xml:space="preserve"> Polio</w:t>
      </w:r>
      <w:r w:rsidRPr="0019043E">
        <w:t>.</w:t>
      </w:r>
    </w:p>
    <w:p w:rsidR="00974ABB" w:rsidRPr="0019043E" w:rsidRDefault="00974ABB" w:rsidP="00974ABB">
      <w:pPr>
        <w:autoSpaceDE w:val="0"/>
        <w:autoSpaceDN w:val="0"/>
        <w:adjustRightInd w:val="0"/>
        <w:spacing w:before="120"/>
      </w:pPr>
      <w:r w:rsidRPr="0019043E">
        <w:t xml:space="preserve">The frequency of solicited injection-site and systemic reactions reported following repeat administration of Adacel at 5 and 10 years are presented in </w:t>
      </w:r>
      <w:r w:rsidRPr="0019043E">
        <w:fldChar w:fldCharType="begin"/>
      </w:r>
      <w:r w:rsidRPr="0019043E">
        <w:instrText xml:space="preserve"> REF _Ref501632199 \h  \* MERGEFORMAT </w:instrText>
      </w:r>
      <w:r w:rsidRPr="0019043E">
        <w:fldChar w:fldCharType="separate"/>
      </w:r>
      <w:r w:rsidRPr="007404BE">
        <w:t>Table 3</w:t>
      </w:r>
      <w:r w:rsidRPr="0019043E">
        <w:fldChar w:fldCharType="end"/>
      </w:r>
      <w:r w:rsidRPr="0019043E">
        <w:t xml:space="preserve"> </w:t>
      </w:r>
    </w:p>
    <w:p w:rsidR="00F04F07" w:rsidRPr="00F04F07" w:rsidRDefault="00F04F07" w:rsidP="00F04F07">
      <w:pPr>
        <w:pStyle w:val="Tabletitle"/>
        <w:rPr>
          <w:lang w:val="en-US"/>
        </w:rPr>
      </w:pPr>
      <w:bookmarkStart w:id="1" w:name="_Ref501632199"/>
      <w:r w:rsidRPr="00F04F07">
        <w:rPr>
          <w:lang w:val="en-US"/>
        </w:rPr>
        <w:t>Table </w:t>
      </w:r>
      <w:r w:rsidRPr="00F04F07">
        <w:rPr>
          <w:lang w:val="en-US"/>
        </w:rPr>
        <w:fldChar w:fldCharType="begin"/>
      </w:r>
      <w:r w:rsidRPr="00F04F07">
        <w:rPr>
          <w:lang w:val="en-US"/>
        </w:rPr>
        <w:instrText xml:space="preserve"> SEQ Table \* ARABIC </w:instrText>
      </w:r>
      <w:r w:rsidRPr="00F04F07">
        <w:rPr>
          <w:lang w:val="en-US"/>
        </w:rPr>
        <w:fldChar w:fldCharType="separate"/>
      </w:r>
      <w:r w:rsidRPr="00F04F07">
        <w:rPr>
          <w:lang w:val="en-US"/>
        </w:rPr>
        <w:t>3</w:t>
      </w:r>
      <w:r w:rsidRPr="00F04F07">
        <w:fldChar w:fldCharType="end"/>
      </w:r>
      <w:bookmarkEnd w:id="1"/>
      <w:r w:rsidRPr="00F04F07">
        <w:rPr>
          <w:lang w:val="en-US"/>
        </w:rPr>
        <w:t xml:space="preserve"> ­ Frequency (%) of Solicited Reactions Observed in Adolescents and Adults Following Repeat Administration of Adacel at 5 and 10 years</w:t>
      </w:r>
    </w:p>
    <w:tbl>
      <w:tblPr>
        <w:tblStyle w:val="TableGrid"/>
        <w:tblW w:w="0" w:type="auto"/>
        <w:tblLook w:val="04A0" w:firstRow="1" w:lastRow="0" w:firstColumn="1" w:lastColumn="0" w:noHBand="0" w:noVBand="1"/>
      </w:tblPr>
      <w:tblGrid>
        <w:gridCol w:w="3005"/>
        <w:gridCol w:w="3005"/>
        <w:gridCol w:w="3006"/>
      </w:tblGrid>
      <w:tr w:rsidR="00F04F07" w:rsidRPr="00F04F07" w:rsidTr="00F04F07">
        <w:trPr>
          <w:tblHeader/>
        </w:trPr>
        <w:tc>
          <w:tcPr>
            <w:tcW w:w="3005" w:type="dxa"/>
            <w:vMerge w:val="restart"/>
          </w:tcPr>
          <w:p w:rsidR="00F04F07" w:rsidRPr="00F04F07" w:rsidRDefault="00F04F07" w:rsidP="00F04F07">
            <w:pPr>
              <w:rPr>
                <w:b/>
                <w:lang w:val="en-US"/>
              </w:rPr>
            </w:pPr>
            <w:r w:rsidRPr="00F04F07">
              <w:rPr>
                <w:b/>
              </w:rPr>
              <w:t>Solicited Reactions</w:t>
            </w:r>
          </w:p>
        </w:tc>
        <w:tc>
          <w:tcPr>
            <w:tcW w:w="6011" w:type="dxa"/>
            <w:gridSpan w:val="2"/>
          </w:tcPr>
          <w:p w:rsidR="00F04F07" w:rsidRPr="00F04F07" w:rsidRDefault="00F04F07" w:rsidP="00F04F07">
            <w:pPr>
              <w:rPr>
                <w:b/>
                <w:lang w:val="en-US"/>
              </w:rPr>
            </w:pPr>
            <w:r w:rsidRPr="00F04F07">
              <w:rPr>
                <w:b/>
              </w:rPr>
              <w:t>Repeat Administration of Adacel</w:t>
            </w:r>
          </w:p>
        </w:tc>
      </w:tr>
      <w:tr w:rsidR="00F04F07" w:rsidRPr="00F04F07" w:rsidTr="00F04F07">
        <w:tc>
          <w:tcPr>
            <w:tcW w:w="3005" w:type="dxa"/>
            <w:vMerge/>
          </w:tcPr>
          <w:p w:rsidR="00F04F07" w:rsidRPr="00F04F07" w:rsidRDefault="00F04F07" w:rsidP="00F04F07">
            <w:pPr>
              <w:rPr>
                <w:lang w:val="en-US"/>
              </w:rPr>
            </w:pPr>
          </w:p>
        </w:tc>
        <w:tc>
          <w:tcPr>
            <w:tcW w:w="3005" w:type="dxa"/>
          </w:tcPr>
          <w:p w:rsidR="00F04F07" w:rsidRPr="00F04F07" w:rsidRDefault="00F04F07" w:rsidP="00F04F07">
            <w:pPr>
              <w:rPr>
                <w:lang w:val="en-US"/>
              </w:rPr>
            </w:pPr>
            <w:r w:rsidRPr="00F04F07">
              <w:rPr>
                <w:lang w:val="en-US"/>
              </w:rPr>
              <w:t>After 5 years*</w:t>
            </w:r>
          </w:p>
        </w:tc>
        <w:tc>
          <w:tcPr>
            <w:tcW w:w="3006" w:type="dxa"/>
          </w:tcPr>
          <w:p w:rsidR="00F04F07" w:rsidRPr="00F04F07" w:rsidRDefault="00F04F07" w:rsidP="00F04F07">
            <w:pPr>
              <w:rPr>
                <w:lang w:val="en-US"/>
              </w:rPr>
            </w:pPr>
            <w:r w:rsidRPr="00F04F07">
              <w:rPr>
                <w:lang w:val="en-US"/>
              </w:rPr>
              <w:t>After 10 years†</w:t>
            </w:r>
          </w:p>
        </w:tc>
      </w:tr>
      <w:tr w:rsidR="00F04F07" w:rsidRPr="00F04F07" w:rsidTr="00F04F07">
        <w:tc>
          <w:tcPr>
            <w:tcW w:w="3005" w:type="dxa"/>
            <w:vMerge/>
          </w:tcPr>
          <w:p w:rsidR="00F04F07" w:rsidRPr="00F04F07" w:rsidRDefault="00F04F07" w:rsidP="00F04F07">
            <w:pPr>
              <w:rPr>
                <w:lang w:val="en-US"/>
              </w:rPr>
            </w:pPr>
          </w:p>
        </w:tc>
        <w:tc>
          <w:tcPr>
            <w:tcW w:w="3005" w:type="dxa"/>
          </w:tcPr>
          <w:p w:rsidR="00F04F07" w:rsidRPr="00F04F07" w:rsidRDefault="00F04F07" w:rsidP="00F04F07">
            <w:pPr>
              <w:rPr>
                <w:lang w:val="en-US"/>
              </w:rPr>
            </w:pPr>
            <w:r w:rsidRPr="00F04F07">
              <w:rPr>
                <w:lang w:val="en-US"/>
              </w:rPr>
              <w:t>Adolescents and Adults</w:t>
            </w:r>
          </w:p>
          <w:p w:rsidR="00F04F07" w:rsidRPr="00F04F07" w:rsidRDefault="00F04F07" w:rsidP="00F04F07">
            <w:pPr>
              <w:rPr>
                <w:lang w:val="en-US"/>
              </w:rPr>
            </w:pPr>
            <w:r w:rsidRPr="00F04F07">
              <w:rPr>
                <w:lang w:val="en-US"/>
              </w:rPr>
              <w:t>16 – 69 years</w:t>
            </w:r>
          </w:p>
          <w:p w:rsidR="00F04F07" w:rsidRPr="00F04F07" w:rsidRDefault="00F04F07" w:rsidP="00F04F07">
            <w:pPr>
              <w:rPr>
                <w:lang w:val="en-US"/>
              </w:rPr>
            </w:pPr>
            <w:r w:rsidRPr="00F04F07">
              <w:rPr>
                <w:lang w:val="en-US"/>
              </w:rPr>
              <w:t>(N=544)</w:t>
            </w:r>
          </w:p>
        </w:tc>
        <w:tc>
          <w:tcPr>
            <w:tcW w:w="3006" w:type="dxa"/>
          </w:tcPr>
          <w:p w:rsidR="00F04F07" w:rsidRPr="00F04F07" w:rsidRDefault="00F04F07" w:rsidP="00F04F07">
            <w:pPr>
              <w:rPr>
                <w:lang w:val="en-US"/>
              </w:rPr>
            </w:pPr>
            <w:r w:rsidRPr="00F04F07">
              <w:rPr>
                <w:lang w:val="en-US"/>
              </w:rPr>
              <w:t>Adults</w:t>
            </w:r>
          </w:p>
          <w:p w:rsidR="00F04F07" w:rsidRPr="00F04F07" w:rsidRDefault="00F04F07" w:rsidP="00F04F07">
            <w:pPr>
              <w:rPr>
                <w:lang w:val="en-US"/>
              </w:rPr>
            </w:pPr>
            <w:r w:rsidRPr="00F04F07">
              <w:rPr>
                <w:lang w:val="en-US"/>
              </w:rPr>
              <w:t>20 – 72 years</w:t>
            </w:r>
          </w:p>
          <w:p w:rsidR="00F04F07" w:rsidRPr="00F04F07" w:rsidRDefault="00F04F07" w:rsidP="00F04F07">
            <w:pPr>
              <w:rPr>
                <w:lang w:val="en-US"/>
              </w:rPr>
            </w:pPr>
            <w:r w:rsidRPr="00F04F07">
              <w:rPr>
                <w:lang w:val="en-US"/>
              </w:rPr>
              <w:t>(N=361)</w:t>
            </w:r>
          </w:p>
        </w:tc>
      </w:tr>
      <w:tr w:rsidR="00F04F07" w:rsidRPr="00F04F07" w:rsidTr="00F04F07">
        <w:tc>
          <w:tcPr>
            <w:tcW w:w="3005" w:type="dxa"/>
          </w:tcPr>
          <w:p w:rsidR="00F04F07" w:rsidRPr="00F04F07" w:rsidRDefault="00F04F07" w:rsidP="00F04F07">
            <w:pPr>
              <w:rPr>
                <w:lang w:val="en-US"/>
              </w:rPr>
            </w:pPr>
            <w:r w:rsidRPr="00F04F07">
              <w:rPr>
                <w:lang w:val="en-US"/>
              </w:rPr>
              <w:t>Injection Site Reactions</w:t>
            </w:r>
          </w:p>
        </w:tc>
        <w:tc>
          <w:tcPr>
            <w:tcW w:w="3005" w:type="dxa"/>
          </w:tcPr>
          <w:p w:rsidR="00F04F07" w:rsidRPr="00F04F07" w:rsidRDefault="00F04F07" w:rsidP="00F04F07">
            <w:pPr>
              <w:rPr>
                <w:lang w:val="en-US"/>
              </w:rPr>
            </w:pPr>
          </w:p>
        </w:tc>
        <w:tc>
          <w:tcPr>
            <w:tcW w:w="3006" w:type="dxa"/>
          </w:tcPr>
          <w:p w:rsidR="00F04F07" w:rsidRPr="00F04F07" w:rsidRDefault="00F04F07" w:rsidP="00F04F07">
            <w:pPr>
              <w:rPr>
                <w:lang w:val="en-US"/>
              </w:rPr>
            </w:pPr>
          </w:p>
        </w:tc>
      </w:tr>
      <w:tr w:rsidR="00F04F07" w:rsidRPr="00F04F07" w:rsidTr="00F04F07">
        <w:tc>
          <w:tcPr>
            <w:tcW w:w="3005" w:type="dxa"/>
          </w:tcPr>
          <w:p w:rsidR="00F04F07" w:rsidRPr="00F04F07" w:rsidRDefault="00F04F07" w:rsidP="00F04F07">
            <w:pPr>
              <w:rPr>
                <w:lang w:val="en-US"/>
              </w:rPr>
            </w:pPr>
            <w:r w:rsidRPr="00F04F07">
              <w:rPr>
                <w:lang w:val="en-US"/>
              </w:rPr>
              <w:t>Pain</w:t>
            </w:r>
          </w:p>
        </w:tc>
        <w:tc>
          <w:tcPr>
            <w:tcW w:w="3005" w:type="dxa"/>
          </w:tcPr>
          <w:p w:rsidR="00F04F07" w:rsidRPr="00F04F07" w:rsidRDefault="00F04F07" w:rsidP="00F04F07">
            <w:pPr>
              <w:rPr>
                <w:lang w:val="en-US"/>
              </w:rPr>
            </w:pPr>
            <w:r w:rsidRPr="00F04F07">
              <w:rPr>
                <w:lang w:val="en-US"/>
              </w:rPr>
              <w:t>87.6</w:t>
            </w:r>
          </w:p>
        </w:tc>
        <w:tc>
          <w:tcPr>
            <w:tcW w:w="3006" w:type="dxa"/>
          </w:tcPr>
          <w:p w:rsidR="00F04F07" w:rsidRPr="00F04F07" w:rsidRDefault="00F04F07" w:rsidP="00F04F07">
            <w:pPr>
              <w:rPr>
                <w:lang w:val="en-US"/>
              </w:rPr>
            </w:pPr>
            <w:r w:rsidRPr="00F04F07">
              <w:rPr>
                <w:lang w:val="en-US"/>
              </w:rPr>
              <w:t>87.8</w:t>
            </w:r>
          </w:p>
        </w:tc>
      </w:tr>
      <w:tr w:rsidR="00F04F07" w:rsidRPr="00F04F07" w:rsidTr="00F04F07">
        <w:tc>
          <w:tcPr>
            <w:tcW w:w="3005" w:type="dxa"/>
          </w:tcPr>
          <w:p w:rsidR="00F04F07" w:rsidRPr="00F04F07" w:rsidRDefault="00F04F07" w:rsidP="00F04F07">
            <w:pPr>
              <w:rPr>
                <w:lang w:val="en-US"/>
              </w:rPr>
            </w:pPr>
            <w:r w:rsidRPr="00F04F07">
              <w:rPr>
                <w:lang w:val="en-US"/>
              </w:rPr>
              <w:t>Erythema</w:t>
            </w:r>
          </w:p>
        </w:tc>
        <w:tc>
          <w:tcPr>
            <w:tcW w:w="3005" w:type="dxa"/>
          </w:tcPr>
          <w:p w:rsidR="00F04F07" w:rsidRPr="00F04F07" w:rsidRDefault="00F04F07" w:rsidP="00F04F07">
            <w:pPr>
              <w:rPr>
                <w:lang w:val="en-US"/>
              </w:rPr>
            </w:pPr>
            <w:r w:rsidRPr="00F04F07">
              <w:rPr>
                <w:lang w:val="en-US"/>
              </w:rPr>
              <w:t>28.6</w:t>
            </w:r>
          </w:p>
        </w:tc>
        <w:tc>
          <w:tcPr>
            <w:tcW w:w="3006" w:type="dxa"/>
          </w:tcPr>
          <w:p w:rsidR="00F04F07" w:rsidRPr="00F04F07" w:rsidRDefault="00F04F07" w:rsidP="00F04F07">
            <w:pPr>
              <w:rPr>
                <w:lang w:val="en-US"/>
              </w:rPr>
            </w:pPr>
            <w:r w:rsidRPr="00F04F07">
              <w:rPr>
                <w:lang w:val="en-US"/>
              </w:rPr>
              <w:t>23.1</w:t>
            </w:r>
          </w:p>
        </w:tc>
      </w:tr>
      <w:tr w:rsidR="00F04F07" w:rsidRPr="00F04F07" w:rsidTr="00F04F07">
        <w:tc>
          <w:tcPr>
            <w:tcW w:w="3005" w:type="dxa"/>
          </w:tcPr>
          <w:p w:rsidR="00F04F07" w:rsidRPr="00F04F07" w:rsidRDefault="00F04F07" w:rsidP="00F04F07">
            <w:pPr>
              <w:rPr>
                <w:lang w:val="en-US"/>
              </w:rPr>
            </w:pPr>
            <w:r w:rsidRPr="00F04F07">
              <w:rPr>
                <w:lang w:val="en-US"/>
              </w:rPr>
              <w:t>Swelling</w:t>
            </w:r>
          </w:p>
        </w:tc>
        <w:tc>
          <w:tcPr>
            <w:tcW w:w="3005" w:type="dxa"/>
          </w:tcPr>
          <w:p w:rsidR="00F04F07" w:rsidRPr="00F04F07" w:rsidRDefault="00F04F07" w:rsidP="00F04F07">
            <w:pPr>
              <w:rPr>
                <w:lang w:val="en-US"/>
              </w:rPr>
            </w:pPr>
            <w:r w:rsidRPr="00F04F07">
              <w:rPr>
                <w:lang w:val="en-US"/>
              </w:rPr>
              <w:t>25.6</w:t>
            </w:r>
          </w:p>
        </w:tc>
        <w:tc>
          <w:tcPr>
            <w:tcW w:w="3006" w:type="dxa"/>
          </w:tcPr>
          <w:p w:rsidR="00F04F07" w:rsidRPr="00F04F07" w:rsidRDefault="00F04F07" w:rsidP="00F04F07">
            <w:pPr>
              <w:rPr>
                <w:lang w:val="en-US"/>
              </w:rPr>
            </w:pPr>
            <w:r w:rsidRPr="00F04F07">
              <w:rPr>
                <w:lang w:val="en-US"/>
              </w:rPr>
              <w:t>20.5</w:t>
            </w:r>
          </w:p>
        </w:tc>
      </w:tr>
      <w:tr w:rsidR="00F04F07" w:rsidRPr="00F04F07" w:rsidTr="00F04F07">
        <w:tc>
          <w:tcPr>
            <w:tcW w:w="3005" w:type="dxa"/>
          </w:tcPr>
          <w:p w:rsidR="00F04F07" w:rsidRPr="00F04F07" w:rsidRDefault="00F04F07" w:rsidP="00F04F07">
            <w:pPr>
              <w:rPr>
                <w:lang w:val="en-US"/>
              </w:rPr>
            </w:pPr>
            <w:r w:rsidRPr="00F04F07">
              <w:rPr>
                <w:lang w:val="en-US"/>
              </w:rPr>
              <w:lastRenderedPageBreak/>
              <w:t>Systemic Reactions</w:t>
            </w:r>
          </w:p>
        </w:tc>
        <w:tc>
          <w:tcPr>
            <w:tcW w:w="3005" w:type="dxa"/>
          </w:tcPr>
          <w:p w:rsidR="00F04F07" w:rsidRPr="00F04F07" w:rsidRDefault="00F04F07" w:rsidP="00F04F07">
            <w:pPr>
              <w:rPr>
                <w:lang w:val="en-US"/>
              </w:rPr>
            </w:pPr>
          </w:p>
        </w:tc>
        <w:tc>
          <w:tcPr>
            <w:tcW w:w="3006" w:type="dxa"/>
          </w:tcPr>
          <w:p w:rsidR="00F04F07" w:rsidRPr="00F04F07" w:rsidRDefault="00F04F07" w:rsidP="00F04F07">
            <w:pPr>
              <w:rPr>
                <w:lang w:val="en-US"/>
              </w:rPr>
            </w:pPr>
          </w:p>
        </w:tc>
      </w:tr>
      <w:tr w:rsidR="00F04F07" w:rsidRPr="00F04F07" w:rsidTr="00F04F07">
        <w:tc>
          <w:tcPr>
            <w:tcW w:w="3005" w:type="dxa"/>
          </w:tcPr>
          <w:p w:rsidR="00F04F07" w:rsidRPr="00F04F07" w:rsidRDefault="00F04F07" w:rsidP="00F04F07">
            <w:pPr>
              <w:rPr>
                <w:lang w:val="en-US"/>
              </w:rPr>
            </w:pPr>
            <w:r w:rsidRPr="00F04F07">
              <w:rPr>
                <w:lang w:val="en-US"/>
              </w:rPr>
              <w:t>Myalgia</w:t>
            </w:r>
          </w:p>
        </w:tc>
        <w:tc>
          <w:tcPr>
            <w:tcW w:w="3005" w:type="dxa"/>
          </w:tcPr>
          <w:p w:rsidR="00F04F07" w:rsidRPr="00F04F07" w:rsidRDefault="00F04F07" w:rsidP="00F04F07">
            <w:pPr>
              <w:rPr>
                <w:lang w:val="en-US"/>
              </w:rPr>
            </w:pPr>
            <w:r w:rsidRPr="00F04F07">
              <w:rPr>
                <w:lang w:val="en-US"/>
              </w:rPr>
              <w:t>61.0</w:t>
            </w:r>
          </w:p>
        </w:tc>
        <w:tc>
          <w:tcPr>
            <w:tcW w:w="3006" w:type="dxa"/>
          </w:tcPr>
          <w:p w:rsidR="00F04F07" w:rsidRPr="00F04F07" w:rsidRDefault="00F04F07" w:rsidP="00F04F07">
            <w:pPr>
              <w:rPr>
                <w:lang w:val="en-US"/>
              </w:rPr>
            </w:pPr>
            <w:r w:rsidRPr="00F04F07">
              <w:rPr>
                <w:lang w:val="en-US"/>
              </w:rPr>
              <w:t>60.1</w:t>
            </w:r>
          </w:p>
        </w:tc>
      </w:tr>
      <w:tr w:rsidR="00F04F07" w:rsidRPr="00F04F07" w:rsidTr="00F04F07">
        <w:tc>
          <w:tcPr>
            <w:tcW w:w="3005" w:type="dxa"/>
          </w:tcPr>
          <w:p w:rsidR="00F04F07" w:rsidRPr="00F04F07" w:rsidRDefault="00F04F07" w:rsidP="00F04F07">
            <w:pPr>
              <w:rPr>
                <w:lang w:val="en-US"/>
              </w:rPr>
            </w:pPr>
            <w:r w:rsidRPr="00F04F07">
              <w:rPr>
                <w:lang w:val="en-US"/>
              </w:rPr>
              <w:t>Headache</w:t>
            </w:r>
          </w:p>
        </w:tc>
        <w:tc>
          <w:tcPr>
            <w:tcW w:w="3005" w:type="dxa"/>
          </w:tcPr>
          <w:p w:rsidR="00F04F07" w:rsidRPr="00F04F07" w:rsidRDefault="00F04F07" w:rsidP="00F04F07">
            <w:pPr>
              <w:rPr>
                <w:lang w:val="en-US"/>
              </w:rPr>
            </w:pPr>
            <w:r w:rsidRPr="00F04F07">
              <w:rPr>
                <w:lang w:val="en-US"/>
              </w:rPr>
              <w:t>53.2</w:t>
            </w:r>
          </w:p>
        </w:tc>
        <w:tc>
          <w:tcPr>
            <w:tcW w:w="3006" w:type="dxa"/>
          </w:tcPr>
          <w:p w:rsidR="00F04F07" w:rsidRPr="00F04F07" w:rsidRDefault="00F04F07" w:rsidP="00F04F07">
            <w:pPr>
              <w:rPr>
                <w:lang w:val="en-US"/>
              </w:rPr>
            </w:pPr>
            <w:r w:rsidRPr="00F04F07">
              <w:rPr>
                <w:lang w:val="en-US"/>
              </w:rPr>
              <w:t>40.6</w:t>
            </w:r>
          </w:p>
        </w:tc>
      </w:tr>
      <w:tr w:rsidR="00F04F07" w:rsidRPr="00F04F07" w:rsidTr="00F04F07">
        <w:tc>
          <w:tcPr>
            <w:tcW w:w="3005" w:type="dxa"/>
          </w:tcPr>
          <w:p w:rsidR="00F04F07" w:rsidRPr="00F04F07" w:rsidRDefault="00F04F07" w:rsidP="00F04F07">
            <w:pPr>
              <w:rPr>
                <w:lang w:val="en-US"/>
              </w:rPr>
            </w:pPr>
            <w:r w:rsidRPr="00F04F07">
              <w:rPr>
                <w:lang w:val="en-US"/>
              </w:rPr>
              <w:t>Malaise</w:t>
            </w:r>
          </w:p>
        </w:tc>
        <w:tc>
          <w:tcPr>
            <w:tcW w:w="3005" w:type="dxa"/>
          </w:tcPr>
          <w:p w:rsidR="00F04F07" w:rsidRPr="00F04F07" w:rsidRDefault="00F04F07" w:rsidP="00F04F07">
            <w:pPr>
              <w:rPr>
                <w:lang w:val="en-US"/>
              </w:rPr>
            </w:pPr>
            <w:r w:rsidRPr="00F04F07">
              <w:rPr>
                <w:lang w:val="en-US"/>
              </w:rPr>
              <w:t>38.2</w:t>
            </w:r>
          </w:p>
        </w:tc>
        <w:tc>
          <w:tcPr>
            <w:tcW w:w="3006" w:type="dxa"/>
          </w:tcPr>
          <w:p w:rsidR="00F04F07" w:rsidRPr="00F04F07" w:rsidRDefault="00F04F07" w:rsidP="00F04F07">
            <w:pPr>
              <w:rPr>
                <w:lang w:val="en-US"/>
              </w:rPr>
            </w:pPr>
            <w:r w:rsidRPr="00F04F07">
              <w:rPr>
                <w:lang w:val="en-US"/>
              </w:rPr>
              <w:t>29.4</w:t>
            </w:r>
          </w:p>
        </w:tc>
      </w:tr>
      <w:tr w:rsidR="00F04F07" w:rsidRPr="00F04F07" w:rsidTr="00F04F07">
        <w:tc>
          <w:tcPr>
            <w:tcW w:w="3005" w:type="dxa"/>
          </w:tcPr>
          <w:p w:rsidR="00F04F07" w:rsidRPr="00F04F07" w:rsidRDefault="00F04F07" w:rsidP="00F04F07">
            <w:pPr>
              <w:rPr>
                <w:lang w:val="en-US"/>
              </w:rPr>
            </w:pPr>
            <w:r w:rsidRPr="00F04F07">
              <w:rPr>
                <w:lang w:val="en-US"/>
              </w:rPr>
              <w:t>Fever</w:t>
            </w:r>
          </w:p>
        </w:tc>
        <w:tc>
          <w:tcPr>
            <w:tcW w:w="3005" w:type="dxa"/>
          </w:tcPr>
          <w:p w:rsidR="00F04F07" w:rsidRPr="00F04F07" w:rsidRDefault="00F04F07" w:rsidP="00F04F07">
            <w:pPr>
              <w:rPr>
                <w:lang w:val="en-US"/>
              </w:rPr>
            </w:pPr>
            <w:r w:rsidRPr="00F04F07">
              <w:rPr>
                <w:lang w:val="en-US"/>
              </w:rPr>
              <w:t>6.5</w:t>
            </w:r>
          </w:p>
        </w:tc>
        <w:tc>
          <w:tcPr>
            <w:tcW w:w="3006" w:type="dxa"/>
          </w:tcPr>
          <w:p w:rsidR="00F04F07" w:rsidRPr="00F04F07" w:rsidRDefault="00F04F07" w:rsidP="00F04F07">
            <w:pPr>
              <w:rPr>
                <w:lang w:val="en-US"/>
              </w:rPr>
            </w:pPr>
            <w:r w:rsidRPr="00F04F07">
              <w:rPr>
                <w:lang w:val="en-US"/>
              </w:rPr>
              <w:t>4.2</w:t>
            </w:r>
          </w:p>
        </w:tc>
      </w:tr>
    </w:tbl>
    <w:p w:rsidR="00F04F07" w:rsidRPr="00F04F07" w:rsidRDefault="00F04F07" w:rsidP="00F04F07">
      <w:pPr>
        <w:pStyle w:val="Tabledescription"/>
        <w:rPr>
          <w:lang w:val="en-US"/>
        </w:rPr>
      </w:pPr>
      <w:r w:rsidRPr="00F04F07">
        <w:rPr>
          <w:lang w:val="en-US"/>
        </w:rPr>
        <w:t>N:</w:t>
      </w:r>
      <w:r w:rsidRPr="00F04F07">
        <w:rPr>
          <w:lang w:val="en-US"/>
        </w:rPr>
        <w:tab/>
        <w:t>Number of vaccinated subjects with a safety follow-up</w:t>
      </w:r>
    </w:p>
    <w:p w:rsidR="00F04F07" w:rsidRPr="00F04F07" w:rsidRDefault="00F04F07" w:rsidP="00F04F07">
      <w:pPr>
        <w:pStyle w:val="Tabledescription"/>
        <w:rPr>
          <w:lang w:val="en-US"/>
        </w:rPr>
      </w:pPr>
      <w:r w:rsidRPr="00F04F07">
        <w:rPr>
          <w:lang w:val="en-US"/>
        </w:rPr>
        <w:t>*</w:t>
      </w:r>
      <w:r w:rsidRPr="00F04F07">
        <w:rPr>
          <w:lang w:val="en-US"/>
        </w:rPr>
        <w:tab/>
        <w:t>Adverse reactions observed within 0 to 14 days after vaccination</w:t>
      </w:r>
    </w:p>
    <w:p w:rsidR="00F04F07" w:rsidRPr="00F04F07" w:rsidRDefault="00F04F07" w:rsidP="00F04F07">
      <w:pPr>
        <w:pStyle w:val="Tabledescription"/>
        <w:rPr>
          <w:lang w:val="en-US"/>
        </w:rPr>
      </w:pPr>
      <w:r w:rsidRPr="00F04F07">
        <w:rPr>
          <w:lang w:val="en-US"/>
        </w:rPr>
        <w:t>†</w:t>
      </w:r>
      <w:r w:rsidRPr="00F04F07">
        <w:rPr>
          <w:lang w:val="en-US"/>
        </w:rPr>
        <w:tab/>
        <w:t>Adverse reactions observed within 0 to 7 days after vaccination</w:t>
      </w:r>
    </w:p>
    <w:p w:rsidR="00F04F07" w:rsidRPr="00F04F07" w:rsidRDefault="00F04F07" w:rsidP="00F04F07">
      <w:pPr>
        <w:rPr>
          <w:b/>
        </w:rPr>
      </w:pPr>
      <w:r w:rsidRPr="00F04F07">
        <w:rPr>
          <w:b/>
        </w:rPr>
        <w:t>Post-marketing experience</w:t>
      </w:r>
    </w:p>
    <w:p w:rsidR="00F04F07" w:rsidRPr="00F04F07" w:rsidRDefault="00F04F07" w:rsidP="00F04F07">
      <w:pPr>
        <w:rPr>
          <w:lang w:val="en-US"/>
        </w:rPr>
      </w:pPr>
      <w:r w:rsidRPr="00F04F07">
        <w:rPr>
          <w:lang w:val="en-US"/>
        </w:rPr>
        <w:t>The following additional adverse events have been spontaneously reported during the post-marketing use of Adacel worldwide. Because these events are reported voluntarily from a population of uncertain size, it is not always possible to reliably estimate their frequency or establish a causal relationship to vaccine exposure. Decisions to include these events in labelling were based on one or more of the following factors: 1) severity of the event, 2) frequency of reporting, or 3) strength of causal connection to Adacel.</w:t>
      </w:r>
    </w:p>
    <w:p w:rsidR="00F04F07" w:rsidRPr="00F04F07" w:rsidRDefault="00F04F07" w:rsidP="00F04F07">
      <w:pPr>
        <w:pStyle w:val="Heading4"/>
        <w:rPr>
          <w:lang w:val="en-US"/>
        </w:rPr>
      </w:pPr>
      <w:r w:rsidRPr="00F04F07">
        <w:rPr>
          <w:lang w:val="en-GB"/>
        </w:rPr>
        <w:t>Immune System Disorders</w:t>
      </w:r>
      <w:r w:rsidRPr="00F04F07">
        <w:rPr>
          <w:lang w:val="en-US"/>
        </w:rPr>
        <w:t>:</w:t>
      </w:r>
    </w:p>
    <w:p w:rsidR="00F04F07" w:rsidRPr="00F04F07" w:rsidRDefault="00F04F07" w:rsidP="00F04F07">
      <w:pPr>
        <w:rPr>
          <w:lang w:val="en-US"/>
        </w:rPr>
      </w:pPr>
      <w:r w:rsidRPr="00F04F07">
        <w:rPr>
          <w:lang w:val="en-US"/>
        </w:rPr>
        <w:t xml:space="preserve">Hypersensitivity (anaphylactic) reaction (angioedema, </w:t>
      </w:r>
      <w:proofErr w:type="spellStart"/>
      <w:r w:rsidRPr="00F04F07">
        <w:rPr>
          <w:lang w:val="en-US"/>
        </w:rPr>
        <w:t>oedema</w:t>
      </w:r>
      <w:proofErr w:type="spellEnd"/>
      <w:r w:rsidRPr="00F04F07">
        <w:rPr>
          <w:lang w:val="en-US"/>
        </w:rPr>
        <w:t>, rash, hypotension).</w:t>
      </w:r>
    </w:p>
    <w:p w:rsidR="00F04F07" w:rsidRPr="00F04F07" w:rsidRDefault="00F04F07" w:rsidP="00F04F07">
      <w:pPr>
        <w:rPr>
          <w:i/>
          <w:lang w:val="en-GB"/>
        </w:rPr>
      </w:pPr>
      <w:r w:rsidRPr="00F04F07">
        <w:rPr>
          <w:i/>
          <w:lang w:val="en-GB"/>
        </w:rPr>
        <w:t>Nervous System Disorders:</w:t>
      </w:r>
    </w:p>
    <w:p w:rsidR="00F04F07" w:rsidRDefault="00F04F07" w:rsidP="00F04F07">
      <w:pPr>
        <w:rPr>
          <w:lang w:val="fr-CA"/>
        </w:rPr>
      </w:pPr>
      <w:proofErr w:type="spellStart"/>
      <w:r w:rsidRPr="00F04F07">
        <w:rPr>
          <w:lang w:val="fr-CA"/>
        </w:rPr>
        <w:t>Paraesthesia</w:t>
      </w:r>
      <w:proofErr w:type="spellEnd"/>
      <w:r w:rsidRPr="00F04F07">
        <w:rPr>
          <w:lang w:val="fr-CA"/>
        </w:rPr>
        <w:t xml:space="preserve">, </w:t>
      </w:r>
      <w:proofErr w:type="spellStart"/>
      <w:r w:rsidRPr="00F04F07">
        <w:rPr>
          <w:lang w:val="fr-CA"/>
        </w:rPr>
        <w:t>hypoesthesia</w:t>
      </w:r>
      <w:proofErr w:type="spellEnd"/>
      <w:r w:rsidRPr="00F04F07">
        <w:rPr>
          <w:lang w:val="fr-CA"/>
        </w:rPr>
        <w:t xml:space="preserve">, Guillain-Barré syndrome, brachial </w:t>
      </w:r>
      <w:proofErr w:type="spellStart"/>
      <w:r w:rsidRPr="00F04F07">
        <w:rPr>
          <w:lang w:val="fr-CA"/>
        </w:rPr>
        <w:t>neuritis</w:t>
      </w:r>
      <w:proofErr w:type="spellEnd"/>
      <w:r w:rsidRPr="00F04F07">
        <w:rPr>
          <w:lang w:val="fr-CA"/>
        </w:rPr>
        <w:t xml:space="preserve">, facial </w:t>
      </w:r>
      <w:proofErr w:type="spellStart"/>
      <w:r w:rsidRPr="00F04F07">
        <w:rPr>
          <w:lang w:val="fr-CA"/>
        </w:rPr>
        <w:t>palsy</w:t>
      </w:r>
      <w:proofErr w:type="spellEnd"/>
      <w:r w:rsidRPr="00F04F07">
        <w:rPr>
          <w:lang w:val="fr-CA"/>
        </w:rPr>
        <w:t xml:space="preserve">, convulsion, syncope, </w:t>
      </w:r>
      <w:proofErr w:type="spellStart"/>
      <w:r w:rsidRPr="00F04F07">
        <w:rPr>
          <w:lang w:val="fr-CA"/>
        </w:rPr>
        <w:t>myelitis</w:t>
      </w:r>
      <w:proofErr w:type="spellEnd"/>
      <w:r w:rsidRPr="00F04F07">
        <w:rPr>
          <w:lang w:val="fr-CA"/>
        </w:rPr>
        <w:t>.</w:t>
      </w:r>
    </w:p>
    <w:p w:rsidR="00F04F07" w:rsidRPr="00626AA5" w:rsidRDefault="00F04F07" w:rsidP="00F04F07">
      <w:pPr>
        <w:pStyle w:val="Heading5"/>
        <w:rPr>
          <w:snapToGrid w:val="0"/>
          <w:lang w:val="en-GB"/>
        </w:rPr>
      </w:pPr>
      <w:r w:rsidRPr="00626AA5">
        <w:rPr>
          <w:snapToGrid w:val="0"/>
          <w:lang w:val="en-GB"/>
        </w:rPr>
        <w:t>Cardiac Disorders:</w:t>
      </w:r>
    </w:p>
    <w:p w:rsidR="00F04F07" w:rsidRPr="0019043E" w:rsidRDefault="00F04F07" w:rsidP="00F04F07">
      <w:pPr>
        <w:ind w:right="249"/>
      </w:pPr>
      <w:r w:rsidRPr="0019043E">
        <w:t>Myocarditis</w:t>
      </w:r>
    </w:p>
    <w:p w:rsidR="00F04F07" w:rsidRPr="00626AA5" w:rsidRDefault="00F04F07" w:rsidP="00F04F07">
      <w:pPr>
        <w:pStyle w:val="Heading5"/>
        <w:rPr>
          <w:snapToGrid w:val="0"/>
          <w:lang w:val="en-GB"/>
        </w:rPr>
      </w:pPr>
      <w:r w:rsidRPr="00626AA5">
        <w:rPr>
          <w:snapToGrid w:val="0"/>
          <w:lang w:val="en-GB"/>
        </w:rPr>
        <w:lastRenderedPageBreak/>
        <w:t>Skin and Subcutaneous Tissue Disorders:</w:t>
      </w:r>
    </w:p>
    <w:p w:rsidR="00F04F07" w:rsidRPr="0019043E" w:rsidRDefault="00F04F07" w:rsidP="00F04F07">
      <w:pPr>
        <w:ind w:right="249"/>
      </w:pPr>
      <w:r w:rsidRPr="0019043E">
        <w:t xml:space="preserve">Pruritus, </w:t>
      </w:r>
      <w:proofErr w:type="spellStart"/>
      <w:r w:rsidRPr="0019043E">
        <w:t>urticaria</w:t>
      </w:r>
      <w:proofErr w:type="spellEnd"/>
    </w:p>
    <w:p w:rsidR="00F04F07" w:rsidRPr="00626AA5" w:rsidRDefault="00F04F07" w:rsidP="00F04F07">
      <w:pPr>
        <w:pStyle w:val="Heading5"/>
        <w:rPr>
          <w:snapToGrid w:val="0"/>
          <w:lang w:val="en-GB"/>
        </w:rPr>
      </w:pPr>
      <w:r w:rsidRPr="00626AA5">
        <w:rPr>
          <w:snapToGrid w:val="0"/>
          <w:lang w:val="en-GB"/>
        </w:rPr>
        <w:t>Musculoskeletal and Connective Tissue Disorders:</w:t>
      </w:r>
    </w:p>
    <w:p w:rsidR="00F04F07" w:rsidRPr="0019043E" w:rsidRDefault="00F04F07" w:rsidP="00F04F07">
      <w:pPr>
        <w:ind w:right="249"/>
      </w:pPr>
      <w:r w:rsidRPr="0019043E">
        <w:t>Myositis</w:t>
      </w:r>
    </w:p>
    <w:p w:rsidR="00F04F07" w:rsidRPr="00626AA5" w:rsidRDefault="00F04F07" w:rsidP="00F04F07">
      <w:pPr>
        <w:pStyle w:val="Heading5"/>
        <w:rPr>
          <w:snapToGrid w:val="0"/>
          <w:lang w:val="en-GB"/>
        </w:rPr>
      </w:pPr>
      <w:r w:rsidRPr="00626AA5">
        <w:rPr>
          <w:snapToGrid w:val="0"/>
          <w:lang w:val="en-GB"/>
        </w:rPr>
        <w:t>General Disorders and Administration Site Conditions:</w:t>
      </w:r>
    </w:p>
    <w:p w:rsidR="00F04F07" w:rsidRPr="0019043E" w:rsidRDefault="00F04F07" w:rsidP="00F04F07">
      <w:pPr>
        <w:ind w:right="249"/>
      </w:pPr>
      <w:r w:rsidRPr="0019043E">
        <w:t>Large injection site reactions (&gt; 50 mm) and extensive limb swelling from the injection site beyond one or both joints occur after administration of Adacel in adolescents and adults. These reactions usually start within 24 - 72 hours after vaccination, may be associated with erythema, warmth, tenderness or pain at the injection site and resolve spontaneously within 3 - 5 days.</w:t>
      </w:r>
    </w:p>
    <w:p w:rsidR="00F04F07" w:rsidRPr="0019043E" w:rsidRDefault="00F04F07" w:rsidP="00F04F07">
      <w:pPr>
        <w:pStyle w:val="Heading5"/>
      </w:pPr>
      <w:r w:rsidRPr="0019043E">
        <w:t>Injection site bruising, sterile abscess</w:t>
      </w:r>
    </w:p>
    <w:p w:rsidR="00F04F07" w:rsidRPr="007C4C57" w:rsidRDefault="00F04F07" w:rsidP="00F04F07">
      <w:pPr>
        <w:tabs>
          <w:tab w:val="left" w:pos="1440"/>
          <w:tab w:val="left" w:pos="2160"/>
        </w:tabs>
        <w:spacing w:before="120"/>
      </w:pPr>
      <w:r w:rsidRPr="007C4C57">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8" w:history="1">
        <w:r w:rsidRPr="007C4C57">
          <w:t>www.tga.gov.au/reporting-problems</w:t>
        </w:r>
      </w:hyperlink>
      <w:r w:rsidRPr="007C4C57">
        <w:t xml:space="preserve"> (Australia) or </w:t>
      </w:r>
      <w:hyperlink r:id="rId9" w:history="1">
        <w:r w:rsidRPr="007C4C57">
          <w:t>https://nzphvc.otago.ac.nz/reporting/</w:t>
        </w:r>
      </w:hyperlink>
      <w:r w:rsidRPr="007C4C57">
        <w:t xml:space="preserve"> (New Zealand).</w:t>
      </w:r>
    </w:p>
    <w:p w:rsidR="00F04F07" w:rsidRPr="00717E34" w:rsidRDefault="008317DE" w:rsidP="008317DE">
      <w:pPr>
        <w:pStyle w:val="Heading3"/>
      </w:pPr>
      <w:r>
        <w:t>4.9</w:t>
      </w:r>
      <w:r>
        <w:tab/>
      </w:r>
      <w:r w:rsidR="00F04F07" w:rsidRPr="00717E34">
        <w:t>Overdose</w:t>
      </w:r>
    </w:p>
    <w:p w:rsidR="00F04F07" w:rsidRPr="007C4C57" w:rsidRDefault="00F04F07" w:rsidP="00F04F07">
      <w:pPr>
        <w:tabs>
          <w:tab w:val="left" w:pos="1440"/>
          <w:tab w:val="left" w:pos="2160"/>
        </w:tabs>
        <w:spacing w:before="120"/>
      </w:pPr>
      <w:r w:rsidRPr="007C4C57">
        <w:t>For general advice on overdose management, contact the Poisons Information Centre, telephone number 13 11 26 (Australia) or the National Poisons Centre, 0800 POISON or 0800 764 766 (New Zealand).</w:t>
      </w:r>
    </w:p>
    <w:p w:rsidR="00F04F07" w:rsidRPr="00717E34" w:rsidRDefault="00F04F07" w:rsidP="00F04F07">
      <w:pPr>
        <w:pStyle w:val="Heading2"/>
      </w:pPr>
      <w:r w:rsidRPr="00717E34">
        <w:t>Pharmacological properties</w:t>
      </w:r>
    </w:p>
    <w:p w:rsidR="00F04F07" w:rsidRPr="00717E34" w:rsidRDefault="008317DE" w:rsidP="008317DE">
      <w:pPr>
        <w:pStyle w:val="Heading3"/>
      </w:pPr>
      <w:r>
        <w:t>5.1</w:t>
      </w:r>
      <w:r>
        <w:tab/>
      </w:r>
      <w:proofErr w:type="spellStart"/>
      <w:r w:rsidR="00F04F07" w:rsidRPr="00717E34">
        <w:t>Pharmacodynamic</w:t>
      </w:r>
      <w:proofErr w:type="spellEnd"/>
      <w:r w:rsidR="00F04F07" w:rsidRPr="00717E34">
        <w:t xml:space="preserve"> properties </w:t>
      </w:r>
    </w:p>
    <w:p w:rsidR="00F04F07" w:rsidRPr="0019043E" w:rsidRDefault="00F04F07" w:rsidP="00F04F07">
      <w:pPr>
        <w:rPr>
          <w:snapToGrid w:val="0"/>
        </w:rPr>
      </w:pPr>
      <w:proofErr w:type="spellStart"/>
      <w:r w:rsidRPr="0019043E">
        <w:rPr>
          <w:snapToGrid w:val="0"/>
        </w:rPr>
        <w:t>Pharmacotherapeutic</w:t>
      </w:r>
      <w:proofErr w:type="spellEnd"/>
      <w:r w:rsidRPr="0019043E">
        <w:rPr>
          <w:snapToGrid w:val="0"/>
        </w:rPr>
        <w:t xml:space="preserve"> group: Pertussis, purified antigens, combinations with toxoids</w:t>
      </w:r>
    </w:p>
    <w:p w:rsidR="00F04F07" w:rsidRPr="0019043E" w:rsidRDefault="00F04F07" w:rsidP="00F04F07">
      <w:pPr>
        <w:rPr>
          <w:snapToGrid w:val="0"/>
        </w:rPr>
      </w:pPr>
      <w:r w:rsidRPr="0019043E">
        <w:rPr>
          <w:snapToGrid w:val="0"/>
        </w:rPr>
        <w:t>ATC code: J07AJ52</w:t>
      </w:r>
    </w:p>
    <w:p w:rsidR="00F04F07" w:rsidRPr="00717E34" w:rsidRDefault="00F04F07" w:rsidP="00F04F07">
      <w:pPr>
        <w:pStyle w:val="Heading3"/>
      </w:pPr>
      <w:r w:rsidRPr="00717E34">
        <w:t>Clinical trials</w:t>
      </w:r>
    </w:p>
    <w:p w:rsidR="00F04F07" w:rsidRPr="0019043E" w:rsidRDefault="00F04F07" w:rsidP="00F04F07">
      <w:pPr>
        <w:spacing w:before="120"/>
      </w:pPr>
      <w:r w:rsidRPr="0019043E">
        <w:t>A total of 962 individuals (324 adolescents and 638 adults), who had not been immunised against tetanus, diphtheria, or pertussis within the previous five years, received a single 0.5 mL dose of Adacel in three clinical trials (TC9704, Td9805 and TC9707).</w:t>
      </w:r>
    </w:p>
    <w:p w:rsidR="00F04F07" w:rsidRPr="0019043E" w:rsidRDefault="00F04F07" w:rsidP="00F04F07">
      <w:pPr>
        <w:spacing w:before="120"/>
      </w:pPr>
      <w:r w:rsidRPr="0019043E">
        <w:t>In TC9704, 449 (55 adolescents 12 to 17 years of age and 394 adults 18 to 54 years of age) received three lots of Adacel (</w:t>
      </w:r>
      <w:proofErr w:type="spellStart"/>
      <w:r w:rsidRPr="0019043E">
        <w:t>dTpa</w:t>
      </w:r>
      <w:proofErr w:type="spellEnd"/>
      <w:r w:rsidRPr="0019043E">
        <w:t>), while 300 (37 adolescents and 263 adults) were given a single 0.5 mL dose with an adult formulation diphtheria-tetanus vaccine (Td) and a monovalent acellular Pertussis (</w:t>
      </w:r>
      <w:proofErr w:type="spellStart"/>
      <w:r w:rsidRPr="0019043E">
        <w:t>aP</w:t>
      </w:r>
      <w:proofErr w:type="spellEnd"/>
      <w:r w:rsidRPr="0019043E">
        <w:t xml:space="preserve">) vaccine, given separately, one month apart. In Td9805, 269 adolescents </w:t>
      </w:r>
      <w:r w:rsidRPr="0019043E">
        <w:lastRenderedPageBreak/>
        <w:t>11 to 12 years of age were vaccinated: 135 received Adacel given alone followed by the first dose of a 3-dose primary series with Hepatitis B vaccine (HB), one month later, and 134 were given Adacel concurrently with the first dose of HB.</w:t>
      </w:r>
    </w:p>
    <w:p w:rsidR="00F04F07" w:rsidRPr="0019043E" w:rsidRDefault="00F04F07" w:rsidP="00F04F07">
      <w:pPr>
        <w:spacing w:before="120"/>
      </w:pPr>
      <w:r w:rsidRPr="0019043E">
        <w:t xml:space="preserve">In TC9704, the safety and immunogenicity profile of Adacel was shown to be comparable to that observed with a single booster dose of Td and </w:t>
      </w:r>
      <w:proofErr w:type="spellStart"/>
      <w:r w:rsidRPr="0019043E">
        <w:t>aP</w:t>
      </w:r>
      <w:proofErr w:type="spellEnd"/>
      <w:r w:rsidRPr="0019043E">
        <w:t xml:space="preserve"> containing the same amount of tetanus and diphtheria toxoids and pertussis antigens, administered separately. In Td9805, the safety and immunogenicity of concomitant administration of Hepatitis B vaccine with Adacel (</w:t>
      </w:r>
      <w:proofErr w:type="spellStart"/>
      <w:r w:rsidRPr="0019043E">
        <w:t>dTpa+HB</w:t>
      </w:r>
      <w:proofErr w:type="spellEnd"/>
      <w:r w:rsidRPr="0019043E">
        <w:t>) was comparable to that observed with Adacel alone. Antibody responses observed in adolescents and adults from Td9805 and TC9704 are presented in the tables below:</w:t>
      </w:r>
    </w:p>
    <w:p w:rsidR="00F04F07" w:rsidRPr="00F04F07" w:rsidRDefault="00F04F07" w:rsidP="008317DE">
      <w:pPr>
        <w:pStyle w:val="Tabletitle"/>
        <w:rPr>
          <w:lang w:val="en-US"/>
        </w:rPr>
      </w:pPr>
      <w:r w:rsidRPr="00F04F07">
        <w:rPr>
          <w:lang w:val="en-US"/>
        </w:rPr>
        <w:t>Table </w:t>
      </w:r>
      <w:r w:rsidRPr="00F04F07">
        <w:rPr>
          <w:lang w:val="en-US"/>
        </w:rPr>
        <w:fldChar w:fldCharType="begin"/>
      </w:r>
      <w:r w:rsidRPr="00F04F07">
        <w:rPr>
          <w:lang w:val="en-US"/>
        </w:rPr>
        <w:instrText xml:space="preserve"> SEQ Table \* ARABIC </w:instrText>
      </w:r>
      <w:r w:rsidRPr="00F04F07">
        <w:rPr>
          <w:lang w:val="en-US"/>
        </w:rPr>
        <w:fldChar w:fldCharType="separate"/>
      </w:r>
      <w:r w:rsidRPr="00F04F07">
        <w:rPr>
          <w:lang w:val="en-US"/>
        </w:rPr>
        <w:t>4</w:t>
      </w:r>
      <w:r w:rsidRPr="00F04F07">
        <w:rPr>
          <w:lang w:val="fr-CA"/>
        </w:rPr>
        <w:fldChar w:fldCharType="end"/>
      </w:r>
      <w:r w:rsidRPr="00F04F07">
        <w:rPr>
          <w:lang w:val="en-US"/>
        </w:rPr>
        <w:t xml:space="preserve"> ­ Tetanus and Diphtheria Antibody Responses Observed One Month Following a Single Dose of Adacel </w:t>
      </w:r>
    </w:p>
    <w:tbl>
      <w:tblPr>
        <w:tblStyle w:val="TableGrid"/>
        <w:tblW w:w="0" w:type="auto"/>
        <w:tblLook w:val="04A0" w:firstRow="1" w:lastRow="0" w:firstColumn="1" w:lastColumn="0" w:noHBand="0" w:noVBand="1"/>
      </w:tblPr>
      <w:tblGrid>
        <w:gridCol w:w="1231"/>
        <w:gridCol w:w="1178"/>
        <w:gridCol w:w="884"/>
        <w:gridCol w:w="944"/>
        <w:gridCol w:w="978"/>
        <w:gridCol w:w="994"/>
        <w:gridCol w:w="885"/>
        <w:gridCol w:w="944"/>
        <w:gridCol w:w="978"/>
      </w:tblGrid>
      <w:tr w:rsidR="00F04F07" w:rsidRPr="00F04F07" w:rsidTr="00F04F07">
        <w:tc>
          <w:tcPr>
            <w:tcW w:w="1231" w:type="dxa"/>
          </w:tcPr>
          <w:p w:rsidR="00F04F07" w:rsidRPr="00F04F07" w:rsidRDefault="00F04F07" w:rsidP="00F04F07">
            <w:pPr>
              <w:rPr>
                <w:lang w:val="en-US"/>
              </w:rPr>
            </w:pPr>
          </w:p>
        </w:tc>
        <w:tc>
          <w:tcPr>
            <w:tcW w:w="3984" w:type="dxa"/>
            <w:gridSpan w:val="4"/>
          </w:tcPr>
          <w:p w:rsidR="00F04F07" w:rsidRPr="00F04F07" w:rsidRDefault="00F04F07" w:rsidP="00F04F07">
            <w:pPr>
              <w:rPr>
                <w:b/>
                <w:lang w:val="de-DE"/>
              </w:rPr>
            </w:pPr>
            <w:r w:rsidRPr="00F04F07">
              <w:rPr>
                <w:b/>
                <w:lang w:val="de-DE"/>
              </w:rPr>
              <w:t>Td9805</w:t>
            </w:r>
          </w:p>
          <w:p w:rsidR="00F04F07" w:rsidRPr="00F04F07" w:rsidRDefault="00F04F07" w:rsidP="00F04F07">
            <w:pPr>
              <w:rPr>
                <w:b/>
                <w:lang w:val="de-DE"/>
              </w:rPr>
            </w:pPr>
            <w:r w:rsidRPr="00F04F07">
              <w:rPr>
                <w:b/>
                <w:lang w:val="de-DE"/>
              </w:rPr>
              <w:t>11 to 12 years</w:t>
            </w:r>
          </w:p>
        </w:tc>
        <w:tc>
          <w:tcPr>
            <w:tcW w:w="3801" w:type="dxa"/>
            <w:gridSpan w:val="4"/>
          </w:tcPr>
          <w:p w:rsidR="00F04F07" w:rsidRPr="00F04F07" w:rsidRDefault="00F04F07" w:rsidP="00F04F07">
            <w:pPr>
              <w:rPr>
                <w:b/>
                <w:lang w:val="de-DE"/>
              </w:rPr>
            </w:pPr>
            <w:r w:rsidRPr="00F04F07">
              <w:rPr>
                <w:b/>
                <w:lang w:val="de-DE"/>
              </w:rPr>
              <w:t>TC9704</w:t>
            </w:r>
          </w:p>
          <w:p w:rsidR="00F04F07" w:rsidRPr="00F04F07" w:rsidRDefault="00F04F07" w:rsidP="00F04F07">
            <w:pPr>
              <w:rPr>
                <w:b/>
                <w:lang w:val="de-DE"/>
              </w:rPr>
            </w:pPr>
            <w:r w:rsidRPr="00F04F07">
              <w:rPr>
                <w:b/>
                <w:lang w:val="de-DE"/>
              </w:rPr>
              <w:t>12 to 54 years</w:t>
            </w:r>
          </w:p>
        </w:tc>
      </w:tr>
      <w:tr w:rsidR="00F04F07" w:rsidRPr="00F04F07" w:rsidTr="00F04F07">
        <w:tc>
          <w:tcPr>
            <w:tcW w:w="1231" w:type="dxa"/>
          </w:tcPr>
          <w:p w:rsidR="00F04F07" w:rsidRPr="00F04F07" w:rsidRDefault="00F04F07" w:rsidP="00F04F07">
            <w:pPr>
              <w:rPr>
                <w:lang w:val="en-US"/>
              </w:rPr>
            </w:pPr>
            <w:r w:rsidRPr="00F04F07">
              <w:t>Antitoxin</w:t>
            </w:r>
          </w:p>
        </w:tc>
        <w:tc>
          <w:tcPr>
            <w:tcW w:w="1178" w:type="dxa"/>
          </w:tcPr>
          <w:p w:rsidR="00F04F07" w:rsidRPr="00F04F07" w:rsidRDefault="00F04F07" w:rsidP="00F04F07">
            <w:pPr>
              <w:rPr>
                <w:lang w:val="en-US"/>
              </w:rPr>
            </w:pPr>
            <w:r w:rsidRPr="00F04F07">
              <w:t>Vaccine</w:t>
            </w:r>
          </w:p>
        </w:tc>
        <w:tc>
          <w:tcPr>
            <w:tcW w:w="884" w:type="dxa"/>
          </w:tcPr>
          <w:p w:rsidR="00F04F07" w:rsidRPr="00F04F07" w:rsidRDefault="00F04F07" w:rsidP="00F04F07">
            <w:pPr>
              <w:rPr>
                <w:lang w:val="en-US"/>
              </w:rPr>
            </w:pPr>
            <w:r w:rsidRPr="00F04F07">
              <w:t>N</w:t>
            </w:r>
          </w:p>
        </w:tc>
        <w:tc>
          <w:tcPr>
            <w:tcW w:w="944" w:type="dxa"/>
          </w:tcPr>
          <w:p w:rsidR="00F04F07" w:rsidRPr="00F04F07" w:rsidRDefault="00F04F07" w:rsidP="00F04F07">
            <w:pPr>
              <w:rPr>
                <w:lang w:val="en-US"/>
              </w:rPr>
            </w:pPr>
            <w:r w:rsidRPr="00F04F07">
              <w:t>GMC</w:t>
            </w:r>
          </w:p>
        </w:tc>
        <w:tc>
          <w:tcPr>
            <w:tcW w:w="978" w:type="dxa"/>
          </w:tcPr>
          <w:p w:rsidR="00F04F07" w:rsidRPr="00F04F07" w:rsidRDefault="00F04F07" w:rsidP="00F04F07">
            <w:pPr>
              <w:rPr>
                <w:lang w:val="en-US"/>
              </w:rPr>
            </w:pPr>
            <w:r w:rsidRPr="00F04F07">
              <w:t>% ≥0.10 IU/mL*</w:t>
            </w:r>
          </w:p>
        </w:tc>
        <w:tc>
          <w:tcPr>
            <w:tcW w:w="994" w:type="dxa"/>
          </w:tcPr>
          <w:p w:rsidR="00F04F07" w:rsidRPr="00F04F07" w:rsidRDefault="00F04F07" w:rsidP="00F04F07">
            <w:pPr>
              <w:rPr>
                <w:lang w:val="en-US"/>
              </w:rPr>
            </w:pPr>
            <w:r w:rsidRPr="00F04F07">
              <w:t>Vaccine</w:t>
            </w:r>
          </w:p>
        </w:tc>
        <w:tc>
          <w:tcPr>
            <w:tcW w:w="885" w:type="dxa"/>
          </w:tcPr>
          <w:p w:rsidR="00F04F07" w:rsidRPr="00F04F07" w:rsidRDefault="00F04F07" w:rsidP="00F04F07">
            <w:pPr>
              <w:rPr>
                <w:lang w:val="en-US"/>
              </w:rPr>
            </w:pPr>
            <w:r w:rsidRPr="00F04F07">
              <w:t>N</w:t>
            </w:r>
          </w:p>
        </w:tc>
        <w:tc>
          <w:tcPr>
            <w:tcW w:w="944" w:type="dxa"/>
          </w:tcPr>
          <w:p w:rsidR="00F04F07" w:rsidRPr="00F04F07" w:rsidRDefault="00F04F07" w:rsidP="00F04F07">
            <w:pPr>
              <w:rPr>
                <w:lang w:val="en-US"/>
              </w:rPr>
            </w:pPr>
            <w:r w:rsidRPr="00F04F07">
              <w:t>GMC</w:t>
            </w:r>
          </w:p>
        </w:tc>
        <w:tc>
          <w:tcPr>
            <w:tcW w:w="978" w:type="dxa"/>
          </w:tcPr>
          <w:p w:rsidR="00F04F07" w:rsidRPr="00F04F07" w:rsidRDefault="00F04F07" w:rsidP="00F04F07">
            <w:pPr>
              <w:rPr>
                <w:lang w:val="en-US"/>
              </w:rPr>
            </w:pPr>
            <w:r w:rsidRPr="00F04F07">
              <w:t>% ≥0.10 IU/mL*</w:t>
            </w:r>
          </w:p>
        </w:tc>
      </w:tr>
      <w:tr w:rsidR="00F04F07" w:rsidRPr="00F04F07" w:rsidTr="00F04F07">
        <w:tc>
          <w:tcPr>
            <w:tcW w:w="1231" w:type="dxa"/>
            <w:vMerge w:val="restart"/>
          </w:tcPr>
          <w:p w:rsidR="00F04F07" w:rsidRPr="00F04F07" w:rsidRDefault="00F04F07" w:rsidP="00F04F07">
            <w:pPr>
              <w:rPr>
                <w:lang w:val="en-US"/>
              </w:rPr>
            </w:pPr>
            <w:r w:rsidRPr="00F04F07">
              <w:t>Tetanus</w:t>
            </w:r>
          </w:p>
        </w:tc>
        <w:tc>
          <w:tcPr>
            <w:tcW w:w="1178" w:type="dxa"/>
          </w:tcPr>
          <w:p w:rsidR="00F04F07" w:rsidRPr="00F04F07" w:rsidRDefault="00F04F07" w:rsidP="00F04F07">
            <w:pPr>
              <w:rPr>
                <w:lang w:val="en-US"/>
              </w:rPr>
            </w:pPr>
            <w:proofErr w:type="spellStart"/>
            <w:r w:rsidRPr="00F04F07">
              <w:t>dTpa</w:t>
            </w:r>
            <w:proofErr w:type="spellEnd"/>
          </w:p>
        </w:tc>
        <w:tc>
          <w:tcPr>
            <w:tcW w:w="884" w:type="dxa"/>
          </w:tcPr>
          <w:p w:rsidR="00F04F07" w:rsidRPr="00F04F07" w:rsidRDefault="00F04F07" w:rsidP="00F04F07">
            <w:pPr>
              <w:rPr>
                <w:lang w:val="en-US"/>
              </w:rPr>
            </w:pPr>
            <w:r w:rsidRPr="00F04F07">
              <w:t>118</w:t>
            </w:r>
          </w:p>
        </w:tc>
        <w:tc>
          <w:tcPr>
            <w:tcW w:w="944" w:type="dxa"/>
          </w:tcPr>
          <w:p w:rsidR="00F04F07" w:rsidRPr="00F04F07" w:rsidRDefault="00F04F07" w:rsidP="00F04F07">
            <w:pPr>
              <w:rPr>
                <w:lang w:val="en-US"/>
              </w:rPr>
            </w:pPr>
            <w:r w:rsidRPr="00F04F07">
              <w:t>28.6</w:t>
            </w:r>
          </w:p>
        </w:tc>
        <w:tc>
          <w:tcPr>
            <w:tcW w:w="978" w:type="dxa"/>
          </w:tcPr>
          <w:p w:rsidR="00F04F07" w:rsidRPr="00F04F07" w:rsidRDefault="00F04F07" w:rsidP="00F04F07">
            <w:pPr>
              <w:rPr>
                <w:lang w:val="en-US"/>
              </w:rPr>
            </w:pPr>
            <w:r w:rsidRPr="00F04F07">
              <w:t>100.0</w:t>
            </w:r>
          </w:p>
        </w:tc>
        <w:tc>
          <w:tcPr>
            <w:tcW w:w="994" w:type="dxa"/>
          </w:tcPr>
          <w:p w:rsidR="00F04F07" w:rsidRPr="00F04F07" w:rsidRDefault="00F04F07" w:rsidP="00F04F07">
            <w:pPr>
              <w:rPr>
                <w:lang w:val="en-US"/>
              </w:rPr>
            </w:pPr>
            <w:proofErr w:type="spellStart"/>
            <w:r w:rsidRPr="00F04F07">
              <w:t>dTpa</w:t>
            </w:r>
            <w:proofErr w:type="spellEnd"/>
          </w:p>
        </w:tc>
        <w:tc>
          <w:tcPr>
            <w:tcW w:w="885" w:type="dxa"/>
          </w:tcPr>
          <w:p w:rsidR="00F04F07" w:rsidRPr="00F04F07" w:rsidRDefault="00F04F07" w:rsidP="00F04F07">
            <w:pPr>
              <w:rPr>
                <w:lang w:val="en-US"/>
              </w:rPr>
            </w:pPr>
            <w:r w:rsidRPr="00F04F07">
              <w:t>446</w:t>
            </w:r>
          </w:p>
        </w:tc>
        <w:tc>
          <w:tcPr>
            <w:tcW w:w="944" w:type="dxa"/>
          </w:tcPr>
          <w:p w:rsidR="00F04F07" w:rsidRPr="00F04F07" w:rsidRDefault="00F04F07" w:rsidP="00F04F07">
            <w:pPr>
              <w:rPr>
                <w:lang w:val="en-US"/>
              </w:rPr>
            </w:pPr>
            <w:r w:rsidRPr="00F04F07">
              <w:t>15.7</w:t>
            </w:r>
          </w:p>
        </w:tc>
        <w:tc>
          <w:tcPr>
            <w:tcW w:w="978" w:type="dxa"/>
          </w:tcPr>
          <w:p w:rsidR="00F04F07" w:rsidRPr="00F04F07" w:rsidRDefault="00F04F07" w:rsidP="00F04F07">
            <w:pPr>
              <w:rPr>
                <w:lang w:val="en-US"/>
              </w:rPr>
            </w:pPr>
            <w:r w:rsidRPr="00F04F07">
              <w:t>100.0</w:t>
            </w:r>
          </w:p>
        </w:tc>
      </w:tr>
      <w:tr w:rsidR="00F04F07" w:rsidRPr="00F04F07" w:rsidTr="00F04F07">
        <w:tc>
          <w:tcPr>
            <w:tcW w:w="1231" w:type="dxa"/>
            <w:vMerge/>
          </w:tcPr>
          <w:p w:rsidR="00F04F07" w:rsidRPr="00F04F07" w:rsidRDefault="00F04F07" w:rsidP="00F04F07">
            <w:pPr>
              <w:rPr>
                <w:lang w:val="en-US"/>
              </w:rPr>
            </w:pPr>
          </w:p>
        </w:tc>
        <w:tc>
          <w:tcPr>
            <w:tcW w:w="1178" w:type="dxa"/>
          </w:tcPr>
          <w:p w:rsidR="00F04F07" w:rsidRPr="00F04F07" w:rsidRDefault="00F04F07" w:rsidP="00F04F07">
            <w:pPr>
              <w:rPr>
                <w:lang w:val="en-US"/>
              </w:rPr>
            </w:pPr>
            <w:proofErr w:type="spellStart"/>
            <w:r w:rsidRPr="00F04F07">
              <w:t>dTpa+HB</w:t>
            </w:r>
            <w:proofErr w:type="spellEnd"/>
          </w:p>
        </w:tc>
        <w:tc>
          <w:tcPr>
            <w:tcW w:w="884" w:type="dxa"/>
          </w:tcPr>
          <w:p w:rsidR="00F04F07" w:rsidRPr="00F04F07" w:rsidRDefault="00F04F07" w:rsidP="00F04F07">
            <w:pPr>
              <w:rPr>
                <w:lang w:val="en-US"/>
              </w:rPr>
            </w:pPr>
            <w:r w:rsidRPr="00F04F07">
              <w:t>129</w:t>
            </w:r>
          </w:p>
        </w:tc>
        <w:tc>
          <w:tcPr>
            <w:tcW w:w="944" w:type="dxa"/>
          </w:tcPr>
          <w:p w:rsidR="00F04F07" w:rsidRPr="00F04F07" w:rsidRDefault="00F04F07" w:rsidP="00F04F07">
            <w:pPr>
              <w:rPr>
                <w:lang w:val="en-US"/>
              </w:rPr>
            </w:pPr>
            <w:r w:rsidRPr="00F04F07">
              <w:t>26.1</w:t>
            </w:r>
          </w:p>
        </w:tc>
        <w:tc>
          <w:tcPr>
            <w:tcW w:w="978" w:type="dxa"/>
          </w:tcPr>
          <w:p w:rsidR="00F04F07" w:rsidRPr="00F04F07" w:rsidRDefault="00F04F07" w:rsidP="00F04F07">
            <w:pPr>
              <w:rPr>
                <w:lang w:val="en-US"/>
              </w:rPr>
            </w:pPr>
            <w:r w:rsidRPr="00F04F07">
              <w:t>100.0</w:t>
            </w:r>
          </w:p>
        </w:tc>
        <w:tc>
          <w:tcPr>
            <w:tcW w:w="994" w:type="dxa"/>
          </w:tcPr>
          <w:p w:rsidR="00F04F07" w:rsidRPr="00F04F07" w:rsidRDefault="00F04F07" w:rsidP="00F04F07">
            <w:pPr>
              <w:rPr>
                <w:lang w:val="en-US"/>
              </w:rPr>
            </w:pPr>
            <w:r w:rsidRPr="00F04F07">
              <w:t>Td</w:t>
            </w:r>
          </w:p>
        </w:tc>
        <w:tc>
          <w:tcPr>
            <w:tcW w:w="885" w:type="dxa"/>
          </w:tcPr>
          <w:p w:rsidR="00F04F07" w:rsidRPr="00F04F07" w:rsidRDefault="00F04F07" w:rsidP="00F04F07">
            <w:pPr>
              <w:rPr>
                <w:lang w:val="en-US"/>
              </w:rPr>
            </w:pPr>
            <w:r w:rsidRPr="00F04F07">
              <w:t>151</w:t>
            </w:r>
          </w:p>
        </w:tc>
        <w:tc>
          <w:tcPr>
            <w:tcW w:w="944" w:type="dxa"/>
          </w:tcPr>
          <w:p w:rsidR="00F04F07" w:rsidRPr="00F04F07" w:rsidRDefault="00F04F07" w:rsidP="00F04F07">
            <w:pPr>
              <w:rPr>
                <w:lang w:val="en-US"/>
              </w:rPr>
            </w:pPr>
            <w:r w:rsidRPr="00F04F07">
              <w:t>16.0</w:t>
            </w:r>
          </w:p>
        </w:tc>
        <w:tc>
          <w:tcPr>
            <w:tcW w:w="978" w:type="dxa"/>
          </w:tcPr>
          <w:p w:rsidR="00F04F07" w:rsidRPr="00F04F07" w:rsidRDefault="00F04F07" w:rsidP="00F04F07">
            <w:pPr>
              <w:rPr>
                <w:lang w:val="en-US"/>
              </w:rPr>
            </w:pPr>
            <w:r w:rsidRPr="00F04F07">
              <w:t>99.3</w:t>
            </w:r>
          </w:p>
        </w:tc>
      </w:tr>
      <w:tr w:rsidR="00F04F07" w:rsidRPr="00F04F07" w:rsidTr="00F04F07">
        <w:tc>
          <w:tcPr>
            <w:tcW w:w="1231" w:type="dxa"/>
            <w:vMerge w:val="restart"/>
          </w:tcPr>
          <w:p w:rsidR="00F04F07" w:rsidRPr="00F04F07" w:rsidRDefault="00F04F07" w:rsidP="00F04F07">
            <w:pPr>
              <w:rPr>
                <w:lang w:val="en-US"/>
              </w:rPr>
            </w:pPr>
            <w:r w:rsidRPr="00F04F07">
              <w:t>Diphtheria</w:t>
            </w:r>
          </w:p>
        </w:tc>
        <w:tc>
          <w:tcPr>
            <w:tcW w:w="1178" w:type="dxa"/>
          </w:tcPr>
          <w:p w:rsidR="00F04F07" w:rsidRPr="00F04F07" w:rsidRDefault="00F04F07" w:rsidP="00F04F07">
            <w:pPr>
              <w:rPr>
                <w:lang w:val="en-US"/>
              </w:rPr>
            </w:pPr>
            <w:proofErr w:type="spellStart"/>
            <w:r w:rsidRPr="00F04F07">
              <w:t>dTpa</w:t>
            </w:r>
            <w:proofErr w:type="spellEnd"/>
          </w:p>
        </w:tc>
        <w:tc>
          <w:tcPr>
            <w:tcW w:w="884" w:type="dxa"/>
          </w:tcPr>
          <w:p w:rsidR="00F04F07" w:rsidRPr="00F04F07" w:rsidRDefault="00F04F07" w:rsidP="00F04F07">
            <w:pPr>
              <w:rPr>
                <w:lang w:val="en-US"/>
              </w:rPr>
            </w:pPr>
            <w:r w:rsidRPr="00F04F07">
              <w:t>118</w:t>
            </w:r>
          </w:p>
        </w:tc>
        <w:tc>
          <w:tcPr>
            <w:tcW w:w="944" w:type="dxa"/>
          </w:tcPr>
          <w:p w:rsidR="00F04F07" w:rsidRPr="00F04F07" w:rsidRDefault="00F04F07" w:rsidP="00F04F07">
            <w:pPr>
              <w:rPr>
                <w:lang w:val="en-US"/>
              </w:rPr>
            </w:pPr>
            <w:r w:rsidRPr="00F04F07">
              <w:t>8.4</w:t>
            </w:r>
          </w:p>
        </w:tc>
        <w:tc>
          <w:tcPr>
            <w:tcW w:w="978" w:type="dxa"/>
          </w:tcPr>
          <w:p w:rsidR="00F04F07" w:rsidRPr="00F04F07" w:rsidRDefault="00F04F07" w:rsidP="00F04F07">
            <w:pPr>
              <w:rPr>
                <w:lang w:val="en-US"/>
              </w:rPr>
            </w:pPr>
            <w:r w:rsidRPr="00F04F07">
              <w:t>100.0</w:t>
            </w:r>
          </w:p>
        </w:tc>
        <w:tc>
          <w:tcPr>
            <w:tcW w:w="994" w:type="dxa"/>
          </w:tcPr>
          <w:p w:rsidR="00F04F07" w:rsidRPr="00F04F07" w:rsidRDefault="00F04F07" w:rsidP="00F04F07">
            <w:pPr>
              <w:rPr>
                <w:lang w:val="en-US"/>
              </w:rPr>
            </w:pPr>
            <w:proofErr w:type="spellStart"/>
            <w:r w:rsidRPr="00F04F07">
              <w:t>dTpa</w:t>
            </w:r>
            <w:proofErr w:type="spellEnd"/>
          </w:p>
        </w:tc>
        <w:tc>
          <w:tcPr>
            <w:tcW w:w="885" w:type="dxa"/>
          </w:tcPr>
          <w:p w:rsidR="00F04F07" w:rsidRPr="00F04F07" w:rsidRDefault="00F04F07" w:rsidP="00F04F07">
            <w:pPr>
              <w:rPr>
                <w:lang w:val="en-US"/>
              </w:rPr>
            </w:pPr>
            <w:r w:rsidRPr="00F04F07">
              <w:t>446</w:t>
            </w:r>
          </w:p>
        </w:tc>
        <w:tc>
          <w:tcPr>
            <w:tcW w:w="944" w:type="dxa"/>
          </w:tcPr>
          <w:p w:rsidR="00F04F07" w:rsidRPr="00F04F07" w:rsidRDefault="00F04F07" w:rsidP="00F04F07">
            <w:pPr>
              <w:rPr>
                <w:lang w:val="en-US"/>
              </w:rPr>
            </w:pPr>
            <w:r w:rsidRPr="00F04F07">
              <w:t>0.8</w:t>
            </w:r>
          </w:p>
        </w:tc>
        <w:tc>
          <w:tcPr>
            <w:tcW w:w="978" w:type="dxa"/>
          </w:tcPr>
          <w:p w:rsidR="00F04F07" w:rsidRPr="00F04F07" w:rsidRDefault="00F04F07" w:rsidP="00F04F07">
            <w:pPr>
              <w:rPr>
                <w:lang w:val="en-US"/>
              </w:rPr>
            </w:pPr>
            <w:r w:rsidRPr="00F04F07">
              <w:t>85.0</w:t>
            </w:r>
          </w:p>
        </w:tc>
      </w:tr>
      <w:tr w:rsidR="00F04F07" w:rsidRPr="00F04F07" w:rsidTr="00F04F07">
        <w:tc>
          <w:tcPr>
            <w:tcW w:w="1231" w:type="dxa"/>
            <w:vMerge/>
          </w:tcPr>
          <w:p w:rsidR="00F04F07" w:rsidRPr="00F04F07" w:rsidRDefault="00F04F07" w:rsidP="00F04F07">
            <w:pPr>
              <w:rPr>
                <w:lang w:val="en-US"/>
              </w:rPr>
            </w:pPr>
          </w:p>
        </w:tc>
        <w:tc>
          <w:tcPr>
            <w:tcW w:w="1178" w:type="dxa"/>
          </w:tcPr>
          <w:p w:rsidR="00F04F07" w:rsidRPr="00F04F07" w:rsidRDefault="00F04F07" w:rsidP="00F04F07">
            <w:pPr>
              <w:rPr>
                <w:lang w:val="en-US"/>
              </w:rPr>
            </w:pPr>
            <w:proofErr w:type="spellStart"/>
            <w:r w:rsidRPr="00F04F07">
              <w:t>dTpa+HB</w:t>
            </w:r>
            <w:proofErr w:type="spellEnd"/>
          </w:p>
        </w:tc>
        <w:tc>
          <w:tcPr>
            <w:tcW w:w="884" w:type="dxa"/>
          </w:tcPr>
          <w:p w:rsidR="00F04F07" w:rsidRPr="00F04F07" w:rsidRDefault="00F04F07" w:rsidP="00F04F07">
            <w:pPr>
              <w:rPr>
                <w:lang w:val="en-US"/>
              </w:rPr>
            </w:pPr>
            <w:r w:rsidRPr="00F04F07">
              <w:t>129</w:t>
            </w:r>
          </w:p>
        </w:tc>
        <w:tc>
          <w:tcPr>
            <w:tcW w:w="944" w:type="dxa"/>
          </w:tcPr>
          <w:p w:rsidR="00F04F07" w:rsidRPr="00F04F07" w:rsidRDefault="00F04F07" w:rsidP="00F04F07">
            <w:pPr>
              <w:rPr>
                <w:lang w:val="en-US"/>
              </w:rPr>
            </w:pPr>
            <w:r w:rsidRPr="00F04F07">
              <w:t>6.8</w:t>
            </w:r>
          </w:p>
        </w:tc>
        <w:tc>
          <w:tcPr>
            <w:tcW w:w="978" w:type="dxa"/>
          </w:tcPr>
          <w:p w:rsidR="00F04F07" w:rsidRPr="00F04F07" w:rsidRDefault="00F04F07" w:rsidP="00F04F07">
            <w:pPr>
              <w:rPr>
                <w:lang w:val="en-US"/>
              </w:rPr>
            </w:pPr>
            <w:r w:rsidRPr="00F04F07">
              <w:t>100.0</w:t>
            </w:r>
          </w:p>
        </w:tc>
        <w:tc>
          <w:tcPr>
            <w:tcW w:w="994" w:type="dxa"/>
          </w:tcPr>
          <w:p w:rsidR="00F04F07" w:rsidRPr="00F04F07" w:rsidRDefault="00F04F07" w:rsidP="00F04F07">
            <w:pPr>
              <w:rPr>
                <w:lang w:val="en-US"/>
              </w:rPr>
            </w:pPr>
            <w:r w:rsidRPr="00F04F07">
              <w:t>Td</w:t>
            </w:r>
          </w:p>
        </w:tc>
        <w:tc>
          <w:tcPr>
            <w:tcW w:w="885" w:type="dxa"/>
          </w:tcPr>
          <w:p w:rsidR="00F04F07" w:rsidRPr="00F04F07" w:rsidRDefault="00F04F07" w:rsidP="00F04F07">
            <w:pPr>
              <w:rPr>
                <w:lang w:val="en-US"/>
              </w:rPr>
            </w:pPr>
            <w:r w:rsidRPr="00F04F07">
              <w:t>151</w:t>
            </w:r>
          </w:p>
        </w:tc>
        <w:tc>
          <w:tcPr>
            <w:tcW w:w="944" w:type="dxa"/>
          </w:tcPr>
          <w:p w:rsidR="00F04F07" w:rsidRPr="00F04F07" w:rsidRDefault="00F04F07" w:rsidP="00F04F07">
            <w:pPr>
              <w:rPr>
                <w:lang w:val="en-US"/>
              </w:rPr>
            </w:pPr>
            <w:r w:rsidRPr="00F04F07">
              <w:t>1.2</w:t>
            </w:r>
          </w:p>
        </w:tc>
        <w:tc>
          <w:tcPr>
            <w:tcW w:w="978" w:type="dxa"/>
          </w:tcPr>
          <w:p w:rsidR="00F04F07" w:rsidRPr="00F04F07" w:rsidRDefault="00F04F07" w:rsidP="00F04F07">
            <w:pPr>
              <w:rPr>
                <w:lang w:val="en-US"/>
              </w:rPr>
            </w:pPr>
            <w:r w:rsidRPr="00F04F07">
              <w:t>89.4</w:t>
            </w:r>
          </w:p>
        </w:tc>
      </w:tr>
    </w:tbl>
    <w:p w:rsidR="00F04F07" w:rsidRPr="00F04F07" w:rsidRDefault="00F04F07" w:rsidP="00F04F07">
      <w:pPr>
        <w:pStyle w:val="Tabledescription"/>
      </w:pPr>
      <w:r w:rsidRPr="00F04F07">
        <w:t>* Tetanus and diphtheria antitoxin levels were measured in EU and IU/mL, respectively</w:t>
      </w:r>
    </w:p>
    <w:p w:rsidR="00F04F07" w:rsidRPr="00F04F07" w:rsidRDefault="00F04F07" w:rsidP="00F04F07">
      <w:pPr>
        <w:pStyle w:val="Tabletitle"/>
        <w:rPr>
          <w:lang w:val="en-US"/>
        </w:rPr>
      </w:pPr>
      <w:r w:rsidRPr="00F04F07">
        <w:rPr>
          <w:lang w:val="en-US"/>
        </w:rPr>
        <w:t>Table </w:t>
      </w:r>
      <w:r w:rsidRPr="00F04F07">
        <w:rPr>
          <w:lang w:val="en-US"/>
        </w:rPr>
        <w:fldChar w:fldCharType="begin"/>
      </w:r>
      <w:r w:rsidRPr="00F04F07">
        <w:rPr>
          <w:lang w:val="en-US"/>
        </w:rPr>
        <w:instrText xml:space="preserve"> SEQ Table \* ARABIC </w:instrText>
      </w:r>
      <w:r w:rsidRPr="00F04F07">
        <w:rPr>
          <w:lang w:val="en-US"/>
        </w:rPr>
        <w:fldChar w:fldCharType="separate"/>
      </w:r>
      <w:r w:rsidRPr="00F04F07">
        <w:rPr>
          <w:lang w:val="en-US"/>
        </w:rPr>
        <w:t>5</w:t>
      </w:r>
      <w:r w:rsidRPr="00F04F07">
        <w:rPr>
          <w:lang w:val="fr-CA"/>
        </w:rPr>
        <w:fldChar w:fldCharType="end"/>
      </w:r>
      <w:r w:rsidRPr="00F04F07">
        <w:rPr>
          <w:lang w:val="en-US"/>
        </w:rPr>
        <w:t xml:space="preserve"> ­ Pertussis Antibody GMC (EU/mL) Observed One Month After a Dose of Adacel</w:t>
      </w:r>
    </w:p>
    <w:tbl>
      <w:tblPr>
        <w:tblStyle w:val="TableGrid"/>
        <w:tblW w:w="0" w:type="auto"/>
        <w:tblLook w:val="04A0" w:firstRow="1" w:lastRow="0" w:firstColumn="1" w:lastColumn="0" w:noHBand="0" w:noVBand="1"/>
      </w:tblPr>
      <w:tblGrid>
        <w:gridCol w:w="2122"/>
        <w:gridCol w:w="1559"/>
        <w:gridCol w:w="992"/>
        <w:gridCol w:w="1134"/>
        <w:gridCol w:w="1134"/>
        <w:gridCol w:w="992"/>
        <w:gridCol w:w="1083"/>
      </w:tblGrid>
      <w:tr w:rsidR="00F04F07" w:rsidRPr="00F04F07" w:rsidTr="00F04F07">
        <w:trPr>
          <w:tblHeader/>
        </w:trPr>
        <w:tc>
          <w:tcPr>
            <w:tcW w:w="2122" w:type="dxa"/>
          </w:tcPr>
          <w:p w:rsidR="00F04F07" w:rsidRPr="00F04F07" w:rsidRDefault="00F04F07" w:rsidP="00F04F07">
            <w:pPr>
              <w:rPr>
                <w:lang w:val="en-US"/>
              </w:rPr>
            </w:pPr>
          </w:p>
        </w:tc>
        <w:tc>
          <w:tcPr>
            <w:tcW w:w="3685" w:type="dxa"/>
            <w:gridSpan w:val="3"/>
          </w:tcPr>
          <w:p w:rsidR="00F04F07" w:rsidRPr="00F04F07" w:rsidRDefault="00F04F07" w:rsidP="00F04F07">
            <w:pPr>
              <w:rPr>
                <w:b/>
                <w:lang w:val="de-DE"/>
              </w:rPr>
            </w:pPr>
            <w:r w:rsidRPr="00F04F07">
              <w:rPr>
                <w:b/>
                <w:lang w:val="de-DE"/>
              </w:rPr>
              <w:t xml:space="preserve">Td9805 </w:t>
            </w:r>
          </w:p>
          <w:p w:rsidR="00F04F07" w:rsidRPr="00F04F07" w:rsidRDefault="00F04F07" w:rsidP="00F04F07">
            <w:pPr>
              <w:rPr>
                <w:b/>
                <w:lang w:val="de-DE"/>
              </w:rPr>
            </w:pPr>
            <w:r w:rsidRPr="00F04F07">
              <w:rPr>
                <w:b/>
                <w:lang w:val="de-DE"/>
              </w:rPr>
              <w:t>11 to 12 years</w:t>
            </w:r>
          </w:p>
        </w:tc>
        <w:tc>
          <w:tcPr>
            <w:tcW w:w="3209" w:type="dxa"/>
            <w:gridSpan w:val="3"/>
          </w:tcPr>
          <w:p w:rsidR="00F04F07" w:rsidRPr="00F04F07" w:rsidRDefault="00F04F07" w:rsidP="00F04F07">
            <w:pPr>
              <w:rPr>
                <w:b/>
                <w:lang w:val="de-DE"/>
              </w:rPr>
            </w:pPr>
            <w:r w:rsidRPr="00F04F07">
              <w:rPr>
                <w:b/>
                <w:lang w:val="de-DE"/>
              </w:rPr>
              <w:t xml:space="preserve">TC9704 </w:t>
            </w:r>
          </w:p>
          <w:p w:rsidR="00F04F07" w:rsidRPr="00F04F07" w:rsidRDefault="00F04F07" w:rsidP="00F04F07">
            <w:pPr>
              <w:rPr>
                <w:b/>
                <w:lang w:val="de-DE"/>
              </w:rPr>
            </w:pPr>
            <w:r w:rsidRPr="00F04F07">
              <w:rPr>
                <w:b/>
                <w:lang w:val="de-DE"/>
              </w:rPr>
              <w:t>12 to 54 years</w:t>
            </w:r>
          </w:p>
        </w:tc>
      </w:tr>
      <w:tr w:rsidR="00F04F07" w:rsidRPr="00F04F07" w:rsidTr="00F04F07">
        <w:tc>
          <w:tcPr>
            <w:tcW w:w="2122" w:type="dxa"/>
            <w:vAlign w:val="bottom"/>
          </w:tcPr>
          <w:p w:rsidR="00F04F07" w:rsidRPr="00F04F07" w:rsidRDefault="00F04F07" w:rsidP="00F04F07">
            <w:pPr>
              <w:rPr>
                <w:lang w:val="en-US"/>
              </w:rPr>
            </w:pPr>
            <w:r w:rsidRPr="00F04F07">
              <w:t>Pertussis Antibody</w:t>
            </w:r>
          </w:p>
        </w:tc>
        <w:tc>
          <w:tcPr>
            <w:tcW w:w="1559" w:type="dxa"/>
            <w:vAlign w:val="bottom"/>
          </w:tcPr>
          <w:p w:rsidR="00F04F07" w:rsidRPr="00F04F07" w:rsidRDefault="00F04F07" w:rsidP="00F04F07">
            <w:pPr>
              <w:rPr>
                <w:lang w:val="en-US"/>
              </w:rPr>
            </w:pPr>
            <w:r w:rsidRPr="00F04F07">
              <w:t>Vaccine</w:t>
            </w:r>
          </w:p>
        </w:tc>
        <w:tc>
          <w:tcPr>
            <w:tcW w:w="992" w:type="dxa"/>
            <w:vAlign w:val="bottom"/>
          </w:tcPr>
          <w:p w:rsidR="00F04F07" w:rsidRPr="00F04F07" w:rsidRDefault="00F04F07" w:rsidP="00F04F07">
            <w:pPr>
              <w:rPr>
                <w:lang w:val="en-US"/>
              </w:rPr>
            </w:pPr>
            <w:r w:rsidRPr="00F04F07">
              <w:t>N</w:t>
            </w:r>
          </w:p>
        </w:tc>
        <w:tc>
          <w:tcPr>
            <w:tcW w:w="1134" w:type="dxa"/>
            <w:vAlign w:val="bottom"/>
          </w:tcPr>
          <w:p w:rsidR="00F04F07" w:rsidRPr="00F04F07" w:rsidRDefault="00F04F07" w:rsidP="00F04F07">
            <w:pPr>
              <w:rPr>
                <w:lang w:val="en-US"/>
              </w:rPr>
            </w:pPr>
            <w:r w:rsidRPr="00F04F07">
              <w:t>GMC**</w:t>
            </w:r>
          </w:p>
        </w:tc>
        <w:tc>
          <w:tcPr>
            <w:tcW w:w="1134" w:type="dxa"/>
            <w:vAlign w:val="bottom"/>
          </w:tcPr>
          <w:p w:rsidR="00F04F07" w:rsidRPr="00F04F07" w:rsidRDefault="00F04F07" w:rsidP="00F04F07">
            <w:pPr>
              <w:rPr>
                <w:lang w:val="en-US"/>
              </w:rPr>
            </w:pPr>
            <w:r w:rsidRPr="00F04F07">
              <w:t>Vaccine</w:t>
            </w:r>
          </w:p>
        </w:tc>
        <w:tc>
          <w:tcPr>
            <w:tcW w:w="992" w:type="dxa"/>
            <w:vAlign w:val="bottom"/>
          </w:tcPr>
          <w:p w:rsidR="00F04F07" w:rsidRPr="00F04F07" w:rsidRDefault="00F04F07" w:rsidP="00F04F07">
            <w:pPr>
              <w:rPr>
                <w:lang w:val="en-US"/>
              </w:rPr>
            </w:pPr>
            <w:r w:rsidRPr="00F04F07">
              <w:t>N</w:t>
            </w:r>
          </w:p>
        </w:tc>
        <w:tc>
          <w:tcPr>
            <w:tcW w:w="1083" w:type="dxa"/>
            <w:vAlign w:val="bottom"/>
          </w:tcPr>
          <w:p w:rsidR="00F04F07" w:rsidRPr="00F04F07" w:rsidRDefault="00F04F07" w:rsidP="00F04F07">
            <w:pPr>
              <w:rPr>
                <w:lang w:val="en-US"/>
              </w:rPr>
            </w:pPr>
            <w:r w:rsidRPr="00F04F07">
              <w:t>GMC</w:t>
            </w:r>
          </w:p>
        </w:tc>
      </w:tr>
      <w:tr w:rsidR="00F04F07" w:rsidRPr="00F04F07" w:rsidTr="00F04F07">
        <w:tc>
          <w:tcPr>
            <w:tcW w:w="2122" w:type="dxa"/>
            <w:vMerge w:val="restart"/>
          </w:tcPr>
          <w:p w:rsidR="00F04F07" w:rsidRPr="00F04F07" w:rsidRDefault="00F04F07" w:rsidP="00F04F07">
            <w:pPr>
              <w:rPr>
                <w:lang w:val="en-US"/>
              </w:rPr>
            </w:pPr>
            <w:r w:rsidRPr="00F04F07">
              <w:t>Anti-PT</w:t>
            </w:r>
          </w:p>
        </w:tc>
        <w:tc>
          <w:tcPr>
            <w:tcW w:w="1559" w:type="dxa"/>
            <w:vAlign w:val="center"/>
          </w:tcPr>
          <w:p w:rsidR="00F04F07" w:rsidRPr="00F04F07" w:rsidRDefault="00F04F07" w:rsidP="00F04F07">
            <w:pPr>
              <w:rPr>
                <w:lang w:val="en-US"/>
              </w:rPr>
            </w:pPr>
            <w:proofErr w:type="spellStart"/>
            <w:r w:rsidRPr="00F04F07">
              <w:t>dTpa</w:t>
            </w:r>
            <w:proofErr w:type="spellEnd"/>
          </w:p>
        </w:tc>
        <w:tc>
          <w:tcPr>
            <w:tcW w:w="992" w:type="dxa"/>
          </w:tcPr>
          <w:p w:rsidR="00F04F07" w:rsidRPr="00F04F07" w:rsidRDefault="00F04F07" w:rsidP="00F04F07">
            <w:pPr>
              <w:rPr>
                <w:lang w:val="en-US"/>
              </w:rPr>
            </w:pPr>
            <w:r w:rsidRPr="00F04F07">
              <w:t>118</w:t>
            </w:r>
          </w:p>
        </w:tc>
        <w:tc>
          <w:tcPr>
            <w:tcW w:w="1134" w:type="dxa"/>
          </w:tcPr>
          <w:p w:rsidR="00F04F07" w:rsidRPr="00F04F07" w:rsidRDefault="00F04F07" w:rsidP="00F04F07">
            <w:pPr>
              <w:rPr>
                <w:lang w:val="en-US"/>
              </w:rPr>
            </w:pPr>
            <w:r w:rsidRPr="00F04F07">
              <w:t>169</w:t>
            </w:r>
          </w:p>
        </w:tc>
        <w:tc>
          <w:tcPr>
            <w:tcW w:w="1134" w:type="dxa"/>
            <w:vAlign w:val="center"/>
          </w:tcPr>
          <w:p w:rsidR="00F04F07" w:rsidRPr="00F04F07" w:rsidRDefault="00F04F07" w:rsidP="00F04F07">
            <w:pPr>
              <w:rPr>
                <w:lang w:val="en-US"/>
              </w:rPr>
            </w:pPr>
            <w:proofErr w:type="spellStart"/>
            <w:r w:rsidRPr="00F04F07">
              <w:t>dTpa</w:t>
            </w:r>
            <w:proofErr w:type="spellEnd"/>
          </w:p>
        </w:tc>
        <w:tc>
          <w:tcPr>
            <w:tcW w:w="992" w:type="dxa"/>
          </w:tcPr>
          <w:p w:rsidR="00F04F07" w:rsidRPr="00F04F07" w:rsidRDefault="00F04F07" w:rsidP="00F04F07">
            <w:pPr>
              <w:rPr>
                <w:lang w:val="en-US"/>
              </w:rPr>
            </w:pPr>
            <w:r w:rsidRPr="00F04F07">
              <w:t>445</w:t>
            </w:r>
          </w:p>
        </w:tc>
        <w:tc>
          <w:tcPr>
            <w:tcW w:w="1083" w:type="dxa"/>
          </w:tcPr>
          <w:p w:rsidR="00F04F07" w:rsidRPr="00F04F07" w:rsidRDefault="00F04F07" w:rsidP="00F04F07">
            <w:pPr>
              <w:rPr>
                <w:lang w:val="en-US"/>
              </w:rPr>
            </w:pPr>
            <w:r w:rsidRPr="00F04F07">
              <w:t>144</w:t>
            </w:r>
          </w:p>
        </w:tc>
      </w:tr>
      <w:tr w:rsidR="00F04F07" w:rsidRPr="00F04F07" w:rsidTr="00F04F07">
        <w:tc>
          <w:tcPr>
            <w:tcW w:w="2122" w:type="dxa"/>
            <w:vMerge/>
          </w:tcPr>
          <w:p w:rsidR="00F04F07" w:rsidRPr="00F04F07" w:rsidRDefault="00F04F07" w:rsidP="00F04F07">
            <w:pPr>
              <w:rPr>
                <w:lang w:val="en-US"/>
              </w:rPr>
            </w:pPr>
          </w:p>
        </w:tc>
        <w:tc>
          <w:tcPr>
            <w:tcW w:w="1559" w:type="dxa"/>
            <w:vAlign w:val="center"/>
          </w:tcPr>
          <w:p w:rsidR="00F04F07" w:rsidRPr="00F04F07" w:rsidRDefault="00F04F07" w:rsidP="00F04F07">
            <w:pPr>
              <w:rPr>
                <w:lang w:val="en-US"/>
              </w:rPr>
            </w:pPr>
            <w:proofErr w:type="spellStart"/>
            <w:r w:rsidRPr="00F04F07">
              <w:t>dTpa+HB</w:t>
            </w:r>
            <w:proofErr w:type="spellEnd"/>
          </w:p>
        </w:tc>
        <w:tc>
          <w:tcPr>
            <w:tcW w:w="992" w:type="dxa"/>
          </w:tcPr>
          <w:p w:rsidR="00F04F07" w:rsidRPr="00F04F07" w:rsidRDefault="00F04F07" w:rsidP="00F04F07">
            <w:pPr>
              <w:rPr>
                <w:lang w:val="en-US"/>
              </w:rPr>
            </w:pPr>
            <w:r w:rsidRPr="00F04F07">
              <w:t>129</w:t>
            </w:r>
          </w:p>
        </w:tc>
        <w:tc>
          <w:tcPr>
            <w:tcW w:w="1134" w:type="dxa"/>
          </w:tcPr>
          <w:p w:rsidR="00F04F07" w:rsidRPr="00F04F07" w:rsidRDefault="00F04F07" w:rsidP="00F04F07">
            <w:pPr>
              <w:rPr>
                <w:lang w:val="en-US"/>
              </w:rPr>
            </w:pPr>
            <w:r w:rsidRPr="00F04F07">
              <w:t>144</w:t>
            </w:r>
          </w:p>
        </w:tc>
        <w:tc>
          <w:tcPr>
            <w:tcW w:w="1134" w:type="dxa"/>
            <w:vAlign w:val="center"/>
          </w:tcPr>
          <w:p w:rsidR="00F04F07" w:rsidRPr="00F04F07" w:rsidRDefault="00F04F07" w:rsidP="00F04F07">
            <w:pPr>
              <w:rPr>
                <w:lang w:val="en-US"/>
              </w:rPr>
            </w:pPr>
            <w:proofErr w:type="spellStart"/>
            <w:r w:rsidRPr="00F04F07">
              <w:t>aP</w:t>
            </w:r>
            <w:proofErr w:type="spellEnd"/>
          </w:p>
        </w:tc>
        <w:tc>
          <w:tcPr>
            <w:tcW w:w="992" w:type="dxa"/>
          </w:tcPr>
          <w:p w:rsidR="00F04F07" w:rsidRPr="00F04F07" w:rsidRDefault="00F04F07" w:rsidP="00F04F07">
            <w:pPr>
              <w:rPr>
                <w:lang w:val="en-US"/>
              </w:rPr>
            </w:pPr>
            <w:r w:rsidRPr="00F04F07">
              <w:t>149</w:t>
            </w:r>
          </w:p>
        </w:tc>
        <w:tc>
          <w:tcPr>
            <w:tcW w:w="1083" w:type="dxa"/>
          </w:tcPr>
          <w:p w:rsidR="00F04F07" w:rsidRPr="00F04F07" w:rsidRDefault="00F04F07" w:rsidP="00F04F07">
            <w:pPr>
              <w:rPr>
                <w:lang w:val="en-US"/>
              </w:rPr>
            </w:pPr>
            <w:r w:rsidRPr="00F04F07">
              <w:t>191</w:t>
            </w:r>
          </w:p>
        </w:tc>
      </w:tr>
      <w:tr w:rsidR="00F04F07" w:rsidRPr="00F04F07" w:rsidTr="00F04F07">
        <w:tc>
          <w:tcPr>
            <w:tcW w:w="2122" w:type="dxa"/>
            <w:vMerge w:val="restart"/>
          </w:tcPr>
          <w:p w:rsidR="00F04F07" w:rsidRPr="00F04F07" w:rsidRDefault="00F04F07" w:rsidP="00F04F07">
            <w:pPr>
              <w:rPr>
                <w:lang w:val="en-US"/>
              </w:rPr>
            </w:pPr>
            <w:r w:rsidRPr="00F04F07">
              <w:t>Anti-FHA</w:t>
            </w:r>
          </w:p>
        </w:tc>
        <w:tc>
          <w:tcPr>
            <w:tcW w:w="1559" w:type="dxa"/>
            <w:vAlign w:val="center"/>
          </w:tcPr>
          <w:p w:rsidR="00F04F07" w:rsidRPr="00F04F07" w:rsidRDefault="00F04F07" w:rsidP="00F04F07">
            <w:pPr>
              <w:rPr>
                <w:lang w:val="en-US"/>
              </w:rPr>
            </w:pPr>
            <w:proofErr w:type="spellStart"/>
            <w:r w:rsidRPr="00F04F07">
              <w:t>dTpa</w:t>
            </w:r>
            <w:proofErr w:type="spellEnd"/>
          </w:p>
        </w:tc>
        <w:tc>
          <w:tcPr>
            <w:tcW w:w="992" w:type="dxa"/>
          </w:tcPr>
          <w:p w:rsidR="00F04F07" w:rsidRPr="00F04F07" w:rsidRDefault="00F04F07" w:rsidP="00F04F07">
            <w:pPr>
              <w:rPr>
                <w:lang w:val="en-US"/>
              </w:rPr>
            </w:pPr>
            <w:r w:rsidRPr="00F04F07">
              <w:t>118</w:t>
            </w:r>
          </w:p>
        </w:tc>
        <w:tc>
          <w:tcPr>
            <w:tcW w:w="1134" w:type="dxa"/>
          </w:tcPr>
          <w:p w:rsidR="00F04F07" w:rsidRPr="00F04F07" w:rsidRDefault="00F04F07" w:rsidP="00F04F07">
            <w:pPr>
              <w:rPr>
                <w:lang w:val="en-US"/>
              </w:rPr>
            </w:pPr>
            <w:r w:rsidRPr="00F04F07">
              <w:t>445</w:t>
            </w:r>
          </w:p>
        </w:tc>
        <w:tc>
          <w:tcPr>
            <w:tcW w:w="1134" w:type="dxa"/>
            <w:vAlign w:val="center"/>
          </w:tcPr>
          <w:p w:rsidR="00F04F07" w:rsidRPr="00F04F07" w:rsidRDefault="00F04F07" w:rsidP="00F04F07">
            <w:pPr>
              <w:rPr>
                <w:lang w:val="en-US"/>
              </w:rPr>
            </w:pPr>
            <w:proofErr w:type="spellStart"/>
            <w:r w:rsidRPr="00F04F07">
              <w:t>dTpa</w:t>
            </w:r>
            <w:proofErr w:type="spellEnd"/>
          </w:p>
        </w:tc>
        <w:tc>
          <w:tcPr>
            <w:tcW w:w="992" w:type="dxa"/>
          </w:tcPr>
          <w:p w:rsidR="00F04F07" w:rsidRPr="00F04F07" w:rsidRDefault="00F04F07" w:rsidP="00F04F07">
            <w:pPr>
              <w:rPr>
                <w:lang w:val="en-US"/>
              </w:rPr>
            </w:pPr>
            <w:r w:rsidRPr="00F04F07">
              <w:t>446</w:t>
            </w:r>
          </w:p>
        </w:tc>
        <w:tc>
          <w:tcPr>
            <w:tcW w:w="1083" w:type="dxa"/>
          </w:tcPr>
          <w:p w:rsidR="00F04F07" w:rsidRPr="00F04F07" w:rsidRDefault="00F04F07" w:rsidP="00F04F07">
            <w:pPr>
              <w:rPr>
                <w:lang w:val="en-US"/>
              </w:rPr>
            </w:pPr>
            <w:r w:rsidRPr="00F04F07">
              <w:t>328</w:t>
            </w:r>
          </w:p>
        </w:tc>
      </w:tr>
      <w:tr w:rsidR="00F04F07" w:rsidRPr="00F04F07" w:rsidTr="00F04F07">
        <w:tc>
          <w:tcPr>
            <w:tcW w:w="2122" w:type="dxa"/>
            <w:vMerge/>
          </w:tcPr>
          <w:p w:rsidR="00F04F07" w:rsidRPr="00F04F07" w:rsidRDefault="00F04F07" w:rsidP="00F04F07">
            <w:pPr>
              <w:rPr>
                <w:lang w:val="en-US"/>
              </w:rPr>
            </w:pPr>
          </w:p>
        </w:tc>
        <w:tc>
          <w:tcPr>
            <w:tcW w:w="1559" w:type="dxa"/>
            <w:vAlign w:val="center"/>
          </w:tcPr>
          <w:p w:rsidR="00F04F07" w:rsidRPr="00F04F07" w:rsidRDefault="00F04F07" w:rsidP="00F04F07">
            <w:pPr>
              <w:rPr>
                <w:lang w:val="en-US"/>
              </w:rPr>
            </w:pPr>
            <w:proofErr w:type="spellStart"/>
            <w:r w:rsidRPr="00F04F07">
              <w:t>dTpa+HB</w:t>
            </w:r>
            <w:proofErr w:type="spellEnd"/>
          </w:p>
        </w:tc>
        <w:tc>
          <w:tcPr>
            <w:tcW w:w="992" w:type="dxa"/>
          </w:tcPr>
          <w:p w:rsidR="00F04F07" w:rsidRPr="00F04F07" w:rsidRDefault="00F04F07" w:rsidP="00F04F07">
            <w:pPr>
              <w:rPr>
                <w:lang w:val="en-US"/>
              </w:rPr>
            </w:pPr>
            <w:r w:rsidRPr="00F04F07">
              <w:t>129</w:t>
            </w:r>
          </w:p>
        </w:tc>
        <w:tc>
          <w:tcPr>
            <w:tcW w:w="1134" w:type="dxa"/>
          </w:tcPr>
          <w:p w:rsidR="00F04F07" w:rsidRPr="00F04F07" w:rsidRDefault="00F04F07" w:rsidP="00F04F07">
            <w:pPr>
              <w:rPr>
                <w:lang w:val="en-US"/>
              </w:rPr>
            </w:pPr>
            <w:r w:rsidRPr="00F04F07">
              <w:t>375</w:t>
            </w:r>
          </w:p>
        </w:tc>
        <w:tc>
          <w:tcPr>
            <w:tcW w:w="1134" w:type="dxa"/>
            <w:vAlign w:val="center"/>
          </w:tcPr>
          <w:p w:rsidR="00F04F07" w:rsidRPr="00F04F07" w:rsidRDefault="00F04F07" w:rsidP="00F04F07">
            <w:pPr>
              <w:rPr>
                <w:lang w:val="en-US"/>
              </w:rPr>
            </w:pPr>
            <w:proofErr w:type="spellStart"/>
            <w:r w:rsidRPr="00F04F07">
              <w:t>aP</w:t>
            </w:r>
            <w:proofErr w:type="spellEnd"/>
          </w:p>
        </w:tc>
        <w:tc>
          <w:tcPr>
            <w:tcW w:w="992" w:type="dxa"/>
          </w:tcPr>
          <w:p w:rsidR="00F04F07" w:rsidRPr="00F04F07" w:rsidRDefault="00F04F07" w:rsidP="00F04F07">
            <w:pPr>
              <w:rPr>
                <w:lang w:val="en-US"/>
              </w:rPr>
            </w:pPr>
            <w:r w:rsidRPr="00F04F07">
              <w:t>149</w:t>
            </w:r>
          </w:p>
        </w:tc>
        <w:tc>
          <w:tcPr>
            <w:tcW w:w="1083" w:type="dxa"/>
          </w:tcPr>
          <w:p w:rsidR="00F04F07" w:rsidRPr="00F04F07" w:rsidRDefault="00F04F07" w:rsidP="00F04F07">
            <w:pPr>
              <w:rPr>
                <w:lang w:val="en-US"/>
              </w:rPr>
            </w:pPr>
            <w:r w:rsidRPr="00F04F07">
              <w:t>349</w:t>
            </w:r>
          </w:p>
        </w:tc>
      </w:tr>
      <w:tr w:rsidR="00F04F07" w:rsidRPr="00F04F07" w:rsidTr="00F04F07">
        <w:tc>
          <w:tcPr>
            <w:tcW w:w="2122" w:type="dxa"/>
            <w:vMerge w:val="restart"/>
          </w:tcPr>
          <w:p w:rsidR="00F04F07" w:rsidRPr="00F04F07" w:rsidRDefault="00F04F07" w:rsidP="00F04F07">
            <w:pPr>
              <w:rPr>
                <w:lang w:val="en-US"/>
              </w:rPr>
            </w:pPr>
            <w:r w:rsidRPr="00F04F07">
              <w:t>Anti-PRN</w:t>
            </w:r>
          </w:p>
        </w:tc>
        <w:tc>
          <w:tcPr>
            <w:tcW w:w="1559" w:type="dxa"/>
            <w:vAlign w:val="center"/>
          </w:tcPr>
          <w:p w:rsidR="00F04F07" w:rsidRPr="00F04F07" w:rsidRDefault="00F04F07" w:rsidP="00F04F07">
            <w:pPr>
              <w:rPr>
                <w:lang w:val="en-US"/>
              </w:rPr>
            </w:pPr>
            <w:proofErr w:type="spellStart"/>
            <w:r w:rsidRPr="00F04F07">
              <w:t>dTpa</w:t>
            </w:r>
            <w:proofErr w:type="spellEnd"/>
          </w:p>
        </w:tc>
        <w:tc>
          <w:tcPr>
            <w:tcW w:w="992" w:type="dxa"/>
          </w:tcPr>
          <w:p w:rsidR="00F04F07" w:rsidRPr="00F04F07" w:rsidRDefault="00F04F07" w:rsidP="00F04F07">
            <w:pPr>
              <w:rPr>
                <w:lang w:val="en-US"/>
              </w:rPr>
            </w:pPr>
            <w:r w:rsidRPr="00F04F07">
              <w:t>118</w:t>
            </w:r>
          </w:p>
        </w:tc>
        <w:tc>
          <w:tcPr>
            <w:tcW w:w="1134" w:type="dxa"/>
          </w:tcPr>
          <w:p w:rsidR="00F04F07" w:rsidRPr="00F04F07" w:rsidRDefault="00F04F07" w:rsidP="00F04F07">
            <w:pPr>
              <w:rPr>
                <w:lang w:val="en-US"/>
              </w:rPr>
            </w:pPr>
            <w:r w:rsidRPr="00F04F07">
              <w:t>280</w:t>
            </w:r>
          </w:p>
        </w:tc>
        <w:tc>
          <w:tcPr>
            <w:tcW w:w="1134" w:type="dxa"/>
            <w:vAlign w:val="center"/>
          </w:tcPr>
          <w:p w:rsidR="00F04F07" w:rsidRPr="00F04F07" w:rsidRDefault="00F04F07" w:rsidP="00F04F07">
            <w:pPr>
              <w:rPr>
                <w:lang w:val="en-US"/>
              </w:rPr>
            </w:pPr>
            <w:proofErr w:type="spellStart"/>
            <w:r w:rsidRPr="00F04F07">
              <w:t>dTpa</w:t>
            </w:r>
            <w:proofErr w:type="spellEnd"/>
          </w:p>
        </w:tc>
        <w:tc>
          <w:tcPr>
            <w:tcW w:w="992" w:type="dxa"/>
          </w:tcPr>
          <w:p w:rsidR="00F04F07" w:rsidRPr="00F04F07" w:rsidRDefault="00F04F07" w:rsidP="00F04F07">
            <w:pPr>
              <w:rPr>
                <w:lang w:val="en-US"/>
              </w:rPr>
            </w:pPr>
            <w:r w:rsidRPr="00F04F07">
              <w:t>446</w:t>
            </w:r>
          </w:p>
        </w:tc>
        <w:tc>
          <w:tcPr>
            <w:tcW w:w="1083" w:type="dxa"/>
          </w:tcPr>
          <w:p w:rsidR="00F04F07" w:rsidRPr="00F04F07" w:rsidRDefault="00F04F07" w:rsidP="00F04F07">
            <w:pPr>
              <w:rPr>
                <w:lang w:val="en-US"/>
              </w:rPr>
            </w:pPr>
            <w:r w:rsidRPr="00F04F07">
              <w:t>279</w:t>
            </w:r>
          </w:p>
        </w:tc>
      </w:tr>
      <w:tr w:rsidR="00F04F07" w:rsidRPr="00F04F07" w:rsidTr="00F04F07">
        <w:tc>
          <w:tcPr>
            <w:tcW w:w="2122" w:type="dxa"/>
            <w:vMerge/>
          </w:tcPr>
          <w:p w:rsidR="00F04F07" w:rsidRPr="00F04F07" w:rsidRDefault="00F04F07" w:rsidP="00F04F07">
            <w:pPr>
              <w:rPr>
                <w:lang w:val="en-US"/>
              </w:rPr>
            </w:pPr>
          </w:p>
        </w:tc>
        <w:tc>
          <w:tcPr>
            <w:tcW w:w="1559" w:type="dxa"/>
            <w:vAlign w:val="center"/>
          </w:tcPr>
          <w:p w:rsidR="00F04F07" w:rsidRPr="00F04F07" w:rsidRDefault="00F04F07" w:rsidP="00F04F07">
            <w:pPr>
              <w:rPr>
                <w:lang w:val="en-US"/>
              </w:rPr>
            </w:pPr>
            <w:proofErr w:type="spellStart"/>
            <w:r w:rsidRPr="00F04F07">
              <w:t>dTpa+HB</w:t>
            </w:r>
            <w:proofErr w:type="spellEnd"/>
          </w:p>
        </w:tc>
        <w:tc>
          <w:tcPr>
            <w:tcW w:w="992" w:type="dxa"/>
          </w:tcPr>
          <w:p w:rsidR="00F04F07" w:rsidRPr="00F04F07" w:rsidRDefault="00F04F07" w:rsidP="00F04F07">
            <w:pPr>
              <w:rPr>
                <w:lang w:val="en-US"/>
              </w:rPr>
            </w:pPr>
            <w:r w:rsidRPr="00F04F07">
              <w:t>129</w:t>
            </w:r>
          </w:p>
        </w:tc>
        <w:tc>
          <w:tcPr>
            <w:tcW w:w="1134" w:type="dxa"/>
          </w:tcPr>
          <w:p w:rsidR="00F04F07" w:rsidRPr="00F04F07" w:rsidRDefault="00F04F07" w:rsidP="00F04F07">
            <w:pPr>
              <w:rPr>
                <w:lang w:val="en-US"/>
              </w:rPr>
            </w:pPr>
            <w:r w:rsidRPr="00F04F07">
              <w:t>303</w:t>
            </w:r>
          </w:p>
        </w:tc>
        <w:tc>
          <w:tcPr>
            <w:tcW w:w="1134" w:type="dxa"/>
            <w:vAlign w:val="center"/>
          </w:tcPr>
          <w:p w:rsidR="00F04F07" w:rsidRPr="00F04F07" w:rsidRDefault="00F04F07" w:rsidP="00F04F07">
            <w:pPr>
              <w:rPr>
                <w:lang w:val="en-US"/>
              </w:rPr>
            </w:pPr>
            <w:proofErr w:type="spellStart"/>
            <w:r w:rsidRPr="00F04F07">
              <w:t>aP</w:t>
            </w:r>
            <w:proofErr w:type="spellEnd"/>
          </w:p>
        </w:tc>
        <w:tc>
          <w:tcPr>
            <w:tcW w:w="992" w:type="dxa"/>
          </w:tcPr>
          <w:p w:rsidR="00F04F07" w:rsidRPr="00F04F07" w:rsidRDefault="00F04F07" w:rsidP="00F04F07">
            <w:pPr>
              <w:rPr>
                <w:lang w:val="en-US"/>
              </w:rPr>
            </w:pPr>
            <w:r w:rsidRPr="00F04F07">
              <w:t>149</w:t>
            </w:r>
          </w:p>
        </w:tc>
        <w:tc>
          <w:tcPr>
            <w:tcW w:w="1083" w:type="dxa"/>
          </w:tcPr>
          <w:p w:rsidR="00F04F07" w:rsidRPr="00F04F07" w:rsidRDefault="00F04F07" w:rsidP="00F04F07">
            <w:pPr>
              <w:rPr>
                <w:lang w:val="en-US"/>
              </w:rPr>
            </w:pPr>
            <w:r w:rsidRPr="00F04F07">
              <w:t>191</w:t>
            </w:r>
          </w:p>
        </w:tc>
      </w:tr>
      <w:tr w:rsidR="00F04F07" w:rsidRPr="00F04F07" w:rsidTr="00F04F07">
        <w:tc>
          <w:tcPr>
            <w:tcW w:w="2122" w:type="dxa"/>
            <w:vMerge w:val="restart"/>
          </w:tcPr>
          <w:p w:rsidR="00F04F07" w:rsidRPr="00F04F07" w:rsidRDefault="00F04F07" w:rsidP="00F04F07">
            <w:pPr>
              <w:rPr>
                <w:lang w:val="en-US"/>
              </w:rPr>
            </w:pPr>
            <w:r w:rsidRPr="00F04F07">
              <w:t>Anti-FIM</w:t>
            </w:r>
          </w:p>
        </w:tc>
        <w:tc>
          <w:tcPr>
            <w:tcW w:w="1559" w:type="dxa"/>
            <w:vAlign w:val="center"/>
          </w:tcPr>
          <w:p w:rsidR="00F04F07" w:rsidRPr="00F04F07" w:rsidRDefault="00F04F07" w:rsidP="00F04F07">
            <w:pPr>
              <w:rPr>
                <w:lang w:val="en-US"/>
              </w:rPr>
            </w:pPr>
            <w:proofErr w:type="spellStart"/>
            <w:r w:rsidRPr="00F04F07">
              <w:t>dTpa</w:t>
            </w:r>
            <w:proofErr w:type="spellEnd"/>
          </w:p>
        </w:tc>
        <w:tc>
          <w:tcPr>
            <w:tcW w:w="992" w:type="dxa"/>
          </w:tcPr>
          <w:p w:rsidR="00F04F07" w:rsidRPr="00F04F07" w:rsidRDefault="00F04F07" w:rsidP="00F04F07">
            <w:pPr>
              <w:rPr>
                <w:lang w:val="en-US"/>
              </w:rPr>
            </w:pPr>
            <w:r w:rsidRPr="00F04F07">
              <w:t>118</w:t>
            </w:r>
          </w:p>
        </w:tc>
        <w:tc>
          <w:tcPr>
            <w:tcW w:w="1134" w:type="dxa"/>
          </w:tcPr>
          <w:p w:rsidR="00F04F07" w:rsidRPr="00F04F07" w:rsidRDefault="00F04F07" w:rsidP="00F04F07">
            <w:pPr>
              <w:rPr>
                <w:lang w:val="en-US"/>
              </w:rPr>
            </w:pPr>
            <w:r w:rsidRPr="00F04F07">
              <w:t>1033</w:t>
            </w:r>
          </w:p>
        </w:tc>
        <w:tc>
          <w:tcPr>
            <w:tcW w:w="1134" w:type="dxa"/>
            <w:vAlign w:val="center"/>
          </w:tcPr>
          <w:p w:rsidR="00F04F07" w:rsidRPr="00F04F07" w:rsidRDefault="00F04F07" w:rsidP="00F04F07">
            <w:pPr>
              <w:rPr>
                <w:lang w:val="en-US"/>
              </w:rPr>
            </w:pPr>
            <w:proofErr w:type="spellStart"/>
            <w:r w:rsidRPr="00F04F07">
              <w:t>dTpa</w:t>
            </w:r>
            <w:proofErr w:type="spellEnd"/>
          </w:p>
        </w:tc>
        <w:tc>
          <w:tcPr>
            <w:tcW w:w="992" w:type="dxa"/>
          </w:tcPr>
          <w:p w:rsidR="00F04F07" w:rsidRPr="00F04F07" w:rsidRDefault="00F04F07" w:rsidP="00F04F07">
            <w:pPr>
              <w:rPr>
                <w:lang w:val="en-US"/>
              </w:rPr>
            </w:pPr>
            <w:r w:rsidRPr="00F04F07">
              <w:t>446</w:t>
            </w:r>
          </w:p>
        </w:tc>
        <w:tc>
          <w:tcPr>
            <w:tcW w:w="1083" w:type="dxa"/>
          </w:tcPr>
          <w:p w:rsidR="00F04F07" w:rsidRPr="00F04F07" w:rsidRDefault="00F04F07" w:rsidP="00F04F07">
            <w:pPr>
              <w:rPr>
                <w:lang w:val="en-US"/>
              </w:rPr>
            </w:pPr>
            <w:r w:rsidRPr="00F04F07">
              <w:t>995</w:t>
            </w:r>
          </w:p>
        </w:tc>
      </w:tr>
      <w:tr w:rsidR="00F04F07" w:rsidRPr="00F04F07" w:rsidTr="00F04F07">
        <w:tc>
          <w:tcPr>
            <w:tcW w:w="2122" w:type="dxa"/>
            <w:vMerge/>
          </w:tcPr>
          <w:p w:rsidR="00F04F07" w:rsidRPr="00F04F07" w:rsidRDefault="00F04F07" w:rsidP="00F04F07">
            <w:pPr>
              <w:rPr>
                <w:lang w:val="en-US"/>
              </w:rPr>
            </w:pPr>
          </w:p>
        </w:tc>
        <w:tc>
          <w:tcPr>
            <w:tcW w:w="1559" w:type="dxa"/>
            <w:vAlign w:val="center"/>
          </w:tcPr>
          <w:p w:rsidR="00F04F07" w:rsidRPr="00F04F07" w:rsidRDefault="00F04F07" w:rsidP="00F04F07">
            <w:pPr>
              <w:rPr>
                <w:lang w:val="en-US"/>
              </w:rPr>
            </w:pPr>
            <w:proofErr w:type="spellStart"/>
            <w:r w:rsidRPr="00F04F07">
              <w:t>dTpa+HB</w:t>
            </w:r>
            <w:proofErr w:type="spellEnd"/>
          </w:p>
        </w:tc>
        <w:tc>
          <w:tcPr>
            <w:tcW w:w="992" w:type="dxa"/>
          </w:tcPr>
          <w:p w:rsidR="00F04F07" w:rsidRPr="00F04F07" w:rsidRDefault="00F04F07" w:rsidP="00F04F07">
            <w:pPr>
              <w:rPr>
                <w:lang w:val="en-US"/>
              </w:rPr>
            </w:pPr>
            <w:r w:rsidRPr="00F04F07">
              <w:t>129</w:t>
            </w:r>
          </w:p>
        </w:tc>
        <w:tc>
          <w:tcPr>
            <w:tcW w:w="1134" w:type="dxa"/>
          </w:tcPr>
          <w:p w:rsidR="00F04F07" w:rsidRPr="00F04F07" w:rsidRDefault="00F04F07" w:rsidP="00F04F07">
            <w:pPr>
              <w:rPr>
                <w:lang w:val="en-US"/>
              </w:rPr>
            </w:pPr>
            <w:r w:rsidRPr="00F04F07">
              <w:t>1130</w:t>
            </w:r>
          </w:p>
        </w:tc>
        <w:tc>
          <w:tcPr>
            <w:tcW w:w="1134" w:type="dxa"/>
            <w:vAlign w:val="center"/>
          </w:tcPr>
          <w:p w:rsidR="00F04F07" w:rsidRPr="00F04F07" w:rsidRDefault="00F04F07" w:rsidP="00F04F07">
            <w:pPr>
              <w:rPr>
                <w:lang w:val="en-US"/>
              </w:rPr>
            </w:pPr>
            <w:proofErr w:type="spellStart"/>
            <w:r w:rsidRPr="00F04F07">
              <w:t>aP</w:t>
            </w:r>
            <w:proofErr w:type="spellEnd"/>
          </w:p>
        </w:tc>
        <w:tc>
          <w:tcPr>
            <w:tcW w:w="992" w:type="dxa"/>
          </w:tcPr>
          <w:p w:rsidR="00F04F07" w:rsidRPr="00F04F07" w:rsidRDefault="00F04F07" w:rsidP="00F04F07">
            <w:pPr>
              <w:rPr>
                <w:lang w:val="en-US"/>
              </w:rPr>
            </w:pPr>
            <w:r w:rsidRPr="00F04F07">
              <w:t>149</w:t>
            </w:r>
          </w:p>
        </w:tc>
        <w:tc>
          <w:tcPr>
            <w:tcW w:w="1083" w:type="dxa"/>
          </w:tcPr>
          <w:p w:rsidR="00F04F07" w:rsidRPr="00F04F07" w:rsidRDefault="00F04F07" w:rsidP="00F04F07">
            <w:pPr>
              <w:rPr>
                <w:lang w:val="en-US"/>
              </w:rPr>
            </w:pPr>
            <w:r w:rsidRPr="00F04F07">
              <w:t>1825</w:t>
            </w:r>
          </w:p>
        </w:tc>
      </w:tr>
    </w:tbl>
    <w:p w:rsidR="00F04F07" w:rsidRPr="00F04F07" w:rsidRDefault="00F04F07" w:rsidP="00F04F07">
      <w:pPr>
        <w:pStyle w:val="Tabledescription"/>
      </w:pPr>
      <w:r w:rsidRPr="00F04F07">
        <w:t>** All GMCs (Geometric Mean Concentrations) are in EU/mL</w:t>
      </w:r>
    </w:p>
    <w:p w:rsidR="00F04F07" w:rsidRPr="00F04F07" w:rsidRDefault="00F04F07" w:rsidP="00F04F07">
      <w:r w:rsidRPr="00F04F07">
        <w:t xml:space="preserve">In Td9707, 244 adults (19 to 60 years of age) received Adacel, while 126 received Td and </w:t>
      </w:r>
      <w:proofErr w:type="spellStart"/>
      <w:r w:rsidRPr="00F04F07">
        <w:t>aP</w:t>
      </w:r>
      <w:proofErr w:type="spellEnd"/>
      <w:r w:rsidRPr="00F04F07">
        <w:t xml:space="preserve">, given separately, one month apart. The safety and immunogenicity profile of Adacel was also shown to be comparable to that observed with a single booster dose of Td and </w:t>
      </w:r>
      <w:proofErr w:type="spellStart"/>
      <w:r w:rsidRPr="00F04F07">
        <w:t>aP</w:t>
      </w:r>
      <w:proofErr w:type="spellEnd"/>
      <w:r w:rsidRPr="00F04F07">
        <w:t xml:space="preserve"> in study Td9707.</w:t>
      </w:r>
    </w:p>
    <w:p w:rsidR="00F04F07" w:rsidRPr="00F04F07" w:rsidRDefault="00F04F07" w:rsidP="00F04F07">
      <w:r w:rsidRPr="00F04F07">
        <w:t xml:space="preserve">The mechanism of protection from B pertussis disease is not well understood. In a pertussis efficacy trial conducted in Sweden between 1992 and 1995, primary immunisation with Sanofi Pasteur Limited’s acellular pertussis infant </w:t>
      </w:r>
      <w:proofErr w:type="spellStart"/>
      <w:r w:rsidRPr="00F04F07">
        <w:t>DTPa</w:t>
      </w:r>
      <w:proofErr w:type="spellEnd"/>
      <w:r w:rsidRPr="00F04F07">
        <w:t xml:space="preserve"> formulation conferred a protective efficacy of 85% against typical pertussis disease (WHO definition). Although Adacel contains only one quarter of the amount of pertussis toxoid present in this acellular pertussis infant </w:t>
      </w:r>
      <w:proofErr w:type="spellStart"/>
      <w:r w:rsidRPr="00F04F07">
        <w:t>DTPa</w:t>
      </w:r>
      <w:proofErr w:type="spellEnd"/>
      <w:r w:rsidRPr="00F04F07">
        <w:t xml:space="preserve"> formulation, the antibody responses to Adacel were superior to those observed in the pertussis efficacy trial.</w:t>
      </w:r>
    </w:p>
    <w:p w:rsidR="00F04F07" w:rsidRPr="00F04F07" w:rsidRDefault="00F04F07" w:rsidP="00F04F07">
      <w:pPr>
        <w:rPr>
          <w:b/>
          <w:i/>
          <w:lang w:val="en-US"/>
        </w:rPr>
      </w:pPr>
      <w:r w:rsidRPr="00F04F07">
        <w:rPr>
          <w:b/>
          <w:i/>
          <w:lang w:val="en-US"/>
        </w:rPr>
        <w:t>Duration of immunity</w:t>
      </w:r>
    </w:p>
    <w:p w:rsidR="00F04F07" w:rsidRPr="00F04F07" w:rsidRDefault="00F04F07" w:rsidP="00F04F07">
      <w:pPr>
        <w:rPr>
          <w:lang w:val="en-US"/>
        </w:rPr>
      </w:pPr>
      <w:r w:rsidRPr="00F04F07">
        <w:rPr>
          <w:lang w:val="en-US"/>
        </w:rPr>
        <w:t xml:space="preserve">While </w:t>
      </w:r>
      <w:proofErr w:type="spellStart"/>
      <w:r w:rsidRPr="00F04F07">
        <w:rPr>
          <w:lang w:val="en-US"/>
        </w:rPr>
        <w:t>While</w:t>
      </w:r>
      <w:proofErr w:type="spellEnd"/>
      <w:r w:rsidRPr="00F04F07">
        <w:rPr>
          <w:lang w:val="en-US"/>
        </w:rPr>
        <w:t xml:space="preserve"> protective levels of pertussis antibodies have not yet been clearly defined, at 10 years post-vaccination pertussis antibody levels were observed to decline towards pre-vaccination levels.</w:t>
      </w:r>
    </w:p>
    <w:p w:rsidR="00F04F07" w:rsidRPr="00F04F07" w:rsidRDefault="00F04F07" w:rsidP="00F04F07">
      <w:pPr>
        <w:rPr>
          <w:lang w:val="en-US"/>
        </w:rPr>
      </w:pPr>
      <w:r w:rsidRPr="00F04F07">
        <w:rPr>
          <w:lang w:val="en-US"/>
        </w:rPr>
        <w:t>In Study TC9704-LT, the long-term antibody profile suggested that protection against diphtheria, tetanus is maintained for at least 10 years following a booster Adacel administration in both adolescents and adults. The pertussis response to Adacel was also robust, and antibodies persisted at detectable levels higher than pre-</w:t>
      </w:r>
      <w:proofErr w:type="spellStart"/>
      <w:r w:rsidRPr="00F04F07">
        <w:rPr>
          <w:lang w:val="en-US"/>
        </w:rPr>
        <w:t>immunisation</w:t>
      </w:r>
      <w:proofErr w:type="spellEnd"/>
      <w:r w:rsidRPr="00F04F07">
        <w:rPr>
          <w:lang w:val="en-US"/>
        </w:rPr>
        <w:t xml:space="preserve"> levels for 10 years. </w:t>
      </w:r>
    </w:p>
    <w:p w:rsidR="00F04F07" w:rsidRPr="00F04F07" w:rsidRDefault="00F04F07" w:rsidP="00F04F07">
      <w:pPr>
        <w:rPr>
          <w:lang w:val="en-US"/>
        </w:rPr>
      </w:pPr>
      <w:r w:rsidRPr="00F04F07">
        <w:rPr>
          <w:lang w:val="en-US"/>
        </w:rPr>
        <w:t xml:space="preserve">In Study Td9805-LT, the long-term antibody profile suggested that </w:t>
      </w:r>
      <w:proofErr w:type="spellStart"/>
      <w:r w:rsidRPr="00F04F07">
        <w:rPr>
          <w:lang w:val="en-US"/>
        </w:rPr>
        <w:t>seroprotection</w:t>
      </w:r>
      <w:proofErr w:type="spellEnd"/>
      <w:r w:rsidRPr="00F04F07">
        <w:rPr>
          <w:lang w:val="en-US"/>
        </w:rPr>
        <w:t xml:space="preserve"> against diphtheria and tetanus is maintained for at least 10 years following a booster with Adacel administered either alone or concurrently with Hepatitis B Vaccine in adolescents.  The pertussis response to Adacel was robust, and antibodies persisted at levels 2 to 5-fold higher than pre-vaccination. At 10 years post-vaccination, GMCs further declined, in particular for PT and FHA antigens for which antibody levels decreased almost to pre-vaccination levels. </w:t>
      </w:r>
    </w:p>
    <w:p w:rsidR="00F04F07" w:rsidRPr="00F04F07" w:rsidRDefault="00F04F07" w:rsidP="00F04F07">
      <w:pPr>
        <w:pStyle w:val="Heading5"/>
        <w:rPr>
          <w:lang w:val="en-US"/>
        </w:rPr>
      </w:pPr>
      <w:r w:rsidRPr="00F04F07">
        <w:rPr>
          <w:lang w:val="en-US"/>
        </w:rPr>
        <w:lastRenderedPageBreak/>
        <w:t>Immunogenicity following repeat vaccination</w:t>
      </w:r>
    </w:p>
    <w:p w:rsidR="00F04F07" w:rsidRPr="00F04F07" w:rsidRDefault="00F04F07" w:rsidP="00F04F07">
      <w:pPr>
        <w:rPr>
          <w:lang w:val="en-US"/>
        </w:rPr>
      </w:pPr>
      <w:r w:rsidRPr="00F04F07">
        <w:rPr>
          <w:lang w:val="en-US"/>
        </w:rPr>
        <w:t>In an open-label, non-</w:t>
      </w:r>
      <w:proofErr w:type="spellStart"/>
      <w:r w:rsidRPr="00F04F07">
        <w:rPr>
          <w:lang w:val="en-US"/>
        </w:rPr>
        <w:t>randomised</w:t>
      </w:r>
      <w:proofErr w:type="spellEnd"/>
      <w:r w:rsidRPr="00F04F07">
        <w:rPr>
          <w:lang w:val="en-US"/>
        </w:rPr>
        <w:t xml:space="preserve"> clinical trial (Td526), 743 adults were divided into two groups for the evaluation of immunogenicity and safety following repeat vaccination with Adacel. Group 1 comprised 324 persons who previously received Adacel or Adacel-Polio vaccine approximately 10 years earlier as part of study TD9707 or Td9805. Group 2 consisted of age- balanced subjects who had not received any tetanus, diphtheria or pertussis-containing vaccine in the </w:t>
      </w:r>
      <w:r w:rsidRPr="00F04F07">
        <w:rPr>
          <w:noProof/>
          <w:lang w:eastAsia="en-AU"/>
        </w:rPr>
        <mc:AlternateContent>
          <mc:Choice Requires="wpg">
            <w:drawing>
              <wp:anchor distT="0" distB="0" distL="114300" distR="114300" simplePos="0" relativeHeight="251659264" behindDoc="1" locked="0" layoutInCell="1" allowOverlap="1" wp14:anchorId="3114C6DC" wp14:editId="051DC23D">
                <wp:simplePos x="0" y="0"/>
                <wp:positionH relativeFrom="page">
                  <wp:posOffset>1859280</wp:posOffset>
                </wp:positionH>
                <wp:positionV relativeFrom="paragraph">
                  <wp:posOffset>156210</wp:posOffset>
                </wp:positionV>
                <wp:extent cx="38100" cy="7620"/>
                <wp:effectExtent l="11430" t="3810" r="7620" b="762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2928" y="246"/>
                          <a:chExt cx="60" cy="12"/>
                        </a:xfrm>
                      </wpg:grpSpPr>
                      <wps:wsp>
                        <wps:cNvPr id="4" name="Freeform 3"/>
                        <wps:cNvSpPr>
                          <a:spLocks/>
                        </wps:cNvSpPr>
                        <wps:spPr bwMode="auto">
                          <a:xfrm>
                            <a:off x="2928" y="246"/>
                            <a:ext cx="60" cy="12"/>
                          </a:xfrm>
                          <a:custGeom>
                            <a:avLst/>
                            <a:gdLst>
                              <a:gd name="T0" fmla="+- 0 2928 2928"/>
                              <a:gd name="T1" fmla="*/ T0 w 60"/>
                              <a:gd name="T2" fmla="+- 0 252 246"/>
                              <a:gd name="T3" fmla="*/ 252 h 12"/>
                              <a:gd name="T4" fmla="+- 0 2988 2928"/>
                              <a:gd name="T5" fmla="*/ T4 w 60"/>
                              <a:gd name="T6" fmla="+- 0 252 246"/>
                              <a:gd name="T7" fmla="*/ 252 h 12"/>
                            </a:gdLst>
                            <a:ahLst/>
                            <a:cxnLst>
                              <a:cxn ang="0">
                                <a:pos x="T1" y="T3"/>
                              </a:cxn>
                              <a:cxn ang="0">
                                <a:pos x="T5" y="T7"/>
                              </a:cxn>
                            </a:cxnLst>
                            <a:rect l="0" t="0" r="r" b="b"/>
                            <a:pathLst>
                              <a:path w="60" h="12">
                                <a:moveTo>
                                  <a:pt x="0" y="6"/>
                                </a:moveTo>
                                <a:lnTo>
                                  <a:pt x="60" y="6"/>
                                </a:lnTo>
                              </a:path>
                            </a:pathLst>
                          </a:custGeom>
                          <a:noFill/>
                          <a:ln w="889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8D092A" id="Group 3" o:spid="_x0000_s1026" style="position:absolute;margin-left:146.4pt;margin-top:12.3pt;width:3pt;height:.6pt;z-index:-251657216;mso-position-horizontal-relative:page" coordorigin="2928,246" coordsize="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">
                <v:shape id="Freeform 3" o:spid="_x0000_s1027" style="position:absolute;left:2928;top:246;width:60;height:12;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" path="m,6r60,e" filled="f" strokecolor="red" strokeweight=".7pt">
                  <v:path arrowok="t" o:connecttype="custom" o:connectlocs="0,252;60,252" o:connectangles="0,0"/>
                </v:shape>
                <w10:wrap anchorx="page"/>
              </v:group>
            </w:pict>
          </mc:Fallback>
        </mc:AlternateContent>
      </w:r>
      <w:r w:rsidRPr="00F04F07">
        <w:rPr>
          <w:lang w:val="en-US"/>
        </w:rPr>
        <w:t>past 10 years</w:t>
      </w:r>
    </w:p>
    <w:p w:rsidR="00F04F07" w:rsidRDefault="00F04F07" w:rsidP="00F04F07">
      <w:pPr>
        <w:rPr>
          <w:lang w:val="en-US"/>
        </w:rPr>
      </w:pPr>
      <w:r w:rsidRPr="00F04F07">
        <w:rPr>
          <w:lang w:val="en-US"/>
        </w:rPr>
        <w:t xml:space="preserve">One month after vaccination, </w:t>
      </w:r>
      <w:proofErr w:type="spellStart"/>
      <w:r w:rsidRPr="00F04F07">
        <w:rPr>
          <w:lang w:val="en-US"/>
        </w:rPr>
        <w:t>seroprotective</w:t>
      </w:r>
      <w:proofErr w:type="spellEnd"/>
      <w:r w:rsidRPr="00F04F07">
        <w:rPr>
          <w:lang w:val="en-US"/>
        </w:rPr>
        <w:t xml:space="preserve"> tetanus antitoxin levels ≥ 0.1 IU/mL were achieved by 100% and 99.7% of Adacel </w:t>
      </w:r>
      <w:proofErr w:type="spellStart"/>
      <w:r w:rsidRPr="00F04F07">
        <w:rPr>
          <w:lang w:val="en-US"/>
        </w:rPr>
        <w:t>vaccinees</w:t>
      </w:r>
      <w:proofErr w:type="spellEnd"/>
      <w:r w:rsidRPr="00F04F07">
        <w:rPr>
          <w:lang w:val="en-US"/>
        </w:rPr>
        <w:t xml:space="preserve"> in Groups 1 and 2 respectively.</w:t>
      </w:r>
    </w:p>
    <w:p w:rsidR="00F04F07" w:rsidRPr="00F04F07" w:rsidRDefault="00F04F07" w:rsidP="00F04F07">
      <w:pPr>
        <w:rPr>
          <w:lang w:val="en-US"/>
        </w:rPr>
      </w:pPr>
      <w:proofErr w:type="spellStart"/>
      <w:r w:rsidRPr="00F04F07">
        <w:rPr>
          <w:lang w:val="en-US"/>
        </w:rPr>
        <w:t>Seroprotective</w:t>
      </w:r>
      <w:proofErr w:type="spellEnd"/>
      <w:r w:rsidRPr="00F04F07">
        <w:rPr>
          <w:lang w:val="en-US"/>
        </w:rPr>
        <w:t xml:space="preserve"> diphtheria antitoxin levels ≥ 0.1 IU/mL were attained by 98.5% and 96.1% in Groups 1 and 2, respectively. (See </w:t>
      </w:r>
      <w:r w:rsidRPr="00F04F07">
        <w:rPr>
          <w:lang w:val="en-US"/>
        </w:rPr>
        <w:fldChar w:fldCharType="begin"/>
      </w:r>
      <w:r w:rsidRPr="00F04F07">
        <w:rPr>
          <w:lang w:val="en-US"/>
        </w:rPr>
        <w:instrText xml:space="preserve"> REF _Ref505869960 \h  \* MERGEFORMAT </w:instrText>
      </w:r>
      <w:r w:rsidRPr="00F04F07">
        <w:rPr>
          <w:lang w:val="en-US"/>
        </w:rPr>
      </w:r>
      <w:r w:rsidRPr="00F04F07">
        <w:rPr>
          <w:lang w:val="en-US"/>
        </w:rPr>
        <w:fldChar w:fldCharType="separate"/>
      </w:r>
      <w:r w:rsidRPr="00F04F07">
        <w:rPr>
          <w:lang w:val="en-US"/>
        </w:rPr>
        <w:t>Table 6</w:t>
      </w:r>
      <w:r w:rsidRPr="00F04F07">
        <w:rPr>
          <w:lang w:val="en-US"/>
        </w:rPr>
        <w:fldChar w:fldCharType="end"/>
      </w:r>
      <w:r w:rsidRPr="00F04F07">
        <w:rPr>
          <w:lang w:val="en-US"/>
        </w:rPr>
        <w:t xml:space="preserve"> )</w:t>
      </w:r>
    </w:p>
    <w:p w:rsidR="00F04F07" w:rsidRPr="00F04F07" w:rsidRDefault="00F04F07" w:rsidP="00F04F07">
      <w:pPr>
        <w:pStyle w:val="Tabletitle"/>
        <w:rPr>
          <w:lang w:val="en-US"/>
        </w:rPr>
      </w:pPr>
      <w:r w:rsidRPr="00F04F07">
        <w:rPr>
          <w:lang w:val="en-US"/>
        </w:rPr>
        <w:t xml:space="preserve"> </w:t>
      </w:r>
      <w:bookmarkStart w:id="2" w:name="_Ref505869960"/>
      <w:r w:rsidRPr="00F04F07">
        <w:rPr>
          <w:lang w:val="en-US"/>
        </w:rPr>
        <w:t>Table </w:t>
      </w:r>
      <w:r w:rsidRPr="00F04F07">
        <w:rPr>
          <w:lang w:val="en-US"/>
        </w:rPr>
        <w:fldChar w:fldCharType="begin"/>
      </w:r>
      <w:r w:rsidRPr="00F04F07">
        <w:rPr>
          <w:lang w:val="en-US"/>
        </w:rPr>
        <w:instrText xml:space="preserve"> SEQ Table \* ARABIC </w:instrText>
      </w:r>
      <w:r w:rsidRPr="00F04F07">
        <w:rPr>
          <w:lang w:val="en-US"/>
        </w:rPr>
        <w:fldChar w:fldCharType="separate"/>
      </w:r>
      <w:r w:rsidRPr="00F04F07">
        <w:rPr>
          <w:lang w:val="en-US"/>
        </w:rPr>
        <w:t>6</w:t>
      </w:r>
      <w:r w:rsidRPr="00F04F07">
        <w:rPr>
          <w:lang w:val="en-US"/>
        </w:rPr>
        <w:fldChar w:fldCharType="end"/>
      </w:r>
      <w:bookmarkEnd w:id="2"/>
      <w:r w:rsidRPr="00F04F07">
        <w:rPr>
          <w:lang w:val="en-US"/>
        </w:rPr>
        <w:t xml:space="preserve"> ­ Tetanus and Diphtheria Antitoxin </w:t>
      </w:r>
      <w:proofErr w:type="spellStart"/>
      <w:r w:rsidRPr="00F04F07">
        <w:rPr>
          <w:lang w:val="en-US"/>
        </w:rPr>
        <w:t>Seroprotection</w:t>
      </w:r>
      <w:proofErr w:type="spellEnd"/>
      <w:r w:rsidRPr="00F04F07">
        <w:rPr>
          <w:lang w:val="en-US"/>
        </w:rPr>
        <w:t xml:space="preserve"> Rates in Adults in Study Td526</w:t>
      </w:r>
    </w:p>
    <w:tbl>
      <w:tblPr>
        <w:tblStyle w:val="TableGridLight"/>
        <w:tblW w:w="0" w:type="auto"/>
        <w:tblLook w:val="01E0" w:firstRow="1" w:lastRow="1" w:firstColumn="1" w:lastColumn="1" w:noHBand="0" w:noVBand="0"/>
      </w:tblPr>
      <w:tblGrid>
        <w:gridCol w:w="1555"/>
        <w:gridCol w:w="1701"/>
        <w:gridCol w:w="992"/>
        <w:gridCol w:w="2551"/>
        <w:gridCol w:w="2127"/>
      </w:tblGrid>
      <w:tr w:rsidR="00F04F07" w:rsidRPr="00F04F07" w:rsidTr="00F04F07">
        <w:trPr>
          <w:trHeight w:hRule="exact" w:val="509"/>
          <w:tblHeader/>
        </w:trPr>
        <w:tc>
          <w:tcPr>
            <w:tcW w:w="4248" w:type="dxa"/>
            <w:gridSpan w:val="3"/>
            <w:vMerge w:val="restart"/>
          </w:tcPr>
          <w:p w:rsidR="00F04F07" w:rsidRPr="00F04F07" w:rsidRDefault="00F04F07" w:rsidP="00F04F07">
            <w:pPr>
              <w:rPr>
                <w:b/>
                <w:bCs/>
                <w:sz w:val="19"/>
                <w:szCs w:val="19"/>
                <w:lang w:val="de-DE"/>
              </w:rPr>
            </w:pPr>
          </w:p>
          <w:p w:rsidR="00F04F07" w:rsidRPr="00F04F07" w:rsidRDefault="00F04F07" w:rsidP="00F04F07">
            <w:pPr>
              <w:rPr>
                <w:b/>
                <w:sz w:val="19"/>
                <w:szCs w:val="19"/>
                <w:lang w:val="de-DE"/>
              </w:rPr>
            </w:pPr>
            <w:r w:rsidRPr="00F04F07">
              <w:rPr>
                <w:b/>
                <w:bCs/>
                <w:sz w:val="19"/>
                <w:szCs w:val="19"/>
                <w:lang w:val="de-DE"/>
              </w:rPr>
              <w:t>IU/mL</w:t>
            </w:r>
          </w:p>
        </w:tc>
        <w:tc>
          <w:tcPr>
            <w:tcW w:w="4678" w:type="dxa"/>
            <w:gridSpan w:val="2"/>
          </w:tcPr>
          <w:p w:rsidR="00F04F07" w:rsidRPr="00F04F07" w:rsidRDefault="00F04F07" w:rsidP="00F04F07">
            <w:pPr>
              <w:rPr>
                <w:b/>
                <w:sz w:val="19"/>
                <w:szCs w:val="19"/>
                <w:lang w:val="de-DE"/>
              </w:rPr>
            </w:pPr>
            <w:r w:rsidRPr="00F04F07">
              <w:rPr>
                <w:b/>
                <w:bCs/>
                <w:sz w:val="19"/>
                <w:szCs w:val="19"/>
                <w:lang w:val="de-DE"/>
              </w:rPr>
              <w:t>% (95% CI)</w:t>
            </w:r>
          </w:p>
        </w:tc>
      </w:tr>
      <w:tr w:rsidR="00F04F07" w:rsidRPr="00F04F07" w:rsidTr="00F04F07">
        <w:trPr>
          <w:trHeight w:hRule="exact" w:val="1009"/>
        </w:trPr>
        <w:tc>
          <w:tcPr>
            <w:tcW w:w="4248" w:type="dxa"/>
            <w:gridSpan w:val="3"/>
            <w:vMerge/>
          </w:tcPr>
          <w:p w:rsidR="00F04F07" w:rsidRPr="00F04F07" w:rsidRDefault="00F04F07" w:rsidP="00F04F07">
            <w:pPr>
              <w:rPr>
                <w:b/>
                <w:sz w:val="19"/>
                <w:szCs w:val="19"/>
                <w:lang w:val="en-US"/>
              </w:rPr>
            </w:pPr>
          </w:p>
        </w:tc>
        <w:tc>
          <w:tcPr>
            <w:tcW w:w="2551" w:type="dxa"/>
          </w:tcPr>
          <w:p w:rsidR="00F04F07" w:rsidRPr="00F04F07" w:rsidRDefault="00F04F07" w:rsidP="00F04F07">
            <w:pPr>
              <w:rPr>
                <w:b/>
                <w:sz w:val="19"/>
                <w:szCs w:val="19"/>
                <w:lang w:val="en-US"/>
              </w:rPr>
            </w:pPr>
            <w:r w:rsidRPr="00F04F07">
              <w:rPr>
                <w:b/>
                <w:sz w:val="19"/>
                <w:szCs w:val="19"/>
                <w:lang w:val="en-US"/>
              </w:rPr>
              <w:t xml:space="preserve">Group 1: </w:t>
            </w:r>
            <w:proofErr w:type="spellStart"/>
            <w:r w:rsidRPr="00F04F07">
              <w:rPr>
                <w:b/>
                <w:sz w:val="19"/>
                <w:szCs w:val="19"/>
                <w:lang w:val="en-US"/>
              </w:rPr>
              <w:t>dTpa</w:t>
            </w:r>
            <w:proofErr w:type="spellEnd"/>
            <w:r w:rsidRPr="00F04F07">
              <w:rPr>
                <w:b/>
                <w:sz w:val="19"/>
                <w:szCs w:val="19"/>
                <w:lang w:val="en-US"/>
              </w:rPr>
              <w:t xml:space="preserve"> Repeat Dose</w:t>
            </w:r>
            <w:r>
              <w:rPr>
                <w:b/>
                <w:sz w:val="19"/>
                <w:szCs w:val="19"/>
                <w:lang w:val="en-US"/>
              </w:rPr>
              <w:t xml:space="preserve"> </w:t>
            </w:r>
            <w:r w:rsidRPr="00F04F07">
              <w:rPr>
                <w:b/>
                <w:sz w:val="19"/>
                <w:szCs w:val="19"/>
                <w:lang w:val="en-US"/>
              </w:rPr>
              <w:t>(N=324)</w:t>
            </w:r>
          </w:p>
        </w:tc>
        <w:tc>
          <w:tcPr>
            <w:tcW w:w="2127" w:type="dxa"/>
          </w:tcPr>
          <w:p w:rsidR="00F04F07" w:rsidRPr="00F04F07" w:rsidRDefault="00F04F07" w:rsidP="00F04F07">
            <w:pPr>
              <w:rPr>
                <w:b/>
                <w:sz w:val="19"/>
                <w:szCs w:val="19"/>
                <w:lang w:val="en-US"/>
              </w:rPr>
            </w:pPr>
            <w:r w:rsidRPr="00F04F07">
              <w:rPr>
                <w:b/>
                <w:sz w:val="19"/>
                <w:szCs w:val="19"/>
                <w:lang w:val="en-US"/>
              </w:rPr>
              <w:t xml:space="preserve">Group 2: </w:t>
            </w:r>
            <w:proofErr w:type="spellStart"/>
            <w:r w:rsidRPr="00F04F07">
              <w:rPr>
                <w:b/>
                <w:sz w:val="19"/>
                <w:szCs w:val="19"/>
                <w:lang w:val="en-US"/>
              </w:rPr>
              <w:t>dTpa</w:t>
            </w:r>
            <w:proofErr w:type="spellEnd"/>
            <w:r w:rsidRPr="00F04F07">
              <w:rPr>
                <w:b/>
                <w:sz w:val="19"/>
                <w:szCs w:val="19"/>
                <w:lang w:val="en-US"/>
              </w:rPr>
              <w:t xml:space="preserve"> Naïve</w:t>
            </w:r>
            <w:r>
              <w:rPr>
                <w:b/>
                <w:sz w:val="19"/>
                <w:szCs w:val="19"/>
                <w:lang w:val="en-US"/>
              </w:rPr>
              <w:t xml:space="preserve"> </w:t>
            </w:r>
            <w:r w:rsidRPr="00F04F07">
              <w:rPr>
                <w:b/>
                <w:sz w:val="19"/>
                <w:szCs w:val="19"/>
                <w:lang w:val="en-US"/>
              </w:rPr>
              <w:t>(N= 379-381)</w:t>
            </w:r>
          </w:p>
        </w:tc>
      </w:tr>
      <w:tr w:rsidR="00F04F07" w:rsidRPr="00F04F07" w:rsidTr="00F04F07">
        <w:trPr>
          <w:trHeight w:hRule="exact" w:val="635"/>
        </w:trPr>
        <w:tc>
          <w:tcPr>
            <w:tcW w:w="1555" w:type="dxa"/>
            <w:vMerge w:val="restart"/>
          </w:tcPr>
          <w:p w:rsidR="00F04F07" w:rsidRPr="00F04F07" w:rsidRDefault="00F04F07" w:rsidP="00F04F07">
            <w:pPr>
              <w:rPr>
                <w:b/>
                <w:sz w:val="19"/>
                <w:szCs w:val="19"/>
                <w:lang w:val="en-US"/>
              </w:rPr>
            </w:pPr>
            <w:r w:rsidRPr="00F04F07">
              <w:rPr>
                <w:b/>
                <w:sz w:val="19"/>
                <w:szCs w:val="19"/>
                <w:lang w:val="en-US"/>
              </w:rPr>
              <w:t>Anti-Tetanus</w:t>
            </w:r>
          </w:p>
        </w:tc>
        <w:tc>
          <w:tcPr>
            <w:tcW w:w="1701" w:type="dxa"/>
            <w:vMerge w:val="restart"/>
          </w:tcPr>
          <w:p w:rsidR="00F04F07" w:rsidRPr="00F04F07" w:rsidRDefault="00F04F07" w:rsidP="00F04F07">
            <w:pPr>
              <w:rPr>
                <w:b/>
                <w:sz w:val="19"/>
                <w:szCs w:val="19"/>
                <w:lang w:val="en-US"/>
              </w:rPr>
            </w:pPr>
            <w:r w:rsidRPr="00F04F07">
              <w:rPr>
                <w:b/>
                <w:sz w:val="19"/>
                <w:szCs w:val="19"/>
                <w:lang w:val="en-US"/>
              </w:rPr>
              <w:t>Pre-vaccination</w:t>
            </w:r>
          </w:p>
        </w:tc>
        <w:tc>
          <w:tcPr>
            <w:tcW w:w="992" w:type="dxa"/>
          </w:tcPr>
          <w:p w:rsidR="00F04F07" w:rsidRPr="00F04F07" w:rsidRDefault="00F04F07" w:rsidP="00F04F07">
            <w:pPr>
              <w:rPr>
                <w:b/>
                <w:sz w:val="19"/>
                <w:szCs w:val="19"/>
                <w:lang w:val="en-US"/>
              </w:rPr>
            </w:pPr>
            <w:r w:rsidRPr="00F04F07">
              <w:rPr>
                <w:b/>
                <w:sz w:val="19"/>
                <w:szCs w:val="19"/>
                <w:lang w:val="en-US"/>
              </w:rPr>
              <w:t>≥ 0.1</w:t>
            </w:r>
          </w:p>
        </w:tc>
        <w:tc>
          <w:tcPr>
            <w:tcW w:w="2551" w:type="dxa"/>
          </w:tcPr>
          <w:p w:rsidR="00F04F07" w:rsidRPr="00F04F07" w:rsidRDefault="00F04F07" w:rsidP="00F04F07">
            <w:pPr>
              <w:rPr>
                <w:sz w:val="19"/>
                <w:szCs w:val="19"/>
                <w:lang w:val="en-US"/>
              </w:rPr>
            </w:pPr>
            <w:r w:rsidRPr="00F04F07">
              <w:rPr>
                <w:sz w:val="19"/>
                <w:szCs w:val="19"/>
                <w:lang w:val="en-US"/>
              </w:rPr>
              <w:t>97.5 (95.2, 98.9)</w:t>
            </w:r>
          </w:p>
        </w:tc>
        <w:tc>
          <w:tcPr>
            <w:tcW w:w="2127" w:type="dxa"/>
          </w:tcPr>
          <w:p w:rsidR="00F04F07" w:rsidRPr="00F04F07" w:rsidRDefault="00F04F07" w:rsidP="00F04F07">
            <w:pPr>
              <w:rPr>
                <w:sz w:val="19"/>
                <w:szCs w:val="19"/>
                <w:lang w:val="en-US"/>
              </w:rPr>
            </w:pPr>
            <w:r w:rsidRPr="00F04F07">
              <w:rPr>
                <w:sz w:val="19"/>
                <w:szCs w:val="19"/>
                <w:lang w:val="en-US"/>
              </w:rPr>
              <w:t>93.1 (90.1, 95.5)</w:t>
            </w:r>
          </w:p>
        </w:tc>
      </w:tr>
      <w:tr w:rsidR="00F04F07" w:rsidRPr="00F04F07" w:rsidTr="00F04F07">
        <w:trPr>
          <w:trHeight w:hRule="exact" w:val="573"/>
        </w:trPr>
        <w:tc>
          <w:tcPr>
            <w:tcW w:w="1555" w:type="dxa"/>
            <w:vMerge/>
          </w:tcPr>
          <w:p w:rsidR="00F04F07" w:rsidRPr="00F04F07" w:rsidRDefault="00F04F07" w:rsidP="00F04F07">
            <w:pPr>
              <w:rPr>
                <w:b/>
                <w:sz w:val="19"/>
                <w:szCs w:val="19"/>
                <w:lang w:val="en-US"/>
              </w:rPr>
            </w:pPr>
          </w:p>
        </w:tc>
        <w:tc>
          <w:tcPr>
            <w:tcW w:w="1701" w:type="dxa"/>
            <w:vMerge/>
          </w:tcPr>
          <w:p w:rsidR="00F04F07" w:rsidRPr="00F04F07" w:rsidRDefault="00F04F07" w:rsidP="00F04F07">
            <w:pPr>
              <w:rPr>
                <w:b/>
                <w:sz w:val="19"/>
                <w:szCs w:val="19"/>
                <w:lang w:val="en-US"/>
              </w:rPr>
            </w:pPr>
          </w:p>
        </w:tc>
        <w:tc>
          <w:tcPr>
            <w:tcW w:w="992" w:type="dxa"/>
          </w:tcPr>
          <w:p w:rsidR="00F04F07" w:rsidRPr="00F04F07" w:rsidRDefault="00F04F07" w:rsidP="00F04F07">
            <w:pPr>
              <w:rPr>
                <w:b/>
                <w:sz w:val="19"/>
                <w:szCs w:val="19"/>
                <w:lang w:val="en-US"/>
              </w:rPr>
            </w:pPr>
            <w:r w:rsidRPr="00F04F07">
              <w:rPr>
                <w:b/>
                <w:sz w:val="19"/>
                <w:szCs w:val="19"/>
                <w:lang w:val="en-US"/>
              </w:rPr>
              <w:t>≥ 1.0</w:t>
            </w:r>
          </w:p>
        </w:tc>
        <w:tc>
          <w:tcPr>
            <w:tcW w:w="2551" w:type="dxa"/>
          </w:tcPr>
          <w:p w:rsidR="00F04F07" w:rsidRPr="00F04F07" w:rsidRDefault="00F04F07" w:rsidP="00F04F07">
            <w:pPr>
              <w:rPr>
                <w:sz w:val="19"/>
                <w:szCs w:val="19"/>
                <w:lang w:val="en-US"/>
              </w:rPr>
            </w:pPr>
            <w:r w:rsidRPr="00F04F07">
              <w:rPr>
                <w:sz w:val="19"/>
                <w:szCs w:val="19"/>
                <w:lang w:val="en-US"/>
              </w:rPr>
              <w:t>44.8 (39.3, 50.3)</w:t>
            </w:r>
          </w:p>
        </w:tc>
        <w:tc>
          <w:tcPr>
            <w:tcW w:w="2127" w:type="dxa"/>
          </w:tcPr>
          <w:p w:rsidR="00F04F07" w:rsidRPr="00F04F07" w:rsidRDefault="00F04F07" w:rsidP="00F04F07">
            <w:pPr>
              <w:rPr>
                <w:sz w:val="19"/>
                <w:szCs w:val="19"/>
                <w:lang w:val="en-US"/>
              </w:rPr>
            </w:pPr>
            <w:r w:rsidRPr="00F04F07">
              <w:rPr>
                <w:sz w:val="19"/>
                <w:szCs w:val="19"/>
                <w:lang w:val="en-US"/>
              </w:rPr>
              <w:t>49.1 (43.9, 54.2)</w:t>
            </w:r>
          </w:p>
        </w:tc>
      </w:tr>
      <w:tr w:rsidR="00F04F07" w:rsidRPr="00F04F07" w:rsidTr="00F04F07">
        <w:trPr>
          <w:trHeight w:hRule="exact" w:val="553"/>
        </w:trPr>
        <w:tc>
          <w:tcPr>
            <w:tcW w:w="1555" w:type="dxa"/>
            <w:vMerge/>
          </w:tcPr>
          <w:p w:rsidR="00F04F07" w:rsidRPr="00F04F07" w:rsidRDefault="00F04F07" w:rsidP="00F04F07">
            <w:pPr>
              <w:rPr>
                <w:b/>
                <w:sz w:val="19"/>
                <w:szCs w:val="19"/>
                <w:lang w:val="en-US"/>
              </w:rPr>
            </w:pPr>
          </w:p>
        </w:tc>
        <w:tc>
          <w:tcPr>
            <w:tcW w:w="1701" w:type="dxa"/>
            <w:vMerge w:val="restart"/>
          </w:tcPr>
          <w:p w:rsidR="00F04F07" w:rsidRPr="00F04F07" w:rsidRDefault="00F04F07" w:rsidP="00F04F07">
            <w:pPr>
              <w:rPr>
                <w:b/>
                <w:sz w:val="19"/>
                <w:szCs w:val="19"/>
                <w:lang w:val="en-US"/>
              </w:rPr>
            </w:pPr>
            <w:r w:rsidRPr="00F04F07">
              <w:rPr>
                <w:b/>
                <w:sz w:val="19"/>
                <w:szCs w:val="19"/>
                <w:lang w:val="en-US"/>
              </w:rPr>
              <w:t>Post-vaccination</w:t>
            </w:r>
          </w:p>
        </w:tc>
        <w:tc>
          <w:tcPr>
            <w:tcW w:w="992" w:type="dxa"/>
          </w:tcPr>
          <w:p w:rsidR="00F04F07" w:rsidRPr="00F04F07" w:rsidRDefault="00F04F07" w:rsidP="00F04F07">
            <w:pPr>
              <w:rPr>
                <w:b/>
                <w:sz w:val="19"/>
                <w:szCs w:val="19"/>
                <w:lang w:val="en-US"/>
              </w:rPr>
            </w:pPr>
            <w:r w:rsidRPr="00F04F07">
              <w:rPr>
                <w:b/>
                <w:sz w:val="19"/>
                <w:szCs w:val="19"/>
                <w:lang w:val="en-US"/>
              </w:rPr>
              <w:t>≥ 0.1</w:t>
            </w:r>
          </w:p>
        </w:tc>
        <w:tc>
          <w:tcPr>
            <w:tcW w:w="2551" w:type="dxa"/>
          </w:tcPr>
          <w:p w:rsidR="00F04F07" w:rsidRPr="00F04F07" w:rsidRDefault="00F04F07" w:rsidP="00F04F07">
            <w:pPr>
              <w:rPr>
                <w:sz w:val="19"/>
                <w:szCs w:val="19"/>
                <w:lang w:val="en-US"/>
              </w:rPr>
            </w:pPr>
            <w:r w:rsidRPr="00F04F07">
              <w:rPr>
                <w:sz w:val="19"/>
                <w:szCs w:val="19"/>
                <w:lang w:val="en-US"/>
              </w:rPr>
              <w:t>100 (98.9, 100)</w:t>
            </w:r>
          </w:p>
        </w:tc>
        <w:tc>
          <w:tcPr>
            <w:tcW w:w="2127" w:type="dxa"/>
          </w:tcPr>
          <w:p w:rsidR="00F04F07" w:rsidRPr="00F04F07" w:rsidRDefault="00F04F07" w:rsidP="00F04F07">
            <w:pPr>
              <w:rPr>
                <w:sz w:val="19"/>
                <w:szCs w:val="19"/>
                <w:lang w:val="en-US"/>
              </w:rPr>
            </w:pPr>
            <w:r w:rsidRPr="00F04F07">
              <w:rPr>
                <w:sz w:val="19"/>
                <w:szCs w:val="19"/>
                <w:lang w:val="en-US"/>
              </w:rPr>
              <w:t>99.7 (98.5, 100)</w:t>
            </w:r>
          </w:p>
        </w:tc>
      </w:tr>
      <w:tr w:rsidR="00F04F07" w:rsidRPr="00F04F07" w:rsidTr="00810C49">
        <w:trPr>
          <w:trHeight w:hRule="exact" w:val="575"/>
        </w:trPr>
        <w:tc>
          <w:tcPr>
            <w:tcW w:w="1555" w:type="dxa"/>
            <w:vMerge/>
          </w:tcPr>
          <w:p w:rsidR="00F04F07" w:rsidRPr="00F04F07" w:rsidRDefault="00F04F07" w:rsidP="00F04F07">
            <w:pPr>
              <w:rPr>
                <w:b/>
                <w:sz w:val="19"/>
                <w:szCs w:val="19"/>
                <w:lang w:val="en-US"/>
              </w:rPr>
            </w:pPr>
          </w:p>
        </w:tc>
        <w:tc>
          <w:tcPr>
            <w:tcW w:w="1701" w:type="dxa"/>
            <w:vMerge/>
          </w:tcPr>
          <w:p w:rsidR="00F04F07" w:rsidRPr="00F04F07" w:rsidRDefault="00F04F07" w:rsidP="00F04F07">
            <w:pPr>
              <w:rPr>
                <w:b/>
                <w:sz w:val="19"/>
                <w:szCs w:val="19"/>
                <w:lang w:val="en-US"/>
              </w:rPr>
            </w:pPr>
          </w:p>
        </w:tc>
        <w:tc>
          <w:tcPr>
            <w:tcW w:w="992" w:type="dxa"/>
          </w:tcPr>
          <w:p w:rsidR="00F04F07" w:rsidRPr="00F04F07" w:rsidRDefault="00F04F07" w:rsidP="00F04F07">
            <w:pPr>
              <w:rPr>
                <w:b/>
                <w:sz w:val="19"/>
                <w:szCs w:val="19"/>
                <w:lang w:val="en-US"/>
              </w:rPr>
            </w:pPr>
            <w:r w:rsidRPr="00F04F07">
              <w:rPr>
                <w:b/>
                <w:sz w:val="19"/>
                <w:szCs w:val="19"/>
                <w:lang w:val="en-US"/>
              </w:rPr>
              <w:t>≥ 1.0</w:t>
            </w:r>
          </w:p>
        </w:tc>
        <w:tc>
          <w:tcPr>
            <w:tcW w:w="2551" w:type="dxa"/>
          </w:tcPr>
          <w:p w:rsidR="00F04F07" w:rsidRPr="00F04F07" w:rsidRDefault="00F04F07" w:rsidP="00F04F07">
            <w:pPr>
              <w:rPr>
                <w:sz w:val="19"/>
                <w:szCs w:val="19"/>
                <w:lang w:val="en-US"/>
              </w:rPr>
            </w:pPr>
            <w:r w:rsidRPr="00F04F07">
              <w:rPr>
                <w:sz w:val="19"/>
                <w:szCs w:val="19"/>
                <w:lang w:val="en-US"/>
              </w:rPr>
              <w:t>100 (98.9, 100)</w:t>
            </w:r>
          </w:p>
        </w:tc>
        <w:tc>
          <w:tcPr>
            <w:tcW w:w="2127" w:type="dxa"/>
          </w:tcPr>
          <w:p w:rsidR="00F04F07" w:rsidRPr="00F04F07" w:rsidRDefault="00F04F07" w:rsidP="00F04F07">
            <w:pPr>
              <w:rPr>
                <w:sz w:val="19"/>
                <w:szCs w:val="19"/>
                <w:lang w:val="en-US"/>
              </w:rPr>
            </w:pPr>
            <w:r w:rsidRPr="00F04F07">
              <w:rPr>
                <w:sz w:val="19"/>
                <w:szCs w:val="19"/>
                <w:lang w:val="en-US"/>
              </w:rPr>
              <w:t>97.6 (95.6, 98.9)</w:t>
            </w:r>
          </w:p>
        </w:tc>
      </w:tr>
      <w:tr w:rsidR="00F04F07" w:rsidRPr="00F04F07" w:rsidTr="00810C49">
        <w:trPr>
          <w:trHeight w:hRule="exact" w:val="569"/>
        </w:trPr>
        <w:tc>
          <w:tcPr>
            <w:tcW w:w="1555" w:type="dxa"/>
            <w:vMerge w:val="restart"/>
          </w:tcPr>
          <w:p w:rsidR="00F04F07" w:rsidRPr="00F04F07" w:rsidRDefault="00F04F07" w:rsidP="00F04F07">
            <w:pPr>
              <w:rPr>
                <w:b/>
                <w:sz w:val="19"/>
                <w:szCs w:val="19"/>
                <w:lang w:val="en-US"/>
              </w:rPr>
            </w:pPr>
            <w:r w:rsidRPr="00F04F07">
              <w:rPr>
                <w:b/>
                <w:sz w:val="19"/>
                <w:szCs w:val="19"/>
                <w:lang w:val="en-US"/>
              </w:rPr>
              <w:t>Anti-Diphtheria</w:t>
            </w:r>
          </w:p>
        </w:tc>
        <w:tc>
          <w:tcPr>
            <w:tcW w:w="1701" w:type="dxa"/>
            <w:vMerge w:val="restart"/>
          </w:tcPr>
          <w:p w:rsidR="00F04F07" w:rsidRPr="00F04F07" w:rsidRDefault="00F04F07" w:rsidP="00F04F07">
            <w:pPr>
              <w:rPr>
                <w:b/>
                <w:sz w:val="19"/>
                <w:szCs w:val="19"/>
                <w:lang w:val="en-US"/>
              </w:rPr>
            </w:pPr>
            <w:r w:rsidRPr="00F04F07">
              <w:rPr>
                <w:b/>
                <w:sz w:val="19"/>
                <w:szCs w:val="19"/>
                <w:lang w:val="en-US"/>
              </w:rPr>
              <w:t>Pre-vaccination</w:t>
            </w:r>
          </w:p>
        </w:tc>
        <w:tc>
          <w:tcPr>
            <w:tcW w:w="992" w:type="dxa"/>
          </w:tcPr>
          <w:p w:rsidR="00F04F07" w:rsidRPr="00F04F07" w:rsidRDefault="00F04F07" w:rsidP="00F04F07">
            <w:pPr>
              <w:rPr>
                <w:b/>
                <w:sz w:val="19"/>
                <w:szCs w:val="19"/>
                <w:lang w:val="en-US"/>
              </w:rPr>
            </w:pPr>
            <w:r w:rsidRPr="00F04F07">
              <w:rPr>
                <w:b/>
                <w:sz w:val="19"/>
                <w:szCs w:val="19"/>
                <w:lang w:val="en-US"/>
              </w:rPr>
              <w:t>≥ 0.1</w:t>
            </w:r>
          </w:p>
        </w:tc>
        <w:tc>
          <w:tcPr>
            <w:tcW w:w="2551" w:type="dxa"/>
          </w:tcPr>
          <w:p w:rsidR="00F04F07" w:rsidRPr="00F04F07" w:rsidRDefault="00F04F07" w:rsidP="00F04F07">
            <w:pPr>
              <w:rPr>
                <w:sz w:val="19"/>
                <w:szCs w:val="19"/>
                <w:lang w:val="en-US"/>
              </w:rPr>
            </w:pPr>
            <w:r w:rsidRPr="00F04F07">
              <w:rPr>
                <w:sz w:val="19"/>
                <w:szCs w:val="19"/>
                <w:lang w:val="en-US"/>
              </w:rPr>
              <w:t>73.5 (68.3, 78.2)</w:t>
            </w:r>
          </w:p>
        </w:tc>
        <w:tc>
          <w:tcPr>
            <w:tcW w:w="2127" w:type="dxa"/>
          </w:tcPr>
          <w:p w:rsidR="00F04F07" w:rsidRPr="00F04F07" w:rsidRDefault="00F04F07" w:rsidP="00F04F07">
            <w:pPr>
              <w:rPr>
                <w:sz w:val="19"/>
                <w:szCs w:val="19"/>
                <w:lang w:val="en-US"/>
              </w:rPr>
            </w:pPr>
            <w:r w:rsidRPr="00F04F07">
              <w:rPr>
                <w:sz w:val="19"/>
                <w:szCs w:val="19"/>
                <w:lang w:val="en-US"/>
              </w:rPr>
              <w:t>65.9 (60.9, 70.6)</w:t>
            </w:r>
          </w:p>
        </w:tc>
      </w:tr>
      <w:tr w:rsidR="00F04F07" w:rsidRPr="00F04F07" w:rsidTr="00810C49">
        <w:trPr>
          <w:trHeight w:hRule="exact" w:val="563"/>
        </w:trPr>
        <w:tc>
          <w:tcPr>
            <w:tcW w:w="1555" w:type="dxa"/>
            <w:vMerge/>
          </w:tcPr>
          <w:p w:rsidR="00F04F07" w:rsidRPr="00F04F07" w:rsidRDefault="00F04F07" w:rsidP="00F04F07">
            <w:pPr>
              <w:rPr>
                <w:b/>
                <w:sz w:val="19"/>
                <w:szCs w:val="19"/>
                <w:lang w:val="en-US"/>
              </w:rPr>
            </w:pPr>
          </w:p>
        </w:tc>
        <w:tc>
          <w:tcPr>
            <w:tcW w:w="1701" w:type="dxa"/>
            <w:vMerge/>
          </w:tcPr>
          <w:p w:rsidR="00F04F07" w:rsidRPr="00F04F07" w:rsidRDefault="00F04F07" w:rsidP="00F04F07">
            <w:pPr>
              <w:rPr>
                <w:b/>
                <w:sz w:val="19"/>
                <w:szCs w:val="19"/>
                <w:lang w:val="en-US"/>
              </w:rPr>
            </w:pPr>
          </w:p>
        </w:tc>
        <w:tc>
          <w:tcPr>
            <w:tcW w:w="992" w:type="dxa"/>
          </w:tcPr>
          <w:p w:rsidR="00F04F07" w:rsidRPr="00F04F07" w:rsidRDefault="00F04F07" w:rsidP="00F04F07">
            <w:pPr>
              <w:rPr>
                <w:b/>
                <w:sz w:val="19"/>
                <w:szCs w:val="19"/>
                <w:lang w:val="en-US"/>
              </w:rPr>
            </w:pPr>
            <w:r w:rsidRPr="00F04F07">
              <w:rPr>
                <w:b/>
                <w:sz w:val="19"/>
                <w:szCs w:val="19"/>
                <w:lang w:val="en-US"/>
              </w:rPr>
              <w:t>≥ 1.0</w:t>
            </w:r>
          </w:p>
        </w:tc>
        <w:tc>
          <w:tcPr>
            <w:tcW w:w="2551" w:type="dxa"/>
          </w:tcPr>
          <w:p w:rsidR="00F04F07" w:rsidRPr="00F04F07" w:rsidRDefault="00F04F07" w:rsidP="00F04F07">
            <w:pPr>
              <w:rPr>
                <w:sz w:val="19"/>
                <w:szCs w:val="19"/>
                <w:lang w:val="en-US"/>
              </w:rPr>
            </w:pPr>
            <w:r w:rsidRPr="00F04F07">
              <w:rPr>
                <w:sz w:val="19"/>
                <w:szCs w:val="19"/>
                <w:lang w:val="en-US"/>
              </w:rPr>
              <w:t>24.7 (20.1, 29.8)</w:t>
            </w:r>
          </w:p>
        </w:tc>
        <w:tc>
          <w:tcPr>
            <w:tcW w:w="2127" w:type="dxa"/>
          </w:tcPr>
          <w:p w:rsidR="00F04F07" w:rsidRPr="00F04F07" w:rsidRDefault="00F04F07" w:rsidP="00F04F07">
            <w:pPr>
              <w:rPr>
                <w:sz w:val="19"/>
                <w:szCs w:val="19"/>
                <w:lang w:val="en-US"/>
              </w:rPr>
            </w:pPr>
            <w:r w:rsidRPr="00F04F07">
              <w:rPr>
                <w:sz w:val="19"/>
                <w:szCs w:val="19"/>
                <w:lang w:val="en-US"/>
              </w:rPr>
              <w:t>21.8 (17.7, 26.3)</w:t>
            </w:r>
          </w:p>
        </w:tc>
      </w:tr>
      <w:tr w:rsidR="00F04F07" w:rsidRPr="00F04F07" w:rsidTr="00810C49">
        <w:trPr>
          <w:trHeight w:hRule="exact" w:val="571"/>
        </w:trPr>
        <w:tc>
          <w:tcPr>
            <w:tcW w:w="1555" w:type="dxa"/>
            <w:vMerge/>
          </w:tcPr>
          <w:p w:rsidR="00F04F07" w:rsidRPr="00F04F07" w:rsidRDefault="00F04F07" w:rsidP="00F04F07">
            <w:pPr>
              <w:rPr>
                <w:b/>
                <w:sz w:val="19"/>
                <w:szCs w:val="19"/>
                <w:lang w:val="en-US"/>
              </w:rPr>
            </w:pPr>
          </w:p>
        </w:tc>
        <w:tc>
          <w:tcPr>
            <w:tcW w:w="1701" w:type="dxa"/>
            <w:vMerge w:val="restart"/>
          </w:tcPr>
          <w:p w:rsidR="00F04F07" w:rsidRPr="00F04F07" w:rsidRDefault="00F04F07" w:rsidP="00F04F07">
            <w:pPr>
              <w:rPr>
                <w:b/>
                <w:sz w:val="19"/>
                <w:szCs w:val="19"/>
                <w:lang w:val="en-US"/>
              </w:rPr>
            </w:pPr>
            <w:r w:rsidRPr="00F04F07">
              <w:rPr>
                <w:b/>
                <w:sz w:val="19"/>
                <w:szCs w:val="19"/>
                <w:lang w:val="en-US"/>
              </w:rPr>
              <w:t>Post-vaccination</w:t>
            </w:r>
          </w:p>
        </w:tc>
        <w:tc>
          <w:tcPr>
            <w:tcW w:w="992" w:type="dxa"/>
          </w:tcPr>
          <w:p w:rsidR="00F04F07" w:rsidRPr="00F04F07" w:rsidRDefault="00F04F07" w:rsidP="00F04F07">
            <w:pPr>
              <w:rPr>
                <w:b/>
                <w:sz w:val="19"/>
                <w:szCs w:val="19"/>
                <w:lang w:val="en-US"/>
              </w:rPr>
            </w:pPr>
            <w:r w:rsidRPr="00F04F07">
              <w:rPr>
                <w:b/>
                <w:sz w:val="19"/>
                <w:szCs w:val="19"/>
                <w:lang w:val="en-US"/>
              </w:rPr>
              <w:t>≥ 0.1</w:t>
            </w:r>
          </w:p>
        </w:tc>
        <w:tc>
          <w:tcPr>
            <w:tcW w:w="2551" w:type="dxa"/>
          </w:tcPr>
          <w:p w:rsidR="00F04F07" w:rsidRPr="00F04F07" w:rsidRDefault="00F04F07" w:rsidP="00F04F07">
            <w:pPr>
              <w:rPr>
                <w:sz w:val="19"/>
                <w:szCs w:val="19"/>
                <w:lang w:val="en-US"/>
              </w:rPr>
            </w:pPr>
            <w:r w:rsidRPr="00F04F07">
              <w:rPr>
                <w:sz w:val="19"/>
                <w:szCs w:val="19"/>
                <w:lang w:val="en-US"/>
              </w:rPr>
              <w:t>98.5 (96.4, 99.5)</w:t>
            </w:r>
          </w:p>
        </w:tc>
        <w:tc>
          <w:tcPr>
            <w:tcW w:w="2127" w:type="dxa"/>
          </w:tcPr>
          <w:p w:rsidR="00F04F07" w:rsidRPr="00F04F07" w:rsidRDefault="00F04F07" w:rsidP="00F04F07">
            <w:pPr>
              <w:rPr>
                <w:sz w:val="19"/>
                <w:szCs w:val="19"/>
                <w:lang w:val="en-US"/>
              </w:rPr>
            </w:pPr>
            <w:r w:rsidRPr="00F04F07">
              <w:rPr>
                <w:sz w:val="19"/>
                <w:szCs w:val="19"/>
                <w:lang w:val="en-US"/>
              </w:rPr>
              <w:t>96.1 (93.6, 97.8)</w:t>
            </w:r>
          </w:p>
        </w:tc>
      </w:tr>
      <w:tr w:rsidR="00F04F07" w:rsidRPr="00F04F07" w:rsidTr="00810C49">
        <w:trPr>
          <w:trHeight w:hRule="exact" w:val="707"/>
        </w:trPr>
        <w:tc>
          <w:tcPr>
            <w:tcW w:w="1555" w:type="dxa"/>
            <w:vMerge/>
          </w:tcPr>
          <w:p w:rsidR="00F04F07" w:rsidRPr="00F04F07" w:rsidRDefault="00F04F07" w:rsidP="00F04F07">
            <w:pPr>
              <w:rPr>
                <w:b/>
                <w:sz w:val="19"/>
                <w:szCs w:val="19"/>
                <w:lang w:val="en-US"/>
              </w:rPr>
            </w:pPr>
          </w:p>
        </w:tc>
        <w:tc>
          <w:tcPr>
            <w:tcW w:w="1701" w:type="dxa"/>
            <w:vMerge/>
          </w:tcPr>
          <w:p w:rsidR="00F04F07" w:rsidRPr="00F04F07" w:rsidRDefault="00F04F07" w:rsidP="00F04F07">
            <w:pPr>
              <w:rPr>
                <w:b/>
                <w:sz w:val="19"/>
                <w:szCs w:val="19"/>
                <w:lang w:val="en-US"/>
              </w:rPr>
            </w:pPr>
          </w:p>
        </w:tc>
        <w:tc>
          <w:tcPr>
            <w:tcW w:w="992" w:type="dxa"/>
          </w:tcPr>
          <w:p w:rsidR="00F04F07" w:rsidRPr="00F04F07" w:rsidRDefault="00F04F07" w:rsidP="00F04F07">
            <w:pPr>
              <w:rPr>
                <w:b/>
                <w:sz w:val="19"/>
                <w:szCs w:val="19"/>
                <w:lang w:val="en-US"/>
              </w:rPr>
            </w:pPr>
            <w:r w:rsidRPr="00F04F07">
              <w:rPr>
                <w:b/>
                <w:sz w:val="19"/>
                <w:szCs w:val="19"/>
                <w:lang w:val="en-US"/>
              </w:rPr>
              <w:t>≥ 1.0</w:t>
            </w:r>
          </w:p>
        </w:tc>
        <w:tc>
          <w:tcPr>
            <w:tcW w:w="2551" w:type="dxa"/>
          </w:tcPr>
          <w:p w:rsidR="00F04F07" w:rsidRPr="00F04F07" w:rsidRDefault="00F04F07" w:rsidP="00F04F07">
            <w:pPr>
              <w:rPr>
                <w:sz w:val="19"/>
                <w:szCs w:val="19"/>
                <w:lang w:val="en-US"/>
              </w:rPr>
            </w:pPr>
            <w:r w:rsidRPr="00F04F07">
              <w:rPr>
                <w:sz w:val="19"/>
                <w:szCs w:val="19"/>
                <w:lang w:val="en-US"/>
              </w:rPr>
              <w:t>87.3 (83.2, 90.8)</w:t>
            </w:r>
          </w:p>
        </w:tc>
        <w:tc>
          <w:tcPr>
            <w:tcW w:w="2127" w:type="dxa"/>
          </w:tcPr>
          <w:p w:rsidR="00F04F07" w:rsidRPr="00F04F07" w:rsidRDefault="00F04F07" w:rsidP="00F04F07">
            <w:pPr>
              <w:rPr>
                <w:sz w:val="19"/>
                <w:szCs w:val="19"/>
                <w:lang w:val="en-US"/>
              </w:rPr>
            </w:pPr>
            <w:r w:rsidRPr="00F04F07">
              <w:rPr>
                <w:sz w:val="19"/>
                <w:szCs w:val="19"/>
                <w:lang w:val="en-US"/>
              </w:rPr>
              <w:t>83.5 (79.3, 87.1)</w:t>
            </w:r>
          </w:p>
        </w:tc>
      </w:tr>
    </w:tbl>
    <w:p w:rsidR="00F04F07" w:rsidRPr="00F04F07" w:rsidRDefault="00F04F07" w:rsidP="00810C49">
      <w:pPr>
        <w:pStyle w:val="Tabledescription"/>
        <w:rPr>
          <w:lang w:val="en-US"/>
        </w:rPr>
      </w:pPr>
      <w:r w:rsidRPr="00F04F07">
        <w:rPr>
          <w:lang w:val="en-US"/>
        </w:rPr>
        <w:t>N: total number of subjects with available data</w:t>
      </w:r>
    </w:p>
    <w:p w:rsidR="00F04F07" w:rsidRPr="00F04F07" w:rsidRDefault="00F04F07" w:rsidP="00F04F07">
      <w:pPr>
        <w:rPr>
          <w:lang w:val="en-US"/>
        </w:rPr>
      </w:pPr>
      <w:r w:rsidRPr="00F04F07">
        <w:rPr>
          <w:lang w:val="en-US"/>
        </w:rPr>
        <w:t>Group 1 received a previous dose of Adacel or Adacel Polio approximately 10 years earlier as part of Sanofi Pasteur trial Td9707 or Td9805.</w:t>
      </w:r>
    </w:p>
    <w:p w:rsidR="00F04F07" w:rsidRPr="00F04F07" w:rsidRDefault="00F04F07" w:rsidP="00F04F07">
      <w:pPr>
        <w:rPr>
          <w:lang w:val="en-US"/>
        </w:rPr>
      </w:pPr>
      <w:r w:rsidRPr="00F04F07">
        <w:rPr>
          <w:lang w:val="en-US"/>
        </w:rPr>
        <w:t>Group 2 had not received any tetanus, diphtheria or pertussis-containing vaccine in the past 10 years</w:t>
      </w:r>
      <w:r w:rsidRPr="00F04F07">
        <w:rPr>
          <w:i/>
          <w:lang w:val="en-US"/>
        </w:rPr>
        <w:t>.</w:t>
      </w:r>
    </w:p>
    <w:p w:rsidR="00F04F07" w:rsidRPr="00F04F07" w:rsidRDefault="00F04F07" w:rsidP="00F04F07">
      <w:pPr>
        <w:rPr>
          <w:lang w:val="en-US"/>
        </w:rPr>
      </w:pPr>
      <w:r w:rsidRPr="00F04F07">
        <w:rPr>
          <w:lang w:val="en-US"/>
        </w:rPr>
        <w:lastRenderedPageBreak/>
        <w:t xml:space="preserve">GMCs and booster response rates for the pertussis antigens PT, FHA, PRN and FIM pre and post repeat vaccination with Adacel in adults are presented in </w:t>
      </w:r>
      <w:r w:rsidRPr="00F04F07">
        <w:rPr>
          <w:lang w:val="en-US"/>
        </w:rPr>
        <w:fldChar w:fldCharType="begin"/>
      </w:r>
      <w:r w:rsidRPr="00F04F07">
        <w:rPr>
          <w:lang w:val="en-US"/>
        </w:rPr>
        <w:instrText xml:space="preserve"> REF _Ref505871841 \h  \* MERGEFORMAT </w:instrText>
      </w:r>
      <w:r w:rsidRPr="00F04F07">
        <w:rPr>
          <w:lang w:val="en-US"/>
        </w:rPr>
      </w:r>
      <w:r w:rsidRPr="00F04F07">
        <w:rPr>
          <w:lang w:val="en-US"/>
        </w:rPr>
        <w:fldChar w:fldCharType="separate"/>
      </w:r>
      <w:r w:rsidRPr="00F04F07">
        <w:rPr>
          <w:lang w:val="en-US"/>
        </w:rPr>
        <w:t>Table 7</w:t>
      </w:r>
      <w:r w:rsidRPr="00F04F07">
        <w:rPr>
          <w:lang w:val="en-US"/>
        </w:rPr>
        <w:fldChar w:fldCharType="end"/>
      </w:r>
      <w:r w:rsidRPr="00F04F07">
        <w:rPr>
          <w:lang w:val="en-US"/>
        </w:rPr>
        <w:t>. Post-vaccination anti- pertussis antibody GMCs were substantially higher compared to baseline. Non-inferiority for Group 1 (</w:t>
      </w:r>
      <w:proofErr w:type="spellStart"/>
      <w:r w:rsidRPr="00F04F07">
        <w:rPr>
          <w:lang w:val="en-US"/>
        </w:rPr>
        <w:t>dTpa</w:t>
      </w:r>
      <w:proofErr w:type="spellEnd"/>
      <w:r w:rsidRPr="00F04F07">
        <w:rPr>
          <w:lang w:val="en-US"/>
        </w:rPr>
        <w:t xml:space="preserve"> Repeat Dose) compared to Group 2 (</w:t>
      </w:r>
      <w:proofErr w:type="spellStart"/>
      <w:r w:rsidRPr="00F04F07">
        <w:rPr>
          <w:lang w:val="en-US"/>
        </w:rPr>
        <w:t>dTpa</w:t>
      </w:r>
      <w:proofErr w:type="spellEnd"/>
      <w:r w:rsidRPr="00F04F07">
        <w:rPr>
          <w:lang w:val="en-US"/>
        </w:rPr>
        <w:t xml:space="preserve"> Naïve) was achieved for antibodies to PT, FHA and PRN, but not FIM. Although non-inferiority was not achieved for FIM, the lower limit of the 95% CI of the GMC ratio (0.66) was only marginally lower than non-inferiority criterion (the lower bound of the 2-sided 95% CI &gt; 0.67). Anti-pertussis booster response rates were high (&gt; 84%) in both Group 1 and Group 2.</w:t>
      </w:r>
    </w:p>
    <w:p w:rsidR="00F04F07" w:rsidRPr="00F04F07" w:rsidRDefault="00F04F07" w:rsidP="00F04F07">
      <w:pPr>
        <w:rPr>
          <w:lang w:val="en-US"/>
        </w:rPr>
      </w:pPr>
      <w:r w:rsidRPr="00F04F07">
        <w:rPr>
          <w:lang w:val="en-US"/>
        </w:rPr>
        <w:t>Repeat vaccination with Adacel at 10 year intervals induces robust immune responses to tetanus, diphtheria and pertussis in adolescents and adults.</w:t>
      </w:r>
    </w:p>
    <w:p w:rsidR="00F04F07" w:rsidRPr="00F04F07" w:rsidRDefault="00F04F07" w:rsidP="00810C49">
      <w:pPr>
        <w:pStyle w:val="Tabletitle"/>
        <w:rPr>
          <w:lang w:val="en-US"/>
        </w:rPr>
      </w:pPr>
      <w:r w:rsidRPr="00F04F07">
        <w:rPr>
          <w:lang w:val="en-US"/>
        </w:rPr>
        <w:t xml:space="preserve"> </w:t>
      </w:r>
      <w:bookmarkStart w:id="3" w:name="_Ref505871841"/>
      <w:r w:rsidRPr="00F04F07">
        <w:rPr>
          <w:lang w:val="en-US"/>
        </w:rPr>
        <w:t>Table </w:t>
      </w:r>
      <w:r w:rsidRPr="00F04F07">
        <w:rPr>
          <w:lang w:val="en-US"/>
        </w:rPr>
        <w:fldChar w:fldCharType="begin"/>
      </w:r>
      <w:r w:rsidRPr="00F04F07">
        <w:rPr>
          <w:lang w:val="en-US"/>
        </w:rPr>
        <w:instrText xml:space="preserve"> SEQ Table \* ARABIC </w:instrText>
      </w:r>
      <w:r w:rsidRPr="00F04F07">
        <w:rPr>
          <w:lang w:val="en-US"/>
        </w:rPr>
        <w:fldChar w:fldCharType="separate"/>
      </w:r>
      <w:r w:rsidRPr="00F04F07">
        <w:rPr>
          <w:lang w:val="en-US"/>
        </w:rPr>
        <w:t>7</w:t>
      </w:r>
      <w:r w:rsidRPr="00F04F07">
        <w:rPr>
          <w:lang w:val="en-US"/>
        </w:rPr>
        <w:fldChar w:fldCharType="end"/>
      </w:r>
      <w:bookmarkEnd w:id="3"/>
      <w:r w:rsidRPr="00F04F07">
        <w:rPr>
          <w:lang w:val="en-US"/>
        </w:rPr>
        <w:t xml:space="preserve"> ­ Anti-pertussis GMCs and Booster Response Rates in Adults in Study Td526</w:t>
      </w:r>
    </w:p>
    <w:tbl>
      <w:tblPr>
        <w:tblW w:w="8865" w:type="dxa"/>
        <w:jc w:val="center"/>
        <w:tblBorders>
          <w:top w:val="single" w:sz="2" w:space="0" w:color="000000"/>
        </w:tblBorders>
        <w:tblLook w:val="01E0" w:firstRow="1" w:lastRow="1" w:firstColumn="1" w:lastColumn="1" w:noHBand="0" w:noVBand="0"/>
      </w:tblPr>
      <w:tblGrid>
        <w:gridCol w:w="1133"/>
        <w:gridCol w:w="1985"/>
        <w:gridCol w:w="710"/>
        <w:gridCol w:w="1252"/>
        <w:gridCol w:w="532"/>
        <w:gridCol w:w="1051"/>
        <w:gridCol w:w="892"/>
        <w:gridCol w:w="1310"/>
      </w:tblGrid>
      <w:tr w:rsidR="00F04F07" w:rsidRPr="00810C49" w:rsidTr="00810C49">
        <w:trPr>
          <w:cantSplit/>
          <w:trHeight w:hRule="exact" w:val="813"/>
          <w:tblHeader/>
          <w:jc w:val="center"/>
        </w:trPr>
        <w:tc>
          <w:tcPr>
            <w:tcW w:w="3118" w:type="dxa"/>
            <w:gridSpan w:val="2"/>
            <w:vMerge w:val="restart"/>
            <w:tcBorders>
              <w:top w:val="single" w:sz="4" w:space="0" w:color="000000"/>
              <w:bottom w:val="single" w:sz="4" w:space="0" w:color="000000"/>
              <w:right w:val="single" w:sz="4" w:space="0" w:color="auto"/>
            </w:tcBorders>
            <w:shd w:val="clear" w:color="auto" w:fill="auto"/>
          </w:tcPr>
          <w:p w:rsidR="00F04F07" w:rsidRPr="00810C49" w:rsidRDefault="00F04F07" w:rsidP="00F04F07">
            <w:pPr>
              <w:rPr>
                <w:b/>
                <w:sz w:val="19"/>
                <w:szCs w:val="19"/>
                <w:lang w:val="de-DE"/>
              </w:rPr>
            </w:pPr>
          </w:p>
          <w:p w:rsidR="00F04F07" w:rsidRPr="00810C49" w:rsidRDefault="00F04F07" w:rsidP="00F04F07">
            <w:pPr>
              <w:rPr>
                <w:b/>
                <w:sz w:val="19"/>
                <w:szCs w:val="19"/>
                <w:lang w:val="de-DE"/>
              </w:rPr>
            </w:pPr>
            <w:r w:rsidRPr="00810C49">
              <w:rPr>
                <w:b/>
                <w:bCs/>
                <w:sz w:val="19"/>
                <w:szCs w:val="19"/>
                <w:lang w:val="de-DE"/>
              </w:rPr>
              <w:t>Group</w:t>
            </w:r>
          </w:p>
        </w:tc>
        <w:tc>
          <w:tcPr>
            <w:tcW w:w="1962" w:type="dxa"/>
            <w:gridSpan w:val="2"/>
            <w:tcBorders>
              <w:top w:val="single" w:sz="4" w:space="0" w:color="000000"/>
              <w:left w:val="single" w:sz="4" w:space="0" w:color="auto"/>
              <w:bottom w:val="single" w:sz="4" w:space="0" w:color="000000"/>
              <w:right w:val="single" w:sz="4" w:space="0" w:color="auto"/>
            </w:tcBorders>
            <w:shd w:val="clear" w:color="auto" w:fill="auto"/>
          </w:tcPr>
          <w:p w:rsidR="00F04F07" w:rsidRPr="00810C49" w:rsidRDefault="00F04F07" w:rsidP="00F04F07">
            <w:pPr>
              <w:rPr>
                <w:b/>
                <w:sz w:val="19"/>
                <w:szCs w:val="19"/>
                <w:lang w:val="de-DE"/>
              </w:rPr>
            </w:pPr>
            <w:r w:rsidRPr="00810C49">
              <w:rPr>
                <w:b/>
                <w:bCs/>
                <w:sz w:val="19"/>
                <w:szCs w:val="19"/>
                <w:lang w:val="de-DE"/>
              </w:rPr>
              <w:t>Pre-Vaccination</w:t>
            </w:r>
          </w:p>
        </w:tc>
        <w:tc>
          <w:tcPr>
            <w:tcW w:w="1583" w:type="dxa"/>
            <w:gridSpan w:val="2"/>
            <w:tcBorders>
              <w:top w:val="single" w:sz="4" w:space="0" w:color="000000"/>
              <w:left w:val="single" w:sz="4" w:space="0" w:color="auto"/>
              <w:bottom w:val="single" w:sz="4" w:space="0" w:color="000000"/>
              <w:right w:val="single" w:sz="4" w:space="0" w:color="auto"/>
            </w:tcBorders>
            <w:shd w:val="clear" w:color="auto" w:fill="auto"/>
          </w:tcPr>
          <w:p w:rsidR="00F04F07" w:rsidRPr="00810C49" w:rsidRDefault="00F04F07" w:rsidP="00F04F07">
            <w:pPr>
              <w:rPr>
                <w:b/>
                <w:sz w:val="19"/>
                <w:szCs w:val="19"/>
                <w:lang w:val="de-DE"/>
              </w:rPr>
            </w:pPr>
            <w:r w:rsidRPr="00810C49">
              <w:rPr>
                <w:b/>
                <w:bCs/>
                <w:sz w:val="19"/>
                <w:szCs w:val="19"/>
                <w:lang w:val="de-DE"/>
              </w:rPr>
              <w:t>Post-Vaccination</w:t>
            </w:r>
          </w:p>
        </w:tc>
        <w:tc>
          <w:tcPr>
            <w:tcW w:w="2202" w:type="dxa"/>
            <w:gridSpan w:val="2"/>
            <w:tcBorders>
              <w:top w:val="single" w:sz="4" w:space="0" w:color="000000"/>
              <w:left w:val="single" w:sz="4" w:space="0" w:color="auto"/>
              <w:bottom w:val="single" w:sz="4" w:space="0" w:color="000000"/>
            </w:tcBorders>
            <w:shd w:val="clear" w:color="auto" w:fill="auto"/>
          </w:tcPr>
          <w:p w:rsidR="00F04F07" w:rsidRPr="00810C49" w:rsidRDefault="00F04F07" w:rsidP="00F04F07">
            <w:pPr>
              <w:rPr>
                <w:b/>
                <w:sz w:val="19"/>
                <w:szCs w:val="19"/>
                <w:lang w:val="de-DE"/>
              </w:rPr>
            </w:pPr>
            <w:r w:rsidRPr="00810C49">
              <w:rPr>
                <w:b/>
                <w:bCs/>
                <w:sz w:val="19"/>
                <w:szCs w:val="19"/>
                <w:lang w:val="de-DE"/>
              </w:rPr>
              <w:t>Booster response rates*</w:t>
            </w:r>
          </w:p>
        </w:tc>
      </w:tr>
      <w:tr w:rsidR="00F04F07" w:rsidRPr="00810C49" w:rsidTr="00810C49">
        <w:trPr>
          <w:cantSplit/>
          <w:trHeight w:hRule="exact" w:val="884"/>
          <w:tblHeader/>
          <w:jc w:val="center"/>
        </w:trPr>
        <w:tc>
          <w:tcPr>
            <w:tcW w:w="3118" w:type="dxa"/>
            <w:gridSpan w:val="2"/>
            <w:vMerge/>
            <w:tcBorders>
              <w:top w:val="single" w:sz="4" w:space="0" w:color="auto"/>
              <w:bottom w:val="single" w:sz="4" w:space="0" w:color="000000"/>
              <w:right w:val="single" w:sz="4" w:space="0" w:color="auto"/>
            </w:tcBorders>
            <w:shd w:val="clear" w:color="auto" w:fill="auto"/>
          </w:tcPr>
          <w:p w:rsidR="00F04F07" w:rsidRPr="00810C49" w:rsidRDefault="00F04F07" w:rsidP="00F04F07">
            <w:pPr>
              <w:rPr>
                <w:sz w:val="19"/>
                <w:szCs w:val="19"/>
                <w:lang w:val="en-US"/>
              </w:rPr>
            </w:pPr>
          </w:p>
        </w:tc>
        <w:tc>
          <w:tcPr>
            <w:tcW w:w="710" w:type="dxa"/>
            <w:tcBorders>
              <w:top w:val="single" w:sz="4" w:space="0" w:color="000000"/>
              <w:left w:val="single" w:sz="4" w:space="0" w:color="auto"/>
              <w:bottom w:val="single" w:sz="4" w:space="0" w:color="auto"/>
            </w:tcBorders>
            <w:shd w:val="clear" w:color="auto" w:fill="auto"/>
          </w:tcPr>
          <w:p w:rsidR="00F04F07" w:rsidRPr="00810C49" w:rsidRDefault="00F04F07" w:rsidP="00F04F07">
            <w:pPr>
              <w:rPr>
                <w:b/>
                <w:sz w:val="19"/>
                <w:szCs w:val="19"/>
                <w:lang w:val="en-US"/>
              </w:rPr>
            </w:pPr>
            <w:r w:rsidRPr="00810C49">
              <w:rPr>
                <w:b/>
                <w:sz w:val="19"/>
                <w:szCs w:val="19"/>
                <w:lang w:val="en-US"/>
              </w:rPr>
              <w:t>N</w:t>
            </w:r>
          </w:p>
        </w:tc>
        <w:tc>
          <w:tcPr>
            <w:tcW w:w="1252" w:type="dxa"/>
            <w:tcBorders>
              <w:top w:val="single" w:sz="4" w:space="0" w:color="000000"/>
              <w:bottom w:val="single" w:sz="4" w:space="0" w:color="auto"/>
              <w:right w:val="single" w:sz="4" w:space="0" w:color="auto"/>
            </w:tcBorders>
            <w:shd w:val="clear" w:color="auto" w:fill="auto"/>
          </w:tcPr>
          <w:p w:rsidR="00F04F07" w:rsidRPr="00810C49" w:rsidRDefault="00F04F07" w:rsidP="00F04F07">
            <w:pPr>
              <w:rPr>
                <w:b/>
                <w:sz w:val="19"/>
                <w:szCs w:val="19"/>
                <w:lang w:val="en-US"/>
              </w:rPr>
            </w:pPr>
            <w:r w:rsidRPr="00810C49">
              <w:rPr>
                <w:b/>
                <w:sz w:val="19"/>
                <w:szCs w:val="19"/>
                <w:lang w:val="en-US"/>
              </w:rPr>
              <w:t>GMCs</w:t>
            </w:r>
          </w:p>
          <w:p w:rsidR="00F04F07" w:rsidRPr="00810C49" w:rsidRDefault="00F04F07" w:rsidP="00F04F07">
            <w:pPr>
              <w:rPr>
                <w:b/>
                <w:sz w:val="19"/>
                <w:szCs w:val="19"/>
                <w:lang w:val="en-US"/>
              </w:rPr>
            </w:pPr>
            <w:r w:rsidRPr="00810C49">
              <w:rPr>
                <w:b/>
                <w:sz w:val="19"/>
                <w:szCs w:val="19"/>
                <w:lang w:val="en-US"/>
              </w:rPr>
              <w:t>(95% CI)</w:t>
            </w:r>
          </w:p>
        </w:tc>
        <w:tc>
          <w:tcPr>
            <w:tcW w:w="0" w:type="auto"/>
            <w:tcBorders>
              <w:top w:val="single" w:sz="4" w:space="0" w:color="000000"/>
              <w:left w:val="single" w:sz="4" w:space="0" w:color="auto"/>
              <w:bottom w:val="single" w:sz="4" w:space="0" w:color="auto"/>
            </w:tcBorders>
            <w:shd w:val="clear" w:color="auto" w:fill="auto"/>
          </w:tcPr>
          <w:p w:rsidR="00F04F07" w:rsidRPr="00810C49" w:rsidRDefault="00F04F07" w:rsidP="00F04F07">
            <w:pPr>
              <w:rPr>
                <w:b/>
                <w:sz w:val="19"/>
                <w:szCs w:val="19"/>
                <w:lang w:val="en-US"/>
              </w:rPr>
            </w:pPr>
            <w:r w:rsidRPr="00810C49">
              <w:rPr>
                <w:b/>
                <w:sz w:val="19"/>
                <w:szCs w:val="19"/>
                <w:lang w:val="en-US"/>
              </w:rPr>
              <w:t>N</w:t>
            </w:r>
          </w:p>
        </w:tc>
        <w:tc>
          <w:tcPr>
            <w:tcW w:w="1051" w:type="dxa"/>
            <w:tcBorders>
              <w:top w:val="single" w:sz="4" w:space="0" w:color="000000"/>
              <w:bottom w:val="single" w:sz="4" w:space="0" w:color="auto"/>
              <w:right w:val="single" w:sz="4" w:space="0" w:color="auto"/>
            </w:tcBorders>
            <w:shd w:val="clear" w:color="auto" w:fill="auto"/>
          </w:tcPr>
          <w:p w:rsidR="00F04F07" w:rsidRPr="00810C49" w:rsidRDefault="00F04F07" w:rsidP="00F04F07">
            <w:pPr>
              <w:rPr>
                <w:b/>
                <w:sz w:val="19"/>
                <w:szCs w:val="19"/>
                <w:lang w:val="en-US"/>
              </w:rPr>
            </w:pPr>
            <w:r w:rsidRPr="00810C49">
              <w:rPr>
                <w:b/>
                <w:sz w:val="19"/>
                <w:szCs w:val="19"/>
                <w:lang w:val="en-US"/>
              </w:rPr>
              <w:t>GMCs</w:t>
            </w:r>
          </w:p>
          <w:p w:rsidR="00F04F07" w:rsidRPr="00810C49" w:rsidRDefault="00F04F07" w:rsidP="00F04F07">
            <w:pPr>
              <w:rPr>
                <w:b/>
                <w:sz w:val="19"/>
                <w:szCs w:val="19"/>
                <w:lang w:val="en-US"/>
              </w:rPr>
            </w:pPr>
            <w:r w:rsidRPr="00810C49">
              <w:rPr>
                <w:b/>
                <w:sz w:val="19"/>
                <w:szCs w:val="19"/>
                <w:lang w:val="en-US"/>
              </w:rPr>
              <w:t>(95% CI)</w:t>
            </w:r>
          </w:p>
        </w:tc>
        <w:tc>
          <w:tcPr>
            <w:tcW w:w="892" w:type="dxa"/>
            <w:tcBorders>
              <w:top w:val="single" w:sz="4" w:space="0" w:color="000000"/>
              <w:left w:val="single" w:sz="4" w:space="0" w:color="auto"/>
              <w:bottom w:val="single" w:sz="4" w:space="0" w:color="auto"/>
            </w:tcBorders>
            <w:shd w:val="clear" w:color="auto" w:fill="auto"/>
          </w:tcPr>
          <w:p w:rsidR="00F04F07" w:rsidRPr="00810C49" w:rsidRDefault="00F04F07" w:rsidP="00F04F07">
            <w:pPr>
              <w:rPr>
                <w:b/>
                <w:sz w:val="19"/>
                <w:szCs w:val="19"/>
                <w:lang w:val="en-US"/>
              </w:rPr>
            </w:pPr>
            <w:r w:rsidRPr="00810C49">
              <w:rPr>
                <w:b/>
                <w:sz w:val="19"/>
                <w:szCs w:val="19"/>
                <w:lang w:val="en-US"/>
              </w:rPr>
              <w:t>N</w:t>
            </w:r>
          </w:p>
        </w:tc>
        <w:tc>
          <w:tcPr>
            <w:tcW w:w="1310" w:type="dxa"/>
            <w:tcBorders>
              <w:top w:val="single" w:sz="4" w:space="0" w:color="000000"/>
              <w:bottom w:val="single" w:sz="4" w:space="0" w:color="auto"/>
            </w:tcBorders>
            <w:shd w:val="clear" w:color="auto" w:fill="auto"/>
          </w:tcPr>
          <w:p w:rsidR="00F04F07" w:rsidRPr="00810C49" w:rsidRDefault="00F04F07" w:rsidP="00F04F07">
            <w:pPr>
              <w:rPr>
                <w:b/>
                <w:sz w:val="19"/>
                <w:szCs w:val="19"/>
                <w:lang w:val="en-US"/>
              </w:rPr>
            </w:pPr>
            <w:r w:rsidRPr="00810C49">
              <w:rPr>
                <w:b/>
                <w:sz w:val="19"/>
                <w:szCs w:val="19"/>
                <w:lang w:val="en-US"/>
              </w:rPr>
              <w:t xml:space="preserve">% </w:t>
            </w:r>
          </w:p>
          <w:p w:rsidR="00F04F07" w:rsidRPr="00810C49" w:rsidRDefault="00F04F07" w:rsidP="00F04F07">
            <w:pPr>
              <w:rPr>
                <w:b/>
                <w:sz w:val="19"/>
                <w:szCs w:val="19"/>
                <w:lang w:val="en-US"/>
              </w:rPr>
            </w:pPr>
            <w:r w:rsidRPr="00810C49">
              <w:rPr>
                <w:b/>
                <w:sz w:val="19"/>
                <w:szCs w:val="19"/>
                <w:lang w:val="en-US"/>
              </w:rPr>
              <w:t>(95% CI)</w:t>
            </w:r>
          </w:p>
        </w:tc>
      </w:tr>
      <w:tr w:rsidR="00F04F07" w:rsidRPr="00810C49" w:rsidTr="00810C49">
        <w:trPr>
          <w:cantSplit/>
          <w:trHeight w:hRule="exact" w:val="1271"/>
          <w:jc w:val="center"/>
        </w:trPr>
        <w:tc>
          <w:tcPr>
            <w:tcW w:w="1133" w:type="dxa"/>
            <w:vMerge w:val="restart"/>
            <w:tcBorders>
              <w:top w:val="single" w:sz="4" w:space="0" w:color="000000"/>
              <w:right w:val="single" w:sz="4" w:space="0" w:color="auto"/>
            </w:tcBorders>
            <w:shd w:val="clear" w:color="auto" w:fill="auto"/>
          </w:tcPr>
          <w:p w:rsidR="00F04F07" w:rsidRPr="00810C49" w:rsidRDefault="00F04F07" w:rsidP="00F04F07">
            <w:pPr>
              <w:rPr>
                <w:b/>
                <w:sz w:val="19"/>
                <w:szCs w:val="19"/>
                <w:lang w:val="en-US"/>
              </w:rPr>
            </w:pPr>
            <w:r w:rsidRPr="00810C49">
              <w:rPr>
                <w:b/>
                <w:sz w:val="19"/>
                <w:szCs w:val="19"/>
                <w:lang w:val="en-US"/>
              </w:rPr>
              <w:t>Anti-PT (EU/mL)</w:t>
            </w:r>
          </w:p>
        </w:tc>
        <w:tc>
          <w:tcPr>
            <w:tcW w:w="1985" w:type="dxa"/>
            <w:tcBorders>
              <w:top w:val="single" w:sz="4" w:space="0" w:color="000000"/>
              <w:left w:val="single" w:sz="4" w:space="0" w:color="auto"/>
              <w:bottom w:val="single" w:sz="4" w:space="0" w:color="auto"/>
              <w:right w:val="single" w:sz="4" w:space="0" w:color="auto"/>
            </w:tcBorders>
            <w:shd w:val="clear" w:color="auto" w:fill="auto"/>
          </w:tcPr>
          <w:p w:rsidR="00F04F07" w:rsidRPr="00810C49" w:rsidRDefault="00F04F07" w:rsidP="00F04F07">
            <w:pPr>
              <w:rPr>
                <w:b/>
                <w:sz w:val="19"/>
                <w:szCs w:val="19"/>
                <w:lang w:val="en-US"/>
              </w:rPr>
            </w:pPr>
            <w:proofErr w:type="spellStart"/>
            <w:r w:rsidRPr="00810C49">
              <w:rPr>
                <w:b/>
                <w:sz w:val="19"/>
                <w:szCs w:val="19"/>
                <w:lang w:val="en-US"/>
              </w:rPr>
              <w:t>dTpa</w:t>
            </w:r>
            <w:proofErr w:type="spellEnd"/>
            <w:r w:rsidRPr="00810C49">
              <w:rPr>
                <w:b/>
                <w:sz w:val="19"/>
                <w:szCs w:val="19"/>
                <w:lang w:val="en-US"/>
              </w:rPr>
              <w:t xml:space="preserve"> Repeat Dose</w:t>
            </w:r>
          </w:p>
        </w:tc>
        <w:tc>
          <w:tcPr>
            <w:tcW w:w="710" w:type="dxa"/>
            <w:tcBorders>
              <w:top w:val="single" w:sz="4" w:space="0" w:color="auto"/>
              <w:left w:val="single" w:sz="4" w:space="0" w:color="auto"/>
              <w:bottom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291</w:t>
            </w:r>
          </w:p>
        </w:tc>
        <w:tc>
          <w:tcPr>
            <w:tcW w:w="1252" w:type="dxa"/>
            <w:tcBorders>
              <w:top w:val="single" w:sz="4" w:space="0" w:color="auto"/>
              <w:bottom w:val="single" w:sz="4" w:space="0" w:color="auto"/>
              <w:right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15.1</w:t>
            </w:r>
          </w:p>
          <w:p w:rsidR="00F04F07" w:rsidRPr="00810C49" w:rsidRDefault="00F04F07" w:rsidP="00F04F07">
            <w:pPr>
              <w:rPr>
                <w:sz w:val="19"/>
                <w:szCs w:val="19"/>
                <w:lang w:val="en-US"/>
              </w:rPr>
            </w:pPr>
            <w:r w:rsidRPr="00810C49">
              <w:rPr>
                <w:sz w:val="19"/>
                <w:szCs w:val="19"/>
                <w:lang w:val="en-US"/>
              </w:rPr>
              <w:t>(12.9; 17.6)</w:t>
            </w:r>
          </w:p>
        </w:tc>
        <w:tc>
          <w:tcPr>
            <w:tcW w:w="0" w:type="auto"/>
            <w:tcBorders>
              <w:top w:val="single" w:sz="4" w:space="0" w:color="auto"/>
              <w:left w:val="single" w:sz="4" w:space="0" w:color="auto"/>
              <w:bottom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318</w:t>
            </w:r>
          </w:p>
        </w:tc>
        <w:tc>
          <w:tcPr>
            <w:tcW w:w="1051" w:type="dxa"/>
            <w:tcBorders>
              <w:top w:val="single" w:sz="4" w:space="0" w:color="auto"/>
              <w:bottom w:val="single" w:sz="4" w:space="0" w:color="auto"/>
              <w:right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116†</w:t>
            </w:r>
          </w:p>
          <w:p w:rsidR="00F04F07" w:rsidRPr="00810C49" w:rsidRDefault="00F04F07" w:rsidP="00F04F07">
            <w:pPr>
              <w:rPr>
                <w:sz w:val="19"/>
                <w:szCs w:val="19"/>
                <w:lang w:val="en-US"/>
              </w:rPr>
            </w:pPr>
            <w:r w:rsidRPr="00810C49">
              <w:rPr>
                <w:sz w:val="19"/>
                <w:szCs w:val="19"/>
                <w:lang w:val="en-US"/>
              </w:rPr>
              <w:t>(105; 129)</w:t>
            </w:r>
          </w:p>
        </w:tc>
        <w:tc>
          <w:tcPr>
            <w:tcW w:w="892" w:type="dxa"/>
            <w:tcBorders>
              <w:top w:val="single" w:sz="4" w:space="0" w:color="auto"/>
              <w:left w:val="single" w:sz="4" w:space="0" w:color="auto"/>
              <w:bottom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285</w:t>
            </w:r>
          </w:p>
        </w:tc>
        <w:tc>
          <w:tcPr>
            <w:tcW w:w="1310" w:type="dxa"/>
            <w:tcBorders>
              <w:top w:val="single" w:sz="4" w:space="0" w:color="auto"/>
              <w:bottom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87.7</w:t>
            </w:r>
          </w:p>
          <w:p w:rsidR="00F04F07" w:rsidRPr="00810C49" w:rsidRDefault="00F04F07" w:rsidP="00F04F07">
            <w:pPr>
              <w:rPr>
                <w:sz w:val="19"/>
                <w:szCs w:val="19"/>
                <w:lang w:val="en-US"/>
              </w:rPr>
            </w:pPr>
            <w:r w:rsidRPr="00810C49">
              <w:rPr>
                <w:sz w:val="19"/>
                <w:szCs w:val="19"/>
                <w:lang w:val="en-US"/>
              </w:rPr>
              <w:t>(83.3; 91.3)</w:t>
            </w:r>
          </w:p>
        </w:tc>
      </w:tr>
      <w:tr w:rsidR="00F04F07" w:rsidRPr="00810C49" w:rsidTr="00810C49">
        <w:trPr>
          <w:cantSplit/>
          <w:trHeight w:hRule="exact" w:val="1262"/>
          <w:jc w:val="center"/>
        </w:trPr>
        <w:tc>
          <w:tcPr>
            <w:tcW w:w="1133" w:type="dxa"/>
            <w:vMerge/>
            <w:tcBorders>
              <w:bottom w:val="nil"/>
              <w:right w:val="single" w:sz="4" w:space="0" w:color="auto"/>
            </w:tcBorders>
            <w:shd w:val="clear" w:color="auto" w:fill="auto"/>
          </w:tcPr>
          <w:p w:rsidR="00F04F07" w:rsidRPr="00810C49" w:rsidRDefault="00F04F07" w:rsidP="00F04F07">
            <w:pPr>
              <w:rPr>
                <w:b/>
                <w:sz w:val="19"/>
                <w:szCs w:val="19"/>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04F07" w:rsidRPr="00810C49" w:rsidRDefault="00F04F07" w:rsidP="00F04F07">
            <w:pPr>
              <w:rPr>
                <w:b/>
                <w:sz w:val="19"/>
                <w:szCs w:val="19"/>
                <w:lang w:val="en-US"/>
              </w:rPr>
            </w:pPr>
            <w:proofErr w:type="spellStart"/>
            <w:r w:rsidRPr="00810C49">
              <w:rPr>
                <w:b/>
                <w:sz w:val="19"/>
                <w:szCs w:val="19"/>
                <w:lang w:val="en-US"/>
              </w:rPr>
              <w:t>dTpa</w:t>
            </w:r>
            <w:proofErr w:type="spellEnd"/>
            <w:r w:rsidRPr="00810C49">
              <w:rPr>
                <w:b/>
                <w:sz w:val="19"/>
                <w:szCs w:val="19"/>
                <w:lang w:val="en-US"/>
              </w:rPr>
              <w:t xml:space="preserve"> Naïve</w:t>
            </w:r>
          </w:p>
        </w:tc>
        <w:tc>
          <w:tcPr>
            <w:tcW w:w="710" w:type="dxa"/>
            <w:tcBorders>
              <w:top w:val="single" w:sz="4" w:space="0" w:color="auto"/>
              <w:left w:val="single" w:sz="4" w:space="0" w:color="auto"/>
              <w:bottom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353</w:t>
            </w:r>
          </w:p>
        </w:tc>
        <w:tc>
          <w:tcPr>
            <w:tcW w:w="1252" w:type="dxa"/>
            <w:tcBorders>
              <w:top w:val="single" w:sz="4" w:space="0" w:color="auto"/>
              <w:bottom w:val="single" w:sz="4" w:space="0" w:color="auto"/>
              <w:right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9.42</w:t>
            </w:r>
          </w:p>
          <w:p w:rsidR="00F04F07" w:rsidRPr="00810C49" w:rsidRDefault="00F04F07" w:rsidP="00F04F07">
            <w:pPr>
              <w:rPr>
                <w:sz w:val="19"/>
                <w:szCs w:val="19"/>
                <w:lang w:val="en-US"/>
              </w:rPr>
            </w:pPr>
            <w:r w:rsidRPr="00810C49">
              <w:rPr>
                <w:sz w:val="19"/>
                <w:szCs w:val="19"/>
                <w:lang w:val="en-US"/>
              </w:rPr>
              <w:t>(8.20; 10.8)</w:t>
            </w:r>
          </w:p>
        </w:tc>
        <w:tc>
          <w:tcPr>
            <w:tcW w:w="0" w:type="auto"/>
            <w:tcBorders>
              <w:top w:val="single" w:sz="4" w:space="0" w:color="auto"/>
              <w:left w:val="single" w:sz="4" w:space="0" w:color="auto"/>
              <w:bottom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357</w:t>
            </w:r>
          </w:p>
        </w:tc>
        <w:tc>
          <w:tcPr>
            <w:tcW w:w="1051" w:type="dxa"/>
            <w:tcBorders>
              <w:top w:val="single" w:sz="4" w:space="0" w:color="auto"/>
              <w:bottom w:val="single" w:sz="4" w:space="0" w:color="auto"/>
              <w:right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89.2</w:t>
            </w:r>
          </w:p>
          <w:p w:rsidR="00F04F07" w:rsidRPr="00810C49" w:rsidRDefault="00F04F07" w:rsidP="00F04F07">
            <w:pPr>
              <w:rPr>
                <w:sz w:val="19"/>
                <w:szCs w:val="19"/>
                <w:lang w:val="en-US"/>
              </w:rPr>
            </w:pPr>
            <w:r w:rsidRPr="00810C49">
              <w:rPr>
                <w:sz w:val="19"/>
                <w:szCs w:val="19"/>
                <w:lang w:val="en-US"/>
              </w:rPr>
              <w:t>(80.2; 99.3)</w:t>
            </w:r>
          </w:p>
        </w:tc>
        <w:tc>
          <w:tcPr>
            <w:tcW w:w="892" w:type="dxa"/>
            <w:tcBorders>
              <w:top w:val="single" w:sz="4" w:space="0" w:color="auto"/>
              <w:left w:val="single" w:sz="4" w:space="0" w:color="auto"/>
              <w:bottom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330</w:t>
            </w:r>
          </w:p>
        </w:tc>
        <w:tc>
          <w:tcPr>
            <w:tcW w:w="1310" w:type="dxa"/>
            <w:tcBorders>
              <w:top w:val="single" w:sz="4" w:space="0" w:color="auto"/>
              <w:bottom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84.2</w:t>
            </w:r>
          </w:p>
          <w:p w:rsidR="00F04F07" w:rsidRPr="00810C49" w:rsidRDefault="00F04F07" w:rsidP="00F04F07">
            <w:pPr>
              <w:rPr>
                <w:sz w:val="19"/>
                <w:szCs w:val="19"/>
                <w:lang w:val="en-US"/>
              </w:rPr>
            </w:pPr>
            <w:r w:rsidRPr="00810C49">
              <w:rPr>
                <w:sz w:val="19"/>
                <w:szCs w:val="19"/>
                <w:lang w:val="en-US"/>
              </w:rPr>
              <w:t>(79.9; 88.0)</w:t>
            </w:r>
          </w:p>
        </w:tc>
      </w:tr>
      <w:tr w:rsidR="00F04F07" w:rsidRPr="00810C49" w:rsidTr="00810C49">
        <w:trPr>
          <w:cantSplit/>
          <w:trHeight w:hRule="exact" w:val="1280"/>
          <w:jc w:val="center"/>
        </w:trPr>
        <w:tc>
          <w:tcPr>
            <w:tcW w:w="1133" w:type="dxa"/>
            <w:vMerge w:val="restart"/>
            <w:tcBorders>
              <w:top w:val="single" w:sz="4" w:space="0" w:color="auto"/>
              <w:right w:val="single" w:sz="4" w:space="0" w:color="auto"/>
            </w:tcBorders>
            <w:shd w:val="clear" w:color="auto" w:fill="auto"/>
          </w:tcPr>
          <w:p w:rsidR="00F04F07" w:rsidRPr="00810C49" w:rsidRDefault="00F04F07" w:rsidP="00F04F07">
            <w:pPr>
              <w:rPr>
                <w:b/>
                <w:sz w:val="19"/>
                <w:szCs w:val="19"/>
                <w:lang w:val="en-US"/>
              </w:rPr>
            </w:pPr>
            <w:r w:rsidRPr="00810C49">
              <w:rPr>
                <w:b/>
                <w:sz w:val="19"/>
                <w:szCs w:val="19"/>
                <w:lang w:val="en-US"/>
              </w:rPr>
              <w:t>Anti-FHA (EU/mL)</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04F07" w:rsidRPr="00810C49" w:rsidRDefault="00F04F07" w:rsidP="00F04F07">
            <w:pPr>
              <w:rPr>
                <w:b/>
                <w:sz w:val="19"/>
                <w:szCs w:val="19"/>
                <w:lang w:val="en-US"/>
              </w:rPr>
            </w:pPr>
            <w:proofErr w:type="spellStart"/>
            <w:r w:rsidRPr="00810C49">
              <w:rPr>
                <w:b/>
                <w:sz w:val="19"/>
                <w:szCs w:val="19"/>
                <w:lang w:val="en-US"/>
              </w:rPr>
              <w:t>dTpa</w:t>
            </w:r>
            <w:proofErr w:type="spellEnd"/>
            <w:r w:rsidRPr="00810C49">
              <w:rPr>
                <w:b/>
                <w:sz w:val="19"/>
                <w:szCs w:val="19"/>
                <w:lang w:val="en-US"/>
              </w:rPr>
              <w:t xml:space="preserve"> Repeat Dose</w:t>
            </w:r>
          </w:p>
        </w:tc>
        <w:tc>
          <w:tcPr>
            <w:tcW w:w="710" w:type="dxa"/>
            <w:tcBorders>
              <w:top w:val="single" w:sz="4" w:space="0" w:color="auto"/>
              <w:left w:val="single" w:sz="4" w:space="0" w:color="auto"/>
              <w:bottom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324</w:t>
            </w:r>
          </w:p>
        </w:tc>
        <w:tc>
          <w:tcPr>
            <w:tcW w:w="1252" w:type="dxa"/>
            <w:tcBorders>
              <w:top w:val="single" w:sz="4" w:space="0" w:color="auto"/>
              <w:bottom w:val="single" w:sz="4" w:space="0" w:color="auto"/>
              <w:right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34.8</w:t>
            </w:r>
          </w:p>
          <w:p w:rsidR="00F04F07" w:rsidRPr="00810C49" w:rsidRDefault="00F04F07" w:rsidP="00F04F07">
            <w:pPr>
              <w:rPr>
                <w:sz w:val="19"/>
                <w:szCs w:val="19"/>
                <w:lang w:val="en-US"/>
              </w:rPr>
            </w:pPr>
            <w:r w:rsidRPr="00810C49">
              <w:rPr>
                <w:sz w:val="19"/>
                <w:szCs w:val="19"/>
                <w:lang w:val="en-US"/>
              </w:rPr>
              <w:t>(31.2; 38.7)</w:t>
            </w:r>
          </w:p>
        </w:tc>
        <w:tc>
          <w:tcPr>
            <w:tcW w:w="0" w:type="auto"/>
            <w:tcBorders>
              <w:top w:val="single" w:sz="4" w:space="0" w:color="auto"/>
              <w:left w:val="single" w:sz="4" w:space="0" w:color="auto"/>
              <w:bottom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324</w:t>
            </w:r>
          </w:p>
        </w:tc>
        <w:tc>
          <w:tcPr>
            <w:tcW w:w="1051" w:type="dxa"/>
            <w:tcBorders>
              <w:top w:val="single" w:sz="4" w:space="0" w:color="auto"/>
              <w:bottom w:val="single" w:sz="4" w:space="0" w:color="auto"/>
              <w:right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214†</w:t>
            </w:r>
          </w:p>
          <w:p w:rsidR="00F04F07" w:rsidRPr="00810C49" w:rsidRDefault="00F04F07" w:rsidP="00F04F07">
            <w:pPr>
              <w:rPr>
                <w:sz w:val="19"/>
                <w:szCs w:val="19"/>
                <w:lang w:val="en-US"/>
              </w:rPr>
            </w:pPr>
            <w:r w:rsidRPr="00810C49">
              <w:rPr>
                <w:sz w:val="19"/>
                <w:szCs w:val="19"/>
                <w:lang w:val="en-US"/>
              </w:rPr>
              <w:t>(199; 231)</w:t>
            </w:r>
          </w:p>
        </w:tc>
        <w:tc>
          <w:tcPr>
            <w:tcW w:w="892" w:type="dxa"/>
            <w:tcBorders>
              <w:top w:val="single" w:sz="4" w:space="0" w:color="auto"/>
              <w:left w:val="single" w:sz="4" w:space="0" w:color="auto"/>
              <w:bottom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324</w:t>
            </w:r>
          </w:p>
        </w:tc>
        <w:tc>
          <w:tcPr>
            <w:tcW w:w="1310" w:type="dxa"/>
            <w:tcBorders>
              <w:top w:val="single" w:sz="4" w:space="0" w:color="auto"/>
              <w:bottom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88.0</w:t>
            </w:r>
          </w:p>
          <w:p w:rsidR="00F04F07" w:rsidRPr="00810C49" w:rsidRDefault="00F04F07" w:rsidP="00F04F07">
            <w:pPr>
              <w:rPr>
                <w:sz w:val="19"/>
                <w:szCs w:val="19"/>
                <w:lang w:val="en-US"/>
              </w:rPr>
            </w:pPr>
            <w:r w:rsidRPr="00810C49">
              <w:rPr>
                <w:sz w:val="19"/>
                <w:szCs w:val="19"/>
                <w:lang w:val="en-US"/>
              </w:rPr>
              <w:t>(83.9; 91.3)</w:t>
            </w:r>
          </w:p>
        </w:tc>
      </w:tr>
      <w:tr w:rsidR="00F04F07" w:rsidRPr="00810C49" w:rsidTr="00810C49">
        <w:trPr>
          <w:cantSplit/>
          <w:trHeight w:hRule="exact" w:val="1270"/>
          <w:jc w:val="center"/>
        </w:trPr>
        <w:tc>
          <w:tcPr>
            <w:tcW w:w="1133" w:type="dxa"/>
            <w:vMerge/>
            <w:tcBorders>
              <w:bottom w:val="single" w:sz="4" w:space="0" w:color="auto"/>
              <w:right w:val="single" w:sz="4" w:space="0" w:color="auto"/>
            </w:tcBorders>
            <w:shd w:val="clear" w:color="auto" w:fill="auto"/>
          </w:tcPr>
          <w:p w:rsidR="00F04F07" w:rsidRPr="00810C49" w:rsidRDefault="00F04F07" w:rsidP="00F04F07">
            <w:pPr>
              <w:rPr>
                <w:b/>
                <w:sz w:val="19"/>
                <w:szCs w:val="19"/>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04F07" w:rsidRPr="00810C49" w:rsidRDefault="00F04F07" w:rsidP="00F04F07">
            <w:pPr>
              <w:rPr>
                <w:b/>
                <w:sz w:val="19"/>
                <w:szCs w:val="19"/>
                <w:lang w:val="en-US"/>
              </w:rPr>
            </w:pPr>
            <w:proofErr w:type="spellStart"/>
            <w:r w:rsidRPr="00810C49">
              <w:rPr>
                <w:b/>
                <w:sz w:val="19"/>
                <w:szCs w:val="19"/>
                <w:lang w:val="en-US"/>
              </w:rPr>
              <w:t>dTpa</w:t>
            </w:r>
            <w:proofErr w:type="spellEnd"/>
            <w:r w:rsidRPr="00810C49">
              <w:rPr>
                <w:b/>
                <w:sz w:val="19"/>
                <w:szCs w:val="19"/>
                <w:lang w:val="en-US"/>
              </w:rPr>
              <w:t xml:space="preserve"> Naïve</w:t>
            </w:r>
          </w:p>
        </w:tc>
        <w:tc>
          <w:tcPr>
            <w:tcW w:w="710" w:type="dxa"/>
            <w:tcBorders>
              <w:top w:val="single" w:sz="4" w:space="0" w:color="auto"/>
              <w:left w:val="single" w:sz="4" w:space="0" w:color="auto"/>
              <w:bottom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380</w:t>
            </w:r>
          </w:p>
        </w:tc>
        <w:tc>
          <w:tcPr>
            <w:tcW w:w="1252" w:type="dxa"/>
            <w:tcBorders>
              <w:top w:val="single" w:sz="4" w:space="0" w:color="auto"/>
              <w:bottom w:val="single" w:sz="4" w:space="0" w:color="auto"/>
              <w:right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20.0</w:t>
            </w:r>
          </w:p>
          <w:p w:rsidR="00F04F07" w:rsidRPr="00810C49" w:rsidRDefault="00F04F07" w:rsidP="00F04F07">
            <w:pPr>
              <w:rPr>
                <w:sz w:val="19"/>
                <w:szCs w:val="19"/>
                <w:lang w:val="en-US"/>
              </w:rPr>
            </w:pPr>
            <w:r w:rsidRPr="00810C49">
              <w:rPr>
                <w:sz w:val="19"/>
                <w:szCs w:val="19"/>
                <w:lang w:val="en-US"/>
              </w:rPr>
              <w:t>(17.7; 22.5)</w:t>
            </w:r>
          </w:p>
        </w:tc>
        <w:tc>
          <w:tcPr>
            <w:tcW w:w="0" w:type="auto"/>
            <w:tcBorders>
              <w:top w:val="single" w:sz="4" w:space="0" w:color="auto"/>
              <w:left w:val="single" w:sz="4" w:space="0" w:color="auto"/>
              <w:bottom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380</w:t>
            </w:r>
          </w:p>
        </w:tc>
        <w:tc>
          <w:tcPr>
            <w:tcW w:w="1051" w:type="dxa"/>
            <w:tcBorders>
              <w:top w:val="single" w:sz="4" w:space="0" w:color="auto"/>
              <w:bottom w:val="single" w:sz="4" w:space="0" w:color="auto"/>
              <w:right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249</w:t>
            </w:r>
          </w:p>
          <w:p w:rsidR="00F04F07" w:rsidRPr="00810C49" w:rsidRDefault="00F04F07" w:rsidP="00F04F07">
            <w:pPr>
              <w:rPr>
                <w:sz w:val="19"/>
                <w:szCs w:val="19"/>
                <w:lang w:val="en-US"/>
              </w:rPr>
            </w:pPr>
            <w:r w:rsidRPr="00810C49">
              <w:rPr>
                <w:sz w:val="19"/>
                <w:szCs w:val="19"/>
                <w:lang w:val="en-US"/>
              </w:rPr>
              <w:t>(229; 272)</w:t>
            </w:r>
          </w:p>
        </w:tc>
        <w:tc>
          <w:tcPr>
            <w:tcW w:w="892" w:type="dxa"/>
            <w:tcBorders>
              <w:top w:val="single" w:sz="4" w:space="0" w:color="auto"/>
              <w:left w:val="single" w:sz="4" w:space="0" w:color="auto"/>
              <w:bottom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379</w:t>
            </w:r>
          </w:p>
        </w:tc>
        <w:tc>
          <w:tcPr>
            <w:tcW w:w="1310" w:type="dxa"/>
            <w:tcBorders>
              <w:top w:val="single" w:sz="4" w:space="0" w:color="auto"/>
              <w:bottom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93.9</w:t>
            </w:r>
          </w:p>
          <w:p w:rsidR="00F04F07" w:rsidRPr="00810C49" w:rsidRDefault="00F04F07" w:rsidP="00F04F07">
            <w:pPr>
              <w:rPr>
                <w:sz w:val="19"/>
                <w:szCs w:val="19"/>
                <w:lang w:val="en-US"/>
              </w:rPr>
            </w:pPr>
            <w:r w:rsidRPr="00810C49">
              <w:rPr>
                <w:sz w:val="19"/>
                <w:szCs w:val="19"/>
                <w:lang w:val="en-US"/>
              </w:rPr>
              <w:t>(91.0; 96.1)</w:t>
            </w:r>
          </w:p>
        </w:tc>
      </w:tr>
      <w:tr w:rsidR="00F04F07" w:rsidRPr="00810C49" w:rsidTr="00810C49">
        <w:trPr>
          <w:cantSplit/>
          <w:trHeight w:hRule="exact" w:val="1287"/>
          <w:jc w:val="center"/>
        </w:trPr>
        <w:tc>
          <w:tcPr>
            <w:tcW w:w="1133" w:type="dxa"/>
            <w:vMerge w:val="restart"/>
            <w:tcBorders>
              <w:top w:val="single" w:sz="4" w:space="0" w:color="auto"/>
              <w:bottom w:val="single" w:sz="12" w:space="0" w:color="auto"/>
              <w:right w:val="single" w:sz="4" w:space="0" w:color="auto"/>
            </w:tcBorders>
            <w:shd w:val="clear" w:color="auto" w:fill="auto"/>
          </w:tcPr>
          <w:p w:rsidR="00F04F07" w:rsidRPr="00810C49" w:rsidRDefault="00F04F07" w:rsidP="00F04F07">
            <w:pPr>
              <w:rPr>
                <w:b/>
                <w:sz w:val="19"/>
                <w:szCs w:val="19"/>
                <w:lang w:val="en-US"/>
              </w:rPr>
            </w:pPr>
            <w:r w:rsidRPr="00810C49">
              <w:rPr>
                <w:b/>
                <w:sz w:val="19"/>
                <w:szCs w:val="19"/>
                <w:lang w:val="en-US"/>
              </w:rPr>
              <w:t>Anti-PRN (EU/mL)</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04F07" w:rsidRPr="00810C49" w:rsidRDefault="00F04F07" w:rsidP="00F04F07">
            <w:pPr>
              <w:rPr>
                <w:b/>
                <w:sz w:val="19"/>
                <w:szCs w:val="19"/>
                <w:lang w:val="en-US"/>
              </w:rPr>
            </w:pPr>
            <w:proofErr w:type="spellStart"/>
            <w:r w:rsidRPr="00810C49">
              <w:rPr>
                <w:b/>
                <w:sz w:val="19"/>
                <w:szCs w:val="19"/>
                <w:lang w:val="en-US"/>
              </w:rPr>
              <w:t>dTpa</w:t>
            </w:r>
            <w:proofErr w:type="spellEnd"/>
            <w:r w:rsidRPr="00810C49">
              <w:rPr>
                <w:b/>
                <w:sz w:val="19"/>
                <w:szCs w:val="19"/>
                <w:lang w:val="en-US"/>
              </w:rPr>
              <w:t xml:space="preserve"> Repeat Dose</w:t>
            </w:r>
          </w:p>
        </w:tc>
        <w:tc>
          <w:tcPr>
            <w:tcW w:w="710" w:type="dxa"/>
            <w:tcBorders>
              <w:top w:val="single" w:sz="4" w:space="0" w:color="auto"/>
              <w:left w:val="single" w:sz="4" w:space="0" w:color="auto"/>
              <w:bottom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324</w:t>
            </w:r>
          </w:p>
        </w:tc>
        <w:tc>
          <w:tcPr>
            <w:tcW w:w="1252" w:type="dxa"/>
            <w:tcBorders>
              <w:top w:val="single" w:sz="4" w:space="0" w:color="auto"/>
              <w:bottom w:val="single" w:sz="4" w:space="0" w:color="auto"/>
              <w:right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28.2</w:t>
            </w:r>
          </w:p>
          <w:p w:rsidR="00F04F07" w:rsidRPr="00810C49" w:rsidRDefault="00F04F07" w:rsidP="00F04F07">
            <w:pPr>
              <w:rPr>
                <w:sz w:val="19"/>
                <w:szCs w:val="19"/>
                <w:lang w:val="en-US"/>
              </w:rPr>
            </w:pPr>
            <w:r w:rsidRPr="00810C49">
              <w:rPr>
                <w:sz w:val="19"/>
                <w:szCs w:val="19"/>
                <w:lang w:val="en-US"/>
              </w:rPr>
              <w:t>(24.4; 32.7)</w:t>
            </w:r>
          </w:p>
        </w:tc>
        <w:tc>
          <w:tcPr>
            <w:tcW w:w="0" w:type="auto"/>
            <w:tcBorders>
              <w:top w:val="single" w:sz="4" w:space="0" w:color="auto"/>
              <w:left w:val="single" w:sz="4" w:space="0" w:color="auto"/>
              <w:bottom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324</w:t>
            </w:r>
          </w:p>
        </w:tc>
        <w:tc>
          <w:tcPr>
            <w:tcW w:w="1051" w:type="dxa"/>
            <w:tcBorders>
              <w:top w:val="single" w:sz="4" w:space="0" w:color="auto"/>
              <w:bottom w:val="single" w:sz="4" w:space="0" w:color="auto"/>
              <w:right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266†</w:t>
            </w:r>
          </w:p>
          <w:p w:rsidR="00F04F07" w:rsidRPr="00810C49" w:rsidRDefault="00F04F07" w:rsidP="00F04F07">
            <w:pPr>
              <w:rPr>
                <w:sz w:val="19"/>
                <w:szCs w:val="19"/>
                <w:lang w:val="en-US"/>
              </w:rPr>
            </w:pPr>
            <w:r w:rsidRPr="00810C49">
              <w:rPr>
                <w:sz w:val="19"/>
                <w:szCs w:val="19"/>
                <w:lang w:val="en-US"/>
              </w:rPr>
              <w:t>(243; 292)</w:t>
            </w:r>
          </w:p>
        </w:tc>
        <w:tc>
          <w:tcPr>
            <w:tcW w:w="892" w:type="dxa"/>
            <w:tcBorders>
              <w:top w:val="single" w:sz="4" w:space="0" w:color="auto"/>
              <w:left w:val="single" w:sz="4" w:space="0" w:color="auto"/>
              <w:bottom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324</w:t>
            </w:r>
          </w:p>
        </w:tc>
        <w:tc>
          <w:tcPr>
            <w:tcW w:w="1310" w:type="dxa"/>
            <w:tcBorders>
              <w:top w:val="single" w:sz="4" w:space="0" w:color="auto"/>
              <w:bottom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90.4</w:t>
            </w:r>
          </w:p>
          <w:p w:rsidR="00F04F07" w:rsidRPr="00810C49" w:rsidRDefault="00F04F07" w:rsidP="00F04F07">
            <w:pPr>
              <w:rPr>
                <w:sz w:val="19"/>
                <w:szCs w:val="19"/>
                <w:lang w:val="en-US"/>
              </w:rPr>
            </w:pPr>
            <w:r w:rsidRPr="00810C49">
              <w:rPr>
                <w:sz w:val="19"/>
                <w:szCs w:val="19"/>
                <w:lang w:val="en-US"/>
              </w:rPr>
              <w:t>(86.7; 93.4)</w:t>
            </w:r>
          </w:p>
        </w:tc>
      </w:tr>
      <w:tr w:rsidR="00F04F07" w:rsidRPr="00810C49" w:rsidTr="00810C49">
        <w:trPr>
          <w:cantSplit/>
          <w:trHeight w:hRule="exact" w:val="1284"/>
          <w:jc w:val="center"/>
        </w:trPr>
        <w:tc>
          <w:tcPr>
            <w:tcW w:w="1133" w:type="dxa"/>
            <w:vMerge/>
            <w:tcBorders>
              <w:bottom w:val="single" w:sz="4" w:space="0" w:color="auto"/>
              <w:right w:val="single" w:sz="4" w:space="0" w:color="auto"/>
            </w:tcBorders>
            <w:shd w:val="clear" w:color="auto" w:fill="auto"/>
          </w:tcPr>
          <w:p w:rsidR="00F04F07" w:rsidRPr="00810C49" w:rsidRDefault="00F04F07" w:rsidP="00F04F07">
            <w:pPr>
              <w:rPr>
                <w:b/>
                <w:sz w:val="19"/>
                <w:szCs w:val="19"/>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04F07" w:rsidRPr="00810C49" w:rsidRDefault="00F04F07" w:rsidP="00F04F07">
            <w:pPr>
              <w:rPr>
                <w:b/>
                <w:sz w:val="19"/>
                <w:szCs w:val="19"/>
                <w:lang w:val="en-US"/>
              </w:rPr>
            </w:pPr>
            <w:proofErr w:type="spellStart"/>
            <w:r w:rsidRPr="00810C49">
              <w:rPr>
                <w:b/>
                <w:sz w:val="19"/>
                <w:szCs w:val="19"/>
                <w:lang w:val="en-US"/>
              </w:rPr>
              <w:t>dTpa</w:t>
            </w:r>
            <w:proofErr w:type="spellEnd"/>
            <w:r w:rsidRPr="00810C49">
              <w:rPr>
                <w:b/>
                <w:sz w:val="19"/>
                <w:szCs w:val="19"/>
                <w:lang w:val="en-US"/>
              </w:rPr>
              <w:t xml:space="preserve"> Naïve</w:t>
            </w:r>
          </w:p>
        </w:tc>
        <w:tc>
          <w:tcPr>
            <w:tcW w:w="710" w:type="dxa"/>
            <w:tcBorders>
              <w:top w:val="single" w:sz="4" w:space="0" w:color="auto"/>
              <w:left w:val="single" w:sz="4" w:space="0" w:color="auto"/>
              <w:bottom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381</w:t>
            </w:r>
          </w:p>
        </w:tc>
        <w:tc>
          <w:tcPr>
            <w:tcW w:w="1252" w:type="dxa"/>
            <w:tcBorders>
              <w:top w:val="single" w:sz="4" w:space="0" w:color="auto"/>
              <w:bottom w:val="single" w:sz="4" w:space="0" w:color="auto"/>
              <w:right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8.54</w:t>
            </w:r>
          </w:p>
          <w:p w:rsidR="00F04F07" w:rsidRPr="00810C49" w:rsidRDefault="00F04F07" w:rsidP="00F04F07">
            <w:pPr>
              <w:rPr>
                <w:sz w:val="19"/>
                <w:szCs w:val="19"/>
                <w:lang w:val="en-US"/>
              </w:rPr>
            </w:pPr>
            <w:r w:rsidRPr="00810C49">
              <w:rPr>
                <w:sz w:val="19"/>
                <w:szCs w:val="19"/>
                <w:lang w:val="en-US"/>
              </w:rPr>
              <w:t>(7.41; 9.85)</w:t>
            </w:r>
          </w:p>
        </w:tc>
        <w:tc>
          <w:tcPr>
            <w:tcW w:w="0" w:type="auto"/>
            <w:tcBorders>
              <w:top w:val="single" w:sz="4" w:space="0" w:color="auto"/>
              <w:left w:val="single" w:sz="4" w:space="0" w:color="auto"/>
              <w:bottom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381</w:t>
            </w:r>
          </w:p>
        </w:tc>
        <w:tc>
          <w:tcPr>
            <w:tcW w:w="1051" w:type="dxa"/>
            <w:tcBorders>
              <w:top w:val="single" w:sz="4" w:space="0" w:color="auto"/>
              <w:bottom w:val="single" w:sz="4" w:space="0" w:color="auto"/>
              <w:right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216</w:t>
            </w:r>
          </w:p>
          <w:p w:rsidR="00F04F07" w:rsidRPr="00810C49" w:rsidRDefault="00F04F07" w:rsidP="00F04F07">
            <w:pPr>
              <w:rPr>
                <w:sz w:val="19"/>
                <w:szCs w:val="19"/>
                <w:lang w:val="en-US"/>
              </w:rPr>
            </w:pPr>
            <w:r w:rsidRPr="00810C49">
              <w:rPr>
                <w:sz w:val="19"/>
                <w:szCs w:val="19"/>
                <w:lang w:val="en-US"/>
              </w:rPr>
              <w:t>(188; 247)</w:t>
            </w:r>
          </w:p>
        </w:tc>
        <w:tc>
          <w:tcPr>
            <w:tcW w:w="892" w:type="dxa"/>
            <w:tcBorders>
              <w:top w:val="single" w:sz="4" w:space="0" w:color="auto"/>
              <w:left w:val="single" w:sz="4" w:space="0" w:color="auto"/>
              <w:bottom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381</w:t>
            </w:r>
          </w:p>
        </w:tc>
        <w:tc>
          <w:tcPr>
            <w:tcW w:w="1310" w:type="dxa"/>
            <w:tcBorders>
              <w:top w:val="single" w:sz="4" w:space="0" w:color="auto"/>
              <w:bottom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92.7</w:t>
            </w:r>
          </w:p>
          <w:p w:rsidR="00F04F07" w:rsidRPr="00810C49" w:rsidRDefault="00F04F07" w:rsidP="00F04F07">
            <w:pPr>
              <w:rPr>
                <w:sz w:val="19"/>
                <w:szCs w:val="19"/>
                <w:lang w:val="en-US"/>
              </w:rPr>
            </w:pPr>
            <w:r w:rsidRPr="00810C49">
              <w:rPr>
                <w:sz w:val="19"/>
                <w:szCs w:val="19"/>
                <w:lang w:val="en-US"/>
              </w:rPr>
              <w:t>(89.6; 95.1)</w:t>
            </w:r>
          </w:p>
        </w:tc>
      </w:tr>
      <w:tr w:rsidR="00F04F07" w:rsidRPr="00810C49" w:rsidTr="00810C49">
        <w:trPr>
          <w:cantSplit/>
          <w:trHeight w:hRule="exact" w:val="1096"/>
          <w:jc w:val="center"/>
        </w:trPr>
        <w:tc>
          <w:tcPr>
            <w:tcW w:w="1133" w:type="dxa"/>
            <w:vMerge w:val="restart"/>
            <w:tcBorders>
              <w:top w:val="single" w:sz="4" w:space="0" w:color="auto"/>
              <w:bottom w:val="single" w:sz="4" w:space="0" w:color="auto"/>
              <w:right w:val="single" w:sz="4" w:space="0" w:color="auto"/>
            </w:tcBorders>
            <w:shd w:val="clear" w:color="auto" w:fill="auto"/>
          </w:tcPr>
          <w:p w:rsidR="00F04F07" w:rsidRPr="00810C49" w:rsidRDefault="00F04F07" w:rsidP="00F04F07">
            <w:pPr>
              <w:rPr>
                <w:b/>
                <w:sz w:val="19"/>
                <w:szCs w:val="19"/>
                <w:lang w:val="en-US"/>
              </w:rPr>
            </w:pPr>
            <w:r w:rsidRPr="00810C49">
              <w:rPr>
                <w:b/>
                <w:sz w:val="19"/>
                <w:szCs w:val="19"/>
                <w:lang w:val="en-US"/>
              </w:rPr>
              <w:lastRenderedPageBreak/>
              <w:t>Anti-FIM (EU/mL)</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04F07" w:rsidRPr="00810C49" w:rsidRDefault="00F04F07" w:rsidP="00F04F07">
            <w:pPr>
              <w:rPr>
                <w:b/>
                <w:sz w:val="19"/>
                <w:szCs w:val="19"/>
                <w:lang w:val="en-US"/>
              </w:rPr>
            </w:pPr>
            <w:proofErr w:type="spellStart"/>
            <w:r w:rsidRPr="00810C49">
              <w:rPr>
                <w:b/>
                <w:sz w:val="19"/>
                <w:szCs w:val="19"/>
                <w:lang w:val="en-US"/>
              </w:rPr>
              <w:t>dTpa</w:t>
            </w:r>
            <w:proofErr w:type="spellEnd"/>
            <w:r w:rsidRPr="00810C49">
              <w:rPr>
                <w:b/>
                <w:sz w:val="19"/>
                <w:szCs w:val="19"/>
                <w:lang w:val="en-US"/>
              </w:rPr>
              <w:t xml:space="preserve"> Repeat Dose</w:t>
            </w:r>
          </w:p>
        </w:tc>
        <w:tc>
          <w:tcPr>
            <w:tcW w:w="710" w:type="dxa"/>
            <w:tcBorders>
              <w:top w:val="single" w:sz="4" w:space="0" w:color="auto"/>
              <w:left w:val="single" w:sz="4" w:space="0" w:color="auto"/>
              <w:bottom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324</w:t>
            </w:r>
          </w:p>
        </w:tc>
        <w:tc>
          <w:tcPr>
            <w:tcW w:w="1252" w:type="dxa"/>
            <w:tcBorders>
              <w:top w:val="single" w:sz="4" w:space="0" w:color="auto"/>
              <w:bottom w:val="single" w:sz="4" w:space="0" w:color="auto"/>
              <w:right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124</w:t>
            </w:r>
          </w:p>
          <w:p w:rsidR="00F04F07" w:rsidRPr="00810C49" w:rsidRDefault="00F04F07" w:rsidP="00F04F07">
            <w:pPr>
              <w:rPr>
                <w:sz w:val="19"/>
                <w:szCs w:val="19"/>
                <w:lang w:val="en-US"/>
              </w:rPr>
            </w:pPr>
            <w:r w:rsidRPr="00810C49">
              <w:rPr>
                <w:sz w:val="19"/>
                <w:szCs w:val="19"/>
                <w:lang w:val="en-US"/>
              </w:rPr>
              <w:t>(111; 139)</w:t>
            </w:r>
          </w:p>
        </w:tc>
        <w:tc>
          <w:tcPr>
            <w:tcW w:w="0" w:type="auto"/>
            <w:tcBorders>
              <w:top w:val="single" w:sz="4" w:space="0" w:color="auto"/>
              <w:left w:val="single" w:sz="4" w:space="0" w:color="auto"/>
              <w:bottom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324</w:t>
            </w:r>
          </w:p>
        </w:tc>
        <w:tc>
          <w:tcPr>
            <w:tcW w:w="1051" w:type="dxa"/>
            <w:tcBorders>
              <w:top w:val="single" w:sz="4" w:space="0" w:color="auto"/>
              <w:bottom w:val="single" w:sz="4" w:space="0" w:color="auto"/>
              <w:right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779</w:t>
            </w:r>
          </w:p>
          <w:p w:rsidR="00F04F07" w:rsidRPr="00810C49" w:rsidRDefault="00F04F07" w:rsidP="00F04F07">
            <w:pPr>
              <w:rPr>
                <w:sz w:val="19"/>
                <w:szCs w:val="19"/>
                <w:lang w:val="en-US"/>
              </w:rPr>
            </w:pPr>
            <w:r w:rsidRPr="00810C49">
              <w:rPr>
                <w:sz w:val="19"/>
                <w:szCs w:val="19"/>
                <w:lang w:val="en-US"/>
              </w:rPr>
              <w:t>(720; 843)</w:t>
            </w:r>
          </w:p>
        </w:tc>
        <w:tc>
          <w:tcPr>
            <w:tcW w:w="892" w:type="dxa"/>
            <w:tcBorders>
              <w:top w:val="single" w:sz="4" w:space="0" w:color="auto"/>
              <w:left w:val="single" w:sz="4" w:space="0" w:color="auto"/>
              <w:bottom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324</w:t>
            </w:r>
          </w:p>
        </w:tc>
        <w:tc>
          <w:tcPr>
            <w:tcW w:w="1310" w:type="dxa"/>
            <w:tcBorders>
              <w:top w:val="single" w:sz="4" w:space="0" w:color="auto"/>
              <w:bottom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84.3</w:t>
            </w:r>
          </w:p>
          <w:p w:rsidR="00F04F07" w:rsidRPr="00810C49" w:rsidRDefault="00F04F07" w:rsidP="00F04F07">
            <w:pPr>
              <w:rPr>
                <w:sz w:val="19"/>
                <w:szCs w:val="19"/>
                <w:lang w:val="en-US"/>
              </w:rPr>
            </w:pPr>
            <w:r w:rsidRPr="00810C49">
              <w:rPr>
                <w:sz w:val="19"/>
                <w:szCs w:val="19"/>
                <w:lang w:val="en-US"/>
              </w:rPr>
              <w:t>(79.8; 88.0)</w:t>
            </w:r>
          </w:p>
        </w:tc>
      </w:tr>
      <w:tr w:rsidR="00F04F07" w:rsidRPr="00810C49" w:rsidTr="00810C49">
        <w:trPr>
          <w:cantSplit/>
          <w:trHeight w:hRule="exact" w:val="1429"/>
          <w:jc w:val="center"/>
        </w:trPr>
        <w:tc>
          <w:tcPr>
            <w:tcW w:w="1133" w:type="dxa"/>
            <w:vMerge/>
            <w:tcBorders>
              <w:top w:val="single" w:sz="12" w:space="0" w:color="auto"/>
              <w:bottom w:val="single" w:sz="4" w:space="0" w:color="auto"/>
              <w:right w:val="single" w:sz="4" w:space="0" w:color="auto"/>
            </w:tcBorders>
            <w:shd w:val="clear" w:color="auto" w:fill="auto"/>
          </w:tcPr>
          <w:p w:rsidR="00F04F07" w:rsidRPr="00810C49" w:rsidRDefault="00F04F07" w:rsidP="00F04F07">
            <w:pPr>
              <w:rPr>
                <w:b/>
                <w:sz w:val="19"/>
                <w:szCs w:val="19"/>
                <w:lang w:val="en-U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04F07" w:rsidRPr="00810C49" w:rsidRDefault="00F04F07" w:rsidP="00F04F07">
            <w:pPr>
              <w:rPr>
                <w:b/>
                <w:sz w:val="19"/>
                <w:szCs w:val="19"/>
                <w:lang w:val="en-US"/>
              </w:rPr>
            </w:pPr>
            <w:proofErr w:type="spellStart"/>
            <w:r w:rsidRPr="00810C49">
              <w:rPr>
                <w:b/>
                <w:sz w:val="19"/>
                <w:szCs w:val="19"/>
                <w:lang w:val="en-US"/>
              </w:rPr>
              <w:t>dTpa</w:t>
            </w:r>
            <w:proofErr w:type="spellEnd"/>
            <w:r w:rsidRPr="00810C49">
              <w:rPr>
                <w:b/>
                <w:sz w:val="19"/>
                <w:szCs w:val="19"/>
                <w:lang w:val="en-US"/>
              </w:rPr>
              <w:t xml:space="preserve"> Naïve</w:t>
            </w:r>
          </w:p>
        </w:tc>
        <w:tc>
          <w:tcPr>
            <w:tcW w:w="710" w:type="dxa"/>
            <w:tcBorders>
              <w:top w:val="single" w:sz="4" w:space="0" w:color="auto"/>
              <w:left w:val="single" w:sz="4" w:space="0" w:color="auto"/>
              <w:bottom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374</w:t>
            </w:r>
          </w:p>
        </w:tc>
        <w:tc>
          <w:tcPr>
            <w:tcW w:w="1252" w:type="dxa"/>
            <w:tcBorders>
              <w:top w:val="single" w:sz="4" w:space="0" w:color="auto"/>
              <w:bottom w:val="single" w:sz="4" w:space="0" w:color="auto"/>
              <w:right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37.8</w:t>
            </w:r>
          </w:p>
          <w:p w:rsidR="00F04F07" w:rsidRPr="00810C49" w:rsidRDefault="00F04F07" w:rsidP="00F04F07">
            <w:pPr>
              <w:rPr>
                <w:sz w:val="19"/>
                <w:szCs w:val="19"/>
                <w:lang w:val="en-US"/>
              </w:rPr>
            </w:pPr>
            <w:r w:rsidRPr="00810C49">
              <w:rPr>
                <w:sz w:val="19"/>
                <w:szCs w:val="19"/>
                <w:lang w:val="en-US"/>
              </w:rPr>
              <w:t>(32.7; 43.7)</w:t>
            </w:r>
          </w:p>
        </w:tc>
        <w:tc>
          <w:tcPr>
            <w:tcW w:w="0" w:type="auto"/>
            <w:tcBorders>
              <w:top w:val="single" w:sz="4" w:space="0" w:color="auto"/>
              <w:left w:val="single" w:sz="4" w:space="0" w:color="auto"/>
              <w:bottom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378</w:t>
            </w:r>
          </w:p>
        </w:tc>
        <w:tc>
          <w:tcPr>
            <w:tcW w:w="1051" w:type="dxa"/>
            <w:tcBorders>
              <w:top w:val="single" w:sz="4" w:space="0" w:color="auto"/>
              <w:bottom w:val="single" w:sz="4" w:space="0" w:color="auto"/>
              <w:right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1015</w:t>
            </w:r>
          </w:p>
          <w:p w:rsidR="00F04F07" w:rsidRPr="00810C49" w:rsidRDefault="00F04F07" w:rsidP="00F04F07">
            <w:pPr>
              <w:rPr>
                <w:sz w:val="19"/>
                <w:szCs w:val="19"/>
                <w:lang w:val="en-US"/>
              </w:rPr>
            </w:pPr>
            <w:r w:rsidRPr="00810C49">
              <w:rPr>
                <w:sz w:val="19"/>
                <w:szCs w:val="19"/>
                <w:lang w:val="en-US"/>
              </w:rPr>
              <w:t>(894; 1154)</w:t>
            </w:r>
          </w:p>
        </w:tc>
        <w:tc>
          <w:tcPr>
            <w:tcW w:w="892" w:type="dxa"/>
            <w:tcBorders>
              <w:top w:val="single" w:sz="4" w:space="0" w:color="auto"/>
              <w:left w:val="single" w:sz="4" w:space="0" w:color="auto"/>
              <w:bottom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371</w:t>
            </w:r>
          </w:p>
        </w:tc>
        <w:tc>
          <w:tcPr>
            <w:tcW w:w="1310" w:type="dxa"/>
            <w:tcBorders>
              <w:top w:val="single" w:sz="4" w:space="0" w:color="auto"/>
              <w:bottom w:val="single" w:sz="4" w:space="0" w:color="auto"/>
            </w:tcBorders>
            <w:shd w:val="clear" w:color="auto" w:fill="auto"/>
          </w:tcPr>
          <w:p w:rsidR="00F04F07" w:rsidRPr="00810C49" w:rsidRDefault="00F04F07" w:rsidP="00F04F07">
            <w:pPr>
              <w:rPr>
                <w:sz w:val="19"/>
                <w:szCs w:val="19"/>
                <w:lang w:val="en-US"/>
              </w:rPr>
            </w:pPr>
            <w:r w:rsidRPr="00810C49">
              <w:rPr>
                <w:sz w:val="19"/>
                <w:szCs w:val="19"/>
                <w:lang w:val="en-US"/>
              </w:rPr>
              <w:t>93.0</w:t>
            </w:r>
          </w:p>
          <w:p w:rsidR="00F04F07" w:rsidRPr="00810C49" w:rsidRDefault="00F04F07" w:rsidP="00F04F07">
            <w:pPr>
              <w:rPr>
                <w:sz w:val="19"/>
                <w:szCs w:val="19"/>
                <w:lang w:val="en-US"/>
              </w:rPr>
            </w:pPr>
            <w:r w:rsidRPr="00810C49">
              <w:rPr>
                <w:sz w:val="19"/>
                <w:szCs w:val="19"/>
                <w:lang w:val="en-US"/>
              </w:rPr>
              <w:t>(89.9; 95.4)</w:t>
            </w:r>
          </w:p>
        </w:tc>
      </w:tr>
    </w:tbl>
    <w:p w:rsidR="00F04F07" w:rsidRPr="00F04F07" w:rsidRDefault="00F04F07" w:rsidP="00810C49">
      <w:pPr>
        <w:pStyle w:val="Tabledescription"/>
        <w:rPr>
          <w:lang w:val="en-US"/>
        </w:rPr>
      </w:pPr>
      <w:r w:rsidRPr="00F04F07">
        <w:rPr>
          <w:lang w:val="en-US"/>
        </w:rPr>
        <w:t>* Booster response is defined as subjects whose post-vaccination antibody concentrations are ≥ 4 x LLOQ, if the pre- vaccination concentration was &lt; LLOQ; ≥ 4 x the pre-vaccination antibody concentration, if the pre-vaccination concentration was ≥ LLOQ but &lt; 4 x LLOQ; ≥ 2 x the pre-vaccination antibody concentration, if the pre-vaccination concentration was ≥ 4 x LLOQ</w:t>
      </w:r>
    </w:p>
    <w:p w:rsidR="00F04F07" w:rsidRPr="00F04F07" w:rsidRDefault="00F04F07" w:rsidP="00810C49">
      <w:pPr>
        <w:pStyle w:val="Tabledescription"/>
        <w:rPr>
          <w:lang w:val="en-US"/>
        </w:rPr>
      </w:pPr>
      <w:r w:rsidRPr="00F04F07">
        <w:rPr>
          <w:lang w:val="en-US"/>
        </w:rPr>
        <w:t>LLOQ: PT=4 EU/mL; FHA=3 EU/mL; PRN=4 EU/mL; FIM=4 EU/</w:t>
      </w:r>
      <w:proofErr w:type="spellStart"/>
      <w:r w:rsidRPr="00F04F07">
        <w:rPr>
          <w:lang w:val="en-US"/>
        </w:rPr>
        <w:t>mL.</w:t>
      </w:r>
      <w:proofErr w:type="spellEnd"/>
      <w:r w:rsidRPr="00F04F07">
        <w:rPr>
          <w:lang w:val="en-US"/>
        </w:rPr>
        <w:t xml:space="preserve"> </w:t>
      </w:r>
    </w:p>
    <w:p w:rsidR="00F04F07" w:rsidRPr="00F04F07" w:rsidRDefault="00F04F07" w:rsidP="00810C49">
      <w:pPr>
        <w:pStyle w:val="Tabledescription"/>
        <w:rPr>
          <w:lang w:val="en-US"/>
        </w:rPr>
      </w:pPr>
      <w:r w:rsidRPr="00F04F07">
        <w:rPr>
          <w:lang w:val="en-US"/>
        </w:rPr>
        <w:t>N: Number of subjects with available data</w:t>
      </w:r>
    </w:p>
    <w:p w:rsidR="00F04F07" w:rsidRPr="00F04F07" w:rsidRDefault="00F04F07" w:rsidP="00810C49">
      <w:pPr>
        <w:pStyle w:val="Tabledescription"/>
        <w:rPr>
          <w:lang w:val="en-US"/>
        </w:rPr>
      </w:pPr>
      <w:r w:rsidRPr="00F04F07">
        <w:rPr>
          <w:lang w:val="en-US"/>
        </w:rPr>
        <w:t>† Non-inferiority for GMCs was achieved (the lower bound of the two sided 95% CI is greater than 0.67)</w:t>
      </w:r>
    </w:p>
    <w:p w:rsidR="00810C49" w:rsidRPr="00810C49" w:rsidRDefault="008317DE" w:rsidP="00810C49">
      <w:pPr>
        <w:pStyle w:val="Heading3"/>
      </w:pPr>
      <w:r>
        <w:t>5.2</w:t>
      </w:r>
      <w:r>
        <w:tab/>
      </w:r>
      <w:r w:rsidR="00810C49" w:rsidRPr="00810C49">
        <w:t xml:space="preserve">Pharmacokinetic properties </w:t>
      </w:r>
    </w:p>
    <w:p w:rsidR="00810C49" w:rsidRDefault="00810C49" w:rsidP="00810C49">
      <w:r w:rsidRPr="00810C49">
        <w:t>Evaluation of pharmacokinetic properties is not required for vaccines.</w:t>
      </w:r>
    </w:p>
    <w:p w:rsidR="008317DE" w:rsidRPr="00810C49" w:rsidRDefault="008317DE" w:rsidP="008317DE">
      <w:pPr>
        <w:pStyle w:val="Heading3"/>
      </w:pPr>
      <w:r>
        <w:t>5.3</w:t>
      </w:r>
      <w:r>
        <w:tab/>
        <w:t>Preclinical safety data</w:t>
      </w:r>
    </w:p>
    <w:p w:rsidR="00810C49" w:rsidRPr="00810C49" w:rsidRDefault="00810C49" w:rsidP="00810C49">
      <w:pPr>
        <w:pStyle w:val="Heading4"/>
      </w:pPr>
      <w:proofErr w:type="spellStart"/>
      <w:r w:rsidRPr="00810C49">
        <w:t>Genotoxicity</w:t>
      </w:r>
      <w:proofErr w:type="spellEnd"/>
    </w:p>
    <w:p w:rsidR="00810C49" w:rsidRPr="00810C49" w:rsidRDefault="00810C49" w:rsidP="00810C49">
      <w:r w:rsidRPr="00810C49">
        <w:t>Adacel has not been tested for genotoxic potential.</w:t>
      </w:r>
    </w:p>
    <w:p w:rsidR="00810C49" w:rsidRPr="00810C49" w:rsidRDefault="00810C49" w:rsidP="00810C49">
      <w:pPr>
        <w:pStyle w:val="Heading4"/>
      </w:pPr>
      <w:r w:rsidRPr="00810C49">
        <w:t>Carcinogenicity</w:t>
      </w:r>
    </w:p>
    <w:p w:rsidR="00810C49" w:rsidRPr="00810C49" w:rsidRDefault="00810C49" w:rsidP="00810C49">
      <w:r w:rsidRPr="00810C49">
        <w:t>Adacel has not been tested for carcinogenic potential.</w:t>
      </w:r>
    </w:p>
    <w:p w:rsidR="00810C49" w:rsidRPr="00810C49" w:rsidRDefault="00810C49" w:rsidP="00810C49">
      <w:pPr>
        <w:pStyle w:val="Heading2"/>
      </w:pPr>
      <w:r w:rsidRPr="00810C49">
        <w:lastRenderedPageBreak/>
        <w:t>Pharmaceutical particulars</w:t>
      </w:r>
    </w:p>
    <w:p w:rsidR="00810C49" w:rsidRPr="00810C49" w:rsidRDefault="008317DE" w:rsidP="008317DE">
      <w:pPr>
        <w:pStyle w:val="Heading3"/>
      </w:pPr>
      <w:r>
        <w:t>6.1</w:t>
      </w:r>
      <w:r>
        <w:tab/>
      </w:r>
      <w:r w:rsidR="00810C49" w:rsidRPr="00810C49">
        <w:t xml:space="preserve">List of excipients </w:t>
      </w:r>
    </w:p>
    <w:p w:rsidR="00810C49" w:rsidRPr="00810C49" w:rsidRDefault="00810C49" w:rsidP="00810C49">
      <w:r w:rsidRPr="00810C49">
        <w:t>Aluminium phosphate</w:t>
      </w:r>
    </w:p>
    <w:p w:rsidR="00810C49" w:rsidRPr="00810C49" w:rsidRDefault="00810C49" w:rsidP="00810C49">
      <w:proofErr w:type="spellStart"/>
      <w:r w:rsidRPr="00810C49">
        <w:t>Phenoxyethanol</w:t>
      </w:r>
      <w:proofErr w:type="spellEnd"/>
    </w:p>
    <w:p w:rsidR="00810C49" w:rsidRPr="00810C49" w:rsidRDefault="00810C49" w:rsidP="00810C49">
      <w:r w:rsidRPr="00810C49">
        <w:t>Water for injections</w:t>
      </w:r>
    </w:p>
    <w:p w:rsidR="00810C49" w:rsidRPr="00810C49" w:rsidRDefault="00810C49" w:rsidP="00810C49">
      <w:r w:rsidRPr="00810C49">
        <w:t xml:space="preserve">Other ingredients per dose include ≤ 5 micrograms residual formaldehyde and &lt; 50 ng residual </w:t>
      </w:r>
      <w:proofErr w:type="spellStart"/>
      <w:r w:rsidRPr="00810C49">
        <w:t>glutaral</w:t>
      </w:r>
      <w:proofErr w:type="spellEnd"/>
      <w:r w:rsidRPr="00810C49">
        <w:t xml:space="preserve">. </w:t>
      </w:r>
    </w:p>
    <w:p w:rsidR="00810C49" w:rsidRPr="00810C49" w:rsidRDefault="008317DE" w:rsidP="008317DE">
      <w:pPr>
        <w:pStyle w:val="Heading3"/>
      </w:pPr>
      <w:r>
        <w:t>6.2</w:t>
      </w:r>
      <w:r>
        <w:tab/>
      </w:r>
      <w:r w:rsidR="00810C49" w:rsidRPr="00810C49">
        <w:t xml:space="preserve">Incompatibilities </w:t>
      </w:r>
    </w:p>
    <w:p w:rsidR="00810C49" w:rsidRPr="00810C49" w:rsidRDefault="00810C49" w:rsidP="00810C49">
      <w:r w:rsidRPr="00810C49">
        <w:t>The vaccine must not be mixed with other vaccines or medicinal products.</w:t>
      </w:r>
    </w:p>
    <w:p w:rsidR="00810C49" w:rsidRPr="00810C49" w:rsidRDefault="008317DE" w:rsidP="008317DE">
      <w:pPr>
        <w:pStyle w:val="Heading3"/>
      </w:pPr>
      <w:r>
        <w:t>6.3</w:t>
      </w:r>
      <w:r>
        <w:tab/>
      </w:r>
      <w:r w:rsidR="00810C49" w:rsidRPr="00810C49">
        <w:t xml:space="preserve">Shelf life </w:t>
      </w:r>
    </w:p>
    <w:p w:rsidR="00810C49" w:rsidRPr="00810C49" w:rsidRDefault="00810C49" w:rsidP="00810C49">
      <w:pPr>
        <w:rPr>
          <w:u w:val="double"/>
        </w:rPr>
      </w:pPr>
      <w:r w:rsidRPr="00810C49">
        <w:t>36 months</w:t>
      </w:r>
    </w:p>
    <w:p w:rsidR="00810C49" w:rsidRPr="00810C49" w:rsidRDefault="008317DE" w:rsidP="008317DE">
      <w:pPr>
        <w:pStyle w:val="Heading3"/>
      </w:pPr>
      <w:r>
        <w:t>6.4</w:t>
      </w:r>
      <w:r>
        <w:tab/>
      </w:r>
      <w:r w:rsidR="00810C49" w:rsidRPr="00810C49">
        <w:t xml:space="preserve">Special precautions for storage </w:t>
      </w:r>
    </w:p>
    <w:p w:rsidR="00810C49" w:rsidRPr="00810C49" w:rsidRDefault="00810C49" w:rsidP="00810C49">
      <w:r w:rsidRPr="00810C49">
        <w:t>Store at 2°C to 8°C. REFRIGERATE. DO NOT FREEZE. Do not use after expiry date.</w:t>
      </w:r>
    </w:p>
    <w:p w:rsidR="00810C49" w:rsidRPr="00810C49" w:rsidRDefault="008317DE" w:rsidP="00810C49">
      <w:pPr>
        <w:pStyle w:val="Heading4"/>
      </w:pPr>
      <w:r>
        <w:t>6.5</w:t>
      </w:r>
      <w:r>
        <w:tab/>
      </w:r>
      <w:r w:rsidR="00810C49" w:rsidRPr="00810C49">
        <w:t xml:space="preserve">Nature and contents of container </w:t>
      </w:r>
    </w:p>
    <w:p w:rsidR="00810C49" w:rsidRPr="00810C49" w:rsidRDefault="00810C49" w:rsidP="00810C49">
      <w:r w:rsidRPr="00810C49">
        <w:t>0.5 mL of suspension in vial – pack size of 1 or 5 vials</w:t>
      </w:r>
    </w:p>
    <w:p w:rsidR="00810C49" w:rsidRPr="00810C49" w:rsidRDefault="00810C49" w:rsidP="00810C49">
      <w:r w:rsidRPr="00810C49">
        <w:t>0.5 mL of suspension in pre-filled syringe – pack size of 1 or 10 syringes with or without separate needles</w:t>
      </w:r>
    </w:p>
    <w:p w:rsidR="00810C49" w:rsidRPr="00810C49" w:rsidRDefault="00810C49" w:rsidP="00810C49">
      <w:r w:rsidRPr="00810C49">
        <w:t>Not all pack sizes may be marketed.</w:t>
      </w:r>
    </w:p>
    <w:p w:rsidR="00810C49" w:rsidRPr="00810C49" w:rsidRDefault="008317DE" w:rsidP="008317DE">
      <w:pPr>
        <w:pStyle w:val="Heading3"/>
      </w:pPr>
      <w:r>
        <w:t>6.6</w:t>
      </w:r>
      <w:r>
        <w:tab/>
      </w:r>
      <w:r w:rsidR="00810C49" w:rsidRPr="00810C49">
        <w:t xml:space="preserve">Special precautions for disposal </w:t>
      </w:r>
    </w:p>
    <w:p w:rsidR="00810C49" w:rsidRPr="00810C49" w:rsidRDefault="00810C49" w:rsidP="00810C49">
      <w:r w:rsidRPr="00810C49">
        <w:t>After use, any remaining vaccine and container must be disposed of safely according to locally agreed procedures.</w:t>
      </w:r>
    </w:p>
    <w:p w:rsidR="00810C49" w:rsidRPr="00810C49" w:rsidRDefault="00810C49" w:rsidP="00810C49">
      <w:pPr>
        <w:rPr>
          <w:b/>
        </w:rPr>
      </w:pPr>
    </w:p>
    <w:p w:rsidR="00810C49" w:rsidRPr="00810C49" w:rsidRDefault="00810C49" w:rsidP="00FD6884">
      <w:pPr>
        <w:pStyle w:val="Heading2"/>
      </w:pPr>
      <w:r w:rsidRPr="00810C49">
        <w:t>Medicine schedule (Poisons Standard)</w:t>
      </w:r>
    </w:p>
    <w:p w:rsidR="00810C49" w:rsidRPr="00810C49" w:rsidRDefault="00810C49" w:rsidP="00810C49">
      <w:r w:rsidRPr="00810C49">
        <w:t>S4 - Prescription Only Medicine</w:t>
      </w:r>
    </w:p>
    <w:p w:rsidR="00810C49" w:rsidRPr="00810C49" w:rsidRDefault="00810C49" w:rsidP="00FD6884">
      <w:pPr>
        <w:pStyle w:val="Heading2"/>
      </w:pPr>
      <w:r w:rsidRPr="00810C49">
        <w:lastRenderedPageBreak/>
        <w:t>Sponsor</w:t>
      </w:r>
    </w:p>
    <w:p w:rsidR="00810C49" w:rsidRPr="00810C49" w:rsidRDefault="00810C49" w:rsidP="00810C49">
      <w:r w:rsidRPr="00810C49">
        <w:t>Australia:</w:t>
      </w:r>
    </w:p>
    <w:p w:rsidR="00810C49" w:rsidRPr="00810C49" w:rsidRDefault="00810C49" w:rsidP="00810C49">
      <w:proofErr w:type="spellStart"/>
      <w:r w:rsidRPr="00810C49">
        <w:t>sanofi-aventis</w:t>
      </w:r>
      <w:proofErr w:type="spellEnd"/>
      <w:r w:rsidRPr="00810C49">
        <w:t xml:space="preserve"> </w:t>
      </w:r>
      <w:proofErr w:type="spellStart"/>
      <w:r w:rsidRPr="00810C49">
        <w:t>australia</w:t>
      </w:r>
      <w:proofErr w:type="spellEnd"/>
      <w:r w:rsidRPr="00810C49">
        <w:t xml:space="preserve"> </w:t>
      </w:r>
      <w:proofErr w:type="spellStart"/>
      <w:r w:rsidRPr="00810C49">
        <w:t>pty</w:t>
      </w:r>
      <w:proofErr w:type="spellEnd"/>
      <w:r w:rsidRPr="00810C49">
        <w:t xml:space="preserve"> ltd</w:t>
      </w:r>
    </w:p>
    <w:p w:rsidR="00810C49" w:rsidRPr="00810C49" w:rsidRDefault="00810C49" w:rsidP="00810C49">
      <w:r w:rsidRPr="00810C49">
        <w:t>12 – 24 Talavera Road</w:t>
      </w:r>
    </w:p>
    <w:p w:rsidR="00810C49" w:rsidRPr="00810C49" w:rsidRDefault="00810C49" w:rsidP="00810C49">
      <w:r w:rsidRPr="00810C49">
        <w:t>Macquarie Park NSW 2113</w:t>
      </w:r>
    </w:p>
    <w:p w:rsidR="00810C49" w:rsidRPr="00810C49" w:rsidRDefault="00810C49" w:rsidP="00810C49">
      <w:r w:rsidRPr="00810C49">
        <w:t>Australia</w:t>
      </w:r>
    </w:p>
    <w:p w:rsidR="00810C49" w:rsidRPr="00810C49" w:rsidRDefault="00810C49" w:rsidP="00810C49">
      <w:r w:rsidRPr="00810C49">
        <w:t>Tel: 1800 818 806</w:t>
      </w:r>
    </w:p>
    <w:p w:rsidR="00810C49" w:rsidRPr="00810C49" w:rsidRDefault="00810C49" w:rsidP="00810C49"/>
    <w:p w:rsidR="00810C49" w:rsidRPr="00810C49" w:rsidRDefault="00810C49" w:rsidP="00810C49">
      <w:r w:rsidRPr="00810C49">
        <w:t>New Zealand:</w:t>
      </w:r>
    </w:p>
    <w:p w:rsidR="00810C49" w:rsidRPr="00810C49" w:rsidRDefault="00810C49" w:rsidP="00810C49">
      <w:proofErr w:type="spellStart"/>
      <w:r w:rsidRPr="00810C49">
        <w:t>sanofi-aventis</w:t>
      </w:r>
      <w:proofErr w:type="spellEnd"/>
      <w:r w:rsidRPr="00810C49">
        <w:t xml:space="preserve"> new </w:t>
      </w:r>
      <w:proofErr w:type="spellStart"/>
      <w:r w:rsidRPr="00810C49">
        <w:t>zealand</w:t>
      </w:r>
      <w:proofErr w:type="spellEnd"/>
      <w:r w:rsidRPr="00810C49">
        <w:t xml:space="preserve"> limited</w:t>
      </w:r>
    </w:p>
    <w:p w:rsidR="00810C49" w:rsidRPr="00810C49" w:rsidRDefault="00810C49" w:rsidP="00810C49">
      <w:r w:rsidRPr="00810C49">
        <w:t>Level 8</w:t>
      </w:r>
    </w:p>
    <w:p w:rsidR="00810C49" w:rsidRPr="00810C49" w:rsidRDefault="00810C49" w:rsidP="00810C49">
      <w:r w:rsidRPr="00810C49">
        <w:t xml:space="preserve">56 </w:t>
      </w:r>
      <w:proofErr w:type="spellStart"/>
      <w:r w:rsidRPr="00810C49">
        <w:t>Cawley</w:t>
      </w:r>
      <w:proofErr w:type="spellEnd"/>
      <w:r w:rsidRPr="00810C49">
        <w:t xml:space="preserve"> St</w:t>
      </w:r>
    </w:p>
    <w:p w:rsidR="00810C49" w:rsidRPr="00810C49" w:rsidRDefault="00810C49" w:rsidP="00810C49">
      <w:r w:rsidRPr="00810C49">
        <w:t>Ellerslie</w:t>
      </w:r>
    </w:p>
    <w:p w:rsidR="00810C49" w:rsidRPr="00810C49" w:rsidRDefault="00810C49" w:rsidP="00810C49">
      <w:r w:rsidRPr="00810C49">
        <w:t>Auckland</w:t>
      </w:r>
    </w:p>
    <w:p w:rsidR="00810C49" w:rsidRPr="00810C49" w:rsidRDefault="00810C49" w:rsidP="00810C49">
      <w:r w:rsidRPr="00810C49">
        <w:t>New Zealand</w:t>
      </w:r>
    </w:p>
    <w:p w:rsidR="00810C49" w:rsidRPr="00810C49" w:rsidRDefault="00810C49" w:rsidP="00810C49">
      <w:r w:rsidRPr="00810C49">
        <w:t>Tel: 0800 283 684</w:t>
      </w:r>
    </w:p>
    <w:p w:rsidR="00810C49" w:rsidRPr="00810C49" w:rsidRDefault="00810C49" w:rsidP="00810C49"/>
    <w:p w:rsidR="00810C49" w:rsidRPr="00810C49" w:rsidRDefault="00FD6884" w:rsidP="00FD6884">
      <w:pPr>
        <w:pStyle w:val="Heading2"/>
      </w:pPr>
      <w:r>
        <w:t xml:space="preserve">    </w:t>
      </w:r>
      <w:r w:rsidR="00810C49" w:rsidRPr="00810C49">
        <w:t xml:space="preserve">Date of first approval  </w:t>
      </w:r>
    </w:p>
    <w:p w:rsidR="00810C49" w:rsidRPr="00810C49" w:rsidRDefault="00810C49" w:rsidP="00810C49">
      <w:r w:rsidRPr="00810C49">
        <w:rPr>
          <w:bCs/>
        </w:rPr>
        <w:t>21 November</w:t>
      </w:r>
      <w:r w:rsidRPr="00810C49">
        <w:rPr>
          <w:b/>
        </w:rPr>
        <w:t xml:space="preserve"> </w:t>
      </w:r>
      <w:r w:rsidRPr="00810C49">
        <w:rPr>
          <w:bCs/>
        </w:rPr>
        <w:t xml:space="preserve">2005 </w:t>
      </w:r>
      <w:r w:rsidRPr="00810C49">
        <w:t>(for vial)</w:t>
      </w:r>
    </w:p>
    <w:p w:rsidR="00810C49" w:rsidRPr="00810C49" w:rsidRDefault="00810C49" w:rsidP="00810C49">
      <w:r w:rsidRPr="00810C49">
        <w:t>29 March 2018 (for syringe)</w:t>
      </w:r>
    </w:p>
    <w:p w:rsidR="00810C49" w:rsidRPr="00810C49" w:rsidRDefault="00810C49" w:rsidP="00FD6884">
      <w:pPr>
        <w:pStyle w:val="Heading2"/>
      </w:pPr>
      <w:r w:rsidRPr="00810C49">
        <w:t xml:space="preserve">Date of revision </w:t>
      </w:r>
    </w:p>
    <w:p w:rsidR="00F04F07" w:rsidRDefault="00810C49" w:rsidP="00810C49">
      <w:r w:rsidRPr="00810C49">
        <w:t>20 May 2019</w:t>
      </w:r>
    </w:p>
    <w:p w:rsidR="00FD6884" w:rsidRDefault="00FD6884">
      <w:pPr>
        <w:spacing w:before="0" w:after="200" w:line="0" w:lineRule="auto"/>
      </w:pPr>
      <w:r>
        <w:br w:type="page"/>
      </w:r>
    </w:p>
    <w:p w:rsidR="00FD6884" w:rsidRDefault="00FD6884" w:rsidP="00FD6884">
      <w:pPr>
        <w:pStyle w:val="Tabletitle"/>
        <w:rPr>
          <w:lang w:val="fr-CA"/>
        </w:rPr>
      </w:pPr>
      <w:proofErr w:type="spellStart"/>
      <w:r>
        <w:rPr>
          <w:lang w:val="fr-CA"/>
        </w:rPr>
        <w:lastRenderedPageBreak/>
        <w:t>Summary</w:t>
      </w:r>
      <w:proofErr w:type="spellEnd"/>
      <w:r>
        <w:rPr>
          <w:lang w:val="fr-CA"/>
        </w:rPr>
        <w:t xml:space="preserve"> table of changes</w:t>
      </w:r>
    </w:p>
    <w:tbl>
      <w:tblPr>
        <w:tblStyle w:val="LightGrid"/>
        <w:tblW w:w="0" w:type="auto"/>
        <w:tblCellMar>
          <w:top w:w="57" w:type="dxa"/>
          <w:bottom w:w="57" w:type="dxa"/>
        </w:tblCellMar>
        <w:tblLook w:val="06A0" w:firstRow="1" w:lastRow="0" w:firstColumn="1" w:lastColumn="0" w:noHBand="1" w:noVBand="1"/>
      </w:tblPr>
      <w:tblGrid>
        <w:gridCol w:w="1375"/>
        <w:gridCol w:w="7675"/>
      </w:tblGrid>
      <w:tr w:rsidR="00FD6884" w:rsidRPr="00FD6884" w:rsidTr="00C673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Borders>
              <w:bottom w:val="single" w:sz="4" w:space="0" w:color="002C47" w:themeColor="text1"/>
            </w:tcBorders>
            <w:shd w:val="clear" w:color="auto" w:fill="F2F2F2" w:themeFill="background1" w:themeFillShade="F2"/>
            <w:vAlign w:val="center"/>
          </w:tcPr>
          <w:p w:rsidR="00FD6884" w:rsidRPr="00FD6884" w:rsidRDefault="00FD6884" w:rsidP="00FD6884">
            <w:r w:rsidRPr="00FD6884">
              <w:t>Section Changed</w:t>
            </w:r>
          </w:p>
        </w:tc>
        <w:tc>
          <w:tcPr>
            <w:tcW w:w="7858" w:type="dxa"/>
            <w:tcBorders>
              <w:bottom w:val="single" w:sz="4" w:space="0" w:color="002C47" w:themeColor="text1"/>
            </w:tcBorders>
            <w:shd w:val="clear" w:color="auto" w:fill="F2F2F2" w:themeFill="background1" w:themeFillShade="F2"/>
            <w:vAlign w:val="center"/>
          </w:tcPr>
          <w:p w:rsidR="00FD6884" w:rsidRPr="00FD6884" w:rsidRDefault="00FD6884" w:rsidP="00FD6884">
            <w:pPr>
              <w:cnfStyle w:val="100000000000" w:firstRow="1" w:lastRow="0" w:firstColumn="0" w:lastColumn="0" w:oddVBand="0" w:evenVBand="0" w:oddHBand="0" w:evenHBand="0" w:firstRowFirstColumn="0" w:firstRowLastColumn="0" w:lastRowFirstColumn="0" w:lastRowLastColumn="0"/>
            </w:pPr>
            <w:r w:rsidRPr="00FD6884">
              <w:t>Summary of new information</w:t>
            </w:r>
          </w:p>
        </w:tc>
      </w:tr>
      <w:tr w:rsidR="00FD6884" w:rsidRPr="00FD6884" w:rsidTr="00C67364">
        <w:tc>
          <w:tcPr>
            <w:cnfStyle w:val="001000000000" w:firstRow="0" w:lastRow="0" w:firstColumn="1" w:lastColumn="0" w:oddVBand="0" w:evenVBand="0" w:oddHBand="0" w:evenHBand="0" w:firstRowFirstColumn="0" w:firstRowLastColumn="0" w:lastRowFirstColumn="0" w:lastRowLastColumn="0"/>
            <w:tcW w:w="1384" w:type="dxa"/>
            <w:tcBorders>
              <w:top w:val="single" w:sz="4" w:space="0" w:color="002C47" w:themeColor="text1"/>
            </w:tcBorders>
            <w:vAlign w:val="center"/>
          </w:tcPr>
          <w:p w:rsidR="00FD6884" w:rsidRPr="00FD6884" w:rsidRDefault="00FD6884" w:rsidP="00FD6884">
            <w:r w:rsidRPr="00FD6884">
              <w:t>2</w:t>
            </w:r>
          </w:p>
        </w:tc>
        <w:tc>
          <w:tcPr>
            <w:tcW w:w="7858" w:type="dxa"/>
            <w:tcBorders>
              <w:top w:val="single" w:sz="4" w:space="0" w:color="002C47" w:themeColor="text1"/>
            </w:tcBorders>
            <w:vAlign w:val="center"/>
          </w:tcPr>
          <w:p w:rsidR="00FD6884" w:rsidRPr="00FD6884" w:rsidRDefault="00FD6884" w:rsidP="00FD6884">
            <w:pPr>
              <w:cnfStyle w:val="000000000000" w:firstRow="0" w:lastRow="0" w:firstColumn="0" w:lastColumn="0" w:oddVBand="0" w:evenVBand="0" w:oddHBand="0" w:evenHBand="0" w:firstRowFirstColumn="0" w:firstRowLastColumn="0" w:lastRowFirstColumn="0" w:lastRowLastColumn="0"/>
            </w:pPr>
            <w:r w:rsidRPr="00FD6884">
              <w:t>Rearrangement of texts and relocation excipients to Section 6.1</w:t>
            </w:r>
          </w:p>
        </w:tc>
      </w:tr>
      <w:tr w:rsidR="00FD6884" w:rsidRPr="00FD6884" w:rsidTr="00C67364">
        <w:tc>
          <w:tcPr>
            <w:cnfStyle w:val="001000000000" w:firstRow="0" w:lastRow="0" w:firstColumn="1" w:lastColumn="0" w:oddVBand="0" w:evenVBand="0" w:oddHBand="0" w:evenHBand="0" w:firstRowFirstColumn="0" w:firstRowLastColumn="0" w:lastRowFirstColumn="0" w:lastRowLastColumn="0"/>
            <w:tcW w:w="1384" w:type="dxa"/>
            <w:vAlign w:val="center"/>
          </w:tcPr>
          <w:p w:rsidR="00FD6884" w:rsidRPr="00FD6884" w:rsidRDefault="00FD6884" w:rsidP="00FD6884">
            <w:r w:rsidRPr="00FD6884">
              <w:t>4.1</w:t>
            </w:r>
          </w:p>
        </w:tc>
        <w:tc>
          <w:tcPr>
            <w:tcW w:w="7858" w:type="dxa"/>
            <w:vAlign w:val="center"/>
          </w:tcPr>
          <w:p w:rsidR="00FD6884" w:rsidRPr="00FD6884" w:rsidRDefault="00FD6884" w:rsidP="00FD6884">
            <w:pPr>
              <w:cnfStyle w:val="000000000000" w:firstRow="0" w:lastRow="0" w:firstColumn="0" w:lastColumn="0" w:oddVBand="0" w:evenVBand="0" w:oddHBand="0" w:evenHBand="0" w:firstRowFirstColumn="0" w:firstRowLastColumn="0" w:lastRowFirstColumn="0" w:lastRowLastColumn="0"/>
            </w:pPr>
            <w:r w:rsidRPr="00FD6884">
              <w:t>Addition of maternal vaccination indication</w:t>
            </w:r>
          </w:p>
        </w:tc>
      </w:tr>
      <w:tr w:rsidR="00FD6884" w:rsidRPr="00FD6884" w:rsidTr="00C67364">
        <w:tc>
          <w:tcPr>
            <w:cnfStyle w:val="001000000000" w:firstRow="0" w:lastRow="0" w:firstColumn="1" w:lastColumn="0" w:oddVBand="0" w:evenVBand="0" w:oddHBand="0" w:evenHBand="0" w:firstRowFirstColumn="0" w:firstRowLastColumn="0" w:lastRowFirstColumn="0" w:lastRowLastColumn="0"/>
            <w:tcW w:w="1384" w:type="dxa"/>
            <w:vAlign w:val="center"/>
          </w:tcPr>
          <w:p w:rsidR="00FD6884" w:rsidRPr="00FD6884" w:rsidRDefault="00FD6884" w:rsidP="00FD6884">
            <w:pPr>
              <w:rPr>
                <w:lang w:val="en-US"/>
              </w:rPr>
            </w:pPr>
            <w:r w:rsidRPr="00FD6884">
              <w:rPr>
                <w:lang w:val="en-US"/>
              </w:rPr>
              <w:t>4.2</w:t>
            </w:r>
          </w:p>
        </w:tc>
        <w:tc>
          <w:tcPr>
            <w:tcW w:w="7858" w:type="dxa"/>
            <w:vAlign w:val="center"/>
          </w:tcPr>
          <w:p w:rsidR="00FD6884" w:rsidRPr="00FD6884" w:rsidRDefault="00FD6884" w:rsidP="00FD6884">
            <w:pPr>
              <w:cnfStyle w:val="000000000000" w:firstRow="0" w:lastRow="0" w:firstColumn="0" w:lastColumn="0" w:oddVBand="0" w:evenVBand="0" w:oddHBand="0" w:evenHBand="0" w:firstRowFirstColumn="0" w:firstRowLastColumn="0" w:lastRowFirstColumn="0" w:lastRowLastColumn="0"/>
            </w:pPr>
            <w:r w:rsidRPr="00FD6884">
              <w:t>Addition of repeat dose recommendation and removal of obsolete vaccination recommendations and practices</w:t>
            </w:r>
          </w:p>
        </w:tc>
      </w:tr>
      <w:tr w:rsidR="00FD6884" w:rsidRPr="00FD6884" w:rsidTr="00C67364">
        <w:tc>
          <w:tcPr>
            <w:cnfStyle w:val="001000000000" w:firstRow="0" w:lastRow="0" w:firstColumn="1" w:lastColumn="0" w:oddVBand="0" w:evenVBand="0" w:oddHBand="0" w:evenHBand="0" w:firstRowFirstColumn="0" w:firstRowLastColumn="0" w:lastRowFirstColumn="0" w:lastRowLastColumn="0"/>
            <w:tcW w:w="1384" w:type="dxa"/>
            <w:vAlign w:val="center"/>
          </w:tcPr>
          <w:p w:rsidR="00FD6884" w:rsidRPr="00FD6884" w:rsidRDefault="00FD6884" w:rsidP="00FD6884">
            <w:pPr>
              <w:rPr>
                <w:lang w:val="en-US"/>
              </w:rPr>
            </w:pPr>
            <w:r w:rsidRPr="00FD6884">
              <w:rPr>
                <w:lang w:val="en-US"/>
              </w:rPr>
              <w:t>4.3</w:t>
            </w:r>
          </w:p>
        </w:tc>
        <w:tc>
          <w:tcPr>
            <w:tcW w:w="7858" w:type="dxa"/>
            <w:vAlign w:val="center"/>
          </w:tcPr>
          <w:p w:rsidR="00FD6884" w:rsidRPr="00FD6884" w:rsidRDefault="00FD6884" w:rsidP="00FD6884">
            <w:pPr>
              <w:cnfStyle w:val="000000000000" w:firstRow="0" w:lastRow="0" w:firstColumn="0" w:lastColumn="0" w:oddVBand="0" w:evenVBand="0" w:oddHBand="0" w:evenHBand="0" w:firstRowFirstColumn="0" w:firstRowLastColumn="0" w:lastRowFirstColumn="0" w:lastRowLastColumn="0"/>
            </w:pPr>
            <w:r w:rsidRPr="00FD6884">
              <w:t>Addition of subheadings for clarity. Revision and relocation of texts to improve readability and clarity. Addition of new contraindication.</w:t>
            </w:r>
          </w:p>
        </w:tc>
      </w:tr>
      <w:tr w:rsidR="00FD6884" w:rsidRPr="00FD6884" w:rsidTr="00C67364">
        <w:tc>
          <w:tcPr>
            <w:cnfStyle w:val="001000000000" w:firstRow="0" w:lastRow="0" w:firstColumn="1" w:lastColumn="0" w:oddVBand="0" w:evenVBand="0" w:oddHBand="0" w:evenHBand="0" w:firstRowFirstColumn="0" w:firstRowLastColumn="0" w:lastRowFirstColumn="0" w:lastRowLastColumn="0"/>
            <w:tcW w:w="1384" w:type="dxa"/>
            <w:vAlign w:val="center"/>
          </w:tcPr>
          <w:p w:rsidR="00FD6884" w:rsidRPr="00FD6884" w:rsidRDefault="00FD6884" w:rsidP="00FD6884">
            <w:pPr>
              <w:rPr>
                <w:lang w:val="en-US"/>
              </w:rPr>
            </w:pPr>
            <w:r w:rsidRPr="00FD6884">
              <w:rPr>
                <w:lang w:val="en-US"/>
              </w:rPr>
              <w:t>4.4</w:t>
            </w:r>
          </w:p>
        </w:tc>
        <w:tc>
          <w:tcPr>
            <w:tcW w:w="7858" w:type="dxa"/>
            <w:vAlign w:val="center"/>
          </w:tcPr>
          <w:p w:rsidR="00FD6884" w:rsidRPr="00FD6884" w:rsidRDefault="00FD6884" w:rsidP="00FD6884">
            <w:pPr>
              <w:cnfStyle w:val="000000000000" w:firstRow="0" w:lastRow="0" w:firstColumn="0" w:lastColumn="0" w:oddVBand="0" w:evenVBand="0" w:oddHBand="0" w:evenHBand="0" w:firstRowFirstColumn="0" w:firstRowLastColumn="0" w:lastRowFirstColumn="0" w:lastRowLastColumn="0"/>
            </w:pPr>
            <w:r w:rsidRPr="00FD6884">
              <w:t>Addition of subheadings for clarity. Revision and relocation of texts to improve readability and clarity. Addition of new precaution.</w:t>
            </w:r>
          </w:p>
        </w:tc>
      </w:tr>
      <w:tr w:rsidR="00FD6884" w:rsidRPr="00FD6884" w:rsidTr="00C67364">
        <w:tc>
          <w:tcPr>
            <w:cnfStyle w:val="001000000000" w:firstRow="0" w:lastRow="0" w:firstColumn="1" w:lastColumn="0" w:oddVBand="0" w:evenVBand="0" w:oddHBand="0" w:evenHBand="0" w:firstRowFirstColumn="0" w:firstRowLastColumn="0" w:lastRowFirstColumn="0" w:lastRowLastColumn="0"/>
            <w:tcW w:w="1384" w:type="dxa"/>
            <w:vAlign w:val="center"/>
          </w:tcPr>
          <w:p w:rsidR="00FD6884" w:rsidRPr="00FD6884" w:rsidRDefault="00FD6884" w:rsidP="00FD6884">
            <w:pPr>
              <w:rPr>
                <w:lang w:val="en-US"/>
              </w:rPr>
            </w:pPr>
            <w:r w:rsidRPr="00FD6884">
              <w:rPr>
                <w:lang w:val="en-US"/>
              </w:rPr>
              <w:t>4.5</w:t>
            </w:r>
          </w:p>
        </w:tc>
        <w:tc>
          <w:tcPr>
            <w:tcW w:w="7858" w:type="dxa"/>
            <w:vAlign w:val="center"/>
          </w:tcPr>
          <w:p w:rsidR="00FD6884" w:rsidRPr="00FD6884" w:rsidRDefault="00FD6884" w:rsidP="00FD6884">
            <w:pPr>
              <w:cnfStyle w:val="000000000000" w:firstRow="0" w:lastRow="0" w:firstColumn="0" w:lastColumn="0" w:oddVBand="0" w:evenVBand="0" w:oddHBand="0" w:evenHBand="0" w:firstRowFirstColumn="0" w:firstRowLastColumn="0" w:lastRowFirstColumn="0" w:lastRowLastColumn="0"/>
            </w:pPr>
            <w:r w:rsidRPr="00FD6884">
              <w:t xml:space="preserve">Addition of co-administration data with </w:t>
            </w:r>
            <w:proofErr w:type="spellStart"/>
            <w:r w:rsidRPr="00FD6884">
              <w:t>Menactra</w:t>
            </w:r>
            <w:proofErr w:type="spellEnd"/>
            <w:r w:rsidRPr="00FD6884">
              <w:t xml:space="preserve">. </w:t>
            </w:r>
          </w:p>
        </w:tc>
      </w:tr>
      <w:tr w:rsidR="00FD6884" w:rsidRPr="00FD6884" w:rsidTr="00C67364">
        <w:tc>
          <w:tcPr>
            <w:cnfStyle w:val="001000000000" w:firstRow="0" w:lastRow="0" w:firstColumn="1" w:lastColumn="0" w:oddVBand="0" w:evenVBand="0" w:oddHBand="0" w:evenHBand="0" w:firstRowFirstColumn="0" w:firstRowLastColumn="0" w:lastRowFirstColumn="0" w:lastRowLastColumn="0"/>
            <w:tcW w:w="1384" w:type="dxa"/>
            <w:vAlign w:val="center"/>
          </w:tcPr>
          <w:p w:rsidR="00FD6884" w:rsidRPr="00FD6884" w:rsidRDefault="00FD6884" w:rsidP="00FD6884">
            <w:pPr>
              <w:rPr>
                <w:lang w:val="en-US"/>
              </w:rPr>
            </w:pPr>
            <w:r w:rsidRPr="00FD6884">
              <w:rPr>
                <w:lang w:val="en-US"/>
              </w:rPr>
              <w:t>4.6</w:t>
            </w:r>
          </w:p>
        </w:tc>
        <w:tc>
          <w:tcPr>
            <w:tcW w:w="7858" w:type="dxa"/>
            <w:vAlign w:val="center"/>
          </w:tcPr>
          <w:p w:rsidR="00FD6884" w:rsidRPr="00FD6884" w:rsidRDefault="00FD6884" w:rsidP="00FD6884">
            <w:pPr>
              <w:cnfStyle w:val="000000000000" w:firstRow="0" w:lastRow="0" w:firstColumn="0" w:lastColumn="0" w:oddVBand="0" w:evenVBand="0" w:oddHBand="0" w:evenHBand="0" w:firstRowFirstColumn="0" w:firstRowLastColumn="0" w:lastRowFirstColumn="0" w:lastRowLastColumn="0"/>
            </w:pPr>
            <w:r w:rsidRPr="00FD6884">
              <w:t xml:space="preserve">Revision of the texts to add use in pregnancy data and upgrade of pregnancy classification to Category A. </w:t>
            </w:r>
          </w:p>
        </w:tc>
      </w:tr>
      <w:tr w:rsidR="00FD6884" w:rsidRPr="00FD6884" w:rsidTr="00C67364">
        <w:tc>
          <w:tcPr>
            <w:cnfStyle w:val="001000000000" w:firstRow="0" w:lastRow="0" w:firstColumn="1" w:lastColumn="0" w:oddVBand="0" w:evenVBand="0" w:oddHBand="0" w:evenHBand="0" w:firstRowFirstColumn="0" w:firstRowLastColumn="0" w:lastRowFirstColumn="0" w:lastRowLastColumn="0"/>
            <w:tcW w:w="1384" w:type="dxa"/>
            <w:vAlign w:val="center"/>
          </w:tcPr>
          <w:p w:rsidR="00FD6884" w:rsidRPr="00FD6884" w:rsidRDefault="00FD6884" w:rsidP="00FD6884">
            <w:pPr>
              <w:rPr>
                <w:lang w:val="en-US"/>
              </w:rPr>
            </w:pPr>
            <w:r w:rsidRPr="00FD6884">
              <w:rPr>
                <w:lang w:val="en-US"/>
              </w:rPr>
              <w:t>4.8</w:t>
            </w:r>
          </w:p>
        </w:tc>
        <w:tc>
          <w:tcPr>
            <w:tcW w:w="7858" w:type="dxa"/>
            <w:vAlign w:val="center"/>
          </w:tcPr>
          <w:p w:rsidR="00FD6884" w:rsidRPr="00FD6884" w:rsidRDefault="00FD6884" w:rsidP="00FD6884">
            <w:pPr>
              <w:cnfStyle w:val="000000000000" w:firstRow="0" w:lastRow="0" w:firstColumn="0" w:lastColumn="0" w:oddVBand="0" w:evenVBand="0" w:oddHBand="0" w:evenHBand="0" w:firstRowFirstColumn="0" w:firstRowLastColumn="0" w:lastRowFirstColumn="0" w:lastRowLastColumn="0"/>
            </w:pPr>
            <w:r w:rsidRPr="00FD6884">
              <w:t xml:space="preserve">Addition of safety data pertaining to repeat dose. Revision of post-marketing data based on post-marketing experience. </w:t>
            </w:r>
          </w:p>
        </w:tc>
      </w:tr>
      <w:tr w:rsidR="00FD6884" w:rsidRPr="00FD6884" w:rsidTr="00C67364">
        <w:tc>
          <w:tcPr>
            <w:cnfStyle w:val="001000000000" w:firstRow="0" w:lastRow="0" w:firstColumn="1" w:lastColumn="0" w:oddVBand="0" w:evenVBand="0" w:oddHBand="0" w:evenHBand="0" w:firstRowFirstColumn="0" w:firstRowLastColumn="0" w:lastRowFirstColumn="0" w:lastRowLastColumn="0"/>
            <w:tcW w:w="1384" w:type="dxa"/>
            <w:vAlign w:val="center"/>
          </w:tcPr>
          <w:p w:rsidR="00FD6884" w:rsidRPr="00FD6884" w:rsidRDefault="00FD6884" w:rsidP="00FD6884">
            <w:pPr>
              <w:rPr>
                <w:lang w:val="en-US"/>
              </w:rPr>
            </w:pPr>
            <w:r w:rsidRPr="00FD6884">
              <w:rPr>
                <w:lang w:val="en-US"/>
              </w:rPr>
              <w:t>5.1</w:t>
            </w:r>
          </w:p>
        </w:tc>
        <w:tc>
          <w:tcPr>
            <w:tcW w:w="7858" w:type="dxa"/>
            <w:vAlign w:val="center"/>
          </w:tcPr>
          <w:p w:rsidR="00FD6884" w:rsidRPr="00FD6884" w:rsidRDefault="00FD6884" w:rsidP="00FD6884">
            <w:pPr>
              <w:cnfStyle w:val="000000000000" w:firstRow="0" w:lastRow="0" w:firstColumn="0" w:lastColumn="0" w:oddVBand="0" w:evenVBand="0" w:oddHBand="0" w:evenHBand="0" w:firstRowFirstColumn="0" w:firstRowLastColumn="0" w:lastRowFirstColumn="0" w:lastRowLastColumn="0"/>
            </w:pPr>
            <w:r w:rsidRPr="00FD6884">
              <w:t xml:space="preserve">Addition of immunogenicity data pertaining to repeat dose including long term data. </w:t>
            </w:r>
          </w:p>
        </w:tc>
      </w:tr>
      <w:tr w:rsidR="00FD6884" w:rsidRPr="00FD6884" w:rsidTr="00C67364">
        <w:tc>
          <w:tcPr>
            <w:cnfStyle w:val="001000000000" w:firstRow="0" w:lastRow="0" w:firstColumn="1" w:lastColumn="0" w:oddVBand="0" w:evenVBand="0" w:oddHBand="0" w:evenHBand="0" w:firstRowFirstColumn="0" w:firstRowLastColumn="0" w:lastRowFirstColumn="0" w:lastRowLastColumn="0"/>
            <w:tcW w:w="1384" w:type="dxa"/>
            <w:vAlign w:val="center"/>
          </w:tcPr>
          <w:p w:rsidR="00FD6884" w:rsidRPr="00FD6884" w:rsidRDefault="00FD6884" w:rsidP="00FD6884">
            <w:pPr>
              <w:rPr>
                <w:lang w:val="en-US"/>
              </w:rPr>
            </w:pPr>
            <w:r w:rsidRPr="00FD6884">
              <w:rPr>
                <w:lang w:val="en-US"/>
              </w:rPr>
              <w:t>6.1</w:t>
            </w:r>
          </w:p>
        </w:tc>
        <w:tc>
          <w:tcPr>
            <w:tcW w:w="7858" w:type="dxa"/>
            <w:vAlign w:val="center"/>
          </w:tcPr>
          <w:p w:rsidR="00FD6884" w:rsidRPr="00FD6884" w:rsidRDefault="00FD6884" w:rsidP="00FD6884">
            <w:pPr>
              <w:cnfStyle w:val="000000000000" w:firstRow="0" w:lastRow="0" w:firstColumn="0" w:lastColumn="0" w:oddVBand="0" w:evenVBand="0" w:oddHBand="0" w:evenHBand="0" w:firstRowFirstColumn="0" w:firstRowLastColumn="0" w:lastRowFirstColumn="0" w:lastRowLastColumn="0"/>
            </w:pPr>
            <w:r w:rsidRPr="00FD6884">
              <w:t>Relocation of excipients from Section 2</w:t>
            </w:r>
          </w:p>
        </w:tc>
      </w:tr>
    </w:tbl>
    <w:p w:rsidR="00FD6884" w:rsidRPr="00FD6884" w:rsidRDefault="00FD6884" w:rsidP="00FD6884">
      <w:pPr>
        <w:rPr>
          <w:lang w:val="fr-CA"/>
        </w:rPr>
      </w:pPr>
    </w:p>
    <w:sectPr w:rsidR="00FD6884" w:rsidRPr="00FD6884" w:rsidSect="00161489">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1418" w:bottom="1361"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37F" w:rsidRDefault="000B137F" w:rsidP="00C40A36">
      <w:r>
        <w:separator/>
      </w:r>
    </w:p>
  </w:endnote>
  <w:endnote w:type="continuationSeparator" w:id="0">
    <w:p w:rsidR="000B137F" w:rsidRDefault="000B137F" w:rsidP="00C4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37F" w:rsidRDefault="000B13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3010726"/>
      <w:docPartObj>
        <w:docPartGallery w:val="Page Numbers (Bottom of Page)"/>
        <w:docPartUnique/>
      </w:docPartObj>
    </w:sdtPr>
    <w:sdtEndPr/>
    <w:sdtContent>
      <w:sdt>
        <w:sdtPr>
          <w:id w:val="-1897117813"/>
          <w:docPartObj>
            <w:docPartGallery w:val="Page Numbers (Top of Page)"/>
            <w:docPartUnique/>
          </w:docPartObj>
        </w:sdtPr>
        <w:sdtEndPr/>
        <w:sdtContent>
          <w:p w:rsidR="000B137F" w:rsidRDefault="000B137F" w:rsidP="00161489">
            <w:pPr>
              <w:pStyle w:val="Footer"/>
              <w:pBdr>
                <w:top w:val="single" w:sz="4" w:space="1" w:color="auto"/>
              </w:pBd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C09A7">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C09A7">
              <w:rPr>
                <w:b/>
                <w:bCs/>
                <w:noProof/>
              </w:rPr>
              <w:t>19</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48873"/>
      <w:docPartObj>
        <w:docPartGallery w:val="Page Numbers (Bottom of Page)"/>
        <w:docPartUnique/>
      </w:docPartObj>
    </w:sdtPr>
    <w:sdtEndPr/>
    <w:sdtContent>
      <w:sdt>
        <w:sdtPr>
          <w:id w:val="-1769616900"/>
          <w:docPartObj>
            <w:docPartGallery w:val="Page Numbers (Top of Page)"/>
            <w:docPartUnique/>
          </w:docPartObj>
        </w:sdtPr>
        <w:sdtEndPr/>
        <w:sdtContent>
          <w:p w:rsidR="000B137F" w:rsidRDefault="000B137F" w:rsidP="0016148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37F" w:rsidRDefault="000B137F" w:rsidP="00C40A36">
      <w:r>
        <w:separator/>
      </w:r>
    </w:p>
  </w:footnote>
  <w:footnote w:type="continuationSeparator" w:id="0">
    <w:p w:rsidR="000B137F" w:rsidRDefault="000B137F" w:rsidP="00C40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37F" w:rsidRDefault="000B13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720"/>
    </w:tblGrid>
    <w:tr w:rsidR="000B137F" w:rsidRPr="002E7F61" w:rsidTr="00F04F07">
      <w:trPr>
        <w:trHeight w:val="590"/>
      </w:trPr>
      <w:tc>
        <w:tcPr>
          <w:tcW w:w="8720" w:type="dxa"/>
          <w:shd w:val="clear" w:color="auto" w:fill="E4F2E0"/>
        </w:tcPr>
        <w:p w:rsidR="000B137F" w:rsidRPr="002E7F61" w:rsidRDefault="000B137F" w:rsidP="005A2922">
          <w:pPr>
            <w:pStyle w:val="Footer"/>
            <w:rPr>
              <w:b/>
              <w:szCs w:val="18"/>
            </w:rPr>
          </w:pPr>
          <w:r w:rsidRPr="002E7F61">
            <w:rPr>
              <w:b/>
              <w:szCs w:val="18"/>
            </w:rPr>
            <w:t xml:space="preserve">Attachment </w:t>
          </w:r>
          <w:r w:rsidRPr="0039313F">
            <w:rPr>
              <w:b/>
              <w:szCs w:val="18"/>
            </w:rPr>
            <w:t>AusPAR Adacel - Pertussis Vaccine - Acellular combined with Diphtheria and Tetanus Toxoids (Adsorbed) - Sanofi-Aventis Australia Pty Ltd - PM-2018-01989-1-2</w:t>
          </w:r>
          <w:r>
            <w:rPr>
              <w:b/>
              <w:szCs w:val="18"/>
            </w:rPr>
            <w:t xml:space="preserve"> </w:t>
          </w:r>
          <w:r w:rsidRPr="0039313F">
            <w:rPr>
              <w:b/>
              <w:szCs w:val="18"/>
            </w:rPr>
            <w:t>FINAL 23 March 2020</w:t>
          </w:r>
          <w:r>
            <w:rPr>
              <w:b/>
              <w:szCs w:val="18"/>
            </w:rPr>
            <w:t xml:space="preserve"> </w:t>
          </w:r>
          <w:r w:rsidRPr="00FF2AA4">
            <w:rPr>
              <w:b/>
              <w:szCs w:val="18"/>
            </w:rPr>
            <w:t>This is the Product Information that was approved with the submission described in this AusPAR. It may have been superseded. For the most recent PI, please refer to the TGA website at &lt;</w:t>
          </w:r>
          <w:hyperlink r:id="rId1" w:history="1">
            <w:r w:rsidRPr="00FF2AA4">
              <w:rPr>
                <w:rStyle w:val="Hyperlink"/>
                <w:b/>
                <w:szCs w:val="18"/>
              </w:rPr>
              <w:t>https://www.tga.gov.au/product-information-pi</w:t>
            </w:r>
          </w:hyperlink>
          <w:r w:rsidRPr="00FF2AA4">
            <w:rPr>
              <w:b/>
              <w:szCs w:val="18"/>
              <w:u w:val="single"/>
            </w:rPr>
            <w:t>&gt;</w:t>
          </w:r>
        </w:p>
      </w:tc>
    </w:tr>
  </w:tbl>
  <w:p w:rsidR="000B137F" w:rsidRDefault="000B137F" w:rsidP="005A2922">
    <w:pPr>
      <w:pStyle w:val="Headernoli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37F" w:rsidRDefault="000B13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1E01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DEDC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ACB9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FA0C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8C2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5662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8" w15:restartNumberingAfterBreak="0">
    <w:nsid w:val="FFFFFF88"/>
    <w:multiLevelType w:val="singleLevel"/>
    <w:tmpl w:val="8C7C0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0268D4"/>
    <w:multiLevelType w:val="multilevel"/>
    <w:tmpl w:val="3138A5A2"/>
    <w:name w:val="LT_Heading"/>
    <w:lvl w:ilvl="0">
      <w:start w:val="1"/>
      <w:numFmt w:val="decimal"/>
      <w:lvlRestart w:val="0"/>
      <w:lvlText w:val="%1"/>
      <w:lvlJc w:val="left"/>
      <w:pPr>
        <w:tabs>
          <w:tab w:val="num" w:pos="680"/>
        </w:tabs>
        <w:ind w:left="680" w:hanging="680"/>
      </w:pPr>
    </w:lvl>
    <w:lvl w:ilvl="1">
      <w:start w:val="1"/>
      <w:numFmt w:val="decimal"/>
      <w:lvlText w:val="%1.%2"/>
      <w:lvlJc w:val="left"/>
      <w:pPr>
        <w:tabs>
          <w:tab w:val="num" w:pos="680"/>
        </w:tabs>
        <w:ind w:left="680" w:hanging="680"/>
      </w:pPr>
    </w:lvl>
    <w:lvl w:ilvl="2">
      <w:start w:val="1"/>
      <w:numFmt w:val="decimal"/>
      <w:lvlText w:val="%1.%2.%3"/>
      <w:lvlJc w:val="left"/>
      <w:pPr>
        <w:tabs>
          <w:tab w:val="num" w:pos="680"/>
        </w:tabs>
        <w:ind w:left="680" w:hanging="680"/>
      </w:pPr>
    </w:lvl>
    <w:lvl w:ilvl="3">
      <w:start w:val="1"/>
      <w:numFmt w:val="decimal"/>
      <w:lvlText w:val="%1.%2.%3.%4"/>
      <w:lvlJc w:val="left"/>
      <w:pPr>
        <w:tabs>
          <w:tab w:val="num" w:pos="862"/>
        </w:tabs>
        <w:ind w:left="862" w:hanging="862"/>
      </w:pPr>
    </w:lvl>
    <w:lvl w:ilvl="4">
      <w:start w:val="1"/>
      <w:numFmt w:val="decimal"/>
      <w:lvlText w:val="%1.%2.%3.%4.%5"/>
      <w:lvlJc w:val="left"/>
      <w:pPr>
        <w:tabs>
          <w:tab w:val="num" w:pos="1009"/>
        </w:tabs>
        <w:ind w:left="1009" w:hanging="1009"/>
      </w:pPr>
    </w:lvl>
    <w:lvl w:ilvl="5">
      <w:start w:val="1"/>
      <w:numFmt w:val="decimal"/>
      <w:lvlText w:val="%1.%2.%3.%4.%5.%6"/>
      <w:lvlJc w:val="left"/>
      <w:pPr>
        <w:tabs>
          <w:tab w:val="num" w:pos="1151"/>
        </w:tabs>
        <w:ind w:left="1151" w:hanging="1151"/>
      </w:pPr>
    </w:lvl>
    <w:lvl w:ilvl="6">
      <w:start w:val="1"/>
      <w:numFmt w:val="decimal"/>
      <w:lvlText w:val="%1.%2.%3.%4.%5.%6.%7"/>
      <w:lvlJc w:val="left"/>
      <w:pPr>
        <w:tabs>
          <w:tab w:val="num" w:pos="1298"/>
        </w:tabs>
        <w:ind w:left="1298" w:hanging="1298"/>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2"/>
        </w:tabs>
        <w:ind w:left="1582" w:hanging="1582"/>
      </w:pPr>
    </w:lvl>
  </w:abstractNum>
  <w:abstractNum w:abstractNumId="11" w15:restartNumberingAfterBreak="0">
    <w:nsid w:val="10053F11"/>
    <w:multiLevelType w:val="multilevel"/>
    <w:tmpl w:val="3B0493D8"/>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2" w15:restartNumberingAfterBreak="0">
    <w:nsid w:val="168F13E9"/>
    <w:multiLevelType w:val="multilevel"/>
    <w:tmpl w:val="5950BF9A"/>
    <w:styleLink w:val="ListBullets"/>
    <w:lvl w:ilvl="0">
      <w:start w:val="1"/>
      <w:numFmt w:val="bullet"/>
      <w:pStyle w:val="ListBullet"/>
      <w:lvlText w:val="•"/>
      <w:lvlJc w:val="left"/>
      <w:pPr>
        <w:ind w:left="360" w:hanging="360"/>
      </w:pPr>
      <w:rPr>
        <w:rFonts w:ascii="Arial"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 w15:restartNumberingAfterBreak="0">
    <w:nsid w:val="20EB1808"/>
    <w:multiLevelType w:val="hybridMultilevel"/>
    <w:tmpl w:val="522A90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EA4CF5"/>
    <w:multiLevelType w:val="hybridMultilevel"/>
    <w:tmpl w:val="1C16FC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686EAB"/>
    <w:multiLevelType w:val="hybridMultilevel"/>
    <w:tmpl w:val="B95ED9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253F78"/>
    <w:multiLevelType w:val="hybridMultilevel"/>
    <w:tmpl w:val="40DA4612"/>
    <w:lvl w:ilvl="0" w:tplc="40B84BAC">
      <w:start w:val="1"/>
      <w:numFmt w:val="decimal"/>
      <w:pStyle w:val="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A1E77"/>
    <w:multiLevelType w:val="hybridMultilevel"/>
    <w:tmpl w:val="C2BAF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5833A3"/>
    <w:multiLevelType w:val="hybridMultilevel"/>
    <w:tmpl w:val="1090C766"/>
    <w:lvl w:ilvl="0" w:tplc="539E3452">
      <w:start w:val="1"/>
      <w:numFmt w:val="bullet"/>
      <w:pStyle w:val="ListBullet3"/>
      <w:lvlText w:val="▪"/>
      <w:lvlJc w:val="left"/>
      <w:pPr>
        <w:ind w:left="1571" w:hanging="360"/>
      </w:pPr>
      <w:rPr>
        <w:rFonts w:ascii="Arial"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9" w15:restartNumberingAfterBreak="0">
    <w:nsid w:val="53982D0B"/>
    <w:multiLevelType w:val="hybridMultilevel"/>
    <w:tmpl w:val="55C4B4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BF6095"/>
    <w:multiLevelType w:val="hybridMultilevel"/>
    <w:tmpl w:val="59BC00BE"/>
    <w:lvl w:ilvl="0" w:tplc="151E7E3C">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F247F05"/>
    <w:multiLevelType w:val="hybridMultilevel"/>
    <w:tmpl w:val="82EC1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704350C"/>
    <w:multiLevelType w:val="hybridMultilevel"/>
    <w:tmpl w:val="B89492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AD21CD9"/>
    <w:multiLevelType w:val="hybridMultilevel"/>
    <w:tmpl w:val="D20CB884"/>
    <w:lvl w:ilvl="0" w:tplc="FC26E83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2"/>
  </w:num>
  <w:num w:numId="4">
    <w:abstractNumId w:val="12"/>
  </w:num>
  <w:num w:numId="5">
    <w:abstractNumId w:val="6"/>
  </w:num>
  <w:num w:numId="6">
    <w:abstractNumId w:val="12"/>
  </w:num>
  <w:num w:numId="7">
    <w:abstractNumId w:val="12"/>
  </w:num>
  <w:num w:numId="8">
    <w:abstractNumId w:val="11"/>
  </w:num>
  <w:num w:numId="9">
    <w:abstractNumId w:val="11"/>
  </w:num>
  <w:num w:numId="10">
    <w:abstractNumId w:val="11"/>
  </w:num>
  <w:num w:numId="11">
    <w:abstractNumId w:val="11"/>
  </w:num>
  <w:num w:numId="12">
    <w:abstractNumId w:val="12"/>
  </w:num>
  <w:num w:numId="13">
    <w:abstractNumId w:val="12"/>
  </w:num>
  <w:num w:numId="14">
    <w:abstractNumId w:val="12"/>
  </w:num>
  <w:num w:numId="15">
    <w:abstractNumId w:val="20"/>
  </w:num>
  <w:num w:numId="16">
    <w:abstractNumId w:val="20"/>
  </w:num>
  <w:num w:numId="17">
    <w:abstractNumId w:val="21"/>
  </w:num>
  <w:num w:numId="18">
    <w:abstractNumId w:val="22"/>
  </w:num>
  <w:num w:numId="19">
    <w:abstractNumId w:val="23"/>
  </w:num>
  <w:num w:numId="20">
    <w:abstractNumId w:val="17"/>
  </w:num>
  <w:num w:numId="21">
    <w:abstractNumId w:val="14"/>
  </w:num>
  <w:num w:numId="22">
    <w:abstractNumId w:val="15"/>
  </w:num>
  <w:num w:numId="23">
    <w:abstractNumId w:val="19"/>
  </w:num>
  <w:num w:numId="24">
    <w:abstractNumId w:val="12"/>
  </w:num>
  <w:num w:numId="25">
    <w:abstractNumId w:val="12"/>
  </w:num>
  <w:num w:numId="26">
    <w:abstractNumId w:val="12"/>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8"/>
  </w:num>
  <w:num w:numId="35">
    <w:abstractNumId w:val="12"/>
  </w:num>
  <w:num w:numId="36">
    <w:abstractNumId w:val="12"/>
  </w:num>
  <w:num w:numId="37">
    <w:abstractNumId w:val="18"/>
  </w:num>
  <w:num w:numId="38">
    <w:abstractNumId w:val="11"/>
  </w:num>
  <w:num w:numId="39">
    <w:abstractNumId w:val="11"/>
  </w:num>
  <w:num w:numId="40">
    <w:abstractNumId w:val="12"/>
  </w:num>
  <w:num w:numId="41">
    <w:abstractNumId w:val="12"/>
  </w:num>
  <w:num w:numId="42">
    <w:abstractNumId w:val="18"/>
  </w:num>
  <w:num w:numId="43">
    <w:abstractNumId w:val="11"/>
  </w:num>
  <w:num w:numId="44">
    <w:abstractNumId w:val="11"/>
  </w:num>
  <w:num w:numId="45">
    <w:abstractNumId w:val="16"/>
  </w:num>
  <w:num w:numId="46">
    <w:abstractNumId w:val="13"/>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851"/>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22"/>
    <w:rsid w:val="00002031"/>
    <w:rsid w:val="00004734"/>
    <w:rsid w:val="00006B22"/>
    <w:rsid w:val="0001276A"/>
    <w:rsid w:val="00016C59"/>
    <w:rsid w:val="000239C6"/>
    <w:rsid w:val="000246AE"/>
    <w:rsid w:val="00025C67"/>
    <w:rsid w:val="000336B5"/>
    <w:rsid w:val="00034904"/>
    <w:rsid w:val="0005559E"/>
    <w:rsid w:val="00055B86"/>
    <w:rsid w:val="000570A5"/>
    <w:rsid w:val="00064C94"/>
    <w:rsid w:val="00065657"/>
    <w:rsid w:val="0007394C"/>
    <w:rsid w:val="00077775"/>
    <w:rsid w:val="00082A10"/>
    <w:rsid w:val="000872AA"/>
    <w:rsid w:val="00090471"/>
    <w:rsid w:val="000A1474"/>
    <w:rsid w:val="000A1F98"/>
    <w:rsid w:val="000A20BF"/>
    <w:rsid w:val="000A4A74"/>
    <w:rsid w:val="000B137F"/>
    <w:rsid w:val="000B1EBF"/>
    <w:rsid w:val="000B3532"/>
    <w:rsid w:val="000B3A75"/>
    <w:rsid w:val="000B543C"/>
    <w:rsid w:val="000B7084"/>
    <w:rsid w:val="000C4728"/>
    <w:rsid w:val="000D283A"/>
    <w:rsid w:val="000D391B"/>
    <w:rsid w:val="000D3D6D"/>
    <w:rsid w:val="000D4FC7"/>
    <w:rsid w:val="000D579F"/>
    <w:rsid w:val="000D68D1"/>
    <w:rsid w:val="000E2AE8"/>
    <w:rsid w:val="000F16BC"/>
    <w:rsid w:val="000F28BA"/>
    <w:rsid w:val="000F4869"/>
    <w:rsid w:val="000F5B42"/>
    <w:rsid w:val="000F6E6F"/>
    <w:rsid w:val="001003F2"/>
    <w:rsid w:val="0010601F"/>
    <w:rsid w:val="0010704F"/>
    <w:rsid w:val="00110EA5"/>
    <w:rsid w:val="0011266E"/>
    <w:rsid w:val="00115240"/>
    <w:rsid w:val="00125318"/>
    <w:rsid w:val="00126A14"/>
    <w:rsid w:val="001305A2"/>
    <w:rsid w:val="00131476"/>
    <w:rsid w:val="00133238"/>
    <w:rsid w:val="00133E11"/>
    <w:rsid w:val="0014197B"/>
    <w:rsid w:val="00141B46"/>
    <w:rsid w:val="001434DF"/>
    <w:rsid w:val="001447CD"/>
    <w:rsid w:val="00144C49"/>
    <w:rsid w:val="0014503C"/>
    <w:rsid w:val="001467B9"/>
    <w:rsid w:val="001516B1"/>
    <w:rsid w:val="0015177A"/>
    <w:rsid w:val="00156316"/>
    <w:rsid w:val="00156653"/>
    <w:rsid w:val="00160FA8"/>
    <w:rsid w:val="00161489"/>
    <w:rsid w:val="00163E7C"/>
    <w:rsid w:val="00165389"/>
    <w:rsid w:val="0016554A"/>
    <w:rsid w:val="00175BDB"/>
    <w:rsid w:val="0017693F"/>
    <w:rsid w:val="0018110E"/>
    <w:rsid w:val="00181684"/>
    <w:rsid w:val="001843C6"/>
    <w:rsid w:val="001850E0"/>
    <w:rsid w:val="001867C1"/>
    <w:rsid w:val="001A1B90"/>
    <w:rsid w:val="001A525F"/>
    <w:rsid w:val="001B05F9"/>
    <w:rsid w:val="001B07F8"/>
    <w:rsid w:val="001B09F9"/>
    <w:rsid w:val="001B63A4"/>
    <w:rsid w:val="001B6448"/>
    <w:rsid w:val="001C4FEB"/>
    <w:rsid w:val="001D0748"/>
    <w:rsid w:val="001D1664"/>
    <w:rsid w:val="001E07CF"/>
    <w:rsid w:val="001E104C"/>
    <w:rsid w:val="001E425B"/>
    <w:rsid w:val="001E4AC7"/>
    <w:rsid w:val="001E59F1"/>
    <w:rsid w:val="001E7CA3"/>
    <w:rsid w:val="001F49EB"/>
    <w:rsid w:val="001F6CBA"/>
    <w:rsid w:val="00201D4E"/>
    <w:rsid w:val="0020571C"/>
    <w:rsid w:val="0021402A"/>
    <w:rsid w:val="002152BD"/>
    <w:rsid w:val="00217D05"/>
    <w:rsid w:val="00220B8A"/>
    <w:rsid w:val="0022530A"/>
    <w:rsid w:val="002257F3"/>
    <w:rsid w:val="0022716B"/>
    <w:rsid w:val="00227CF4"/>
    <w:rsid w:val="0023048E"/>
    <w:rsid w:val="00232D87"/>
    <w:rsid w:val="00233456"/>
    <w:rsid w:val="002339A5"/>
    <w:rsid w:val="002346E6"/>
    <w:rsid w:val="0024231E"/>
    <w:rsid w:val="00242725"/>
    <w:rsid w:val="00245DCE"/>
    <w:rsid w:val="002461C0"/>
    <w:rsid w:val="0024739A"/>
    <w:rsid w:val="002501BF"/>
    <w:rsid w:val="00251F86"/>
    <w:rsid w:val="00257848"/>
    <w:rsid w:val="00257AA5"/>
    <w:rsid w:val="0027084A"/>
    <w:rsid w:val="00274112"/>
    <w:rsid w:val="00286434"/>
    <w:rsid w:val="00286C59"/>
    <w:rsid w:val="002942D1"/>
    <w:rsid w:val="002A0556"/>
    <w:rsid w:val="002B1218"/>
    <w:rsid w:val="002B1638"/>
    <w:rsid w:val="002B6AE5"/>
    <w:rsid w:val="002B7FE9"/>
    <w:rsid w:val="002C09A7"/>
    <w:rsid w:val="002C2A01"/>
    <w:rsid w:val="002D371E"/>
    <w:rsid w:val="002D3D18"/>
    <w:rsid w:val="002D676D"/>
    <w:rsid w:val="002D7BA2"/>
    <w:rsid w:val="002E4C9A"/>
    <w:rsid w:val="002F11F8"/>
    <w:rsid w:val="002F2FC3"/>
    <w:rsid w:val="002F32B3"/>
    <w:rsid w:val="002F3F56"/>
    <w:rsid w:val="002F44B5"/>
    <w:rsid w:val="002F61FC"/>
    <w:rsid w:val="003002A9"/>
    <w:rsid w:val="00300C37"/>
    <w:rsid w:val="00302933"/>
    <w:rsid w:val="0030787D"/>
    <w:rsid w:val="00311446"/>
    <w:rsid w:val="00311AC0"/>
    <w:rsid w:val="003127F5"/>
    <w:rsid w:val="003246C8"/>
    <w:rsid w:val="0033260A"/>
    <w:rsid w:val="003507A6"/>
    <w:rsid w:val="003521E8"/>
    <w:rsid w:val="0035403E"/>
    <w:rsid w:val="0036150F"/>
    <w:rsid w:val="003664BF"/>
    <w:rsid w:val="00366CA7"/>
    <w:rsid w:val="00367882"/>
    <w:rsid w:val="00372416"/>
    <w:rsid w:val="003728F3"/>
    <w:rsid w:val="00373880"/>
    <w:rsid w:val="003779FA"/>
    <w:rsid w:val="00390900"/>
    <w:rsid w:val="003A52B2"/>
    <w:rsid w:val="003B7E39"/>
    <w:rsid w:val="003C19A8"/>
    <w:rsid w:val="003C33BE"/>
    <w:rsid w:val="003C58DC"/>
    <w:rsid w:val="003D1170"/>
    <w:rsid w:val="003D6C66"/>
    <w:rsid w:val="003E1985"/>
    <w:rsid w:val="003E3208"/>
    <w:rsid w:val="003E4C13"/>
    <w:rsid w:val="003E74D1"/>
    <w:rsid w:val="003F0B04"/>
    <w:rsid w:val="003F129A"/>
    <w:rsid w:val="003F1B0F"/>
    <w:rsid w:val="003F612D"/>
    <w:rsid w:val="0040134E"/>
    <w:rsid w:val="004024D7"/>
    <w:rsid w:val="0040373F"/>
    <w:rsid w:val="0040377F"/>
    <w:rsid w:val="00410EAC"/>
    <w:rsid w:val="00411777"/>
    <w:rsid w:val="00411E88"/>
    <w:rsid w:val="00415D8D"/>
    <w:rsid w:val="004169B7"/>
    <w:rsid w:val="00416EAC"/>
    <w:rsid w:val="00417BBA"/>
    <w:rsid w:val="004267E8"/>
    <w:rsid w:val="004269D1"/>
    <w:rsid w:val="004360FB"/>
    <w:rsid w:val="00440A2D"/>
    <w:rsid w:val="00440DAF"/>
    <w:rsid w:val="004564A7"/>
    <w:rsid w:val="004617BF"/>
    <w:rsid w:val="004662EA"/>
    <w:rsid w:val="00481784"/>
    <w:rsid w:val="00491760"/>
    <w:rsid w:val="004923FF"/>
    <w:rsid w:val="00494E60"/>
    <w:rsid w:val="004A38EE"/>
    <w:rsid w:val="004A4795"/>
    <w:rsid w:val="004B23A0"/>
    <w:rsid w:val="004B7B76"/>
    <w:rsid w:val="004C08EC"/>
    <w:rsid w:val="004C2568"/>
    <w:rsid w:val="004C2BF6"/>
    <w:rsid w:val="004C51FB"/>
    <w:rsid w:val="004E3641"/>
    <w:rsid w:val="004F0F38"/>
    <w:rsid w:val="004F2D9F"/>
    <w:rsid w:val="004F3E7C"/>
    <w:rsid w:val="004F3F5C"/>
    <w:rsid w:val="00501921"/>
    <w:rsid w:val="005076E8"/>
    <w:rsid w:val="00515DA6"/>
    <w:rsid w:val="005200EB"/>
    <w:rsid w:val="00521AE6"/>
    <w:rsid w:val="00530354"/>
    <w:rsid w:val="00536E30"/>
    <w:rsid w:val="005434C6"/>
    <w:rsid w:val="00543B39"/>
    <w:rsid w:val="0054427D"/>
    <w:rsid w:val="00545F70"/>
    <w:rsid w:val="00545F7B"/>
    <w:rsid w:val="00550096"/>
    <w:rsid w:val="00554BA0"/>
    <w:rsid w:val="00557FF9"/>
    <w:rsid w:val="005614D2"/>
    <w:rsid w:val="0057001C"/>
    <w:rsid w:val="00571115"/>
    <w:rsid w:val="00576378"/>
    <w:rsid w:val="00577E38"/>
    <w:rsid w:val="00585140"/>
    <w:rsid w:val="00585322"/>
    <w:rsid w:val="00593AD1"/>
    <w:rsid w:val="0059775C"/>
    <w:rsid w:val="005A1131"/>
    <w:rsid w:val="005A2922"/>
    <w:rsid w:val="005A449F"/>
    <w:rsid w:val="005A7FAD"/>
    <w:rsid w:val="005B7014"/>
    <w:rsid w:val="005C5570"/>
    <w:rsid w:val="005C79A4"/>
    <w:rsid w:val="005D5442"/>
    <w:rsid w:val="006065C2"/>
    <w:rsid w:val="00613396"/>
    <w:rsid w:val="0063073C"/>
    <w:rsid w:val="00635ECF"/>
    <w:rsid w:val="00640FC3"/>
    <w:rsid w:val="00642020"/>
    <w:rsid w:val="0065337B"/>
    <w:rsid w:val="0065419D"/>
    <w:rsid w:val="006604D8"/>
    <w:rsid w:val="006615AE"/>
    <w:rsid w:val="00662F53"/>
    <w:rsid w:val="00664A5B"/>
    <w:rsid w:val="00667942"/>
    <w:rsid w:val="00674474"/>
    <w:rsid w:val="00677790"/>
    <w:rsid w:val="00680C08"/>
    <w:rsid w:val="0068284F"/>
    <w:rsid w:val="00682851"/>
    <w:rsid w:val="006842BE"/>
    <w:rsid w:val="0068741A"/>
    <w:rsid w:val="006931B1"/>
    <w:rsid w:val="006A01D9"/>
    <w:rsid w:val="006A15C0"/>
    <w:rsid w:val="006A399C"/>
    <w:rsid w:val="006A7B7F"/>
    <w:rsid w:val="006C1F3B"/>
    <w:rsid w:val="006C3E2A"/>
    <w:rsid w:val="006C642F"/>
    <w:rsid w:val="006D03E5"/>
    <w:rsid w:val="006D3540"/>
    <w:rsid w:val="006D4FC3"/>
    <w:rsid w:val="006D5D3E"/>
    <w:rsid w:val="006D7E9D"/>
    <w:rsid w:val="006E08B3"/>
    <w:rsid w:val="006E1980"/>
    <w:rsid w:val="006E73F3"/>
    <w:rsid w:val="006F02AC"/>
    <w:rsid w:val="006F13B5"/>
    <w:rsid w:val="006F572E"/>
    <w:rsid w:val="007046D6"/>
    <w:rsid w:val="00705DB0"/>
    <w:rsid w:val="00706AFE"/>
    <w:rsid w:val="00710B19"/>
    <w:rsid w:val="00712EE4"/>
    <w:rsid w:val="00714FB5"/>
    <w:rsid w:val="00715E43"/>
    <w:rsid w:val="007302FA"/>
    <w:rsid w:val="0073664D"/>
    <w:rsid w:val="0074253D"/>
    <w:rsid w:val="00743CBF"/>
    <w:rsid w:val="0074429B"/>
    <w:rsid w:val="00745D5F"/>
    <w:rsid w:val="00746136"/>
    <w:rsid w:val="007477F8"/>
    <w:rsid w:val="00751D4C"/>
    <w:rsid w:val="00753301"/>
    <w:rsid w:val="007549FB"/>
    <w:rsid w:val="007565AE"/>
    <w:rsid w:val="007615BC"/>
    <w:rsid w:val="00762F05"/>
    <w:rsid w:val="007652FF"/>
    <w:rsid w:val="00770C88"/>
    <w:rsid w:val="00771329"/>
    <w:rsid w:val="00772CEF"/>
    <w:rsid w:val="00773EF7"/>
    <w:rsid w:val="00774E1D"/>
    <w:rsid w:val="0077675A"/>
    <w:rsid w:val="007770A4"/>
    <w:rsid w:val="00780355"/>
    <w:rsid w:val="00781735"/>
    <w:rsid w:val="00785721"/>
    <w:rsid w:val="00791678"/>
    <w:rsid w:val="007919EA"/>
    <w:rsid w:val="00792F09"/>
    <w:rsid w:val="00793A59"/>
    <w:rsid w:val="007A2162"/>
    <w:rsid w:val="007B7865"/>
    <w:rsid w:val="007C0F3D"/>
    <w:rsid w:val="007C1AF7"/>
    <w:rsid w:val="007C44CB"/>
    <w:rsid w:val="007C4790"/>
    <w:rsid w:val="007D118C"/>
    <w:rsid w:val="007E1D03"/>
    <w:rsid w:val="007E39A9"/>
    <w:rsid w:val="007E462A"/>
    <w:rsid w:val="007E78FC"/>
    <w:rsid w:val="007F34F8"/>
    <w:rsid w:val="008100B6"/>
    <w:rsid w:val="00810C49"/>
    <w:rsid w:val="00814CE3"/>
    <w:rsid w:val="00821776"/>
    <w:rsid w:val="00826007"/>
    <w:rsid w:val="00827F41"/>
    <w:rsid w:val="008317DE"/>
    <w:rsid w:val="008321F5"/>
    <w:rsid w:val="00832369"/>
    <w:rsid w:val="00832C11"/>
    <w:rsid w:val="00833FE8"/>
    <w:rsid w:val="00834660"/>
    <w:rsid w:val="00834D93"/>
    <w:rsid w:val="00834E8D"/>
    <w:rsid w:val="0083644E"/>
    <w:rsid w:val="00836BC2"/>
    <w:rsid w:val="00842585"/>
    <w:rsid w:val="0084642D"/>
    <w:rsid w:val="00846C99"/>
    <w:rsid w:val="00856296"/>
    <w:rsid w:val="0085641B"/>
    <w:rsid w:val="00857136"/>
    <w:rsid w:val="00863B1D"/>
    <w:rsid w:val="00877066"/>
    <w:rsid w:val="00881E2B"/>
    <w:rsid w:val="00885930"/>
    <w:rsid w:val="008872A9"/>
    <w:rsid w:val="00887365"/>
    <w:rsid w:val="00887D37"/>
    <w:rsid w:val="00890E8F"/>
    <w:rsid w:val="00895A07"/>
    <w:rsid w:val="00896018"/>
    <w:rsid w:val="008A2B9D"/>
    <w:rsid w:val="008A5E0B"/>
    <w:rsid w:val="008A628A"/>
    <w:rsid w:val="008A6D59"/>
    <w:rsid w:val="008A7F9B"/>
    <w:rsid w:val="008B3E49"/>
    <w:rsid w:val="008B4B03"/>
    <w:rsid w:val="008B596F"/>
    <w:rsid w:val="008C159F"/>
    <w:rsid w:val="008C1623"/>
    <w:rsid w:val="008C1BE2"/>
    <w:rsid w:val="008C3A45"/>
    <w:rsid w:val="008C4E34"/>
    <w:rsid w:val="008C51A9"/>
    <w:rsid w:val="008C6267"/>
    <w:rsid w:val="008D2816"/>
    <w:rsid w:val="008D50AE"/>
    <w:rsid w:val="008D687D"/>
    <w:rsid w:val="008D6F95"/>
    <w:rsid w:val="008E6F53"/>
    <w:rsid w:val="008E7524"/>
    <w:rsid w:val="008F1CCC"/>
    <w:rsid w:val="008F2967"/>
    <w:rsid w:val="008F580A"/>
    <w:rsid w:val="009177CC"/>
    <w:rsid w:val="00920330"/>
    <w:rsid w:val="009219D7"/>
    <w:rsid w:val="00922D53"/>
    <w:rsid w:val="00923B70"/>
    <w:rsid w:val="0092424D"/>
    <w:rsid w:val="0092600B"/>
    <w:rsid w:val="00930237"/>
    <w:rsid w:val="00940103"/>
    <w:rsid w:val="009453CE"/>
    <w:rsid w:val="009522A9"/>
    <w:rsid w:val="009527F4"/>
    <w:rsid w:val="00956D21"/>
    <w:rsid w:val="00961CE1"/>
    <w:rsid w:val="00963C08"/>
    <w:rsid w:val="009749DF"/>
    <w:rsid w:val="00974ABB"/>
    <w:rsid w:val="0098068F"/>
    <w:rsid w:val="00982678"/>
    <w:rsid w:val="00983655"/>
    <w:rsid w:val="00997E98"/>
    <w:rsid w:val="009A1D75"/>
    <w:rsid w:val="009A4CED"/>
    <w:rsid w:val="009A6616"/>
    <w:rsid w:val="009A6CAF"/>
    <w:rsid w:val="009B15E8"/>
    <w:rsid w:val="009B1D12"/>
    <w:rsid w:val="009B3399"/>
    <w:rsid w:val="009B416B"/>
    <w:rsid w:val="009B5930"/>
    <w:rsid w:val="009B6EC1"/>
    <w:rsid w:val="009C24B7"/>
    <w:rsid w:val="009C2A54"/>
    <w:rsid w:val="009C4BD5"/>
    <w:rsid w:val="009C65A4"/>
    <w:rsid w:val="009D145F"/>
    <w:rsid w:val="009D170D"/>
    <w:rsid w:val="009D54C0"/>
    <w:rsid w:val="009D7B77"/>
    <w:rsid w:val="009E0BB0"/>
    <w:rsid w:val="009E0F17"/>
    <w:rsid w:val="009E16D0"/>
    <w:rsid w:val="009E3FBB"/>
    <w:rsid w:val="009E43EE"/>
    <w:rsid w:val="009F5F9B"/>
    <w:rsid w:val="009F7867"/>
    <w:rsid w:val="00A04B48"/>
    <w:rsid w:val="00A056A0"/>
    <w:rsid w:val="00A111DD"/>
    <w:rsid w:val="00A1470B"/>
    <w:rsid w:val="00A14DF7"/>
    <w:rsid w:val="00A169DA"/>
    <w:rsid w:val="00A23851"/>
    <w:rsid w:val="00A26D59"/>
    <w:rsid w:val="00A27E43"/>
    <w:rsid w:val="00A3246D"/>
    <w:rsid w:val="00A35E34"/>
    <w:rsid w:val="00A36FA7"/>
    <w:rsid w:val="00A4383E"/>
    <w:rsid w:val="00A475B7"/>
    <w:rsid w:val="00A47AF7"/>
    <w:rsid w:val="00A47C3E"/>
    <w:rsid w:val="00A50226"/>
    <w:rsid w:val="00A57BE7"/>
    <w:rsid w:val="00A606D5"/>
    <w:rsid w:val="00A60BAD"/>
    <w:rsid w:val="00A61B30"/>
    <w:rsid w:val="00A61D1D"/>
    <w:rsid w:val="00A63407"/>
    <w:rsid w:val="00A73A8D"/>
    <w:rsid w:val="00A75755"/>
    <w:rsid w:val="00A77137"/>
    <w:rsid w:val="00A77BD3"/>
    <w:rsid w:val="00A87E87"/>
    <w:rsid w:val="00A95096"/>
    <w:rsid w:val="00AA0718"/>
    <w:rsid w:val="00AA49A2"/>
    <w:rsid w:val="00AA77AF"/>
    <w:rsid w:val="00AB5E44"/>
    <w:rsid w:val="00AC1D58"/>
    <w:rsid w:val="00AC2B40"/>
    <w:rsid w:val="00AC2BB2"/>
    <w:rsid w:val="00AC2C3C"/>
    <w:rsid w:val="00AC37AF"/>
    <w:rsid w:val="00AC49E1"/>
    <w:rsid w:val="00AC5EFA"/>
    <w:rsid w:val="00AD38E1"/>
    <w:rsid w:val="00AE1619"/>
    <w:rsid w:val="00AE32A9"/>
    <w:rsid w:val="00AE32F3"/>
    <w:rsid w:val="00AE65EB"/>
    <w:rsid w:val="00AF1D94"/>
    <w:rsid w:val="00AF4FB1"/>
    <w:rsid w:val="00AF60C5"/>
    <w:rsid w:val="00B009C6"/>
    <w:rsid w:val="00B01548"/>
    <w:rsid w:val="00B067F8"/>
    <w:rsid w:val="00B132DE"/>
    <w:rsid w:val="00B13F56"/>
    <w:rsid w:val="00B14C99"/>
    <w:rsid w:val="00B15E5C"/>
    <w:rsid w:val="00B17E8D"/>
    <w:rsid w:val="00B21D29"/>
    <w:rsid w:val="00B25034"/>
    <w:rsid w:val="00B27FCE"/>
    <w:rsid w:val="00B33863"/>
    <w:rsid w:val="00B34026"/>
    <w:rsid w:val="00B37812"/>
    <w:rsid w:val="00B37898"/>
    <w:rsid w:val="00B37D17"/>
    <w:rsid w:val="00B4175E"/>
    <w:rsid w:val="00B43E03"/>
    <w:rsid w:val="00B54C25"/>
    <w:rsid w:val="00B56277"/>
    <w:rsid w:val="00B73D47"/>
    <w:rsid w:val="00B76B91"/>
    <w:rsid w:val="00B8519C"/>
    <w:rsid w:val="00B85B79"/>
    <w:rsid w:val="00B93853"/>
    <w:rsid w:val="00B96878"/>
    <w:rsid w:val="00BA5BB9"/>
    <w:rsid w:val="00BB7F63"/>
    <w:rsid w:val="00BC4DA2"/>
    <w:rsid w:val="00BC622A"/>
    <w:rsid w:val="00BD0659"/>
    <w:rsid w:val="00BD2959"/>
    <w:rsid w:val="00BD41D3"/>
    <w:rsid w:val="00BD6C0C"/>
    <w:rsid w:val="00BE0A78"/>
    <w:rsid w:val="00BE673D"/>
    <w:rsid w:val="00BE79F0"/>
    <w:rsid w:val="00BF046D"/>
    <w:rsid w:val="00BF5D04"/>
    <w:rsid w:val="00C06A51"/>
    <w:rsid w:val="00C11E87"/>
    <w:rsid w:val="00C13563"/>
    <w:rsid w:val="00C16F1C"/>
    <w:rsid w:val="00C17FD8"/>
    <w:rsid w:val="00C20595"/>
    <w:rsid w:val="00C34A54"/>
    <w:rsid w:val="00C36EC5"/>
    <w:rsid w:val="00C37AD0"/>
    <w:rsid w:val="00C404A6"/>
    <w:rsid w:val="00C40A36"/>
    <w:rsid w:val="00C44419"/>
    <w:rsid w:val="00C45E7B"/>
    <w:rsid w:val="00C471B1"/>
    <w:rsid w:val="00C53564"/>
    <w:rsid w:val="00C53D7B"/>
    <w:rsid w:val="00C54E0F"/>
    <w:rsid w:val="00C61587"/>
    <w:rsid w:val="00C627C3"/>
    <w:rsid w:val="00C6316B"/>
    <w:rsid w:val="00C634A9"/>
    <w:rsid w:val="00C661EE"/>
    <w:rsid w:val="00C72261"/>
    <w:rsid w:val="00C772FF"/>
    <w:rsid w:val="00C801AF"/>
    <w:rsid w:val="00C80256"/>
    <w:rsid w:val="00C8061B"/>
    <w:rsid w:val="00C83154"/>
    <w:rsid w:val="00C912E5"/>
    <w:rsid w:val="00C9150D"/>
    <w:rsid w:val="00C92F9C"/>
    <w:rsid w:val="00C964DE"/>
    <w:rsid w:val="00C96F84"/>
    <w:rsid w:val="00CA3BC1"/>
    <w:rsid w:val="00CA4F54"/>
    <w:rsid w:val="00CB1FC2"/>
    <w:rsid w:val="00CB62DB"/>
    <w:rsid w:val="00CB6BC0"/>
    <w:rsid w:val="00CC1B7C"/>
    <w:rsid w:val="00CC25EB"/>
    <w:rsid w:val="00CC5A2E"/>
    <w:rsid w:val="00CC727F"/>
    <w:rsid w:val="00CE460C"/>
    <w:rsid w:val="00CE5BB0"/>
    <w:rsid w:val="00CE62C3"/>
    <w:rsid w:val="00CF15C3"/>
    <w:rsid w:val="00CF2B6F"/>
    <w:rsid w:val="00CF7F5A"/>
    <w:rsid w:val="00D017ED"/>
    <w:rsid w:val="00D02479"/>
    <w:rsid w:val="00D04F1E"/>
    <w:rsid w:val="00D0673D"/>
    <w:rsid w:val="00D1358D"/>
    <w:rsid w:val="00D153B1"/>
    <w:rsid w:val="00D224FE"/>
    <w:rsid w:val="00D242AC"/>
    <w:rsid w:val="00D329DB"/>
    <w:rsid w:val="00D41E18"/>
    <w:rsid w:val="00D44CFD"/>
    <w:rsid w:val="00D46335"/>
    <w:rsid w:val="00D53B8F"/>
    <w:rsid w:val="00D54785"/>
    <w:rsid w:val="00D54C36"/>
    <w:rsid w:val="00D6493E"/>
    <w:rsid w:val="00D73E47"/>
    <w:rsid w:val="00D742B0"/>
    <w:rsid w:val="00D85F12"/>
    <w:rsid w:val="00D86B2C"/>
    <w:rsid w:val="00D92D8D"/>
    <w:rsid w:val="00DA1124"/>
    <w:rsid w:val="00DA1AFE"/>
    <w:rsid w:val="00DA2A4A"/>
    <w:rsid w:val="00DA720C"/>
    <w:rsid w:val="00DA747D"/>
    <w:rsid w:val="00DB3186"/>
    <w:rsid w:val="00DC133D"/>
    <w:rsid w:val="00DC64B4"/>
    <w:rsid w:val="00DC6B47"/>
    <w:rsid w:val="00DC6F0A"/>
    <w:rsid w:val="00DD05EF"/>
    <w:rsid w:val="00DD1285"/>
    <w:rsid w:val="00DD2605"/>
    <w:rsid w:val="00DD75A3"/>
    <w:rsid w:val="00DE02AE"/>
    <w:rsid w:val="00DE12A0"/>
    <w:rsid w:val="00DE1760"/>
    <w:rsid w:val="00DE6A0C"/>
    <w:rsid w:val="00DF1D7F"/>
    <w:rsid w:val="00DF6680"/>
    <w:rsid w:val="00E02FB4"/>
    <w:rsid w:val="00E1743A"/>
    <w:rsid w:val="00E20571"/>
    <w:rsid w:val="00E21651"/>
    <w:rsid w:val="00E233DD"/>
    <w:rsid w:val="00E235F7"/>
    <w:rsid w:val="00E239D4"/>
    <w:rsid w:val="00E40B22"/>
    <w:rsid w:val="00E40F33"/>
    <w:rsid w:val="00E4411A"/>
    <w:rsid w:val="00E4588F"/>
    <w:rsid w:val="00E45EA5"/>
    <w:rsid w:val="00E46DA3"/>
    <w:rsid w:val="00E47673"/>
    <w:rsid w:val="00E52D58"/>
    <w:rsid w:val="00E53B10"/>
    <w:rsid w:val="00E912A2"/>
    <w:rsid w:val="00E955F5"/>
    <w:rsid w:val="00EA18AA"/>
    <w:rsid w:val="00EA406B"/>
    <w:rsid w:val="00EA7BFB"/>
    <w:rsid w:val="00EB0084"/>
    <w:rsid w:val="00EB0798"/>
    <w:rsid w:val="00EB0A24"/>
    <w:rsid w:val="00EB4071"/>
    <w:rsid w:val="00EB40AD"/>
    <w:rsid w:val="00EB586E"/>
    <w:rsid w:val="00EB5FC8"/>
    <w:rsid w:val="00EC5C76"/>
    <w:rsid w:val="00ED2502"/>
    <w:rsid w:val="00ED5A41"/>
    <w:rsid w:val="00EE0EEA"/>
    <w:rsid w:val="00EE3694"/>
    <w:rsid w:val="00EE45BE"/>
    <w:rsid w:val="00EF0773"/>
    <w:rsid w:val="00EF1770"/>
    <w:rsid w:val="00EF3598"/>
    <w:rsid w:val="00EF578B"/>
    <w:rsid w:val="00F033EC"/>
    <w:rsid w:val="00F04624"/>
    <w:rsid w:val="00F04F07"/>
    <w:rsid w:val="00F04F68"/>
    <w:rsid w:val="00F06EE0"/>
    <w:rsid w:val="00F12670"/>
    <w:rsid w:val="00F12D55"/>
    <w:rsid w:val="00F14B27"/>
    <w:rsid w:val="00F20808"/>
    <w:rsid w:val="00F3148D"/>
    <w:rsid w:val="00F35298"/>
    <w:rsid w:val="00F35E35"/>
    <w:rsid w:val="00F47E37"/>
    <w:rsid w:val="00F565FA"/>
    <w:rsid w:val="00F640B6"/>
    <w:rsid w:val="00F643F4"/>
    <w:rsid w:val="00F712AC"/>
    <w:rsid w:val="00F73214"/>
    <w:rsid w:val="00F737B6"/>
    <w:rsid w:val="00F80E40"/>
    <w:rsid w:val="00F87A4D"/>
    <w:rsid w:val="00F91A5D"/>
    <w:rsid w:val="00F93D68"/>
    <w:rsid w:val="00FA0A98"/>
    <w:rsid w:val="00FA5B82"/>
    <w:rsid w:val="00FA639E"/>
    <w:rsid w:val="00FC25E4"/>
    <w:rsid w:val="00FC2B32"/>
    <w:rsid w:val="00FC4EF7"/>
    <w:rsid w:val="00FC6D35"/>
    <w:rsid w:val="00FD4FA3"/>
    <w:rsid w:val="00FD6884"/>
    <w:rsid w:val="00FE1DEE"/>
    <w:rsid w:val="00FE25DF"/>
    <w:rsid w:val="00FF2126"/>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FA6D858-1A81-48DB-B92C-79B1CBCDC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mbria"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iPriority="0"/>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B7014"/>
    <w:pPr>
      <w:spacing w:before="180" w:after="180" w:line="240" w:lineRule="atLeast"/>
    </w:pPr>
    <w:rPr>
      <w:rFonts w:ascii="Cambria" w:hAnsi="Cambria"/>
    </w:rPr>
  </w:style>
  <w:style w:type="paragraph" w:styleId="Heading1">
    <w:name w:val="heading 1"/>
    <w:basedOn w:val="Normal"/>
    <w:next w:val="Normal"/>
    <w:link w:val="Heading1Char"/>
    <w:qFormat/>
    <w:rsid w:val="005B7014"/>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5B7014"/>
    <w:pPr>
      <w:keepNext/>
      <w:keepLines/>
      <w:numPr>
        <w:numId w:val="45"/>
      </w:numPr>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5B7014"/>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5B7014"/>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qFormat/>
    <w:rsid w:val="002F2FC3"/>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qFormat/>
    <w:rsid w:val="002F2FC3"/>
    <w:pPr>
      <w:keepNext/>
      <w:keepLines/>
      <w:spacing w:before="240" w:after="120"/>
      <w:outlineLvl w:val="5"/>
    </w:pPr>
    <w:rPr>
      <w:rFonts w:eastAsia="Times New Roman"/>
      <w:b/>
      <w:bCs/>
      <w:i/>
      <w:szCs w:val="21"/>
    </w:rPr>
  </w:style>
  <w:style w:type="paragraph" w:styleId="Heading7">
    <w:name w:val="heading 7"/>
    <w:basedOn w:val="Normal"/>
    <w:next w:val="Normal"/>
    <w:link w:val="Heading7Char"/>
    <w:qFormat/>
    <w:rsid w:val="002F2FC3"/>
    <w:pPr>
      <w:keepNext/>
      <w:keepLines/>
      <w:spacing w:before="240" w:after="60" w:line="180" w:lineRule="atLeast"/>
      <w:outlineLvl w:val="6"/>
    </w:pPr>
    <w:rPr>
      <w:rFonts w:eastAsia="Times New Roman"/>
      <w:bCs/>
      <w:i/>
    </w:rPr>
  </w:style>
  <w:style w:type="paragraph" w:styleId="Heading8">
    <w:name w:val="heading 8"/>
    <w:basedOn w:val="Heading6"/>
    <w:next w:val="Normal"/>
    <w:link w:val="Heading8Char"/>
    <w:qFormat/>
    <w:rsid w:val="00974ABB"/>
    <w:pPr>
      <w:keepLines w:val="0"/>
      <w:tabs>
        <w:tab w:val="num" w:pos="1440"/>
      </w:tabs>
      <w:spacing w:before="360" w:after="0" w:line="240" w:lineRule="auto"/>
      <w:ind w:left="1440" w:hanging="1440"/>
      <w:outlineLvl w:val="7"/>
    </w:pPr>
    <w:rPr>
      <w:rFonts w:ascii="Arial" w:eastAsia="MS Gothic" w:hAnsi="Arial" w:cs="Arial"/>
      <w:b w:val="0"/>
      <w:bCs w:val="0"/>
      <w:i w:val="0"/>
      <w:iCs/>
      <w:kern w:val="32"/>
      <w:szCs w:val="22"/>
      <w:lang w:val="en-US"/>
    </w:rPr>
  </w:style>
  <w:style w:type="paragraph" w:styleId="Heading9">
    <w:name w:val="heading 9"/>
    <w:basedOn w:val="Heading6"/>
    <w:next w:val="Normal"/>
    <w:link w:val="Heading9Char"/>
    <w:qFormat/>
    <w:rsid w:val="00974ABB"/>
    <w:pPr>
      <w:keepLines w:val="0"/>
      <w:tabs>
        <w:tab w:val="num" w:pos="1582"/>
        <w:tab w:val="left" w:pos="1797"/>
      </w:tabs>
      <w:spacing w:before="360" w:after="0" w:line="240" w:lineRule="auto"/>
      <w:ind w:left="1582" w:hanging="1582"/>
      <w:outlineLvl w:val="8"/>
    </w:pPr>
    <w:rPr>
      <w:rFonts w:ascii="Arial" w:eastAsia="MS Gothic" w:hAnsi="Arial" w:cs="Arial"/>
      <w:b w:val="0"/>
      <w:bCs w:val="0"/>
      <w:i w:val="0"/>
      <w:kern w:val="3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7014"/>
    <w:rPr>
      <w:rFonts w:ascii="Arial" w:eastAsia="Times New Roman" w:hAnsi="Arial"/>
      <w:b/>
      <w:bCs/>
      <w:sz w:val="48"/>
      <w:szCs w:val="48"/>
    </w:rPr>
  </w:style>
  <w:style w:type="character" w:customStyle="1" w:styleId="Heading2Char">
    <w:name w:val="Heading 2 Char"/>
    <w:basedOn w:val="DefaultParagraphFont"/>
    <w:link w:val="Heading2"/>
    <w:rsid w:val="005B7014"/>
    <w:rPr>
      <w:rFonts w:ascii="Arial" w:eastAsia="Times New Roman" w:hAnsi="Arial"/>
      <w:b/>
      <w:bCs/>
      <w:sz w:val="38"/>
      <w:szCs w:val="38"/>
    </w:rPr>
  </w:style>
  <w:style w:type="character" w:customStyle="1" w:styleId="Heading3Char">
    <w:name w:val="Heading 3 Char"/>
    <w:basedOn w:val="DefaultParagraphFont"/>
    <w:link w:val="Heading3"/>
    <w:rsid w:val="005B7014"/>
    <w:rPr>
      <w:rFonts w:ascii="Arial" w:eastAsia="Times New Roman" w:hAnsi="Arial"/>
      <w:b/>
      <w:bCs/>
      <w:sz w:val="32"/>
      <w:szCs w:val="32"/>
    </w:r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customStyle="1" w:styleId="Figuredescription">
    <w:name w:val="Figure description"/>
    <w:basedOn w:val="Normal"/>
    <w:next w:val="Normal"/>
    <w:rsid w:val="00A95096"/>
    <w:pPr>
      <w:spacing w:after="240" w:line="180" w:lineRule="atLeast"/>
    </w:pPr>
    <w:rPr>
      <w:sz w:val="18"/>
    </w:rPr>
  </w:style>
  <w:style w:type="paragraph" w:customStyle="1" w:styleId="Figuretitle">
    <w:name w:val="Figure title"/>
    <w:basedOn w:val="Normal"/>
    <w:next w:val="Normal"/>
    <w:rsid w:val="00F643F4"/>
    <w:pPr>
      <w:outlineLvl w:val="4"/>
    </w:pPr>
    <w:rPr>
      <w:b/>
    </w:rPr>
  </w:style>
  <w:style w:type="character" w:customStyle="1" w:styleId="Heading4Char">
    <w:name w:val="Heading 4 Char"/>
    <w:basedOn w:val="DefaultParagraphFont"/>
    <w:link w:val="Heading4"/>
    <w:rsid w:val="005B7014"/>
    <w:rPr>
      <w:rFonts w:ascii="Arial" w:hAnsi="Arial"/>
      <w:b/>
      <w:bCs/>
      <w:sz w:val="26"/>
      <w:szCs w:val="26"/>
    </w:rPr>
  </w:style>
  <w:style w:type="character" w:styleId="FollowedHyperlink">
    <w:name w:val="FollowedHyperlink"/>
    <w:basedOn w:val="DefaultParagraphFont"/>
    <w:semiHidden/>
    <w:unhideWhenUsed/>
    <w:rsid w:val="006A399C"/>
    <w:rPr>
      <w:color w:val="800080"/>
      <w:u w:val="single"/>
    </w:rPr>
  </w:style>
  <w:style w:type="paragraph" w:styleId="Footer">
    <w:name w:val="footer"/>
    <w:basedOn w:val="Normal"/>
    <w:link w:val="FooterChar"/>
    <w:rsid w:val="009527F4"/>
    <w:pPr>
      <w:tabs>
        <w:tab w:val="center" w:pos="4513"/>
        <w:tab w:val="right" w:pos="9026"/>
      </w:tabs>
      <w:spacing w:line="240" w:lineRule="auto"/>
    </w:pPr>
    <w:rPr>
      <w:sz w:val="17"/>
    </w:rPr>
  </w:style>
  <w:style w:type="character" w:customStyle="1" w:styleId="FooterChar">
    <w:name w:val="Footer Char"/>
    <w:basedOn w:val="DefaultParagraphFont"/>
    <w:link w:val="Footer"/>
    <w:rsid w:val="009527F4"/>
    <w:rPr>
      <w:rFonts w:ascii="Cambria" w:hAnsi="Cambria"/>
      <w:sz w:val="17"/>
    </w:rPr>
  </w:style>
  <w:style w:type="paragraph" w:styleId="Header">
    <w:name w:val="header"/>
    <w:basedOn w:val="Normal"/>
    <w:link w:val="HeaderChar"/>
    <w:uiPriority w:val="99"/>
    <w:rsid w:val="009527F4"/>
    <w:pPr>
      <w:pBdr>
        <w:bottom w:val="single" w:sz="4" w:space="3" w:color="auto"/>
      </w:pBdr>
      <w:tabs>
        <w:tab w:val="center" w:pos="4513"/>
        <w:tab w:val="right" w:pos="9026"/>
      </w:tabs>
      <w:spacing w:line="240" w:lineRule="auto"/>
      <w:jc w:val="right"/>
    </w:pPr>
    <w:rPr>
      <w:sz w:val="17"/>
    </w:rPr>
  </w:style>
  <w:style w:type="character" w:customStyle="1" w:styleId="HeaderChar">
    <w:name w:val="Header Char"/>
    <w:basedOn w:val="DefaultParagraphFont"/>
    <w:link w:val="Header"/>
    <w:uiPriority w:val="99"/>
    <w:rsid w:val="009527F4"/>
    <w:rPr>
      <w:rFonts w:ascii="Cambria" w:hAnsi="Cambria"/>
      <w:sz w:val="17"/>
    </w:rPr>
  </w:style>
  <w:style w:type="paragraph" w:customStyle="1" w:styleId="Headernoline">
    <w:name w:val="Header no line"/>
    <w:basedOn w:val="Header"/>
    <w:rsid w:val="009527F4"/>
    <w:pPr>
      <w:pBdr>
        <w:bottom w:val="none" w:sz="0" w:space="0" w:color="auto"/>
      </w:pBdr>
      <w:spacing w:line="240" w:lineRule="atLeast"/>
    </w:pPr>
  </w:style>
  <w:style w:type="character" w:customStyle="1" w:styleId="Heading5Char">
    <w:name w:val="Heading 5 Char"/>
    <w:basedOn w:val="DefaultParagraphFont"/>
    <w:link w:val="Heading5"/>
    <w:uiPriority w:val="9"/>
    <w:rsid w:val="002F2FC3"/>
    <w:rPr>
      <w:rFonts w:ascii="Cambria" w:eastAsia="Times New Roman" w:hAnsi="Cambria"/>
      <w:b/>
      <w:bCs/>
      <w:color w:val="001523"/>
      <w:sz w:val="26"/>
      <w:szCs w:val="26"/>
    </w:rPr>
  </w:style>
  <w:style w:type="character" w:customStyle="1" w:styleId="Heading6Char">
    <w:name w:val="Heading 6 Char"/>
    <w:basedOn w:val="DefaultParagraphFont"/>
    <w:link w:val="Heading6"/>
    <w:uiPriority w:val="9"/>
    <w:rsid w:val="002F2FC3"/>
    <w:rPr>
      <w:rFonts w:ascii="Cambria" w:eastAsia="Times New Roman" w:hAnsi="Cambria"/>
      <w:b/>
      <w:bCs/>
      <w:i/>
      <w:sz w:val="22"/>
      <w:szCs w:val="21"/>
    </w:rPr>
  </w:style>
  <w:style w:type="character" w:customStyle="1" w:styleId="Heading7Char">
    <w:name w:val="Heading 7 Char"/>
    <w:basedOn w:val="DefaultParagraphFont"/>
    <w:link w:val="Heading7"/>
    <w:uiPriority w:val="9"/>
    <w:rsid w:val="002F2FC3"/>
    <w:rPr>
      <w:rFonts w:ascii="Cambria" w:eastAsia="Times New Roman" w:hAnsi="Cambria"/>
      <w:bCs/>
      <w:i/>
      <w:sz w:val="22"/>
      <w:szCs w:val="22"/>
    </w:rPr>
  </w:style>
  <w:style w:type="character" w:styleId="Hyperlink">
    <w:name w:val="Hyperlink"/>
    <w:basedOn w:val="DefaultParagraphFont"/>
    <w:uiPriority w:val="99"/>
    <w:unhideWhenUsed/>
    <w:rsid w:val="006A399C"/>
    <w:rPr>
      <w:color w:val="0000FF"/>
      <w:u w:val="single"/>
    </w:rPr>
  </w:style>
  <w:style w:type="paragraph" w:customStyle="1" w:styleId="LegalCopy">
    <w:name w:val="Legal Copy"/>
    <w:basedOn w:val="Footer"/>
    <w:semiHidden/>
    <w:unhideWhenUsed/>
    <w:rsid w:val="00F3148D"/>
  </w:style>
  <w:style w:type="paragraph" w:customStyle="1" w:styleId="LegalSubheading">
    <w:name w:val="Legal Subheading"/>
    <w:basedOn w:val="Footer"/>
    <w:semiHidden/>
    <w:unhideWhenUsed/>
    <w:rsid w:val="00F3148D"/>
    <w:rPr>
      <w:b/>
    </w:rPr>
  </w:style>
  <w:style w:type="table" w:styleId="LightShading-Accent2">
    <w:name w:val="Light Shading Accent 2"/>
    <w:basedOn w:val="TableNormal"/>
    <w:uiPriority w:val="60"/>
    <w:rsid w:val="00F3148D"/>
    <w:rPr>
      <w:rFonts w:ascii="Cambria" w:eastAsia="Calibri" w:hAnsi="Cambria"/>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5B7014"/>
    <w:pPr>
      <w:numPr>
        <w:numId w:val="41"/>
      </w:numPr>
    </w:pPr>
  </w:style>
  <w:style w:type="paragraph" w:styleId="ListBullet2">
    <w:name w:val="List Bullet 2"/>
    <w:basedOn w:val="Normal"/>
    <w:uiPriority w:val="2"/>
    <w:qFormat/>
    <w:rsid w:val="005B7014"/>
    <w:pPr>
      <w:numPr>
        <w:ilvl w:val="1"/>
        <w:numId w:val="41"/>
      </w:numPr>
    </w:pPr>
  </w:style>
  <w:style w:type="paragraph" w:styleId="ListBullet3">
    <w:name w:val="List Bullet 3"/>
    <w:basedOn w:val="Normal"/>
    <w:uiPriority w:val="2"/>
    <w:qFormat/>
    <w:rsid w:val="005B7014"/>
    <w:pPr>
      <w:numPr>
        <w:numId w:val="42"/>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ascii="Cambria" w:eastAsia="Times New Roman" w:hAnsi="Cambria"/>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next w:val="Normal"/>
    <w:rsid w:val="00E4411A"/>
    <w:pPr>
      <w:keepNext/>
      <w:keepLines/>
      <w:spacing w:before="360"/>
      <w:outlineLvl w:val="1"/>
    </w:pPr>
    <w:rPr>
      <w:rFonts w:ascii="Arial" w:hAnsi="Arial"/>
      <w:b/>
      <w:sz w:val="38"/>
    </w:rPr>
  </w:style>
  <w:style w:type="paragraph" w:customStyle="1" w:styleId="Notes">
    <w:name w:val="Notes"/>
    <w:basedOn w:val="Normal"/>
    <w:semiHidden/>
    <w:locked/>
    <w:rsid w:val="00F3148D"/>
    <w:pPr>
      <w:spacing w:line="240" w:lineRule="auto"/>
    </w:pPr>
    <w:rPr>
      <w:rFonts w:ascii="Arial" w:hAnsi="Arial"/>
      <w:sz w:val="16"/>
    </w:rPr>
  </w:style>
  <w:style w:type="paragraph" w:customStyle="1" w:styleId="Numberbullet0">
    <w:name w:val="Number bullet"/>
    <w:basedOn w:val="ListBullet"/>
    <w:uiPriority w:val="3"/>
    <w:qFormat/>
    <w:rsid w:val="005B7014"/>
    <w:pPr>
      <w:numPr>
        <w:numId w:val="44"/>
      </w:numPr>
    </w:pPr>
  </w:style>
  <w:style w:type="paragraph" w:customStyle="1" w:styleId="Numberbullet2">
    <w:name w:val="Number bullet 2"/>
    <w:basedOn w:val="ListBullet2"/>
    <w:uiPriority w:val="3"/>
    <w:qFormat/>
    <w:rsid w:val="005B7014"/>
    <w:pPr>
      <w:numPr>
        <w:numId w:val="44"/>
      </w:numPr>
    </w:pPr>
  </w:style>
  <w:style w:type="paragraph" w:customStyle="1" w:styleId="Numberbullet3">
    <w:name w:val="Number bullet 3"/>
    <w:basedOn w:val="ListBullet3"/>
    <w:uiPriority w:val="3"/>
    <w:qFormat/>
    <w:rsid w:val="005B7014"/>
    <w:pPr>
      <w:numPr>
        <w:numId w:val="0"/>
      </w:numPr>
      <w:ind w:left="425"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9527F4"/>
    <w:pPr>
      <w:spacing w:before="40"/>
      <w:ind w:left="170" w:hanging="170"/>
    </w:pPr>
    <w:rPr>
      <w:sz w:val="19"/>
    </w:rPr>
  </w:style>
  <w:style w:type="paragraph" w:customStyle="1" w:styleId="Tabledescription">
    <w:name w:val="Table description"/>
    <w:basedOn w:val="Figuredescription"/>
    <w:next w:val="Normal"/>
    <w:rsid w:val="00A95096"/>
  </w:style>
  <w:style w:type="table" w:customStyle="1" w:styleId="TableTGAblue">
    <w:name w:val="Table TGA blue"/>
    <w:basedOn w:val="TableNormal"/>
    <w:uiPriority w:val="99"/>
    <w:qFormat/>
    <w:rsid w:val="00BD0659"/>
    <w:rPr>
      <w:rFonts w:ascii="Cambria" w:hAnsi="Cambria"/>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BD0659"/>
    <w:rPr>
      <w:rFonts w:ascii="Cambria" w:hAnsi="Cambria"/>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next w:val="Normal"/>
    <w:rsid w:val="00F643F4"/>
    <w:pPr>
      <w:keepNext/>
      <w:outlineLvl w:val="4"/>
    </w:pPr>
    <w:rPr>
      <w:b/>
    </w:rPr>
  </w:style>
  <w:style w:type="paragraph" w:styleId="TOC1">
    <w:name w:val="toc 1"/>
    <w:basedOn w:val="Normal"/>
    <w:next w:val="Normal"/>
    <w:uiPriority w:val="39"/>
    <w:unhideWhenUsed/>
    <w:rsid w:val="00B067F8"/>
    <w:pPr>
      <w:keepNext/>
      <w:keepLines/>
      <w:tabs>
        <w:tab w:val="right" w:leader="underscore" w:pos="9072"/>
      </w:tabs>
      <w:spacing w:after="200"/>
    </w:pPr>
    <w:rPr>
      <w:rFonts w:ascii="Arial" w:hAnsi="Arial"/>
      <w:b/>
      <w:sz w:val="26"/>
    </w:rPr>
  </w:style>
  <w:style w:type="paragraph" w:styleId="TOC2">
    <w:name w:val="toc 2"/>
    <w:basedOn w:val="Normal"/>
    <w:next w:val="Normal"/>
    <w:uiPriority w:val="39"/>
    <w:unhideWhenUsed/>
    <w:rsid w:val="00B067F8"/>
    <w:pPr>
      <w:keepLines/>
      <w:tabs>
        <w:tab w:val="right" w:leader="underscore" w:pos="9072"/>
      </w:tabs>
      <w:spacing w:after="100"/>
      <w:ind w:left="425"/>
    </w:pPr>
    <w:rPr>
      <w:sz w:val="25"/>
    </w:rPr>
  </w:style>
  <w:style w:type="paragraph" w:styleId="TOC3">
    <w:name w:val="toc 3"/>
    <w:basedOn w:val="Normal"/>
    <w:next w:val="Normal"/>
    <w:uiPriority w:val="39"/>
    <w:unhideWhenUsed/>
    <w:rsid w:val="00B067F8"/>
    <w:pPr>
      <w:keepLines/>
      <w:tabs>
        <w:tab w:val="right" w:leader="underscore" w:pos="9072"/>
      </w:tabs>
      <w:spacing w:after="100"/>
      <w:ind w:left="851"/>
    </w:pPr>
  </w:style>
  <w:style w:type="paragraph" w:styleId="TOCHeading">
    <w:name w:val="TOC Heading"/>
    <w:basedOn w:val="Heading1"/>
    <w:next w:val="Normal"/>
    <w:uiPriority w:val="39"/>
    <w:semiHidden/>
    <w:unhideWhenUsed/>
    <w:qFormat/>
    <w:rsid w:val="005B7014"/>
    <w:pPr>
      <w:spacing w:before="480" w:after="0" w:line="276" w:lineRule="auto"/>
      <w:outlineLvl w:val="9"/>
    </w:pPr>
    <w:rPr>
      <w:bCs w:val="0"/>
      <w:color w:val="002035"/>
      <w:sz w:val="28"/>
      <w:lang w:val="en-US"/>
    </w:rPr>
  </w:style>
  <w:style w:type="paragraph" w:customStyle="1" w:styleId="Subject">
    <w:name w:val="Subject"/>
    <w:basedOn w:val="Normal"/>
    <w:rsid w:val="00055B86"/>
    <w:rPr>
      <w:b/>
    </w:rPr>
  </w:style>
  <w:style w:type="table" w:styleId="TableGrid">
    <w:name w:val="Table Grid"/>
    <w:basedOn w:val="TableNormal"/>
    <w:uiPriority w:val="59"/>
    <w:rsid w:val="004A38EE"/>
    <w:tblPr>
      <w:tblBorders>
        <w:top w:val="single" w:sz="4" w:space="0" w:color="002C47" w:themeColor="text1"/>
        <w:left w:val="single" w:sz="4" w:space="0" w:color="002C47" w:themeColor="text1"/>
        <w:bottom w:val="single" w:sz="4" w:space="0" w:color="002C47" w:themeColor="text1"/>
        <w:right w:val="single" w:sz="4" w:space="0" w:color="002C47" w:themeColor="text1"/>
        <w:insideH w:val="single" w:sz="4" w:space="0" w:color="002C47" w:themeColor="text1"/>
        <w:insideV w:val="single" w:sz="4" w:space="0" w:color="002C47" w:themeColor="text1"/>
      </w:tblBorders>
    </w:tblPr>
  </w:style>
  <w:style w:type="paragraph" w:styleId="Caption">
    <w:name w:val="caption"/>
    <w:basedOn w:val="Tabletitle"/>
    <w:next w:val="Normal"/>
    <w:qFormat/>
    <w:rsid w:val="0033260A"/>
  </w:style>
  <w:style w:type="paragraph" w:styleId="FootnoteText">
    <w:name w:val="footnote text"/>
    <w:basedOn w:val="Normal"/>
    <w:link w:val="FootnoteTextChar"/>
    <w:rsid w:val="009527F4"/>
    <w:pPr>
      <w:keepLines/>
    </w:pPr>
    <w:rPr>
      <w:sz w:val="20"/>
    </w:rPr>
  </w:style>
  <w:style w:type="character" w:customStyle="1" w:styleId="FootnoteTextChar">
    <w:name w:val="Footnote Text Char"/>
    <w:basedOn w:val="DefaultParagraphFont"/>
    <w:link w:val="FootnoteText"/>
    <w:rsid w:val="009527F4"/>
    <w:rPr>
      <w:rFonts w:ascii="Cambria" w:hAnsi="Cambria"/>
    </w:rPr>
  </w:style>
  <w:style w:type="paragraph" w:styleId="Subtitle">
    <w:name w:val="Subtitle"/>
    <w:basedOn w:val="Normal"/>
    <w:next w:val="Normal"/>
    <w:link w:val="SubtitleChar"/>
    <w:uiPriority w:val="11"/>
    <w:semiHidden/>
    <w:unhideWhenUsed/>
    <w:rsid w:val="009A6616"/>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semiHidden/>
    <w:rsid w:val="009A1D75"/>
    <w:rPr>
      <w:rFonts w:ascii="Arial" w:eastAsia="Times New Roman" w:hAnsi="Arial"/>
      <w:bCs/>
      <w:iCs/>
      <w:sz w:val="40"/>
      <w:szCs w:val="24"/>
    </w:rPr>
  </w:style>
  <w:style w:type="paragraph" w:styleId="Title">
    <w:name w:val="Title"/>
    <w:next w:val="Normal"/>
    <w:link w:val="TitleChar"/>
    <w:uiPriority w:val="10"/>
    <w:semiHidden/>
    <w:unhideWhenUsed/>
    <w:rsid w:val="009A6616"/>
    <w:pPr>
      <w:spacing w:after="480"/>
      <w:contextualSpacing/>
    </w:pPr>
    <w:rPr>
      <w:rFonts w:ascii="Arial" w:eastAsia="Times New Roman" w:hAnsi="Arial"/>
      <w:spacing w:val="5"/>
      <w:kern w:val="28"/>
      <w:sz w:val="52"/>
      <w:szCs w:val="52"/>
    </w:rPr>
  </w:style>
  <w:style w:type="character" w:customStyle="1" w:styleId="TitleChar">
    <w:name w:val="Title Char"/>
    <w:basedOn w:val="DefaultParagraphFont"/>
    <w:link w:val="Title"/>
    <w:uiPriority w:val="10"/>
    <w:semiHidden/>
    <w:rsid w:val="009A1D75"/>
    <w:rPr>
      <w:rFonts w:ascii="Arial" w:eastAsia="Times New Roman" w:hAnsi="Arial"/>
      <w:spacing w:val="5"/>
      <w:kern w:val="28"/>
      <w:sz w:val="52"/>
      <w:szCs w:val="52"/>
    </w:rPr>
  </w:style>
  <w:style w:type="paragraph" w:customStyle="1" w:styleId="FlowChartWhiteText">
    <w:name w:val="Flow Chart White Text"/>
    <w:basedOn w:val="Normal"/>
    <w:semiHidden/>
    <w:unhideWhenUsed/>
    <w:rsid w:val="007E78FC"/>
    <w:pPr>
      <w:jc w:val="center"/>
    </w:pPr>
    <w:rPr>
      <w:rFonts w:ascii="Arial" w:hAnsi="Arial"/>
      <w:color w:val="FFFFFF"/>
    </w:rPr>
  </w:style>
  <w:style w:type="paragraph" w:customStyle="1" w:styleId="FlowchartText">
    <w:name w:val="Flowchart Text"/>
    <w:basedOn w:val="Normal"/>
    <w:semiHidden/>
    <w:unhideWhenUsed/>
    <w:rsid w:val="007E78FC"/>
    <w:pPr>
      <w:jc w:val="center"/>
    </w:pPr>
    <w:rPr>
      <w:rFonts w:ascii="Arial" w:hAnsi="Arial"/>
    </w:rPr>
  </w:style>
  <w:style w:type="paragraph" w:customStyle="1" w:styleId="Quotation">
    <w:name w:val="Quotation"/>
    <w:basedOn w:val="Normal"/>
    <w:next w:val="Normal"/>
    <w:uiPriority w:val="4"/>
    <w:qFormat/>
    <w:rsid w:val="005B7014"/>
    <w:pPr>
      <w:ind w:left="425"/>
    </w:pPr>
    <w:rPr>
      <w:sz w:val="20"/>
    </w:rPr>
  </w:style>
  <w:style w:type="character" w:styleId="FootnoteReference">
    <w:name w:val="footnote reference"/>
    <w:basedOn w:val="DefaultParagraphFont"/>
    <w:uiPriority w:val="99"/>
    <w:semiHidden/>
    <w:unhideWhenUsed/>
    <w:rsid w:val="009527F4"/>
    <w:rPr>
      <w:vertAlign w:val="superscript"/>
    </w:rPr>
  </w:style>
  <w:style w:type="paragraph" w:styleId="TOC4">
    <w:name w:val="toc 4"/>
    <w:basedOn w:val="Normal"/>
    <w:next w:val="Normal"/>
    <w:autoRedefine/>
    <w:uiPriority w:val="39"/>
    <w:unhideWhenUsed/>
    <w:rsid w:val="00B067F8"/>
    <w:pPr>
      <w:keepLines/>
      <w:tabs>
        <w:tab w:val="right" w:leader="underscore" w:pos="9072"/>
      </w:tabs>
      <w:spacing w:after="100"/>
      <w:ind w:left="1276"/>
    </w:pPr>
  </w:style>
  <w:style w:type="paragraph" w:styleId="TOC5">
    <w:name w:val="toc 5"/>
    <w:basedOn w:val="Normal"/>
    <w:next w:val="Normal"/>
    <w:autoRedefine/>
    <w:uiPriority w:val="39"/>
    <w:unhideWhenUsed/>
    <w:rsid w:val="00B067F8"/>
    <w:pPr>
      <w:keepLines/>
      <w:tabs>
        <w:tab w:val="left" w:leader="underscore" w:pos="9072"/>
      </w:tabs>
      <w:spacing w:after="100"/>
      <w:ind w:left="1701"/>
    </w:pPr>
    <w:rPr>
      <w:noProof/>
    </w:rPr>
  </w:style>
  <w:style w:type="paragraph" w:styleId="TOC6">
    <w:name w:val="toc 6"/>
    <w:basedOn w:val="Normal"/>
    <w:next w:val="Normal"/>
    <w:autoRedefine/>
    <w:uiPriority w:val="39"/>
    <w:semiHidden/>
    <w:unhideWhenUsed/>
    <w:rsid w:val="00B067F8"/>
    <w:pPr>
      <w:tabs>
        <w:tab w:val="right" w:pos="8505"/>
      </w:tabs>
      <w:spacing w:after="100"/>
      <w:ind w:left="2126"/>
    </w:pPr>
  </w:style>
  <w:style w:type="paragraph" w:styleId="TOC7">
    <w:name w:val="toc 7"/>
    <w:basedOn w:val="Normal"/>
    <w:next w:val="Normal"/>
    <w:autoRedefine/>
    <w:uiPriority w:val="39"/>
    <w:semiHidden/>
    <w:unhideWhenUsed/>
    <w:rsid w:val="00B067F8"/>
    <w:pPr>
      <w:spacing w:after="100"/>
      <w:ind w:left="2211"/>
    </w:pPr>
  </w:style>
  <w:style w:type="paragraph" w:styleId="EndnoteText">
    <w:name w:val="endnote text"/>
    <w:basedOn w:val="FootnoteText"/>
    <w:link w:val="EndnoteTextChar"/>
    <w:semiHidden/>
    <w:unhideWhenUsed/>
    <w:rsid w:val="0033260A"/>
  </w:style>
  <w:style w:type="character" w:customStyle="1" w:styleId="EndnoteTextChar">
    <w:name w:val="Endnote Text Char"/>
    <w:basedOn w:val="DefaultParagraphFont"/>
    <w:link w:val="EndnoteText"/>
    <w:semiHidden/>
    <w:rsid w:val="0033260A"/>
    <w:rPr>
      <w:rFonts w:ascii="Cambria" w:hAnsi="Cambria"/>
    </w:rPr>
  </w:style>
  <w:style w:type="character" w:styleId="EndnoteReference">
    <w:name w:val="endnote reference"/>
    <w:basedOn w:val="DefaultParagraphFont"/>
    <w:uiPriority w:val="99"/>
    <w:semiHidden/>
    <w:unhideWhenUsed/>
    <w:rsid w:val="0033260A"/>
    <w:rPr>
      <w:vertAlign w:val="superscript"/>
    </w:rPr>
  </w:style>
  <w:style w:type="paragraph" w:styleId="TableofFigures">
    <w:name w:val="table of figures"/>
    <w:basedOn w:val="Normal"/>
    <w:next w:val="Normal"/>
    <w:uiPriority w:val="99"/>
    <w:semiHidden/>
    <w:unhideWhenUsed/>
    <w:rsid w:val="006A7B7F"/>
  </w:style>
  <w:style w:type="paragraph" w:styleId="ListParagraph">
    <w:name w:val="List Paragraph"/>
    <w:basedOn w:val="Normal"/>
    <w:uiPriority w:val="34"/>
    <w:qFormat/>
    <w:locked/>
    <w:rsid w:val="00682851"/>
    <w:pPr>
      <w:spacing w:before="240" w:after="0" w:line="240" w:lineRule="auto"/>
      <w:ind w:left="720"/>
      <w:contextualSpacing/>
    </w:pPr>
    <w:rPr>
      <w:rFonts w:eastAsia="MS Mincho" w:cs="Times New Roman"/>
      <w:color w:val="000000"/>
      <w:sz w:val="24"/>
      <w:szCs w:val="24"/>
      <w:lang w:val="en-US"/>
    </w:rPr>
  </w:style>
  <w:style w:type="character" w:customStyle="1" w:styleId="Heading8Char">
    <w:name w:val="Heading 8 Char"/>
    <w:basedOn w:val="DefaultParagraphFont"/>
    <w:link w:val="Heading8"/>
    <w:rsid w:val="00974ABB"/>
    <w:rPr>
      <w:rFonts w:ascii="Arial" w:eastAsia="MS Gothic" w:hAnsi="Arial" w:cs="Arial"/>
      <w:iCs/>
      <w:kern w:val="32"/>
      <w:lang w:val="en-US"/>
    </w:rPr>
  </w:style>
  <w:style w:type="character" w:customStyle="1" w:styleId="Heading9Char">
    <w:name w:val="Heading 9 Char"/>
    <w:basedOn w:val="DefaultParagraphFont"/>
    <w:link w:val="Heading9"/>
    <w:rsid w:val="00974ABB"/>
    <w:rPr>
      <w:rFonts w:ascii="Arial" w:eastAsia="MS Gothic" w:hAnsi="Arial" w:cs="Arial"/>
      <w:kern w:val="32"/>
      <w:lang w:val="en-US"/>
    </w:rPr>
  </w:style>
  <w:style w:type="paragraph" w:customStyle="1" w:styleId="wcpTableContent">
    <w:name w:val="wcp_TableContent"/>
    <w:basedOn w:val="Normal"/>
    <w:rsid w:val="00974ABB"/>
    <w:pPr>
      <w:spacing w:before="40" w:after="40" w:line="240" w:lineRule="auto"/>
    </w:pPr>
    <w:rPr>
      <w:rFonts w:ascii="Times New Roman" w:eastAsia="Times New Roman" w:hAnsi="Times New Roman" w:cs="Times New Roman"/>
      <w:color w:val="000000"/>
      <w:sz w:val="24"/>
      <w:szCs w:val="20"/>
      <w:lang w:val="en-US"/>
    </w:rPr>
  </w:style>
  <w:style w:type="table" w:styleId="TableGridLight">
    <w:name w:val="Grid Table Light"/>
    <w:basedOn w:val="TableNormal"/>
    <w:uiPriority w:val="40"/>
    <w:rsid w:val="00F04F0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Grid">
    <w:name w:val="Light Grid"/>
    <w:basedOn w:val="TableNormal"/>
    <w:uiPriority w:val="62"/>
    <w:semiHidden/>
    <w:unhideWhenUsed/>
    <w:rsid w:val="00FD6884"/>
    <w:pPr>
      <w:spacing w:after="0" w:line="240" w:lineRule="auto"/>
    </w:pPr>
    <w:tblPr>
      <w:tblStyleRowBandSize w:val="1"/>
      <w:tblStyleColBandSize w:val="1"/>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C47" w:themeColor="text1"/>
          <w:left w:val="single" w:sz="8" w:space="0" w:color="002C47" w:themeColor="text1"/>
          <w:bottom w:val="single" w:sz="18" w:space="0" w:color="002C47" w:themeColor="text1"/>
          <w:right w:val="single" w:sz="8" w:space="0" w:color="002C47" w:themeColor="text1"/>
          <w:insideH w:val="nil"/>
          <w:insideV w:val="single" w:sz="8" w:space="0" w:color="002C47"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C47" w:themeColor="text1"/>
          <w:left w:val="single" w:sz="8" w:space="0" w:color="002C47" w:themeColor="text1"/>
          <w:bottom w:val="single" w:sz="8" w:space="0" w:color="002C47" w:themeColor="text1"/>
          <w:right w:val="single" w:sz="8" w:space="0" w:color="002C47" w:themeColor="text1"/>
          <w:insideH w:val="nil"/>
          <w:insideV w:val="single" w:sz="8" w:space="0" w:color="002C47"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C47" w:themeColor="text1"/>
          <w:left w:val="single" w:sz="8" w:space="0" w:color="002C47" w:themeColor="text1"/>
          <w:bottom w:val="single" w:sz="8" w:space="0" w:color="002C47" w:themeColor="text1"/>
          <w:right w:val="single" w:sz="8" w:space="0" w:color="002C47" w:themeColor="text1"/>
        </w:tcBorders>
      </w:tcPr>
    </w:tblStylePr>
    <w:tblStylePr w:type="band1Vert">
      <w:tblPr/>
      <w:tcPr>
        <w:tcBorders>
          <w:top w:val="single" w:sz="8" w:space="0" w:color="002C47" w:themeColor="text1"/>
          <w:left w:val="single" w:sz="8" w:space="0" w:color="002C47" w:themeColor="text1"/>
          <w:bottom w:val="single" w:sz="8" w:space="0" w:color="002C47" w:themeColor="text1"/>
          <w:right w:val="single" w:sz="8" w:space="0" w:color="002C47" w:themeColor="text1"/>
        </w:tcBorders>
        <w:shd w:val="clear" w:color="auto" w:fill="92D5FF" w:themeFill="text1" w:themeFillTint="3F"/>
      </w:tcPr>
    </w:tblStylePr>
    <w:tblStylePr w:type="band1Horz">
      <w:tblPr/>
      <w:tcPr>
        <w:tcBorders>
          <w:top w:val="single" w:sz="8" w:space="0" w:color="002C47" w:themeColor="text1"/>
          <w:left w:val="single" w:sz="8" w:space="0" w:color="002C47" w:themeColor="text1"/>
          <w:bottom w:val="single" w:sz="8" w:space="0" w:color="002C47" w:themeColor="text1"/>
          <w:right w:val="single" w:sz="8" w:space="0" w:color="002C47" w:themeColor="text1"/>
          <w:insideV w:val="single" w:sz="8" w:space="0" w:color="002C47" w:themeColor="text1"/>
        </w:tcBorders>
        <w:shd w:val="clear" w:color="auto" w:fill="92D5FF" w:themeFill="text1" w:themeFillTint="3F"/>
      </w:tcPr>
    </w:tblStylePr>
    <w:tblStylePr w:type="band2Horz">
      <w:tblPr/>
      <w:tcPr>
        <w:tcBorders>
          <w:top w:val="single" w:sz="8" w:space="0" w:color="002C47" w:themeColor="text1"/>
          <w:left w:val="single" w:sz="8" w:space="0" w:color="002C47" w:themeColor="text1"/>
          <w:bottom w:val="single" w:sz="8" w:space="0" w:color="002C47" w:themeColor="text1"/>
          <w:right w:val="single" w:sz="8" w:space="0" w:color="002C47" w:themeColor="text1"/>
          <w:insideV w:val="single" w:sz="8" w:space="0" w:color="002C47"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86156">
      <w:bodyDiv w:val="1"/>
      <w:marLeft w:val="0"/>
      <w:marRight w:val="0"/>
      <w:marTop w:val="0"/>
      <w:marBottom w:val="0"/>
      <w:divBdr>
        <w:top w:val="none" w:sz="0" w:space="0" w:color="auto"/>
        <w:left w:val="none" w:sz="0" w:space="0" w:color="auto"/>
        <w:bottom w:val="none" w:sz="0" w:space="0" w:color="auto"/>
        <w:right w:val="none" w:sz="0" w:space="0" w:color="auto"/>
      </w:divBdr>
      <w:divsChild>
        <w:div w:id="120347041">
          <w:marLeft w:val="0"/>
          <w:marRight w:val="0"/>
          <w:marTop w:val="0"/>
          <w:marBottom w:val="0"/>
          <w:divBdr>
            <w:top w:val="none" w:sz="0" w:space="0" w:color="auto"/>
            <w:left w:val="none" w:sz="0" w:space="0" w:color="auto"/>
            <w:bottom w:val="none" w:sz="0" w:space="0" w:color="auto"/>
            <w:right w:val="none" w:sz="0" w:space="0" w:color="auto"/>
          </w:divBdr>
          <w:divsChild>
            <w:div w:id="11113894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25282146">
      <w:bodyDiv w:val="1"/>
      <w:marLeft w:val="0"/>
      <w:marRight w:val="0"/>
      <w:marTop w:val="0"/>
      <w:marBottom w:val="0"/>
      <w:divBdr>
        <w:top w:val="none" w:sz="0" w:space="0" w:color="auto"/>
        <w:left w:val="none" w:sz="0" w:space="0" w:color="auto"/>
        <w:bottom w:val="none" w:sz="0" w:space="0" w:color="auto"/>
        <w:right w:val="none" w:sz="0" w:space="0" w:color="auto"/>
      </w:divBdr>
      <w:divsChild>
        <w:div w:id="581372669">
          <w:marLeft w:val="0"/>
          <w:marRight w:val="0"/>
          <w:marTop w:val="0"/>
          <w:marBottom w:val="0"/>
          <w:divBdr>
            <w:top w:val="none" w:sz="0" w:space="0" w:color="auto"/>
            <w:left w:val="none" w:sz="0" w:space="0" w:color="auto"/>
            <w:bottom w:val="none" w:sz="0" w:space="0" w:color="auto"/>
            <w:right w:val="none" w:sz="0" w:space="0" w:color="auto"/>
          </w:divBdr>
          <w:divsChild>
            <w:div w:id="24080001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25882141">
      <w:bodyDiv w:val="1"/>
      <w:marLeft w:val="0"/>
      <w:marRight w:val="0"/>
      <w:marTop w:val="0"/>
      <w:marBottom w:val="0"/>
      <w:divBdr>
        <w:top w:val="none" w:sz="0" w:space="0" w:color="auto"/>
        <w:left w:val="none" w:sz="0" w:space="0" w:color="auto"/>
        <w:bottom w:val="none" w:sz="0" w:space="0" w:color="auto"/>
        <w:right w:val="none" w:sz="0" w:space="0" w:color="auto"/>
      </w:divBdr>
    </w:div>
    <w:div w:id="154844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a.gov.au/reporting-problem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zphvc.otago.ac.nz/reportin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Documents\Custom%20Office%20Templates\TGA-Normal.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0E28B-C140-4D60-82AC-489D8E7BB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TGA-Normal</Template>
  <TotalTime>4</TotalTime>
  <Pages>19</Pages>
  <Words>4580</Words>
  <Characters>25512</Characters>
  <Application>Microsoft Office Word</Application>
  <DocSecurity>0</DocSecurity>
  <Lines>911</Lines>
  <Paragraphs>733</Paragraphs>
  <ScaleCrop>false</ScaleCrop>
  <HeadingPairs>
    <vt:vector size="2" baseType="variant">
      <vt:variant>
        <vt:lpstr>Title</vt:lpstr>
      </vt:variant>
      <vt:variant>
        <vt:i4>1</vt:i4>
      </vt:variant>
    </vt:vector>
  </HeadingPairs>
  <TitlesOfParts>
    <vt:vector size="1" baseType="lpstr">
      <vt:lpstr>Attachment: Product Information for Pertussis vaccine - acellular combined with diphtheria and tetanus toxoids (adsorbed)</vt:lpstr>
    </vt:vector>
  </TitlesOfParts>
  <Company/>
  <LinksUpToDate>false</LinksUpToDate>
  <CharactersWithSpaces>29359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Pertussis vaccine - acellular combined with diphtheria and tetanus toxoids (adsorbed)</dc:title>
  <dc:subject>prescription medicines</dc:subject>
  <dc:creator/>
  <cp:lastPrinted>2013-07-26T02:02:00Z</cp:lastPrinted>
  <dcterms:created xsi:type="dcterms:W3CDTF">2020-03-30T04:44:00Z</dcterms:created>
  <dcterms:modified xsi:type="dcterms:W3CDTF">2020-03-30T04:48:00Z</dcterms:modified>
</cp:coreProperties>
</file>