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65E75EFB" w14:textId="77777777" w:rsidTr="00BF1190">
        <w:trPr>
          <w:trHeight w:val="1863"/>
        </w:trPr>
        <w:tc>
          <w:tcPr>
            <w:tcW w:w="3652" w:type="dxa"/>
            <w:tcBorders>
              <w:top w:val="nil"/>
              <w:left w:val="nil"/>
              <w:bottom w:val="nil"/>
              <w:right w:val="nil"/>
            </w:tcBorders>
          </w:tcPr>
          <w:p w14:paraId="0AB1E693" w14:textId="565A9663" w:rsidR="008E7846" w:rsidRPr="00096AA7" w:rsidRDefault="00F65B1D" w:rsidP="00096AA7">
            <w:pPr>
              <w:rPr>
                <w:rFonts w:ascii="Arial" w:hAnsi="Arial" w:cs="Arial"/>
                <w:b/>
                <w:color w:val="002C47"/>
                <w:sz w:val="36"/>
                <w:szCs w:val="36"/>
              </w:rPr>
            </w:pPr>
            <w:r>
              <w:rPr>
                <w:rFonts w:ascii="Arial" w:hAnsi="Arial" w:cs="Arial"/>
                <w:b/>
                <w:color w:val="002C47"/>
                <w:sz w:val="36"/>
                <w:szCs w:val="36"/>
              </w:rPr>
              <w:t xml:space="preserve">April </w:t>
            </w:r>
            <w:r w:rsidR="00773191">
              <w:rPr>
                <w:rFonts w:ascii="Arial" w:hAnsi="Arial" w:cs="Arial"/>
                <w:b/>
                <w:color w:val="002C47"/>
                <w:sz w:val="36"/>
                <w:szCs w:val="36"/>
              </w:rPr>
              <w:t>2021</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713DE847" w14:textId="77777777" w:rsidTr="0032583B">
        <w:trPr>
          <w:trHeight w:val="868"/>
        </w:trPr>
        <w:tc>
          <w:tcPr>
            <w:tcW w:w="9079" w:type="dxa"/>
          </w:tcPr>
          <w:p w14:paraId="7833AB42" w14:textId="77777777" w:rsidR="0032583B" w:rsidRPr="00A964D1" w:rsidRDefault="0032583B" w:rsidP="00646DC1">
            <w:pPr>
              <w:pStyle w:val="Title"/>
              <w:framePr w:hSpace="0" w:wrap="auto" w:vAnchor="margin" w:yAlign="inline"/>
            </w:pPr>
            <w:r w:rsidRPr="00A964D1">
              <w:t>Australia</w:t>
            </w:r>
            <w:r w:rsidR="00773191">
              <w:t xml:space="preserve">n Public Assessment Report for </w:t>
            </w:r>
            <w:r w:rsidR="00773191" w:rsidRPr="00773191">
              <w:t xml:space="preserve">Perampanel </w:t>
            </w:r>
            <w:r w:rsidR="00773191" w:rsidRPr="00646DC1">
              <w:t>hemisesquihydrate</w:t>
            </w:r>
          </w:p>
        </w:tc>
      </w:tr>
      <w:tr w:rsidR="0032583B" w:rsidRPr="00B64760" w14:paraId="28718352" w14:textId="77777777" w:rsidTr="0032583B">
        <w:tc>
          <w:tcPr>
            <w:tcW w:w="9079" w:type="dxa"/>
          </w:tcPr>
          <w:p w14:paraId="6F04DBCF" w14:textId="77777777" w:rsidR="0032583B" w:rsidRPr="008E7846" w:rsidRDefault="0032583B" w:rsidP="00646DC1">
            <w:pPr>
              <w:pStyle w:val="Subtitle"/>
              <w:framePr w:hSpace="0" w:wrap="auto" w:vAnchor="margin" w:yAlign="inline"/>
            </w:pPr>
            <w:r w:rsidRPr="008E7846">
              <w:t xml:space="preserve">Proprietary </w:t>
            </w:r>
            <w:r w:rsidRPr="00646DC1">
              <w:t>Product</w:t>
            </w:r>
            <w:r w:rsidRPr="008E7846">
              <w:t xml:space="preserve"> Name: </w:t>
            </w:r>
            <w:r w:rsidR="00773191">
              <w:t>Fycompa</w:t>
            </w:r>
          </w:p>
        </w:tc>
      </w:tr>
      <w:tr w:rsidR="0032583B" w:rsidRPr="00B64760" w14:paraId="76B7AD8B" w14:textId="77777777" w:rsidTr="0032583B">
        <w:trPr>
          <w:trHeight w:val="486"/>
        </w:trPr>
        <w:tc>
          <w:tcPr>
            <w:tcW w:w="9079" w:type="dxa"/>
          </w:tcPr>
          <w:p w14:paraId="25C7A2A7" w14:textId="77777777" w:rsidR="0032583B" w:rsidRPr="008E7846" w:rsidRDefault="00460036" w:rsidP="00646DC1">
            <w:pPr>
              <w:pStyle w:val="Subtitle"/>
              <w:framePr w:hSpace="0" w:wrap="auto" w:vAnchor="margin" w:yAlign="inline"/>
            </w:pPr>
            <w:r>
              <w:t xml:space="preserve">Sponsor: </w:t>
            </w:r>
            <w:r w:rsidR="00773191">
              <w:t>Eisai Australia Pty Ltd</w:t>
            </w:r>
          </w:p>
        </w:tc>
      </w:tr>
    </w:tbl>
    <w:p w14:paraId="7F899545" w14:textId="77777777" w:rsidR="008E7846" w:rsidRPr="0085156D" w:rsidRDefault="008E7846" w:rsidP="0085156D">
      <w:r w:rsidRPr="0085156D">
        <w:br w:type="page"/>
      </w:r>
    </w:p>
    <w:p w14:paraId="5C3067EF" w14:textId="77777777" w:rsidR="008E7846" w:rsidRPr="001F6CBA" w:rsidRDefault="008E7846" w:rsidP="008E7846">
      <w:pPr>
        <w:pStyle w:val="NonTOCHeading2"/>
      </w:pPr>
      <w:r w:rsidRPr="001F6CBA">
        <w:lastRenderedPageBreak/>
        <w:t>About the Therapeutic Goods Administration (TGA)</w:t>
      </w:r>
    </w:p>
    <w:p w14:paraId="48101D02"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2D359FC2"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7D3E9AA2" w14:textId="77777777" w:rsidR="008E7846" w:rsidRDefault="008E7846" w:rsidP="008E7846">
      <w:pPr>
        <w:pStyle w:val="ListBullet"/>
        <w:numPr>
          <w:ilvl w:val="0"/>
          <w:numId w:val="3"/>
        </w:numPr>
        <w:ind w:left="357" w:hanging="357"/>
      </w:pPr>
      <w:r>
        <w:t xml:space="preserve">The work of the TGA </w:t>
      </w:r>
      <w:proofErr w:type="gramStart"/>
      <w:r>
        <w:t>is based</w:t>
      </w:r>
      <w:proofErr w:type="gramEnd"/>
      <w:r>
        <w:t xml:space="preserve"> on applying scientific and clinical expertise to decision-making, to ensure that the benefits to consumers outweigh any risks associated with the use of medicines and medical devices.</w:t>
      </w:r>
    </w:p>
    <w:p w14:paraId="65BF2BCA"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71FFD6CC" w14:textId="35126733"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7EE037F5" w14:textId="77777777" w:rsidR="008E7846" w:rsidRDefault="008E7846" w:rsidP="00875A6B">
      <w:pPr>
        <w:pStyle w:val="NonTOCHeading2"/>
      </w:pPr>
      <w:r>
        <w:t>About AusPARs</w:t>
      </w:r>
    </w:p>
    <w:p w14:paraId="7ACFA8E9"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0B8FFD0A" w14:textId="77777777" w:rsidR="008E7846" w:rsidRDefault="008E7846" w:rsidP="008E7846">
      <w:pPr>
        <w:pStyle w:val="ListBullet"/>
        <w:numPr>
          <w:ilvl w:val="0"/>
          <w:numId w:val="3"/>
        </w:numPr>
        <w:ind w:left="357" w:hanging="357"/>
      </w:pPr>
      <w:r>
        <w:t xml:space="preserve">AusPARs </w:t>
      </w:r>
      <w:proofErr w:type="gramStart"/>
      <w:r>
        <w:t>are prepared and published by the TGA</w:t>
      </w:r>
      <w:proofErr w:type="gramEnd"/>
      <w:r>
        <w:t>.</w:t>
      </w:r>
    </w:p>
    <w:p w14:paraId="2DEB2EFE" w14:textId="77777777" w:rsidR="008E7846" w:rsidRDefault="008E7846" w:rsidP="008E7846">
      <w:pPr>
        <w:pStyle w:val="ListBullet"/>
        <w:numPr>
          <w:ilvl w:val="0"/>
          <w:numId w:val="3"/>
        </w:numPr>
        <w:ind w:left="357" w:hanging="357"/>
      </w:pPr>
      <w:r>
        <w:t xml:space="preserve">An AusPAR </w:t>
      </w:r>
      <w:proofErr w:type="gramStart"/>
      <w:r>
        <w:t>is prepared</w:t>
      </w:r>
      <w:proofErr w:type="gramEnd"/>
      <w:r>
        <w:t xml:space="preserve"> for submissions that relate to new chemical entities, generic medicines, major variations and extensions of indications.</w:t>
      </w:r>
    </w:p>
    <w:p w14:paraId="32768F41"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0962874F" w14:textId="77777777" w:rsidR="00B452CE" w:rsidRDefault="008E7846" w:rsidP="00FF5755">
      <w:pPr>
        <w:pStyle w:val="ListBullet"/>
        <w:numPr>
          <w:ilvl w:val="0"/>
          <w:numId w:val="3"/>
        </w:numPr>
        <w:ind w:left="357" w:hanging="357"/>
      </w:pPr>
      <w:r>
        <w:t xml:space="preserve">A new AusPAR </w:t>
      </w:r>
      <w:proofErr w:type="gramStart"/>
      <w:r>
        <w:t>will be developed</w:t>
      </w:r>
      <w:proofErr w:type="gramEnd"/>
      <w:r>
        <w:t xml:space="preserve"> to reflect changes to indications and/or major variations to a prescription medicine subject to evaluation by the TGA.</w:t>
      </w:r>
    </w:p>
    <w:p w14:paraId="23ED9B3F" w14:textId="77777777" w:rsidR="00924482" w:rsidRPr="00DF1D7F" w:rsidRDefault="00924482" w:rsidP="00F54B65">
      <w:pPr>
        <w:pStyle w:val="LegalSubheading"/>
        <w:spacing w:before="3120"/>
      </w:pPr>
      <w:r w:rsidRPr="00DF1D7F">
        <w:t>Copyright</w:t>
      </w:r>
    </w:p>
    <w:p w14:paraId="6D69868B" w14:textId="1E0DE77F"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324E45">
        <w:rPr>
          <w:rFonts w:cs="Arial"/>
          <w:lang w:val="en-GB"/>
        </w:rPr>
        <w:t>1</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w:t>
      </w:r>
      <w:proofErr w:type="gramStart"/>
      <w:r w:rsidRPr="00191B3B">
        <w:rPr>
          <w:rFonts w:cs="Arial"/>
          <w:lang w:val="en-GB"/>
        </w:rPr>
        <w:t>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w:t>
      </w:r>
      <w:proofErr w:type="gramEnd"/>
      <w:r w:rsidRPr="00191B3B">
        <w:rPr>
          <w:rFonts w:cs="Arial"/>
          <w:lang w:val="en-GB"/>
        </w:rPr>
        <w:t xml:space="preserve">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w:t>
      </w:r>
      <w:proofErr w:type="gramStart"/>
      <w:r w:rsidRPr="00191B3B">
        <w:rPr>
          <w:rFonts w:cs="Arial"/>
          <w:lang w:val="en-GB"/>
        </w:rPr>
        <w:t>sent</w:t>
      </w:r>
      <w:proofErr w:type="gramEnd"/>
      <w:r w:rsidRPr="00191B3B">
        <w:rPr>
          <w:rFonts w:cs="Arial"/>
          <w:lang w:val="en-GB"/>
        </w:rPr>
        <w:t xml:space="preserve">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14:paraId="045B675B" w14:textId="77777777"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4198AE0E" w14:textId="77777777" w:rsidR="0089635C" w:rsidRPr="0089635C" w:rsidRDefault="0089635C" w:rsidP="0010788A">
          <w:pPr>
            <w:pStyle w:val="Contents"/>
          </w:pPr>
          <w:r w:rsidRPr="0010788A">
            <w:t>Contents</w:t>
          </w:r>
        </w:p>
        <w:p w14:paraId="3973F71E" w14:textId="4D5DC4D6" w:rsidR="004C6771"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70347464" w:history="1">
            <w:r w:rsidR="004C6771" w:rsidRPr="00825B4E">
              <w:rPr>
                <w:rStyle w:val="Hyperlink"/>
                <w:noProof/>
              </w:rPr>
              <w:t>List of abbreviations</w:t>
            </w:r>
            <w:r w:rsidR="004C6771">
              <w:rPr>
                <w:noProof/>
                <w:webHidden/>
              </w:rPr>
              <w:tab/>
            </w:r>
            <w:r w:rsidR="004C6771">
              <w:rPr>
                <w:noProof/>
                <w:webHidden/>
              </w:rPr>
              <w:fldChar w:fldCharType="begin"/>
            </w:r>
            <w:r w:rsidR="004C6771">
              <w:rPr>
                <w:noProof/>
                <w:webHidden/>
              </w:rPr>
              <w:instrText xml:space="preserve"> PAGEREF _Toc70347464 \h </w:instrText>
            </w:r>
            <w:r w:rsidR="004C6771">
              <w:rPr>
                <w:noProof/>
                <w:webHidden/>
              </w:rPr>
            </w:r>
            <w:r w:rsidR="004C6771">
              <w:rPr>
                <w:noProof/>
                <w:webHidden/>
              </w:rPr>
              <w:fldChar w:fldCharType="separate"/>
            </w:r>
            <w:r w:rsidR="004C6771">
              <w:rPr>
                <w:noProof/>
                <w:webHidden/>
              </w:rPr>
              <w:t>4</w:t>
            </w:r>
            <w:r w:rsidR="004C6771">
              <w:rPr>
                <w:noProof/>
                <w:webHidden/>
              </w:rPr>
              <w:fldChar w:fldCharType="end"/>
            </w:r>
          </w:hyperlink>
        </w:p>
        <w:p w14:paraId="30DC1D08" w14:textId="70EC472A" w:rsidR="004C6771" w:rsidRDefault="002B56CA">
          <w:pPr>
            <w:pStyle w:val="TOC1"/>
            <w:rPr>
              <w:rFonts w:asciiTheme="minorHAnsi" w:eastAsiaTheme="minorEastAsia" w:hAnsiTheme="minorHAnsi" w:cstheme="minorBidi"/>
              <w:b w:val="0"/>
              <w:noProof/>
              <w:sz w:val="22"/>
              <w:lang w:eastAsia="en-AU"/>
            </w:rPr>
          </w:pPr>
          <w:hyperlink w:anchor="_Toc70347465" w:history="1">
            <w:r w:rsidR="004C6771" w:rsidRPr="00825B4E">
              <w:rPr>
                <w:rStyle w:val="Hyperlink"/>
                <w:noProof/>
              </w:rPr>
              <w:t>I. Introduction to product submission</w:t>
            </w:r>
            <w:r w:rsidR="004C6771">
              <w:rPr>
                <w:noProof/>
                <w:webHidden/>
              </w:rPr>
              <w:tab/>
            </w:r>
            <w:r w:rsidR="004C6771">
              <w:rPr>
                <w:noProof/>
                <w:webHidden/>
              </w:rPr>
              <w:fldChar w:fldCharType="begin"/>
            </w:r>
            <w:r w:rsidR="004C6771">
              <w:rPr>
                <w:noProof/>
                <w:webHidden/>
              </w:rPr>
              <w:instrText xml:space="preserve"> PAGEREF _Toc70347465 \h </w:instrText>
            </w:r>
            <w:r w:rsidR="004C6771">
              <w:rPr>
                <w:noProof/>
                <w:webHidden/>
              </w:rPr>
            </w:r>
            <w:r w:rsidR="004C6771">
              <w:rPr>
                <w:noProof/>
                <w:webHidden/>
              </w:rPr>
              <w:fldChar w:fldCharType="separate"/>
            </w:r>
            <w:r w:rsidR="004C6771">
              <w:rPr>
                <w:noProof/>
                <w:webHidden/>
              </w:rPr>
              <w:t>6</w:t>
            </w:r>
            <w:r w:rsidR="004C6771">
              <w:rPr>
                <w:noProof/>
                <w:webHidden/>
              </w:rPr>
              <w:fldChar w:fldCharType="end"/>
            </w:r>
          </w:hyperlink>
        </w:p>
        <w:p w14:paraId="07527B4D" w14:textId="1B8D2CF2" w:rsidR="004C6771" w:rsidRDefault="002B56CA">
          <w:pPr>
            <w:pStyle w:val="TOC2"/>
            <w:rPr>
              <w:rFonts w:asciiTheme="minorHAnsi" w:eastAsiaTheme="minorEastAsia" w:hAnsiTheme="minorHAnsi" w:cstheme="minorBidi"/>
              <w:b w:val="0"/>
              <w:noProof/>
              <w:sz w:val="22"/>
              <w:lang w:eastAsia="en-AU"/>
            </w:rPr>
          </w:pPr>
          <w:hyperlink w:anchor="_Toc70347466" w:history="1">
            <w:r w:rsidR="004C6771" w:rsidRPr="00825B4E">
              <w:rPr>
                <w:rStyle w:val="Hyperlink"/>
                <w:noProof/>
                <w:lang w:eastAsia="en-AU"/>
              </w:rPr>
              <w:t>Submission details</w:t>
            </w:r>
            <w:r w:rsidR="004C6771">
              <w:rPr>
                <w:noProof/>
                <w:webHidden/>
              </w:rPr>
              <w:tab/>
            </w:r>
            <w:r w:rsidR="004C6771">
              <w:rPr>
                <w:noProof/>
                <w:webHidden/>
              </w:rPr>
              <w:fldChar w:fldCharType="begin"/>
            </w:r>
            <w:r w:rsidR="004C6771">
              <w:rPr>
                <w:noProof/>
                <w:webHidden/>
              </w:rPr>
              <w:instrText xml:space="preserve"> PAGEREF _Toc70347466 \h </w:instrText>
            </w:r>
            <w:r w:rsidR="004C6771">
              <w:rPr>
                <w:noProof/>
                <w:webHidden/>
              </w:rPr>
            </w:r>
            <w:r w:rsidR="004C6771">
              <w:rPr>
                <w:noProof/>
                <w:webHidden/>
              </w:rPr>
              <w:fldChar w:fldCharType="separate"/>
            </w:r>
            <w:r w:rsidR="004C6771">
              <w:rPr>
                <w:noProof/>
                <w:webHidden/>
              </w:rPr>
              <w:t>6</w:t>
            </w:r>
            <w:r w:rsidR="004C6771">
              <w:rPr>
                <w:noProof/>
                <w:webHidden/>
              </w:rPr>
              <w:fldChar w:fldCharType="end"/>
            </w:r>
          </w:hyperlink>
        </w:p>
        <w:p w14:paraId="0250DFB7" w14:textId="26B1BEFB" w:rsidR="004C6771" w:rsidRDefault="002B56CA">
          <w:pPr>
            <w:pStyle w:val="TOC2"/>
            <w:rPr>
              <w:rFonts w:asciiTheme="minorHAnsi" w:eastAsiaTheme="minorEastAsia" w:hAnsiTheme="minorHAnsi" w:cstheme="minorBidi"/>
              <w:b w:val="0"/>
              <w:noProof/>
              <w:sz w:val="22"/>
              <w:lang w:eastAsia="en-AU"/>
            </w:rPr>
          </w:pPr>
          <w:hyperlink w:anchor="_Toc70347467" w:history="1">
            <w:r w:rsidR="004C6771" w:rsidRPr="00825B4E">
              <w:rPr>
                <w:rStyle w:val="Hyperlink"/>
                <w:noProof/>
              </w:rPr>
              <w:t>Product background</w:t>
            </w:r>
            <w:r w:rsidR="004C6771">
              <w:rPr>
                <w:noProof/>
                <w:webHidden/>
              </w:rPr>
              <w:tab/>
            </w:r>
            <w:r w:rsidR="004C6771">
              <w:rPr>
                <w:noProof/>
                <w:webHidden/>
              </w:rPr>
              <w:fldChar w:fldCharType="begin"/>
            </w:r>
            <w:r w:rsidR="004C6771">
              <w:rPr>
                <w:noProof/>
                <w:webHidden/>
              </w:rPr>
              <w:instrText xml:space="preserve"> PAGEREF _Toc70347467 \h </w:instrText>
            </w:r>
            <w:r w:rsidR="004C6771">
              <w:rPr>
                <w:noProof/>
                <w:webHidden/>
              </w:rPr>
            </w:r>
            <w:r w:rsidR="004C6771">
              <w:rPr>
                <w:noProof/>
                <w:webHidden/>
              </w:rPr>
              <w:fldChar w:fldCharType="separate"/>
            </w:r>
            <w:r w:rsidR="004C6771">
              <w:rPr>
                <w:noProof/>
                <w:webHidden/>
              </w:rPr>
              <w:t>8</w:t>
            </w:r>
            <w:r w:rsidR="004C6771">
              <w:rPr>
                <w:noProof/>
                <w:webHidden/>
              </w:rPr>
              <w:fldChar w:fldCharType="end"/>
            </w:r>
          </w:hyperlink>
        </w:p>
        <w:p w14:paraId="73A31F6F" w14:textId="1A4BE1B2" w:rsidR="004C6771" w:rsidRDefault="002B56CA">
          <w:pPr>
            <w:pStyle w:val="TOC2"/>
            <w:rPr>
              <w:rFonts w:asciiTheme="minorHAnsi" w:eastAsiaTheme="minorEastAsia" w:hAnsiTheme="minorHAnsi" w:cstheme="minorBidi"/>
              <w:b w:val="0"/>
              <w:noProof/>
              <w:sz w:val="22"/>
              <w:lang w:eastAsia="en-AU"/>
            </w:rPr>
          </w:pPr>
          <w:hyperlink w:anchor="_Toc70347468" w:history="1">
            <w:r w:rsidR="004C6771" w:rsidRPr="00825B4E">
              <w:rPr>
                <w:rStyle w:val="Hyperlink"/>
                <w:noProof/>
              </w:rPr>
              <w:t>Regulatory status</w:t>
            </w:r>
            <w:r w:rsidR="004C6771">
              <w:rPr>
                <w:noProof/>
                <w:webHidden/>
              </w:rPr>
              <w:tab/>
            </w:r>
            <w:r w:rsidR="004C6771">
              <w:rPr>
                <w:noProof/>
                <w:webHidden/>
              </w:rPr>
              <w:fldChar w:fldCharType="begin"/>
            </w:r>
            <w:r w:rsidR="004C6771">
              <w:rPr>
                <w:noProof/>
                <w:webHidden/>
              </w:rPr>
              <w:instrText xml:space="preserve"> PAGEREF _Toc70347468 \h </w:instrText>
            </w:r>
            <w:r w:rsidR="004C6771">
              <w:rPr>
                <w:noProof/>
                <w:webHidden/>
              </w:rPr>
            </w:r>
            <w:r w:rsidR="004C6771">
              <w:rPr>
                <w:noProof/>
                <w:webHidden/>
              </w:rPr>
              <w:fldChar w:fldCharType="separate"/>
            </w:r>
            <w:r w:rsidR="004C6771">
              <w:rPr>
                <w:noProof/>
                <w:webHidden/>
              </w:rPr>
              <w:t>10</w:t>
            </w:r>
            <w:r w:rsidR="004C6771">
              <w:rPr>
                <w:noProof/>
                <w:webHidden/>
              </w:rPr>
              <w:fldChar w:fldCharType="end"/>
            </w:r>
          </w:hyperlink>
        </w:p>
        <w:p w14:paraId="53F9C8C1" w14:textId="45458A4F" w:rsidR="004C6771" w:rsidRDefault="002B56CA">
          <w:pPr>
            <w:pStyle w:val="TOC2"/>
            <w:rPr>
              <w:rFonts w:asciiTheme="minorHAnsi" w:eastAsiaTheme="minorEastAsia" w:hAnsiTheme="minorHAnsi" w:cstheme="minorBidi"/>
              <w:b w:val="0"/>
              <w:noProof/>
              <w:sz w:val="22"/>
              <w:lang w:eastAsia="en-AU"/>
            </w:rPr>
          </w:pPr>
          <w:hyperlink w:anchor="_Toc70347469" w:history="1">
            <w:r w:rsidR="004C6771" w:rsidRPr="00825B4E">
              <w:rPr>
                <w:rStyle w:val="Hyperlink"/>
                <w:noProof/>
              </w:rPr>
              <w:t>Product Information</w:t>
            </w:r>
            <w:r w:rsidR="004C6771">
              <w:rPr>
                <w:noProof/>
                <w:webHidden/>
              </w:rPr>
              <w:tab/>
            </w:r>
            <w:r w:rsidR="004C6771">
              <w:rPr>
                <w:noProof/>
                <w:webHidden/>
              </w:rPr>
              <w:fldChar w:fldCharType="begin"/>
            </w:r>
            <w:r w:rsidR="004C6771">
              <w:rPr>
                <w:noProof/>
                <w:webHidden/>
              </w:rPr>
              <w:instrText xml:space="preserve"> PAGEREF _Toc70347469 \h </w:instrText>
            </w:r>
            <w:r w:rsidR="004C6771">
              <w:rPr>
                <w:noProof/>
                <w:webHidden/>
              </w:rPr>
            </w:r>
            <w:r w:rsidR="004C6771">
              <w:rPr>
                <w:noProof/>
                <w:webHidden/>
              </w:rPr>
              <w:fldChar w:fldCharType="separate"/>
            </w:r>
            <w:r w:rsidR="004C6771">
              <w:rPr>
                <w:noProof/>
                <w:webHidden/>
              </w:rPr>
              <w:t>11</w:t>
            </w:r>
            <w:r w:rsidR="004C6771">
              <w:rPr>
                <w:noProof/>
                <w:webHidden/>
              </w:rPr>
              <w:fldChar w:fldCharType="end"/>
            </w:r>
          </w:hyperlink>
        </w:p>
        <w:p w14:paraId="30978661" w14:textId="26736E54" w:rsidR="004C6771" w:rsidRDefault="002B56CA">
          <w:pPr>
            <w:pStyle w:val="TOC1"/>
            <w:rPr>
              <w:rFonts w:asciiTheme="minorHAnsi" w:eastAsiaTheme="minorEastAsia" w:hAnsiTheme="minorHAnsi" w:cstheme="minorBidi"/>
              <w:b w:val="0"/>
              <w:noProof/>
              <w:sz w:val="22"/>
              <w:lang w:eastAsia="en-AU"/>
            </w:rPr>
          </w:pPr>
          <w:hyperlink w:anchor="_Toc70347470" w:history="1">
            <w:r w:rsidR="004C6771" w:rsidRPr="00825B4E">
              <w:rPr>
                <w:rStyle w:val="Hyperlink"/>
                <w:noProof/>
              </w:rPr>
              <w:t xml:space="preserve">II. </w:t>
            </w:r>
            <w:r w:rsidR="004C6771" w:rsidRPr="00825B4E">
              <w:rPr>
                <w:rStyle w:val="Hyperlink"/>
                <w:noProof/>
              </w:rPr>
              <w:t>Registration timeline</w:t>
            </w:r>
            <w:r w:rsidR="004C6771">
              <w:rPr>
                <w:noProof/>
                <w:webHidden/>
              </w:rPr>
              <w:tab/>
            </w:r>
            <w:r w:rsidR="004C6771">
              <w:rPr>
                <w:noProof/>
                <w:webHidden/>
              </w:rPr>
              <w:fldChar w:fldCharType="begin"/>
            </w:r>
            <w:r w:rsidR="004C6771">
              <w:rPr>
                <w:noProof/>
                <w:webHidden/>
              </w:rPr>
              <w:instrText xml:space="preserve"> PAGEREF _Toc70347470 \h </w:instrText>
            </w:r>
            <w:r w:rsidR="004C6771">
              <w:rPr>
                <w:noProof/>
                <w:webHidden/>
              </w:rPr>
            </w:r>
            <w:r w:rsidR="004C6771">
              <w:rPr>
                <w:noProof/>
                <w:webHidden/>
              </w:rPr>
              <w:fldChar w:fldCharType="separate"/>
            </w:r>
            <w:r w:rsidR="004C6771">
              <w:rPr>
                <w:noProof/>
                <w:webHidden/>
              </w:rPr>
              <w:t>12</w:t>
            </w:r>
            <w:r w:rsidR="004C6771">
              <w:rPr>
                <w:noProof/>
                <w:webHidden/>
              </w:rPr>
              <w:fldChar w:fldCharType="end"/>
            </w:r>
          </w:hyperlink>
        </w:p>
        <w:p w14:paraId="400B1127" w14:textId="6D1EA2E4" w:rsidR="004C6771" w:rsidRDefault="002B56CA">
          <w:pPr>
            <w:pStyle w:val="TOC1"/>
            <w:rPr>
              <w:rFonts w:asciiTheme="minorHAnsi" w:eastAsiaTheme="minorEastAsia" w:hAnsiTheme="minorHAnsi" w:cstheme="minorBidi"/>
              <w:b w:val="0"/>
              <w:noProof/>
              <w:sz w:val="22"/>
              <w:lang w:eastAsia="en-AU"/>
            </w:rPr>
          </w:pPr>
          <w:hyperlink w:anchor="_Toc70347471" w:history="1">
            <w:r w:rsidR="004C6771" w:rsidRPr="00825B4E">
              <w:rPr>
                <w:rStyle w:val="Hyperlink"/>
                <w:noProof/>
              </w:rPr>
              <w:t>III. Submission overview and risk/benefit assessment</w:t>
            </w:r>
            <w:r w:rsidR="004C6771">
              <w:rPr>
                <w:noProof/>
                <w:webHidden/>
              </w:rPr>
              <w:tab/>
            </w:r>
            <w:r w:rsidR="004C6771">
              <w:rPr>
                <w:noProof/>
                <w:webHidden/>
              </w:rPr>
              <w:fldChar w:fldCharType="begin"/>
            </w:r>
            <w:r w:rsidR="004C6771">
              <w:rPr>
                <w:noProof/>
                <w:webHidden/>
              </w:rPr>
              <w:instrText xml:space="preserve"> PAGEREF _Toc70347471 \h </w:instrText>
            </w:r>
            <w:r w:rsidR="004C6771">
              <w:rPr>
                <w:noProof/>
                <w:webHidden/>
              </w:rPr>
            </w:r>
            <w:r w:rsidR="004C6771">
              <w:rPr>
                <w:noProof/>
                <w:webHidden/>
              </w:rPr>
              <w:fldChar w:fldCharType="separate"/>
            </w:r>
            <w:r w:rsidR="004C6771">
              <w:rPr>
                <w:noProof/>
                <w:webHidden/>
              </w:rPr>
              <w:t>12</w:t>
            </w:r>
            <w:r w:rsidR="004C6771">
              <w:rPr>
                <w:noProof/>
                <w:webHidden/>
              </w:rPr>
              <w:fldChar w:fldCharType="end"/>
            </w:r>
          </w:hyperlink>
        </w:p>
        <w:p w14:paraId="039DDDD0" w14:textId="15E873E9" w:rsidR="004C6771" w:rsidRDefault="002B56CA">
          <w:pPr>
            <w:pStyle w:val="TOC2"/>
            <w:rPr>
              <w:rFonts w:asciiTheme="minorHAnsi" w:eastAsiaTheme="minorEastAsia" w:hAnsiTheme="minorHAnsi" w:cstheme="minorBidi"/>
              <w:b w:val="0"/>
              <w:noProof/>
              <w:sz w:val="22"/>
              <w:lang w:eastAsia="en-AU"/>
            </w:rPr>
          </w:pPr>
          <w:hyperlink w:anchor="_Toc70347472" w:history="1">
            <w:r w:rsidR="004C6771" w:rsidRPr="00825B4E">
              <w:rPr>
                <w:rStyle w:val="Hyperlink"/>
                <w:noProof/>
              </w:rPr>
              <w:t>Quality</w:t>
            </w:r>
            <w:r w:rsidR="004C6771">
              <w:rPr>
                <w:noProof/>
                <w:webHidden/>
              </w:rPr>
              <w:tab/>
            </w:r>
            <w:r w:rsidR="004C6771">
              <w:rPr>
                <w:noProof/>
                <w:webHidden/>
              </w:rPr>
              <w:fldChar w:fldCharType="begin"/>
            </w:r>
            <w:r w:rsidR="004C6771">
              <w:rPr>
                <w:noProof/>
                <w:webHidden/>
              </w:rPr>
              <w:instrText xml:space="preserve"> PAGEREF _Toc70347472 \h </w:instrText>
            </w:r>
            <w:r w:rsidR="004C6771">
              <w:rPr>
                <w:noProof/>
                <w:webHidden/>
              </w:rPr>
            </w:r>
            <w:r w:rsidR="004C6771">
              <w:rPr>
                <w:noProof/>
                <w:webHidden/>
              </w:rPr>
              <w:fldChar w:fldCharType="separate"/>
            </w:r>
            <w:r w:rsidR="004C6771">
              <w:rPr>
                <w:noProof/>
                <w:webHidden/>
              </w:rPr>
              <w:t>12</w:t>
            </w:r>
            <w:r w:rsidR="004C6771">
              <w:rPr>
                <w:noProof/>
                <w:webHidden/>
              </w:rPr>
              <w:fldChar w:fldCharType="end"/>
            </w:r>
          </w:hyperlink>
        </w:p>
        <w:p w14:paraId="5A532377" w14:textId="1915A8C0" w:rsidR="004C6771" w:rsidRDefault="002B56CA">
          <w:pPr>
            <w:pStyle w:val="TOC2"/>
            <w:rPr>
              <w:rFonts w:asciiTheme="minorHAnsi" w:eastAsiaTheme="minorEastAsia" w:hAnsiTheme="minorHAnsi" w:cstheme="minorBidi"/>
              <w:b w:val="0"/>
              <w:noProof/>
              <w:sz w:val="22"/>
              <w:lang w:eastAsia="en-AU"/>
            </w:rPr>
          </w:pPr>
          <w:hyperlink w:anchor="_Toc70347473" w:history="1">
            <w:r w:rsidR="004C6771" w:rsidRPr="00825B4E">
              <w:rPr>
                <w:rStyle w:val="Hyperlink"/>
                <w:noProof/>
              </w:rPr>
              <w:t>Nonclinical</w:t>
            </w:r>
            <w:r w:rsidR="004C6771">
              <w:rPr>
                <w:noProof/>
                <w:webHidden/>
              </w:rPr>
              <w:tab/>
            </w:r>
            <w:r w:rsidR="004C6771">
              <w:rPr>
                <w:noProof/>
                <w:webHidden/>
              </w:rPr>
              <w:fldChar w:fldCharType="begin"/>
            </w:r>
            <w:r w:rsidR="004C6771">
              <w:rPr>
                <w:noProof/>
                <w:webHidden/>
              </w:rPr>
              <w:instrText xml:space="preserve"> PAGEREF _Toc70347473 \h </w:instrText>
            </w:r>
            <w:r w:rsidR="004C6771">
              <w:rPr>
                <w:noProof/>
                <w:webHidden/>
              </w:rPr>
            </w:r>
            <w:r w:rsidR="004C6771">
              <w:rPr>
                <w:noProof/>
                <w:webHidden/>
              </w:rPr>
              <w:fldChar w:fldCharType="separate"/>
            </w:r>
            <w:r w:rsidR="004C6771">
              <w:rPr>
                <w:noProof/>
                <w:webHidden/>
              </w:rPr>
              <w:t>13</w:t>
            </w:r>
            <w:r w:rsidR="004C6771">
              <w:rPr>
                <w:noProof/>
                <w:webHidden/>
              </w:rPr>
              <w:fldChar w:fldCharType="end"/>
            </w:r>
          </w:hyperlink>
        </w:p>
        <w:p w14:paraId="42848132" w14:textId="7B581AB7" w:rsidR="004C6771" w:rsidRDefault="002B56CA">
          <w:pPr>
            <w:pStyle w:val="TOC2"/>
            <w:rPr>
              <w:rFonts w:asciiTheme="minorHAnsi" w:eastAsiaTheme="minorEastAsia" w:hAnsiTheme="minorHAnsi" w:cstheme="minorBidi"/>
              <w:b w:val="0"/>
              <w:noProof/>
              <w:sz w:val="22"/>
              <w:lang w:eastAsia="en-AU"/>
            </w:rPr>
          </w:pPr>
          <w:hyperlink w:anchor="_Toc70347474" w:history="1">
            <w:r w:rsidR="004C6771" w:rsidRPr="00825B4E">
              <w:rPr>
                <w:rStyle w:val="Hyperlink"/>
                <w:noProof/>
              </w:rPr>
              <w:t>Clinical</w:t>
            </w:r>
            <w:r w:rsidR="004C6771">
              <w:rPr>
                <w:noProof/>
                <w:webHidden/>
              </w:rPr>
              <w:tab/>
            </w:r>
            <w:r w:rsidR="004C6771">
              <w:rPr>
                <w:noProof/>
                <w:webHidden/>
              </w:rPr>
              <w:fldChar w:fldCharType="begin"/>
            </w:r>
            <w:r w:rsidR="004C6771">
              <w:rPr>
                <w:noProof/>
                <w:webHidden/>
              </w:rPr>
              <w:instrText xml:space="preserve"> PAGEREF _Toc70347474 \h </w:instrText>
            </w:r>
            <w:r w:rsidR="004C6771">
              <w:rPr>
                <w:noProof/>
                <w:webHidden/>
              </w:rPr>
            </w:r>
            <w:r w:rsidR="004C6771">
              <w:rPr>
                <w:noProof/>
                <w:webHidden/>
              </w:rPr>
              <w:fldChar w:fldCharType="separate"/>
            </w:r>
            <w:r w:rsidR="004C6771">
              <w:rPr>
                <w:noProof/>
                <w:webHidden/>
              </w:rPr>
              <w:t>13</w:t>
            </w:r>
            <w:r w:rsidR="004C6771">
              <w:rPr>
                <w:noProof/>
                <w:webHidden/>
              </w:rPr>
              <w:fldChar w:fldCharType="end"/>
            </w:r>
          </w:hyperlink>
        </w:p>
        <w:p w14:paraId="705D2364" w14:textId="074FC915" w:rsidR="004C6771" w:rsidRDefault="002B56CA">
          <w:pPr>
            <w:pStyle w:val="TOC2"/>
            <w:rPr>
              <w:rFonts w:asciiTheme="minorHAnsi" w:eastAsiaTheme="minorEastAsia" w:hAnsiTheme="minorHAnsi" w:cstheme="minorBidi"/>
              <w:b w:val="0"/>
              <w:noProof/>
              <w:sz w:val="22"/>
              <w:lang w:eastAsia="en-AU"/>
            </w:rPr>
          </w:pPr>
          <w:hyperlink w:anchor="_Toc70347475" w:history="1">
            <w:r w:rsidR="004C6771" w:rsidRPr="00825B4E">
              <w:rPr>
                <w:rStyle w:val="Hyperlink"/>
                <w:noProof/>
                <w:lang w:eastAsia="en-AU"/>
              </w:rPr>
              <w:t>Risk management plan</w:t>
            </w:r>
            <w:r w:rsidR="004C6771">
              <w:rPr>
                <w:noProof/>
                <w:webHidden/>
              </w:rPr>
              <w:tab/>
            </w:r>
            <w:r w:rsidR="004C6771">
              <w:rPr>
                <w:noProof/>
                <w:webHidden/>
              </w:rPr>
              <w:fldChar w:fldCharType="begin"/>
            </w:r>
            <w:r w:rsidR="004C6771">
              <w:rPr>
                <w:noProof/>
                <w:webHidden/>
              </w:rPr>
              <w:instrText xml:space="preserve"> PAGEREF _Toc70347475 \h </w:instrText>
            </w:r>
            <w:r w:rsidR="004C6771">
              <w:rPr>
                <w:noProof/>
                <w:webHidden/>
              </w:rPr>
            </w:r>
            <w:r w:rsidR="004C6771">
              <w:rPr>
                <w:noProof/>
                <w:webHidden/>
              </w:rPr>
              <w:fldChar w:fldCharType="separate"/>
            </w:r>
            <w:r w:rsidR="004C6771">
              <w:rPr>
                <w:noProof/>
                <w:webHidden/>
              </w:rPr>
              <w:t>51</w:t>
            </w:r>
            <w:r w:rsidR="004C6771">
              <w:rPr>
                <w:noProof/>
                <w:webHidden/>
              </w:rPr>
              <w:fldChar w:fldCharType="end"/>
            </w:r>
          </w:hyperlink>
        </w:p>
        <w:p w14:paraId="4023B76D" w14:textId="7E3094EB" w:rsidR="004C6771" w:rsidRDefault="002B56CA">
          <w:pPr>
            <w:pStyle w:val="TOC2"/>
            <w:rPr>
              <w:rFonts w:asciiTheme="minorHAnsi" w:eastAsiaTheme="minorEastAsia" w:hAnsiTheme="minorHAnsi" w:cstheme="minorBidi"/>
              <w:b w:val="0"/>
              <w:noProof/>
              <w:sz w:val="22"/>
              <w:lang w:eastAsia="en-AU"/>
            </w:rPr>
          </w:pPr>
          <w:hyperlink w:anchor="_Toc70347476" w:history="1">
            <w:r w:rsidR="004C6771" w:rsidRPr="00825B4E">
              <w:rPr>
                <w:rStyle w:val="Hyperlink"/>
                <w:noProof/>
              </w:rPr>
              <w:t>Risk-benefit analysis</w:t>
            </w:r>
            <w:r w:rsidR="004C6771">
              <w:rPr>
                <w:noProof/>
                <w:webHidden/>
              </w:rPr>
              <w:tab/>
            </w:r>
            <w:r w:rsidR="004C6771">
              <w:rPr>
                <w:noProof/>
                <w:webHidden/>
              </w:rPr>
              <w:fldChar w:fldCharType="begin"/>
            </w:r>
            <w:r w:rsidR="004C6771">
              <w:rPr>
                <w:noProof/>
                <w:webHidden/>
              </w:rPr>
              <w:instrText xml:space="preserve"> PAGEREF _Toc70347476 \h </w:instrText>
            </w:r>
            <w:r w:rsidR="004C6771">
              <w:rPr>
                <w:noProof/>
                <w:webHidden/>
              </w:rPr>
            </w:r>
            <w:r w:rsidR="004C6771">
              <w:rPr>
                <w:noProof/>
                <w:webHidden/>
              </w:rPr>
              <w:fldChar w:fldCharType="separate"/>
            </w:r>
            <w:r w:rsidR="004C6771">
              <w:rPr>
                <w:noProof/>
                <w:webHidden/>
              </w:rPr>
              <w:t>52</w:t>
            </w:r>
            <w:r w:rsidR="004C6771">
              <w:rPr>
                <w:noProof/>
                <w:webHidden/>
              </w:rPr>
              <w:fldChar w:fldCharType="end"/>
            </w:r>
          </w:hyperlink>
        </w:p>
        <w:p w14:paraId="3540B36E" w14:textId="67876FC3" w:rsidR="004C6771" w:rsidRDefault="002B56CA">
          <w:pPr>
            <w:pStyle w:val="TOC2"/>
            <w:rPr>
              <w:rFonts w:asciiTheme="minorHAnsi" w:eastAsiaTheme="minorEastAsia" w:hAnsiTheme="minorHAnsi" w:cstheme="minorBidi"/>
              <w:b w:val="0"/>
              <w:noProof/>
              <w:sz w:val="22"/>
              <w:lang w:eastAsia="en-AU"/>
            </w:rPr>
          </w:pPr>
          <w:hyperlink w:anchor="_Toc70347477" w:history="1">
            <w:r w:rsidR="004C6771" w:rsidRPr="00825B4E">
              <w:rPr>
                <w:rStyle w:val="Hyperlink"/>
                <w:noProof/>
              </w:rPr>
              <w:t>Outcome</w:t>
            </w:r>
            <w:r w:rsidR="004C6771">
              <w:rPr>
                <w:noProof/>
                <w:webHidden/>
              </w:rPr>
              <w:tab/>
            </w:r>
            <w:r w:rsidR="004C6771">
              <w:rPr>
                <w:noProof/>
                <w:webHidden/>
              </w:rPr>
              <w:fldChar w:fldCharType="begin"/>
            </w:r>
            <w:r w:rsidR="004C6771">
              <w:rPr>
                <w:noProof/>
                <w:webHidden/>
              </w:rPr>
              <w:instrText xml:space="preserve"> PAGEREF _Toc70347477 \h </w:instrText>
            </w:r>
            <w:r w:rsidR="004C6771">
              <w:rPr>
                <w:noProof/>
                <w:webHidden/>
              </w:rPr>
            </w:r>
            <w:r w:rsidR="004C6771">
              <w:rPr>
                <w:noProof/>
                <w:webHidden/>
              </w:rPr>
              <w:fldChar w:fldCharType="separate"/>
            </w:r>
            <w:r w:rsidR="004C6771">
              <w:rPr>
                <w:noProof/>
                <w:webHidden/>
              </w:rPr>
              <w:t>63</w:t>
            </w:r>
            <w:r w:rsidR="004C6771">
              <w:rPr>
                <w:noProof/>
                <w:webHidden/>
              </w:rPr>
              <w:fldChar w:fldCharType="end"/>
            </w:r>
          </w:hyperlink>
        </w:p>
        <w:p w14:paraId="0E304CD8" w14:textId="250ECA27" w:rsidR="004C6771" w:rsidRDefault="002B56CA">
          <w:pPr>
            <w:pStyle w:val="TOC1"/>
            <w:rPr>
              <w:rFonts w:asciiTheme="minorHAnsi" w:eastAsiaTheme="minorEastAsia" w:hAnsiTheme="minorHAnsi" w:cstheme="minorBidi"/>
              <w:b w:val="0"/>
              <w:noProof/>
              <w:sz w:val="22"/>
              <w:lang w:eastAsia="en-AU"/>
            </w:rPr>
          </w:pPr>
          <w:hyperlink w:anchor="_Toc70347478" w:history="1">
            <w:r w:rsidR="004C6771" w:rsidRPr="00825B4E">
              <w:rPr>
                <w:rStyle w:val="Hyperlink"/>
                <w:noProof/>
              </w:rPr>
              <w:t>Attachment 1. Product Information</w:t>
            </w:r>
            <w:r w:rsidR="004C6771">
              <w:rPr>
                <w:noProof/>
                <w:webHidden/>
              </w:rPr>
              <w:tab/>
            </w:r>
            <w:r w:rsidR="004C6771">
              <w:rPr>
                <w:noProof/>
                <w:webHidden/>
              </w:rPr>
              <w:fldChar w:fldCharType="begin"/>
            </w:r>
            <w:r w:rsidR="004C6771">
              <w:rPr>
                <w:noProof/>
                <w:webHidden/>
              </w:rPr>
              <w:instrText xml:space="preserve"> PAGEREF _Toc70347478 \h </w:instrText>
            </w:r>
            <w:r w:rsidR="004C6771">
              <w:rPr>
                <w:noProof/>
                <w:webHidden/>
              </w:rPr>
            </w:r>
            <w:r w:rsidR="004C6771">
              <w:rPr>
                <w:noProof/>
                <w:webHidden/>
              </w:rPr>
              <w:fldChar w:fldCharType="separate"/>
            </w:r>
            <w:r w:rsidR="004C6771">
              <w:rPr>
                <w:noProof/>
                <w:webHidden/>
              </w:rPr>
              <w:t>64</w:t>
            </w:r>
            <w:r w:rsidR="004C6771">
              <w:rPr>
                <w:noProof/>
                <w:webHidden/>
              </w:rPr>
              <w:fldChar w:fldCharType="end"/>
            </w:r>
          </w:hyperlink>
        </w:p>
        <w:p w14:paraId="44E93D09" w14:textId="5E889975" w:rsidR="003A7F6C" w:rsidRPr="00B811C6" w:rsidRDefault="00C525A2" w:rsidP="00B811C6">
          <w:pPr>
            <w:pStyle w:val="TOC2"/>
          </w:pPr>
          <w:r>
            <w:fldChar w:fldCharType="end"/>
          </w:r>
        </w:p>
      </w:sdtContent>
    </w:sdt>
    <w:bookmarkStart w:id="2" w:name="_Toc314842482" w:displacedByCustomXml="prev"/>
    <w:p w14:paraId="5D5F740A" w14:textId="77777777" w:rsidR="00C52E24" w:rsidRPr="00C52E24" w:rsidRDefault="00324E45" w:rsidP="00646DC1">
      <w:pPr>
        <w:pStyle w:val="Heading2"/>
        <w:pageBreakBefore/>
        <w:spacing w:before="0"/>
      </w:pPr>
      <w:bookmarkStart w:id="3" w:name="_Toc351716269"/>
      <w:bookmarkStart w:id="4" w:name="_Toc351718881"/>
      <w:bookmarkStart w:id="5" w:name="_Toc355338616"/>
      <w:bookmarkStart w:id="6" w:name="_Toc356306144"/>
      <w:bookmarkStart w:id="7" w:name="_Toc70347464"/>
      <w:r>
        <w:lastRenderedPageBreak/>
        <w:t>List of</w:t>
      </w:r>
      <w:r w:rsidR="00FD119B" w:rsidRPr="00FD119B">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809"/>
        <w:gridCol w:w="6911"/>
      </w:tblGrid>
      <w:tr w:rsidR="00CA5626" w:rsidRPr="00FD119B" w14:paraId="7988536F" w14:textId="77777777" w:rsidTr="00CF5DAD">
        <w:trPr>
          <w:cnfStyle w:val="100000000000" w:firstRow="1" w:lastRow="0" w:firstColumn="0" w:lastColumn="0" w:oddVBand="0" w:evenVBand="0" w:oddHBand="0" w:evenHBand="0" w:firstRowFirstColumn="0" w:firstRowLastColumn="0" w:lastRowFirstColumn="0" w:lastRowLastColumn="0"/>
        </w:trPr>
        <w:tc>
          <w:tcPr>
            <w:tcW w:w="1809" w:type="dxa"/>
            <w:tcBorders>
              <w:top w:val="single" w:sz="4" w:space="0" w:color="auto"/>
              <w:left w:val="single" w:sz="4" w:space="0" w:color="auto"/>
              <w:bottom w:val="single" w:sz="4" w:space="0" w:color="auto"/>
              <w:right w:val="single" w:sz="4" w:space="0" w:color="auto"/>
            </w:tcBorders>
          </w:tcPr>
          <w:p w14:paraId="7B978BF4" w14:textId="77777777" w:rsidR="00CA5626" w:rsidRPr="00FD119B" w:rsidRDefault="00CA5626" w:rsidP="00007DD0">
            <w:pPr>
              <w:keepNext w:val="0"/>
              <w:ind w:left="173" w:right="0"/>
              <w:rPr>
                <w:szCs w:val="22"/>
                <w:lang w:eastAsia="en-US"/>
              </w:rPr>
            </w:pPr>
            <w:r w:rsidRPr="00FD119B">
              <w:rPr>
                <w:szCs w:val="22"/>
                <w:lang w:eastAsia="en-US"/>
              </w:rPr>
              <w:t>Abbreviation</w:t>
            </w:r>
          </w:p>
        </w:tc>
        <w:tc>
          <w:tcPr>
            <w:tcW w:w="6911" w:type="dxa"/>
            <w:tcBorders>
              <w:top w:val="single" w:sz="4" w:space="0" w:color="auto"/>
              <w:left w:val="single" w:sz="4" w:space="0" w:color="auto"/>
              <w:bottom w:val="single" w:sz="4" w:space="0" w:color="auto"/>
              <w:right w:val="single" w:sz="4" w:space="0" w:color="auto"/>
            </w:tcBorders>
          </w:tcPr>
          <w:p w14:paraId="7FE118FB" w14:textId="77777777" w:rsidR="00CA5626" w:rsidRPr="00FD119B" w:rsidRDefault="00CA5626" w:rsidP="00007DD0">
            <w:pPr>
              <w:keepNext w:val="0"/>
              <w:ind w:left="173" w:right="0"/>
              <w:rPr>
                <w:szCs w:val="22"/>
                <w:lang w:eastAsia="en-US"/>
              </w:rPr>
            </w:pPr>
            <w:r w:rsidRPr="00FD119B">
              <w:rPr>
                <w:szCs w:val="22"/>
                <w:lang w:eastAsia="en-US"/>
              </w:rPr>
              <w:t>Meaning</w:t>
            </w:r>
          </w:p>
        </w:tc>
      </w:tr>
      <w:tr w:rsidR="00CA5626" w:rsidRPr="00FD119B" w14:paraId="73125C87" w14:textId="77777777" w:rsidTr="00FD119B">
        <w:tc>
          <w:tcPr>
            <w:tcW w:w="1809" w:type="dxa"/>
          </w:tcPr>
          <w:p w14:paraId="1B7D05F5" w14:textId="77777777" w:rsidR="00CA5626" w:rsidRPr="00FD119B" w:rsidRDefault="00CA5626" w:rsidP="00007DD0">
            <w:pPr>
              <w:ind w:left="173"/>
            </w:pPr>
            <w:r w:rsidRPr="0007636B">
              <w:rPr>
                <w:lang w:eastAsia="ja-JP"/>
              </w:rPr>
              <w:t>ABNAS</w:t>
            </w:r>
          </w:p>
        </w:tc>
        <w:tc>
          <w:tcPr>
            <w:tcW w:w="6911" w:type="dxa"/>
          </w:tcPr>
          <w:p w14:paraId="265A58EE" w14:textId="77777777" w:rsidR="00CA5626" w:rsidRPr="00FD119B" w:rsidRDefault="00CA5626" w:rsidP="00007DD0">
            <w:pPr>
              <w:ind w:left="173"/>
            </w:pPr>
            <w:r w:rsidRPr="0007636B">
              <w:rPr>
                <w:lang w:eastAsia="ja-JP"/>
              </w:rPr>
              <w:t>Aldenkamp-Baker Neuropsy</w:t>
            </w:r>
            <w:r>
              <w:rPr>
                <w:lang w:eastAsia="ja-JP"/>
              </w:rPr>
              <w:t>chological Assessment Schedule</w:t>
            </w:r>
          </w:p>
        </w:tc>
      </w:tr>
      <w:tr w:rsidR="00CA5626" w:rsidRPr="00FD119B" w14:paraId="1FBDBAE0" w14:textId="77777777" w:rsidTr="00CF5DAD">
        <w:tc>
          <w:tcPr>
            <w:tcW w:w="1809" w:type="dxa"/>
            <w:tcBorders>
              <w:top w:val="single" w:sz="4" w:space="0" w:color="auto"/>
            </w:tcBorders>
          </w:tcPr>
          <w:p w14:paraId="22749E7B" w14:textId="77777777" w:rsidR="00CA5626" w:rsidRPr="00FD119B" w:rsidRDefault="00CA5626" w:rsidP="00007DD0">
            <w:pPr>
              <w:ind w:left="173" w:right="0"/>
            </w:pPr>
            <w:r>
              <w:t>ACM</w:t>
            </w:r>
          </w:p>
        </w:tc>
        <w:tc>
          <w:tcPr>
            <w:tcW w:w="6911" w:type="dxa"/>
            <w:tcBorders>
              <w:top w:val="single" w:sz="4" w:space="0" w:color="auto"/>
            </w:tcBorders>
          </w:tcPr>
          <w:p w14:paraId="6EF09CD6" w14:textId="77777777" w:rsidR="00CA5626" w:rsidRPr="00FD119B" w:rsidRDefault="00CA5626" w:rsidP="00007DD0">
            <w:pPr>
              <w:ind w:left="173" w:right="0"/>
            </w:pPr>
            <w:r w:rsidRPr="00460036">
              <w:t>Advisory Committee on Medicines</w:t>
            </w:r>
          </w:p>
        </w:tc>
      </w:tr>
      <w:tr w:rsidR="00CA5626" w:rsidRPr="00FD119B" w14:paraId="6D10FCCB" w14:textId="77777777" w:rsidTr="00FD119B">
        <w:tc>
          <w:tcPr>
            <w:tcW w:w="1809" w:type="dxa"/>
          </w:tcPr>
          <w:p w14:paraId="4CB6E40A" w14:textId="77777777" w:rsidR="00CA5626" w:rsidRPr="00FD119B" w:rsidRDefault="00CA5626" w:rsidP="00007DD0">
            <w:pPr>
              <w:ind w:left="173"/>
            </w:pPr>
            <w:r>
              <w:t>AE</w:t>
            </w:r>
          </w:p>
        </w:tc>
        <w:tc>
          <w:tcPr>
            <w:tcW w:w="6911" w:type="dxa"/>
          </w:tcPr>
          <w:p w14:paraId="1F57241C" w14:textId="77777777" w:rsidR="00CA5626" w:rsidRPr="00FD119B" w:rsidRDefault="00CA5626" w:rsidP="00007DD0">
            <w:pPr>
              <w:ind w:left="173"/>
            </w:pPr>
            <w:r>
              <w:rPr>
                <w:lang w:eastAsia="ja-JP"/>
              </w:rPr>
              <w:t>Adverse event</w:t>
            </w:r>
          </w:p>
        </w:tc>
      </w:tr>
      <w:tr w:rsidR="00CA5626" w:rsidRPr="00FD119B" w14:paraId="50E2F45C" w14:textId="77777777" w:rsidTr="00FD119B">
        <w:tc>
          <w:tcPr>
            <w:tcW w:w="1809" w:type="dxa"/>
          </w:tcPr>
          <w:p w14:paraId="3FBEE18C" w14:textId="77777777" w:rsidR="00CA5626" w:rsidRPr="00FD119B" w:rsidRDefault="00CA5626" w:rsidP="00007DD0">
            <w:pPr>
              <w:ind w:left="173"/>
            </w:pPr>
            <w:r>
              <w:t>AED</w:t>
            </w:r>
          </w:p>
        </w:tc>
        <w:tc>
          <w:tcPr>
            <w:tcW w:w="6911" w:type="dxa"/>
          </w:tcPr>
          <w:p w14:paraId="18DF7D9F" w14:textId="77777777" w:rsidR="00CA5626" w:rsidRPr="00FD119B" w:rsidRDefault="00CA5626" w:rsidP="00007DD0">
            <w:pPr>
              <w:ind w:left="173"/>
            </w:pPr>
            <w:r>
              <w:rPr>
                <w:lang w:eastAsia="ja-JP"/>
              </w:rPr>
              <w:t>Antiepileptic drug</w:t>
            </w:r>
          </w:p>
        </w:tc>
      </w:tr>
      <w:tr w:rsidR="00CA5626" w:rsidRPr="00FD119B" w14:paraId="49F7CFF2" w14:textId="77777777" w:rsidTr="00FD119B">
        <w:tc>
          <w:tcPr>
            <w:tcW w:w="1809" w:type="dxa"/>
          </w:tcPr>
          <w:p w14:paraId="2DC53EB8" w14:textId="77777777" w:rsidR="00CA5626" w:rsidRPr="00FD119B" w:rsidRDefault="00CA5626" w:rsidP="00007DD0">
            <w:pPr>
              <w:ind w:left="173"/>
            </w:pPr>
            <w:r>
              <w:t>AMPA</w:t>
            </w:r>
          </w:p>
        </w:tc>
        <w:tc>
          <w:tcPr>
            <w:tcW w:w="6911" w:type="dxa"/>
          </w:tcPr>
          <w:p w14:paraId="0303F5C2" w14:textId="77777777" w:rsidR="00CA5626" w:rsidRPr="00FD119B" w:rsidRDefault="00CA5626" w:rsidP="00007DD0">
            <w:pPr>
              <w:ind w:left="173"/>
            </w:pPr>
            <w:r>
              <w:rPr>
                <w:lang w:eastAsia="ja-JP"/>
              </w:rPr>
              <w:t>α-amino-3-hydroxy-5-methyl-4-isoxazolepropionic acid</w:t>
            </w:r>
          </w:p>
        </w:tc>
      </w:tr>
      <w:tr w:rsidR="00CA5626" w:rsidRPr="00FD119B" w14:paraId="55C6CEFE" w14:textId="77777777" w:rsidTr="00FD119B">
        <w:tc>
          <w:tcPr>
            <w:tcW w:w="1809" w:type="dxa"/>
          </w:tcPr>
          <w:p w14:paraId="42F140CC" w14:textId="77777777" w:rsidR="00CA5626" w:rsidRPr="00FD119B" w:rsidRDefault="00CA5626" w:rsidP="00007DD0">
            <w:pPr>
              <w:ind w:left="173" w:right="0"/>
            </w:pPr>
            <w:r>
              <w:t>ARTG</w:t>
            </w:r>
          </w:p>
        </w:tc>
        <w:tc>
          <w:tcPr>
            <w:tcW w:w="6911" w:type="dxa"/>
          </w:tcPr>
          <w:p w14:paraId="3C4FA056" w14:textId="77777777" w:rsidR="00CA5626" w:rsidRPr="00FD119B" w:rsidRDefault="00CA5626" w:rsidP="00007DD0">
            <w:pPr>
              <w:ind w:left="173" w:right="0"/>
            </w:pPr>
            <w:r w:rsidRPr="00460036">
              <w:t>Australian Register of Therapeutic Goods</w:t>
            </w:r>
          </w:p>
        </w:tc>
      </w:tr>
      <w:tr w:rsidR="00CA5626" w:rsidRPr="00FD119B" w14:paraId="280C0EE4" w14:textId="77777777" w:rsidTr="00FD119B">
        <w:tc>
          <w:tcPr>
            <w:tcW w:w="1809" w:type="dxa"/>
          </w:tcPr>
          <w:p w14:paraId="46FFD89D" w14:textId="77777777" w:rsidR="00CA5626" w:rsidRPr="00FD119B" w:rsidRDefault="00CA5626" w:rsidP="00007DD0">
            <w:pPr>
              <w:ind w:left="173"/>
            </w:pPr>
            <w:r>
              <w:t>ASA</w:t>
            </w:r>
          </w:p>
        </w:tc>
        <w:tc>
          <w:tcPr>
            <w:tcW w:w="6911" w:type="dxa"/>
          </w:tcPr>
          <w:p w14:paraId="6025DFEA" w14:textId="77777777" w:rsidR="00CA5626" w:rsidRPr="00FD119B" w:rsidRDefault="00CA5626" w:rsidP="00007DD0">
            <w:pPr>
              <w:ind w:left="173"/>
            </w:pPr>
            <w:r>
              <w:t>Australian specific Annex</w:t>
            </w:r>
          </w:p>
        </w:tc>
      </w:tr>
      <w:tr w:rsidR="00CA5626" w:rsidRPr="00FD119B" w14:paraId="548B9268" w14:textId="77777777" w:rsidTr="00FD119B">
        <w:tc>
          <w:tcPr>
            <w:tcW w:w="1809" w:type="dxa"/>
          </w:tcPr>
          <w:p w14:paraId="71A41678" w14:textId="77777777" w:rsidR="00CA5626" w:rsidRPr="00FD119B" w:rsidRDefault="00CA5626" w:rsidP="00007DD0">
            <w:pPr>
              <w:ind w:left="173"/>
            </w:pPr>
            <w:r>
              <w:t>AUC</w:t>
            </w:r>
          </w:p>
        </w:tc>
        <w:tc>
          <w:tcPr>
            <w:tcW w:w="6911" w:type="dxa"/>
          </w:tcPr>
          <w:p w14:paraId="3EFEEB09" w14:textId="45D0BF01" w:rsidR="00CA5626" w:rsidRPr="00FD119B" w:rsidRDefault="00CA5626" w:rsidP="00007DD0">
            <w:pPr>
              <w:ind w:left="173"/>
            </w:pPr>
            <w:r>
              <w:t>Area under the concentration</w:t>
            </w:r>
            <w:r w:rsidR="00007DD0">
              <w:noBreakHyphen/>
            </w:r>
            <w:r>
              <w:t>time curve</w:t>
            </w:r>
          </w:p>
        </w:tc>
      </w:tr>
      <w:tr w:rsidR="00CA5626" w:rsidRPr="00FD119B" w14:paraId="515236F5" w14:textId="77777777" w:rsidTr="00FD119B">
        <w:tc>
          <w:tcPr>
            <w:tcW w:w="1809" w:type="dxa"/>
          </w:tcPr>
          <w:p w14:paraId="097C8D54" w14:textId="77777777" w:rsidR="00CA5626" w:rsidRPr="00FD119B" w:rsidRDefault="00CA5626" w:rsidP="00007DD0">
            <w:pPr>
              <w:ind w:left="173"/>
            </w:pPr>
            <w:r>
              <w:t>CGI</w:t>
            </w:r>
          </w:p>
        </w:tc>
        <w:tc>
          <w:tcPr>
            <w:tcW w:w="6911" w:type="dxa"/>
          </w:tcPr>
          <w:p w14:paraId="0A46986D" w14:textId="77777777" w:rsidR="00CA5626" w:rsidRPr="00FD119B" w:rsidRDefault="00CA5626" w:rsidP="00007DD0">
            <w:pPr>
              <w:ind w:left="173"/>
            </w:pPr>
            <w:r>
              <w:t>Clinical Global Impression</w:t>
            </w:r>
          </w:p>
        </w:tc>
      </w:tr>
      <w:tr w:rsidR="00CA5626" w:rsidRPr="00FD119B" w14:paraId="790A0D98" w14:textId="77777777" w:rsidTr="00FD119B">
        <w:tc>
          <w:tcPr>
            <w:tcW w:w="1809" w:type="dxa"/>
          </w:tcPr>
          <w:p w14:paraId="5A133908" w14:textId="2F20876C" w:rsidR="00CA5626" w:rsidRPr="00FD119B" w:rsidRDefault="00CA5626" w:rsidP="00007DD0">
            <w:pPr>
              <w:ind w:left="173"/>
            </w:pPr>
            <w:r>
              <w:t>CGI</w:t>
            </w:r>
            <w:r w:rsidR="00007DD0">
              <w:noBreakHyphen/>
            </w:r>
            <w:r>
              <w:t>C</w:t>
            </w:r>
          </w:p>
        </w:tc>
        <w:tc>
          <w:tcPr>
            <w:tcW w:w="6911" w:type="dxa"/>
          </w:tcPr>
          <w:p w14:paraId="2E7FD48E" w14:textId="77777777" w:rsidR="00CA5626" w:rsidRPr="00FD119B" w:rsidRDefault="00CA5626" w:rsidP="00007DD0">
            <w:pPr>
              <w:ind w:left="173"/>
            </w:pPr>
            <w:r>
              <w:t>Clinical Global Impression of Change</w:t>
            </w:r>
          </w:p>
        </w:tc>
      </w:tr>
      <w:tr w:rsidR="00CA5626" w:rsidRPr="00FD119B" w14:paraId="7CA87E3F" w14:textId="77777777" w:rsidTr="00FD119B">
        <w:tc>
          <w:tcPr>
            <w:tcW w:w="1809" w:type="dxa"/>
          </w:tcPr>
          <w:p w14:paraId="11B88166" w14:textId="77777777" w:rsidR="00CA5626" w:rsidRPr="00FD119B" w:rsidRDefault="00CA5626" w:rsidP="00007DD0">
            <w:pPr>
              <w:ind w:left="173"/>
            </w:pPr>
            <w:r>
              <w:t>CHMP</w:t>
            </w:r>
          </w:p>
        </w:tc>
        <w:tc>
          <w:tcPr>
            <w:tcW w:w="6911" w:type="dxa"/>
          </w:tcPr>
          <w:p w14:paraId="6E48DF39" w14:textId="56C82DBB" w:rsidR="00CA5626" w:rsidRPr="00FD119B" w:rsidRDefault="00CA5626" w:rsidP="00007DD0">
            <w:pPr>
              <w:ind w:left="173"/>
            </w:pPr>
            <w:r>
              <w:t xml:space="preserve">Committee for </w:t>
            </w:r>
            <w:r w:rsidR="00007DD0">
              <w:t>M</w:t>
            </w:r>
            <w:r>
              <w:t xml:space="preserve">edicinal </w:t>
            </w:r>
            <w:r w:rsidR="00007DD0">
              <w:t>P</w:t>
            </w:r>
            <w:r>
              <w:t xml:space="preserve">roducts for </w:t>
            </w:r>
            <w:r w:rsidR="00007DD0">
              <w:t>H</w:t>
            </w:r>
            <w:r>
              <w:t xml:space="preserve">uman </w:t>
            </w:r>
            <w:r w:rsidR="00007DD0">
              <w:t>U</w:t>
            </w:r>
            <w:r>
              <w:t>se (European Medicines Agency)</w:t>
            </w:r>
          </w:p>
        </w:tc>
      </w:tr>
      <w:tr w:rsidR="00CA5626" w:rsidRPr="00FD119B" w14:paraId="02A3426E" w14:textId="77777777" w:rsidTr="00FD119B">
        <w:tc>
          <w:tcPr>
            <w:tcW w:w="1809" w:type="dxa"/>
          </w:tcPr>
          <w:p w14:paraId="6700307E" w14:textId="77777777" w:rsidR="00CA5626" w:rsidRPr="00FD119B" w:rsidRDefault="00CA5626" w:rsidP="00007DD0">
            <w:pPr>
              <w:ind w:left="173"/>
            </w:pPr>
            <w:r>
              <w:t>CI</w:t>
            </w:r>
          </w:p>
        </w:tc>
        <w:tc>
          <w:tcPr>
            <w:tcW w:w="6911" w:type="dxa"/>
          </w:tcPr>
          <w:p w14:paraId="0D514A7D" w14:textId="77777777" w:rsidR="00CA5626" w:rsidRPr="00FD119B" w:rsidRDefault="00CA5626" w:rsidP="00007DD0">
            <w:pPr>
              <w:ind w:left="173"/>
            </w:pPr>
            <w:r>
              <w:t>Confidence interval</w:t>
            </w:r>
          </w:p>
        </w:tc>
      </w:tr>
      <w:tr w:rsidR="00CA5626" w:rsidRPr="00FD119B" w14:paraId="4D1FC7E7" w14:textId="77777777" w:rsidTr="00FD119B">
        <w:tc>
          <w:tcPr>
            <w:tcW w:w="1809" w:type="dxa"/>
          </w:tcPr>
          <w:p w14:paraId="4C381F19" w14:textId="77777777" w:rsidR="00CA5626" w:rsidRPr="00FD119B" w:rsidRDefault="00CA5626" w:rsidP="00007DD0">
            <w:pPr>
              <w:ind w:left="173"/>
            </w:pPr>
            <w:r>
              <w:t>CL/F</w:t>
            </w:r>
          </w:p>
        </w:tc>
        <w:tc>
          <w:tcPr>
            <w:tcW w:w="6911" w:type="dxa"/>
          </w:tcPr>
          <w:p w14:paraId="200DD136" w14:textId="77777777" w:rsidR="00CA5626" w:rsidRPr="00FD119B" w:rsidRDefault="00CA5626" w:rsidP="00007DD0">
            <w:pPr>
              <w:ind w:left="173"/>
            </w:pPr>
            <w:r>
              <w:rPr>
                <w:lang w:eastAsia="ja-JP"/>
              </w:rPr>
              <w:t>Apparent clearance</w:t>
            </w:r>
          </w:p>
        </w:tc>
      </w:tr>
      <w:tr w:rsidR="00CA5626" w:rsidRPr="00FD119B" w14:paraId="334CAEDB" w14:textId="77777777" w:rsidTr="00FD119B">
        <w:tc>
          <w:tcPr>
            <w:tcW w:w="1809" w:type="dxa"/>
          </w:tcPr>
          <w:p w14:paraId="5744C71A" w14:textId="77777777" w:rsidR="00CA5626" w:rsidRPr="00FD119B" w:rsidRDefault="00CA5626" w:rsidP="00007DD0">
            <w:pPr>
              <w:ind w:left="173"/>
            </w:pPr>
            <w:r>
              <w:t>C</w:t>
            </w:r>
            <w:r>
              <w:rPr>
                <w:vertAlign w:val="subscript"/>
              </w:rPr>
              <w:t>max</w:t>
            </w:r>
          </w:p>
        </w:tc>
        <w:tc>
          <w:tcPr>
            <w:tcW w:w="6911" w:type="dxa"/>
          </w:tcPr>
          <w:p w14:paraId="049716A7" w14:textId="77777777" w:rsidR="00CA5626" w:rsidRPr="00FD119B" w:rsidRDefault="00CA5626" w:rsidP="00007DD0">
            <w:pPr>
              <w:ind w:left="173"/>
            </w:pPr>
            <w:r>
              <w:t>Maximum plasma concentration</w:t>
            </w:r>
          </w:p>
        </w:tc>
      </w:tr>
      <w:tr w:rsidR="00CA5626" w:rsidRPr="00FD119B" w14:paraId="3011E32E" w14:textId="77777777" w:rsidTr="00FD119B">
        <w:tc>
          <w:tcPr>
            <w:tcW w:w="1809" w:type="dxa"/>
          </w:tcPr>
          <w:p w14:paraId="1FDCC527" w14:textId="77777777" w:rsidR="00CA5626" w:rsidRPr="00FD119B" w:rsidRDefault="00CA5626" w:rsidP="00007DD0">
            <w:pPr>
              <w:ind w:left="173"/>
            </w:pPr>
            <w:r>
              <w:t>CV</w:t>
            </w:r>
          </w:p>
        </w:tc>
        <w:tc>
          <w:tcPr>
            <w:tcW w:w="6911" w:type="dxa"/>
          </w:tcPr>
          <w:p w14:paraId="7384287B" w14:textId="77777777" w:rsidR="00CA5626" w:rsidRPr="00FD119B" w:rsidRDefault="00CA5626" w:rsidP="00007DD0">
            <w:pPr>
              <w:ind w:left="173"/>
            </w:pPr>
            <w:r>
              <w:t>Coefficient of variation</w:t>
            </w:r>
          </w:p>
        </w:tc>
      </w:tr>
      <w:tr w:rsidR="00CA5626" w:rsidRPr="00FD119B" w14:paraId="0D1B00B6" w14:textId="77777777" w:rsidTr="00FD119B">
        <w:tc>
          <w:tcPr>
            <w:tcW w:w="1809" w:type="dxa"/>
          </w:tcPr>
          <w:p w14:paraId="39453626" w14:textId="77777777" w:rsidR="00CA5626" w:rsidRPr="00FD119B" w:rsidRDefault="00CA5626" w:rsidP="00007DD0">
            <w:pPr>
              <w:ind w:left="173"/>
            </w:pPr>
            <w:r>
              <w:t>CYP3A</w:t>
            </w:r>
          </w:p>
        </w:tc>
        <w:tc>
          <w:tcPr>
            <w:tcW w:w="6911" w:type="dxa"/>
          </w:tcPr>
          <w:p w14:paraId="2F3B32DC" w14:textId="7F4BB01C" w:rsidR="00CA5626" w:rsidRPr="00FD119B" w:rsidRDefault="00CA5626" w:rsidP="00007DD0">
            <w:pPr>
              <w:ind w:left="173"/>
            </w:pPr>
            <w:r>
              <w:t>Cytochrome P450</w:t>
            </w:r>
            <w:r w:rsidR="00007DD0">
              <w:t>, family</w:t>
            </w:r>
            <w:r>
              <w:t xml:space="preserve"> 3</w:t>
            </w:r>
            <w:r w:rsidR="00007DD0">
              <w:t xml:space="preserve">, subfamily </w:t>
            </w:r>
            <w:r>
              <w:t>A</w:t>
            </w:r>
          </w:p>
        </w:tc>
      </w:tr>
      <w:tr w:rsidR="00831DB6" w:rsidRPr="00FD119B" w14:paraId="18757A04" w14:textId="77777777" w:rsidTr="00FD119B">
        <w:tc>
          <w:tcPr>
            <w:tcW w:w="1809" w:type="dxa"/>
          </w:tcPr>
          <w:p w14:paraId="5ABA1BF4" w14:textId="65AD8150" w:rsidR="00831DB6" w:rsidRDefault="00831DB6" w:rsidP="00007DD0">
            <w:pPr>
              <w:ind w:left="173"/>
            </w:pPr>
            <w:r>
              <w:t>DDI</w:t>
            </w:r>
          </w:p>
        </w:tc>
        <w:tc>
          <w:tcPr>
            <w:tcW w:w="6911" w:type="dxa"/>
          </w:tcPr>
          <w:p w14:paraId="30CF36C9" w14:textId="63434630" w:rsidR="00831DB6" w:rsidRDefault="00831DB6" w:rsidP="00007DD0">
            <w:pPr>
              <w:ind w:left="173"/>
            </w:pPr>
            <w:r>
              <w:rPr>
                <w:lang w:eastAsia="ja-JP"/>
              </w:rPr>
              <w:t>Drug-drug interaction</w:t>
            </w:r>
          </w:p>
        </w:tc>
      </w:tr>
      <w:tr w:rsidR="00CA5626" w:rsidRPr="00FD119B" w14:paraId="2BCA2BCB" w14:textId="77777777" w:rsidTr="00FD119B">
        <w:tc>
          <w:tcPr>
            <w:tcW w:w="1809" w:type="dxa"/>
          </w:tcPr>
          <w:p w14:paraId="5FF6F0F9" w14:textId="77777777" w:rsidR="00CA5626" w:rsidRPr="00FD119B" w:rsidRDefault="00CA5626" w:rsidP="00007DD0">
            <w:pPr>
              <w:ind w:left="173"/>
            </w:pPr>
            <w:r>
              <w:t>DLP</w:t>
            </w:r>
          </w:p>
        </w:tc>
        <w:tc>
          <w:tcPr>
            <w:tcW w:w="6911" w:type="dxa"/>
          </w:tcPr>
          <w:p w14:paraId="1F877CC4" w14:textId="77777777" w:rsidR="00CA5626" w:rsidRPr="00FD119B" w:rsidRDefault="00CA5626" w:rsidP="00007DD0">
            <w:pPr>
              <w:ind w:left="173"/>
            </w:pPr>
            <w:r>
              <w:t>Data lock point</w:t>
            </w:r>
          </w:p>
        </w:tc>
      </w:tr>
      <w:tr w:rsidR="00CA5626" w:rsidRPr="00FD119B" w14:paraId="4BAC987B" w14:textId="77777777" w:rsidTr="00FD119B">
        <w:tc>
          <w:tcPr>
            <w:tcW w:w="1809" w:type="dxa"/>
          </w:tcPr>
          <w:p w14:paraId="05FED441" w14:textId="77777777" w:rsidR="00CA5626" w:rsidRPr="00FD119B" w:rsidRDefault="00CA5626" w:rsidP="00007DD0">
            <w:pPr>
              <w:ind w:left="173"/>
            </w:pPr>
            <w:r>
              <w:t>EAP</w:t>
            </w:r>
          </w:p>
        </w:tc>
        <w:tc>
          <w:tcPr>
            <w:tcW w:w="6911" w:type="dxa"/>
          </w:tcPr>
          <w:p w14:paraId="1C217C5C" w14:textId="71EB6C45" w:rsidR="00CA5626" w:rsidRPr="00FD119B" w:rsidRDefault="00CA5626" w:rsidP="00007DD0">
            <w:pPr>
              <w:ind w:left="173"/>
            </w:pPr>
            <w:r>
              <w:t>Extended access program</w:t>
            </w:r>
          </w:p>
        </w:tc>
      </w:tr>
      <w:tr w:rsidR="00CA5626" w:rsidRPr="00FD119B" w14:paraId="6712C244" w14:textId="77777777" w:rsidTr="00FD119B">
        <w:tc>
          <w:tcPr>
            <w:tcW w:w="1809" w:type="dxa"/>
          </w:tcPr>
          <w:p w14:paraId="37629654" w14:textId="77777777" w:rsidR="00CA5626" w:rsidRPr="00FD119B" w:rsidRDefault="00CA5626" w:rsidP="00007DD0">
            <w:pPr>
              <w:ind w:left="173"/>
            </w:pPr>
            <w:r>
              <w:t>EEG</w:t>
            </w:r>
          </w:p>
        </w:tc>
        <w:tc>
          <w:tcPr>
            <w:tcW w:w="6911" w:type="dxa"/>
          </w:tcPr>
          <w:p w14:paraId="5C2DE0B7" w14:textId="77777777" w:rsidR="00CA5626" w:rsidRPr="00FD119B" w:rsidRDefault="00CA5626" w:rsidP="00007DD0">
            <w:pPr>
              <w:ind w:left="173"/>
            </w:pPr>
            <w:r>
              <w:rPr>
                <w:lang w:eastAsia="ja-JP"/>
              </w:rPr>
              <w:t>Electroencephalogram</w:t>
            </w:r>
          </w:p>
        </w:tc>
      </w:tr>
      <w:tr w:rsidR="00CA5626" w:rsidRPr="00FD119B" w14:paraId="274166D6" w14:textId="77777777" w:rsidTr="00FD119B">
        <w:tc>
          <w:tcPr>
            <w:tcW w:w="1809" w:type="dxa"/>
          </w:tcPr>
          <w:p w14:paraId="55B39939" w14:textId="77777777" w:rsidR="00CA5626" w:rsidRPr="00FD119B" w:rsidRDefault="00CA5626" w:rsidP="00007DD0">
            <w:pPr>
              <w:ind w:left="173"/>
            </w:pPr>
            <w:r>
              <w:t>EIAED</w:t>
            </w:r>
          </w:p>
        </w:tc>
        <w:tc>
          <w:tcPr>
            <w:tcW w:w="6911" w:type="dxa"/>
          </w:tcPr>
          <w:p w14:paraId="6609F679" w14:textId="77777777" w:rsidR="00CA5626" w:rsidRPr="00FD119B" w:rsidRDefault="00CA5626" w:rsidP="00007DD0">
            <w:pPr>
              <w:ind w:left="173"/>
            </w:pPr>
            <w:r>
              <w:t>E</w:t>
            </w:r>
            <w:r w:rsidRPr="000E6A86">
              <w:t>nzyme-inducing antiepileptic drug</w:t>
            </w:r>
          </w:p>
        </w:tc>
      </w:tr>
      <w:tr w:rsidR="00CA5626" w:rsidRPr="00FD119B" w14:paraId="799DDFDD" w14:textId="77777777" w:rsidTr="00FD119B">
        <w:tc>
          <w:tcPr>
            <w:tcW w:w="1809" w:type="dxa"/>
          </w:tcPr>
          <w:p w14:paraId="1312E248" w14:textId="77777777" w:rsidR="00CA5626" w:rsidRPr="00FD119B" w:rsidRDefault="00CA5626" w:rsidP="00007DD0">
            <w:pPr>
              <w:ind w:left="173"/>
            </w:pPr>
            <w:r>
              <w:t>EMA</w:t>
            </w:r>
          </w:p>
        </w:tc>
        <w:tc>
          <w:tcPr>
            <w:tcW w:w="6911" w:type="dxa"/>
          </w:tcPr>
          <w:p w14:paraId="567FA305" w14:textId="6CAEF700" w:rsidR="00CA5626" w:rsidRPr="00FD119B" w:rsidRDefault="00CA5626" w:rsidP="00007DD0">
            <w:pPr>
              <w:ind w:left="173"/>
            </w:pPr>
            <w:r>
              <w:t>European Medicines Agency</w:t>
            </w:r>
            <w:r w:rsidR="00007DD0">
              <w:t xml:space="preserve"> (European Union)</w:t>
            </w:r>
          </w:p>
        </w:tc>
      </w:tr>
      <w:tr w:rsidR="00CA5626" w:rsidRPr="00FD119B" w14:paraId="794407E9" w14:textId="77777777" w:rsidTr="00FD119B">
        <w:tc>
          <w:tcPr>
            <w:tcW w:w="1809" w:type="dxa"/>
          </w:tcPr>
          <w:p w14:paraId="38A21473" w14:textId="77777777" w:rsidR="00CA5626" w:rsidRPr="00FD119B" w:rsidRDefault="00CA5626" w:rsidP="00007DD0">
            <w:pPr>
              <w:ind w:left="173"/>
            </w:pPr>
            <w:r>
              <w:t>EU</w:t>
            </w:r>
          </w:p>
        </w:tc>
        <w:tc>
          <w:tcPr>
            <w:tcW w:w="6911" w:type="dxa"/>
          </w:tcPr>
          <w:p w14:paraId="3CF760A9" w14:textId="77777777" w:rsidR="00CA5626" w:rsidRPr="00FD119B" w:rsidRDefault="00CA5626" w:rsidP="00007DD0">
            <w:pPr>
              <w:ind w:left="173"/>
            </w:pPr>
            <w:r>
              <w:t>European Union</w:t>
            </w:r>
          </w:p>
        </w:tc>
      </w:tr>
      <w:tr w:rsidR="00CA5626" w:rsidRPr="00FD119B" w14:paraId="2D24FF3F" w14:textId="77777777" w:rsidTr="00FD119B">
        <w:tc>
          <w:tcPr>
            <w:tcW w:w="1809" w:type="dxa"/>
          </w:tcPr>
          <w:p w14:paraId="41F071A7" w14:textId="77777777" w:rsidR="00CA5626" w:rsidRPr="00FD119B" w:rsidRDefault="00CA5626" w:rsidP="00007DD0">
            <w:pPr>
              <w:ind w:left="173"/>
            </w:pPr>
            <w:r>
              <w:t>FDA</w:t>
            </w:r>
          </w:p>
        </w:tc>
        <w:tc>
          <w:tcPr>
            <w:tcW w:w="6911" w:type="dxa"/>
          </w:tcPr>
          <w:p w14:paraId="4044DED2" w14:textId="66531AB4" w:rsidR="00CA5626" w:rsidRPr="00FD119B" w:rsidRDefault="00CA5626" w:rsidP="00007DD0">
            <w:pPr>
              <w:ind w:left="173"/>
            </w:pPr>
            <w:r>
              <w:t>Food and Drug Administration (United States</w:t>
            </w:r>
            <w:r w:rsidR="00DE15A1">
              <w:t xml:space="preserve"> of America</w:t>
            </w:r>
            <w:r>
              <w:t>)</w:t>
            </w:r>
          </w:p>
        </w:tc>
      </w:tr>
      <w:tr w:rsidR="00CA5626" w:rsidRPr="00FD119B" w14:paraId="62449F81" w14:textId="77777777" w:rsidTr="00FD119B">
        <w:tc>
          <w:tcPr>
            <w:tcW w:w="1809" w:type="dxa"/>
          </w:tcPr>
          <w:p w14:paraId="7F60EF5F" w14:textId="77777777" w:rsidR="00CA5626" w:rsidRPr="00FD119B" w:rsidRDefault="00CA5626" w:rsidP="00007DD0">
            <w:pPr>
              <w:ind w:left="173"/>
            </w:pPr>
            <w:r>
              <w:lastRenderedPageBreak/>
              <w:t>GTCS</w:t>
            </w:r>
          </w:p>
        </w:tc>
        <w:tc>
          <w:tcPr>
            <w:tcW w:w="6911" w:type="dxa"/>
          </w:tcPr>
          <w:p w14:paraId="44CC0766" w14:textId="7FB25B16" w:rsidR="00CA5626" w:rsidRPr="00FD119B" w:rsidRDefault="00CA5626" w:rsidP="00007DD0">
            <w:pPr>
              <w:ind w:left="173"/>
            </w:pPr>
            <w:r>
              <w:t>Generalised tonic clonic seizure</w:t>
            </w:r>
          </w:p>
        </w:tc>
      </w:tr>
      <w:tr w:rsidR="00CA5626" w:rsidRPr="00FD119B" w14:paraId="7FE26237" w14:textId="77777777" w:rsidTr="00FD119B">
        <w:tc>
          <w:tcPr>
            <w:tcW w:w="1809" w:type="dxa"/>
          </w:tcPr>
          <w:p w14:paraId="7DA814B1" w14:textId="77777777" w:rsidR="00CA5626" w:rsidRPr="00FD119B" w:rsidRDefault="00CA5626" w:rsidP="00007DD0">
            <w:pPr>
              <w:ind w:left="173"/>
            </w:pPr>
            <w:r>
              <w:t>GVP</w:t>
            </w:r>
          </w:p>
        </w:tc>
        <w:tc>
          <w:tcPr>
            <w:tcW w:w="6911" w:type="dxa"/>
          </w:tcPr>
          <w:p w14:paraId="342EBBAB" w14:textId="19F8E4D3" w:rsidR="00CA5626" w:rsidRPr="00FD119B" w:rsidRDefault="00CA5626" w:rsidP="00007DD0">
            <w:pPr>
              <w:ind w:left="173"/>
            </w:pPr>
            <w:r>
              <w:t>Good Pharmacovigilance Practices</w:t>
            </w:r>
          </w:p>
        </w:tc>
      </w:tr>
      <w:tr w:rsidR="00CA5626" w:rsidRPr="00FD119B" w14:paraId="19874629" w14:textId="77777777" w:rsidTr="00FD119B">
        <w:tc>
          <w:tcPr>
            <w:tcW w:w="1809" w:type="dxa"/>
          </w:tcPr>
          <w:p w14:paraId="2ADEC2AE" w14:textId="77777777" w:rsidR="00CA5626" w:rsidRPr="00FD119B" w:rsidRDefault="00CA5626" w:rsidP="00007DD0">
            <w:pPr>
              <w:ind w:left="173"/>
            </w:pPr>
            <w:r>
              <w:t>IGE</w:t>
            </w:r>
          </w:p>
        </w:tc>
        <w:tc>
          <w:tcPr>
            <w:tcW w:w="6911" w:type="dxa"/>
          </w:tcPr>
          <w:p w14:paraId="3EDF59DD" w14:textId="77777777" w:rsidR="00CA5626" w:rsidRPr="00FD119B" w:rsidRDefault="00CA5626" w:rsidP="00007DD0">
            <w:pPr>
              <w:ind w:left="173"/>
            </w:pPr>
            <w:r>
              <w:t>I</w:t>
            </w:r>
            <w:r w:rsidRPr="000440E8">
              <w:t>dio</w:t>
            </w:r>
            <w:r>
              <w:t>pathic generalised epilepsy</w:t>
            </w:r>
          </w:p>
        </w:tc>
      </w:tr>
      <w:tr w:rsidR="00CC1399" w:rsidRPr="00FD119B" w14:paraId="6773A488" w14:textId="77777777" w:rsidTr="00FD119B">
        <w:tc>
          <w:tcPr>
            <w:tcW w:w="1809" w:type="dxa"/>
          </w:tcPr>
          <w:p w14:paraId="1E81B925" w14:textId="2EC46DC4" w:rsidR="00CC1399" w:rsidRDefault="00CC1399" w:rsidP="00007DD0">
            <w:pPr>
              <w:ind w:left="173"/>
            </w:pPr>
            <w:r>
              <w:t>IGF</w:t>
            </w:r>
          </w:p>
        </w:tc>
        <w:tc>
          <w:tcPr>
            <w:tcW w:w="6911" w:type="dxa"/>
          </w:tcPr>
          <w:p w14:paraId="71A87A95" w14:textId="4733BF1F" w:rsidR="00CC1399" w:rsidRDefault="00CC1399" w:rsidP="00007DD0">
            <w:pPr>
              <w:ind w:left="173"/>
            </w:pPr>
            <w:r>
              <w:t>Insulin-like growth factor</w:t>
            </w:r>
          </w:p>
        </w:tc>
      </w:tr>
      <w:tr w:rsidR="00CC1399" w:rsidRPr="00FD119B" w14:paraId="6987C310" w14:textId="77777777" w:rsidTr="00FD119B">
        <w:tc>
          <w:tcPr>
            <w:tcW w:w="1809" w:type="dxa"/>
          </w:tcPr>
          <w:p w14:paraId="2AEA7D70" w14:textId="54477F8C" w:rsidR="00CC1399" w:rsidRDefault="00CC1399" w:rsidP="00007DD0">
            <w:pPr>
              <w:ind w:left="173"/>
            </w:pPr>
            <w:r>
              <w:t>IGF-1</w:t>
            </w:r>
          </w:p>
        </w:tc>
        <w:tc>
          <w:tcPr>
            <w:tcW w:w="6911" w:type="dxa"/>
          </w:tcPr>
          <w:p w14:paraId="00DAEB76" w14:textId="25FE6049" w:rsidR="00CC1399" w:rsidRDefault="00CC1399" w:rsidP="00007DD0">
            <w:pPr>
              <w:ind w:left="173"/>
            </w:pPr>
            <w:r>
              <w:t>Insulin-like growth factor-1</w:t>
            </w:r>
          </w:p>
        </w:tc>
      </w:tr>
      <w:tr w:rsidR="00CA5626" w:rsidRPr="00FD119B" w14:paraId="68B99A5E" w14:textId="77777777" w:rsidTr="00FD119B">
        <w:tc>
          <w:tcPr>
            <w:tcW w:w="1809" w:type="dxa"/>
          </w:tcPr>
          <w:p w14:paraId="759B4252" w14:textId="77777777" w:rsidR="00CA5626" w:rsidRPr="00FD119B" w:rsidRDefault="00CA5626" w:rsidP="00007DD0">
            <w:pPr>
              <w:ind w:left="173"/>
            </w:pPr>
            <w:r>
              <w:t>LOCF</w:t>
            </w:r>
          </w:p>
        </w:tc>
        <w:tc>
          <w:tcPr>
            <w:tcW w:w="6911" w:type="dxa"/>
          </w:tcPr>
          <w:p w14:paraId="604C432A" w14:textId="77777777" w:rsidR="00CA5626" w:rsidRPr="00FD119B" w:rsidRDefault="00CA5626" w:rsidP="00007DD0">
            <w:pPr>
              <w:ind w:left="173"/>
            </w:pPr>
            <w:r>
              <w:t>Last observation carried forward</w:t>
            </w:r>
          </w:p>
        </w:tc>
      </w:tr>
      <w:tr w:rsidR="00CA5626" w:rsidRPr="00FD119B" w14:paraId="73C9C201" w14:textId="77777777" w:rsidTr="00FD119B">
        <w:tc>
          <w:tcPr>
            <w:tcW w:w="1809" w:type="dxa"/>
          </w:tcPr>
          <w:p w14:paraId="3363E882" w14:textId="77777777" w:rsidR="00CA5626" w:rsidRPr="00FD119B" w:rsidRDefault="00CA5626" w:rsidP="00007DD0">
            <w:pPr>
              <w:ind w:left="173"/>
            </w:pPr>
            <w:r w:rsidRPr="00113BB8">
              <w:t>MedDRA</w:t>
            </w:r>
          </w:p>
        </w:tc>
        <w:tc>
          <w:tcPr>
            <w:tcW w:w="6911" w:type="dxa"/>
          </w:tcPr>
          <w:p w14:paraId="1ADB8D55" w14:textId="77777777" w:rsidR="00CA5626" w:rsidRPr="00FD119B" w:rsidRDefault="00CA5626" w:rsidP="00007DD0">
            <w:pPr>
              <w:ind w:left="173"/>
            </w:pPr>
            <w:r w:rsidRPr="00113BB8">
              <w:t>Medical Dictionary for Regulatory Activities</w:t>
            </w:r>
          </w:p>
        </w:tc>
      </w:tr>
      <w:tr w:rsidR="00CA5626" w:rsidRPr="00FD119B" w14:paraId="3C8394F5" w14:textId="77777777" w:rsidTr="00FD119B">
        <w:tc>
          <w:tcPr>
            <w:tcW w:w="1809" w:type="dxa"/>
          </w:tcPr>
          <w:p w14:paraId="1E248F2F" w14:textId="77777777" w:rsidR="00CA5626" w:rsidRPr="00FD119B" w:rsidRDefault="00CA5626" w:rsidP="00007DD0">
            <w:pPr>
              <w:ind w:left="173"/>
            </w:pPr>
            <w:r>
              <w:t>PD</w:t>
            </w:r>
          </w:p>
        </w:tc>
        <w:tc>
          <w:tcPr>
            <w:tcW w:w="6911" w:type="dxa"/>
          </w:tcPr>
          <w:p w14:paraId="7B95CA6C" w14:textId="77777777" w:rsidR="00CA5626" w:rsidRPr="00FD119B" w:rsidRDefault="00CA5626" w:rsidP="00007DD0">
            <w:pPr>
              <w:ind w:left="173"/>
            </w:pPr>
            <w:r>
              <w:t>Pharmacodynamic(s)</w:t>
            </w:r>
          </w:p>
        </w:tc>
      </w:tr>
      <w:tr w:rsidR="00CA5626" w:rsidRPr="00FD119B" w14:paraId="653E2019" w14:textId="77777777" w:rsidTr="00FD119B">
        <w:tc>
          <w:tcPr>
            <w:tcW w:w="1809" w:type="dxa"/>
          </w:tcPr>
          <w:p w14:paraId="1EF6616F" w14:textId="77777777" w:rsidR="00CA5626" w:rsidRPr="00FD119B" w:rsidRDefault="00CA5626" w:rsidP="00007DD0">
            <w:pPr>
              <w:ind w:left="173"/>
            </w:pPr>
            <w:r>
              <w:t>PGTC</w:t>
            </w:r>
          </w:p>
        </w:tc>
        <w:tc>
          <w:tcPr>
            <w:tcW w:w="6911" w:type="dxa"/>
          </w:tcPr>
          <w:p w14:paraId="6D049E69" w14:textId="77777777" w:rsidR="00CA5626" w:rsidRPr="00FD119B" w:rsidRDefault="00CA5626" w:rsidP="00007DD0">
            <w:pPr>
              <w:ind w:left="173"/>
            </w:pPr>
            <w:r>
              <w:t>P</w:t>
            </w:r>
            <w:r w:rsidRPr="000440E8">
              <w:t>rimary</w:t>
            </w:r>
            <w:r>
              <w:t xml:space="preserve"> generalised tonic-clonic</w:t>
            </w:r>
          </w:p>
        </w:tc>
      </w:tr>
      <w:tr w:rsidR="00CA5626" w:rsidRPr="00FD119B" w14:paraId="61E97325" w14:textId="77777777" w:rsidTr="00FD119B">
        <w:tc>
          <w:tcPr>
            <w:tcW w:w="1809" w:type="dxa"/>
          </w:tcPr>
          <w:p w14:paraId="1B6245F6" w14:textId="77777777" w:rsidR="00CA5626" w:rsidRPr="00FD119B" w:rsidRDefault="00CA5626" w:rsidP="00007DD0">
            <w:pPr>
              <w:ind w:left="173" w:right="0"/>
              <w:rPr>
                <w:color w:val="auto"/>
                <w:szCs w:val="22"/>
                <w:lang w:eastAsia="en-US"/>
              </w:rPr>
            </w:pPr>
            <w:r>
              <w:rPr>
                <w:color w:val="auto"/>
                <w:szCs w:val="22"/>
                <w:lang w:eastAsia="en-US"/>
              </w:rPr>
              <w:t>PGTCS</w:t>
            </w:r>
          </w:p>
        </w:tc>
        <w:tc>
          <w:tcPr>
            <w:tcW w:w="6911" w:type="dxa"/>
          </w:tcPr>
          <w:p w14:paraId="2422B0E8" w14:textId="163A26FA" w:rsidR="00CA5626" w:rsidRPr="00FD119B" w:rsidRDefault="00CA5626" w:rsidP="00007DD0">
            <w:pPr>
              <w:ind w:left="173" w:right="0"/>
              <w:rPr>
                <w:color w:val="auto"/>
                <w:szCs w:val="22"/>
                <w:lang w:eastAsia="en-US"/>
              </w:rPr>
            </w:pPr>
            <w:r w:rsidRPr="000440E8">
              <w:rPr>
                <w:color w:val="auto"/>
                <w:szCs w:val="22"/>
                <w:lang w:eastAsia="en-US"/>
              </w:rPr>
              <w:t>Primary generali</w:t>
            </w:r>
            <w:r>
              <w:rPr>
                <w:color w:val="auto"/>
                <w:szCs w:val="22"/>
                <w:lang w:eastAsia="en-US"/>
              </w:rPr>
              <w:t>sed tonic-clonic seizure</w:t>
            </w:r>
          </w:p>
        </w:tc>
      </w:tr>
      <w:tr w:rsidR="00CA5626" w:rsidRPr="00FD119B" w14:paraId="2B017136" w14:textId="77777777" w:rsidTr="00FD119B">
        <w:tc>
          <w:tcPr>
            <w:tcW w:w="1809" w:type="dxa"/>
          </w:tcPr>
          <w:p w14:paraId="53F33B7D" w14:textId="77777777" w:rsidR="00CA5626" w:rsidRPr="00FD119B" w:rsidRDefault="00CA5626" w:rsidP="00007DD0">
            <w:pPr>
              <w:ind w:left="173"/>
            </w:pPr>
            <w:r>
              <w:t>PI</w:t>
            </w:r>
          </w:p>
        </w:tc>
        <w:tc>
          <w:tcPr>
            <w:tcW w:w="6911" w:type="dxa"/>
          </w:tcPr>
          <w:p w14:paraId="353E1D93" w14:textId="77777777" w:rsidR="00CA5626" w:rsidRPr="00FD119B" w:rsidRDefault="00CA5626" w:rsidP="00007DD0">
            <w:pPr>
              <w:ind w:left="173"/>
            </w:pPr>
            <w:r>
              <w:t>Product Information</w:t>
            </w:r>
          </w:p>
        </w:tc>
      </w:tr>
      <w:tr w:rsidR="00CA5626" w:rsidRPr="00FD119B" w14:paraId="7407E1D1" w14:textId="77777777" w:rsidTr="00FD119B">
        <w:tc>
          <w:tcPr>
            <w:tcW w:w="1809" w:type="dxa"/>
          </w:tcPr>
          <w:p w14:paraId="7160F22A" w14:textId="77777777" w:rsidR="00CA5626" w:rsidRPr="00FD119B" w:rsidRDefault="00CA5626" w:rsidP="00007DD0">
            <w:pPr>
              <w:ind w:left="173"/>
            </w:pPr>
            <w:r>
              <w:t>PIP</w:t>
            </w:r>
          </w:p>
        </w:tc>
        <w:tc>
          <w:tcPr>
            <w:tcW w:w="6911" w:type="dxa"/>
          </w:tcPr>
          <w:p w14:paraId="2F373563" w14:textId="77777777" w:rsidR="00CA5626" w:rsidRPr="00FD119B" w:rsidRDefault="00CA5626" w:rsidP="00007DD0">
            <w:pPr>
              <w:ind w:left="173"/>
            </w:pPr>
            <w:r>
              <w:t>Paediatric Investigation Plan</w:t>
            </w:r>
          </w:p>
        </w:tc>
      </w:tr>
      <w:tr w:rsidR="00CA5626" w:rsidRPr="00FD119B" w14:paraId="5CA6F6E3" w14:textId="77777777" w:rsidTr="00FD119B">
        <w:tc>
          <w:tcPr>
            <w:tcW w:w="1809" w:type="dxa"/>
          </w:tcPr>
          <w:p w14:paraId="6D6EFA5F" w14:textId="77777777" w:rsidR="00CA5626" w:rsidRPr="00FD119B" w:rsidRDefault="00CA5626" w:rsidP="00007DD0">
            <w:pPr>
              <w:ind w:left="173"/>
            </w:pPr>
            <w:r>
              <w:t>PK</w:t>
            </w:r>
          </w:p>
        </w:tc>
        <w:tc>
          <w:tcPr>
            <w:tcW w:w="6911" w:type="dxa"/>
          </w:tcPr>
          <w:p w14:paraId="5587FAA2" w14:textId="77777777" w:rsidR="00CA5626" w:rsidRPr="00FD119B" w:rsidRDefault="00CA5626" w:rsidP="00007DD0">
            <w:pPr>
              <w:ind w:left="173"/>
            </w:pPr>
            <w:r>
              <w:t>Pharmacokinetic(s)</w:t>
            </w:r>
          </w:p>
        </w:tc>
      </w:tr>
      <w:tr w:rsidR="00CA5626" w:rsidRPr="00FD119B" w14:paraId="1F9ECC6A" w14:textId="77777777" w:rsidTr="00FD119B">
        <w:tc>
          <w:tcPr>
            <w:tcW w:w="1809" w:type="dxa"/>
          </w:tcPr>
          <w:p w14:paraId="0C5A3ABC" w14:textId="77777777" w:rsidR="00CA5626" w:rsidRPr="00FD119B" w:rsidRDefault="00CA5626" w:rsidP="00007DD0">
            <w:pPr>
              <w:ind w:left="173"/>
            </w:pPr>
            <w:r>
              <w:t>Pop PK</w:t>
            </w:r>
          </w:p>
        </w:tc>
        <w:tc>
          <w:tcPr>
            <w:tcW w:w="6911" w:type="dxa"/>
          </w:tcPr>
          <w:p w14:paraId="7C8BF0B8" w14:textId="77777777" w:rsidR="00CA5626" w:rsidRPr="00FD119B" w:rsidRDefault="00CA5626" w:rsidP="00007DD0">
            <w:pPr>
              <w:ind w:left="173"/>
            </w:pPr>
            <w:r>
              <w:t>Population PK</w:t>
            </w:r>
          </w:p>
        </w:tc>
      </w:tr>
      <w:tr w:rsidR="00CA5626" w:rsidRPr="00FD119B" w14:paraId="6BCF942E" w14:textId="77777777" w:rsidTr="00FD119B">
        <w:tc>
          <w:tcPr>
            <w:tcW w:w="1809" w:type="dxa"/>
          </w:tcPr>
          <w:p w14:paraId="2A14C4DE" w14:textId="77777777" w:rsidR="00CA5626" w:rsidRPr="00FD119B" w:rsidRDefault="00CA5626" w:rsidP="00007DD0">
            <w:pPr>
              <w:ind w:left="173" w:right="0"/>
              <w:rPr>
                <w:color w:val="auto"/>
                <w:szCs w:val="22"/>
                <w:lang w:eastAsia="en-US"/>
              </w:rPr>
            </w:pPr>
            <w:r>
              <w:rPr>
                <w:color w:val="auto"/>
                <w:szCs w:val="22"/>
                <w:lang w:eastAsia="en-US"/>
              </w:rPr>
              <w:t>POS</w:t>
            </w:r>
          </w:p>
        </w:tc>
        <w:tc>
          <w:tcPr>
            <w:tcW w:w="6911" w:type="dxa"/>
          </w:tcPr>
          <w:p w14:paraId="79D141A0" w14:textId="24E35791" w:rsidR="00CA5626" w:rsidRPr="00FD119B" w:rsidRDefault="00CA5626" w:rsidP="00007DD0">
            <w:pPr>
              <w:ind w:left="173" w:right="0"/>
              <w:rPr>
                <w:color w:val="auto"/>
                <w:szCs w:val="22"/>
                <w:lang w:eastAsia="en-US"/>
              </w:rPr>
            </w:pPr>
            <w:r>
              <w:rPr>
                <w:color w:val="auto"/>
                <w:szCs w:val="22"/>
                <w:lang w:eastAsia="en-US"/>
              </w:rPr>
              <w:t>Partial-onset seizure</w:t>
            </w:r>
          </w:p>
        </w:tc>
      </w:tr>
      <w:tr w:rsidR="00CA5626" w:rsidRPr="00FD119B" w14:paraId="2D74F17D" w14:textId="77777777" w:rsidTr="00FD119B">
        <w:tc>
          <w:tcPr>
            <w:tcW w:w="1809" w:type="dxa"/>
          </w:tcPr>
          <w:p w14:paraId="157488B2" w14:textId="77777777" w:rsidR="00CA5626" w:rsidRPr="00FD119B" w:rsidRDefault="00CA5626" w:rsidP="00007DD0">
            <w:pPr>
              <w:ind w:left="173"/>
            </w:pPr>
            <w:r>
              <w:t>PSUR</w:t>
            </w:r>
          </w:p>
        </w:tc>
        <w:tc>
          <w:tcPr>
            <w:tcW w:w="6911" w:type="dxa"/>
          </w:tcPr>
          <w:p w14:paraId="32ACE25E" w14:textId="77777777" w:rsidR="00CA5626" w:rsidRPr="00FD119B" w:rsidRDefault="00CA5626" w:rsidP="00007DD0">
            <w:pPr>
              <w:ind w:left="173"/>
            </w:pPr>
            <w:r>
              <w:t>Periodic safety update report</w:t>
            </w:r>
          </w:p>
        </w:tc>
      </w:tr>
      <w:tr w:rsidR="00CA5626" w:rsidRPr="00FD119B" w14:paraId="0A50A364" w14:textId="77777777" w:rsidTr="00FD119B">
        <w:tc>
          <w:tcPr>
            <w:tcW w:w="1809" w:type="dxa"/>
          </w:tcPr>
          <w:p w14:paraId="7A610ADE" w14:textId="77777777" w:rsidR="00CA5626" w:rsidRPr="00FD119B" w:rsidRDefault="00CA5626" w:rsidP="00007DD0">
            <w:pPr>
              <w:ind w:left="173"/>
            </w:pPr>
            <w:r>
              <w:t>RMP</w:t>
            </w:r>
          </w:p>
        </w:tc>
        <w:tc>
          <w:tcPr>
            <w:tcW w:w="6911" w:type="dxa"/>
          </w:tcPr>
          <w:p w14:paraId="77EAEB45" w14:textId="77777777" w:rsidR="00CA5626" w:rsidRPr="00FD119B" w:rsidRDefault="00CA5626" w:rsidP="00007DD0">
            <w:pPr>
              <w:ind w:left="173"/>
            </w:pPr>
            <w:r>
              <w:t>Risk management plan</w:t>
            </w:r>
          </w:p>
        </w:tc>
      </w:tr>
      <w:tr w:rsidR="00CA5626" w:rsidRPr="00FD119B" w14:paraId="3E2D29BE" w14:textId="77777777" w:rsidTr="00FD119B">
        <w:tc>
          <w:tcPr>
            <w:tcW w:w="1809" w:type="dxa"/>
          </w:tcPr>
          <w:p w14:paraId="5298E767" w14:textId="77777777" w:rsidR="00CA5626" w:rsidRPr="00FD119B" w:rsidRDefault="00CA5626" w:rsidP="00007DD0">
            <w:pPr>
              <w:ind w:left="173"/>
            </w:pPr>
            <w:r>
              <w:t>SAE</w:t>
            </w:r>
          </w:p>
        </w:tc>
        <w:tc>
          <w:tcPr>
            <w:tcW w:w="6911" w:type="dxa"/>
          </w:tcPr>
          <w:p w14:paraId="4EF23D79" w14:textId="77777777" w:rsidR="00CA5626" w:rsidRPr="00FD119B" w:rsidRDefault="00CA5626" w:rsidP="00007DD0">
            <w:pPr>
              <w:ind w:left="173"/>
            </w:pPr>
            <w:r>
              <w:t>Serious adverse event</w:t>
            </w:r>
          </w:p>
        </w:tc>
      </w:tr>
      <w:tr w:rsidR="00CA5626" w:rsidRPr="00FD119B" w14:paraId="0F9F00F8" w14:textId="77777777" w:rsidTr="00FD119B">
        <w:tc>
          <w:tcPr>
            <w:tcW w:w="1809" w:type="dxa"/>
          </w:tcPr>
          <w:p w14:paraId="65A72F3E" w14:textId="77777777" w:rsidR="00CA5626" w:rsidRPr="00FD119B" w:rsidRDefault="00CA5626" w:rsidP="00007DD0">
            <w:pPr>
              <w:ind w:left="173"/>
            </w:pPr>
            <w:r>
              <w:t>SCAR</w:t>
            </w:r>
          </w:p>
        </w:tc>
        <w:tc>
          <w:tcPr>
            <w:tcW w:w="6911" w:type="dxa"/>
          </w:tcPr>
          <w:p w14:paraId="59CC59D4" w14:textId="77777777" w:rsidR="00CA5626" w:rsidRPr="00FD119B" w:rsidRDefault="00CA5626" w:rsidP="00007DD0">
            <w:pPr>
              <w:ind w:left="173"/>
            </w:pPr>
            <w:r>
              <w:t>S</w:t>
            </w:r>
            <w:r w:rsidRPr="00BA5DB5">
              <w:t>evere cu</w:t>
            </w:r>
            <w:r>
              <w:t>taneous adverse reaction</w:t>
            </w:r>
          </w:p>
        </w:tc>
      </w:tr>
      <w:tr w:rsidR="00CA5626" w:rsidRPr="00FD119B" w14:paraId="5576EA5C" w14:textId="77777777" w:rsidTr="00FD119B">
        <w:tc>
          <w:tcPr>
            <w:tcW w:w="1809" w:type="dxa"/>
          </w:tcPr>
          <w:p w14:paraId="61F4F399" w14:textId="77777777" w:rsidR="00CA5626" w:rsidRPr="00FD119B" w:rsidRDefault="00CA5626" w:rsidP="00007DD0">
            <w:pPr>
              <w:ind w:left="173"/>
            </w:pPr>
            <w:r>
              <w:t>SD</w:t>
            </w:r>
          </w:p>
        </w:tc>
        <w:tc>
          <w:tcPr>
            <w:tcW w:w="6911" w:type="dxa"/>
          </w:tcPr>
          <w:p w14:paraId="0D3215B1" w14:textId="77777777" w:rsidR="00CA5626" w:rsidRPr="00FD119B" w:rsidRDefault="00CA5626" w:rsidP="00007DD0">
            <w:pPr>
              <w:ind w:left="173"/>
            </w:pPr>
            <w:r>
              <w:t>Standard deviation</w:t>
            </w:r>
          </w:p>
        </w:tc>
      </w:tr>
      <w:tr w:rsidR="00CA5626" w:rsidRPr="00FD119B" w14:paraId="202417BE" w14:textId="77777777" w:rsidTr="00FD119B">
        <w:tc>
          <w:tcPr>
            <w:tcW w:w="1809" w:type="dxa"/>
          </w:tcPr>
          <w:p w14:paraId="360DC7E8" w14:textId="7CB325A1" w:rsidR="00CA5626" w:rsidRDefault="00CA5626" w:rsidP="00007DD0">
            <w:pPr>
              <w:ind w:left="173"/>
            </w:pPr>
            <w:r>
              <w:t>SGTC</w:t>
            </w:r>
          </w:p>
        </w:tc>
        <w:tc>
          <w:tcPr>
            <w:tcW w:w="6911" w:type="dxa"/>
          </w:tcPr>
          <w:p w14:paraId="49BAD903" w14:textId="25408CB9" w:rsidR="00CA5626" w:rsidRDefault="00CA5626" w:rsidP="00007DD0">
            <w:pPr>
              <w:ind w:left="173"/>
            </w:pPr>
            <w:r>
              <w:t>S</w:t>
            </w:r>
            <w:r w:rsidRPr="00CA5626">
              <w:t>econdarily generalised tonic</w:t>
            </w:r>
            <w:r>
              <w:t>-clonic</w:t>
            </w:r>
          </w:p>
        </w:tc>
      </w:tr>
      <w:tr w:rsidR="00CA5626" w:rsidRPr="00FD119B" w14:paraId="307123AA" w14:textId="77777777" w:rsidTr="00FD119B">
        <w:tc>
          <w:tcPr>
            <w:tcW w:w="1809" w:type="dxa"/>
          </w:tcPr>
          <w:p w14:paraId="4E09BB11" w14:textId="77777777" w:rsidR="00CA5626" w:rsidRPr="00FD119B" w:rsidRDefault="00CA5626" w:rsidP="00007DD0">
            <w:pPr>
              <w:ind w:left="173"/>
            </w:pPr>
            <w:r>
              <w:t>SGTCS</w:t>
            </w:r>
          </w:p>
        </w:tc>
        <w:tc>
          <w:tcPr>
            <w:tcW w:w="6911" w:type="dxa"/>
          </w:tcPr>
          <w:p w14:paraId="665A4760" w14:textId="54B37080" w:rsidR="00CA5626" w:rsidRPr="00FD119B" w:rsidRDefault="00CA5626" w:rsidP="00007DD0">
            <w:pPr>
              <w:ind w:left="173"/>
            </w:pPr>
            <w:r>
              <w:rPr>
                <w:iCs/>
              </w:rPr>
              <w:t>Secondarily</w:t>
            </w:r>
            <w:r>
              <w:rPr>
                <w:i/>
                <w:iCs/>
              </w:rPr>
              <w:t xml:space="preserve"> </w:t>
            </w:r>
            <w:r>
              <w:t>generalised tonic-clonic seizure</w:t>
            </w:r>
          </w:p>
        </w:tc>
      </w:tr>
      <w:tr w:rsidR="00752F9C" w:rsidRPr="00FD119B" w14:paraId="29C41F55" w14:textId="77777777" w:rsidTr="00FD119B">
        <w:tc>
          <w:tcPr>
            <w:tcW w:w="1809" w:type="dxa"/>
          </w:tcPr>
          <w:p w14:paraId="47F75F3A" w14:textId="13220612" w:rsidR="00752F9C" w:rsidRDefault="00752F9C" w:rsidP="00007DD0">
            <w:pPr>
              <w:ind w:left="173"/>
            </w:pPr>
            <w:r w:rsidRPr="00A01945">
              <w:t>t</w:t>
            </w:r>
            <w:r w:rsidRPr="00AB0133">
              <w:rPr>
                <w:vertAlign w:val="subscript"/>
              </w:rPr>
              <w:t>½</w:t>
            </w:r>
          </w:p>
        </w:tc>
        <w:tc>
          <w:tcPr>
            <w:tcW w:w="6911" w:type="dxa"/>
          </w:tcPr>
          <w:p w14:paraId="780D1AA5" w14:textId="38477892" w:rsidR="00752F9C" w:rsidRDefault="00752F9C" w:rsidP="00007DD0">
            <w:pPr>
              <w:ind w:left="173"/>
              <w:rPr>
                <w:iCs/>
              </w:rPr>
            </w:pPr>
            <w:r>
              <w:t>Elimination half-life</w:t>
            </w:r>
          </w:p>
        </w:tc>
      </w:tr>
      <w:tr w:rsidR="00CA5626" w:rsidRPr="00FD119B" w14:paraId="546F35F5" w14:textId="77777777" w:rsidTr="00FD119B">
        <w:tc>
          <w:tcPr>
            <w:tcW w:w="1809" w:type="dxa"/>
          </w:tcPr>
          <w:p w14:paraId="7F71F8E9" w14:textId="77777777" w:rsidR="00CA5626" w:rsidRPr="00FD119B" w:rsidRDefault="00CA5626" w:rsidP="00007DD0">
            <w:pPr>
              <w:ind w:left="173"/>
            </w:pPr>
            <w:r>
              <w:t>TEAE</w:t>
            </w:r>
          </w:p>
        </w:tc>
        <w:tc>
          <w:tcPr>
            <w:tcW w:w="6911" w:type="dxa"/>
          </w:tcPr>
          <w:p w14:paraId="5266FFC6" w14:textId="77777777" w:rsidR="00CA5626" w:rsidRPr="00FD119B" w:rsidRDefault="00CA5626" w:rsidP="00007DD0">
            <w:pPr>
              <w:ind w:left="173"/>
            </w:pPr>
            <w:r>
              <w:t>Treatment emergent adverse event</w:t>
            </w:r>
          </w:p>
        </w:tc>
      </w:tr>
      <w:tr w:rsidR="00CA5626" w:rsidRPr="00FD119B" w14:paraId="6F091322" w14:textId="77777777" w:rsidTr="00FD119B">
        <w:tc>
          <w:tcPr>
            <w:tcW w:w="1809" w:type="dxa"/>
          </w:tcPr>
          <w:p w14:paraId="4975C87A" w14:textId="1512D0F4" w:rsidR="00CA5626" w:rsidRPr="00FD119B" w:rsidRDefault="00CA5626" w:rsidP="00007DD0">
            <w:pPr>
              <w:ind w:left="173"/>
            </w:pPr>
            <w:r>
              <w:t>US</w:t>
            </w:r>
            <w:r w:rsidR="00DE15A1">
              <w:t>(A)</w:t>
            </w:r>
          </w:p>
        </w:tc>
        <w:tc>
          <w:tcPr>
            <w:tcW w:w="6911" w:type="dxa"/>
          </w:tcPr>
          <w:p w14:paraId="4698CD4E" w14:textId="2530DFCF" w:rsidR="00CA5626" w:rsidRPr="00FD119B" w:rsidRDefault="00CA5626" w:rsidP="00007DD0">
            <w:pPr>
              <w:ind w:left="173"/>
            </w:pPr>
            <w:r>
              <w:t>United States</w:t>
            </w:r>
            <w:r w:rsidR="00DE15A1">
              <w:t xml:space="preserve"> (of America)</w:t>
            </w:r>
          </w:p>
        </w:tc>
      </w:tr>
    </w:tbl>
    <w:p w14:paraId="7F8C2782" w14:textId="77777777" w:rsidR="008E7846" w:rsidRDefault="00F53C07" w:rsidP="000A6FB2">
      <w:pPr>
        <w:pStyle w:val="Heading2"/>
        <w:pageBreakBefore/>
        <w:spacing w:before="0"/>
      </w:pPr>
      <w:bookmarkStart w:id="8" w:name="_Toc70347465"/>
      <w:r>
        <w:lastRenderedPageBreak/>
        <w:t>I.</w:t>
      </w:r>
      <w:r w:rsidR="008E7846">
        <w:t xml:space="preserve"> Introduction to product submission</w:t>
      </w:r>
      <w:bookmarkEnd w:id="8"/>
      <w:bookmarkEnd w:id="0"/>
      <w:bookmarkEnd w:id="2"/>
    </w:p>
    <w:p w14:paraId="3ED4A4EE" w14:textId="77777777" w:rsidR="008E7846" w:rsidRDefault="008E7846" w:rsidP="008E7846">
      <w:pPr>
        <w:pStyle w:val="Heading3"/>
        <w:rPr>
          <w:lang w:eastAsia="en-AU"/>
        </w:rPr>
      </w:pPr>
      <w:bookmarkStart w:id="9" w:name="_Toc247691502"/>
      <w:bookmarkStart w:id="10" w:name="_Toc314842483"/>
      <w:bookmarkStart w:id="11" w:name="_Toc70347466"/>
      <w:r>
        <w:rPr>
          <w:lang w:eastAsia="en-AU"/>
        </w:rPr>
        <w:t>Submission details</w:t>
      </w:r>
      <w:bookmarkEnd w:id="9"/>
      <w:bookmarkEnd w:id="10"/>
      <w:bookmarkEnd w:id="11"/>
    </w:p>
    <w:tbl>
      <w:tblPr>
        <w:tblW w:w="9214" w:type="dxa"/>
        <w:tblInd w:w="108" w:type="dxa"/>
        <w:tblLook w:val="01E0" w:firstRow="1" w:lastRow="1" w:firstColumn="1" w:lastColumn="1" w:noHBand="0" w:noVBand="0"/>
      </w:tblPr>
      <w:tblGrid>
        <w:gridCol w:w="2907"/>
        <w:gridCol w:w="6307"/>
      </w:tblGrid>
      <w:tr w:rsidR="008E7846" w:rsidRPr="003D1E62" w14:paraId="4E67AD11" w14:textId="77777777" w:rsidTr="003735BC">
        <w:tc>
          <w:tcPr>
            <w:tcW w:w="2907" w:type="dxa"/>
          </w:tcPr>
          <w:p w14:paraId="7EC81E4A"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5E3F094C" w14:textId="77777777" w:rsidR="008E7846" w:rsidRDefault="00773191" w:rsidP="001B5C90">
            <w:r>
              <w:t>Extension of indications</w:t>
            </w:r>
          </w:p>
          <w:p w14:paraId="335491BC" w14:textId="77777777" w:rsidR="00773191" w:rsidRPr="003D1E62" w:rsidRDefault="00773191" w:rsidP="001B5C90">
            <w:r>
              <w:t>New formulation</w:t>
            </w:r>
          </w:p>
        </w:tc>
      </w:tr>
      <w:tr w:rsidR="00460036" w:rsidRPr="003D1E62" w14:paraId="20DAB2DD" w14:textId="77777777" w:rsidTr="003735BC">
        <w:tc>
          <w:tcPr>
            <w:tcW w:w="2907" w:type="dxa"/>
          </w:tcPr>
          <w:p w14:paraId="7A6741DC" w14:textId="77777777" w:rsidR="00460036" w:rsidRPr="003D1E62" w:rsidRDefault="00EB25D8" w:rsidP="003D1E62">
            <w:pPr>
              <w:rPr>
                <w:i/>
              </w:rPr>
            </w:pPr>
            <w:r>
              <w:rPr>
                <w:i/>
              </w:rPr>
              <w:t>Product name</w:t>
            </w:r>
            <w:r w:rsidR="00460036" w:rsidRPr="00460036">
              <w:rPr>
                <w:i/>
              </w:rPr>
              <w:t>:</w:t>
            </w:r>
          </w:p>
        </w:tc>
        <w:tc>
          <w:tcPr>
            <w:tcW w:w="6307" w:type="dxa"/>
          </w:tcPr>
          <w:p w14:paraId="66568935" w14:textId="77777777" w:rsidR="00460036" w:rsidRPr="003D1E62" w:rsidRDefault="00773191" w:rsidP="00773191">
            <w:r>
              <w:t>Fycompa</w:t>
            </w:r>
          </w:p>
        </w:tc>
      </w:tr>
      <w:tr w:rsidR="00460036" w:rsidRPr="003D1E62" w14:paraId="191E2A28" w14:textId="77777777" w:rsidTr="003735BC">
        <w:tc>
          <w:tcPr>
            <w:tcW w:w="2907" w:type="dxa"/>
          </w:tcPr>
          <w:p w14:paraId="010C7E63" w14:textId="77777777" w:rsidR="00460036" w:rsidRPr="003D1E62" w:rsidRDefault="00EB25D8" w:rsidP="003D1E62">
            <w:pPr>
              <w:rPr>
                <w:i/>
              </w:rPr>
            </w:pPr>
            <w:r>
              <w:rPr>
                <w:i/>
              </w:rPr>
              <w:t>Active ingredient</w:t>
            </w:r>
            <w:r w:rsidR="00460036" w:rsidRPr="00460036">
              <w:rPr>
                <w:i/>
              </w:rPr>
              <w:t>:</w:t>
            </w:r>
          </w:p>
        </w:tc>
        <w:tc>
          <w:tcPr>
            <w:tcW w:w="6307" w:type="dxa"/>
          </w:tcPr>
          <w:p w14:paraId="575954FC" w14:textId="77777777" w:rsidR="00460036" w:rsidRPr="003D1E62" w:rsidRDefault="00773191" w:rsidP="001B5C90">
            <w:r>
              <w:t>P</w:t>
            </w:r>
            <w:r w:rsidRPr="00773191">
              <w:t>erampanel hemisesquihydrate</w:t>
            </w:r>
          </w:p>
        </w:tc>
      </w:tr>
      <w:tr w:rsidR="008E7846" w:rsidRPr="003D1E62" w14:paraId="70682B87" w14:textId="77777777" w:rsidTr="003735BC">
        <w:tc>
          <w:tcPr>
            <w:tcW w:w="2907" w:type="dxa"/>
          </w:tcPr>
          <w:p w14:paraId="354400F8" w14:textId="77777777" w:rsidR="008E7846" w:rsidRPr="003D1E62" w:rsidRDefault="008E7846" w:rsidP="003D1E62">
            <w:r w:rsidRPr="003D1E62">
              <w:rPr>
                <w:i/>
              </w:rPr>
              <w:t>Decision</w:t>
            </w:r>
            <w:r w:rsidRPr="003D1E62">
              <w:t>:</w:t>
            </w:r>
          </w:p>
        </w:tc>
        <w:tc>
          <w:tcPr>
            <w:tcW w:w="6307" w:type="dxa"/>
          </w:tcPr>
          <w:p w14:paraId="0CE60C07" w14:textId="77777777" w:rsidR="008E7846" w:rsidRPr="003D1E62" w:rsidRDefault="00DE5FE0" w:rsidP="00DE5FE0">
            <w:r>
              <w:t>Approved</w:t>
            </w:r>
          </w:p>
        </w:tc>
      </w:tr>
      <w:tr w:rsidR="008E7846" w:rsidRPr="003D1E62" w14:paraId="5CF0698A" w14:textId="77777777" w:rsidTr="003735BC">
        <w:tc>
          <w:tcPr>
            <w:tcW w:w="2907" w:type="dxa"/>
          </w:tcPr>
          <w:p w14:paraId="675AC2B7"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1FECDD3E" w14:textId="77777777" w:rsidR="008E7846" w:rsidRPr="003D1E62" w:rsidRDefault="00DE5FE0" w:rsidP="001B5C90">
            <w:r>
              <w:t>11 February 2021</w:t>
            </w:r>
          </w:p>
        </w:tc>
      </w:tr>
      <w:tr w:rsidR="00ED2922" w:rsidRPr="003D1E62" w14:paraId="53C30C13" w14:textId="77777777" w:rsidTr="003735BC">
        <w:tc>
          <w:tcPr>
            <w:tcW w:w="2907" w:type="dxa"/>
          </w:tcPr>
          <w:p w14:paraId="0E0DC10E" w14:textId="77777777" w:rsidR="00ED2922" w:rsidRPr="00441C3F" w:rsidRDefault="00ED2922" w:rsidP="001B5C90">
            <w:pPr>
              <w:rPr>
                <w:i/>
              </w:rPr>
            </w:pPr>
            <w:r w:rsidRPr="00441C3F">
              <w:rPr>
                <w:i/>
              </w:rPr>
              <w:t>Date of entry onto ARTG</w:t>
            </w:r>
            <w:r w:rsidR="00500337">
              <w:rPr>
                <w:i/>
              </w:rPr>
              <w:t>:</w:t>
            </w:r>
          </w:p>
        </w:tc>
        <w:tc>
          <w:tcPr>
            <w:tcW w:w="6307" w:type="dxa"/>
          </w:tcPr>
          <w:p w14:paraId="40B3FB78" w14:textId="77777777" w:rsidR="00ED2922" w:rsidRPr="00441C3F" w:rsidRDefault="00DE5FE0" w:rsidP="00D153D8">
            <w:pPr>
              <w:rPr>
                <w:i/>
              </w:rPr>
            </w:pPr>
            <w:r>
              <w:t>16 February 2021</w:t>
            </w:r>
          </w:p>
        </w:tc>
      </w:tr>
      <w:tr w:rsidR="00500337" w:rsidRPr="003D1E62" w14:paraId="0057FE88" w14:textId="77777777" w:rsidTr="003735BC">
        <w:tc>
          <w:tcPr>
            <w:tcW w:w="2907" w:type="dxa"/>
          </w:tcPr>
          <w:p w14:paraId="7CB31ACD" w14:textId="77777777" w:rsidR="00500337" w:rsidRPr="00441C3F" w:rsidRDefault="00EB25D8" w:rsidP="001B5C90">
            <w:pPr>
              <w:rPr>
                <w:i/>
              </w:rPr>
            </w:pPr>
            <w:r>
              <w:rPr>
                <w:i/>
              </w:rPr>
              <w:t>ARTG numbers</w:t>
            </w:r>
            <w:r w:rsidR="00500337">
              <w:rPr>
                <w:i/>
              </w:rPr>
              <w:t>:</w:t>
            </w:r>
          </w:p>
        </w:tc>
        <w:tc>
          <w:tcPr>
            <w:tcW w:w="6307" w:type="dxa"/>
          </w:tcPr>
          <w:p w14:paraId="7E182BDF" w14:textId="77777777" w:rsidR="00500337" w:rsidRPr="00441C3F" w:rsidRDefault="00DE5FE0" w:rsidP="00EC463D">
            <w:r w:rsidRPr="00DE5FE0">
              <w:t>207690, 207689, 207688, 207687, 207692, 207691</w:t>
            </w:r>
            <w:r>
              <w:t xml:space="preserve">, </w:t>
            </w:r>
            <w:r w:rsidRPr="00DE5FE0">
              <w:t>332505</w:t>
            </w:r>
          </w:p>
        </w:tc>
      </w:tr>
      <w:tr w:rsidR="003735BC" w:rsidRPr="003D1E62" w14:paraId="5A21C068" w14:textId="77777777" w:rsidTr="003735BC">
        <w:tc>
          <w:tcPr>
            <w:tcW w:w="2907" w:type="dxa"/>
          </w:tcPr>
          <w:p w14:paraId="4ACC45E7"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r w:rsidR="004C4FBE">
              <w:rPr>
                <w:i/>
              </w:rPr>
              <w:t>:</w:t>
            </w:r>
            <w:r w:rsidR="00460036">
              <w:rPr>
                <w:rStyle w:val="FootnoteReference"/>
                <w:i/>
              </w:rPr>
              <w:footnoteReference w:id="1"/>
            </w:r>
          </w:p>
        </w:tc>
        <w:tc>
          <w:tcPr>
            <w:tcW w:w="6307" w:type="dxa"/>
          </w:tcPr>
          <w:p w14:paraId="19A285FD" w14:textId="77777777" w:rsidR="003735BC" w:rsidRDefault="00EB25D8" w:rsidP="003735BC">
            <w:r>
              <w:t>Yes</w:t>
            </w:r>
          </w:p>
          <w:p w14:paraId="0AFAFF53" w14:textId="77777777" w:rsidR="003735BC" w:rsidRPr="00487162" w:rsidRDefault="003735BC" w:rsidP="003735BC">
            <w:r>
              <w:t>This product will remain in the scheme for 5 years, starting on the date the new indication was approved</w:t>
            </w:r>
          </w:p>
        </w:tc>
      </w:tr>
    </w:tbl>
    <w:p w14:paraId="5BDF4AE5" w14:textId="77777777" w:rsidR="008E7846" w:rsidRDefault="008E7846" w:rsidP="008E7846"/>
    <w:tbl>
      <w:tblPr>
        <w:tblW w:w="9214" w:type="dxa"/>
        <w:tblInd w:w="108" w:type="dxa"/>
        <w:tblLook w:val="01E0" w:firstRow="1" w:lastRow="1" w:firstColumn="1" w:lastColumn="1" w:noHBand="0" w:noVBand="0"/>
      </w:tblPr>
      <w:tblGrid>
        <w:gridCol w:w="2907"/>
        <w:gridCol w:w="6307"/>
      </w:tblGrid>
      <w:tr w:rsidR="008E7846" w:rsidRPr="00487162" w14:paraId="006CF127" w14:textId="77777777" w:rsidTr="00BF1190">
        <w:tc>
          <w:tcPr>
            <w:tcW w:w="2907" w:type="dxa"/>
          </w:tcPr>
          <w:p w14:paraId="2049095C"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2CF8E3EB" w14:textId="77777777" w:rsidR="00EB25D8" w:rsidRDefault="00EB25D8" w:rsidP="00EB25D8">
            <w:r>
              <w:t>Eisai Australia Pty Ltd</w:t>
            </w:r>
          </w:p>
          <w:p w14:paraId="634C6B83" w14:textId="77777777" w:rsidR="00EB25D8" w:rsidRDefault="00EB25D8" w:rsidP="00EB25D8">
            <w:r>
              <w:t>Level 2, 437 St Kilda Road</w:t>
            </w:r>
          </w:p>
          <w:p w14:paraId="05C562D3" w14:textId="77777777" w:rsidR="008E7846" w:rsidRPr="00487162" w:rsidRDefault="00EB25D8" w:rsidP="00EB25D8">
            <w:r>
              <w:t>Melbourne, VIC, 3004</w:t>
            </w:r>
          </w:p>
        </w:tc>
      </w:tr>
      <w:tr w:rsidR="008E7846" w:rsidRPr="00487162" w14:paraId="78F3A95E" w14:textId="77777777" w:rsidTr="00BF1190">
        <w:tc>
          <w:tcPr>
            <w:tcW w:w="2907" w:type="dxa"/>
          </w:tcPr>
          <w:p w14:paraId="6E6C16FE" w14:textId="77777777" w:rsidR="008E7846" w:rsidRPr="00487162" w:rsidRDefault="00EB25D8" w:rsidP="00E45619">
            <w:pPr>
              <w:rPr>
                <w:i/>
              </w:rPr>
            </w:pPr>
            <w:r>
              <w:rPr>
                <w:i/>
              </w:rPr>
              <w:t>Dose forms</w:t>
            </w:r>
            <w:r w:rsidR="001B5C90">
              <w:rPr>
                <w:i/>
              </w:rPr>
              <w:t>:</w:t>
            </w:r>
          </w:p>
        </w:tc>
        <w:tc>
          <w:tcPr>
            <w:tcW w:w="6307" w:type="dxa"/>
          </w:tcPr>
          <w:p w14:paraId="43BB0676" w14:textId="77777777" w:rsidR="008E7846" w:rsidRPr="00487162" w:rsidRDefault="00B0318A" w:rsidP="00E45619">
            <w:r>
              <w:t>Film coated tablets, oral suspension</w:t>
            </w:r>
          </w:p>
        </w:tc>
      </w:tr>
      <w:tr w:rsidR="008E7846" w:rsidRPr="00487162" w14:paraId="7B198BC8" w14:textId="77777777" w:rsidTr="00BF1190">
        <w:tc>
          <w:tcPr>
            <w:tcW w:w="2907" w:type="dxa"/>
          </w:tcPr>
          <w:p w14:paraId="36B56672" w14:textId="77777777" w:rsidR="008E7846" w:rsidRPr="00487162" w:rsidRDefault="00EB25D8" w:rsidP="00E45619">
            <w:pPr>
              <w:rPr>
                <w:i/>
              </w:rPr>
            </w:pPr>
            <w:r>
              <w:rPr>
                <w:i/>
              </w:rPr>
              <w:t>Strengths</w:t>
            </w:r>
            <w:r w:rsidR="00324E45">
              <w:rPr>
                <w:i/>
              </w:rPr>
              <w:t>:</w:t>
            </w:r>
          </w:p>
        </w:tc>
        <w:tc>
          <w:tcPr>
            <w:tcW w:w="6307" w:type="dxa"/>
          </w:tcPr>
          <w:p w14:paraId="68280172" w14:textId="0FA55AFE" w:rsidR="008E7846" w:rsidRDefault="00B0318A" w:rsidP="00E45619">
            <w:r w:rsidRPr="00B0318A">
              <w:t>2</w:t>
            </w:r>
            <w:r w:rsidR="00DE15A1">
              <w:t xml:space="preserve"> mg</w:t>
            </w:r>
            <w:r w:rsidRPr="00B0318A">
              <w:t>, 4</w:t>
            </w:r>
            <w:r w:rsidR="00DE15A1">
              <w:t xml:space="preserve"> mg</w:t>
            </w:r>
            <w:r w:rsidRPr="00B0318A">
              <w:t>, 6</w:t>
            </w:r>
            <w:r w:rsidR="00DE15A1">
              <w:t xml:space="preserve"> mg</w:t>
            </w:r>
            <w:r w:rsidRPr="00B0318A">
              <w:t>, 8</w:t>
            </w:r>
            <w:r w:rsidR="00DE15A1">
              <w:t xml:space="preserve"> mg</w:t>
            </w:r>
            <w:r w:rsidRPr="00B0318A">
              <w:t>, 10</w:t>
            </w:r>
            <w:r w:rsidR="00DE15A1">
              <w:t xml:space="preserve"> mg,</w:t>
            </w:r>
            <w:r w:rsidRPr="00B0318A">
              <w:t xml:space="preserve"> and 12 mg </w:t>
            </w:r>
            <w:r>
              <w:t>film</w:t>
            </w:r>
            <w:r w:rsidR="00DE15A1">
              <w:noBreakHyphen/>
            </w:r>
            <w:r>
              <w:t xml:space="preserve">coated </w:t>
            </w:r>
            <w:r w:rsidRPr="00B0318A">
              <w:t>tablets</w:t>
            </w:r>
          </w:p>
          <w:p w14:paraId="61CC710B" w14:textId="77777777" w:rsidR="00B0318A" w:rsidRPr="00487162" w:rsidRDefault="00B0318A" w:rsidP="00E45619">
            <w:r w:rsidRPr="00B0318A">
              <w:t>2</w:t>
            </w:r>
            <w:r>
              <w:t xml:space="preserve"> </w:t>
            </w:r>
            <w:r w:rsidRPr="00B0318A">
              <w:t>mg/4</w:t>
            </w:r>
            <w:r>
              <w:t xml:space="preserve"> </w:t>
            </w:r>
            <w:r w:rsidRPr="00B0318A">
              <w:t>mL oral suspension</w:t>
            </w:r>
          </w:p>
        </w:tc>
      </w:tr>
      <w:tr w:rsidR="008E7846" w:rsidRPr="00487162" w14:paraId="21E9C8F1" w14:textId="77777777" w:rsidTr="00BF1190">
        <w:tc>
          <w:tcPr>
            <w:tcW w:w="2907" w:type="dxa"/>
          </w:tcPr>
          <w:p w14:paraId="1E14813A" w14:textId="77777777" w:rsidR="008E7846" w:rsidRPr="00487162" w:rsidRDefault="00EB25D8" w:rsidP="00E45619">
            <w:pPr>
              <w:rPr>
                <w:i/>
              </w:rPr>
            </w:pPr>
            <w:r>
              <w:rPr>
                <w:i/>
              </w:rPr>
              <w:t>Containers</w:t>
            </w:r>
            <w:r w:rsidR="008E7846" w:rsidRPr="00487162">
              <w:rPr>
                <w:i/>
              </w:rPr>
              <w:t>:</w:t>
            </w:r>
          </w:p>
        </w:tc>
        <w:tc>
          <w:tcPr>
            <w:tcW w:w="6307" w:type="dxa"/>
          </w:tcPr>
          <w:p w14:paraId="13AE546E" w14:textId="77777777" w:rsidR="008E7846" w:rsidRPr="00487162" w:rsidRDefault="00EB25D8" w:rsidP="00E45619">
            <w:r>
              <w:t>Blister pack, bottle</w:t>
            </w:r>
          </w:p>
        </w:tc>
      </w:tr>
      <w:tr w:rsidR="008E7846" w:rsidRPr="00487162" w14:paraId="734255FD" w14:textId="77777777" w:rsidTr="00BF1190">
        <w:tc>
          <w:tcPr>
            <w:tcW w:w="2907" w:type="dxa"/>
          </w:tcPr>
          <w:p w14:paraId="20CE9C3F" w14:textId="77777777" w:rsidR="008E7846" w:rsidRPr="00487162" w:rsidRDefault="00EB25D8" w:rsidP="00E45619">
            <w:pPr>
              <w:rPr>
                <w:i/>
              </w:rPr>
            </w:pPr>
            <w:r>
              <w:rPr>
                <w:i/>
              </w:rPr>
              <w:t>Pack sizes</w:t>
            </w:r>
            <w:r w:rsidR="008E7846" w:rsidRPr="00487162">
              <w:rPr>
                <w:i/>
              </w:rPr>
              <w:t>:</w:t>
            </w:r>
          </w:p>
        </w:tc>
        <w:tc>
          <w:tcPr>
            <w:tcW w:w="6307" w:type="dxa"/>
          </w:tcPr>
          <w:p w14:paraId="314CD66F" w14:textId="14FAE69C" w:rsidR="008E7846" w:rsidRDefault="00EB25D8" w:rsidP="00E45619">
            <w:r>
              <w:t>2 mg film</w:t>
            </w:r>
            <w:r w:rsidR="00DE15A1">
              <w:noBreakHyphen/>
            </w:r>
            <w:r>
              <w:t>coated tablets: blisters of 7</w:t>
            </w:r>
            <w:r w:rsidR="00DE15A1">
              <w:t xml:space="preserve"> tablets</w:t>
            </w:r>
          </w:p>
          <w:p w14:paraId="6BCB26FB" w14:textId="54D3F792" w:rsidR="00EB25D8" w:rsidRDefault="00EB25D8" w:rsidP="00E45619">
            <w:r>
              <w:t>4 mg, 6 mg, 8 mg, 10 mg and 12 mg film</w:t>
            </w:r>
            <w:r w:rsidR="00DE15A1">
              <w:noBreakHyphen/>
            </w:r>
            <w:r>
              <w:t>coated tablets: blisters of 28</w:t>
            </w:r>
            <w:r w:rsidR="00DE15A1">
              <w:t xml:space="preserve"> tablets</w:t>
            </w:r>
          </w:p>
          <w:p w14:paraId="6BA35009" w14:textId="650DD680" w:rsidR="00EB25D8" w:rsidRPr="00487162" w:rsidRDefault="00FE5D2F" w:rsidP="00E45619">
            <w:r>
              <w:t>Oral suspension: one bottle</w:t>
            </w:r>
          </w:p>
        </w:tc>
      </w:tr>
      <w:tr w:rsidR="008E7846" w:rsidRPr="00487162" w14:paraId="2862A802" w14:textId="77777777" w:rsidTr="00BF1190">
        <w:tc>
          <w:tcPr>
            <w:tcW w:w="2907" w:type="dxa"/>
          </w:tcPr>
          <w:p w14:paraId="52E9BA54" w14:textId="77777777" w:rsidR="008E7846" w:rsidRPr="00487162" w:rsidRDefault="008E7846" w:rsidP="004C6771">
            <w:pPr>
              <w:keepNext/>
              <w:rPr>
                <w:i/>
              </w:rPr>
            </w:pPr>
            <w:r w:rsidRPr="00487162">
              <w:rPr>
                <w:i/>
              </w:rPr>
              <w:lastRenderedPageBreak/>
              <w:t xml:space="preserve">Approved </w:t>
            </w:r>
            <w:r w:rsidR="001B5C90">
              <w:rPr>
                <w:i/>
              </w:rPr>
              <w:t>t</w:t>
            </w:r>
            <w:r w:rsidRPr="00487162">
              <w:rPr>
                <w:i/>
              </w:rPr>
              <w:t>herapeutic use:</w:t>
            </w:r>
          </w:p>
        </w:tc>
        <w:tc>
          <w:tcPr>
            <w:tcW w:w="6307" w:type="dxa"/>
          </w:tcPr>
          <w:p w14:paraId="639DC18E" w14:textId="77777777" w:rsidR="00E0655A" w:rsidRPr="00E0655A" w:rsidRDefault="00E0655A" w:rsidP="004C6771">
            <w:pPr>
              <w:keepNext/>
              <w:keepLines/>
              <w:rPr>
                <w:i/>
              </w:rPr>
            </w:pPr>
            <w:r w:rsidRPr="00E0655A">
              <w:rPr>
                <w:i/>
              </w:rPr>
              <w:t>Fycompa is indicated for the adjunctive treatment of:</w:t>
            </w:r>
          </w:p>
          <w:p w14:paraId="361752BB" w14:textId="77777777" w:rsidR="00E0655A" w:rsidRPr="00E0655A" w:rsidRDefault="00E0655A" w:rsidP="004C6771">
            <w:pPr>
              <w:pStyle w:val="ListBullet"/>
              <w:keepNext/>
              <w:keepLines/>
              <w:numPr>
                <w:ilvl w:val="0"/>
                <w:numId w:val="3"/>
              </w:numPr>
              <w:rPr>
                <w:i/>
              </w:rPr>
            </w:pPr>
            <w:r w:rsidRPr="00E0655A">
              <w:rPr>
                <w:i/>
              </w:rPr>
              <w:t>Partial-onset seizures (POS) with or without secondarily generalised seizures in patients from 4 years of age with epilepsy.</w:t>
            </w:r>
          </w:p>
          <w:p w14:paraId="6B9E0640" w14:textId="4F6827A3" w:rsidR="008E7846" w:rsidRPr="00E0655A" w:rsidRDefault="00E0655A" w:rsidP="004C6771">
            <w:pPr>
              <w:pStyle w:val="ListBullet"/>
              <w:keepNext/>
              <w:keepLines/>
              <w:numPr>
                <w:ilvl w:val="0"/>
                <w:numId w:val="3"/>
              </w:numPr>
              <w:rPr>
                <w:i/>
              </w:rPr>
            </w:pPr>
            <w:r w:rsidRPr="00E0655A">
              <w:rPr>
                <w:i/>
              </w:rPr>
              <w:t>Primary generalised tonic-clonic seizures (PGTCS) in patients from 7 years of age with idiopathic generalised epilepsy.</w:t>
            </w:r>
          </w:p>
        </w:tc>
      </w:tr>
      <w:tr w:rsidR="008E7846" w:rsidRPr="00487162" w14:paraId="455F6B1C" w14:textId="77777777" w:rsidTr="00BF1190">
        <w:tc>
          <w:tcPr>
            <w:tcW w:w="2907" w:type="dxa"/>
          </w:tcPr>
          <w:p w14:paraId="6BD417C9" w14:textId="77777777" w:rsidR="008E7846" w:rsidRPr="00487162" w:rsidRDefault="00EB25D8" w:rsidP="00E45619">
            <w:pPr>
              <w:rPr>
                <w:i/>
              </w:rPr>
            </w:pPr>
            <w:r>
              <w:rPr>
                <w:i/>
              </w:rPr>
              <w:t>Route</w:t>
            </w:r>
            <w:r w:rsidR="008E7846" w:rsidRPr="00487162">
              <w:rPr>
                <w:i/>
              </w:rPr>
              <w:t xml:space="preserve"> of administration:</w:t>
            </w:r>
          </w:p>
        </w:tc>
        <w:tc>
          <w:tcPr>
            <w:tcW w:w="6307" w:type="dxa"/>
          </w:tcPr>
          <w:p w14:paraId="42A169AA" w14:textId="77777777" w:rsidR="008E7846" w:rsidRPr="00487162" w:rsidRDefault="00EB25D8" w:rsidP="00E45619">
            <w:r>
              <w:t>Oral</w:t>
            </w:r>
          </w:p>
        </w:tc>
      </w:tr>
      <w:tr w:rsidR="008E7846" w:rsidRPr="00487162" w14:paraId="0AAC5562" w14:textId="77777777" w:rsidTr="00BF1190">
        <w:tc>
          <w:tcPr>
            <w:tcW w:w="2907" w:type="dxa"/>
          </w:tcPr>
          <w:p w14:paraId="789CEE88" w14:textId="77777777" w:rsidR="008E7846" w:rsidRPr="00487162" w:rsidRDefault="008E7846" w:rsidP="00E45619">
            <w:pPr>
              <w:rPr>
                <w:i/>
              </w:rPr>
            </w:pPr>
            <w:r w:rsidRPr="00487162">
              <w:rPr>
                <w:i/>
              </w:rPr>
              <w:t>Dosage:</w:t>
            </w:r>
          </w:p>
        </w:tc>
        <w:tc>
          <w:tcPr>
            <w:tcW w:w="6307" w:type="dxa"/>
          </w:tcPr>
          <w:p w14:paraId="3777BDAF" w14:textId="77777777" w:rsidR="00EB25D8" w:rsidRDefault="00EB25D8" w:rsidP="00EB25D8">
            <w:r>
              <w:t>Fycompa must be titrated, according to individual patient response, in order to optimise the balance between efficacy and tolerability. Fycompa should be taken orally once daily at bedtime.</w:t>
            </w:r>
          </w:p>
          <w:p w14:paraId="07B4BA2B" w14:textId="1823782D" w:rsidR="008E7846" w:rsidRDefault="00EB25D8" w:rsidP="00EB25D8">
            <w:r>
              <w:t xml:space="preserve">The physician should prescribe the most appropriate formulation and strength according to weight and dose. Alternate formulations of perampanel are available, including </w:t>
            </w:r>
            <w:r w:rsidR="00DE15A1">
              <w:t xml:space="preserve">an </w:t>
            </w:r>
            <w:r>
              <w:t>oral suspension.</w:t>
            </w:r>
          </w:p>
          <w:p w14:paraId="3B56C40F" w14:textId="77777777" w:rsidR="00460036" w:rsidRPr="00487162" w:rsidRDefault="00460036" w:rsidP="00E45619">
            <w:r w:rsidRPr="00460036">
              <w:t>For further information regarding dosage, refer to the Product Information.</w:t>
            </w:r>
          </w:p>
        </w:tc>
      </w:tr>
      <w:tr w:rsidR="00460036" w:rsidRPr="00487162" w14:paraId="41A5C527" w14:textId="77777777" w:rsidTr="00BF1190">
        <w:tc>
          <w:tcPr>
            <w:tcW w:w="2907" w:type="dxa"/>
          </w:tcPr>
          <w:p w14:paraId="10545397" w14:textId="77777777" w:rsidR="00460036" w:rsidRPr="00487162" w:rsidRDefault="00460036" w:rsidP="00E45619">
            <w:pPr>
              <w:rPr>
                <w:i/>
              </w:rPr>
            </w:pPr>
            <w:r w:rsidRPr="00460036">
              <w:rPr>
                <w:i/>
              </w:rPr>
              <w:t>Pregnancy category</w:t>
            </w:r>
            <w:r>
              <w:rPr>
                <w:i/>
              </w:rPr>
              <w:t>:</w:t>
            </w:r>
          </w:p>
        </w:tc>
        <w:tc>
          <w:tcPr>
            <w:tcW w:w="6307" w:type="dxa"/>
          </w:tcPr>
          <w:p w14:paraId="0E178A2C" w14:textId="77777777" w:rsidR="00EB25D8" w:rsidRDefault="00EB25D8" w:rsidP="00EB25D8">
            <w:r>
              <w:t>B3</w:t>
            </w:r>
          </w:p>
          <w:p w14:paraId="381C63F2" w14:textId="77777777" w:rsidR="00EB25D8" w:rsidRDefault="00EB25D8" w:rsidP="00EB25D8">
            <w:r>
              <w:t>Drugs which have been taken by only a limited number of pregnant women and women of childbearing age, without an increase in the frequency of malformation or other direct or indirect harmful effects on the human fetus having been observed.</w:t>
            </w:r>
          </w:p>
          <w:p w14:paraId="343309F7" w14:textId="77777777" w:rsidR="00EB25D8" w:rsidRDefault="00EB25D8" w:rsidP="00EB25D8">
            <w:r>
              <w:t xml:space="preserve">Studies in animals have shown evidence of an increased occurrence of fetal damage, the significance of which </w:t>
            </w:r>
            <w:proofErr w:type="gramStart"/>
            <w:r>
              <w:t>is considered</w:t>
            </w:r>
            <w:proofErr w:type="gramEnd"/>
            <w:r>
              <w:t xml:space="preserve"> uncertain in humans.</w:t>
            </w:r>
          </w:p>
          <w:p w14:paraId="25121469" w14:textId="77777777" w:rsidR="00460036" w:rsidRPr="00487162" w:rsidRDefault="00460036" w:rsidP="00EB25D8">
            <w:r>
              <w:t xml:space="preserve">The use of any medicine during pregnancy requires careful consideration of both risks and benefits by the treating health professional. This </w:t>
            </w:r>
            <w:proofErr w:type="gramStart"/>
            <w:r>
              <w:t>must not be used</w:t>
            </w:r>
            <w:proofErr w:type="gramEnd"/>
            <w:r>
              <w:t xml:space="preserve">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0F894E2D" w14:textId="77777777" w:rsidR="008E7846" w:rsidRDefault="008E7846" w:rsidP="004C6771">
      <w:pPr>
        <w:pStyle w:val="Heading3"/>
      </w:pPr>
      <w:bookmarkStart w:id="12" w:name="_Toc247691503"/>
      <w:bookmarkStart w:id="13" w:name="_Toc314842484"/>
      <w:bookmarkStart w:id="14" w:name="_Toc70347467"/>
      <w:r>
        <w:lastRenderedPageBreak/>
        <w:t>Product background</w:t>
      </w:r>
      <w:bookmarkEnd w:id="12"/>
      <w:bookmarkEnd w:id="13"/>
      <w:bookmarkEnd w:id="14"/>
    </w:p>
    <w:p w14:paraId="2188C222" w14:textId="3472751F" w:rsidR="008E7846" w:rsidRDefault="00250271" w:rsidP="004C6771">
      <w:pPr>
        <w:keepNext/>
      </w:pPr>
      <w:r w:rsidRPr="00250271">
        <w:t>This AusPA</w:t>
      </w:r>
      <w:r w:rsidR="00EB25D8">
        <w:t>R describes the application by Eisai Australia Pty Ltd</w:t>
      </w:r>
      <w:r w:rsidRPr="00250271">
        <w:t xml:space="preserve"> (the sponsor) to register </w:t>
      </w:r>
      <w:r w:rsidR="00B0318A">
        <w:t>Fycompa (</w:t>
      </w:r>
      <w:r w:rsidR="00EB25D8">
        <w:t>p</w:t>
      </w:r>
      <w:r w:rsidR="00EB25D8" w:rsidRPr="00773191">
        <w:t>erampanel hemisesquihydrate</w:t>
      </w:r>
      <w:r w:rsidR="00B0318A">
        <w:t>)</w:t>
      </w:r>
      <w:r w:rsidRPr="00250271">
        <w:t xml:space="preserve"> </w:t>
      </w:r>
      <w:r w:rsidR="00E0655A" w:rsidRPr="00B0318A">
        <w:t>2</w:t>
      </w:r>
      <w:r w:rsidR="00DE15A1">
        <w:t xml:space="preserve"> mg</w:t>
      </w:r>
      <w:r w:rsidR="00E0655A" w:rsidRPr="00B0318A">
        <w:t>, 4</w:t>
      </w:r>
      <w:r w:rsidR="00DE15A1">
        <w:t xml:space="preserve"> mg</w:t>
      </w:r>
      <w:r w:rsidR="00E0655A" w:rsidRPr="00B0318A">
        <w:t>, 6</w:t>
      </w:r>
      <w:r w:rsidR="00DE15A1">
        <w:t xml:space="preserve"> mg</w:t>
      </w:r>
      <w:r w:rsidR="00E0655A" w:rsidRPr="00B0318A">
        <w:t>, 8</w:t>
      </w:r>
      <w:r w:rsidR="00DE15A1">
        <w:t xml:space="preserve"> mg</w:t>
      </w:r>
      <w:r w:rsidR="00E0655A" w:rsidRPr="00B0318A">
        <w:t>, 10</w:t>
      </w:r>
      <w:r w:rsidR="00DE15A1">
        <w:t xml:space="preserve"> mg,</w:t>
      </w:r>
      <w:r w:rsidR="00E0655A" w:rsidRPr="00B0318A">
        <w:t xml:space="preserve"> and 12 mg </w:t>
      </w:r>
      <w:r w:rsidR="00E0655A">
        <w:t>film</w:t>
      </w:r>
      <w:r w:rsidR="00DE15A1">
        <w:noBreakHyphen/>
      </w:r>
      <w:r w:rsidR="00E0655A">
        <w:t xml:space="preserve">coated </w:t>
      </w:r>
      <w:r w:rsidR="00E0655A" w:rsidRPr="00B0318A">
        <w:t>tablets</w:t>
      </w:r>
      <w:r w:rsidR="00E0655A" w:rsidRPr="00250271">
        <w:t xml:space="preserve"> </w:t>
      </w:r>
      <w:r w:rsidRPr="00250271">
        <w:t>for the following proposed extension of indications</w:t>
      </w:r>
      <w:r w:rsidR="00B0318A">
        <w:t xml:space="preserve"> in the paediatric population</w:t>
      </w:r>
      <w:r w:rsidR="00CF5DAD">
        <w:t>:</w:t>
      </w:r>
    </w:p>
    <w:p w14:paraId="168C4528" w14:textId="77777777" w:rsidR="00B0318A" w:rsidRPr="00B0318A" w:rsidRDefault="00B0318A" w:rsidP="004C6771">
      <w:pPr>
        <w:keepNext/>
        <w:ind w:left="360"/>
        <w:rPr>
          <w:i/>
        </w:rPr>
      </w:pPr>
      <w:r w:rsidRPr="00B0318A">
        <w:rPr>
          <w:i/>
        </w:rPr>
        <w:t>Partial onset (focal) seizures with or without secondary generalisation</w:t>
      </w:r>
    </w:p>
    <w:p w14:paraId="1E45C8DB" w14:textId="4A771845" w:rsidR="00B0318A" w:rsidRPr="00B0318A" w:rsidRDefault="00B0318A" w:rsidP="004C6771">
      <w:pPr>
        <w:pStyle w:val="ListBullet"/>
        <w:keepNext/>
        <w:ind w:left="720"/>
        <w:rPr>
          <w:i/>
        </w:rPr>
      </w:pPr>
      <w:r w:rsidRPr="00B0318A">
        <w:rPr>
          <w:i/>
        </w:rPr>
        <w:t xml:space="preserve">Fycompa is indicated for adjunctive treatment in paediatric patients from </w:t>
      </w:r>
      <w:proofErr w:type="gramStart"/>
      <w:r w:rsidRPr="00B0318A">
        <w:rPr>
          <w:i/>
        </w:rPr>
        <w:t>2</w:t>
      </w:r>
      <w:proofErr w:type="gramEnd"/>
      <w:r w:rsidRPr="00B0318A">
        <w:rPr>
          <w:i/>
        </w:rPr>
        <w:t xml:space="preserve"> to 11</w:t>
      </w:r>
      <w:r w:rsidR="00DE15A1">
        <w:rPr>
          <w:i/>
        </w:rPr>
        <w:t> </w:t>
      </w:r>
      <w:r w:rsidRPr="00B0318A">
        <w:rPr>
          <w:i/>
        </w:rPr>
        <w:t>years of age with epilepsy.</w:t>
      </w:r>
    </w:p>
    <w:p w14:paraId="76372B4F" w14:textId="77777777" w:rsidR="00B0318A" w:rsidRPr="00B0318A" w:rsidRDefault="00B0318A" w:rsidP="004C6771">
      <w:pPr>
        <w:keepNext/>
        <w:ind w:left="357"/>
        <w:rPr>
          <w:i/>
        </w:rPr>
      </w:pPr>
      <w:r w:rsidRPr="00B0318A">
        <w:rPr>
          <w:i/>
        </w:rPr>
        <w:t>Primary generalised tonic clonic seizures</w:t>
      </w:r>
    </w:p>
    <w:p w14:paraId="3D8566EB" w14:textId="2C77F575" w:rsidR="00B0318A" w:rsidRPr="00B0318A" w:rsidRDefault="00B0318A" w:rsidP="00B0318A">
      <w:pPr>
        <w:pStyle w:val="ListBullet"/>
        <w:ind w:left="720"/>
        <w:rPr>
          <w:i/>
        </w:rPr>
      </w:pPr>
      <w:r w:rsidRPr="00B0318A">
        <w:rPr>
          <w:i/>
        </w:rPr>
        <w:t>Fycompa is indicated for adjunctive treatment in paediatric patients from 2 to 11</w:t>
      </w:r>
      <w:r w:rsidR="00DE15A1">
        <w:rPr>
          <w:i/>
        </w:rPr>
        <w:t> </w:t>
      </w:r>
      <w:r w:rsidRPr="00B0318A">
        <w:rPr>
          <w:i/>
        </w:rPr>
        <w:t>years of age with idiopathic generalised epilepsy</w:t>
      </w:r>
    </w:p>
    <w:p w14:paraId="41CA0A88" w14:textId="520917A6" w:rsidR="00B0318A" w:rsidRDefault="00B0318A" w:rsidP="00250271">
      <w:r>
        <w:t>The sponsor also sought to register a new oral suspension dosage form (</w:t>
      </w:r>
      <w:r w:rsidRPr="00B0318A">
        <w:t>2</w:t>
      </w:r>
      <w:r>
        <w:t xml:space="preserve"> </w:t>
      </w:r>
      <w:r w:rsidRPr="00B0318A">
        <w:t>mg/4</w:t>
      </w:r>
      <w:r>
        <w:t xml:space="preserve"> </w:t>
      </w:r>
      <w:r w:rsidRPr="00B0318A">
        <w:t>mL oral suspension</w:t>
      </w:r>
      <w:r>
        <w:t xml:space="preserve">) for the following indications (identical to the </w:t>
      </w:r>
      <w:proofErr w:type="gramStart"/>
      <w:r>
        <w:t>full proposed</w:t>
      </w:r>
      <w:proofErr w:type="gramEnd"/>
      <w:r>
        <w:t xml:space="preserve"> indications for the </w:t>
      </w:r>
      <w:r w:rsidR="00E0655A">
        <w:t xml:space="preserve">film coated </w:t>
      </w:r>
      <w:r>
        <w:t>tablet dosage form):</w:t>
      </w:r>
    </w:p>
    <w:p w14:paraId="7F02CFFB" w14:textId="77777777" w:rsidR="00B0318A" w:rsidRPr="00B0318A" w:rsidRDefault="00B0318A" w:rsidP="00B0318A">
      <w:pPr>
        <w:ind w:left="360"/>
        <w:rPr>
          <w:i/>
        </w:rPr>
      </w:pPr>
      <w:r w:rsidRPr="00B0318A">
        <w:rPr>
          <w:i/>
        </w:rPr>
        <w:t>Partial onset (focal) seizures with or without secondary generalisation</w:t>
      </w:r>
    </w:p>
    <w:p w14:paraId="29F1C273" w14:textId="77777777" w:rsidR="00B0318A" w:rsidRPr="00B0318A" w:rsidRDefault="00B0318A" w:rsidP="00B0318A">
      <w:pPr>
        <w:pStyle w:val="ListBullet"/>
        <w:numPr>
          <w:ilvl w:val="0"/>
          <w:numId w:val="3"/>
        </w:numPr>
        <w:ind w:left="720"/>
        <w:rPr>
          <w:i/>
        </w:rPr>
      </w:pPr>
      <w:r w:rsidRPr="00B0318A">
        <w:rPr>
          <w:i/>
        </w:rPr>
        <w:t xml:space="preserve">Fycompa </w:t>
      </w:r>
      <w:proofErr w:type="gramStart"/>
      <w:r w:rsidRPr="00B0318A">
        <w:rPr>
          <w:i/>
        </w:rPr>
        <w:t>is indicated</w:t>
      </w:r>
      <w:proofErr w:type="gramEnd"/>
      <w:r w:rsidRPr="00B0318A">
        <w:rPr>
          <w:i/>
        </w:rPr>
        <w:t xml:space="preserve"> for adjunctive treatment in adult and adolescent patients from 12 years of age with epilepsy.</w:t>
      </w:r>
    </w:p>
    <w:p w14:paraId="3ABD8FC4" w14:textId="7E08DFF9" w:rsidR="00B0318A" w:rsidRPr="00B0318A" w:rsidRDefault="00B0318A" w:rsidP="00B0318A">
      <w:pPr>
        <w:pStyle w:val="ListBullet"/>
        <w:numPr>
          <w:ilvl w:val="0"/>
          <w:numId w:val="3"/>
        </w:numPr>
        <w:ind w:left="720"/>
        <w:rPr>
          <w:i/>
        </w:rPr>
      </w:pPr>
      <w:r w:rsidRPr="00B0318A">
        <w:rPr>
          <w:i/>
        </w:rPr>
        <w:t xml:space="preserve">Fycompa is indicated for adjunctive treatment in paediatric patients from </w:t>
      </w:r>
      <w:proofErr w:type="gramStart"/>
      <w:r w:rsidRPr="00B0318A">
        <w:rPr>
          <w:i/>
        </w:rPr>
        <w:t>2</w:t>
      </w:r>
      <w:proofErr w:type="gramEnd"/>
      <w:r w:rsidRPr="00B0318A">
        <w:rPr>
          <w:i/>
        </w:rPr>
        <w:t xml:space="preserve"> to 11</w:t>
      </w:r>
      <w:r w:rsidR="00DE15A1">
        <w:rPr>
          <w:i/>
        </w:rPr>
        <w:t> </w:t>
      </w:r>
      <w:r w:rsidRPr="00B0318A">
        <w:rPr>
          <w:i/>
        </w:rPr>
        <w:t>years of age with epilepsy.</w:t>
      </w:r>
    </w:p>
    <w:p w14:paraId="154131D1" w14:textId="77777777" w:rsidR="00B0318A" w:rsidRPr="00B0318A" w:rsidRDefault="00B0318A" w:rsidP="00B0318A">
      <w:pPr>
        <w:ind w:left="360"/>
        <w:rPr>
          <w:i/>
        </w:rPr>
      </w:pPr>
      <w:r w:rsidRPr="00B0318A">
        <w:rPr>
          <w:i/>
        </w:rPr>
        <w:t>Primary generalised tonic clonic seizures</w:t>
      </w:r>
    </w:p>
    <w:p w14:paraId="0120C9B7" w14:textId="77777777" w:rsidR="00B0318A" w:rsidRPr="00B0318A" w:rsidRDefault="00B0318A" w:rsidP="00B0318A">
      <w:pPr>
        <w:pStyle w:val="ListBullet"/>
        <w:numPr>
          <w:ilvl w:val="0"/>
          <w:numId w:val="3"/>
        </w:numPr>
        <w:ind w:left="720"/>
        <w:rPr>
          <w:i/>
        </w:rPr>
      </w:pPr>
      <w:r w:rsidRPr="00B0318A">
        <w:rPr>
          <w:i/>
        </w:rPr>
        <w:t xml:space="preserve">Fycompa </w:t>
      </w:r>
      <w:proofErr w:type="gramStart"/>
      <w:r w:rsidRPr="00B0318A">
        <w:rPr>
          <w:i/>
        </w:rPr>
        <w:t>is indicated</w:t>
      </w:r>
      <w:proofErr w:type="gramEnd"/>
      <w:r w:rsidRPr="00B0318A">
        <w:rPr>
          <w:i/>
        </w:rPr>
        <w:t xml:space="preserve"> for adjunctive treatment in adult and adolescent patients from 12 years of age with idiopathic generalised epilepsy.</w:t>
      </w:r>
    </w:p>
    <w:p w14:paraId="61E71A17" w14:textId="3C2B4361" w:rsidR="00B0318A" w:rsidRPr="00B0318A" w:rsidRDefault="00B0318A" w:rsidP="00B0318A">
      <w:pPr>
        <w:pStyle w:val="ListBullet"/>
        <w:numPr>
          <w:ilvl w:val="0"/>
          <w:numId w:val="3"/>
        </w:numPr>
        <w:ind w:left="720"/>
        <w:rPr>
          <w:i/>
        </w:rPr>
      </w:pPr>
      <w:r w:rsidRPr="00B0318A">
        <w:rPr>
          <w:i/>
        </w:rPr>
        <w:t>Fycompa is indicated for adjunctive treatment in paediatric patients from 2 to 11</w:t>
      </w:r>
      <w:r w:rsidR="00DE15A1">
        <w:rPr>
          <w:i/>
        </w:rPr>
        <w:t> </w:t>
      </w:r>
      <w:r w:rsidRPr="00B0318A">
        <w:rPr>
          <w:i/>
        </w:rPr>
        <w:t>years of age with idiopathic generalised epilepsy</w:t>
      </w:r>
    </w:p>
    <w:p w14:paraId="4DB749B1" w14:textId="5414BFE3" w:rsidR="00506593" w:rsidRDefault="00DE5FE0" w:rsidP="00506593">
      <w:pPr>
        <w:rPr>
          <w:lang w:eastAsia="ja-JP"/>
        </w:rPr>
      </w:pPr>
      <w:r>
        <w:rPr>
          <w:lang w:eastAsia="ja-JP"/>
        </w:rPr>
        <w:t>Epilepsy is a common neurological disease that affects approximate</w:t>
      </w:r>
      <w:r w:rsidR="00506593">
        <w:rPr>
          <w:lang w:eastAsia="ja-JP"/>
        </w:rPr>
        <w:t>ly 50 million people worldwide.</w:t>
      </w:r>
      <w:r w:rsidR="00150278">
        <w:rPr>
          <w:rStyle w:val="FootnoteReference"/>
          <w:lang w:eastAsia="ja-JP"/>
        </w:rPr>
        <w:footnoteReference w:id="2"/>
      </w:r>
      <w:r w:rsidR="00506593">
        <w:rPr>
          <w:lang w:eastAsia="ja-JP"/>
        </w:rPr>
        <w:t xml:space="preserve"> Multiple antiepileptic dru</w:t>
      </w:r>
      <w:r w:rsidR="00CA5626">
        <w:rPr>
          <w:lang w:eastAsia="ja-JP"/>
        </w:rPr>
        <w:t xml:space="preserve">gs (AEDs) </w:t>
      </w:r>
      <w:proofErr w:type="gramStart"/>
      <w:r w:rsidR="00CA5626">
        <w:rPr>
          <w:lang w:eastAsia="ja-JP"/>
        </w:rPr>
        <w:t>have been developed</w:t>
      </w:r>
      <w:proofErr w:type="gramEnd"/>
      <w:r w:rsidR="00506593">
        <w:rPr>
          <w:lang w:eastAsia="ja-JP"/>
        </w:rPr>
        <w:t xml:space="preserve"> </w:t>
      </w:r>
      <w:r w:rsidR="00FE5D2F">
        <w:rPr>
          <w:lang w:eastAsia="ja-JP"/>
        </w:rPr>
        <w:t>in an effort</w:t>
      </w:r>
      <w:r w:rsidR="00506593">
        <w:rPr>
          <w:lang w:eastAsia="ja-JP"/>
        </w:rPr>
        <w:t xml:space="preserve"> to control seizures in patients with epilepsy</w:t>
      </w:r>
      <w:r w:rsidR="00C4184E">
        <w:rPr>
          <w:lang w:eastAsia="ja-JP"/>
        </w:rPr>
        <w:t xml:space="preserve"> (including </w:t>
      </w:r>
      <w:r w:rsidR="00C4184E">
        <w:t>sodium or calcium channels blockers)</w:t>
      </w:r>
      <w:r w:rsidR="00506593">
        <w:rPr>
          <w:lang w:eastAsia="ja-JP"/>
        </w:rPr>
        <w:t>; however, 20 to 30% of patients are still refractory to currently available drug treatments.</w:t>
      </w:r>
      <w:r w:rsidR="00150278">
        <w:rPr>
          <w:rStyle w:val="FootnoteReference"/>
          <w:lang w:eastAsia="ja-JP"/>
        </w:rPr>
        <w:footnoteReference w:id="3"/>
      </w:r>
      <w:r w:rsidR="00506593">
        <w:rPr>
          <w:lang w:eastAsia="ja-JP"/>
        </w:rPr>
        <w:t xml:space="preserve"> </w:t>
      </w:r>
      <w:proofErr w:type="gramStart"/>
      <w:r w:rsidR="00C4184E">
        <w:rPr>
          <w:lang w:eastAsia="ja-JP"/>
        </w:rPr>
        <w:t>This is the rationale behind development of</w:t>
      </w:r>
      <w:r w:rsidR="00506593">
        <w:rPr>
          <w:lang w:eastAsia="ja-JP"/>
        </w:rPr>
        <w:t xml:space="preserve"> adjuvant therapies to patients who are refractory to their current AEDs.</w:t>
      </w:r>
      <w:proofErr w:type="gramEnd"/>
    </w:p>
    <w:p w14:paraId="32692F5D" w14:textId="352A623B" w:rsidR="00506593" w:rsidRDefault="00506593" w:rsidP="00506593">
      <w:r>
        <w:t xml:space="preserve">Epilepsy </w:t>
      </w:r>
      <w:proofErr w:type="gramStart"/>
      <w:r>
        <w:t>is broadly classified</w:t>
      </w:r>
      <w:proofErr w:type="gramEnd"/>
      <w:r>
        <w:t xml:space="preserve"> into </w:t>
      </w:r>
      <w:r w:rsidRPr="00150278">
        <w:rPr>
          <w:iCs/>
        </w:rPr>
        <w:t>partial onset epilepsy</w:t>
      </w:r>
      <w:r>
        <w:t xml:space="preserve">, in which seizures begin in an epileptogenic focus and spread to other parts of the brain, or </w:t>
      </w:r>
      <w:r w:rsidRPr="00150278">
        <w:rPr>
          <w:iCs/>
        </w:rPr>
        <w:t>primary generalised epilepsy</w:t>
      </w:r>
      <w:r>
        <w:t>, in which the whole brain network enters a seizure at the same time. In most seizures, the involved neurons fire frequently and excessively for the duration of the seizure. In some forms of primary generalised epilepsy, such as absence epilepsy, neural activity is abnormally synchronised at the network level rather than excessive at the level of individual neurons. A classic major convulsive seizure, known as a generalised tonic</w:t>
      </w:r>
      <w:r w:rsidR="00DE15A1">
        <w:noBreakHyphen/>
      </w:r>
      <w:r>
        <w:t>clonic seizure (GTCS) usually consists of full-body stiffening (</w:t>
      </w:r>
      <w:r w:rsidR="00DE15A1">
        <w:t>t</w:t>
      </w:r>
      <w:r w:rsidR="00F9427C">
        <w:t xml:space="preserve">ermed </w:t>
      </w:r>
      <w:r>
        <w:t xml:space="preserve">the </w:t>
      </w:r>
      <w:r w:rsidRPr="008E377E">
        <w:rPr>
          <w:i/>
        </w:rPr>
        <w:t>tonic</w:t>
      </w:r>
      <w:r>
        <w:t xml:space="preserve"> phase) followed by jerking of all four limbs (</w:t>
      </w:r>
      <w:r w:rsidR="00F9427C">
        <w:t xml:space="preserve">termed </w:t>
      </w:r>
      <w:r>
        <w:t xml:space="preserve">the </w:t>
      </w:r>
      <w:r w:rsidRPr="008E377E">
        <w:rPr>
          <w:i/>
        </w:rPr>
        <w:t>clonic</w:t>
      </w:r>
      <w:r>
        <w:t xml:space="preserve"> phase), with loss of awareness </w:t>
      </w:r>
      <w:r w:rsidR="00F9427C">
        <w:t xml:space="preserve">either </w:t>
      </w:r>
      <w:r>
        <w:t xml:space="preserve">at or near the start of the seizure. In a </w:t>
      </w:r>
      <w:r w:rsidRPr="00150278">
        <w:rPr>
          <w:iCs/>
        </w:rPr>
        <w:t xml:space="preserve">primary </w:t>
      </w:r>
      <w:r w:rsidRPr="00150278">
        <w:t>generalised tonic-clonic seizure (PGTCS), the whole brain network enters the seiz</w:t>
      </w:r>
      <w:r>
        <w:t xml:space="preserve">ure at the same time, and the subject does not usually remember the onset of the seizure. A partial onset seizure (POS) that begins in one region of the brain may spread to involve the whole brain, leading to a </w:t>
      </w:r>
      <w:r w:rsidRPr="00150278">
        <w:rPr>
          <w:iCs/>
        </w:rPr>
        <w:lastRenderedPageBreak/>
        <w:t>secondarily</w:t>
      </w:r>
      <w:r>
        <w:rPr>
          <w:i/>
          <w:iCs/>
        </w:rPr>
        <w:t xml:space="preserve"> </w:t>
      </w:r>
      <w:r>
        <w:t>generalised tonic-clonic seizure (SGTCS). In such cases, the subject may often remember the focal phase of the seizure, because some parts of the brain were still working during the focal phase, but often the focal phase is too rapid to be clinically noticeable.</w:t>
      </w:r>
    </w:p>
    <w:p w14:paraId="69FDBB45" w14:textId="6ED3259D" w:rsidR="00DE5FE0" w:rsidRDefault="00DE5FE0" w:rsidP="00506593">
      <w:pPr>
        <w:rPr>
          <w:lang w:eastAsia="ja-JP"/>
        </w:rPr>
      </w:pPr>
      <w:r w:rsidRPr="005108B0">
        <w:rPr>
          <w:lang w:eastAsia="ja-JP"/>
        </w:rPr>
        <w:t xml:space="preserve">Children with epilepsy, particularly infants, differ from adults not only in the </w:t>
      </w:r>
      <w:r w:rsidR="00805125">
        <w:rPr>
          <w:lang w:eastAsia="ja-JP"/>
        </w:rPr>
        <w:t>manner that their seizures present clinically, but also due to</w:t>
      </w:r>
      <w:r w:rsidRPr="005108B0">
        <w:rPr>
          <w:lang w:eastAsia="ja-JP"/>
        </w:rPr>
        <w:t xml:space="preserve"> the </w:t>
      </w:r>
      <w:r w:rsidR="00805125">
        <w:rPr>
          <w:lang w:eastAsia="ja-JP"/>
        </w:rPr>
        <w:t xml:space="preserve">unique aetiologies, </w:t>
      </w:r>
      <w:r w:rsidRPr="005108B0">
        <w:rPr>
          <w:lang w:eastAsia="ja-JP"/>
        </w:rPr>
        <w:t>presence of unique</w:t>
      </w:r>
      <w:r w:rsidR="00805125">
        <w:rPr>
          <w:lang w:eastAsia="ja-JP"/>
        </w:rPr>
        <w:t xml:space="preserve"> a</w:t>
      </w:r>
      <w:r w:rsidR="00805125" w:rsidRPr="005108B0">
        <w:rPr>
          <w:lang w:eastAsia="ja-JP"/>
        </w:rPr>
        <w:t>etiologies</w:t>
      </w:r>
      <w:r w:rsidR="00C4184E">
        <w:rPr>
          <w:lang w:eastAsia="ja-JP"/>
        </w:rPr>
        <w:t>,</w:t>
      </w:r>
      <w:r w:rsidRPr="005108B0">
        <w:rPr>
          <w:lang w:eastAsia="ja-JP"/>
        </w:rPr>
        <w:t xml:space="preserve"> electroencephalogram (EEG) patterns, and </w:t>
      </w:r>
      <w:r w:rsidR="00805125">
        <w:rPr>
          <w:lang w:eastAsia="ja-JP"/>
        </w:rPr>
        <w:t xml:space="preserve">their </w:t>
      </w:r>
      <w:r w:rsidRPr="005108B0">
        <w:rPr>
          <w:lang w:eastAsia="ja-JP"/>
        </w:rPr>
        <w:t>response to anti</w:t>
      </w:r>
      <w:r>
        <w:rPr>
          <w:lang w:eastAsia="ja-JP"/>
        </w:rPr>
        <w:t>-</w:t>
      </w:r>
      <w:r w:rsidRPr="005108B0">
        <w:rPr>
          <w:lang w:eastAsia="ja-JP"/>
        </w:rPr>
        <w:t xml:space="preserve">seizure </w:t>
      </w:r>
      <w:r w:rsidR="00805125">
        <w:rPr>
          <w:lang w:eastAsia="ja-JP"/>
        </w:rPr>
        <w:t>medications</w:t>
      </w:r>
      <w:r w:rsidRPr="005108B0">
        <w:rPr>
          <w:lang w:eastAsia="ja-JP"/>
        </w:rPr>
        <w:t>.</w:t>
      </w:r>
      <w:bookmarkStart w:id="15" w:name="_Ref67918617"/>
      <w:r w:rsidR="00805125">
        <w:rPr>
          <w:rStyle w:val="FootnoteReference"/>
          <w:lang w:eastAsia="ja-JP"/>
        </w:rPr>
        <w:footnoteReference w:id="4"/>
      </w:r>
      <w:bookmarkEnd w:id="15"/>
      <w:r w:rsidRPr="005108B0">
        <w:rPr>
          <w:lang w:eastAsia="ja-JP"/>
        </w:rPr>
        <w:t xml:space="preserve"> The immature brain, particularly in the neonate and young infant, differs from the adult brain in the basic mechanisms of epileptogenesis and p</w:t>
      </w:r>
      <w:r w:rsidR="00506593">
        <w:rPr>
          <w:lang w:eastAsia="ja-JP"/>
        </w:rPr>
        <w:t>ropagation of seizures.</w:t>
      </w:r>
    </w:p>
    <w:p w14:paraId="46063A5B" w14:textId="35EB0892" w:rsidR="00DE5FE0" w:rsidRDefault="00DE5FE0" w:rsidP="00506593">
      <w:pPr>
        <w:rPr>
          <w:lang w:eastAsia="ja-JP"/>
        </w:rPr>
      </w:pPr>
      <w:r w:rsidRPr="004D6876">
        <w:rPr>
          <w:lang w:eastAsia="ja-JP"/>
        </w:rPr>
        <w:t xml:space="preserve">Seizures in younger children differ significantly from those in older children and adults. Children older than six years tend to have seizures that are quite similar to those of adults, whereas younger children and infants have less complex behaviours, particularly with focal seizures with impairment of awareness. </w:t>
      </w:r>
      <w:r w:rsidRPr="00D57AF3">
        <w:rPr>
          <w:lang w:eastAsia="ja-JP"/>
        </w:rPr>
        <w:t>Moreover, there are age-sp</w:t>
      </w:r>
      <w:r>
        <w:rPr>
          <w:lang w:eastAsia="ja-JP"/>
        </w:rPr>
        <w:t xml:space="preserve">ecific changes in the types of seizures. It </w:t>
      </w:r>
      <w:proofErr w:type="gramStart"/>
      <w:r>
        <w:rPr>
          <w:lang w:eastAsia="ja-JP"/>
        </w:rPr>
        <w:t>is hypothesised</w:t>
      </w:r>
      <w:proofErr w:type="gramEnd"/>
      <w:r>
        <w:rPr>
          <w:lang w:eastAsia="ja-JP"/>
        </w:rPr>
        <w:t xml:space="preserve"> that these changes </w:t>
      </w:r>
      <w:r w:rsidRPr="00D57AF3">
        <w:rPr>
          <w:lang w:eastAsia="ja-JP"/>
        </w:rPr>
        <w:t xml:space="preserve">might be the result of the differences in the connectivity and functionality of different brain regions. </w:t>
      </w:r>
      <w:r w:rsidRPr="004D6876">
        <w:rPr>
          <w:lang w:eastAsia="ja-JP"/>
        </w:rPr>
        <w:t xml:space="preserve">Determination of an alteration of awareness is difficult in infants and young children. In addition, their behaviours during a seizure tend to be less complicated and more fragmented </w:t>
      </w:r>
      <w:proofErr w:type="gramStart"/>
      <w:r w:rsidRPr="004D6876">
        <w:rPr>
          <w:lang w:eastAsia="ja-JP"/>
        </w:rPr>
        <w:t>than those in ol</w:t>
      </w:r>
      <w:r w:rsidR="00506593">
        <w:rPr>
          <w:lang w:eastAsia="ja-JP"/>
        </w:rPr>
        <w:t>der children</w:t>
      </w:r>
      <w:proofErr w:type="gramEnd"/>
      <w:r w:rsidR="00506593">
        <w:rPr>
          <w:lang w:eastAsia="ja-JP"/>
        </w:rPr>
        <w:t>. Typical generalis</w:t>
      </w:r>
      <w:r w:rsidRPr="004D6876">
        <w:rPr>
          <w:lang w:eastAsia="ja-JP"/>
        </w:rPr>
        <w:t>ed tonic-clonic and absence seizures are extremely uncommon in the first two years of life an</w:t>
      </w:r>
      <w:r>
        <w:rPr>
          <w:lang w:eastAsia="ja-JP"/>
        </w:rPr>
        <w:t>d never occur in the newborn</w:t>
      </w:r>
      <w:r w:rsidR="00506593">
        <w:rPr>
          <w:lang w:eastAsia="ja-JP"/>
        </w:rPr>
        <w:t>.</w:t>
      </w:r>
    </w:p>
    <w:p w14:paraId="77F98B4C" w14:textId="3CE02E92" w:rsidR="00DE5FE0" w:rsidRDefault="00DE5FE0" w:rsidP="00C4184E">
      <w:r>
        <w:rPr>
          <w:lang w:eastAsia="ja-JP"/>
        </w:rPr>
        <w:t>Perampanel is a selective, non-competitive, orally active antagonist of the AMPA receptor.</w:t>
      </w:r>
      <w:r w:rsidR="00F9427C">
        <w:rPr>
          <w:rStyle w:val="FootnoteReference"/>
          <w:lang w:eastAsia="ja-JP"/>
        </w:rPr>
        <w:footnoteReference w:id="5"/>
      </w:r>
      <w:r>
        <w:rPr>
          <w:lang w:eastAsia="ja-JP"/>
        </w:rPr>
        <w:t xml:space="preserve"> AMPA </w:t>
      </w:r>
      <w:r w:rsidR="00BC2693">
        <w:rPr>
          <w:lang w:eastAsia="ja-JP"/>
        </w:rPr>
        <w:t xml:space="preserve">receptors </w:t>
      </w:r>
      <w:r>
        <w:rPr>
          <w:lang w:eastAsia="ja-JP"/>
        </w:rPr>
        <w:t>mediate fast</w:t>
      </w:r>
      <w:r w:rsidR="00BC2693">
        <w:rPr>
          <w:lang w:eastAsia="ja-JP"/>
        </w:rPr>
        <w:noBreakHyphen/>
      </w:r>
      <w:r>
        <w:rPr>
          <w:lang w:eastAsia="ja-JP"/>
        </w:rPr>
        <w:t>excita</w:t>
      </w:r>
      <w:r w:rsidR="00805125">
        <w:rPr>
          <w:lang w:eastAsia="ja-JP"/>
        </w:rPr>
        <w:t xml:space="preserve">tory synaptic transmission (see </w:t>
      </w:r>
      <w:r w:rsidR="00805125">
        <w:rPr>
          <w:lang w:eastAsia="ja-JP"/>
        </w:rPr>
        <w:fldChar w:fldCharType="begin"/>
      </w:r>
      <w:r w:rsidR="00805125">
        <w:rPr>
          <w:lang w:eastAsia="ja-JP"/>
        </w:rPr>
        <w:instrText xml:space="preserve"> REF _Ref67642048 \h </w:instrText>
      </w:r>
      <w:r w:rsidR="00805125">
        <w:rPr>
          <w:lang w:eastAsia="ja-JP"/>
        </w:rPr>
      </w:r>
      <w:r w:rsidR="00805125">
        <w:rPr>
          <w:lang w:eastAsia="ja-JP"/>
        </w:rPr>
        <w:fldChar w:fldCharType="separate"/>
      </w:r>
      <w:r w:rsidR="004C6771">
        <w:t xml:space="preserve">Figure </w:t>
      </w:r>
      <w:r w:rsidR="004C6771">
        <w:rPr>
          <w:noProof/>
        </w:rPr>
        <w:t>1</w:t>
      </w:r>
      <w:r w:rsidR="00805125">
        <w:rPr>
          <w:lang w:eastAsia="ja-JP"/>
        </w:rPr>
        <w:fldChar w:fldCharType="end"/>
      </w:r>
      <w:r w:rsidR="00BC2693">
        <w:rPr>
          <w:lang w:eastAsia="ja-JP"/>
        </w:rPr>
        <w:t>, below</w:t>
      </w:r>
      <w:r w:rsidR="00805125">
        <w:rPr>
          <w:lang w:eastAsia="ja-JP"/>
        </w:rPr>
        <w:t xml:space="preserve">), </w:t>
      </w:r>
      <w:r>
        <w:rPr>
          <w:lang w:eastAsia="ja-JP"/>
        </w:rPr>
        <w:t>generating an</w:t>
      </w:r>
      <w:r w:rsidR="00506593">
        <w:rPr>
          <w:lang w:eastAsia="ja-JP"/>
        </w:rPr>
        <w:t xml:space="preserve">d spreading epileptic activity. </w:t>
      </w:r>
      <w:r w:rsidR="00506593">
        <w:t>Perampanel has already shown efficacy in adults and adolescents, when used as adjunctive (add-on) therapy for both PGTC</w:t>
      </w:r>
      <w:r w:rsidR="00C4184E">
        <w:t>S</w:t>
      </w:r>
      <w:r w:rsidR="00150278">
        <w:t xml:space="preserve"> and </w:t>
      </w:r>
      <w:r w:rsidR="00C4184E">
        <w:t>POS</w:t>
      </w:r>
      <w:r w:rsidR="00506593">
        <w:t xml:space="preserve">, including </w:t>
      </w:r>
      <w:r w:rsidR="00CA5626">
        <w:t>s</w:t>
      </w:r>
      <w:r w:rsidR="00CA5626" w:rsidRPr="00CA5626">
        <w:t xml:space="preserve">econdarily generalised tonic-clonic </w:t>
      </w:r>
      <w:r w:rsidR="00CA5626">
        <w:t>(</w:t>
      </w:r>
      <w:r w:rsidR="00C4184E">
        <w:t>SGTC</w:t>
      </w:r>
      <w:r w:rsidR="00CA5626">
        <w:t>)</w:t>
      </w:r>
      <w:r w:rsidR="00BC2693">
        <w:t xml:space="preserve"> seizures</w:t>
      </w:r>
      <w:r w:rsidR="00506593">
        <w:t xml:space="preserve">. In the submission described in this AusPAR, the sponsor applied to extend the indications </w:t>
      </w:r>
      <w:r w:rsidR="00150278">
        <w:t xml:space="preserve">of Fycompa </w:t>
      </w:r>
      <w:r w:rsidR="00CA5626">
        <w:t>film</w:t>
      </w:r>
      <w:r w:rsidR="00BC2693">
        <w:noBreakHyphen/>
      </w:r>
      <w:r w:rsidR="00CA5626">
        <w:t xml:space="preserve">coated tablets </w:t>
      </w:r>
      <w:r w:rsidR="00506593">
        <w:t>to</w:t>
      </w:r>
      <w:r w:rsidR="00BC2693">
        <w:t xml:space="preserve"> include</w:t>
      </w:r>
      <w:r w:rsidR="00506593">
        <w:t xml:space="preserve"> the paediatric population, and to register a </w:t>
      </w:r>
      <w:r w:rsidR="00CA5626">
        <w:t xml:space="preserve">new oral suspension formulation </w:t>
      </w:r>
      <w:r w:rsidR="00C4184E">
        <w:t>as a bioequivalent and interchangeable alternative to the currently approved tablet formulation.</w:t>
      </w:r>
    </w:p>
    <w:p w14:paraId="35ABB2DC" w14:textId="328BEC73" w:rsidR="00DE5FE0" w:rsidRDefault="00DE5FE0" w:rsidP="008E377E">
      <w:pPr>
        <w:pStyle w:val="FigureTitle"/>
        <w:rPr>
          <w:lang w:eastAsia="ja-JP"/>
        </w:rPr>
      </w:pPr>
      <w:bookmarkStart w:id="16" w:name="_Ref67642048"/>
      <w:bookmarkStart w:id="17" w:name="_Toc55298945"/>
      <w:r>
        <w:lastRenderedPageBreak/>
        <w:t xml:space="preserve">Figure </w:t>
      </w:r>
      <w:fldSimple w:instr=" SEQ Figure \* ARABIC ">
        <w:r w:rsidR="004C6771">
          <w:rPr>
            <w:noProof/>
          </w:rPr>
          <w:t>1</w:t>
        </w:r>
      </w:fldSimple>
      <w:bookmarkEnd w:id="16"/>
      <w:r>
        <w:t xml:space="preserve">: </w:t>
      </w:r>
      <w:r w:rsidR="00BC2693">
        <w:t>Schematic representation of the s</w:t>
      </w:r>
      <w:r>
        <w:t>ynaptic junction</w:t>
      </w:r>
      <w:bookmarkEnd w:id="17"/>
      <w:r w:rsidR="00BC2693">
        <w:t xml:space="preserve"> and the brain targets common to the neurobiology and pharmacology of epilepsy</w:t>
      </w:r>
      <w:r>
        <w:rPr>
          <w:noProof/>
          <w:lang w:eastAsia="en-AU"/>
        </w:rPr>
        <w:drawing>
          <wp:inline distT="0" distB="0" distL="0" distR="0" wp14:anchorId="1CA6F406" wp14:editId="0100769F">
            <wp:extent cx="3182992" cy="2657475"/>
            <wp:effectExtent l="0" t="0" r="0" b="0"/>
            <wp:docPr id="38" name="Picture 38" descr="Synaptic j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pilepsy, Antiepileptic Drugs, and Aggression: An Evidence-Based Review |  Pharmacological Review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62" t="5749" r="54169" b="51091"/>
                    <a:stretch/>
                  </pic:blipFill>
                  <pic:spPr bwMode="auto">
                    <a:xfrm>
                      <a:off x="0" y="0"/>
                      <a:ext cx="3315735" cy="2768302"/>
                    </a:xfrm>
                    <a:prstGeom prst="rect">
                      <a:avLst/>
                    </a:prstGeom>
                    <a:noFill/>
                    <a:ln>
                      <a:noFill/>
                    </a:ln>
                    <a:extLst>
                      <a:ext uri="{53640926-AAD7-44D8-BBD7-CCE9431645EC}">
                        <a14:shadowObscured xmlns:a14="http://schemas.microsoft.com/office/drawing/2010/main"/>
                      </a:ext>
                    </a:extLst>
                  </pic:spPr>
                </pic:pic>
              </a:graphicData>
            </a:graphic>
          </wp:inline>
        </w:drawing>
      </w:r>
    </w:p>
    <w:p w14:paraId="36ED33F1" w14:textId="725F78D2" w:rsidR="00BC2693" w:rsidRDefault="00BC2693" w:rsidP="008E377E">
      <w:pPr>
        <w:pStyle w:val="FigureDescription"/>
        <w:rPr>
          <w:lang w:eastAsia="ja-JP"/>
        </w:rPr>
      </w:pPr>
      <w:r w:rsidRPr="00BC2693">
        <w:rPr>
          <w:lang w:eastAsia="ja-JP"/>
        </w:rPr>
        <w:t>Example of a prototypical excitatory (glutamate)/inhibitory (GABA) synapse modulating the activity of a forebrain postsynaptic neuron. Postsynaptic targets include glutamate (NMDA, AMPA, and kainite receptors) and GABA</w:t>
      </w:r>
      <w:r w:rsidRPr="004C6771">
        <w:rPr>
          <w:vertAlign w:val="subscript"/>
          <w:lang w:eastAsia="ja-JP"/>
        </w:rPr>
        <w:t>A</w:t>
      </w:r>
      <w:r w:rsidRPr="00BC2693">
        <w:rPr>
          <w:lang w:eastAsia="ja-JP"/>
        </w:rPr>
        <w:t xml:space="preserve"> receptors. SV2A is a membrane glycoprotein that regulates neurotransmitter release from secretory vesicles. Voltage-gated K+, Na+, and Ca2+ channels modulate the action potential and resting membrane potential thus controlling neuronal firing activ</w:t>
      </w:r>
      <w:r w:rsidR="00AA5063">
        <w:rPr>
          <w:lang w:eastAsia="ja-JP"/>
        </w:rPr>
        <w:t>ity. GABA transaminase catabolis</w:t>
      </w:r>
      <w:r w:rsidRPr="00BC2693">
        <w:rPr>
          <w:lang w:eastAsia="ja-JP"/>
        </w:rPr>
        <w:t>es GABA into succinic semialdehyde.</w:t>
      </w:r>
    </w:p>
    <w:p w14:paraId="53AB13A3" w14:textId="31232BA1" w:rsidR="00AA5063" w:rsidRDefault="00AA5063" w:rsidP="008E377E">
      <w:pPr>
        <w:pStyle w:val="FigureDescription"/>
        <w:rPr>
          <w:lang w:eastAsia="ja-JP"/>
        </w:rPr>
      </w:pPr>
      <w:r>
        <w:rPr>
          <w:lang w:eastAsia="ja-JP"/>
        </w:rPr>
        <w:t>GABA = gamma-aminobutyric acid; GABA</w:t>
      </w:r>
      <w:r w:rsidRPr="004C6771">
        <w:rPr>
          <w:vertAlign w:val="subscript"/>
          <w:lang w:eastAsia="ja-JP"/>
        </w:rPr>
        <w:t>A</w:t>
      </w:r>
      <w:r>
        <w:rPr>
          <w:lang w:eastAsia="ja-JP"/>
        </w:rPr>
        <w:t xml:space="preserve"> = gamma-aminobutyric acid A receptor; NMDA = N-methyl-D-aspartate; SV2A = synaptic vesicle protein 2A.</w:t>
      </w:r>
    </w:p>
    <w:p w14:paraId="23EBF52C" w14:textId="004A11D4" w:rsidR="00805125" w:rsidRDefault="00805125" w:rsidP="00805125">
      <w:pPr>
        <w:pStyle w:val="TableDescription"/>
        <w:rPr>
          <w:lang w:eastAsia="ja-JP"/>
        </w:rPr>
      </w:pPr>
      <w:r>
        <w:rPr>
          <w:lang w:eastAsia="ja-JP"/>
        </w:rPr>
        <w:t>Source: Brodie et al. 2016.</w:t>
      </w:r>
      <w:r>
        <w:rPr>
          <w:rStyle w:val="FootnoteReference"/>
          <w:lang w:eastAsia="ja-JP"/>
        </w:rPr>
        <w:footnoteReference w:id="6"/>
      </w:r>
    </w:p>
    <w:p w14:paraId="79B4F48A" w14:textId="77777777" w:rsidR="008E7846" w:rsidRPr="003F31A2" w:rsidRDefault="00386150" w:rsidP="008E7846">
      <w:pPr>
        <w:pStyle w:val="Heading3"/>
      </w:pPr>
      <w:bookmarkStart w:id="18" w:name="_Toc314842485"/>
      <w:bookmarkStart w:id="19" w:name="_Toc247691504"/>
      <w:bookmarkStart w:id="20" w:name="_Ref67915433"/>
      <w:bookmarkStart w:id="21" w:name="_Toc70347468"/>
      <w:r>
        <w:t>Regulatory s</w:t>
      </w:r>
      <w:r w:rsidR="008E7846">
        <w:t>tatus</w:t>
      </w:r>
      <w:bookmarkEnd w:id="18"/>
      <w:bookmarkEnd w:id="19"/>
      <w:bookmarkEnd w:id="20"/>
      <w:bookmarkEnd w:id="21"/>
    </w:p>
    <w:p w14:paraId="7B5DF9C6" w14:textId="585BAF35" w:rsidR="00006FAB" w:rsidRDefault="00006FAB" w:rsidP="00006FAB">
      <w:bookmarkStart w:id="22" w:name="_Toc247691505"/>
      <w:bookmarkStart w:id="23" w:name="_Toc314842486"/>
      <w:r>
        <w:t xml:space="preserve">The </w:t>
      </w:r>
      <w:r w:rsidR="00826084">
        <w:t xml:space="preserve">film coated tablet </w:t>
      </w:r>
      <w:r>
        <w:t>product</w:t>
      </w:r>
      <w:r w:rsidR="00826084">
        <w:t>s</w:t>
      </w:r>
      <w:r>
        <w:t xml:space="preserve"> received initial registration on the Australian Register</w:t>
      </w:r>
      <w:r w:rsidR="00826084">
        <w:t xml:space="preserve"> of Therapeutic Goods (ARTG) on 23 May 2014 for the following indication:</w:t>
      </w:r>
    </w:p>
    <w:p w14:paraId="267DC3A7" w14:textId="33ED9C99" w:rsidR="00826084" w:rsidRPr="00F40D66" w:rsidRDefault="00826084" w:rsidP="00F40D66">
      <w:pPr>
        <w:ind w:left="720"/>
        <w:rPr>
          <w:i/>
        </w:rPr>
      </w:pPr>
      <w:r w:rsidRPr="00F40D66">
        <w:rPr>
          <w:i/>
        </w:rPr>
        <w:t xml:space="preserve">Fycompa </w:t>
      </w:r>
      <w:proofErr w:type="gramStart"/>
      <w:r w:rsidRPr="00F40D66">
        <w:rPr>
          <w:i/>
        </w:rPr>
        <w:t>is indicated</w:t>
      </w:r>
      <w:proofErr w:type="gramEnd"/>
      <w:r w:rsidRPr="00F40D66">
        <w:rPr>
          <w:i/>
        </w:rPr>
        <w:t xml:space="preserve"> for the adjunctive treatment of partial-onset seizures with or without secondary generalised seizures in patients with epilepsy aged 12 years and older.</w:t>
      </w:r>
    </w:p>
    <w:p w14:paraId="4359234F" w14:textId="04A9031C" w:rsidR="00826084" w:rsidRDefault="00826084" w:rsidP="00826084">
      <w:pPr>
        <w:spacing w:before="0" w:after="0" w:line="240" w:lineRule="auto"/>
        <w:rPr>
          <w:lang w:eastAsia="ja-JP"/>
        </w:rPr>
      </w:pPr>
      <w:r>
        <w:rPr>
          <w:lang w:eastAsia="ja-JP"/>
        </w:rPr>
        <w:t xml:space="preserve">The following extension of indications </w:t>
      </w:r>
      <w:r w:rsidR="00C4184E">
        <w:rPr>
          <w:lang w:eastAsia="ja-JP"/>
        </w:rPr>
        <w:t>for</w:t>
      </w:r>
      <w:r w:rsidR="00F40D66">
        <w:rPr>
          <w:lang w:eastAsia="ja-JP"/>
        </w:rPr>
        <w:t xml:space="preserve"> the </w:t>
      </w:r>
      <w:proofErr w:type="gramStart"/>
      <w:r w:rsidR="00F40D66">
        <w:rPr>
          <w:lang w:eastAsia="ja-JP"/>
        </w:rPr>
        <w:t>film coated</w:t>
      </w:r>
      <w:proofErr w:type="gramEnd"/>
      <w:r w:rsidR="00F40D66">
        <w:rPr>
          <w:lang w:eastAsia="ja-JP"/>
        </w:rPr>
        <w:t xml:space="preserve"> tablets </w:t>
      </w:r>
      <w:r>
        <w:rPr>
          <w:lang w:eastAsia="ja-JP"/>
        </w:rPr>
        <w:t>was registered on 13</w:t>
      </w:r>
      <w:r w:rsidR="00AA5063">
        <w:rPr>
          <w:lang w:eastAsia="ja-JP"/>
        </w:rPr>
        <w:t> </w:t>
      </w:r>
      <w:r>
        <w:rPr>
          <w:lang w:eastAsia="ja-JP"/>
        </w:rPr>
        <w:t>M</w:t>
      </w:r>
      <w:r w:rsidR="004F68E5">
        <w:rPr>
          <w:lang w:eastAsia="ja-JP"/>
        </w:rPr>
        <w:t>ay </w:t>
      </w:r>
      <w:r>
        <w:rPr>
          <w:lang w:eastAsia="ja-JP"/>
        </w:rPr>
        <w:t>2016:</w:t>
      </w:r>
    </w:p>
    <w:p w14:paraId="47DB68D8" w14:textId="49F9776E" w:rsidR="00826084" w:rsidRPr="00F40D66" w:rsidRDefault="00826084" w:rsidP="00F40D66">
      <w:pPr>
        <w:ind w:left="720"/>
        <w:rPr>
          <w:i/>
          <w:lang w:eastAsia="ja-JP"/>
        </w:rPr>
      </w:pPr>
      <w:r w:rsidRPr="00F40D66">
        <w:rPr>
          <w:i/>
          <w:lang w:eastAsia="ja-JP"/>
        </w:rPr>
        <w:t xml:space="preserve">Fycompa </w:t>
      </w:r>
      <w:proofErr w:type="gramStart"/>
      <w:r w:rsidRPr="00F40D66">
        <w:rPr>
          <w:i/>
          <w:lang w:eastAsia="ja-JP"/>
        </w:rPr>
        <w:t>is indicated</w:t>
      </w:r>
      <w:proofErr w:type="gramEnd"/>
      <w:r w:rsidRPr="00F40D66">
        <w:rPr>
          <w:i/>
          <w:lang w:eastAsia="ja-JP"/>
        </w:rPr>
        <w:t xml:space="preserve"> for the adjunctive treatment of primary generalised tonic-clonic seizures in adult and adolescent patients from 12 years of age with idiopathic generalised epilepsy.</w:t>
      </w:r>
    </w:p>
    <w:p w14:paraId="531CAE15" w14:textId="369DE25D" w:rsidR="00006FAB" w:rsidRDefault="00006FAB" w:rsidP="00006FAB">
      <w:r>
        <w:t>At the time the TGA considered this application, similar application</w:t>
      </w:r>
      <w:r w:rsidR="00AA5063">
        <w:t>s</w:t>
      </w:r>
      <w:r>
        <w:t xml:space="preserve"> </w:t>
      </w:r>
      <w:proofErr w:type="gramStart"/>
      <w:r>
        <w:t>had been approved</w:t>
      </w:r>
      <w:proofErr w:type="gramEnd"/>
      <w:r>
        <w:t xml:space="preserve"> </w:t>
      </w:r>
      <w:r w:rsidR="00AA5063">
        <w:t xml:space="preserve">in </w:t>
      </w:r>
      <w:r w:rsidR="0019231D">
        <w:t xml:space="preserve">the European Union (EU), </w:t>
      </w:r>
      <w:r w:rsidR="00AA5063">
        <w:t xml:space="preserve">the </w:t>
      </w:r>
      <w:r w:rsidR="0019231D">
        <w:t>United States</w:t>
      </w:r>
      <w:r w:rsidR="00AA5063">
        <w:t xml:space="preserve"> of America</w:t>
      </w:r>
      <w:r w:rsidR="0019231D">
        <w:t xml:space="preserve"> (US</w:t>
      </w:r>
      <w:r w:rsidR="00AA5063">
        <w:t>A</w:t>
      </w:r>
      <w:r w:rsidR="0019231D">
        <w:t xml:space="preserve">) and </w:t>
      </w:r>
      <w:r w:rsidR="00AA5063">
        <w:t xml:space="preserve">in </w:t>
      </w:r>
      <w:r w:rsidR="0019231D">
        <w:t>Canada (</w:t>
      </w:r>
      <w:r w:rsidR="00AA5063">
        <w:t xml:space="preserve">as shown in </w:t>
      </w:r>
      <w:r w:rsidR="0019231D">
        <w:fldChar w:fldCharType="begin"/>
      </w:r>
      <w:r w:rsidR="0019231D">
        <w:instrText xml:space="preserve"> REF _Ref67648527 \h </w:instrText>
      </w:r>
      <w:r w:rsidR="0019231D">
        <w:fldChar w:fldCharType="separate"/>
      </w:r>
      <w:r w:rsidR="004C6771">
        <w:t xml:space="preserve">Table </w:t>
      </w:r>
      <w:r w:rsidR="004C6771">
        <w:rPr>
          <w:noProof/>
        </w:rPr>
        <w:t>1</w:t>
      </w:r>
      <w:r w:rsidR="0019231D">
        <w:fldChar w:fldCharType="end"/>
      </w:r>
      <w:r w:rsidR="00AA5063">
        <w:t>, below</w:t>
      </w:r>
      <w:r w:rsidR="0019231D">
        <w:t>).</w:t>
      </w:r>
    </w:p>
    <w:p w14:paraId="0F97F035" w14:textId="0D5AAD32" w:rsidR="00324E45" w:rsidRPr="00F0146F" w:rsidRDefault="00324E45" w:rsidP="00324E45">
      <w:pPr>
        <w:pStyle w:val="TableTitle"/>
      </w:pPr>
      <w:bookmarkStart w:id="24" w:name="_Ref67648527"/>
      <w:r>
        <w:lastRenderedPageBreak/>
        <w:t xml:space="preserve">Table </w:t>
      </w:r>
      <w:fldSimple w:instr=" SEQ Table \* ARABIC ">
        <w:r w:rsidR="004C6771">
          <w:rPr>
            <w:noProof/>
          </w:rPr>
          <w:t>1</w:t>
        </w:r>
      </w:fldSimple>
      <w:bookmarkEnd w:id="24"/>
      <w:r>
        <w:t>: International regulatory status</w:t>
      </w:r>
      <w:r w:rsidR="00F40D66">
        <w:t xml:space="preserve"> of paediatric extension of indications</w:t>
      </w:r>
      <w:r w:rsidR="004B7733">
        <w:t xml:space="preserve"> as of November 2020</w:t>
      </w:r>
      <w:r w:rsidR="00E4407A">
        <w:t>, select regions only</w:t>
      </w:r>
    </w:p>
    <w:tbl>
      <w:tblPr>
        <w:tblStyle w:val="TableTGAblue"/>
        <w:tblW w:w="0" w:type="auto"/>
        <w:tblLayout w:type="fixed"/>
        <w:tblLook w:val="04A0" w:firstRow="1" w:lastRow="0" w:firstColumn="1" w:lastColumn="0" w:noHBand="0" w:noVBand="1"/>
      </w:tblPr>
      <w:tblGrid>
        <w:gridCol w:w="1098"/>
        <w:gridCol w:w="1800"/>
        <w:gridCol w:w="2070"/>
        <w:gridCol w:w="3752"/>
      </w:tblGrid>
      <w:tr w:rsidR="00006FAB" w:rsidRPr="00466EF9" w14:paraId="1E217EBA" w14:textId="77777777" w:rsidTr="004C6771">
        <w:trPr>
          <w:cnfStyle w:val="100000000000" w:firstRow="1" w:lastRow="0" w:firstColumn="0" w:lastColumn="0" w:oddVBand="0" w:evenVBand="0" w:oddHBand="0" w:evenHBand="0" w:firstRowFirstColumn="0" w:firstRowLastColumn="0" w:lastRowFirstColumn="0" w:lastRowLastColumn="0"/>
        </w:trPr>
        <w:tc>
          <w:tcPr>
            <w:tcW w:w="1098" w:type="dxa"/>
            <w:tcBorders>
              <w:top w:val="single" w:sz="4" w:space="0" w:color="auto"/>
              <w:left w:val="single" w:sz="4" w:space="0" w:color="auto"/>
              <w:bottom w:val="single" w:sz="4" w:space="0" w:color="auto"/>
              <w:right w:val="single" w:sz="4" w:space="0" w:color="auto"/>
            </w:tcBorders>
          </w:tcPr>
          <w:p w14:paraId="52E6EBBB" w14:textId="77777777" w:rsidR="00006FAB" w:rsidRPr="004C6771" w:rsidRDefault="00006FAB" w:rsidP="00006FAB">
            <w:pPr>
              <w:ind w:left="0" w:right="0"/>
              <w:rPr>
                <w:sz w:val="21"/>
              </w:rPr>
            </w:pPr>
            <w:r w:rsidRPr="004C6771">
              <w:rPr>
                <w:sz w:val="21"/>
              </w:rPr>
              <w:t>Region</w:t>
            </w:r>
          </w:p>
        </w:tc>
        <w:tc>
          <w:tcPr>
            <w:tcW w:w="1800" w:type="dxa"/>
            <w:tcBorders>
              <w:top w:val="single" w:sz="4" w:space="0" w:color="auto"/>
              <w:left w:val="single" w:sz="4" w:space="0" w:color="auto"/>
              <w:bottom w:val="single" w:sz="4" w:space="0" w:color="auto"/>
              <w:right w:val="single" w:sz="4" w:space="0" w:color="auto"/>
            </w:tcBorders>
          </w:tcPr>
          <w:p w14:paraId="7FEE53E6" w14:textId="77777777" w:rsidR="00006FAB" w:rsidRPr="004C6771" w:rsidRDefault="00006FAB" w:rsidP="00006FAB">
            <w:pPr>
              <w:ind w:left="0" w:right="0"/>
              <w:rPr>
                <w:sz w:val="21"/>
              </w:rPr>
            </w:pPr>
            <w:r w:rsidRPr="004C6771">
              <w:rPr>
                <w:sz w:val="21"/>
              </w:rPr>
              <w:t>Submission date</w:t>
            </w:r>
          </w:p>
        </w:tc>
        <w:tc>
          <w:tcPr>
            <w:tcW w:w="2070" w:type="dxa"/>
            <w:tcBorders>
              <w:top w:val="single" w:sz="4" w:space="0" w:color="auto"/>
              <w:left w:val="single" w:sz="4" w:space="0" w:color="auto"/>
              <w:bottom w:val="single" w:sz="4" w:space="0" w:color="auto"/>
              <w:right w:val="single" w:sz="4" w:space="0" w:color="auto"/>
            </w:tcBorders>
          </w:tcPr>
          <w:p w14:paraId="75159F21" w14:textId="77777777" w:rsidR="00006FAB" w:rsidRPr="004C6771" w:rsidRDefault="00006FAB" w:rsidP="00006FAB">
            <w:pPr>
              <w:ind w:left="0" w:right="0"/>
              <w:rPr>
                <w:sz w:val="21"/>
              </w:rPr>
            </w:pPr>
            <w:r w:rsidRPr="004C6771">
              <w:rPr>
                <w:sz w:val="21"/>
              </w:rPr>
              <w:t>Status</w:t>
            </w:r>
          </w:p>
        </w:tc>
        <w:tc>
          <w:tcPr>
            <w:tcW w:w="3752" w:type="dxa"/>
            <w:tcBorders>
              <w:top w:val="single" w:sz="4" w:space="0" w:color="auto"/>
              <w:left w:val="single" w:sz="4" w:space="0" w:color="auto"/>
              <w:bottom w:val="single" w:sz="4" w:space="0" w:color="auto"/>
              <w:right w:val="single" w:sz="4" w:space="0" w:color="auto"/>
            </w:tcBorders>
          </w:tcPr>
          <w:p w14:paraId="5986A980" w14:textId="77777777" w:rsidR="00006FAB" w:rsidRPr="004C6771" w:rsidRDefault="00006FAB" w:rsidP="00006FAB">
            <w:pPr>
              <w:ind w:left="0" w:right="0"/>
              <w:rPr>
                <w:sz w:val="21"/>
              </w:rPr>
            </w:pPr>
            <w:r w:rsidRPr="004C6771">
              <w:rPr>
                <w:sz w:val="21"/>
              </w:rPr>
              <w:t>Approved indications</w:t>
            </w:r>
          </w:p>
        </w:tc>
      </w:tr>
      <w:tr w:rsidR="00006FAB" w:rsidRPr="00466EF9" w14:paraId="5368B4D7" w14:textId="77777777" w:rsidTr="004C6771">
        <w:tc>
          <w:tcPr>
            <w:tcW w:w="1098" w:type="dxa"/>
            <w:tcBorders>
              <w:top w:val="single" w:sz="4" w:space="0" w:color="auto"/>
            </w:tcBorders>
          </w:tcPr>
          <w:p w14:paraId="06075647" w14:textId="210722BE" w:rsidR="00006FAB" w:rsidRPr="004C6771" w:rsidRDefault="00BB09C6" w:rsidP="00466EF9">
            <w:pPr>
              <w:ind w:left="0" w:right="0"/>
              <w:rPr>
                <w:sz w:val="21"/>
              </w:rPr>
            </w:pPr>
            <w:r w:rsidRPr="004C6771">
              <w:rPr>
                <w:sz w:val="21"/>
              </w:rPr>
              <w:t>EU</w:t>
            </w:r>
          </w:p>
        </w:tc>
        <w:tc>
          <w:tcPr>
            <w:tcW w:w="1800" w:type="dxa"/>
            <w:tcBorders>
              <w:top w:val="single" w:sz="4" w:space="0" w:color="auto"/>
            </w:tcBorders>
          </w:tcPr>
          <w:p w14:paraId="628597D1" w14:textId="77CD3C59" w:rsidR="00006FAB" w:rsidRPr="004C6771" w:rsidRDefault="00BB09C6" w:rsidP="00466EF9">
            <w:pPr>
              <w:ind w:left="0" w:right="0"/>
              <w:rPr>
                <w:sz w:val="21"/>
              </w:rPr>
            </w:pPr>
            <w:r w:rsidRPr="004C6771">
              <w:rPr>
                <w:sz w:val="21"/>
              </w:rPr>
              <w:t>28 August 2019</w:t>
            </w:r>
          </w:p>
        </w:tc>
        <w:tc>
          <w:tcPr>
            <w:tcW w:w="2070" w:type="dxa"/>
            <w:tcBorders>
              <w:top w:val="single" w:sz="4" w:space="0" w:color="auto"/>
            </w:tcBorders>
          </w:tcPr>
          <w:p w14:paraId="3A1E0558" w14:textId="55CBCB70" w:rsidR="00006FAB" w:rsidRPr="004C6771" w:rsidRDefault="00BB09C6" w:rsidP="00466EF9">
            <w:pPr>
              <w:ind w:left="0" w:right="0"/>
              <w:rPr>
                <w:sz w:val="21"/>
              </w:rPr>
            </w:pPr>
            <w:r w:rsidRPr="004C6771">
              <w:rPr>
                <w:sz w:val="21"/>
              </w:rPr>
              <w:t xml:space="preserve">Approved on </w:t>
            </w:r>
            <w:r w:rsidR="004B7733" w:rsidRPr="004C6771">
              <w:rPr>
                <w:sz w:val="21"/>
              </w:rPr>
              <w:t>10 November 2020</w:t>
            </w:r>
          </w:p>
        </w:tc>
        <w:tc>
          <w:tcPr>
            <w:tcW w:w="3752" w:type="dxa"/>
            <w:tcBorders>
              <w:top w:val="single" w:sz="4" w:space="0" w:color="auto"/>
            </w:tcBorders>
          </w:tcPr>
          <w:p w14:paraId="5194D1A7" w14:textId="4B7A11F3" w:rsidR="00BB09C6" w:rsidRPr="004C6771" w:rsidRDefault="00BB09C6" w:rsidP="004C6771">
            <w:pPr>
              <w:ind w:left="0" w:right="0"/>
              <w:rPr>
                <w:i/>
                <w:sz w:val="21"/>
              </w:rPr>
            </w:pPr>
            <w:r w:rsidRPr="004C6771">
              <w:rPr>
                <w:i/>
                <w:sz w:val="21"/>
              </w:rPr>
              <w:t>Fycompa (perampanel) is indicated for the adjunctive treatment of</w:t>
            </w:r>
            <w:r w:rsidR="00466EF9">
              <w:rPr>
                <w:i/>
                <w:sz w:val="21"/>
              </w:rPr>
              <w:t>:</w:t>
            </w:r>
          </w:p>
          <w:p w14:paraId="7A2F0B31" w14:textId="3001BD8E" w:rsidR="00BB09C6" w:rsidRPr="004C6771" w:rsidRDefault="00466EF9" w:rsidP="004C6771">
            <w:pPr>
              <w:pStyle w:val="ListBullet"/>
              <w:ind w:left="0" w:right="0"/>
              <w:rPr>
                <w:i/>
                <w:sz w:val="21"/>
              </w:rPr>
            </w:pPr>
            <w:r>
              <w:rPr>
                <w:i/>
                <w:sz w:val="21"/>
              </w:rPr>
              <w:t xml:space="preserve">• </w:t>
            </w:r>
            <w:proofErr w:type="gramStart"/>
            <w:r w:rsidR="00BB09C6" w:rsidRPr="004C6771">
              <w:rPr>
                <w:i/>
                <w:sz w:val="21"/>
              </w:rPr>
              <w:t>partial-onset</w:t>
            </w:r>
            <w:proofErr w:type="gramEnd"/>
            <w:r w:rsidR="00BB09C6" w:rsidRPr="004C6771">
              <w:rPr>
                <w:i/>
                <w:sz w:val="21"/>
              </w:rPr>
              <w:t xml:space="preserve"> seizures (POS) with or without secondarily generalised seizures in patients from 4 years of age and older.</w:t>
            </w:r>
          </w:p>
          <w:p w14:paraId="2CBFC155" w14:textId="1C782F1C" w:rsidR="00006FAB" w:rsidRPr="004C6771" w:rsidRDefault="00466EF9" w:rsidP="004C6771">
            <w:pPr>
              <w:pStyle w:val="ListBullet"/>
              <w:ind w:left="0" w:right="0"/>
              <w:rPr>
                <w:i/>
                <w:sz w:val="21"/>
              </w:rPr>
            </w:pPr>
            <w:r>
              <w:rPr>
                <w:i/>
                <w:sz w:val="21"/>
              </w:rPr>
              <w:t xml:space="preserve">• </w:t>
            </w:r>
            <w:proofErr w:type="gramStart"/>
            <w:r w:rsidR="00BB09C6" w:rsidRPr="004C6771">
              <w:rPr>
                <w:i/>
                <w:sz w:val="21"/>
              </w:rPr>
              <w:t>primary</w:t>
            </w:r>
            <w:proofErr w:type="gramEnd"/>
            <w:r w:rsidR="00BB09C6" w:rsidRPr="004C6771">
              <w:rPr>
                <w:i/>
                <w:sz w:val="21"/>
              </w:rPr>
              <w:t xml:space="preserve"> generalised tonic-clonic (PGTC) seizures in patients from 7 years of age and older with idiopathic generalised epilepsy (IGE).</w:t>
            </w:r>
          </w:p>
        </w:tc>
      </w:tr>
      <w:tr w:rsidR="00006FAB" w:rsidRPr="00466EF9" w14:paraId="165361F3" w14:textId="77777777" w:rsidTr="004C6771">
        <w:tc>
          <w:tcPr>
            <w:tcW w:w="1098" w:type="dxa"/>
          </w:tcPr>
          <w:p w14:paraId="72EE8993" w14:textId="5C56B146" w:rsidR="00006FAB" w:rsidRPr="004C6771" w:rsidRDefault="00BB09C6" w:rsidP="00466EF9">
            <w:pPr>
              <w:ind w:left="0" w:right="0"/>
              <w:rPr>
                <w:sz w:val="21"/>
              </w:rPr>
            </w:pPr>
            <w:r w:rsidRPr="004C6771">
              <w:rPr>
                <w:sz w:val="21"/>
              </w:rPr>
              <w:t>US</w:t>
            </w:r>
            <w:r w:rsidR="00AA5063" w:rsidRPr="004C6771">
              <w:rPr>
                <w:sz w:val="21"/>
              </w:rPr>
              <w:t>A</w:t>
            </w:r>
          </w:p>
        </w:tc>
        <w:tc>
          <w:tcPr>
            <w:tcW w:w="1800" w:type="dxa"/>
          </w:tcPr>
          <w:p w14:paraId="4420B4B4" w14:textId="6C90D633" w:rsidR="00006FAB" w:rsidRPr="004C6771" w:rsidRDefault="00BB09C6" w:rsidP="00466EF9">
            <w:pPr>
              <w:ind w:left="0" w:right="0"/>
              <w:rPr>
                <w:sz w:val="21"/>
              </w:rPr>
            </w:pPr>
            <w:r w:rsidRPr="004C6771">
              <w:rPr>
                <w:sz w:val="21"/>
              </w:rPr>
              <w:t>28 March 2018</w:t>
            </w:r>
          </w:p>
        </w:tc>
        <w:tc>
          <w:tcPr>
            <w:tcW w:w="2070" w:type="dxa"/>
          </w:tcPr>
          <w:p w14:paraId="35C1313D" w14:textId="322F662E" w:rsidR="00006FAB" w:rsidRPr="004C6771" w:rsidRDefault="00BB09C6" w:rsidP="00466EF9">
            <w:pPr>
              <w:ind w:left="0" w:right="0"/>
              <w:rPr>
                <w:sz w:val="21"/>
              </w:rPr>
            </w:pPr>
            <w:r w:rsidRPr="004C6771">
              <w:rPr>
                <w:sz w:val="21"/>
              </w:rPr>
              <w:t>Approved on 27 September 2018</w:t>
            </w:r>
          </w:p>
        </w:tc>
        <w:tc>
          <w:tcPr>
            <w:tcW w:w="3752" w:type="dxa"/>
          </w:tcPr>
          <w:p w14:paraId="4F8AAE73" w14:textId="0354C583" w:rsidR="00006FAB" w:rsidRPr="004C6771" w:rsidRDefault="00BB09C6" w:rsidP="004C6771">
            <w:pPr>
              <w:ind w:left="0" w:right="0"/>
              <w:rPr>
                <w:i/>
                <w:sz w:val="21"/>
              </w:rPr>
            </w:pPr>
            <w:r w:rsidRPr="004C6771">
              <w:rPr>
                <w:i/>
                <w:sz w:val="21"/>
              </w:rPr>
              <w:t>Treatment of POS with or without secondarily generalized seizures in patients with epilepsy 4 years of age and older</w:t>
            </w:r>
          </w:p>
        </w:tc>
      </w:tr>
      <w:tr w:rsidR="00BB09C6" w:rsidRPr="00466EF9" w14:paraId="53E743C7" w14:textId="77777777" w:rsidTr="00466EF9">
        <w:tc>
          <w:tcPr>
            <w:tcW w:w="1098" w:type="dxa"/>
          </w:tcPr>
          <w:p w14:paraId="683C73C5" w14:textId="7F9BEF2B" w:rsidR="00BB09C6" w:rsidRPr="004C6771" w:rsidRDefault="00BB09C6" w:rsidP="004C6771">
            <w:pPr>
              <w:ind w:left="0" w:right="0"/>
              <w:rPr>
                <w:sz w:val="21"/>
              </w:rPr>
            </w:pPr>
            <w:r w:rsidRPr="004C6771">
              <w:rPr>
                <w:sz w:val="21"/>
              </w:rPr>
              <w:t>Canada</w:t>
            </w:r>
          </w:p>
        </w:tc>
        <w:tc>
          <w:tcPr>
            <w:tcW w:w="1800" w:type="dxa"/>
          </w:tcPr>
          <w:p w14:paraId="7232353D" w14:textId="74429C86" w:rsidR="00BB09C6" w:rsidRPr="004C6771" w:rsidRDefault="00BB09C6" w:rsidP="004C6771">
            <w:pPr>
              <w:ind w:left="0" w:right="0"/>
              <w:rPr>
                <w:sz w:val="21"/>
              </w:rPr>
            </w:pPr>
            <w:r w:rsidRPr="004C6771">
              <w:rPr>
                <w:sz w:val="21"/>
              </w:rPr>
              <w:t>13 March 2019</w:t>
            </w:r>
          </w:p>
        </w:tc>
        <w:tc>
          <w:tcPr>
            <w:tcW w:w="2070" w:type="dxa"/>
          </w:tcPr>
          <w:p w14:paraId="0B315BDA" w14:textId="7FC3B88E" w:rsidR="00BB09C6" w:rsidRPr="004C6771" w:rsidRDefault="00BB09C6" w:rsidP="004C6771">
            <w:pPr>
              <w:ind w:left="0" w:right="0"/>
              <w:rPr>
                <w:sz w:val="21"/>
              </w:rPr>
            </w:pPr>
            <w:r w:rsidRPr="004C6771">
              <w:rPr>
                <w:sz w:val="21"/>
              </w:rPr>
              <w:t>Approved on 25 February 2020</w:t>
            </w:r>
          </w:p>
        </w:tc>
        <w:tc>
          <w:tcPr>
            <w:tcW w:w="3752" w:type="dxa"/>
          </w:tcPr>
          <w:p w14:paraId="547FAD56" w14:textId="268E24E2" w:rsidR="00BB09C6" w:rsidRPr="004C6771" w:rsidRDefault="00BB09C6" w:rsidP="004C6771">
            <w:pPr>
              <w:ind w:left="0" w:right="0"/>
              <w:rPr>
                <w:i/>
                <w:sz w:val="21"/>
              </w:rPr>
            </w:pPr>
            <w:r w:rsidRPr="004C6771">
              <w:rPr>
                <w:i/>
                <w:sz w:val="21"/>
              </w:rPr>
              <w:t>Fycompa (perampanel) tablets and oral suspension are indicated as:</w:t>
            </w:r>
          </w:p>
          <w:p w14:paraId="52814641" w14:textId="5D1B0305" w:rsidR="00BB09C6" w:rsidRPr="004C6771" w:rsidRDefault="00466EF9" w:rsidP="00466EF9">
            <w:pPr>
              <w:pStyle w:val="ListParagraph"/>
              <w:ind w:left="0"/>
              <w:rPr>
                <w:i/>
              </w:rPr>
            </w:pPr>
            <w:r w:rsidRPr="00466EF9">
              <w:rPr>
                <w:i/>
                <w:sz w:val="21"/>
              </w:rPr>
              <w:t xml:space="preserve">• </w:t>
            </w:r>
            <w:r w:rsidR="00BB09C6" w:rsidRPr="004C6771">
              <w:rPr>
                <w:i/>
              </w:rPr>
              <w:t>adjunctive therapy in the management of partial-onset seizures in patients 7 years of age and older, who are not satisfactorily controlled with conventional therapy</w:t>
            </w:r>
          </w:p>
          <w:p w14:paraId="7F9D62E1" w14:textId="6D0AA546" w:rsidR="00BB09C6" w:rsidRPr="004C6771" w:rsidRDefault="00466EF9" w:rsidP="004C6771">
            <w:pPr>
              <w:pStyle w:val="ListBullet"/>
              <w:ind w:left="0" w:right="0"/>
              <w:rPr>
                <w:i/>
                <w:sz w:val="21"/>
              </w:rPr>
            </w:pPr>
            <w:r>
              <w:rPr>
                <w:i/>
                <w:sz w:val="21"/>
              </w:rPr>
              <w:t xml:space="preserve">• </w:t>
            </w:r>
            <w:proofErr w:type="gramStart"/>
            <w:r w:rsidR="00BB09C6" w:rsidRPr="004C6771">
              <w:rPr>
                <w:i/>
                <w:sz w:val="21"/>
              </w:rPr>
              <w:t>adjunctive</w:t>
            </w:r>
            <w:proofErr w:type="gramEnd"/>
            <w:r w:rsidR="00BB09C6" w:rsidRPr="004C6771">
              <w:rPr>
                <w:i/>
                <w:sz w:val="21"/>
              </w:rPr>
              <w:t xml:space="preserve"> therapy in the management of primary generalized tonic-clonic (PGTC) seizures in patients 12 years of age and older with epilepsy, who are not satisfactorily controlled with conventional therapy.</w:t>
            </w:r>
          </w:p>
        </w:tc>
      </w:tr>
    </w:tbl>
    <w:p w14:paraId="7E6EE078" w14:textId="27AA13D0" w:rsidR="00DE5FE0" w:rsidRDefault="00DE5FE0" w:rsidP="0019231D">
      <w:pPr>
        <w:rPr>
          <w:lang w:eastAsia="ja-JP"/>
        </w:rPr>
      </w:pPr>
      <w:r>
        <w:rPr>
          <w:lang w:eastAsia="ja-JP"/>
        </w:rPr>
        <w:t xml:space="preserve">The sponsor has stated that an original application to extend perampanel to include paediatric use </w:t>
      </w:r>
      <w:proofErr w:type="gramStart"/>
      <w:r>
        <w:rPr>
          <w:lang w:eastAsia="ja-JP"/>
        </w:rPr>
        <w:t>was with</w:t>
      </w:r>
      <w:r w:rsidR="0019231D">
        <w:rPr>
          <w:lang w:eastAsia="ja-JP"/>
        </w:rPr>
        <w:t>drawn</w:t>
      </w:r>
      <w:proofErr w:type="gramEnd"/>
      <w:r w:rsidR="0019231D">
        <w:rPr>
          <w:lang w:eastAsia="ja-JP"/>
        </w:rPr>
        <w:t xml:space="preserve"> in the EU in April 2019. </w:t>
      </w:r>
      <w:r>
        <w:rPr>
          <w:lang w:eastAsia="ja-JP"/>
        </w:rPr>
        <w:t xml:space="preserve">The sponsor </w:t>
      </w:r>
      <w:proofErr w:type="gramStart"/>
      <w:r>
        <w:rPr>
          <w:lang w:eastAsia="ja-JP"/>
        </w:rPr>
        <w:t>is requested</w:t>
      </w:r>
      <w:proofErr w:type="gramEnd"/>
      <w:r>
        <w:rPr>
          <w:lang w:eastAsia="ja-JP"/>
        </w:rPr>
        <w:t xml:space="preserve"> to clarify the reason for withdrawal</w:t>
      </w:r>
      <w:r w:rsidR="0019231D">
        <w:rPr>
          <w:lang w:eastAsia="ja-JP"/>
        </w:rPr>
        <w:t xml:space="preserve"> (see ‘</w:t>
      </w:r>
      <w:r w:rsidR="0019231D" w:rsidRPr="0019231D">
        <w:rPr>
          <w:i/>
          <w:lang w:eastAsia="ja-JP"/>
        </w:rPr>
        <w:fldChar w:fldCharType="begin"/>
      </w:r>
      <w:r w:rsidR="0019231D" w:rsidRPr="0019231D">
        <w:rPr>
          <w:i/>
          <w:lang w:eastAsia="ja-JP"/>
        </w:rPr>
        <w:instrText xml:space="preserve"> REF _Ref67648671 \h </w:instrText>
      </w:r>
      <w:r w:rsidR="0019231D">
        <w:rPr>
          <w:i/>
          <w:lang w:eastAsia="ja-JP"/>
        </w:rPr>
        <w:instrText xml:space="preserve"> \* MERGEFORMAT </w:instrText>
      </w:r>
      <w:r w:rsidR="0019231D" w:rsidRPr="0019231D">
        <w:rPr>
          <w:i/>
          <w:lang w:eastAsia="ja-JP"/>
        </w:rPr>
      </w:r>
      <w:r w:rsidR="0019231D" w:rsidRPr="0019231D">
        <w:rPr>
          <w:i/>
          <w:lang w:eastAsia="ja-JP"/>
        </w:rPr>
        <w:fldChar w:fldCharType="separate"/>
      </w:r>
      <w:r w:rsidR="004C6771" w:rsidRPr="004C6771">
        <w:rPr>
          <w:i/>
        </w:rPr>
        <w:t>Questions for the sponsor</w:t>
      </w:r>
      <w:r w:rsidR="0019231D" w:rsidRPr="0019231D">
        <w:rPr>
          <w:i/>
          <w:lang w:eastAsia="ja-JP"/>
        </w:rPr>
        <w:fldChar w:fldCharType="end"/>
      </w:r>
      <w:r w:rsidR="0019231D">
        <w:rPr>
          <w:lang w:eastAsia="ja-JP"/>
        </w:rPr>
        <w:t>’ section, below)</w:t>
      </w:r>
      <w:r>
        <w:rPr>
          <w:lang w:eastAsia="ja-JP"/>
        </w:rPr>
        <w:t>.</w:t>
      </w:r>
    </w:p>
    <w:p w14:paraId="45D69145" w14:textId="0F6F0E1E" w:rsidR="00DE5FE0" w:rsidRDefault="0019231D" w:rsidP="00DE5FE0">
      <w:r>
        <w:t xml:space="preserve">The oral suspension formulation has been approved </w:t>
      </w:r>
      <w:r w:rsidR="00466EF9">
        <w:t>i</w:t>
      </w:r>
      <w:r>
        <w:t>n the EU (approved on 1</w:t>
      </w:r>
      <w:r w:rsidR="00C4184E">
        <w:t>9 </w:t>
      </w:r>
      <w:r w:rsidR="004F68E5">
        <w:t>September </w:t>
      </w:r>
      <w:r>
        <w:t xml:space="preserve">2016), </w:t>
      </w:r>
      <w:r w:rsidR="00466EF9">
        <w:t xml:space="preserve">in the </w:t>
      </w:r>
      <w:r>
        <w:t>US</w:t>
      </w:r>
      <w:r w:rsidR="00466EF9">
        <w:t>A</w:t>
      </w:r>
      <w:r>
        <w:t xml:space="preserve"> (approved on 29 April 2016), </w:t>
      </w:r>
      <w:r w:rsidR="00466EF9">
        <w:t xml:space="preserve">in </w:t>
      </w:r>
      <w:r>
        <w:t>Canada (approved on 21</w:t>
      </w:r>
      <w:r w:rsidR="00466EF9">
        <w:t> </w:t>
      </w:r>
      <w:r w:rsidR="004F68E5">
        <w:t>December </w:t>
      </w:r>
      <w:r>
        <w:t xml:space="preserve">2016) and </w:t>
      </w:r>
      <w:r w:rsidR="00466EF9">
        <w:t xml:space="preserve">in </w:t>
      </w:r>
      <w:r>
        <w:t>Switzerland (approved on 16 April 2020).</w:t>
      </w:r>
    </w:p>
    <w:p w14:paraId="538FD42A" w14:textId="77777777" w:rsidR="008E7846" w:rsidRDefault="008E7846" w:rsidP="00940A89">
      <w:pPr>
        <w:pStyle w:val="Heading3"/>
      </w:pPr>
      <w:bookmarkStart w:id="25" w:name="_Toc70347469"/>
      <w:r>
        <w:t>Product Information</w:t>
      </w:r>
      <w:bookmarkEnd w:id="22"/>
      <w:bookmarkEnd w:id="23"/>
      <w:bookmarkEnd w:id="25"/>
    </w:p>
    <w:p w14:paraId="4FCB2FC4" w14:textId="30211CE3" w:rsidR="00940A89" w:rsidRDefault="006136D7" w:rsidP="00940A89">
      <w:bookmarkStart w:id="26" w:name="_Toc247691506"/>
      <w:bookmarkStart w:id="27" w:name="_Toc314842487"/>
      <w:r w:rsidRPr="00940A89">
        <w:t xml:space="preserve">The Product Information (PI) </w:t>
      </w:r>
      <w:r>
        <w:t xml:space="preserve">approved with the </w:t>
      </w:r>
      <w:proofErr w:type="gramStart"/>
      <w:r>
        <w:t xml:space="preserve">submission which is described in </w:t>
      </w:r>
      <w:r w:rsidRPr="00940A89">
        <w:t>this AusPAR</w:t>
      </w:r>
      <w:proofErr w:type="gramEnd"/>
      <w:r w:rsidRPr="00940A89">
        <w:t xml:space="preserve"> can be found as Attachment 1. For the most recent </w:t>
      </w:r>
      <w:r>
        <w:t>PI,</w:t>
      </w:r>
      <w:r w:rsidRPr="00940A89">
        <w:t xml:space="preserve"> ple</w:t>
      </w:r>
      <w:r>
        <w:t>ase refer to the TGA website</w:t>
      </w:r>
      <w:r w:rsidRPr="00441C3F">
        <w:t xml:space="preserve"> at </w:t>
      </w:r>
      <w:r w:rsidR="00441C3F" w:rsidRPr="00441C3F">
        <w:t>&lt;</w:t>
      </w:r>
      <w:hyperlink r:id="rId14" w:history="1">
        <w:r w:rsidR="00441C3F" w:rsidRPr="00441C3F">
          <w:rPr>
            <w:rStyle w:val="Hyperlink"/>
          </w:rPr>
          <w:t>https://www.tga.gov.au/product-information-pi</w:t>
        </w:r>
      </w:hyperlink>
      <w:r w:rsidR="00441C3F">
        <w:t>&gt;</w:t>
      </w:r>
      <w:r w:rsidR="00940A89" w:rsidRPr="00940A89">
        <w:t>.</w:t>
      </w:r>
    </w:p>
    <w:p w14:paraId="76D116C5" w14:textId="77777777" w:rsidR="00500337" w:rsidRDefault="00500337" w:rsidP="00500337">
      <w:pPr>
        <w:pStyle w:val="Heading2"/>
      </w:pPr>
      <w:bookmarkStart w:id="28" w:name="_Toc504480011"/>
      <w:bookmarkStart w:id="29" w:name="_Toc70347470"/>
      <w:bookmarkStart w:id="30" w:name="_GoBack"/>
      <w:r>
        <w:lastRenderedPageBreak/>
        <w:t>II. Registration timeline</w:t>
      </w:r>
      <w:bookmarkEnd w:id="28"/>
      <w:bookmarkEnd w:id="29"/>
      <w:bookmarkEnd w:id="30"/>
    </w:p>
    <w:p w14:paraId="4E637322" w14:textId="77777777" w:rsidR="00500337" w:rsidRDefault="00500337" w:rsidP="00500337">
      <w:r>
        <w:t xml:space="preserve">The following table captures the key steps and dates for this application and which </w:t>
      </w:r>
      <w:proofErr w:type="gramStart"/>
      <w:r>
        <w:t>are detailed and discussed in this AusPAR</w:t>
      </w:r>
      <w:proofErr w:type="gramEnd"/>
      <w:r>
        <w:t>.</w:t>
      </w:r>
    </w:p>
    <w:p w14:paraId="5844CB06" w14:textId="17C03119" w:rsidR="00500337" w:rsidRPr="00377BD4" w:rsidRDefault="001F0D9F" w:rsidP="001F0D9F">
      <w:pPr>
        <w:pStyle w:val="TableTitle"/>
      </w:pPr>
      <w:r>
        <w:t xml:space="preserve">Table </w:t>
      </w:r>
      <w:fldSimple w:instr=" SEQ Table \* ARABIC ">
        <w:r w:rsidR="004C6771">
          <w:rPr>
            <w:noProof/>
          </w:rPr>
          <w:t>2</w:t>
        </w:r>
      </w:fldSimple>
      <w:r w:rsidR="00006FAB">
        <w:t>:</w:t>
      </w:r>
      <w:r w:rsidR="006A58A8" w:rsidRPr="006A58A8">
        <w:t xml:space="preserve"> Timeline for Submission </w:t>
      </w:r>
      <w:r w:rsidR="00EB25D8" w:rsidRPr="00773191">
        <w:t>PM-2019-05359-1-1</w:t>
      </w:r>
    </w:p>
    <w:tbl>
      <w:tblPr>
        <w:tblStyle w:val="TableTGAblue"/>
        <w:tblW w:w="0" w:type="auto"/>
        <w:tblLook w:val="04A0" w:firstRow="1" w:lastRow="0" w:firstColumn="1" w:lastColumn="0" w:noHBand="0" w:noVBand="1"/>
      </w:tblPr>
      <w:tblGrid>
        <w:gridCol w:w="4360"/>
        <w:gridCol w:w="4360"/>
      </w:tblGrid>
      <w:tr w:rsidR="00500337" w14:paraId="4088B1D1" w14:textId="77777777" w:rsidTr="00CF5DAD">
        <w:trPr>
          <w:cnfStyle w:val="100000000000" w:firstRow="1" w:lastRow="0" w:firstColumn="0" w:lastColumn="0" w:oddVBand="0" w:evenVBand="0" w:oddHBand="0" w:evenHBand="0" w:firstRowFirstColumn="0" w:firstRowLastColumn="0" w:lastRowFirstColumn="0" w:lastRowLastColumn="0"/>
          <w:cantSplit/>
        </w:trPr>
        <w:tc>
          <w:tcPr>
            <w:tcW w:w="4360" w:type="dxa"/>
            <w:tcBorders>
              <w:top w:val="single" w:sz="4" w:space="0" w:color="auto"/>
              <w:left w:val="single" w:sz="4" w:space="0" w:color="auto"/>
              <w:bottom w:val="single" w:sz="4" w:space="0" w:color="auto"/>
              <w:right w:val="single" w:sz="4" w:space="0" w:color="auto"/>
            </w:tcBorders>
          </w:tcPr>
          <w:p w14:paraId="622D7FB1" w14:textId="77777777" w:rsidR="00500337" w:rsidRDefault="00500337" w:rsidP="00500337">
            <w:pPr>
              <w:ind w:left="0" w:right="0"/>
            </w:pPr>
            <w:r>
              <w:t>Description</w:t>
            </w:r>
          </w:p>
        </w:tc>
        <w:tc>
          <w:tcPr>
            <w:tcW w:w="4360" w:type="dxa"/>
            <w:tcBorders>
              <w:top w:val="single" w:sz="4" w:space="0" w:color="auto"/>
              <w:left w:val="single" w:sz="4" w:space="0" w:color="auto"/>
              <w:bottom w:val="single" w:sz="4" w:space="0" w:color="auto"/>
              <w:right w:val="single" w:sz="4" w:space="0" w:color="auto"/>
            </w:tcBorders>
          </w:tcPr>
          <w:p w14:paraId="06889354" w14:textId="77777777" w:rsidR="00500337" w:rsidRDefault="00500337" w:rsidP="00500337">
            <w:pPr>
              <w:ind w:left="0" w:right="0"/>
            </w:pPr>
            <w:r>
              <w:t>Date</w:t>
            </w:r>
          </w:p>
        </w:tc>
      </w:tr>
      <w:tr w:rsidR="00500337" w14:paraId="50C092CA" w14:textId="77777777" w:rsidTr="00CF5DAD">
        <w:tc>
          <w:tcPr>
            <w:tcW w:w="4360" w:type="dxa"/>
            <w:tcBorders>
              <w:top w:val="single" w:sz="4" w:space="0" w:color="auto"/>
            </w:tcBorders>
          </w:tcPr>
          <w:p w14:paraId="571A7086" w14:textId="77777777" w:rsidR="00500337" w:rsidRDefault="00500337" w:rsidP="00500337">
            <w:pPr>
              <w:ind w:left="0" w:right="0"/>
            </w:pPr>
            <w:r>
              <w:t>Submission dossier accepted and first round evaluation commenced</w:t>
            </w:r>
          </w:p>
        </w:tc>
        <w:tc>
          <w:tcPr>
            <w:tcW w:w="4360" w:type="dxa"/>
            <w:tcBorders>
              <w:top w:val="single" w:sz="4" w:space="0" w:color="auto"/>
            </w:tcBorders>
          </w:tcPr>
          <w:p w14:paraId="2C5B971A" w14:textId="02DDF4C8" w:rsidR="00500337" w:rsidRDefault="0019231D" w:rsidP="00500337">
            <w:pPr>
              <w:ind w:left="0" w:right="0"/>
            </w:pPr>
            <w:r>
              <w:t>2 January 2020</w:t>
            </w:r>
          </w:p>
        </w:tc>
      </w:tr>
      <w:tr w:rsidR="00500337" w14:paraId="2ED4F2C0" w14:textId="77777777" w:rsidTr="00500337">
        <w:tc>
          <w:tcPr>
            <w:tcW w:w="4360" w:type="dxa"/>
          </w:tcPr>
          <w:p w14:paraId="06CC4121" w14:textId="77777777" w:rsidR="00500337" w:rsidRDefault="00500337" w:rsidP="00500337">
            <w:pPr>
              <w:ind w:left="0" w:right="0"/>
            </w:pPr>
            <w:r>
              <w:t>First round evaluation completed</w:t>
            </w:r>
          </w:p>
        </w:tc>
        <w:tc>
          <w:tcPr>
            <w:tcW w:w="4360" w:type="dxa"/>
          </w:tcPr>
          <w:p w14:paraId="64EB381F" w14:textId="38D6D76F" w:rsidR="00500337" w:rsidRDefault="0019231D" w:rsidP="00500337">
            <w:pPr>
              <w:ind w:left="0" w:right="0"/>
            </w:pPr>
            <w:r>
              <w:t>9 June 2020</w:t>
            </w:r>
          </w:p>
        </w:tc>
      </w:tr>
      <w:tr w:rsidR="00500337" w14:paraId="4BCF59EE" w14:textId="77777777" w:rsidTr="00500337">
        <w:tc>
          <w:tcPr>
            <w:tcW w:w="4360" w:type="dxa"/>
          </w:tcPr>
          <w:p w14:paraId="3A718266" w14:textId="77777777" w:rsidR="00500337" w:rsidRDefault="00500337" w:rsidP="00500337">
            <w:pPr>
              <w:ind w:left="0" w:right="0"/>
            </w:pPr>
            <w:r>
              <w:t>Sponsor provides responses on questions raised in first round evaluation</w:t>
            </w:r>
          </w:p>
        </w:tc>
        <w:tc>
          <w:tcPr>
            <w:tcW w:w="4360" w:type="dxa"/>
          </w:tcPr>
          <w:p w14:paraId="2FA443F2" w14:textId="6ED0CD05" w:rsidR="00500337" w:rsidRDefault="0019231D" w:rsidP="00500337">
            <w:pPr>
              <w:ind w:left="0" w:right="0"/>
            </w:pPr>
            <w:r>
              <w:t>3 August 2020</w:t>
            </w:r>
          </w:p>
        </w:tc>
      </w:tr>
      <w:tr w:rsidR="00500337" w14:paraId="0ECC22DC" w14:textId="77777777" w:rsidTr="00500337">
        <w:tc>
          <w:tcPr>
            <w:tcW w:w="4360" w:type="dxa"/>
          </w:tcPr>
          <w:p w14:paraId="6CB9D015" w14:textId="77777777" w:rsidR="00500337" w:rsidRDefault="00500337" w:rsidP="00500337">
            <w:pPr>
              <w:ind w:left="0" w:right="0"/>
            </w:pPr>
            <w:r>
              <w:t>Second round evaluation completed</w:t>
            </w:r>
          </w:p>
        </w:tc>
        <w:tc>
          <w:tcPr>
            <w:tcW w:w="4360" w:type="dxa"/>
          </w:tcPr>
          <w:p w14:paraId="2F70A08E" w14:textId="0BDE38C7" w:rsidR="00500337" w:rsidRDefault="0019231D" w:rsidP="00500337">
            <w:pPr>
              <w:ind w:left="0" w:right="0"/>
            </w:pPr>
            <w:r>
              <w:t>15 October 2020</w:t>
            </w:r>
          </w:p>
        </w:tc>
      </w:tr>
      <w:tr w:rsidR="00500337" w14:paraId="7A7ED7FF" w14:textId="77777777" w:rsidTr="00500337">
        <w:tc>
          <w:tcPr>
            <w:tcW w:w="4360" w:type="dxa"/>
          </w:tcPr>
          <w:p w14:paraId="4861F909" w14:textId="77777777" w:rsidR="00500337" w:rsidRDefault="00324E45" w:rsidP="00EB25D8">
            <w:pPr>
              <w:ind w:left="0" w:right="0"/>
            </w:pPr>
            <w:r>
              <w:t xml:space="preserve">Delegate’s Overall benefit-risk assessment </w:t>
            </w:r>
            <w:r w:rsidRPr="00EB25D8">
              <w:rPr>
                <w:color w:val="auto"/>
              </w:rPr>
              <w:t>and request</w:t>
            </w:r>
            <w:r w:rsidR="00EB25D8" w:rsidRPr="00EB25D8">
              <w:rPr>
                <w:color w:val="auto"/>
              </w:rPr>
              <w:t xml:space="preserve"> for Advisory Committee advice</w:t>
            </w:r>
          </w:p>
        </w:tc>
        <w:tc>
          <w:tcPr>
            <w:tcW w:w="4360" w:type="dxa"/>
          </w:tcPr>
          <w:p w14:paraId="719BA110" w14:textId="48692DCC" w:rsidR="00500337" w:rsidRDefault="0019231D" w:rsidP="00500337">
            <w:pPr>
              <w:ind w:left="0" w:right="0"/>
            </w:pPr>
            <w:r>
              <w:t>3 November 2020</w:t>
            </w:r>
          </w:p>
        </w:tc>
      </w:tr>
      <w:tr w:rsidR="00500337" w14:paraId="437F9CD1" w14:textId="77777777" w:rsidTr="00500337">
        <w:tc>
          <w:tcPr>
            <w:tcW w:w="4360" w:type="dxa"/>
          </w:tcPr>
          <w:p w14:paraId="6F315522" w14:textId="77777777" w:rsidR="00500337" w:rsidRDefault="00500337" w:rsidP="00500337">
            <w:pPr>
              <w:ind w:left="0" w:right="0"/>
            </w:pPr>
            <w:r>
              <w:t>Sponsor’s pre-Advisory Committee response</w:t>
            </w:r>
          </w:p>
        </w:tc>
        <w:tc>
          <w:tcPr>
            <w:tcW w:w="4360" w:type="dxa"/>
          </w:tcPr>
          <w:p w14:paraId="529BF129" w14:textId="2943B7B7" w:rsidR="00500337" w:rsidRDefault="0019231D" w:rsidP="00500337">
            <w:pPr>
              <w:ind w:left="0" w:right="0"/>
            </w:pPr>
            <w:r>
              <w:t>16 November 2020</w:t>
            </w:r>
          </w:p>
        </w:tc>
      </w:tr>
      <w:tr w:rsidR="00500337" w14:paraId="38C14481" w14:textId="77777777" w:rsidTr="00500337">
        <w:tc>
          <w:tcPr>
            <w:tcW w:w="4360" w:type="dxa"/>
          </w:tcPr>
          <w:p w14:paraId="11AFDF7C" w14:textId="77777777" w:rsidR="00500337" w:rsidRDefault="00500337" w:rsidP="00500337">
            <w:pPr>
              <w:ind w:left="0" w:right="0"/>
            </w:pPr>
            <w:r>
              <w:t>Advisory Committee meeting</w:t>
            </w:r>
          </w:p>
        </w:tc>
        <w:tc>
          <w:tcPr>
            <w:tcW w:w="4360" w:type="dxa"/>
          </w:tcPr>
          <w:p w14:paraId="231D5E8E" w14:textId="77777777" w:rsidR="00500337" w:rsidRDefault="00EB25D8" w:rsidP="00500337">
            <w:pPr>
              <w:ind w:left="0" w:right="0"/>
            </w:pPr>
            <w:r>
              <w:t>3 and 4 December 2020</w:t>
            </w:r>
          </w:p>
        </w:tc>
      </w:tr>
      <w:tr w:rsidR="00500337" w14:paraId="6BF790D2" w14:textId="77777777" w:rsidTr="00500337">
        <w:tc>
          <w:tcPr>
            <w:tcW w:w="4360" w:type="dxa"/>
          </w:tcPr>
          <w:p w14:paraId="696DD750" w14:textId="77777777" w:rsidR="00500337" w:rsidRDefault="00500337" w:rsidP="00500337">
            <w:pPr>
              <w:ind w:left="0" w:right="0"/>
            </w:pPr>
            <w:r>
              <w:t>Registration decision (Outcome)</w:t>
            </w:r>
          </w:p>
        </w:tc>
        <w:tc>
          <w:tcPr>
            <w:tcW w:w="4360" w:type="dxa"/>
          </w:tcPr>
          <w:p w14:paraId="35E9F8B9" w14:textId="77777777" w:rsidR="00500337" w:rsidRDefault="00DE5FE0" w:rsidP="00500337">
            <w:pPr>
              <w:ind w:left="0" w:right="0"/>
            </w:pPr>
            <w:r>
              <w:t>11 February 2021</w:t>
            </w:r>
          </w:p>
        </w:tc>
      </w:tr>
      <w:tr w:rsidR="00500337" w14:paraId="78334BDD" w14:textId="77777777" w:rsidTr="00500337">
        <w:tc>
          <w:tcPr>
            <w:tcW w:w="4360" w:type="dxa"/>
          </w:tcPr>
          <w:p w14:paraId="137BAA4C" w14:textId="77777777" w:rsidR="00500337" w:rsidRDefault="00500337" w:rsidP="00500337">
            <w:pPr>
              <w:ind w:left="0" w:right="0"/>
            </w:pPr>
            <w:r>
              <w:t xml:space="preserve">Completion of administrative activities and registration on </w:t>
            </w:r>
            <w:r w:rsidR="00006FAB">
              <w:t xml:space="preserve">the </w:t>
            </w:r>
            <w:r>
              <w:t>ARTG</w:t>
            </w:r>
          </w:p>
        </w:tc>
        <w:tc>
          <w:tcPr>
            <w:tcW w:w="4360" w:type="dxa"/>
          </w:tcPr>
          <w:p w14:paraId="0A40EF91" w14:textId="77777777" w:rsidR="00500337" w:rsidRDefault="00DE5FE0" w:rsidP="00500337">
            <w:pPr>
              <w:ind w:left="0" w:right="0"/>
            </w:pPr>
            <w:r>
              <w:t>16 February 2021</w:t>
            </w:r>
          </w:p>
        </w:tc>
      </w:tr>
      <w:tr w:rsidR="00500337" w14:paraId="18DCA63B" w14:textId="77777777" w:rsidTr="00500337">
        <w:tc>
          <w:tcPr>
            <w:tcW w:w="4360" w:type="dxa"/>
          </w:tcPr>
          <w:p w14:paraId="62F25458" w14:textId="77777777" w:rsidR="00500337" w:rsidRDefault="00500337" w:rsidP="00500337">
            <w:pPr>
              <w:ind w:left="0" w:right="0"/>
            </w:pPr>
            <w:r>
              <w:t>Number of working days from submission dossier acceptance to registration decision*</w:t>
            </w:r>
          </w:p>
        </w:tc>
        <w:tc>
          <w:tcPr>
            <w:tcW w:w="4360" w:type="dxa"/>
          </w:tcPr>
          <w:p w14:paraId="059AA5F0" w14:textId="6F2FBEA1" w:rsidR="00500337" w:rsidRDefault="0019231D" w:rsidP="00500337">
            <w:pPr>
              <w:ind w:left="0" w:right="0"/>
            </w:pPr>
            <w:r>
              <w:t>197</w:t>
            </w:r>
          </w:p>
        </w:tc>
      </w:tr>
    </w:tbl>
    <w:p w14:paraId="63E1E831" w14:textId="77777777"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14:paraId="6C9599EE" w14:textId="77777777" w:rsidR="008E7846" w:rsidRPr="00792A32" w:rsidRDefault="00456765" w:rsidP="008E7846">
      <w:pPr>
        <w:pStyle w:val="Heading2"/>
      </w:pPr>
      <w:bookmarkStart w:id="31" w:name="_Toc196046504"/>
      <w:bookmarkStart w:id="32" w:name="_Toc247691527"/>
      <w:bookmarkStart w:id="33" w:name="_Toc314842510"/>
      <w:bookmarkStart w:id="34" w:name="_Toc70347471"/>
      <w:bookmarkStart w:id="35" w:name="_Toc163441390"/>
      <w:bookmarkEnd w:id="26"/>
      <w:bookmarkEnd w:id="27"/>
      <w:bookmarkEnd w:id="1"/>
      <w:r>
        <w:t>I</w:t>
      </w:r>
      <w:r w:rsidR="00DA64CB">
        <w:t>I</w:t>
      </w:r>
      <w:r w:rsidR="008E7846">
        <w:t xml:space="preserve">I. </w:t>
      </w:r>
      <w:r w:rsidR="00006FAB"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31"/>
      <w:bookmarkEnd w:id="32"/>
      <w:bookmarkEnd w:id="33"/>
      <w:bookmarkEnd w:id="34"/>
    </w:p>
    <w:p w14:paraId="423F4283" w14:textId="77777777" w:rsidR="00006FAB" w:rsidRDefault="00006FAB" w:rsidP="00006FAB">
      <w:bookmarkStart w:id="36" w:name="_Toc247691528"/>
      <w:r>
        <w:t>The submission was summarised in the following Delegate’s overview and recommendations.</w:t>
      </w:r>
    </w:p>
    <w:p w14:paraId="7C2E4795" w14:textId="77777777" w:rsidR="008E7846" w:rsidRDefault="008E7846" w:rsidP="008E7846">
      <w:pPr>
        <w:pStyle w:val="Heading3"/>
      </w:pPr>
      <w:bookmarkStart w:id="37" w:name="_Toc314842511"/>
      <w:bookmarkStart w:id="38" w:name="_Toc70347472"/>
      <w:r>
        <w:t>Quality</w:t>
      </w:r>
      <w:bookmarkEnd w:id="36"/>
      <w:bookmarkEnd w:id="37"/>
      <w:bookmarkEnd w:id="38"/>
    </w:p>
    <w:p w14:paraId="3334675A" w14:textId="6ED9FB4D" w:rsidR="0019231D" w:rsidRDefault="0019231D" w:rsidP="00DE5FE0">
      <w:r>
        <w:t xml:space="preserve">The </w:t>
      </w:r>
      <w:proofErr w:type="gramStart"/>
      <w:r>
        <w:t>extension of indications for</w:t>
      </w:r>
      <w:r w:rsidRPr="0019231D">
        <w:t xml:space="preserve"> Fycompa </w:t>
      </w:r>
      <w:r w:rsidR="00C4184E">
        <w:t>(</w:t>
      </w:r>
      <w:r w:rsidRPr="0019231D">
        <w:t>perampanel</w:t>
      </w:r>
      <w:r w:rsidR="00C4184E">
        <w:t>)</w:t>
      </w:r>
      <w:r w:rsidRPr="0019231D">
        <w:t xml:space="preserve"> </w:t>
      </w:r>
      <w:r>
        <w:t>film</w:t>
      </w:r>
      <w:r w:rsidR="006E5D75">
        <w:noBreakHyphen/>
      </w:r>
      <w:r>
        <w:t xml:space="preserve">coated </w:t>
      </w:r>
      <w:r w:rsidRPr="0019231D">
        <w:t>tablet</w:t>
      </w:r>
      <w:r>
        <w:t>s</w:t>
      </w:r>
      <w:r w:rsidRPr="0019231D">
        <w:t xml:space="preserve"> for use in paediatric</w:t>
      </w:r>
      <w:r>
        <w:t xml:space="preserve"> patients (2 to 11 years) </w:t>
      </w:r>
      <w:r w:rsidRPr="0019231D">
        <w:t>was n</w:t>
      </w:r>
      <w:r>
        <w:t>ot ev</w:t>
      </w:r>
      <w:r w:rsidR="00C4184E">
        <w:t>aluated by the quality evaluator</w:t>
      </w:r>
      <w:proofErr w:type="gramEnd"/>
      <w:r w:rsidRPr="0019231D">
        <w:t xml:space="preserve"> as there is no change to any quality aspect of these products.</w:t>
      </w:r>
    </w:p>
    <w:p w14:paraId="7A41BCB3" w14:textId="0C155470" w:rsidR="0019231D" w:rsidRDefault="0019231D" w:rsidP="00DE5FE0">
      <w:proofErr w:type="gramStart"/>
      <w:r>
        <w:t>In regard to</w:t>
      </w:r>
      <w:proofErr w:type="gramEnd"/>
      <w:r>
        <w:t xml:space="preserve"> the new oral suspension formulation, the quality evaluator summarised the following points:</w:t>
      </w:r>
    </w:p>
    <w:p w14:paraId="54CB17F2" w14:textId="39A2AC99" w:rsidR="0019231D" w:rsidRDefault="0019231D" w:rsidP="0019231D">
      <w:pPr>
        <w:pStyle w:val="ListBullet"/>
      </w:pPr>
      <w:r>
        <w:t xml:space="preserve">The new formulation (oral suspension) </w:t>
      </w:r>
      <w:proofErr w:type="gramStart"/>
      <w:r>
        <w:t>has been chosen</w:t>
      </w:r>
      <w:proofErr w:type="gramEnd"/>
      <w:r>
        <w:t xml:space="preserve"> due to the low aqueous solubility of perampanel.</w:t>
      </w:r>
    </w:p>
    <w:p w14:paraId="7257DA70" w14:textId="2EE14F89" w:rsidR="0019231D" w:rsidRDefault="0019231D" w:rsidP="0019231D">
      <w:pPr>
        <w:pStyle w:val="ListBullet"/>
      </w:pPr>
      <w:r>
        <w:lastRenderedPageBreak/>
        <w:t>Study 048 was included to demonstrate bioequivalence between the 12 mg tablet and 12 mg dose of oral formulation under fasted and fed conditions in healthy subjects.</w:t>
      </w:r>
    </w:p>
    <w:p w14:paraId="6E8385DE" w14:textId="6B66CA5D" w:rsidR="0019231D" w:rsidRDefault="0019231D" w:rsidP="0019231D">
      <w:pPr>
        <w:pStyle w:val="ListBullet"/>
      </w:pPr>
      <w:r>
        <w:t xml:space="preserve">The oral suspension </w:t>
      </w:r>
      <w:proofErr w:type="gramStart"/>
      <w:r>
        <w:t>was concluded</w:t>
      </w:r>
      <w:proofErr w:type="gramEnd"/>
      <w:r>
        <w:t xml:space="preserve"> to be bioequivalent to the 12 mg tablet under fasted conditions. The oral suspension was not bioequivalent to the 12 mg tablet under fed conditions. The 90% </w:t>
      </w:r>
      <w:r w:rsidR="001F0D9F">
        <w:t>confidence interval (</w:t>
      </w:r>
      <w:r>
        <w:t>CI</w:t>
      </w:r>
      <w:r w:rsidR="001F0D9F">
        <w:t>)</w:t>
      </w:r>
      <w:r>
        <w:t xml:space="preserve"> for </w:t>
      </w:r>
      <w:r w:rsidR="001F0D9F">
        <w:t>the maximum plasma concentration (</w:t>
      </w:r>
      <w:r>
        <w:t>C</w:t>
      </w:r>
      <w:r w:rsidRPr="0019231D">
        <w:rPr>
          <w:vertAlign w:val="subscript"/>
        </w:rPr>
        <w:t>max</w:t>
      </w:r>
      <w:r w:rsidR="001F0D9F">
        <w:t>)</w:t>
      </w:r>
      <w:r>
        <w:t xml:space="preserve"> (72.6 to 82.7%) was on the lower side and outside the acceptance criteria of 80 to 125% to conclude bioequivalence. However, given that the 90% CI for </w:t>
      </w:r>
      <w:r w:rsidR="001F0D9F">
        <w:t>the area under the concentration</w:t>
      </w:r>
      <w:r w:rsidR="006E5D75">
        <w:noBreakHyphen/>
      </w:r>
      <w:r w:rsidR="001F0D9F">
        <w:t xml:space="preserve">time </w:t>
      </w:r>
      <w:proofErr w:type="gramStart"/>
      <w:r w:rsidR="001F0D9F">
        <w:t>curve</w:t>
      </w:r>
      <w:proofErr w:type="gramEnd"/>
      <w:r w:rsidR="001F0D9F">
        <w:t xml:space="preserve"> (</w:t>
      </w:r>
      <w:r>
        <w:t>AUC</w:t>
      </w:r>
      <w:r w:rsidR="001F0D9F">
        <w:t>)</w:t>
      </w:r>
      <w:r>
        <w:t xml:space="preserve"> (94.8 to 102.8%) was still within the criteria under fed condition; the method of administration in the PI ‘It may be taken with or without food’ was still considered supported.</w:t>
      </w:r>
    </w:p>
    <w:p w14:paraId="167D0795" w14:textId="4D9D7167" w:rsidR="00DE5FE0" w:rsidRDefault="003E5D00" w:rsidP="00DE5FE0">
      <w:r w:rsidRPr="003E5D00">
        <w:t xml:space="preserve">Approval </w:t>
      </w:r>
      <w:proofErr w:type="gramStart"/>
      <w:r w:rsidRPr="003E5D00">
        <w:t>is recommended</w:t>
      </w:r>
      <w:proofErr w:type="gramEnd"/>
      <w:r w:rsidRPr="003E5D00">
        <w:t xml:space="preserve"> for registration of the proposed </w:t>
      </w:r>
      <w:r w:rsidR="00C4184E">
        <w:t xml:space="preserve">oral suspension </w:t>
      </w:r>
      <w:r w:rsidRPr="003E5D00">
        <w:t xml:space="preserve">product from a </w:t>
      </w:r>
      <w:r>
        <w:t>quality</w:t>
      </w:r>
      <w:r w:rsidRPr="003E5D00">
        <w:t xml:space="preserve"> perspective.</w:t>
      </w:r>
    </w:p>
    <w:p w14:paraId="02C5B213" w14:textId="77777777" w:rsidR="008E7846" w:rsidRDefault="008E7846" w:rsidP="008E7846">
      <w:pPr>
        <w:pStyle w:val="Heading3"/>
      </w:pPr>
      <w:bookmarkStart w:id="39" w:name="_Toc314842512"/>
      <w:bookmarkStart w:id="40" w:name="_Toc70347473"/>
      <w:r>
        <w:t>Nonclinical</w:t>
      </w:r>
      <w:bookmarkEnd w:id="39"/>
      <w:bookmarkEnd w:id="40"/>
    </w:p>
    <w:p w14:paraId="754D35B3" w14:textId="77777777" w:rsidR="008E7846" w:rsidRDefault="00006FAB" w:rsidP="00006FAB">
      <w:r>
        <w:t>There was no requirement for a nonclinical evaluation in a submission of this type.</w:t>
      </w:r>
    </w:p>
    <w:p w14:paraId="2E121A14" w14:textId="5693D745" w:rsidR="008E7846" w:rsidRDefault="008E7846" w:rsidP="008E7846">
      <w:pPr>
        <w:pStyle w:val="Heading3"/>
      </w:pPr>
      <w:bookmarkStart w:id="41" w:name="_Toc247691530"/>
      <w:bookmarkStart w:id="42" w:name="_Toc314842513"/>
      <w:bookmarkStart w:id="43" w:name="_Toc70347474"/>
      <w:r>
        <w:t>Clinical</w:t>
      </w:r>
      <w:bookmarkEnd w:id="41"/>
      <w:bookmarkEnd w:id="42"/>
      <w:bookmarkEnd w:id="43"/>
    </w:p>
    <w:p w14:paraId="00B64D42" w14:textId="5D2A55EF" w:rsidR="001F0D9F" w:rsidRDefault="0035373D" w:rsidP="001F0D9F">
      <w:r>
        <w:t>The</w:t>
      </w:r>
      <w:r w:rsidR="006C4B93">
        <w:t xml:space="preserve"> </w:t>
      </w:r>
      <w:r>
        <w:t>clinical information</w:t>
      </w:r>
      <w:r w:rsidR="00752F9C">
        <w:t xml:space="preserve"> submitted by the sponsor included the following</w:t>
      </w:r>
      <w:r w:rsidR="001F0D9F">
        <w:t>:</w:t>
      </w:r>
    </w:p>
    <w:p w14:paraId="452AF9AA" w14:textId="4DDD7FDA" w:rsidR="001F0D9F" w:rsidRDefault="001F0D9F" w:rsidP="001F0D9F">
      <w:pPr>
        <w:pStyle w:val="ListBullet"/>
      </w:pPr>
      <w:r>
        <w:t xml:space="preserve">One open-label </w:t>
      </w:r>
      <w:r w:rsidR="000440E8">
        <w:t>pharmacokinetics (</w:t>
      </w:r>
      <w:r>
        <w:t>PK</w:t>
      </w:r>
      <w:r w:rsidR="000440E8">
        <w:t>)</w:t>
      </w:r>
      <w:r>
        <w:t>/tolerability study (Study 232) that also assessed efficacy as a minor endpoint.</w:t>
      </w:r>
    </w:p>
    <w:p w14:paraId="1CB8BB0A" w14:textId="2241F45D" w:rsidR="001F0D9F" w:rsidRDefault="001F0D9F" w:rsidP="001F0D9F">
      <w:pPr>
        <w:pStyle w:val="ListBullet"/>
      </w:pPr>
      <w:r>
        <w:t>One safety/PK study (Study 311) that also assessed efficacy as a minor endpoint.</w:t>
      </w:r>
    </w:p>
    <w:p w14:paraId="75EC1EA9" w14:textId="44C0684E" w:rsidR="001F0D9F" w:rsidRDefault="001F0D9F" w:rsidP="001F0D9F">
      <w:pPr>
        <w:pStyle w:val="ListBullet"/>
      </w:pPr>
      <w:r>
        <w:t>One comparative bioavailability study (Study 048) that compared the proposed oral suspension formulation with tablets.</w:t>
      </w:r>
    </w:p>
    <w:p w14:paraId="7E6123CA" w14:textId="56EBFEB4" w:rsidR="001F0D9F" w:rsidRDefault="001F0D9F" w:rsidP="001F0D9F">
      <w:pPr>
        <w:pStyle w:val="ListBullet"/>
      </w:pPr>
      <w:r>
        <w:t>A brief description of Study 028, which was said to be a pilot bioavailability; the actual study report for this study was not submitted.</w:t>
      </w:r>
    </w:p>
    <w:p w14:paraId="6FA6F9E3" w14:textId="7D09B10F" w:rsidR="001F0D9F" w:rsidRDefault="000440E8" w:rsidP="001F0D9F">
      <w:pPr>
        <w:pStyle w:val="ListBullet"/>
      </w:pPr>
      <w:r>
        <w:t>A p</w:t>
      </w:r>
      <w:r w:rsidR="00AB0133">
        <w:t xml:space="preserve">opulation </w:t>
      </w:r>
      <w:r w:rsidR="001F0D9F">
        <w:t xml:space="preserve">PK </w:t>
      </w:r>
      <w:r w:rsidR="00AB0133">
        <w:t xml:space="preserve">(Pop PK) </w:t>
      </w:r>
      <w:r w:rsidR="001F0D9F">
        <w:t>analysis of Study 311 in conjunction with previously evaluated studies in adults and adolescents.</w:t>
      </w:r>
    </w:p>
    <w:p w14:paraId="73CD5CE4" w14:textId="66A43B7A" w:rsidR="001F0D9F" w:rsidRDefault="000440E8" w:rsidP="001F0D9F">
      <w:pPr>
        <w:pStyle w:val="ListBullet"/>
      </w:pPr>
      <w:r>
        <w:t xml:space="preserve">A </w:t>
      </w:r>
      <w:r w:rsidR="00AB0133">
        <w:t>Pop PK</w:t>
      </w:r>
      <w:r w:rsidR="001F0D9F">
        <w:t>/</w:t>
      </w:r>
      <w:r>
        <w:t>pharmacodynamics (</w:t>
      </w:r>
      <w:r w:rsidR="001F0D9F">
        <w:t>PD</w:t>
      </w:r>
      <w:r>
        <w:t>)</w:t>
      </w:r>
      <w:r w:rsidR="001F0D9F">
        <w:t xml:space="preserve"> analysis of Study 311 in conjunction with previously evaluated studies in adults and adolescents.</w:t>
      </w:r>
    </w:p>
    <w:p w14:paraId="282AFBD2" w14:textId="6F9C9B16" w:rsidR="001F0D9F" w:rsidRDefault="000440E8" w:rsidP="001F0D9F">
      <w:pPr>
        <w:pStyle w:val="ListBullet"/>
      </w:pPr>
      <w:r>
        <w:t>A ‘meta-analysis’</w:t>
      </w:r>
      <w:r w:rsidR="001F0D9F">
        <w:t xml:space="preserve"> of previously published studies of other anticonvulsant drugs used to treat primary generalised epilepsy, seeking to show that efficacy in adults and children is similar across different drugs and different studies.</w:t>
      </w:r>
    </w:p>
    <w:p w14:paraId="33BA3208" w14:textId="60CFD636" w:rsidR="001F0D9F" w:rsidRDefault="001F0D9F" w:rsidP="001F0D9F">
      <w:pPr>
        <w:pStyle w:val="ListBullet"/>
      </w:pPr>
      <w:r>
        <w:t>Literature references, including two papers (Pellock et al 2012;</w:t>
      </w:r>
      <w:bookmarkStart w:id="44" w:name="_Ref67668977"/>
      <w:r w:rsidR="006C4B93">
        <w:rPr>
          <w:rStyle w:val="FootnoteReference"/>
        </w:rPr>
        <w:footnoteReference w:id="7"/>
      </w:r>
      <w:bookmarkEnd w:id="44"/>
      <w:r>
        <w:t xml:space="preserve"> </w:t>
      </w:r>
      <w:r w:rsidR="006E5D75">
        <w:t xml:space="preserve">and </w:t>
      </w:r>
      <w:r>
        <w:t>Pellock et al, 2017)</w:t>
      </w:r>
      <w:r w:rsidR="006C4B93">
        <w:rPr>
          <w:rStyle w:val="FootnoteReference"/>
        </w:rPr>
        <w:footnoteReference w:id="8"/>
      </w:r>
      <w:r w:rsidR="000440E8">
        <w:t xml:space="preserve"> that included a ‘meta-analysis’</w:t>
      </w:r>
      <w:r>
        <w:t xml:space="preserve"> of previously published POS efficacy studies and argued that extrapolation of adult efficacy data was appropriate for POS.</w:t>
      </w:r>
    </w:p>
    <w:p w14:paraId="091E212B" w14:textId="543892D3" w:rsidR="001F0D9F" w:rsidRDefault="001F0D9F" w:rsidP="001F0D9F">
      <w:pPr>
        <w:pStyle w:val="ListBullet"/>
      </w:pPr>
      <w:r>
        <w:t xml:space="preserve">A few days prior to </w:t>
      </w:r>
      <w:r w:rsidR="000440E8">
        <w:t>the clinical evaluator completing the</w:t>
      </w:r>
      <w:r>
        <w:t xml:space="preserve"> </w:t>
      </w:r>
      <w:r w:rsidR="000440E8">
        <w:t>clinical evaluation report, the s</w:t>
      </w:r>
      <w:r>
        <w:t xml:space="preserve">ponsor submitted the European </w:t>
      </w:r>
      <w:r w:rsidR="004B7733">
        <w:rPr>
          <w:iCs/>
        </w:rPr>
        <w:t>e</w:t>
      </w:r>
      <w:r w:rsidRPr="000440E8">
        <w:rPr>
          <w:iCs/>
        </w:rPr>
        <w:t xml:space="preserve">xtension of </w:t>
      </w:r>
      <w:proofErr w:type="gramStart"/>
      <w:r w:rsidRPr="000440E8">
        <w:rPr>
          <w:iCs/>
        </w:rPr>
        <w:t>indication variation assessment report</w:t>
      </w:r>
      <w:proofErr w:type="gramEnd"/>
      <w:r>
        <w:rPr>
          <w:i/>
          <w:iCs/>
        </w:rPr>
        <w:t>,</w:t>
      </w:r>
      <w:bookmarkStart w:id="45" w:name="_Ref67923209"/>
      <w:r w:rsidR="004B7733">
        <w:rPr>
          <w:rStyle w:val="FootnoteReference"/>
          <w:i/>
          <w:iCs/>
        </w:rPr>
        <w:footnoteReference w:id="9"/>
      </w:r>
      <w:bookmarkEnd w:id="45"/>
      <w:r>
        <w:rPr>
          <w:i/>
          <w:iCs/>
        </w:rPr>
        <w:t xml:space="preserve"> </w:t>
      </w:r>
      <w:r>
        <w:t xml:space="preserve">which summarised a number of concerns that the </w:t>
      </w:r>
      <w:r w:rsidR="000440E8">
        <w:t>European Medicines Agency (</w:t>
      </w:r>
      <w:r>
        <w:t>EMA</w:t>
      </w:r>
      <w:r w:rsidR="000440E8">
        <w:t>)</w:t>
      </w:r>
      <w:r>
        <w:t xml:space="preserve"> had about the proposed extension of indications. This report arrived too late for a </w:t>
      </w:r>
      <w:r>
        <w:lastRenderedPageBreak/>
        <w:t xml:space="preserve">comprehensive evaluation, but the key conclusions </w:t>
      </w:r>
      <w:proofErr w:type="gramStart"/>
      <w:r w:rsidR="004F68E5">
        <w:t>were</w:t>
      </w:r>
      <w:r>
        <w:t xml:space="preserve"> listed</w:t>
      </w:r>
      <w:proofErr w:type="gramEnd"/>
      <w:r>
        <w:t xml:space="preserve"> within </w:t>
      </w:r>
      <w:r w:rsidR="000440E8">
        <w:t>the clinical evaluation report</w:t>
      </w:r>
      <w:r>
        <w:t>.</w:t>
      </w:r>
    </w:p>
    <w:p w14:paraId="5F36A86A" w14:textId="43419B8B" w:rsidR="001F0D9F" w:rsidRPr="001F0D9F" w:rsidRDefault="001F0D9F" w:rsidP="001F0D9F">
      <w:pPr>
        <w:pStyle w:val="ListBullet"/>
      </w:pPr>
      <w:r>
        <w:t xml:space="preserve">After completion of the </w:t>
      </w:r>
      <w:r w:rsidR="000440E8">
        <w:t>first round clinical evaluation report</w:t>
      </w:r>
      <w:r>
        <w:t xml:space="preserve"> and </w:t>
      </w:r>
      <w:r w:rsidR="000440E8">
        <w:t>second round clinical evaluation report, the s</w:t>
      </w:r>
      <w:r>
        <w:t>ponsor submitted two new studies, in</w:t>
      </w:r>
      <w:r w:rsidR="000440E8">
        <w:t xml:space="preserve"> support of the</w:t>
      </w:r>
      <w:r w:rsidR="00AB0133">
        <w:t xml:space="preserve"> </w:t>
      </w:r>
      <w:r w:rsidR="000440E8">
        <w:t>s</w:t>
      </w:r>
      <w:r>
        <w:t xml:space="preserve">ponsor’s response to </w:t>
      </w:r>
      <w:r w:rsidR="004F68E5">
        <w:t xml:space="preserve">TGA’s </w:t>
      </w:r>
      <w:r w:rsidR="000440E8">
        <w:t xml:space="preserve">clinical questions. Study </w:t>
      </w:r>
      <w:r>
        <w:t xml:space="preserve">235 </w:t>
      </w:r>
      <w:proofErr w:type="gramStart"/>
      <w:r>
        <w:t>was performed</w:t>
      </w:r>
      <w:proofErr w:type="gramEnd"/>
      <w:r>
        <w:t xml:space="preserve"> in adolescents. It </w:t>
      </w:r>
      <w:proofErr w:type="gramStart"/>
      <w:r>
        <w:t>was classified</w:t>
      </w:r>
      <w:proofErr w:type="gramEnd"/>
      <w:r>
        <w:t xml:space="preserve"> as a </w:t>
      </w:r>
      <w:r w:rsidR="000440E8">
        <w:t>PD</w:t>
      </w:r>
      <w:r>
        <w:t xml:space="preserve"> study but it was primarily evaluable for safety. Study 311 (Extension</w:t>
      </w:r>
      <w:r w:rsidR="006E5D75">
        <w:t> </w:t>
      </w:r>
      <w:r>
        <w:t xml:space="preserve">A) was a </w:t>
      </w:r>
      <w:proofErr w:type="gramStart"/>
      <w:r>
        <w:t>long term</w:t>
      </w:r>
      <w:proofErr w:type="gramEnd"/>
      <w:r>
        <w:t xml:space="preserve"> open-label extension of the main, open-label efficacy study assessing perampanel in children. Both of these studies </w:t>
      </w:r>
      <w:proofErr w:type="gramStart"/>
      <w:r>
        <w:t>are described</w:t>
      </w:r>
      <w:proofErr w:type="gramEnd"/>
      <w:r>
        <w:t xml:space="preserve"> in the </w:t>
      </w:r>
      <w:r w:rsidR="00AB0133">
        <w:t>‘</w:t>
      </w:r>
      <w:r w:rsidR="00AB0133" w:rsidRPr="00AB0133">
        <w:rPr>
          <w:i/>
        </w:rPr>
        <w:fldChar w:fldCharType="begin"/>
      </w:r>
      <w:r w:rsidR="00AB0133" w:rsidRPr="00AB0133">
        <w:rPr>
          <w:i/>
        </w:rPr>
        <w:instrText xml:space="preserve"> REF _Ref67662418 \h </w:instrText>
      </w:r>
      <w:r w:rsidR="00AB0133">
        <w:rPr>
          <w:i/>
        </w:rPr>
        <w:instrText xml:space="preserve"> \* MERGEFORMAT </w:instrText>
      </w:r>
      <w:r w:rsidR="00AB0133" w:rsidRPr="00AB0133">
        <w:rPr>
          <w:i/>
        </w:rPr>
      </w:r>
      <w:r w:rsidR="00AB0133" w:rsidRPr="00AB0133">
        <w:rPr>
          <w:i/>
        </w:rPr>
        <w:fldChar w:fldCharType="separate"/>
      </w:r>
      <w:r w:rsidR="004C6771" w:rsidRPr="004C6771">
        <w:rPr>
          <w:i/>
        </w:rPr>
        <w:t>Safety</w:t>
      </w:r>
      <w:r w:rsidR="00AB0133" w:rsidRPr="00AB0133">
        <w:rPr>
          <w:i/>
        </w:rPr>
        <w:fldChar w:fldCharType="end"/>
      </w:r>
      <w:r w:rsidR="00AB0133">
        <w:t>’</w:t>
      </w:r>
      <w:r>
        <w:t xml:space="preserve"> section of this </w:t>
      </w:r>
      <w:r w:rsidR="00AB0133">
        <w:t>AusPAR</w:t>
      </w:r>
      <w:r>
        <w:t>.</w:t>
      </w:r>
    </w:p>
    <w:p w14:paraId="077F3A06" w14:textId="6F8CE3D8" w:rsidR="00DE5FE0" w:rsidRDefault="00DE5FE0" w:rsidP="001F0D9F">
      <w:pPr>
        <w:pStyle w:val="Heading4"/>
      </w:pPr>
      <w:r w:rsidRPr="001F0D9F">
        <w:t>Pharmacology</w:t>
      </w:r>
    </w:p>
    <w:p w14:paraId="0B0DC02C" w14:textId="264A2B64" w:rsidR="003E5D00" w:rsidRPr="003E5D00" w:rsidRDefault="003E5D00" w:rsidP="003E5D00">
      <w:pPr>
        <w:pStyle w:val="Heading5"/>
      </w:pPr>
      <w:r>
        <w:t>Pharmacokinetics</w:t>
      </w:r>
    </w:p>
    <w:p w14:paraId="36E1B9F8" w14:textId="46DD6FF0" w:rsidR="00DE5FE0" w:rsidRPr="00A01945" w:rsidRDefault="00AB0133" w:rsidP="001F0D9F">
      <w:r>
        <w:t>The following is a s</w:t>
      </w:r>
      <w:r w:rsidR="00DE5FE0" w:rsidRPr="00A01945">
        <w:t>ummary of known PK parameters of perampanel in adults:</w:t>
      </w:r>
    </w:p>
    <w:p w14:paraId="0CA82501" w14:textId="74BD6376" w:rsidR="00DE5FE0" w:rsidRPr="00A01945" w:rsidRDefault="00DE5FE0" w:rsidP="001F0D9F">
      <w:pPr>
        <w:pStyle w:val="ListBullet"/>
      </w:pPr>
      <w:r w:rsidRPr="00A01945">
        <w:t>Perampanel absorption is rapid and essentially complete (with</w:t>
      </w:r>
      <w:r w:rsidR="00AB0133">
        <w:t xml:space="preserve"> approximately </w:t>
      </w:r>
      <w:r w:rsidRPr="00A01945">
        <w:t>100% bioavailability), with negligible first-pass metabolism</w:t>
      </w:r>
      <w:r>
        <w:t>.</w:t>
      </w:r>
    </w:p>
    <w:p w14:paraId="29A05CE6" w14:textId="469A58A2" w:rsidR="00DE5FE0" w:rsidRPr="00A01945" w:rsidRDefault="00DE5FE0" w:rsidP="001F0D9F">
      <w:pPr>
        <w:pStyle w:val="ListBullet"/>
      </w:pPr>
      <w:r w:rsidRPr="00A01945">
        <w:t>Perampanel is 95% bound to plasma proteins</w:t>
      </w:r>
      <w:r w:rsidR="00AB0133">
        <w:t>.</w:t>
      </w:r>
    </w:p>
    <w:p w14:paraId="0818AC9D" w14:textId="4C6FF787" w:rsidR="00DE5FE0" w:rsidRPr="00A01945" w:rsidRDefault="004C6771" w:rsidP="001F0D9F">
      <w:pPr>
        <w:pStyle w:val="ListBullet"/>
      </w:pPr>
      <w:r>
        <w:t>The volume of distribution</w:t>
      </w:r>
      <w:r w:rsidR="00DE5FE0" w:rsidRPr="00A01945">
        <w:t xml:space="preserve"> in healthy volunteers averages 77 L</w:t>
      </w:r>
      <w:r w:rsidR="00AB0133">
        <w:t>.</w:t>
      </w:r>
    </w:p>
    <w:p w14:paraId="35A2BA55" w14:textId="2F0AD724" w:rsidR="00DE5FE0" w:rsidRPr="00A01945" w:rsidRDefault="00DE5FE0" w:rsidP="001F0D9F">
      <w:pPr>
        <w:pStyle w:val="ListBullet"/>
      </w:pPr>
      <w:r w:rsidRPr="00A01945">
        <w:t>Perampanel is extensively metabolised via primary oxidation and sequential glucuronidation, with the metaboli</w:t>
      </w:r>
      <w:r w:rsidR="00AB0133">
        <w:t>sm primarily mediated by cytochrome P450 3A (CYP3A).</w:t>
      </w:r>
      <w:r w:rsidR="001B3BC4">
        <w:rPr>
          <w:rStyle w:val="FootnoteReference"/>
        </w:rPr>
        <w:footnoteReference w:id="10"/>
      </w:r>
    </w:p>
    <w:p w14:paraId="3ED32AAB" w14:textId="6BDE0DF0" w:rsidR="00DE5FE0" w:rsidRPr="00A01945" w:rsidRDefault="00DE5FE0" w:rsidP="001F0D9F">
      <w:pPr>
        <w:pStyle w:val="ListBullet"/>
      </w:pPr>
      <w:r w:rsidRPr="00A01945">
        <w:t xml:space="preserve">The average </w:t>
      </w:r>
      <w:r w:rsidR="00AB0133">
        <w:t>elimination half-life (</w:t>
      </w:r>
      <w:r w:rsidRPr="00A01945">
        <w:t>t</w:t>
      </w:r>
      <w:r w:rsidR="001B3BC4">
        <w:rPr>
          <w:vertAlign w:val="subscript"/>
        </w:rPr>
        <w:t>1/2</w:t>
      </w:r>
      <w:r w:rsidR="00AB0133">
        <w:t>)</w:t>
      </w:r>
      <w:r w:rsidRPr="00A01945">
        <w:t xml:space="preserve"> of perampanel is 105 hours, in subjects not receiving enzyme-inducing agents.</w:t>
      </w:r>
    </w:p>
    <w:p w14:paraId="4618A927" w14:textId="712ED728" w:rsidR="00DE5FE0" w:rsidRPr="00A01945" w:rsidRDefault="00DE5FE0" w:rsidP="001F0D9F">
      <w:pPr>
        <w:pStyle w:val="ListBullet"/>
      </w:pPr>
      <w:r w:rsidRPr="00A01945">
        <w:t xml:space="preserve">When perampanel </w:t>
      </w:r>
      <w:proofErr w:type="gramStart"/>
      <w:r w:rsidRPr="00A01945">
        <w:t>is administered</w:t>
      </w:r>
      <w:proofErr w:type="gramEnd"/>
      <w:r w:rsidRPr="00A01945">
        <w:t xml:space="preserve"> in combination with the strong inducer carbamazepine, the average t</w:t>
      </w:r>
      <w:r w:rsidR="001B3BC4">
        <w:rPr>
          <w:vertAlign w:val="subscript"/>
        </w:rPr>
        <w:t>1/2</w:t>
      </w:r>
      <w:r w:rsidRPr="00A01945">
        <w:t xml:space="preserve"> i</w:t>
      </w:r>
      <w:r w:rsidR="00AB0133">
        <w:t>s 25 hours</w:t>
      </w:r>
      <w:r w:rsidRPr="00A01945">
        <w:t>.</w:t>
      </w:r>
    </w:p>
    <w:p w14:paraId="3B1E1E80" w14:textId="77777777" w:rsidR="00DE5FE0" w:rsidRDefault="00DE5FE0" w:rsidP="001F0D9F">
      <w:pPr>
        <w:pStyle w:val="ListBullet"/>
      </w:pPr>
      <w:r w:rsidRPr="00A01945">
        <w:t>Perampanel exhibits dose linearity between 2 to 12 mg.</w:t>
      </w:r>
    </w:p>
    <w:p w14:paraId="3F707483" w14:textId="7DD58540" w:rsidR="00DE5FE0" w:rsidRPr="001F0D9F" w:rsidRDefault="00DE5FE0" w:rsidP="001F0D9F">
      <w:pPr>
        <w:pStyle w:val="ListBullet"/>
        <w:rPr>
          <w:lang w:eastAsia="ja-JP"/>
        </w:rPr>
      </w:pPr>
      <w:r w:rsidRPr="004F0B79">
        <w:rPr>
          <w:color w:val="000000"/>
          <w:shd w:val="clear" w:color="auto" w:fill="FFFFFF"/>
        </w:rPr>
        <w:t>Perampanel has a wide therapeutic window.</w:t>
      </w:r>
    </w:p>
    <w:p w14:paraId="583292EA" w14:textId="77777777" w:rsidR="00DE5FE0" w:rsidRDefault="00DE5FE0" w:rsidP="003E5D00">
      <w:pPr>
        <w:pStyle w:val="Heading6"/>
      </w:pPr>
      <w:r>
        <w:t>Population pharmacokinetics</w:t>
      </w:r>
    </w:p>
    <w:p w14:paraId="273B063B" w14:textId="2077C9D2" w:rsidR="00DE5FE0" w:rsidRDefault="00DE5FE0" w:rsidP="001F0D9F">
      <w:pPr>
        <w:rPr>
          <w:lang w:eastAsia="ja-JP"/>
        </w:rPr>
      </w:pPr>
      <w:r>
        <w:rPr>
          <w:lang w:eastAsia="ja-JP"/>
        </w:rPr>
        <w:t xml:space="preserve">The Pop PK data </w:t>
      </w:r>
      <w:proofErr w:type="gramStart"/>
      <w:r>
        <w:rPr>
          <w:lang w:eastAsia="ja-JP"/>
        </w:rPr>
        <w:t>was referred</w:t>
      </w:r>
      <w:proofErr w:type="gramEnd"/>
      <w:r>
        <w:rPr>
          <w:lang w:eastAsia="ja-JP"/>
        </w:rPr>
        <w:t xml:space="preserve"> to the </w:t>
      </w:r>
      <w:r w:rsidR="00752F9C">
        <w:rPr>
          <w:lang w:eastAsia="ja-JP"/>
        </w:rPr>
        <w:t xml:space="preserve">TGA </w:t>
      </w:r>
      <w:r>
        <w:rPr>
          <w:lang w:eastAsia="ja-JP"/>
        </w:rPr>
        <w:t>Pharmacometrics Working Group for expert advice. Based on the modified Pop PK model and the dosing approach, the working group has concluded that the systemic exposure of perampanel in children 4 to &lt;</w:t>
      </w:r>
      <w:r w:rsidR="00AB0133">
        <w:rPr>
          <w:lang w:eastAsia="ja-JP"/>
        </w:rPr>
        <w:t xml:space="preserve"> </w:t>
      </w:r>
      <w:r>
        <w:rPr>
          <w:lang w:eastAsia="ja-JP"/>
        </w:rPr>
        <w:t>12</w:t>
      </w:r>
      <w:r w:rsidR="003873AA">
        <w:rPr>
          <w:lang w:eastAsia="ja-JP"/>
        </w:rPr>
        <w:t xml:space="preserve"> </w:t>
      </w:r>
      <w:r>
        <w:rPr>
          <w:lang w:eastAsia="ja-JP"/>
        </w:rPr>
        <w:t>years of age is comparable to adolescents and adults.</w:t>
      </w:r>
    </w:p>
    <w:p w14:paraId="0499F6E4" w14:textId="65866446" w:rsidR="00DE5FE0" w:rsidRDefault="00AB0133" w:rsidP="001F0D9F">
      <w:pPr>
        <w:rPr>
          <w:lang w:eastAsia="ja-JP"/>
        </w:rPr>
      </w:pPr>
      <w:r w:rsidRPr="004C6771">
        <w:rPr>
          <w:i/>
          <w:lang w:eastAsia="ja-JP"/>
        </w:rPr>
        <w:t>Demographics</w:t>
      </w:r>
      <w:r>
        <w:rPr>
          <w:lang w:eastAsia="ja-JP"/>
        </w:rPr>
        <w:t>: t</w:t>
      </w:r>
      <w:r w:rsidR="00DE5FE0">
        <w:rPr>
          <w:lang w:eastAsia="ja-JP"/>
        </w:rPr>
        <w:t>here were four subjects younger than 4 years of age included in the PK model</w:t>
      </w:r>
      <w:r w:rsidR="00752F9C">
        <w:rPr>
          <w:lang w:eastAsia="ja-JP"/>
        </w:rPr>
        <w:t xml:space="preserve"> (see </w:t>
      </w:r>
      <w:r w:rsidR="00752F9C">
        <w:rPr>
          <w:lang w:eastAsia="ja-JP"/>
        </w:rPr>
        <w:fldChar w:fldCharType="begin"/>
      </w:r>
      <w:r w:rsidR="00752F9C">
        <w:rPr>
          <w:lang w:eastAsia="ja-JP"/>
        </w:rPr>
        <w:instrText xml:space="preserve"> REF _Ref67932177 \h </w:instrText>
      </w:r>
      <w:r w:rsidR="00752F9C">
        <w:rPr>
          <w:lang w:eastAsia="ja-JP"/>
        </w:rPr>
      </w:r>
      <w:r w:rsidR="00752F9C">
        <w:rPr>
          <w:lang w:eastAsia="ja-JP"/>
        </w:rPr>
        <w:fldChar w:fldCharType="separate"/>
      </w:r>
      <w:r w:rsidR="004C6771">
        <w:t xml:space="preserve">Table </w:t>
      </w:r>
      <w:r w:rsidR="004C6771">
        <w:rPr>
          <w:noProof/>
        </w:rPr>
        <w:t>3</w:t>
      </w:r>
      <w:r w:rsidR="00752F9C">
        <w:rPr>
          <w:lang w:eastAsia="ja-JP"/>
        </w:rPr>
        <w:fldChar w:fldCharType="end"/>
      </w:r>
      <w:r w:rsidR="00752F9C">
        <w:rPr>
          <w:lang w:eastAsia="ja-JP"/>
        </w:rPr>
        <w:t>)</w:t>
      </w:r>
      <w:r w:rsidR="00DE5FE0">
        <w:rPr>
          <w:lang w:eastAsia="ja-JP"/>
        </w:rPr>
        <w:t xml:space="preserve">. Fifty-nine children were in the </w:t>
      </w:r>
      <w:proofErr w:type="gramStart"/>
      <w:r w:rsidR="00DE5FE0">
        <w:rPr>
          <w:lang w:eastAsia="ja-JP"/>
        </w:rPr>
        <w:t>4</w:t>
      </w:r>
      <w:proofErr w:type="gramEnd"/>
      <w:r w:rsidR="00DE5FE0">
        <w:rPr>
          <w:lang w:eastAsia="ja-JP"/>
        </w:rPr>
        <w:t xml:space="preserve"> to &lt;</w:t>
      </w:r>
      <w:r>
        <w:rPr>
          <w:lang w:eastAsia="ja-JP"/>
        </w:rPr>
        <w:t xml:space="preserve"> </w:t>
      </w:r>
      <w:r w:rsidR="00DE5FE0">
        <w:rPr>
          <w:lang w:eastAsia="ja-JP"/>
        </w:rPr>
        <w:t xml:space="preserve">7 year age group. </w:t>
      </w:r>
      <w:proofErr w:type="gramStart"/>
      <w:r w:rsidR="00DE5FE0">
        <w:rPr>
          <w:lang w:eastAsia="ja-JP"/>
        </w:rPr>
        <w:t>135</w:t>
      </w:r>
      <w:proofErr w:type="gramEnd"/>
      <w:r w:rsidR="00DE5FE0">
        <w:rPr>
          <w:lang w:eastAsia="ja-JP"/>
        </w:rPr>
        <w:t xml:space="preserve"> children in the 7 to &lt;</w:t>
      </w:r>
      <w:r>
        <w:rPr>
          <w:lang w:eastAsia="ja-JP"/>
        </w:rPr>
        <w:t xml:space="preserve"> </w:t>
      </w:r>
      <w:r w:rsidR="00DE5FE0">
        <w:rPr>
          <w:lang w:eastAsia="ja-JP"/>
        </w:rPr>
        <w:t>12 years age group and 226 adolescents were included in the model. The model was dominated by adults (n</w:t>
      </w:r>
      <w:r>
        <w:rPr>
          <w:lang w:eastAsia="ja-JP"/>
        </w:rPr>
        <w:t xml:space="preserve"> </w:t>
      </w:r>
      <w:r w:rsidR="00DE5FE0">
        <w:rPr>
          <w:lang w:eastAsia="ja-JP"/>
        </w:rPr>
        <w:t>=</w:t>
      </w:r>
      <w:r>
        <w:rPr>
          <w:lang w:eastAsia="ja-JP"/>
        </w:rPr>
        <w:t xml:space="preserve"> </w:t>
      </w:r>
      <w:r w:rsidR="00DE5FE0">
        <w:rPr>
          <w:lang w:eastAsia="ja-JP"/>
        </w:rPr>
        <w:t>1912). Around</w:t>
      </w:r>
      <w:r w:rsidR="00DE5FE0" w:rsidRPr="004C42A3">
        <w:rPr>
          <w:lang w:eastAsia="ja-JP"/>
        </w:rPr>
        <w:t xml:space="preserve"> half of the subjects were on enz</w:t>
      </w:r>
      <w:r w:rsidR="004F68E5">
        <w:rPr>
          <w:lang w:eastAsia="ja-JP"/>
        </w:rPr>
        <w:t>yme</w:t>
      </w:r>
      <w:r w:rsidR="004F68E5">
        <w:rPr>
          <w:lang w:eastAsia="ja-JP"/>
        </w:rPr>
        <w:noBreakHyphen/>
      </w:r>
      <w:r w:rsidR="00DE5FE0" w:rsidRPr="004C42A3">
        <w:rPr>
          <w:lang w:eastAsia="ja-JP"/>
        </w:rPr>
        <w:t>inducing agents such as carbamazepine.</w:t>
      </w:r>
      <w:r w:rsidR="00752F9C">
        <w:rPr>
          <w:lang w:eastAsia="ja-JP"/>
        </w:rPr>
        <w:t xml:space="preserve"> The m</w:t>
      </w:r>
      <w:r w:rsidR="00DE5FE0">
        <w:rPr>
          <w:lang w:eastAsia="ja-JP"/>
        </w:rPr>
        <w:t>ajority of subjects had a diagn</w:t>
      </w:r>
      <w:r w:rsidR="001F0D9F">
        <w:rPr>
          <w:lang w:eastAsia="ja-JP"/>
        </w:rPr>
        <w:t xml:space="preserve">osis of </w:t>
      </w:r>
      <w:r>
        <w:rPr>
          <w:lang w:eastAsia="ja-JP"/>
        </w:rPr>
        <w:t>POS</w:t>
      </w:r>
      <w:r w:rsidR="001F0D9F">
        <w:rPr>
          <w:lang w:eastAsia="ja-JP"/>
        </w:rPr>
        <w:t>.</w:t>
      </w:r>
    </w:p>
    <w:p w14:paraId="21A13AE2" w14:textId="3F44D796" w:rsidR="00DE5FE0" w:rsidRDefault="00DE5FE0" w:rsidP="001F0D9F">
      <w:pPr>
        <w:pStyle w:val="TableTitle"/>
      </w:pPr>
      <w:bookmarkStart w:id="46" w:name="_Ref67932177"/>
      <w:bookmarkStart w:id="47" w:name="_Toc55303371"/>
      <w:r>
        <w:lastRenderedPageBreak/>
        <w:t xml:space="preserve">Table </w:t>
      </w:r>
      <w:fldSimple w:instr=" SEQ Table \* ARABIC ">
        <w:r w:rsidR="004C6771">
          <w:rPr>
            <w:noProof/>
          </w:rPr>
          <w:t>3</w:t>
        </w:r>
      </w:fldSimple>
      <w:bookmarkEnd w:id="46"/>
      <w:r w:rsidR="001F0D9F">
        <w:t>:</w:t>
      </w:r>
      <w:r w:rsidRPr="000D28FD">
        <w:t xml:space="preserve"> </w:t>
      </w:r>
      <w:r>
        <w:t>Demographics and</w:t>
      </w:r>
      <w:r w:rsidR="001F0D9F">
        <w:t xml:space="preserve"> covariates in the population pharmacokinetic</w:t>
      </w:r>
      <w:r>
        <w:t xml:space="preserve"> </w:t>
      </w:r>
      <w:r w:rsidR="001F0D9F">
        <w:t>analysis of p</w:t>
      </w:r>
      <w:r>
        <w:t>erampanel</w:t>
      </w:r>
      <w:bookmarkEnd w:id="47"/>
    </w:p>
    <w:p w14:paraId="415CB077" w14:textId="1C8441CB" w:rsidR="00DE5FE0" w:rsidRDefault="00DE5FE0" w:rsidP="00DE5FE0">
      <w:pPr>
        <w:rPr>
          <w:lang w:eastAsia="ja-JP"/>
        </w:rPr>
      </w:pPr>
      <w:r>
        <w:rPr>
          <w:noProof/>
          <w:lang w:eastAsia="en-AU"/>
        </w:rPr>
        <w:drawing>
          <wp:inline distT="0" distB="0" distL="0" distR="0" wp14:anchorId="7389FA0A" wp14:editId="70A13A9A">
            <wp:extent cx="5327650" cy="7418488"/>
            <wp:effectExtent l="0" t="0" r="6350" b="0"/>
            <wp:docPr id="39" name="Picture 39" descr="Demographics and covariates in the population pharmacokinetic analysis of peram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1847" cy="7424332"/>
                    </a:xfrm>
                    <a:prstGeom prst="rect">
                      <a:avLst/>
                    </a:prstGeom>
                    <a:noFill/>
                    <a:ln>
                      <a:noFill/>
                    </a:ln>
                  </pic:spPr>
                </pic:pic>
              </a:graphicData>
            </a:graphic>
          </wp:inline>
        </w:drawing>
      </w:r>
    </w:p>
    <w:p w14:paraId="18DCC73D" w14:textId="404A3180" w:rsidR="00881BAA" w:rsidRDefault="00881BAA" w:rsidP="00881BAA">
      <w:pPr>
        <w:pStyle w:val="TableDescription"/>
        <w:rPr>
          <w:lang w:eastAsia="ja-JP"/>
        </w:rPr>
      </w:pPr>
      <w:r>
        <w:rPr>
          <w:lang w:eastAsia="ja-JP"/>
        </w:rPr>
        <w:t>Max = maximum; Min = minimum; SD = standard deviation.</w:t>
      </w:r>
    </w:p>
    <w:p w14:paraId="13106546" w14:textId="629CB1AC" w:rsidR="00DE5FE0" w:rsidRDefault="00DE5FE0" w:rsidP="001F0D9F">
      <w:pPr>
        <w:rPr>
          <w:lang w:eastAsia="ja-JP"/>
        </w:rPr>
      </w:pPr>
      <w:r>
        <w:rPr>
          <w:lang w:eastAsia="ja-JP"/>
        </w:rPr>
        <w:t>The proposed extension of indication</w:t>
      </w:r>
      <w:r w:rsidR="00AB0133">
        <w:rPr>
          <w:lang w:eastAsia="ja-JP"/>
        </w:rPr>
        <w:t>s</w:t>
      </w:r>
      <w:r>
        <w:rPr>
          <w:lang w:eastAsia="ja-JP"/>
        </w:rPr>
        <w:t xml:space="preserve"> is heavily dependent on the extrapolation principles based on Pop PK data. During the EMA evaluation, the evaluator highlighted critical issues with the initial PopPK model that the sponsor had submitted. The sponsor stated that</w:t>
      </w:r>
      <w:r w:rsidR="00AB0133">
        <w:rPr>
          <w:lang w:eastAsia="ja-JP"/>
        </w:rPr>
        <w:t xml:space="preserve"> the weight of the subjects had no</w:t>
      </w:r>
      <w:r>
        <w:rPr>
          <w:lang w:eastAsia="ja-JP"/>
        </w:rPr>
        <w:t xml:space="preserve"> effect on </w:t>
      </w:r>
      <w:r w:rsidR="00AB0133">
        <w:rPr>
          <w:lang w:eastAsia="ja-JP"/>
        </w:rPr>
        <w:t>apparent clearance (</w:t>
      </w:r>
      <w:r>
        <w:rPr>
          <w:lang w:eastAsia="ja-JP"/>
        </w:rPr>
        <w:t>CL/F</w:t>
      </w:r>
      <w:r w:rsidR="00AB0133">
        <w:rPr>
          <w:lang w:eastAsia="ja-JP"/>
        </w:rPr>
        <w:t>)</w:t>
      </w:r>
      <w:r>
        <w:rPr>
          <w:lang w:eastAsia="ja-JP"/>
        </w:rPr>
        <w:t xml:space="preserve">. Dosage </w:t>
      </w:r>
      <w:r>
        <w:rPr>
          <w:lang w:eastAsia="ja-JP"/>
        </w:rPr>
        <w:lastRenderedPageBreak/>
        <w:t>based on that model would have resulted in a higher exposure to perampanel i</w:t>
      </w:r>
      <w:r w:rsidR="00AB0133">
        <w:rPr>
          <w:lang w:eastAsia="ja-JP"/>
        </w:rPr>
        <w:t>n children, compared to adults.</w:t>
      </w:r>
    </w:p>
    <w:p w14:paraId="7709F05D" w14:textId="77777777" w:rsidR="00DE5FE0" w:rsidRDefault="00DE5FE0" w:rsidP="001F0D9F">
      <w:pPr>
        <w:rPr>
          <w:lang w:eastAsia="ja-JP"/>
        </w:rPr>
      </w:pPr>
      <w:r>
        <w:rPr>
          <w:lang w:eastAsia="ja-JP"/>
        </w:rPr>
        <w:t>The sponsor's initial Pop PK model had the following issues:</w:t>
      </w:r>
    </w:p>
    <w:p w14:paraId="535719FE" w14:textId="304F9DE3" w:rsidR="00DE5FE0" w:rsidRDefault="00DE5FE0" w:rsidP="001F0D9F">
      <w:pPr>
        <w:pStyle w:val="ListBullet"/>
        <w:rPr>
          <w:lang w:eastAsia="ja-JP"/>
        </w:rPr>
      </w:pPr>
      <w:r>
        <w:rPr>
          <w:lang w:eastAsia="ja-JP"/>
        </w:rPr>
        <w:t xml:space="preserve">The model </w:t>
      </w:r>
      <w:proofErr w:type="gramStart"/>
      <w:r>
        <w:rPr>
          <w:lang w:eastAsia="ja-JP"/>
        </w:rPr>
        <w:t>was not based</w:t>
      </w:r>
      <w:proofErr w:type="gramEnd"/>
      <w:r>
        <w:rPr>
          <w:lang w:eastAsia="ja-JP"/>
        </w:rPr>
        <w:t xml:space="preserve"> on allometric scaling for body weight effect on PK parameters such as CL/F and </w:t>
      </w:r>
      <w:r w:rsidR="004C6771">
        <w:t>volume of distribution</w:t>
      </w:r>
      <w:r>
        <w:rPr>
          <w:lang w:eastAsia="ja-JP"/>
        </w:rPr>
        <w:t>.</w:t>
      </w:r>
    </w:p>
    <w:p w14:paraId="4F8D0901" w14:textId="046C4EC3" w:rsidR="00DE5FE0" w:rsidRDefault="00DE5FE0" w:rsidP="001F0D9F">
      <w:pPr>
        <w:pStyle w:val="ListBullet"/>
        <w:rPr>
          <w:lang w:eastAsia="ja-JP"/>
        </w:rPr>
      </w:pPr>
      <w:r>
        <w:rPr>
          <w:lang w:eastAsia="ja-JP"/>
        </w:rPr>
        <w:t xml:space="preserve">Simulations </w:t>
      </w:r>
      <w:proofErr w:type="gramStart"/>
      <w:r>
        <w:rPr>
          <w:lang w:eastAsia="ja-JP"/>
        </w:rPr>
        <w:t>were not performe</w:t>
      </w:r>
      <w:r w:rsidR="001F0D9F">
        <w:rPr>
          <w:lang w:eastAsia="ja-JP"/>
        </w:rPr>
        <w:t>d</w:t>
      </w:r>
      <w:proofErr w:type="gramEnd"/>
      <w:r w:rsidR="001F0D9F">
        <w:rPr>
          <w:lang w:eastAsia="ja-JP"/>
        </w:rPr>
        <w:t xml:space="preserve"> based on weight based dosing.</w:t>
      </w:r>
    </w:p>
    <w:p w14:paraId="709F3C22" w14:textId="2DF691F6" w:rsidR="00DE5FE0" w:rsidRDefault="00DE5FE0" w:rsidP="001F0D9F">
      <w:pPr>
        <w:pStyle w:val="ListBullet"/>
        <w:rPr>
          <w:lang w:eastAsia="ja-JP"/>
        </w:rPr>
      </w:pPr>
      <w:r>
        <w:rPr>
          <w:lang w:eastAsia="ja-JP"/>
        </w:rPr>
        <w:t>Very</w:t>
      </w:r>
      <w:r w:rsidR="00AB0133">
        <w:rPr>
          <w:lang w:eastAsia="ja-JP"/>
        </w:rPr>
        <w:t xml:space="preserve"> low number of subjects in the &lt; </w:t>
      </w:r>
      <w:r>
        <w:rPr>
          <w:lang w:eastAsia="ja-JP"/>
        </w:rPr>
        <w:t>4 years age group.</w:t>
      </w:r>
    </w:p>
    <w:p w14:paraId="27D2DD36" w14:textId="2C5DEDEA" w:rsidR="00DE5FE0" w:rsidRPr="004479E6" w:rsidRDefault="00DE5FE0" w:rsidP="001F0D9F">
      <w:pPr>
        <w:pStyle w:val="ListBullet"/>
        <w:rPr>
          <w:lang w:eastAsia="ja-JP"/>
        </w:rPr>
      </w:pPr>
      <w:r w:rsidRPr="00055C79">
        <w:rPr>
          <w:rFonts w:asciiTheme="minorHAnsi" w:hAnsiTheme="minorHAnsi"/>
          <w:lang w:val="en-GB"/>
        </w:rPr>
        <w:t xml:space="preserve">Children from </w:t>
      </w:r>
      <w:proofErr w:type="gramStart"/>
      <w:r w:rsidRPr="00055C79">
        <w:rPr>
          <w:rFonts w:asciiTheme="minorHAnsi" w:hAnsiTheme="minorHAnsi"/>
          <w:lang w:val="en-GB"/>
        </w:rPr>
        <w:t>4</w:t>
      </w:r>
      <w:proofErr w:type="gramEnd"/>
      <w:r w:rsidRPr="00055C79">
        <w:rPr>
          <w:rFonts w:asciiTheme="minorHAnsi" w:hAnsiTheme="minorHAnsi"/>
          <w:lang w:val="en-GB"/>
        </w:rPr>
        <w:t xml:space="preserve"> to &lt; 7 years </w:t>
      </w:r>
      <w:r w:rsidR="00AB0133">
        <w:rPr>
          <w:rFonts w:asciiTheme="minorHAnsi" w:hAnsiTheme="minorHAnsi"/>
          <w:lang w:val="en-GB"/>
        </w:rPr>
        <w:t xml:space="preserve">of age </w:t>
      </w:r>
      <w:r w:rsidRPr="00055C79">
        <w:rPr>
          <w:rFonts w:asciiTheme="minorHAnsi" w:hAnsiTheme="minorHAnsi"/>
          <w:lang w:val="en-GB"/>
        </w:rPr>
        <w:t xml:space="preserve">with epilepsy had a </w:t>
      </w:r>
      <w:r>
        <w:rPr>
          <w:rFonts w:asciiTheme="minorHAnsi" w:hAnsiTheme="minorHAnsi"/>
          <w:lang w:val="en-GB"/>
        </w:rPr>
        <w:t xml:space="preserve">dose </w:t>
      </w:r>
      <w:r w:rsidR="00AB0133">
        <w:rPr>
          <w:rFonts w:asciiTheme="minorHAnsi" w:hAnsiTheme="minorHAnsi"/>
          <w:lang w:val="en-GB"/>
        </w:rPr>
        <w:t>normalis</w:t>
      </w:r>
      <w:r w:rsidRPr="00055C79">
        <w:rPr>
          <w:rFonts w:asciiTheme="minorHAnsi" w:hAnsiTheme="minorHAnsi"/>
          <w:lang w:val="en-GB"/>
        </w:rPr>
        <w:t xml:space="preserve">ed AUC that was </w:t>
      </w:r>
      <w:r>
        <w:rPr>
          <w:rFonts w:asciiTheme="minorHAnsi" w:hAnsiTheme="minorHAnsi"/>
          <w:lang w:val="en-GB"/>
        </w:rPr>
        <w:t xml:space="preserve">1.76 </w:t>
      </w:r>
      <w:r w:rsidR="00AB0133">
        <w:rPr>
          <w:rFonts w:asciiTheme="minorHAnsi" w:hAnsiTheme="minorHAnsi"/>
          <w:lang w:val="en-GB"/>
        </w:rPr>
        <w:t xml:space="preserve">fold </w:t>
      </w:r>
      <w:r>
        <w:rPr>
          <w:rFonts w:asciiTheme="minorHAnsi" w:hAnsiTheme="minorHAnsi"/>
          <w:lang w:val="en-GB"/>
        </w:rPr>
        <w:t xml:space="preserve">greater, compared to </w:t>
      </w:r>
      <w:r w:rsidRPr="00055C79">
        <w:rPr>
          <w:rFonts w:asciiTheme="minorHAnsi" w:hAnsiTheme="minorHAnsi"/>
          <w:lang w:val="en-GB"/>
        </w:rPr>
        <w:t>patients of 18 years and above (independent of association with inducers).</w:t>
      </w:r>
    </w:p>
    <w:p w14:paraId="5F7D3A01" w14:textId="4B144FC3" w:rsidR="00DE5FE0" w:rsidRPr="0068233A" w:rsidRDefault="00DE5FE0" w:rsidP="001F0D9F">
      <w:pPr>
        <w:pStyle w:val="ListBullet"/>
        <w:rPr>
          <w:lang w:eastAsia="ja-JP"/>
        </w:rPr>
      </w:pPr>
      <w:r w:rsidRPr="004479E6">
        <w:rPr>
          <w:lang w:eastAsia="ja-JP"/>
        </w:rPr>
        <w:t>The PK parameters in subjects in the &lt;</w:t>
      </w:r>
      <w:r w:rsidR="00AB0133">
        <w:rPr>
          <w:lang w:eastAsia="ja-JP"/>
        </w:rPr>
        <w:t xml:space="preserve"> </w:t>
      </w:r>
      <w:r w:rsidRPr="004479E6">
        <w:rPr>
          <w:lang w:eastAsia="ja-JP"/>
        </w:rPr>
        <w:t>12 years age group had the most impact from this approach. There was a reduction in the ETA CL/F in subjects &lt;</w:t>
      </w:r>
      <w:r w:rsidR="00AB0133">
        <w:rPr>
          <w:lang w:eastAsia="ja-JP"/>
        </w:rPr>
        <w:t xml:space="preserve"> </w:t>
      </w:r>
      <w:r w:rsidRPr="004479E6">
        <w:rPr>
          <w:lang w:eastAsia="ja-JP"/>
        </w:rPr>
        <w:t>40</w:t>
      </w:r>
      <w:r w:rsidR="00AB0133">
        <w:rPr>
          <w:lang w:eastAsia="ja-JP"/>
        </w:rPr>
        <w:t xml:space="preserve"> </w:t>
      </w:r>
      <w:r w:rsidRPr="004479E6">
        <w:rPr>
          <w:lang w:eastAsia="ja-JP"/>
        </w:rPr>
        <w:t xml:space="preserve">kg </w:t>
      </w:r>
      <w:proofErr w:type="gramStart"/>
      <w:r w:rsidRPr="004479E6">
        <w:rPr>
          <w:lang w:eastAsia="ja-JP"/>
        </w:rPr>
        <w:t>and also</w:t>
      </w:r>
      <w:proofErr w:type="gramEnd"/>
      <w:r w:rsidRPr="004479E6">
        <w:rPr>
          <w:lang w:eastAsia="ja-JP"/>
        </w:rPr>
        <w:t xml:space="preserve"> &lt;</w:t>
      </w:r>
      <w:r w:rsidR="00AB0133">
        <w:rPr>
          <w:lang w:eastAsia="ja-JP"/>
        </w:rPr>
        <w:t> 12 </w:t>
      </w:r>
      <w:r w:rsidRPr="004479E6">
        <w:rPr>
          <w:lang w:eastAsia="ja-JP"/>
        </w:rPr>
        <w:t>years of age</w:t>
      </w:r>
      <w:r>
        <w:rPr>
          <w:lang w:eastAsia="ja-JP"/>
        </w:rPr>
        <w:t xml:space="preserve"> (</w:t>
      </w:r>
      <w:r w:rsidR="00AB0133">
        <w:rPr>
          <w:lang w:eastAsia="ja-JP"/>
        </w:rPr>
        <w:t xml:space="preserve">see </w:t>
      </w:r>
      <w:r>
        <w:rPr>
          <w:lang w:eastAsia="ja-JP"/>
        </w:rPr>
        <w:t>Figure 2)</w:t>
      </w:r>
      <w:r w:rsidRPr="004479E6">
        <w:rPr>
          <w:lang w:eastAsia="ja-JP"/>
        </w:rPr>
        <w:t>.</w:t>
      </w:r>
      <w:r w:rsidR="00D9216C">
        <w:rPr>
          <w:rStyle w:val="FootnoteReference"/>
          <w:lang w:eastAsia="ja-JP"/>
        </w:rPr>
        <w:footnoteReference w:id="11"/>
      </w:r>
    </w:p>
    <w:p w14:paraId="62272CF3" w14:textId="0B8F452E" w:rsidR="00DE5FE0" w:rsidRDefault="00DE5FE0" w:rsidP="00AB0133">
      <w:pPr>
        <w:pStyle w:val="FigureTitle"/>
      </w:pPr>
      <w:bookmarkStart w:id="48" w:name="_Toc55298946"/>
      <w:r>
        <w:t xml:space="preserve">Figure </w:t>
      </w:r>
      <w:fldSimple w:instr=" SEQ Figure \* ARABIC ">
        <w:r w:rsidR="004C6771">
          <w:rPr>
            <w:noProof/>
          </w:rPr>
          <w:t>2</w:t>
        </w:r>
      </w:fldSimple>
      <w:r>
        <w:t xml:space="preserve">: No allometric scaling for </w:t>
      </w:r>
      <w:bookmarkEnd w:id="48"/>
      <w:r w:rsidR="00AB0133">
        <w:t>apparent clearance</w:t>
      </w:r>
    </w:p>
    <w:p w14:paraId="13F45865" w14:textId="77777777" w:rsidR="00DE5FE0" w:rsidRDefault="00DE5FE0" w:rsidP="00DE5FE0">
      <w:pPr>
        <w:pStyle w:val="ListParagraph"/>
        <w:ind w:left="0"/>
        <w:rPr>
          <w:lang w:eastAsia="ja-JP"/>
        </w:rPr>
      </w:pPr>
      <w:r>
        <w:rPr>
          <w:noProof/>
        </w:rPr>
        <w:drawing>
          <wp:inline distT="0" distB="0" distL="0" distR="0" wp14:anchorId="2F43E6BC" wp14:editId="252753F6">
            <wp:extent cx="5231080" cy="1939344"/>
            <wp:effectExtent l="0" t="0" r="8255" b="3810"/>
            <wp:docPr id="23" name="Picture 23" descr="No allometric scaling for apparent clea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3175"/>
                    <a:stretch/>
                  </pic:blipFill>
                  <pic:spPr bwMode="auto">
                    <a:xfrm>
                      <a:off x="0" y="0"/>
                      <a:ext cx="5237735" cy="1941811"/>
                    </a:xfrm>
                    <a:prstGeom prst="rect">
                      <a:avLst/>
                    </a:prstGeom>
                    <a:ln>
                      <a:noFill/>
                    </a:ln>
                    <a:extLst>
                      <a:ext uri="{53640926-AAD7-44D8-BBD7-CCE9431645EC}">
                        <a14:shadowObscured xmlns:a14="http://schemas.microsoft.com/office/drawing/2010/main"/>
                      </a:ext>
                    </a:extLst>
                  </pic:spPr>
                </pic:pic>
              </a:graphicData>
            </a:graphic>
          </wp:inline>
        </w:drawing>
      </w:r>
    </w:p>
    <w:p w14:paraId="1FEFE6AC" w14:textId="1CA41AB5" w:rsidR="00DE5FE0" w:rsidRDefault="00DE5FE0" w:rsidP="00DE5FE0">
      <w:pPr>
        <w:pStyle w:val="ListParagraph"/>
        <w:ind w:left="0"/>
        <w:rPr>
          <w:lang w:eastAsia="ja-JP"/>
        </w:rPr>
      </w:pPr>
      <w:r>
        <w:rPr>
          <w:lang w:eastAsia="ja-JP"/>
        </w:rPr>
        <w:t xml:space="preserve">The sponsor resubmitted a PopPK model to </w:t>
      </w:r>
      <w:r w:rsidR="00752F9C">
        <w:rPr>
          <w:lang w:eastAsia="ja-JP"/>
        </w:rPr>
        <w:t xml:space="preserve">the </w:t>
      </w:r>
      <w:r>
        <w:rPr>
          <w:lang w:eastAsia="ja-JP"/>
        </w:rPr>
        <w:t>EMA</w:t>
      </w:r>
      <w:r w:rsidR="00752F9C">
        <w:rPr>
          <w:lang w:eastAsia="ja-JP"/>
        </w:rPr>
        <w:t>,</w:t>
      </w:r>
      <w:r>
        <w:rPr>
          <w:lang w:eastAsia="ja-JP"/>
        </w:rPr>
        <w:t xml:space="preserve"> </w:t>
      </w:r>
      <w:proofErr w:type="gramStart"/>
      <w:r>
        <w:rPr>
          <w:lang w:eastAsia="ja-JP"/>
        </w:rPr>
        <w:t>and also</w:t>
      </w:r>
      <w:proofErr w:type="gramEnd"/>
      <w:r>
        <w:rPr>
          <w:lang w:eastAsia="ja-JP"/>
        </w:rPr>
        <w:t xml:space="preserve"> to </w:t>
      </w:r>
      <w:r w:rsidR="00752F9C">
        <w:rPr>
          <w:lang w:eastAsia="ja-JP"/>
        </w:rPr>
        <w:t xml:space="preserve">the </w:t>
      </w:r>
      <w:r>
        <w:rPr>
          <w:lang w:eastAsia="ja-JP"/>
        </w:rPr>
        <w:t>TGA</w:t>
      </w:r>
      <w:r w:rsidR="00752F9C">
        <w:rPr>
          <w:lang w:eastAsia="ja-JP"/>
        </w:rPr>
        <w:t>,</w:t>
      </w:r>
      <w:r>
        <w:rPr>
          <w:lang w:eastAsia="ja-JP"/>
        </w:rPr>
        <w:t xml:space="preserve"> that included allometric (fixed) scaling for body weight effect with a factor of 0.75 </w:t>
      </w:r>
      <w:r w:rsidR="00752F9C">
        <w:rPr>
          <w:lang w:eastAsia="ja-JP"/>
        </w:rPr>
        <w:t>for inter</w:t>
      </w:r>
      <w:r w:rsidR="00752F9C">
        <w:rPr>
          <w:lang w:eastAsia="ja-JP"/>
        </w:rPr>
        <w:noBreakHyphen/>
      </w:r>
      <w:r>
        <w:rPr>
          <w:lang w:eastAsia="ja-JP"/>
        </w:rPr>
        <w:t>compartment clearance and 1 for central and peripheral volumes of distribution for all subjects. The implementation of scaling on all subjects has altered the correlation bet</w:t>
      </w:r>
      <w:r w:rsidR="00DC2EAD">
        <w:rPr>
          <w:lang w:eastAsia="ja-JP"/>
        </w:rPr>
        <w:t xml:space="preserve">ween </w:t>
      </w:r>
      <w:proofErr w:type="gramStart"/>
      <w:r w:rsidR="00DC2EAD">
        <w:rPr>
          <w:lang w:eastAsia="ja-JP"/>
        </w:rPr>
        <w:t>weight</w:t>
      </w:r>
      <w:proofErr w:type="gramEnd"/>
      <w:r w:rsidR="00DC2EAD">
        <w:rPr>
          <w:lang w:eastAsia="ja-JP"/>
        </w:rPr>
        <w:t xml:space="preserve">, age and the CL/F (see </w:t>
      </w:r>
      <w:r w:rsidR="00DC2EAD">
        <w:rPr>
          <w:lang w:eastAsia="ja-JP"/>
        </w:rPr>
        <w:fldChar w:fldCharType="begin"/>
      </w:r>
      <w:r w:rsidR="00DC2EAD">
        <w:rPr>
          <w:lang w:eastAsia="ja-JP"/>
        </w:rPr>
        <w:instrText xml:space="preserve"> REF _Ref67663090 \h </w:instrText>
      </w:r>
      <w:r w:rsidR="00DC2EAD">
        <w:rPr>
          <w:lang w:eastAsia="ja-JP"/>
        </w:rPr>
      </w:r>
      <w:r w:rsidR="00DC2EAD">
        <w:rPr>
          <w:lang w:eastAsia="ja-JP"/>
        </w:rPr>
        <w:fldChar w:fldCharType="separate"/>
      </w:r>
      <w:r w:rsidR="004C6771">
        <w:t xml:space="preserve">Figure </w:t>
      </w:r>
      <w:r w:rsidR="004C6771">
        <w:rPr>
          <w:noProof/>
        </w:rPr>
        <w:t>3</w:t>
      </w:r>
      <w:r w:rsidR="00DC2EAD">
        <w:rPr>
          <w:lang w:eastAsia="ja-JP"/>
        </w:rPr>
        <w:fldChar w:fldCharType="end"/>
      </w:r>
      <w:r w:rsidR="00DC2EAD">
        <w:rPr>
          <w:lang w:eastAsia="ja-JP"/>
        </w:rPr>
        <w:t xml:space="preserve">). </w:t>
      </w:r>
      <w:r w:rsidRPr="008C7DA1">
        <w:rPr>
          <w:lang w:eastAsia="ja-JP"/>
        </w:rPr>
        <w:t>The issue wit</w:t>
      </w:r>
      <w:r>
        <w:rPr>
          <w:lang w:eastAsia="ja-JP"/>
        </w:rPr>
        <w:t>h the revised model presented was</w:t>
      </w:r>
      <w:r w:rsidRPr="008C7DA1">
        <w:rPr>
          <w:lang w:eastAsia="ja-JP"/>
        </w:rPr>
        <w:t xml:space="preserve"> that the allometry </w:t>
      </w:r>
      <w:proofErr w:type="gramStart"/>
      <w:r w:rsidRPr="008C7DA1">
        <w:rPr>
          <w:lang w:eastAsia="ja-JP"/>
        </w:rPr>
        <w:t>was performed</w:t>
      </w:r>
      <w:proofErr w:type="gramEnd"/>
      <w:r w:rsidRPr="008C7DA1">
        <w:rPr>
          <w:lang w:eastAsia="ja-JP"/>
        </w:rPr>
        <w:t xml:space="preserve"> upon weight without consideration of CL/F maturation with age.</w:t>
      </w:r>
    </w:p>
    <w:p w14:paraId="51710F01" w14:textId="660A2F90" w:rsidR="00DE5FE0" w:rsidRDefault="00DE5FE0" w:rsidP="00DC2EAD">
      <w:pPr>
        <w:pStyle w:val="FigureTitle"/>
        <w:rPr>
          <w:lang w:eastAsia="ja-JP"/>
        </w:rPr>
      </w:pPr>
      <w:bookmarkStart w:id="49" w:name="_Ref67663090"/>
      <w:bookmarkStart w:id="50" w:name="_Toc55298947"/>
      <w:r>
        <w:t xml:space="preserve">Figure </w:t>
      </w:r>
      <w:fldSimple w:instr=" SEQ Figure \* ARABIC ">
        <w:r w:rsidR="004C6771">
          <w:rPr>
            <w:noProof/>
          </w:rPr>
          <w:t>3</w:t>
        </w:r>
      </w:fldSimple>
      <w:bookmarkEnd w:id="49"/>
      <w:r w:rsidR="00DC2EAD">
        <w:t>: Apparent clearance</w:t>
      </w:r>
      <w:r>
        <w:t xml:space="preserve"> scaling applied to all subjects</w:t>
      </w:r>
      <w:bookmarkEnd w:id="50"/>
    </w:p>
    <w:p w14:paraId="79596DE1" w14:textId="77777777" w:rsidR="00DE5FE0" w:rsidRDefault="00DE5FE0" w:rsidP="00DE5FE0">
      <w:pPr>
        <w:pStyle w:val="ListParagraph"/>
        <w:ind w:left="0"/>
        <w:rPr>
          <w:lang w:eastAsia="ja-JP"/>
        </w:rPr>
      </w:pPr>
      <w:r>
        <w:rPr>
          <w:noProof/>
        </w:rPr>
        <w:drawing>
          <wp:inline distT="0" distB="0" distL="0" distR="0" wp14:anchorId="64F28BCB" wp14:editId="519AEB21">
            <wp:extent cx="5314207" cy="1895240"/>
            <wp:effectExtent l="0" t="0" r="1270" b="0"/>
            <wp:docPr id="11" name="Picture 11" descr="Apparent clearance scaling applied to all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37297" cy="1903475"/>
                    </a:xfrm>
                    <a:prstGeom prst="rect">
                      <a:avLst/>
                    </a:prstGeom>
                  </pic:spPr>
                </pic:pic>
              </a:graphicData>
            </a:graphic>
          </wp:inline>
        </w:drawing>
      </w:r>
    </w:p>
    <w:p w14:paraId="76D94CBE" w14:textId="5593A16C" w:rsidR="00DE5FE0" w:rsidRDefault="00DE5FE0" w:rsidP="003E5D00">
      <w:pPr>
        <w:rPr>
          <w:lang w:eastAsia="ja-JP"/>
        </w:rPr>
      </w:pPr>
      <w:r>
        <w:rPr>
          <w:lang w:eastAsia="ja-JP"/>
        </w:rPr>
        <w:lastRenderedPageBreak/>
        <w:t xml:space="preserve">The </w:t>
      </w:r>
      <w:r w:rsidR="004F68E5">
        <w:rPr>
          <w:lang w:eastAsia="ja-JP"/>
        </w:rPr>
        <w:t xml:space="preserve">Pharmacometric </w:t>
      </w:r>
      <w:r w:rsidR="00752F9C">
        <w:rPr>
          <w:lang w:eastAsia="ja-JP"/>
        </w:rPr>
        <w:t xml:space="preserve">Working Group </w:t>
      </w:r>
      <w:r>
        <w:rPr>
          <w:lang w:eastAsia="ja-JP"/>
        </w:rPr>
        <w:t xml:space="preserve">recommended </w:t>
      </w:r>
      <w:proofErr w:type="gramStart"/>
      <w:r>
        <w:rPr>
          <w:lang w:eastAsia="ja-JP"/>
        </w:rPr>
        <w:t>to develop</w:t>
      </w:r>
      <w:proofErr w:type="gramEnd"/>
      <w:r>
        <w:rPr>
          <w:lang w:eastAsia="ja-JP"/>
        </w:rPr>
        <w:t xml:space="preserve"> a model that includes a maturation component and allometric weigh effect.</w:t>
      </w:r>
    </w:p>
    <w:p w14:paraId="0962068B" w14:textId="4FCD93FA" w:rsidR="00DE5FE0" w:rsidRDefault="00DE5FE0" w:rsidP="003E5D00">
      <w:pPr>
        <w:rPr>
          <w:lang w:eastAsia="ja-JP"/>
        </w:rPr>
      </w:pPr>
      <w:r>
        <w:rPr>
          <w:lang w:eastAsia="ja-JP"/>
        </w:rPr>
        <w:t xml:space="preserve">In response to the </w:t>
      </w:r>
      <w:r w:rsidR="00752F9C">
        <w:rPr>
          <w:lang w:eastAsia="ja-JP"/>
        </w:rPr>
        <w:t xml:space="preserve">Working Committee's </w:t>
      </w:r>
      <w:r>
        <w:rPr>
          <w:lang w:eastAsia="ja-JP"/>
        </w:rPr>
        <w:t>recommendation, the sponsor submitted the explanation that the CYP3A activity matures by around 2 years of age and hence a maturation component is not required to</w:t>
      </w:r>
      <w:r w:rsidR="00752F9C">
        <w:rPr>
          <w:lang w:eastAsia="ja-JP"/>
        </w:rPr>
        <w:t xml:space="preserve"> be included in the model. The C</w:t>
      </w:r>
      <w:r>
        <w:rPr>
          <w:lang w:eastAsia="ja-JP"/>
        </w:rPr>
        <w:t xml:space="preserve">ommittee considered that the CYP3A activity is not the sole factor that determines clearance of perampanel. Rather, it is determined by total hepatic </w:t>
      </w:r>
      <w:proofErr w:type="gramStart"/>
      <w:r>
        <w:rPr>
          <w:lang w:eastAsia="ja-JP"/>
        </w:rPr>
        <w:t>activity which</w:t>
      </w:r>
      <w:proofErr w:type="gramEnd"/>
      <w:r>
        <w:rPr>
          <w:lang w:eastAsia="ja-JP"/>
        </w:rPr>
        <w:t xml:space="preserve"> is affected by the liver weight, blood flow, total microsomal content, liver blood flow and protein binding. These factors does not reach</w:t>
      </w:r>
      <w:r w:rsidR="00DC2EAD">
        <w:rPr>
          <w:lang w:eastAsia="ja-JP"/>
        </w:rPr>
        <w:t xml:space="preserve"> adult levels until late teens.</w:t>
      </w:r>
    </w:p>
    <w:p w14:paraId="10A1BD2B" w14:textId="10CF6DCB" w:rsidR="00DE5FE0" w:rsidRDefault="00DE5FE0" w:rsidP="00DC2EAD">
      <w:pPr>
        <w:rPr>
          <w:lang w:eastAsia="ja-JP"/>
        </w:rPr>
      </w:pPr>
      <w:r>
        <w:rPr>
          <w:lang w:eastAsia="ja-JP"/>
        </w:rPr>
        <w:t>The sponsor's approach to remove allometric scaling at 18 years of age (when body weight stabilises) had limitations. How</w:t>
      </w:r>
      <w:r w:rsidR="00752F9C">
        <w:rPr>
          <w:lang w:eastAsia="ja-JP"/>
        </w:rPr>
        <w:t xml:space="preserve">ever, </w:t>
      </w:r>
      <w:proofErr w:type="gramStart"/>
      <w:r w:rsidR="00752F9C">
        <w:rPr>
          <w:lang w:eastAsia="ja-JP"/>
        </w:rPr>
        <w:t>it was considered by the C</w:t>
      </w:r>
      <w:r>
        <w:rPr>
          <w:lang w:eastAsia="ja-JP"/>
        </w:rPr>
        <w:t>ommittee as an empirical approach</w:t>
      </w:r>
      <w:proofErr w:type="gramEnd"/>
      <w:r>
        <w:rPr>
          <w:lang w:eastAsia="ja-JP"/>
        </w:rPr>
        <w:t xml:space="preserve">. The sponsor has adopted a weight-based dosing and modified the indication by limiting the age group from </w:t>
      </w:r>
      <w:proofErr w:type="gramStart"/>
      <w:r>
        <w:rPr>
          <w:lang w:eastAsia="ja-JP"/>
        </w:rPr>
        <w:t>4</w:t>
      </w:r>
      <w:proofErr w:type="gramEnd"/>
      <w:r>
        <w:rPr>
          <w:lang w:eastAsia="ja-JP"/>
        </w:rPr>
        <w:t xml:space="preserve"> to &lt;</w:t>
      </w:r>
      <w:r w:rsidR="00DC2EAD">
        <w:rPr>
          <w:lang w:eastAsia="ja-JP"/>
        </w:rPr>
        <w:t xml:space="preserve"> </w:t>
      </w:r>
      <w:r>
        <w:rPr>
          <w:lang w:eastAsia="ja-JP"/>
        </w:rPr>
        <w:t>12 years, rather than the initial proposal of from 2 to &lt;</w:t>
      </w:r>
      <w:r w:rsidR="00752F9C">
        <w:rPr>
          <w:lang w:eastAsia="ja-JP"/>
        </w:rPr>
        <w:t xml:space="preserve"> </w:t>
      </w:r>
      <w:r>
        <w:rPr>
          <w:lang w:eastAsia="ja-JP"/>
        </w:rPr>
        <w:t>12 years of</w:t>
      </w:r>
      <w:r w:rsidR="00752F9C">
        <w:rPr>
          <w:lang w:eastAsia="ja-JP"/>
        </w:rPr>
        <w:t xml:space="preserve"> age. The C</w:t>
      </w:r>
      <w:r>
        <w:rPr>
          <w:lang w:eastAsia="ja-JP"/>
        </w:rPr>
        <w:t>ommittee considered this approach as acceptable.</w:t>
      </w:r>
    </w:p>
    <w:p w14:paraId="27E2D6B7" w14:textId="5D637381" w:rsidR="00DE5FE0" w:rsidRDefault="00DE5FE0" w:rsidP="00DC2EAD">
      <w:pPr>
        <w:pStyle w:val="FigureTitle"/>
      </w:pPr>
      <w:bookmarkStart w:id="51" w:name="_Toc55298948"/>
      <w:r>
        <w:t xml:space="preserve">Figure </w:t>
      </w:r>
      <w:fldSimple w:instr=" SEQ Figure \* ARABIC ">
        <w:r w:rsidR="004C6771">
          <w:rPr>
            <w:noProof/>
          </w:rPr>
          <w:t>4</w:t>
        </w:r>
      </w:fldSimple>
      <w:r w:rsidR="00DC2EAD">
        <w:t>: Apparent clearance</w:t>
      </w:r>
      <w:r>
        <w:t xml:space="preserve"> scaling for subjects &lt; 18 years only</w:t>
      </w:r>
      <w:bookmarkEnd w:id="51"/>
    </w:p>
    <w:p w14:paraId="4453F7E2" w14:textId="77777777" w:rsidR="00DE5FE0" w:rsidRDefault="00DE5FE0" w:rsidP="00DE5FE0">
      <w:pPr>
        <w:pStyle w:val="ListParagraph"/>
        <w:ind w:left="0"/>
        <w:rPr>
          <w:lang w:eastAsia="ja-JP"/>
        </w:rPr>
      </w:pPr>
      <w:r>
        <w:rPr>
          <w:noProof/>
        </w:rPr>
        <w:drawing>
          <wp:inline distT="0" distB="0" distL="0" distR="0" wp14:anchorId="70A2C395" wp14:editId="086BFE9B">
            <wp:extent cx="5290457" cy="1613044"/>
            <wp:effectExtent l="0" t="0" r="5715" b="6350"/>
            <wp:docPr id="12" name="Picture 12" descr="Apparent clearance scaling for subjects &lt; 18 year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16826" cy="1621084"/>
                    </a:xfrm>
                    <a:prstGeom prst="rect">
                      <a:avLst/>
                    </a:prstGeom>
                  </pic:spPr>
                </pic:pic>
              </a:graphicData>
            </a:graphic>
          </wp:inline>
        </w:drawing>
      </w:r>
    </w:p>
    <w:p w14:paraId="5481D168" w14:textId="69FBEB3F" w:rsidR="00DE5FE0" w:rsidRDefault="00DE5FE0" w:rsidP="003E5D00">
      <w:pPr>
        <w:rPr>
          <w:lang w:eastAsia="ja-JP"/>
        </w:rPr>
      </w:pPr>
      <w:r>
        <w:rPr>
          <w:lang w:eastAsia="ja-JP"/>
        </w:rPr>
        <w:t xml:space="preserve">The mean AUC for perampanel in </w:t>
      </w:r>
      <w:r w:rsidR="00DC2EAD">
        <w:rPr>
          <w:lang w:eastAsia="ja-JP"/>
        </w:rPr>
        <w:fldChar w:fldCharType="begin"/>
      </w:r>
      <w:r w:rsidR="00DC2EAD">
        <w:rPr>
          <w:lang w:eastAsia="ja-JP"/>
        </w:rPr>
        <w:instrText xml:space="preserve"> REF _Ref67663312 \h </w:instrText>
      </w:r>
      <w:r w:rsidR="00DC2EAD">
        <w:rPr>
          <w:lang w:eastAsia="ja-JP"/>
        </w:rPr>
      </w:r>
      <w:r w:rsidR="00DC2EAD">
        <w:rPr>
          <w:lang w:eastAsia="ja-JP"/>
        </w:rPr>
        <w:fldChar w:fldCharType="separate"/>
      </w:r>
      <w:r w:rsidR="004C6771">
        <w:t xml:space="preserve">Figure </w:t>
      </w:r>
      <w:r w:rsidR="004C6771">
        <w:rPr>
          <w:noProof/>
        </w:rPr>
        <w:t>5</w:t>
      </w:r>
      <w:r w:rsidR="00DC2EAD">
        <w:rPr>
          <w:lang w:eastAsia="ja-JP"/>
        </w:rPr>
        <w:fldChar w:fldCharType="end"/>
      </w:r>
      <w:r w:rsidR="00DC2EAD">
        <w:rPr>
          <w:lang w:eastAsia="ja-JP"/>
        </w:rPr>
        <w:t xml:space="preserve"> </w:t>
      </w:r>
      <w:r>
        <w:rPr>
          <w:lang w:eastAsia="ja-JP"/>
        </w:rPr>
        <w:t xml:space="preserve">and </w:t>
      </w:r>
      <w:r w:rsidR="00DC2EAD">
        <w:rPr>
          <w:lang w:eastAsia="ja-JP"/>
        </w:rPr>
        <w:fldChar w:fldCharType="begin"/>
      </w:r>
      <w:r w:rsidR="00DC2EAD">
        <w:rPr>
          <w:lang w:eastAsia="ja-JP"/>
        </w:rPr>
        <w:instrText xml:space="preserve"> REF _Ref67663328 \h </w:instrText>
      </w:r>
      <w:r w:rsidR="00DC2EAD">
        <w:rPr>
          <w:lang w:eastAsia="ja-JP"/>
        </w:rPr>
      </w:r>
      <w:r w:rsidR="00DC2EAD">
        <w:rPr>
          <w:lang w:eastAsia="ja-JP"/>
        </w:rPr>
        <w:fldChar w:fldCharType="separate"/>
      </w:r>
      <w:r w:rsidR="004C6771">
        <w:t xml:space="preserve">Table </w:t>
      </w:r>
      <w:r w:rsidR="004C6771">
        <w:rPr>
          <w:noProof/>
        </w:rPr>
        <w:t>4</w:t>
      </w:r>
      <w:r w:rsidR="00DC2EAD">
        <w:rPr>
          <w:lang w:eastAsia="ja-JP"/>
        </w:rPr>
        <w:fldChar w:fldCharType="end"/>
      </w:r>
      <w:r w:rsidR="00DC2EAD">
        <w:rPr>
          <w:lang w:eastAsia="ja-JP"/>
        </w:rPr>
        <w:t xml:space="preserve"> </w:t>
      </w:r>
      <w:r>
        <w:rPr>
          <w:lang w:eastAsia="ja-JP"/>
        </w:rPr>
        <w:t xml:space="preserve">in the </w:t>
      </w:r>
      <w:proofErr w:type="gramStart"/>
      <w:r>
        <w:rPr>
          <w:lang w:eastAsia="ja-JP"/>
        </w:rPr>
        <w:t>7</w:t>
      </w:r>
      <w:proofErr w:type="gramEnd"/>
      <w:r>
        <w:rPr>
          <w:lang w:eastAsia="ja-JP"/>
        </w:rPr>
        <w:t xml:space="preserve"> to &lt;</w:t>
      </w:r>
      <w:r w:rsidR="00DC2EAD">
        <w:rPr>
          <w:lang w:eastAsia="ja-JP"/>
        </w:rPr>
        <w:t xml:space="preserve"> </w:t>
      </w:r>
      <w:r>
        <w:rPr>
          <w:lang w:eastAsia="ja-JP"/>
        </w:rPr>
        <w:t>12 years age group are comparable with adolescents and adults. However,</w:t>
      </w:r>
      <w:r w:rsidR="00DC2EAD">
        <w:rPr>
          <w:lang w:eastAsia="ja-JP"/>
        </w:rPr>
        <w:t xml:space="preserve"> the mean AUC for children in </w:t>
      </w:r>
      <w:r w:rsidR="00831DB6">
        <w:rPr>
          <w:lang w:eastAsia="ja-JP"/>
        </w:rPr>
        <w:t xml:space="preserve">the </w:t>
      </w:r>
      <w:proofErr w:type="gramStart"/>
      <w:r w:rsidR="00DC2EAD">
        <w:rPr>
          <w:lang w:eastAsia="ja-JP"/>
        </w:rPr>
        <w:t>4</w:t>
      </w:r>
      <w:proofErr w:type="gramEnd"/>
      <w:r w:rsidR="00DC2EAD">
        <w:rPr>
          <w:lang w:eastAsia="ja-JP"/>
        </w:rPr>
        <w:t xml:space="preserve"> to </w:t>
      </w:r>
      <w:r>
        <w:rPr>
          <w:lang w:eastAsia="ja-JP"/>
        </w:rPr>
        <w:t>&lt;</w:t>
      </w:r>
      <w:r w:rsidR="00831DB6">
        <w:rPr>
          <w:lang w:eastAsia="ja-JP"/>
        </w:rPr>
        <w:t xml:space="preserve"> 7 years of age group was </w:t>
      </w:r>
      <w:r>
        <w:rPr>
          <w:lang w:eastAsia="ja-JP"/>
        </w:rPr>
        <w:t>considerably higher than the adolescents and adults (</w:t>
      </w:r>
      <w:r w:rsidR="004F68E5">
        <w:rPr>
          <w:lang w:eastAsia="ja-JP"/>
        </w:rPr>
        <w:t xml:space="preserve">see </w:t>
      </w:r>
      <w:r w:rsidR="00DC2EAD">
        <w:rPr>
          <w:lang w:eastAsia="ja-JP"/>
        </w:rPr>
        <w:fldChar w:fldCharType="begin"/>
      </w:r>
      <w:r w:rsidR="00DC2EAD">
        <w:rPr>
          <w:lang w:eastAsia="ja-JP"/>
        </w:rPr>
        <w:instrText xml:space="preserve"> REF _Ref67663328 \h </w:instrText>
      </w:r>
      <w:r w:rsidR="00DC2EAD">
        <w:rPr>
          <w:lang w:eastAsia="ja-JP"/>
        </w:rPr>
      </w:r>
      <w:r w:rsidR="00DC2EAD">
        <w:rPr>
          <w:lang w:eastAsia="ja-JP"/>
        </w:rPr>
        <w:fldChar w:fldCharType="separate"/>
      </w:r>
      <w:r w:rsidR="004F68E5">
        <w:t>Table </w:t>
      </w:r>
      <w:r w:rsidR="004C6771">
        <w:rPr>
          <w:noProof/>
        </w:rPr>
        <w:t>4</w:t>
      </w:r>
      <w:r w:rsidR="00DC2EAD">
        <w:rPr>
          <w:lang w:eastAsia="ja-JP"/>
        </w:rPr>
        <w:fldChar w:fldCharType="end"/>
      </w:r>
      <w:r>
        <w:rPr>
          <w:lang w:eastAsia="ja-JP"/>
        </w:rPr>
        <w:t xml:space="preserve">). The </w:t>
      </w:r>
      <w:r w:rsidR="00831DB6">
        <w:rPr>
          <w:lang w:eastAsia="ja-JP"/>
        </w:rPr>
        <w:t xml:space="preserve">Pharmacometric Working Group </w:t>
      </w:r>
      <w:r>
        <w:rPr>
          <w:lang w:eastAsia="ja-JP"/>
        </w:rPr>
        <w:t>has noted that the max</w:t>
      </w:r>
      <w:r w:rsidR="00DC2EAD">
        <w:rPr>
          <w:lang w:eastAsia="ja-JP"/>
        </w:rPr>
        <w:t>imum</w:t>
      </w:r>
      <w:r>
        <w:rPr>
          <w:lang w:eastAsia="ja-JP"/>
        </w:rPr>
        <w:t xml:space="preserve"> value for AUC for children in </w:t>
      </w:r>
      <w:r w:rsidR="00831DB6">
        <w:rPr>
          <w:lang w:eastAsia="ja-JP"/>
        </w:rPr>
        <w:t xml:space="preserve">the </w:t>
      </w:r>
      <w:proofErr w:type="gramStart"/>
      <w:r>
        <w:rPr>
          <w:lang w:eastAsia="ja-JP"/>
        </w:rPr>
        <w:t>4</w:t>
      </w:r>
      <w:proofErr w:type="gramEnd"/>
      <w:r>
        <w:rPr>
          <w:lang w:eastAsia="ja-JP"/>
        </w:rPr>
        <w:t xml:space="preserve"> to &lt; 7 years of age group was comparable to adolescents and adults and there was a considerable overlap between t</w:t>
      </w:r>
      <w:r w:rsidR="00831DB6">
        <w:rPr>
          <w:lang w:eastAsia="ja-JP"/>
        </w:rPr>
        <w:t>he 95% CI of the perampanel AUCs</w:t>
      </w:r>
      <w:r>
        <w:rPr>
          <w:lang w:eastAsia="ja-JP"/>
        </w:rPr>
        <w:t xml:space="preserve"> in children, adolescents and adults (</w:t>
      </w:r>
      <w:r w:rsidR="004F68E5">
        <w:rPr>
          <w:lang w:eastAsia="ja-JP"/>
        </w:rPr>
        <w:t xml:space="preserve">see </w:t>
      </w:r>
      <w:r w:rsidR="00DC2EAD">
        <w:rPr>
          <w:lang w:eastAsia="ja-JP"/>
        </w:rPr>
        <w:fldChar w:fldCharType="begin"/>
      </w:r>
      <w:r w:rsidR="00DC2EAD">
        <w:rPr>
          <w:lang w:eastAsia="ja-JP"/>
        </w:rPr>
        <w:instrText xml:space="preserve"> REF _Ref67663312 \h </w:instrText>
      </w:r>
      <w:r w:rsidR="00DC2EAD">
        <w:rPr>
          <w:lang w:eastAsia="ja-JP"/>
        </w:rPr>
      </w:r>
      <w:r w:rsidR="00DC2EAD">
        <w:rPr>
          <w:lang w:eastAsia="ja-JP"/>
        </w:rPr>
        <w:fldChar w:fldCharType="separate"/>
      </w:r>
      <w:r w:rsidR="004C6771">
        <w:t xml:space="preserve">Figure </w:t>
      </w:r>
      <w:r w:rsidR="004C6771">
        <w:rPr>
          <w:noProof/>
        </w:rPr>
        <w:t>5</w:t>
      </w:r>
      <w:r w:rsidR="00DC2EAD">
        <w:rPr>
          <w:lang w:eastAsia="ja-JP"/>
        </w:rPr>
        <w:fldChar w:fldCharType="end"/>
      </w:r>
      <w:r>
        <w:rPr>
          <w:lang w:eastAsia="ja-JP"/>
        </w:rPr>
        <w:t xml:space="preserve">). Based on these observations, the </w:t>
      </w:r>
      <w:r w:rsidR="00831DB6">
        <w:rPr>
          <w:lang w:eastAsia="ja-JP"/>
        </w:rPr>
        <w:t xml:space="preserve">Working Group </w:t>
      </w:r>
      <w:r>
        <w:rPr>
          <w:lang w:eastAsia="ja-JP"/>
        </w:rPr>
        <w:t>concluded that the systemic exposure of perampanel in children 4 to &lt;</w:t>
      </w:r>
      <w:r w:rsidR="00DC2EAD">
        <w:rPr>
          <w:lang w:eastAsia="ja-JP"/>
        </w:rPr>
        <w:t xml:space="preserve"> </w:t>
      </w:r>
      <w:r>
        <w:rPr>
          <w:lang w:eastAsia="ja-JP"/>
        </w:rPr>
        <w:t>7 years of age is comparable to adolescents and adults. The magnitude of effect of inducers on the PK of perampanel was comparable across children and adults.</w:t>
      </w:r>
    </w:p>
    <w:p w14:paraId="134B5F8C" w14:textId="2E5FD177" w:rsidR="00DE5FE0" w:rsidRDefault="00DE5FE0" w:rsidP="00DC2EAD">
      <w:pPr>
        <w:pStyle w:val="FigureTitle"/>
      </w:pPr>
      <w:bookmarkStart w:id="52" w:name="_Ref67663312"/>
      <w:bookmarkStart w:id="53" w:name="_Toc55298949"/>
      <w:r>
        <w:lastRenderedPageBreak/>
        <w:t xml:space="preserve">Figure </w:t>
      </w:r>
      <w:fldSimple w:instr=" SEQ Figure \* ARABIC ">
        <w:r w:rsidR="004C6771">
          <w:rPr>
            <w:noProof/>
          </w:rPr>
          <w:t>5</w:t>
        </w:r>
      </w:fldSimple>
      <w:bookmarkEnd w:id="52"/>
      <w:r>
        <w:t xml:space="preserve">: Predicted perampanel </w:t>
      </w:r>
      <w:r w:rsidR="00496CDB">
        <w:t>area under the concentration time curve at steady state versus</w:t>
      </w:r>
      <w:r w:rsidR="00DC2EAD">
        <w:t xml:space="preserve"> weight (kg) /dose (mg), n</w:t>
      </w:r>
      <w:r>
        <w:t>on induced N</w:t>
      </w:r>
      <w:r w:rsidR="00DC2EAD">
        <w:t> </w:t>
      </w:r>
      <w:r>
        <w:t>=</w:t>
      </w:r>
      <w:r w:rsidR="00DC2EAD">
        <w:t> </w:t>
      </w:r>
      <w:r>
        <w:t>100</w:t>
      </w:r>
      <w:bookmarkEnd w:id="53"/>
    </w:p>
    <w:p w14:paraId="62AF7A9D" w14:textId="322E1F2B" w:rsidR="00DE5FE0" w:rsidRDefault="00DE5FE0" w:rsidP="003E5D00">
      <w:pPr>
        <w:rPr>
          <w:lang w:eastAsia="ja-JP"/>
        </w:rPr>
      </w:pPr>
      <w:r>
        <w:rPr>
          <w:noProof/>
          <w:lang w:eastAsia="en-AU"/>
        </w:rPr>
        <w:drawing>
          <wp:inline distT="0" distB="0" distL="0" distR="0" wp14:anchorId="47D67F7E" wp14:editId="52F7C9C3">
            <wp:extent cx="5106389" cy="3194271"/>
            <wp:effectExtent l="0" t="0" r="0" b="6350"/>
            <wp:docPr id="42" name="Picture 42" descr="Predicted perampanel area under the concentration time curve at steady state versus weight (kg) /dose (mg), non induced N =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1252"/>
                    <a:stretch/>
                  </pic:blipFill>
                  <pic:spPr bwMode="auto">
                    <a:xfrm>
                      <a:off x="0" y="0"/>
                      <a:ext cx="5159614" cy="3227565"/>
                    </a:xfrm>
                    <a:prstGeom prst="rect">
                      <a:avLst/>
                    </a:prstGeom>
                    <a:ln>
                      <a:noFill/>
                    </a:ln>
                    <a:extLst>
                      <a:ext uri="{53640926-AAD7-44D8-BBD7-CCE9431645EC}">
                        <a14:shadowObscured xmlns:a14="http://schemas.microsoft.com/office/drawing/2010/main"/>
                      </a:ext>
                    </a:extLst>
                  </pic:spPr>
                </pic:pic>
              </a:graphicData>
            </a:graphic>
          </wp:inline>
        </w:drawing>
      </w:r>
    </w:p>
    <w:p w14:paraId="2E6E8E3D" w14:textId="210609EE" w:rsidR="00881BAA" w:rsidRDefault="00881BAA" w:rsidP="00881BAA">
      <w:pPr>
        <w:pStyle w:val="TableDescription"/>
        <w:rPr>
          <w:lang w:eastAsia="ja-JP"/>
        </w:rPr>
      </w:pPr>
      <w:r>
        <w:rPr>
          <w:lang w:eastAsia="ja-JP"/>
        </w:rPr>
        <w:t>AUC = area under the concentration time curve; CI = confidence interval.</w:t>
      </w:r>
    </w:p>
    <w:p w14:paraId="6CCBA98D" w14:textId="2AF4F891" w:rsidR="00DE5FE0" w:rsidRDefault="00DE5FE0" w:rsidP="00DC2EAD">
      <w:pPr>
        <w:pStyle w:val="TableTitle"/>
      </w:pPr>
      <w:bookmarkStart w:id="54" w:name="_Ref67663328"/>
      <w:bookmarkStart w:id="55" w:name="_Toc55303372"/>
      <w:r>
        <w:t xml:space="preserve">Table </w:t>
      </w:r>
      <w:fldSimple w:instr=" SEQ Table \* ARABIC ">
        <w:r w:rsidR="004C6771">
          <w:rPr>
            <w:noProof/>
          </w:rPr>
          <w:t>4</w:t>
        </w:r>
      </w:fldSimple>
      <w:bookmarkEnd w:id="54"/>
      <w:r>
        <w:t>: Summary o</w:t>
      </w:r>
      <w:r w:rsidR="00DC2EAD">
        <w:t>f individual dose normalised area under the concentration time curve</w:t>
      </w:r>
      <w:r>
        <w:t xml:space="preserve"> across age groups and concomitant </w:t>
      </w:r>
      <w:bookmarkEnd w:id="55"/>
      <w:r w:rsidR="00DC2EAD">
        <w:rPr>
          <w:lang w:eastAsia="ja-JP"/>
        </w:rPr>
        <w:t>antiepileptic drugs</w:t>
      </w:r>
    </w:p>
    <w:p w14:paraId="66973AFD" w14:textId="4F202948" w:rsidR="00DE5FE0" w:rsidRDefault="00DE5FE0" w:rsidP="003E5D00">
      <w:pPr>
        <w:rPr>
          <w:lang w:eastAsia="ja-JP"/>
        </w:rPr>
      </w:pPr>
      <w:r>
        <w:rPr>
          <w:noProof/>
          <w:lang w:eastAsia="en-AU"/>
        </w:rPr>
        <w:drawing>
          <wp:inline distT="0" distB="0" distL="0" distR="0" wp14:anchorId="2DEDB1FA" wp14:editId="46549A66">
            <wp:extent cx="4773518" cy="3440893"/>
            <wp:effectExtent l="0" t="0" r="8255" b="7620"/>
            <wp:docPr id="4" name="Picture 4" descr="Summary of individual dose normalised area under the concentration time curve across age groups and concomitant antiepileptic dr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8764" cy="3444675"/>
                    </a:xfrm>
                    <a:prstGeom prst="rect">
                      <a:avLst/>
                    </a:prstGeom>
                    <a:noFill/>
                    <a:ln>
                      <a:noFill/>
                    </a:ln>
                  </pic:spPr>
                </pic:pic>
              </a:graphicData>
            </a:graphic>
          </wp:inline>
        </w:drawing>
      </w:r>
    </w:p>
    <w:p w14:paraId="1FDC9D14" w14:textId="29EDDFC1" w:rsidR="00496CDB" w:rsidRPr="003E5D00" w:rsidRDefault="00496CDB" w:rsidP="00496CDB">
      <w:pPr>
        <w:pStyle w:val="TableDescription"/>
        <w:rPr>
          <w:lang w:eastAsia="ja-JP"/>
        </w:rPr>
      </w:pPr>
      <w:r>
        <w:rPr>
          <w:lang w:eastAsia="ja-JP"/>
        </w:rPr>
        <w:t>CV = coefficient of variati</w:t>
      </w:r>
      <w:r w:rsidR="00881BAA">
        <w:rPr>
          <w:lang w:eastAsia="ja-JP"/>
        </w:rPr>
        <w:t>on; DDI = drug-drug interaction; SD = standard deviation.</w:t>
      </w:r>
    </w:p>
    <w:p w14:paraId="52BEDA9E" w14:textId="77777777" w:rsidR="00DE5FE0" w:rsidRDefault="00DE5FE0" w:rsidP="003E5D00">
      <w:pPr>
        <w:pStyle w:val="Heading6"/>
      </w:pPr>
      <w:r>
        <w:t>Effect of food on oral suspension</w:t>
      </w:r>
    </w:p>
    <w:p w14:paraId="6B9A0384" w14:textId="3E925808" w:rsidR="00DE5FE0" w:rsidRPr="003E5D00" w:rsidRDefault="00DE5FE0" w:rsidP="003E5D00">
      <w:r>
        <w:t>The evaluator has concluded that t</w:t>
      </w:r>
      <w:r w:rsidR="00DC2EAD">
        <w:t xml:space="preserve">he minor 10 to </w:t>
      </w:r>
      <w:r w:rsidRPr="005C0DBB">
        <w:t>13% reduction in AUC with food is unlikely to be of clinical significance, and the 22% reduction in C</w:t>
      </w:r>
      <w:r w:rsidRPr="00DC2EAD">
        <w:rPr>
          <w:vertAlign w:val="subscript"/>
        </w:rPr>
        <w:t>max</w:t>
      </w:r>
      <w:r w:rsidRPr="005C0DBB">
        <w:t xml:space="preserve"> </w:t>
      </w:r>
      <w:proofErr w:type="gramStart"/>
      <w:r w:rsidRPr="005C0DBB">
        <w:t>would be expected</w:t>
      </w:r>
      <w:proofErr w:type="gramEnd"/>
      <w:r w:rsidRPr="005C0DBB">
        <w:t xml:space="preserve"> to reduce peak-dose tolerability issues without compromising efficacy.</w:t>
      </w:r>
      <w:r w:rsidR="00DC2EAD">
        <w:t xml:space="preserve"> The D</w:t>
      </w:r>
      <w:r>
        <w:t>elegate agrees with this conclusion. This information is included in the proposed PI.</w:t>
      </w:r>
    </w:p>
    <w:p w14:paraId="0E85C5AF" w14:textId="77777777" w:rsidR="00DE5FE0" w:rsidRPr="00831DB6" w:rsidRDefault="00DE5FE0" w:rsidP="00831DB6">
      <w:pPr>
        <w:pStyle w:val="Heading5"/>
      </w:pPr>
      <w:r w:rsidRPr="00831DB6">
        <w:lastRenderedPageBreak/>
        <w:t>Pharmacodynamics</w:t>
      </w:r>
    </w:p>
    <w:p w14:paraId="64078853" w14:textId="715164E9" w:rsidR="00DE5FE0" w:rsidRPr="003E5D00" w:rsidRDefault="00DE5FE0" w:rsidP="003E5D00">
      <w:r>
        <w:t>The sponsor has pooled the efficacy data from</w:t>
      </w:r>
      <w:r w:rsidR="00831DB6">
        <w:t xml:space="preserve"> these studies and combined the</w:t>
      </w:r>
      <w:r>
        <w:t xml:space="preserve"> data from PK and efficacy studies in adolescents and adults to produce a model to describe the PK/PD relationship for perampanel in subjects of all ages, for both POS and PGTCS. The evaluator considered the paediatric data as sub-optimal, since the efficacy data </w:t>
      </w:r>
      <w:proofErr w:type="gramStart"/>
      <w:r>
        <w:t>was bas</w:t>
      </w:r>
      <w:r w:rsidR="00831DB6">
        <w:t>ed</w:t>
      </w:r>
      <w:proofErr w:type="gramEnd"/>
      <w:r w:rsidR="00831DB6">
        <w:t xml:space="preserve"> on uncontrolled studies. In addition</w:t>
      </w:r>
      <w:r>
        <w:t>, the sponsor had pooled the data based on an assumption that the efficacy is comparable across age groups. However, there was no evidence to support this assumption. Based on these aspects, the evaluator concluded that PK/PD models did not serve the purpose of extrapolating the efficacy of perampane</w:t>
      </w:r>
      <w:r w:rsidR="00DC2EAD">
        <w:t>l from adults to children. The D</w:t>
      </w:r>
      <w:r>
        <w:t>elegate agrees with this conclusion.</w:t>
      </w:r>
    </w:p>
    <w:p w14:paraId="1005BC56" w14:textId="77777777" w:rsidR="00DE5FE0" w:rsidRPr="00831DB6" w:rsidRDefault="00DE5FE0" w:rsidP="00831DB6">
      <w:pPr>
        <w:pStyle w:val="Heading4"/>
      </w:pPr>
      <w:r w:rsidRPr="00831DB6">
        <w:t>Efficacy</w:t>
      </w:r>
    </w:p>
    <w:p w14:paraId="532CE837" w14:textId="2A9A66C8" w:rsidR="00DE5FE0" w:rsidRPr="003E5D00" w:rsidRDefault="00DE5FE0" w:rsidP="003E5D00">
      <w:r>
        <w:t xml:space="preserve">The sponsor's approach was to use the Pop PK model to extrapolate efficacy of perampanel that </w:t>
      </w:r>
      <w:proofErr w:type="gramStart"/>
      <w:r>
        <w:t>has been demonstrated</w:t>
      </w:r>
      <w:proofErr w:type="gramEnd"/>
      <w:r>
        <w:t xml:space="preserve"> in adults and adolescents to children &lt;</w:t>
      </w:r>
      <w:r w:rsidR="0035373D">
        <w:t xml:space="preserve"> </w:t>
      </w:r>
      <w:r>
        <w:t xml:space="preserve">12 years of age. </w:t>
      </w:r>
      <w:r w:rsidRPr="0035373D">
        <w:t>No studies that evaluated efficacy as a primary outcome were included in this submission</w:t>
      </w:r>
      <w:r w:rsidRPr="00E57F02">
        <w:rPr>
          <w:i/>
        </w:rPr>
        <w:t>.</w:t>
      </w:r>
      <w:r>
        <w:t xml:space="preserve"> Studies 232 and 311 </w:t>
      </w:r>
      <w:proofErr w:type="gramStart"/>
      <w:r>
        <w:t>were primarily designed</w:t>
      </w:r>
      <w:proofErr w:type="gramEnd"/>
      <w:r>
        <w:t xml:space="preserve"> to examine the safety of perampanel in th</w:t>
      </w:r>
      <w:r w:rsidR="0035373D">
        <w:t>e targeted patient population. The s</w:t>
      </w:r>
      <w:r>
        <w:t>ponsor also included meta-analyses of studies in children with POS and PGTCS.</w:t>
      </w:r>
    </w:p>
    <w:p w14:paraId="7CD5618A" w14:textId="1E94E12D" w:rsidR="00DE5FE0" w:rsidRPr="003E5D00" w:rsidRDefault="00DE5FE0" w:rsidP="003E5D00">
      <w:pPr>
        <w:pStyle w:val="Heading5"/>
      </w:pPr>
      <w:r w:rsidRPr="003E5D00">
        <w:t>Meta-analysis</w:t>
      </w:r>
      <w:r w:rsidR="0035373D">
        <w:t xml:space="preserve"> of studies in children with </w:t>
      </w:r>
      <w:r w:rsidR="0035373D">
        <w:rPr>
          <w:color w:val="auto"/>
          <w:szCs w:val="22"/>
        </w:rPr>
        <w:t>partial-onset seizures</w:t>
      </w:r>
    </w:p>
    <w:p w14:paraId="210BE9FD" w14:textId="53908C57" w:rsidR="00DE5FE0" w:rsidRDefault="00AB5766" w:rsidP="003E5D00">
      <w:pPr>
        <w:rPr>
          <w:lang w:eastAsia="ja-JP"/>
        </w:rPr>
      </w:pPr>
      <w:r>
        <w:t>A meta-analysis by Pe</w:t>
      </w:r>
      <w:r w:rsidR="00DE5FE0">
        <w:t>llock et al</w:t>
      </w:r>
      <w:r w:rsidR="003873AA">
        <w:t>.,</w:t>
      </w:r>
      <w:r w:rsidR="00DE5FE0">
        <w:t xml:space="preserve"> </w:t>
      </w:r>
      <w:r>
        <w:t>(2012)</w:t>
      </w:r>
      <w:r>
        <w:fldChar w:fldCharType="begin"/>
      </w:r>
      <w:r>
        <w:instrText xml:space="preserve"> NOTEREF _Ref67668977 \f \h </w:instrText>
      </w:r>
      <w:r>
        <w:fldChar w:fldCharType="separate"/>
      </w:r>
      <w:r w:rsidR="004C6771" w:rsidRPr="004C6771">
        <w:rPr>
          <w:rStyle w:val="FootnoteReference"/>
        </w:rPr>
        <w:t>7</w:t>
      </w:r>
      <w:r>
        <w:fldChar w:fldCharType="end"/>
      </w:r>
      <w:r>
        <w:t xml:space="preserve"> </w:t>
      </w:r>
      <w:proofErr w:type="gramStart"/>
      <w:r w:rsidR="00DE5FE0">
        <w:t>was referred</w:t>
      </w:r>
      <w:proofErr w:type="gramEnd"/>
      <w:r w:rsidR="00DE5FE0">
        <w:t xml:space="preserve"> </w:t>
      </w:r>
      <w:r w:rsidR="0035373D">
        <w:t xml:space="preserve">to </w:t>
      </w:r>
      <w:r w:rsidR="00DE5FE0">
        <w:t>by the sponsor for a comparison of data between POS studies in adults and children. In these studies, e</w:t>
      </w:r>
      <w:r w:rsidR="00DE5FE0">
        <w:rPr>
          <w:lang w:eastAsia="ja-JP"/>
        </w:rPr>
        <w:t xml:space="preserve">fficacy </w:t>
      </w:r>
      <w:proofErr w:type="gramStart"/>
      <w:r w:rsidR="00DE5FE0">
        <w:rPr>
          <w:lang w:eastAsia="ja-JP"/>
        </w:rPr>
        <w:t>was expressed</w:t>
      </w:r>
      <w:proofErr w:type="gramEnd"/>
      <w:r w:rsidR="00DE5FE0">
        <w:rPr>
          <w:lang w:eastAsia="ja-JP"/>
        </w:rPr>
        <w:t xml:space="preserve"> using standard measures of placebo-subtracted changes in seizure frequency and response rates. Thirty studies were included in this analys</w:t>
      </w:r>
      <w:r>
        <w:rPr>
          <w:lang w:eastAsia="ja-JP"/>
        </w:rPr>
        <w:t xml:space="preserve">is. </w:t>
      </w:r>
      <w:r w:rsidR="00DE5FE0" w:rsidRPr="001218A1">
        <w:rPr>
          <w:lang w:eastAsia="ja-JP"/>
        </w:rPr>
        <w:t xml:space="preserve">Placebo-subtracted median percent seizure reduction between </w:t>
      </w:r>
      <w:r w:rsidR="00831DB6">
        <w:rPr>
          <w:lang w:eastAsia="ja-JP"/>
        </w:rPr>
        <w:t>B</w:t>
      </w:r>
      <w:r w:rsidR="00DE5FE0">
        <w:rPr>
          <w:lang w:eastAsia="ja-JP"/>
        </w:rPr>
        <w:t>aseline and treatment periods ranged</w:t>
      </w:r>
      <w:r w:rsidR="00DE5FE0" w:rsidRPr="001218A1">
        <w:rPr>
          <w:lang w:eastAsia="ja-JP"/>
        </w:rPr>
        <w:t xml:space="preserve"> from 7.0% to 58.6% in adults and from 10.5% to 31.2% in ch</w:t>
      </w:r>
      <w:r w:rsidR="00DE5FE0">
        <w:rPr>
          <w:lang w:eastAsia="ja-JP"/>
        </w:rPr>
        <w:t>ildren. The ≥</w:t>
      </w:r>
      <w:r w:rsidR="00D523E2">
        <w:rPr>
          <w:lang w:eastAsia="ja-JP"/>
        </w:rPr>
        <w:t xml:space="preserve"> </w:t>
      </w:r>
      <w:r w:rsidR="00DE5FE0">
        <w:rPr>
          <w:lang w:eastAsia="ja-JP"/>
        </w:rPr>
        <w:t>50% responder rate ranged</w:t>
      </w:r>
      <w:r w:rsidR="00DE5FE0" w:rsidRPr="001218A1">
        <w:rPr>
          <w:lang w:eastAsia="ja-JP"/>
        </w:rPr>
        <w:t xml:space="preserve"> from 2.0% to 43.0% in adults and f</w:t>
      </w:r>
      <w:r w:rsidR="00DE5FE0">
        <w:rPr>
          <w:lang w:eastAsia="ja-JP"/>
        </w:rPr>
        <w:t>rom 3.0% to 26.0% in children. In children &lt;</w:t>
      </w:r>
      <w:r w:rsidR="00D523E2">
        <w:rPr>
          <w:lang w:eastAsia="ja-JP"/>
        </w:rPr>
        <w:t> 2 y</w:t>
      </w:r>
      <w:r w:rsidR="00DE5FE0" w:rsidRPr="001218A1">
        <w:rPr>
          <w:lang w:eastAsia="ja-JP"/>
        </w:rPr>
        <w:t>ears</w:t>
      </w:r>
      <w:r w:rsidR="00D523E2">
        <w:rPr>
          <w:lang w:eastAsia="ja-JP"/>
        </w:rPr>
        <w:t xml:space="preserve"> of age</w:t>
      </w:r>
      <w:r w:rsidR="00DE5FE0" w:rsidRPr="001218A1">
        <w:rPr>
          <w:lang w:eastAsia="ja-JP"/>
        </w:rPr>
        <w:t>, an insufficient number of trials were eligible for analysis.</w:t>
      </w:r>
      <w:r w:rsidR="00DE5FE0">
        <w:rPr>
          <w:lang w:eastAsia="ja-JP"/>
        </w:rPr>
        <w:t xml:space="preserve"> The overall efficacy data suggest a comparable treatment benefit for ad</w:t>
      </w:r>
      <w:r w:rsidR="00D523E2">
        <w:rPr>
          <w:lang w:eastAsia="ja-JP"/>
        </w:rPr>
        <w:t>ults and children, for the anti</w:t>
      </w:r>
      <w:r w:rsidR="00D523E2">
        <w:rPr>
          <w:lang w:eastAsia="ja-JP"/>
        </w:rPr>
        <w:noBreakHyphen/>
      </w:r>
      <w:r w:rsidR="00DE5FE0">
        <w:rPr>
          <w:lang w:eastAsia="ja-JP"/>
        </w:rPr>
        <w:t xml:space="preserve">epileptics that were included in the studies. The wide range of treatment response for perampanel </w:t>
      </w:r>
      <w:proofErr w:type="gramStart"/>
      <w:r w:rsidR="00DE5FE0">
        <w:rPr>
          <w:lang w:eastAsia="ja-JP"/>
        </w:rPr>
        <w:t>was noted</w:t>
      </w:r>
      <w:proofErr w:type="gramEnd"/>
      <w:r w:rsidR="00DE5FE0">
        <w:rPr>
          <w:lang w:eastAsia="ja-JP"/>
        </w:rPr>
        <w:t>.</w:t>
      </w:r>
    </w:p>
    <w:p w14:paraId="611C5651" w14:textId="77777777" w:rsidR="00DE5FE0" w:rsidRDefault="00DE5FE0" w:rsidP="003E5D00">
      <w:pPr>
        <w:rPr>
          <w:lang w:eastAsia="ja-JP"/>
        </w:rPr>
      </w:pPr>
      <w:r>
        <w:rPr>
          <w:lang w:eastAsia="ja-JP"/>
        </w:rPr>
        <w:t>The limitations of this meta-analysis were:</w:t>
      </w:r>
    </w:p>
    <w:p w14:paraId="17283F3D" w14:textId="51840383" w:rsidR="00DE5FE0" w:rsidRPr="00DE4E85" w:rsidRDefault="00DE5FE0" w:rsidP="003E5D00">
      <w:pPr>
        <w:pStyle w:val="ListBullet"/>
      </w:pPr>
      <w:r>
        <w:t xml:space="preserve">Perampanel </w:t>
      </w:r>
      <w:proofErr w:type="gramStart"/>
      <w:r>
        <w:t>was not used</w:t>
      </w:r>
      <w:proofErr w:type="gramEnd"/>
      <w:r>
        <w:t xml:space="preserve"> in any of these studies. Moreover, the </w:t>
      </w:r>
      <w:r w:rsidR="00AB5766">
        <w:t>AEDs</w:t>
      </w:r>
      <w:r>
        <w:t xml:space="preserve"> used in these studies did not have comparable mechanism of action to perampanel (</w:t>
      </w:r>
      <w:r w:rsidR="00AB5766">
        <w:t>gabapentin, lamotrigine, levatiracetam, oxcarbazepine and topiramate</w:t>
      </w:r>
      <w:r>
        <w:t>).</w:t>
      </w:r>
    </w:p>
    <w:p w14:paraId="7E0ECA84" w14:textId="6225733F" w:rsidR="00DE5FE0" w:rsidRDefault="00DE5FE0" w:rsidP="003E5D00">
      <w:pPr>
        <w:pStyle w:val="ListBullet"/>
      </w:pPr>
      <w:r>
        <w:t>The pathophysiological differences in epilepsy acros</w:t>
      </w:r>
      <w:r w:rsidR="00D523E2">
        <w:t xml:space="preserve">s the age groups of children (2 to </w:t>
      </w:r>
      <w:r>
        <w:t>17 years</w:t>
      </w:r>
      <w:r w:rsidR="00D523E2">
        <w:t xml:space="preserve"> of age</w:t>
      </w:r>
      <w:r>
        <w:t>) included in the studies:</w:t>
      </w:r>
    </w:p>
    <w:p w14:paraId="701C1ED2" w14:textId="3E006D84" w:rsidR="00DE5FE0" w:rsidRPr="003E5D00" w:rsidRDefault="00DE5FE0" w:rsidP="003E5D00">
      <w:pPr>
        <w:pStyle w:val="ListBullet2"/>
      </w:pPr>
      <w:r>
        <w:t>The E</w:t>
      </w:r>
      <w:r w:rsidR="00D523E2">
        <w:t xml:space="preserve">EGs from very young children (2 to </w:t>
      </w:r>
      <w:r>
        <w:t>4 years</w:t>
      </w:r>
      <w:r w:rsidR="00D523E2">
        <w:t xml:space="preserve"> of age</w:t>
      </w:r>
      <w:r>
        <w:t xml:space="preserve">) are very distinct from those of 17 years old children and adults. This </w:t>
      </w:r>
      <w:proofErr w:type="gramStart"/>
      <w:r>
        <w:t>is attributed</w:t>
      </w:r>
      <w:proofErr w:type="gramEnd"/>
      <w:r>
        <w:t xml:space="preserve"> to the difference in background rhythms in very young children, compared to adolescents and adults.</w:t>
      </w:r>
    </w:p>
    <w:p w14:paraId="01D76384" w14:textId="421B2B11" w:rsidR="00DE5FE0" w:rsidRPr="003E5D00" w:rsidRDefault="00DE5FE0" w:rsidP="003E5D00">
      <w:pPr>
        <w:pStyle w:val="Heading5"/>
      </w:pPr>
      <w:r w:rsidRPr="003E5D00">
        <w:t xml:space="preserve">Sponsor's meta-analysis of </w:t>
      </w:r>
      <w:r w:rsidR="00D523E2">
        <w:t>p</w:t>
      </w:r>
      <w:r w:rsidR="00D523E2" w:rsidRPr="00D523E2">
        <w:t>rimary g</w:t>
      </w:r>
      <w:r w:rsidR="00D523E2">
        <w:t>eneralised tonic-clonic seizure</w:t>
      </w:r>
      <w:r w:rsidRPr="003E5D00">
        <w:t xml:space="preserve"> studies</w:t>
      </w:r>
    </w:p>
    <w:p w14:paraId="24946C6F" w14:textId="0B050D09" w:rsidR="00DE5FE0" w:rsidRDefault="00DE5FE0" w:rsidP="003E5D00">
      <w:r>
        <w:t xml:space="preserve">In response to </w:t>
      </w:r>
      <w:r w:rsidR="00D523E2">
        <w:t xml:space="preserve">the </w:t>
      </w:r>
      <w:r>
        <w:t xml:space="preserve">EMA's request, the sponsor conducted a meta-analysis for PGTCS studies. Seven studies were included in this analysis. The meta-analysis did not have the criteria to include studies with AEDs that </w:t>
      </w:r>
      <w:proofErr w:type="gramStart"/>
      <w:r>
        <w:t>has been assess</w:t>
      </w:r>
      <w:r w:rsidR="00D523E2">
        <w:t>ed</w:t>
      </w:r>
      <w:proofErr w:type="gramEnd"/>
      <w:r w:rsidR="00D523E2">
        <w:t xml:space="preserve"> in both adults and children.</w:t>
      </w:r>
    </w:p>
    <w:p w14:paraId="6D109BFD" w14:textId="77777777" w:rsidR="00DE5FE0" w:rsidRDefault="00DE5FE0" w:rsidP="003E5D00">
      <w:r>
        <w:t xml:space="preserve">The following limitations were noted, and </w:t>
      </w:r>
      <w:proofErr w:type="gramStart"/>
      <w:r>
        <w:t>most of them were conceded by the sponsor</w:t>
      </w:r>
      <w:proofErr w:type="gramEnd"/>
      <w:r>
        <w:t>:</w:t>
      </w:r>
    </w:p>
    <w:p w14:paraId="313D258F" w14:textId="4BFB87B9" w:rsidR="00DE5FE0" w:rsidRDefault="00D523E2" w:rsidP="003E5D00">
      <w:pPr>
        <w:pStyle w:val="ListBullet"/>
      </w:pPr>
      <w:r>
        <w:t xml:space="preserve">Low number of children in the 4 to </w:t>
      </w:r>
      <w:r w:rsidR="00DE5FE0">
        <w:t>16 years age group.</w:t>
      </w:r>
    </w:p>
    <w:p w14:paraId="11D6A11D" w14:textId="77777777" w:rsidR="00DE5FE0" w:rsidRDefault="00DE5FE0" w:rsidP="003E5D00">
      <w:pPr>
        <w:pStyle w:val="ListBullet"/>
      </w:pPr>
      <w:r w:rsidRPr="008A4B35">
        <w:t>None of the studies involved treatment with perampanel in both children and adults.</w:t>
      </w:r>
    </w:p>
    <w:p w14:paraId="71EF97EB" w14:textId="23EEB03B" w:rsidR="00DE5FE0" w:rsidRDefault="00D523E2" w:rsidP="003E5D00">
      <w:pPr>
        <w:pStyle w:val="ListBullet"/>
      </w:pPr>
      <w:r>
        <w:lastRenderedPageBreak/>
        <w:t>‘Adults’</w:t>
      </w:r>
      <w:r w:rsidR="00DE5FE0">
        <w:t xml:space="preserve"> were defined as subjects &gt;</w:t>
      </w:r>
      <w:r>
        <w:t xml:space="preserve"> </w:t>
      </w:r>
      <w:r w:rsidR="00DE5FE0">
        <w:t>12 years of age in most studies and &gt;</w:t>
      </w:r>
      <w:r>
        <w:t xml:space="preserve"> </w:t>
      </w:r>
      <w:r w:rsidR="00DE5FE0">
        <w:t>16 years in one study, resulting in an inconsistent overlap of age groups.</w:t>
      </w:r>
    </w:p>
    <w:p w14:paraId="0FA41007" w14:textId="77777777" w:rsidR="00DE5FE0" w:rsidRDefault="00DE5FE0" w:rsidP="003E5D00">
      <w:pPr>
        <w:pStyle w:val="ListBullet"/>
      </w:pPr>
      <w:r>
        <w:t>The AEDs used in these studies and perampanel did not have a comparable mechanism of action.</w:t>
      </w:r>
    </w:p>
    <w:p w14:paraId="2407A78C" w14:textId="3BE3D6EA" w:rsidR="00DE5FE0" w:rsidRDefault="00DE5FE0" w:rsidP="003E5D00">
      <w:pPr>
        <w:pStyle w:val="ListBullet"/>
      </w:pPr>
      <w:r>
        <w:t xml:space="preserve">The sponsor used an estimated </w:t>
      </w:r>
      <w:r w:rsidR="00D523E2">
        <w:t xml:space="preserve">standard deviation </w:t>
      </w:r>
      <w:r>
        <w:t>(SD) from one study (French</w:t>
      </w:r>
      <w:r w:rsidR="00D523E2">
        <w:t xml:space="preserve"> et al.</w:t>
      </w:r>
      <w:r w:rsidR="003873AA">
        <w:t>,</w:t>
      </w:r>
      <w:r>
        <w:t xml:space="preserve"> 2015)</w:t>
      </w:r>
      <w:r w:rsidR="00D523E2">
        <w:rPr>
          <w:rStyle w:val="FootnoteReference"/>
        </w:rPr>
        <w:footnoteReference w:id="12"/>
      </w:r>
      <w:r>
        <w:t xml:space="preserve"> and applied it across all studies. This approach could introduce an unknown error in the estimates.</w:t>
      </w:r>
    </w:p>
    <w:p w14:paraId="04313379" w14:textId="566DFC5A" w:rsidR="00DE5FE0" w:rsidRPr="003E5D00" w:rsidRDefault="00D523E2" w:rsidP="003E5D00">
      <w:pPr>
        <w:pStyle w:val="ListBullet"/>
      </w:pPr>
      <w:r>
        <w:t>A standard difference</w:t>
      </w:r>
      <w:r w:rsidR="00DE5FE0">
        <w:t xml:space="preserve"> </w:t>
      </w:r>
      <w:proofErr w:type="gramStart"/>
      <w:r w:rsidR="00DE5FE0">
        <w:t>was used</w:t>
      </w:r>
      <w:proofErr w:type="gramEnd"/>
      <w:r w:rsidR="00DE5FE0">
        <w:t xml:space="preserve"> to compare treatment difference across studies in adults and children. </w:t>
      </w:r>
      <w:r>
        <w:t xml:space="preserve">The standard difference </w:t>
      </w:r>
      <w:r w:rsidR="00DE5FE0">
        <w:t xml:space="preserve">was the difference in </w:t>
      </w:r>
      <w:r w:rsidR="00DE5FE0" w:rsidRPr="00A17460">
        <w:t>medians between drug</w:t>
      </w:r>
      <w:r>
        <w:t xml:space="preserve"> treated patients and placebo treated patients divided by </w:t>
      </w:r>
      <w:r w:rsidR="00831DB6">
        <w:t xml:space="preserve">the </w:t>
      </w:r>
      <w:r>
        <w:t xml:space="preserve">SD. </w:t>
      </w:r>
      <w:r w:rsidR="00DE5FE0">
        <w:t>The evaluator considered that this approach to normalise the efficacy might have</w:t>
      </w:r>
      <w:r w:rsidR="00DE5FE0" w:rsidRPr="00A17460">
        <w:t xml:space="preserve"> create</w:t>
      </w:r>
      <w:r w:rsidR="00DE5FE0">
        <w:t>d</w:t>
      </w:r>
      <w:r w:rsidR="00DE5FE0" w:rsidRPr="00A17460">
        <w:t xml:space="preserve"> a unit</w:t>
      </w:r>
      <w:r w:rsidR="00831DB6">
        <w:t>-</w:t>
      </w:r>
      <w:r w:rsidR="00DE5FE0" w:rsidRPr="00A17460">
        <w:t>less measure of efficacy (based on reduc</w:t>
      </w:r>
      <w:r w:rsidR="00831DB6">
        <w:t>tion in seizure frequency from B</w:t>
      </w:r>
      <w:r w:rsidR="00DE5FE0" w:rsidRPr="00A17460">
        <w:t>as</w:t>
      </w:r>
      <w:r w:rsidR="000A6FB2">
        <w:t>eline, for the primary analysis</w:t>
      </w:r>
      <w:r w:rsidR="00DE5FE0" w:rsidRPr="00A17460">
        <w:t>)</w:t>
      </w:r>
      <w:r w:rsidR="000A6FB2">
        <w:t>.</w:t>
      </w:r>
    </w:p>
    <w:p w14:paraId="31DB0FA5" w14:textId="54F47192" w:rsidR="00DE5FE0" w:rsidRPr="003E5D00" w:rsidRDefault="00D523E2" w:rsidP="003E5D00">
      <w:r>
        <w:t>It was noted that the ‘standard difference’</w:t>
      </w:r>
      <w:r w:rsidR="00DE5FE0">
        <w:t xml:space="preserve"> between active treatment and placebo was about 0.53 in the double-blind stage of adult/adolescent studies, and about 0.59 in the double-blind sta</w:t>
      </w:r>
      <w:r w:rsidR="000A6FB2">
        <w:t>ge of child/adolescent studies.</w:t>
      </w:r>
    </w:p>
    <w:p w14:paraId="1BA3B91B" w14:textId="3742C631" w:rsidR="00DE5FE0" w:rsidRDefault="00DE5FE0" w:rsidP="003E5D00">
      <w:pPr>
        <w:rPr>
          <w:rFonts w:asciiTheme="minorHAnsi" w:hAnsiTheme="minorHAnsi"/>
        </w:rPr>
      </w:pPr>
      <w:r>
        <w:rPr>
          <w:rFonts w:asciiTheme="minorHAnsi" w:hAnsiTheme="minorHAnsi"/>
        </w:rPr>
        <w:t>In summary, the evaluator concluded that the methodological limitations outweigh the find</w:t>
      </w:r>
      <w:r w:rsidR="00D523E2">
        <w:rPr>
          <w:rFonts w:asciiTheme="minorHAnsi" w:hAnsiTheme="minorHAnsi"/>
        </w:rPr>
        <w:t>ings from these meta-analyses.</w:t>
      </w:r>
    </w:p>
    <w:p w14:paraId="0A4BBC4B" w14:textId="05E48B56" w:rsidR="00DE5FE0" w:rsidRPr="00D523E2" w:rsidRDefault="00D523E2" w:rsidP="00D523E2">
      <w:r>
        <w:t>The D</w:t>
      </w:r>
      <w:r w:rsidR="00DE5FE0" w:rsidRPr="00D523E2">
        <w:t>elegate agrees with the evaluator's c</w:t>
      </w:r>
      <w:r w:rsidR="00831DB6">
        <w:t>onclusions regarding these meta-</w:t>
      </w:r>
      <w:r w:rsidR="00DE5FE0" w:rsidRPr="00D523E2">
        <w:t xml:space="preserve">analyses and hence the data </w:t>
      </w:r>
      <w:proofErr w:type="gramStart"/>
      <w:r w:rsidR="00DE5FE0" w:rsidRPr="00D523E2">
        <w:t>was not considered</w:t>
      </w:r>
      <w:proofErr w:type="gramEnd"/>
      <w:r w:rsidR="00DE5FE0" w:rsidRPr="00D523E2">
        <w:t xml:space="preserve"> as providing supportive evidence for the </w:t>
      </w:r>
      <w:r w:rsidR="003E5D00" w:rsidRPr="00D523E2">
        <w:t>proposed indication.</w:t>
      </w:r>
    </w:p>
    <w:p w14:paraId="168343EB" w14:textId="77777777" w:rsidR="00DE5FE0" w:rsidRPr="003E5D00" w:rsidRDefault="00DE5FE0" w:rsidP="003E5D00">
      <w:pPr>
        <w:pStyle w:val="Heading5"/>
      </w:pPr>
      <w:r w:rsidRPr="003E5D00">
        <w:t>Study 311</w:t>
      </w:r>
    </w:p>
    <w:p w14:paraId="44D14A77" w14:textId="2EEBA842" w:rsidR="00DE5FE0" w:rsidRDefault="00D523E2" w:rsidP="003E5D00">
      <w:r w:rsidRPr="004C6771">
        <w:rPr>
          <w:i/>
        </w:rPr>
        <w:t>Study design</w:t>
      </w:r>
      <w:r>
        <w:t xml:space="preserve">: open </w:t>
      </w:r>
      <w:r w:rsidR="00DE5FE0">
        <w:t>label, multicentre, uncontrolled, single arm study.</w:t>
      </w:r>
    </w:p>
    <w:p w14:paraId="2C2284A2" w14:textId="6857BB45" w:rsidR="00DE5FE0" w:rsidRDefault="00D523E2" w:rsidP="003E5D00">
      <w:r w:rsidRPr="004C6771">
        <w:rPr>
          <w:rFonts w:asciiTheme="minorHAnsi" w:hAnsiTheme="minorHAnsi"/>
          <w:i/>
        </w:rPr>
        <w:t>Patient population</w:t>
      </w:r>
      <w:r>
        <w:rPr>
          <w:rFonts w:asciiTheme="minorHAnsi" w:hAnsiTheme="minorHAnsi"/>
        </w:rPr>
        <w:t>: c</w:t>
      </w:r>
      <w:r w:rsidR="00DE5FE0">
        <w:rPr>
          <w:rFonts w:asciiTheme="minorHAnsi" w:hAnsiTheme="minorHAnsi"/>
        </w:rPr>
        <w:t>hildren 4 to &lt;</w:t>
      </w:r>
      <w:r>
        <w:rPr>
          <w:rFonts w:asciiTheme="minorHAnsi" w:hAnsiTheme="minorHAnsi"/>
        </w:rPr>
        <w:t xml:space="preserve"> </w:t>
      </w:r>
      <w:r w:rsidR="00DE5FE0">
        <w:rPr>
          <w:rFonts w:asciiTheme="minorHAnsi" w:hAnsiTheme="minorHAnsi"/>
        </w:rPr>
        <w:t xml:space="preserve">12 years of age with </w:t>
      </w:r>
      <w:r w:rsidR="00DE5FE0">
        <w:t xml:space="preserve">inadequately controlled </w:t>
      </w:r>
      <w:r>
        <w:t>POS</w:t>
      </w:r>
      <w:r w:rsidR="00DE5FE0">
        <w:t xml:space="preserve"> or </w:t>
      </w:r>
      <w:r>
        <w:t>PGTCS</w:t>
      </w:r>
      <w:r w:rsidR="00DE5FE0">
        <w:t>. S</w:t>
      </w:r>
      <w:r w:rsidR="00DE5FE0" w:rsidRPr="00026EDD">
        <w:t xml:space="preserve">afety and efficacy of perampanel oral suspension </w:t>
      </w:r>
      <w:proofErr w:type="gramStart"/>
      <w:r w:rsidR="00DE5FE0">
        <w:t>was assessed</w:t>
      </w:r>
      <w:proofErr w:type="gramEnd"/>
      <w:r w:rsidR="00DE5FE0">
        <w:t xml:space="preserve"> </w:t>
      </w:r>
      <w:r w:rsidR="00DE5FE0" w:rsidRPr="00026EDD">
        <w:t xml:space="preserve">as </w:t>
      </w:r>
      <w:r w:rsidR="00DE5FE0">
        <w:t>an adjunctive therapy to</w:t>
      </w:r>
      <w:r w:rsidR="00DE5FE0" w:rsidRPr="00026EDD">
        <w:t xml:space="preserve"> ongoing trea</w:t>
      </w:r>
      <w:r>
        <w:t>tment with 1 to 3 AEDs.</w:t>
      </w:r>
    </w:p>
    <w:p w14:paraId="434706AE" w14:textId="0FFE2734" w:rsidR="00DE5FE0" w:rsidRDefault="00D523E2" w:rsidP="003E5D00">
      <w:r w:rsidRPr="004C6771">
        <w:rPr>
          <w:i/>
        </w:rPr>
        <w:t>Study period</w:t>
      </w:r>
      <w:r>
        <w:t xml:space="preserve">: November 2016 to </w:t>
      </w:r>
      <w:r w:rsidR="00DE5FE0">
        <w:t>July 2018.</w:t>
      </w:r>
    </w:p>
    <w:p w14:paraId="16D81429" w14:textId="7D0A0F1A" w:rsidR="00DE5FE0" w:rsidRDefault="00DE5FE0" w:rsidP="003E5D00">
      <w:r>
        <w:t xml:space="preserve">The study primarily consisted of a </w:t>
      </w:r>
      <w:r w:rsidR="00831DB6">
        <w:t xml:space="preserve">Core study period </w:t>
      </w:r>
      <w:r>
        <w:t xml:space="preserve">and an </w:t>
      </w:r>
      <w:r w:rsidR="00831DB6">
        <w:t xml:space="preserve">Extension Phase </w:t>
      </w:r>
      <w:r>
        <w:t xml:space="preserve">A. For subjects enrolled in Japan and in countries where an extended access program (EAP) could not be implemented, subjects could also enter an </w:t>
      </w:r>
      <w:r w:rsidR="00831DB6">
        <w:t>Extension Phase</w:t>
      </w:r>
      <w:r>
        <w:t xml:space="preserve"> B after completion of </w:t>
      </w:r>
      <w:r w:rsidR="00831DB6">
        <w:t xml:space="preserve">Extension Phase </w:t>
      </w:r>
      <w:r>
        <w:t>A. Subjects were stratified by age into two groups (4 to &lt;</w:t>
      </w:r>
      <w:r w:rsidR="00831DB6">
        <w:t> 7 </w:t>
      </w:r>
      <w:r>
        <w:t>years, ≥</w:t>
      </w:r>
      <w:r w:rsidR="00E8228F">
        <w:t xml:space="preserve"> </w:t>
      </w:r>
      <w:r>
        <w:t xml:space="preserve">7 </w:t>
      </w:r>
      <w:r w:rsidR="00E8228F">
        <w:t>to &lt; 12 years) at randomisation.</w:t>
      </w:r>
    </w:p>
    <w:p w14:paraId="7A8A1F4A" w14:textId="0098FB98" w:rsidR="00DE5FE0" w:rsidRDefault="00DE5FE0" w:rsidP="003E5D00">
      <w:r>
        <w:t xml:space="preserve">The screening period lasted for </w:t>
      </w:r>
      <w:r w:rsidRPr="00E8228F">
        <w:t>up to</w:t>
      </w:r>
      <w:r>
        <w:t xml:space="preserve"> 4 weeks ±</w:t>
      </w:r>
      <w:r w:rsidR="00E8228F">
        <w:t xml:space="preserve"> </w:t>
      </w:r>
      <w:r>
        <w:t>3 days. The</w:t>
      </w:r>
      <w:r w:rsidR="00E8228F">
        <w:t xml:space="preserve"> treatment phase consisted of 3 </w:t>
      </w:r>
      <w:r>
        <w:t>periods: a titration period (up to 11 weeks), a maintenance period (up to 12 weeks), and a follow-up period (lasting up to 4 weeks ±</w:t>
      </w:r>
      <w:r w:rsidR="00E8228F">
        <w:t xml:space="preserve"> </w:t>
      </w:r>
      <w:r>
        <w:t>7 days, but only for those subje</w:t>
      </w:r>
      <w:r w:rsidR="00831DB6">
        <w:t>cts who did not roll over into E</w:t>
      </w:r>
      <w:r>
        <w:t>xtension A).</w:t>
      </w:r>
    </w:p>
    <w:p w14:paraId="1FDF5524" w14:textId="69BC6201" w:rsidR="00DE5FE0" w:rsidRDefault="00DE5FE0" w:rsidP="00E8228F">
      <w:pPr>
        <w:pStyle w:val="FigureTitle"/>
      </w:pPr>
      <w:bookmarkStart w:id="56" w:name="_Toc55303373"/>
      <w:r>
        <w:lastRenderedPageBreak/>
        <w:t xml:space="preserve">Table </w:t>
      </w:r>
      <w:fldSimple w:instr=" SEQ Table \* ARABIC ">
        <w:r w:rsidR="004C6771">
          <w:rPr>
            <w:noProof/>
          </w:rPr>
          <w:t>5</w:t>
        </w:r>
      </w:fldSimple>
      <w:r>
        <w:t xml:space="preserve">: </w:t>
      </w:r>
      <w:r w:rsidR="00E8228F">
        <w:t>Study 311</w:t>
      </w:r>
      <w:r>
        <w:t xml:space="preserve"> design</w:t>
      </w:r>
      <w:bookmarkEnd w:id="56"/>
    </w:p>
    <w:p w14:paraId="55D21846" w14:textId="677F8171" w:rsidR="00DE5FE0" w:rsidRDefault="00DE5FE0" w:rsidP="00DE5FE0">
      <w:pPr>
        <w:autoSpaceDE w:val="0"/>
        <w:autoSpaceDN w:val="0"/>
        <w:adjustRightInd w:val="0"/>
        <w:jc w:val="both"/>
      </w:pPr>
      <w:r>
        <w:rPr>
          <w:noProof/>
          <w:lang w:eastAsia="en-AU"/>
        </w:rPr>
        <w:drawing>
          <wp:inline distT="0" distB="0" distL="0" distR="0" wp14:anchorId="0E918E75" wp14:editId="310BD8B2">
            <wp:extent cx="4778734" cy="3448780"/>
            <wp:effectExtent l="0" t="0" r="3175" b="0"/>
            <wp:docPr id="14" name="Picture 14" descr="The study consisted of a Core Study and Extension Phase (Extension A for subjects globally), with extension phase (extension B)&#10;available for subjects enrolled in Japan and in countries where an extended access program&#10;(EAP) could not be implemented, after completion of extension A. Subjects were stratified&#10;by age (4 to &lt;7 years, ≥7 to &lt;12 years).&#10;The pretreatment phase consisted of a screening/baseline period that lasted up to 4 weeks ± 3 days outside of Japan. Subjects in Japan were required to complete 4 full weeks ±3 days of the screening/baseline period. However, subjects outside of Japan were allowed to begin treatment as soon as baseline procedures were completed and documentation of eligibility was established.&#10;The treatment phase consisted of 3 periods: titration (up to 11 weeks), maintenance (up to&#10;12 weeks), and follow-up (up to 4 weeks ± 7 days; only for those subjects who did not roll&#10;over into extension A). This was followed by the extension phase." title="Study 311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12948" cy="3473472"/>
                    </a:xfrm>
                    <a:prstGeom prst="rect">
                      <a:avLst/>
                    </a:prstGeom>
                  </pic:spPr>
                </pic:pic>
              </a:graphicData>
            </a:graphic>
          </wp:inline>
        </w:drawing>
      </w:r>
    </w:p>
    <w:p w14:paraId="7C76299F" w14:textId="36F90769" w:rsidR="00E8228F" w:rsidRPr="00E8228F" w:rsidRDefault="00E8228F" w:rsidP="00E8228F">
      <w:pPr>
        <w:pStyle w:val="TableDescription"/>
      </w:pPr>
      <w:r w:rsidRPr="00E8228F">
        <w:t>Follow-up may have occurred during the core study (if the subject discontinued during the core s</w:t>
      </w:r>
      <w:r>
        <w:t>tudy), or during the extension A</w:t>
      </w:r>
      <w:r w:rsidRPr="00E8228F">
        <w:t xml:space="preserve"> or extensio</w:t>
      </w:r>
      <w:r>
        <w:t>n B</w:t>
      </w:r>
      <w:r w:rsidRPr="00E8228F">
        <w:t>, after the termination of study treatment.</w:t>
      </w:r>
    </w:p>
    <w:p w14:paraId="5C27A183" w14:textId="24FA0CE2" w:rsidR="00E8228F" w:rsidRPr="00E8228F" w:rsidRDefault="00E8228F" w:rsidP="00E8228F">
      <w:pPr>
        <w:pStyle w:val="TableDescription"/>
      </w:pPr>
      <w:r w:rsidRPr="00E8228F">
        <w:t>EIAED = enzyme-inducing antiepileptic drug, S = stratified, wks = weeks.</w:t>
      </w:r>
    </w:p>
    <w:p w14:paraId="2195B9F9" w14:textId="763C77EF" w:rsidR="00E8228F" w:rsidRPr="00E8228F" w:rsidRDefault="00E8228F" w:rsidP="00E8228F">
      <w:pPr>
        <w:pStyle w:val="TableDescription"/>
      </w:pPr>
      <w:proofErr w:type="gramStart"/>
      <w:r w:rsidRPr="00E8228F">
        <w:t xml:space="preserve">a: Subjects had </w:t>
      </w:r>
      <w:r>
        <w:t xml:space="preserve">a </w:t>
      </w:r>
      <w:r w:rsidRPr="00E8228F">
        <w:t>follow-up visit 4 weeks (±</w:t>
      </w:r>
      <w:r>
        <w:t xml:space="preserve"> </w:t>
      </w:r>
      <w:r w:rsidRPr="00E8228F">
        <w:t xml:space="preserve">7 days) after the end of the treatment and a final assessment completed </w:t>
      </w:r>
      <w:r w:rsidR="0099661F">
        <w:t>if they did not roll over into E</w:t>
      </w:r>
      <w:r w:rsidR="00831DB6">
        <w:t xml:space="preserve">xtension A; </w:t>
      </w:r>
      <w:r w:rsidRPr="00E8228F">
        <w:t xml:space="preserve">b: Subjects who were enrolled in Japan and in countries where an EAP could not be implemented, and </w:t>
      </w:r>
      <w:r w:rsidR="0099661F">
        <w:t>completed the E</w:t>
      </w:r>
      <w:r w:rsidRPr="00E8228F">
        <w:t>xt</w:t>
      </w:r>
      <w:r>
        <w:t>ensi</w:t>
      </w:r>
      <w:r w:rsidR="0099661F">
        <w:t>on A were eligible to enrol in E</w:t>
      </w:r>
      <w:r>
        <w:t>xtension B</w:t>
      </w:r>
      <w:r w:rsidR="00831DB6">
        <w:t xml:space="preserve">; </w:t>
      </w:r>
      <w:r w:rsidRPr="00E8228F">
        <w:t>c: Subjects in Japan were required to complete 4 full weeks ±</w:t>
      </w:r>
      <w:r>
        <w:t xml:space="preserve"> </w:t>
      </w:r>
      <w:r w:rsidRPr="00E8228F">
        <w:t>3 days of the screening/baseline period.</w:t>
      </w:r>
      <w:proofErr w:type="gramEnd"/>
    </w:p>
    <w:p w14:paraId="77FA193B" w14:textId="3AA160B3" w:rsidR="00DE5FE0" w:rsidRPr="003E5D00" w:rsidRDefault="00DE5FE0" w:rsidP="003E5D00">
      <w:r w:rsidRPr="003E5D00">
        <w:t xml:space="preserve">The </w:t>
      </w:r>
      <w:r w:rsidRPr="003E5D00">
        <w:rPr>
          <w:rStyle w:val="Heading7Char"/>
          <w:rFonts w:eastAsia="Cambria"/>
          <w:sz w:val="22"/>
          <w:szCs w:val="22"/>
        </w:rPr>
        <w:t>primary objective</w:t>
      </w:r>
      <w:r w:rsidRPr="003E5D00">
        <w:t xml:space="preserve"> of the study was to evaluate safety and tolerability of perampanel ora</w:t>
      </w:r>
      <w:r w:rsidR="00121817">
        <w:t xml:space="preserve">l suspension in children aged 4 to </w:t>
      </w:r>
      <w:r w:rsidRPr="003E5D00">
        <w:t xml:space="preserve">12 years of age with inadequately controlled </w:t>
      </w:r>
      <w:r w:rsidR="00121817">
        <w:t>POS</w:t>
      </w:r>
      <w:r w:rsidR="00C933F6">
        <w:t xml:space="preserve"> or </w:t>
      </w:r>
      <w:r w:rsidR="00121817">
        <w:t>PGTC</w:t>
      </w:r>
      <w:r w:rsidRPr="003E5D00">
        <w:t xml:space="preserve"> seizures.</w:t>
      </w:r>
    </w:p>
    <w:p w14:paraId="50A6EA8A" w14:textId="77777777" w:rsidR="00DE5FE0" w:rsidRPr="003E5D00" w:rsidRDefault="00DE5FE0" w:rsidP="003E5D00">
      <w:r w:rsidRPr="003E5D00">
        <w:t xml:space="preserve">Key </w:t>
      </w:r>
      <w:r w:rsidRPr="003E5D00">
        <w:rPr>
          <w:rStyle w:val="Heading7Char"/>
          <w:rFonts w:eastAsia="Cambria"/>
          <w:sz w:val="22"/>
          <w:szCs w:val="22"/>
        </w:rPr>
        <w:t>secondary objectives</w:t>
      </w:r>
      <w:r w:rsidRPr="003E5D00">
        <w:t xml:space="preserve"> were:</w:t>
      </w:r>
    </w:p>
    <w:p w14:paraId="2E807E96" w14:textId="72BF9E6E" w:rsidR="00DE5FE0" w:rsidRDefault="00DE5FE0" w:rsidP="00121817">
      <w:pPr>
        <w:pStyle w:val="ListBullet"/>
      </w:pPr>
      <w:r>
        <w:t xml:space="preserve">To characterise </w:t>
      </w:r>
      <w:r w:rsidR="00121817">
        <w:t xml:space="preserve">the </w:t>
      </w:r>
      <w:r>
        <w:t xml:space="preserve">PK of perampanel and </w:t>
      </w:r>
      <w:r w:rsidRPr="00F569AD">
        <w:t>the relationship between perampanel plasma concentrations, efficacy, and safety using population PK/</w:t>
      </w:r>
      <w:r w:rsidR="00121817">
        <w:t>PD</w:t>
      </w:r>
      <w:r w:rsidRPr="00F569AD">
        <w:t xml:space="preserve"> </w:t>
      </w:r>
      <w:r>
        <w:t>modelling.</w:t>
      </w:r>
    </w:p>
    <w:p w14:paraId="1284FACA" w14:textId="7E4A2AE3" w:rsidR="00DE5FE0" w:rsidRDefault="00DE5FE0" w:rsidP="00121817">
      <w:pPr>
        <w:pStyle w:val="ListBullet"/>
      </w:pPr>
      <w:r>
        <w:t>To evaluate the efficacy of perampanel as measured by the median percent change per 28 days in seizure frequency, by the proportion of responders (≥</w:t>
      </w:r>
      <w:r w:rsidR="00121817">
        <w:t xml:space="preserve"> </w:t>
      </w:r>
      <w:r>
        <w:t>25%, ≥</w:t>
      </w:r>
      <w:r w:rsidR="00121817">
        <w:t xml:space="preserve"> </w:t>
      </w:r>
      <w:r>
        <w:t>50%, and ≥</w:t>
      </w:r>
      <w:r w:rsidR="00121817">
        <w:t> </w:t>
      </w:r>
      <w:r>
        <w:t xml:space="preserve">75%), and by the proportion of subjects who were seizure-free for POS, PGTC, and </w:t>
      </w:r>
      <w:r w:rsidR="00121817">
        <w:t>generali</w:t>
      </w:r>
      <w:r w:rsidR="00417D36">
        <w:t>s</w:t>
      </w:r>
      <w:r w:rsidR="00121817">
        <w:t xml:space="preserve">ed tonic-clonic </w:t>
      </w:r>
      <w:r>
        <w:t>seizures</w:t>
      </w:r>
      <w:r w:rsidR="0099661F">
        <w:t>.</w:t>
      </w:r>
    </w:p>
    <w:p w14:paraId="1295D700" w14:textId="294B45AA" w:rsidR="00DE5FE0" w:rsidRDefault="00DE5FE0" w:rsidP="00121817">
      <w:pPr>
        <w:pStyle w:val="ListBullet"/>
      </w:pPr>
      <w:r>
        <w:t xml:space="preserve">To assess the effects of perampanel on the Clinical Global Impression </w:t>
      </w:r>
      <w:r w:rsidR="00417D36">
        <w:t xml:space="preserve">rating scales </w:t>
      </w:r>
      <w:r>
        <w:t>(CGI),</w:t>
      </w:r>
      <w:r w:rsidR="00121817">
        <w:rPr>
          <w:rStyle w:val="FootnoteReference"/>
        </w:rPr>
        <w:footnoteReference w:id="13"/>
      </w:r>
      <w:r>
        <w:t xml:space="preserve"> as m</w:t>
      </w:r>
      <w:r w:rsidR="00121817">
        <w:t xml:space="preserve">easured by </w:t>
      </w:r>
      <w:r w:rsidR="00417D36">
        <w:t xml:space="preserve">the Clinical Global Impression </w:t>
      </w:r>
      <w:r w:rsidR="00121817">
        <w:t>of Change (CGI</w:t>
      </w:r>
      <w:r w:rsidR="00417D36">
        <w:noBreakHyphen/>
      </w:r>
      <w:r w:rsidR="00121817">
        <w:t>C).</w:t>
      </w:r>
    </w:p>
    <w:p w14:paraId="1965D6A5" w14:textId="213FBFBD" w:rsidR="00DE5FE0" w:rsidRDefault="00DE5FE0" w:rsidP="003E5D00">
      <w:pPr>
        <w:pStyle w:val="Heading6"/>
      </w:pPr>
      <w:r>
        <w:t>Key inclusion criteria</w:t>
      </w:r>
    </w:p>
    <w:p w14:paraId="25AB73A1" w14:textId="2041CE3F" w:rsidR="003E5D00" w:rsidRPr="003E5D00" w:rsidRDefault="003E5D00" w:rsidP="003E5D00">
      <w:r>
        <w:t>The key inclusion criteria were:</w:t>
      </w:r>
    </w:p>
    <w:p w14:paraId="72E841E5" w14:textId="58E612F9" w:rsidR="00DE5FE0" w:rsidRDefault="00DE5FE0" w:rsidP="003E5D00">
      <w:pPr>
        <w:pStyle w:val="ListBullet"/>
      </w:pPr>
      <w:r>
        <w:t>Children 4 to&lt;</w:t>
      </w:r>
      <w:r w:rsidR="00147DD3">
        <w:t xml:space="preserve"> </w:t>
      </w:r>
      <w:r>
        <w:t>12 years of age.</w:t>
      </w:r>
    </w:p>
    <w:p w14:paraId="5334D2BF" w14:textId="77777777" w:rsidR="00DE5FE0" w:rsidRDefault="00DE5FE0" w:rsidP="003E5D00">
      <w:pPr>
        <w:pStyle w:val="ListBullet"/>
      </w:pPr>
      <w:r>
        <w:lastRenderedPageBreak/>
        <w:t>Minimum weight of 16 kg.</w:t>
      </w:r>
    </w:p>
    <w:p w14:paraId="2C85BA3C" w14:textId="7AF3CE36" w:rsidR="00DE5FE0" w:rsidRDefault="00DE5FE0" w:rsidP="003E5D00">
      <w:pPr>
        <w:pStyle w:val="ListBullet"/>
      </w:pPr>
      <w:r>
        <w:t>D</w:t>
      </w:r>
      <w:r w:rsidRPr="001F3506">
        <w:t xml:space="preserve">iagnosis of epilepsy with POS (with or without </w:t>
      </w:r>
      <w:r w:rsidR="00147DD3">
        <w:t>SGTC</w:t>
      </w:r>
      <w:r w:rsidRPr="001F3506">
        <w:t xml:space="preserve"> o</w:t>
      </w:r>
      <w:r>
        <w:t>r PGTC seizures</w:t>
      </w:r>
      <w:r w:rsidR="0099661F">
        <w:t>)</w:t>
      </w:r>
      <w:r>
        <w:t>.</w:t>
      </w:r>
    </w:p>
    <w:p w14:paraId="21466943" w14:textId="77777777" w:rsidR="00DE5FE0" w:rsidRDefault="00DE5FE0" w:rsidP="003E5D00">
      <w:pPr>
        <w:pStyle w:val="ListBullet"/>
      </w:pPr>
      <w:r>
        <w:t>The diagnosis of POS or PGTC should have been established at least 6 months prior to screening by clinical history and be associated with an EEG that was consistent with the diagnosis; normal interictal EEGs were allowed, provided that the subject met the other diagnosis criteria.</w:t>
      </w:r>
    </w:p>
    <w:p w14:paraId="25410489" w14:textId="77777777" w:rsidR="00DE5FE0" w:rsidRDefault="00DE5FE0" w:rsidP="003E5D00">
      <w:pPr>
        <w:pStyle w:val="ListBullet"/>
      </w:pPr>
      <w:r>
        <w:t>B</w:t>
      </w:r>
      <w:r w:rsidRPr="001F3506">
        <w:t>rain ima</w:t>
      </w:r>
      <w:r>
        <w:t>ging scan</w:t>
      </w:r>
      <w:r w:rsidRPr="001F3506">
        <w:t xml:space="preserve"> prior to Visit 1 that ruled out a</w:t>
      </w:r>
      <w:r>
        <w:t xml:space="preserve"> progressive cause of epilepsy.</w:t>
      </w:r>
    </w:p>
    <w:p w14:paraId="4A57C367" w14:textId="7E4EF07E" w:rsidR="00DE5FE0" w:rsidRDefault="00DE5FE0" w:rsidP="003E5D00">
      <w:pPr>
        <w:pStyle w:val="ListBullet"/>
      </w:pPr>
      <w:r>
        <w:t>O</w:t>
      </w:r>
      <w:r w:rsidRPr="001F3506">
        <w:t>ne or more POS or PGTC seizures during the 12 weeks ±</w:t>
      </w:r>
      <w:r w:rsidR="00147DD3">
        <w:t xml:space="preserve"> </w:t>
      </w:r>
      <w:r w:rsidRPr="001F3506">
        <w:t xml:space="preserve">3 days prior to entry into the </w:t>
      </w:r>
      <w:r w:rsidR="00147DD3" w:rsidRPr="001F3506">
        <w:t xml:space="preserve">treatment phase </w:t>
      </w:r>
      <w:r w:rsidRPr="001F3506">
        <w:t>(Visit 2).</w:t>
      </w:r>
    </w:p>
    <w:p w14:paraId="23F012C6" w14:textId="09FCD906" w:rsidR="00DE5FE0" w:rsidRDefault="00DE5FE0" w:rsidP="003E5D00">
      <w:pPr>
        <w:pStyle w:val="ListBullet"/>
      </w:pPr>
      <w:r>
        <w:t>M</w:t>
      </w:r>
      <w:r w:rsidR="00147DD3">
        <w:t>aintained on stable doses of one to a maximum of three</w:t>
      </w:r>
      <w:r w:rsidRPr="001F3506">
        <w:t xml:space="preserve"> AEDs for at least 4 weeks prior to Visit 1 (or at least 8 weeks when a new AED regimen had been initiated)</w:t>
      </w:r>
      <w:r w:rsidR="0099661F">
        <w:t>.</w:t>
      </w:r>
    </w:p>
    <w:p w14:paraId="4C0CECED" w14:textId="270B4F79" w:rsidR="00DE5FE0" w:rsidRDefault="00DE5FE0" w:rsidP="003E5D00">
      <w:pPr>
        <w:pStyle w:val="ListBullet"/>
      </w:pPr>
      <w:r w:rsidRPr="001F3506">
        <w:t xml:space="preserve">Only one enzyme-inducing </w:t>
      </w:r>
      <w:r w:rsidR="00417D36">
        <w:t>antiepileptic drug</w:t>
      </w:r>
      <w:r w:rsidRPr="001F3506">
        <w:t xml:space="preserve"> (EIAED), such as carbamazepine, phenytoin, oxcarbazepine, or eslicarbazepine, </w:t>
      </w:r>
      <w:proofErr w:type="gramStart"/>
      <w:r w:rsidRPr="001F3506">
        <w:t>was</w:t>
      </w:r>
      <w:r w:rsidR="00147DD3">
        <w:t xml:space="preserve"> allowed</w:t>
      </w:r>
      <w:proofErr w:type="gramEnd"/>
      <w:r w:rsidR="00147DD3">
        <w:t xml:space="preserve"> out of the maximum of three</w:t>
      </w:r>
      <w:r w:rsidRPr="001F3506">
        <w:t xml:space="preserve"> AEDs.</w:t>
      </w:r>
    </w:p>
    <w:p w14:paraId="26EA2660" w14:textId="6D87C054" w:rsidR="00DE5FE0" w:rsidRDefault="00DE5FE0" w:rsidP="003E5D00">
      <w:pPr>
        <w:pStyle w:val="Heading6"/>
      </w:pPr>
      <w:r>
        <w:t>Key exclusion criteria</w:t>
      </w:r>
    </w:p>
    <w:p w14:paraId="0BEA56DF" w14:textId="78E5D367" w:rsidR="003E5D00" w:rsidRPr="003E5D00" w:rsidRDefault="003E5D00" w:rsidP="003E5D00">
      <w:r>
        <w:t>The key exclusion criteria were:</w:t>
      </w:r>
    </w:p>
    <w:p w14:paraId="7FCF0863" w14:textId="2529C743" w:rsidR="00DE5FE0" w:rsidRDefault="00DE5FE0" w:rsidP="003E5D00">
      <w:pPr>
        <w:pStyle w:val="ListBullet"/>
      </w:pPr>
      <w:r>
        <w:t>H</w:t>
      </w:r>
      <w:r w:rsidRPr="00D55FCE">
        <w:t>istory of status epilepticus that required hospitali</w:t>
      </w:r>
      <w:r>
        <w:t>s</w:t>
      </w:r>
      <w:r w:rsidRPr="00D55FCE">
        <w:t>ation during the 6 months before Visit 1.</w:t>
      </w:r>
      <w:r w:rsidR="00417D36">
        <w:rPr>
          <w:rStyle w:val="FootnoteReference"/>
        </w:rPr>
        <w:footnoteReference w:id="14"/>
      </w:r>
    </w:p>
    <w:p w14:paraId="4481C429" w14:textId="7800F80C" w:rsidR="00DE5FE0" w:rsidRDefault="00DE5FE0" w:rsidP="003E5D00">
      <w:pPr>
        <w:pStyle w:val="ListBullet"/>
      </w:pPr>
      <w:r w:rsidRPr="00D55FCE">
        <w:t xml:space="preserve">Current or history </w:t>
      </w:r>
      <w:r>
        <w:t>of pseudo-seizures (psychogenic</w:t>
      </w:r>
      <w:r w:rsidR="00417D36">
        <w:t>,</w:t>
      </w:r>
      <w:r>
        <w:t xml:space="preserve"> </w:t>
      </w:r>
      <w:r w:rsidRPr="00D55FCE">
        <w:t>non</w:t>
      </w:r>
      <w:r>
        <w:t>-</w:t>
      </w:r>
      <w:r w:rsidRPr="00D55FCE">
        <w:t>epileptic seizures) within approximately 5 years before Visit 1.</w:t>
      </w:r>
    </w:p>
    <w:p w14:paraId="20F6F6E0" w14:textId="5450D066" w:rsidR="003E5D00" w:rsidRDefault="003E5D00" w:rsidP="003E5D00">
      <w:pPr>
        <w:pStyle w:val="Heading6"/>
      </w:pPr>
      <w:r>
        <w:t>Study treatments</w:t>
      </w:r>
    </w:p>
    <w:p w14:paraId="414F3F06" w14:textId="75A73CFF" w:rsidR="00DE5FE0" w:rsidRPr="00496CDB" w:rsidRDefault="00DE5FE0" w:rsidP="00DE5FE0">
      <w:r>
        <w:t xml:space="preserve">All subjects received open label perampanel oral suspension. During the titration period, subjects </w:t>
      </w:r>
      <w:proofErr w:type="gramStart"/>
      <w:r>
        <w:t>were stratified</w:t>
      </w:r>
      <w:proofErr w:type="gramEnd"/>
      <w:r>
        <w:t xml:space="preserve"> by the presence or absence of concomitant </w:t>
      </w:r>
      <w:r w:rsidR="00147DD3">
        <w:t>EIAEDs</w:t>
      </w:r>
      <w:r>
        <w:t xml:space="preserve">. Perampanel </w:t>
      </w:r>
      <w:proofErr w:type="gramStart"/>
      <w:r>
        <w:t>was commenced</w:t>
      </w:r>
      <w:proofErr w:type="gramEnd"/>
      <w:r>
        <w:t xml:space="preserve"> at a dose of 2 mg/day for subjects n</w:t>
      </w:r>
      <w:r w:rsidR="00147DD3">
        <w:t>ot on EIAEDs and at a dose of 4 </w:t>
      </w:r>
      <w:r>
        <w:t>mg/day for those on EIAEDs. The perampanel dose was then titrated no more frequently than at weekly intervals based on individual clini</w:t>
      </w:r>
      <w:r w:rsidR="00147DD3">
        <w:t xml:space="preserve">cal response and tolerability. </w:t>
      </w:r>
      <w:r>
        <w:t xml:space="preserve">The initial target of perampanel dose was 8 mg/day for non-EIAED subjects and 12 mg/day for </w:t>
      </w:r>
      <w:r w:rsidRPr="00496CDB">
        <w:t>EIAED subjects. The maximum individual doses were up to 12</w:t>
      </w:r>
      <w:r w:rsidR="00147DD3" w:rsidRPr="00496CDB">
        <w:t xml:space="preserve"> </w:t>
      </w:r>
      <w:r w:rsidRPr="00496CDB">
        <w:t>mg/day and up to 16</w:t>
      </w:r>
      <w:r w:rsidR="00147DD3" w:rsidRPr="00496CDB">
        <w:t> </w:t>
      </w:r>
      <w:r w:rsidRPr="00496CDB">
        <w:t xml:space="preserve">mg/day for subjects without and with </w:t>
      </w:r>
      <w:r w:rsidR="006A0229">
        <w:t>EI</w:t>
      </w:r>
      <w:r w:rsidRPr="00496CDB">
        <w:t>AEDs for treatment of epilepsy respectively. Regardless of EIAED status, subjects enrolled in Japan could not receive doses higher than 12 mg/day.</w:t>
      </w:r>
    </w:p>
    <w:p w14:paraId="53732E4C" w14:textId="7E70A631" w:rsidR="003E5D00" w:rsidRPr="00496CDB" w:rsidRDefault="003E5D00" w:rsidP="003E5D00">
      <w:pPr>
        <w:pStyle w:val="Heading6"/>
      </w:pPr>
      <w:r w:rsidRPr="00496CDB">
        <w:t>Efficacy endpoints</w:t>
      </w:r>
    </w:p>
    <w:p w14:paraId="183192C3" w14:textId="53654F2E" w:rsidR="00DE5FE0" w:rsidRPr="00496CDB" w:rsidRDefault="00DE5FE0" w:rsidP="003E5D00">
      <w:r w:rsidRPr="00496CDB">
        <w:t>The key efficacy endpoint was the percentage reduction in sei</w:t>
      </w:r>
      <w:r w:rsidR="00496CDB">
        <w:t>zure frequency compared to the B</w:t>
      </w:r>
      <w:r w:rsidRPr="00496CDB">
        <w:t>aseline period. Other efficacy endpoints were the proportion of treatment responders and the proportion of subjects who were seizure-free during maintenance and long-term treatment period (52 weeks).</w:t>
      </w:r>
    </w:p>
    <w:p w14:paraId="40D8048D" w14:textId="7E04D299" w:rsidR="00DE5FE0" w:rsidRPr="00496CDB" w:rsidRDefault="00DE5FE0" w:rsidP="003E5D00">
      <w:r w:rsidRPr="00496CDB">
        <w:t>A responder was defined as a subject achieving at least 50% reduction in seizure frequency (assessed separately for total seizures and for individu</w:t>
      </w:r>
      <w:r w:rsidR="00496CDB">
        <w:t>al seizure types), compared to B</w:t>
      </w:r>
      <w:r w:rsidRPr="00496CDB">
        <w:t>aseline.</w:t>
      </w:r>
    </w:p>
    <w:p w14:paraId="3A337A87" w14:textId="77777777" w:rsidR="00DE5FE0" w:rsidRPr="00496CDB" w:rsidRDefault="00DE5FE0" w:rsidP="003E5D00">
      <w:pPr>
        <w:pStyle w:val="Heading6"/>
      </w:pPr>
      <w:r w:rsidRPr="00496CDB">
        <w:t>Statistical methods</w:t>
      </w:r>
    </w:p>
    <w:p w14:paraId="63F056B2" w14:textId="77777777" w:rsidR="00DE5FE0" w:rsidRPr="00496CDB" w:rsidRDefault="00DE5FE0" w:rsidP="003E5D00">
      <w:r w:rsidRPr="00496CDB">
        <w:t xml:space="preserve">No formal hypothesis testing </w:t>
      </w:r>
      <w:proofErr w:type="gramStart"/>
      <w:r w:rsidRPr="00496CDB">
        <w:t>was performed</w:t>
      </w:r>
      <w:proofErr w:type="gramEnd"/>
      <w:r w:rsidRPr="00496CDB">
        <w:t xml:space="preserve">. Descriptive statistics </w:t>
      </w:r>
      <w:proofErr w:type="gramStart"/>
      <w:r w:rsidRPr="00496CDB">
        <w:t>was used</w:t>
      </w:r>
      <w:proofErr w:type="gramEnd"/>
      <w:r w:rsidRPr="00496CDB">
        <w:t xml:space="preserve"> to report efficacy results. The evaluator has highlighted the potential impact of the uncontrolled and </w:t>
      </w:r>
      <w:r w:rsidRPr="00496CDB">
        <w:lastRenderedPageBreak/>
        <w:t>unblinded design of the study on the interpretation of the efficacy outcomes. The issues are largely due to the potential effect of regression-to-mean and natural variability in the background seizure pattern of children enrolled in this study.</w:t>
      </w:r>
    </w:p>
    <w:p w14:paraId="163AD9B6" w14:textId="4308FEEA" w:rsidR="00DE5FE0" w:rsidRDefault="00DE5FE0" w:rsidP="003E5D00">
      <w:r w:rsidRPr="00496CDB">
        <w:t xml:space="preserve">For the purpose of registration in Japan, the sponsor </w:t>
      </w:r>
      <w:proofErr w:type="gramStart"/>
      <w:r w:rsidRPr="00496CDB">
        <w:t>was asked</w:t>
      </w:r>
      <w:proofErr w:type="gramEnd"/>
      <w:r w:rsidRPr="00496CDB">
        <w:t xml:space="preserve"> to c</w:t>
      </w:r>
      <w:r w:rsidR="00496CDB">
        <w:t>ompare the efficacy results of S</w:t>
      </w:r>
      <w:r w:rsidRPr="00496CDB">
        <w:t>tudy 311 to the placebo arm of a previously conducted study in adults usi</w:t>
      </w:r>
      <w:r w:rsidR="00496CDB">
        <w:t>ng perampanel (Study 335). The S</w:t>
      </w:r>
      <w:r w:rsidRPr="00496CDB">
        <w:t>tudy 311 findings were considered positive if the upper bound of the 95% confidence interval of reduction in seizure frequency was greater (more negative) than 10.5%.</w:t>
      </w:r>
    </w:p>
    <w:p w14:paraId="6ABED5EF" w14:textId="77777777" w:rsidR="00DE5FE0" w:rsidRDefault="00DE5FE0" w:rsidP="003E5D00">
      <w:pPr>
        <w:pStyle w:val="Heading6"/>
      </w:pPr>
      <w:r>
        <w:t>Sample size</w:t>
      </w:r>
    </w:p>
    <w:p w14:paraId="36222238" w14:textId="35BB20C1" w:rsidR="00DE5FE0" w:rsidRDefault="00DE5FE0" w:rsidP="003E5D00">
      <w:r>
        <w:t xml:space="preserve">A sample size of 160 subjects </w:t>
      </w:r>
      <w:proofErr w:type="gramStart"/>
      <w:r>
        <w:t>was considered</w:t>
      </w:r>
      <w:proofErr w:type="gramEnd"/>
      <w:r>
        <w:t xml:space="preserve"> as adequate for safety evaluation in children &lt;</w:t>
      </w:r>
      <w:r w:rsidR="00496CDB">
        <w:t> </w:t>
      </w:r>
      <w:r>
        <w:t xml:space="preserve">12 years of age. This assumption </w:t>
      </w:r>
      <w:proofErr w:type="gramStart"/>
      <w:r>
        <w:t>was</w:t>
      </w:r>
      <w:r w:rsidR="00496CDB">
        <w:t xml:space="preserve"> based</w:t>
      </w:r>
      <w:proofErr w:type="gramEnd"/>
      <w:r w:rsidR="00496CDB">
        <w:t xml:space="preserve"> on previously conducted P</w:t>
      </w:r>
      <w:r>
        <w:t xml:space="preserve">hase III studies in adolescents that supported the registration of perampanel for </w:t>
      </w:r>
      <w:r w:rsidR="00496CDB">
        <w:t xml:space="preserve">the treatment of POS and PGTC </w:t>
      </w:r>
      <w:r>
        <w:t>seizures in that patient population.</w:t>
      </w:r>
    </w:p>
    <w:p w14:paraId="56878380" w14:textId="77777777" w:rsidR="00DE5FE0" w:rsidRDefault="00DE5FE0" w:rsidP="003E5D00">
      <w:pPr>
        <w:pStyle w:val="Heading6"/>
      </w:pPr>
      <w:r>
        <w:t>Participant flow</w:t>
      </w:r>
    </w:p>
    <w:p w14:paraId="27CCB871" w14:textId="5F6985B5" w:rsidR="00DE5FE0" w:rsidRDefault="00DE5FE0" w:rsidP="003E5D00">
      <w:proofErr w:type="gramStart"/>
      <w:r>
        <w:t>180</w:t>
      </w:r>
      <w:proofErr w:type="gramEnd"/>
      <w:r>
        <w:t xml:space="preserve"> subjects were treated with perampanel. Around 81% of the subjects completed the study. 7.8% of subjects discontinued due to </w:t>
      </w:r>
      <w:r w:rsidR="0099661F">
        <w:t>adverse events (</w:t>
      </w:r>
      <w:r>
        <w:t>AEs</w:t>
      </w:r>
      <w:r w:rsidR="0099661F">
        <w:t>)</w:t>
      </w:r>
      <w:r w:rsidR="00496CDB">
        <w:t xml:space="preserve">. The Safety Analysis Set </w:t>
      </w:r>
      <w:r>
        <w:t>consiste</w:t>
      </w:r>
      <w:r w:rsidR="00496CDB">
        <w:t>d of 180 </w:t>
      </w:r>
      <w:r>
        <w:t>subjects who received at least o</w:t>
      </w:r>
      <w:r w:rsidR="00496CDB">
        <w:t>ne dose of the study treatment.</w:t>
      </w:r>
    </w:p>
    <w:p w14:paraId="4B7345DA" w14:textId="77777777" w:rsidR="00774568" w:rsidRDefault="00DE5FE0" w:rsidP="003E5D00">
      <w:r>
        <w:t xml:space="preserve">Overall, 9.4% of subjects had major protocol deviations, with 6% and 25.8% of subjects in </w:t>
      </w:r>
      <w:r w:rsidR="00774568">
        <w:t xml:space="preserve">the </w:t>
      </w:r>
      <w:r>
        <w:t>POS and PGTS cohorts respectively. Most of the protocol deviations were inclusion of subjects who did not meet the inclusion criteria. Five of the six</w:t>
      </w:r>
      <w:r w:rsidRPr="000D26F4">
        <w:t xml:space="preserve"> subjects who did not meet the entry criteria </w:t>
      </w:r>
      <w:r>
        <w:t xml:space="preserve">of the study </w:t>
      </w:r>
      <w:r w:rsidRPr="000D26F4">
        <w:t>were in t</w:t>
      </w:r>
      <w:r>
        <w:t xml:space="preserve">he PGTC cohort. </w:t>
      </w:r>
      <w:r w:rsidRPr="000D26F4">
        <w:t>These subjects had other generalized seizure types (myoclonic, clonic, and tonic), but not the tonic-clonic or POS that were required for eligibility.</w:t>
      </w:r>
    </w:p>
    <w:p w14:paraId="73CC92F3" w14:textId="1827D717" w:rsidR="00DE5FE0" w:rsidRDefault="00DE5FE0" w:rsidP="00774568">
      <w:pPr>
        <w:pStyle w:val="Heading6"/>
      </w:pPr>
      <w:r>
        <w:t>Baseline characteristics</w:t>
      </w:r>
    </w:p>
    <w:p w14:paraId="333A443A" w14:textId="3A179DAD" w:rsidR="00DE5FE0" w:rsidRDefault="00DE5FE0" w:rsidP="003E5D00">
      <w:r>
        <w:t xml:space="preserve">The mean age was around 8 years, with the youngest subject at 4 years of age and the oldest at 11 years of age. Around 50% of </w:t>
      </w:r>
      <w:r w:rsidR="00774568">
        <w:t xml:space="preserve">the </w:t>
      </w:r>
      <w:r>
        <w:t>subjects were males. The mean weight was 28 kg. The lowest weight recorded was 16 kg and the highest was 64.7</w:t>
      </w:r>
      <w:r w:rsidR="00774568">
        <w:t xml:space="preserve"> </w:t>
      </w:r>
      <w:r>
        <w:t xml:space="preserve">kg. There appears to be a considerable overlap in terms of the seizure patterns across POS and PGTCS. Seven subjects in </w:t>
      </w:r>
      <w:r w:rsidR="00774568">
        <w:t>PGTS cohort were detected with ‘</w:t>
      </w:r>
      <w:r>
        <w:t>local</w:t>
      </w:r>
      <w:r w:rsidR="00774568">
        <w:t>isation of epileptogenic region’</w:t>
      </w:r>
      <w:r>
        <w:t>, which is not in line with their PGTS diagnosis</w:t>
      </w:r>
      <w:r w:rsidR="0099661F">
        <w:t xml:space="preserve"> (see </w:t>
      </w:r>
      <w:r w:rsidR="0099661F">
        <w:fldChar w:fldCharType="begin"/>
      </w:r>
      <w:r w:rsidR="0099661F">
        <w:instrText xml:space="preserve"> REF _Ref67848511 \h </w:instrText>
      </w:r>
      <w:r w:rsidR="0099661F">
        <w:fldChar w:fldCharType="separate"/>
      </w:r>
      <w:r w:rsidR="004C6771">
        <w:t xml:space="preserve">Table </w:t>
      </w:r>
      <w:r w:rsidR="004C6771">
        <w:rPr>
          <w:noProof/>
        </w:rPr>
        <w:t>6</w:t>
      </w:r>
      <w:r w:rsidR="0099661F">
        <w:fldChar w:fldCharType="end"/>
      </w:r>
      <w:r w:rsidR="0099661F">
        <w:t>)</w:t>
      </w:r>
      <w:r>
        <w:t>. Around 6% of s</w:t>
      </w:r>
      <w:r w:rsidRPr="003B0E75">
        <w:t>ubjects listed as having PG</w:t>
      </w:r>
      <w:r>
        <w:t>TCS in fact had POS with SGTCS. Similarly, nine subjects in POS cohort were having absence seizures, which are a type of genera</w:t>
      </w:r>
      <w:r w:rsidR="003E5D00">
        <w:t>lised seizures, by definition.</w:t>
      </w:r>
    </w:p>
    <w:p w14:paraId="641067EC" w14:textId="6A8C8C12" w:rsidR="00453D71" w:rsidRDefault="00DE5FE0" w:rsidP="00556063">
      <w:pPr>
        <w:pStyle w:val="TableTitle"/>
      </w:pPr>
      <w:bookmarkStart w:id="57" w:name="_Ref67848511"/>
      <w:bookmarkStart w:id="58" w:name="_Toc55303374"/>
      <w:r>
        <w:lastRenderedPageBreak/>
        <w:t xml:space="preserve">Table </w:t>
      </w:r>
      <w:fldSimple w:instr=" SEQ Table \* ARABIC ">
        <w:r w:rsidR="004C6771">
          <w:rPr>
            <w:noProof/>
          </w:rPr>
          <w:t>6</w:t>
        </w:r>
      </w:fldSimple>
      <w:bookmarkEnd w:id="57"/>
      <w:r w:rsidR="00453D71">
        <w:t xml:space="preserve">: Study 311 </w:t>
      </w:r>
      <w:bookmarkEnd w:id="58"/>
      <w:r w:rsidR="00556063">
        <w:t>Epilepsy-specific medical history by disease cohort, Safety Analysis Set</w:t>
      </w:r>
    </w:p>
    <w:p w14:paraId="1CC2EA35" w14:textId="30F22E11" w:rsidR="00DE5FE0" w:rsidRDefault="00453D71" w:rsidP="00DE5FE0">
      <w:r>
        <w:rPr>
          <w:noProof/>
          <w:lang w:eastAsia="en-AU"/>
        </w:rPr>
        <w:drawing>
          <wp:inline distT="0" distB="0" distL="0" distR="0" wp14:anchorId="55DE084F" wp14:editId="0BD48429">
            <wp:extent cx="5400040" cy="6984365"/>
            <wp:effectExtent l="0" t="0" r="0" b="6985"/>
            <wp:docPr id="1" name="Picture 1" descr="Study 311 Epilepsy-specific medical history by disease cohort,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2404" cy="6987423"/>
                    </a:xfrm>
                    <a:prstGeom prst="rect">
                      <a:avLst/>
                    </a:prstGeom>
                  </pic:spPr>
                </pic:pic>
              </a:graphicData>
            </a:graphic>
          </wp:inline>
        </w:drawing>
      </w:r>
    </w:p>
    <w:p w14:paraId="7C9FBB7B" w14:textId="1C71AA61" w:rsidR="00DE5FE0" w:rsidRDefault="00556063" w:rsidP="00556063">
      <w:pPr>
        <w:pStyle w:val="TableTitle"/>
      </w:pPr>
      <w:r>
        <w:lastRenderedPageBreak/>
        <w:fldChar w:fldCharType="begin"/>
      </w:r>
      <w:r>
        <w:instrText xml:space="preserve"> REF _Ref67848511 \h  \* MERGEFORMAT </w:instrText>
      </w:r>
      <w:r>
        <w:fldChar w:fldCharType="separate"/>
      </w:r>
      <w:r w:rsidR="004C6771">
        <w:t xml:space="preserve">Table </w:t>
      </w:r>
      <w:r w:rsidR="004C6771">
        <w:rPr>
          <w:noProof/>
        </w:rPr>
        <w:t>6</w:t>
      </w:r>
      <w:r>
        <w:fldChar w:fldCharType="end"/>
      </w:r>
      <w:r>
        <w:t xml:space="preserve"> (continued): Study 311 Epilepsy-specific medical history by disease cohort, Safety Analysis Set</w:t>
      </w:r>
    </w:p>
    <w:p w14:paraId="6BFC187C" w14:textId="4BE64603" w:rsidR="00DE5FE0" w:rsidRDefault="00453D71" w:rsidP="00DE5FE0">
      <w:r>
        <w:rPr>
          <w:noProof/>
          <w:lang w:eastAsia="en-AU"/>
        </w:rPr>
        <w:drawing>
          <wp:inline distT="0" distB="0" distL="0" distR="0" wp14:anchorId="3DF5BA43" wp14:editId="7506D553">
            <wp:extent cx="5400040" cy="3898900"/>
            <wp:effectExtent l="0" t="0" r="0" b="6350"/>
            <wp:docPr id="2" name="Picture 2" descr="Study 311 Epilepsy-specific medical history by disease cohort,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3898900"/>
                    </a:xfrm>
                    <a:prstGeom prst="rect">
                      <a:avLst/>
                    </a:prstGeom>
                  </pic:spPr>
                </pic:pic>
              </a:graphicData>
            </a:graphic>
          </wp:inline>
        </w:drawing>
      </w:r>
    </w:p>
    <w:p w14:paraId="27AFE3EC" w14:textId="0E920E65" w:rsidR="00556063" w:rsidRDefault="00556063" w:rsidP="00556063">
      <w:pPr>
        <w:pStyle w:val="TableDescription"/>
      </w:pPr>
      <w:r>
        <w:t xml:space="preserve">Subjects </w:t>
      </w:r>
      <w:proofErr w:type="gramStart"/>
      <w:r>
        <w:t>were assigned</w:t>
      </w:r>
      <w:proofErr w:type="gramEnd"/>
      <w:r>
        <w:t xml:space="preserve"> as POS or PGTC by the investigator. SGTC was the subset of POS subjects wh</w:t>
      </w:r>
      <w:r w:rsidR="00872615">
        <w:t>o recorded secondarily generalis</w:t>
      </w:r>
      <w:r>
        <w:t xml:space="preserve">ed seizures during the Baseline period. Percentages </w:t>
      </w:r>
      <w:proofErr w:type="gramStart"/>
      <w:r>
        <w:t>were based</w:t>
      </w:r>
      <w:proofErr w:type="gramEnd"/>
      <w:r>
        <w:t xml:space="preserve"> on the total number of subjects with non</w:t>
      </w:r>
      <w:r w:rsidR="0099661F">
        <w:t>-</w:t>
      </w:r>
      <w:r>
        <w:t>missing values in relevant treatment group.</w:t>
      </w:r>
    </w:p>
    <w:p w14:paraId="05D18963" w14:textId="0C8BB606" w:rsidR="00556063" w:rsidRDefault="00872615" w:rsidP="00556063">
      <w:pPr>
        <w:pStyle w:val="TableDescription"/>
      </w:pPr>
      <w:r>
        <w:t>CNS = central nervous system</w:t>
      </w:r>
      <w:r w:rsidR="00881BAA">
        <w:t xml:space="preserve">; PGTC = primary generalised tonic-clonic; </w:t>
      </w:r>
      <w:r w:rsidR="006A0229">
        <w:t xml:space="preserve">POS = </w:t>
      </w:r>
      <w:r w:rsidR="00881BAA">
        <w:t>partial-onset seizure; SD = standard deviation; SGTC = secondarily generalised tonic-clonic.</w:t>
      </w:r>
    </w:p>
    <w:p w14:paraId="5C18BEC0" w14:textId="048556E4" w:rsidR="00556063" w:rsidRDefault="00556063" w:rsidP="00556063">
      <w:pPr>
        <w:pStyle w:val="TableDescription"/>
      </w:pPr>
      <w:proofErr w:type="gramStart"/>
      <w:r>
        <w:t>a</w:t>
      </w:r>
      <w:proofErr w:type="gramEnd"/>
      <w:r>
        <w:t xml:space="preserve">: (Screening date – date of diagnosis)/365.25. If the day or month of diagnosis was missing, the day </w:t>
      </w:r>
      <w:proofErr w:type="gramStart"/>
      <w:r>
        <w:t>was imputed</w:t>
      </w:r>
      <w:proofErr w:type="gramEnd"/>
      <w:r>
        <w:t xml:space="preserve"> to be the first of the month and the month was imputed to be January. If imputed date was before the birth date, the birth date was used i</w:t>
      </w:r>
      <w:r w:rsidR="00872615">
        <w:t xml:space="preserve">n place of time from diagnosis; </w:t>
      </w:r>
      <w:r>
        <w:t>b: Only a subje</w:t>
      </w:r>
      <w:r w:rsidR="00872615">
        <w:t xml:space="preserve">ct’s primary reason was listed; </w:t>
      </w:r>
      <w:r>
        <w:t>c: Multiple suspected localizations of the epileptogenic</w:t>
      </w:r>
      <w:r w:rsidR="00872615">
        <w:t xml:space="preserve"> region may have been recorded; </w:t>
      </w:r>
      <w:r>
        <w:t>d: Multiple seizure types may have been recorded.</w:t>
      </w:r>
    </w:p>
    <w:p w14:paraId="41443D4A" w14:textId="77777777" w:rsidR="00DE5FE0" w:rsidRDefault="00DE5FE0" w:rsidP="003E5D00">
      <w:pPr>
        <w:pStyle w:val="Heading6"/>
      </w:pPr>
      <w:r>
        <w:t>Results</w:t>
      </w:r>
    </w:p>
    <w:p w14:paraId="71F01D9E" w14:textId="77777777" w:rsidR="00DE5FE0" w:rsidRPr="005834D1" w:rsidRDefault="00DE5FE0" w:rsidP="003E5D00">
      <w:pPr>
        <w:pStyle w:val="Heading7"/>
        <w:rPr>
          <w:sz w:val="22"/>
        </w:rPr>
      </w:pPr>
      <w:r w:rsidRPr="005834D1">
        <w:rPr>
          <w:sz w:val="22"/>
        </w:rPr>
        <w:t>Seizure frequency</w:t>
      </w:r>
    </w:p>
    <w:p w14:paraId="23AD1928" w14:textId="3949413F" w:rsidR="00DE5FE0" w:rsidRPr="003E5D00" w:rsidRDefault="00DE5FE0" w:rsidP="003E5D00">
      <w:r w:rsidRPr="003E5D00">
        <w:t>At 23 weeks of treatment period, the median percent cha</w:t>
      </w:r>
      <w:r w:rsidR="00556063">
        <w:t>nge in seizure frequency per 28 days, from B</w:t>
      </w:r>
      <w:r w:rsidRPr="003E5D00">
        <w:t>aseline, was -40.1% (95% CI, -52.6%, –31.</w:t>
      </w:r>
      <w:r w:rsidR="00556063">
        <w:t xml:space="preserve">4%) for total POS seizures and </w:t>
      </w:r>
      <w:r w:rsidR="00556063">
        <w:noBreakHyphen/>
      </w:r>
      <w:r w:rsidRPr="003E5D00">
        <w:t>69.2% (95% CI, –100.0%, –17.7%) for PGTC seizures</w:t>
      </w:r>
      <w:r w:rsidR="00FA2E5D">
        <w:t xml:space="preserve"> (see </w:t>
      </w:r>
      <w:r w:rsidR="00FA2E5D">
        <w:fldChar w:fldCharType="begin"/>
      </w:r>
      <w:r w:rsidR="00FA2E5D">
        <w:instrText xml:space="preserve"> REF _Ref67849159 \h </w:instrText>
      </w:r>
      <w:r w:rsidR="00FA2E5D">
        <w:fldChar w:fldCharType="separate"/>
      </w:r>
      <w:r w:rsidR="004C6771">
        <w:t xml:space="preserve">Table </w:t>
      </w:r>
      <w:r w:rsidR="004C6771">
        <w:rPr>
          <w:noProof/>
        </w:rPr>
        <w:t>7</w:t>
      </w:r>
      <w:r w:rsidR="00FA2E5D">
        <w:fldChar w:fldCharType="end"/>
      </w:r>
      <w:r w:rsidR="00FA2E5D">
        <w:t>)</w:t>
      </w:r>
      <w:r w:rsidRPr="003E5D00">
        <w:t>. The median change in seizure frequency was -58.7% for SGTCS.</w:t>
      </w:r>
    </w:p>
    <w:p w14:paraId="42AAD698" w14:textId="4F29AAC4" w:rsidR="00DE5FE0" w:rsidRPr="003E5D00" w:rsidRDefault="00DE5FE0" w:rsidP="003E5D00">
      <w:r w:rsidRPr="003E5D00">
        <w:t xml:space="preserve">In </w:t>
      </w:r>
      <w:r w:rsidR="00556063">
        <w:t xml:space="preserve">the </w:t>
      </w:r>
      <w:r w:rsidRPr="003E5D00">
        <w:t>POS cohort, th</w:t>
      </w:r>
      <w:r w:rsidR="00556063">
        <w:t xml:space="preserve">ere were 40 children in the 4 to </w:t>
      </w:r>
      <w:r w:rsidRPr="003E5D00">
        <w:t>&lt;</w:t>
      </w:r>
      <w:r w:rsidR="00556063">
        <w:t xml:space="preserve"> </w:t>
      </w:r>
      <w:r w:rsidRPr="003E5D00">
        <w:t xml:space="preserve">7 years </w:t>
      </w:r>
      <w:r w:rsidR="00556063">
        <w:t>age group and 109 children in 7 to</w:t>
      </w:r>
      <w:r w:rsidRPr="003E5D00">
        <w:t xml:space="preserve"> &lt;</w:t>
      </w:r>
      <w:r w:rsidR="00556063">
        <w:t xml:space="preserve"> </w:t>
      </w:r>
      <w:r w:rsidRPr="003E5D00">
        <w:t>12 years age group. There was an overall reduction in the seizu</w:t>
      </w:r>
      <w:r w:rsidR="00556063">
        <w:t>re frequency across age groups.</w:t>
      </w:r>
    </w:p>
    <w:p w14:paraId="2EF74E80" w14:textId="1E4BFACC" w:rsidR="00DE5FE0" w:rsidRPr="003E5D00" w:rsidRDefault="00556063" w:rsidP="003E5D00">
      <w:r>
        <w:t>In PGTCS cohort, there were three</w:t>
      </w:r>
      <w:r w:rsidR="00DE5FE0" w:rsidRPr="003E5D00">
        <w:t xml:space="preserve"> children in the </w:t>
      </w:r>
      <w:proofErr w:type="gramStart"/>
      <w:r w:rsidR="00DE5FE0" w:rsidRPr="003E5D00">
        <w:t>4</w:t>
      </w:r>
      <w:proofErr w:type="gramEnd"/>
      <w:r w:rsidR="00DE5FE0" w:rsidRPr="003E5D00">
        <w:t xml:space="preserve"> to &lt;7 years and 19 children in the 7 to &lt;</w:t>
      </w:r>
      <w:r>
        <w:t> </w:t>
      </w:r>
      <w:r w:rsidR="00DE5FE0" w:rsidRPr="003E5D00">
        <w:t>12</w:t>
      </w:r>
      <w:r>
        <w:t xml:space="preserve"> years age group.</w:t>
      </w:r>
    </w:p>
    <w:p w14:paraId="608B50B3" w14:textId="52A50B4C" w:rsidR="00DE5FE0" w:rsidRPr="003E5D00" w:rsidRDefault="00FA2E5D" w:rsidP="003E5D00">
      <w:r>
        <w:rPr>
          <w:rFonts w:cs="Calibri"/>
        </w:rPr>
        <w:t>The Delegate commented that t</w:t>
      </w:r>
      <w:r w:rsidR="00DE5FE0" w:rsidRPr="003E5D00">
        <w:rPr>
          <w:rFonts w:cs="Calibri"/>
        </w:rPr>
        <w:t xml:space="preserve">he very low number of children in the PGTS cohort has limited the ability to make any conclusions regarding the treatment benefit of perampanel, in terms of reduction in seizure frequency. The upper bound of confidence interval of up to </w:t>
      </w:r>
      <w:r w:rsidR="00DE5FE0" w:rsidRPr="003E5D00">
        <w:rPr>
          <w:rFonts w:cs="Calibri"/>
        </w:rPr>
        <w:lastRenderedPageBreak/>
        <w:t>1217 (for the percent change in seizure frequency indicates the impact of low number of subjects on the outcomes)</w:t>
      </w:r>
      <w:r>
        <w:t>.</w:t>
      </w:r>
    </w:p>
    <w:p w14:paraId="5BA3D8D0" w14:textId="18CFDDE1" w:rsidR="00DE5FE0" w:rsidRDefault="00DE5FE0" w:rsidP="00FA2E5D">
      <w:pPr>
        <w:pStyle w:val="TableTitle"/>
      </w:pPr>
      <w:bookmarkStart w:id="59" w:name="_Ref67849159"/>
      <w:bookmarkStart w:id="60" w:name="_Toc55303375"/>
      <w:r>
        <w:t xml:space="preserve">Table </w:t>
      </w:r>
      <w:fldSimple w:instr=" SEQ Table \* ARABIC ">
        <w:r w:rsidR="004C6771">
          <w:rPr>
            <w:noProof/>
          </w:rPr>
          <w:t>7</w:t>
        </w:r>
      </w:fldSimple>
      <w:bookmarkEnd w:id="59"/>
      <w:r>
        <w:t xml:space="preserve">: </w:t>
      </w:r>
      <w:r w:rsidR="00FA2E5D">
        <w:t xml:space="preserve">Study 311 </w:t>
      </w:r>
      <w:bookmarkEnd w:id="60"/>
      <w:r w:rsidR="00FA2E5D">
        <w:t>Seizure frequency per 28 days and percent change during treatment summary for age cohort by each disease cohort, Full Analysis Set</w:t>
      </w:r>
    </w:p>
    <w:p w14:paraId="37C19215" w14:textId="3F23B016" w:rsidR="00DE5FE0" w:rsidRDefault="00DE5FE0" w:rsidP="00DE5FE0">
      <w:r>
        <w:rPr>
          <w:noProof/>
          <w:lang w:eastAsia="en-AU"/>
        </w:rPr>
        <w:drawing>
          <wp:inline distT="0" distB="0" distL="0" distR="0" wp14:anchorId="72EE43FC" wp14:editId="62500ED1">
            <wp:extent cx="5438898" cy="6702747"/>
            <wp:effectExtent l="0" t="0" r="0" b="3175"/>
            <wp:docPr id="18" name="Picture 18" descr="Study 311 Seizure frequency per 28 days and percent change during treatment summary for age cohort by each disease cohort,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49160" cy="6715394"/>
                    </a:xfrm>
                    <a:prstGeom prst="rect">
                      <a:avLst/>
                    </a:prstGeom>
                    <a:noFill/>
                    <a:ln>
                      <a:noFill/>
                    </a:ln>
                  </pic:spPr>
                </pic:pic>
              </a:graphicData>
            </a:graphic>
          </wp:inline>
        </w:drawing>
      </w:r>
    </w:p>
    <w:p w14:paraId="5727189A" w14:textId="6990E63C" w:rsidR="00FA2E5D" w:rsidRDefault="00FA2E5D" w:rsidP="00FA2E5D">
      <w:pPr>
        <w:pStyle w:val="TableTitle"/>
      </w:pPr>
      <w:r>
        <w:lastRenderedPageBreak/>
        <w:fldChar w:fldCharType="begin"/>
      </w:r>
      <w:r>
        <w:instrText xml:space="preserve"> REF _Ref67849159 \h  \* MERGEFORMAT </w:instrText>
      </w:r>
      <w:r>
        <w:fldChar w:fldCharType="separate"/>
      </w:r>
      <w:r w:rsidR="004C6771">
        <w:t xml:space="preserve">Table </w:t>
      </w:r>
      <w:r w:rsidR="004C6771">
        <w:rPr>
          <w:noProof/>
        </w:rPr>
        <w:t>7</w:t>
      </w:r>
      <w:r>
        <w:fldChar w:fldCharType="end"/>
      </w:r>
      <w:r>
        <w:t xml:space="preserve"> (continued): Study 311 Seizure frequency per 28 days and percent change during treatment summary for age cohort by each disease cohort, Full Analysis Set</w:t>
      </w:r>
    </w:p>
    <w:p w14:paraId="180E0666" w14:textId="6D48FD7F" w:rsidR="00DE5FE0" w:rsidRDefault="00DE5FE0" w:rsidP="00DE5FE0">
      <w:r>
        <w:rPr>
          <w:noProof/>
          <w:lang w:eastAsia="en-AU"/>
        </w:rPr>
        <w:drawing>
          <wp:inline distT="0" distB="0" distL="0" distR="0" wp14:anchorId="26961F4B" wp14:editId="390694E1">
            <wp:extent cx="5410961" cy="6768501"/>
            <wp:effectExtent l="0" t="0" r="0" b="0"/>
            <wp:docPr id="19" name="Picture 19" descr="Study 311 Seizure frequency per 28 days and percent change during treatment summary for age cohort by each disease cohort,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7434" cy="6776598"/>
                    </a:xfrm>
                    <a:prstGeom prst="rect">
                      <a:avLst/>
                    </a:prstGeom>
                    <a:noFill/>
                    <a:ln>
                      <a:noFill/>
                    </a:ln>
                  </pic:spPr>
                </pic:pic>
              </a:graphicData>
            </a:graphic>
          </wp:inline>
        </w:drawing>
      </w:r>
    </w:p>
    <w:p w14:paraId="2431D11F" w14:textId="5C9392AC" w:rsidR="00FA2E5D" w:rsidRDefault="00FA2E5D" w:rsidP="00FA2E5D">
      <w:pPr>
        <w:pStyle w:val="TableTitle"/>
      </w:pPr>
      <w:r>
        <w:lastRenderedPageBreak/>
        <w:fldChar w:fldCharType="begin"/>
      </w:r>
      <w:r>
        <w:instrText xml:space="preserve"> REF _Ref67849159 \h  \* MERGEFORMAT </w:instrText>
      </w:r>
      <w:r>
        <w:fldChar w:fldCharType="separate"/>
      </w:r>
      <w:r w:rsidR="004C6771">
        <w:t xml:space="preserve">Table </w:t>
      </w:r>
      <w:r w:rsidR="004C6771">
        <w:rPr>
          <w:noProof/>
        </w:rPr>
        <w:t>7</w:t>
      </w:r>
      <w:r>
        <w:fldChar w:fldCharType="end"/>
      </w:r>
      <w:r>
        <w:t xml:space="preserve"> (continued): Study 311 Seizure frequency per 28 days and percent change during treatment summary for age cohort by each disease cohort, Full Analysis Set</w:t>
      </w:r>
    </w:p>
    <w:p w14:paraId="6D183791" w14:textId="291201C1" w:rsidR="00DE5FE0" w:rsidRDefault="00DE5FE0" w:rsidP="00DE5FE0">
      <w:r>
        <w:rPr>
          <w:noProof/>
          <w:lang w:eastAsia="en-AU"/>
        </w:rPr>
        <w:drawing>
          <wp:inline distT="0" distB="0" distL="0" distR="0" wp14:anchorId="42786F2A" wp14:editId="4AB29138">
            <wp:extent cx="5421085" cy="6798575"/>
            <wp:effectExtent l="0" t="0" r="8255" b="2540"/>
            <wp:docPr id="20" name="Picture 20" descr="Study 311 Seizure frequency per 28 days and percent change during treatment summary for age cohort by each disease cohort,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8851" cy="6808314"/>
                    </a:xfrm>
                    <a:prstGeom prst="rect">
                      <a:avLst/>
                    </a:prstGeom>
                    <a:noFill/>
                    <a:ln>
                      <a:noFill/>
                    </a:ln>
                  </pic:spPr>
                </pic:pic>
              </a:graphicData>
            </a:graphic>
          </wp:inline>
        </w:drawing>
      </w:r>
    </w:p>
    <w:p w14:paraId="32DA1EC2" w14:textId="71AC053D" w:rsidR="00FA2E5D" w:rsidRDefault="00FA2E5D" w:rsidP="00FA2E5D">
      <w:pPr>
        <w:pStyle w:val="TableTitle"/>
      </w:pPr>
      <w:r>
        <w:lastRenderedPageBreak/>
        <w:fldChar w:fldCharType="begin"/>
      </w:r>
      <w:r>
        <w:instrText xml:space="preserve"> REF _Ref67849159 \h  \* MERGEFORMAT </w:instrText>
      </w:r>
      <w:r>
        <w:fldChar w:fldCharType="separate"/>
      </w:r>
      <w:r w:rsidR="004C6771">
        <w:t xml:space="preserve">Table </w:t>
      </w:r>
      <w:r w:rsidR="004C6771">
        <w:rPr>
          <w:noProof/>
        </w:rPr>
        <w:t>7</w:t>
      </w:r>
      <w:r>
        <w:fldChar w:fldCharType="end"/>
      </w:r>
      <w:r>
        <w:t xml:space="preserve"> (continued): Study 311 Seizure frequency per 28 days and percent change during treatment summary for age cohort by each disease cohort, Full Analysis Set</w:t>
      </w:r>
    </w:p>
    <w:p w14:paraId="55189E93" w14:textId="295FF821" w:rsidR="00DE5FE0" w:rsidRDefault="00DE5FE0" w:rsidP="00DE5FE0">
      <w:r>
        <w:rPr>
          <w:noProof/>
          <w:lang w:eastAsia="en-AU"/>
        </w:rPr>
        <w:drawing>
          <wp:inline distT="0" distB="0" distL="0" distR="0" wp14:anchorId="327B5A79" wp14:editId="3159D47A">
            <wp:extent cx="5412397" cy="6936509"/>
            <wp:effectExtent l="0" t="0" r="0" b="0"/>
            <wp:docPr id="21" name="Picture 21" descr="Study 311 Seizure frequency per 28 days and percent change during treatment summary for age cohort by each disease cohort,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8432" cy="6957059"/>
                    </a:xfrm>
                    <a:prstGeom prst="rect">
                      <a:avLst/>
                    </a:prstGeom>
                    <a:noFill/>
                    <a:ln>
                      <a:noFill/>
                    </a:ln>
                  </pic:spPr>
                </pic:pic>
              </a:graphicData>
            </a:graphic>
          </wp:inline>
        </w:drawing>
      </w:r>
    </w:p>
    <w:p w14:paraId="61BEE0D4" w14:textId="08BBEDB1" w:rsidR="00FA2E5D" w:rsidRDefault="00FA2E5D" w:rsidP="00FA2E5D">
      <w:pPr>
        <w:pStyle w:val="TableTitle"/>
      </w:pPr>
      <w:r>
        <w:lastRenderedPageBreak/>
        <w:fldChar w:fldCharType="begin"/>
      </w:r>
      <w:r>
        <w:instrText xml:space="preserve"> REF _Ref67849159 \h  \* MERGEFORMAT </w:instrText>
      </w:r>
      <w:r>
        <w:fldChar w:fldCharType="separate"/>
      </w:r>
      <w:r w:rsidR="004C6771">
        <w:t xml:space="preserve">Table </w:t>
      </w:r>
      <w:r w:rsidR="004C6771">
        <w:rPr>
          <w:noProof/>
        </w:rPr>
        <w:t>7</w:t>
      </w:r>
      <w:r>
        <w:fldChar w:fldCharType="end"/>
      </w:r>
      <w:r>
        <w:t xml:space="preserve"> (continued): Study 311 Seizure frequency per 28 days and percent change during treatment summary for age cohort by each disease cohort, Full Analysis Set</w:t>
      </w:r>
    </w:p>
    <w:p w14:paraId="2C8852A2" w14:textId="77777777" w:rsidR="00DE5FE0" w:rsidRDefault="00DE5FE0" w:rsidP="00DE5FE0">
      <w:r>
        <w:rPr>
          <w:noProof/>
          <w:lang w:eastAsia="en-AU"/>
        </w:rPr>
        <w:drawing>
          <wp:inline distT="0" distB="0" distL="0" distR="0" wp14:anchorId="6748304F" wp14:editId="43F9A52E">
            <wp:extent cx="5410917" cy="4366526"/>
            <wp:effectExtent l="0" t="0" r="0" b="0"/>
            <wp:docPr id="22" name="Picture 22" descr="Study 311 Seizure frequency per 28 days and percent change during treatment summary for age cohort by each disease cohort,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1836" cy="4383407"/>
                    </a:xfrm>
                    <a:prstGeom prst="rect">
                      <a:avLst/>
                    </a:prstGeom>
                    <a:noFill/>
                    <a:ln>
                      <a:noFill/>
                    </a:ln>
                  </pic:spPr>
                </pic:pic>
              </a:graphicData>
            </a:graphic>
          </wp:inline>
        </w:drawing>
      </w:r>
    </w:p>
    <w:p w14:paraId="407E21EF" w14:textId="247C1BEA" w:rsidR="00DE5FE0" w:rsidRDefault="00DE5FE0" w:rsidP="003E5D00">
      <w:r>
        <w:t>The median reduction in total POS seizure frequency in the POS cohort was -34.0% (95%</w:t>
      </w:r>
      <w:r w:rsidR="006A0229">
        <w:t> </w:t>
      </w:r>
      <w:r>
        <w:t xml:space="preserve">CI, -59.5%, </w:t>
      </w:r>
      <w:proofErr w:type="gramStart"/>
      <w:r>
        <w:t>9.0</w:t>
      </w:r>
      <w:proofErr w:type="gramEnd"/>
      <w:r>
        <w:t>%) in subjects with concomitant EIAE</w:t>
      </w:r>
      <w:r w:rsidR="00FA2E5D">
        <w:t>Ds and -42.2% (95%</w:t>
      </w:r>
      <w:r w:rsidR="006A0229">
        <w:t> </w:t>
      </w:r>
      <w:r w:rsidR="00FA2E5D">
        <w:t>CI,</w:t>
      </w:r>
      <w:r w:rsidR="006A0229">
        <w:t> </w:t>
      </w:r>
      <w:r w:rsidR="006A0229">
        <w:noBreakHyphen/>
      </w:r>
      <w:r w:rsidR="00FA2E5D">
        <w:t xml:space="preserve">53.8%, </w:t>
      </w:r>
      <w:r w:rsidR="00FA2E5D">
        <w:noBreakHyphen/>
      </w:r>
      <w:r>
        <w:t>32.1%) in subje</w:t>
      </w:r>
      <w:r w:rsidR="00FA2E5D">
        <w:t>cts without concomitant EIAEDs.</w:t>
      </w:r>
    </w:p>
    <w:p w14:paraId="41E8AEA2" w14:textId="43F2344C" w:rsidR="00DE5FE0" w:rsidRDefault="00DE5FE0" w:rsidP="003E5D00">
      <w:pPr>
        <w:rPr>
          <w:rFonts w:asciiTheme="minorHAnsi" w:hAnsiTheme="minorHAnsi"/>
        </w:rPr>
      </w:pPr>
      <w:r>
        <w:t>The median reduction in PGTC seizure frequency in the PGTC cohort was -69.2% (95%</w:t>
      </w:r>
      <w:r w:rsidR="006A0229">
        <w:t> </w:t>
      </w:r>
      <w:r>
        <w:t>CI,</w:t>
      </w:r>
      <w:r w:rsidR="006A0229">
        <w:t> </w:t>
      </w:r>
      <w:r>
        <w:t xml:space="preserve">-100.0%, -17.7%) in subjects without EIAEDs. </w:t>
      </w:r>
      <w:proofErr w:type="gramStart"/>
      <w:r>
        <w:t>There were no subjects with PGTCS who</w:t>
      </w:r>
      <w:r w:rsidR="00FA2E5D">
        <w:t xml:space="preserve"> were on concomitant EIAEDs at B</w:t>
      </w:r>
      <w:r>
        <w:t>aseline.</w:t>
      </w:r>
      <w:proofErr w:type="gramEnd"/>
    </w:p>
    <w:p w14:paraId="16804A68" w14:textId="77673335" w:rsidR="00DE5FE0" w:rsidRPr="001006D2" w:rsidRDefault="00DE5FE0" w:rsidP="003E5D00">
      <w:r>
        <w:t xml:space="preserve">The analysis of the Japanese cohort was broadly consistent with the results obtained in the full cohort. In Japanese subjects, the median percent change in seizure frequency </w:t>
      </w:r>
      <w:r w:rsidR="00FA2E5D">
        <w:t>in the POS cohort, compared to B</w:t>
      </w:r>
      <w:r>
        <w:t>aseline, was -</w:t>
      </w:r>
      <w:r w:rsidR="00FA2E5D">
        <w:t xml:space="preserve">37.0 (95% CI, -52.6%, -25.5%). </w:t>
      </w:r>
      <w:r>
        <w:t>The pre-specified criterion of having the upper limit of the 95% CI for the change in freq</w:t>
      </w:r>
      <w:r w:rsidR="00FA2E5D">
        <w:t xml:space="preserve">uency below -10.5% </w:t>
      </w:r>
      <w:proofErr w:type="gramStart"/>
      <w:r w:rsidR="00FA2E5D">
        <w:t>was met</w:t>
      </w:r>
      <w:proofErr w:type="gramEnd"/>
      <w:r w:rsidR="00FA2E5D">
        <w:t xml:space="preserve"> (that is</w:t>
      </w:r>
      <w:r>
        <w:t>, the magnitude of the change was greater than 10.5%).</w:t>
      </w:r>
    </w:p>
    <w:p w14:paraId="52B32B2E" w14:textId="77777777" w:rsidR="00DE5FE0" w:rsidRPr="005834D1" w:rsidRDefault="00DE5FE0" w:rsidP="003E5D00">
      <w:pPr>
        <w:pStyle w:val="Heading7"/>
        <w:rPr>
          <w:sz w:val="22"/>
        </w:rPr>
      </w:pPr>
      <w:r w:rsidRPr="005834D1">
        <w:rPr>
          <w:sz w:val="22"/>
        </w:rPr>
        <w:t>Response rates</w:t>
      </w:r>
    </w:p>
    <w:p w14:paraId="3E8C74C7" w14:textId="2053A386" w:rsidR="00DE5FE0" w:rsidRDefault="00DE5FE0" w:rsidP="003E5D00">
      <w:r>
        <w:t>A reduction in seizure frequency of ≥</w:t>
      </w:r>
      <w:r w:rsidR="00FA2E5D">
        <w:t xml:space="preserve"> </w:t>
      </w:r>
      <w:r>
        <w:t xml:space="preserve">50% or greater was achieved in 69 (46.6%) subjects for total POS seizures in the POS cohort and in 14 (63.6%) subjects for PGTC seizures in the PGTC cohort. The proportion of subjects with reductions of ≥ 50% in seizure frequency was comparable across the age ranges of </w:t>
      </w:r>
      <w:proofErr w:type="gramStart"/>
      <w:r>
        <w:t>4</w:t>
      </w:r>
      <w:proofErr w:type="gramEnd"/>
      <w:r>
        <w:t xml:space="preserve"> to &lt;</w:t>
      </w:r>
      <w:r w:rsidR="00FA2E5D">
        <w:t xml:space="preserve"> </w:t>
      </w:r>
      <w:r>
        <w:t>7 years and ≥</w:t>
      </w:r>
      <w:r w:rsidR="00FA2E5D">
        <w:t xml:space="preserve"> </w:t>
      </w:r>
      <w:r>
        <w:t>7 to &lt;</w:t>
      </w:r>
      <w:r w:rsidR="00FA2E5D">
        <w:t xml:space="preserve"> </w:t>
      </w:r>
      <w:r>
        <w:t>12 years of children in both POS and PGTC cohorts.</w:t>
      </w:r>
    </w:p>
    <w:p w14:paraId="2D68D3CE" w14:textId="01CC7A18" w:rsidR="00DE5FE0" w:rsidRDefault="00DE5FE0" w:rsidP="003E5D00">
      <w:r>
        <w:t xml:space="preserve">Across the EIAED cohorts, seizure reductions of ≥ 50% for total POS seizures in the POS cohort were 21 (45.7%) and 48 (47.1%) in subjects with or without concomitant EIAEDs, respectively. A reduction of ≥ 50% </w:t>
      </w:r>
      <w:proofErr w:type="gramStart"/>
      <w:r>
        <w:t>was achieved</w:t>
      </w:r>
      <w:proofErr w:type="gramEnd"/>
      <w:r>
        <w:t xml:space="preserve"> in 14 (63.6%) subjects without concomitant EIAEDs in the PGTC cohort. There were no PGTC subjects in the inducer cohor</w:t>
      </w:r>
      <w:r w:rsidR="00FA2E5D">
        <w:t>t.</w:t>
      </w:r>
    </w:p>
    <w:p w14:paraId="299253B0" w14:textId="40CA04E1" w:rsidR="00DE5FE0" w:rsidRDefault="00DE5FE0" w:rsidP="003E5D00">
      <w:r>
        <w:lastRenderedPageBreak/>
        <w:t xml:space="preserve">Seizure-free status in the Maintenance Period was achieved in 17 (11.5%) subjects in the POS cohort and 12 (54.5%) in the PGTC cohort. The seizure-free rates in subjects aged </w:t>
      </w:r>
      <w:proofErr w:type="gramStart"/>
      <w:r>
        <w:t>4</w:t>
      </w:r>
      <w:proofErr w:type="gramEnd"/>
      <w:r>
        <w:t xml:space="preserve"> to &lt;</w:t>
      </w:r>
      <w:r w:rsidR="00FA2E5D">
        <w:t> </w:t>
      </w:r>
      <w:r>
        <w:t>7 years and ≥</w:t>
      </w:r>
      <w:r w:rsidR="00FA2E5D">
        <w:t xml:space="preserve"> </w:t>
      </w:r>
      <w:r>
        <w:t>7 to &lt;</w:t>
      </w:r>
      <w:r w:rsidR="00FA2E5D">
        <w:t xml:space="preserve"> </w:t>
      </w:r>
      <w:r>
        <w:t xml:space="preserve">12 years were 3 (7.5%) and 14 (13.0%) in POS cohort. The results were numerically better in the PGTC cohort, but they are based on low patient numbers, with </w:t>
      </w:r>
      <w:proofErr w:type="gramStart"/>
      <w:r>
        <w:t>2</w:t>
      </w:r>
      <w:proofErr w:type="gramEnd"/>
      <w:r>
        <w:t xml:space="preserve"> (66.7%) and 10 (52.6%) subjects in the 4 to &lt;</w:t>
      </w:r>
      <w:r w:rsidR="00FA2E5D">
        <w:t xml:space="preserve"> </w:t>
      </w:r>
      <w:r>
        <w:t>7 years and ≥</w:t>
      </w:r>
      <w:r w:rsidR="00FA2E5D">
        <w:t xml:space="preserve"> </w:t>
      </w:r>
      <w:r>
        <w:t>7 to &lt;</w:t>
      </w:r>
      <w:r w:rsidR="00FA2E5D">
        <w:t xml:space="preserve"> </w:t>
      </w:r>
      <w:r>
        <w:t>12 years</w:t>
      </w:r>
      <w:r w:rsidR="006A0229">
        <w:t xml:space="preserve"> of age</w:t>
      </w:r>
      <w:r>
        <w:t xml:space="preserve"> cohorts achieving seizure free status.</w:t>
      </w:r>
    </w:p>
    <w:p w14:paraId="6DA15636" w14:textId="77777777" w:rsidR="00DE5FE0" w:rsidRDefault="00DE5FE0" w:rsidP="003E5D00">
      <w:r>
        <w:t xml:space="preserve">None of the subjects </w:t>
      </w:r>
      <w:proofErr w:type="gramStart"/>
      <w:r>
        <w:t>were</w:t>
      </w:r>
      <w:proofErr w:type="gramEnd"/>
      <w:r>
        <w:t xml:space="preserve"> seizure free at 53 to 65 weeks. This observation indicates the natural variability of the condition.</w:t>
      </w:r>
    </w:p>
    <w:p w14:paraId="61753633" w14:textId="4688A4E1" w:rsidR="00DE5FE0" w:rsidRPr="005834D1" w:rsidRDefault="00DE5FE0" w:rsidP="003E5D00">
      <w:pPr>
        <w:pStyle w:val="Heading7"/>
        <w:rPr>
          <w:sz w:val="22"/>
        </w:rPr>
      </w:pPr>
      <w:r w:rsidRPr="005834D1">
        <w:rPr>
          <w:sz w:val="22"/>
        </w:rPr>
        <w:t>Clinical Gl</w:t>
      </w:r>
      <w:r w:rsidR="00FA2E5D" w:rsidRPr="005834D1">
        <w:rPr>
          <w:sz w:val="22"/>
        </w:rPr>
        <w:t>obal Impression of Change</w:t>
      </w:r>
    </w:p>
    <w:p w14:paraId="68AD219C" w14:textId="449AB301" w:rsidR="00DE5FE0" w:rsidRDefault="00FA2E5D" w:rsidP="003E5D00">
      <w:r>
        <w:t>At B</w:t>
      </w:r>
      <w:r w:rsidR="00DE5FE0">
        <w:t>aseline,</w:t>
      </w:r>
      <w:r w:rsidR="00DE5FE0" w:rsidRPr="009C5CB7">
        <w:t xml:space="preserve"> </w:t>
      </w:r>
      <w:r w:rsidR="00DE5FE0">
        <w:t xml:space="preserve">58.9% of subjects responded as either normal (not at all ill), or borderline or mildly ill, 18.3% of subjects were moderately ill, and 22.8% of subjects were either markedly ill, </w:t>
      </w:r>
      <w:r w:rsidR="008A2537">
        <w:t>severely ill, or extremely ill.</w:t>
      </w:r>
    </w:p>
    <w:p w14:paraId="54EF4AC4" w14:textId="24827356" w:rsidR="00DE5FE0" w:rsidRDefault="00DE5FE0" w:rsidP="003E5D00">
      <w:pPr>
        <w:rPr>
          <w:rFonts w:asciiTheme="minorHAnsi" w:hAnsiTheme="minorHAnsi"/>
        </w:rPr>
      </w:pPr>
      <w:r>
        <w:t>At Week 23, 145 subjects had CGI</w:t>
      </w:r>
      <w:r w:rsidR="006A0229">
        <w:noBreakHyphen/>
      </w:r>
      <w:r>
        <w:t xml:space="preserve">C observations recorded. 52 (42.6%) subjects in the POS cohort and 8 (34.8%) subjects in the PGTC rated CGIC as </w:t>
      </w:r>
      <w:r w:rsidR="008A2537" w:rsidRPr="008A2537">
        <w:t>‘</w:t>
      </w:r>
      <w:r w:rsidRPr="008A2537">
        <w:t>Very much improved</w:t>
      </w:r>
      <w:r w:rsidR="008A2537" w:rsidRPr="008A2537">
        <w:t>’</w:t>
      </w:r>
      <w:r w:rsidRPr="008A2537">
        <w:t xml:space="preserve"> or </w:t>
      </w:r>
      <w:r w:rsidR="008A2537" w:rsidRPr="008A2537">
        <w:t>‘</w:t>
      </w:r>
      <w:r w:rsidRPr="008A2537">
        <w:t>Much improved</w:t>
      </w:r>
      <w:r w:rsidR="008A2537" w:rsidRPr="008A2537">
        <w:t xml:space="preserve">’ </w:t>
      </w:r>
      <w:r w:rsidR="008A2537">
        <w:t>compared to B</w:t>
      </w:r>
      <w:r>
        <w:t xml:space="preserve">aseline. 18 (14.8%) subjects in the POS cohort and 6 (26.1%) subjects in the PGTC cohort rated CGIC as </w:t>
      </w:r>
      <w:r w:rsidR="008A2537" w:rsidRPr="008A2537">
        <w:t>‘</w:t>
      </w:r>
      <w:r w:rsidRPr="008A2537">
        <w:t>No change</w:t>
      </w:r>
      <w:r w:rsidR="008A2537" w:rsidRPr="008A2537">
        <w:t>’</w:t>
      </w:r>
      <w:r w:rsidR="008A2537">
        <w:t xml:space="preserve"> compared to B</w:t>
      </w:r>
      <w:r>
        <w:t>aseline.</w:t>
      </w:r>
    </w:p>
    <w:p w14:paraId="7B142D06" w14:textId="77777777" w:rsidR="00DE5FE0" w:rsidRPr="003E5D00" w:rsidRDefault="00DE5FE0" w:rsidP="003E5D00">
      <w:pPr>
        <w:pStyle w:val="Heading5"/>
      </w:pPr>
      <w:r w:rsidRPr="003E5D00">
        <w:t>Study 232</w:t>
      </w:r>
    </w:p>
    <w:p w14:paraId="501027A1" w14:textId="1E6A73F0" w:rsidR="00DE5FE0" w:rsidRPr="003E5D00" w:rsidRDefault="008A2537" w:rsidP="003E5D00">
      <w:r>
        <w:t>Study design: o</w:t>
      </w:r>
      <w:r w:rsidR="00DE5FE0" w:rsidRPr="003E5D00">
        <w:t xml:space="preserve">pen label pilot study to generate preliminary safety, tolerability and efficacy data for perampanel oral suspension in children from </w:t>
      </w:r>
      <w:proofErr w:type="gramStart"/>
      <w:r w:rsidR="00DE5FE0" w:rsidRPr="003E5D00">
        <w:t>2</w:t>
      </w:r>
      <w:proofErr w:type="gramEnd"/>
      <w:r w:rsidR="00DE5FE0" w:rsidRPr="003E5D00">
        <w:t xml:space="preserve"> to 12 years of age with epilepsy.</w:t>
      </w:r>
    </w:p>
    <w:p w14:paraId="16CD2D6C" w14:textId="1730E533" w:rsidR="00DE5FE0" w:rsidRPr="003E5D00" w:rsidRDefault="00DE5FE0" w:rsidP="003E5D00">
      <w:r w:rsidRPr="003E5D00">
        <w:t xml:space="preserve">Subjects were stratified based on age at enrolment: Cohort </w:t>
      </w:r>
      <w:r w:rsidR="00881BAA">
        <w:t xml:space="preserve">1 consisted of subjects 7 to </w:t>
      </w:r>
      <w:r w:rsidR="00881BAA" w:rsidRPr="00881BAA">
        <w:t>12</w:t>
      </w:r>
      <w:r w:rsidR="00881BAA">
        <w:t> </w:t>
      </w:r>
      <w:r w:rsidRPr="00881BAA">
        <w:t>years</w:t>
      </w:r>
      <w:r w:rsidRPr="003E5D00">
        <w:t xml:space="preserve"> of age and cohort 2 consisted of subjects from </w:t>
      </w:r>
      <w:proofErr w:type="gramStart"/>
      <w:r w:rsidRPr="003E5D00">
        <w:t>2</w:t>
      </w:r>
      <w:proofErr w:type="gramEnd"/>
      <w:r w:rsidRPr="003E5D00">
        <w:t xml:space="preserve"> to 7 years of age.</w:t>
      </w:r>
    </w:p>
    <w:p w14:paraId="58544B38" w14:textId="1251AB2D" w:rsidR="00DE5FE0" w:rsidRPr="003E5D00" w:rsidRDefault="00DE5FE0" w:rsidP="003E5D00">
      <w:r w:rsidRPr="003E5D00">
        <w:t>Core study consisted of 2 phases. The pre-treatment phase for up to 2 weeks and treatment phase that consisted of a titration period (</w:t>
      </w:r>
      <w:r w:rsidR="008A2537">
        <w:t>7 weeks), maintenance period (4 </w:t>
      </w:r>
      <w:r w:rsidRPr="003E5D00">
        <w:t>weeks) and follow up period (4 weeks), if not rolling over to the extension phase.</w:t>
      </w:r>
    </w:p>
    <w:p w14:paraId="34D68C05" w14:textId="77777777" w:rsidR="00DE5FE0" w:rsidRPr="003E5D00" w:rsidRDefault="00DE5FE0" w:rsidP="003E5D00">
      <w:r w:rsidRPr="003E5D00">
        <w:t>The</w:t>
      </w:r>
      <w:r w:rsidRPr="003E5D00">
        <w:rPr>
          <w:rStyle w:val="Heading7Char"/>
          <w:rFonts w:eastAsia="Cambria"/>
          <w:sz w:val="22"/>
          <w:szCs w:val="22"/>
        </w:rPr>
        <w:t xml:space="preserve"> primary objective</w:t>
      </w:r>
      <w:r w:rsidRPr="003E5D00">
        <w:t xml:space="preserve"> of the study was to evaluate PK of perampanel in children.</w:t>
      </w:r>
    </w:p>
    <w:p w14:paraId="25C66C24" w14:textId="77777777" w:rsidR="00DE5FE0" w:rsidRPr="003E5D00" w:rsidRDefault="00DE5FE0" w:rsidP="003E5D00">
      <w:r w:rsidRPr="003E5D00">
        <w:t>The</w:t>
      </w:r>
      <w:r w:rsidRPr="003E5D00">
        <w:rPr>
          <w:rStyle w:val="Heading7Char"/>
          <w:rFonts w:eastAsia="Cambria"/>
          <w:sz w:val="22"/>
          <w:szCs w:val="22"/>
        </w:rPr>
        <w:t xml:space="preserve"> secondary objectives</w:t>
      </w:r>
      <w:r w:rsidRPr="003E5D00">
        <w:t xml:space="preserve"> were to evaluate short and </w:t>
      </w:r>
      <w:proofErr w:type="gramStart"/>
      <w:r w:rsidRPr="003E5D00">
        <w:t>long term</w:t>
      </w:r>
      <w:proofErr w:type="gramEnd"/>
      <w:r w:rsidRPr="003E5D00">
        <w:t xml:space="preserve"> safety, tolerability and efficacy of perampanel. The </w:t>
      </w:r>
      <w:proofErr w:type="gramStart"/>
      <w:r w:rsidRPr="003E5D00">
        <w:t>long term</w:t>
      </w:r>
      <w:proofErr w:type="gramEnd"/>
      <w:r w:rsidRPr="003E5D00">
        <w:t xml:space="preserve"> effect of perampanel on growth in children was also evaluated.</w:t>
      </w:r>
    </w:p>
    <w:p w14:paraId="482F7021" w14:textId="6ED3201B" w:rsidR="00DE5FE0" w:rsidRDefault="00DE5FE0" w:rsidP="003E5D00">
      <w:pPr>
        <w:pStyle w:val="Heading6"/>
      </w:pPr>
      <w:r>
        <w:t>Key inclusion criteria</w:t>
      </w:r>
    </w:p>
    <w:p w14:paraId="348397EE" w14:textId="7B8912C4" w:rsidR="003E5D00" w:rsidRPr="003E5D00" w:rsidRDefault="003E5D00" w:rsidP="003E5D00">
      <w:r>
        <w:t>The key inclusion criteria were:</w:t>
      </w:r>
    </w:p>
    <w:p w14:paraId="5EED6DAA" w14:textId="4589AC8A" w:rsidR="00DE5FE0" w:rsidRDefault="00DE5FE0" w:rsidP="003E5D00">
      <w:pPr>
        <w:pStyle w:val="ListBullet"/>
      </w:pPr>
      <w:r>
        <w:t>Children 2 to 12 years of age</w:t>
      </w:r>
      <w:r w:rsidR="008A2537">
        <w:t>.</w:t>
      </w:r>
    </w:p>
    <w:p w14:paraId="5594FE21" w14:textId="384E7411" w:rsidR="00DE5FE0" w:rsidRDefault="00DE5FE0" w:rsidP="003E5D00">
      <w:pPr>
        <w:pStyle w:val="ListBullet"/>
      </w:pPr>
      <w:r>
        <w:t>Diagnosis of epilepsy with any types of seizu</w:t>
      </w:r>
      <w:r w:rsidR="008A2537">
        <w:t>res at least 6 months prior to V</w:t>
      </w:r>
      <w:r>
        <w:t>isit 1 (clinical history and EEG).</w:t>
      </w:r>
    </w:p>
    <w:p w14:paraId="4FE61CFE" w14:textId="26E39D68" w:rsidR="00DE5FE0" w:rsidRDefault="00DE5FE0" w:rsidP="003E5D00">
      <w:pPr>
        <w:pStyle w:val="ListBullet"/>
      </w:pPr>
      <w:r>
        <w:t>At least one seizure during th</w:t>
      </w:r>
      <w:r w:rsidR="008A2537">
        <w:t>e 4 weeks prior to Visit 1.</w:t>
      </w:r>
    </w:p>
    <w:p w14:paraId="49F3106B" w14:textId="3B6ACC5F" w:rsidR="00DE5FE0" w:rsidRDefault="008A2537" w:rsidP="003E5D00">
      <w:pPr>
        <w:pStyle w:val="ListBullet"/>
      </w:pPr>
      <w:r>
        <w:t>Brain computed tomography or magnetic resonance imaging</w:t>
      </w:r>
      <w:r w:rsidR="00DE5FE0">
        <w:t xml:space="preserve"> to rule out a progressive cause of epilepsy</w:t>
      </w:r>
      <w:r>
        <w:t>.</w:t>
      </w:r>
    </w:p>
    <w:p w14:paraId="0CC9B20A" w14:textId="2F4AB131" w:rsidR="00DE5FE0" w:rsidRPr="00EF1035" w:rsidRDefault="008A2537" w:rsidP="003E5D00">
      <w:pPr>
        <w:pStyle w:val="ListBullet"/>
      </w:pPr>
      <w:r>
        <w:t>Treated with one to three</w:t>
      </w:r>
      <w:r w:rsidR="00DE5FE0">
        <w:t xml:space="preserve"> concurrent AEDs prior to Visit 1 and throughout the study duration. Subjects needed to have been on their current concomitant AED regimen for 2 months or more, with a stable dose for at least 4 weeks prior to Visit 1.</w:t>
      </w:r>
    </w:p>
    <w:p w14:paraId="30BFE2F4" w14:textId="04FA3555" w:rsidR="00DE5FE0" w:rsidRDefault="00DE5FE0" w:rsidP="003E5D00">
      <w:pPr>
        <w:pStyle w:val="ListBullet"/>
      </w:pPr>
      <w:r>
        <w:t xml:space="preserve">Only one of the three AEDs </w:t>
      </w:r>
      <w:r w:rsidRPr="00EF1035">
        <w:t>could be an enzyme-inducing AED (such as carbamazepine, oxcarbazepine, or phenytoin).</w:t>
      </w:r>
    </w:p>
    <w:p w14:paraId="0DDCA7FE" w14:textId="2891C26C" w:rsidR="003E5D00" w:rsidRDefault="003E5D00" w:rsidP="003E5D00">
      <w:pPr>
        <w:pStyle w:val="Heading6"/>
      </w:pPr>
      <w:r>
        <w:t>Key exclusion criteria</w:t>
      </w:r>
    </w:p>
    <w:p w14:paraId="4C7282C2" w14:textId="5A7CC1D0" w:rsidR="00DE5FE0" w:rsidRDefault="00DE5FE0" w:rsidP="003E5D00">
      <w:r>
        <w:t>The exclus</w:t>
      </w:r>
      <w:r w:rsidR="008A2537">
        <w:t>ion criteria were identical to S</w:t>
      </w:r>
      <w:r>
        <w:t>tudy 311.</w:t>
      </w:r>
    </w:p>
    <w:p w14:paraId="600F1754" w14:textId="77777777" w:rsidR="00DE5FE0" w:rsidRPr="00C61207" w:rsidRDefault="00DE5FE0" w:rsidP="003E5D00">
      <w:pPr>
        <w:pStyle w:val="Heading6"/>
      </w:pPr>
      <w:r w:rsidRPr="00C61207">
        <w:lastRenderedPageBreak/>
        <w:t>Study treatments</w:t>
      </w:r>
    </w:p>
    <w:p w14:paraId="3DFEDCF7" w14:textId="63D14B7D" w:rsidR="00DE5FE0" w:rsidRPr="00C61207" w:rsidRDefault="00C61207" w:rsidP="003E5D00">
      <w:r w:rsidRPr="00C61207">
        <w:t>Perampanel 0.5</w:t>
      </w:r>
      <w:r>
        <w:t xml:space="preserve"> </w:t>
      </w:r>
      <w:r w:rsidRPr="00C61207">
        <w:t>mg/mL</w:t>
      </w:r>
      <w:r w:rsidR="00DE5FE0" w:rsidRPr="00C61207">
        <w:t xml:space="preserve"> oral suspension was administered once daily at bedtime.</w:t>
      </w:r>
    </w:p>
    <w:p w14:paraId="756FB556" w14:textId="24E0155A" w:rsidR="00DE5FE0" w:rsidRPr="00C61207" w:rsidRDefault="00DE5FE0" w:rsidP="003E5D00">
      <w:r w:rsidRPr="00C61207">
        <w:t xml:space="preserve">Subjects were started with a daily dose of 0.015 mg/kg of perampanel once daily during titration period and the doses were </w:t>
      </w:r>
      <w:proofErr w:type="gramStart"/>
      <w:r w:rsidRPr="00C61207">
        <w:t>up-titrated</w:t>
      </w:r>
      <w:proofErr w:type="gramEnd"/>
      <w:r w:rsidRPr="00C61207">
        <w:t xml:space="preserve"> at 1 week intervals to a maximum daily dose of 0.18 mg/kg or until the maximum tolerability dose was reached. The maximum dose </w:t>
      </w:r>
      <w:r w:rsidR="00C61207">
        <w:t xml:space="preserve">was then continued during the 4 </w:t>
      </w:r>
      <w:r w:rsidRPr="00C61207">
        <w:t xml:space="preserve">week </w:t>
      </w:r>
      <w:r w:rsidR="00C61207">
        <w:t xml:space="preserve">maintenance period and the </w:t>
      </w:r>
      <w:proofErr w:type="gramStart"/>
      <w:r w:rsidR="00C61207">
        <w:t xml:space="preserve">4 </w:t>
      </w:r>
      <w:r w:rsidRPr="00C61207">
        <w:t>week</w:t>
      </w:r>
      <w:proofErr w:type="gramEnd"/>
      <w:r w:rsidRPr="00C61207">
        <w:t xml:space="preserve"> follow up period.</w:t>
      </w:r>
    </w:p>
    <w:p w14:paraId="598C9AA1" w14:textId="7F2382DE" w:rsidR="00DE5FE0" w:rsidRDefault="00DE5FE0" w:rsidP="003E5D00">
      <w:r w:rsidRPr="00C61207">
        <w:t>The effica</w:t>
      </w:r>
      <w:r w:rsidR="00C61207">
        <w:t>cy endpoints were identical to S</w:t>
      </w:r>
      <w:r w:rsidRPr="00C61207">
        <w:t xml:space="preserve">tudy 311. The seizure-free status </w:t>
      </w:r>
      <w:proofErr w:type="gramStart"/>
      <w:r w:rsidRPr="00C61207">
        <w:t>was defined</w:t>
      </w:r>
      <w:proofErr w:type="gramEnd"/>
      <w:r w:rsidRPr="00C61207">
        <w:t xml:space="preserve"> based on absence o</w:t>
      </w:r>
      <w:r w:rsidR="00C61207">
        <w:t>f any seizure during the 4 weeks</w:t>
      </w:r>
      <w:r w:rsidRPr="00C61207">
        <w:t xml:space="preserve"> follow-up period. The evaluator has highlighted this period as very short to conclude a subject as seizure free, due to the natural variability in the pattern of occurrence of seizures. The short time period for the maintenance phase of the study </w:t>
      </w:r>
      <w:proofErr w:type="gramStart"/>
      <w:r w:rsidRPr="00C61207">
        <w:t>was also noted</w:t>
      </w:r>
      <w:proofErr w:type="gramEnd"/>
      <w:r w:rsidRPr="00C61207">
        <w:t>.</w:t>
      </w:r>
    </w:p>
    <w:p w14:paraId="0214EC08" w14:textId="77777777" w:rsidR="00DE5FE0" w:rsidRDefault="00DE5FE0" w:rsidP="003E5D00">
      <w:r>
        <w:t xml:space="preserve">No formal statistical tests </w:t>
      </w:r>
      <w:proofErr w:type="gramStart"/>
      <w:r>
        <w:t>were conducted</w:t>
      </w:r>
      <w:proofErr w:type="gramEnd"/>
      <w:r>
        <w:t xml:space="preserve">. Summary statistics </w:t>
      </w:r>
      <w:proofErr w:type="gramStart"/>
      <w:r>
        <w:t>was used</w:t>
      </w:r>
      <w:proofErr w:type="gramEnd"/>
      <w:r>
        <w:t xml:space="preserve"> to display efficacy parameters. PK and preliminary safety data </w:t>
      </w:r>
      <w:proofErr w:type="gramStart"/>
      <w:r>
        <w:t>were evaluated and described</w:t>
      </w:r>
      <w:proofErr w:type="gramEnd"/>
      <w:r>
        <w:t>.</w:t>
      </w:r>
    </w:p>
    <w:p w14:paraId="77AFA4B4" w14:textId="77777777" w:rsidR="00DE5FE0" w:rsidRDefault="00DE5FE0" w:rsidP="003E5D00">
      <w:r>
        <w:t xml:space="preserve">A sample size of 24 </w:t>
      </w:r>
      <w:proofErr w:type="gramStart"/>
      <w:r>
        <w:t>was considered</w:t>
      </w:r>
      <w:proofErr w:type="gramEnd"/>
      <w:r>
        <w:t xml:space="preserve"> adequate for the initial exploration of PK profile of perampanel.</w:t>
      </w:r>
    </w:p>
    <w:p w14:paraId="284E7745" w14:textId="77777777" w:rsidR="00DE5FE0" w:rsidRDefault="00DE5FE0" w:rsidP="003E5D00">
      <w:pPr>
        <w:pStyle w:val="Heading6"/>
      </w:pPr>
      <w:r>
        <w:t>Baseline characteristics</w:t>
      </w:r>
    </w:p>
    <w:p w14:paraId="65424F6E" w14:textId="4B63F3C7" w:rsidR="00DE5FE0" w:rsidRDefault="00DE5FE0" w:rsidP="003E5D00">
      <w:r w:rsidRPr="00BB2567">
        <w:t xml:space="preserve">Mean and median ages in the </w:t>
      </w:r>
      <w:r w:rsidR="00C61207" w:rsidRPr="00BB2567">
        <w:t>younger cohort w</w:t>
      </w:r>
      <w:r w:rsidRPr="00BB2567">
        <w:t xml:space="preserve">ere 4.5 years and 5 years, respectively. The number of subjects </w:t>
      </w:r>
      <w:r>
        <w:t>aged ≤</w:t>
      </w:r>
      <w:r w:rsidR="00C61207">
        <w:t xml:space="preserve"> </w:t>
      </w:r>
      <w:r>
        <w:t>3 was low: there were</w:t>
      </w:r>
      <w:r w:rsidR="00C61207">
        <w:t xml:space="preserve"> two 2 year olds, and three 3 year </w:t>
      </w:r>
      <w:r w:rsidRPr="00BB2567">
        <w:t>olds.</w:t>
      </w:r>
      <w:r>
        <w:t xml:space="preserve"> </w:t>
      </w:r>
      <w:proofErr w:type="gramStart"/>
      <w:r>
        <w:t>68%</w:t>
      </w:r>
      <w:proofErr w:type="gramEnd"/>
      <w:r>
        <w:t xml:space="preserve"> of </w:t>
      </w:r>
      <w:r w:rsidR="00C61207">
        <w:t xml:space="preserve">the </w:t>
      </w:r>
      <w:r>
        <w:t>subjects were males.</w:t>
      </w:r>
    </w:p>
    <w:p w14:paraId="3BEE2619" w14:textId="76E804DF" w:rsidR="00DE5FE0" w:rsidRDefault="00C61207" w:rsidP="003E5D00">
      <w:r>
        <w:t xml:space="preserve">Across Cohort 1 (2 to </w:t>
      </w:r>
      <w:r w:rsidR="00DE5FE0">
        <w:t>7years</w:t>
      </w:r>
      <w:r>
        <w:t xml:space="preserve"> of age) and Cohort 2 (7 to </w:t>
      </w:r>
      <w:r w:rsidR="00DE5FE0">
        <w:t xml:space="preserve">12 years), 84% </w:t>
      </w:r>
      <w:r>
        <w:t>of subjects had focal seizures.</w:t>
      </w:r>
    </w:p>
    <w:p w14:paraId="3A385F94" w14:textId="0FDF2D0C" w:rsidR="00DE5FE0" w:rsidRDefault="00DE5FE0" w:rsidP="00C61207">
      <w:pPr>
        <w:pStyle w:val="TableTitle"/>
      </w:pPr>
      <w:bookmarkStart w:id="61" w:name="_Ref67904592"/>
      <w:bookmarkStart w:id="62" w:name="_Toc55303376"/>
      <w:r>
        <w:lastRenderedPageBreak/>
        <w:t xml:space="preserve">Table </w:t>
      </w:r>
      <w:fldSimple w:instr=" SEQ Table \* ARABIC ">
        <w:r w:rsidR="004C6771">
          <w:rPr>
            <w:noProof/>
          </w:rPr>
          <w:t>8</w:t>
        </w:r>
      </w:fldSimple>
      <w:bookmarkEnd w:id="61"/>
      <w:r>
        <w:t xml:space="preserve">: </w:t>
      </w:r>
      <w:r w:rsidR="00C61207">
        <w:t xml:space="preserve">Study 232 </w:t>
      </w:r>
      <w:r>
        <w:t>Baseline characteristics</w:t>
      </w:r>
      <w:bookmarkEnd w:id="62"/>
    </w:p>
    <w:p w14:paraId="1FB78A15" w14:textId="77777777" w:rsidR="00DE5FE0" w:rsidRDefault="00DE5FE0" w:rsidP="00C61207">
      <w:pPr>
        <w:rPr>
          <w:rFonts w:asciiTheme="minorHAnsi" w:hAnsiTheme="minorHAnsi"/>
        </w:rPr>
      </w:pPr>
      <w:r>
        <w:rPr>
          <w:noProof/>
          <w:lang w:eastAsia="en-AU"/>
        </w:rPr>
        <w:drawing>
          <wp:inline distT="0" distB="0" distL="0" distR="0" wp14:anchorId="518AB1F7" wp14:editId="2B47FAC0">
            <wp:extent cx="5403272" cy="6867910"/>
            <wp:effectExtent l="0" t="0" r="6985" b="9525"/>
            <wp:docPr id="24" name="Picture 24" descr="Study 232 Baselin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17992" cy="6886620"/>
                    </a:xfrm>
                    <a:prstGeom prst="rect">
                      <a:avLst/>
                    </a:prstGeom>
                    <a:noFill/>
                    <a:ln>
                      <a:noFill/>
                    </a:ln>
                  </pic:spPr>
                </pic:pic>
              </a:graphicData>
            </a:graphic>
          </wp:inline>
        </w:drawing>
      </w:r>
    </w:p>
    <w:p w14:paraId="2AFCEA57" w14:textId="4DC2B1D9" w:rsidR="00DE5FE0" w:rsidRDefault="00761F1A" w:rsidP="00761F1A">
      <w:pPr>
        <w:pStyle w:val="TableTitle"/>
        <w:rPr>
          <w:rFonts w:asciiTheme="minorHAnsi" w:hAnsiTheme="minorHAnsi"/>
        </w:rPr>
      </w:pPr>
      <w:r>
        <w:rPr>
          <w:rFonts w:asciiTheme="minorHAnsi" w:hAnsiTheme="minorHAnsi"/>
        </w:rPr>
        <w:lastRenderedPageBreak/>
        <w:fldChar w:fldCharType="begin"/>
      </w:r>
      <w:r>
        <w:rPr>
          <w:rFonts w:asciiTheme="minorHAnsi" w:hAnsiTheme="minorHAnsi"/>
        </w:rPr>
        <w:instrText xml:space="preserve"> REF _Ref67904592 \h  \* MERGEFORMAT </w:instrText>
      </w:r>
      <w:r>
        <w:rPr>
          <w:rFonts w:asciiTheme="minorHAnsi" w:hAnsiTheme="minorHAnsi"/>
        </w:rPr>
      </w:r>
      <w:r>
        <w:rPr>
          <w:rFonts w:asciiTheme="minorHAnsi" w:hAnsiTheme="minorHAnsi"/>
        </w:rPr>
        <w:fldChar w:fldCharType="separate"/>
      </w:r>
      <w:r w:rsidR="004C6771">
        <w:t xml:space="preserve">Table </w:t>
      </w:r>
      <w:r w:rsidR="004C6771">
        <w:rPr>
          <w:noProof/>
        </w:rPr>
        <w:t>8</w:t>
      </w:r>
      <w:r>
        <w:rPr>
          <w:rFonts w:asciiTheme="minorHAnsi" w:hAnsiTheme="minorHAnsi"/>
        </w:rPr>
        <w:fldChar w:fldCharType="end"/>
      </w:r>
      <w:r>
        <w:rPr>
          <w:rFonts w:asciiTheme="minorHAnsi" w:hAnsiTheme="minorHAnsi"/>
        </w:rPr>
        <w:t xml:space="preserve"> (continued): </w:t>
      </w:r>
      <w:r>
        <w:t>Study 232 Baseline characteristics</w:t>
      </w:r>
    </w:p>
    <w:p w14:paraId="586AF0A8" w14:textId="32EFCEBC" w:rsidR="00DE5FE0" w:rsidRDefault="00DE5FE0" w:rsidP="003E5D00">
      <w:pPr>
        <w:rPr>
          <w:rFonts w:asciiTheme="minorHAnsi" w:hAnsiTheme="minorHAnsi"/>
        </w:rPr>
      </w:pPr>
      <w:r>
        <w:rPr>
          <w:noProof/>
          <w:lang w:eastAsia="en-AU"/>
        </w:rPr>
        <w:drawing>
          <wp:inline distT="0" distB="0" distL="0" distR="0" wp14:anchorId="5F7733FD" wp14:editId="1F961222">
            <wp:extent cx="5397335" cy="5420669"/>
            <wp:effectExtent l="0" t="0" r="0" b="8890"/>
            <wp:docPr id="25" name="Picture 25" descr="Study 232 Baselin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37405" cy="5460913"/>
                    </a:xfrm>
                    <a:prstGeom prst="rect">
                      <a:avLst/>
                    </a:prstGeom>
                    <a:noFill/>
                    <a:ln>
                      <a:noFill/>
                    </a:ln>
                  </pic:spPr>
                </pic:pic>
              </a:graphicData>
            </a:graphic>
          </wp:inline>
        </w:drawing>
      </w:r>
    </w:p>
    <w:p w14:paraId="460A5575" w14:textId="66ACC836" w:rsidR="003E5D00" w:rsidRDefault="003E5D00" w:rsidP="003E5D00">
      <w:pPr>
        <w:pStyle w:val="Heading6"/>
      </w:pPr>
      <w:r>
        <w:t>Results</w:t>
      </w:r>
    </w:p>
    <w:p w14:paraId="199F4629" w14:textId="57E6A30F" w:rsidR="00DE5FE0" w:rsidRPr="005834D1" w:rsidRDefault="00DE5FE0" w:rsidP="003E5D00">
      <w:pPr>
        <w:pStyle w:val="Heading7"/>
        <w:rPr>
          <w:sz w:val="22"/>
        </w:rPr>
      </w:pPr>
      <w:r w:rsidRPr="005834D1">
        <w:rPr>
          <w:sz w:val="22"/>
        </w:rPr>
        <w:t>Seizure frequency</w:t>
      </w:r>
    </w:p>
    <w:p w14:paraId="0E53404E" w14:textId="7F650B5C" w:rsidR="00DE5FE0" w:rsidRDefault="00DE5FE0" w:rsidP="003E5D00">
      <w:r>
        <w:t xml:space="preserve">There was a reduction in the median number of seizure </w:t>
      </w:r>
      <w:r w:rsidR="00761F1A">
        <w:t>events in the POS group across C</w:t>
      </w:r>
      <w:r>
        <w:t xml:space="preserve">ohorts 1 and 2. The magnitude </w:t>
      </w:r>
      <w:r w:rsidR="00761F1A">
        <w:t>of reduction was comparable to S</w:t>
      </w:r>
      <w:r>
        <w:t>tudy 311.</w:t>
      </w:r>
    </w:p>
    <w:p w14:paraId="2AD6A6A9" w14:textId="43E8D6E6" w:rsidR="00DE5FE0" w:rsidRDefault="00761F1A" w:rsidP="003E5D00">
      <w:r>
        <w:t>The PGTCS group in C</w:t>
      </w:r>
      <w:r w:rsidR="00DE5FE0">
        <w:t>ohort 1 experienced a reduction in seizure frequency, while there was an increased inci</w:t>
      </w:r>
      <w:r>
        <w:t>dence of seizure events in Cohort 2.</w:t>
      </w:r>
    </w:p>
    <w:p w14:paraId="15EF7309" w14:textId="7AC9486A" w:rsidR="00DE5FE0" w:rsidRDefault="00DE5FE0" w:rsidP="003E5D00">
      <w:r>
        <w:t>The evaluator has highlighted that the short study period, low number of participants and the unblinded study design limits the ability to make any conclusion regarding efficacy of perampane</w:t>
      </w:r>
      <w:r w:rsidR="003E5D00">
        <w:t>l.</w:t>
      </w:r>
    </w:p>
    <w:p w14:paraId="1E1CD65F" w14:textId="71EACF1A" w:rsidR="00DE5FE0" w:rsidRDefault="00DE5FE0" w:rsidP="00761F1A">
      <w:pPr>
        <w:pStyle w:val="TableTitle"/>
      </w:pPr>
      <w:bookmarkStart w:id="63" w:name="_Toc55303377"/>
      <w:r>
        <w:lastRenderedPageBreak/>
        <w:t xml:space="preserve">Table </w:t>
      </w:r>
      <w:fldSimple w:instr=" SEQ Table \* ARABIC ">
        <w:r w:rsidR="004C6771">
          <w:rPr>
            <w:noProof/>
          </w:rPr>
          <w:t>9</w:t>
        </w:r>
      </w:fldSimple>
      <w:r w:rsidR="00761F1A">
        <w:t>: Change in seizure frequency,</w:t>
      </w:r>
      <w:r>
        <w:t xml:space="preserve"> </w:t>
      </w:r>
      <w:r w:rsidR="00761F1A">
        <w:t>partial-onset seizure</w:t>
      </w:r>
      <w:r>
        <w:t xml:space="preserve"> cohort</w:t>
      </w:r>
      <w:bookmarkEnd w:id="63"/>
    </w:p>
    <w:p w14:paraId="5358B388" w14:textId="48A1C51E" w:rsidR="00DE5FE0" w:rsidRDefault="00DE5FE0" w:rsidP="003E5D00">
      <w:pPr>
        <w:rPr>
          <w:rFonts w:asciiTheme="minorHAnsi" w:hAnsiTheme="minorHAnsi"/>
        </w:rPr>
      </w:pPr>
      <w:r>
        <w:rPr>
          <w:noProof/>
          <w:lang w:eastAsia="en-AU"/>
        </w:rPr>
        <w:drawing>
          <wp:inline distT="0" distB="0" distL="0" distR="0" wp14:anchorId="0C7363C1" wp14:editId="01EDA583">
            <wp:extent cx="5385459" cy="2327058"/>
            <wp:effectExtent l="0" t="0" r="5715" b="0"/>
            <wp:docPr id="26" name="Picture 26" descr="Change in seizure frequency, partial-onset seizure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39634" cy="2350467"/>
                    </a:xfrm>
                    <a:prstGeom prst="rect">
                      <a:avLst/>
                    </a:prstGeom>
                    <a:noFill/>
                    <a:ln>
                      <a:noFill/>
                    </a:ln>
                  </pic:spPr>
                </pic:pic>
              </a:graphicData>
            </a:graphic>
          </wp:inline>
        </w:drawing>
      </w:r>
    </w:p>
    <w:p w14:paraId="0113D896" w14:textId="59DF2ED6" w:rsidR="00761F1A" w:rsidRDefault="00761F1A" w:rsidP="00761F1A">
      <w:pPr>
        <w:pStyle w:val="TableDescription"/>
      </w:pPr>
      <w:r>
        <w:t>LOCF = l</w:t>
      </w:r>
      <w:r w:rsidR="00881BAA">
        <w:t>ast observation carried forward; Max = maximum; Min = minimum; SD = standard deviation.</w:t>
      </w:r>
    </w:p>
    <w:p w14:paraId="0CEC4B04" w14:textId="768782DE" w:rsidR="00DE5FE0" w:rsidRDefault="00DE5FE0" w:rsidP="00761F1A">
      <w:pPr>
        <w:pStyle w:val="TableTitle"/>
      </w:pPr>
      <w:bookmarkStart w:id="64" w:name="_Toc55303378"/>
      <w:r>
        <w:t xml:space="preserve">Table </w:t>
      </w:r>
      <w:fldSimple w:instr=" SEQ Table \* ARABIC ">
        <w:r w:rsidR="004C6771">
          <w:rPr>
            <w:noProof/>
          </w:rPr>
          <w:t>10</w:t>
        </w:r>
      </w:fldSimple>
      <w:r w:rsidR="00761F1A">
        <w:t>: Change in seizure frequency, primary generalised tonic-clonic seizure</w:t>
      </w:r>
      <w:r>
        <w:t xml:space="preserve"> cohort</w:t>
      </w:r>
      <w:bookmarkEnd w:id="64"/>
    </w:p>
    <w:p w14:paraId="3A59668E" w14:textId="4286885B" w:rsidR="00DE5FE0" w:rsidRDefault="00DE5FE0" w:rsidP="003E5D00">
      <w:pPr>
        <w:rPr>
          <w:rFonts w:asciiTheme="minorHAnsi" w:hAnsiTheme="minorHAnsi"/>
        </w:rPr>
      </w:pPr>
      <w:r>
        <w:rPr>
          <w:noProof/>
          <w:lang w:eastAsia="en-AU"/>
        </w:rPr>
        <w:drawing>
          <wp:inline distT="0" distB="0" distL="0" distR="0" wp14:anchorId="7CE7955E" wp14:editId="53508DF9">
            <wp:extent cx="5362666" cy="2309751"/>
            <wp:effectExtent l="0" t="0" r="0" b="0"/>
            <wp:docPr id="27" name="Picture 27" descr="Change in seizure frequency, primary generalised tonic-clonic seizure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12350" cy="2331150"/>
                    </a:xfrm>
                    <a:prstGeom prst="rect">
                      <a:avLst/>
                    </a:prstGeom>
                    <a:noFill/>
                    <a:ln>
                      <a:noFill/>
                    </a:ln>
                  </pic:spPr>
                </pic:pic>
              </a:graphicData>
            </a:graphic>
          </wp:inline>
        </w:drawing>
      </w:r>
    </w:p>
    <w:p w14:paraId="3E29E666" w14:textId="531A4ACC" w:rsidR="00881BAA" w:rsidRPr="00881BAA" w:rsidRDefault="00881BAA" w:rsidP="00881BAA">
      <w:pPr>
        <w:pStyle w:val="TableDescription"/>
      </w:pPr>
      <w:r>
        <w:t>LOCF = last observation carried forward; Max = maximum; Min = minimum; SD = standard deviation.</w:t>
      </w:r>
    </w:p>
    <w:p w14:paraId="12C02B62" w14:textId="77777777" w:rsidR="00DE5FE0" w:rsidRPr="005834D1" w:rsidRDefault="00DE5FE0" w:rsidP="003E5D00">
      <w:pPr>
        <w:pStyle w:val="Heading7"/>
        <w:rPr>
          <w:sz w:val="22"/>
        </w:rPr>
      </w:pPr>
      <w:r w:rsidRPr="005834D1">
        <w:rPr>
          <w:sz w:val="22"/>
        </w:rPr>
        <w:t>Response rate</w:t>
      </w:r>
    </w:p>
    <w:p w14:paraId="714D0140" w14:textId="6B73D3DB" w:rsidR="00DE5FE0" w:rsidRDefault="00DE5FE0" w:rsidP="003E5D00">
      <w:r>
        <w:t>T</w:t>
      </w:r>
      <w:r w:rsidR="00761F1A">
        <w:t>he r</w:t>
      </w:r>
      <w:r w:rsidRPr="00036817">
        <w:t xml:space="preserve">esponse rates were 59.1% in the total population, 76.2% in the </w:t>
      </w:r>
      <w:r w:rsidR="00761F1A" w:rsidRPr="00036817">
        <w:t>younger cohort</w:t>
      </w:r>
      <w:r w:rsidRPr="00036817">
        <w:t xml:space="preserve">, and 43.5% in </w:t>
      </w:r>
      <w:r w:rsidR="00761F1A" w:rsidRPr="00036817">
        <w:t>the older cohort</w:t>
      </w:r>
      <w:r w:rsidRPr="00036817">
        <w:t>.</w:t>
      </w:r>
    </w:p>
    <w:p w14:paraId="3235EC5C" w14:textId="77777777" w:rsidR="00DE5FE0" w:rsidRPr="005834D1" w:rsidRDefault="00DE5FE0" w:rsidP="003E5D00">
      <w:pPr>
        <w:pStyle w:val="Heading7"/>
        <w:rPr>
          <w:sz w:val="22"/>
        </w:rPr>
      </w:pPr>
      <w:r w:rsidRPr="005834D1">
        <w:rPr>
          <w:sz w:val="22"/>
        </w:rPr>
        <w:t>Seizure-free rate</w:t>
      </w:r>
    </w:p>
    <w:p w14:paraId="59B965DA" w14:textId="20C4B80F" w:rsidR="00DE5FE0" w:rsidRDefault="00DE5FE0" w:rsidP="003E5D00">
      <w:r>
        <w:t>Around 21% of subjects were seizure free afte</w:t>
      </w:r>
      <w:r w:rsidR="00761F1A">
        <w:t>r 11 weeks of the treatment period.</w:t>
      </w:r>
    </w:p>
    <w:p w14:paraId="388553A2" w14:textId="27D803D9" w:rsidR="00DE5FE0" w:rsidRPr="005834D1" w:rsidRDefault="00761F1A" w:rsidP="003E5D00">
      <w:pPr>
        <w:pStyle w:val="Heading7"/>
        <w:rPr>
          <w:sz w:val="22"/>
        </w:rPr>
      </w:pPr>
      <w:r w:rsidRPr="005834D1">
        <w:rPr>
          <w:sz w:val="22"/>
        </w:rPr>
        <w:t>Clinical Global Impression of Change</w:t>
      </w:r>
      <w:r w:rsidR="00DE5FE0" w:rsidRPr="005834D1">
        <w:rPr>
          <w:sz w:val="22"/>
        </w:rPr>
        <w:t xml:space="preserve"> score</w:t>
      </w:r>
    </w:p>
    <w:p w14:paraId="6DE635DB" w14:textId="43BC8F54" w:rsidR="00DE5FE0" w:rsidRDefault="00761F1A" w:rsidP="003E5D00">
      <w:pPr>
        <w:rPr>
          <w:rFonts w:asciiTheme="minorHAnsi" w:hAnsiTheme="minorHAnsi"/>
        </w:rPr>
      </w:pPr>
      <w:r>
        <w:t>At B</w:t>
      </w:r>
      <w:r w:rsidR="00DE5FE0">
        <w:t xml:space="preserve">aseline, 36.0% of subjects responded </w:t>
      </w:r>
      <w:r w:rsidR="00DE5FE0" w:rsidRPr="009C007F">
        <w:t>as either normal (not at all ill) or mildly ill</w:t>
      </w:r>
      <w:r w:rsidR="00DE5FE0">
        <w:t xml:space="preserve"> and 42.9% of </w:t>
      </w:r>
      <w:r w:rsidR="00DE5FE0" w:rsidRPr="009C007F">
        <w:t>subjec</w:t>
      </w:r>
      <w:r w:rsidR="00DE5FE0">
        <w:t>ts were moderately ill, and 20.0% of</w:t>
      </w:r>
      <w:r w:rsidR="00DE5FE0" w:rsidRPr="009C007F">
        <w:t xml:space="preserve"> subje</w:t>
      </w:r>
      <w:r w:rsidR="00DE5FE0">
        <w:t xml:space="preserve">cts were either markedly ill or </w:t>
      </w:r>
      <w:r w:rsidR="00DE5FE0" w:rsidRPr="009C007F">
        <w:t>severely ill</w:t>
      </w:r>
      <w:r w:rsidR="00DE5FE0">
        <w:t>. After 11 weeks of treatment, around 60% of subjects repor</w:t>
      </w:r>
      <w:r>
        <w:t>ted ‘much improved’, compared to B</w:t>
      </w:r>
      <w:r w:rsidR="00DE5FE0">
        <w:t>aseline.</w:t>
      </w:r>
    </w:p>
    <w:p w14:paraId="33AD01C1" w14:textId="5A2B12F6" w:rsidR="00DE5FE0" w:rsidRPr="003E5D00" w:rsidRDefault="00761F1A" w:rsidP="003E5D00">
      <w:pPr>
        <w:pStyle w:val="Heading5"/>
      </w:pPr>
      <w:r>
        <w:t xml:space="preserve">Study 311 </w:t>
      </w:r>
      <w:r w:rsidR="006A0229">
        <w:t>(</w:t>
      </w:r>
      <w:r>
        <w:t>Extension P</w:t>
      </w:r>
      <w:r w:rsidR="00DE5FE0" w:rsidRPr="003E5D00">
        <w:t>hase A</w:t>
      </w:r>
      <w:r w:rsidR="006A0229">
        <w:t>)</w:t>
      </w:r>
    </w:p>
    <w:p w14:paraId="0F2911DF" w14:textId="244B669D" w:rsidR="00DE5FE0" w:rsidRPr="00547FC3" w:rsidRDefault="00DE5FE0" w:rsidP="00DE5FE0">
      <w:r>
        <w:t xml:space="preserve">The extension phase </w:t>
      </w:r>
      <w:proofErr w:type="gramStart"/>
      <w:r>
        <w:t>was primarily desi</w:t>
      </w:r>
      <w:r w:rsidR="00761F1A">
        <w:t>gned</w:t>
      </w:r>
      <w:proofErr w:type="gramEnd"/>
      <w:r w:rsidR="00761F1A">
        <w:t xml:space="preserve"> to monitor safety events (d</w:t>
      </w:r>
      <w:r>
        <w:t xml:space="preserve">emographic details and baseline characteristics are described in </w:t>
      </w:r>
      <w:r w:rsidR="005F461C">
        <w:t xml:space="preserve">the </w:t>
      </w:r>
      <w:r w:rsidR="005F461C" w:rsidRPr="005F461C">
        <w:rPr>
          <w:i/>
        </w:rPr>
        <w:t>Safety: ‘</w:t>
      </w:r>
      <w:r w:rsidR="005F461C" w:rsidRPr="005F461C">
        <w:rPr>
          <w:i/>
        </w:rPr>
        <w:fldChar w:fldCharType="begin"/>
      </w:r>
      <w:r w:rsidR="005F461C" w:rsidRPr="005F461C">
        <w:rPr>
          <w:i/>
        </w:rPr>
        <w:instrText xml:space="preserve"> REF _Ref67905164 \h </w:instrText>
      </w:r>
      <w:r w:rsidR="005F461C">
        <w:rPr>
          <w:i/>
        </w:rPr>
        <w:instrText xml:space="preserve"> \* MERGEFORMAT </w:instrText>
      </w:r>
      <w:r w:rsidR="005F461C" w:rsidRPr="005F461C">
        <w:rPr>
          <w:i/>
        </w:rPr>
      </w:r>
      <w:r w:rsidR="005F461C" w:rsidRPr="005F461C">
        <w:rPr>
          <w:i/>
        </w:rPr>
        <w:fldChar w:fldCharType="separate"/>
      </w:r>
      <w:r w:rsidR="004C6771" w:rsidRPr="004C6771">
        <w:rPr>
          <w:i/>
        </w:rPr>
        <w:t>Study 311 (Extension A)</w:t>
      </w:r>
      <w:r w:rsidR="005F461C" w:rsidRPr="005F461C">
        <w:rPr>
          <w:i/>
        </w:rPr>
        <w:fldChar w:fldCharType="end"/>
      </w:r>
      <w:r w:rsidR="005F461C">
        <w:t>’ section, below</w:t>
      </w:r>
      <w:r>
        <w:t xml:space="preserve">). The very low number of subjects in PGTCS cohort limits the ability to make any conclusions regarding </w:t>
      </w:r>
      <w:r w:rsidR="005F461C">
        <w:t>long-term</w:t>
      </w:r>
      <w:r>
        <w:t xml:space="preserve"> efficacy. The efficacy outcomes were described </w:t>
      </w:r>
      <w:r>
        <w:lastRenderedPageBreak/>
        <w:t>over a</w:t>
      </w:r>
      <w:r w:rsidR="005F461C">
        <w:t xml:space="preserve"> </w:t>
      </w:r>
      <w:proofErr w:type="gramStart"/>
      <w:r w:rsidR="005F461C">
        <w:t>time period</w:t>
      </w:r>
      <w:proofErr w:type="gramEnd"/>
      <w:r w:rsidR="005F461C">
        <w:t xml:space="preserve"> of eight weeks (for example, W</w:t>
      </w:r>
      <w:r>
        <w:t>eek 40 to 52), which is differe</w:t>
      </w:r>
      <w:r w:rsidR="005F461C">
        <w:t>nt to the reported outcomes at Week 23 in the core S</w:t>
      </w:r>
      <w:r w:rsidR="00251324">
        <w:t>tudy 311. Hence, the Delegate</w:t>
      </w:r>
      <w:r>
        <w:t xml:space="preserve"> is unable to compare the efficacy outcomes between the </w:t>
      </w:r>
      <w:r w:rsidR="005F461C">
        <w:t>Extension Phase and the c</w:t>
      </w:r>
      <w:r>
        <w:t xml:space="preserve">ore study. The sponsor </w:t>
      </w:r>
      <w:proofErr w:type="gramStart"/>
      <w:r>
        <w:t>is requested</w:t>
      </w:r>
      <w:proofErr w:type="gramEnd"/>
      <w:r>
        <w:t xml:space="preserve"> to provide ana</w:t>
      </w:r>
      <w:r w:rsidR="005F461C">
        <w:t>lysis consistent with the core S</w:t>
      </w:r>
      <w:r>
        <w:t>tudy 311</w:t>
      </w:r>
      <w:r w:rsidR="005F461C">
        <w:t xml:space="preserve"> (see ‘</w:t>
      </w:r>
      <w:r w:rsidR="005F461C" w:rsidRPr="005F461C">
        <w:rPr>
          <w:i/>
        </w:rPr>
        <w:fldChar w:fldCharType="begin"/>
      </w:r>
      <w:r w:rsidR="005F461C" w:rsidRPr="005F461C">
        <w:rPr>
          <w:i/>
        </w:rPr>
        <w:instrText xml:space="preserve"> REF _Ref67648671 \h </w:instrText>
      </w:r>
      <w:r w:rsidR="005F461C">
        <w:rPr>
          <w:i/>
        </w:rPr>
        <w:instrText xml:space="preserve"> \* MERGEFORMAT </w:instrText>
      </w:r>
      <w:r w:rsidR="005F461C" w:rsidRPr="005F461C">
        <w:rPr>
          <w:i/>
        </w:rPr>
      </w:r>
      <w:r w:rsidR="005F461C" w:rsidRPr="005F461C">
        <w:rPr>
          <w:i/>
        </w:rPr>
        <w:fldChar w:fldCharType="separate"/>
      </w:r>
      <w:r w:rsidR="004C6771" w:rsidRPr="004C6771">
        <w:rPr>
          <w:i/>
        </w:rPr>
        <w:t>Questions for the sponsor</w:t>
      </w:r>
      <w:r w:rsidR="005F461C" w:rsidRPr="005F461C">
        <w:rPr>
          <w:i/>
        </w:rPr>
        <w:fldChar w:fldCharType="end"/>
      </w:r>
      <w:r w:rsidR="005F461C">
        <w:t>’ section, below)</w:t>
      </w:r>
      <w:r>
        <w:t>.</w:t>
      </w:r>
    </w:p>
    <w:p w14:paraId="359F59CD" w14:textId="77777777" w:rsidR="00DE5FE0" w:rsidRPr="0007636B" w:rsidRDefault="00DE5FE0" w:rsidP="0007636B">
      <w:pPr>
        <w:pStyle w:val="Heading4"/>
      </w:pPr>
      <w:bookmarkStart w:id="65" w:name="_Ref67662418"/>
      <w:r w:rsidRPr="0007636B">
        <w:t>Safety</w:t>
      </w:r>
      <w:bookmarkEnd w:id="65"/>
    </w:p>
    <w:p w14:paraId="3D44D362" w14:textId="0A50650F" w:rsidR="00DE5FE0" w:rsidRDefault="00DE5FE0" w:rsidP="0007636B">
      <w:r>
        <w:t>Assessment of perampanel's safety for use in children with POS and PG</w:t>
      </w:r>
      <w:r w:rsidR="005F461C">
        <w:t xml:space="preserve">TCS </w:t>
      </w:r>
      <w:proofErr w:type="gramStart"/>
      <w:r w:rsidR="005F461C">
        <w:t>was based</w:t>
      </w:r>
      <w:proofErr w:type="gramEnd"/>
      <w:r w:rsidR="005F461C">
        <w:t xml:space="preserve"> on the data from S</w:t>
      </w:r>
      <w:r>
        <w:t xml:space="preserve">tudies 311 and 232. Both studies had extension phases that provided </w:t>
      </w:r>
      <w:r w:rsidR="00251324">
        <w:t>long</w:t>
      </w:r>
      <w:r w:rsidR="00251324">
        <w:noBreakHyphen/>
      </w:r>
      <w:r w:rsidR="005F461C">
        <w:t>term</w:t>
      </w:r>
      <w:r>
        <w:t xml:space="preserve"> safety data. Study 311 had two extension phases</w:t>
      </w:r>
      <w:r w:rsidR="005F461C">
        <w:t>; Phases A and B. Extension P</w:t>
      </w:r>
      <w:r>
        <w:t>hase A continued following up of subjects after the study period. Extension B was in countries (Japan)</w:t>
      </w:r>
      <w:r w:rsidR="0007636B">
        <w:t xml:space="preserve"> </w:t>
      </w:r>
      <w:r>
        <w:t xml:space="preserve">where an </w:t>
      </w:r>
      <w:r w:rsidR="005F461C">
        <w:t>EAP</w:t>
      </w:r>
      <w:r>
        <w:t xml:space="preserve"> </w:t>
      </w:r>
      <w:proofErr w:type="gramStart"/>
      <w:r>
        <w:t>wa</w:t>
      </w:r>
      <w:r w:rsidR="005F461C">
        <w:t>s not able to</w:t>
      </w:r>
      <w:proofErr w:type="gramEnd"/>
      <w:r w:rsidR="005F461C">
        <w:t xml:space="preserve"> be implemented.</w:t>
      </w:r>
    </w:p>
    <w:p w14:paraId="146E1C23" w14:textId="77777777" w:rsidR="00DE5FE0" w:rsidRDefault="00DE5FE0" w:rsidP="0007636B">
      <w:pPr>
        <w:pStyle w:val="Heading5"/>
      </w:pPr>
      <w:r>
        <w:t>Exposure</w:t>
      </w:r>
    </w:p>
    <w:p w14:paraId="5F3A33C5" w14:textId="77777777" w:rsidR="00DE5FE0" w:rsidRPr="0007636B" w:rsidRDefault="00DE5FE0" w:rsidP="0007636B">
      <w:pPr>
        <w:pStyle w:val="Heading6"/>
      </w:pPr>
      <w:r w:rsidRPr="0007636B">
        <w:t>Study 311</w:t>
      </w:r>
    </w:p>
    <w:p w14:paraId="56E0EA3A" w14:textId="72398A0C" w:rsidR="00DE5FE0" w:rsidRPr="009064B4" w:rsidRDefault="00DE5FE0" w:rsidP="0007636B">
      <w:r>
        <w:t xml:space="preserve">The mean exposure was around 20 weeks. </w:t>
      </w:r>
      <w:r w:rsidR="00251324">
        <w:t>Approximately</w:t>
      </w:r>
      <w:r>
        <w:t xml:space="preserve"> 71% and 58% of subjects in the POS and PGTC cohorts</w:t>
      </w:r>
      <w:r w:rsidR="00251324">
        <w:t>,</w:t>
      </w:r>
      <w:r>
        <w:t xml:space="preserve"> respectively</w:t>
      </w:r>
      <w:r w:rsidR="00251324">
        <w:t>,</w:t>
      </w:r>
      <w:r>
        <w:t xml:space="preserve"> had a &gt;</w:t>
      </w:r>
      <w:r w:rsidR="005F461C">
        <w:t xml:space="preserve"> </w:t>
      </w:r>
      <w:r>
        <w:t>22 weeks exposure</w:t>
      </w:r>
      <w:r w:rsidR="00251324">
        <w:t xml:space="preserve"> (see </w:t>
      </w:r>
      <w:r w:rsidR="00251324">
        <w:fldChar w:fldCharType="begin"/>
      </w:r>
      <w:r w:rsidR="00251324">
        <w:instrText xml:space="preserve"> REF _Ref67993917 \h </w:instrText>
      </w:r>
      <w:r w:rsidR="00251324">
        <w:fldChar w:fldCharType="separate"/>
      </w:r>
      <w:r w:rsidR="004C6771">
        <w:t xml:space="preserve">Table </w:t>
      </w:r>
      <w:r w:rsidR="004C6771">
        <w:rPr>
          <w:noProof/>
        </w:rPr>
        <w:t>11</w:t>
      </w:r>
      <w:r w:rsidR="00251324">
        <w:fldChar w:fldCharType="end"/>
      </w:r>
      <w:r w:rsidR="00251324">
        <w:t>)</w:t>
      </w:r>
      <w:r>
        <w:t>. However, only 7.2% and 2.2% completed the follow-up period in POS and PGTCS cohorts</w:t>
      </w:r>
      <w:r w:rsidR="00251324">
        <w:t>,</w:t>
      </w:r>
      <w:r>
        <w:t xml:space="preserve"> respectively. The sponsor </w:t>
      </w:r>
      <w:proofErr w:type="gramStart"/>
      <w:r>
        <w:t>is requested</w:t>
      </w:r>
      <w:proofErr w:type="gramEnd"/>
      <w:r>
        <w:t xml:space="preserve"> to clarify any possible reasons for this observation</w:t>
      </w:r>
      <w:r w:rsidR="005F461C">
        <w:t xml:space="preserve"> (see ‘</w:t>
      </w:r>
      <w:r w:rsidR="005F461C" w:rsidRPr="005F461C">
        <w:rPr>
          <w:i/>
        </w:rPr>
        <w:fldChar w:fldCharType="begin"/>
      </w:r>
      <w:r w:rsidR="005F461C" w:rsidRPr="005F461C">
        <w:rPr>
          <w:i/>
        </w:rPr>
        <w:instrText xml:space="preserve"> REF _Ref67648671 \h </w:instrText>
      </w:r>
      <w:r w:rsidR="005F461C">
        <w:rPr>
          <w:i/>
        </w:rPr>
        <w:instrText xml:space="preserve"> \* MERGEFORMAT </w:instrText>
      </w:r>
      <w:r w:rsidR="005F461C" w:rsidRPr="005F461C">
        <w:rPr>
          <w:i/>
        </w:rPr>
      </w:r>
      <w:r w:rsidR="005F461C" w:rsidRPr="005F461C">
        <w:rPr>
          <w:i/>
        </w:rPr>
        <w:fldChar w:fldCharType="separate"/>
      </w:r>
      <w:r w:rsidR="004C6771" w:rsidRPr="004C6771">
        <w:rPr>
          <w:i/>
        </w:rPr>
        <w:t>Questions for the sponsor</w:t>
      </w:r>
      <w:r w:rsidR="005F461C" w:rsidRPr="005F461C">
        <w:rPr>
          <w:i/>
        </w:rPr>
        <w:fldChar w:fldCharType="end"/>
      </w:r>
      <w:r w:rsidR="005F461C">
        <w:t>’ section, below)</w:t>
      </w:r>
      <w:r>
        <w:t>.</w:t>
      </w:r>
    </w:p>
    <w:p w14:paraId="0D868EDC" w14:textId="579B4C56" w:rsidR="00DE5FE0" w:rsidRDefault="00DE5FE0" w:rsidP="002108FD">
      <w:pPr>
        <w:pStyle w:val="TableTitle"/>
      </w:pPr>
      <w:bookmarkStart w:id="66" w:name="_Ref67993917"/>
      <w:bookmarkStart w:id="67" w:name="_Toc55303379"/>
      <w:r>
        <w:t xml:space="preserve">Table </w:t>
      </w:r>
      <w:fldSimple w:instr=" SEQ Table \* ARABIC ">
        <w:r w:rsidR="004C6771">
          <w:rPr>
            <w:noProof/>
          </w:rPr>
          <w:t>11</w:t>
        </w:r>
      </w:fldSimple>
      <w:bookmarkEnd w:id="66"/>
      <w:r>
        <w:t xml:space="preserve">: </w:t>
      </w:r>
      <w:r w:rsidR="002108FD">
        <w:t xml:space="preserve">Study 311 </w:t>
      </w:r>
      <w:r>
        <w:t>Cumulative e</w:t>
      </w:r>
      <w:r w:rsidR="002108FD">
        <w:t>xtent of exposure</w:t>
      </w:r>
      <w:bookmarkEnd w:id="67"/>
      <w:r w:rsidR="002108FD">
        <w:t xml:space="preserve">, </w:t>
      </w:r>
      <w:r w:rsidR="000C36DF">
        <w:t>Safety Analysis Set</w:t>
      </w:r>
    </w:p>
    <w:p w14:paraId="7E2354F3" w14:textId="5DE4B134" w:rsidR="00DE5FE0" w:rsidRDefault="00DE5FE0" w:rsidP="00DE5FE0">
      <w:r>
        <w:rPr>
          <w:noProof/>
          <w:lang w:eastAsia="en-AU"/>
        </w:rPr>
        <w:drawing>
          <wp:inline distT="0" distB="0" distL="0" distR="0" wp14:anchorId="2BC2EF35" wp14:editId="2DC7E3C9">
            <wp:extent cx="4387850" cy="4290898"/>
            <wp:effectExtent l="0" t="0" r="0" b="0"/>
            <wp:docPr id="29" name="Picture 29" descr="Study 311 Cumulative extent of exposure,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3">
                      <a:extLst>
                        <a:ext uri="{28A0092B-C50C-407E-A947-70E740481C1C}">
                          <a14:useLocalDpi xmlns:a14="http://schemas.microsoft.com/office/drawing/2010/main" val="0"/>
                        </a:ext>
                      </a:extLst>
                    </a:blip>
                    <a:srcRect b="10546"/>
                    <a:stretch/>
                  </pic:blipFill>
                  <pic:spPr bwMode="auto">
                    <a:xfrm>
                      <a:off x="0" y="0"/>
                      <a:ext cx="4433479" cy="4335519"/>
                    </a:xfrm>
                    <a:prstGeom prst="rect">
                      <a:avLst/>
                    </a:prstGeom>
                    <a:noFill/>
                    <a:ln>
                      <a:noFill/>
                    </a:ln>
                    <a:extLst>
                      <a:ext uri="{53640926-AAD7-44D8-BBD7-CCE9431645EC}">
                        <a14:shadowObscured xmlns:a14="http://schemas.microsoft.com/office/drawing/2010/main"/>
                      </a:ext>
                    </a:extLst>
                  </pic:spPr>
                </pic:pic>
              </a:graphicData>
            </a:graphic>
          </wp:inline>
        </w:drawing>
      </w:r>
    </w:p>
    <w:p w14:paraId="21825C42" w14:textId="693C4622" w:rsidR="002108FD" w:rsidRDefault="002108FD" w:rsidP="002108FD">
      <w:pPr>
        <w:pStyle w:val="TableDescription"/>
      </w:pPr>
      <w:r>
        <w:t xml:space="preserve">Subjects </w:t>
      </w:r>
      <w:proofErr w:type="gramStart"/>
      <w:r>
        <w:t>were assigned</w:t>
      </w:r>
      <w:proofErr w:type="gramEnd"/>
      <w:r>
        <w:t xml:space="preserve"> as POS or PGTC by the investigator. SGTC was the subset of POS subjects wh</w:t>
      </w:r>
      <w:r w:rsidR="00251324">
        <w:t>o recorded secondarily generalis</w:t>
      </w:r>
      <w:r>
        <w:t>ed seizures during the Baseline period.</w:t>
      </w:r>
    </w:p>
    <w:p w14:paraId="485B697B" w14:textId="4FC468F7" w:rsidR="00421B04" w:rsidRDefault="00421B04" w:rsidP="002108FD">
      <w:pPr>
        <w:pStyle w:val="TableDescription"/>
      </w:pPr>
      <w:r>
        <w:t>PGTC = primary generalised tonic-clonic; POS = partial-onset seizure; SD = standard deviation; SGTC</w:t>
      </w:r>
      <w:r w:rsidR="006A0229">
        <w:t> </w:t>
      </w:r>
      <w:r>
        <w:t>=</w:t>
      </w:r>
      <w:r w:rsidR="006A0229">
        <w:t> </w:t>
      </w:r>
      <w:r>
        <w:t>secondarily generalised tonic-clonic.</w:t>
      </w:r>
    </w:p>
    <w:p w14:paraId="582A1427" w14:textId="72C22E00" w:rsidR="002108FD" w:rsidRDefault="002108FD" w:rsidP="002108FD">
      <w:pPr>
        <w:pStyle w:val="TableDescription"/>
      </w:pPr>
      <w:proofErr w:type="gramStart"/>
      <w:r>
        <w:lastRenderedPageBreak/>
        <w:t>a</w:t>
      </w:r>
      <w:proofErr w:type="gramEnd"/>
      <w:r>
        <w:t>: Subjects were counted in eac</w:t>
      </w:r>
      <w:r w:rsidR="00251324">
        <w:t xml:space="preserve">h applicable exposure category; </w:t>
      </w:r>
      <w:r>
        <w:t>b: Duration of exposure = (date of last dose of study drug – date of</w:t>
      </w:r>
      <w:r w:rsidR="00251324">
        <w:t xml:space="preserve"> 1st dose of study drug + 1)/7; </w:t>
      </w:r>
      <w:r>
        <w:t>c: Number of subject-weeks = summation over all subject’s exposure durations in weeks.</w:t>
      </w:r>
    </w:p>
    <w:p w14:paraId="30F9ED47" w14:textId="0CD5282F" w:rsidR="002108FD" w:rsidRPr="009064B4" w:rsidRDefault="002108FD" w:rsidP="002108FD">
      <w:pPr>
        <w:pStyle w:val="TableDescription"/>
      </w:pPr>
      <w:r>
        <w:t xml:space="preserve">The extent of exposure for the core study phase </w:t>
      </w:r>
      <w:proofErr w:type="gramStart"/>
      <w:r>
        <w:t>is extended</w:t>
      </w:r>
      <w:proofErr w:type="gramEnd"/>
      <w:r>
        <w:t xml:space="preserve"> to over 23 weeks for a few patients who still continued to receive dose adjustments after the core study completion date and did not enter the extension phase. The reason that few patients have extended duration to over 26 weeks is due to data issues.</w:t>
      </w:r>
    </w:p>
    <w:p w14:paraId="1DAF2980" w14:textId="52F2F8F3" w:rsidR="00DE5FE0" w:rsidRPr="001E4E96" w:rsidRDefault="00DE5FE0" w:rsidP="0007636B">
      <w:proofErr w:type="gramStart"/>
      <w:r>
        <w:t>180</w:t>
      </w:r>
      <w:proofErr w:type="gramEnd"/>
      <w:r>
        <w:t xml:space="preserve"> subjects entered the </w:t>
      </w:r>
      <w:r w:rsidR="00251324">
        <w:t>Extension Phase</w:t>
      </w:r>
      <w:r>
        <w:t>, with 149 subjects in POS and 31 subjects in PGTCS cohorts. Around 11% of subjects completed the 52 weeks extension study period, with 17 subjects in POS, 11 subjects in SGTCS and 4 subjects in PGTCS cohorts.</w:t>
      </w:r>
    </w:p>
    <w:p w14:paraId="63D7D762" w14:textId="135368B1" w:rsidR="00DE5FE0" w:rsidRDefault="00DE5FE0" w:rsidP="002108FD">
      <w:pPr>
        <w:pStyle w:val="TableTitle"/>
      </w:pPr>
      <w:bookmarkStart w:id="68" w:name="_Toc55303380"/>
      <w:r>
        <w:t xml:space="preserve">Table </w:t>
      </w:r>
      <w:fldSimple w:instr=" SEQ Table \* ARABIC ">
        <w:r w:rsidR="004C6771">
          <w:rPr>
            <w:noProof/>
          </w:rPr>
          <w:t>12</w:t>
        </w:r>
      </w:fldSimple>
      <w:r>
        <w:t xml:space="preserve">: </w:t>
      </w:r>
      <w:r w:rsidR="002108FD">
        <w:t xml:space="preserve">Study 311 </w:t>
      </w:r>
      <w:r>
        <w:t xml:space="preserve">Cumulative extent of exposure during </w:t>
      </w:r>
      <w:r w:rsidR="000C36DF">
        <w:t xml:space="preserve">the </w:t>
      </w:r>
      <w:r w:rsidR="002108FD">
        <w:t>Extension Phase</w:t>
      </w:r>
      <w:bookmarkEnd w:id="68"/>
    </w:p>
    <w:p w14:paraId="6A6EBA2B" w14:textId="2E5CD42A" w:rsidR="00DE5FE0" w:rsidRDefault="00DE5FE0" w:rsidP="00DE5FE0">
      <w:pPr>
        <w:spacing w:before="0" w:after="0" w:line="240" w:lineRule="auto"/>
        <w:rPr>
          <w:rFonts w:asciiTheme="minorHAnsi" w:hAnsiTheme="minorHAnsi"/>
          <w:b/>
        </w:rPr>
      </w:pPr>
      <w:r>
        <w:rPr>
          <w:noProof/>
          <w:lang w:eastAsia="en-AU"/>
        </w:rPr>
        <w:drawing>
          <wp:inline distT="0" distB="0" distL="0" distR="0" wp14:anchorId="1C978F0B" wp14:editId="2E5B1A00">
            <wp:extent cx="5284519" cy="2370762"/>
            <wp:effectExtent l="0" t="0" r="0" b="0"/>
            <wp:docPr id="31" name="Picture 31" descr="Study 311 Cumulative extent of exposure during Extension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03069" cy="2379084"/>
                    </a:xfrm>
                    <a:prstGeom prst="rect">
                      <a:avLst/>
                    </a:prstGeom>
                    <a:noFill/>
                    <a:ln>
                      <a:noFill/>
                    </a:ln>
                  </pic:spPr>
                </pic:pic>
              </a:graphicData>
            </a:graphic>
          </wp:inline>
        </w:drawing>
      </w:r>
    </w:p>
    <w:p w14:paraId="3A441A09" w14:textId="38E11763" w:rsidR="00421B04" w:rsidRPr="00421B04" w:rsidRDefault="00421B04" w:rsidP="00421B04">
      <w:pPr>
        <w:pStyle w:val="TableDescription"/>
      </w:pPr>
      <w:r>
        <w:t>PGTC = primary generalised tonic-clonic; POS = partial-onset seizure; SD = standard deviation; SGTC = secondarily generalised tonic-clonic.</w:t>
      </w:r>
    </w:p>
    <w:p w14:paraId="672E0AE3" w14:textId="77777777" w:rsidR="00DE5FE0" w:rsidRPr="0007636B" w:rsidRDefault="00DE5FE0" w:rsidP="0007636B">
      <w:pPr>
        <w:pStyle w:val="Heading6"/>
      </w:pPr>
      <w:r w:rsidRPr="0007636B">
        <w:t>Study 232</w:t>
      </w:r>
    </w:p>
    <w:p w14:paraId="69A5FEF5" w14:textId="17FBFEE5" w:rsidR="00DE5FE0" w:rsidRDefault="00DE5FE0" w:rsidP="0007636B">
      <w:pPr>
        <w:rPr>
          <w:noProof/>
          <w:lang w:eastAsia="en-AU"/>
        </w:rPr>
      </w:pPr>
      <w:r>
        <w:rPr>
          <w:noProof/>
          <w:lang w:eastAsia="en-AU"/>
        </w:rPr>
        <w:t>The mean exposure was 11 weeks and was comparable across age groups.</w:t>
      </w:r>
    </w:p>
    <w:p w14:paraId="2032F890" w14:textId="3F88A3AB" w:rsidR="00DE5FE0" w:rsidRDefault="00DE5FE0" w:rsidP="002108FD">
      <w:pPr>
        <w:pStyle w:val="TableTitle"/>
      </w:pPr>
      <w:bookmarkStart w:id="69" w:name="_Toc55303381"/>
      <w:r>
        <w:lastRenderedPageBreak/>
        <w:t xml:space="preserve">Table </w:t>
      </w:r>
      <w:fldSimple w:instr=" SEQ Table \* ARABIC ">
        <w:r w:rsidR="004C6771">
          <w:rPr>
            <w:noProof/>
          </w:rPr>
          <w:t>13</w:t>
        </w:r>
      </w:fldSimple>
      <w:r>
        <w:t xml:space="preserve">: </w:t>
      </w:r>
      <w:r w:rsidR="002108FD">
        <w:t xml:space="preserve">Study 232 </w:t>
      </w:r>
      <w:r>
        <w:t>Extent of exposure</w:t>
      </w:r>
      <w:bookmarkEnd w:id="69"/>
    </w:p>
    <w:p w14:paraId="5E7673F1" w14:textId="1CEF2B14" w:rsidR="00DE5FE0" w:rsidRDefault="00DE5FE0" w:rsidP="00DE5FE0">
      <w:pPr>
        <w:spacing w:before="0" w:after="0" w:line="240" w:lineRule="auto"/>
        <w:rPr>
          <w:rFonts w:asciiTheme="minorHAnsi" w:hAnsiTheme="minorHAnsi"/>
          <w:b/>
        </w:rPr>
      </w:pPr>
      <w:r>
        <w:rPr>
          <w:noProof/>
          <w:lang w:eastAsia="en-AU"/>
        </w:rPr>
        <w:drawing>
          <wp:inline distT="0" distB="0" distL="0" distR="0" wp14:anchorId="1BB2B1E3" wp14:editId="3B780B1B">
            <wp:extent cx="4762005" cy="5486623"/>
            <wp:effectExtent l="0" t="0" r="635" b="0"/>
            <wp:docPr id="40" name="Picture 40" descr="Study 232 Extent of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82127" cy="5509807"/>
                    </a:xfrm>
                    <a:prstGeom prst="rect">
                      <a:avLst/>
                    </a:prstGeom>
                    <a:noFill/>
                    <a:ln>
                      <a:noFill/>
                    </a:ln>
                  </pic:spPr>
                </pic:pic>
              </a:graphicData>
            </a:graphic>
          </wp:inline>
        </w:drawing>
      </w:r>
    </w:p>
    <w:p w14:paraId="1065819F" w14:textId="34701DBC" w:rsidR="00421B04" w:rsidRDefault="00421B04" w:rsidP="002108FD">
      <w:pPr>
        <w:pStyle w:val="TableDescription"/>
      </w:pPr>
      <w:r>
        <w:t>Max = maximum; Min = minimum; SD = standard deviation.</w:t>
      </w:r>
    </w:p>
    <w:p w14:paraId="1E546B38" w14:textId="25D5A69C" w:rsidR="002108FD" w:rsidRDefault="002108FD" w:rsidP="002108FD">
      <w:pPr>
        <w:pStyle w:val="TableDescription"/>
      </w:pPr>
      <w:proofErr w:type="gramStart"/>
      <w:r w:rsidRPr="002108FD">
        <w:t>a</w:t>
      </w:r>
      <w:proofErr w:type="gramEnd"/>
      <w:r>
        <w:t>:</w:t>
      </w:r>
      <w:r w:rsidRPr="002108FD">
        <w:t xml:space="preserve"> Duration of exposure = data of last dose of study drug – date </w:t>
      </w:r>
      <w:r w:rsidR="00421B04">
        <w:t xml:space="preserve">of first dose of study drug +1; </w:t>
      </w:r>
      <w:r w:rsidRPr="002108FD">
        <w:t>b</w:t>
      </w:r>
      <w:r>
        <w:t>:</w:t>
      </w:r>
      <w:r w:rsidRPr="002108FD">
        <w:t xml:space="preserve"> Number of subject-weeks = summation over all subjects’ exposure durations.</w:t>
      </w:r>
    </w:p>
    <w:p w14:paraId="2F312911" w14:textId="77777777" w:rsidR="00DE5FE0" w:rsidRDefault="00DE5FE0" w:rsidP="0007636B">
      <w:pPr>
        <w:pStyle w:val="Heading6"/>
      </w:pPr>
      <w:r>
        <w:t>Exposure by dose and age</w:t>
      </w:r>
    </w:p>
    <w:p w14:paraId="0C013118" w14:textId="4907BCF4" w:rsidR="00DE5FE0" w:rsidRDefault="002108FD" w:rsidP="00DE5FE0">
      <w:pPr>
        <w:rPr>
          <w:lang w:eastAsia="ja-JP"/>
        </w:rPr>
      </w:pPr>
      <w:r>
        <w:rPr>
          <w:rFonts w:asciiTheme="minorHAnsi" w:hAnsiTheme="minorHAnsi"/>
        </w:rPr>
        <w:t>In S</w:t>
      </w:r>
      <w:r w:rsidR="00DE5FE0">
        <w:rPr>
          <w:rFonts w:asciiTheme="minorHAnsi" w:hAnsiTheme="minorHAnsi"/>
        </w:rPr>
        <w:t xml:space="preserve">tudy 311, the mean </w:t>
      </w:r>
      <w:r w:rsidR="00DE5FE0" w:rsidRPr="00A56E2F">
        <w:rPr>
          <w:rFonts w:asciiTheme="minorHAnsi" w:hAnsiTheme="minorHAnsi"/>
        </w:rPr>
        <w:t>daily do</w:t>
      </w:r>
      <w:r w:rsidR="00DE5FE0">
        <w:rPr>
          <w:rFonts w:asciiTheme="minorHAnsi" w:hAnsiTheme="minorHAnsi"/>
        </w:rPr>
        <w:t xml:space="preserve">se of perampanel was 8.3 </w:t>
      </w:r>
      <w:r w:rsidR="00DE5FE0" w:rsidRPr="00A56E2F">
        <w:rPr>
          <w:rFonts w:asciiTheme="minorHAnsi" w:hAnsiTheme="minorHAnsi"/>
        </w:rPr>
        <w:t>mg/day</w:t>
      </w:r>
      <w:r w:rsidR="00DE5FE0">
        <w:rPr>
          <w:rFonts w:asciiTheme="minorHAnsi" w:hAnsiTheme="minorHAnsi"/>
        </w:rPr>
        <w:t xml:space="preserve"> and was comparable across POS, SGTCS and PGTCS cohorts. </w:t>
      </w:r>
      <w:r w:rsidR="00DE5FE0">
        <w:rPr>
          <w:lang w:eastAsia="ja-JP"/>
        </w:rPr>
        <w:t xml:space="preserve">The mean maximum dose was slightly higher in older paediatric subjects: 7.9 mg/day in the </w:t>
      </w:r>
      <w:proofErr w:type="gramStart"/>
      <w:r w:rsidR="00DE5FE0">
        <w:rPr>
          <w:lang w:eastAsia="ja-JP"/>
        </w:rPr>
        <w:t>4</w:t>
      </w:r>
      <w:proofErr w:type="gramEnd"/>
      <w:r w:rsidR="00DE5FE0">
        <w:rPr>
          <w:lang w:eastAsia="ja-JP"/>
        </w:rPr>
        <w:t xml:space="preserve"> to &lt;</w:t>
      </w:r>
      <w:r>
        <w:rPr>
          <w:lang w:eastAsia="ja-JP"/>
        </w:rPr>
        <w:t xml:space="preserve"> </w:t>
      </w:r>
      <w:r w:rsidR="00DE5FE0">
        <w:rPr>
          <w:lang w:eastAsia="ja-JP"/>
        </w:rPr>
        <w:t>7 year cohort and 9.0 mg/day in the ≥</w:t>
      </w:r>
      <w:r>
        <w:rPr>
          <w:lang w:eastAsia="ja-JP"/>
        </w:rPr>
        <w:t> </w:t>
      </w:r>
      <w:r w:rsidR="00DE5FE0">
        <w:rPr>
          <w:lang w:eastAsia="ja-JP"/>
        </w:rPr>
        <w:t>7 to &lt;</w:t>
      </w:r>
      <w:r>
        <w:rPr>
          <w:lang w:eastAsia="ja-JP"/>
        </w:rPr>
        <w:t xml:space="preserve"> </w:t>
      </w:r>
      <w:r w:rsidR="00DE5FE0">
        <w:rPr>
          <w:lang w:eastAsia="ja-JP"/>
        </w:rPr>
        <w:t xml:space="preserve">12 year cohort. 11 (8.5%) subjects (all in the POS cohort, including </w:t>
      </w:r>
      <w:proofErr w:type="gramStart"/>
      <w:r w:rsidR="00DE5FE0">
        <w:rPr>
          <w:lang w:eastAsia="ja-JP"/>
        </w:rPr>
        <w:t>2</w:t>
      </w:r>
      <w:proofErr w:type="gramEnd"/>
      <w:r w:rsidR="00DE5FE0">
        <w:rPr>
          <w:lang w:eastAsia="ja-JP"/>
        </w:rPr>
        <w:t xml:space="preserve"> in the SGTC subset) were exposed to perampanel at doses greater than 12 mg during the treatment period.</w:t>
      </w:r>
    </w:p>
    <w:p w14:paraId="24C52260" w14:textId="2D81C6B3" w:rsidR="00DE5FE0" w:rsidRDefault="002108FD" w:rsidP="00DE5FE0">
      <w:pPr>
        <w:rPr>
          <w:lang w:eastAsia="ja-JP"/>
        </w:rPr>
      </w:pPr>
      <w:r>
        <w:rPr>
          <w:lang w:eastAsia="ja-JP"/>
        </w:rPr>
        <w:t>Dosing for S</w:t>
      </w:r>
      <w:r w:rsidR="00DE5FE0">
        <w:rPr>
          <w:lang w:eastAsia="ja-JP"/>
        </w:rPr>
        <w:t xml:space="preserve">tudy 232 </w:t>
      </w:r>
      <w:proofErr w:type="gramStart"/>
      <w:r w:rsidR="00DE5FE0">
        <w:rPr>
          <w:lang w:eastAsia="ja-JP"/>
        </w:rPr>
        <w:t>was reported</w:t>
      </w:r>
      <w:proofErr w:type="gramEnd"/>
      <w:r w:rsidR="00DE5FE0">
        <w:rPr>
          <w:lang w:eastAsia="ja-JP"/>
        </w:rPr>
        <w:t xml:space="preserve"> in mg/kg. In the </w:t>
      </w:r>
      <w:r>
        <w:rPr>
          <w:lang w:eastAsia="ja-JP"/>
        </w:rPr>
        <w:t xml:space="preserve">Core Phase </w:t>
      </w:r>
      <w:r w:rsidR="00DE5FE0">
        <w:rPr>
          <w:lang w:eastAsia="ja-JP"/>
        </w:rPr>
        <w:t>of Study 232, the mean daily dose of perampanel was 0.142 mg/kg</w:t>
      </w:r>
      <w:r>
        <w:rPr>
          <w:lang w:eastAsia="ja-JP"/>
        </w:rPr>
        <w:t xml:space="preserve"> during the maintenance period.</w:t>
      </w:r>
    </w:p>
    <w:p w14:paraId="39C484FF" w14:textId="394A17E0" w:rsidR="00DE5FE0" w:rsidRPr="0007636B" w:rsidRDefault="0007636B" w:rsidP="0007636B">
      <w:pPr>
        <w:pStyle w:val="Heading5"/>
      </w:pPr>
      <w:r>
        <w:t>Adverse events</w:t>
      </w:r>
    </w:p>
    <w:p w14:paraId="432EEABD" w14:textId="18745E12" w:rsidR="00DE5FE0" w:rsidRDefault="0007636B" w:rsidP="0007636B">
      <w:pPr>
        <w:pStyle w:val="Heading6"/>
      </w:pPr>
      <w:r>
        <w:t>Study 311</w:t>
      </w:r>
    </w:p>
    <w:p w14:paraId="0D969D4A" w14:textId="3C1D4579" w:rsidR="00DE5FE0" w:rsidRDefault="00DE5FE0" w:rsidP="0007636B">
      <w:r>
        <w:t xml:space="preserve">Overall, most subjects (88.9%) had at least one </w:t>
      </w:r>
      <w:r w:rsidR="002108FD">
        <w:t>treatment emergent adverse event (</w:t>
      </w:r>
      <w:r>
        <w:t>TEAE</w:t>
      </w:r>
      <w:r w:rsidR="002108FD">
        <w:t>)</w:t>
      </w:r>
      <w:r>
        <w:t xml:space="preserve"> and majority of them (66.7%) were treatment related events. 7.8% of the subjects </w:t>
      </w:r>
      <w:r>
        <w:lastRenderedPageBreak/>
        <w:t>experienced severe TEAEs. Around 10% subjects experienced a TEAE that required withdrawal of study treatment. Around 40% of subjects required dose reduction of perampanel due to a TEAE.</w:t>
      </w:r>
    </w:p>
    <w:p w14:paraId="661CCF76" w14:textId="564ACC5E" w:rsidR="00DE5FE0" w:rsidRDefault="002108FD" w:rsidP="0007636B">
      <w:r>
        <w:t xml:space="preserve">The </w:t>
      </w:r>
      <w:r w:rsidR="00DE5FE0">
        <w:t>PGTCS cohort experienced a greater incidence of treatment-related TEAEs (around 15% more) and severe TEAEs (twice</w:t>
      </w:r>
      <w:r w:rsidR="00EA547D">
        <w:t xml:space="preserve"> as many</w:t>
      </w:r>
      <w:r w:rsidR="00DE5FE0">
        <w:t xml:space="preserve">), compared to </w:t>
      </w:r>
      <w:r w:rsidR="00EA547D">
        <w:t xml:space="preserve">the </w:t>
      </w:r>
      <w:r w:rsidR="00DE5FE0">
        <w:t xml:space="preserve">POS cohort during the core study period. A similar trend </w:t>
      </w:r>
      <w:proofErr w:type="gramStart"/>
      <w:r w:rsidR="00DE5FE0">
        <w:t>was also noted</w:t>
      </w:r>
      <w:proofErr w:type="gramEnd"/>
      <w:r w:rsidR="00DE5FE0">
        <w:t xml:space="preserve"> during the extension phase. TEAEs that led to treatment discontinuation and dose reduction were comparable across disease cohorts.</w:t>
      </w:r>
    </w:p>
    <w:p w14:paraId="7A4FC8D1" w14:textId="59E51223" w:rsidR="00DE5FE0" w:rsidRDefault="00DE5FE0" w:rsidP="00EA547D">
      <w:pPr>
        <w:pStyle w:val="TableTitle"/>
      </w:pPr>
      <w:bookmarkStart w:id="70" w:name="_Toc55303382"/>
      <w:r>
        <w:t xml:space="preserve">Table </w:t>
      </w:r>
      <w:fldSimple w:instr=" SEQ Table \* ARABIC ">
        <w:r w:rsidR="004C6771">
          <w:rPr>
            <w:noProof/>
          </w:rPr>
          <w:t>14</w:t>
        </w:r>
      </w:fldSimple>
      <w:r w:rsidR="00EA547D">
        <w:t>: Study 311 core study period, treatment emergent adverse events</w:t>
      </w:r>
      <w:r>
        <w:rPr>
          <w:noProof/>
          <w:lang w:eastAsia="en-AU"/>
        </w:rPr>
        <w:drawing>
          <wp:inline distT="0" distB="0" distL="0" distR="0" wp14:anchorId="26EB509A" wp14:editId="07AB5EFB">
            <wp:extent cx="5401310" cy="4418719"/>
            <wp:effectExtent l="0" t="0" r="8890" b="1270"/>
            <wp:docPr id="41" name="Picture 41" descr="Study 311 core study period, treatment emergent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6">
                      <a:extLst>
                        <a:ext uri="{28A0092B-C50C-407E-A947-70E740481C1C}">
                          <a14:useLocalDpi xmlns:a14="http://schemas.microsoft.com/office/drawing/2010/main" val="0"/>
                        </a:ext>
                      </a:extLst>
                    </a:blip>
                    <a:srcRect b="21684"/>
                    <a:stretch/>
                  </pic:blipFill>
                  <pic:spPr bwMode="auto">
                    <a:xfrm>
                      <a:off x="0" y="0"/>
                      <a:ext cx="5407090" cy="4423448"/>
                    </a:xfrm>
                    <a:prstGeom prst="rect">
                      <a:avLst/>
                    </a:prstGeom>
                    <a:noFill/>
                    <a:ln>
                      <a:noFill/>
                    </a:ln>
                    <a:extLst>
                      <a:ext uri="{53640926-AAD7-44D8-BBD7-CCE9431645EC}">
                        <a14:shadowObscured xmlns:a14="http://schemas.microsoft.com/office/drawing/2010/main"/>
                      </a:ext>
                    </a:extLst>
                  </pic:spPr>
                </pic:pic>
              </a:graphicData>
            </a:graphic>
          </wp:inline>
        </w:drawing>
      </w:r>
      <w:bookmarkEnd w:id="70"/>
    </w:p>
    <w:p w14:paraId="7DB9C5A5" w14:textId="4E84D6B5" w:rsidR="00EA547D" w:rsidRPr="00421B04" w:rsidRDefault="00421B04" w:rsidP="00EA547D">
      <w:pPr>
        <w:pStyle w:val="TableDescription"/>
      </w:pPr>
      <w:r>
        <w:t>PGTC = primary generalised tonic-clonic; POS = partial-onset seizure; SD = standard deviation; SAE</w:t>
      </w:r>
      <w:r w:rsidR="006A0229">
        <w:t> </w:t>
      </w:r>
      <w:r>
        <w:t>=</w:t>
      </w:r>
      <w:r w:rsidR="006A0229">
        <w:t> </w:t>
      </w:r>
      <w:r>
        <w:t>serious adverse event; SGTC = secondarily generalised tonic-clonic; TEAE = treatment emergent adverse event.</w:t>
      </w:r>
    </w:p>
    <w:p w14:paraId="61D7E9CB" w14:textId="7773579A" w:rsidR="00DE5FE0" w:rsidRDefault="00DE5FE0" w:rsidP="0007636B">
      <w:r w:rsidRPr="0007636B">
        <w:t>Overall, the rate of incidence of these events during the extension phase was compa</w:t>
      </w:r>
      <w:r w:rsidR="00EA547D">
        <w:t>rable to the core study period.</w:t>
      </w:r>
    </w:p>
    <w:p w14:paraId="1EF4A243" w14:textId="475ED1BA" w:rsidR="00EA547D" w:rsidRPr="0007636B" w:rsidRDefault="00EA547D" w:rsidP="00EA547D">
      <w:pPr>
        <w:pStyle w:val="Heading6"/>
      </w:pPr>
      <w:r>
        <w:t>Study 232</w:t>
      </w:r>
    </w:p>
    <w:p w14:paraId="3330F1EE" w14:textId="0EB20FF0" w:rsidR="00DE5FE0" w:rsidRPr="0007636B" w:rsidRDefault="00DE5FE0" w:rsidP="0007636B">
      <w:pPr>
        <w:rPr>
          <w:lang w:eastAsia="ja-JP"/>
        </w:rPr>
      </w:pPr>
      <w:r w:rsidRPr="0007636B">
        <w:t xml:space="preserve">In </w:t>
      </w:r>
      <w:r w:rsidR="00EA547D">
        <w:rPr>
          <w:rStyle w:val="Heading7Char"/>
          <w:rFonts w:eastAsia="Cambria"/>
          <w:sz w:val="22"/>
          <w:szCs w:val="22"/>
        </w:rPr>
        <w:t>S</w:t>
      </w:r>
      <w:r w:rsidRPr="0007636B">
        <w:rPr>
          <w:rStyle w:val="Heading7Char"/>
          <w:rFonts w:eastAsia="Cambria"/>
          <w:sz w:val="22"/>
          <w:szCs w:val="22"/>
        </w:rPr>
        <w:t>tudy 232</w:t>
      </w:r>
      <w:r w:rsidRPr="0007636B">
        <w:t xml:space="preserve">, 98% of subjects experienced a TEAE, with majority of them </w:t>
      </w:r>
      <w:proofErr w:type="gramStart"/>
      <w:r w:rsidRPr="0007636B">
        <w:t>being related</w:t>
      </w:r>
      <w:proofErr w:type="gramEnd"/>
      <w:r w:rsidRPr="0007636B">
        <w:t xml:space="preserve"> to treatment with perampanel. S</w:t>
      </w:r>
      <w:r w:rsidRPr="0007636B">
        <w:rPr>
          <w:lang w:eastAsia="ja-JP"/>
        </w:rPr>
        <w:t xml:space="preserve">evere TEAEs occurred in 12% of subjects in the </w:t>
      </w:r>
      <w:r w:rsidR="00EA547D" w:rsidRPr="0007636B">
        <w:rPr>
          <w:lang w:eastAsia="ja-JP"/>
        </w:rPr>
        <w:t xml:space="preserve">Core Phase </w:t>
      </w:r>
      <w:r w:rsidRPr="0007636B">
        <w:rPr>
          <w:lang w:eastAsia="ja-JP"/>
        </w:rPr>
        <w:t xml:space="preserve">and 31.7% in the </w:t>
      </w:r>
      <w:r w:rsidR="00EA547D" w:rsidRPr="0007636B">
        <w:rPr>
          <w:lang w:eastAsia="ja-JP"/>
        </w:rPr>
        <w:t>Extension Phase</w:t>
      </w:r>
      <w:r w:rsidRPr="0007636B">
        <w:rPr>
          <w:lang w:eastAsia="ja-JP"/>
        </w:rPr>
        <w:t xml:space="preserve">. AEs leading to discontinuation of treatment </w:t>
      </w:r>
      <w:proofErr w:type="gramStart"/>
      <w:r w:rsidRPr="0007636B">
        <w:rPr>
          <w:lang w:eastAsia="ja-JP"/>
        </w:rPr>
        <w:t>were reported</w:t>
      </w:r>
      <w:proofErr w:type="gramEnd"/>
      <w:r w:rsidRPr="0007636B">
        <w:rPr>
          <w:lang w:eastAsia="ja-JP"/>
        </w:rPr>
        <w:t xml:space="preserve"> in 6% of subjects during the core phase and 12.2</w:t>
      </w:r>
      <w:r w:rsidR="00EA547D">
        <w:rPr>
          <w:lang w:eastAsia="ja-JP"/>
        </w:rPr>
        <w:t>% in the E</w:t>
      </w:r>
      <w:r w:rsidRPr="0007636B">
        <w:rPr>
          <w:lang w:eastAsia="ja-JP"/>
        </w:rPr>
        <w:t>xtension Phase.</w:t>
      </w:r>
    </w:p>
    <w:p w14:paraId="77BE017D" w14:textId="7DD1ACA6" w:rsidR="00DE5FE0" w:rsidRDefault="00DE5FE0" w:rsidP="00EA547D">
      <w:pPr>
        <w:pStyle w:val="TableTitle"/>
      </w:pPr>
      <w:bookmarkStart w:id="71" w:name="_Toc55303383"/>
      <w:r>
        <w:lastRenderedPageBreak/>
        <w:t xml:space="preserve">Table </w:t>
      </w:r>
      <w:fldSimple w:instr=" SEQ Table \* ARABIC ">
        <w:r w:rsidR="004C6771">
          <w:rPr>
            <w:noProof/>
          </w:rPr>
          <w:t>15</w:t>
        </w:r>
      </w:fldSimple>
      <w:r>
        <w:t xml:space="preserve">: </w:t>
      </w:r>
      <w:r w:rsidR="00EA547D">
        <w:t>Study 232 core study period</w:t>
      </w:r>
      <w:r w:rsidR="006A0229">
        <w:t>,</w:t>
      </w:r>
      <w:r w:rsidR="00EA547D">
        <w:t xml:space="preserve"> </w:t>
      </w:r>
      <w:bookmarkEnd w:id="71"/>
      <w:r w:rsidR="00EA547D">
        <w:t>treatment emergent adverse events</w:t>
      </w:r>
    </w:p>
    <w:p w14:paraId="4F4C03EF" w14:textId="727FF201" w:rsidR="00DE5FE0" w:rsidRDefault="00DE5FE0" w:rsidP="00DE5FE0">
      <w:pPr>
        <w:spacing w:before="0" w:after="0" w:line="240" w:lineRule="auto"/>
        <w:rPr>
          <w:rFonts w:asciiTheme="minorHAnsi" w:hAnsiTheme="minorHAnsi"/>
        </w:rPr>
      </w:pPr>
      <w:r>
        <w:rPr>
          <w:noProof/>
          <w:lang w:eastAsia="en-AU"/>
        </w:rPr>
        <w:drawing>
          <wp:inline distT="0" distB="0" distL="0" distR="0" wp14:anchorId="4274B981" wp14:editId="7639BCE8">
            <wp:extent cx="4981698" cy="4219510"/>
            <wp:effectExtent l="0" t="0" r="0" b="0"/>
            <wp:docPr id="34" name="Picture 34" descr="Study 232 core study period treatment emergent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95396" cy="4231113"/>
                    </a:xfrm>
                    <a:prstGeom prst="rect">
                      <a:avLst/>
                    </a:prstGeom>
                    <a:noFill/>
                    <a:ln>
                      <a:noFill/>
                    </a:ln>
                  </pic:spPr>
                </pic:pic>
              </a:graphicData>
            </a:graphic>
          </wp:inline>
        </w:drawing>
      </w:r>
    </w:p>
    <w:p w14:paraId="5D77237D" w14:textId="77777777" w:rsidR="00AD7706" w:rsidRPr="00AD7706" w:rsidRDefault="00AD7706" w:rsidP="00AD7706">
      <w:pPr>
        <w:pStyle w:val="TableDescription"/>
      </w:pPr>
      <w:r w:rsidRPr="00AD7706">
        <w:t>MedDRA Version 16.1.</w:t>
      </w:r>
    </w:p>
    <w:p w14:paraId="50CC3909" w14:textId="72F89A67" w:rsidR="00AD7706" w:rsidRPr="00AD7706" w:rsidRDefault="00AD7706" w:rsidP="00AD7706">
      <w:pPr>
        <w:pStyle w:val="TableDescription"/>
      </w:pPr>
      <w:r w:rsidRPr="00AD7706">
        <w:t xml:space="preserve">A TEAE </w:t>
      </w:r>
      <w:proofErr w:type="gramStart"/>
      <w:r w:rsidRPr="00AD7706">
        <w:t>was defined</w:t>
      </w:r>
      <w:proofErr w:type="gramEnd"/>
      <w:r w:rsidRPr="00AD7706">
        <w:t xml:space="preserve"> as an adverse event with an onset date, or a wors</w:t>
      </w:r>
      <w:r>
        <w:t xml:space="preserve">ening in severity from Baseline </w:t>
      </w:r>
      <w:r w:rsidRPr="00AD7706">
        <w:t>(pre</w:t>
      </w:r>
      <w:r>
        <w:t>-</w:t>
      </w:r>
      <w:r w:rsidRPr="00AD7706">
        <w:t>treatment), on or after the first dose of study drug up to 30 days follow</w:t>
      </w:r>
      <w:r>
        <w:t xml:space="preserve">ing study drug discontinuation. </w:t>
      </w:r>
      <w:r w:rsidRPr="00AD7706">
        <w:t>For eac</w:t>
      </w:r>
      <w:r>
        <w:t>h row category, a subject with two</w:t>
      </w:r>
      <w:r w:rsidRPr="00AD7706">
        <w:t xml:space="preserve"> or more TEAEs in that category </w:t>
      </w:r>
      <w:proofErr w:type="gramStart"/>
      <w:r w:rsidRPr="00AD7706">
        <w:t>was counted</w:t>
      </w:r>
      <w:proofErr w:type="gramEnd"/>
      <w:r w:rsidRPr="00AD7706">
        <w:t xml:space="preserve"> only once.</w:t>
      </w:r>
    </w:p>
    <w:p w14:paraId="4C133F7C" w14:textId="1863B167" w:rsidR="00AD7706" w:rsidRPr="00AD7706" w:rsidRDefault="00AD7706" w:rsidP="00AD7706">
      <w:pPr>
        <w:pStyle w:val="TableDescription"/>
      </w:pPr>
      <w:r w:rsidRPr="00AD7706">
        <w:t>MedDRA = Medical Dictio</w:t>
      </w:r>
      <w:r>
        <w:t>nary for Regulatory Activities</w:t>
      </w:r>
      <w:r w:rsidR="00421B04">
        <w:t>; SAE = serious adverse event; TEAE = treatment emergent adverse event.</w:t>
      </w:r>
    </w:p>
    <w:p w14:paraId="317413CA" w14:textId="05D472F1" w:rsidR="00AD7706" w:rsidRDefault="00AD7706" w:rsidP="00AD7706">
      <w:pPr>
        <w:pStyle w:val="TableDescription"/>
      </w:pPr>
      <w:proofErr w:type="gramStart"/>
      <w:r w:rsidRPr="00AD7706">
        <w:t>a</w:t>
      </w:r>
      <w:proofErr w:type="gramEnd"/>
      <w:r>
        <w:t>:</w:t>
      </w:r>
      <w:r w:rsidRPr="00AD7706">
        <w:t xml:space="preserve"> Includes TEAEs considered by the investigator to be possibly or probably</w:t>
      </w:r>
      <w:r>
        <w:t xml:space="preserve"> related to study drug or TEAEs </w:t>
      </w:r>
      <w:r w:rsidRPr="00AD7706">
        <w:t>with missing causalit</w:t>
      </w:r>
      <w:r w:rsidR="00421B04">
        <w:t xml:space="preserve">y; </w:t>
      </w:r>
      <w:r w:rsidRPr="00AD7706">
        <w:t>b</w:t>
      </w:r>
      <w:r>
        <w:t>:</w:t>
      </w:r>
      <w:r w:rsidRPr="00AD7706">
        <w:t xml:space="preserve"> Includes all subjects </w:t>
      </w:r>
      <w:r w:rsidR="00421B04">
        <w:t xml:space="preserve">with an SAE resulting in death; </w:t>
      </w:r>
      <w:r w:rsidRPr="00AD7706">
        <w:t>c</w:t>
      </w:r>
      <w:r>
        <w:t>:</w:t>
      </w:r>
      <w:r w:rsidRPr="00AD7706">
        <w:t xml:space="preserve"> Includes subjects with nonfatal SAEs only. If a subject had both fatal an</w:t>
      </w:r>
      <w:r>
        <w:t xml:space="preserve">d nonfatal SAEs, the subject </w:t>
      </w:r>
      <w:proofErr w:type="gramStart"/>
      <w:r>
        <w:t xml:space="preserve">is </w:t>
      </w:r>
      <w:r w:rsidRPr="00AD7706">
        <w:t>counted</w:t>
      </w:r>
      <w:proofErr w:type="gramEnd"/>
      <w:r w:rsidRPr="00AD7706">
        <w:t xml:space="preserve"> in the previous row and is not counted in this row.</w:t>
      </w:r>
    </w:p>
    <w:p w14:paraId="595022C8" w14:textId="47D3C20F" w:rsidR="00AD7706" w:rsidRDefault="00AD7706" w:rsidP="00AD7706">
      <w:pPr>
        <w:pStyle w:val="Heading5"/>
      </w:pPr>
      <w:r>
        <w:t>Treatment emergent adverse events (Studies 311 and 232)</w:t>
      </w:r>
    </w:p>
    <w:p w14:paraId="735FB03B" w14:textId="5A9F0CA6" w:rsidR="00DE5FE0" w:rsidRDefault="00DE5FE0" w:rsidP="0007636B">
      <w:r>
        <w:t>Somnolence and nasopharyngitis occ</w:t>
      </w:r>
      <w:r w:rsidR="0007636B">
        <w:t>urred in around 20% of subjects</w:t>
      </w:r>
      <w:r>
        <w:t xml:space="preserve">, followed by </w:t>
      </w:r>
      <w:proofErr w:type="gramStart"/>
      <w:r>
        <w:t>vomiting,</w:t>
      </w:r>
      <w:proofErr w:type="gramEnd"/>
      <w:r>
        <w:t xml:space="preserve"> dizziness and irritability in around</w:t>
      </w:r>
      <w:r w:rsidR="0007636B">
        <w:t xml:space="preserve"> 12% of subjects</w:t>
      </w:r>
      <w:r w:rsidR="00AD7706">
        <w:t xml:space="preserve"> (see </w:t>
      </w:r>
      <w:r w:rsidR="00AD7706">
        <w:fldChar w:fldCharType="begin"/>
      </w:r>
      <w:r w:rsidR="00AD7706">
        <w:instrText xml:space="preserve"> REF _Ref67912827 \h </w:instrText>
      </w:r>
      <w:r w:rsidR="00AD7706">
        <w:fldChar w:fldCharType="separate"/>
      </w:r>
      <w:r w:rsidR="004C6771">
        <w:t xml:space="preserve">Table </w:t>
      </w:r>
      <w:r w:rsidR="004C6771">
        <w:rPr>
          <w:noProof/>
        </w:rPr>
        <w:t>16</w:t>
      </w:r>
      <w:r w:rsidR="00AD7706">
        <w:fldChar w:fldCharType="end"/>
      </w:r>
      <w:r w:rsidR="00AD7706">
        <w:t>)</w:t>
      </w:r>
      <w:r w:rsidR="0007636B">
        <w:t>.</w:t>
      </w:r>
    </w:p>
    <w:p w14:paraId="38F8BF8B" w14:textId="7FA92B33" w:rsidR="00DE5FE0" w:rsidRDefault="00DE5FE0" w:rsidP="00AD7706">
      <w:pPr>
        <w:pStyle w:val="TableTitle"/>
      </w:pPr>
      <w:bookmarkStart w:id="72" w:name="_Ref67912827"/>
      <w:bookmarkStart w:id="73" w:name="_Toc55303384"/>
      <w:r>
        <w:lastRenderedPageBreak/>
        <w:t xml:space="preserve">Table </w:t>
      </w:r>
      <w:fldSimple w:instr=" SEQ Table \* ARABIC ">
        <w:r w:rsidR="004C6771">
          <w:rPr>
            <w:noProof/>
          </w:rPr>
          <w:t>16</w:t>
        </w:r>
      </w:fldSimple>
      <w:bookmarkEnd w:id="72"/>
      <w:r>
        <w:t xml:space="preserve">: </w:t>
      </w:r>
      <w:r w:rsidR="00AD7706">
        <w:t>Core Study 311</w:t>
      </w:r>
      <w:bookmarkEnd w:id="73"/>
      <w:r w:rsidR="00AD7706">
        <w:t xml:space="preserve"> treatment emergent adverse events</w:t>
      </w:r>
    </w:p>
    <w:p w14:paraId="39D917EE" w14:textId="2F024CF4" w:rsidR="00DE5FE0" w:rsidRDefault="00DE5FE0" w:rsidP="00DE5FE0">
      <w:pPr>
        <w:spacing w:before="0" w:after="0" w:line="240" w:lineRule="auto"/>
        <w:rPr>
          <w:rFonts w:asciiTheme="minorHAnsi" w:hAnsiTheme="minorHAnsi"/>
        </w:rPr>
      </w:pPr>
      <w:r>
        <w:rPr>
          <w:noProof/>
          <w:lang w:eastAsia="en-AU"/>
        </w:rPr>
        <w:drawing>
          <wp:inline distT="0" distB="0" distL="0" distR="0" wp14:anchorId="204826A6" wp14:editId="10B98BBD">
            <wp:extent cx="5373236" cy="4845132"/>
            <wp:effectExtent l="0" t="0" r="0" b="0"/>
            <wp:docPr id="35" name="Picture 35" descr="Core Study 311 treatment emergent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11192"/>
                    <a:stretch/>
                  </pic:blipFill>
                  <pic:spPr bwMode="auto">
                    <a:xfrm>
                      <a:off x="0" y="0"/>
                      <a:ext cx="5442638" cy="4907713"/>
                    </a:xfrm>
                    <a:prstGeom prst="rect">
                      <a:avLst/>
                    </a:prstGeom>
                    <a:noFill/>
                    <a:ln>
                      <a:noFill/>
                    </a:ln>
                    <a:extLst>
                      <a:ext uri="{53640926-AAD7-44D8-BBD7-CCE9431645EC}">
                        <a14:shadowObscured xmlns:a14="http://schemas.microsoft.com/office/drawing/2010/main"/>
                      </a:ext>
                    </a:extLst>
                  </pic:spPr>
                </pic:pic>
              </a:graphicData>
            </a:graphic>
          </wp:inline>
        </w:drawing>
      </w:r>
    </w:p>
    <w:p w14:paraId="064EF1CE" w14:textId="68522596" w:rsidR="00AD7706" w:rsidRDefault="00421B04" w:rsidP="00AD7706">
      <w:pPr>
        <w:pStyle w:val="TableDescription"/>
      </w:pPr>
      <w:r w:rsidRPr="00AD7706">
        <w:t>MedDRA = Medical Dictio</w:t>
      </w:r>
      <w:r>
        <w:t>nary for Regulatory Activities; PGTC = primary generalised tonic-clonic; POS = partial-onset seizure; PT = Preferred Term; SGTC = secondarily generalised tonic-clonic;</w:t>
      </w:r>
      <w:r w:rsidRPr="00421B04">
        <w:t xml:space="preserve"> </w:t>
      </w:r>
      <w:r>
        <w:t>SOC = System Organ Class; TEAE = treatment emergent adverse event.</w:t>
      </w:r>
    </w:p>
    <w:p w14:paraId="086E0DC8" w14:textId="2F94CFFC" w:rsidR="00DE5FE0" w:rsidRDefault="00DE5FE0" w:rsidP="0007636B">
      <w:r w:rsidRPr="00822525">
        <w:t xml:space="preserve">Study 232 also reported an overall greater incidence of </w:t>
      </w:r>
      <w:proofErr w:type="gramStart"/>
      <w:r w:rsidRPr="00822525">
        <w:t>somnolence,</w:t>
      </w:r>
      <w:proofErr w:type="gramEnd"/>
      <w:r w:rsidRPr="00822525">
        <w:t xml:space="preserve"> irritability and fatigue</w:t>
      </w:r>
      <w:r w:rsidR="00AD7706">
        <w:t xml:space="preserve"> (see </w:t>
      </w:r>
      <w:r w:rsidR="00AD7706">
        <w:fldChar w:fldCharType="begin"/>
      </w:r>
      <w:r w:rsidR="00AD7706">
        <w:instrText xml:space="preserve"> REF _Ref67912896 \h </w:instrText>
      </w:r>
      <w:r w:rsidR="00AD7706">
        <w:fldChar w:fldCharType="separate"/>
      </w:r>
      <w:r w:rsidR="004C6771">
        <w:t xml:space="preserve">Table </w:t>
      </w:r>
      <w:r w:rsidR="004C6771">
        <w:rPr>
          <w:noProof/>
        </w:rPr>
        <w:t>17</w:t>
      </w:r>
      <w:r w:rsidR="00AD7706">
        <w:fldChar w:fldCharType="end"/>
      </w:r>
      <w:r w:rsidR="00AD7706">
        <w:t>)</w:t>
      </w:r>
      <w:r w:rsidRPr="00822525">
        <w:t>.</w:t>
      </w:r>
    </w:p>
    <w:p w14:paraId="01135421" w14:textId="39A8FDD1" w:rsidR="00DE5FE0" w:rsidRDefault="00DE5FE0" w:rsidP="00AD7706">
      <w:pPr>
        <w:pStyle w:val="TableTitle"/>
      </w:pPr>
      <w:bookmarkStart w:id="74" w:name="_Ref67912896"/>
      <w:bookmarkStart w:id="75" w:name="_Toc55303385"/>
      <w:r>
        <w:lastRenderedPageBreak/>
        <w:t xml:space="preserve">Table </w:t>
      </w:r>
      <w:fldSimple w:instr=" SEQ Table \* ARABIC ">
        <w:r w:rsidR="004C6771">
          <w:rPr>
            <w:noProof/>
          </w:rPr>
          <w:t>17</w:t>
        </w:r>
      </w:fldSimple>
      <w:bookmarkEnd w:id="74"/>
      <w:r>
        <w:t xml:space="preserve">: </w:t>
      </w:r>
      <w:r w:rsidR="00AD7706">
        <w:t>Core Study 23</w:t>
      </w:r>
      <w:bookmarkEnd w:id="75"/>
      <w:r w:rsidR="00AD7706">
        <w:t>2 treatment emergent adverse events</w:t>
      </w:r>
    </w:p>
    <w:p w14:paraId="5D8F1861" w14:textId="7EE44632" w:rsidR="00DE5FE0" w:rsidRDefault="00DE5FE0" w:rsidP="00DE5FE0">
      <w:pPr>
        <w:spacing w:before="0" w:after="0" w:line="240" w:lineRule="auto"/>
        <w:rPr>
          <w:rFonts w:asciiTheme="minorHAnsi" w:hAnsiTheme="minorHAnsi"/>
        </w:rPr>
      </w:pPr>
      <w:r>
        <w:rPr>
          <w:noProof/>
          <w:lang w:eastAsia="en-AU"/>
        </w:rPr>
        <w:drawing>
          <wp:inline distT="0" distB="0" distL="0" distR="0" wp14:anchorId="0393391B" wp14:editId="58AE2D26">
            <wp:extent cx="5409242" cy="4920815"/>
            <wp:effectExtent l="0" t="0" r="1270" b="0"/>
            <wp:docPr id="53" name="Picture 53" descr="Core Study 232 treatment emergent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32937" cy="4942371"/>
                    </a:xfrm>
                    <a:prstGeom prst="rect">
                      <a:avLst/>
                    </a:prstGeom>
                  </pic:spPr>
                </pic:pic>
              </a:graphicData>
            </a:graphic>
          </wp:inline>
        </w:drawing>
      </w:r>
    </w:p>
    <w:p w14:paraId="1665EB9F" w14:textId="7039EF8F" w:rsidR="00421B04" w:rsidRPr="00421B04" w:rsidRDefault="00421B04" w:rsidP="00421B04">
      <w:pPr>
        <w:pStyle w:val="TableDescription"/>
      </w:pPr>
      <w:r w:rsidRPr="00AD7706">
        <w:t>MedDRA = Medical Dictio</w:t>
      </w:r>
      <w:r>
        <w:t>nary for Regulatory Activities; PT = Preferred Term; SOC = System Organ Class; TEAE = treatment emergent adverse event.</w:t>
      </w:r>
    </w:p>
    <w:p w14:paraId="553360E8" w14:textId="64CFAEAA" w:rsidR="00DE5FE0" w:rsidRPr="0007636B" w:rsidRDefault="00AD7706" w:rsidP="0007636B">
      <w:pPr>
        <w:pStyle w:val="Heading5"/>
      </w:pPr>
      <w:r>
        <w:t>Treatment-related adverse events (S</w:t>
      </w:r>
      <w:r w:rsidR="00DE5FE0" w:rsidRPr="0007636B">
        <w:t>tudies 311 and 232)</w:t>
      </w:r>
    </w:p>
    <w:p w14:paraId="2F1982FE" w14:textId="0B5A59B6" w:rsidR="00DE5FE0" w:rsidRDefault="00DE5FE0" w:rsidP="0007636B">
      <w:pPr>
        <w:rPr>
          <w:lang w:eastAsia="ja-JP"/>
        </w:rPr>
      </w:pPr>
      <w:r>
        <w:rPr>
          <w:lang w:eastAsia="ja-JP"/>
        </w:rPr>
        <w:t xml:space="preserve">The most common treatment-related AEs were somnolence, dizziness, irritability, aggression, and fatigue. Treatment-related AEs occurred in 38 (82.6%) subjects in the </w:t>
      </w:r>
      <w:proofErr w:type="gramStart"/>
      <w:r>
        <w:rPr>
          <w:lang w:eastAsia="ja-JP"/>
        </w:rPr>
        <w:t>4</w:t>
      </w:r>
      <w:proofErr w:type="gramEnd"/>
      <w:r>
        <w:rPr>
          <w:lang w:eastAsia="ja-JP"/>
        </w:rPr>
        <w:t xml:space="preserve"> to &lt;</w:t>
      </w:r>
      <w:r w:rsidR="00AD7706">
        <w:rPr>
          <w:lang w:eastAsia="ja-JP"/>
        </w:rPr>
        <w:t> </w:t>
      </w:r>
      <w:r>
        <w:rPr>
          <w:lang w:eastAsia="ja-JP"/>
        </w:rPr>
        <w:t>7 years age group, compared to 82 (61.2%) subjects in the ≥</w:t>
      </w:r>
      <w:r w:rsidR="00AD7706">
        <w:rPr>
          <w:lang w:eastAsia="ja-JP"/>
        </w:rPr>
        <w:t xml:space="preserve"> </w:t>
      </w:r>
      <w:r>
        <w:rPr>
          <w:lang w:eastAsia="ja-JP"/>
        </w:rPr>
        <w:t>7 to &lt;</w:t>
      </w:r>
      <w:r w:rsidR="00AD7706">
        <w:rPr>
          <w:lang w:eastAsia="ja-JP"/>
        </w:rPr>
        <w:t xml:space="preserve"> </w:t>
      </w:r>
      <w:r>
        <w:rPr>
          <w:lang w:eastAsia="ja-JP"/>
        </w:rPr>
        <w:t xml:space="preserve">12 years age group. </w:t>
      </w:r>
      <w:r w:rsidR="00AD7706">
        <w:rPr>
          <w:lang w:eastAsia="ja-JP"/>
        </w:rPr>
        <w:t xml:space="preserve">The </w:t>
      </w:r>
      <w:r>
        <w:rPr>
          <w:lang w:eastAsia="ja-JP"/>
        </w:rPr>
        <w:t>PGTC cohort experienced a higher incidence of treatment-related TEAEs (80.6%), c</w:t>
      </w:r>
      <w:r w:rsidR="00AD7706">
        <w:rPr>
          <w:lang w:eastAsia="ja-JP"/>
        </w:rPr>
        <w:t xml:space="preserve">ompared to POS cohort (63.8%). </w:t>
      </w:r>
      <w:r>
        <w:rPr>
          <w:lang w:eastAsia="ja-JP"/>
        </w:rPr>
        <w:t>A slightly higher incidence of TEAEs was reported in subjects who were on concomitant EIAEDs (68.9%), compared t</w:t>
      </w:r>
      <w:r w:rsidR="00AD7706">
        <w:rPr>
          <w:lang w:eastAsia="ja-JP"/>
        </w:rPr>
        <w:t>o those without EIAEDs (60.4%).</w:t>
      </w:r>
    </w:p>
    <w:p w14:paraId="00C31488" w14:textId="4F4C9752" w:rsidR="00DE5FE0" w:rsidRDefault="00DE5FE0" w:rsidP="0007636B">
      <w:pPr>
        <w:rPr>
          <w:lang w:eastAsia="ja-JP"/>
        </w:rPr>
      </w:pPr>
      <w:r>
        <w:rPr>
          <w:lang w:eastAsia="ja-JP"/>
        </w:rPr>
        <w:t>TEAEs that mostly led to treatment discontinuation wer</w:t>
      </w:r>
      <w:r w:rsidR="00113BB8">
        <w:rPr>
          <w:lang w:eastAsia="ja-JP"/>
        </w:rPr>
        <w:t>e psychiatric disorders such as</w:t>
      </w:r>
      <w:r>
        <w:rPr>
          <w:lang w:eastAsia="ja-JP"/>
        </w:rPr>
        <w:t xml:space="preserve"> aggression, and irritability (around 1.7%), followed by balance disorder (1.1%).</w:t>
      </w:r>
    </w:p>
    <w:p w14:paraId="56F7591B" w14:textId="1F268162" w:rsidR="00DE5FE0" w:rsidRPr="0007636B" w:rsidRDefault="00113BB8" w:rsidP="0007636B">
      <w:pPr>
        <w:pStyle w:val="Heading5"/>
      </w:pPr>
      <w:r>
        <w:t>Serious adverse events (S</w:t>
      </w:r>
      <w:r w:rsidR="00DE5FE0" w:rsidRPr="0007636B">
        <w:t>tudies 311 and 232)</w:t>
      </w:r>
    </w:p>
    <w:p w14:paraId="6A224762" w14:textId="77777777" w:rsidR="00DE5FE0" w:rsidRPr="00DB1DAB" w:rsidRDefault="00DE5FE0" w:rsidP="0007636B">
      <w:pPr>
        <w:pStyle w:val="Heading6"/>
        <w:rPr>
          <w:lang w:eastAsia="ja-JP"/>
        </w:rPr>
      </w:pPr>
      <w:r w:rsidRPr="00DB1DAB">
        <w:rPr>
          <w:lang w:eastAsia="ja-JP"/>
        </w:rPr>
        <w:t>Study 311</w:t>
      </w:r>
    </w:p>
    <w:p w14:paraId="40197975" w14:textId="4CC0A4F4" w:rsidR="00DE5FE0" w:rsidRDefault="00113BB8" w:rsidP="0007636B">
      <w:pPr>
        <w:rPr>
          <w:lang w:eastAsia="ja-JP"/>
        </w:rPr>
      </w:pPr>
      <w:r>
        <w:rPr>
          <w:lang w:eastAsia="ja-JP"/>
        </w:rPr>
        <w:t>‘</w:t>
      </w:r>
      <w:r w:rsidR="00DE5FE0">
        <w:rPr>
          <w:lang w:eastAsia="ja-JP"/>
        </w:rPr>
        <w:t>Nervous syste</w:t>
      </w:r>
      <w:r>
        <w:rPr>
          <w:lang w:eastAsia="ja-JP"/>
        </w:rPr>
        <w:t>m disorders’ were the most commonly</w:t>
      </w:r>
      <w:r w:rsidR="00DE5FE0">
        <w:rPr>
          <w:lang w:eastAsia="ja-JP"/>
        </w:rPr>
        <w:t xml:space="preserve"> reported SAEs, with an incidence in around 7% of subjects, followed by infections and infestations in 6.7% of subjects. </w:t>
      </w:r>
      <w:r>
        <w:rPr>
          <w:lang w:eastAsia="ja-JP"/>
        </w:rPr>
        <w:t xml:space="preserve">The </w:t>
      </w:r>
      <w:r w:rsidR="00DE5FE0">
        <w:rPr>
          <w:lang w:eastAsia="ja-JP"/>
        </w:rPr>
        <w:t xml:space="preserve">PGTCS cohort had a higher incidence (12.9%) of these events, compared to </w:t>
      </w:r>
      <w:r>
        <w:rPr>
          <w:lang w:eastAsia="ja-JP"/>
        </w:rPr>
        <w:t xml:space="preserve">the </w:t>
      </w:r>
      <w:r w:rsidR="00DE5FE0">
        <w:rPr>
          <w:lang w:eastAsia="ja-JP"/>
        </w:rPr>
        <w:t>POS cohort (6%).</w:t>
      </w:r>
    </w:p>
    <w:p w14:paraId="2C5544D6" w14:textId="77777777" w:rsidR="00DE5FE0" w:rsidRPr="00DB1DAB" w:rsidRDefault="00DE5FE0" w:rsidP="0007636B">
      <w:pPr>
        <w:pStyle w:val="Heading6"/>
        <w:rPr>
          <w:lang w:eastAsia="ja-JP"/>
        </w:rPr>
      </w:pPr>
      <w:r w:rsidRPr="00DB1DAB">
        <w:rPr>
          <w:lang w:eastAsia="ja-JP"/>
        </w:rPr>
        <w:lastRenderedPageBreak/>
        <w:t>Study 232</w:t>
      </w:r>
    </w:p>
    <w:p w14:paraId="5E3E9C95" w14:textId="71368C29" w:rsidR="00DE5FE0" w:rsidRDefault="006A0229" w:rsidP="00DE5FE0">
      <w:pPr>
        <w:rPr>
          <w:lang w:eastAsia="ja-JP"/>
        </w:rPr>
      </w:pPr>
      <w:r>
        <w:rPr>
          <w:lang w:eastAsia="ja-JP"/>
        </w:rPr>
        <w:t>‘</w:t>
      </w:r>
      <w:r w:rsidR="00DE5FE0">
        <w:rPr>
          <w:lang w:eastAsia="ja-JP"/>
        </w:rPr>
        <w:t>Respiratory infections</w:t>
      </w:r>
      <w:r>
        <w:rPr>
          <w:lang w:eastAsia="ja-JP"/>
        </w:rPr>
        <w:t>’</w:t>
      </w:r>
      <w:r w:rsidR="00DE5FE0">
        <w:rPr>
          <w:lang w:eastAsia="ja-JP"/>
        </w:rPr>
        <w:t xml:space="preserve"> were the </w:t>
      </w:r>
      <w:r w:rsidR="00113BB8">
        <w:rPr>
          <w:lang w:eastAsia="ja-JP"/>
        </w:rPr>
        <w:t>most common</w:t>
      </w:r>
      <w:r w:rsidR="00DE5FE0">
        <w:rPr>
          <w:lang w:eastAsia="ja-JP"/>
        </w:rPr>
        <w:t xml:space="preserve"> (in 8% of subjects), followed by </w:t>
      </w:r>
      <w:r>
        <w:rPr>
          <w:lang w:eastAsia="ja-JP"/>
        </w:rPr>
        <w:t>‘</w:t>
      </w:r>
      <w:r w:rsidR="00DE5FE0">
        <w:rPr>
          <w:lang w:eastAsia="ja-JP"/>
        </w:rPr>
        <w:t>psychiat</w:t>
      </w:r>
      <w:r w:rsidR="00113BB8">
        <w:rPr>
          <w:lang w:eastAsia="ja-JP"/>
        </w:rPr>
        <w:t>ric disorders</w:t>
      </w:r>
      <w:r>
        <w:rPr>
          <w:lang w:eastAsia="ja-JP"/>
        </w:rPr>
        <w:t>’</w:t>
      </w:r>
      <w:r w:rsidR="00113BB8">
        <w:rPr>
          <w:lang w:eastAsia="ja-JP"/>
        </w:rPr>
        <w:t xml:space="preserve"> (in 4% of subjects).</w:t>
      </w:r>
    </w:p>
    <w:p w14:paraId="2309EDFA" w14:textId="3532B602" w:rsidR="00DE5FE0" w:rsidRPr="0007636B" w:rsidRDefault="00113BB8" w:rsidP="0007636B">
      <w:pPr>
        <w:pStyle w:val="Heading5"/>
      </w:pPr>
      <w:r>
        <w:t>Treatment emergent adverse events</w:t>
      </w:r>
      <w:r w:rsidR="00DE5FE0" w:rsidRPr="0007636B">
        <w:t xml:space="preserve"> that led to discontinuation of the treatment and reduction of dose</w:t>
      </w:r>
    </w:p>
    <w:p w14:paraId="4EFB4E3C" w14:textId="790E8D98" w:rsidR="00DE5FE0" w:rsidRDefault="00113BB8" w:rsidP="0007636B">
      <w:pPr>
        <w:pStyle w:val="Heading6"/>
        <w:rPr>
          <w:lang w:eastAsia="ja-JP"/>
        </w:rPr>
      </w:pPr>
      <w:r>
        <w:rPr>
          <w:lang w:eastAsia="ja-JP"/>
        </w:rPr>
        <w:t>Study 311 and S</w:t>
      </w:r>
      <w:r w:rsidR="00DE5FE0">
        <w:rPr>
          <w:lang w:eastAsia="ja-JP"/>
        </w:rPr>
        <w:t>tudy 232</w:t>
      </w:r>
    </w:p>
    <w:p w14:paraId="19F53967" w14:textId="70303893" w:rsidR="00DE5FE0" w:rsidRDefault="00DE5FE0" w:rsidP="0007636B">
      <w:pPr>
        <w:rPr>
          <w:lang w:eastAsia="ja-JP"/>
        </w:rPr>
      </w:pPr>
      <w:r>
        <w:rPr>
          <w:lang w:eastAsia="ja-JP"/>
        </w:rPr>
        <w:t>Around 10% of subjects across POS and PGTCS cohorts experienced TEAES that led to d</w:t>
      </w:r>
      <w:r w:rsidR="00113BB8">
        <w:rPr>
          <w:lang w:eastAsia="ja-JP"/>
        </w:rPr>
        <w:t>iscontinuation of treatment in S</w:t>
      </w:r>
      <w:r>
        <w:rPr>
          <w:lang w:eastAsia="ja-JP"/>
        </w:rPr>
        <w:t xml:space="preserve">tudy 311. </w:t>
      </w:r>
      <w:r w:rsidR="006A0229">
        <w:rPr>
          <w:lang w:eastAsia="ja-JP"/>
        </w:rPr>
        <w:t>‘</w:t>
      </w:r>
      <w:r>
        <w:rPr>
          <w:lang w:eastAsia="ja-JP"/>
        </w:rPr>
        <w:t>Psychiatric disorders</w:t>
      </w:r>
      <w:r w:rsidR="006A0229">
        <w:rPr>
          <w:lang w:eastAsia="ja-JP"/>
        </w:rPr>
        <w:t>’</w:t>
      </w:r>
      <w:r>
        <w:rPr>
          <w:lang w:eastAsia="ja-JP"/>
        </w:rPr>
        <w:t xml:space="preserve"> </w:t>
      </w:r>
      <w:r w:rsidR="006A0229">
        <w:rPr>
          <w:lang w:eastAsia="ja-JP"/>
        </w:rPr>
        <w:t>presented</w:t>
      </w:r>
      <w:r>
        <w:rPr>
          <w:lang w:eastAsia="ja-JP"/>
        </w:rPr>
        <w:t xml:space="preserve"> the leading cause</w:t>
      </w:r>
      <w:r w:rsidR="00113BB8">
        <w:rPr>
          <w:lang w:eastAsia="ja-JP"/>
        </w:rPr>
        <w:t>,</w:t>
      </w:r>
      <w:r>
        <w:rPr>
          <w:lang w:eastAsia="ja-JP"/>
        </w:rPr>
        <w:t xml:space="preserve"> with an</w:t>
      </w:r>
      <w:r w:rsidR="00113BB8">
        <w:rPr>
          <w:lang w:eastAsia="ja-JP"/>
        </w:rPr>
        <w:t xml:space="preserve"> incidence in 5.6% subjects in Study 311 and 4% subjects in S</w:t>
      </w:r>
      <w:r>
        <w:rPr>
          <w:lang w:eastAsia="ja-JP"/>
        </w:rPr>
        <w:t xml:space="preserve">tudy 232, followed by nervous system disorder in 3.9% subjects in </w:t>
      </w:r>
      <w:r w:rsidR="00113BB8">
        <w:rPr>
          <w:lang w:eastAsia="ja-JP"/>
        </w:rPr>
        <w:t>Study 311 and 4% subjects in S</w:t>
      </w:r>
      <w:r>
        <w:rPr>
          <w:lang w:eastAsia="ja-JP"/>
        </w:rPr>
        <w:t>tudy 232.</w:t>
      </w:r>
    </w:p>
    <w:p w14:paraId="6FA7E394" w14:textId="2F8EEF96" w:rsidR="00DE5FE0" w:rsidRDefault="00DE5FE0" w:rsidP="0007636B">
      <w:pPr>
        <w:rPr>
          <w:lang w:eastAsia="ja-JP"/>
        </w:rPr>
      </w:pPr>
      <w:r>
        <w:rPr>
          <w:lang w:eastAsia="ja-JP"/>
        </w:rPr>
        <w:t>The TEAEs most commonly resulting in dose reduction of study drug dose were somnolence (13.3% subjects), dizziness (5.6% subjects), aggression (4.4% subjects), and i</w:t>
      </w:r>
      <w:r w:rsidR="00113BB8">
        <w:rPr>
          <w:lang w:eastAsia="ja-JP"/>
        </w:rPr>
        <w:t>rritability (4.4% subjects) in S</w:t>
      </w:r>
      <w:r>
        <w:rPr>
          <w:lang w:eastAsia="ja-JP"/>
        </w:rPr>
        <w:t>tudy 311 and fatigue (8% subjects) and</w:t>
      </w:r>
      <w:r w:rsidR="00113BB8">
        <w:rPr>
          <w:lang w:eastAsia="ja-JP"/>
        </w:rPr>
        <w:t xml:space="preserve"> irritability (6% subjects) in S</w:t>
      </w:r>
      <w:r>
        <w:rPr>
          <w:lang w:eastAsia="ja-JP"/>
        </w:rPr>
        <w:t>tudy 232.</w:t>
      </w:r>
    </w:p>
    <w:p w14:paraId="16D2A9B1" w14:textId="77777777" w:rsidR="00DE5FE0" w:rsidRPr="0007636B" w:rsidRDefault="00DE5FE0" w:rsidP="0007636B">
      <w:pPr>
        <w:pStyle w:val="Heading5"/>
      </w:pPr>
      <w:r w:rsidRPr="0007636B">
        <w:t>Death</w:t>
      </w:r>
    </w:p>
    <w:p w14:paraId="2AC4A7C5" w14:textId="371ABDB0" w:rsidR="00DE5FE0" w:rsidRPr="00E05247" w:rsidRDefault="00DE5FE0" w:rsidP="0007636B">
      <w:r>
        <w:t>One death (</w:t>
      </w:r>
      <w:proofErr w:type="gramStart"/>
      <w:r>
        <w:t>4 year old</w:t>
      </w:r>
      <w:proofErr w:type="gramEnd"/>
      <w:r>
        <w:t xml:space="preserve"> mal</w:t>
      </w:r>
      <w:r w:rsidR="00113BB8">
        <w:t>e subject in the POS cohort in S</w:t>
      </w:r>
      <w:r>
        <w:t>tudy 311) due to viral myocarditis was reported. The cause of death was not determined as related to perampanel.</w:t>
      </w:r>
    </w:p>
    <w:p w14:paraId="5564FA72" w14:textId="6F657079" w:rsidR="00DE5FE0" w:rsidRPr="0007636B" w:rsidRDefault="00DE5FE0" w:rsidP="0007636B">
      <w:pPr>
        <w:pStyle w:val="Heading5"/>
      </w:pPr>
      <w:r w:rsidRPr="0007636B">
        <w:t>Safety issue</w:t>
      </w:r>
      <w:r w:rsidR="0007636B">
        <w:t>s</w:t>
      </w:r>
      <w:r w:rsidRPr="0007636B">
        <w:t xml:space="preserve"> with possible regulatory impact</w:t>
      </w:r>
    </w:p>
    <w:p w14:paraId="1DE8C500" w14:textId="319C54AE" w:rsidR="00DE5FE0" w:rsidRPr="00547FC3" w:rsidRDefault="00DE5FE0" w:rsidP="0007636B">
      <w:r w:rsidRPr="004C6771">
        <w:rPr>
          <w:i/>
        </w:rPr>
        <w:t>Live</w:t>
      </w:r>
      <w:r w:rsidR="00113BB8" w:rsidRPr="004C6771">
        <w:rPr>
          <w:i/>
        </w:rPr>
        <w:t>r function and liver toxicity</w:t>
      </w:r>
      <w:r w:rsidR="00113BB8">
        <w:t>: n</w:t>
      </w:r>
      <w:r w:rsidRPr="00A6172E">
        <w:t>o subjects met the criteria for drug-induced liver injury (Hy’s Law) in the Core Study.</w:t>
      </w:r>
      <w:r>
        <w:t xml:space="preserve"> There were subjects with elevated </w:t>
      </w:r>
      <w:r w:rsidR="00113BB8">
        <w:t>g</w:t>
      </w:r>
      <w:r w:rsidR="00113BB8" w:rsidRPr="00113BB8">
        <w:t>amma-glutamyl transferase</w:t>
      </w:r>
      <w:r>
        <w:t xml:space="preserve">, </w:t>
      </w:r>
      <w:r w:rsidR="00113BB8" w:rsidRPr="00113BB8">
        <w:t>alanine aminotransferase</w:t>
      </w:r>
      <w:r>
        <w:t xml:space="preserve"> and </w:t>
      </w:r>
      <w:r w:rsidR="00113BB8">
        <w:t>a</w:t>
      </w:r>
      <w:r w:rsidR="00113BB8" w:rsidRPr="00113BB8">
        <w:t>spartate transaminase</w:t>
      </w:r>
      <w:r>
        <w:t xml:space="preserve"> during the study period. None of these events led to treatment discontinuation.</w:t>
      </w:r>
    </w:p>
    <w:p w14:paraId="2680F472" w14:textId="67FFF528" w:rsidR="00DE5FE0" w:rsidRDefault="00DE5FE0" w:rsidP="0007636B">
      <w:pPr>
        <w:rPr>
          <w:lang w:eastAsia="ja-JP"/>
        </w:rPr>
      </w:pPr>
      <w:r w:rsidRPr="004C6771">
        <w:rPr>
          <w:i/>
        </w:rPr>
        <w:t>Haematological toxicity</w:t>
      </w:r>
      <w:r w:rsidRPr="0007636B">
        <w:t xml:space="preserve">: </w:t>
      </w:r>
      <w:r w:rsidR="00113BB8">
        <w:rPr>
          <w:lang w:eastAsia="ja-JP"/>
        </w:rPr>
        <w:t>i</w:t>
      </w:r>
      <w:r>
        <w:rPr>
          <w:lang w:eastAsia="ja-JP"/>
        </w:rPr>
        <w:t xml:space="preserve">n Study 311, markedly low neutrophils </w:t>
      </w:r>
      <w:proofErr w:type="gramStart"/>
      <w:r>
        <w:rPr>
          <w:lang w:eastAsia="ja-JP"/>
        </w:rPr>
        <w:t xml:space="preserve">were </w:t>
      </w:r>
      <w:r w:rsidR="0007636B">
        <w:rPr>
          <w:lang w:eastAsia="ja-JP"/>
        </w:rPr>
        <w:t>reported</w:t>
      </w:r>
      <w:proofErr w:type="gramEnd"/>
      <w:r w:rsidR="0007636B">
        <w:rPr>
          <w:lang w:eastAsia="ja-JP"/>
        </w:rPr>
        <w:t xml:space="preserve"> in around 5% </w:t>
      </w:r>
      <w:r w:rsidR="003A51D6">
        <w:rPr>
          <w:lang w:eastAsia="ja-JP"/>
        </w:rPr>
        <w:t xml:space="preserve">of </w:t>
      </w:r>
      <w:r w:rsidR="0007636B">
        <w:rPr>
          <w:lang w:eastAsia="ja-JP"/>
        </w:rPr>
        <w:t>subjects</w:t>
      </w:r>
      <w:r w:rsidR="003A51D6">
        <w:rPr>
          <w:lang w:eastAsia="ja-JP"/>
        </w:rPr>
        <w:t xml:space="preserve"> receiving perampanel</w:t>
      </w:r>
      <w:r w:rsidR="0007636B">
        <w:rPr>
          <w:lang w:eastAsia="ja-JP"/>
        </w:rPr>
        <w:t>.</w:t>
      </w:r>
    </w:p>
    <w:p w14:paraId="3C2E7402" w14:textId="77777777" w:rsidR="00DE5FE0" w:rsidRPr="0007636B" w:rsidRDefault="00DE5FE0" w:rsidP="0007636B">
      <w:pPr>
        <w:pStyle w:val="Heading5"/>
      </w:pPr>
      <w:r w:rsidRPr="0007636B">
        <w:t>Adverse events of special interest</w:t>
      </w:r>
    </w:p>
    <w:p w14:paraId="7AE9AB80" w14:textId="77DD2A44" w:rsidR="00DE5FE0" w:rsidRDefault="00DE5FE0" w:rsidP="0007636B">
      <w:pPr>
        <w:pStyle w:val="Heading6"/>
        <w:rPr>
          <w:lang w:eastAsia="ja-JP"/>
        </w:rPr>
      </w:pPr>
      <w:r>
        <w:rPr>
          <w:lang w:eastAsia="ja-JP"/>
        </w:rPr>
        <w:t>Cognition, behaviour and co-ordination</w:t>
      </w:r>
    </w:p>
    <w:p w14:paraId="71653F50" w14:textId="77777777" w:rsidR="00DE5FE0" w:rsidRPr="005834D1" w:rsidRDefault="00DE5FE0" w:rsidP="0007636B">
      <w:pPr>
        <w:pStyle w:val="Heading7"/>
        <w:rPr>
          <w:sz w:val="22"/>
        </w:rPr>
      </w:pPr>
      <w:r w:rsidRPr="005834D1">
        <w:rPr>
          <w:sz w:val="22"/>
        </w:rPr>
        <w:t>Study 311</w:t>
      </w:r>
    </w:p>
    <w:p w14:paraId="543ADCF8" w14:textId="77777777" w:rsidR="00DE5FE0" w:rsidRPr="0007636B" w:rsidRDefault="00DE5FE0" w:rsidP="00113BB8">
      <w:pPr>
        <w:rPr>
          <w:lang w:eastAsia="ja-JP"/>
        </w:rPr>
      </w:pPr>
      <w:r w:rsidRPr="0007636B">
        <w:rPr>
          <w:lang w:eastAsia="ja-JP"/>
        </w:rPr>
        <w:t xml:space="preserve">Around 40% of subjects experienced TEAEs that </w:t>
      </w:r>
      <w:proofErr w:type="gramStart"/>
      <w:r w:rsidRPr="0007636B">
        <w:rPr>
          <w:lang w:eastAsia="ja-JP"/>
        </w:rPr>
        <w:t>were related</w:t>
      </w:r>
      <w:proofErr w:type="gramEnd"/>
      <w:r w:rsidRPr="0007636B">
        <w:rPr>
          <w:lang w:eastAsia="ja-JP"/>
        </w:rPr>
        <w:t xml:space="preserve"> to alertness and cognition.</w:t>
      </w:r>
    </w:p>
    <w:p w14:paraId="713BE823" w14:textId="77777777" w:rsidR="00DE5FE0" w:rsidRPr="0007636B" w:rsidRDefault="00DE5FE0" w:rsidP="00113BB8">
      <w:pPr>
        <w:rPr>
          <w:lang w:eastAsia="ja-JP"/>
        </w:rPr>
      </w:pPr>
      <w:r w:rsidRPr="0007636B">
        <w:rPr>
          <w:lang w:eastAsia="ja-JP"/>
        </w:rPr>
        <w:t>26.1% of subjects reported somnolence and 8.9% subjects reported aggression. In five subjects, these events led to discontinuation.</w:t>
      </w:r>
    </w:p>
    <w:p w14:paraId="3861AF3A" w14:textId="47D60A20" w:rsidR="00DE5FE0" w:rsidRPr="0007636B" w:rsidRDefault="00DE5FE0" w:rsidP="00113BB8">
      <w:pPr>
        <w:rPr>
          <w:lang w:eastAsia="ja-JP"/>
        </w:rPr>
      </w:pPr>
      <w:r w:rsidRPr="0007636B">
        <w:rPr>
          <w:lang w:eastAsia="ja-JP"/>
        </w:rPr>
        <w:t xml:space="preserve">The sponsor used </w:t>
      </w:r>
      <w:r w:rsidR="003A51D6">
        <w:rPr>
          <w:lang w:eastAsia="ja-JP"/>
        </w:rPr>
        <w:t xml:space="preserve">the </w:t>
      </w:r>
      <w:r w:rsidRPr="0007636B">
        <w:rPr>
          <w:lang w:eastAsia="ja-JP"/>
        </w:rPr>
        <w:t>Aldenkamp-Baker Neuropsychological Assessment Schedule (ABNAS)</w:t>
      </w:r>
      <w:r w:rsidR="00421B04">
        <w:rPr>
          <w:rStyle w:val="FootnoteReference"/>
          <w:lang w:eastAsia="ja-JP"/>
        </w:rPr>
        <w:footnoteReference w:id="15"/>
      </w:r>
      <w:r w:rsidRPr="0007636B">
        <w:rPr>
          <w:lang w:eastAsia="ja-JP"/>
        </w:rPr>
        <w:t xml:space="preserve"> method to assess the treatment-related effect on fatigue, slowing, memory, concentration, motor-coordination and language. </w:t>
      </w:r>
      <w:r w:rsidR="00113BB8">
        <w:rPr>
          <w:lang w:eastAsia="ja-JP"/>
        </w:rPr>
        <w:t>The following are the findings: o</w:t>
      </w:r>
      <w:r w:rsidRPr="0007636B">
        <w:rPr>
          <w:lang w:eastAsia="ja-JP"/>
        </w:rPr>
        <w:t xml:space="preserve">verall, the </w:t>
      </w:r>
      <w:r w:rsidR="00113BB8">
        <w:rPr>
          <w:lang w:eastAsia="ja-JP"/>
        </w:rPr>
        <w:t>mean (SD) total ABNAS score at B</w:t>
      </w:r>
      <w:r w:rsidRPr="0007636B">
        <w:rPr>
          <w:lang w:eastAsia="ja-JP"/>
        </w:rPr>
        <w:t>aseline was 19.6 (19.72) (N</w:t>
      </w:r>
      <w:r w:rsidR="00113BB8">
        <w:rPr>
          <w:lang w:eastAsia="ja-JP"/>
        </w:rPr>
        <w:t xml:space="preserve"> </w:t>
      </w:r>
      <w:r w:rsidRPr="0007636B">
        <w:rPr>
          <w:lang w:eastAsia="ja-JP"/>
        </w:rPr>
        <w:t>=</w:t>
      </w:r>
      <w:r w:rsidR="00113BB8">
        <w:rPr>
          <w:lang w:eastAsia="ja-JP"/>
        </w:rPr>
        <w:t xml:space="preserve"> </w:t>
      </w:r>
      <w:r w:rsidRPr="0007636B">
        <w:rPr>
          <w:lang w:eastAsia="ja-JP"/>
        </w:rPr>
        <w:t xml:space="preserve">170), and the mean (SD) </w:t>
      </w:r>
      <w:r w:rsidR="00113BB8">
        <w:rPr>
          <w:lang w:eastAsia="ja-JP"/>
        </w:rPr>
        <w:t>change from B</w:t>
      </w:r>
      <w:r w:rsidRPr="0007636B">
        <w:rPr>
          <w:lang w:eastAsia="ja-JP"/>
        </w:rPr>
        <w:t>aseline was -0.5 (12.78) at Week 23 (N</w:t>
      </w:r>
      <w:r w:rsidR="00113BB8">
        <w:rPr>
          <w:lang w:eastAsia="ja-JP"/>
        </w:rPr>
        <w:t xml:space="preserve"> </w:t>
      </w:r>
      <w:r w:rsidRPr="0007636B">
        <w:rPr>
          <w:lang w:eastAsia="ja-JP"/>
        </w:rPr>
        <w:t>=</w:t>
      </w:r>
      <w:r w:rsidR="00113BB8">
        <w:rPr>
          <w:lang w:eastAsia="ja-JP"/>
        </w:rPr>
        <w:t xml:space="preserve"> </w:t>
      </w:r>
      <w:r w:rsidRPr="0007636B">
        <w:rPr>
          <w:lang w:eastAsia="ja-JP"/>
        </w:rPr>
        <w:t>126) and –3.3 (16.58) at Week 52 (N</w:t>
      </w:r>
      <w:r w:rsidR="00113BB8">
        <w:rPr>
          <w:lang w:eastAsia="ja-JP"/>
        </w:rPr>
        <w:t xml:space="preserve"> </w:t>
      </w:r>
      <w:r w:rsidRPr="0007636B">
        <w:rPr>
          <w:lang w:eastAsia="ja-JP"/>
        </w:rPr>
        <w:t>=</w:t>
      </w:r>
      <w:r w:rsidR="00113BB8">
        <w:rPr>
          <w:lang w:eastAsia="ja-JP"/>
        </w:rPr>
        <w:t xml:space="preserve"> </w:t>
      </w:r>
      <w:r w:rsidRPr="0007636B">
        <w:rPr>
          <w:lang w:eastAsia="ja-JP"/>
        </w:rPr>
        <w:t>112).</w:t>
      </w:r>
    </w:p>
    <w:p w14:paraId="15A12522" w14:textId="1343C8BA" w:rsidR="00DE5FE0" w:rsidRPr="0007636B" w:rsidRDefault="00113BB8" w:rsidP="00113BB8">
      <w:pPr>
        <w:rPr>
          <w:rFonts w:cs="Calibri"/>
          <w:lang w:eastAsia="ja-JP"/>
        </w:rPr>
      </w:pPr>
      <w:r>
        <w:rPr>
          <w:rFonts w:cs="Calibri"/>
          <w:lang w:eastAsia="ja-JP"/>
        </w:rPr>
        <w:t>The Delegate commented that t</w:t>
      </w:r>
      <w:r w:rsidR="00DE5FE0" w:rsidRPr="0007636B">
        <w:rPr>
          <w:rFonts w:cs="Calibri"/>
          <w:lang w:eastAsia="ja-JP"/>
        </w:rPr>
        <w:t xml:space="preserve">he high SD </w:t>
      </w:r>
      <w:proofErr w:type="gramStart"/>
      <w:r w:rsidR="00DE5FE0" w:rsidRPr="0007636B">
        <w:rPr>
          <w:rFonts w:cs="Calibri"/>
          <w:lang w:eastAsia="ja-JP"/>
        </w:rPr>
        <w:t>was noted</w:t>
      </w:r>
      <w:proofErr w:type="gramEnd"/>
      <w:r w:rsidR="00DE5FE0" w:rsidRPr="0007636B">
        <w:rPr>
          <w:rFonts w:cs="Calibri"/>
          <w:lang w:eastAsia="ja-JP"/>
        </w:rPr>
        <w:t xml:space="preserve"> and indicates the large variability of this measure in c</w:t>
      </w:r>
      <w:r w:rsidR="0007636B">
        <w:rPr>
          <w:rFonts w:cs="Calibri"/>
          <w:lang w:eastAsia="ja-JP"/>
        </w:rPr>
        <w:t>hildren 4 to &lt;</w:t>
      </w:r>
      <w:r>
        <w:rPr>
          <w:rFonts w:cs="Calibri"/>
          <w:lang w:eastAsia="ja-JP"/>
        </w:rPr>
        <w:t xml:space="preserve"> 12 years of age.</w:t>
      </w:r>
    </w:p>
    <w:p w14:paraId="621A4CB6" w14:textId="77777777" w:rsidR="00DE5FE0" w:rsidRPr="005834D1" w:rsidRDefault="00DE5FE0" w:rsidP="00113BB8">
      <w:pPr>
        <w:pStyle w:val="Heading7"/>
        <w:rPr>
          <w:sz w:val="22"/>
          <w:lang w:eastAsia="ja-JP"/>
        </w:rPr>
      </w:pPr>
      <w:r w:rsidRPr="005834D1">
        <w:rPr>
          <w:sz w:val="22"/>
          <w:lang w:eastAsia="ja-JP"/>
        </w:rPr>
        <w:lastRenderedPageBreak/>
        <w:t>Study 232</w:t>
      </w:r>
    </w:p>
    <w:p w14:paraId="13D28427" w14:textId="15217816" w:rsidR="00DE5FE0" w:rsidRDefault="00DE5FE0" w:rsidP="003A51D6">
      <w:pPr>
        <w:rPr>
          <w:lang w:eastAsia="ja-JP"/>
        </w:rPr>
      </w:pPr>
      <w:proofErr w:type="gramStart"/>
      <w:r>
        <w:rPr>
          <w:lang w:eastAsia="ja-JP"/>
        </w:rPr>
        <w:t>25%</w:t>
      </w:r>
      <w:proofErr w:type="gramEnd"/>
      <w:r>
        <w:rPr>
          <w:lang w:eastAsia="ja-JP"/>
        </w:rPr>
        <w:t xml:space="preserve"> of subjects in the 7 to &lt;</w:t>
      </w:r>
      <w:r w:rsidR="003A51D6">
        <w:rPr>
          <w:lang w:eastAsia="ja-JP"/>
        </w:rPr>
        <w:t xml:space="preserve"> </w:t>
      </w:r>
      <w:r>
        <w:rPr>
          <w:lang w:eastAsia="ja-JP"/>
        </w:rPr>
        <w:t>12 years age group and 40.9% of subjects in the 2 to 7 years age group experienced TEAEs that were rela</w:t>
      </w:r>
      <w:r w:rsidR="003A51D6">
        <w:rPr>
          <w:lang w:eastAsia="ja-JP"/>
        </w:rPr>
        <w:t>ted to alertness and cognition.</w:t>
      </w:r>
    </w:p>
    <w:p w14:paraId="0E2476BB" w14:textId="2C4F6DA0" w:rsidR="00DE5FE0" w:rsidRDefault="003A51D6" w:rsidP="003A51D6">
      <w:pPr>
        <w:rPr>
          <w:lang w:eastAsia="ja-JP"/>
        </w:rPr>
      </w:pPr>
      <w:r>
        <w:rPr>
          <w:lang w:eastAsia="ja-JP"/>
        </w:rPr>
        <w:t>In S</w:t>
      </w:r>
      <w:r w:rsidR="00DE5FE0">
        <w:rPr>
          <w:lang w:eastAsia="ja-JP"/>
        </w:rPr>
        <w:t xml:space="preserve">tudy 311, </w:t>
      </w:r>
      <w:r>
        <w:rPr>
          <w:lang w:eastAsia="ja-JP"/>
        </w:rPr>
        <w:t xml:space="preserve">the </w:t>
      </w:r>
      <w:r w:rsidR="00CC1399">
        <w:rPr>
          <w:lang w:eastAsia="ja-JP"/>
        </w:rPr>
        <w:t>Child Behaviour Checkl</w:t>
      </w:r>
      <w:r w:rsidR="00DE5FE0" w:rsidRPr="003A51D6">
        <w:rPr>
          <w:lang w:eastAsia="ja-JP"/>
        </w:rPr>
        <w:t>ist</w:t>
      </w:r>
      <w:r w:rsidR="00DE5FE0">
        <w:rPr>
          <w:lang w:eastAsia="ja-JP"/>
        </w:rPr>
        <w:t xml:space="preserve"> </w:t>
      </w:r>
      <w:proofErr w:type="gramStart"/>
      <w:r w:rsidR="00DE5FE0">
        <w:rPr>
          <w:lang w:eastAsia="ja-JP"/>
        </w:rPr>
        <w:t>was used</w:t>
      </w:r>
      <w:proofErr w:type="gramEnd"/>
      <w:r w:rsidR="00DE5FE0">
        <w:rPr>
          <w:lang w:eastAsia="ja-JP"/>
        </w:rPr>
        <w:t xml:space="preserve"> to assess behavioural and emotional problems in children, as reported by the primary caregiver.</w:t>
      </w:r>
      <w:r w:rsidR="00CC1399">
        <w:rPr>
          <w:rStyle w:val="FootnoteReference"/>
          <w:lang w:eastAsia="ja-JP"/>
        </w:rPr>
        <w:footnoteReference w:id="16"/>
      </w:r>
      <w:r w:rsidR="00DE5FE0">
        <w:rPr>
          <w:lang w:eastAsia="ja-JP"/>
        </w:rPr>
        <w:t xml:space="preserve"> There were </w:t>
      </w:r>
      <w:r>
        <w:rPr>
          <w:lang w:eastAsia="ja-JP"/>
        </w:rPr>
        <w:t>no major changes from the mean baseline values.</w:t>
      </w:r>
    </w:p>
    <w:p w14:paraId="15195D70" w14:textId="48994352" w:rsidR="00DE5FE0" w:rsidRDefault="00DE5FE0" w:rsidP="003A51D6">
      <w:pPr>
        <w:rPr>
          <w:lang w:eastAsia="ja-JP"/>
        </w:rPr>
      </w:pPr>
      <w:r>
        <w:rPr>
          <w:lang w:eastAsia="ja-JP"/>
        </w:rPr>
        <w:t>The evaluator has highlighted the increased incidence of aggressive behaviour amo</w:t>
      </w:r>
      <w:r w:rsidR="003A51D6">
        <w:rPr>
          <w:lang w:eastAsia="ja-JP"/>
        </w:rPr>
        <w:t>ng the study population across S</w:t>
      </w:r>
      <w:r>
        <w:rPr>
          <w:lang w:eastAsia="ja-JP"/>
        </w:rPr>
        <w:t xml:space="preserve">tudies 311 and 232. </w:t>
      </w:r>
      <w:proofErr w:type="gramStart"/>
      <w:r>
        <w:rPr>
          <w:lang w:eastAsia="ja-JP"/>
        </w:rPr>
        <w:t>Also</w:t>
      </w:r>
      <w:proofErr w:type="gramEnd"/>
      <w:r>
        <w:rPr>
          <w:lang w:eastAsia="ja-JP"/>
        </w:rPr>
        <w:t>, the lack of control arm limits the ability to make any conclusions in this regard.</w:t>
      </w:r>
    </w:p>
    <w:p w14:paraId="05D7CA80" w14:textId="63EA21CC" w:rsidR="00DE5FE0" w:rsidRDefault="003A51D6" w:rsidP="003A51D6">
      <w:pPr>
        <w:rPr>
          <w:lang w:eastAsia="ja-JP"/>
        </w:rPr>
      </w:pPr>
      <w:r w:rsidRPr="003A51D6">
        <w:rPr>
          <w:lang w:eastAsia="ja-JP"/>
        </w:rPr>
        <w:t xml:space="preserve">The </w:t>
      </w:r>
      <w:r w:rsidR="00CC1399">
        <w:rPr>
          <w:lang w:eastAsia="ja-JP"/>
        </w:rPr>
        <w:t>Lafayette Grooved Pegboard Test</w:t>
      </w:r>
      <w:r w:rsidR="00DE5FE0">
        <w:rPr>
          <w:lang w:eastAsia="ja-JP"/>
        </w:rPr>
        <w:t xml:space="preserve"> </w:t>
      </w:r>
      <w:proofErr w:type="gramStart"/>
      <w:r w:rsidR="00DE5FE0">
        <w:rPr>
          <w:lang w:eastAsia="ja-JP"/>
        </w:rPr>
        <w:t>was used</w:t>
      </w:r>
      <w:proofErr w:type="gramEnd"/>
      <w:r w:rsidR="00DE5FE0">
        <w:rPr>
          <w:lang w:eastAsia="ja-JP"/>
        </w:rPr>
        <w:t xml:space="preserve"> to assess the potential effects of perampanel on co-ordination.</w:t>
      </w:r>
      <w:r w:rsidR="00CC1399">
        <w:rPr>
          <w:rStyle w:val="FootnoteReference"/>
          <w:lang w:eastAsia="ja-JP"/>
        </w:rPr>
        <w:footnoteReference w:id="17"/>
      </w:r>
      <w:r w:rsidR="00DE5FE0">
        <w:rPr>
          <w:lang w:eastAsia="ja-JP"/>
        </w:rPr>
        <w:t xml:space="preserve"> No major changes from mean</w:t>
      </w:r>
      <w:r>
        <w:rPr>
          <w:lang w:eastAsia="ja-JP"/>
        </w:rPr>
        <w:t xml:space="preserve"> baseline values </w:t>
      </w:r>
      <w:proofErr w:type="gramStart"/>
      <w:r>
        <w:rPr>
          <w:lang w:eastAsia="ja-JP"/>
        </w:rPr>
        <w:t>were reported</w:t>
      </w:r>
      <w:proofErr w:type="gramEnd"/>
      <w:r>
        <w:rPr>
          <w:lang w:eastAsia="ja-JP"/>
        </w:rPr>
        <w:t>.</w:t>
      </w:r>
    </w:p>
    <w:p w14:paraId="428032E4" w14:textId="215ED6E1" w:rsidR="00DE5FE0" w:rsidRPr="0007636B" w:rsidRDefault="003A51D6" w:rsidP="0007636B">
      <w:pPr>
        <w:pStyle w:val="Heading5"/>
      </w:pPr>
      <w:r>
        <w:t>Treatment emergent adverse events</w:t>
      </w:r>
      <w:r w:rsidR="00DE5FE0" w:rsidRPr="0007636B">
        <w:t xml:space="preserve"> related to hostility or aggression</w:t>
      </w:r>
    </w:p>
    <w:p w14:paraId="21892F18" w14:textId="1719D4E9" w:rsidR="00DE5FE0" w:rsidRDefault="003A51D6" w:rsidP="0007636B">
      <w:pPr>
        <w:rPr>
          <w:lang w:eastAsia="ja-JP"/>
        </w:rPr>
      </w:pPr>
      <w:r>
        <w:rPr>
          <w:lang w:eastAsia="ja-JP"/>
        </w:rPr>
        <w:t>Overall, in S</w:t>
      </w:r>
      <w:r w:rsidR="00DE5FE0">
        <w:rPr>
          <w:lang w:eastAsia="ja-JP"/>
        </w:rPr>
        <w:t xml:space="preserve">tudy 311, </w:t>
      </w:r>
      <w:r w:rsidR="00DE5FE0" w:rsidRPr="00B22C1B">
        <w:rPr>
          <w:lang w:eastAsia="ja-JP"/>
        </w:rPr>
        <w:t>aggression-</w:t>
      </w:r>
      <w:r w:rsidR="00DE5FE0">
        <w:rPr>
          <w:lang w:eastAsia="ja-JP"/>
        </w:rPr>
        <w:t xml:space="preserve">related TEAEs </w:t>
      </w:r>
      <w:proofErr w:type="gramStart"/>
      <w:r w:rsidR="00DE5FE0">
        <w:rPr>
          <w:lang w:eastAsia="ja-JP"/>
        </w:rPr>
        <w:t>were reported</w:t>
      </w:r>
      <w:proofErr w:type="gramEnd"/>
      <w:r w:rsidR="00DE5FE0">
        <w:rPr>
          <w:lang w:eastAsia="ja-JP"/>
        </w:rPr>
        <w:t xml:space="preserve"> in 32.2% subjects, including 30.9% </w:t>
      </w:r>
      <w:r w:rsidR="00DE5FE0" w:rsidRPr="00B22C1B">
        <w:rPr>
          <w:lang w:eastAsia="ja-JP"/>
        </w:rPr>
        <w:t>subjects i</w:t>
      </w:r>
      <w:r w:rsidR="00DE5FE0">
        <w:rPr>
          <w:lang w:eastAsia="ja-JP"/>
        </w:rPr>
        <w:t xml:space="preserve">n the POS cohort and 38.7% </w:t>
      </w:r>
      <w:r>
        <w:rPr>
          <w:lang w:eastAsia="ja-JP"/>
        </w:rPr>
        <w:t>subjects the PGTC cohort.</w:t>
      </w:r>
    </w:p>
    <w:p w14:paraId="0B6593AC" w14:textId="778D84F7" w:rsidR="00DE5FE0" w:rsidRDefault="00DE5FE0" w:rsidP="0007636B">
      <w:pPr>
        <w:rPr>
          <w:lang w:eastAsia="ja-JP"/>
        </w:rPr>
      </w:pPr>
      <w:r w:rsidRPr="00B22C1B">
        <w:rPr>
          <w:lang w:eastAsia="ja-JP"/>
        </w:rPr>
        <w:t>In Stud</w:t>
      </w:r>
      <w:r>
        <w:rPr>
          <w:lang w:eastAsia="ja-JP"/>
        </w:rPr>
        <w:t>y 232, including its extension p</w:t>
      </w:r>
      <w:r w:rsidRPr="00B22C1B">
        <w:rPr>
          <w:lang w:eastAsia="ja-JP"/>
        </w:rPr>
        <w:t>hase, TEAEs related to hostility or aggres</w:t>
      </w:r>
      <w:r>
        <w:rPr>
          <w:lang w:eastAsia="ja-JP"/>
        </w:rPr>
        <w:t xml:space="preserve">sion </w:t>
      </w:r>
      <w:proofErr w:type="gramStart"/>
      <w:r>
        <w:rPr>
          <w:lang w:eastAsia="ja-JP"/>
        </w:rPr>
        <w:t>were reported</w:t>
      </w:r>
      <w:proofErr w:type="gramEnd"/>
      <w:r>
        <w:rPr>
          <w:lang w:eastAsia="ja-JP"/>
        </w:rPr>
        <w:t xml:space="preserve"> in 47.4%</w:t>
      </w:r>
      <w:r w:rsidRPr="00B22C1B">
        <w:rPr>
          <w:lang w:eastAsia="ja-JP"/>
        </w:rPr>
        <w:t xml:space="preserve"> su</w:t>
      </w:r>
      <w:r>
        <w:rPr>
          <w:lang w:eastAsia="ja-JP"/>
        </w:rPr>
        <w:t xml:space="preserve">bjects in Cohort 2 </w:t>
      </w:r>
      <w:r w:rsidR="0007636B">
        <w:rPr>
          <w:lang w:eastAsia="ja-JP"/>
        </w:rPr>
        <w:t>and 36.4% subjects in Cohort 1.</w:t>
      </w:r>
    </w:p>
    <w:p w14:paraId="52DEE4C8" w14:textId="50C656C2" w:rsidR="00DE5FE0" w:rsidRPr="0007636B" w:rsidRDefault="003A51D6" w:rsidP="0007636B">
      <w:pPr>
        <w:pStyle w:val="Heading5"/>
      </w:pPr>
      <w:r>
        <w:t>Treatment emergent adverse events</w:t>
      </w:r>
      <w:r w:rsidR="00DE5FE0" w:rsidRPr="0007636B">
        <w:t xml:space="preserve"> related to psychosis and psychiatric disorders</w:t>
      </w:r>
    </w:p>
    <w:p w14:paraId="1079E473" w14:textId="5A71A8B0" w:rsidR="00DE5FE0" w:rsidRDefault="003A51D6" w:rsidP="0007636B">
      <w:pPr>
        <w:rPr>
          <w:lang w:eastAsia="ja-JP"/>
        </w:rPr>
      </w:pPr>
      <w:r>
        <w:rPr>
          <w:lang w:eastAsia="ja-JP"/>
        </w:rPr>
        <w:t>Around 4% subjects in Study 311 and 12% subjects in S</w:t>
      </w:r>
      <w:r w:rsidR="00DE5FE0">
        <w:rPr>
          <w:lang w:eastAsia="ja-JP"/>
        </w:rPr>
        <w:t>t</w:t>
      </w:r>
      <w:r>
        <w:rPr>
          <w:lang w:eastAsia="ja-JP"/>
        </w:rPr>
        <w:t xml:space="preserve">udy 232 </w:t>
      </w:r>
      <w:proofErr w:type="gramStart"/>
      <w:r>
        <w:rPr>
          <w:lang w:eastAsia="ja-JP"/>
        </w:rPr>
        <w:t>were reported</w:t>
      </w:r>
      <w:proofErr w:type="gramEnd"/>
      <w:r>
        <w:rPr>
          <w:lang w:eastAsia="ja-JP"/>
        </w:rPr>
        <w:t xml:space="preserve"> with TEAEs</w:t>
      </w:r>
      <w:r w:rsidR="00DE5FE0">
        <w:rPr>
          <w:lang w:eastAsia="ja-JP"/>
        </w:rPr>
        <w:t xml:space="preserve"> related to psychosis.</w:t>
      </w:r>
    </w:p>
    <w:p w14:paraId="2F3DCABF" w14:textId="566AC3D5" w:rsidR="00DE5FE0" w:rsidRPr="0007636B" w:rsidRDefault="003A51D6" w:rsidP="0007636B">
      <w:pPr>
        <w:pStyle w:val="Heading5"/>
      </w:pPr>
      <w:r>
        <w:t>Treatment emergent adverse events</w:t>
      </w:r>
      <w:r w:rsidR="00DE5FE0" w:rsidRPr="0007636B">
        <w:t xml:space="preserve"> related to suicidal ideation and behaviour</w:t>
      </w:r>
    </w:p>
    <w:p w14:paraId="7097D95A" w14:textId="47CCEAF8" w:rsidR="00DE5FE0" w:rsidRDefault="00DE5FE0" w:rsidP="0007636B">
      <w:pPr>
        <w:rPr>
          <w:lang w:eastAsia="ja-JP"/>
        </w:rPr>
      </w:pPr>
      <w:r w:rsidRPr="00A44773">
        <w:rPr>
          <w:lang w:eastAsia="ja-JP"/>
        </w:rPr>
        <w:t xml:space="preserve">In the </w:t>
      </w:r>
      <w:r w:rsidR="003A51D6" w:rsidRPr="00A44773">
        <w:rPr>
          <w:lang w:eastAsia="ja-JP"/>
        </w:rPr>
        <w:t xml:space="preserve">Core Phase </w:t>
      </w:r>
      <w:r w:rsidRPr="00A44773">
        <w:rPr>
          <w:lang w:eastAsia="ja-JP"/>
        </w:rPr>
        <w:t xml:space="preserve">of Study 311, </w:t>
      </w:r>
      <w:proofErr w:type="gramStart"/>
      <w:r w:rsidRPr="00A44773">
        <w:rPr>
          <w:lang w:eastAsia="ja-JP"/>
        </w:rPr>
        <w:t>a total of 23</w:t>
      </w:r>
      <w:proofErr w:type="gramEnd"/>
      <w:r w:rsidRPr="00A44773">
        <w:rPr>
          <w:lang w:eastAsia="ja-JP"/>
        </w:rPr>
        <w:t xml:space="preserve"> TEAEs were reported in 19 subjects related to suicidal ideation or suicidal behaviour. All of the TEAEs were mild or moderate, and there were no suicidality-related SAEs</w:t>
      </w:r>
      <w:r w:rsidR="003A51D6">
        <w:rPr>
          <w:lang w:eastAsia="ja-JP"/>
        </w:rPr>
        <w:t>, but one subject with TEAE of ‘altered mood’</w:t>
      </w:r>
      <w:r w:rsidRPr="00A44773">
        <w:rPr>
          <w:lang w:eastAsia="ja-JP"/>
        </w:rPr>
        <w:t xml:space="preserve"> </w:t>
      </w:r>
      <w:proofErr w:type="gramStart"/>
      <w:r w:rsidRPr="00A44773">
        <w:rPr>
          <w:lang w:eastAsia="ja-JP"/>
        </w:rPr>
        <w:t>was discontinued</w:t>
      </w:r>
      <w:proofErr w:type="gramEnd"/>
      <w:r w:rsidRPr="00A44773">
        <w:rPr>
          <w:lang w:eastAsia="ja-JP"/>
        </w:rPr>
        <w:t xml:space="preserve"> from the study. During t</w:t>
      </w:r>
      <w:r w:rsidR="003A51D6">
        <w:rPr>
          <w:lang w:eastAsia="ja-JP"/>
        </w:rPr>
        <w:t>he Extension Phase, there were four additional TEAEs reported by four</w:t>
      </w:r>
      <w:r w:rsidRPr="00A44773">
        <w:rPr>
          <w:lang w:eastAsia="ja-JP"/>
        </w:rPr>
        <w:t xml:space="preserve"> subjects. All of these TEAEs were mild or moderate.</w:t>
      </w:r>
    </w:p>
    <w:p w14:paraId="0C7A34FB" w14:textId="05AB8AF2" w:rsidR="00DE5FE0" w:rsidRDefault="00DE5FE0" w:rsidP="0007636B">
      <w:r>
        <w:t xml:space="preserve">In Study 232, one subject in the </w:t>
      </w:r>
      <w:r w:rsidR="003A51D6">
        <w:t xml:space="preserve">older cohort </w:t>
      </w:r>
      <w:r>
        <w:t xml:space="preserve">had a TEAE related to suicidal ideation and behaviour in the </w:t>
      </w:r>
      <w:r w:rsidR="003A51D6">
        <w:t>Core Study</w:t>
      </w:r>
      <w:r>
        <w:t xml:space="preserve">. The events </w:t>
      </w:r>
      <w:proofErr w:type="gramStart"/>
      <w:r>
        <w:t>were not classified</w:t>
      </w:r>
      <w:proofErr w:type="gramEnd"/>
      <w:r>
        <w:t xml:space="preserve"> as SAE</w:t>
      </w:r>
      <w:r w:rsidR="003A51D6">
        <w:t>s</w:t>
      </w:r>
      <w:r>
        <w:t xml:space="preserve"> and did not result in treatment discontinuation. Two additional TEAEs related to suicidal ideation/ behaviour </w:t>
      </w:r>
      <w:proofErr w:type="gramStart"/>
      <w:r>
        <w:t>were reported</w:t>
      </w:r>
      <w:proofErr w:type="gramEnd"/>
      <w:r>
        <w:t xml:space="preserve"> in th</w:t>
      </w:r>
      <w:r w:rsidR="0007636B">
        <w:t>e Extension Phase of Study 232.</w:t>
      </w:r>
    </w:p>
    <w:p w14:paraId="474F2839" w14:textId="0D9E2862" w:rsidR="00DE5FE0" w:rsidRPr="0007636B" w:rsidRDefault="003A51D6" w:rsidP="0007636B">
      <w:pPr>
        <w:pStyle w:val="Heading5"/>
      </w:pPr>
      <w:r>
        <w:t>Comparison of the incidence of treatment emergent adverse events</w:t>
      </w:r>
      <w:r w:rsidR="00DE5FE0" w:rsidRPr="0007636B">
        <w:t xml:space="preserve"> between children, adolescents and adults</w:t>
      </w:r>
    </w:p>
    <w:p w14:paraId="42C6DE89" w14:textId="38A80CC4" w:rsidR="00DE5FE0" w:rsidRDefault="00DE5FE0" w:rsidP="0007636B">
      <w:r>
        <w:t xml:space="preserve">In response to evaluator's question, the sponsor provided a comparison of AEs across studies with perampanel in children, adolescents and adults. </w:t>
      </w:r>
      <w:r w:rsidR="003A51D6">
        <w:t>The s</w:t>
      </w:r>
      <w:r w:rsidRPr="00CB133D">
        <w:t>ponsor compared safety data from Studies 304, 305, 306, 332 and 235 with the core study of the current submission, Study 311. The combined</w:t>
      </w:r>
      <w:r>
        <w:t xml:space="preserve"> </w:t>
      </w:r>
      <w:r w:rsidRPr="00CB133D">
        <w:t xml:space="preserve">pool included </w:t>
      </w:r>
      <w:proofErr w:type="gramStart"/>
      <w:r w:rsidRPr="00CB133D">
        <w:t>a total of 1384</w:t>
      </w:r>
      <w:proofErr w:type="gramEnd"/>
      <w:r w:rsidRPr="00CB133D">
        <w:t xml:space="preserve"> subjects (1008 adults, 196 adolescents, and 180 children aged 4 to &lt;</w:t>
      </w:r>
      <w:r w:rsidR="003A51D6">
        <w:t xml:space="preserve"> </w:t>
      </w:r>
      <w:r w:rsidRPr="00CB133D">
        <w:t>12 years) treated with perampanel, compared to 572 subjects (470 adults, and 102 adolescents) treated with placebo.</w:t>
      </w:r>
    </w:p>
    <w:p w14:paraId="625400B7" w14:textId="39AA8BE1" w:rsidR="00DE5FE0" w:rsidRDefault="00DE5FE0" w:rsidP="0007636B">
      <w:r w:rsidRPr="00567DC3">
        <w:t xml:space="preserve">The overall incidence of TEAEs was higher in children. TEAEs </w:t>
      </w:r>
      <w:proofErr w:type="gramStart"/>
      <w:r w:rsidRPr="00567DC3">
        <w:t>were seen</w:t>
      </w:r>
      <w:proofErr w:type="gramEnd"/>
      <w:r w:rsidRPr="00567DC3">
        <w:t xml:space="preserve"> in 79.0% of all subjects treated with perampanel: 88.9% in children, 75.5% in adolescents, and 78.0% in adults. Many individual TEAEs were substantially more common in children, particularly somnolence, irritability and aggression, and some TEAEs related to mood and behaviour </w:t>
      </w:r>
      <w:r w:rsidRPr="00567DC3">
        <w:lastRenderedPageBreak/>
        <w:t>(irritability, aggression and agitation) were more likely to lead to dose reductio</w:t>
      </w:r>
      <w:r w:rsidR="003A51D6">
        <w:t>n or withdrawal (details below):</w:t>
      </w:r>
    </w:p>
    <w:p w14:paraId="4BAC493E" w14:textId="3EE190D2" w:rsidR="00DE5FE0" w:rsidRDefault="00DE5FE0" w:rsidP="0007636B">
      <w:pPr>
        <w:pStyle w:val="ListBullet"/>
      </w:pPr>
      <w:r>
        <w:t>Somnolence (</w:t>
      </w:r>
      <w:r w:rsidRPr="004C6771">
        <w:rPr>
          <w:i/>
        </w:rPr>
        <w:t>26.1% children</w:t>
      </w:r>
      <w:r>
        <w:t>, 14.8% adolescents, 14.2% adults)</w:t>
      </w:r>
      <w:r w:rsidR="003A51D6">
        <w:t>.</w:t>
      </w:r>
    </w:p>
    <w:p w14:paraId="2B82A46B" w14:textId="150CFA8D" w:rsidR="00DE5FE0" w:rsidRDefault="00DE5FE0" w:rsidP="0007636B">
      <w:pPr>
        <w:pStyle w:val="ListBullet"/>
      </w:pPr>
      <w:r>
        <w:t>Dizziness (12.8% children, 24.0% adolescents, 29.5% adults)</w:t>
      </w:r>
      <w:r w:rsidR="003A51D6">
        <w:t>.</w:t>
      </w:r>
    </w:p>
    <w:p w14:paraId="4DEA6EFE" w14:textId="0F1F939C" w:rsidR="00DE5FE0" w:rsidRDefault="00DE5FE0" w:rsidP="0007636B">
      <w:pPr>
        <w:pStyle w:val="ListBullet"/>
      </w:pPr>
      <w:r>
        <w:t>Irritability (</w:t>
      </w:r>
      <w:r w:rsidRPr="004C6771">
        <w:rPr>
          <w:i/>
        </w:rPr>
        <w:t>12.8% children</w:t>
      </w:r>
      <w:r>
        <w:t>, 6.6% adolescents, 7.4% adults)</w:t>
      </w:r>
      <w:r w:rsidR="003A51D6">
        <w:t>.</w:t>
      </w:r>
    </w:p>
    <w:p w14:paraId="35B0E31C" w14:textId="041576E0" w:rsidR="00DE5FE0" w:rsidRDefault="00DE5FE0" w:rsidP="0007636B">
      <w:pPr>
        <w:pStyle w:val="ListBullet"/>
      </w:pPr>
      <w:r>
        <w:t>Aggression (</w:t>
      </w:r>
      <w:r w:rsidRPr="004C6771">
        <w:rPr>
          <w:i/>
        </w:rPr>
        <w:t>8.9% children</w:t>
      </w:r>
      <w:r>
        <w:t>, 7.7% adolescents, 1.0% adults)</w:t>
      </w:r>
      <w:r w:rsidR="003A51D6">
        <w:t>.</w:t>
      </w:r>
    </w:p>
    <w:p w14:paraId="14CD7846" w14:textId="19824879" w:rsidR="00DE5FE0" w:rsidRDefault="00DE5FE0" w:rsidP="0007636B">
      <w:pPr>
        <w:pStyle w:val="ListBullet"/>
      </w:pPr>
      <w:r>
        <w:t xml:space="preserve">Agitation </w:t>
      </w:r>
      <w:r w:rsidRPr="004C6771">
        <w:rPr>
          <w:i/>
        </w:rPr>
        <w:t>(4.4% children</w:t>
      </w:r>
      <w:r>
        <w:t xml:space="preserve">, </w:t>
      </w:r>
      <w:r w:rsidR="0007636B">
        <w:t>0.5% adolescents, 0.4% adults).</w:t>
      </w:r>
    </w:p>
    <w:p w14:paraId="298BCC47" w14:textId="08D5DF54" w:rsidR="00DE5FE0" w:rsidRDefault="00DE5FE0" w:rsidP="0007636B">
      <w:r w:rsidRPr="003A51D6">
        <w:t>TEAEs leading to dose reduction</w:t>
      </w:r>
      <w:r w:rsidRPr="00567DC3">
        <w:t xml:space="preserve"> </w:t>
      </w:r>
      <w:proofErr w:type="gramStart"/>
      <w:r w:rsidRPr="00567DC3">
        <w:t>were observed</w:t>
      </w:r>
      <w:proofErr w:type="gramEnd"/>
      <w:r w:rsidRPr="00567DC3">
        <w:t xml:space="preserve"> in 40.6% of children, compared to 17.9% of adolescents and 15.2% of adults. Across all age groups, common TEAEs (&gt;</w:t>
      </w:r>
      <w:r w:rsidR="003A51D6">
        <w:t xml:space="preserve"> </w:t>
      </w:r>
      <w:proofErr w:type="gramStart"/>
      <w:r w:rsidRPr="00567DC3">
        <w:t>4%</w:t>
      </w:r>
      <w:proofErr w:type="gramEnd"/>
      <w:r w:rsidRPr="00567DC3">
        <w:t>) leading to dose reduction included dizziness (7.7</w:t>
      </w:r>
      <w:r>
        <w:t xml:space="preserve">%) and somnolence (4.6%). Psychiatric and nervous system related </w:t>
      </w:r>
      <w:r w:rsidRPr="00567DC3">
        <w:t xml:space="preserve">TEAEs leading to dose reduction in children </w:t>
      </w:r>
      <w:proofErr w:type="gramStart"/>
      <w:r w:rsidRPr="00567DC3">
        <w:t>were also reported</w:t>
      </w:r>
      <w:proofErr w:type="gramEnd"/>
      <w:r w:rsidRPr="00567DC3">
        <w:t xml:space="preserve"> as TEAEs leading to dose reduction in adolescents and adults, as follows:</w:t>
      </w:r>
    </w:p>
    <w:p w14:paraId="73289821" w14:textId="1E98ABBF" w:rsidR="00DE5FE0" w:rsidRDefault="00DE5FE0" w:rsidP="0007636B">
      <w:pPr>
        <w:pStyle w:val="ListBullet"/>
      </w:pPr>
      <w:r>
        <w:t>Somnolence (13.3% children, 6.1% adolescents, 2.8% adults)</w:t>
      </w:r>
      <w:r w:rsidR="003A51D6">
        <w:t>.</w:t>
      </w:r>
    </w:p>
    <w:p w14:paraId="7761301B" w14:textId="6B05008E" w:rsidR="00DE5FE0" w:rsidRDefault="00DE5FE0" w:rsidP="0007636B">
      <w:pPr>
        <w:pStyle w:val="ListBullet"/>
      </w:pPr>
      <w:r>
        <w:t>Dizziness (5.6% children, 6.1% adolescents, 8.3% adults)</w:t>
      </w:r>
      <w:r w:rsidR="003A51D6">
        <w:t>.</w:t>
      </w:r>
    </w:p>
    <w:p w14:paraId="667F8167" w14:textId="11AC0379" w:rsidR="00DE5FE0" w:rsidRDefault="00DE5FE0" w:rsidP="0007636B">
      <w:pPr>
        <w:pStyle w:val="ListBullet"/>
      </w:pPr>
      <w:r>
        <w:t>Irritability (4.4% children, 1.5% adolescents, 0.9% adults)</w:t>
      </w:r>
      <w:r w:rsidR="003A51D6">
        <w:t>.</w:t>
      </w:r>
    </w:p>
    <w:p w14:paraId="0788CA3B" w14:textId="1B7B8746" w:rsidR="00DE5FE0" w:rsidRDefault="00DE5FE0" w:rsidP="0007636B">
      <w:pPr>
        <w:pStyle w:val="ListBullet"/>
      </w:pPr>
      <w:r>
        <w:t>Aggression (4.4% children, 2.6% adolescents, 0.3% adults)</w:t>
      </w:r>
      <w:r w:rsidR="003A51D6">
        <w:t>.</w:t>
      </w:r>
    </w:p>
    <w:p w14:paraId="25C2F827" w14:textId="7E48334B" w:rsidR="00DE5FE0" w:rsidRDefault="00DE5FE0" w:rsidP="0007636B">
      <w:r w:rsidRPr="003A51D6">
        <w:t>TEAEs leading to withdrawal</w:t>
      </w:r>
      <w:r w:rsidRPr="00567DC3">
        <w:t xml:space="preserve"> </w:t>
      </w:r>
      <w:proofErr w:type="gramStart"/>
      <w:r w:rsidRPr="00567DC3">
        <w:t>were seen</w:t>
      </w:r>
      <w:proofErr w:type="gramEnd"/>
      <w:r w:rsidRPr="00567DC3">
        <w:t xml:space="preserve"> in 9.4% of children, compared to 3.1% of adolescents and 10.0% of adults</w:t>
      </w:r>
      <w:r w:rsidR="003A51D6">
        <w:t>.</w:t>
      </w:r>
    </w:p>
    <w:p w14:paraId="43B6A4EB" w14:textId="457AFDC0" w:rsidR="00DE5FE0" w:rsidRDefault="00DE5FE0" w:rsidP="0007636B">
      <w:r>
        <w:t>In children, TEAES (&gt;</w:t>
      </w:r>
      <w:r w:rsidR="00465C10">
        <w:t xml:space="preserve"> </w:t>
      </w:r>
      <w:proofErr w:type="gramStart"/>
      <w:r>
        <w:t>1%</w:t>
      </w:r>
      <w:proofErr w:type="gramEnd"/>
      <w:r>
        <w:t>) leading to withdrawal included:</w:t>
      </w:r>
    </w:p>
    <w:p w14:paraId="50E1A06A" w14:textId="4CB01ADE" w:rsidR="00DE5FE0" w:rsidRDefault="00DE5FE0" w:rsidP="0007636B">
      <w:pPr>
        <w:pStyle w:val="ListBullet"/>
      </w:pPr>
      <w:r>
        <w:t>Aggression (1.7% children, 0.5% adolescents, 0.4% adults)</w:t>
      </w:r>
      <w:r w:rsidR="00465C10">
        <w:t>.</w:t>
      </w:r>
    </w:p>
    <w:p w14:paraId="2DA7A945" w14:textId="4B5106F9" w:rsidR="00DE5FE0" w:rsidRDefault="00DE5FE0" w:rsidP="00DE5FE0">
      <w:pPr>
        <w:pStyle w:val="ListBullet"/>
      </w:pPr>
      <w:r>
        <w:t>Irritability (1.7% children, 1.0% in adolescents, 0.3% adults)</w:t>
      </w:r>
      <w:r w:rsidR="00465C10">
        <w:t>.</w:t>
      </w:r>
    </w:p>
    <w:p w14:paraId="141598C1" w14:textId="77777777" w:rsidR="00DE5FE0" w:rsidRPr="0007636B" w:rsidRDefault="00DE5FE0" w:rsidP="0007636B">
      <w:pPr>
        <w:pStyle w:val="Heading5"/>
      </w:pPr>
      <w:r w:rsidRPr="0007636B">
        <w:t>Growth and development</w:t>
      </w:r>
    </w:p>
    <w:p w14:paraId="48FF3FE0" w14:textId="7955EAF8" w:rsidR="00DE5FE0" w:rsidRDefault="00DE5FE0" w:rsidP="0007636B">
      <w:r>
        <w:t xml:space="preserve">The sponsor utilised measures such as height, weight, </w:t>
      </w:r>
      <w:r w:rsidR="00465C10">
        <w:t>insulin-like growth factor</w:t>
      </w:r>
      <w:r>
        <w:t xml:space="preserve">-1 </w:t>
      </w:r>
      <w:r w:rsidR="00465C10">
        <w:t xml:space="preserve">(IGF-1) </w:t>
      </w:r>
      <w:r>
        <w:t>and thyroid hormones to assess grow</w:t>
      </w:r>
      <w:r w:rsidR="00CC1399">
        <w:t>th and development.</w:t>
      </w:r>
    </w:p>
    <w:p w14:paraId="034250D7" w14:textId="29C47AD7" w:rsidR="00DE5FE0" w:rsidRPr="0007636B" w:rsidRDefault="00CC1399" w:rsidP="0007636B">
      <w:pPr>
        <w:rPr>
          <w:rFonts w:cs="Calibri"/>
        </w:rPr>
      </w:pPr>
      <w:r>
        <w:rPr>
          <w:rFonts w:cs="Calibri"/>
        </w:rPr>
        <w:t>The Delegate commented that e</w:t>
      </w:r>
      <w:r w:rsidR="00DE5FE0" w:rsidRPr="0007636B">
        <w:rPr>
          <w:rFonts w:cs="Calibri"/>
        </w:rPr>
        <w:t>ven though there were no major change in the mean and median values for these measures from baseline, following were the limitations:</w:t>
      </w:r>
    </w:p>
    <w:p w14:paraId="22240121" w14:textId="25A816C5" w:rsidR="00DE5FE0" w:rsidRPr="0007636B" w:rsidRDefault="00DE5FE0" w:rsidP="0007636B">
      <w:pPr>
        <w:pStyle w:val="ListBullet"/>
      </w:pPr>
      <w:r w:rsidRPr="0007636B">
        <w:t>The wide standard deviation indicates the high</w:t>
      </w:r>
      <w:r w:rsidR="00CC1399">
        <w:t xml:space="preserve"> variability in these measures.</w:t>
      </w:r>
    </w:p>
    <w:p w14:paraId="5A4C0B3B" w14:textId="345AC0B8" w:rsidR="00DE5FE0" w:rsidRPr="0007636B" w:rsidRDefault="00DE5FE0" w:rsidP="0007636B">
      <w:pPr>
        <w:pStyle w:val="ListBullet"/>
      </w:pPr>
      <w:r w:rsidRPr="0007636B">
        <w:t xml:space="preserve">There were high negative values for measures such as </w:t>
      </w:r>
      <w:r w:rsidR="00465C10">
        <w:t>insulin-like growth factor (I</w:t>
      </w:r>
      <w:r w:rsidRPr="0007636B">
        <w:t>GF</w:t>
      </w:r>
      <w:r w:rsidR="00465C10">
        <w:t>)</w:t>
      </w:r>
      <w:r w:rsidRPr="0007636B">
        <w:t xml:space="preserve"> and thyroid hormones, indicative of potential reduction in the levels of these hormones.</w:t>
      </w:r>
    </w:p>
    <w:p w14:paraId="6CBE34CF" w14:textId="394348CE" w:rsidR="00DE5FE0" w:rsidRPr="0007636B" w:rsidRDefault="00DE5FE0" w:rsidP="0007636B">
      <w:pPr>
        <w:pStyle w:val="ListBullet"/>
      </w:pPr>
      <w:r w:rsidRPr="0007636B">
        <w:t>Lack of control arm limits the ability to make any conclusions regarding the potential impact of perampanel on growth and development.</w:t>
      </w:r>
    </w:p>
    <w:p w14:paraId="57FCE415" w14:textId="3D269B49" w:rsidR="00DE5FE0" w:rsidRDefault="00DE5FE0" w:rsidP="003E5CA1">
      <w:pPr>
        <w:pStyle w:val="TableTitle"/>
      </w:pPr>
      <w:bookmarkStart w:id="76" w:name="_Ref67915270"/>
      <w:bookmarkStart w:id="77" w:name="_Toc55303386"/>
      <w:r>
        <w:lastRenderedPageBreak/>
        <w:t xml:space="preserve">Table </w:t>
      </w:r>
      <w:fldSimple w:instr=" SEQ Table \* ARABIC ">
        <w:r w:rsidR="004C6771">
          <w:rPr>
            <w:noProof/>
          </w:rPr>
          <w:t>18</w:t>
        </w:r>
      </w:fldSimple>
      <w:bookmarkEnd w:id="76"/>
      <w:r>
        <w:t xml:space="preserve">: </w:t>
      </w:r>
      <w:r w:rsidR="00465C10">
        <w:t xml:space="preserve">Study 311 </w:t>
      </w:r>
      <w:r>
        <w:t>Measures of growth and development</w:t>
      </w:r>
      <w:bookmarkEnd w:id="77"/>
    </w:p>
    <w:p w14:paraId="6743D81A" w14:textId="05093802" w:rsidR="003E5CA1" w:rsidRDefault="003E5CA1" w:rsidP="003E5CA1">
      <w:r>
        <w:rPr>
          <w:noProof/>
          <w:lang w:eastAsia="en-AU"/>
        </w:rPr>
        <w:drawing>
          <wp:inline distT="0" distB="0" distL="0" distR="0" wp14:anchorId="72E88264" wp14:editId="00782893">
            <wp:extent cx="5400040" cy="7042150"/>
            <wp:effectExtent l="0" t="0" r="0" b="6350"/>
            <wp:docPr id="5" name="Picture 5" descr="Study 311 Measures of growth and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0040" cy="7042150"/>
                    </a:xfrm>
                    <a:prstGeom prst="rect">
                      <a:avLst/>
                    </a:prstGeom>
                  </pic:spPr>
                </pic:pic>
              </a:graphicData>
            </a:graphic>
          </wp:inline>
        </w:drawing>
      </w:r>
    </w:p>
    <w:p w14:paraId="4DB65B46" w14:textId="6344B3CC" w:rsidR="003E5CA1" w:rsidRDefault="003E5CA1" w:rsidP="003E5CA1">
      <w:pPr>
        <w:pStyle w:val="TableTitle"/>
      </w:pPr>
      <w:r>
        <w:lastRenderedPageBreak/>
        <w:fldChar w:fldCharType="begin"/>
      </w:r>
      <w:r>
        <w:instrText xml:space="preserve"> REF _Ref67915270 \h  \* MERGEFORMAT </w:instrText>
      </w:r>
      <w:r>
        <w:fldChar w:fldCharType="separate"/>
      </w:r>
      <w:r w:rsidR="004C6771">
        <w:t xml:space="preserve">Table </w:t>
      </w:r>
      <w:r w:rsidR="004C6771">
        <w:rPr>
          <w:noProof/>
        </w:rPr>
        <w:t>18</w:t>
      </w:r>
      <w:r>
        <w:fldChar w:fldCharType="end"/>
      </w:r>
      <w:r>
        <w:t xml:space="preserve"> (continued): Study 311 Measures of growth and development</w:t>
      </w:r>
    </w:p>
    <w:p w14:paraId="04280FAB" w14:textId="28864F6C" w:rsidR="003E5CA1" w:rsidRDefault="003E5CA1" w:rsidP="003E5CA1">
      <w:r>
        <w:rPr>
          <w:noProof/>
          <w:lang w:eastAsia="en-AU"/>
        </w:rPr>
        <w:drawing>
          <wp:inline distT="0" distB="0" distL="0" distR="0" wp14:anchorId="4C846B07" wp14:editId="6479F9B6">
            <wp:extent cx="5400040" cy="7076440"/>
            <wp:effectExtent l="0" t="0" r="0" b="0"/>
            <wp:docPr id="7" name="Picture 7" descr="Study 311 Measures of growth and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0040" cy="7076440"/>
                    </a:xfrm>
                    <a:prstGeom prst="rect">
                      <a:avLst/>
                    </a:prstGeom>
                  </pic:spPr>
                </pic:pic>
              </a:graphicData>
            </a:graphic>
          </wp:inline>
        </w:drawing>
      </w:r>
    </w:p>
    <w:p w14:paraId="43A19F60" w14:textId="6E47EF80" w:rsidR="003E5CA1" w:rsidRDefault="003E5CA1" w:rsidP="003E5CA1">
      <w:pPr>
        <w:pStyle w:val="TableTitle"/>
      </w:pPr>
      <w:r>
        <w:lastRenderedPageBreak/>
        <w:fldChar w:fldCharType="begin"/>
      </w:r>
      <w:r>
        <w:instrText xml:space="preserve"> REF _Ref67915270 \h  \* MERGEFORMAT </w:instrText>
      </w:r>
      <w:r>
        <w:fldChar w:fldCharType="separate"/>
      </w:r>
      <w:r w:rsidR="004C6771">
        <w:t xml:space="preserve">Table </w:t>
      </w:r>
      <w:r w:rsidR="004C6771">
        <w:rPr>
          <w:noProof/>
        </w:rPr>
        <w:t>18</w:t>
      </w:r>
      <w:r>
        <w:fldChar w:fldCharType="end"/>
      </w:r>
      <w:r>
        <w:t xml:space="preserve"> (continued): Study 311 Measures of growth and development</w:t>
      </w:r>
    </w:p>
    <w:p w14:paraId="7326D07C" w14:textId="3BAF664D" w:rsidR="003E5CA1" w:rsidRDefault="003E5CA1" w:rsidP="003E5CA1">
      <w:r>
        <w:rPr>
          <w:noProof/>
          <w:lang w:eastAsia="en-AU"/>
        </w:rPr>
        <w:drawing>
          <wp:inline distT="0" distB="0" distL="0" distR="0" wp14:anchorId="163E3D01" wp14:editId="2715334D">
            <wp:extent cx="5400040" cy="7044690"/>
            <wp:effectExtent l="0" t="0" r="0" b="3810"/>
            <wp:docPr id="8" name="Picture 8" descr="Study 311 Measures of growth and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00040" cy="7044690"/>
                    </a:xfrm>
                    <a:prstGeom prst="rect">
                      <a:avLst/>
                    </a:prstGeom>
                  </pic:spPr>
                </pic:pic>
              </a:graphicData>
            </a:graphic>
          </wp:inline>
        </w:drawing>
      </w:r>
    </w:p>
    <w:p w14:paraId="52F45A22" w14:textId="545A47D2" w:rsidR="003E5CA1" w:rsidRDefault="003E5CA1" w:rsidP="003E5CA1">
      <w:pPr>
        <w:pStyle w:val="TableTitle"/>
      </w:pPr>
      <w:r>
        <w:lastRenderedPageBreak/>
        <w:fldChar w:fldCharType="begin"/>
      </w:r>
      <w:r>
        <w:instrText xml:space="preserve"> REF _Ref67915270 \h  \* MERGEFORMAT </w:instrText>
      </w:r>
      <w:r>
        <w:fldChar w:fldCharType="separate"/>
      </w:r>
      <w:r w:rsidR="004C6771">
        <w:t xml:space="preserve">Table </w:t>
      </w:r>
      <w:r w:rsidR="004C6771">
        <w:rPr>
          <w:noProof/>
        </w:rPr>
        <w:t>18</w:t>
      </w:r>
      <w:r>
        <w:fldChar w:fldCharType="end"/>
      </w:r>
      <w:r>
        <w:t xml:space="preserve"> (continued): Study 311 Measures of growth and development</w:t>
      </w:r>
    </w:p>
    <w:p w14:paraId="74EB3856" w14:textId="44E45C19" w:rsidR="00DE5FE0" w:rsidRDefault="003E5CA1" w:rsidP="003E5CA1">
      <w:r>
        <w:rPr>
          <w:noProof/>
          <w:lang w:eastAsia="en-AU"/>
        </w:rPr>
        <w:drawing>
          <wp:inline distT="0" distB="0" distL="0" distR="0" wp14:anchorId="1AC35A07" wp14:editId="2371B09D">
            <wp:extent cx="5400040" cy="3615690"/>
            <wp:effectExtent l="0" t="0" r="0" b="3810"/>
            <wp:docPr id="15" name="Picture 15" descr="Study 311 Measures of growth and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040" cy="3615690"/>
                    </a:xfrm>
                    <a:prstGeom prst="rect">
                      <a:avLst/>
                    </a:prstGeom>
                  </pic:spPr>
                </pic:pic>
              </a:graphicData>
            </a:graphic>
          </wp:inline>
        </w:drawing>
      </w:r>
    </w:p>
    <w:p w14:paraId="07ADFD0F" w14:textId="7D03282E" w:rsidR="00F36253" w:rsidRPr="003E5CA1" w:rsidRDefault="00F36253" w:rsidP="00F36253">
      <w:pPr>
        <w:pStyle w:val="TableDescription"/>
      </w:pPr>
      <w:r>
        <w:t>Max = maximum; Min = minimum; PGTC = primary generalised tonic-clonic; POS = partial-onset seizure; SD = standard deviation; SGTC = secondarily generalised tonic-clonic.</w:t>
      </w:r>
    </w:p>
    <w:p w14:paraId="7EDD2650" w14:textId="77777777" w:rsidR="00DE5FE0" w:rsidRPr="00E05247" w:rsidRDefault="00DE5FE0" w:rsidP="0007636B">
      <w:pPr>
        <w:pStyle w:val="Heading5"/>
      </w:pPr>
      <w:r>
        <w:t>Study 235</w:t>
      </w:r>
    </w:p>
    <w:p w14:paraId="0513BAA2" w14:textId="03D29CDC" w:rsidR="00DE5FE0" w:rsidRPr="0007636B" w:rsidRDefault="00DE5FE0" w:rsidP="0007636B">
      <w:r w:rsidRPr="004C6771">
        <w:rPr>
          <w:i/>
        </w:rPr>
        <w:t>Study design</w:t>
      </w:r>
      <w:r w:rsidR="003E5CA1" w:rsidRPr="003E5CA1">
        <w:t xml:space="preserve">: </w:t>
      </w:r>
      <w:r w:rsidR="0087737C">
        <w:t xml:space="preserve">A </w:t>
      </w:r>
      <w:r w:rsidR="003E5CA1" w:rsidRPr="003E5CA1">
        <w:t>d</w:t>
      </w:r>
      <w:r w:rsidRPr="003E5CA1">
        <w:t>ouble</w:t>
      </w:r>
      <w:r w:rsidR="003E5CA1">
        <w:t xml:space="preserve"> blind randomised controlled trial with an open </w:t>
      </w:r>
      <w:r w:rsidRPr="0007636B">
        <w:t>label extension phase.</w:t>
      </w:r>
    </w:p>
    <w:p w14:paraId="60EB9E29" w14:textId="24B90AB9" w:rsidR="00DE5FE0" w:rsidRDefault="00DE5FE0" w:rsidP="0007636B">
      <w:r w:rsidRPr="0007636B">
        <w:t xml:space="preserve">This study </w:t>
      </w:r>
      <w:proofErr w:type="gramStart"/>
      <w:r w:rsidRPr="0007636B">
        <w:t>w</w:t>
      </w:r>
      <w:r w:rsidR="003E5CA1">
        <w:t>as conducted</w:t>
      </w:r>
      <w:proofErr w:type="gramEnd"/>
      <w:r w:rsidR="003E5CA1">
        <w:t xml:space="preserve"> in adolescents (12 to </w:t>
      </w:r>
      <w:r w:rsidRPr="0007636B">
        <w:t>&lt;</w:t>
      </w:r>
      <w:r w:rsidR="003E5CA1">
        <w:t xml:space="preserve"> </w:t>
      </w:r>
      <w:r w:rsidRPr="0007636B">
        <w:t>18 years of age</w:t>
      </w:r>
      <w:r w:rsidR="0087737C">
        <w:t>)</w:t>
      </w:r>
      <w:r w:rsidRPr="0007636B">
        <w:t xml:space="preserve"> with POS to evaluate the effect of perampanel on growth, cognition, safety, tolerability and PK, when administered as an adjuvant therapy. Perampanel </w:t>
      </w:r>
      <w:proofErr w:type="gramStart"/>
      <w:r w:rsidRPr="0007636B">
        <w:t>has already been approved</w:t>
      </w:r>
      <w:proofErr w:type="gramEnd"/>
      <w:r w:rsidRPr="0007636B">
        <w:t xml:space="preserve"> by TGA for use in this patient population</w:t>
      </w:r>
      <w:r w:rsidR="003E5CA1">
        <w:t xml:space="preserve"> (see ‘</w:t>
      </w:r>
      <w:r w:rsidR="003E5CA1" w:rsidRPr="003E5CA1">
        <w:rPr>
          <w:i/>
        </w:rPr>
        <w:fldChar w:fldCharType="begin"/>
      </w:r>
      <w:r w:rsidR="003E5CA1" w:rsidRPr="003E5CA1">
        <w:rPr>
          <w:i/>
        </w:rPr>
        <w:instrText xml:space="preserve"> REF _Ref67915433 \h </w:instrText>
      </w:r>
      <w:r w:rsidR="003E5CA1">
        <w:rPr>
          <w:i/>
        </w:rPr>
        <w:instrText xml:space="preserve"> \* MERGEFORMAT </w:instrText>
      </w:r>
      <w:r w:rsidR="003E5CA1" w:rsidRPr="003E5CA1">
        <w:rPr>
          <w:i/>
        </w:rPr>
      </w:r>
      <w:r w:rsidR="003E5CA1" w:rsidRPr="003E5CA1">
        <w:rPr>
          <w:i/>
        </w:rPr>
        <w:fldChar w:fldCharType="separate"/>
      </w:r>
      <w:r w:rsidR="004C6771" w:rsidRPr="004C6771">
        <w:rPr>
          <w:i/>
        </w:rPr>
        <w:t>Regulatory status</w:t>
      </w:r>
      <w:r w:rsidR="003E5CA1" w:rsidRPr="003E5CA1">
        <w:rPr>
          <w:i/>
        </w:rPr>
        <w:fldChar w:fldCharType="end"/>
      </w:r>
      <w:r w:rsidR="003E5CA1">
        <w:t>’ section, above)</w:t>
      </w:r>
      <w:r w:rsidRPr="0007636B">
        <w:t xml:space="preserve">. The findings of this study were not considered to contribute evidence to support the current proposed indication in children in the </w:t>
      </w:r>
      <w:proofErr w:type="gramStart"/>
      <w:r w:rsidRPr="0007636B">
        <w:t>2</w:t>
      </w:r>
      <w:proofErr w:type="gramEnd"/>
      <w:r w:rsidRPr="0007636B">
        <w:t xml:space="preserve"> to &lt;</w:t>
      </w:r>
      <w:r w:rsidR="003E5CA1">
        <w:t xml:space="preserve"> </w:t>
      </w:r>
      <w:r w:rsidRPr="0007636B">
        <w:t>12 years age group. However, from a safety perspective, the findings of this study on perampanel's effects on cognitive functions are important.</w:t>
      </w:r>
    </w:p>
    <w:p w14:paraId="4D6EB6C2" w14:textId="24487CE4" w:rsidR="00650A7C" w:rsidRPr="0007636B" w:rsidRDefault="00650A7C" w:rsidP="00650A7C">
      <w:pPr>
        <w:pStyle w:val="Heading6"/>
      </w:pPr>
      <w:r>
        <w:t>Results</w:t>
      </w:r>
    </w:p>
    <w:p w14:paraId="4A1F6568" w14:textId="16DA08A0" w:rsidR="00DE5FE0" w:rsidRPr="0007636B" w:rsidRDefault="00DE5FE0" w:rsidP="0007636B">
      <w:pPr>
        <w:rPr>
          <w:lang w:eastAsia="ja-JP"/>
        </w:rPr>
      </w:pPr>
      <w:r w:rsidRPr="0007636B">
        <w:rPr>
          <w:lang w:eastAsia="ja-JP"/>
        </w:rPr>
        <w:t>The evaluator has sum</w:t>
      </w:r>
      <w:r w:rsidR="003E5CA1">
        <w:rPr>
          <w:lang w:eastAsia="ja-JP"/>
        </w:rPr>
        <w:t xml:space="preserve">marised the study findings </w:t>
      </w:r>
      <w:proofErr w:type="gramStart"/>
      <w:r w:rsidR="003E5CA1">
        <w:rPr>
          <w:lang w:eastAsia="ja-JP"/>
        </w:rPr>
        <w:t>as:</w:t>
      </w:r>
      <w:proofErr w:type="gramEnd"/>
      <w:r w:rsidR="003E5CA1">
        <w:rPr>
          <w:lang w:eastAsia="ja-JP"/>
        </w:rPr>
        <w:t xml:space="preserve"> a</w:t>
      </w:r>
      <w:r w:rsidRPr="0007636B">
        <w:rPr>
          <w:lang w:eastAsia="ja-JP"/>
        </w:rPr>
        <w:t xml:space="preserve"> nominally significant </w:t>
      </w:r>
      <w:r w:rsidRPr="0007636B">
        <w:rPr>
          <w:i/>
          <w:lang w:eastAsia="ja-JP"/>
        </w:rPr>
        <w:t>advantage</w:t>
      </w:r>
      <w:r w:rsidRPr="0007636B">
        <w:rPr>
          <w:lang w:eastAsia="ja-JP"/>
        </w:rPr>
        <w:t xml:space="preserve"> for perampanel relative to placebo for the domain of </w:t>
      </w:r>
      <w:r w:rsidR="003E5CA1">
        <w:rPr>
          <w:lang w:eastAsia="ja-JP"/>
        </w:rPr>
        <w:t>‘</w:t>
      </w:r>
      <w:r w:rsidRPr="0007636B">
        <w:rPr>
          <w:lang w:eastAsia="ja-JP"/>
        </w:rPr>
        <w:t>Quality of Episodic Secondary Memory</w:t>
      </w:r>
      <w:r w:rsidR="003E5CA1">
        <w:rPr>
          <w:lang w:eastAsia="ja-JP"/>
        </w:rPr>
        <w:t>’</w:t>
      </w:r>
      <w:r w:rsidRPr="0007636B">
        <w:rPr>
          <w:lang w:eastAsia="ja-JP"/>
        </w:rPr>
        <w:t xml:space="preserve"> was reported. There were statistically significant </w:t>
      </w:r>
      <w:r w:rsidRPr="0007636B">
        <w:rPr>
          <w:i/>
          <w:lang w:eastAsia="ja-JP"/>
        </w:rPr>
        <w:t>disadvantages</w:t>
      </w:r>
      <w:r w:rsidRPr="0007636B">
        <w:rPr>
          <w:lang w:eastAsia="ja-JP"/>
        </w:rPr>
        <w:t xml:space="preserve"> for perampanel relative to placebo for the domains of </w:t>
      </w:r>
      <w:r w:rsidR="003E5CA1">
        <w:rPr>
          <w:lang w:eastAsia="ja-JP"/>
        </w:rPr>
        <w:t>‘</w:t>
      </w:r>
      <w:r w:rsidRPr="0007636B">
        <w:rPr>
          <w:lang w:eastAsia="ja-JP"/>
        </w:rPr>
        <w:t>Continuity of Attention</w:t>
      </w:r>
      <w:r w:rsidR="003E5CA1">
        <w:rPr>
          <w:lang w:eastAsia="ja-JP"/>
        </w:rPr>
        <w:t>’</w:t>
      </w:r>
      <w:r w:rsidRPr="0007636B">
        <w:rPr>
          <w:lang w:eastAsia="ja-JP"/>
        </w:rPr>
        <w:t xml:space="preserve"> and </w:t>
      </w:r>
      <w:r w:rsidR="003E5CA1">
        <w:rPr>
          <w:lang w:eastAsia="ja-JP"/>
        </w:rPr>
        <w:t>‘</w:t>
      </w:r>
      <w:r w:rsidRPr="0007636B">
        <w:rPr>
          <w:lang w:eastAsia="ja-JP"/>
        </w:rPr>
        <w:t>Speed of Memory</w:t>
      </w:r>
      <w:r w:rsidR="003E5CA1">
        <w:rPr>
          <w:lang w:eastAsia="ja-JP"/>
        </w:rPr>
        <w:t>’</w:t>
      </w:r>
      <w:r w:rsidRPr="0007636B">
        <w:rPr>
          <w:lang w:eastAsia="ja-JP"/>
        </w:rPr>
        <w:t xml:space="preserve">. The clinical significance of these results </w:t>
      </w:r>
      <w:r w:rsidR="003E5CA1">
        <w:rPr>
          <w:lang w:eastAsia="ja-JP"/>
        </w:rPr>
        <w:t>remains unclear.</w:t>
      </w:r>
    </w:p>
    <w:p w14:paraId="318230CE" w14:textId="1E0335FA" w:rsidR="00DE5FE0" w:rsidRPr="0007636B" w:rsidRDefault="00DE5FE0" w:rsidP="0007636B">
      <w:pPr>
        <w:rPr>
          <w:lang w:eastAsia="ja-JP"/>
        </w:rPr>
      </w:pPr>
      <w:r w:rsidRPr="0007636B">
        <w:rPr>
          <w:lang w:eastAsia="ja-JP"/>
        </w:rPr>
        <w:t>About a quarter of subjects (</w:t>
      </w:r>
      <w:proofErr w:type="gramStart"/>
      <w:r w:rsidRPr="0007636B">
        <w:rPr>
          <w:lang w:eastAsia="ja-JP"/>
        </w:rPr>
        <w:t>25.9%)</w:t>
      </w:r>
      <w:proofErr w:type="gramEnd"/>
      <w:r w:rsidRPr="0007636B">
        <w:rPr>
          <w:lang w:eastAsia="ja-JP"/>
        </w:rPr>
        <w:t xml:space="preserve"> receiving perampanel had TEAEs categorised under psychiatric disorders compared to only 10.4% of placebo recipients (and this category did not include irritability). Individual </w:t>
      </w:r>
      <w:r w:rsidR="00DC3DAC">
        <w:rPr>
          <w:lang w:eastAsia="ja-JP"/>
        </w:rPr>
        <w:t>PTs</w:t>
      </w:r>
      <w:r w:rsidRPr="0007636B">
        <w:rPr>
          <w:lang w:eastAsia="ja-JP"/>
        </w:rPr>
        <w:t xml:space="preserve"> for irrit</w:t>
      </w:r>
      <w:r w:rsidR="00DC3DAC">
        <w:rPr>
          <w:lang w:eastAsia="ja-JP"/>
        </w:rPr>
        <w:t xml:space="preserve">ability and aggression </w:t>
      </w:r>
      <w:proofErr w:type="gramStart"/>
      <w:r w:rsidR="00DC3DAC">
        <w:rPr>
          <w:lang w:eastAsia="ja-JP"/>
        </w:rPr>
        <w:t xml:space="preserve">were 3 to </w:t>
      </w:r>
      <w:r w:rsidRPr="0007636B">
        <w:rPr>
          <w:lang w:eastAsia="ja-JP"/>
        </w:rPr>
        <w:t>4 times more commonly reported</w:t>
      </w:r>
      <w:proofErr w:type="gramEnd"/>
      <w:r w:rsidRPr="0007636B">
        <w:rPr>
          <w:lang w:eastAsia="ja-JP"/>
        </w:rPr>
        <w:t xml:space="preserve"> on perampanel tha</w:t>
      </w:r>
      <w:r w:rsidR="00DC3DAC">
        <w:rPr>
          <w:lang w:eastAsia="ja-JP"/>
        </w:rPr>
        <w:t>n on placebo (aggression 8.2% versus 2.1%; irritability 7.1% versus</w:t>
      </w:r>
      <w:r w:rsidRPr="0007636B">
        <w:rPr>
          <w:lang w:eastAsia="ja-JP"/>
        </w:rPr>
        <w:t xml:space="preserve"> 2.1%).</w:t>
      </w:r>
    </w:p>
    <w:p w14:paraId="6A97297F" w14:textId="42CCCD1E" w:rsidR="00DE5FE0" w:rsidRPr="0007636B" w:rsidRDefault="00DC3DAC" w:rsidP="0007636B">
      <w:pPr>
        <w:rPr>
          <w:rFonts w:cs="Calibri"/>
        </w:rPr>
      </w:pPr>
      <w:r>
        <w:rPr>
          <w:rFonts w:cs="Calibri"/>
        </w:rPr>
        <w:t xml:space="preserve">The Delegate </w:t>
      </w:r>
      <w:r w:rsidR="00DE5FE0" w:rsidRPr="0007636B">
        <w:rPr>
          <w:rFonts w:cs="Calibri"/>
        </w:rPr>
        <w:t>agrees with the evaluator's conclusions. The higher incidence of psychiatric disorders, irritability and aggression in the</w:t>
      </w:r>
      <w:r>
        <w:rPr>
          <w:rFonts w:cs="Calibri"/>
        </w:rPr>
        <w:t xml:space="preserve"> perampanel arm </w:t>
      </w:r>
      <w:proofErr w:type="gramStart"/>
      <w:r>
        <w:rPr>
          <w:rFonts w:cs="Calibri"/>
        </w:rPr>
        <w:t>was noted</w:t>
      </w:r>
      <w:proofErr w:type="gramEnd"/>
      <w:r>
        <w:rPr>
          <w:rFonts w:cs="Calibri"/>
        </w:rPr>
        <w:t>. S</w:t>
      </w:r>
      <w:r w:rsidR="00DE5FE0" w:rsidRPr="0007636B">
        <w:rPr>
          <w:rFonts w:cs="Calibri"/>
        </w:rPr>
        <w:t xml:space="preserve">tudies 311 and 232 </w:t>
      </w:r>
      <w:proofErr w:type="gramStart"/>
      <w:r w:rsidR="00DE5FE0" w:rsidRPr="0007636B">
        <w:rPr>
          <w:rFonts w:cs="Calibri"/>
        </w:rPr>
        <w:t>were not designed</w:t>
      </w:r>
      <w:proofErr w:type="gramEnd"/>
      <w:r w:rsidR="00DE5FE0" w:rsidRPr="0007636B">
        <w:rPr>
          <w:rFonts w:cs="Calibri"/>
        </w:rPr>
        <w:t xml:space="preserve"> to assess the potential effects of perampanel on cognitive functions of children.</w:t>
      </w:r>
    </w:p>
    <w:p w14:paraId="441FE519" w14:textId="77777777" w:rsidR="00DE5FE0" w:rsidRPr="00650A7C" w:rsidRDefault="00DE5FE0" w:rsidP="00650A7C">
      <w:pPr>
        <w:pStyle w:val="Heading5"/>
      </w:pPr>
      <w:bookmarkStart w:id="78" w:name="_Ref67905164"/>
      <w:r w:rsidRPr="00650A7C">
        <w:lastRenderedPageBreak/>
        <w:t>Study 311 (Extension A)</w:t>
      </w:r>
      <w:bookmarkEnd w:id="78"/>
    </w:p>
    <w:p w14:paraId="16A4C282" w14:textId="370045A7" w:rsidR="00DE5FE0" w:rsidRDefault="00DE5FE0" w:rsidP="00650A7C">
      <w:pPr>
        <w:rPr>
          <w:lang w:eastAsia="ja-JP"/>
        </w:rPr>
      </w:pPr>
      <w:r>
        <w:rPr>
          <w:lang w:eastAsia="ja-JP"/>
        </w:rPr>
        <w:t>Ext</w:t>
      </w:r>
      <w:r w:rsidR="00DC3DAC">
        <w:rPr>
          <w:lang w:eastAsia="ja-JP"/>
        </w:rPr>
        <w:t xml:space="preserve">ension A was the long-term open </w:t>
      </w:r>
      <w:r>
        <w:rPr>
          <w:lang w:eastAsia="ja-JP"/>
        </w:rPr>
        <w:t>label follow-up phase of Study 311. Subje</w:t>
      </w:r>
      <w:r w:rsidR="00DC3DAC">
        <w:rPr>
          <w:lang w:eastAsia="ja-JP"/>
        </w:rPr>
        <w:t>cts eligible to participate in E</w:t>
      </w:r>
      <w:r>
        <w:rPr>
          <w:lang w:eastAsia="ja-JP"/>
        </w:rPr>
        <w:t>xtension A were</w:t>
      </w:r>
      <w:r w:rsidR="00DC3DAC">
        <w:rPr>
          <w:lang w:eastAsia="ja-JP"/>
        </w:rPr>
        <w:t xml:space="preserve"> those who had completed the </w:t>
      </w:r>
      <w:proofErr w:type="gramStart"/>
      <w:r w:rsidR="00DC3DAC">
        <w:rPr>
          <w:lang w:eastAsia="ja-JP"/>
        </w:rPr>
        <w:t xml:space="preserve">23 </w:t>
      </w:r>
      <w:r>
        <w:rPr>
          <w:lang w:eastAsia="ja-JP"/>
        </w:rPr>
        <w:t>week</w:t>
      </w:r>
      <w:proofErr w:type="gramEnd"/>
      <w:r>
        <w:rPr>
          <w:lang w:eastAsia="ja-JP"/>
        </w:rPr>
        <w:t xml:space="preserve"> treatment phase of the Core Study. Extension A consisted of a second maintenance period (up to 29 weeks). Data from subjects who com</w:t>
      </w:r>
      <w:r w:rsidR="00DC3DAC">
        <w:rPr>
          <w:lang w:eastAsia="ja-JP"/>
        </w:rPr>
        <w:t>pleted the E</w:t>
      </w:r>
      <w:r>
        <w:rPr>
          <w:lang w:eastAsia="ja-JP"/>
        </w:rPr>
        <w:t>xtension A stu</w:t>
      </w:r>
      <w:r w:rsidR="00DC3DAC">
        <w:rPr>
          <w:lang w:eastAsia="ja-JP"/>
        </w:rPr>
        <w:t xml:space="preserve">dy period contributed to the </w:t>
      </w:r>
      <w:r w:rsidR="00DC3DAC" w:rsidRPr="00DC3DAC">
        <w:t>52</w:t>
      </w:r>
      <w:r w:rsidR="00DC3DAC">
        <w:t> </w:t>
      </w:r>
      <w:r w:rsidRPr="00DC3DAC">
        <w:t>weeks</w:t>
      </w:r>
      <w:r>
        <w:rPr>
          <w:lang w:eastAsia="ja-JP"/>
        </w:rPr>
        <w:t xml:space="preserve"> safety and efficacy data.</w:t>
      </w:r>
    </w:p>
    <w:p w14:paraId="49C6A136" w14:textId="2DD3A62A" w:rsidR="00DE5FE0" w:rsidRDefault="00DE5FE0" w:rsidP="00650A7C">
      <w:pPr>
        <w:rPr>
          <w:lang w:eastAsia="ja-JP"/>
        </w:rPr>
      </w:pPr>
      <w:r>
        <w:rPr>
          <w:lang w:eastAsia="ja-JP"/>
        </w:rPr>
        <w:t>A follow-up assessment was conducted 4 weeks ±</w:t>
      </w:r>
      <w:r w:rsidR="00DC3DAC">
        <w:rPr>
          <w:lang w:eastAsia="ja-JP"/>
        </w:rPr>
        <w:t xml:space="preserve"> </w:t>
      </w:r>
      <w:r>
        <w:rPr>
          <w:lang w:eastAsia="ja-JP"/>
        </w:rPr>
        <w:t xml:space="preserve">7 days after the last dose of perampanel, unless subjects entered Extension B (an open-label treatment option provided to subjects enrolled in Japan and in countries where an EAP </w:t>
      </w:r>
      <w:proofErr w:type="gramStart"/>
      <w:r>
        <w:rPr>
          <w:lang w:eastAsia="ja-JP"/>
        </w:rPr>
        <w:t>could not be implemented</w:t>
      </w:r>
      <w:proofErr w:type="gramEnd"/>
      <w:r>
        <w:rPr>
          <w:lang w:eastAsia="ja-JP"/>
        </w:rPr>
        <w:t>, after having completed Extension A).</w:t>
      </w:r>
    </w:p>
    <w:p w14:paraId="64235FFE" w14:textId="75479D19" w:rsidR="00DE5FE0" w:rsidRDefault="00DC3DAC" w:rsidP="00650A7C">
      <w:pPr>
        <w:rPr>
          <w:rFonts w:asciiTheme="minorHAnsi" w:hAnsiTheme="minorHAnsi"/>
        </w:rPr>
      </w:pPr>
      <w:r>
        <w:rPr>
          <w:rFonts w:asciiTheme="minorHAnsi" w:hAnsiTheme="minorHAnsi"/>
        </w:rPr>
        <w:t>The objective of E</w:t>
      </w:r>
      <w:r w:rsidR="00DE5FE0">
        <w:rPr>
          <w:rFonts w:asciiTheme="minorHAnsi" w:hAnsiTheme="minorHAnsi"/>
        </w:rPr>
        <w:t xml:space="preserve">xtension A was to assess the </w:t>
      </w:r>
      <w:proofErr w:type="gramStart"/>
      <w:r w:rsidR="00DE5FE0">
        <w:rPr>
          <w:rFonts w:asciiTheme="minorHAnsi" w:hAnsiTheme="minorHAnsi"/>
        </w:rPr>
        <w:t>long term</w:t>
      </w:r>
      <w:proofErr w:type="gramEnd"/>
      <w:r w:rsidR="00DE5FE0">
        <w:rPr>
          <w:rFonts w:asciiTheme="minorHAnsi" w:hAnsiTheme="minorHAnsi"/>
        </w:rPr>
        <w:t xml:space="preserve"> safety, tolerability and effica</w:t>
      </w:r>
      <w:r>
        <w:rPr>
          <w:rFonts w:asciiTheme="minorHAnsi" w:hAnsiTheme="minorHAnsi"/>
        </w:rPr>
        <w:t>cy of perampanel in children (4 to</w:t>
      </w:r>
      <w:r w:rsidR="00DE5FE0">
        <w:rPr>
          <w:rFonts w:asciiTheme="minorHAnsi" w:hAnsiTheme="minorHAnsi"/>
        </w:rPr>
        <w:t xml:space="preserve"> &lt;</w:t>
      </w:r>
      <w:r>
        <w:rPr>
          <w:rFonts w:asciiTheme="minorHAnsi" w:hAnsiTheme="minorHAnsi"/>
        </w:rPr>
        <w:t xml:space="preserve"> </w:t>
      </w:r>
      <w:r w:rsidR="00DE5FE0">
        <w:rPr>
          <w:rFonts w:asciiTheme="minorHAnsi" w:hAnsiTheme="minorHAnsi"/>
        </w:rPr>
        <w:t xml:space="preserve">12 years of </w:t>
      </w:r>
      <w:r>
        <w:rPr>
          <w:rFonts w:asciiTheme="minorHAnsi" w:hAnsiTheme="minorHAnsi"/>
        </w:rPr>
        <w:t>age) with POS and PGTCS.</w:t>
      </w:r>
    </w:p>
    <w:p w14:paraId="3C268923" w14:textId="0690BE65" w:rsidR="00DE5FE0" w:rsidRDefault="00DE5FE0" w:rsidP="00650A7C">
      <w:pPr>
        <w:rPr>
          <w:rFonts w:asciiTheme="minorHAnsi" w:hAnsiTheme="minorHAnsi"/>
        </w:rPr>
      </w:pPr>
      <w:r>
        <w:rPr>
          <w:rFonts w:asciiTheme="minorHAnsi" w:hAnsiTheme="minorHAnsi"/>
        </w:rPr>
        <w:t>The subjects continued to receive the same dose of perampanel that they were receiving at the completion of core study, except if, they were experiencing AEs or if a higher dos</w:t>
      </w:r>
      <w:r w:rsidR="00F36253">
        <w:rPr>
          <w:rFonts w:asciiTheme="minorHAnsi" w:hAnsiTheme="minorHAnsi"/>
        </w:rPr>
        <w:t>e was considered as beneficial.</w:t>
      </w:r>
    </w:p>
    <w:p w14:paraId="2D67D2D7" w14:textId="74C4E02E" w:rsidR="00DE5FE0" w:rsidRDefault="00DE5FE0" w:rsidP="00650A7C">
      <w:pPr>
        <w:rPr>
          <w:rFonts w:asciiTheme="minorHAnsi" w:hAnsiTheme="minorHAnsi"/>
        </w:rPr>
      </w:pPr>
      <w:r>
        <w:rPr>
          <w:rFonts w:asciiTheme="minorHAnsi" w:hAnsiTheme="minorHAnsi"/>
        </w:rPr>
        <w:t xml:space="preserve">Across the </w:t>
      </w:r>
      <w:r w:rsidR="00F36253">
        <w:rPr>
          <w:rFonts w:asciiTheme="minorHAnsi" w:hAnsiTheme="minorHAnsi"/>
        </w:rPr>
        <w:t>Core</w:t>
      </w:r>
      <w:r>
        <w:rPr>
          <w:rFonts w:asciiTheme="minorHAnsi" w:hAnsiTheme="minorHAnsi"/>
        </w:rPr>
        <w:t xml:space="preserve"> study</w:t>
      </w:r>
      <w:r w:rsidR="00DC3DAC">
        <w:rPr>
          <w:rFonts w:asciiTheme="minorHAnsi" w:hAnsiTheme="minorHAnsi"/>
        </w:rPr>
        <w:t xml:space="preserve"> and E</w:t>
      </w:r>
      <w:r w:rsidRPr="005828CE">
        <w:rPr>
          <w:rFonts w:asciiTheme="minorHAnsi" w:hAnsiTheme="minorHAnsi"/>
        </w:rPr>
        <w:t>xtension A</w:t>
      </w:r>
      <w:r>
        <w:rPr>
          <w:rFonts w:asciiTheme="minorHAnsi" w:hAnsiTheme="minorHAnsi"/>
        </w:rPr>
        <w:t xml:space="preserve"> phases</w:t>
      </w:r>
      <w:r w:rsidRPr="005828CE">
        <w:rPr>
          <w:rFonts w:asciiTheme="minorHAnsi" w:hAnsiTheme="minorHAnsi"/>
        </w:rPr>
        <w:t>, the average (SD) of the mean daily dose of perampanel was 7.4 (2.86) mg/day</w:t>
      </w:r>
      <w:r>
        <w:rPr>
          <w:rFonts w:asciiTheme="minorHAnsi" w:hAnsiTheme="minorHAnsi"/>
        </w:rPr>
        <w:t xml:space="preserve"> </w:t>
      </w:r>
      <w:r w:rsidRPr="005828CE">
        <w:rPr>
          <w:rFonts w:asciiTheme="minorHAnsi" w:hAnsiTheme="minorHAnsi"/>
        </w:rPr>
        <w:t>across disease cohorts</w:t>
      </w:r>
      <w:r w:rsidR="00DC3DAC">
        <w:rPr>
          <w:rFonts w:asciiTheme="minorHAnsi" w:hAnsiTheme="minorHAnsi"/>
        </w:rPr>
        <w:t>.</w:t>
      </w:r>
    </w:p>
    <w:p w14:paraId="031054C1" w14:textId="6484E2C5" w:rsidR="00DE5FE0" w:rsidRDefault="00DE5FE0" w:rsidP="00650A7C">
      <w:pPr>
        <w:rPr>
          <w:lang w:eastAsia="ja-JP"/>
        </w:rPr>
      </w:pPr>
      <w:r>
        <w:rPr>
          <w:lang w:eastAsia="ja-JP"/>
        </w:rPr>
        <w:t>Out of the 146 subjects who completed the core st</w:t>
      </w:r>
      <w:r w:rsidR="00DC3DAC">
        <w:rPr>
          <w:lang w:eastAsia="ja-JP"/>
        </w:rPr>
        <w:t>udy, 136 subjects entered into Extension</w:t>
      </w:r>
      <w:r w:rsidR="0087737C">
        <w:rPr>
          <w:lang w:eastAsia="ja-JP"/>
        </w:rPr>
        <w:t> </w:t>
      </w:r>
      <w:r w:rsidR="00DC3DAC">
        <w:rPr>
          <w:lang w:eastAsia="ja-JP"/>
        </w:rPr>
        <w:t>A.</w:t>
      </w:r>
    </w:p>
    <w:p w14:paraId="24903101" w14:textId="7D07C01A" w:rsidR="00DE5FE0" w:rsidRDefault="00DE5FE0" w:rsidP="00650A7C">
      <w:pPr>
        <w:rPr>
          <w:lang w:eastAsia="ja-JP"/>
        </w:rPr>
      </w:pPr>
      <w:proofErr w:type="gramStart"/>
      <w:r>
        <w:rPr>
          <w:lang w:eastAsia="ja-JP"/>
        </w:rPr>
        <w:t>36</w:t>
      </w:r>
      <w:proofErr w:type="gramEnd"/>
      <w:r>
        <w:rPr>
          <w:lang w:eastAsia="ja-JP"/>
        </w:rPr>
        <w:t xml:space="preserve"> subjects (32 subjects with POS, and 4 subjects with PGTC) were in the 4 to &lt;</w:t>
      </w:r>
      <w:r w:rsidR="00DC3DAC">
        <w:rPr>
          <w:lang w:eastAsia="ja-JP"/>
        </w:rPr>
        <w:t xml:space="preserve"> </w:t>
      </w:r>
      <w:r>
        <w:rPr>
          <w:lang w:eastAsia="ja-JP"/>
        </w:rPr>
        <w:t>7 year age group, and 100 subjects (84 subjects with POS, and 16 subjects with PGTC seizures) in the ≥</w:t>
      </w:r>
      <w:r w:rsidR="00DC3DAC">
        <w:rPr>
          <w:lang w:eastAsia="ja-JP"/>
        </w:rPr>
        <w:t> </w:t>
      </w:r>
      <w:r>
        <w:rPr>
          <w:lang w:eastAsia="ja-JP"/>
        </w:rPr>
        <w:t>7 to &lt;</w:t>
      </w:r>
      <w:r w:rsidR="00DC3DAC">
        <w:rPr>
          <w:lang w:eastAsia="ja-JP"/>
        </w:rPr>
        <w:t> </w:t>
      </w:r>
      <w:r>
        <w:rPr>
          <w:lang w:eastAsia="ja-JP"/>
        </w:rPr>
        <w:t>12 year age group.</w:t>
      </w:r>
    </w:p>
    <w:p w14:paraId="112C1ADE" w14:textId="2815F635" w:rsidR="00DE5FE0" w:rsidRDefault="00DE5FE0" w:rsidP="00650A7C">
      <w:pPr>
        <w:rPr>
          <w:lang w:eastAsia="ja-JP"/>
        </w:rPr>
      </w:pPr>
      <w:proofErr w:type="gramStart"/>
      <w:r>
        <w:rPr>
          <w:lang w:eastAsia="ja-JP"/>
        </w:rPr>
        <w:t>A t</w:t>
      </w:r>
      <w:r w:rsidR="00DC3DAC">
        <w:rPr>
          <w:lang w:eastAsia="ja-JP"/>
        </w:rPr>
        <w:t>otal of 122</w:t>
      </w:r>
      <w:proofErr w:type="gramEnd"/>
      <w:r w:rsidR="00DC3DAC">
        <w:rPr>
          <w:lang w:eastAsia="ja-JP"/>
        </w:rPr>
        <w:t xml:space="preserve"> subjects completed E</w:t>
      </w:r>
      <w:r>
        <w:rPr>
          <w:lang w:eastAsia="ja-JP"/>
        </w:rPr>
        <w:t>xtension A, including 31 subjects in 4 to &lt;</w:t>
      </w:r>
      <w:r w:rsidR="00DC3DAC">
        <w:rPr>
          <w:lang w:eastAsia="ja-JP"/>
        </w:rPr>
        <w:t xml:space="preserve"> </w:t>
      </w:r>
      <w:r>
        <w:rPr>
          <w:lang w:eastAsia="ja-JP"/>
        </w:rPr>
        <w:t>7 year age group and 91 subjects in the ≥</w:t>
      </w:r>
      <w:r w:rsidR="00DC3DAC">
        <w:rPr>
          <w:lang w:eastAsia="ja-JP"/>
        </w:rPr>
        <w:t xml:space="preserve"> </w:t>
      </w:r>
      <w:r>
        <w:rPr>
          <w:lang w:eastAsia="ja-JP"/>
        </w:rPr>
        <w:t>7 to &lt;</w:t>
      </w:r>
      <w:r w:rsidR="00DC3DAC">
        <w:rPr>
          <w:lang w:eastAsia="ja-JP"/>
        </w:rPr>
        <w:t xml:space="preserve"> </w:t>
      </w:r>
      <w:r>
        <w:rPr>
          <w:lang w:eastAsia="ja-JP"/>
        </w:rPr>
        <w:t>12 year age group. 17 subjects in PGTC cohort and 105 su</w:t>
      </w:r>
      <w:r w:rsidR="00DC3DAC">
        <w:rPr>
          <w:lang w:eastAsia="ja-JP"/>
        </w:rPr>
        <w:t>bjects in POS cohort completed E</w:t>
      </w:r>
      <w:r>
        <w:rPr>
          <w:lang w:eastAsia="ja-JP"/>
        </w:rPr>
        <w:t xml:space="preserve">xtension </w:t>
      </w:r>
      <w:r w:rsidR="0007636B">
        <w:rPr>
          <w:lang w:eastAsia="ja-JP"/>
        </w:rPr>
        <w:t>A phase.</w:t>
      </w:r>
    </w:p>
    <w:p w14:paraId="640F7224" w14:textId="6DC0FD09" w:rsidR="00DE5FE0" w:rsidRDefault="00DE5FE0" w:rsidP="00DC3DAC">
      <w:pPr>
        <w:pStyle w:val="TableTitle"/>
      </w:pPr>
      <w:bookmarkStart w:id="79" w:name="_Toc55303387"/>
      <w:r>
        <w:t xml:space="preserve">Table </w:t>
      </w:r>
      <w:fldSimple w:instr=" SEQ Table \* ARABIC ">
        <w:r w:rsidR="004C6771">
          <w:rPr>
            <w:noProof/>
          </w:rPr>
          <w:t>19</w:t>
        </w:r>
      </w:fldSimple>
      <w:r>
        <w:t xml:space="preserve">: </w:t>
      </w:r>
      <w:r w:rsidR="00DC3DAC">
        <w:t>Study 311 Extension A s</w:t>
      </w:r>
      <w:r>
        <w:t>ubject disposition</w:t>
      </w:r>
      <w:bookmarkEnd w:id="79"/>
    </w:p>
    <w:p w14:paraId="3F9AB176" w14:textId="6588DFDA" w:rsidR="00DE5FE0" w:rsidRDefault="00DE5FE0" w:rsidP="00DE5FE0">
      <w:pPr>
        <w:rPr>
          <w:lang w:eastAsia="ja-JP"/>
        </w:rPr>
      </w:pPr>
      <w:r>
        <w:rPr>
          <w:noProof/>
          <w:lang w:eastAsia="en-AU"/>
        </w:rPr>
        <w:drawing>
          <wp:inline distT="0" distB="0" distL="0" distR="0" wp14:anchorId="23E27E50" wp14:editId="1AC5C447">
            <wp:extent cx="5361615" cy="2790701"/>
            <wp:effectExtent l="0" t="0" r="0" b="0"/>
            <wp:docPr id="49" name="Picture 49" descr="Study 311 Extension A subjec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68089" cy="2794071"/>
                    </a:xfrm>
                    <a:prstGeom prst="rect">
                      <a:avLst/>
                    </a:prstGeom>
                  </pic:spPr>
                </pic:pic>
              </a:graphicData>
            </a:graphic>
          </wp:inline>
        </w:drawing>
      </w:r>
    </w:p>
    <w:p w14:paraId="0C405345" w14:textId="6294FF33" w:rsidR="00F36253" w:rsidRDefault="00F36253" w:rsidP="00EB7825">
      <w:pPr>
        <w:pStyle w:val="TableDescription"/>
        <w:rPr>
          <w:lang w:eastAsia="ja-JP"/>
        </w:rPr>
      </w:pPr>
      <w:proofErr w:type="gramStart"/>
      <w:r>
        <w:rPr>
          <w:lang w:eastAsia="ja-JP"/>
        </w:rPr>
        <w:t>Subjects were assigned as POS or PGTC by the Investigator</w:t>
      </w:r>
      <w:proofErr w:type="gramEnd"/>
      <w:r>
        <w:rPr>
          <w:lang w:eastAsia="ja-JP"/>
        </w:rPr>
        <w:t xml:space="preserve">. SGTC is the subset of POS subjects who recorded secondarily generalized seizures during the Baseline Period. Percentages </w:t>
      </w:r>
      <w:proofErr w:type="gramStart"/>
      <w:r>
        <w:rPr>
          <w:lang w:eastAsia="ja-JP"/>
        </w:rPr>
        <w:t>are based</w:t>
      </w:r>
      <w:proofErr w:type="gramEnd"/>
      <w:r>
        <w:rPr>
          <w:lang w:eastAsia="ja-JP"/>
        </w:rPr>
        <w:t xml:space="preserve"> on the number of enrolled and treated subjects.</w:t>
      </w:r>
    </w:p>
    <w:p w14:paraId="095308A6" w14:textId="591EA99A" w:rsidR="00F36253" w:rsidRDefault="00F36253" w:rsidP="00EB7825">
      <w:pPr>
        <w:pStyle w:val="TableDescription"/>
        <w:rPr>
          <w:lang w:eastAsia="ja-JP"/>
        </w:rPr>
      </w:pPr>
      <w:r>
        <w:rPr>
          <w:lang w:eastAsia="ja-JP"/>
        </w:rPr>
        <w:t>CRF = case report form, N = total number of subjects in the sample group, n = number of subjects, PGTC = primary generalized tonic-clonic seizures, POS = partial-onset seizures, SGTC = secondarily generalised tonic-clonic seizures.</w:t>
      </w:r>
    </w:p>
    <w:p w14:paraId="4F009E36" w14:textId="596425C8" w:rsidR="00F36253" w:rsidRDefault="00F36253" w:rsidP="00EB7825">
      <w:pPr>
        <w:pStyle w:val="TableDescription"/>
        <w:rPr>
          <w:lang w:eastAsia="ja-JP"/>
        </w:rPr>
      </w:pPr>
      <w:proofErr w:type="gramStart"/>
      <w:r>
        <w:rPr>
          <w:lang w:eastAsia="ja-JP"/>
        </w:rPr>
        <w:lastRenderedPageBreak/>
        <w:t>a</w:t>
      </w:r>
      <w:proofErr w:type="gramEnd"/>
      <w:r>
        <w:rPr>
          <w:lang w:eastAsia="ja-JP"/>
        </w:rPr>
        <w:t xml:space="preserve">: As reported </w:t>
      </w:r>
      <w:r w:rsidR="00EB7825">
        <w:rPr>
          <w:lang w:eastAsia="ja-JP"/>
        </w:rPr>
        <w:t xml:space="preserve">on the Subject Disposition CRF; </w:t>
      </w:r>
      <w:r>
        <w:rPr>
          <w:lang w:eastAsia="ja-JP"/>
        </w:rPr>
        <w:t>b: Corresponding adverse event(s) leading to withdrawal from study/study d</w:t>
      </w:r>
      <w:r w:rsidR="00EB7825">
        <w:rPr>
          <w:lang w:eastAsia="ja-JP"/>
        </w:rPr>
        <w:t>rug are listed in [a table in the clinical study report, not included in this AusPAR].</w:t>
      </w:r>
    </w:p>
    <w:p w14:paraId="2C96C24D" w14:textId="77777777" w:rsidR="00DE5FE0" w:rsidRDefault="00DE5FE0" w:rsidP="00650A7C">
      <w:pPr>
        <w:pStyle w:val="Heading6"/>
      </w:pPr>
      <w:r>
        <w:t>Results</w:t>
      </w:r>
    </w:p>
    <w:p w14:paraId="2EA8D3EC" w14:textId="5B72966D" w:rsidR="00DE5FE0" w:rsidRPr="005834D1" w:rsidRDefault="00DC3DAC" w:rsidP="00650A7C">
      <w:pPr>
        <w:pStyle w:val="Heading7"/>
        <w:rPr>
          <w:sz w:val="22"/>
        </w:rPr>
      </w:pPr>
      <w:r w:rsidRPr="005834D1">
        <w:rPr>
          <w:sz w:val="22"/>
        </w:rPr>
        <w:t>Treatment emergent adverse events</w:t>
      </w:r>
    </w:p>
    <w:p w14:paraId="1DD6D74F" w14:textId="77777777" w:rsidR="00DE5FE0" w:rsidRDefault="00DE5FE0" w:rsidP="00DC3DAC">
      <w:pPr>
        <w:rPr>
          <w:lang w:eastAsia="ja-JP"/>
        </w:rPr>
      </w:pPr>
      <w:r>
        <w:rPr>
          <w:lang w:eastAsia="ja-JP"/>
        </w:rPr>
        <w:t xml:space="preserve">Most TEAEs were mild or moderate in severity. </w:t>
      </w:r>
      <w:proofErr w:type="gramStart"/>
      <w:r>
        <w:rPr>
          <w:lang w:eastAsia="ja-JP"/>
        </w:rPr>
        <w:t>21</w:t>
      </w:r>
      <w:proofErr w:type="gramEnd"/>
      <w:r>
        <w:rPr>
          <w:lang w:eastAsia="ja-JP"/>
        </w:rPr>
        <w:t xml:space="preserve"> (11.7%) subjects had severe TEAEs. 12.2% subjects experienced TEAE that required cessation of treatment with perampanel.</w:t>
      </w:r>
    </w:p>
    <w:p w14:paraId="560EAB9E" w14:textId="613E60EE" w:rsidR="00DE5FE0" w:rsidRPr="0080149B" w:rsidRDefault="00DE5FE0" w:rsidP="00DC3DAC">
      <w:pPr>
        <w:rPr>
          <w:rFonts w:asciiTheme="minorHAnsi" w:hAnsiTheme="minorHAnsi"/>
        </w:rPr>
      </w:pPr>
      <w:r>
        <w:rPr>
          <w:lang w:eastAsia="ja-JP"/>
        </w:rPr>
        <w:t>Somnolence, dizziness, irrita</w:t>
      </w:r>
      <w:r w:rsidR="00DC3DAC">
        <w:rPr>
          <w:lang w:eastAsia="ja-JP"/>
        </w:rPr>
        <w:t>bility and aggression were the most common</w:t>
      </w:r>
      <w:r>
        <w:rPr>
          <w:lang w:eastAsia="ja-JP"/>
        </w:rPr>
        <w:t xml:space="preserve"> treatment-related TEAEs.</w:t>
      </w:r>
    </w:p>
    <w:p w14:paraId="0BDAB5E7" w14:textId="26B37FCD" w:rsidR="00DE5FE0" w:rsidRPr="005834D1" w:rsidRDefault="00DC3DAC" w:rsidP="00650A7C">
      <w:pPr>
        <w:pStyle w:val="Heading7"/>
        <w:rPr>
          <w:sz w:val="22"/>
        </w:rPr>
      </w:pPr>
      <w:r w:rsidRPr="005834D1">
        <w:rPr>
          <w:sz w:val="22"/>
        </w:rPr>
        <w:t>Serious adverse events</w:t>
      </w:r>
    </w:p>
    <w:p w14:paraId="608108CD" w14:textId="0D4F2861" w:rsidR="00DE5FE0" w:rsidRDefault="00DE5FE0" w:rsidP="00DE5FE0">
      <w:pPr>
        <w:spacing w:before="0" w:after="0" w:line="240" w:lineRule="auto"/>
        <w:rPr>
          <w:lang w:eastAsia="ja-JP"/>
        </w:rPr>
      </w:pPr>
      <w:r>
        <w:rPr>
          <w:lang w:eastAsia="ja-JP"/>
        </w:rPr>
        <w:t xml:space="preserve">20.0% subjects experienced treatment-emergent </w:t>
      </w:r>
      <w:r w:rsidR="00DC3DAC">
        <w:rPr>
          <w:lang w:eastAsia="ja-JP"/>
        </w:rPr>
        <w:t>SAEs across the core study and E</w:t>
      </w:r>
      <w:r>
        <w:rPr>
          <w:lang w:eastAsia="ja-JP"/>
        </w:rPr>
        <w:t xml:space="preserve">xtension A. </w:t>
      </w:r>
      <w:r w:rsidRPr="00313532">
        <w:rPr>
          <w:lang w:eastAsia="ja-JP"/>
        </w:rPr>
        <w:t>The mos</w:t>
      </w:r>
      <w:r>
        <w:rPr>
          <w:lang w:eastAsia="ja-JP"/>
        </w:rPr>
        <w:t xml:space="preserve">t common SAEs were seizure in 2.8% subjects and </w:t>
      </w:r>
      <w:r w:rsidRPr="00313532">
        <w:rPr>
          <w:lang w:eastAsia="ja-JP"/>
        </w:rPr>
        <w:t>pne</w:t>
      </w:r>
      <w:r>
        <w:rPr>
          <w:lang w:eastAsia="ja-JP"/>
        </w:rPr>
        <w:t>umonia in 2.2% subjects.</w:t>
      </w:r>
    </w:p>
    <w:p w14:paraId="513B8EEB" w14:textId="2A7F6AE3" w:rsidR="00DE5FE0" w:rsidRPr="005834D1" w:rsidRDefault="00DC3DAC" w:rsidP="00650A7C">
      <w:pPr>
        <w:pStyle w:val="Heading7"/>
        <w:rPr>
          <w:sz w:val="22"/>
        </w:rPr>
      </w:pPr>
      <w:r w:rsidRPr="005834D1">
        <w:rPr>
          <w:sz w:val="22"/>
        </w:rPr>
        <w:t>Treatment emergent adverse events</w:t>
      </w:r>
      <w:r w:rsidR="00DE5FE0" w:rsidRPr="005834D1">
        <w:rPr>
          <w:sz w:val="22"/>
        </w:rPr>
        <w:t xml:space="preserve"> that led to dose adjustment</w:t>
      </w:r>
    </w:p>
    <w:p w14:paraId="4E28659E" w14:textId="5987E79A" w:rsidR="00DE5FE0" w:rsidRPr="00DE5FE0" w:rsidRDefault="00DE5FE0" w:rsidP="00DE5FE0">
      <w:pPr>
        <w:rPr>
          <w:lang w:eastAsia="ja-JP"/>
        </w:rPr>
      </w:pPr>
      <w:r>
        <w:rPr>
          <w:lang w:eastAsia="ja-JP"/>
        </w:rPr>
        <w:t>Dizziness (6.7%), somnolence (13.9%), aggression (5%) and irritability (4.4%) were the common causes of dose adjustment. In total, 18.3% of subjects required a dose reductio</w:t>
      </w:r>
      <w:r w:rsidR="00650A7C">
        <w:rPr>
          <w:lang w:eastAsia="ja-JP"/>
        </w:rPr>
        <w:t>n because of psychiatric TEAEs.</w:t>
      </w:r>
    </w:p>
    <w:p w14:paraId="7ECF46EB" w14:textId="77777777" w:rsidR="008E7846" w:rsidRDefault="00386150" w:rsidP="007B6132">
      <w:pPr>
        <w:pStyle w:val="Heading3"/>
        <w:rPr>
          <w:lang w:eastAsia="en-AU"/>
        </w:rPr>
      </w:pPr>
      <w:bookmarkStart w:id="80" w:name="_Toc314842514"/>
      <w:bookmarkStart w:id="81" w:name="_Toc70347475"/>
      <w:r>
        <w:rPr>
          <w:lang w:eastAsia="en-AU"/>
        </w:rPr>
        <w:t>Risk m</w:t>
      </w:r>
      <w:r w:rsidR="008E7846">
        <w:rPr>
          <w:lang w:eastAsia="en-AU"/>
        </w:rPr>
        <w:t xml:space="preserve">anagement </w:t>
      </w:r>
      <w:r>
        <w:rPr>
          <w:lang w:eastAsia="en-AU"/>
        </w:rPr>
        <w:t>p</w:t>
      </w:r>
      <w:r w:rsidR="008E7846">
        <w:rPr>
          <w:lang w:eastAsia="en-AU"/>
        </w:rPr>
        <w:t>lan</w:t>
      </w:r>
      <w:bookmarkEnd w:id="80"/>
      <w:bookmarkEnd w:id="81"/>
    </w:p>
    <w:p w14:paraId="70E0B47B" w14:textId="45A71B05" w:rsidR="007D53B6" w:rsidRPr="00DC3DAC" w:rsidRDefault="00650A7C" w:rsidP="00DC3DAC">
      <w:r w:rsidRPr="00DC3DAC">
        <w:t>In support of the extended indications, the sponsor has submitted EU-</w:t>
      </w:r>
      <w:r w:rsidR="00DC3DAC" w:rsidRPr="00DC3DAC">
        <w:t>risk management plan (</w:t>
      </w:r>
      <w:r w:rsidRPr="00DC3DAC">
        <w:t>RMP</w:t>
      </w:r>
      <w:r w:rsidR="00DC3DAC" w:rsidRPr="00DC3DAC">
        <w:t>)</w:t>
      </w:r>
      <w:r w:rsidRPr="00DC3DAC">
        <w:t xml:space="preserve"> version 4.3 (dated 16 January 2019, </w:t>
      </w:r>
      <w:r w:rsidR="00DC3DAC">
        <w:t>data lock point (</w:t>
      </w:r>
      <w:r w:rsidRPr="00DC3DAC">
        <w:t>DLP</w:t>
      </w:r>
      <w:r w:rsidR="00DC3DAC">
        <w:t>)</w:t>
      </w:r>
      <w:r w:rsidRPr="00DC3DAC">
        <w:t xml:space="preserve"> 22 July 2018) and </w:t>
      </w:r>
      <w:r w:rsidR="00DC3DAC">
        <w:t>Australian specific Annex (</w:t>
      </w:r>
      <w:r w:rsidRPr="00DC3DAC">
        <w:t>ASA</w:t>
      </w:r>
      <w:r w:rsidR="00DC3DAC">
        <w:t>)</w:t>
      </w:r>
      <w:r w:rsidRPr="00DC3DAC">
        <w:t xml:space="preserve"> version 4 (DLP 22 November 2019). The most recently evaluated EU-RMP was version 3.3 (dated 21 May 2015, DLP 18 May 2015) and ASA Version 3 (</w:t>
      </w:r>
      <w:r w:rsidR="00DC3DAC">
        <w:t>dated November 2015). At the second round of evaluation</w:t>
      </w:r>
      <w:r w:rsidRPr="00DC3DAC">
        <w:t>, the sponsor provided an updated EU-RMP version 4.4 (date 13 May 2020; DLP 22 July 2019) and ASA version 4.</w:t>
      </w:r>
      <w:r w:rsidR="00DC3DAC">
        <w:t>1 dated 20 July 2020. At the third round of evaluation</w:t>
      </w:r>
      <w:r w:rsidRPr="00DC3DAC">
        <w:t>, the sponsor provided an updated ASA version 4.2 dated 26 October 2020 incorporating all the</w:t>
      </w:r>
      <w:r w:rsidR="00DC3DAC">
        <w:t xml:space="preserve"> recommendations made at the second round of evaluation</w:t>
      </w:r>
      <w:r w:rsidRPr="00DC3DAC">
        <w:t>.</w:t>
      </w:r>
    </w:p>
    <w:p w14:paraId="2F5CF531" w14:textId="41064FD4" w:rsidR="00650A7C" w:rsidRDefault="00650A7C" w:rsidP="00DC3DAC">
      <w:r w:rsidRPr="00650A7C">
        <w:t xml:space="preserve">At </w:t>
      </w:r>
      <w:r w:rsidR="00DC3DAC">
        <w:t>the second round of this</w:t>
      </w:r>
      <w:r w:rsidRPr="00650A7C">
        <w:t xml:space="preserve"> evaluation, the sponsor changed the proposed indication, raising the minimum age of the proposed paediatric patient population for both partial onset seizures and primary generalised tonic-clonic seizures from 2 years to 4 years.</w:t>
      </w:r>
    </w:p>
    <w:p w14:paraId="7778D07C" w14:textId="7938BB1B" w:rsidR="007D53B6" w:rsidRDefault="007D53B6" w:rsidP="00DC3DAC">
      <w:r>
        <w:t>The summary of safety concerns and their associated risk monitoring and mitigation strategies are summarised in</w:t>
      </w:r>
      <w:r w:rsidR="00DC3DAC">
        <w:t xml:space="preserve"> </w:t>
      </w:r>
      <w:r w:rsidR="00DC3DAC">
        <w:fldChar w:fldCharType="begin"/>
      </w:r>
      <w:r w:rsidR="00DC3DAC">
        <w:instrText xml:space="preserve"> REF _Ref67915911 \h </w:instrText>
      </w:r>
      <w:r w:rsidR="00DC3DAC">
        <w:fldChar w:fldCharType="separate"/>
      </w:r>
      <w:r w:rsidR="004C6771">
        <w:t xml:space="preserve">Table </w:t>
      </w:r>
      <w:r w:rsidR="004C6771">
        <w:rPr>
          <w:noProof/>
        </w:rPr>
        <w:t>20</w:t>
      </w:r>
      <w:r w:rsidR="00DC3DAC">
        <w:fldChar w:fldCharType="end"/>
      </w:r>
      <w:r>
        <w:t>.</w:t>
      </w:r>
      <w:r>
        <w:rPr>
          <w:rStyle w:val="FootnoteReference"/>
        </w:rPr>
        <w:footnoteReference w:id="18"/>
      </w:r>
    </w:p>
    <w:p w14:paraId="542EDE35" w14:textId="257D939F" w:rsidR="00650A7C" w:rsidRDefault="00650A7C" w:rsidP="00650A7C">
      <w:pPr>
        <w:pStyle w:val="TableTitle"/>
        <w:rPr>
          <w:rFonts w:eastAsia="Times New Roman"/>
          <w:iCs/>
          <w:snapToGrid w:val="0"/>
          <w:kern w:val="16"/>
          <w:sz w:val="23"/>
        </w:rPr>
      </w:pPr>
      <w:bookmarkStart w:id="82" w:name="_Ref67915911"/>
      <w:r>
        <w:lastRenderedPageBreak/>
        <w:t xml:space="preserve">Table </w:t>
      </w:r>
      <w:fldSimple w:instr=" SEQ Table \* ARABIC ">
        <w:r w:rsidR="004C6771">
          <w:rPr>
            <w:noProof/>
          </w:rPr>
          <w:t>20</w:t>
        </w:r>
      </w:fldSimple>
      <w:bookmarkEnd w:id="82"/>
      <w:r>
        <w:t xml:space="preserve">: </w:t>
      </w:r>
      <w:r>
        <w:rPr>
          <w:rFonts w:eastAsia="Times New Roman"/>
          <w:iCs/>
          <w:snapToGrid w:val="0"/>
          <w:kern w:val="16"/>
          <w:sz w:val="23"/>
        </w:rPr>
        <w:t>Summary of safety concerns</w:t>
      </w:r>
    </w:p>
    <w:tbl>
      <w:tblPr>
        <w:tblStyle w:val="TableTGAblue"/>
        <w:tblW w:w="5000" w:type="pct"/>
        <w:tblLook w:val="04A0" w:firstRow="1" w:lastRow="0" w:firstColumn="1" w:lastColumn="0" w:noHBand="0" w:noVBand="1"/>
      </w:tblPr>
      <w:tblGrid>
        <w:gridCol w:w="1327"/>
        <w:gridCol w:w="3140"/>
        <w:gridCol w:w="941"/>
        <w:gridCol w:w="1185"/>
        <w:gridCol w:w="942"/>
        <w:gridCol w:w="1185"/>
      </w:tblGrid>
      <w:tr w:rsidR="00DE5FE0" w:rsidRPr="00650A7C" w14:paraId="65A27606" w14:textId="77777777" w:rsidTr="007E1183">
        <w:trPr>
          <w:cnfStyle w:val="100000000000" w:firstRow="1" w:lastRow="0" w:firstColumn="0" w:lastColumn="0" w:oddVBand="0" w:evenVBand="0" w:oddHBand="0" w:evenHBand="0" w:firstRowFirstColumn="0" w:firstRowLastColumn="0" w:lastRowFirstColumn="0" w:lastRowLastColumn="0"/>
          <w:trHeight w:val="131"/>
        </w:trPr>
        <w:tc>
          <w:tcPr>
            <w:tcW w:w="2562" w:type="pct"/>
            <w:gridSpan w:val="2"/>
            <w:vMerge w:val="restart"/>
          </w:tcPr>
          <w:p w14:paraId="0A22F563" w14:textId="77777777" w:rsidR="00DE5FE0" w:rsidRPr="00650A7C" w:rsidRDefault="00DE5FE0" w:rsidP="00DC3DAC">
            <w:pPr>
              <w:spacing w:before="20" w:after="20" w:line="252" w:lineRule="auto"/>
              <w:ind w:left="0" w:right="0"/>
              <w:rPr>
                <w:rFonts w:eastAsia="Times New Roman"/>
                <w:snapToGrid w:val="0"/>
                <w:kern w:val="16"/>
                <w:sz w:val="20"/>
                <w:szCs w:val="20"/>
              </w:rPr>
            </w:pPr>
            <w:r w:rsidRPr="00650A7C">
              <w:rPr>
                <w:rFonts w:eastAsia="Times New Roman"/>
                <w:snapToGrid w:val="0"/>
                <w:kern w:val="16"/>
                <w:sz w:val="20"/>
                <w:szCs w:val="20"/>
              </w:rPr>
              <w:t>Summary of safety concerns</w:t>
            </w:r>
          </w:p>
        </w:tc>
        <w:tc>
          <w:tcPr>
            <w:tcW w:w="1219" w:type="pct"/>
            <w:gridSpan w:val="2"/>
          </w:tcPr>
          <w:p w14:paraId="7A2C7D2D" w14:textId="77777777" w:rsidR="00DE5FE0" w:rsidRPr="00650A7C" w:rsidRDefault="00DE5FE0" w:rsidP="00DC3DAC">
            <w:pPr>
              <w:spacing w:before="20" w:after="20" w:line="252" w:lineRule="auto"/>
              <w:ind w:left="0" w:right="0"/>
              <w:rPr>
                <w:rFonts w:eastAsia="Times New Roman"/>
                <w:snapToGrid w:val="0"/>
                <w:kern w:val="16"/>
                <w:sz w:val="20"/>
                <w:szCs w:val="20"/>
              </w:rPr>
            </w:pPr>
            <w:r w:rsidRPr="00650A7C">
              <w:rPr>
                <w:rFonts w:eastAsia="Times New Roman"/>
                <w:snapToGrid w:val="0"/>
                <w:kern w:val="16"/>
                <w:sz w:val="20"/>
                <w:szCs w:val="20"/>
              </w:rPr>
              <w:t>Pharmacovigilance</w:t>
            </w:r>
          </w:p>
        </w:tc>
        <w:tc>
          <w:tcPr>
            <w:tcW w:w="1219" w:type="pct"/>
            <w:gridSpan w:val="2"/>
          </w:tcPr>
          <w:p w14:paraId="17CB199E" w14:textId="68A098C1" w:rsidR="00DE5FE0" w:rsidRPr="00650A7C" w:rsidRDefault="00DC3DAC" w:rsidP="00DC3DAC">
            <w:pPr>
              <w:spacing w:before="20" w:after="20" w:line="252" w:lineRule="auto"/>
              <w:ind w:left="0" w:right="0"/>
              <w:rPr>
                <w:rFonts w:eastAsia="Times New Roman"/>
                <w:snapToGrid w:val="0"/>
                <w:kern w:val="16"/>
                <w:sz w:val="20"/>
                <w:szCs w:val="20"/>
              </w:rPr>
            </w:pPr>
            <w:r>
              <w:rPr>
                <w:rFonts w:eastAsia="Times New Roman"/>
                <w:snapToGrid w:val="0"/>
                <w:kern w:val="16"/>
                <w:sz w:val="20"/>
                <w:szCs w:val="20"/>
              </w:rPr>
              <w:t>Risk m</w:t>
            </w:r>
            <w:r w:rsidR="00DE5FE0" w:rsidRPr="00650A7C">
              <w:rPr>
                <w:rFonts w:eastAsia="Times New Roman"/>
                <w:snapToGrid w:val="0"/>
                <w:kern w:val="16"/>
                <w:sz w:val="20"/>
                <w:szCs w:val="20"/>
              </w:rPr>
              <w:t>inimisation</w:t>
            </w:r>
          </w:p>
        </w:tc>
      </w:tr>
      <w:tr w:rsidR="00DE5FE0" w:rsidRPr="00650A7C" w14:paraId="4C02EB4D" w14:textId="77777777" w:rsidTr="007E1183">
        <w:trPr>
          <w:trHeight w:val="150"/>
        </w:trPr>
        <w:tc>
          <w:tcPr>
            <w:tcW w:w="2562" w:type="pct"/>
            <w:gridSpan w:val="2"/>
            <w:vMerge/>
          </w:tcPr>
          <w:p w14:paraId="2496A3CA" w14:textId="77777777" w:rsidR="00DE5FE0" w:rsidRPr="00650A7C" w:rsidRDefault="00DE5FE0" w:rsidP="00DC3DAC">
            <w:pPr>
              <w:keepNext/>
              <w:spacing w:before="20" w:after="20" w:line="252" w:lineRule="auto"/>
              <w:ind w:left="0" w:right="0"/>
              <w:rPr>
                <w:rFonts w:eastAsia="Times New Roman"/>
                <w:b/>
                <w:snapToGrid w:val="0"/>
                <w:color w:val="FFFFFF" w:themeColor="background1"/>
                <w:kern w:val="16"/>
                <w:sz w:val="20"/>
                <w:szCs w:val="20"/>
              </w:rPr>
            </w:pPr>
          </w:p>
        </w:tc>
        <w:tc>
          <w:tcPr>
            <w:tcW w:w="540" w:type="pct"/>
            <w:shd w:val="clear" w:color="auto" w:fill="006DA7"/>
          </w:tcPr>
          <w:p w14:paraId="42164D88" w14:textId="77777777" w:rsidR="00DE5FE0" w:rsidRPr="00650A7C" w:rsidRDefault="00DE5FE0" w:rsidP="00DC3DAC">
            <w:pPr>
              <w:keepNext/>
              <w:spacing w:before="20" w:after="20" w:line="252" w:lineRule="auto"/>
              <w:ind w:left="0" w:right="0"/>
              <w:rPr>
                <w:rFonts w:eastAsia="Times New Roman"/>
                <w:b/>
                <w:snapToGrid w:val="0"/>
                <w:color w:val="FFFFFF" w:themeColor="background1"/>
                <w:kern w:val="16"/>
                <w:sz w:val="20"/>
                <w:szCs w:val="20"/>
              </w:rPr>
            </w:pPr>
            <w:r w:rsidRPr="00650A7C">
              <w:rPr>
                <w:rFonts w:eastAsia="Times New Roman"/>
                <w:b/>
                <w:snapToGrid w:val="0"/>
                <w:color w:val="FFFFFF" w:themeColor="background1"/>
                <w:kern w:val="16"/>
                <w:sz w:val="20"/>
                <w:szCs w:val="20"/>
              </w:rPr>
              <w:t>Routine</w:t>
            </w:r>
          </w:p>
        </w:tc>
        <w:tc>
          <w:tcPr>
            <w:tcW w:w="679" w:type="pct"/>
            <w:shd w:val="clear" w:color="auto" w:fill="006DA7"/>
          </w:tcPr>
          <w:p w14:paraId="6CA92961" w14:textId="77777777" w:rsidR="00DE5FE0" w:rsidRPr="00650A7C" w:rsidRDefault="00DE5FE0" w:rsidP="00DC3DAC">
            <w:pPr>
              <w:keepNext/>
              <w:spacing w:before="20" w:after="20" w:line="252" w:lineRule="auto"/>
              <w:ind w:left="0" w:right="0"/>
              <w:rPr>
                <w:rFonts w:eastAsia="Times New Roman"/>
                <w:b/>
                <w:snapToGrid w:val="0"/>
                <w:color w:val="FFFFFF" w:themeColor="background1"/>
                <w:kern w:val="16"/>
                <w:sz w:val="20"/>
                <w:szCs w:val="20"/>
              </w:rPr>
            </w:pPr>
            <w:r w:rsidRPr="00650A7C">
              <w:rPr>
                <w:rFonts w:eastAsia="Times New Roman"/>
                <w:b/>
                <w:snapToGrid w:val="0"/>
                <w:color w:val="FFFFFF" w:themeColor="background1"/>
                <w:kern w:val="16"/>
                <w:sz w:val="20"/>
                <w:szCs w:val="20"/>
              </w:rPr>
              <w:t>Additional</w:t>
            </w:r>
          </w:p>
        </w:tc>
        <w:tc>
          <w:tcPr>
            <w:tcW w:w="540" w:type="pct"/>
            <w:shd w:val="clear" w:color="auto" w:fill="006DA7"/>
          </w:tcPr>
          <w:p w14:paraId="30A55950" w14:textId="77777777" w:rsidR="00DE5FE0" w:rsidRPr="00650A7C" w:rsidRDefault="00DE5FE0" w:rsidP="00DC3DAC">
            <w:pPr>
              <w:keepNext/>
              <w:spacing w:before="20" w:after="20" w:line="252" w:lineRule="auto"/>
              <w:ind w:left="0" w:right="0"/>
              <w:rPr>
                <w:rFonts w:eastAsia="Times New Roman"/>
                <w:b/>
                <w:snapToGrid w:val="0"/>
                <w:color w:val="FFFFFF" w:themeColor="background1"/>
                <w:kern w:val="16"/>
                <w:sz w:val="20"/>
                <w:szCs w:val="20"/>
              </w:rPr>
            </w:pPr>
            <w:r w:rsidRPr="00650A7C">
              <w:rPr>
                <w:rFonts w:eastAsia="Times New Roman"/>
                <w:b/>
                <w:snapToGrid w:val="0"/>
                <w:color w:val="FFFFFF" w:themeColor="background1"/>
                <w:kern w:val="16"/>
                <w:sz w:val="20"/>
                <w:szCs w:val="20"/>
              </w:rPr>
              <w:t>Routine</w:t>
            </w:r>
          </w:p>
        </w:tc>
        <w:tc>
          <w:tcPr>
            <w:tcW w:w="679" w:type="pct"/>
            <w:shd w:val="clear" w:color="auto" w:fill="006DA7"/>
          </w:tcPr>
          <w:p w14:paraId="52601B44" w14:textId="77777777" w:rsidR="00DE5FE0" w:rsidRPr="00650A7C" w:rsidRDefault="00DE5FE0" w:rsidP="00DC3DAC">
            <w:pPr>
              <w:keepNext/>
              <w:spacing w:before="20" w:after="20" w:line="252" w:lineRule="auto"/>
              <w:ind w:left="0" w:right="0"/>
              <w:rPr>
                <w:rFonts w:eastAsia="Times New Roman"/>
                <w:b/>
                <w:snapToGrid w:val="0"/>
                <w:color w:val="FFFFFF" w:themeColor="background1"/>
                <w:kern w:val="16"/>
                <w:sz w:val="20"/>
                <w:szCs w:val="20"/>
              </w:rPr>
            </w:pPr>
            <w:r w:rsidRPr="00650A7C">
              <w:rPr>
                <w:rFonts w:eastAsia="Times New Roman"/>
                <w:b/>
                <w:snapToGrid w:val="0"/>
                <w:color w:val="FFFFFF" w:themeColor="background1"/>
                <w:kern w:val="16"/>
                <w:sz w:val="20"/>
                <w:szCs w:val="20"/>
              </w:rPr>
              <w:t>Additional</w:t>
            </w:r>
          </w:p>
        </w:tc>
      </w:tr>
      <w:tr w:rsidR="00DE5FE0" w:rsidRPr="00650A7C" w14:paraId="7D53E174" w14:textId="77777777" w:rsidTr="007E1183">
        <w:trPr>
          <w:trHeight w:val="137"/>
        </w:trPr>
        <w:tc>
          <w:tcPr>
            <w:tcW w:w="761" w:type="pct"/>
            <w:vMerge w:val="restart"/>
          </w:tcPr>
          <w:p w14:paraId="2709BC85" w14:textId="77777777" w:rsidR="00DE5FE0" w:rsidRPr="00650A7C" w:rsidRDefault="00DE5FE0" w:rsidP="00DC3DAC">
            <w:pPr>
              <w:keepNext/>
              <w:spacing w:before="20" w:after="20" w:line="252" w:lineRule="auto"/>
              <w:ind w:left="0" w:right="0"/>
              <w:rPr>
                <w:rFonts w:eastAsia="Times New Roman"/>
                <w:b/>
                <w:snapToGrid w:val="0"/>
                <w:kern w:val="16"/>
                <w:sz w:val="20"/>
                <w:szCs w:val="20"/>
              </w:rPr>
            </w:pPr>
            <w:r w:rsidRPr="00650A7C">
              <w:rPr>
                <w:rFonts w:eastAsia="Times New Roman"/>
                <w:b/>
                <w:snapToGrid w:val="0"/>
                <w:kern w:val="16"/>
                <w:sz w:val="20"/>
                <w:szCs w:val="20"/>
              </w:rPr>
              <w:t>Important identified risks</w:t>
            </w:r>
          </w:p>
        </w:tc>
        <w:tc>
          <w:tcPr>
            <w:tcW w:w="1801" w:type="pct"/>
          </w:tcPr>
          <w:p w14:paraId="3B920219" w14:textId="77777777" w:rsidR="00DE5FE0" w:rsidRPr="00650A7C" w:rsidRDefault="00DE5FE0" w:rsidP="00DC3DAC">
            <w:pPr>
              <w:keepNext/>
              <w:spacing w:before="20" w:after="20" w:line="252" w:lineRule="auto"/>
              <w:ind w:left="0" w:right="0"/>
              <w:rPr>
                <w:rFonts w:eastAsia="Times New Roman"/>
                <w:strike/>
                <w:snapToGrid w:val="0"/>
                <w:kern w:val="16"/>
                <w:sz w:val="20"/>
                <w:szCs w:val="20"/>
              </w:rPr>
            </w:pPr>
            <w:r w:rsidRPr="00650A7C">
              <w:rPr>
                <w:rFonts w:eastAsia="Times New Roman"/>
                <w:snapToGrid w:val="0"/>
                <w:kern w:val="16"/>
                <w:sz w:val="20"/>
                <w:szCs w:val="20"/>
              </w:rPr>
              <w:t>Aggression*</w:t>
            </w:r>
          </w:p>
        </w:tc>
        <w:tc>
          <w:tcPr>
            <w:tcW w:w="540" w:type="pct"/>
          </w:tcPr>
          <w:p w14:paraId="6B67535E" w14:textId="77777777" w:rsidR="00DE5FE0" w:rsidRPr="00650A7C" w:rsidRDefault="00DE5FE0" w:rsidP="00DC3DAC">
            <w:pPr>
              <w:keepNext/>
              <w:spacing w:before="20" w:after="20" w:line="252" w:lineRule="auto"/>
              <w:ind w:left="0" w:right="0"/>
              <w:jc w:val="center"/>
              <w:rPr>
                <w:rFonts w:eastAsia="Times New Roman"/>
                <w:snapToGrid w:val="0"/>
                <w:kern w:val="16"/>
                <w:sz w:val="20"/>
                <w:szCs w:val="20"/>
              </w:rPr>
            </w:pPr>
            <w:r w:rsidRPr="00650A7C">
              <w:rPr>
                <w:snapToGrid w:val="0"/>
                <w:kern w:val="16"/>
                <w:sz w:val="20"/>
                <w:szCs w:val="20"/>
              </w:rPr>
              <w:sym w:font="Wingdings" w:char="F0FC"/>
            </w:r>
          </w:p>
        </w:tc>
        <w:tc>
          <w:tcPr>
            <w:tcW w:w="679" w:type="pct"/>
          </w:tcPr>
          <w:p w14:paraId="75F638A1" w14:textId="77777777" w:rsidR="00DE5FE0" w:rsidRPr="00650A7C" w:rsidRDefault="00DE5FE0" w:rsidP="00DC3DAC">
            <w:pPr>
              <w:keepNext/>
              <w:spacing w:before="20" w:after="20" w:line="252" w:lineRule="auto"/>
              <w:ind w:left="0" w:right="0"/>
              <w:jc w:val="center"/>
              <w:rPr>
                <w:rFonts w:eastAsia="Times New Roman"/>
                <w:snapToGrid w:val="0"/>
                <w:kern w:val="16"/>
                <w:sz w:val="20"/>
                <w:szCs w:val="20"/>
              </w:rPr>
            </w:pPr>
            <w:r w:rsidRPr="00650A7C">
              <w:rPr>
                <w:rFonts w:eastAsia="Times New Roman"/>
                <w:snapToGrid w:val="0"/>
                <w:kern w:val="16"/>
                <w:sz w:val="20"/>
                <w:szCs w:val="20"/>
              </w:rPr>
              <w:t>–</w:t>
            </w:r>
          </w:p>
        </w:tc>
        <w:tc>
          <w:tcPr>
            <w:tcW w:w="540" w:type="pct"/>
          </w:tcPr>
          <w:p w14:paraId="01E75F85" w14:textId="77777777" w:rsidR="00DE5FE0" w:rsidRPr="00650A7C" w:rsidRDefault="00DE5FE0" w:rsidP="00DC3DAC">
            <w:pPr>
              <w:keepNext/>
              <w:spacing w:before="20" w:after="20" w:line="252" w:lineRule="auto"/>
              <w:ind w:left="0" w:right="0"/>
              <w:jc w:val="center"/>
              <w:rPr>
                <w:rFonts w:eastAsia="Times New Roman"/>
                <w:snapToGrid w:val="0"/>
                <w:kern w:val="16"/>
                <w:sz w:val="20"/>
                <w:szCs w:val="20"/>
              </w:rPr>
            </w:pPr>
            <w:r w:rsidRPr="00650A7C">
              <w:rPr>
                <w:snapToGrid w:val="0"/>
                <w:kern w:val="16"/>
                <w:sz w:val="20"/>
                <w:szCs w:val="20"/>
              </w:rPr>
              <w:sym w:font="Wingdings" w:char="F0FC"/>
            </w:r>
          </w:p>
        </w:tc>
        <w:tc>
          <w:tcPr>
            <w:tcW w:w="679" w:type="pct"/>
          </w:tcPr>
          <w:p w14:paraId="24481B81" w14:textId="77777777" w:rsidR="00DE5FE0" w:rsidRPr="00650A7C" w:rsidRDefault="00DE5FE0" w:rsidP="00DC3DAC">
            <w:pPr>
              <w:keepNext/>
              <w:spacing w:before="20" w:after="20" w:line="252" w:lineRule="auto"/>
              <w:ind w:left="0" w:right="0"/>
              <w:jc w:val="center"/>
              <w:rPr>
                <w:rFonts w:eastAsia="Times New Roman"/>
                <w:snapToGrid w:val="0"/>
                <w:kern w:val="16"/>
                <w:sz w:val="20"/>
                <w:szCs w:val="20"/>
              </w:rPr>
            </w:pPr>
            <w:r w:rsidRPr="00650A7C">
              <w:rPr>
                <w:rFonts w:eastAsia="Times New Roman"/>
                <w:snapToGrid w:val="0"/>
                <w:kern w:val="16"/>
                <w:sz w:val="20"/>
                <w:szCs w:val="20"/>
              </w:rPr>
              <w:t>–</w:t>
            </w:r>
          </w:p>
        </w:tc>
      </w:tr>
      <w:tr w:rsidR="00DE5FE0" w:rsidRPr="00650A7C" w14:paraId="4AEB5094" w14:textId="77777777" w:rsidTr="007E1183">
        <w:trPr>
          <w:trHeight w:val="187"/>
        </w:trPr>
        <w:tc>
          <w:tcPr>
            <w:tcW w:w="761" w:type="pct"/>
            <w:vMerge/>
          </w:tcPr>
          <w:p w14:paraId="15FD1BD3" w14:textId="77777777" w:rsidR="00DE5FE0" w:rsidRPr="00650A7C" w:rsidRDefault="00DE5FE0" w:rsidP="00DC3DAC">
            <w:pPr>
              <w:keepNext/>
              <w:spacing w:before="20" w:after="20" w:line="252" w:lineRule="auto"/>
              <w:ind w:left="0" w:right="0"/>
              <w:rPr>
                <w:rFonts w:eastAsia="Times New Roman"/>
                <w:b/>
                <w:snapToGrid w:val="0"/>
                <w:kern w:val="16"/>
                <w:sz w:val="20"/>
                <w:szCs w:val="20"/>
              </w:rPr>
            </w:pPr>
          </w:p>
        </w:tc>
        <w:tc>
          <w:tcPr>
            <w:tcW w:w="1801" w:type="pct"/>
          </w:tcPr>
          <w:p w14:paraId="2A212AB8" w14:textId="77777777" w:rsidR="00DE5FE0" w:rsidRPr="00650A7C" w:rsidRDefault="00DE5FE0" w:rsidP="00DC3DAC">
            <w:pPr>
              <w:keepNext/>
              <w:spacing w:before="20" w:after="20" w:line="252" w:lineRule="auto"/>
              <w:ind w:left="0" w:right="0"/>
              <w:rPr>
                <w:rFonts w:eastAsia="Times New Roman"/>
                <w:snapToGrid w:val="0"/>
                <w:kern w:val="16"/>
                <w:sz w:val="20"/>
                <w:szCs w:val="20"/>
              </w:rPr>
            </w:pPr>
            <w:r w:rsidRPr="00650A7C">
              <w:rPr>
                <w:rFonts w:eastAsia="Times New Roman"/>
                <w:snapToGrid w:val="0"/>
                <w:kern w:val="16"/>
                <w:sz w:val="20"/>
                <w:szCs w:val="20"/>
              </w:rPr>
              <w:t>Interaction with levonorgestrel-containing contraceptives, and unintended pregnancy exposures</w:t>
            </w:r>
          </w:p>
        </w:tc>
        <w:tc>
          <w:tcPr>
            <w:tcW w:w="540" w:type="pct"/>
          </w:tcPr>
          <w:p w14:paraId="5570B01B" w14:textId="77777777" w:rsidR="00DE5FE0" w:rsidRPr="00650A7C" w:rsidRDefault="00DE5FE0" w:rsidP="00DC3DAC">
            <w:pPr>
              <w:keepNext/>
              <w:spacing w:before="20" w:after="20" w:line="252" w:lineRule="auto"/>
              <w:ind w:left="0" w:right="0"/>
              <w:jc w:val="center"/>
              <w:rPr>
                <w:snapToGrid w:val="0"/>
                <w:kern w:val="16"/>
                <w:sz w:val="20"/>
                <w:szCs w:val="20"/>
              </w:rPr>
            </w:pPr>
            <w:r w:rsidRPr="00650A7C">
              <w:rPr>
                <w:snapToGrid w:val="0"/>
                <w:kern w:val="16"/>
                <w:sz w:val="20"/>
                <w:szCs w:val="20"/>
              </w:rPr>
              <w:sym w:font="Wingdings" w:char="F0FC"/>
            </w:r>
          </w:p>
        </w:tc>
        <w:tc>
          <w:tcPr>
            <w:tcW w:w="679" w:type="pct"/>
          </w:tcPr>
          <w:p w14:paraId="5F20DECA" w14:textId="77777777" w:rsidR="00DE5FE0" w:rsidRPr="00650A7C" w:rsidRDefault="00DE5FE0" w:rsidP="00DC3DAC">
            <w:pPr>
              <w:keepNext/>
              <w:spacing w:before="20" w:after="20" w:line="252" w:lineRule="auto"/>
              <w:ind w:left="0" w:right="0"/>
              <w:jc w:val="center"/>
              <w:rPr>
                <w:rFonts w:eastAsia="Times New Roman"/>
                <w:snapToGrid w:val="0"/>
                <w:kern w:val="16"/>
                <w:sz w:val="20"/>
                <w:szCs w:val="20"/>
              </w:rPr>
            </w:pPr>
            <w:r w:rsidRPr="00650A7C">
              <w:rPr>
                <w:rFonts w:eastAsia="Times New Roman"/>
                <w:snapToGrid w:val="0"/>
                <w:kern w:val="16"/>
                <w:sz w:val="20"/>
                <w:szCs w:val="20"/>
              </w:rPr>
              <w:t>–</w:t>
            </w:r>
          </w:p>
        </w:tc>
        <w:tc>
          <w:tcPr>
            <w:tcW w:w="540" w:type="pct"/>
          </w:tcPr>
          <w:p w14:paraId="0B0FC334" w14:textId="77777777" w:rsidR="00DE5FE0" w:rsidRPr="00650A7C" w:rsidRDefault="00DE5FE0" w:rsidP="00DC3DAC">
            <w:pPr>
              <w:keepNext/>
              <w:spacing w:before="20" w:after="20" w:line="252" w:lineRule="auto"/>
              <w:ind w:left="0" w:right="0"/>
              <w:jc w:val="center"/>
              <w:rPr>
                <w:snapToGrid w:val="0"/>
                <w:kern w:val="16"/>
                <w:sz w:val="20"/>
                <w:szCs w:val="20"/>
              </w:rPr>
            </w:pPr>
            <w:r w:rsidRPr="00650A7C">
              <w:rPr>
                <w:snapToGrid w:val="0"/>
                <w:kern w:val="16"/>
                <w:sz w:val="20"/>
                <w:szCs w:val="20"/>
              </w:rPr>
              <w:sym w:font="Wingdings" w:char="F0FC"/>
            </w:r>
          </w:p>
        </w:tc>
        <w:tc>
          <w:tcPr>
            <w:tcW w:w="679" w:type="pct"/>
          </w:tcPr>
          <w:p w14:paraId="76C050DE" w14:textId="77777777" w:rsidR="00DE5FE0" w:rsidRPr="00650A7C" w:rsidRDefault="00DE5FE0" w:rsidP="00DC3DAC">
            <w:pPr>
              <w:keepNext/>
              <w:spacing w:before="20" w:after="20" w:line="252" w:lineRule="auto"/>
              <w:ind w:left="0" w:right="0"/>
              <w:jc w:val="center"/>
              <w:rPr>
                <w:snapToGrid w:val="0"/>
                <w:kern w:val="16"/>
                <w:sz w:val="20"/>
                <w:szCs w:val="20"/>
              </w:rPr>
            </w:pPr>
            <w:r w:rsidRPr="00650A7C">
              <w:rPr>
                <w:rFonts w:eastAsia="Times New Roman"/>
                <w:snapToGrid w:val="0"/>
                <w:kern w:val="16"/>
                <w:sz w:val="20"/>
                <w:szCs w:val="20"/>
              </w:rPr>
              <w:t>–</w:t>
            </w:r>
          </w:p>
        </w:tc>
      </w:tr>
      <w:tr w:rsidR="00DE5FE0" w:rsidRPr="00650A7C" w14:paraId="351C48DB" w14:textId="77777777" w:rsidTr="007E1183">
        <w:trPr>
          <w:trHeight w:val="187"/>
        </w:trPr>
        <w:tc>
          <w:tcPr>
            <w:tcW w:w="761" w:type="pct"/>
            <w:vMerge/>
          </w:tcPr>
          <w:p w14:paraId="407F2864" w14:textId="77777777" w:rsidR="00DE5FE0" w:rsidRPr="00650A7C" w:rsidRDefault="00DE5FE0" w:rsidP="00DC3DAC">
            <w:pPr>
              <w:keepNext/>
              <w:spacing w:before="20" w:after="20" w:line="252" w:lineRule="auto"/>
              <w:ind w:left="0" w:right="0"/>
              <w:rPr>
                <w:rFonts w:eastAsia="Times New Roman"/>
                <w:b/>
                <w:snapToGrid w:val="0"/>
                <w:kern w:val="16"/>
                <w:sz w:val="20"/>
                <w:szCs w:val="20"/>
              </w:rPr>
            </w:pPr>
          </w:p>
        </w:tc>
        <w:tc>
          <w:tcPr>
            <w:tcW w:w="1801" w:type="pct"/>
          </w:tcPr>
          <w:p w14:paraId="693D4A02" w14:textId="77777777" w:rsidR="00DE5FE0" w:rsidRPr="00650A7C" w:rsidRDefault="00DE5FE0" w:rsidP="00DC3DAC">
            <w:pPr>
              <w:keepNext/>
              <w:spacing w:before="20" w:after="20" w:line="252" w:lineRule="auto"/>
              <w:ind w:left="0" w:right="0"/>
              <w:rPr>
                <w:rFonts w:eastAsia="Times New Roman"/>
                <w:snapToGrid w:val="0"/>
                <w:kern w:val="16"/>
                <w:sz w:val="20"/>
                <w:szCs w:val="20"/>
              </w:rPr>
            </w:pPr>
            <w:r w:rsidRPr="00650A7C">
              <w:rPr>
                <w:rFonts w:eastAsia="Times New Roman"/>
                <w:snapToGrid w:val="0"/>
                <w:kern w:val="16"/>
                <w:sz w:val="20"/>
                <w:szCs w:val="20"/>
              </w:rPr>
              <w:t>Suicidality*</w:t>
            </w:r>
          </w:p>
        </w:tc>
        <w:tc>
          <w:tcPr>
            <w:tcW w:w="540" w:type="pct"/>
          </w:tcPr>
          <w:p w14:paraId="6F4D2C14" w14:textId="77777777" w:rsidR="00DE5FE0" w:rsidRPr="00650A7C" w:rsidRDefault="00DE5FE0" w:rsidP="00DC3DAC">
            <w:pPr>
              <w:keepNext/>
              <w:spacing w:before="20" w:after="20" w:line="252" w:lineRule="auto"/>
              <w:ind w:left="0" w:right="0"/>
              <w:jc w:val="center"/>
              <w:rPr>
                <w:snapToGrid w:val="0"/>
                <w:kern w:val="16"/>
                <w:sz w:val="20"/>
                <w:szCs w:val="20"/>
              </w:rPr>
            </w:pPr>
            <w:r w:rsidRPr="00650A7C">
              <w:rPr>
                <w:snapToGrid w:val="0"/>
                <w:kern w:val="16"/>
                <w:sz w:val="20"/>
                <w:szCs w:val="20"/>
              </w:rPr>
              <w:sym w:font="Wingdings" w:char="F0FC"/>
            </w:r>
          </w:p>
        </w:tc>
        <w:tc>
          <w:tcPr>
            <w:tcW w:w="679" w:type="pct"/>
          </w:tcPr>
          <w:p w14:paraId="7EA0F70B" w14:textId="77777777" w:rsidR="00DE5FE0" w:rsidRPr="00650A7C" w:rsidRDefault="00DE5FE0" w:rsidP="00DC3DAC">
            <w:pPr>
              <w:keepNext/>
              <w:spacing w:before="20" w:after="20" w:line="252" w:lineRule="auto"/>
              <w:ind w:left="0" w:right="0"/>
              <w:jc w:val="center"/>
              <w:rPr>
                <w:rFonts w:eastAsia="Times New Roman"/>
                <w:snapToGrid w:val="0"/>
                <w:kern w:val="16"/>
                <w:sz w:val="20"/>
                <w:szCs w:val="20"/>
              </w:rPr>
            </w:pPr>
            <w:r w:rsidRPr="00650A7C">
              <w:rPr>
                <w:rFonts w:eastAsia="Times New Roman"/>
                <w:snapToGrid w:val="0"/>
                <w:kern w:val="16"/>
                <w:sz w:val="20"/>
                <w:szCs w:val="20"/>
              </w:rPr>
              <w:t>–</w:t>
            </w:r>
          </w:p>
        </w:tc>
        <w:tc>
          <w:tcPr>
            <w:tcW w:w="540" w:type="pct"/>
          </w:tcPr>
          <w:p w14:paraId="003263E6" w14:textId="77777777" w:rsidR="00DE5FE0" w:rsidRPr="00650A7C" w:rsidRDefault="00DE5FE0" w:rsidP="00DC3DAC">
            <w:pPr>
              <w:keepNext/>
              <w:spacing w:before="20" w:after="20" w:line="252" w:lineRule="auto"/>
              <w:ind w:left="0" w:right="0"/>
              <w:jc w:val="center"/>
              <w:rPr>
                <w:snapToGrid w:val="0"/>
                <w:kern w:val="16"/>
                <w:sz w:val="20"/>
                <w:szCs w:val="20"/>
              </w:rPr>
            </w:pPr>
            <w:r w:rsidRPr="00650A7C">
              <w:rPr>
                <w:snapToGrid w:val="0"/>
                <w:kern w:val="16"/>
                <w:sz w:val="20"/>
                <w:szCs w:val="20"/>
              </w:rPr>
              <w:sym w:font="Wingdings" w:char="F0FC"/>
            </w:r>
          </w:p>
        </w:tc>
        <w:tc>
          <w:tcPr>
            <w:tcW w:w="679" w:type="pct"/>
          </w:tcPr>
          <w:p w14:paraId="282F2E9F" w14:textId="77777777" w:rsidR="00DE5FE0" w:rsidRPr="00650A7C" w:rsidRDefault="00DE5FE0" w:rsidP="00DC3DAC">
            <w:pPr>
              <w:keepNext/>
              <w:spacing w:before="20" w:after="20" w:line="252" w:lineRule="auto"/>
              <w:ind w:left="0" w:right="0"/>
              <w:jc w:val="center"/>
              <w:rPr>
                <w:snapToGrid w:val="0"/>
                <w:kern w:val="16"/>
                <w:sz w:val="20"/>
                <w:szCs w:val="20"/>
              </w:rPr>
            </w:pPr>
            <w:r w:rsidRPr="00650A7C">
              <w:rPr>
                <w:rFonts w:eastAsia="Times New Roman"/>
                <w:snapToGrid w:val="0"/>
                <w:kern w:val="16"/>
                <w:sz w:val="20"/>
                <w:szCs w:val="20"/>
              </w:rPr>
              <w:t>–</w:t>
            </w:r>
          </w:p>
        </w:tc>
      </w:tr>
      <w:tr w:rsidR="00DE5FE0" w:rsidRPr="00650A7C" w14:paraId="6E41AAED" w14:textId="77777777" w:rsidTr="007E1183">
        <w:trPr>
          <w:trHeight w:val="187"/>
        </w:trPr>
        <w:tc>
          <w:tcPr>
            <w:tcW w:w="761" w:type="pct"/>
            <w:vMerge/>
          </w:tcPr>
          <w:p w14:paraId="1923B92D" w14:textId="77777777" w:rsidR="00DE5FE0" w:rsidRPr="00650A7C" w:rsidRDefault="00DE5FE0" w:rsidP="00DC3DAC">
            <w:pPr>
              <w:keepNext/>
              <w:spacing w:before="20" w:after="20" w:line="252" w:lineRule="auto"/>
              <w:ind w:left="0" w:right="0"/>
              <w:rPr>
                <w:rFonts w:eastAsia="Times New Roman"/>
                <w:b/>
                <w:snapToGrid w:val="0"/>
                <w:kern w:val="16"/>
                <w:sz w:val="20"/>
                <w:szCs w:val="20"/>
              </w:rPr>
            </w:pPr>
          </w:p>
        </w:tc>
        <w:tc>
          <w:tcPr>
            <w:tcW w:w="1801" w:type="pct"/>
          </w:tcPr>
          <w:p w14:paraId="0A83AEFF" w14:textId="77777777" w:rsidR="00DE5FE0" w:rsidRPr="00650A7C" w:rsidRDefault="00DE5FE0" w:rsidP="00DC3DAC">
            <w:pPr>
              <w:keepNext/>
              <w:spacing w:before="20" w:after="20" w:line="252" w:lineRule="auto"/>
              <w:ind w:left="0" w:right="0"/>
              <w:rPr>
                <w:rFonts w:eastAsia="Times New Roman"/>
                <w:snapToGrid w:val="0"/>
                <w:kern w:val="16"/>
                <w:sz w:val="20"/>
                <w:szCs w:val="20"/>
              </w:rPr>
            </w:pPr>
            <w:r w:rsidRPr="00650A7C">
              <w:rPr>
                <w:rFonts w:eastAsia="Times New Roman"/>
                <w:snapToGrid w:val="0"/>
                <w:kern w:val="16"/>
                <w:sz w:val="20"/>
                <w:szCs w:val="20"/>
              </w:rPr>
              <w:t>Psychiatric Reaction*</w:t>
            </w:r>
            <w:r w:rsidRPr="00650A7C">
              <w:rPr>
                <w:rFonts w:eastAsia="Times New Roman"/>
                <w:snapToGrid w:val="0"/>
                <w:kern w:val="16"/>
                <w:sz w:val="20"/>
                <w:szCs w:val="20"/>
                <w:vertAlign w:val="superscript"/>
              </w:rPr>
              <w:t>†</w:t>
            </w:r>
          </w:p>
        </w:tc>
        <w:tc>
          <w:tcPr>
            <w:tcW w:w="540" w:type="pct"/>
          </w:tcPr>
          <w:p w14:paraId="78DD1039" w14:textId="77777777" w:rsidR="00DE5FE0" w:rsidRPr="00650A7C" w:rsidRDefault="00DE5FE0" w:rsidP="00DC3DAC">
            <w:pPr>
              <w:keepNext/>
              <w:spacing w:before="20" w:after="20" w:line="252" w:lineRule="auto"/>
              <w:ind w:left="0" w:right="0"/>
              <w:jc w:val="center"/>
              <w:rPr>
                <w:snapToGrid w:val="0"/>
                <w:kern w:val="16"/>
                <w:sz w:val="20"/>
                <w:szCs w:val="20"/>
              </w:rPr>
            </w:pPr>
            <w:r w:rsidRPr="00650A7C">
              <w:rPr>
                <w:snapToGrid w:val="0"/>
                <w:kern w:val="16"/>
                <w:sz w:val="20"/>
                <w:szCs w:val="20"/>
              </w:rPr>
              <w:sym w:font="Wingdings" w:char="F0FC"/>
            </w:r>
          </w:p>
        </w:tc>
        <w:tc>
          <w:tcPr>
            <w:tcW w:w="679" w:type="pct"/>
          </w:tcPr>
          <w:p w14:paraId="53C465A0" w14:textId="77777777" w:rsidR="00DE5FE0" w:rsidRPr="00650A7C" w:rsidRDefault="00DE5FE0" w:rsidP="00DC3DAC">
            <w:pPr>
              <w:keepNext/>
              <w:spacing w:before="20" w:after="20" w:line="252" w:lineRule="auto"/>
              <w:ind w:left="0" w:right="0"/>
              <w:jc w:val="center"/>
              <w:rPr>
                <w:rFonts w:eastAsia="Times New Roman"/>
                <w:snapToGrid w:val="0"/>
                <w:kern w:val="16"/>
                <w:sz w:val="20"/>
                <w:szCs w:val="20"/>
              </w:rPr>
            </w:pPr>
            <w:r w:rsidRPr="00650A7C">
              <w:rPr>
                <w:rFonts w:eastAsia="Times New Roman"/>
                <w:snapToGrid w:val="0"/>
                <w:kern w:val="16"/>
                <w:sz w:val="20"/>
                <w:szCs w:val="20"/>
              </w:rPr>
              <w:t>–</w:t>
            </w:r>
          </w:p>
        </w:tc>
        <w:tc>
          <w:tcPr>
            <w:tcW w:w="540" w:type="pct"/>
          </w:tcPr>
          <w:p w14:paraId="307B7BF9" w14:textId="77777777" w:rsidR="00DE5FE0" w:rsidRPr="00650A7C" w:rsidRDefault="00DE5FE0" w:rsidP="00DC3DAC">
            <w:pPr>
              <w:keepNext/>
              <w:spacing w:before="20" w:after="20" w:line="252" w:lineRule="auto"/>
              <w:ind w:left="0" w:right="0"/>
              <w:jc w:val="center"/>
              <w:rPr>
                <w:snapToGrid w:val="0"/>
                <w:kern w:val="16"/>
                <w:sz w:val="20"/>
                <w:szCs w:val="20"/>
              </w:rPr>
            </w:pPr>
          </w:p>
        </w:tc>
        <w:tc>
          <w:tcPr>
            <w:tcW w:w="679" w:type="pct"/>
          </w:tcPr>
          <w:p w14:paraId="0C4FD8ED" w14:textId="77777777" w:rsidR="00DE5FE0" w:rsidRPr="00650A7C" w:rsidRDefault="00DE5FE0" w:rsidP="00DC3DAC">
            <w:pPr>
              <w:keepNext/>
              <w:spacing w:before="20" w:after="20" w:line="252" w:lineRule="auto"/>
              <w:ind w:left="0" w:right="0"/>
              <w:jc w:val="center"/>
              <w:rPr>
                <w:rFonts w:eastAsia="Times New Roman"/>
                <w:snapToGrid w:val="0"/>
                <w:kern w:val="16"/>
                <w:sz w:val="20"/>
                <w:szCs w:val="20"/>
              </w:rPr>
            </w:pPr>
          </w:p>
        </w:tc>
      </w:tr>
      <w:tr w:rsidR="00DE5FE0" w:rsidRPr="00650A7C" w14:paraId="5136103B" w14:textId="77777777" w:rsidTr="007E1183">
        <w:trPr>
          <w:trHeight w:val="159"/>
        </w:trPr>
        <w:tc>
          <w:tcPr>
            <w:tcW w:w="761" w:type="pct"/>
            <w:vMerge w:val="restart"/>
          </w:tcPr>
          <w:p w14:paraId="68473417" w14:textId="77777777" w:rsidR="00DE5FE0" w:rsidRPr="00650A7C" w:rsidRDefault="00DE5FE0" w:rsidP="00DC3DAC">
            <w:pPr>
              <w:keepNext/>
              <w:spacing w:before="20" w:after="20" w:line="252" w:lineRule="auto"/>
              <w:ind w:left="0" w:right="0"/>
              <w:rPr>
                <w:rFonts w:eastAsia="Times New Roman"/>
                <w:b/>
                <w:snapToGrid w:val="0"/>
                <w:kern w:val="16"/>
                <w:sz w:val="20"/>
                <w:szCs w:val="20"/>
              </w:rPr>
            </w:pPr>
            <w:r w:rsidRPr="00650A7C">
              <w:rPr>
                <w:rFonts w:eastAsia="Times New Roman"/>
                <w:b/>
                <w:snapToGrid w:val="0"/>
                <w:kern w:val="16"/>
                <w:sz w:val="20"/>
                <w:szCs w:val="20"/>
              </w:rPr>
              <w:t>Important potential risks</w:t>
            </w:r>
          </w:p>
        </w:tc>
        <w:tc>
          <w:tcPr>
            <w:tcW w:w="1801" w:type="pct"/>
          </w:tcPr>
          <w:p w14:paraId="0EA64913" w14:textId="158390F8" w:rsidR="00DE5FE0" w:rsidRPr="00650A7C" w:rsidRDefault="00DE5FE0" w:rsidP="00DC3DAC">
            <w:pPr>
              <w:keepNext/>
              <w:spacing w:before="20" w:after="20" w:line="252" w:lineRule="auto"/>
              <w:ind w:left="0" w:right="0"/>
              <w:rPr>
                <w:rFonts w:eastAsia="Times New Roman"/>
                <w:strike/>
                <w:snapToGrid w:val="0"/>
                <w:kern w:val="16"/>
                <w:sz w:val="20"/>
                <w:szCs w:val="20"/>
              </w:rPr>
            </w:pPr>
            <w:r w:rsidRPr="00650A7C">
              <w:rPr>
                <w:rFonts w:eastAsia="Times New Roman"/>
                <w:snapToGrid w:val="0"/>
                <w:kern w:val="16"/>
                <w:sz w:val="20"/>
                <w:szCs w:val="20"/>
              </w:rPr>
              <w:t xml:space="preserve">Hepatic disorders (excluding hepatic disorders induced by </w:t>
            </w:r>
            <w:r w:rsidR="00DC3DAC" w:rsidRPr="00DC3DAC">
              <w:rPr>
                <w:rFonts w:eastAsia="Times New Roman"/>
                <w:snapToGrid w:val="0"/>
                <w:kern w:val="16"/>
                <w:sz w:val="20"/>
                <w:szCs w:val="20"/>
              </w:rPr>
              <w:t xml:space="preserve">severe cutaneous adverse reactions </w:t>
            </w:r>
            <w:r w:rsidR="00DC3DAC">
              <w:rPr>
                <w:rFonts w:eastAsia="Times New Roman"/>
                <w:snapToGrid w:val="0"/>
                <w:kern w:val="16"/>
                <w:sz w:val="20"/>
                <w:szCs w:val="20"/>
              </w:rPr>
              <w:t>(</w:t>
            </w:r>
            <w:r w:rsidRPr="00650A7C">
              <w:rPr>
                <w:rFonts w:eastAsia="Times New Roman"/>
                <w:snapToGrid w:val="0"/>
                <w:kern w:val="16"/>
                <w:sz w:val="20"/>
                <w:szCs w:val="20"/>
              </w:rPr>
              <w:t>SCARs</w:t>
            </w:r>
            <w:r w:rsidR="00DC3DAC">
              <w:rPr>
                <w:rFonts w:eastAsia="Times New Roman"/>
                <w:snapToGrid w:val="0"/>
                <w:kern w:val="16"/>
                <w:sz w:val="20"/>
                <w:szCs w:val="20"/>
              </w:rPr>
              <w:t>)</w:t>
            </w:r>
            <w:r w:rsidRPr="00650A7C">
              <w:rPr>
                <w:rFonts w:eastAsia="Times New Roman"/>
                <w:snapToGrid w:val="0"/>
                <w:kern w:val="16"/>
                <w:sz w:val="20"/>
                <w:szCs w:val="20"/>
              </w:rPr>
              <w:t>)</w:t>
            </w:r>
          </w:p>
        </w:tc>
        <w:tc>
          <w:tcPr>
            <w:tcW w:w="540" w:type="pct"/>
          </w:tcPr>
          <w:p w14:paraId="1C4E14E7" w14:textId="77777777" w:rsidR="00DE5FE0" w:rsidRPr="00650A7C" w:rsidRDefault="00DE5FE0" w:rsidP="00DC3DAC">
            <w:pPr>
              <w:keepNext/>
              <w:spacing w:before="20" w:after="20" w:line="252" w:lineRule="auto"/>
              <w:ind w:left="0" w:right="0"/>
              <w:jc w:val="center"/>
              <w:rPr>
                <w:rFonts w:eastAsia="Times New Roman"/>
                <w:snapToGrid w:val="0"/>
                <w:kern w:val="16"/>
                <w:sz w:val="20"/>
                <w:szCs w:val="20"/>
              </w:rPr>
            </w:pPr>
            <w:r w:rsidRPr="00650A7C">
              <w:rPr>
                <w:snapToGrid w:val="0"/>
                <w:kern w:val="16"/>
                <w:sz w:val="20"/>
                <w:szCs w:val="20"/>
              </w:rPr>
              <w:sym w:font="Wingdings" w:char="F0FC"/>
            </w:r>
          </w:p>
        </w:tc>
        <w:tc>
          <w:tcPr>
            <w:tcW w:w="679" w:type="pct"/>
          </w:tcPr>
          <w:p w14:paraId="7A84A1D4" w14:textId="77777777" w:rsidR="00DE5FE0" w:rsidRPr="00650A7C" w:rsidRDefault="00DE5FE0" w:rsidP="00DC3DAC">
            <w:pPr>
              <w:keepNext/>
              <w:spacing w:before="20" w:after="20" w:line="252" w:lineRule="auto"/>
              <w:ind w:left="0" w:right="0"/>
              <w:jc w:val="center"/>
              <w:rPr>
                <w:rFonts w:eastAsia="Times New Roman"/>
                <w:snapToGrid w:val="0"/>
                <w:kern w:val="16"/>
                <w:sz w:val="20"/>
                <w:szCs w:val="20"/>
              </w:rPr>
            </w:pPr>
            <w:r w:rsidRPr="00650A7C">
              <w:rPr>
                <w:rFonts w:eastAsia="Times New Roman"/>
                <w:snapToGrid w:val="0"/>
                <w:kern w:val="16"/>
                <w:sz w:val="20"/>
                <w:szCs w:val="20"/>
              </w:rPr>
              <w:t>–</w:t>
            </w:r>
          </w:p>
        </w:tc>
        <w:tc>
          <w:tcPr>
            <w:tcW w:w="540" w:type="pct"/>
          </w:tcPr>
          <w:p w14:paraId="4D413FE5" w14:textId="77777777" w:rsidR="00DE5FE0" w:rsidRPr="00650A7C" w:rsidRDefault="00DE5FE0" w:rsidP="00DC3DAC">
            <w:pPr>
              <w:keepNext/>
              <w:spacing w:before="20" w:after="20" w:line="252" w:lineRule="auto"/>
              <w:ind w:left="0" w:right="0"/>
              <w:jc w:val="center"/>
              <w:rPr>
                <w:rFonts w:eastAsia="Times New Roman"/>
                <w:snapToGrid w:val="0"/>
                <w:kern w:val="16"/>
                <w:sz w:val="20"/>
                <w:szCs w:val="20"/>
              </w:rPr>
            </w:pPr>
            <w:r w:rsidRPr="00650A7C">
              <w:rPr>
                <w:snapToGrid w:val="0"/>
                <w:kern w:val="16"/>
                <w:sz w:val="20"/>
                <w:szCs w:val="20"/>
              </w:rPr>
              <w:sym w:font="Wingdings" w:char="F0FC"/>
            </w:r>
          </w:p>
        </w:tc>
        <w:tc>
          <w:tcPr>
            <w:tcW w:w="679" w:type="pct"/>
          </w:tcPr>
          <w:p w14:paraId="5B3D1406" w14:textId="77777777" w:rsidR="00DE5FE0" w:rsidRPr="00650A7C" w:rsidRDefault="00DE5FE0" w:rsidP="00DC3DAC">
            <w:pPr>
              <w:keepNext/>
              <w:spacing w:before="20" w:after="20" w:line="252" w:lineRule="auto"/>
              <w:ind w:left="0" w:right="0"/>
              <w:jc w:val="center"/>
              <w:rPr>
                <w:rFonts w:eastAsia="Times New Roman"/>
                <w:snapToGrid w:val="0"/>
                <w:kern w:val="16"/>
                <w:sz w:val="20"/>
                <w:szCs w:val="20"/>
              </w:rPr>
            </w:pPr>
            <w:r w:rsidRPr="00650A7C">
              <w:rPr>
                <w:rFonts w:eastAsia="Times New Roman"/>
                <w:snapToGrid w:val="0"/>
                <w:kern w:val="16"/>
                <w:sz w:val="20"/>
                <w:szCs w:val="20"/>
              </w:rPr>
              <w:t>–</w:t>
            </w:r>
          </w:p>
        </w:tc>
      </w:tr>
      <w:tr w:rsidR="00DE5FE0" w:rsidRPr="00650A7C" w14:paraId="49172748" w14:textId="77777777" w:rsidTr="007E1183">
        <w:trPr>
          <w:trHeight w:val="112"/>
        </w:trPr>
        <w:tc>
          <w:tcPr>
            <w:tcW w:w="761" w:type="pct"/>
            <w:vMerge/>
          </w:tcPr>
          <w:p w14:paraId="22199069" w14:textId="77777777" w:rsidR="00DE5FE0" w:rsidRPr="00650A7C" w:rsidRDefault="00DE5FE0" w:rsidP="00DC3DAC">
            <w:pPr>
              <w:keepNext/>
              <w:spacing w:before="20" w:after="20" w:line="252" w:lineRule="auto"/>
              <w:ind w:left="0" w:right="0"/>
              <w:rPr>
                <w:rFonts w:eastAsia="Times New Roman"/>
                <w:b/>
                <w:snapToGrid w:val="0"/>
                <w:kern w:val="16"/>
                <w:sz w:val="20"/>
                <w:szCs w:val="20"/>
              </w:rPr>
            </w:pPr>
          </w:p>
        </w:tc>
        <w:tc>
          <w:tcPr>
            <w:tcW w:w="1801" w:type="pct"/>
          </w:tcPr>
          <w:p w14:paraId="49C5D1FA" w14:textId="7F34A373" w:rsidR="00DE5FE0" w:rsidRPr="00650A7C" w:rsidRDefault="00DC3DAC" w:rsidP="00DC3DAC">
            <w:pPr>
              <w:keepNext/>
              <w:spacing w:before="20" w:after="20" w:line="252" w:lineRule="auto"/>
              <w:ind w:left="0" w:right="0"/>
              <w:rPr>
                <w:rFonts w:eastAsia="Times New Roman"/>
                <w:strike/>
                <w:snapToGrid w:val="0"/>
                <w:kern w:val="16"/>
                <w:sz w:val="20"/>
                <w:szCs w:val="20"/>
              </w:rPr>
            </w:pPr>
            <w:r>
              <w:rPr>
                <w:rFonts w:eastAsia="Times New Roman"/>
                <w:snapToGrid w:val="0"/>
                <w:kern w:val="16"/>
                <w:sz w:val="20"/>
                <w:szCs w:val="20"/>
              </w:rPr>
              <w:t>Psychiatric r</w:t>
            </w:r>
            <w:r w:rsidR="00DE5FE0" w:rsidRPr="00650A7C">
              <w:rPr>
                <w:rFonts w:eastAsia="Times New Roman"/>
                <w:snapToGrid w:val="0"/>
                <w:kern w:val="16"/>
                <w:sz w:val="20"/>
                <w:szCs w:val="20"/>
              </w:rPr>
              <w:t>eaction*</w:t>
            </w:r>
            <w:r w:rsidR="00DE5FE0" w:rsidRPr="00650A7C">
              <w:rPr>
                <w:rFonts w:eastAsia="Times New Roman"/>
                <w:snapToGrid w:val="0"/>
                <w:kern w:val="16"/>
                <w:sz w:val="20"/>
                <w:szCs w:val="20"/>
                <w:vertAlign w:val="superscript"/>
              </w:rPr>
              <w:t>†</w:t>
            </w:r>
          </w:p>
        </w:tc>
        <w:tc>
          <w:tcPr>
            <w:tcW w:w="540" w:type="pct"/>
          </w:tcPr>
          <w:p w14:paraId="451548C0" w14:textId="77777777" w:rsidR="00DE5FE0" w:rsidRPr="00650A7C" w:rsidRDefault="00DE5FE0" w:rsidP="00DC3DAC">
            <w:pPr>
              <w:keepNext/>
              <w:spacing w:before="20" w:after="20" w:line="252" w:lineRule="auto"/>
              <w:ind w:left="0" w:right="0"/>
              <w:jc w:val="center"/>
              <w:rPr>
                <w:snapToGrid w:val="0"/>
                <w:kern w:val="16"/>
                <w:sz w:val="20"/>
                <w:szCs w:val="20"/>
              </w:rPr>
            </w:pPr>
            <w:r w:rsidRPr="00650A7C">
              <w:rPr>
                <w:snapToGrid w:val="0"/>
                <w:kern w:val="16"/>
                <w:sz w:val="20"/>
                <w:szCs w:val="20"/>
              </w:rPr>
              <w:sym w:font="Wingdings" w:char="F0FC"/>
            </w:r>
          </w:p>
        </w:tc>
        <w:tc>
          <w:tcPr>
            <w:tcW w:w="679" w:type="pct"/>
          </w:tcPr>
          <w:p w14:paraId="5C94BAED" w14:textId="77777777" w:rsidR="00DE5FE0" w:rsidRPr="00650A7C" w:rsidRDefault="00DE5FE0" w:rsidP="00DC3DAC">
            <w:pPr>
              <w:keepNext/>
              <w:spacing w:before="20" w:after="20" w:line="252" w:lineRule="auto"/>
              <w:ind w:left="0" w:right="0"/>
              <w:jc w:val="center"/>
              <w:rPr>
                <w:rFonts w:eastAsia="Times New Roman"/>
                <w:snapToGrid w:val="0"/>
                <w:kern w:val="16"/>
                <w:sz w:val="20"/>
                <w:szCs w:val="20"/>
              </w:rPr>
            </w:pPr>
            <w:r w:rsidRPr="00650A7C">
              <w:rPr>
                <w:rFonts w:eastAsia="Times New Roman"/>
                <w:snapToGrid w:val="0"/>
                <w:kern w:val="16"/>
                <w:sz w:val="20"/>
                <w:szCs w:val="20"/>
              </w:rPr>
              <w:t>–</w:t>
            </w:r>
          </w:p>
        </w:tc>
        <w:tc>
          <w:tcPr>
            <w:tcW w:w="540" w:type="pct"/>
          </w:tcPr>
          <w:p w14:paraId="50D3F362" w14:textId="77777777" w:rsidR="00DE5FE0" w:rsidRPr="00650A7C" w:rsidRDefault="00DE5FE0" w:rsidP="00DC3DAC">
            <w:pPr>
              <w:keepNext/>
              <w:spacing w:before="20" w:after="20" w:line="252" w:lineRule="auto"/>
              <w:ind w:left="0" w:right="0"/>
              <w:jc w:val="center"/>
              <w:rPr>
                <w:snapToGrid w:val="0"/>
                <w:kern w:val="16"/>
                <w:sz w:val="20"/>
                <w:szCs w:val="20"/>
              </w:rPr>
            </w:pPr>
            <w:r w:rsidRPr="00650A7C">
              <w:rPr>
                <w:rFonts w:eastAsia="Times New Roman"/>
                <w:snapToGrid w:val="0"/>
                <w:kern w:val="16"/>
                <w:sz w:val="20"/>
                <w:szCs w:val="20"/>
              </w:rPr>
              <w:t>–</w:t>
            </w:r>
          </w:p>
        </w:tc>
        <w:tc>
          <w:tcPr>
            <w:tcW w:w="679" w:type="pct"/>
          </w:tcPr>
          <w:p w14:paraId="6E2CD5E8" w14:textId="77777777" w:rsidR="00DE5FE0" w:rsidRPr="00650A7C" w:rsidRDefault="00DE5FE0" w:rsidP="00DC3DAC">
            <w:pPr>
              <w:keepNext/>
              <w:spacing w:before="20" w:after="20" w:line="252" w:lineRule="auto"/>
              <w:ind w:left="0" w:right="0"/>
              <w:jc w:val="center"/>
              <w:rPr>
                <w:rFonts w:eastAsia="Times New Roman"/>
                <w:snapToGrid w:val="0"/>
                <w:kern w:val="16"/>
                <w:sz w:val="20"/>
                <w:szCs w:val="20"/>
              </w:rPr>
            </w:pPr>
            <w:r w:rsidRPr="00650A7C">
              <w:rPr>
                <w:rFonts w:eastAsia="Times New Roman"/>
                <w:snapToGrid w:val="0"/>
                <w:kern w:val="16"/>
                <w:sz w:val="20"/>
                <w:szCs w:val="20"/>
              </w:rPr>
              <w:t>–</w:t>
            </w:r>
          </w:p>
        </w:tc>
      </w:tr>
      <w:tr w:rsidR="00DE5FE0" w:rsidRPr="00650A7C" w14:paraId="1BF47AE4" w14:textId="77777777" w:rsidTr="007E1183">
        <w:trPr>
          <w:trHeight w:val="112"/>
        </w:trPr>
        <w:tc>
          <w:tcPr>
            <w:tcW w:w="761" w:type="pct"/>
            <w:vMerge/>
          </w:tcPr>
          <w:p w14:paraId="184AD4B1" w14:textId="77777777" w:rsidR="00DE5FE0" w:rsidRPr="00650A7C" w:rsidRDefault="00DE5FE0" w:rsidP="00DC3DAC">
            <w:pPr>
              <w:keepNext/>
              <w:spacing w:before="20" w:after="20" w:line="252" w:lineRule="auto"/>
              <w:ind w:left="0" w:right="0"/>
              <w:rPr>
                <w:rFonts w:eastAsia="Times New Roman"/>
                <w:b/>
                <w:snapToGrid w:val="0"/>
                <w:kern w:val="16"/>
                <w:sz w:val="20"/>
                <w:szCs w:val="20"/>
              </w:rPr>
            </w:pPr>
          </w:p>
        </w:tc>
        <w:tc>
          <w:tcPr>
            <w:tcW w:w="1801" w:type="pct"/>
          </w:tcPr>
          <w:p w14:paraId="09CE547C" w14:textId="77777777" w:rsidR="00DE5FE0" w:rsidRPr="00650A7C" w:rsidRDefault="00DE5FE0" w:rsidP="00DC3DAC">
            <w:pPr>
              <w:keepNext/>
              <w:spacing w:before="20" w:after="20" w:line="252" w:lineRule="auto"/>
              <w:ind w:left="0" w:right="0"/>
              <w:rPr>
                <w:rFonts w:eastAsia="Times New Roman"/>
                <w:snapToGrid w:val="0"/>
                <w:kern w:val="16"/>
                <w:sz w:val="20"/>
                <w:szCs w:val="20"/>
              </w:rPr>
            </w:pPr>
            <w:r w:rsidRPr="00650A7C">
              <w:rPr>
                <w:rFonts w:eastAsia="Times New Roman"/>
                <w:snapToGrid w:val="0"/>
                <w:kern w:val="16"/>
                <w:sz w:val="20"/>
                <w:szCs w:val="20"/>
              </w:rPr>
              <w:t>Homicidal ideation*</w:t>
            </w:r>
            <w:r w:rsidRPr="00650A7C">
              <w:rPr>
                <w:rFonts w:eastAsia="Times New Roman"/>
                <w:snapToGrid w:val="0"/>
                <w:kern w:val="16"/>
                <w:sz w:val="20"/>
                <w:szCs w:val="20"/>
                <w:vertAlign w:val="superscript"/>
              </w:rPr>
              <w:t>†</w:t>
            </w:r>
          </w:p>
        </w:tc>
        <w:tc>
          <w:tcPr>
            <w:tcW w:w="540" w:type="pct"/>
          </w:tcPr>
          <w:p w14:paraId="4B8BC5C7" w14:textId="77777777" w:rsidR="00DE5FE0" w:rsidRPr="00650A7C" w:rsidRDefault="00DE5FE0" w:rsidP="00DC3DAC">
            <w:pPr>
              <w:keepNext/>
              <w:spacing w:before="20" w:after="20" w:line="252" w:lineRule="auto"/>
              <w:ind w:left="0" w:right="0"/>
              <w:jc w:val="center"/>
              <w:rPr>
                <w:snapToGrid w:val="0"/>
                <w:kern w:val="16"/>
                <w:sz w:val="20"/>
                <w:szCs w:val="20"/>
              </w:rPr>
            </w:pPr>
            <w:r w:rsidRPr="00650A7C">
              <w:rPr>
                <w:snapToGrid w:val="0"/>
                <w:kern w:val="16"/>
                <w:sz w:val="20"/>
                <w:szCs w:val="20"/>
              </w:rPr>
              <w:sym w:font="Wingdings" w:char="F0FC"/>
            </w:r>
          </w:p>
        </w:tc>
        <w:tc>
          <w:tcPr>
            <w:tcW w:w="679" w:type="pct"/>
          </w:tcPr>
          <w:p w14:paraId="4C2F4DFE" w14:textId="77777777" w:rsidR="00DE5FE0" w:rsidRPr="00650A7C" w:rsidRDefault="00DE5FE0" w:rsidP="00DC3DAC">
            <w:pPr>
              <w:keepNext/>
              <w:spacing w:before="20" w:after="20" w:line="252" w:lineRule="auto"/>
              <w:ind w:left="0" w:right="0"/>
              <w:jc w:val="center"/>
              <w:rPr>
                <w:snapToGrid w:val="0"/>
                <w:kern w:val="16"/>
                <w:sz w:val="20"/>
                <w:szCs w:val="20"/>
              </w:rPr>
            </w:pPr>
            <w:r w:rsidRPr="00650A7C">
              <w:rPr>
                <w:rFonts w:eastAsia="Times New Roman"/>
                <w:snapToGrid w:val="0"/>
                <w:kern w:val="16"/>
                <w:sz w:val="20"/>
                <w:szCs w:val="20"/>
              </w:rPr>
              <w:t>–</w:t>
            </w:r>
          </w:p>
        </w:tc>
        <w:tc>
          <w:tcPr>
            <w:tcW w:w="540" w:type="pct"/>
          </w:tcPr>
          <w:p w14:paraId="4DCFD5ED" w14:textId="77777777" w:rsidR="00DE5FE0" w:rsidRPr="00650A7C" w:rsidRDefault="00DE5FE0" w:rsidP="00DC3DAC">
            <w:pPr>
              <w:keepNext/>
              <w:spacing w:before="20" w:after="20" w:line="252" w:lineRule="auto"/>
              <w:ind w:left="0" w:right="0"/>
              <w:jc w:val="center"/>
              <w:rPr>
                <w:snapToGrid w:val="0"/>
                <w:kern w:val="16"/>
                <w:sz w:val="20"/>
                <w:szCs w:val="20"/>
              </w:rPr>
            </w:pPr>
            <w:r w:rsidRPr="00650A7C">
              <w:rPr>
                <w:snapToGrid w:val="0"/>
                <w:kern w:val="16"/>
                <w:sz w:val="20"/>
                <w:szCs w:val="20"/>
              </w:rPr>
              <w:sym w:font="Wingdings" w:char="F0FC"/>
            </w:r>
          </w:p>
        </w:tc>
        <w:tc>
          <w:tcPr>
            <w:tcW w:w="679" w:type="pct"/>
          </w:tcPr>
          <w:p w14:paraId="394EB7F8" w14:textId="77777777" w:rsidR="00DE5FE0" w:rsidRPr="00650A7C" w:rsidRDefault="00DE5FE0" w:rsidP="00DC3DAC">
            <w:pPr>
              <w:keepNext/>
              <w:spacing w:before="20" w:after="20" w:line="252" w:lineRule="auto"/>
              <w:ind w:left="0" w:right="0"/>
              <w:jc w:val="center"/>
              <w:rPr>
                <w:rFonts w:eastAsia="Times New Roman"/>
                <w:snapToGrid w:val="0"/>
                <w:kern w:val="16"/>
                <w:sz w:val="20"/>
                <w:szCs w:val="20"/>
              </w:rPr>
            </w:pPr>
            <w:r w:rsidRPr="00650A7C">
              <w:rPr>
                <w:rFonts w:eastAsia="Times New Roman"/>
                <w:snapToGrid w:val="0"/>
                <w:kern w:val="16"/>
                <w:sz w:val="20"/>
                <w:szCs w:val="20"/>
              </w:rPr>
              <w:t>–</w:t>
            </w:r>
          </w:p>
        </w:tc>
      </w:tr>
      <w:tr w:rsidR="00DE5FE0" w:rsidRPr="00650A7C" w14:paraId="5864458B" w14:textId="77777777" w:rsidTr="007E1183">
        <w:trPr>
          <w:trHeight w:val="257"/>
        </w:trPr>
        <w:tc>
          <w:tcPr>
            <w:tcW w:w="761" w:type="pct"/>
            <w:vMerge w:val="restart"/>
          </w:tcPr>
          <w:p w14:paraId="0D1B2F7C" w14:textId="77777777" w:rsidR="00DE5FE0" w:rsidRPr="00650A7C" w:rsidRDefault="00DE5FE0" w:rsidP="00DC3DAC">
            <w:pPr>
              <w:keepNext/>
              <w:spacing w:before="20" w:after="20" w:line="252" w:lineRule="auto"/>
              <w:ind w:left="0" w:right="0"/>
              <w:rPr>
                <w:rFonts w:eastAsia="Times New Roman"/>
                <w:b/>
                <w:snapToGrid w:val="0"/>
                <w:kern w:val="16"/>
                <w:sz w:val="20"/>
                <w:szCs w:val="20"/>
              </w:rPr>
            </w:pPr>
            <w:r w:rsidRPr="00650A7C">
              <w:rPr>
                <w:rFonts w:eastAsia="Times New Roman"/>
                <w:b/>
                <w:snapToGrid w:val="0"/>
                <w:kern w:val="16"/>
                <w:sz w:val="20"/>
                <w:szCs w:val="20"/>
              </w:rPr>
              <w:t>Missing information</w:t>
            </w:r>
          </w:p>
        </w:tc>
        <w:tc>
          <w:tcPr>
            <w:tcW w:w="1801" w:type="pct"/>
          </w:tcPr>
          <w:p w14:paraId="66F9536E" w14:textId="77777777" w:rsidR="00DE5FE0" w:rsidRPr="00650A7C" w:rsidRDefault="00DE5FE0" w:rsidP="00DC3DAC">
            <w:pPr>
              <w:keepNext/>
              <w:spacing w:before="20" w:after="20" w:line="252" w:lineRule="auto"/>
              <w:ind w:left="0" w:right="0"/>
              <w:rPr>
                <w:rFonts w:eastAsia="Times New Roman"/>
                <w:snapToGrid w:val="0"/>
                <w:kern w:val="16"/>
                <w:sz w:val="20"/>
                <w:szCs w:val="20"/>
              </w:rPr>
            </w:pPr>
            <w:r w:rsidRPr="00650A7C">
              <w:rPr>
                <w:rFonts w:eastAsia="Times New Roman"/>
                <w:snapToGrid w:val="0"/>
                <w:kern w:val="16"/>
                <w:sz w:val="20"/>
                <w:szCs w:val="20"/>
              </w:rPr>
              <w:t>Use in human pregnancy and lactation</w:t>
            </w:r>
            <w:r w:rsidRPr="00650A7C">
              <w:rPr>
                <w:rFonts w:eastAsia="Times New Roman"/>
                <w:snapToGrid w:val="0"/>
                <w:kern w:val="16"/>
                <w:sz w:val="20"/>
                <w:szCs w:val="20"/>
                <w:vertAlign w:val="superscript"/>
              </w:rPr>
              <w:t>¶</w:t>
            </w:r>
          </w:p>
        </w:tc>
        <w:tc>
          <w:tcPr>
            <w:tcW w:w="540" w:type="pct"/>
          </w:tcPr>
          <w:p w14:paraId="2974AAE5" w14:textId="77777777" w:rsidR="00DE5FE0" w:rsidRPr="00650A7C" w:rsidRDefault="00DE5FE0" w:rsidP="00DC3DAC">
            <w:pPr>
              <w:keepNext/>
              <w:spacing w:before="20" w:after="20" w:line="252" w:lineRule="auto"/>
              <w:ind w:left="0" w:right="0"/>
              <w:jc w:val="center"/>
              <w:rPr>
                <w:rFonts w:eastAsia="Times New Roman"/>
                <w:snapToGrid w:val="0"/>
                <w:kern w:val="16"/>
                <w:sz w:val="20"/>
                <w:szCs w:val="20"/>
              </w:rPr>
            </w:pPr>
            <w:r w:rsidRPr="00650A7C">
              <w:rPr>
                <w:snapToGrid w:val="0"/>
                <w:kern w:val="16"/>
                <w:sz w:val="20"/>
                <w:szCs w:val="20"/>
              </w:rPr>
              <w:sym w:font="Wingdings" w:char="F0FC"/>
            </w:r>
          </w:p>
        </w:tc>
        <w:tc>
          <w:tcPr>
            <w:tcW w:w="679" w:type="pct"/>
          </w:tcPr>
          <w:p w14:paraId="7DA0153E" w14:textId="77777777" w:rsidR="00DE5FE0" w:rsidRPr="00650A7C" w:rsidRDefault="00DE5FE0" w:rsidP="00DC3DAC">
            <w:pPr>
              <w:keepNext/>
              <w:spacing w:before="20" w:after="20" w:line="252" w:lineRule="auto"/>
              <w:ind w:left="0" w:right="0"/>
              <w:jc w:val="center"/>
              <w:rPr>
                <w:rFonts w:eastAsia="Times New Roman"/>
                <w:snapToGrid w:val="0"/>
                <w:kern w:val="16"/>
                <w:sz w:val="20"/>
                <w:szCs w:val="20"/>
              </w:rPr>
            </w:pPr>
            <w:r w:rsidRPr="00650A7C">
              <w:rPr>
                <w:snapToGrid w:val="0"/>
                <w:kern w:val="16"/>
                <w:sz w:val="20"/>
                <w:szCs w:val="20"/>
              </w:rPr>
              <w:sym w:font="Wingdings" w:char="F0FC"/>
            </w:r>
          </w:p>
        </w:tc>
        <w:tc>
          <w:tcPr>
            <w:tcW w:w="540" w:type="pct"/>
          </w:tcPr>
          <w:p w14:paraId="3C69A799" w14:textId="77777777" w:rsidR="00DE5FE0" w:rsidRPr="00650A7C" w:rsidRDefault="00DE5FE0" w:rsidP="00DC3DAC">
            <w:pPr>
              <w:keepNext/>
              <w:spacing w:before="20" w:after="20" w:line="252" w:lineRule="auto"/>
              <w:ind w:left="0" w:right="0"/>
              <w:jc w:val="center"/>
              <w:rPr>
                <w:rFonts w:eastAsia="Times New Roman"/>
                <w:snapToGrid w:val="0"/>
                <w:kern w:val="16"/>
                <w:sz w:val="20"/>
                <w:szCs w:val="20"/>
              </w:rPr>
            </w:pPr>
            <w:r w:rsidRPr="00650A7C">
              <w:rPr>
                <w:snapToGrid w:val="0"/>
                <w:kern w:val="16"/>
                <w:sz w:val="20"/>
                <w:szCs w:val="20"/>
              </w:rPr>
              <w:sym w:font="Wingdings" w:char="F0FC"/>
            </w:r>
          </w:p>
        </w:tc>
        <w:tc>
          <w:tcPr>
            <w:tcW w:w="679" w:type="pct"/>
          </w:tcPr>
          <w:p w14:paraId="4C0E3717" w14:textId="77777777" w:rsidR="00DE5FE0" w:rsidRPr="00650A7C" w:rsidRDefault="00DE5FE0" w:rsidP="00DC3DAC">
            <w:pPr>
              <w:keepNext/>
              <w:spacing w:before="20" w:after="20" w:line="252" w:lineRule="auto"/>
              <w:ind w:left="0" w:right="0"/>
              <w:jc w:val="center"/>
              <w:rPr>
                <w:rFonts w:eastAsia="Times New Roman"/>
                <w:snapToGrid w:val="0"/>
                <w:kern w:val="16"/>
                <w:sz w:val="20"/>
                <w:szCs w:val="20"/>
              </w:rPr>
            </w:pPr>
            <w:r w:rsidRPr="00650A7C">
              <w:rPr>
                <w:rFonts w:eastAsia="Times New Roman"/>
                <w:snapToGrid w:val="0"/>
                <w:kern w:val="16"/>
                <w:sz w:val="20"/>
                <w:szCs w:val="20"/>
              </w:rPr>
              <w:t>–</w:t>
            </w:r>
          </w:p>
        </w:tc>
      </w:tr>
      <w:tr w:rsidR="00DE5FE0" w:rsidRPr="00650A7C" w14:paraId="33C99633" w14:textId="77777777" w:rsidTr="007E1183">
        <w:trPr>
          <w:trHeight w:val="178"/>
        </w:trPr>
        <w:tc>
          <w:tcPr>
            <w:tcW w:w="761" w:type="pct"/>
            <w:vMerge/>
          </w:tcPr>
          <w:p w14:paraId="19CCDDAF" w14:textId="77777777" w:rsidR="00DE5FE0" w:rsidRPr="00650A7C" w:rsidRDefault="00DE5FE0" w:rsidP="00DC3DAC">
            <w:pPr>
              <w:keepNext/>
              <w:spacing w:before="20" w:after="20" w:line="252" w:lineRule="auto"/>
              <w:ind w:left="0" w:right="0"/>
              <w:rPr>
                <w:rFonts w:eastAsia="Times New Roman"/>
                <w:b/>
                <w:snapToGrid w:val="0"/>
                <w:kern w:val="16"/>
                <w:sz w:val="20"/>
                <w:szCs w:val="20"/>
              </w:rPr>
            </w:pPr>
          </w:p>
        </w:tc>
        <w:tc>
          <w:tcPr>
            <w:tcW w:w="1801" w:type="pct"/>
          </w:tcPr>
          <w:p w14:paraId="63614389" w14:textId="77777777" w:rsidR="00DE5FE0" w:rsidRPr="00650A7C" w:rsidRDefault="00DE5FE0" w:rsidP="00DC3DAC">
            <w:pPr>
              <w:keepNext/>
              <w:spacing w:before="20" w:after="20" w:line="252" w:lineRule="auto"/>
              <w:ind w:left="0" w:right="0"/>
              <w:rPr>
                <w:rFonts w:eastAsia="Times New Roman"/>
                <w:snapToGrid w:val="0"/>
                <w:kern w:val="16"/>
                <w:sz w:val="20"/>
                <w:szCs w:val="20"/>
              </w:rPr>
            </w:pPr>
            <w:r w:rsidRPr="00650A7C">
              <w:rPr>
                <w:rFonts w:eastAsia="Times New Roman"/>
                <w:snapToGrid w:val="0"/>
                <w:kern w:val="16"/>
                <w:sz w:val="20"/>
                <w:szCs w:val="20"/>
              </w:rPr>
              <w:t>Impact on cognition and growth in the paediatric population</w:t>
            </w:r>
          </w:p>
        </w:tc>
        <w:tc>
          <w:tcPr>
            <w:tcW w:w="540" w:type="pct"/>
          </w:tcPr>
          <w:p w14:paraId="2568CB1E" w14:textId="77777777" w:rsidR="00DE5FE0" w:rsidRPr="00650A7C" w:rsidRDefault="00DE5FE0" w:rsidP="00DC3DAC">
            <w:pPr>
              <w:keepNext/>
              <w:spacing w:before="20" w:after="20" w:line="252" w:lineRule="auto"/>
              <w:ind w:left="0" w:right="0"/>
              <w:jc w:val="center"/>
              <w:rPr>
                <w:snapToGrid w:val="0"/>
                <w:kern w:val="16"/>
                <w:sz w:val="20"/>
                <w:szCs w:val="20"/>
              </w:rPr>
            </w:pPr>
            <w:r w:rsidRPr="00650A7C">
              <w:rPr>
                <w:snapToGrid w:val="0"/>
                <w:kern w:val="16"/>
                <w:sz w:val="20"/>
                <w:szCs w:val="20"/>
              </w:rPr>
              <w:sym w:font="Wingdings" w:char="F0FC"/>
            </w:r>
          </w:p>
        </w:tc>
        <w:tc>
          <w:tcPr>
            <w:tcW w:w="679" w:type="pct"/>
          </w:tcPr>
          <w:p w14:paraId="40450A67" w14:textId="77777777" w:rsidR="00DE5FE0" w:rsidRPr="00650A7C" w:rsidRDefault="00DE5FE0" w:rsidP="00DC3DAC">
            <w:pPr>
              <w:keepNext/>
              <w:spacing w:before="20" w:after="20" w:line="252" w:lineRule="auto"/>
              <w:ind w:left="0" w:right="0"/>
              <w:jc w:val="center"/>
              <w:rPr>
                <w:snapToGrid w:val="0"/>
                <w:kern w:val="16"/>
                <w:sz w:val="20"/>
                <w:szCs w:val="20"/>
              </w:rPr>
            </w:pPr>
            <w:r w:rsidRPr="00650A7C">
              <w:rPr>
                <w:rFonts w:eastAsia="Times New Roman"/>
                <w:snapToGrid w:val="0"/>
                <w:kern w:val="16"/>
                <w:sz w:val="20"/>
                <w:szCs w:val="20"/>
              </w:rPr>
              <w:t>–</w:t>
            </w:r>
          </w:p>
        </w:tc>
        <w:tc>
          <w:tcPr>
            <w:tcW w:w="540" w:type="pct"/>
          </w:tcPr>
          <w:p w14:paraId="33ACD65A" w14:textId="77777777" w:rsidR="00DE5FE0" w:rsidRPr="00650A7C" w:rsidRDefault="00DE5FE0" w:rsidP="00DC3DAC">
            <w:pPr>
              <w:keepNext/>
              <w:spacing w:before="20" w:after="20" w:line="252" w:lineRule="auto"/>
              <w:ind w:left="0" w:right="0"/>
              <w:jc w:val="center"/>
              <w:rPr>
                <w:snapToGrid w:val="0"/>
                <w:kern w:val="16"/>
                <w:sz w:val="20"/>
                <w:szCs w:val="20"/>
              </w:rPr>
            </w:pPr>
            <w:r w:rsidRPr="00650A7C">
              <w:rPr>
                <w:snapToGrid w:val="0"/>
                <w:kern w:val="16"/>
                <w:sz w:val="20"/>
                <w:szCs w:val="20"/>
              </w:rPr>
              <w:sym w:font="Wingdings" w:char="F0FC"/>
            </w:r>
          </w:p>
        </w:tc>
        <w:tc>
          <w:tcPr>
            <w:tcW w:w="679" w:type="pct"/>
          </w:tcPr>
          <w:p w14:paraId="08A818BC" w14:textId="77777777" w:rsidR="00DE5FE0" w:rsidRPr="00650A7C" w:rsidRDefault="00DE5FE0" w:rsidP="00DC3DAC">
            <w:pPr>
              <w:keepNext/>
              <w:spacing w:before="20" w:after="20" w:line="252" w:lineRule="auto"/>
              <w:ind w:left="0" w:right="0"/>
              <w:jc w:val="center"/>
              <w:rPr>
                <w:rFonts w:eastAsia="Times New Roman"/>
                <w:snapToGrid w:val="0"/>
                <w:kern w:val="16"/>
                <w:sz w:val="20"/>
                <w:szCs w:val="20"/>
              </w:rPr>
            </w:pPr>
            <w:r w:rsidRPr="00650A7C">
              <w:rPr>
                <w:rFonts w:eastAsia="Times New Roman"/>
                <w:snapToGrid w:val="0"/>
                <w:kern w:val="16"/>
                <w:sz w:val="20"/>
                <w:szCs w:val="20"/>
              </w:rPr>
              <w:t>–</w:t>
            </w:r>
          </w:p>
        </w:tc>
      </w:tr>
      <w:tr w:rsidR="00DE5FE0" w:rsidRPr="00650A7C" w14:paraId="1C935F0C" w14:textId="77777777" w:rsidTr="007E1183">
        <w:trPr>
          <w:trHeight w:val="140"/>
        </w:trPr>
        <w:tc>
          <w:tcPr>
            <w:tcW w:w="761" w:type="pct"/>
            <w:vMerge/>
          </w:tcPr>
          <w:p w14:paraId="5793FB51" w14:textId="77777777" w:rsidR="00DE5FE0" w:rsidRPr="00650A7C" w:rsidRDefault="00DE5FE0" w:rsidP="00DC3DAC">
            <w:pPr>
              <w:keepNext/>
              <w:spacing w:before="20" w:after="20" w:line="252" w:lineRule="auto"/>
              <w:ind w:left="0" w:right="0"/>
              <w:rPr>
                <w:rFonts w:eastAsia="Times New Roman"/>
                <w:snapToGrid w:val="0"/>
                <w:kern w:val="16"/>
                <w:sz w:val="20"/>
                <w:szCs w:val="20"/>
              </w:rPr>
            </w:pPr>
          </w:p>
        </w:tc>
        <w:tc>
          <w:tcPr>
            <w:tcW w:w="1801" w:type="pct"/>
          </w:tcPr>
          <w:p w14:paraId="631D35A1" w14:textId="36B19642" w:rsidR="00DE5FE0" w:rsidRPr="00650A7C" w:rsidRDefault="00DE5FE0" w:rsidP="00DC3DAC">
            <w:pPr>
              <w:keepNext/>
              <w:spacing w:before="20" w:after="20" w:line="252" w:lineRule="auto"/>
              <w:ind w:left="0" w:right="0"/>
              <w:rPr>
                <w:rFonts w:eastAsia="Times New Roman"/>
                <w:snapToGrid w:val="0"/>
                <w:kern w:val="16"/>
                <w:sz w:val="20"/>
                <w:szCs w:val="20"/>
              </w:rPr>
            </w:pPr>
            <w:r w:rsidRPr="00650A7C">
              <w:rPr>
                <w:rFonts w:eastAsia="Times New Roman"/>
                <w:snapToGrid w:val="0"/>
                <w:kern w:val="16"/>
                <w:sz w:val="20"/>
                <w:szCs w:val="20"/>
              </w:rPr>
              <w:t>Long-term safety in children &lt;</w:t>
            </w:r>
            <w:r w:rsidR="00DC3DAC">
              <w:rPr>
                <w:rFonts w:eastAsia="Times New Roman"/>
                <w:snapToGrid w:val="0"/>
                <w:kern w:val="16"/>
                <w:sz w:val="20"/>
                <w:szCs w:val="20"/>
              </w:rPr>
              <w:t> </w:t>
            </w:r>
            <w:r w:rsidRPr="00650A7C">
              <w:rPr>
                <w:rFonts w:eastAsia="Times New Roman"/>
                <w:snapToGrid w:val="0"/>
                <w:kern w:val="16"/>
                <w:sz w:val="20"/>
                <w:szCs w:val="20"/>
              </w:rPr>
              <w:t>12 years of age</w:t>
            </w:r>
            <w:r w:rsidRPr="00650A7C">
              <w:rPr>
                <w:rFonts w:eastAsia="Times New Roman"/>
                <w:snapToGrid w:val="0"/>
                <w:kern w:val="16"/>
                <w:sz w:val="20"/>
                <w:szCs w:val="20"/>
                <w:vertAlign w:val="superscript"/>
              </w:rPr>
              <w:t>†</w:t>
            </w:r>
          </w:p>
        </w:tc>
        <w:tc>
          <w:tcPr>
            <w:tcW w:w="540" w:type="pct"/>
          </w:tcPr>
          <w:p w14:paraId="729F4E35" w14:textId="77777777" w:rsidR="00DE5FE0" w:rsidRPr="00650A7C" w:rsidRDefault="00DE5FE0" w:rsidP="00DC3DAC">
            <w:pPr>
              <w:keepNext/>
              <w:spacing w:before="20" w:after="20" w:line="252" w:lineRule="auto"/>
              <w:ind w:left="0" w:right="0"/>
              <w:jc w:val="center"/>
              <w:rPr>
                <w:snapToGrid w:val="0"/>
                <w:kern w:val="16"/>
                <w:sz w:val="20"/>
                <w:szCs w:val="20"/>
              </w:rPr>
            </w:pPr>
            <w:r w:rsidRPr="00650A7C">
              <w:rPr>
                <w:snapToGrid w:val="0"/>
                <w:kern w:val="16"/>
                <w:sz w:val="20"/>
                <w:szCs w:val="20"/>
              </w:rPr>
              <w:sym w:font="Wingdings" w:char="F0FC"/>
            </w:r>
          </w:p>
        </w:tc>
        <w:tc>
          <w:tcPr>
            <w:tcW w:w="679" w:type="pct"/>
          </w:tcPr>
          <w:p w14:paraId="64883698" w14:textId="77777777" w:rsidR="00DE5FE0" w:rsidRPr="00650A7C" w:rsidRDefault="00DE5FE0" w:rsidP="00DC3DAC">
            <w:pPr>
              <w:keepNext/>
              <w:spacing w:before="20" w:after="20" w:line="252" w:lineRule="auto"/>
              <w:ind w:left="0" w:right="0"/>
              <w:jc w:val="center"/>
              <w:rPr>
                <w:snapToGrid w:val="0"/>
                <w:kern w:val="16"/>
                <w:sz w:val="20"/>
                <w:szCs w:val="20"/>
              </w:rPr>
            </w:pPr>
            <w:r w:rsidRPr="00650A7C">
              <w:rPr>
                <w:rFonts w:eastAsia="Times New Roman"/>
                <w:snapToGrid w:val="0"/>
                <w:kern w:val="16"/>
                <w:sz w:val="20"/>
                <w:szCs w:val="20"/>
              </w:rPr>
              <w:t>–</w:t>
            </w:r>
          </w:p>
        </w:tc>
        <w:tc>
          <w:tcPr>
            <w:tcW w:w="540" w:type="pct"/>
          </w:tcPr>
          <w:p w14:paraId="58A3626C" w14:textId="77777777" w:rsidR="00DE5FE0" w:rsidRPr="00650A7C" w:rsidRDefault="00DE5FE0" w:rsidP="00DC3DAC">
            <w:pPr>
              <w:keepNext/>
              <w:spacing w:before="20" w:after="20" w:line="252" w:lineRule="auto"/>
              <w:ind w:left="0" w:right="0"/>
              <w:jc w:val="center"/>
              <w:rPr>
                <w:snapToGrid w:val="0"/>
                <w:kern w:val="16"/>
                <w:sz w:val="20"/>
                <w:szCs w:val="20"/>
              </w:rPr>
            </w:pPr>
            <w:r w:rsidRPr="00650A7C">
              <w:rPr>
                <w:snapToGrid w:val="0"/>
                <w:kern w:val="16"/>
                <w:sz w:val="20"/>
                <w:szCs w:val="20"/>
              </w:rPr>
              <w:sym w:font="Wingdings" w:char="F0FC"/>
            </w:r>
          </w:p>
        </w:tc>
        <w:tc>
          <w:tcPr>
            <w:tcW w:w="679" w:type="pct"/>
          </w:tcPr>
          <w:p w14:paraId="0F03B715" w14:textId="77777777" w:rsidR="00DE5FE0" w:rsidRPr="00650A7C" w:rsidRDefault="00DE5FE0" w:rsidP="00DC3DAC">
            <w:pPr>
              <w:keepNext/>
              <w:spacing w:before="20" w:after="20" w:line="252" w:lineRule="auto"/>
              <w:ind w:left="0" w:right="0"/>
              <w:jc w:val="center"/>
              <w:rPr>
                <w:rFonts w:eastAsia="Times New Roman"/>
                <w:snapToGrid w:val="0"/>
                <w:kern w:val="16"/>
                <w:sz w:val="20"/>
                <w:szCs w:val="20"/>
              </w:rPr>
            </w:pPr>
            <w:r w:rsidRPr="00650A7C">
              <w:rPr>
                <w:rFonts w:eastAsia="Times New Roman"/>
                <w:snapToGrid w:val="0"/>
                <w:kern w:val="16"/>
                <w:sz w:val="20"/>
                <w:szCs w:val="20"/>
              </w:rPr>
              <w:t>–</w:t>
            </w:r>
          </w:p>
        </w:tc>
      </w:tr>
    </w:tbl>
    <w:p w14:paraId="0A2547EA" w14:textId="50E34E15" w:rsidR="00650A7C" w:rsidRDefault="00650A7C" w:rsidP="00650A7C">
      <w:pPr>
        <w:pStyle w:val="TableDescription"/>
        <w:rPr>
          <w:lang w:eastAsia="ja-JP"/>
        </w:rPr>
      </w:pPr>
      <w:r>
        <w:rPr>
          <w:lang w:eastAsia="ja-JP"/>
        </w:rPr>
        <w:t>*Follow-up questionnaires, † Australian specific safety concerns, ¶ Pregnancy registry</w:t>
      </w:r>
    </w:p>
    <w:p w14:paraId="3A956E36" w14:textId="54E7BB68" w:rsidR="00650A7C" w:rsidRPr="00FD04FF" w:rsidRDefault="00650A7C" w:rsidP="00DC3DAC">
      <w:pPr>
        <w:rPr>
          <w:lang w:eastAsia="ja-JP"/>
        </w:rPr>
      </w:pPr>
      <w:r>
        <w:rPr>
          <w:lang w:eastAsia="ja-JP"/>
        </w:rPr>
        <w:t xml:space="preserve">There are no outstanding issue that </w:t>
      </w:r>
      <w:proofErr w:type="gramStart"/>
      <w:r>
        <w:rPr>
          <w:lang w:eastAsia="ja-JP"/>
        </w:rPr>
        <w:t>are related</w:t>
      </w:r>
      <w:proofErr w:type="gramEnd"/>
      <w:r>
        <w:rPr>
          <w:lang w:eastAsia="ja-JP"/>
        </w:rPr>
        <w:t xml:space="preserve"> to </w:t>
      </w:r>
      <w:r w:rsidR="00AB5766">
        <w:rPr>
          <w:lang w:eastAsia="ja-JP"/>
        </w:rPr>
        <w:t xml:space="preserve">the </w:t>
      </w:r>
      <w:r>
        <w:rPr>
          <w:lang w:eastAsia="ja-JP"/>
        </w:rPr>
        <w:t>RMP.</w:t>
      </w:r>
    </w:p>
    <w:p w14:paraId="0A8F24CE" w14:textId="76C054F5" w:rsidR="00650A7C" w:rsidRPr="00650A7C" w:rsidRDefault="00650A7C" w:rsidP="00DC3DAC">
      <w:pPr>
        <w:rPr>
          <w:rFonts w:eastAsia="Times New Roman"/>
          <w:iCs/>
          <w:snapToGrid w:val="0"/>
          <w:kern w:val="16"/>
        </w:rPr>
      </w:pPr>
      <w:r w:rsidRPr="00650A7C">
        <w:rPr>
          <w:rFonts w:eastAsia="Times New Roman"/>
          <w:iCs/>
          <w:snapToGrid w:val="0"/>
          <w:kern w:val="16"/>
        </w:rPr>
        <w:t>The RMP eval</w:t>
      </w:r>
      <w:r w:rsidR="00AB5766">
        <w:rPr>
          <w:rFonts w:eastAsia="Times New Roman"/>
          <w:iCs/>
          <w:snapToGrid w:val="0"/>
          <w:kern w:val="16"/>
        </w:rPr>
        <w:t>uator has recommended Fycompa</w:t>
      </w:r>
      <w:r w:rsidRPr="00650A7C">
        <w:rPr>
          <w:rFonts w:eastAsia="Times New Roman"/>
          <w:iCs/>
          <w:snapToGrid w:val="0"/>
          <w:kern w:val="16"/>
        </w:rPr>
        <w:t xml:space="preserve"> be included in the </w:t>
      </w:r>
      <w:r w:rsidR="0087737C">
        <w:rPr>
          <w:rFonts w:eastAsia="Times New Roman"/>
          <w:iCs/>
          <w:snapToGrid w:val="0"/>
          <w:kern w:val="16"/>
        </w:rPr>
        <w:t>B</w:t>
      </w:r>
      <w:r w:rsidRPr="00650A7C">
        <w:rPr>
          <w:rFonts w:eastAsia="Times New Roman"/>
          <w:iCs/>
          <w:snapToGrid w:val="0"/>
          <w:kern w:val="16"/>
        </w:rPr>
        <w:t xml:space="preserve">lack </w:t>
      </w:r>
      <w:r w:rsidR="0087737C">
        <w:rPr>
          <w:rFonts w:eastAsia="Times New Roman"/>
          <w:iCs/>
          <w:snapToGrid w:val="0"/>
          <w:kern w:val="16"/>
        </w:rPr>
        <w:t>T</w:t>
      </w:r>
      <w:r w:rsidRPr="00650A7C">
        <w:rPr>
          <w:rFonts w:eastAsia="Times New Roman"/>
          <w:iCs/>
          <w:snapToGrid w:val="0"/>
          <w:kern w:val="16"/>
        </w:rPr>
        <w:t>riangle scheme.</w:t>
      </w:r>
    </w:p>
    <w:p w14:paraId="35E6E91C" w14:textId="021785F9" w:rsidR="008E7846" w:rsidRPr="00650A7C" w:rsidRDefault="00AB5766" w:rsidP="00DC3DAC">
      <w:pPr>
        <w:rPr>
          <w:snapToGrid w:val="0"/>
        </w:rPr>
      </w:pPr>
      <w:r>
        <w:rPr>
          <w:snapToGrid w:val="0"/>
        </w:rPr>
        <w:t>The D</w:t>
      </w:r>
      <w:r w:rsidR="00DE5FE0" w:rsidRPr="006C7F94">
        <w:rPr>
          <w:snapToGrid w:val="0"/>
        </w:rPr>
        <w:t xml:space="preserve">elegate has noted that routine pharmacovigilance </w:t>
      </w:r>
      <w:proofErr w:type="gramStart"/>
      <w:r w:rsidR="00DE5FE0" w:rsidRPr="006C7F94">
        <w:rPr>
          <w:snapToGrid w:val="0"/>
        </w:rPr>
        <w:t>has been planned</w:t>
      </w:r>
      <w:proofErr w:type="gramEnd"/>
      <w:r w:rsidR="00DE5FE0" w:rsidRPr="006C7F94">
        <w:rPr>
          <w:snapToGrid w:val="0"/>
        </w:rPr>
        <w:t xml:space="preserve"> to monitor the long-term safety in children &lt;</w:t>
      </w:r>
      <w:r>
        <w:rPr>
          <w:snapToGrid w:val="0"/>
        </w:rPr>
        <w:t xml:space="preserve"> </w:t>
      </w:r>
      <w:r w:rsidR="007E1183">
        <w:rPr>
          <w:snapToGrid w:val="0"/>
        </w:rPr>
        <w:t>12 years of age. The Delegate has requested the Advisory C</w:t>
      </w:r>
      <w:r w:rsidR="002D6A09">
        <w:rPr>
          <w:snapToGrid w:val="0"/>
        </w:rPr>
        <w:t xml:space="preserve">ommittee </w:t>
      </w:r>
      <w:r w:rsidR="00DE5FE0" w:rsidRPr="006C7F94">
        <w:rPr>
          <w:snapToGrid w:val="0"/>
        </w:rPr>
        <w:t>comment on the adequacy of this approach</w:t>
      </w:r>
      <w:r w:rsidR="007E1183">
        <w:rPr>
          <w:snapToGrid w:val="0"/>
        </w:rPr>
        <w:t xml:space="preserve"> (see ‘</w:t>
      </w:r>
      <w:r w:rsidR="007E1183" w:rsidRPr="007E1183">
        <w:rPr>
          <w:i/>
          <w:snapToGrid w:val="0"/>
        </w:rPr>
        <w:fldChar w:fldCharType="begin"/>
      </w:r>
      <w:r w:rsidR="007E1183" w:rsidRPr="007E1183">
        <w:rPr>
          <w:i/>
          <w:snapToGrid w:val="0"/>
        </w:rPr>
        <w:instrText xml:space="preserve"> REF _Ref67916138 \h </w:instrText>
      </w:r>
      <w:r w:rsidR="007E1183">
        <w:rPr>
          <w:i/>
          <w:snapToGrid w:val="0"/>
        </w:rPr>
        <w:instrText xml:space="preserve"> \* MERGEFORMAT </w:instrText>
      </w:r>
      <w:r w:rsidR="007E1183" w:rsidRPr="007E1183">
        <w:rPr>
          <w:i/>
          <w:snapToGrid w:val="0"/>
        </w:rPr>
      </w:r>
      <w:r w:rsidR="007E1183" w:rsidRPr="007E1183">
        <w:rPr>
          <w:i/>
          <w:snapToGrid w:val="0"/>
        </w:rPr>
        <w:fldChar w:fldCharType="separate"/>
      </w:r>
      <w:r w:rsidR="004C6771" w:rsidRPr="004C6771">
        <w:rPr>
          <w:i/>
        </w:rPr>
        <w:t>Advisory Committee considerations</w:t>
      </w:r>
      <w:r w:rsidR="007E1183" w:rsidRPr="007E1183">
        <w:rPr>
          <w:i/>
          <w:snapToGrid w:val="0"/>
        </w:rPr>
        <w:fldChar w:fldCharType="end"/>
      </w:r>
      <w:r w:rsidR="007E1183">
        <w:rPr>
          <w:snapToGrid w:val="0"/>
        </w:rPr>
        <w:t>’ section, below). The C</w:t>
      </w:r>
      <w:r w:rsidR="00DE5FE0" w:rsidRPr="006C7F94">
        <w:rPr>
          <w:snapToGrid w:val="0"/>
        </w:rPr>
        <w:t>ommittee's recommendation in terms of havin</w:t>
      </w:r>
      <w:r w:rsidR="007E1183">
        <w:rPr>
          <w:snapToGrid w:val="0"/>
        </w:rPr>
        <w:t>g registries as an additional pha</w:t>
      </w:r>
      <w:r w:rsidR="002D6A09">
        <w:rPr>
          <w:snapToGrid w:val="0"/>
        </w:rPr>
        <w:t>r</w:t>
      </w:r>
      <w:r w:rsidR="007E1183">
        <w:rPr>
          <w:snapToGrid w:val="0"/>
        </w:rPr>
        <w:t>macovigilance</w:t>
      </w:r>
      <w:r w:rsidR="00DE5FE0" w:rsidRPr="006C7F94">
        <w:rPr>
          <w:snapToGrid w:val="0"/>
        </w:rPr>
        <w:t xml:space="preserve"> activity </w:t>
      </w:r>
      <w:proofErr w:type="gramStart"/>
      <w:r w:rsidR="00DE5FE0" w:rsidRPr="006C7F94">
        <w:rPr>
          <w:snapToGrid w:val="0"/>
        </w:rPr>
        <w:t>is also requested</w:t>
      </w:r>
      <w:proofErr w:type="gramEnd"/>
      <w:r w:rsidR="00DE5FE0" w:rsidRPr="006C7F94">
        <w:rPr>
          <w:snapToGrid w:val="0"/>
        </w:rPr>
        <w:t>.</w:t>
      </w:r>
    </w:p>
    <w:p w14:paraId="7689B5BA" w14:textId="77777777" w:rsidR="008E7846" w:rsidRDefault="00AA0ED0" w:rsidP="008E7846">
      <w:pPr>
        <w:pStyle w:val="Heading3"/>
      </w:pPr>
      <w:bookmarkStart w:id="83" w:name="_Toc247691531"/>
      <w:bookmarkStart w:id="84" w:name="_Toc314842515"/>
      <w:bookmarkStart w:id="85" w:name="_Toc70347476"/>
      <w:bookmarkStart w:id="86" w:name="_Toc196046505"/>
      <w:bookmarkStart w:id="87" w:name="_Toc196046949"/>
      <w:r>
        <w:t>Risk-benefit a</w:t>
      </w:r>
      <w:r w:rsidR="008E7846">
        <w:t>nalysis</w:t>
      </w:r>
      <w:bookmarkEnd w:id="83"/>
      <w:bookmarkEnd w:id="84"/>
      <w:bookmarkEnd w:id="85"/>
    </w:p>
    <w:p w14:paraId="1C0DA99E" w14:textId="77777777" w:rsidR="00D23139" w:rsidRDefault="007D53B6" w:rsidP="00D23139">
      <w:pPr>
        <w:pStyle w:val="Heading4"/>
      </w:pPr>
      <w:r>
        <w:t>Delegate’s considerations</w:t>
      </w:r>
    </w:p>
    <w:p w14:paraId="5330CE6A" w14:textId="143C4380" w:rsidR="00DE5FE0" w:rsidRDefault="00DE5FE0" w:rsidP="007E1183">
      <w:proofErr w:type="gramStart"/>
      <w:r>
        <w:t>The sponsor's approach to extrapolate efficacy of perampan</w:t>
      </w:r>
      <w:r w:rsidR="002D6A09">
        <w:t>el from adults to children of 4 </w:t>
      </w:r>
      <w:r w:rsidR="00C73E0F">
        <w:t xml:space="preserve">to </w:t>
      </w:r>
      <w:r>
        <w:t>&lt;</w:t>
      </w:r>
      <w:r w:rsidR="00C73E0F">
        <w:t> </w:t>
      </w:r>
      <w:r>
        <w:t>12 years of age based on Pop PK modelling principles is in accordance with the EMA's concept paper on extrapolation of efficacy and safety in medicine development,</w:t>
      </w:r>
      <w:r w:rsidR="00C73E0F">
        <w:rPr>
          <w:rStyle w:val="FootnoteReference"/>
        </w:rPr>
        <w:footnoteReference w:id="19"/>
      </w:r>
      <w:r>
        <w:t xml:space="preserve"> the draft reflection paper on extrapolation of efficacy and safety in paediatric medicine development,</w:t>
      </w:r>
      <w:bookmarkStart w:id="88" w:name="_Ref67917793"/>
      <w:r w:rsidR="00C73E0F">
        <w:rPr>
          <w:rStyle w:val="FootnoteReference"/>
        </w:rPr>
        <w:footnoteReference w:id="20"/>
      </w:r>
      <w:bookmarkEnd w:id="88"/>
      <w:r>
        <w:t xml:space="preserve"> and the </w:t>
      </w:r>
      <w:r w:rsidR="00BA5DB5">
        <w:t>US Food and Drug Administration’s (</w:t>
      </w:r>
      <w:r>
        <w:t>FDA’s</w:t>
      </w:r>
      <w:r w:rsidR="00BA5DB5">
        <w:t>)</w:t>
      </w:r>
      <w:r>
        <w:t xml:space="preserve"> guidance for </w:t>
      </w:r>
      <w:r w:rsidR="00C73E0F">
        <w:t xml:space="preserve">extrapolation of efficacy of medicines to treat </w:t>
      </w:r>
      <w:r w:rsidR="002D6A09">
        <w:t>POS</w:t>
      </w:r>
      <w:r w:rsidR="00C73E0F">
        <w:t xml:space="preserve"> from adults to paediatric patients 2 years of age and older</w:t>
      </w:r>
      <w:r>
        <w:t>.</w:t>
      </w:r>
      <w:bookmarkStart w:id="89" w:name="_Ref67919507"/>
      <w:r w:rsidR="00C73E0F">
        <w:rPr>
          <w:rStyle w:val="FootnoteReference"/>
        </w:rPr>
        <w:footnoteReference w:id="21"/>
      </w:r>
      <w:bookmarkEnd w:id="89"/>
      <w:proofErr w:type="gramEnd"/>
      <w:r>
        <w:t xml:space="preserve"> </w:t>
      </w:r>
      <w:proofErr w:type="gramStart"/>
      <w:r>
        <w:t>However, there were</w:t>
      </w:r>
      <w:r w:rsidR="00C73E0F">
        <w:t xml:space="preserve"> critical limitations with the P</w:t>
      </w:r>
      <w:r>
        <w:t>op PK model</w:t>
      </w:r>
      <w:r w:rsidR="00C73E0F">
        <w:t>,</w:t>
      </w:r>
      <w:r>
        <w:t xml:space="preserve"> such as the very low nu</w:t>
      </w:r>
      <w:r w:rsidR="00C73E0F">
        <w:t xml:space="preserve">mber of children in the 2 to </w:t>
      </w:r>
      <w:r w:rsidR="00BA5DB5">
        <w:t>4 year age group;</w:t>
      </w:r>
      <w:r w:rsidR="00BA5DB5">
        <w:fldChar w:fldCharType="begin"/>
      </w:r>
      <w:r w:rsidR="00BA5DB5">
        <w:instrText xml:space="preserve"> NOTEREF _Ref67917793 \f \h </w:instrText>
      </w:r>
      <w:r w:rsidR="00BA5DB5">
        <w:fldChar w:fldCharType="separate"/>
      </w:r>
      <w:r w:rsidR="004C6771" w:rsidRPr="004C6771">
        <w:rPr>
          <w:rStyle w:val="FootnoteReference"/>
        </w:rPr>
        <w:t>20</w:t>
      </w:r>
      <w:r w:rsidR="00BA5DB5">
        <w:fldChar w:fldCharType="end"/>
      </w:r>
      <w:r>
        <w:t xml:space="preserve"> and not including </w:t>
      </w:r>
      <w:r>
        <w:lastRenderedPageBreak/>
        <w:t>the matur</w:t>
      </w:r>
      <w:r w:rsidR="00BA5DB5">
        <w:t>ation factors in the model</w:t>
      </w:r>
      <w:r w:rsidRPr="0087737C">
        <w:t>.</w:t>
      </w:r>
      <w:r w:rsidR="00BA5DB5" w:rsidRPr="0087737C">
        <w:rPr>
          <w:rStyle w:val="FootnoteReference"/>
        </w:rPr>
        <w:footnoteReference w:id="22"/>
      </w:r>
      <w:r w:rsidR="0087737C" w:rsidRPr="004C6771">
        <w:rPr>
          <w:vertAlign w:val="superscript"/>
        </w:rPr>
        <w:t>,</w:t>
      </w:r>
      <w:r w:rsidR="00BA5DB5" w:rsidRPr="0087737C">
        <w:rPr>
          <w:rStyle w:val="FootnoteReference"/>
        </w:rPr>
        <w:footnoteReference w:id="23"/>
      </w:r>
      <w:r w:rsidR="0087737C" w:rsidRPr="004C6771">
        <w:rPr>
          <w:vertAlign w:val="superscript"/>
        </w:rPr>
        <w:t>,</w:t>
      </w:r>
      <w:r w:rsidR="00BA5DB5" w:rsidRPr="0087737C">
        <w:rPr>
          <w:rStyle w:val="FootnoteReference"/>
        </w:rPr>
        <w:footnoteReference w:id="24"/>
      </w:r>
      <w:r w:rsidR="00BA5DB5">
        <w:t xml:space="preserve"> </w:t>
      </w:r>
      <w:r>
        <w:t xml:space="preserve">Following the advice of the </w:t>
      </w:r>
      <w:r w:rsidR="002D6A09">
        <w:t>Pharmacometrics Working Group</w:t>
      </w:r>
      <w:r>
        <w:t>, the sponsor has modified the model by raising the lower limit of the age group in their initially proposed indication from 2 to 4 years.</w:t>
      </w:r>
      <w:proofErr w:type="gramEnd"/>
      <w:r>
        <w:t xml:space="preserve"> The sponsor has also adopted a weight based dose regimen. This approach appears to have resulted in exposures for perampanel in children that are comparable to adults. Hence, it has satisfied the criteria for extrapolation of efficacy data, as stipulated by the EMA guideline.</w:t>
      </w:r>
      <w:r w:rsidR="00BA5DB5">
        <w:fldChar w:fldCharType="begin"/>
      </w:r>
      <w:r w:rsidR="00BA5DB5">
        <w:instrText xml:space="preserve"> NOTEREF _Ref67917793 \f \h </w:instrText>
      </w:r>
      <w:r w:rsidR="00BA5DB5">
        <w:fldChar w:fldCharType="separate"/>
      </w:r>
      <w:r w:rsidR="004C6771" w:rsidRPr="004C6771">
        <w:rPr>
          <w:rStyle w:val="FootnoteReference"/>
        </w:rPr>
        <w:t>20</w:t>
      </w:r>
      <w:r w:rsidR="00BA5DB5">
        <w:fldChar w:fldCharType="end"/>
      </w:r>
      <w:r>
        <w:t xml:space="preserve"> From a safety perspective, it is reassuring that for children weighing &lt;</w:t>
      </w:r>
      <w:r w:rsidR="00BA5DB5">
        <w:t xml:space="preserve"> </w:t>
      </w:r>
      <w:r>
        <w:t>30</w:t>
      </w:r>
      <w:r w:rsidR="00BA5DB5">
        <w:t xml:space="preserve"> </w:t>
      </w:r>
      <w:r>
        <w:t>kg, the maximum dose as per the proposed dose regimen will be lower than that used in the pivotal study. However, from a clinical perspective, the efficacy of the proposed dosage regimen is unknown. The overall number of children who have completed 52 weeks of exposure to perampanel (n</w:t>
      </w:r>
      <w:r w:rsidR="00BA5DB5">
        <w:t xml:space="preserve"> </w:t>
      </w:r>
      <w:r>
        <w:t>=</w:t>
      </w:r>
      <w:r w:rsidR="00BA5DB5">
        <w:t xml:space="preserve"> </w:t>
      </w:r>
      <w:r>
        <w:t xml:space="preserve">122) has satisfied the criteria stipulated by the EMA guideline for long-term safety data (a minimum number of 100 children to be exposed to treatment </w:t>
      </w:r>
      <w:r w:rsidR="00BA5DB5">
        <w:t>for a duration of 52 weeks)</w:t>
      </w:r>
      <w:r>
        <w:t>.</w:t>
      </w:r>
      <w:bookmarkStart w:id="90" w:name="_Ref67918397"/>
      <w:r w:rsidR="00BA5DB5">
        <w:rPr>
          <w:rStyle w:val="FootnoteReference"/>
        </w:rPr>
        <w:footnoteReference w:id="25"/>
      </w:r>
      <w:bookmarkEnd w:id="90"/>
      <w:r>
        <w:t xml:space="preserve"> However, a very low number of children (n</w:t>
      </w:r>
      <w:r w:rsidR="00ED53F4">
        <w:t xml:space="preserve"> </w:t>
      </w:r>
      <w:r>
        <w:t>=</w:t>
      </w:r>
      <w:r w:rsidR="00ED53F4">
        <w:t xml:space="preserve"> </w:t>
      </w:r>
      <w:r>
        <w:t>17) with PGTCS were exposed to pera</w:t>
      </w:r>
      <w:r w:rsidR="00ED53F4">
        <w:t>mpanel for a 52 week duration.</w:t>
      </w:r>
    </w:p>
    <w:p w14:paraId="126BA54F" w14:textId="3D33B4F9" w:rsidR="00DE5FE0" w:rsidRDefault="00DE5FE0" w:rsidP="007E1183">
      <w:r>
        <w:t xml:space="preserve">It </w:t>
      </w:r>
      <w:proofErr w:type="gramStart"/>
      <w:r>
        <w:t>was noted</w:t>
      </w:r>
      <w:proofErr w:type="gramEnd"/>
      <w:r>
        <w:t xml:space="preserve"> that the median value for the dose-normalised AUC of perampanel for children 4 to &lt;</w:t>
      </w:r>
      <w:r w:rsidR="00ED53F4">
        <w:t xml:space="preserve"> </w:t>
      </w:r>
      <w:r>
        <w:t>7 years of age was almost twice higher than the corresponding value for adolescents and adults. Fro</w:t>
      </w:r>
      <w:r w:rsidR="00ED53F4">
        <w:t>m an efficacy perspective, the D</w:t>
      </w:r>
      <w:r>
        <w:t xml:space="preserve">elegate has considered the </w:t>
      </w:r>
      <w:r w:rsidR="002D6A09">
        <w:t xml:space="preserve">Pharmacometric Working Group's </w:t>
      </w:r>
      <w:r>
        <w:t xml:space="preserve">views on this issue. From a safety perspective, considering the increased incidence </w:t>
      </w:r>
      <w:r w:rsidR="002D6A09">
        <w:t>of TEAEs in children, the D</w:t>
      </w:r>
      <w:r>
        <w:t xml:space="preserve">elegate has requested the </w:t>
      </w:r>
      <w:r w:rsidR="00ED53F4">
        <w:t>Advisory Committee</w:t>
      </w:r>
      <w:r w:rsidR="002D6A09">
        <w:t xml:space="preserve"> </w:t>
      </w:r>
      <w:r>
        <w:t>comment on the potential implications of this finding</w:t>
      </w:r>
      <w:r w:rsidR="00ED53F4">
        <w:t xml:space="preserve"> (see ‘</w:t>
      </w:r>
      <w:r w:rsidR="00ED53F4" w:rsidRPr="00ED53F4">
        <w:rPr>
          <w:i/>
        </w:rPr>
        <w:fldChar w:fldCharType="begin"/>
      </w:r>
      <w:r w:rsidR="00ED53F4" w:rsidRPr="00ED53F4">
        <w:rPr>
          <w:i/>
        </w:rPr>
        <w:instrText xml:space="preserve"> REF _Ref67916138 \h </w:instrText>
      </w:r>
      <w:r w:rsidR="00ED53F4">
        <w:rPr>
          <w:i/>
        </w:rPr>
        <w:instrText xml:space="preserve"> \* MERGEFORMAT </w:instrText>
      </w:r>
      <w:r w:rsidR="00ED53F4" w:rsidRPr="00ED53F4">
        <w:rPr>
          <w:i/>
        </w:rPr>
      </w:r>
      <w:r w:rsidR="00ED53F4" w:rsidRPr="00ED53F4">
        <w:rPr>
          <w:i/>
        </w:rPr>
        <w:fldChar w:fldCharType="separate"/>
      </w:r>
      <w:r w:rsidR="004C6771" w:rsidRPr="004C6771">
        <w:rPr>
          <w:i/>
        </w:rPr>
        <w:t>Advisory Committee considerations</w:t>
      </w:r>
      <w:r w:rsidR="00ED53F4" w:rsidRPr="00ED53F4">
        <w:rPr>
          <w:i/>
        </w:rPr>
        <w:fldChar w:fldCharType="end"/>
      </w:r>
      <w:r w:rsidR="00ED53F4">
        <w:t>’ section, below)</w:t>
      </w:r>
      <w:r>
        <w:t>.</w:t>
      </w:r>
    </w:p>
    <w:p w14:paraId="46B17149" w14:textId="73DBCD59" w:rsidR="00DE5FE0" w:rsidRDefault="00ED53F4" w:rsidP="007E1183">
      <w:r>
        <w:t>S</w:t>
      </w:r>
      <w:r w:rsidR="00DE5FE0">
        <w:t>tudy 311 provided descriptive data to support efficacy of perampanel in children. The study design was in line with the relevant EMA gui</w:t>
      </w:r>
      <w:r>
        <w:t>deline</w:t>
      </w:r>
      <w:r w:rsidR="00DE5FE0">
        <w:t>.</w:t>
      </w:r>
      <w:r>
        <w:fldChar w:fldCharType="begin"/>
      </w:r>
      <w:r>
        <w:instrText xml:space="preserve"> NOTEREF _Ref67918397 \f \h </w:instrText>
      </w:r>
      <w:r>
        <w:fldChar w:fldCharType="separate"/>
      </w:r>
      <w:r w:rsidR="004C6771" w:rsidRPr="004C6771">
        <w:rPr>
          <w:rStyle w:val="FootnoteReference"/>
        </w:rPr>
        <w:t>25</w:t>
      </w:r>
      <w:r>
        <w:fldChar w:fldCharType="end"/>
      </w:r>
      <w:r>
        <w:t xml:space="preserve"> The limitations of unblinded, un</w:t>
      </w:r>
      <w:r w:rsidR="00DE5FE0">
        <w:t>controlled studies</w:t>
      </w:r>
      <w:r>
        <w:t>,</w:t>
      </w:r>
      <w:r w:rsidR="00DE5FE0">
        <w:t xml:space="preserve"> such as regression to the mean, the inability to account for the natural variability of the condition and the placebo effect</w:t>
      </w:r>
      <w:r>
        <w:t>,</w:t>
      </w:r>
      <w:r w:rsidR="00DE5FE0">
        <w:t xml:space="preserve"> </w:t>
      </w:r>
      <w:proofErr w:type="gramStart"/>
      <w:r w:rsidR="00DE5FE0">
        <w:t>were considered</w:t>
      </w:r>
      <w:proofErr w:type="gramEnd"/>
      <w:r w:rsidR="00DE5FE0">
        <w:t xml:space="preserve">. These </w:t>
      </w:r>
      <w:r>
        <w:t>limitations were even worse in S</w:t>
      </w:r>
      <w:r w:rsidR="00DE5FE0">
        <w:t xml:space="preserve">tudy 232, with its </w:t>
      </w:r>
      <w:r>
        <w:t>short duration of study period.</w:t>
      </w:r>
    </w:p>
    <w:p w14:paraId="2053D018" w14:textId="62D58B95" w:rsidR="00DE5FE0" w:rsidRDefault="00ED53F4" w:rsidP="007E1183">
      <w:r>
        <w:t>In S</w:t>
      </w:r>
      <w:r w:rsidR="00DE5FE0">
        <w:t>tudy 311, for children with POS (total n</w:t>
      </w:r>
      <w:r>
        <w:t xml:space="preserve"> </w:t>
      </w:r>
      <w:r w:rsidR="00DE5FE0">
        <w:t>=</w:t>
      </w:r>
      <w:r>
        <w:t xml:space="preserve"> </w:t>
      </w:r>
      <w:r w:rsidR="00DE5FE0">
        <w:t>148), around 40% reduction in seizure frequency per 28 days was reported across age groups 4 to &lt;</w:t>
      </w:r>
      <w:r>
        <w:t xml:space="preserve"> </w:t>
      </w:r>
      <w:r w:rsidR="00DE5FE0">
        <w:t>7 years (n</w:t>
      </w:r>
      <w:r>
        <w:t xml:space="preserve"> </w:t>
      </w:r>
      <w:r w:rsidR="00DE5FE0">
        <w:t>=</w:t>
      </w:r>
      <w:r>
        <w:t xml:space="preserve"> </w:t>
      </w:r>
      <w:r w:rsidR="00DE5FE0">
        <w:t xml:space="preserve">108) and </w:t>
      </w:r>
      <w:proofErr w:type="gramStart"/>
      <w:r w:rsidR="00DE5FE0">
        <w:t>7</w:t>
      </w:r>
      <w:proofErr w:type="gramEnd"/>
      <w:r w:rsidR="00DE5FE0">
        <w:t xml:space="preserve"> to &lt;</w:t>
      </w:r>
      <w:r>
        <w:t> </w:t>
      </w:r>
      <w:r w:rsidR="00DE5FE0">
        <w:t>12 years (n</w:t>
      </w:r>
      <w:r>
        <w:t xml:space="preserve"> </w:t>
      </w:r>
      <w:r w:rsidR="00DE5FE0">
        <w:t>=</w:t>
      </w:r>
      <w:r>
        <w:t xml:space="preserve"> </w:t>
      </w:r>
      <w:r w:rsidR="00DE5FE0">
        <w:t>40). With due consideration of the limitations of cross-study comparisons, the magnitude of treatment response and the proportion of responders are largely comparable to previously conducted controlled studies with perampanel in ado</w:t>
      </w:r>
      <w:r>
        <w:t>lescents and adults</w:t>
      </w:r>
      <w:r w:rsidR="00DE5FE0">
        <w:t>.</w:t>
      </w:r>
      <w:r>
        <w:rPr>
          <w:rStyle w:val="FootnoteReference"/>
        </w:rPr>
        <w:footnoteReference w:id="26"/>
      </w:r>
      <w:r w:rsidR="00DE5FE0">
        <w:t xml:space="preserve"> Around 11% of subjects achieved seizure free status. Subjects in the SGTC subset of POS cohort also achieved a similar treatment benefit.</w:t>
      </w:r>
    </w:p>
    <w:p w14:paraId="4A62E2A3" w14:textId="0BB45FEB" w:rsidR="00DE5FE0" w:rsidRDefault="00DE5FE0" w:rsidP="007E1183">
      <w:r>
        <w:t>The magnitude of treatment benefit, in terms of seizure reductions per 28 days for children (</w:t>
      </w:r>
      <w:proofErr w:type="gramStart"/>
      <w:r>
        <w:t>4</w:t>
      </w:r>
      <w:proofErr w:type="gramEnd"/>
      <w:r>
        <w:t xml:space="preserve"> to &lt;</w:t>
      </w:r>
      <w:r w:rsidR="00ED53F4">
        <w:t xml:space="preserve"> </w:t>
      </w:r>
      <w:r>
        <w:t>12 years, total n</w:t>
      </w:r>
      <w:r w:rsidR="00ED53F4">
        <w:t xml:space="preserve"> </w:t>
      </w:r>
      <w:r>
        <w:t>=</w:t>
      </w:r>
      <w:r w:rsidR="00ED53F4">
        <w:t xml:space="preserve"> </w:t>
      </w:r>
      <w:r>
        <w:t>22) with PGTCS (-76.5%) is comparable to previous studies in subjects &gt;</w:t>
      </w:r>
      <w:r w:rsidR="00ED53F4">
        <w:t xml:space="preserve"> </w:t>
      </w:r>
      <w:r>
        <w:t xml:space="preserve">12 years </w:t>
      </w:r>
      <w:r w:rsidR="00ED53F4">
        <w:t>of age. However, the data from S</w:t>
      </w:r>
      <w:r>
        <w:t xml:space="preserve">tudy 311 is limited by the very low number </w:t>
      </w:r>
      <w:r w:rsidR="00ED53F4">
        <w:t>of children across age groups (</w:t>
      </w:r>
      <w:r>
        <w:t xml:space="preserve">age </w:t>
      </w:r>
      <w:proofErr w:type="gramStart"/>
      <w:r>
        <w:t>4</w:t>
      </w:r>
      <w:proofErr w:type="gramEnd"/>
      <w:r>
        <w:t xml:space="preserve"> to &lt;7 years; n</w:t>
      </w:r>
      <w:r w:rsidR="00ED53F4">
        <w:t xml:space="preserve"> </w:t>
      </w:r>
      <w:r>
        <w:t>=</w:t>
      </w:r>
      <w:r w:rsidR="00ED53F4">
        <w:t xml:space="preserve"> 3, and </w:t>
      </w:r>
      <w:r>
        <w:t>age 7 to &lt;</w:t>
      </w:r>
      <w:r w:rsidR="00ED53F4">
        <w:t xml:space="preserve"> 12 </w:t>
      </w:r>
      <w:r>
        <w:t>years; n</w:t>
      </w:r>
      <w:r w:rsidR="00ED53F4">
        <w:t xml:space="preserve"> </w:t>
      </w:r>
      <w:r>
        <w:t>=</w:t>
      </w:r>
      <w:r w:rsidR="00ED53F4">
        <w:t xml:space="preserve"> 19</w:t>
      </w:r>
      <w:r>
        <w:t xml:space="preserve">) with PGTCS. In addition, the patient population included in the PGTCS cohort were not well characterised. Around 25% of children in the PGTCS cohort had protocol violations that </w:t>
      </w:r>
      <w:proofErr w:type="gramStart"/>
      <w:r>
        <w:t>were mainly attributed</w:t>
      </w:r>
      <w:proofErr w:type="gramEnd"/>
      <w:r>
        <w:t xml:space="preserve"> to not having the eligibility as per the inclusion criteria. Moreover, unlike POS, there is no accepted regulatory recommendation to extrapolate efficacy from adult data to children with PGTCS. This position </w:t>
      </w:r>
      <w:proofErr w:type="gramStart"/>
      <w:r>
        <w:t>is based</w:t>
      </w:r>
      <w:proofErr w:type="gramEnd"/>
      <w:r>
        <w:t xml:space="preserve"> on the understanding that the mechanisms for PGTCS and other generalised seizures are likely to be diff</w:t>
      </w:r>
      <w:r w:rsidR="00ED53F4">
        <w:t>erent in adults and children</w:t>
      </w:r>
      <w:r>
        <w:t>.</w:t>
      </w:r>
      <w:r w:rsidR="00ED53F4">
        <w:fldChar w:fldCharType="begin"/>
      </w:r>
      <w:r w:rsidR="00ED53F4">
        <w:instrText xml:space="preserve"> NOTEREF _Ref67918617 \f \h </w:instrText>
      </w:r>
      <w:r w:rsidR="00ED53F4">
        <w:fldChar w:fldCharType="separate"/>
      </w:r>
      <w:r w:rsidR="004C6771" w:rsidRPr="004C6771">
        <w:rPr>
          <w:rStyle w:val="FootnoteReference"/>
        </w:rPr>
        <w:t>4</w:t>
      </w:r>
      <w:r w:rsidR="00ED53F4">
        <w:fldChar w:fldCharType="end"/>
      </w:r>
      <w:r>
        <w:t xml:space="preserve"> The drugs needed to treat the age-related </w:t>
      </w:r>
      <w:r>
        <w:lastRenderedPageBreak/>
        <w:t>epilepsy syndromes in children may also be different to those that h</w:t>
      </w:r>
      <w:r w:rsidR="00ED53F4">
        <w:t>ave shown efficacy in adults</w:t>
      </w:r>
      <w:r>
        <w:t>.</w:t>
      </w:r>
      <w:r w:rsidR="00ED53F4">
        <w:rPr>
          <w:rStyle w:val="FootnoteReference"/>
        </w:rPr>
        <w:footnoteReference w:id="27"/>
      </w:r>
    </w:p>
    <w:p w14:paraId="4E9D70B7" w14:textId="3C346FDD" w:rsidR="00DE5FE0" w:rsidRDefault="00DE5FE0" w:rsidP="007E1183">
      <w:r>
        <w:t xml:space="preserve">In terms of safety, in addition to the uncontrolled study </w:t>
      </w:r>
      <w:r w:rsidR="00ED53F4">
        <w:t>design of S</w:t>
      </w:r>
      <w:r>
        <w:t>tudy 311, the data from very low number of subjects in PGTCS cohort (n</w:t>
      </w:r>
      <w:r w:rsidR="00ED53F4">
        <w:t xml:space="preserve"> </w:t>
      </w:r>
      <w:r>
        <w:t>=</w:t>
      </w:r>
      <w:r w:rsidR="00ED53F4">
        <w:t xml:space="preserve"> </w:t>
      </w:r>
      <w:r>
        <w:t>17) completing the 52</w:t>
      </w:r>
      <w:r w:rsidR="0087737C">
        <w:noBreakHyphen/>
      </w:r>
      <w:r>
        <w:t>week study period (</w:t>
      </w:r>
      <w:r w:rsidR="00ED53F4">
        <w:t>Extension Phase</w:t>
      </w:r>
      <w:r>
        <w:t xml:space="preserve"> A) is inadequate to evaluate long-term safety of perampanel in children (4 to &lt;</w:t>
      </w:r>
      <w:r w:rsidR="00ED53F4">
        <w:t xml:space="preserve"> </w:t>
      </w:r>
      <w:r>
        <w:t xml:space="preserve">12 years of age). In </w:t>
      </w:r>
      <w:r w:rsidR="00ED53F4">
        <w:t xml:space="preserve">Core Study </w:t>
      </w:r>
      <w:r>
        <w:t xml:space="preserve">311, </w:t>
      </w:r>
      <w:r w:rsidR="00ED53F4">
        <w:t>an approximate</w:t>
      </w:r>
      <w:r>
        <w:t xml:space="preserve"> 20% increase in the incidence of treatment-related AEs </w:t>
      </w:r>
      <w:proofErr w:type="gramStart"/>
      <w:r>
        <w:t>was reported</w:t>
      </w:r>
      <w:proofErr w:type="gramEnd"/>
      <w:r>
        <w:t xml:space="preserve"> in </w:t>
      </w:r>
      <w:r w:rsidR="00ED53F4">
        <w:t xml:space="preserve">the </w:t>
      </w:r>
      <w:r>
        <w:t xml:space="preserve">PGTCS cohort, compared to </w:t>
      </w:r>
      <w:r w:rsidR="00ED53F4">
        <w:t xml:space="preserve">the </w:t>
      </w:r>
      <w:r>
        <w:t xml:space="preserve">POS cohort. Similarly, a considerably higher number of children in </w:t>
      </w:r>
      <w:r w:rsidR="00ED53F4">
        <w:t xml:space="preserve">the </w:t>
      </w:r>
      <w:r>
        <w:t xml:space="preserve">PGTCS cohort (12.9%) experienced severe AEs, compared to </w:t>
      </w:r>
      <w:r w:rsidR="00ED53F4">
        <w:t xml:space="preserve">the </w:t>
      </w:r>
      <w:r>
        <w:t>POS cohort (6.7%). The exact mechanism of this observation is unclear. However, these findings highlight the need for long-term safety data for the use of perampanel in chi</w:t>
      </w:r>
      <w:r w:rsidR="00ED53F4">
        <w:t>ldren, particularly with PGTCS.</w:t>
      </w:r>
    </w:p>
    <w:p w14:paraId="08F9ECBB" w14:textId="6925563D" w:rsidR="00DE5FE0" w:rsidRDefault="00DE5FE0" w:rsidP="007E1183">
      <w:r>
        <w:t xml:space="preserve">The submitted studies raised no new concerns in terms of the types of TEAEs. However, there was an increased rate of incidence of TEAEs in children, compared to adults and adolescents. In addition, for any observed TEAE, due to the lack of placebo arm, it is unclear what the background rate of that TEAE would be in this population. This is particularly important for the psychiatric and nervous system disorders that </w:t>
      </w:r>
      <w:proofErr w:type="gramStart"/>
      <w:r>
        <w:t>were commonly reported</w:t>
      </w:r>
      <w:proofErr w:type="gramEnd"/>
      <w:r>
        <w:t xml:space="preserve">, compared to TEAEs in other categories. The psychiatric and nervous system related events are known AEs of perampanel when used in </w:t>
      </w:r>
      <w:proofErr w:type="gramStart"/>
      <w:r>
        <w:t>subjects</w:t>
      </w:r>
      <w:proofErr w:type="gramEnd"/>
      <w:r>
        <w:t xml:space="preserve"> ≥ 12 years of age. However, there was an increased incidence of these events in children, compared to adolescents and adults. Somnolence (26.1% of subjects), dizziness (12.8%) and irritability (12.8%) appear very likely to have a causal relationship with perampanel. The sponsor's conclusion of perampanel's lack of effect on cognition </w:t>
      </w:r>
      <w:proofErr w:type="gramStart"/>
      <w:r>
        <w:t>was base</w:t>
      </w:r>
      <w:r w:rsidR="005D184C">
        <w:t>d</w:t>
      </w:r>
      <w:proofErr w:type="gramEnd"/>
      <w:r w:rsidR="005D184C">
        <w:t xml:space="preserve"> on the ABNAS assessment. The D</w:t>
      </w:r>
      <w:r>
        <w:t>elegate has noted the wide standard deviation that indicates the high variability of this measure and considers that it reflects the unreliability of this patient-per</w:t>
      </w:r>
      <w:r w:rsidR="005D184C">
        <w:t xml:space="preserve">ceived measure of cognition </w:t>
      </w:r>
      <w:r>
        <w:t>in children &lt; 12 years of age with epilepsy.</w:t>
      </w:r>
      <w:r w:rsidR="005D184C">
        <w:rPr>
          <w:rStyle w:val="FootnoteReference"/>
        </w:rPr>
        <w:footnoteReference w:id="28"/>
      </w:r>
      <w:r>
        <w:t xml:space="preserve"> The ra</w:t>
      </w:r>
      <w:r w:rsidR="005D184C">
        <w:t>tionale to use ABNAS instead of</w:t>
      </w:r>
      <w:r>
        <w:t xml:space="preserve"> Cognitive Drug Research (CDR) System Global Cogniti</w:t>
      </w:r>
      <w:r w:rsidR="005D184C">
        <w:t>on Score is unclear.</w:t>
      </w:r>
      <w:r w:rsidR="005D184C">
        <w:rPr>
          <w:rStyle w:val="FootnoteReference"/>
        </w:rPr>
        <w:footnoteReference w:id="29"/>
      </w:r>
      <w:r w:rsidR="005D184C">
        <w:t xml:space="preserve"> </w:t>
      </w:r>
      <w:r>
        <w:t>The evaluator has highlighted that it is comp</w:t>
      </w:r>
      <w:r w:rsidR="005D184C">
        <w:t>letely unknown whether the long</w:t>
      </w:r>
      <w:r w:rsidR="005D184C">
        <w:noBreakHyphen/>
      </w:r>
      <w:r>
        <w:t xml:space="preserve">term glutamate antagonism could have detrimental effects in learning and maturation. The potential long-term effects of perampanel on neurodevelopment, motor development, cognition, behaviour, growth, endocrine functions and puberty are unknown. </w:t>
      </w:r>
      <w:r w:rsidR="005D184C">
        <w:t xml:space="preserve">The </w:t>
      </w:r>
      <w:r>
        <w:t>EMA has requested the sponsor to provide data related to these long-term issues and to consider the implementation of a prospective disease based registry to gather relevant long-te</w:t>
      </w:r>
      <w:r w:rsidR="005D184C">
        <w:t>rm safety data</w:t>
      </w:r>
      <w:r>
        <w:t>.</w:t>
      </w:r>
      <w:bookmarkStart w:id="91" w:name="_Ref67923046"/>
      <w:r w:rsidR="005D184C">
        <w:rPr>
          <w:rStyle w:val="FootnoteReference"/>
        </w:rPr>
        <w:footnoteReference w:id="30"/>
      </w:r>
      <w:bookmarkEnd w:id="91"/>
      <w:r>
        <w:t xml:space="preserve"> The sponsor </w:t>
      </w:r>
      <w:proofErr w:type="gramStart"/>
      <w:r>
        <w:t>is requested</w:t>
      </w:r>
      <w:proofErr w:type="gramEnd"/>
      <w:r>
        <w:t xml:space="preserve"> to update whether children in Australia will be included in the registry</w:t>
      </w:r>
      <w:r w:rsidR="005D184C">
        <w:t xml:space="preserve"> (see ‘</w:t>
      </w:r>
      <w:r w:rsidR="005D184C" w:rsidRPr="005D184C">
        <w:rPr>
          <w:i/>
        </w:rPr>
        <w:fldChar w:fldCharType="begin"/>
      </w:r>
      <w:r w:rsidR="005D184C" w:rsidRPr="005D184C">
        <w:rPr>
          <w:i/>
        </w:rPr>
        <w:instrText xml:space="preserve"> REF _Ref67648671 \h </w:instrText>
      </w:r>
      <w:r w:rsidR="005D184C">
        <w:rPr>
          <w:i/>
        </w:rPr>
        <w:instrText xml:space="preserve"> \* MERGEFORMAT </w:instrText>
      </w:r>
      <w:r w:rsidR="005D184C" w:rsidRPr="005D184C">
        <w:rPr>
          <w:i/>
        </w:rPr>
      </w:r>
      <w:r w:rsidR="005D184C" w:rsidRPr="005D184C">
        <w:rPr>
          <w:i/>
        </w:rPr>
        <w:fldChar w:fldCharType="separate"/>
      </w:r>
      <w:r w:rsidR="004C6771" w:rsidRPr="004C6771">
        <w:rPr>
          <w:i/>
        </w:rPr>
        <w:t>Questions for the sponsor</w:t>
      </w:r>
      <w:r w:rsidR="005D184C" w:rsidRPr="005D184C">
        <w:rPr>
          <w:i/>
        </w:rPr>
        <w:fldChar w:fldCharType="end"/>
      </w:r>
      <w:r w:rsidR="005D184C">
        <w:t>’ section, below)</w:t>
      </w:r>
      <w:r>
        <w:t xml:space="preserve">. </w:t>
      </w:r>
      <w:proofErr w:type="gramStart"/>
      <w:r>
        <w:t>Also</w:t>
      </w:r>
      <w:proofErr w:type="gramEnd"/>
      <w:r>
        <w:t>, to confirm whether the registry wi</w:t>
      </w:r>
      <w:r w:rsidR="005D184C">
        <w:t>ll be part of the proposed RMP.</w:t>
      </w:r>
    </w:p>
    <w:p w14:paraId="76FB8A03" w14:textId="22E68D97" w:rsidR="00DE5FE0" w:rsidRDefault="00DE5FE0" w:rsidP="007E1183">
      <w:r>
        <w:t xml:space="preserve">The clinical evaluator has highlighted the limitations of the available data that are mostly related to the uncontrolled efficacy and safety data that were included to support the proposed indication, </w:t>
      </w:r>
      <w:proofErr w:type="gramStart"/>
      <w:r>
        <w:t>and also</w:t>
      </w:r>
      <w:proofErr w:type="gramEnd"/>
      <w:r>
        <w:t xml:space="preserve"> the higher incidence of TEAEs in children, compared to adolescents and adults with epilepsy. </w:t>
      </w:r>
      <w:proofErr w:type="gramStart"/>
      <w:r>
        <w:t>The evaluator has taken in to consideration the ease of administration of the liquid formulation, the once daily dosing, perampanel's comparable PK data in children and the regulatory recommendation to support extrapolation of efficacy for POS and recommended approval of perampanel for the treatment of children (4 to &lt;</w:t>
      </w:r>
      <w:r w:rsidR="00F21B63">
        <w:t xml:space="preserve"> </w:t>
      </w:r>
      <w:r>
        <w:t>12 years of age) with POS and not for the use of perampanel in children (4 to &lt;</w:t>
      </w:r>
      <w:r w:rsidR="00F21B63">
        <w:t xml:space="preserve"> </w:t>
      </w:r>
      <w:r>
        <w:t>12 years of age) with PGCTS.</w:t>
      </w:r>
      <w:proofErr w:type="gramEnd"/>
    </w:p>
    <w:p w14:paraId="2AEA8B41" w14:textId="0069C835" w:rsidR="00DE5FE0" w:rsidRPr="00DE5FE0" w:rsidRDefault="00DE5FE0" w:rsidP="007E1183">
      <w:r>
        <w:lastRenderedPageBreak/>
        <w:t>In summary, the Pop PK modelling indicates comparable systemic exposure for perampanel in children with epilepsy and hence satisfies the principles of extrapolation of efficacy data for POS, a</w:t>
      </w:r>
      <w:r w:rsidR="00F21B63">
        <w:t>s recommended by EMA and FDA</w:t>
      </w:r>
      <w:r>
        <w:t>.</w:t>
      </w:r>
      <w:r w:rsidR="00F21B63">
        <w:fldChar w:fldCharType="begin"/>
      </w:r>
      <w:r w:rsidR="00F21B63">
        <w:instrText xml:space="preserve"> NOTEREF _Ref67919507 \f \h </w:instrText>
      </w:r>
      <w:r w:rsidR="00F21B63">
        <w:fldChar w:fldCharType="separate"/>
      </w:r>
      <w:r w:rsidR="004C6771" w:rsidRPr="004C6771">
        <w:rPr>
          <w:rStyle w:val="FootnoteReference"/>
        </w:rPr>
        <w:t>21</w:t>
      </w:r>
      <w:r w:rsidR="00F21B63">
        <w:fldChar w:fldCharType="end"/>
      </w:r>
      <w:r>
        <w:t xml:space="preserve"> Based on uncontrolled open label descriptive data, the efficacy of perampanel for the treatment of children with POS appears largely to be comparable to adolescents and adults. </w:t>
      </w:r>
      <w:proofErr w:type="gramStart"/>
      <w:r>
        <w:t>The efficacy and long term safety data of children with PGTCS are compromised by the very low number of children in this cohort, the unavailability of regulatory guideline to extrapolate data due to the difference in the pathophysiology of the condition across age groups, the poor characterisation of subject's seizure profile and the increased number of treatment related AEs and SAEs.</w:t>
      </w:r>
      <w:proofErr w:type="gramEnd"/>
      <w:r>
        <w:t xml:space="preserve"> The long-term effects of perampanel on cognition, growth and development in children of </w:t>
      </w:r>
      <w:proofErr w:type="gramStart"/>
      <w:r>
        <w:t>4</w:t>
      </w:r>
      <w:proofErr w:type="gramEnd"/>
      <w:r>
        <w:t xml:space="preserve"> to &lt;</w:t>
      </w:r>
      <w:r w:rsidR="00F21B63">
        <w:t xml:space="preserve"> </w:t>
      </w:r>
      <w:r>
        <w:t>12 years of age with epilepsy are not well-defined. The greater incidence of psychiatric and nervous system related TEAEs and the lack of controlled data on cognition, growth and development highlights the need for long-term safety data in children treated with perampanel.</w:t>
      </w:r>
    </w:p>
    <w:p w14:paraId="02ED0154" w14:textId="77777777" w:rsidR="00D23139" w:rsidRDefault="00D23139" w:rsidP="00D23139">
      <w:pPr>
        <w:pStyle w:val="Heading4"/>
      </w:pPr>
      <w:r w:rsidRPr="00D23139">
        <w:t>Proposed action</w:t>
      </w:r>
    </w:p>
    <w:p w14:paraId="59589648" w14:textId="0C9E4C2A" w:rsidR="00DE5FE0" w:rsidRPr="00DE5FE0" w:rsidRDefault="00650A7C" w:rsidP="00DE5FE0">
      <w:r>
        <w:t>The Delegate has</w:t>
      </w:r>
      <w:r w:rsidR="00DE5FE0" w:rsidRPr="00DE5FE0">
        <w:t xml:space="preserve"> no reason to say, at this time, that the application for perampanel </w:t>
      </w:r>
      <w:proofErr w:type="gramStart"/>
      <w:r w:rsidR="00DE5FE0" w:rsidRPr="00DE5FE0">
        <w:t>should not be approved</w:t>
      </w:r>
      <w:proofErr w:type="gramEnd"/>
      <w:r w:rsidR="00DE5FE0" w:rsidRPr="00DE5FE0">
        <w:t xml:space="preserve"> for the treatment of children (4 to &lt;</w:t>
      </w:r>
      <w:r>
        <w:t xml:space="preserve"> </w:t>
      </w:r>
      <w:r w:rsidR="00DE5FE0" w:rsidRPr="00DE5FE0">
        <w:t xml:space="preserve">12 years) with </w:t>
      </w:r>
      <w:r w:rsidR="007E1183">
        <w:t>POS</w:t>
      </w:r>
      <w:r w:rsidR="00DE5FE0" w:rsidRPr="00DE5FE0">
        <w:t>, with or wi</w:t>
      </w:r>
      <w:r w:rsidR="007E1183">
        <w:t>thout secondary generalisation.</w:t>
      </w:r>
    </w:p>
    <w:p w14:paraId="368A2CCA" w14:textId="7F853C02" w:rsidR="00DE5FE0" w:rsidRDefault="00DE5FE0" w:rsidP="00DE5FE0">
      <w:pPr>
        <w:rPr>
          <w:b/>
          <w:bCs/>
        </w:rPr>
      </w:pPr>
      <w:r w:rsidRPr="00DE5FE0">
        <w:t>There is inadequate evidence to support the use of perampanel in children (4 to &lt;</w:t>
      </w:r>
      <w:r w:rsidR="0087737C">
        <w:t> </w:t>
      </w:r>
      <w:r w:rsidRPr="00DE5FE0">
        <w:t>12</w:t>
      </w:r>
      <w:r w:rsidR="0087737C">
        <w:t> </w:t>
      </w:r>
      <w:r w:rsidRPr="00DE5FE0">
        <w:t xml:space="preserve">years) with </w:t>
      </w:r>
      <w:r w:rsidR="007E1183">
        <w:t>PGTCS</w:t>
      </w:r>
      <w:r w:rsidRPr="00DE5FE0">
        <w:t>.</w:t>
      </w:r>
    </w:p>
    <w:p w14:paraId="6DE509B0" w14:textId="77777777" w:rsidR="007D53B6" w:rsidRDefault="007D53B6" w:rsidP="00DE5FE0">
      <w:pPr>
        <w:pStyle w:val="Heading4"/>
      </w:pPr>
      <w:bookmarkStart w:id="92" w:name="_Ref67648671"/>
      <w:r>
        <w:t xml:space="preserve">Questions for </w:t>
      </w:r>
      <w:r w:rsidR="00744121">
        <w:t xml:space="preserve">the </w:t>
      </w:r>
      <w:r>
        <w:t>sponsor</w:t>
      </w:r>
      <w:bookmarkEnd w:id="92"/>
    </w:p>
    <w:p w14:paraId="06B189A5" w14:textId="77777777" w:rsidR="00744121" w:rsidRDefault="00744121" w:rsidP="00744121">
      <w:r>
        <w:t>The sponsor provided the following response</w:t>
      </w:r>
      <w:r w:rsidR="00967F4B">
        <w:t xml:space="preserve"> to questions from the Delegate.</w:t>
      </w:r>
    </w:p>
    <w:p w14:paraId="63FA3736" w14:textId="77777777" w:rsidR="00967F4B" w:rsidRPr="00F21B63" w:rsidRDefault="00967F4B" w:rsidP="00F21B63">
      <w:pPr>
        <w:pStyle w:val="Numberbullet0"/>
        <w:rPr>
          <w:b/>
          <w:i/>
        </w:rPr>
      </w:pPr>
      <w:r w:rsidRPr="00F21B63">
        <w:rPr>
          <w:b/>
          <w:i/>
        </w:rPr>
        <w:t xml:space="preserve">The sponsor states that an original application to extend perampanel to include paediatric use </w:t>
      </w:r>
      <w:proofErr w:type="gramStart"/>
      <w:r w:rsidRPr="00F21B63">
        <w:rPr>
          <w:b/>
          <w:i/>
        </w:rPr>
        <w:t>was withdrawn</w:t>
      </w:r>
      <w:proofErr w:type="gramEnd"/>
      <w:r w:rsidRPr="00F21B63">
        <w:rPr>
          <w:b/>
          <w:i/>
        </w:rPr>
        <w:t xml:space="preserve"> in the EU in April 2019. Please clarify the reason for this withdrawal.</w:t>
      </w:r>
    </w:p>
    <w:p w14:paraId="6CEB51BA" w14:textId="31D56F5B" w:rsidR="00F21B63" w:rsidRDefault="00F21B63" w:rsidP="00F21B63">
      <w:r>
        <w:t xml:space="preserve">The sponsor referred the Delegate to a </w:t>
      </w:r>
      <w:r w:rsidR="003B2C3B">
        <w:t>specific section</w:t>
      </w:r>
      <w:r>
        <w:t xml:space="preserve"> of the dossier, which outlined the following:</w:t>
      </w:r>
    </w:p>
    <w:p w14:paraId="4C301C3D" w14:textId="10CB1FA9" w:rsidR="00F21B63" w:rsidRDefault="00F21B63" w:rsidP="00F21B63">
      <w:pPr>
        <w:pStyle w:val="ListBullet"/>
      </w:pPr>
      <w:r>
        <w:t xml:space="preserve">The variation was previously submitted on 12 February 2019, procedure number EMEA/H/C/2434/II/0044. During the validation </w:t>
      </w:r>
      <w:proofErr w:type="gramStart"/>
      <w:r>
        <w:t>phase</w:t>
      </w:r>
      <w:proofErr w:type="gramEnd"/>
      <w:r>
        <w:t xml:space="preserve"> it was identified that certain aspects of the Paediatric Investigation Plan (PIP) required modification and a subsequent compliance check. The sponsor elected to</w:t>
      </w:r>
      <w:r w:rsidR="002D6A09">
        <w:t xml:space="preserve"> withdraw that submission on 18 </w:t>
      </w:r>
      <w:r>
        <w:t>April 2019.</w:t>
      </w:r>
    </w:p>
    <w:p w14:paraId="22A47908" w14:textId="43C59738" w:rsidR="00F21B63" w:rsidRDefault="00F21B63" w:rsidP="00F21B63">
      <w:pPr>
        <w:pStyle w:val="ListBullet"/>
      </w:pPr>
      <w:r>
        <w:t xml:space="preserve">The perampanel PIP has subsequently been modified (EMEA-000467-PIP01-08-M11, P/0217/2019, dated 12 June 2019) and a positive partial PIP compliance </w:t>
      </w:r>
      <w:r w:rsidR="002D6A09">
        <w:t>check (C6</w:t>
      </w:r>
      <w:r w:rsidR="002D6A09">
        <w:noBreakHyphen/>
        <w:t>000467-PIP01-</w:t>
      </w:r>
      <w:r>
        <w:t xml:space="preserve">08-M11) was finalised on 23 August 2019 by the </w:t>
      </w:r>
      <w:r w:rsidR="003B2C3B">
        <w:t xml:space="preserve">EMA </w:t>
      </w:r>
      <w:r>
        <w:t>Paediatric Committee.</w:t>
      </w:r>
    </w:p>
    <w:p w14:paraId="1124FC45" w14:textId="2BBB69CF" w:rsidR="00967F4B" w:rsidRDefault="00F21B63" w:rsidP="00F21B63">
      <w:pPr>
        <w:pStyle w:val="ListBullet"/>
      </w:pPr>
      <w:r>
        <w:t xml:space="preserve">The application </w:t>
      </w:r>
      <w:proofErr w:type="gramStart"/>
      <w:r>
        <w:t>was resubmitted</w:t>
      </w:r>
      <w:proofErr w:type="gramEnd"/>
      <w:r>
        <w:t xml:space="preserve"> on 28 August 2019. There were no changes to the submission dossier apart from minor updates to Module 1 documents to reflect the PIP modifications.</w:t>
      </w:r>
    </w:p>
    <w:p w14:paraId="52EE9AE3" w14:textId="525EF2AA" w:rsidR="00967F4B" w:rsidRPr="005F461C" w:rsidRDefault="00967F4B" w:rsidP="005F461C">
      <w:pPr>
        <w:pStyle w:val="Numberbullet0"/>
        <w:rPr>
          <w:b/>
          <w:i/>
        </w:rPr>
      </w:pPr>
      <w:r w:rsidRPr="005F461C">
        <w:rPr>
          <w:b/>
          <w:i/>
        </w:rPr>
        <w:t xml:space="preserve">Please clarify whether there were any differences between the data set that </w:t>
      </w:r>
      <w:proofErr w:type="gramStart"/>
      <w:r w:rsidRPr="005F461C">
        <w:rPr>
          <w:b/>
          <w:i/>
        </w:rPr>
        <w:t>was submitted</w:t>
      </w:r>
      <w:proofErr w:type="gramEnd"/>
      <w:r w:rsidRPr="005F461C">
        <w:rPr>
          <w:b/>
          <w:i/>
        </w:rPr>
        <w:t xml:space="preserve"> to FDA and TGA.</w:t>
      </w:r>
    </w:p>
    <w:p w14:paraId="4869374C" w14:textId="738E1834" w:rsidR="00F21B63" w:rsidRDefault="00F21B63" w:rsidP="00F21B63">
      <w:r>
        <w:t>The sponsor referred the Delegate to a specific section of the dossier, which outlined the following:</w:t>
      </w:r>
    </w:p>
    <w:p w14:paraId="6F9A636C" w14:textId="0BDB2CFB" w:rsidR="00F21B63" w:rsidRDefault="00F21B63" w:rsidP="00F21B63">
      <w:pPr>
        <w:pStyle w:val="ListBullet"/>
      </w:pPr>
      <w:r>
        <w:t>The dossier supporting the oral suspension is essentially similar to the US submission. In the US</w:t>
      </w:r>
      <w:r w:rsidR="00A928ED">
        <w:t>A</w:t>
      </w:r>
      <w:r>
        <w:t xml:space="preserve">, the supply chain is slightly different and so the registered manufacturing </w:t>
      </w:r>
      <w:r>
        <w:lastRenderedPageBreak/>
        <w:t>sites are different. However, the product registered is the same and therefore manufacturing information, ingredients and testing are the same.</w:t>
      </w:r>
    </w:p>
    <w:p w14:paraId="392D909B" w14:textId="40AD076E" w:rsidR="00F21B63" w:rsidRDefault="00F21B63" w:rsidP="00F21B63">
      <w:pPr>
        <w:pStyle w:val="ListBullet"/>
      </w:pPr>
      <w:r>
        <w:t xml:space="preserve">The paediatric indication </w:t>
      </w:r>
      <w:proofErr w:type="gramStart"/>
      <w:r>
        <w:t>was registered</w:t>
      </w:r>
      <w:proofErr w:type="gramEnd"/>
      <w:r>
        <w:t xml:space="preserve"> in the US based on an interim analysis of the pivotal study report Study 311. This application then used the interim analysis to extrapolate efficacy. In Australia and the EU, the submission </w:t>
      </w:r>
      <w:proofErr w:type="gramStart"/>
      <w:r>
        <w:t>is based</w:t>
      </w:r>
      <w:proofErr w:type="gramEnd"/>
      <w:r>
        <w:t xml:space="preserve"> on the final analysis of Study 311.</w:t>
      </w:r>
    </w:p>
    <w:p w14:paraId="236CA794" w14:textId="26AABA8D" w:rsidR="00F21B63" w:rsidRDefault="00F21B63" w:rsidP="00F21B63">
      <w:pPr>
        <w:pStyle w:val="ListBullet"/>
      </w:pPr>
      <w:r>
        <w:t>As a result, the submission in the US</w:t>
      </w:r>
      <w:r w:rsidR="00A928ED">
        <w:t>A</w:t>
      </w:r>
      <w:r>
        <w:t xml:space="preserve"> </w:t>
      </w:r>
      <w:proofErr w:type="gramStart"/>
      <w:r>
        <w:t>was submitted</w:t>
      </w:r>
      <w:proofErr w:type="gramEnd"/>
      <w:r>
        <w:t xml:space="preserve"> approximately one year earlier with less mature data.</w:t>
      </w:r>
    </w:p>
    <w:p w14:paraId="2180E1F1" w14:textId="5BDAE163" w:rsidR="003B2C3B" w:rsidRDefault="003B2C3B" w:rsidP="003B2C3B">
      <w:r>
        <w:t xml:space="preserve">The sponsor </w:t>
      </w:r>
      <w:r w:rsidR="002D6A09">
        <w:t xml:space="preserve">then </w:t>
      </w:r>
      <w:r>
        <w:t>summarised the following in their response to the Delegate’s question:</w:t>
      </w:r>
    </w:p>
    <w:p w14:paraId="3E1B2F58" w14:textId="77777777" w:rsidR="003B2C3B" w:rsidRDefault="00967F4B" w:rsidP="003B2C3B">
      <w:pPr>
        <w:pStyle w:val="ListBullet"/>
      </w:pPr>
      <w:r w:rsidRPr="00F21B63">
        <w:t xml:space="preserve">The US submission </w:t>
      </w:r>
      <w:proofErr w:type="gramStart"/>
      <w:r w:rsidRPr="00F21B63">
        <w:t>was based</w:t>
      </w:r>
      <w:proofErr w:type="gramEnd"/>
      <w:r w:rsidRPr="00F21B63">
        <w:t xml:space="preserve"> on an interim analysis of Study 311.</w:t>
      </w:r>
    </w:p>
    <w:p w14:paraId="26B8DCAB" w14:textId="62D5C609" w:rsidR="00967F4B" w:rsidRPr="00F21B63" w:rsidRDefault="00F21B63" w:rsidP="003B2C3B">
      <w:pPr>
        <w:pStyle w:val="ListBullet"/>
      </w:pPr>
      <w:r w:rsidRPr="00F21B63">
        <w:t>The sponsor</w:t>
      </w:r>
      <w:r w:rsidR="00967F4B" w:rsidRPr="00F21B63">
        <w:t xml:space="preserve"> provided additional data at the Day 120 submission during the FDA analysis.</w:t>
      </w:r>
    </w:p>
    <w:p w14:paraId="1CF65CAC" w14:textId="17089416" w:rsidR="00967F4B" w:rsidRPr="005F461C" w:rsidRDefault="00967F4B" w:rsidP="005F461C">
      <w:pPr>
        <w:pStyle w:val="Numberbullet0"/>
        <w:rPr>
          <w:b/>
          <w:i/>
        </w:rPr>
      </w:pPr>
      <w:r w:rsidRPr="005F461C">
        <w:rPr>
          <w:b/>
          <w:i/>
        </w:rPr>
        <w:t xml:space="preserve">Please clarify how many children were </w:t>
      </w:r>
      <w:r w:rsidR="002D6A09">
        <w:rPr>
          <w:b/>
          <w:i/>
        </w:rPr>
        <w:t>2, 3 and 4 years of age in S</w:t>
      </w:r>
      <w:r w:rsidRPr="005F461C">
        <w:rPr>
          <w:b/>
          <w:i/>
        </w:rPr>
        <w:t>tudies 232</w:t>
      </w:r>
      <w:r w:rsidR="004B76D0">
        <w:rPr>
          <w:b/>
          <w:i/>
        </w:rPr>
        <w:t xml:space="preserve">, </w:t>
      </w:r>
      <w:r w:rsidRPr="005F461C">
        <w:rPr>
          <w:b/>
          <w:i/>
        </w:rPr>
        <w:t>311</w:t>
      </w:r>
      <w:r w:rsidR="004B76D0">
        <w:rPr>
          <w:b/>
          <w:i/>
        </w:rPr>
        <w:t>,</w:t>
      </w:r>
      <w:r w:rsidRPr="005F461C">
        <w:rPr>
          <w:b/>
          <w:i/>
        </w:rPr>
        <w:t xml:space="preserve"> and</w:t>
      </w:r>
      <w:r w:rsidR="004B76D0">
        <w:rPr>
          <w:b/>
          <w:i/>
        </w:rPr>
        <w:t xml:space="preserve"> in the</w:t>
      </w:r>
      <w:r w:rsidRPr="005F461C">
        <w:rPr>
          <w:b/>
          <w:i/>
        </w:rPr>
        <w:t xml:space="preserve"> Pop PK model.</w:t>
      </w:r>
    </w:p>
    <w:p w14:paraId="324DF014" w14:textId="4798429F" w:rsidR="00967F4B" w:rsidRDefault="00967F4B" w:rsidP="00967F4B">
      <w:r>
        <w:t>The</w:t>
      </w:r>
      <w:r>
        <w:rPr>
          <w:spacing w:val="-3"/>
        </w:rPr>
        <w:t xml:space="preserve"> </w:t>
      </w:r>
      <w:r>
        <w:t>number</w:t>
      </w:r>
      <w:r>
        <w:rPr>
          <w:spacing w:val="-3"/>
        </w:rPr>
        <w:t xml:space="preserve"> </w:t>
      </w:r>
      <w:r>
        <w:t>of</w:t>
      </w:r>
      <w:r>
        <w:rPr>
          <w:spacing w:val="-3"/>
        </w:rPr>
        <w:t xml:space="preserve"> </w:t>
      </w:r>
      <w:r>
        <w:t>children</w:t>
      </w:r>
      <w:r>
        <w:rPr>
          <w:spacing w:val="-5"/>
        </w:rPr>
        <w:t xml:space="preserve"> </w:t>
      </w:r>
      <w:r>
        <w:t>who</w:t>
      </w:r>
      <w:r>
        <w:rPr>
          <w:spacing w:val="-2"/>
        </w:rPr>
        <w:t xml:space="preserve"> </w:t>
      </w:r>
      <w:r>
        <w:t>were</w:t>
      </w:r>
      <w:r>
        <w:rPr>
          <w:spacing w:val="-2"/>
        </w:rPr>
        <w:t xml:space="preserve"> </w:t>
      </w:r>
      <w:r>
        <w:t>2,</w:t>
      </w:r>
      <w:r>
        <w:rPr>
          <w:spacing w:val="-2"/>
        </w:rPr>
        <w:t xml:space="preserve"> </w:t>
      </w:r>
      <w:r>
        <w:t>3,</w:t>
      </w:r>
      <w:r>
        <w:rPr>
          <w:spacing w:val="-3"/>
        </w:rPr>
        <w:t xml:space="preserve"> </w:t>
      </w:r>
      <w:r>
        <w:t>and</w:t>
      </w:r>
      <w:r>
        <w:rPr>
          <w:spacing w:val="-2"/>
        </w:rPr>
        <w:t xml:space="preserve"> </w:t>
      </w:r>
      <w:r>
        <w:t>4</w:t>
      </w:r>
      <w:r>
        <w:rPr>
          <w:spacing w:val="-2"/>
        </w:rPr>
        <w:t xml:space="preserve"> </w:t>
      </w:r>
      <w:r>
        <w:t>years</w:t>
      </w:r>
      <w:r>
        <w:rPr>
          <w:spacing w:val="-2"/>
        </w:rPr>
        <w:t xml:space="preserve"> </w:t>
      </w:r>
      <w:r>
        <w:t>of</w:t>
      </w:r>
      <w:r>
        <w:rPr>
          <w:spacing w:val="-2"/>
        </w:rPr>
        <w:t xml:space="preserve"> </w:t>
      </w:r>
      <w:r>
        <w:t>age</w:t>
      </w:r>
      <w:r>
        <w:rPr>
          <w:spacing w:val="-2"/>
        </w:rPr>
        <w:t xml:space="preserve"> </w:t>
      </w:r>
      <w:r>
        <w:t>(as</w:t>
      </w:r>
      <w:r>
        <w:rPr>
          <w:spacing w:val="-2"/>
        </w:rPr>
        <w:t xml:space="preserve"> </w:t>
      </w:r>
      <w:r>
        <w:t>of</w:t>
      </w:r>
      <w:r>
        <w:rPr>
          <w:spacing w:val="-2"/>
        </w:rPr>
        <w:t xml:space="preserve"> </w:t>
      </w:r>
      <w:r>
        <w:t>the</w:t>
      </w:r>
      <w:r>
        <w:rPr>
          <w:spacing w:val="-2"/>
        </w:rPr>
        <w:t xml:space="preserve"> </w:t>
      </w:r>
      <w:r>
        <w:t>date</w:t>
      </w:r>
      <w:r>
        <w:rPr>
          <w:spacing w:val="-3"/>
        </w:rPr>
        <w:t xml:space="preserve"> </w:t>
      </w:r>
      <w:r>
        <w:t>of</w:t>
      </w:r>
      <w:r>
        <w:rPr>
          <w:spacing w:val="-3"/>
        </w:rPr>
        <w:t xml:space="preserve"> </w:t>
      </w:r>
      <w:r>
        <w:t>a</w:t>
      </w:r>
      <w:r>
        <w:rPr>
          <w:spacing w:val="-3"/>
        </w:rPr>
        <w:t xml:space="preserve"> </w:t>
      </w:r>
      <w:r>
        <w:t>subject’s</w:t>
      </w:r>
      <w:r>
        <w:rPr>
          <w:spacing w:val="-3"/>
        </w:rPr>
        <w:t xml:space="preserve"> </w:t>
      </w:r>
      <w:r>
        <w:t>signed</w:t>
      </w:r>
      <w:r>
        <w:rPr>
          <w:spacing w:val="-57"/>
        </w:rPr>
        <w:t xml:space="preserve"> </w:t>
      </w:r>
      <w:r>
        <w:t xml:space="preserve">informed consent) in Study 232, Study 311, and </w:t>
      </w:r>
      <w:r w:rsidR="004B76D0">
        <w:t xml:space="preserve">in the </w:t>
      </w:r>
      <w:r>
        <w:t>Pop PK model (excluding Study 232) are</w:t>
      </w:r>
      <w:r>
        <w:rPr>
          <w:spacing w:val="1"/>
        </w:rPr>
        <w:t xml:space="preserve"> </w:t>
      </w:r>
      <w:r w:rsidR="003B2C3B">
        <w:t xml:space="preserve">tabulated below in </w:t>
      </w:r>
      <w:r w:rsidR="003B2C3B">
        <w:fldChar w:fldCharType="begin"/>
      </w:r>
      <w:r w:rsidR="003B2C3B">
        <w:instrText xml:space="preserve"> REF _Ref67920201 \h </w:instrText>
      </w:r>
      <w:r w:rsidR="003B2C3B">
        <w:fldChar w:fldCharType="separate"/>
      </w:r>
      <w:r w:rsidR="004C6771">
        <w:t xml:space="preserve">Table </w:t>
      </w:r>
      <w:r w:rsidR="004C6771">
        <w:rPr>
          <w:noProof/>
        </w:rPr>
        <w:t>21</w:t>
      </w:r>
      <w:r w:rsidR="003B2C3B">
        <w:fldChar w:fldCharType="end"/>
      </w:r>
      <w:r w:rsidR="003B2C3B">
        <w:t>.</w:t>
      </w:r>
    </w:p>
    <w:p w14:paraId="72FFEE94" w14:textId="783CCAA4" w:rsidR="00967F4B" w:rsidRDefault="003B2C3B" w:rsidP="003B2C3B">
      <w:pPr>
        <w:pStyle w:val="TableTitle"/>
      </w:pPr>
      <w:bookmarkStart w:id="93" w:name="_Ref67920201"/>
      <w:r>
        <w:t xml:space="preserve">Table </w:t>
      </w:r>
      <w:fldSimple w:instr=" SEQ Table \* ARABIC ">
        <w:r w:rsidR="004C6771">
          <w:rPr>
            <w:noProof/>
          </w:rPr>
          <w:t>21</w:t>
        </w:r>
      </w:fldSimple>
      <w:bookmarkEnd w:id="93"/>
      <w:r>
        <w:t xml:space="preserve">: Number of children </w:t>
      </w:r>
      <w:r w:rsidR="004B76D0">
        <w:t xml:space="preserve">of </w:t>
      </w:r>
      <w:r>
        <w:t>2, 3 and 4 years of age in Studies 232, 211 and the population pharmacokinetics model</w:t>
      </w:r>
    </w:p>
    <w:tbl>
      <w:tblPr>
        <w:tblStyle w:val="TableTGAblue"/>
        <w:tblW w:w="4573" w:type="pct"/>
        <w:tblLook w:val="01E0" w:firstRow="1" w:lastRow="1" w:firstColumn="1" w:lastColumn="1" w:noHBand="0" w:noVBand="0"/>
      </w:tblPr>
      <w:tblGrid>
        <w:gridCol w:w="2023"/>
        <w:gridCol w:w="2043"/>
        <w:gridCol w:w="2038"/>
        <w:gridCol w:w="1871"/>
      </w:tblGrid>
      <w:tr w:rsidR="00967F4B" w:rsidRPr="00967F4B" w14:paraId="490B71DD" w14:textId="77777777" w:rsidTr="003B2C3B">
        <w:trPr>
          <w:cnfStyle w:val="100000000000" w:firstRow="1" w:lastRow="0" w:firstColumn="0" w:lastColumn="0" w:oddVBand="0" w:evenVBand="0" w:oddHBand="0" w:evenHBand="0" w:firstRowFirstColumn="0" w:firstRowLastColumn="0" w:lastRowFirstColumn="0" w:lastRowLastColumn="0"/>
          <w:trHeight w:val="241"/>
        </w:trPr>
        <w:tc>
          <w:tcPr>
            <w:tcW w:w="1268" w:type="pct"/>
          </w:tcPr>
          <w:p w14:paraId="5F709043" w14:textId="77777777" w:rsidR="00967F4B" w:rsidRPr="00967F4B" w:rsidRDefault="00967F4B" w:rsidP="007E60B1">
            <w:pPr>
              <w:pStyle w:val="TableParagraph"/>
              <w:ind w:left="115"/>
              <w:rPr>
                <w:rFonts w:ascii="Cambria" w:hAnsi="Cambria"/>
                <w:b w:val="0"/>
                <w:sz w:val="20"/>
                <w:szCs w:val="20"/>
              </w:rPr>
            </w:pPr>
            <w:r w:rsidRPr="00967F4B">
              <w:rPr>
                <w:rFonts w:ascii="Cambria" w:hAnsi="Cambria"/>
                <w:sz w:val="20"/>
                <w:szCs w:val="20"/>
              </w:rPr>
              <w:t>Age</w:t>
            </w:r>
          </w:p>
        </w:tc>
        <w:tc>
          <w:tcPr>
            <w:tcW w:w="1281" w:type="pct"/>
          </w:tcPr>
          <w:p w14:paraId="7C5B34C6" w14:textId="77777777" w:rsidR="00967F4B" w:rsidRPr="00967F4B" w:rsidRDefault="00967F4B" w:rsidP="007E60B1">
            <w:pPr>
              <w:pStyle w:val="TableParagraph"/>
              <w:ind w:left="109"/>
              <w:rPr>
                <w:rFonts w:ascii="Cambria" w:hAnsi="Cambria"/>
                <w:b w:val="0"/>
                <w:sz w:val="20"/>
                <w:szCs w:val="20"/>
              </w:rPr>
            </w:pPr>
            <w:r w:rsidRPr="00967F4B">
              <w:rPr>
                <w:rFonts w:ascii="Cambria" w:hAnsi="Cambria"/>
                <w:sz w:val="20"/>
                <w:szCs w:val="20"/>
              </w:rPr>
              <w:t>Study</w:t>
            </w:r>
            <w:r w:rsidRPr="00967F4B">
              <w:rPr>
                <w:rFonts w:ascii="Cambria" w:hAnsi="Cambria"/>
                <w:spacing w:val="-3"/>
                <w:sz w:val="20"/>
                <w:szCs w:val="20"/>
              </w:rPr>
              <w:t xml:space="preserve"> </w:t>
            </w:r>
            <w:r w:rsidRPr="00967F4B">
              <w:rPr>
                <w:rFonts w:ascii="Cambria" w:hAnsi="Cambria"/>
                <w:sz w:val="20"/>
                <w:szCs w:val="20"/>
              </w:rPr>
              <w:t>232</w:t>
            </w:r>
          </w:p>
        </w:tc>
        <w:tc>
          <w:tcPr>
            <w:tcW w:w="1278" w:type="pct"/>
          </w:tcPr>
          <w:p w14:paraId="52049959" w14:textId="77777777" w:rsidR="00967F4B" w:rsidRPr="00967F4B" w:rsidRDefault="00967F4B" w:rsidP="007E60B1">
            <w:pPr>
              <w:pStyle w:val="TableParagraph"/>
              <w:ind w:left="104"/>
              <w:rPr>
                <w:rFonts w:ascii="Cambria" w:hAnsi="Cambria"/>
                <w:b w:val="0"/>
                <w:sz w:val="20"/>
                <w:szCs w:val="20"/>
              </w:rPr>
            </w:pPr>
            <w:r w:rsidRPr="00967F4B">
              <w:rPr>
                <w:rFonts w:ascii="Cambria" w:hAnsi="Cambria"/>
                <w:sz w:val="20"/>
                <w:szCs w:val="20"/>
              </w:rPr>
              <w:t>Study</w:t>
            </w:r>
            <w:r w:rsidRPr="00967F4B">
              <w:rPr>
                <w:rFonts w:ascii="Cambria" w:hAnsi="Cambria"/>
                <w:spacing w:val="-3"/>
                <w:sz w:val="20"/>
                <w:szCs w:val="20"/>
              </w:rPr>
              <w:t xml:space="preserve"> </w:t>
            </w:r>
            <w:r w:rsidRPr="00967F4B">
              <w:rPr>
                <w:rFonts w:ascii="Cambria" w:hAnsi="Cambria"/>
                <w:sz w:val="20"/>
                <w:szCs w:val="20"/>
              </w:rPr>
              <w:t>311</w:t>
            </w:r>
          </w:p>
        </w:tc>
        <w:tc>
          <w:tcPr>
            <w:tcW w:w="1173" w:type="pct"/>
          </w:tcPr>
          <w:p w14:paraId="157BCA45" w14:textId="77777777" w:rsidR="00967F4B" w:rsidRPr="00967F4B" w:rsidRDefault="00967F4B" w:rsidP="007E60B1">
            <w:pPr>
              <w:pStyle w:val="TableParagraph"/>
              <w:ind w:left="109"/>
              <w:rPr>
                <w:rFonts w:ascii="Cambria" w:hAnsi="Cambria"/>
                <w:b w:val="0"/>
                <w:sz w:val="20"/>
                <w:szCs w:val="20"/>
              </w:rPr>
            </w:pPr>
            <w:r w:rsidRPr="00967F4B">
              <w:rPr>
                <w:rFonts w:ascii="Cambria" w:hAnsi="Cambria"/>
                <w:sz w:val="20"/>
                <w:szCs w:val="20"/>
              </w:rPr>
              <w:t>Pop</w:t>
            </w:r>
            <w:r w:rsidRPr="00967F4B">
              <w:rPr>
                <w:rFonts w:ascii="Cambria" w:hAnsi="Cambria"/>
                <w:spacing w:val="-2"/>
                <w:sz w:val="20"/>
                <w:szCs w:val="20"/>
              </w:rPr>
              <w:t xml:space="preserve"> </w:t>
            </w:r>
            <w:r w:rsidRPr="00967F4B">
              <w:rPr>
                <w:rFonts w:ascii="Cambria" w:hAnsi="Cambria"/>
                <w:sz w:val="20"/>
                <w:szCs w:val="20"/>
              </w:rPr>
              <w:t>PK</w:t>
            </w:r>
            <w:r w:rsidRPr="00967F4B">
              <w:rPr>
                <w:rFonts w:ascii="Cambria" w:hAnsi="Cambria"/>
                <w:spacing w:val="-2"/>
                <w:sz w:val="20"/>
                <w:szCs w:val="20"/>
              </w:rPr>
              <w:t xml:space="preserve"> </w:t>
            </w:r>
            <w:r w:rsidRPr="00967F4B">
              <w:rPr>
                <w:rFonts w:ascii="Cambria" w:hAnsi="Cambria"/>
                <w:sz w:val="20"/>
                <w:szCs w:val="20"/>
              </w:rPr>
              <w:t>model</w:t>
            </w:r>
            <w:r w:rsidRPr="00967F4B">
              <w:rPr>
                <w:rFonts w:ascii="Cambria" w:hAnsi="Cambria"/>
                <w:sz w:val="20"/>
                <w:szCs w:val="20"/>
                <w:vertAlign w:val="superscript"/>
              </w:rPr>
              <w:t>b</w:t>
            </w:r>
          </w:p>
        </w:tc>
      </w:tr>
      <w:tr w:rsidR="00967F4B" w:rsidRPr="00967F4B" w14:paraId="067C140D" w14:textId="77777777" w:rsidTr="003B2C3B">
        <w:trPr>
          <w:trHeight w:val="241"/>
        </w:trPr>
        <w:tc>
          <w:tcPr>
            <w:tcW w:w="1268" w:type="pct"/>
          </w:tcPr>
          <w:p w14:paraId="571BF8FC" w14:textId="77777777" w:rsidR="00967F4B" w:rsidRPr="00967F4B" w:rsidRDefault="00967F4B" w:rsidP="007E60B1">
            <w:pPr>
              <w:pStyle w:val="TableParagraph"/>
              <w:ind w:left="115"/>
              <w:rPr>
                <w:rFonts w:ascii="Cambria" w:hAnsi="Cambria"/>
                <w:sz w:val="20"/>
                <w:szCs w:val="20"/>
              </w:rPr>
            </w:pPr>
            <w:r w:rsidRPr="00967F4B">
              <w:rPr>
                <w:rFonts w:ascii="Cambria" w:hAnsi="Cambria"/>
                <w:sz w:val="20"/>
                <w:szCs w:val="20"/>
              </w:rPr>
              <w:t>2 years</w:t>
            </w:r>
          </w:p>
        </w:tc>
        <w:tc>
          <w:tcPr>
            <w:tcW w:w="1281" w:type="pct"/>
          </w:tcPr>
          <w:p w14:paraId="672BC33F" w14:textId="77777777" w:rsidR="00967F4B" w:rsidRPr="00967F4B" w:rsidRDefault="00967F4B" w:rsidP="007E60B1">
            <w:pPr>
              <w:pStyle w:val="TableParagraph"/>
              <w:ind w:left="109"/>
              <w:rPr>
                <w:rFonts w:ascii="Cambria" w:hAnsi="Cambria"/>
                <w:sz w:val="20"/>
                <w:szCs w:val="20"/>
              </w:rPr>
            </w:pPr>
            <w:r w:rsidRPr="00967F4B">
              <w:rPr>
                <w:rFonts w:ascii="Cambria" w:hAnsi="Cambria"/>
                <w:sz w:val="20"/>
                <w:szCs w:val="20"/>
              </w:rPr>
              <w:t>2</w:t>
            </w:r>
          </w:p>
        </w:tc>
        <w:tc>
          <w:tcPr>
            <w:tcW w:w="1278" w:type="pct"/>
          </w:tcPr>
          <w:p w14:paraId="14EE30B7" w14:textId="77777777" w:rsidR="00967F4B" w:rsidRPr="00967F4B" w:rsidRDefault="00967F4B" w:rsidP="007E60B1">
            <w:pPr>
              <w:pStyle w:val="TableParagraph"/>
              <w:ind w:left="104"/>
              <w:rPr>
                <w:rFonts w:ascii="Cambria" w:hAnsi="Cambria"/>
                <w:sz w:val="20"/>
                <w:szCs w:val="20"/>
              </w:rPr>
            </w:pPr>
            <w:r w:rsidRPr="00967F4B">
              <w:rPr>
                <w:rFonts w:ascii="Cambria" w:hAnsi="Cambria"/>
                <w:sz w:val="20"/>
                <w:szCs w:val="20"/>
              </w:rPr>
              <w:t>--</w:t>
            </w:r>
            <w:r w:rsidRPr="00967F4B">
              <w:rPr>
                <w:rFonts w:ascii="Cambria" w:hAnsi="Cambria"/>
                <w:sz w:val="20"/>
                <w:szCs w:val="20"/>
                <w:vertAlign w:val="superscript"/>
              </w:rPr>
              <w:t>a</w:t>
            </w:r>
          </w:p>
        </w:tc>
        <w:tc>
          <w:tcPr>
            <w:tcW w:w="1173" w:type="pct"/>
          </w:tcPr>
          <w:p w14:paraId="10CF9461" w14:textId="77777777" w:rsidR="00967F4B" w:rsidRPr="00967F4B" w:rsidRDefault="00967F4B" w:rsidP="007E60B1">
            <w:pPr>
              <w:pStyle w:val="TableParagraph"/>
              <w:ind w:left="109"/>
              <w:rPr>
                <w:rFonts w:ascii="Cambria" w:hAnsi="Cambria"/>
                <w:sz w:val="20"/>
                <w:szCs w:val="20"/>
              </w:rPr>
            </w:pPr>
            <w:r w:rsidRPr="00967F4B">
              <w:rPr>
                <w:rFonts w:ascii="Cambria" w:hAnsi="Cambria"/>
                <w:sz w:val="20"/>
                <w:szCs w:val="20"/>
              </w:rPr>
              <w:t>-</w:t>
            </w:r>
          </w:p>
        </w:tc>
      </w:tr>
      <w:tr w:rsidR="00967F4B" w:rsidRPr="00967F4B" w14:paraId="59207048" w14:textId="77777777" w:rsidTr="003B2C3B">
        <w:trPr>
          <w:trHeight w:val="241"/>
        </w:trPr>
        <w:tc>
          <w:tcPr>
            <w:tcW w:w="1268" w:type="pct"/>
          </w:tcPr>
          <w:p w14:paraId="6119DCC9" w14:textId="77777777" w:rsidR="00967F4B" w:rsidRPr="00967F4B" w:rsidRDefault="00967F4B" w:rsidP="007E60B1">
            <w:pPr>
              <w:pStyle w:val="TableParagraph"/>
              <w:ind w:left="115"/>
              <w:rPr>
                <w:rFonts w:ascii="Cambria" w:hAnsi="Cambria"/>
                <w:sz w:val="20"/>
                <w:szCs w:val="20"/>
              </w:rPr>
            </w:pPr>
            <w:r w:rsidRPr="00967F4B">
              <w:rPr>
                <w:rFonts w:ascii="Cambria" w:hAnsi="Cambria"/>
                <w:sz w:val="20"/>
                <w:szCs w:val="20"/>
              </w:rPr>
              <w:t>3 years</w:t>
            </w:r>
          </w:p>
        </w:tc>
        <w:tc>
          <w:tcPr>
            <w:tcW w:w="1281" w:type="pct"/>
          </w:tcPr>
          <w:p w14:paraId="3837EF59" w14:textId="77777777" w:rsidR="00967F4B" w:rsidRPr="00967F4B" w:rsidRDefault="00967F4B" w:rsidP="007E60B1">
            <w:pPr>
              <w:pStyle w:val="TableParagraph"/>
              <w:ind w:left="109"/>
              <w:rPr>
                <w:rFonts w:ascii="Cambria" w:hAnsi="Cambria"/>
                <w:sz w:val="20"/>
                <w:szCs w:val="20"/>
              </w:rPr>
            </w:pPr>
            <w:r w:rsidRPr="00967F4B">
              <w:rPr>
                <w:rFonts w:ascii="Cambria" w:hAnsi="Cambria"/>
                <w:sz w:val="20"/>
                <w:szCs w:val="20"/>
              </w:rPr>
              <w:t>3</w:t>
            </w:r>
          </w:p>
        </w:tc>
        <w:tc>
          <w:tcPr>
            <w:tcW w:w="1278" w:type="pct"/>
          </w:tcPr>
          <w:p w14:paraId="54E60B7D" w14:textId="77777777" w:rsidR="00967F4B" w:rsidRPr="00967F4B" w:rsidRDefault="00967F4B" w:rsidP="007E60B1">
            <w:pPr>
              <w:pStyle w:val="TableParagraph"/>
              <w:ind w:left="104"/>
              <w:rPr>
                <w:rFonts w:ascii="Cambria" w:hAnsi="Cambria"/>
                <w:sz w:val="20"/>
                <w:szCs w:val="20"/>
              </w:rPr>
            </w:pPr>
            <w:r w:rsidRPr="00967F4B">
              <w:rPr>
                <w:rFonts w:ascii="Cambria" w:hAnsi="Cambria"/>
                <w:sz w:val="20"/>
                <w:szCs w:val="20"/>
              </w:rPr>
              <w:t>--</w:t>
            </w:r>
            <w:r w:rsidRPr="00967F4B">
              <w:rPr>
                <w:rFonts w:ascii="Cambria" w:hAnsi="Cambria"/>
                <w:sz w:val="20"/>
                <w:szCs w:val="20"/>
                <w:vertAlign w:val="superscript"/>
              </w:rPr>
              <w:t>a</w:t>
            </w:r>
          </w:p>
        </w:tc>
        <w:tc>
          <w:tcPr>
            <w:tcW w:w="1173" w:type="pct"/>
          </w:tcPr>
          <w:p w14:paraId="1853924E" w14:textId="77777777" w:rsidR="00967F4B" w:rsidRPr="00967F4B" w:rsidRDefault="00967F4B" w:rsidP="007E60B1">
            <w:pPr>
              <w:pStyle w:val="TableParagraph"/>
              <w:ind w:left="109"/>
              <w:rPr>
                <w:rFonts w:ascii="Cambria" w:hAnsi="Cambria"/>
                <w:sz w:val="20"/>
                <w:szCs w:val="20"/>
              </w:rPr>
            </w:pPr>
            <w:r w:rsidRPr="00967F4B">
              <w:rPr>
                <w:rFonts w:ascii="Cambria" w:hAnsi="Cambria"/>
                <w:sz w:val="20"/>
                <w:szCs w:val="20"/>
              </w:rPr>
              <w:t>-</w:t>
            </w:r>
          </w:p>
        </w:tc>
      </w:tr>
      <w:tr w:rsidR="00967F4B" w:rsidRPr="00967F4B" w14:paraId="7997DE59" w14:textId="77777777" w:rsidTr="003B2C3B">
        <w:trPr>
          <w:trHeight w:val="241"/>
        </w:trPr>
        <w:tc>
          <w:tcPr>
            <w:tcW w:w="1268" w:type="pct"/>
          </w:tcPr>
          <w:p w14:paraId="4C8071F7" w14:textId="77777777" w:rsidR="00967F4B" w:rsidRPr="00967F4B" w:rsidRDefault="00967F4B" w:rsidP="007E60B1">
            <w:pPr>
              <w:pStyle w:val="TableParagraph"/>
              <w:ind w:left="115"/>
              <w:rPr>
                <w:rFonts w:ascii="Cambria" w:hAnsi="Cambria"/>
                <w:sz w:val="20"/>
                <w:szCs w:val="20"/>
              </w:rPr>
            </w:pPr>
            <w:r w:rsidRPr="00967F4B">
              <w:rPr>
                <w:rFonts w:ascii="Cambria" w:hAnsi="Cambria"/>
                <w:sz w:val="20"/>
                <w:szCs w:val="20"/>
              </w:rPr>
              <w:t>4 years</w:t>
            </w:r>
          </w:p>
        </w:tc>
        <w:tc>
          <w:tcPr>
            <w:tcW w:w="1281" w:type="pct"/>
          </w:tcPr>
          <w:p w14:paraId="76A0FB93" w14:textId="77777777" w:rsidR="00967F4B" w:rsidRPr="00967F4B" w:rsidRDefault="00967F4B" w:rsidP="007E60B1">
            <w:pPr>
              <w:pStyle w:val="TableParagraph"/>
              <w:ind w:left="109"/>
              <w:rPr>
                <w:rFonts w:ascii="Cambria" w:hAnsi="Cambria"/>
                <w:sz w:val="20"/>
                <w:szCs w:val="20"/>
              </w:rPr>
            </w:pPr>
            <w:r w:rsidRPr="00967F4B">
              <w:rPr>
                <w:rFonts w:ascii="Cambria" w:hAnsi="Cambria"/>
                <w:sz w:val="20"/>
                <w:szCs w:val="20"/>
              </w:rPr>
              <w:t>5</w:t>
            </w:r>
          </w:p>
        </w:tc>
        <w:tc>
          <w:tcPr>
            <w:tcW w:w="1278" w:type="pct"/>
          </w:tcPr>
          <w:p w14:paraId="18E0375B" w14:textId="77777777" w:rsidR="00967F4B" w:rsidRPr="00967F4B" w:rsidRDefault="00967F4B" w:rsidP="007E60B1">
            <w:pPr>
              <w:pStyle w:val="TableParagraph"/>
              <w:ind w:left="104"/>
              <w:rPr>
                <w:rFonts w:ascii="Cambria" w:hAnsi="Cambria"/>
                <w:sz w:val="20"/>
                <w:szCs w:val="20"/>
              </w:rPr>
            </w:pPr>
            <w:r w:rsidRPr="00967F4B">
              <w:rPr>
                <w:rFonts w:ascii="Cambria" w:hAnsi="Cambria"/>
                <w:sz w:val="20"/>
                <w:szCs w:val="20"/>
              </w:rPr>
              <w:t>5</w:t>
            </w:r>
          </w:p>
        </w:tc>
        <w:tc>
          <w:tcPr>
            <w:tcW w:w="1173" w:type="pct"/>
          </w:tcPr>
          <w:p w14:paraId="6CB868C2" w14:textId="77777777" w:rsidR="00967F4B" w:rsidRPr="00967F4B" w:rsidRDefault="00967F4B" w:rsidP="007E60B1">
            <w:pPr>
              <w:pStyle w:val="TableParagraph"/>
              <w:ind w:left="109"/>
              <w:rPr>
                <w:rFonts w:ascii="Cambria" w:hAnsi="Cambria"/>
                <w:sz w:val="20"/>
                <w:szCs w:val="20"/>
              </w:rPr>
            </w:pPr>
            <w:r w:rsidRPr="00967F4B">
              <w:rPr>
                <w:rFonts w:ascii="Cambria" w:hAnsi="Cambria"/>
                <w:sz w:val="20"/>
                <w:szCs w:val="20"/>
              </w:rPr>
              <w:t>5</w:t>
            </w:r>
          </w:p>
        </w:tc>
      </w:tr>
      <w:tr w:rsidR="00967F4B" w:rsidRPr="00967F4B" w14:paraId="22AC4EB6" w14:textId="77777777" w:rsidTr="003B2C3B">
        <w:trPr>
          <w:trHeight w:val="241"/>
        </w:trPr>
        <w:tc>
          <w:tcPr>
            <w:tcW w:w="1268" w:type="pct"/>
          </w:tcPr>
          <w:p w14:paraId="5239F08C" w14:textId="77777777" w:rsidR="00967F4B" w:rsidRPr="00967F4B" w:rsidRDefault="00967F4B" w:rsidP="007E60B1">
            <w:pPr>
              <w:pStyle w:val="TableParagraph"/>
              <w:ind w:left="115"/>
              <w:rPr>
                <w:rFonts w:ascii="Cambria" w:hAnsi="Cambria"/>
                <w:sz w:val="20"/>
                <w:szCs w:val="20"/>
              </w:rPr>
            </w:pPr>
            <w:r w:rsidRPr="00967F4B">
              <w:rPr>
                <w:rFonts w:ascii="Cambria" w:hAnsi="Cambria"/>
                <w:sz w:val="20"/>
                <w:szCs w:val="20"/>
              </w:rPr>
              <w:t>Total</w:t>
            </w:r>
          </w:p>
        </w:tc>
        <w:tc>
          <w:tcPr>
            <w:tcW w:w="1281" w:type="pct"/>
          </w:tcPr>
          <w:p w14:paraId="13CDFA36" w14:textId="77777777" w:rsidR="00967F4B" w:rsidRPr="00967F4B" w:rsidRDefault="00967F4B" w:rsidP="007E60B1">
            <w:pPr>
              <w:pStyle w:val="TableParagraph"/>
              <w:ind w:left="109"/>
              <w:rPr>
                <w:rFonts w:ascii="Cambria" w:hAnsi="Cambria"/>
                <w:sz w:val="20"/>
                <w:szCs w:val="20"/>
              </w:rPr>
            </w:pPr>
            <w:r w:rsidRPr="00967F4B">
              <w:rPr>
                <w:rFonts w:ascii="Cambria" w:hAnsi="Cambria"/>
                <w:sz w:val="20"/>
                <w:szCs w:val="20"/>
              </w:rPr>
              <w:t>10</w:t>
            </w:r>
          </w:p>
        </w:tc>
        <w:tc>
          <w:tcPr>
            <w:tcW w:w="1278" w:type="pct"/>
          </w:tcPr>
          <w:p w14:paraId="6004AACE" w14:textId="77777777" w:rsidR="00967F4B" w:rsidRPr="00967F4B" w:rsidRDefault="00967F4B" w:rsidP="007E60B1">
            <w:pPr>
              <w:pStyle w:val="TableParagraph"/>
              <w:ind w:left="104"/>
              <w:rPr>
                <w:rFonts w:ascii="Cambria" w:hAnsi="Cambria"/>
                <w:sz w:val="20"/>
                <w:szCs w:val="20"/>
              </w:rPr>
            </w:pPr>
            <w:r w:rsidRPr="00967F4B">
              <w:rPr>
                <w:rFonts w:ascii="Cambria" w:hAnsi="Cambria"/>
                <w:sz w:val="20"/>
                <w:szCs w:val="20"/>
              </w:rPr>
              <w:t>5</w:t>
            </w:r>
          </w:p>
        </w:tc>
        <w:tc>
          <w:tcPr>
            <w:tcW w:w="1173" w:type="pct"/>
          </w:tcPr>
          <w:p w14:paraId="2E197BBA" w14:textId="77777777" w:rsidR="00967F4B" w:rsidRPr="00967F4B" w:rsidRDefault="00967F4B" w:rsidP="007E60B1">
            <w:pPr>
              <w:pStyle w:val="TableParagraph"/>
              <w:ind w:left="109"/>
              <w:rPr>
                <w:rFonts w:ascii="Cambria" w:hAnsi="Cambria"/>
                <w:sz w:val="20"/>
                <w:szCs w:val="20"/>
              </w:rPr>
            </w:pPr>
            <w:r w:rsidRPr="00967F4B">
              <w:rPr>
                <w:rFonts w:ascii="Cambria" w:hAnsi="Cambria"/>
                <w:sz w:val="20"/>
                <w:szCs w:val="20"/>
              </w:rPr>
              <w:t>5</w:t>
            </w:r>
          </w:p>
        </w:tc>
      </w:tr>
    </w:tbl>
    <w:p w14:paraId="0B472BD2" w14:textId="43A068C1" w:rsidR="00967F4B" w:rsidRDefault="00967F4B" w:rsidP="00967F4B">
      <w:pPr>
        <w:pStyle w:val="TableDescription"/>
      </w:pPr>
      <w:proofErr w:type="gramStart"/>
      <w:r>
        <w:t>a</w:t>
      </w:r>
      <w:proofErr w:type="gramEnd"/>
      <w:r>
        <w:t>: Study</w:t>
      </w:r>
      <w:r>
        <w:rPr>
          <w:spacing w:val="-2"/>
        </w:rPr>
        <w:t xml:space="preserve"> </w:t>
      </w:r>
      <w:r>
        <w:t>311</w:t>
      </w:r>
      <w:r>
        <w:rPr>
          <w:spacing w:val="-1"/>
        </w:rPr>
        <w:t xml:space="preserve"> </w:t>
      </w:r>
      <w:r>
        <w:t>was</w:t>
      </w:r>
      <w:r>
        <w:rPr>
          <w:spacing w:val="-1"/>
        </w:rPr>
        <w:t xml:space="preserve"> </w:t>
      </w:r>
      <w:r>
        <w:t>designed</w:t>
      </w:r>
      <w:r>
        <w:rPr>
          <w:spacing w:val="-2"/>
        </w:rPr>
        <w:t xml:space="preserve"> </w:t>
      </w:r>
      <w:r>
        <w:t>to</w:t>
      </w:r>
      <w:r>
        <w:rPr>
          <w:spacing w:val="-2"/>
        </w:rPr>
        <w:t xml:space="preserve"> </w:t>
      </w:r>
      <w:r w:rsidR="002D6A09">
        <w:t>enrol</w:t>
      </w:r>
      <w:r>
        <w:rPr>
          <w:spacing w:val="-2"/>
        </w:rPr>
        <w:t xml:space="preserve"> </w:t>
      </w:r>
      <w:r>
        <w:t>patients</w:t>
      </w:r>
      <w:r>
        <w:rPr>
          <w:spacing w:val="-3"/>
        </w:rPr>
        <w:t xml:space="preserve"> </w:t>
      </w:r>
      <w:r>
        <w:t>aged</w:t>
      </w:r>
      <w:r>
        <w:rPr>
          <w:spacing w:val="-2"/>
        </w:rPr>
        <w:t xml:space="preserve"> </w:t>
      </w:r>
      <w:r>
        <w:t>4</w:t>
      </w:r>
      <w:r>
        <w:rPr>
          <w:spacing w:val="-2"/>
        </w:rPr>
        <w:t xml:space="preserve"> </w:t>
      </w:r>
      <w:r>
        <w:t>to</w:t>
      </w:r>
      <w:r>
        <w:rPr>
          <w:spacing w:val="-2"/>
        </w:rPr>
        <w:t xml:space="preserve"> </w:t>
      </w:r>
      <w:r>
        <w:t>&lt; 12</w:t>
      </w:r>
      <w:r>
        <w:rPr>
          <w:spacing w:val="-3"/>
        </w:rPr>
        <w:t xml:space="preserve"> </w:t>
      </w:r>
      <w:r w:rsidR="002D6A09">
        <w:t xml:space="preserve">years; </w:t>
      </w:r>
      <w:r>
        <w:t>b: Only</w:t>
      </w:r>
      <w:r>
        <w:rPr>
          <w:spacing w:val="-3"/>
        </w:rPr>
        <w:t xml:space="preserve"> </w:t>
      </w:r>
      <w:r>
        <w:t>subjects</w:t>
      </w:r>
      <w:r>
        <w:rPr>
          <w:spacing w:val="-2"/>
        </w:rPr>
        <w:t xml:space="preserve"> </w:t>
      </w:r>
      <w:r>
        <w:t>with</w:t>
      </w:r>
      <w:r>
        <w:rPr>
          <w:spacing w:val="-3"/>
        </w:rPr>
        <w:t xml:space="preserve"> </w:t>
      </w:r>
      <w:r>
        <w:t>PK</w:t>
      </w:r>
      <w:r>
        <w:rPr>
          <w:spacing w:val="-2"/>
        </w:rPr>
        <w:t xml:space="preserve"> </w:t>
      </w:r>
      <w:r>
        <w:t>data</w:t>
      </w:r>
      <w:r>
        <w:rPr>
          <w:spacing w:val="-3"/>
        </w:rPr>
        <w:t xml:space="preserve"> </w:t>
      </w:r>
      <w:r>
        <w:t>were</w:t>
      </w:r>
      <w:r>
        <w:rPr>
          <w:spacing w:val="-2"/>
        </w:rPr>
        <w:t xml:space="preserve"> </w:t>
      </w:r>
      <w:r>
        <w:t>included</w:t>
      </w:r>
      <w:r>
        <w:rPr>
          <w:spacing w:val="-3"/>
        </w:rPr>
        <w:t xml:space="preserve"> </w:t>
      </w:r>
      <w:r>
        <w:t>in</w:t>
      </w:r>
      <w:r>
        <w:rPr>
          <w:spacing w:val="-2"/>
        </w:rPr>
        <w:t xml:space="preserve"> </w:t>
      </w:r>
      <w:r>
        <w:t>the</w:t>
      </w:r>
      <w:r>
        <w:rPr>
          <w:spacing w:val="-3"/>
        </w:rPr>
        <w:t xml:space="preserve"> </w:t>
      </w:r>
      <w:r w:rsidR="002D6A09">
        <w:t xml:space="preserve">Pop </w:t>
      </w:r>
      <w:r>
        <w:t>PK</w:t>
      </w:r>
      <w:r>
        <w:rPr>
          <w:spacing w:val="-2"/>
        </w:rPr>
        <w:t xml:space="preserve"> </w:t>
      </w:r>
      <w:r>
        <w:t>analysis.</w:t>
      </w:r>
    </w:p>
    <w:p w14:paraId="4468D81A" w14:textId="45A04ABD" w:rsidR="00967F4B" w:rsidRPr="00967F4B" w:rsidRDefault="00967F4B" w:rsidP="00967F4B">
      <w:pPr>
        <w:pStyle w:val="Numberbullet0"/>
        <w:rPr>
          <w:b/>
          <w:i/>
        </w:rPr>
      </w:pPr>
      <w:r w:rsidRPr="00967F4B">
        <w:rPr>
          <w:b/>
          <w:i/>
        </w:rPr>
        <w:t>Please provide dose normalised mean (SD) and median (min, max) values for C</w:t>
      </w:r>
      <w:r w:rsidRPr="003B2C3B">
        <w:rPr>
          <w:b/>
          <w:i/>
          <w:vertAlign w:val="subscript"/>
        </w:rPr>
        <w:t>max</w:t>
      </w:r>
      <w:r w:rsidRPr="00967F4B">
        <w:rPr>
          <w:b/>
          <w:i/>
        </w:rPr>
        <w:t xml:space="preserve"> of</w:t>
      </w:r>
      <w:r w:rsidRPr="00967F4B">
        <w:rPr>
          <w:b/>
          <w:i/>
          <w:spacing w:val="1"/>
        </w:rPr>
        <w:t xml:space="preserve"> </w:t>
      </w:r>
      <w:r w:rsidRPr="00967F4B">
        <w:rPr>
          <w:b/>
          <w:i/>
        </w:rPr>
        <w:t>perampanel</w:t>
      </w:r>
      <w:r w:rsidRPr="00967F4B">
        <w:rPr>
          <w:b/>
          <w:i/>
          <w:spacing w:val="-2"/>
        </w:rPr>
        <w:t xml:space="preserve"> </w:t>
      </w:r>
      <w:r w:rsidRPr="00967F4B">
        <w:rPr>
          <w:b/>
          <w:i/>
        </w:rPr>
        <w:t>across</w:t>
      </w:r>
      <w:r w:rsidRPr="00967F4B">
        <w:rPr>
          <w:b/>
          <w:i/>
          <w:spacing w:val="-1"/>
        </w:rPr>
        <w:t xml:space="preserve"> </w:t>
      </w:r>
      <w:r w:rsidRPr="00967F4B">
        <w:rPr>
          <w:b/>
          <w:i/>
        </w:rPr>
        <w:t>children</w:t>
      </w:r>
      <w:r w:rsidRPr="00967F4B">
        <w:rPr>
          <w:b/>
          <w:i/>
          <w:spacing w:val="-1"/>
        </w:rPr>
        <w:t xml:space="preserve"> </w:t>
      </w:r>
      <w:r w:rsidRPr="00967F4B">
        <w:rPr>
          <w:b/>
          <w:i/>
        </w:rPr>
        <w:t>(4</w:t>
      </w:r>
      <w:r w:rsidRPr="00967F4B">
        <w:rPr>
          <w:b/>
          <w:i/>
          <w:spacing w:val="-1"/>
        </w:rPr>
        <w:t xml:space="preserve"> </w:t>
      </w:r>
      <w:r w:rsidRPr="00967F4B">
        <w:rPr>
          <w:b/>
          <w:i/>
        </w:rPr>
        <w:t>to</w:t>
      </w:r>
      <w:r w:rsidRPr="00967F4B">
        <w:rPr>
          <w:b/>
          <w:i/>
          <w:spacing w:val="-1"/>
        </w:rPr>
        <w:t xml:space="preserve"> </w:t>
      </w:r>
      <w:r w:rsidRPr="00967F4B">
        <w:rPr>
          <w:b/>
          <w:i/>
        </w:rPr>
        <w:t>&lt;</w:t>
      </w:r>
      <w:r w:rsidR="003B2C3B">
        <w:rPr>
          <w:b/>
          <w:i/>
        </w:rPr>
        <w:t xml:space="preserve"> </w:t>
      </w:r>
      <w:r w:rsidRPr="00967F4B">
        <w:rPr>
          <w:b/>
          <w:i/>
        </w:rPr>
        <w:t>7</w:t>
      </w:r>
      <w:r w:rsidRPr="00967F4B">
        <w:rPr>
          <w:b/>
          <w:i/>
          <w:spacing w:val="-1"/>
        </w:rPr>
        <w:t xml:space="preserve"> </w:t>
      </w:r>
      <w:r w:rsidRPr="00967F4B">
        <w:rPr>
          <w:b/>
          <w:i/>
        </w:rPr>
        <w:t>and</w:t>
      </w:r>
      <w:r w:rsidRPr="00967F4B">
        <w:rPr>
          <w:b/>
          <w:i/>
          <w:spacing w:val="-2"/>
        </w:rPr>
        <w:t xml:space="preserve"> </w:t>
      </w:r>
      <w:r w:rsidRPr="00967F4B">
        <w:rPr>
          <w:b/>
          <w:i/>
        </w:rPr>
        <w:t>7</w:t>
      </w:r>
      <w:r w:rsidRPr="00967F4B">
        <w:rPr>
          <w:b/>
          <w:i/>
          <w:spacing w:val="-1"/>
        </w:rPr>
        <w:t xml:space="preserve"> </w:t>
      </w:r>
      <w:r w:rsidRPr="00967F4B">
        <w:rPr>
          <w:b/>
          <w:i/>
        </w:rPr>
        <w:t>to</w:t>
      </w:r>
      <w:r w:rsidRPr="00967F4B">
        <w:rPr>
          <w:b/>
          <w:i/>
          <w:spacing w:val="-1"/>
        </w:rPr>
        <w:t xml:space="preserve"> </w:t>
      </w:r>
      <w:r w:rsidRPr="00967F4B">
        <w:rPr>
          <w:b/>
          <w:i/>
        </w:rPr>
        <w:t>&lt;</w:t>
      </w:r>
      <w:r w:rsidR="003B2C3B">
        <w:rPr>
          <w:b/>
          <w:i/>
        </w:rPr>
        <w:t xml:space="preserve"> </w:t>
      </w:r>
      <w:r w:rsidRPr="00967F4B">
        <w:rPr>
          <w:b/>
          <w:i/>
        </w:rPr>
        <w:t>12</w:t>
      </w:r>
      <w:r w:rsidRPr="00967F4B">
        <w:rPr>
          <w:b/>
          <w:i/>
          <w:spacing w:val="-1"/>
        </w:rPr>
        <w:t xml:space="preserve"> </w:t>
      </w:r>
      <w:r w:rsidRPr="00967F4B">
        <w:rPr>
          <w:b/>
          <w:i/>
        </w:rPr>
        <w:t>years</w:t>
      </w:r>
      <w:r w:rsidRPr="00967F4B">
        <w:rPr>
          <w:b/>
          <w:i/>
          <w:spacing w:val="-1"/>
        </w:rPr>
        <w:t xml:space="preserve"> </w:t>
      </w:r>
      <w:r w:rsidRPr="00967F4B">
        <w:rPr>
          <w:b/>
          <w:i/>
        </w:rPr>
        <w:t>of</w:t>
      </w:r>
      <w:r w:rsidRPr="00967F4B">
        <w:rPr>
          <w:b/>
          <w:i/>
          <w:spacing w:val="-1"/>
        </w:rPr>
        <w:t xml:space="preserve"> </w:t>
      </w:r>
      <w:r w:rsidRPr="00967F4B">
        <w:rPr>
          <w:b/>
          <w:i/>
        </w:rPr>
        <w:t>age),</w:t>
      </w:r>
      <w:r w:rsidRPr="00967F4B">
        <w:rPr>
          <w:b/>
          <w:i/>
          <w:spacing w:val="1"/>
        </w:rPr>
        <w:t xml:space="preserve"> </w:t>
      </w:r>
      <w:r w:rsidRPr="00967F4B">
        <w:rPr>
          <w:b/>
          <w:i/>
        </w:rPr>
        <w:t>adolescents</w:t>
      </w:r>
      <w:r w:rsidRPr="00967F4B">
        <w:rPr>
          <w:b/>
          <w:i/>
          <w:spacing w:val="-2"/>
        </w:rPr>
        <w:t xml:space="preserve"> </w:t>
      </w:r>
      <w:r w:rsidRPr="00967F4B">
        <w:rPr>
          <w:b/>
          <w:i/>
        </w:rPr>
        <w:t>and</w:t>
      </w:r>
      <w:r w:rsidRPr="00967F4B">
        <w:rPr>
          <w:b/>
          <w:i/>
          <w:spacing w:val="-2"/>
        </w:rPr>
        <w:t xml:space="preserve"> </w:t>
      </w:r>
      <w:r w:rsidRPr="00967F4B">
        <w:rPr>
          <w:b/>
          <w:i/>
        </w:rPr>
        <w:t>adults</w:t>
      </w:r>
      <w:r w:rsidR="003B2C3B">
        <w:rPr>
          <w:b/>
          <w:i/>
        </w:rPr>
        <w:t>.</w:t>
      </w:r>
    </w:p>
    <w:p w14:paraId="49EFA954" w14:textId="712D6DA3" w:rsidR="00650A7C" w:rsidRDefault="00967F4B" w:rsidP="00967F4B">
      <w:r>
        <w:t>Descriptive</w:t>
      </w:r>
      <w:r>
        <w:rPr>
          <w:spacing w:val="-6"/>
        </w:rPr>
        <w:t xml:space="preserve"> </w:t>
      </w:r>
      <w:r>
        <w:t>statistics</w:t>
      </w:r>
      <w:r>
        <w:rPr>
          <w:spacing w:val="-6"/>
        </w:rPr>
        <w:t xml:space="preserve"> </w:t>
      </w:r>
      <w:r>
        <w:t>for</w:t>
      </w:r>
      <w:r>
        <w:rPr>
          <w:spacing w:val="-6"/>
        </w:rPr>
        <w:t xml:space="preserve"> </w:t>
      </w:r>
      <w:r w:rsidR="00650A7C">
        <w:t>dose-normalis</w:t>
      </w:r>
      <w:r>
        <w:t>ed</w:t>
      </w:r>
      <w:r>
        <w:rPr>
          <w:spacing w:val="-3"/>
        </w:rPr>
        <w:t xml:space="preserve"> </w:t>
      </w:r>
      <w:r>
        <w:t>(to</w:t>
      </w:r>
      <w:r>
        <w:rPr>
          <w:spacing w:val="-4"/>
        </w:rPr>
        <w:t xml:space="preserve"> </w:t>
      </w:r>
      <w:r>
        <w:t>8</w:t>
      </w:r>
      <w:r>
        <w:rPr>
          <w:spacing w:val="-4"/>
        </w:rPr>
        <w:t xml:space="preserve"> </w:t>
      </w:r>
      <w:r>
        <w:t>mg)</w:t>
      </w:r>
      <w:r>
        <w:rPr>
          <w:spacing w:val="-6"/>
        </w:rPr>
        <w:t xml:space="preserve"> </w:t>
      </w:r>
      <w:r>
        <w:t>C</w:t>
      </w:r>
      <w:r w:rsidRPr="003B2C3B">
        <w:rPr>
          <w:vertAlign w:val="subscript"/>
        </w:rPr>
        <w:t>max</w:t>
      </w:r>
      <w:r>
        <w:rPr>
          <w:spacing w:val="-6"/>
        </w:rPr>
        <w:t xml:space="preserve"> </w:t>
      </w:r>
      <w:r>
        <w:t>without</w:t>
      </w:r>
      <w:r>
        <w:rPr>
          <w:spacing w:val="-6"/>
        </w:rPr>
        <w:t xml:space="preserve"> </w:t>
      </w:r>
      <w:r>
        <w:t>concomitant</w:t>
      </w:r>
      <w:r>
        <w:rPr>
          <w:spacing w:val="-5"/>
        </w:rPr>
        <w:t xml:space="preserve"> </w:t>
      </w:r>
      <w:r>
        <w:t>use</w:t>
      </w:r>
      <w:r>
        <w:rPr>
          <w:spacing w:val="-6"/>
        </w:rPr>
        <w:t xml:space="preserve"> </w:t>
      </w:r>
      <w:r>
        <w:t>of</w:t>
      </w:r>
      <w:r>
        <w:rPr>
          <w:spacing w:val="-57"/>
        </w:rPr>
        <w:t xml:space="preserve"> </w:t>
      </w:r>
      <w:r>
        <w:t>enzyme inducing anti-epileptic drugs (namely, carbamazepine, oxcarbazepine, and</w:t>
      </w:r>
      <w:r>
        <w:rPr>
          <w:spacing w:val="1"/>
        </w:rPr>
        <w:t xml:space="preserve"> </w:t>
      </w:r>
      <w:r>
        <w:t>phenytoin)</w:t>
      </w:r>
      <w:r>
        <w:rPr>
          <w:spacing w:val="-2"/>
        </w:rPr>
        <w:t xml:space="preserve"> </w:t>
      </w:r>
      <w:proofErr w:type="gramStart"/>
      <w:r>
        <w:t>are</w:t>
      </w:r>
      <w:r>
        <w:rPr>
          <w:spacing w:val="-1"/>
        </w:rPr>
        <w:t xml:space="preserve"> </w:t>
      </w:r>
      <w:r>
        <w:t>provided</w:t>
      </w:r>
      <w:proofErr w:type="gramEnd"/>
      <w:r>
        <w:rPr>
          <w:spacing w:val="-1"/>
        </w:rPr>
        <w:t xml:space="preserve"> </w:t>
      </w:r>
      <w:r>
        <w:t>in</w:t>
      </w:r>
      <w:r>
        <w:rPr>
          <w:spacing w:val="-2"/>
        </w:rPr>
        <w:t xml:space="preserve"> </w:t>
      </w:r>
      <w:r w:rsidR="003B2C3B">
        <w:fldChar w:fldCharType="begin"/>
      </w:r>
      <w:r w:rsidR="003B2C3B">
        <w:rPr>
          <w:spacing w:val="-2"/>
        </w:rPr>
        <w:instrText xml:space="preserve"> REF _Ref67920240 \h </w:instrText>
      </w:r>
      <w:r w:rsidR="003B2C3B">
        <w:fldChar w:fldCharType="separate"/>
      </w:r>
      <w:r w:rsidR="004C6771">
        <w:t xml:space="preserve">Table </w:t>
      </w:r>
      <w:r w:rsidR="004C6771">
        <w:rPr>
          <w:noProof/>
        </w:rPr>
        <w:t>22</w:t>
      </w:r>
      <w:r w:rsidR="003B2C3B">
        <w:fldChar w:fldCharType="end"/>
      </w:r>
      <w:r>
        <w:t>.</w:t>
      </w:r>
    </w:p>
    <w:p w14:paraId="3300154E" w14:textId="6C2A9B5B" w:rsidR="00967F4B" w:rsidRPr="00650A7C" w:rsidRDefault="00650A7C" w:rsidP="00650A7C">
      <w:pPr>
        <w:pStyle w:val="TableTitle"/>
      </w:pPr>
      <w:bookmarkStart w:id="94" w:name="_Ref67920240"/>
      <w:r>
        <w:t xml:space="preserve">Table </w:t>
      </w:r>
      <w:fldSimple w:instr=" SEQ Table \* ARABIC ">
        <w:r w:rsidR="004C6771">
          <w:rPr>
            <w:noProof/>
          </w:rPr>
          <w:t>22</w:t>
        </w:r>
      </w:fldSimple>
      <w:bookmarkEnd w:id="94"/>
      <w:r>
        <w:t>: Dose normalised (to 8 mg) maximum plasma concentration</w:t>
      </w:r>
    </w:p>
    <w:tbl>
      <w:tblPr>
        <w:tblStyle w:val="TableTGAblue"/>
        <w:tblW w:w="5000" w:type="pct"/>
        <w:tblLook w:val="01E0" w:firstRow="1" w:lastRow="1" w:firstColumn="1" w:lastColumn="1" w:noHBand="0" w:noVBand="0"/>
      </w:tblPr>
      <w:tblGrid>
        <w:gridCol w:w="2073"/>
        <w:gridCol w:w="878"/>
        <w:gridCol w:w="1038"/>
        <w:gridCol w:w="856"/>
        <w:gridCol w:w="821"/>
        <w:gridCol w:w="1184"/>
        <w:gridCol w:w="942"/>
        <w:gridCol w:w="928"/>
      </w:tblGrid>
      <w:tr w:rsidR="00967F4B" w:rsidRPr="00967F4B" w14:paraId="43577827" w14:textId="77777777" w:rsidTr="00496D02">
        <w:trPr>
          <w:cnfStyle w:val="100000000000" w:firstRow="1" w:lastRow="0" w:firstColumn="0" w:lastColumn="0" w:oddVBand="0" w:evenVBand="0" w:oddHBand="0" w:evenHBand="0" w:firstRowFirstColumn="0" w:firstRowLastColumn="0" w:lastRowFirstColumn="0" w:lastRowLastColumn="0"/>
          <w:trHeight w:val="263"/>
        </w:trPr>
        <w:tc>
          <w:tcPr>
            <w:tcW w:w="1189" w:type="pct"/>
          </w:tcPr>
          <w:p w14:paraId="253E1586" w14:textId="586A8DCE" w:rsidR="00967F4B" w:rsidRPr="00967F4B" w:rsidRDefault="00967F4B" w:rsidP="007E60B1">
            <w:pPr>
              <w:pStyle w:val="TableParagraph"/>
              <w:spacing w:before="34"/>
              <w:ind w:left="105"/>
              <w:rPr>
                <w:rFonts w:ascii="Cambria" w:hAnsi="Cambria"/>
                <w:b w:val="0"/>
                <w:sz w:val="20"/>
              </w:rPr>
            </w:pPr>
            <w:r w:rsidRPr="00967F4B">
              <w:rPr>
                <w:rFonts w:ascii="Cambria" w:hAnsi="Cambria"/>
                <w:sz w:val="20"/>
              </w:rPr>
              <w:t>Age</w:t>
            </w:r>
            <w:r w:rsidRPr="00967F4B">
              <w:rPr>
                <w:rFonts w:ascii="Cambria" w:hAnsi="Cambria"/>
                <w:spacing w:val="-2"/>
                <w:sz w:val="20"/>
              </w:rPr>
              <w:t xml:space="preserve"> </w:t>
            </w:r>
            <w:r w:rsidR="003B2C3B">
              <w:rPr>
                <w:rFonts w:ascii="Cambria" w:hAnsi="Cambria"/>
                <w:sz w:val="20"/>
              </w:rPr>
              <w:t>c</w:t>
            </w:r>
            <w:r w:rsidRPr="00967F4B">
              <w:rPr>
                <w:rFonts w:ascii="Cambria" w:hAnsi="Cambria"/>
                <w:sz w:val="20"/>
              </w:rPr>
              <w:t>ategory</w:t>
            </w:r>
          </w:p>
        </w:tc>
        <w:tc>
          <w:tcPr>
            <w:tcW w:w="503" w:type="pct"/>
          </w:tcPr>
          <w:p w14:paraId="59CC7465" w14:textId="77777777" w:rsidR="00967F4B" w:rsidRPr="00967F4B" w:rsidRDefault="00967F4B" w:rsidP="007E60B1">
            <w:pPr>
              <w:pStyle w:val="TableParagraph"/>
              <w:spacing w:before="34"/>
              <w:ind w:right="189"/>
              <w:jc w:val="right"/>
              <w:rPr>
                <w:rFonts w:ascii="Cambria" w:hAnsi="Cambria"/>
                <w:b w:val="0"/>
                <w:sz w:val="20"/>
              </w:rPr>
            </w:pPr>
            <w:r w:rsidRPr="00967F4B">
              <w:rPr>
                <w:rFonts w:ascii="Cambria" w:hAnsi="Cambria"/>
                <w:sz w:val="20"/>
              </w:rPr>
              <w:t>N*</w:t>
            </w:r>
          </w:p>
        </w:tc>
        <w:tc>
          <w:tcPr>
            <w:tcW w:w="595" w:type="pct"/>
          </w:tcPr>
          <w:p w14:paraId="139A21CF" w14:textId="77777777" w:rsidR="00967F4B" w:rsidRPr="00967F4B" w:rsidRDefault="00967F4B" w:rsidP="007E60B1">
            <w:pPr>
              <w:pStyle w:val="TableParagraph"/>
              <w:spacing w:before="34"/>
              <w:ind w:left="144" w:right="122"/>
              <w:jc w:val="center"/>
              <w:rPr>
                <w:rFonts w:ascii="Cambria" w:hAnsi="Cambria"/>
                <w:b w:val="0"/>
                <w:sz w:val="20"/>
              </w:rPr>
            </w:pPr>
            <w:r w:rsidRPr="00967F4B">
              <w:rPr>
                <w:rFonts w:ascii="Cambria" w:hAnsi="Cambria"/>
                <w:sz w:val="20"/>
              </w:rPr>
              <w:t>Mean</w:t>
            </w:r>
          </w:p>
        </w:tc>
        <w:tc>
          <w:tcPr>
            <w:tcW w:w="491" w:type="pct"/>
          </w:tcPr>
          <w:p w14:paraId="1B0FB0E2" w14:textId="77777777" w:rsidR="00967F4B" w:rsidRPr="00967F4B" w:rsidRDefault="00967F4B" w:rsidP="007E60B1">
            <w:pPr>
              <w:pStyle w:val="TableParagraph"/>
              <w:spacing w:before="34"/>
              <w:ind w:left="156"/>
              <w:rPr>
                <w:rFonts w:ascii="Cambria" w:hAnsi="Cambria"/>
                <w:b w:val="0"/>
                <w:sz w:val="20"/>
              </w:rPr>
            </w:pPr>
            <w:r w:rsidRPr="00967F4B">
              <w:rPr>
                <w:rFonts w:ascii="Cambria" w:hAnsi="Cambria"/>
                <w:sz w:val="20"/>
              </w:rPr>
              <w:t>SD</w:t>
            </w:r>
          </w:p>
        </w:tc>
        <w:tc>
          <w:tcPr>
            <w:tcW w:w="471" w:type="pct"/>
          </w:tcPr>
          <w:p w14:paraId="440187CC" w14:textId="77777777" w:rsidR="00967F4B" w:rsidRPr="00967F4B" w:rsidRDefault="00967F4B" w:rsidP="007E60B1">
            <w:pPr>
              <w:pStyle w:val="TableParagraph"/>
              <w:spacing w:before="34"/>
              <w:ind w:left="132" w:right="107"/>
              <w:jc w:val="center"/>
              <w:rPr>
                <w:rFonts w:ascii="Cambria" w:hAnsi="Cambria"/>
                <w:b w:val="0"/>
                <w:sz w:val="20"/>
              </w:rPr>
            </w:pPr>
            <w:r w:rsidRPr="00967F4B">
              <w:rPr>
                <w:rFonts w:ascii="Cambria" w:hAnsi="Cambria"/>
                <w:sz w:val="20"/>
              </w:rPr>
              <w:t>Min</w:t>
            </w:r>
          </w:p>
        </w:tc>
        <w:tc>
          <w:tcPr>
            <w:tcW w:w="679" w:type="pct"/>
          </w:tcPr>
          <w:p w14:paraId="09C371B5" w14:textId="77777777" w:rsidR="00967F4B" w:rsidRPr="00967F4B" w:rsidRDefault="00967F4B" w:rsidP="007E60B1">
            <w:pPr>
              <w:pStyle w:val="TableParagraph"/>
              <w:spacing w:before="34"/>
              <w:ind w:left="105" w:right="105"/>
              <w:jc w:val="center"/>
              <w:rPr>
                <w:rFonts w:ascii="Cambria" w:hAnsi="Cambria"/>
                <w:b w:val="0"/>
                <w:sz w:val="20"/>
              </w:rPr>
            </w:pPr>
            <w:r w:rsidRPr="00967F4B">
              <w:rPr>
                <w:rFonts w:ascii="Cambria" w:hAnsi="Cambria"/>
                <w:sz w:val="20"/>
              </w:rPr>
              <w:t>Median</w:t>
            </w:r>
          </w:p>
        </w:tc>
        <w:tc>
          <w:tcPr>
            <w:tcW w:w="540" w:type="pct"/>
          </w:tcPr>
          <w:p w14:paraId="29EDE301" w14:textId="77777777" w:rsidR="00967F4B" w:rsidRPr="00967F4B" w:rsidRDefault="00967F4B" w:rsidP="007E60B1">
            <w:pPr>
              <w:pStyle w:val="TableParagraph"/>
              <w:spacing w:before="34"/>
              <w:ind w:right="116"/>
              <w:jc w:val="right"/>
              <w:rPr>
                <w:rFonts w:ascii="Cambria" w:hAnsi="Cambria"/>
                <w:b w:val="0"/>
                <w:sz w:val="20"/>
              </w:rPr>
            </w:pPr>
            <w:r w:rsidRPr="00967F4B">
              <w:rPr>
                <w:rFonts w:ascii="Cambria" w:hAnsi="Cambria"/>
                <w:sz w:val="20"/>
              </w:rPr>
              <w:t>Max</w:t>
            </w:r>
          </w:p>
        </w:tc>
        <w:tc>
          <w:tcPr>
            <w:tcW w:w="532" w:type="pct"/>
          </w:tcPr>
          <w:p w14:paraId="262A6453" w14:textId="77777777" w:rsidR="00967F4B" w:rsidRPr="00967F4B" w:rsidRDefault="00967F4B" w:rsidP="007E60B1">
            <w:pPr>
              <w:pStyle w:val="TableParagraph"/>
              <w:spacing w:before="34"/>
              <w:ind w:left="100" w:right="86"/>
              <w:jc w:val="center"/>
              <w:rPr>
                <w:rFonts w:ascii="Cambria" w:hAnsi="Cambria"/>
                <w:b w:val="0"/>
                <w:sz w:val="20"/>
              </w:rPr>
            </w:pPr>
            <w:r w:rsidRPr="00967F4B">
              <w:rPr>
                <w:rFonts w:ascii="Cambria" w:hAnsi="Cambria"/>
                <w:sz w:val="20"/>
              </w:rPr>
              <w:t>%CV</w:t>
            </w:r>
          </w:p>
        </w:tc>
      </w:tr>
      <w:tr w:rsidR="00967F4B" w:rsidRPr="00967F4B" w14:paraId="2F88ED9E" w14:textId="77777777" w:rsidTr="00496D02">
        <w:trPr>
          <w:trHeight w:val="268"/>
        </w:trPr>
        <w:tc>
          <w:tcPr>
            <w:tcW w:w="1189" w:type="pct"/>
          </w:tcPr>
          <w:p w14:paraId="0DA94C42" w14:textId="77777777" w:rsidR="00967F4B" w:rsidRPr="00967F4B" w:rsidRDefault="00967F4B" w:rsidP="007E60B1">
            <w:pPr>
              <w:pStyle w:val="TableParagraph"/>
              <w:spacing w:before="29" w:line="219" w:lineRule="exact"/>
              <w:ind w:left="105"/>
              <w:rPr>
                <w:rFonts w:ascii="Cambria" w:hAnsi="Cambria"/>
                <w:sz w:val="20"/>
              </w:rPr>
            </w:pPr>
            <w:r w:rsidRPr="00967F4B">
              <w:rPr>
                <w:rFonts w:ascii="Cambria" w:hAnsi="Cambria"/>
                <w:sz w:val="20"/>
              </w:rPr>
              <w:t>4</w:t>
            </w:r>
            <w:r w:rsidRPr="00967F4B">
              <w:rPr>
                <w:rFonts w:ascii="Cambria" w:hAnsi="Cambria"/>
                <w:spacing w:val="-1"/>
                <w:sz w:val="20"/>
              </w:rPr>
              <w:t xml:space="preserve"> </w:t>
            </w:r>
            <w:r w:rsidRPr="00967F4B">
              <w:rPr>
                <w:rFonts w:ascii="Cambria" w:hAnsi="Cambria"/>
                <w:sz w:val="20"/>
              </w:rPr>
              <w:t>to &lt;</w:t>
            </w:r>
            <w:r w:rsidRPr="00967F4B">
              <w:rPr>
                <w:rFonts w:ascii="Cambria" w:hAnsi="Cambria"/>
                <w:spacing w:val="-1"/>
                <w:sz w:val="20"/>
              </w:rPr>
              <w:t xml:space="preserve"> </w:t>
            </w:r>
            <w:r w:rsidRPr="00967F4B">
              <w:rPr>
                <w:rFonts w:ascii="Cambria" w:hAnsi="Cambria"/>
                <w:sz w:val="20"/>
              </w:rPr>
              <w:t>7</w:t>
            </w:r>
            <w:r w:rsidRPr="00967F4B">
              <w:rPr>
                <w:rFonts w:ascii="Cambria" w:hAnsi="Cambria"/>
                <w:spacing w:val="-1"/>
                <w:sz w:val="20"/>
              </w:rPr>
              <w:t xml:space="preserve"> </w:t>
            </w:r>
            <w:r w:rsidRPr="00967F4B">
              <w:rPr>
                <w:rFonts w:ascii="Cambria" w:hAnsi="Cambria"/>
                <w:sz w:val="20"/>
              </w:rPr>
              <w:t>years</w:t>
            </w:r>
          </w:p>
        </w:tc>
        <w:tc>
          <w:tcPr>
            <w:tcW w:w="503" w:type="pct"/>
          </w:tcPr>
          <w:p w14:paraId="32DF3C85" w14:textId="77777777" w:rsidR="00967F4B" w:rsidRPr="00967F4B" w:rsidRDefault="00967F4B" w:rsidP="007E60B1">
            <w:pPr>
              <w:pStyle w:val="TableParagraph"/>
              <w:spacing w:before="29" w:line="219" w:lineRule="exact"/>
              <w:ind w:right="211"/>
              <w:jc w:val="right"/>
              <w:rPr>
                <w:rFonts w:ascii="Cambria" w:hAnsi="Cambria"/>
                <w:sz w:val="20"/>
              </w:rPr>
            </w:pPr>
            <w:r w:rsidRPr="00967F4B">
              <w:rPr>
                <w:rFonts w:ascii="Cambria" w:hAnsi="Cambria"/>
                <w:sz w:val="20"/>
              </w:rPr>
              <w:t>90</w:t>
            </w:r>
          </w:p>
        </w:tc>
        <w:tc>
          <w:tcPr>
            <w:tcW w:w="595" w:type="pct"/>
          </w:tcPr>
          <w:p w14:paraId="39218B2A" w14:textId="77777777" w:rsidR="00967F4B" w:rsidRPr="00967F4B" w:rsidRDefault="00967F4B" w:rsidP="007E60B1">
            <w:pPr>
              <w:pStyle w:val="TableParagraph"/>
              <w:spacing w:before="29" w:line="219" w:lineRule="exact"/>
              <w:ind w:left="144" w:right="120"/>
              <w:jc w:val="center"/>
              <w:rPr>
                <w:rFonts w:ascii="Cambria" w:hAnsi="Cambria"/>
                <w:sz w:val="20"/>
              </w:rPr>
            </w:pPr>
            <w:r w:rsidRPr="00967F4B">
              <w:rPr>
                <w:rFonts w:ascii="Cambria" w:hAnsi="Cambria"/>
                <w:sz w:val="20"/>
              </w:rPr>
              <w:t>1707</w:t>
            </w:r>
          </w:p>
        </w:tc>
        <w:tc>
          <w:tcPr>
            <w:tcW w:w="491" w:type="pct"/>
          </w:tcPr>
          <w:p w14:paraId="56E4A3B9" w14:textId="77777777" w:rsidR="00967F4B" w:rsidRPr="00967F4B" w:rsidRDefault="00967F4B" w:rsidP="007E60B1">
            <w:pPr>
              <w:pStyle w:val="TableParagraph"/>
              <w:spacing w:before="29" w:line="219" w:lineRule="exact"/>
              <w:ind w:left="137"/>
              <w:rPr>
                <w:rFonts w:ascii="Cambria" w:hAnsi="Cambria"/>
                <w:sz w:val="20"/>
              </w:rPr>
            </w:pPr>
            <w:r w:rsidRPr="00967F4B">
              <w:rPr>
                <w:rFonts w:ascii="Cambria" w:hAnsi="Cambria"/>
                <w:sz w:val="20"/>
              </w:rPr>
              <w:t>607</w:t>
            </w:r>
          </w:p>
        </w:tc>
        <w:tc>
          <w:tcPr>
            <w:tcW w:w="471" w:type="pct"/>
          </w:tcPr>
          <w:p w14:paraId="1C69C567" w14:textId="77777777" w:rsidR="00967F4B" w:rsidRPr="00967F4B" w:rsidRDefault="00967F4B" w:rsidP="007E60B1">
            <w:pPr>
              <w:pStyle w:val="TableParagraph"/>
              <w:spacing w:before="29" w:line="219" w:lineRule="exact"/>
              <w:ind w:left="128" w:right="107"/>
              <w:jc w:val="center"/>
              <w:rPr>
                <w:rFonts w:ascii="Cambria" w:hAnsi="Cambria"/>
                <w:sz w:val="20"/>
              </w:rPr>
            </w:pPr>
            <w:r w:rsidRPr="00967F4B">
              <w:rPr>
                <w:rFonts w:ascii="Cambria" w:hAnsi="Cambria"/>
                <w:sz w:val="20"/>
              </w:rPr>
              <w:t>964</w:t>
            </w:r>
          </w:p>
        </w:tc>
        <w:tc>
          <w:tcPr>
            <w:tcW w:w="679" w:type="pct"/>
          </w:tcPr>
          <w:p w14:paraId="20C6C80D" w14:textId="77777777" w:rsidR="00967F4B" w:rsidRPr="00967F4B" w:rsidRDefault="00967F4B" w:rsidP="007E60B1">
            <w:pPr>
              <w:pStyle w:val="TableParagraph"/>
              <w:spacing w:before="29" w:line="219" w:lineRule="exact"/>
              <w:ind w:left="105" w:right="103"/>
              <w:jc w:val="center"/>
              <w:rPr>
                <w:rFonts w:ascii="Cambria" w:hAnsi="Cambria"/>
                <w:sz w:val="20"/>
              </w:rPr>
            </w:pPr>
            <w:r w:rsidRPr="00967F4B">
              <w:rPr>
                <w:rFonts w:ascii="Cambria" w:hAnsi="Cambria"/>
                <w:sz w:val="20"/>
              </w:rPr>
              <w:t>1562</w:t>
            </w:r>
          </w:p>
        </w:tc>
        <w:tc>
          <w:tcPr>
            <w:tcW w:w="540" w:type="pct"/>
          </w:tcPr>
          <w:p w14:paraId="04F56714" w14:textId="77777777" w:rsidR="00967F4B" w:rsidRPr="00967F4B" w:rsidRDefault="00967F4B" w:rsidP="007E60B1">
            <w:pPr>
              <w:pStyle w:val="TableParagraph"/>
              <w:spacing w:before="29" w:line="219" w:lineRule="exact"/>
              <w:ind w:right="112"/>
              <w:jc w:val="right"/>
              <w:rPr>
                <w:rFonts w:ascii="Cambria" w:hAnsi="Cambria"/>
                <w:sz w:val="20"/>
              </w:rPr>
            </w:pPr>
            <w:r w:rsidRPr="00967F4B">
              <w:rPr>
                <w:rFonts w:ascii="Cambria" w:hAnsi="Cambria"/>
                <w:sz w:val="20"/>
              </w:rPr>
              <w:t>3732</w:t>
            </w:r>
          </w:p>
        </w:tc>
        <w:tc>
          <w:tcPr>
            <w:tcW w:w="532" w:type="pct"/>
          </w:tcPr>
          <w:p w14:paraId="55802143" w14:textId="77777777" w:rsidR="00967F4B" w:rsidRPr="00967F4B" w:rsidRDefault="00967F4B" w:rsidP="007E60B1">
            <w:pPr>
              <w:pStyle w:val="TableParagraph"/>
              <w:spacing w:before="29" w:line="219" w:lineRule="exact"/>
              <w:ind w:left="100" w:right="84"/>
              <w:jc w:val="center"/>
              <w:rPr>
                <w:rFonts w:ascii="Cambria" w:hAnsi="Cambria"/>
                <w:sz w:val="20"/>
              </w:rPr>
            </w:pPr>
            <w:r w:rsidRPr="00967F4B">
              <w:rPr>
                <w:rFonts w:ascii="Cambria" w:hAnsi="Cambria"/>
                <w:sz w:val="20"/>
              </w:rPr>
              <w:t>35.6</w:t>
            </w:r>
          </w:p>
        </w:tc>
      </w:tr>
      <w:tr w:rsidR="00967F4B" w:rsidRPr="00967F4B" w14:paraId="37ADEECC" w14:textId="77777777" w:rsidTr="00496D02">
        <w:trPr>
          <w:trHeight w:val="263"/>
        </w:trPr>
        <w:tc>
          <w:tcPr>
            <w:tcW w:w="1189" w:type="pct"/>
          </w:tcPr>
          <w:p w14:paraId="33109DEA" w14:textId="77777777" w:rsidR="00967F4B" w:rsidRPr="00967F4B" w:rsidRDefault="00967F4B" w:rsidP="007E60B1">
            <w:pPr>
              <w:pStyle w:val="TableParagraph"/>
              <w:spacing w:before="24" w:line="219" w:lineRule="exact"/>
              <w:ind w:left="105"/>
              <w:rPr>
                <w:rFonts w:ascii="Cambria" w:hAnsi="Cambria"/>
                <w:sz w:val="20"/>
              </w:rPr>
            </w:pPr>
            <w:r w:rsidRPr="00967F4B">
              <w:rPr>
                <w:rFonts w:ascii="Cambria" w:hAnsi="Cambria"/>
                <w:sz w:val="20"/>
              </w:rPr>
              <w:t>7</w:t>
            </w:r>
            <w:r w:rsidRPr="00967F4B">
              <w:rPr>
                <w:rFonts w:ascii="Cambria" w:hAnsi="Cambria"/>
                <w:spacing w:val="-1"/>
                <w:sz w:val="20"/>
              </w:rPr>
              <w:t xml:space="preserve"> </w:t>
            </w:r>
            <w:r w:rsidRPr="00967F4B">
              <w:rPr>
                <w:rFonts w:ascii="Cambria" w:hAnsi="Cambria"/>
                <w:sz w:val="20"/>
              </w:rPr>
              <w:t>to</w:t>
            </w:r>
            <w:r w:rsidRPr="00967F4B">
              <w:rPr>
                <w:rFonts w:ascii="Cambria" w:hAnsi="Cambria"/>
                <w:spacing w:val="-1"/>
                <w:sz w:val="20"/>
              </w:rPr>
              <w:t xml:space="preserve"> </w:t>
            </w:r>
            <w:r w:rsidRPr="00967F4B">
              <w:rPr>
                <w:rFonts w:ascii="Cambria" w:hAnsi="Cambria"/>
                <w:sz w:val="20"/>
              </w:rPr>
              <w:t>&lt;</w:t>
            </w:r>
            <w:r w:rsidRPr="00967F4B">
              <w:rPr>
                <w:rFonts w:ascii="Cambria" w:hAnsi="Cambria"/>
                <w:spacing w:val="-1"/>
                <w:sz w:val="20"/>
              </w:rPr>
              <w:t xml:space="preserve"> </w:t>
            </w:r>
            <w:r w:rsidRPr="00967F4B">
              <w:rPr>
                <w:rFonts w:ascii="Cambria" w:hAnsi="Cambria"/>
                <w:sz w:val="20"/>
              </w:rPr>
              <w:t>12</w:t>
            </w:r>
            <w:r w:rsidRPr="00967F4B">
              <w:rPr>
                <w:rFonts w:ascii="Cambria" w:hAnsi="Cambria"/>
                <w:spacing w:val="-1"/>
                <w:sz w:val="20"/>
              </w:rPr>
              <w:t xml:space="preserve"> </w:t>
            </w:r>
            <w:r w:rsidRPr="00967F4B">
              <w:rPr>
                <w:rFonts w:ascii="Cambria" w:hAnsi="Cambria"/>
                <w:sz w:val="20"/>
              </w:rPr>
              <w:t>years</w:t>
            </w:r>
          </w:p>
        </w:tc>
        <w:tc>
          <w:tcPr>
            <w:tcW w:w="503" w:type="pct"/>
          </w:tcPr>
          <w:p w14:paraId="1F86F9D8" w14:textId="77777777" w:rsidR="00967F4B" w:rsidRPr="00967F4B" w:rsidRDefault="00967F4B" w:rsidP="007E60B1">
            <w:pPr>
              <w:pStyle w:val="TableParagraph"/>
              <w:spacing w:before="24" w:line="219" w:lineRule="exact"/>
              <w:ind w:right="159"/>
              <w:jc w:val="right"/>
              <w:rPr>
                <w:rFonts w:ascii="Cambria" w:hAnsi="Cambria"/>
                <w:sz w:val="20"/>
              </w:rPr>
            </w:pPr>
            <w:r w:rsidRPr="00967F4B">
              <w:rPr>
                <w:rFonts w:ascii="Cambria" w:hAnsi="Cambria"/>
                <w:sz w:val="20"/>
              </w:rPr>
              <w:t>232</w:t>
            </w:r>
          </w:p>
        </w:tc>
        <w:tc>
          <w:tcPr>
            <w:tcW w:w="595" w:type="pct"/>
          </w:tcPr>
          <w:p w14:paraId="182B9329" w14:textId="77777777" w:rsidR="00967F4B" w:rsidRPr="00967F4B" w:rsidRDefault="00967F4B" w:rsidP="007E60B1">
            <w:pPr>
              <w:pStyle w:val="TableParagraph"/>
              <w:spacing w:before="24" w:line="219" w:lineRule="exact"/>
              <w:ind w:left="144" w:right="120"/>
              <w:jc w:val="center"/>
              <w:rPr>
                <w:rFonts w:ascii="Cambria" w:hAnsi="Cambria"/>
                <w:sz w:val="20"/>
              </w:rPr>
            </w:pPr>
            <w:r w:rsidRPr="00967F4B">
              <w:rPr>
                <w:rFonts w:ascii="Cambria" w:hAnsi="Cambria"/>
                <w:sz w:val="20"/>
              </w:rPr>
              <w:t>1218</w:t>
            </w:r>
          </w:p>
        </w:tc>
        <w:tc>
          <w:tcPr>
            <w:tcW w:w="491" w:type="pct"/>
          </w:tcPr>
          <w:p w14:paraId="5AB94E81" w14:textId="77777777" w:rsidR="00967F4B" w:rsidRPr="00967F4B" w:rsidRDefault="00967F4B" w:rsidP="007E60B1">
            <w:pPr>
              <w:pStyle w:val="TableParagraph"/>
              <w:spacing w:before="24" w:line="219" w:lineRule="exact"/>
              <w:ind w:left="137"/>
              <w:rPr>
                <w:rFonts w:ascii="Cambria" w:hAnsi="Cambria"/>
                <w:sz w:val="20"/>
              </w:rPr>
            </w:pPr>
            <w:r w:rsidRPr="00967F4B">
              <w:rPr>
                <w:rFonts w:ascii="Cambria" w:hAnsi="Cambria"/>
                <w:sz w:val="20"/>
              </w:rPr>
              <w:t>482</w:t>
            </w:r>
          </w:p>
        </w:tc>
        <w:tc>
          <w:tcPr>
            <w:tcW w:w="471" w:type="pct"/>
          </w:tcPr>
          <w:p w14:paraId="12059710" w14:textId="77777777" w:rsidR="00967F4B" w:rsidRPr="00967F4B" w:rsidRDefault="00967F4B" w:rsidP="007E60B1">
            <w:pPr>
              <w:pStyle w:val="TableParagraph"/>
              <w:spacing w:before="24" w:line="219" w:lineRule="exact"/>
              <w:ind w:left="128" w:right="107"/>
              <w:jc w:val="center"/>
              <w:rPr>
                <w:rFonts w:ascii="Cambria" w:hAnsi="Cambria"/>
                <w:sz w:val="20"/>
              </w:rPr>
            </w:pPr>
            <w:r w:rsidRPr="00967F4B">
              <w:rPr>
                <w:rFonts w:ascii="Cambria" w:hAnsi="Cambria"/>
                <w:sz w:val="20"/>
              </w:rPr>
              <w:t>492</w:t>
            </w:r>
          </w:p>
        </w:tc>
        <w:tc>
          <w:tcPr>
            <w:tcW w:w="679" w:type="pct"/>
          </w:tcPr>
          <w:p w14:paraId="7B80FF60" w14:textId="77777777" w:rsidR="00967F4B" w:rsidRPr="00967F4B" w:rsidRDefault="00967F4B" w:rsidP="007E60B1">
            <w:pPr>
              <w:pStyle w:val="TableParagraph"/>
              <w:spacing w:before="24" w:line="219" w:lineRule="exact"/>
              <w:ind w:left="105" w:right="103"/>
              <w:jc w:val="center"/>
              <w:rPr>
                <w:rFonts w:ascii="Cambria" w:hAnsi="Cambria"/>
                <w:sz w:val="20"/>
              </w:rPr>
            </w:pPr>
            <w:r w:rsidRPr="00967F4B">
              <w:rPr>
                <w:rFonts w:ascii="Cambria" w:hAnsi="Cambria"/>
                <w:sz w:val="20"/>
              </w:rPr>
              <w:t>1146</w:t>
            </w:r>
          </w:p>
        </w:tc>
        <w:tc>
          <w:tcPr>
            <w:tcW w:w="540" w:type="pct"/>
          </w:tcPr>
          <w:p w14:paraId="1ED1F96B" w14:textId="77777777" w:rsidR="00967F4B" w:rsidRPr="00967F4B" w:rsidRDefault="00967F4B" w:rsidP="007E60B1">
            <w:pPr>
              <w:pStyle w:val="TableParagraph"/>
              <w:spacing w:before="24" w:line="219" w:lineRule="exact"/>
              <w:ind w:right="112"/>
              <w:jc w:val="right"/>
              <w:rPr>
                <w:rFonts w:ascii="Cambria" w:hAnsi="Cambria"/>
                <w:sz w:val="20"/>
              </w:rPr>
            </w:pPr>
            <w:r w:rsidRPr="00967F4B">
              <w:rPr>
                <w:rFonts w:ascii="Cambria" w:hAnsi="Cambria"/>
                <w:sz w:val="20"/>
              </w:rPr>
              <w:t>3960</w:t>
            </w:r>
          </w:p>
        </w:tc>
        <w:tc>
          <w:tcPr>
            <w:tcW w:w="532" w:type="pct"/>
          </w:tcPr>
          <w:p w14:paraId="785A34F1" w14:textId="77777777" w:rsidR="00967F4B" w:rsidRPr="00967F4B" w:rsidRDefault="00967F4B" w:rsidP="007E60B1">
            <w:pPr>
              <w:pStyle w:val="TableParagraph"/>
              <w:spacing w:before="24" w:line="219" w:lineRule="exact"/>
              <w:ind w:left="100" w:right="84"/>
              <w:jc w:val="center"/>
              <w:rPr>
                <w:rFonts w:ascii="Cambria" w:hAnsi="Cambria"/>
                <w:sz w:val="20"/>
              </w:rPr>
            </w:pPr>
            <w:r w:rsidRPr="00967F4B">
              <w:rPr>
                <w:rFonts w:ascii="Cambria" w:hAnsi="Cambria"/>
                <w:sz w:val="20"/>
              </w:rPr>
              <w:t>39.6</w:t>
            </w:r>
          </w:p>
        </w:tc>
      </w:tr>
      <w:tr w:rsidR="00967F4B" w:rsidRPr="00967F4B" w14:paraId="4CAB7F3B" w14:textId="77777777" w:rsidTr="00496D02">
        <w:trPr>
          <w:trHeight w:val="263"/>
        </w:trPr>
        <w:tc>
          <w:tcPr>
            <w:tcW w:w="1189" w:type="pct"/>
          </w:tcPr>
          <w:p w14:paraId="26AEDBA8" w14:textId="77777777" w:rsidR="00967F4B" w:rsidRPr="00967F4B" w:rsidRDefault="00967F4B" w:rsidP="007E60B1">
            <w:pPr>
              <w:pStyle w:val="TableParagraph"/>
              <w:spacing w:before="24" w:line="219" w:lineRule="exact"/>
              <w:ind w:left="105"/>
              <w:rPr>
                <w:rFonts w:ascii="Cambria" w:hAnsi="Cambria"/>
                <w:sz w:val="20"/>
              </w:rPr>
            </w:pPr>
            <w:r w:rsidRPr="00967F4B">
              <w:rPr>
                <w:rFonts w:ascii="Cambria" w:hAnsi="Cambria"/>
                <w:sz w:val="20"/>
              </w:rPr>
              <w:t>12</w:t>
            </w:r>
            <w:r w:rsidRPr="00967F4B">
              <w:rPr>
                <w:rFonts w:ascii="Cambria" w:hAnsi="Cambria"/>
                <w:spacing w:val="-1"/>
                <w:sz w:val="20"/>
              </w:rPr>
              <w:t xml:space="preserve"> </w:t>
            </w:r>
            <w:r w:rsidRPr="00967F4B">
              <w:rPr>
                <w:rFonts w:ascii="Cambria" w:hAnsi="Cambria"/>
                <w:sz w:val="20"/>
              </w:rPr>
              <w:t>to</w:t>
            </w:r>
            <w:r w:rsidRPr="00967F4B">
              <w:rPr>
                <w:rFonts w:ascii="Cambria" w:hAnsi="Cambria"/>
                <w:spacing w:val="-1"/>
                <w:sz w:val="20"/>
              </w:rPr>
              <w:t xml:space="preserve"> </w:t>
            </w:r>
            <w:r w:rsidRPr="00967F4B">
              <w:rPr>
                <w:rFonts w:ascii="Cambria" w:hAnsi="Cambria"/>
                <w:sz w:val="20"/>
              </w:rPr>
              <w:t>&lt;</w:t>
            </w:r>
            <w:r w:rsidRPr="00967F4B">
              <w:rPr>
                <w:rFonts w:ascii="Cambria" w:hAnsi="Cambria"/>
                <w:spacing w:val="-1"/>
                <w:sz w:val="20"/>
              </w:rPr>
              <w:t xml:space="preserve"> </w:t>
            </w:r>
            <w:r w:rsidRPr="00967F4B">
              <w:rPr>
                <w:rFonts w:ascii="Cambria" w:hAnsi="Cambria"/>
                <w:sz w:val="20"/>
              </w:rPr>
              <w:t>18</w:t>
            </w:r>
            <w:r w:rsidRPr="00967F4B">
              <w:rPr>
                <w:rFonts w:ascii="Cambria" w:hAnsi="Cambria"/>
                <w:spacing w:val="-1"/>
                <w:sz w:val="20"/>
              </w:rPr>
              <w:t xml:space="preserve"> </w:t>
            </w:r>
            <w:r w:rsidRPr="00967F4B">
              <w:rPr>
                <w:rFonts w:ascii="Cambria" w:hAnsi="Cambria"/>
                <w:sz w:val="20"/>
              </w:rPr>
              <w:t>years</w:t>
            </w:r>
          </w:p>
        </w:tc>
        <w:tc>
          <w:tcPr>
            <w:tcW w:w="503" w:type="pct"/>
          </w:tcPr>
          <w:p w14:paraId="1D2D83D1" w14:textId="77777777" w:rsidR="00967F4B" w:rsidRPr="00967F4B" w:rsidRDefault="00967F4B" w:rsidP="007E60B1">
            <w:pPr>
              <w:pStyle w:val="TableParagraph"/>
              <w:spacing w:before="24" w:line="219" w:lineRule="exact"/>
              <w:ind w:right="159"/>
              <w:jc w:val="right"/>
              <w:rPr>
                <w:rFonts w:ascii="Cambria" w:hAnsi="Cambria"/>
                <w:sz w:val="20"/>
              </w:rPr>
            </w:pPr>
            <w:r w:rsidRPr="00967F4B">
              <w:rPr>
                <w:rFonts w:ascii="Cambria" w:hAnsi="Cambria"/>
                <w:sz w:val="20"/>
              </w:rPr>
              <w:t>239</w:t>
            </w:r>
          </w:p>
        </w:tc>
        <w:tc>
          <w:tcPr>
            <w:tcW w:w="595" w:type="pct"/>
          </w:tcPr>
          <w:p w14:paraId="76269CD9" w14:textId="77777777" w:rsidR="00967F4B" w:rsidRPr="00967F4B" w:rsidRDefault="00967F4B" w:rsidP="007E60B1">
            <w:pPr>
              <w:pStyle w:val="TableParagraph"/>
              <w:spacing w:before="24" w:line="219" w:lineRule="exact"/>
              <w:ind w:left="141" w:right="122"/>
              <w:jc w:val="center"/>
              <w:rPr>
                <w:rFonts w:ascii="Cambria" w:hAnsi="Cambria"/>
                <w:sz w:val="20"/>
              </w:rPr>
            </w:pPr>
            <w:r w:rsidRPr="00967F4B">
              <w:rPr>
                <w:rFonts w:ascii="Cambria" w:hAnsi="Cambria"/>
                <w:sz w:val="20"/>
              </w:rPr>
              <w:t>793</w:t>
            </w:r>
          </w:p>
        </w:tc>
        <w:tc>
          <w:tcPr>
            <w:tcW w:w="491" w:type="pct"/>
          </w:tcPr>
          <w:p w14:paraId="425C2C50" w14:textId="77777777" w:rsidR="00967F4B" w:rsidRPr="00967F4B" w:rsidRDefault="00967F4B" w:rsidP="007E60B1">
            <w:pPr>
              <w:pStyle w:val="TableParagraph"/>
              <w:spacing w:before="24" w:line="219" w:lineRule="exact"/>
              <w:ind w:left="137"/>
              <w:rPr>
                <w:rFonts w:ascii="Cambria" w:hAnsi="Cambria"/>
                <w:sz w:val="20"/>
              </w:rPr>
            </w:pPr>
            <w:r w:rsidRPr="00967F4B">
              <w:rPr>
                <w:rFonts w:ascii="Cambria" w:hAnsi="Cambria"/>
                <w:sz w:val="20"/>
              </w:rPr>
              <w:t>342</w:t>
            </w:r>
          </w:p>
        </w:tc>
        <w:tc>
          <w:tcPr>
            <w:tcW w:w="471" w:type="pct"/>
          </w:tcPr>
          <w:p w14:paraId="651CE016" w14:textId="77777777" w:rsidR="00967F4B" w:rsidRPr="00967F4B" w:rsidRDefault="00967F4B" w:rsidP="007E60B1">
            <w:pPr>
              <w:pStyle w:val="TableParagraph"/>
              <w:spacing w:before="24" w:line="219" w:lineRule="exact"/>
              <w:ind w:left="128" w:right="107"/>
              <w:jc w:val="center"/>
              <w:rPr>
                <w:rFonts w:ascii="Cambria" w:hAnsi="Cambria"/>
                <w:sz w:val="20"/>
              </w:rPr>
            </w:pPr>
            <w:r w:rsidRPr="00967F4B">
              <w:rPr>
                <w:rFonts w:ascii="Cambria" w:hAnsi="Cambria"/>
                <w:sz w:val="20"/>
              </w:rPr>
              <w:t>331</w:t>
            </w:r>
          </w:p>
        </w:tc>
        <w:tc>
          <w:tcPr>
            <w:tcW w:w="679" w:type="pct"/>
          </w:tcPr>
          <w:p w14:paraId="1FCDA2D5" w14:textId="77777777" w:rsidR="00967F4B" w:rsidRPr="00967F4B" w:rsidRDefault="00967F4B" w:rsidP="007E60B1">
            <w:pPr>
              <w:pStyle w:val="TableParagraph"/>
              <w:spacing w:before="24" w:line="219" w:lineRule="exact"/>
              <w:ind w:left="105" w:right="98"/>
              <w:jc w:val="center"/>
              <w:rPr>
                <w:rFonts w:ascii="Cambria" w:hAnsi="Cambria"/>
                <w:sz w:val="20"/>
              </w:rPr>
            </w:pPr>
            <w:r w:rsidRPr="00967F4B">
              <w:rPr>
                <w:rFonts w:ascii="Cambria" w:hAnsi="Cambria"/>
                <w:sz w:val="20"/>
              </w:rPr>
              <w:t>712</w:t>
            </w:r>
          </w:p>
        </w:tc>
        <w:tc>
          <w:tcPr>
            <w:tcW w:w="540" w:type="pct"/>
          </w:tcPr>
          <w:p w14:paraId="2EEC7C01" w14:textId="77777777" w:rsidR="00967F4B" w:rsidRPr="00967F4B" w:rsidRDefault="00967F4B" w:rsidP="007E60B1">
            <w:pPr>
              <w:pStyle w:val="TableParagraph"/>
              <w:spacing w:before="24" w:line="219" w:lineRule="exact"/>
              <w:ind w:right="112"/>
              <w:jc w:val="right"/>
              <w:rPr>
                <w:rFonts w:ascii="Cambria" w:hAnsi="Cambria"/>
                <w:sz w:val="20"/>
              </w:rPr>
            </w:pPr>
            <w:r w:rsidRPr="00967F4B">
              <w:rPr>
                <w:rFonts w:ascii="Cambria" w:hAnsi="Cambria"/>
                <w:sz w:val="20"/>
              </w:rPr>
              <w:t>2569</w:t>
            </w:r>
          </w:p>
        </w:tc>
        <w:tc>
          <w:tcPr>
            <w:tcW w:w="532" w:type="pct"/>
          </w:tcPr>
          <w:p w14:paraId="415DF5CD" w14:textId="77777777" w:rsidR="00967F4B" w:rsidRPr="00967F4B" w:rsidRDefault="00967F4B" w:rsidP="007E60B1">
            <w:pPr>
              <w:pStyle w:val="TableParagraph"/>
              <w:spacing w:before="24" w:line="219" w:lineRule="exact"/>
              <w:ind w:left="100" w:right="84"/>
              <w:jc w:val="center"/>
              <w:rPr>
                <w:rFonts w:ascii="Cambria" w:hAnsi="Cambria"/>
                <w:sz w:val="20"/>
              </w:rPr>
            </w:pPr>
            <w:r w:rsidRPr="00967F4B">
              <w:rPr>
                <w:rFonts w:ascii="Cambria" w:hAnsi="Cambria"/>
                <w:sz w:val="20"/>
              </w:rPr>
              <w:t>43.2</w:t>
            </w:r>
          </w:p>
        </w:tc>
      </w:tr>
      <w:tr w:rsidR="00967F4B" w:rsidRPr="00967F4B" w14:paraId="01FBFD2B" w14:textId="77777777" w:rsidTr="00496D02">
        <w:trPr>
          <w:trHeight w:val="263"/>
        </w:trPr>
        <w:tc>
          <w:tcPr>
            <w:tcW w:w="1189" w:type="pct"/>
          </w:tcPr>
          <w:p w14:paraId="6A3CD864" w14:textId="77777777" w:rsidR="00967F4B" w:rsidRPr="00967F4B" w:rsidRDefault="00967F4B" w:rsidP="007E60B1">
            <w:pPr>
              <w:pStyle w:val="TableParagraph"/>
              <w:spacing w:before="24" w:line="219" w:lineRule="exact"/>
              <w:ind w:left="105"/>
              <w:rPr>
                <w:rFonts w:ascii="Cambria" w:hAnsi="Cambria"/>
                <w:sz w:val="20"/>
              </w:rPr>
            </w:pPr>
            <w:r w:rsidRPr="00967F4B">
              <w:rPr>
                <w:rFonts w:ascii="Cambria" w:hAnsi="Cambria"/>
                <w:sz w:val="20"/>
              </w:rPr>
              <w:t>≥</w:t>
            </w:r>
            <w:r w:rsidRPr="00967F4B">
              <w:rPr>
                <w:rFonts w:ascii="Cambria" w:hAnsi="Cambria"/>
                <w:spacing w:val="-2"/>
                <w:sz w:val="20"/>
              </w:rPr>
              <w:t xml:space="preserve"> </w:t>
            </w:r>
            <w:r w:rsidRPr="00967F4B">
              <w:rPr>
                <w:rFonts w:ascii="Cambria" w:hAnsi="Cambria"/>
                <w:sz w:val="20"/>
              </w:rPr>
              <w:t>18</w:t>
            </w:r>
            <w:r w:rsidRPr="00967F4B">
              <w:rPr>
                <w:rFonts w:ascii="Cambria" w:hAnsi="Cambria"/>
                <w:spacing w:val="-1"/>
                <w:sz w:val="20"/>
              </w:rPr>
              <w:t xml:space="preserve"> </w:t>
            </w:r>
            <w:r w:rsidRPr="00967F4B">
              <w:rPr>
                <w:rFonts w:ascii="Cambria" w:hAnsi="Cambria"/>
                <w:sz w:val="20"/>
              </w:rPr>
              <w:t>years</w:t>
            </w:r>
          </w:p>
        </w:tc>
        <w:tc>
          <w:tcPr>
            <w:tcW w:w="503" w:type="pct"/>
          </w:tcPr>
          <w:p w14:paraId="3B466BFD" w14:textId="77777777" w:rsidR="00967F4B" w:rsidRPr="00967F4B" w:rsidRDefault="00967F4B" w:rsidP="007E60B1">
            <w:pPr>
              <w:pStyle w:val="TableParagraph"/>
              <w:spacing w:line="221" w:lineRule="exact"/>
              <w:ind w:right="159"/>
              <w:jc w:val="right"/>
              <w:rPr>
                <w:rFonts w:ascii="Cambria" w:hAnsi="Cambria"/>
                <w:sz w:val="20"/>
              </w:rPr>
            </w:pPr>
            <w:r w:rsidRPr="00967F4B">
              <w:rPr>
                <w:rFonts w:ascii="Cambria" w:hAnsi="Cambria"/>
                <w:sz w:val="20"/>
              </w:rPr>
              <w:t>943</w:t>
            </w:r>
          </w:p>
        </w:tc>
        <w:tc>
          <w:tcPr>
            <w:tcW w:w="595" w:type="pct"/>
          </w:tcPr>
          <w:p w14:paraId="17A9A5D3" w14:textId="77777777" w:rsidR="00967F4B" w:rsidRPr="00967F4B" w:rsidRDefault="00967F4B" w:rsidP="007E60B1">
            <w:pPr>
              <w:pStyle w:val="TableParagraph"/>
              <w:spacing w:line="221" w:lineRule="exact"/>
              <w:ind w:left="141" w:right="122"/>
              <w:jc w:val="center"/>
              <w:rPr>
                <w:rFonts w:ascii="Cambria" w:hAnsi="Cambria"/>
                <w:sz w:val="20"/>
              </w:rPr>
            </w:pPr>
            <w:r w:rsidRPr="00967F4B">
              <w:rPr>
                <w:rFonts w:ascii="Cambria" w:hAnsi="Cambria"/>
                <w:sz w:val="20"/>
              </w:rPr>
              <w:t>763</w:t>
            </w:r>
          </w:p>
        </w:tc>
        <w:tc>
          <w:tcPr>
            <w:tcW w:w="491" w:type="pct"/>
          </w:tcPr>
          <w:p w14:paraId="624B4C1E" w14:textId="77777777" w:rsidR="00967F4B" w:rsidRPr="00967F4B" w:rsidRDefault="00967F4B" w:rsidP="007E60B1">
            <w:pPr>
              <w:pStyle w:val="TableParagraph"/>
              <w:spacing w:line="221" w:lineRule="exact"/>
              <w:ind w:left="137"/>
              <w:rPr>
                <w:rFonts w:ascii="Cambria" w:hAnsi="Cambria"/>
                <w:sz w:val="20"/>
              </w:rPr>
            </w:pPr>
            <w:r w:rsidRPr="00967F4B">
              <w:rPr>
                <w:rFonts w:ascii="Cambria" w:hAnsi="Cambria"/>
                <w:sz w:val="20"/>
              </w:rPr>
              <w:t>329</w:t>
            </w:r>
          </w:p>
        </w:tc>
        <w:tc>
          <w:tcPr>
            <w:tcW w:w="471" w:type="pct"/>
          </w:tcPr>
          <w:p w14:paraId="7DB40B23" w14:textId="77777777" w:rsidR="00967F4B" w:rsidRPr="00967F4B" w:rsidRDefault="00967F4B" w:rsidP="007E60B1">
            <w:pPr>
              <w:pStyle w:val="TableParagraph"/>
              <w:spacing w:line="221" w:lineRule="exact"/>
              <w:ind w:left="128" w:right="107"/>
              <w:jc w:val="center"/>
              <w:rPr>
                <w:rFonts w:ascii="Cambria" w:hAnsi="Cambria"/>
                <w:sz w:val="20"/>
              </w:rPr>
            </w:pPr>
            <w:r w:rsidRPr="00967F4B">
              <w:rPr>
                <w:rFonts w:ascii="Cambria" w:hAnsi="Cambria"/>
                <w:sz w:val="20"/>
              </w:rPr>
              <w:t>204</w:t>
            </w:r>
          </w:p>
        </w:tc>
        <w:tc>
          <w:tcPr>
            <w:tcW w:w="679" w:type="pct"/>
          </w:tcPr>
          <w:p w14:paraId="7F1C41A9" w14:textId="77777777" w:rsidR="00967F4B" w:rsidRPr="00967F4B" w:rsidRDefault="00967F4B" w:rsidP="007E60B1">
            <w:pPr>
              <w:pStyle w:val="TableParagraph"/>
              <w:spacing w:line="221" w:lineRule="exact"/>
              <w:ind w:left="105" w:right="98"/>
              <w:jc w:val="center"/>
              <w:rPr>
                <w:rFonts w:ascii="Cambria" w:hAnsi="Cambria"/>
                <w:sz w:val="20"/>
              </w:rPr>
            </w:pPr>
            <w:r w:rsidRPr="00967F4B">
              <w:rPr>
                <w:rFonts w:ascii="Cambria" w:hAnsi="Cambria"/>
                <w:sz w:val="20"/>
              </w:rPr>
              <w:t>683</w:t>
            </w:r>
          </w:p>
        </w:tc>
        <w:tc>
          <w:tcPr>
            <w:tcW w:w="540" w:type="pct"/>
          </w:tcPr>
          <w:p w14:paraId="7A0FEBA6" w14:textId="77777777" w:rsidR="00967F4B" w:rsidRPr="00967F4B" w:rsidRDefault="00967F4B" w:rsidP="007E60B1">
            <w:pPr>
              <w:pStyle w:val="TableParagraph"/>
              <w:spacing w:line="221" w:lineRule="exact"/>
              <w:ind w:right="112"/>
              <w:jc w:val="right"/>
              <w:rPr>
                <w:rFonts w:ascii="Cambria" w:hAnsi="Cambria"/>
                <w:sz w:val="20"/>
              </w:rPr>
            </w:pPr>
            <w:r w:rsidRPr="00967F4B">
              <w:rPr>
                <w:rFonts w:ascii="Cambria" w:hAnsi="Cambria"/>
                <w:sz w:val="20"/>
              </w:rPr>
              <w:t>3033</w:t>
            </w:r>
          </w:p>
        </w:tc>
        <w:tc>
          <w:tcPr>
            <w:tcW w:w="532" w:type="pct"/>
          </w:tcPr>
          <w:p w14:paraId="4FD037DD" w14:textId="77777777" w:rsidR="00967F4B" w:rsidRPr="00967F4B" w:rsidRDefault="00967F4B" w:rsidP="007E60B1">
            <w:pPr>
              <w:pStyle w:val="TableParagraph"/>
              <w:spacing w:line="221" w:lineRule="exact"/>
              <w:ind w:left="100" w:right="84"/>
              <w:jc w:val="center"/>
              <w:rPr>
                <w:rFonts w:ascii="Cambria" w:hAnsi="Cambria"/>
                <w:sz w:val="20"/>
              </w:rPr>
            </w:pPr>
            <w:r w:rsidRPr="00967F4B">
              <w:rPr>
                <w:rFonts w:ascii="Cambria" w:hAnsi="Cambria"/>
                <w:sz w:val="20"/>
              </w:rPr>
              <w:t>43.1</w:t>
            </w:r>
          </w:p>
        </w:tc>
      </w:tr>
    </w:tbl>
    <w:p w14:paraId="3B2C12F8" w14:textId="4051DF46" w:rsidR="00967F4B" w:rsidRDefault="00967F4B" w:rsidP="003B2C3B">
      <w:pPr>
        <w:pStyle w:val="TableDescription"/>
      </w:pPr>
      <w:r w:rsidRPr="003B2C3B">
        <w:t>*N is the number of observations from all visits, but not the number of subjects.</w:t>
      </w:r>
    </w:p>
    <w:p w14:paraId="1FEF6390" w14:textId="0BC646FD" w:rsidR="002D6A09" w:rsidRPr="003B2C3B" w:rsidRDefault="002D6A09" w:rsidP="003B2C3B">
      <w:pPr>
        <w:pStyle w:val="TableDescription"/>
      </w:pPr>
      <w:r>
        <w:t>CV = coefficient of variation; Max = maximum; Min = minimum; SD = standard deviation.</w:t>
      </w:r>
    </w:p>
    <w:p w14:paraId="24E07E5A" w14:textId="4AEE4905" w:rsidR="00967F4B" w:rsidRPr="005F461C" w:rsidRDefault="00967F4B" w:rsidP="005F461C">
      <w:pPr>
        <w:pStyle w:val="Numberbullet0"/>
        <w:rPr>
          <w:b/>
          <w:i/>
        </w:rPr>
      </w:pPr>
      <w:r w:rsidRPr="005F461C">
        <w:rPr>
          <w:b/>
          <w:i/>
        </w:rPr>
        <w:t xml:space="preserve">The efficacy outcomes of </w:t>
      </w:r>
      <w:r w:rsidR="005F461C" w:rsidRPr="005F461C">
        <w:rPr>
          <w:b/>
          <w:i/>
        </w:rPr>
        <w:t xml:space="preserve">Extension Phase </w:t>
      </w:r>
      <w:r w:rsidRPr="005F461C">
        <w:rPr>
          <w:b/>
          <w:i/>
        </w:rPr>
        <w:t xml:space="preserve">A were described over a time period of eight </w:t>
      </w:r>
      <w:r w:rsidR="005F461C">
        <w:rPr>
          <w:b/>
          <w:i/>
        </w:rPr>
        <w:t>weeks (for example, W</w:t>
      </w:r>
      <w:r w:rsidRPr="005F461C">
        <w:rPr>
          <w:b/>
          <w:i/>
        </w:rPr>
        <w:t xml:space="preserve">eek 40 to 52), which is different </w:t>
      </w:r>
      <w:r w:rsidR="005F461C">
        <w:rPr>
          <w:b/>
          <w:i/>
        </w:rPr>
        <w:t>to the reported outcomes at W</w:t>
      </w:r>
      <w:r w:rsidRPr="005F461C">
        <w:rPr>
          <w:b/>
          <w:i/>
        </w:rPr>
        <w:t xml:space="preserve">eek 23 in the </w:t>
      </w:r>
      <w:r w:rsidR="005F461C">
        <w:rPr>
          <w:b/>
          <w:i/>
        </w:rPr>
        <w:t>core S</w:t>
      </w:r>
      <w:r w:rsidRPr="005F461C">
        <w:rPr>
          <w:b/>
          <w:i/>
        </w:rPr>
        <w:t xml:space="preserve">tudy 311. Hence, it is unable to compare the efficacy outcomes between the </w:t>
      </w:r>
      <w:r w:rsidR="005F461C" w:rsidRPr="005F461C">
        <w:rPr>
          <w:b/>
          <w:i/>
        </w:rPr>
        <w:t xml:space="preserve">Extension Phase </w:t>
      </w:r>
      <w:r w:rsidR="002D6A09">
        <w:rPr>
          <w:b/>
          <w:i/>
        </w:rPr>
        <w:t>and the c</w:t>
      </w:r>
      <w:r w:rsidRPr="005F461C">
        <w:rPr>
          <w:b/>
          <w:i/>
        </w:rPr>
        <w:t>ore study. Please provide ana</w:t>
      </w:r>
      <w:r w:rsidR="005F461C">
        <w:rPr>
          <w:b/>
          <w:i/>
        </w:rPr>
        <w:t>lysis consistent with the core S</w:t>
      </w:r>
      <w:r w:rsidRPr="005F461C">
        <w:rPr>
          <w:b/>
          <w:i/>
        </w:rPr>
        <w:t>tudy 311.</w:t>
      </w:r>
    </w:p>
    <w:p w14:paraId="535C0D66" w14:textId="7105A788" w:rsidR="00967F4B" w:rsidRDefault="00967F4B" w:rsidP="005F461C">
      <w:r w:rsidRPr="005F461C">
        <w:t xml:space="preserve">Tables providing the information requested by the Delegate </w:t>
      </w:r>
      <w:proofErr w:type="gramStart"/>
      <w:r w:rsidRPr="005F461C">
        <w:t>are provided</w:t>
      </w:r>
      <w:proofErr w:type="gramEnd"/>
      <w:r w:rsidR="002D6A09">
        <w:t xml:space="preserve"> below</w:t>
      </w:r>
      <w:r w:rsidRPr="005F461C">
        <w:t>.</w:t>
      </w:r>
    </w:p>
    <w:p w14:paraId="281A62D5" w14:textId="7E34DDC7" w:rsidR="009F658E" w:rsidRDefault="006D4AB5" w:rsidP="006D4AB5">
      <w:pPr>
        <w:pStyle w:val="TableTitle"/>
      </w:pPr>
      <w:bookmarkStart w:id="95" w:name="_Ref67922118"/>
      <w:r>
        <w:lastRenderedPageBreak/>
        <w:t xml:space="preserve">Table </w:t>
      </w:r>
      <w:fldSimple w:instr=" SEQ Table \* ARABIC ">
        <w:r w:rsidR="004C6771">
          <w:rPr>
            <w:noProof/>
          </w:rPr>
          <w:t>23</w:t>
        </w:r>
      </w:fldSimple>
      <w:bookmarkEnd w:id="95"/>
      <w:r>
        <w:t>: Seizure frequency per 28 days and percent change during treatment summary for age cohort by each disease cohort, Full Analysis Set</w:t>
      </w:r>
    </w:p>
    <w:p w14:paraId="73B35B56" w14:textId="1EA709F4" w:rsidR="009F658E" w:rsidRDefault="009F658E" w:rsidP="009F658E">
      <w:pPr>
        <w:spacing w:before="0" w:after="0" w:line="0" w:lineRule="atLeast"/>
      </w:pPr>
      <w:r>
        <w:rPr>
          <w:noProof/>
          <w:lang w:eastAsia="en-AU"/>
        </w:rPr>
        <w:drawing>
          <wp:inline distT="0" distB="0" distL="0" distR="0" wp14:anchorId="129AB1AE" wp14:editId="257F0002">
            <wp:extent cx="4742597" cy="7895497"/>
            <wp:effectExtent l="0" t="0" r="1270" b="0"/>
            <wp:docPr id="30" name="Picture 30" descr="Seizure frequency per 28 days and percent change during treatment summary for age cohort by each disease cohort,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48778" cy="7905786"/>
                    </a:xfrm>
                    <a:prstGeom prst="rect">
                      <a:avLst/>
                    </a:prstGeom>
                  </pic:spPr>
                </pic:pic>
              </a:graphicData>
            </a:graphic>
          </wp:inline>
        </w:drawing>
      </w:r>
    </w:p>
    <w:p w14:paraId="0935909D" w14:textId="6FC57B9A" w:rsidR="006D4AB5" w:rsidRDefault="006D4AB5" w:rsidP="006D4AB5">
      <w:pPr>
        <w:pStyle w:val="TableTitle"/>
      </w:pPr>
      <w:r>
        <w:lastRenderedPageBreak/>
        <w:fldChar w:fldCharType="begin"/>
      </w:r>
      <w:r>
        <w:instrText xml:space="preserve"> REF _Ref67922118 \h  \* MERGEFORMAT </w:instrText>
      </w:r>
      <w:r>
        <w:fldChar w:fldCharType="separate"/>
      </w:r>
      <w:r w:rsidR="004C6771">
        <w:t xml:space="preserve">Table </w:t>
      </w:r>
      <w:r w:rsidR="004C6771">
        <w:rPr>
          <w:noProof/>
        </w:rPr>
        <w:t>23</w:t>
      </w:r>
      <w:r>
        <w:fldChar w:fldCharType="end"/>
      </w:r>
      <w:r>
        <w:t xml:space="preserve"> (continued): Seizure frequency per 28 days and percent change during treatment summary for age cohort by each disease cohort, Full Analysis Set</w:t>
      </w:r>
    </w:p>
    <w:p w14:paraId="6B2E2C38" w14:textId="295FFC63" w:rsidR="009F658E" w:rsidRDefault="009F658E" w:rsidP="009F658E">
      <w:pPr>
        <w:spacing w:before="0" w:after="0" w:line="0" w:lineRule="atLeast"/>
      </w:pPr>
      <w:r>
        <w:rPr>
          <w:noProof/>
          <w:lang w:eastAsia="en-AU"/>
        </w:rPr>
        <w:drawing>
          <wp:inline distT="0" distB="0" distL="0" distR="0" wp14:anchorId="1AB7EC40" wp14:editId="21121803">
            <wp:extent cx="4599296" cy="7600955"/>
            <wp:effectExtent l="0" t="0" r="0" b="0"/>
            <wp:docPr id="36" name="Picture 36" descr="Seizure frequency per 28 days and percent change during treatment summary for age cohort by each disease cohort,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24057" cy="7641876"/>
                    </a:xfrm>
                    <a:prstGeom prst="rect">
                      <a:avLst/>
                    </a:prstGeom>
                  </pic:spPr>
                </pic:pic>
              </a:graphicData>
            </a:graphic>
          </wp:inline>
        </w:drawing>
      </w:r>
    </w:p>
    <w:p w14:paraId="51FF525A" w14:textId="23F46188" w:rsidR="009F658E" w:rsidRDefault="009F658E" w:rsidP="002D6A09">
      <w:pPr>
        <w:pStyle w:val="TableDescription"/>
      </w:pPr>
      <w:r>
        <w:t>Total POS seizures = all POS seizures, including simple partial seizures without motor signs, simple partial seizures with motor signs, complex partial seizures and complex partial s</w:t>
      </w:r>
      <w:r w:rsidR="002D6A09">
        <w:t>eizures with secondary generalis</w:t>
      </w:r>
      <w:r>
        <w:t>ation.</w:t>
      </w:r>
    </w:p>
    <w:p w14:paraId="714E51A8" w14:textId="6071C935" w:rsidR="002D6A09" w:rsidRDefault="009E3E86" w:rsidP="002D6A09">
      <w:pPr>
        <w:pStyle w:val="TableDescription"/>
      </w:pPr>
      <w:r>
        <w:t xml:space="preserve">CI = confidence interval; </w:t>
      </w:r>
      <w:r w:rsidR="002D6A09">
        <w:t>Max = maximum; Min = minimum; PGTC = primary generalised tonic-clonic; POS = partial-onset seizure; SD = standard deviation; SGTC = secondarily generalised tonic-clonic.</w:t>
      </w:r>
    </w:p>
    <w:p w14:paraId="106117AE" w14:textId="486DDAB0" w:rsidR="006D4AB5" w:rsidRDefault="006D4AB5" w:rsidP="006D4AB5">
      <w:pPr>
        <w:pStyle w:val="TableTitle"/>
      </w:pPr>
      <w:r>
        <w:lastRenderedPageBreak/>
        <w:t xml:space="preserve">Table </w:t>
      </w:r>
      <w:fldSimple w:instr=" SEQ Table \* ARABIC ">
        <w:r w:rsidR="004C6771">
          <w:rPr>
            <w:noProof/>
          </w:rPr>
          <w:t>24</w:t>
        </w:r>
      </w:fldSimple>
      <w:r>
        <w:t xml:space="preserve">: </w:t>
      </w:r>
      <w:proofErr w:type="gramStart"/>
      <w:r>
        <w:t>50%</w:t>
      </w:r>
      <w:proofErr w:type="gramEnd"/>
      <w:r>
        <w:t xml:space="preserve"> responder rate during maintenance-last observation carried forward for age cohort by each disease cohort, Full Analysis Set</w:t>
      </w:r>
    </w:p>
    <w:p w14:paraId="086ADD4B" w14:textId="74918A28" w:rsidR="009F658E" w:rsidRDefault="006D4AB5" w:rsidP="006D4AB5">
      <w:pPr>
        <w:spacing w:before="0" w:after="0" w:line="0" w:lineRule="atLeast"/>
      </w:pPr>
      <w:r>
        <w:rPr>
          <w:noProof/>
          <w:lang w:eastAsia="en-AU"/>
        </w:rPr>
        <w:drawing>
          <wp:inline distT="0" distB="0" distL="0" distR="0" wp14:anchorId="28E707A3" wp14:editId="17B34160">
            <wp:extent cx="5400040" cy="7925435"/>
            <wp:effectExtent l="0" t="0" r="0" b="0"/>
            <wp:docPr id="44" name="Picture 44" descr="50% responder rate during maintenance-last observation carried forward for age cohort by each disease cohort,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00040" cy="7925435"/>
                    </a:xfrm>
                    <a:prstGeom prst="rect">
                      <a:avLst/>
                    </a:prstGeom>
                  </pic:spPr>
                </pic:pic>
              </a:graphicData>
            </a:graphic>
          </wp:inline>
        </w:drawing>
      </w:r>
    </w:p>
    <w:p w14:paraId="025E8E29" w14:textId="2F0CD1C7" w:rsidR="006D4AB5" w:rsidRDefault="006D4AB5" w:rsidP="006D4AB5">
      <w:pPr>
        <w:pStyle w:val="TableTitle"/>
      </w:pPr>
      <w:r>
        <w:lastRenderedPageBreak/>
        <w:t xml:space="preserve">Table </w:t>
      </w:r>
      <w:fldSimple w:instr=" SEQ Table \* ARABIC ">
        <w:r w:rsidR="004C6771">
          <w:rPr>
            <w:noProof/>
          </w:rPr>
          <w:t>25</w:t>
        </w:r>
      </w:fldSimple>
      <w:r>
        <w:t>: Seizure free rate during maintenance for age cohort by each disease cohort, Full Analysis Set</w:t>
      </w:r>
    </w:p>
    <w:p w14:paraId="0A30CEE2" w14:textId="0CC8F9D4" w:rsidR="006D4AB5" w:rsidRDefault="006D4AB5" w:rsidP="006D4AB5">
      <w:pPr>
        <w:spacing w:before="0" w:after="0" w:line="0" w:lineRule="atLeast"/>
      </w:pPr>
      <w:r>
        <w:rPr>
          <w:noProof/>
          <w:lang w:eastAsia="en-AU"/>
        </w:rPr>
        <w:drawing>
          <wp:inline distT="0" distB="0" distL="0" distR="0" wp14:anchorId="27DC71FD" wp14:editId="42E98F47">
            <wp:extent cx="5400040" cy="7949565"/>
            <wp:effectExtent l="0" t="0" r="0" b="0"/>
            <wp:docPr id="47" name="Picture 47" descr="Seizure free rate during maintenance for age cohort by each disease cohort,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00040" cy="7949565"/>
                    </a:xfrm>
                    <a:prstGeom prst="rect">
                      <a:avLst/>
                    </a:prstGeom>
                  </pic:spPr>
                </pic:pic>
              </a:graphicData>
            </a:graphic>
          </wp:inline>
        </w:drawing>
      </w:r>
    </w:p>
    <w:p w14:paraId="1524F570" w14:textId="79C455E1" w:rsidR="002D6A09" w:rsidRPr="005F461C" w:rsidRDefault="002D6A09" w:rsidP="002D6A09">
      <w:pPr>
        <w:pStyle w:val="TableDescription"/>
      </w:pPr>
      <w:r>
        <w:t>IGE = i</w:t>
      </w:r>
      <w:r w:rsidRPr="000440E8">
        <w:t>dio</w:t>
      </w:r>
      <w:r>
        <w:t xml:space="preserve">pathic generalised </w:t>
      </w:r>
      <w:proofErr w:type="gramStart"/>
      <w:r>
        <w:t>epilepsy ;</w:t>
      </w:r>
      <w:proofErr w:type="gramEnd"/>
      <w:r>
        <w:t xml:space="preserve"> PGTC = primary generalised tonic-clonic; POS = partial-onset seizure; SD = standard deviation; SGTC = secondarily generalised tonic-clonic.</w:t>
      </w:r>
    </w:p>
    <w:p w14:paraId="0D7ADF92" w14:textId="28A90C2F" w:rsidR="00967F4B" w:rsidRPr="00C61207" w:rsidRDefault="006D4AB5" w:rsidP="00C61207">
      <w:pPr>
        <w:pStyle w:val="Numberbullet0"/>
        <w:rPr>
          <w:b/>
          <w:i/>
        </w:rPr>
      </w:pPr>
      <w:r>
        <w:rPr>
          <w:b/>
          <w:i/>
        </w:rPr>
        <w:lastRenderedPageBreak/>
        <w:t>The D</w:t>
      </w:r>
      <w:r w:rsidR="00967F4B" w:rsidRPr="00C61207">
        <w:rPr>
          <w:b/>
          <w:i/>
        </w:rPr>
        <w:t xml:space="preserve">elegate has noted that the Cognitive Drug Research (CDR) System Global Cognition Score </w:t>
      </w:r>
      <w:proofErr w:type="gramStart"/>
      <w:r w:rsidR="00967F4B" w:rsidRPr="00C61207">
        <w:rPr>
          <w:b/>
          <w:i/>
        </w:rPr>
        <w:t>was used</w:t>
      </w:r>
      <w:proofErr w:type="gramEnd"/>
      <w:r w:rsidR="00967F4B" w:rsidRPr="00C61207">
        <w:rPr>
          <w:b/>
          <w:i/>
        </w:rPr>
        <w:t xml:space="preserve"> in studies with perampanel in adolescents that assessed the</w:t>
      </w:r>
      <w:r w:rsidR="00C61207" w:rsidRPr="00C61207">
        <w:rPr>
          <w:b/>
          <w:i/>
        </w:rPr>
        <w:t xml:space="preserve"> </w:t>
      </w:r>
      <w:r w:rsidR="00967F4B" w:rsidRPr="00C61207">
        <w:rPr>
          <w:b/>
          <w:i/>
        </w:rPr>
        <w:t>treatment-r</w:t>
      </w:r>
      <w:r w:rsidR="00EE33B4">
        <w:rPr>
          <w:b/>
          <w:i/>
        </w:rPr>
        <w:t>elated effects on cognition</w:t>
      </w:r>
      <w:r w:rsidR="00967F4B" w:rsidRPr="00C61207">
        <w:rPr>
          <w:b/>
          <w:i/>
        </w:rPr>
        <w:t xml:space="preserve">. Please clarify why this measure </w:t>
      </w:r>
      <w:proofErr w:type="gramStart"/>
      <w:r w:rsidR="00967F4B" w:rsidRPr="00C61207">
        <w:rPr>
          <w:b/>
          <w:i/>
        </w:rPr>
        <w:t>was not used</w:t>
      </w:r>
      <w:proofErr w:type="gramEnd"/>
      <w:r w:rsidR="00C61207" w:rsidRPr="00C61207">
        <w:rPr>
          <w:b/>
          <w:i/>
        </w:rPr>
        <w:t xml:space="preserve"> </w:t>
      </w:r>
      <w:r w:rsidR="00EE33B4">
        <w:rPr>
          <w:b/>
          <w:i/>
        </w:rPr>
        <w:t>in the patient population in S</w:t>
      </w:r>
      <w:r w:rsidR="00967F4B" w:rsidRPr="00C61207">
        <w:rPr>
          <w:b/>
          <w:i/>
        </w:rPr>
        <w:t>tudy 311, instead of the ABNAS scores.</w:t>
      </w:r>
    </w:p>
    <w:p w14:paraId="3DDF8B87" w14:textId="29D19E19" w:rsidR="00967F4B" w:rsidRPr="002D6A09" w:rsidRDefault="00967F4B" w:rsidP="002D6A09">
      <w:r w:rsidRPr="002D6A09">
        <w:t xml:space="preserve">The original concept of Study 311 design included a proposal to use CDR for the assessment of perampanel treatment effect on cognition. However, it was identified that CDR is validated for subjects 6 years old and above </w:t>
      </w:r>
      <w:proofErr w:type="gramStart"/>
      <w:r w:rsidRPr="002D6A09">
        <w:t>only,</w:t>
      </w:r>
      <w:proofErr w:type="gramEnd"/>
      <w:r w:rsidRPr="002D6A09">
        <w:t xml:space="preserve"> and thus cannot be used for children younger than 6 years of age. Therefore, the Vineland </w:t>
      </w:r>
      <w:r w:rsidR="00EE33B4" w:rsidRPr="002D6A09">
        <w:t xml:space="preserve">Adaptive Behaviour Scale </w:t>
      </w:r>
      <w:r w:rsidRPr="002D6A09">
        <w:t xml:space="preserve">(VABS; validated for birth to 90 years of age) was initially selected to replace CDR. However, as the VABS is about 30 pages long with multiple data points, it has poor acceptance by the patient, caregiver, and site staff owing to the administrative complexity of the scale. The logistics and burden of administering the scale was an important consideration in the study given the nature of the disease and the age of study population. The ABNAS assessment </w:t>
      </w:r>
      <w:proofErr w:type="gramStart"/>
      <w:r w:rsidRPr="002D6A09">
        <w:t>was subsequently selected</w:t>
      </w:r>
      <w:proofErr w:type="gramEnd"/>
      <w:r w:rsidRPr="002D6A09">
        <w:t xml:space="preserve"> as the preferred method due to its reduced burden on patients and caregivers, as well as the perceived advantage of ease of administration. It </w:t>
      </w:r>
      <w:proofErr w:type="gramStart"/>
      <w:r w:rsidRPr="002D6A09">
        <w:t>was anticipated</w:t>
      </w:r>
      <w:proofErr w:type="gramEnd"/>
      <w:r w:rsidRPr="002D6A09">
        <w:t xml:space="preserve"> that this would result in greater compliance during data collection during the study.</w:t>
      </w:r>
    </w:p>
    <w:p w14:paraId="43F88951" w14:textId="3E58001D" w:rsidR="00967F4B" w:rsidRPr="00967F4B" w:rsidRDefault="00967F4B" w:rsidP="00967F4B">
      <w:pPr>
        <w:pStyle w:val="Numberbullet0"/>
        <w:rPr>
          <w:b/>
          <w:i/>
        </w:rPr>
      </w:pPr>
      <w:r w:rsidRPr="00967F4B">
        <w:rPr>
          <w:b/>
          <w:i/>
        </w:rPr>
        <w:t xml:space="preserve">Please </w:t>
      </w:r>
      <w:proofErr w:type="gramStart"/>
      <w:r w:rsidRPr="00967F4B">
        <w:rPr>
          <w:b/>
          <w:i/>
        </w:rPr>
        <w:t>state which studies the sponsor</w:t>
      </w:r>
      <w:proofErr w:type="gramEnd"/>
      <w:r w:rsidRPr="00967F4B">
        <w:rPr>
          <w:b/>
          <w:i/>
        </w:rPr>
        <w:t xml:space="preserve"> </w:t>
      </w:r>
      <w:r w:rsidR="00EE33B4">
        <w:rPr>
          <w:b/>
          <w:i/>
        </w:rPr>
        <w:t xml:space="preserve">is </w:t>
      </w:r>
      <w:r w:rsidRPr="00967F4B">
        <w:rPr>
          <w:b/>
          <w:i/>
        </w:rPr>
        <w:t>referring to for the changes in the PI: adults</w:t>
      </w:r>
      <w:r w:rsidRPr="00967F4B">
        <w:rPr>
          <w:b/>
          <w:i/>
          <w:spacing w:val="1"/>
        </w:rPr>
        <w:t xml:space="preserve"> </w:t>
      </w:r>
      <w:r w:rsidRPr="00967F4B">
        <w:rPr>
          <w:b/>
          <w:i/>
        </w:rPr>
        <w:t>with</w:t>
      </w:r>
      <w:r w:rsidRPr="00967F4B">
        <w:rPr>
          <w:b/>
          <w:i/>
          <w:spacing w:val="-3"/>
        </w:rPr>
        <w:t xml:space="preserve"> </w:t>
      </w:r>
      <w:r w:rsidRPr="00967F4B">
        <w:rPr>
          <w:b/>
          <w:i/>
        </w:rPr>
        <w:t>Parkinson’s</w:t>
      </w:r>
      <w:r w:rsidRPr="00967F4B">
        <w:rPr>
          <w:b/>
          <w:i/>
          <w:spacing w:val="-3"/>
        </w:rPr>
        <w:t xml:space="preserve"> </w:t>
      </w:r>
      <w:r w:rsidRPr="00967F4B">
        <w:rPr>
          <w:b/>
          <w:i/>
        </w:rPr>
        <w:t>disease,</w:t>
      </w:r>
      <w:r w:rsidRPr="00967F4B">
        <w:rPr>
          <w:b/>
          <w:i/>
          <w:spacing w:val="-2"/>
        </w:rPr>
        <w:t xml:space="preserve"> </w:t>
      </w:r>
      <w:r w:rsidRPr="00967F4B">
        <w:rPr>
          <w:b/>
          <w:i/>
        </w:rPr>
        <w:t>adults</w:t>
      </w:r>
      <w:r w:rsidRPr="00967F4B">
        <w:rPr>
          <w:b/>
          <w:i/>
          <w:spacing w:val="-3"/>
        </w:rPr>
        <w:t xml:space="preserve"> </w:t>
      </w:r>
      <w:r w:rsidRPr="00967F4B">
        <w:rPr>
          <w:b/>
          <w:i/>
        </w:rPr>
        <w:t>with</w:t>
      </w:r>
      <w:r w:rsidRPr="00967F4B">
        <w:rPr>
          <w:b/>
          <w:i/>
          <w:spacing w:val="-2"/>
        </w:rPr>
        <w:t xml:space="preserve"> </w:t>
      </w:r>
      <w:r w:rsidRPr="00967F4B">
        <w:rPr>
          <w:b/>
          <w:i/>
        </w:rPr>
        <w:t>diabetic</w:t>
      </w:r>
      <w:r w:rsidRPr="00967F4B">
        <w:rPr>
          <w:b/>
          <w:i/>
          <w:spacing w:val="-3"/>
        </w:rPr>
        <w:t xml:space="preserve"> </w:t>
      </w:r>
      <w:r w:rsidRPr="00967F4B">
        <w:rPr>
          <w:b/>
          <w:i/>
        </w:rPr>
        <w:t>neuropathy,</w:t>
      </w:r>
      <w:r w:rsidRPr="00967F4B">
        <w:rPr>
          <w:b/>
          <w:i/>
          <w:spacing w:val="-3"/>
        </w:rPr>
        <w:t xml:space="preserve"> </w:t>
      </w:r>
      <w:r w:rsidRPr="00967F4B">
        <w:rPr>
          <w:b/>
          <w:i/>
        </w:rPr>
        <w:t>adults</w:t>
      </w:r>
      <w:r w:rsidRPr="00967F4B">
        <w:rPr>
          <w:b/>
          <w:i/>
          <w:spacing w:val="-2"/>
        </w:rPr>
        <w:t xml:space="preserve"> </w:t>
      </w:r>
      <w:r w:rsidRPr="00967F4B">
        <w:rPr>
          <w:b/>
          <w:i/>
        </w:rPr>
        <w:t>with</w:t>
      </w:r>
      <w:r w:rsidRPr="00967F4B">
        <w:rPr>
          <w:b/>
          <w:i/>
          <w:spacing w:val="-3"/>
        </w:rPr>
        <w:t xml:space="preserve"> </w:t>
      </w:r>
      <w:r w:rsidRPr="00967F4B">
        <w:rPr>
          <w:b/>
          <w:i/>
        </w:rPr>
        <w:t>multiple</w:t>
      </w:r>
      <w:r w:rsidRPr="00967F4B">
        <w:rPr>
          <w:b/>
          <w:i/>
          <w:spacing w:val="-2"/>
        </w:rPr>
        <w:t xml:space="preserve"> </w:t>
      </w:r>
      <w:r w:rsidRPr="00967F4B">
        <w:rPr>
          <w:b/>
          <w:i/>
        </w:rPr>
        <w:t>sclerosis,</w:t>
      </w:r>
      <w:r w:rsidRPr="00967F4B">
        <w:rPr>
          <w:b/>
          <w:i/>
          <w:spacing w:val="-57"/>
        </w:rPr>
        <w:t xml:space="preserve"> </w:t>
      </w:r>
      <w:r w:rsidRPr="00967F4B">
        <w:rPr>
          <w:b/>
          <w:i/>
        </w:rPr>
        <w:t>and</w:t>
      </w:r>
      <w:r w:rsidRPr="00967F4B">
        <w:rPr>
          <w:b/>
          <w:i/>
          <w:spacing w:val="2"/>
        </w:rPr>
        <w:t xml:space="preserve"> </w:t>
      </w:r>
      <w:r w:rsidRPr="00967F4B">
        <w:rPr>
          <w:b/>
          <w:i/>
        </w:rPr>
        <w:t>where it has been included in the</w:t>
      </w:r>
      <w:r w:rsidRPr="00967F4B">
        <w:rPr>
          <w:b/>
          <w:i/>
          <w:spacing w:val="-1"/>
        </w:rPr>
        <w:t xml:space="preserve"> </w:t>
      </w:r>
      <w:r w:rsidRPr="00967F4B">
        <w:rPr>
          <w:b/>
          <w:i/>
        </w:rPr>
        <w:t>dossier.</w:t>
      </w:r>
    </w:p>
    <w:p w14:paraId="30B8C902" w14:textId="3415C496" w:rsidR="00967F4B" w:rsidRPr="009E3E86" w:rsidRDefault="00967F4B" w:rsidP="009E3E86">
      <w:r w:rsidRPr="009E3E86">
        <w:t xml:space="preserve">The studies mentioned in Section 5.2 of the PI </w:t>
      </w:r>
      <w:proofErr w:type="gramStart"/>
      <w:r w:rsidRPr="009E3E86">
        <w:t>were conducted</w:t>
      </w:r>
      <w:proofErr w:type="gramEnd"/>
      <w:r w:rsidRPr="009E3E86">
        <w:t xml:space="preserve"> in the past when perampanel was investigated as a potential treatment option for neurological conditions including Parkinson’s disease, diabetic neuropathy, and multiple sclerosis. However, those investigational programs </w:t>
      </w:r>
      <w:proofErr w:type="gramStart"/>
      <w:r w:rsidRPr="009E3E86">
        <w:t>were terminated</w:t>
      </w:r>
      <w:proofErr w:type="gramEnd"/>
      <w:r w:rsidRPr="009E3E86">
        <w:t xml:space="preserve"> and no marketing authorisation applications were sought. As a result, those study data </w:t>
      </w:r>
      <w:proofErr w:type="gramStart"/>
      <w:r w:rsidRPr="009E3E86">
        <w:t>have not been submitted</w:t>
      </w:r>
      <w:proofErr w:type="gramEnd"/>
      <w:r w:rsidRPr="009E3E86">
        <w:t xml:space="preserve"> to the TGA. The wording was updated in the </w:t>
      </w:r>
      <w:r w:rsidR="00EE33B4" w:rsidRPr="009E3E86">
        <w:t>[response to TGA questions]</w:t>
      </w:r>
      <w:r w:rsidRPr="009E3E86">
        <w:t xml:space="preserve"> to align with the </w:t>
      </w:r>
      <w:r w:rsidR="00EE33B4" w:rsidRPr="009E3E86">
        <w:t>Summary of Product Characteristics</w:t>
      </w:r>
      <w:r w:rsidRPr="009E3E86">
        <w:t xml:space="preserve"> for consistency; however, if the TGA would prefer this information not to be included and the existing approved wording for this section to be retained, this proposed change will be reverted.</w:t>
      </w:r>
    </w:p>
    <w:p w14:paraId="3C0430BC" w14:textId="77777777" w:rsidR="00967F4B" w:rsidRPr="00EE33B4" w:rsidRDefault="00967F4B" w:rsidP="00EE33B4">
      <w:pPr>
        <w:pStyle w:val="Numberbullet0"/>
        <w:rPr>
          <w:b/>
          <w:i/>
        </w:rPr>
      </w:pPr>
      <w:r w:rsidRPr="00EE33B4">
        <w:rPr>
          <w:b/>
          <w:i/>
        </w:rPr>
        <w:t xml:space="preserve">Please update on the registry that has been recommended by the EMA </w:t>
      </w:r>
      <w:proofErr w:type="gramStart"/>
      <w:r w:rsidRPr="00EE33B4">
        <w:rPr>
          <w:b/>
          <w:i/>
        </w:rPr>
        <w:t>and also</w:t>
      </w:r>
      <w:proofErr w:type="gramEnd"/>
      <w:r w:rsidRPr="00EE33B4">
        <w:rPr>
          <w:b/>
          <w:i/>
        </w:rPr>
        <w:t xml:space="preserve"> please clarify whether it has been included in the EU RMP.</w:t>
      </w:r>
    </w:p>
    <w:p w14:paraId="07CE826E" w14:textId="24A5A877" w:rsidR="00967F4B" w:rsidRPr="00FE5D2F" w:rsidRDefault="00EE33B4" w:rsidP="00EE33B4">
      <w:r>
        <w:t>The sponsor</w:t>
      </w:r>
      <w:r w:rsidR="00967F4B" w:rsidRPr="00FE5D2F">
        <w:t xml:space="preserve"> notes the </w:t>
      </w:r>
      <w:r>
        <w:t>comment of the Delegate where they state ‘</w:t>
      </w:r>
      <w:r w:rsidR="00967F4B" w:rsidRPr="00FE5D2F">
        <w:t>EMA has requested the sponsor to provide data related to these long-term issues and to consider the implementation of a prospective disease based registry to gather relevant long-term safety data.</w:t>
      </w:r>
      <w:r w:rsidR="003B4E5B">
        <w:fldChar w:fldCharType="begin"/>
      </w:r>
      <w:r w:rsidR="003B4E5B">
        <w:instrText xml:space="preserve"> NOTEREF _Ref67923046 \f \h </w:instrText>
      </w:r>
      <w:r w:rsidR="003B4E5B">
        <w:fldChar w:fldCharType="separate"/>
      </w:r>
      <w:r w:rsidR="004C6771" w:rsidRPr="004C6771">
        <w:rPr>
          <w:rStyle w:val="FootnoteReference"/>
        </w:rPr>
        <w:t>30</w:t>
      </w:r>
      <w:r w:rsidR="003B4E5B">
        <w:fldChar w:fldCharType="end"/>
      </w:r>
      <w:r w:rsidR="00967F4B" w:rsidRPr="00FE5D2F">
        <w:t xml:space="preserve"> The sponsor </w:t>
      </w:r>
      <w:proofErr w:type="gramStart"/>
      <w:r w:rsidR="00967F4B" w:rsidRPr="00FE5D2F">
        <w:t>is requested</w:t>
      </w:r>
      <w:proofErr w:type="gramEnd"/>
      <w:r w:rsidR="00967F4B" w:rsidRPr="00FE5D2F">
        <w:t xml:space="preserve"> to update whether children in Australia will be included in the registry. Also, to confirm whether the registry wi</w:t>
      </w:r>
      <w:r>
        <w:t>ll be part of the proposed RMP.’</w:t>
      </w:r>
    </w:p>
    <w:p w14:paraId="186E592E" w14:textId="58A0B02B" w:rsidR="00967F4B" w:rsidRDefault="00EE33B4" w:rsidP="00EE33B4">
      <w:r>
        <w:t>The sponsor</w:t>
      </w:r>
      <w:r w:rsidR="00967F4B" w:rsidRPr="00FE5D2F">
        <w:t xml:space="preserve"> advises the TGA that at the conclusion of the evaluation of the application in the EU, no registry or additional clinical study </w:t>
      </w:r>
      <w:proofErr w:type="gramStart"/>
      <w:r w:rsidR="00967F4B" w:rsidRPr="00FE5D2F">
        <w:t>was required</w:t>
      </w:r>
      <w:proofErr w:type="gramEnd"/>
      <w:r w:rsidR="00967F4B" w:rsidRPr="00FE5D2F">
        <w:t xml:space="preserve"> by the EMA.</w:t>
      </w:r>
    </w:p>
    <w:p w14:paraId="2793549A" w14:textId="3471A9C5" w:rsidR="003B4E5B" w:rsidRPr="00FE5D2F" w:rsidRDefault="003B4E5B" w:rsidP="00EE33B4">
      <w:r>
        <w:t>[The sponsor referred the Delegate to relevant sections of the EMA evaluation report – information redacted].</w:t>
      </w:r>
    </w:p>
    <w:p w14:paraId="5C5FFB6C" w14:textId="6D4DEA76" w:rsidR="00967F4B" w:rsidRPr="00FE5D2F" w:rsidRDefault="00967F4B" w:rsidP="00EE33B4">
      <w:r w:rsidRPr="00FE5D2F">
        <w:t xml:space="preserve">The EMA conclusion was that a further study </w:t>
      </w:r>
      <w:proofErr w:type="gramStart"/>
      <w:r w:rsidRPr="00FE5D2F">
        <w:t>was not warranted</w:t>
      </w:r>
      <w:proofErr w:type="gramEnd"/>
      <w:r w:rsidRPr="00FE5D2F">
        <w:t>, but safety should be monitored in the ongoing Study 236 and 238 and in future PSURs.</w:t>
      </w:r>
      <w:r w:rsidR="003B4E5B">
        <w:fldChar w:fldCharType="begin"/>
      </w:r>
      <w:r w:rsidR="003B4E5B">
        <w:instrText xml:space="preserve"> NOTEREF _Ref67923209 \f \h </w:instrText>
      </w:r>
      <w:r w:rsidR="003B4E5B">
        <w:fldChar w:fldCharType="separate"/>
      </w:r>
      <w:r w:rsidR="004C6771" w:rsidRPr="004C6771">
        <w:rPr>
          <w:rStyle w:val="FootnoteReference"/>
        </w:rPr>
        <w:t>9</w:t>
      </w:r>
      <w:r w:rsidR="003B4E5B">
        <w:fldChar w:fldCharType="end"/>
      </w:r>
    </w:p>
    <w:p w14:paraId="693D4389" w14:textId="77777777" w:rsidR="008E7846" w:rsidRDefault="008E7846" w:rsidP="007D53B6">
      <w:pPr>
        <w:pStyle w:val="Heading4"/>
      </w:pPr>
      <w:bookmarkStart w:id="96" w:name="_Ref67916138"/>
      <w:r>
        <w:lastRenderedPageBreak/>
        <w:t xml:space="preserve">Advisory Committee </w:t>
      </w:r>
      <w:r w:rsidR="007D53B6">
        <w:t>c</w:t>
      </w:r>
      <w:r>
        <w:t>onsiderations</w:t>
      </w:r>
      <w:r w:rsidR="00456765">
        <w:rPr>
          <w:rStyle w:val="FootnoteReference"/>
        </w:rPr>
        <w:footnoteReference w:id="31"/>
      </w:r>
      <w:bookmarkEnd w:id="96"/>
    </w:p>
    <w:p w14:paraId="6E54CEC9" w14:textId="77777777" w:rsidR="00744121" w:rsidRDefault="00744121" w:rsidP="00744121">
      <w:pPr>
        <w:rPr>
          <w:bCs/>
        </w:rPr>
      </w:pPr>
      <w:bookmarkStart w:id="97" w:name="_Toc247691532"/>
      <w:bookmarkStart w:id="98" w:name="_Toc314842516"/>
      <w:bookmarkEnd w:id="35"/>
      <w:bookmarkEnd w:id="86"/>
      <w:bookmarkEnd w:id="87"/>
      <w:r w:rsidRPr="00456765">
        <w:rPr>
          <w:bCs/>
        </w:rPr>
        <w:t>The Advisory Committee on Medicines (ACM), having considered the evaluations and the Delegate’s overview, as well as the sponsor’s response to these documents, advised the following</w:t>
      </w:r>
      <w:r>
        <w:rPr>
          <w:bCs/>
        </w:rPr>
        <w:t>.</w:t>
      </w:r>
    </w:p>
    <w:p w14:paraId="468DE410" w14:textId="77777777" w:rsidR="00744121" w:rsidRDefault="00744121" w:rsidP="00744121">
      <w:pPr>
        <w:pStyle w:val="Heading5"/>
      </w:pPr>
      <w:r>
        <w:t>Specific advice to the Delegate</w:t>
      </w:r>
    </w:p>
    <w:p w14:paraId="4C731B25" w14:textId="27E6014C" w:rsidR="00DE5FE0" w:rsidRPr="00BF22F4" w:rsidRDefault="00DE5FE0" w:rsidP="00DE5FE0">
      <w:pPr>
        <w:pStyle w:val="Numberbullet0"/>
        <w:numPr>
          <w:ilvl w:val="0"/>
          <w:numId w:val="45"/>
        </w:numPr>
        <w:rPr>
          <w:rFonts w:asciiTheme="minorHAnsi" w:hAnsiTheme="minorHAnsi"/>
          <w:b/>
          <w:i/>
        </w:rPr>
      </w:pPr>
      <w:r w:rsidRPr="00781F71">
        <w:rPr>
          <w:rFonts w:asciiTheme="minorHAnsi" w:hAnsiTheme="minorHAnsi"/>
          <w:b/>
          <w:i/>
        </w:rPr>
        <w:t>Please comment on the potential implications of the higher systemic exposure for perampanel in children 4 to &lt;</w:t>
      </w:r>
      <w:r w:rsidR="00FE5D2F">
        <w:rPr>
          <w:rFonts w:asciiTheme="minorHAnsi" w:hAnsiTheme="minorHAnsi"/>
          <w:b/>
          <w:i/>
        </w:rPr>
        <w:t xml:space="preserve"> </w:t>
      </w:r>
      <w:r w:rsidRPr="00781F71">
        <w:rPr>
          <w:rFonts w:asciiTheme="minorHAnsi" w:hAnsiTheme="minorHAnsi"/>
          <w:b/>
          <w:i/>
        </w:rPr>
        <w:t>7 years (not on inducers) of age, compared to adolescents and adults.</w:t>
      </w:r>
    </w:p>
    <w:p w14:paraId="76E53267" w14:textId="25677640" w:rsidR="00DE5FE0" w:rsidRPr="00BF22F4" w:rsidRDefault="00DE5FE0" w:rsidP="00DE5FE0">
      <w:r w:rsidRPr="00781F71">
        <w:t>The ACM agreed that there</w:t>
      </w:r>
      <w:r>
        <w:t xml:space="preserve"> is</w:t>
      </w:r>
      <w:r w:rsidRPr="00781F71">
        <w:t xml:space="preserve"> a </w:t>
      </w:r>
      <w:r w:rsidR="00FE5D2F">
        <w:rPr>
          <w:lang w:val="en-US"/>
        </w:rPr>
        <w:t xml:space="preserve">higher systemic exposure in the 4 to </w:t>
      </w:r>
      <w:r w:rsidRPr="00781F71">
        <w:rPr>
          <w:lang w:val="en-US"/>
        </w:rPr>
        <w:t xml:space="preserve">7 year age group, </w:t>
      </w:r>
      <w:r>
        <w:rPr>
          <w:lang w:val="en-US"/>
        </w:rPr>
        <w:t xml:space="preserve">however, </w:t>
      </w:r>
      <w:r w:rsidRPr="00781F71">
        <w:rPr>
          <w:lang w:val="en-US"/>
        </w:rPr>
        <w:t xml:space="preserve">noted </w:t>
      </w:r>
      <w:proofErr w:type="gramStart"/>
      <w:r w:rsidRPr="00781F71">
        <w:rPr>
          <w:lang w:val="en-US"/>
        </w:rPr>
        <w:t xml:space="preserve">that there is no </w:t>
      </w:r>
      <w:r>
        <w:rPr>
          <w:lang w:val="en-US"/>
        </w:rPr>
        <w:t xml:space="preserve">obvious safety signals reported in this age group in </w:t>
      </w:r>
      <w:r w:rsidR="00FE5D2F">
        <w:rPr>
          <w:lang w:val="en-US"/>
        </w:rPr>
        <w:t xml:space="preserve">the </w:t>
      </w:r>
      <w:r>
        <w:rPr>
          <w:lang w:val="en-US"/>
        </w:rPr>
        <w:t>clinical studies</w:t>
      </w:r>
      <w:proofErr w:type="gramEnd"/>
      <w:r>
        <w:rPr>
          <w:lang w:val="en-US"/>
        </w:rPr>
        <w:t xml:space="preserve">. However, </w:t>
      </w:r>
      <w:r w:rsidR="00FE5D2F">
        <w:rPr>
          <w:lang w:val="en-US"/>
        </w:rPr>
        <w:t xml:space="preserve">the </w:t>
      </w:r>
      <w:r>
        <w:rPr>
          <w:lang w:val="en-US"/>
        </w:rPr>
        <w:t xml:space="preserve">ACM advised this information to be included in the PI. </w:t>
      </w:r>
      <w:r w:rsidR="00FE5D2F">
        <w:rPr>
          <w:lang w:val="en-US"/>
        </w:rPr>
        <w:t xml:space="preserve">The </w:t>
      </w:r>
      <w:r>
        <w:rPr>
          <w:lang w:val="en-US"/>
        </w:rPr>
        <w:t xml:space="preserve">ACM </w:t>
      </w:r>
      <w:r w:rsidRPr="00781F71">
        <w:rPr>
          <w:lang w:val="en-US"/>
        </w:rPr>
        <w:t xml:space="preserve">advised that </w:t>
      </w:r>
      <w:r>
        <w:rPr>
          <w:lang w:val="en-US"/>
        </w:rPr>
        <w:t xml:space="preserve">overall, </w:t>
      </w:r>
      <w:r w:rsidRPr="00781F71">
        <w:rPr>
          <w:lang w:val="en-US"/>
        </w:rPr>
        <w:t>th</w:t>
      </w:r>
      <w:r>
        <w:rPr>
          <w:lang w:val="en-US"/>
        </w:rPr>
        <w:t>e</w:t>
      </w:r>
      <w:r w:rsidRPr="00781F71">
        <w:rPr>
          <w:lang w:val="en-US"/>
        </w:rPr>
        <w:t xml:space="preserve"> </w:t>
      </w:r>
      <w:r>
        <w:rPr>
          <w:lang w:val="en-US"/>
        </w:rPr>
        <w:t xml:space="preserve">systemic </w:t>
      </w:r>
      <w:r w:rsidRPr="00781F71">
        <w:rPr>
          <w:lang w:val="en-US"/>
        </w:rPr>
        <w:t>exposure is similar t</w:t>
      </w:r>
      <w:r w:rsidR="00FE5D2F">
        <w:rPr>
          <w:lang w:val="en-US"/>
        </w:rPr>
        <w:t>o that of the other age ranges.</w:t>
      </w:r>
    </w:p>
    <w:p w14:paraId="51CBA30F" w14:textId="458A27FC" w:rsidR="00DE5FE0" w:rsidRPr="00781F71" w:rsidRDefault="00DE5FE0" w:rsidP="00DE5FE0">
      <w:pPr>
        <w:pStyle w:val="Numberbullet0"/>
        <w:numPr>
          <w:ilvl w:val="0"/>
          <w:numId w:val="8"/>
        </w:numPr>
        <w:rPr>
          <w:rFonts w:asciiTheme="minorHAnsi" w:hAnsiTheme="minorHAnsi"/>
          <w:b/>
          <w:i/>
        </w:rPr>
      </w:pPr>
      <w:r w:rsidRPr="00781F71">
        <w:rPr>
          <w:rFonts w:asciiTheme="minorHAnsi" w:hAnsiTheme="minorHAnsi"/>
          <w:b/>
          <w:i/>
        </w:rPr>
        <w:t xml:space="preserve">Please comment on the potential implications of the proposed dosage regimen, which is different (lower) to the dose </w:t>
      </w:r>
      <w:r w:rsidR="00FE5D2F">
        <w:rPr>
          <w:rFonts w:asciiTheme="minorHAnsi" w:hAnsiTheme="minorHAnsi"/>
          <w:b/>
          <w:i/>
        </w:rPr>
        <w:t xml:space="preserve">of perampanel that </w:t>
      </w:r>
      <w:proofErr w:type="gramStart"/>
      <w:r w:rsidR="00FE5D2F">
        <w:rPr>
          <w:rFonts w:asciiTheme="minorHAnsi" w:hAnsiTheme="minorHAnsi"/>
          <w:b/>
          <w:i/>
        </w:rPr>
        <w:t>was used</w:t>
      </w:r>
      <w:proofErr w:type="gramEnd"/>
      <w:r w:rsidR="00FE5D2F">
        <w:rPr>
          <w:rFonts w:asciiTheme="minorHAnsi" w:hAnsiTheme="minorHAnsi"/>
          <w:b/>
          <w:i/>
        </w:rPr>
        <w:t xml:space="preserve"> in S</w:t>
      </w:r>
      <w:r w:rsidRPr="00781F71">
        <w:rPr>
          <w:rFonts w:asciiTheme="minorHAnsi" w:hAnsiTheme="minorHAnsi"/>
          <w:b/>
          <w:i/>
        </w:rPr>
        <w:t>tudies 311 and 232.</w:t>
      </w:r>
    </w:p>
    <w:p w14:paraId="0C3B6A38" w14:textId="77777777" w:rsidR="00DE5FE0" w:rsidRPr="00781F71" w:rsidRDefault="00DE5FE0" w:rsidP="00DE5FE0">
      <w:r w:rsidRPr="00781F71">
        <w:t xml:space="preserve">The ACM advised to start low and go </w:t>
      </w:r>
      <w:proofErr w:type="gramStart"/>
      <w:r w:rsidRPr="00781F71">
        <w:t>slow,</w:t>
      </w:r>
      <w:proofErr w:type="gramEnd"/>
      <w:r w:rsidRPr="00781F71">
        <w:t xml:space="preserve"> they noted that Study 311 and 232 are not optimally designed</w:t>
      </w:r>
      <w:r>
        <w:t>.</w:t>
      </w:r>
      <w:r w:rsidRPr="00781F71">
        <w:t xml:space="preserve"> </w:t>
      </w:r>
      <w:r>
        <w:t>H</w:t>
      </w:r>
      <w:r w:rsidRPr="00781F71">
        <w:t xml:space="preserve">owever, awareness for prescribers to start on a low dose and increase </w:t>
      </w:r>
      <w:r>
        <w:t>dose adjustment intervals</w:t>
      </w:r>
      <w:r w:rsidRPr="00781F71">
        <w:t xml:space="preserve"> is crucial</w:t>
      </w:r>
      <w:r>
        <w:t xml:space="preserve"> and needs to </w:t>
      </w:r>
      <w:proofErr w:type="gramStart"/>
      <w:r>
        <w:t>be highlighted</w:t>
      </w:r>
      <w:proofErr w:type="gramEnd"/>
      <w:r>
        <w:t xml:space="preserve"> in the PI.</w:t>
      </w:r>
    </w:p>
    <w:p w14:paraId="5E668BCE" w14:textId="259B8C34" w:rsidR="00DE5FE0" w:rsidRPr="00781F71" w:rsidRDefault="00DE5FE0" w:rsidP="00DE5FE0">
      <w:pPr>
        <w:pStyle w:val="Numberbullet0"/>
        <w:numPr>
          <w:ilvl w:val="0"/>
          <w:numId w:val="8"/>
        </w:numPr>
        <w:rPr>
          <w:rFonts w:asciiTheme="minorHAnsi" w:hAnsiTheme="minorHAnsi"/>
          <w:b/>
          <w:i/>
        </w:rPr>
      </w:pPr>
      <w:r w:rsidRPr="00781F71">
        <w:rPr>
          <w:rFonts w:asciiTheme="minorHAnsi" w:hAnsiTheme="minorHAnsi"/>
          <w:b/>
          <w:i/>
        </w:rPr>
        <w:t>What are the committee's views on the level of evidence provided to support the efficacy of perampanel in children (4 to &lt;</w:t>
      </w:r>
      <w:r w:rsidR="00FE5D2F">
        <w:rPr>
          <w:rFonts w:asciiTheme="minorHAnsi" w:hAnsiTheme="minorHAnsi"/>
          <w:b/>
          <w:i/>
        </w:rPr>
        <w:t xml:space="preserve"> </w:t>
      </w:r>
      <w:r w:rsidRPr="00781F71">
        <w:rPr>
          <w:rFonts w:asciiTheme="minorHAnsi" w:hAnsiTheme="minorHAnsi"/>
          <w:b/>
          <w:i/>
        </w:rPr>
        <w:t xml:space="preserve">12 years of age) with focal and generalised </w:t>
      </w:r>
      <w:proofErr w:type="gramStart"/>
      <w:r w:rsidRPr="00781F71">
        <w:rPr>
          <w:rFonts w:asciiTheme="minorHAnsi" w:hAnsiTheme="minorHAnsi"/>
          <w:b/>
          <w:i/>
        </w:rPr>
        <w:t>epilepsy.</w:t>
      </w:r>
      <w:proofErr w:type="gramEnd"/>
    </w:p>
    <w:p w14:paraId="1F0E5726" w14:textId="77777777" w:rsidR="00DE5FE0" w:rsidRPr="00781F71" w:rsidRDefault="00DE5FE0" w:rsidP="00DE5FE0">
      <w:r w:rsidRPr="00781F71">
        <w:t xml:space="preserve">The ACM advised that the level of evidence is </w:t>
      </w:r>
      <w:r>
        <w:t xml:space="preserve">below the gold standard, however </w:t>
      </w:r>
      <w:r w:rsidRPr="00781F71">
        <w:t xml:space="preserve">acceptable and the efficacy and safety in this group is </w:t>
      </w:r>
      <w:r>
        <w:t>almost comparable</w:t>
      </w:r>
      <w:r w:rsidRPr="00781F71">
        <w:t xml:space="preserve"> as for over 12 year olds.</w:t>
      </w:r>
    </w:p>
    <w:p w14:paraId="04320335" w14:textId="77777777" w:rsidR="00DE5FE0" w:rsidRPr="00781F71" w:rsidRDefault="00DE5FE0" w:rsidP="00DE5FE0">
      <w:pPr>
        <w:pStyle w:val="Numberbullet0"/>
        <w:numPr>
          <w:ilvl w:val="0"/>
          <w:numId w:val="8"/>
        </w:numPr>
        <w:rPr>
          <w:rFonts w:asciiTheme="minorHAnsi" w:hAnsiTheme="minorHAnsi"/>
          <w:b/>
          <w:i/>
        </w:rPr>
      </w:pPr>
      <w:r w:rsidRPr="00781F71">
        <w:rPr>
          <w:rFonts w:asciiTheme="minorHAnsi" w:hAnsiTheme="minorHAnsi"/>
          <w:b/>
          <w:i/>
        </w:rPr>
        <w:t>What are the committee's view on the safety data and whether that has been adequately addressed in the PI, including perampanel's effects on cognition, growth and development of children with epilepsy and irritability, somnolence and aggressive behaviour?</w:t>
      </w:r>
    </w:p>
    <w:p w14:paraId="0DB1B6CA" w14:textId="77777777" w:rsidR="00DE5FE0" w:rsidRPr="00781F71" w:rsidRDefault="00DE5FE0" w:rsidP="00DE5FE0">
      <w:r w:rsidRPr="00781F71">
        <w:t xml:space="preserve">The ACM agreed that the concerns of possible effects on cognition, growth and development in particular irritability, somnolence and aggressive behaviour </w:t>
      </w:r>
      <w:proofErr w:type="gramStart"/>
      <w:r w:rsidRPr="00781F71">
        <w:t>are well documented</w:t>
      </w:r>
      <w:proofErr w:type="gramEnd"/>
      <w:r w:rsidRPr="00781F71">
        <w:t xml:space="preserve"> in the PI. </w:t>
      </w:r>
      <w:r>
        <w:t xml:space="preserve">They </w:t>
      </w:r>
      <w:proofErr w:type="gramStart"/>
      <w:r>
        <w:t>are known</w:t>
      </w:r>
      <w:proofErr w:type="gramEnd"/>
      <w:r>
        <w:t xml:space="preserve"> adverse effects of perampanel, when used in adolescents and adults.</w:t>
      </w:r>
    </w:p>
    <w:p w14:paraId="75BE0F23" w14:textId="55B89103" w:rsidR="00DE5FE0" w:rsidRPr="00781F71" w:rsidRDefault="00DE5FE0" w:rsidP="00DE5FE0">
      <w:pPr>
        <w:pStyle w:val="Numberbullet0"/>
        <w:numPr>
          <w:ilvl w:val="0"/>
          <w:numId w:val="8"/>
        </w:numPr>
        <w:rPr>
          <w:rFonts w:asciiTheme="minorHAnsi" w:hAnsiTheme="minorHAnsi"/>
          <w:b/>
          <w:i/>
        </w:rPr>
      </w:pPr>
      <w:r w:rsidRPr="00781F71">
        <w:rPr>
          <w:rFonts w:asciiTheme="minorHAnsi" w:hAnsiTheme="minorHAnsi"/>
          <w:b/>
          <w:i/>
        </w:rPr>
        <w:t>Please comment on the adequacy of the proposed long-term safety monitoring of perampanel in children as a routine phar</w:t>
      </w:r>
      <w:r w:rsidR="00FE5D2F">
        <w:rPr>
          <w:rFonts w:asciiTheme="minorHAnsi" w:hAnsiTheme="minorHAnsi"/>
          <w:b/>
          <w:i/>
        </w:rPr>
        <w:t>macovigilance activity and the D</w:t>
      </w:r>
      <w:r w:rsidRPr="00781F71">
        <w:rPr>
          <w:rFonts w:asciiTheme="minorHAnsi" w:hAnsiTheme="minorHAnsi"/>
          <w:b/>
          <w:i/>
        </w:rPr>
        <w:t xml:space="preserve">elegate's recommendation that a registry </w:t>
      </w:r>
      <w:proofErr w:type="gramStart"/>
      <w:r w:rsidRPr="00781F71">
        <w:rPr>
          <w:rFonts w:asciiTheme="minorHAnsi" w:hAnsiTheme="minorHAnsi"/>
          <w:b/>
          <w:i/>
        </w:rPr>
        <w:t xml:space="preserve">be </w:t>
      </w:r>
      <w:r w:rsidR="00C61207">
        <w:rPr>
          <w:rFonts w:asciiTheme="minorHAnsi" w:hAnsiTheme="minorHAnsi"/>
          <w:b/>
          <w:i/>
        </w:rPr>
        <w:t>established</w:t>
      </w:r>
      <w:proofErr w:type="gramEnd"/>
      <w:r w:rsidR="00C61207">
        <w:rPr>
          <w:rFonts w:asciiTheme="minorHAnsi" w:hAnsiTheme="minorHAnsi"/>
          <w:b/>
          <w:i/>
        </w:rPr>
        <w:t xml:space="preserve"> as part of the RMP.</w:t>
      </w:r>
    </w:p>
    <w:p w14:paraId="1757B4EB" w14:textId="672BE8A8" w:rsidR="00DE5FE0" w:rsidRPr="00DE5FE0" w:rsidRDefault="00DE5FE0" w:rsidP="00FE5D2F">
      <w:r>
        <w:t xml:space="preserve">The ACM </w:t>
      </w:r>
      <w:r w:rsidRPr="00781F71">
        <w:t xml:space="preserve">agreed that a registry of adverse events would be useful and should be a gold standard in any new medicine used in children. </w:t>
      </w:r>
      <w:r>
        <w:t>T</w:t>
      </w:r>
      <w:r w:rsidRPr="00781F71">
        <w:t xml:space="preserve">he ACM </w:t>
      </w:r>
      <w:r>
        <w:t xml:space="preserve">also </w:t>
      </w:r>
      <w:r w:rsidRPr="00781F71">
        <w:t xml:space="preserve">noted the challenges associated with this risk management action. It </w:t>
      </w:r>
      <w:proofErr w:type="gramStart"/>
      <w:r w:rsidRPr="00781F71">
        <w:t>was further noted</w:t>
      </w:r>
      <w:proofErr w:type="gramEnd"/>
      <w:r w:rsidRPr="00781F71">
        <w:t xml:space="preserve"> that there should be an obligation to collect this type of data when the number of patients is limited in a cohort of children and the</w:t>
      </w:r>
      <w:r w:rsidR="00FE5D2F">
        <w:t xml:space="preserve"> long-term effects are unknown.</w:t>
      </w:r>
    </w:p>
    <w:p w14:paraId="1AC450F3" w14:textId="77777777" w:rsidR="00744121" w:rsidRDefault="00744121" w:rsidP="00744121">
      <w:pPr>
        <w:pStyle w:val="Heading5"/>
      </w:pPr>
      <w:r>
        <w:lastRenderedPageBreak/>
        <w:t>Conclusion</w:t>
      </w:r>
    </w:p>
    <w:p w14:paraId="786228E1" w14:textId="77777777" w:rsidR="00DE5FE0" w:rsidRPr="00781F71" w:rsidRDefault="00DE5FE0" w:rsidP="00FE5D2F">
      <w:r w:rsidRPr="00781F71">
        <w:t>The ACM considered this product to have an overall positive benefit-risk profile for the indication:</w:t>
      </w:r>
    </w:p>
    <w:p w14:paraId="68C73F30" w14:textId="77777777" w:rsidR="00DE5FE0" w:rsidRPr="00FE5D2F" w:rsidRDefault="00DE5FE0" w:rsidP="00FE5D2F">
      <w:pPr>
        <w:ind w:left="360"/>
        <w:rPr>
          <w:i/>
        </w:rPr>
      </w:pPr>
      <w:r w:rsidRPr="00FE5D2F">
        <w:rPr>
          <w:i/>
        </w:rPr>
        <w:t>Partial onset (focal) seizures with or without secondary generalisation</w:t>
      </w:r>
    </w:p>
    <w:p w14:paraId="3ED01397" w14:textId="77777777" w:rsidR="00DE5FE0" w:rsidRPr="00FE5D2F" w:rsidRDefault="00DE5FE0" w:rsidP="00FE5D2F">
      <w:pPr>
        <w:pStyle w:val="ListBullet"/>
        <w:ind w:left="720"/>
        <w:rPr>
          <w:i/>
        </w:rPr>
      </w:pPr>
      <w:r w:rsidRPr="00FE5D2F">
        <w:rPr>
          <w:i/>
        </w:rPr>
        <w:t xml:space="preserve">Fycompa </w:t>
      </w:r>
      <w:proofErr w:type="gramStart"/>
      <w:r w:rsidRPr="00FE5D2F">
        <w:rPr>
          <w:i/>
        </w:rPr>
        <w:t>is indicated</w:t>
      </w:r>
      <w:proofErr w:type="gramEnd"/>
      <w:r w:rsidRPr="00FE5D2F">
        <w:rPr>
          <w:i/>
        </w:rPr>
        <w:t xml:space="preserve"> for adjunctive treatment in adult and adolescent patients from 12 years of age with epilepsy.</w:t>
      </w:r>
    </w:p>
    <w:p w14:paraId="4F8C6B0F" w14:textId="77777777" w:rsidR="00DE5FE0" w:rsidRPr="00FE5D2F" w:rsidRDefault="00DE5FE0" w:rsidP="00FE5D2F">
      <w:pPr>
        <w:pStyle w:val="ListBullet"/>
        <w:ind w:left="720"/>
        <w:rPr>
          <w:i/>
        </w:rPr>
      </w:pPr>
      <w:r w:rsidRPr="00FE5D2F">
        <w:rPr>
          <w:i/>
        </w:rPr>
        <w:t xml:space="preserve">Fycompa is indicated for adjunctive treatment in paediatric patients from </w:t>
      </w:r>
      <w:proofErr w:type="gramStart"/>
      <w:r w:rsidRPr="00FE5D2F">
        <w:rPr>
          <w:i/>
        </w:rPr>
        <w:t>4</w:t>
      </w:r>
      <w:proofErr w:type="gramEnd"/>
      <w:r w:rsidRPr="00FE5D2F">
        <w:rPr>
          <w:i/>
        </w:rPr>
        <w:t xml:space="preserve"> to 11 years of age with epilepsy.</w:t>
      </w:r>
    </w:p>
    <w:p w14:paraId="58F40B2B" w14:textId="12E3BED3" w:rsidR="00DE5FE0" w:rsidRPr="00FE5D2F" w:rsidRDefault="00DE5FE0" w:rsidP="00FE5D2F">
      <w:pPr>
        <w:ind w:left="360"/>
        <w:rPr>
          <w:i/>
        </w:rPr>
      </w:pPr>
      <w:r w:rsidRPr="00FE5D2F">
        <w:rPr>
          <w:i/>
        </w:rPr>
        <w:t xml:space="preserve">Primary </w:t>
      </w:r>
      <w:r w:rsidR="00FE5D2F" w:rsidRPr="00FE5D2F">
        <w:rPr>
          <w:i/>
        </w:rPr>
        <w:t>generalised tonic clonic seizures</w:t>
      </w:r>
    </w:p>
    <w:p w14:paraId="255D5FF7" w14:textId="77777777" w:rsidR="00DE5FE0" w:rsidRPr="00FE5D2F" w:rsidRDefault="00DE5FE0" w:rsidP="00FE5D2F">
      <w:pPr>
        <w:pStyle w:val="ListBullet"/>
        <w:ind w:left="720"/>
        <w:rPr>
          <w:i/>
        </w:rPr>
      </w:pPr>
      <w:r w:rsidRPr="00FE5D2F">
        <w:rPr>
          <w:i/>
        </w:rPr>
        <w:t xml:space="preserve">Fycompa </w:t>
      </w:r>
      <w:proofErr w:type="gramStart"/>
      <w:r w:rsidRPr="00FE5D2F">
        <w:rPr>
          <w:i/>
        </w:rPr>
        <w:t>is indicated</w:t>
      </w:r>
      <w:proofErr w:type="gramEnd"/>
      <w:r w:rsidRPr="00FE5D2F">
        <w:rPr>
          <w:i/>
        </w:rPr>
        <w:t xml:space="preserve"> for adjunctive treatment in adult and adolescent patients from 12 years of age with idiopathic generalised epilepsy.</w:t>
      </w:r>
    </w:p>
    <w:p w14:paraId="0A375D6D" w14:textId="4D264F38" w:rsidR="00DE5FE0" w:rsidRPr="00FE5D2F" w:rsidRDefault="00DE5FE0" w:rsidP="00FE5D2F">
      <w:pPr>
        <w:pStyle w:val="ListBullet"/>
        <w:ind w:left="720"/>
        <w:rPr>
          <w:i/>
        </w:rPr>
      </w:pPr>
      <w:r w:rsidRPr="00FE5D2F">
        <w:rPr>
          <w:i/>
        </w:rPr>
        <w:t xml:space="preserve">Fycompa is indicated for adjunctive treatment in paediatric patients from </w:t>
      </w:r>
      <w:proofErr w:type="gramStart"/>
      <w:r w:rsidRPr="00FE5D2F">
        <w:rPr>
          <w:i/>
        </w:rPr>
        <w:t>7</w:t>
      </w:r>
      <w:proofErr w:type="gramEnd"/>
      <w:r w:rsidRPr="00FE5D2F">
        <w:rPr>
          <w:i/>
        </w:rPr>
        <w:t xml:space="preserve"> to 11 years of age with idiopathic generalised epilepsy</w:t>
      </w:r>
      <w:r w:rsidR="00FE5D2F" w:rsidRPr="00FE5D2F">
        <w:rPr>
          <w:i/>
        </w:rPr>
        <w:t>.</w:t>
      </w:r>
    </w:p>
    <w:p w14:paraId="0907D825" w14:textId="77777777" w:rsidR="008E7846" w:rsidRPr="002E238E" w:rsidRDefault="008E7846" w:rsidP="008E7846">
      <w:pPr>
        <w:pStyle w:val="Heading3"/>
      </w:pPr>
      <w:bookmarkStart w:id="99" w:name="_Toc70347477"/>
      <w:r>
        <w:t>Outcome</w:t>
      </w:r>
      <w:bookmarkEnd w:id="97"/>
      <w:bookmarkEnd w:id="98"/>
      <w:bookmarkEnd w:id="99"/>
    </w:p>
    <w:p w14:paraId="0CFBCA1A" w14:textId="0B20DBB0" w:rsidR="00744121" w:rsidRDefault="00744121" w:rsidP="00744121">
      <w:bookmarkStart w:id="100" w:name="_Toc247691533"/>
      <w:bookmarkStart w:id="101" w:name="_Toc314842517"/>
      <w:r>
        <w:t>Based on a review of quality, safety and efficacy, the TGA approved the registration of</w:t>
      </w:r>
      <w:r w:rsidR="00E0655A">
        <w:t xml:space="preserve"> Fycompa (perampanel hemisesquihydrate) 2, 4, 6, 8, 10 and 12 mg film coated tablets</w:t>
      </w:r>
      <w:r>
        <w:t>, for the following</w:t>
      </w:r>
      <w:r w:rsidR="007E60B1">
        <w:t xml:space="preserve"> </w:t>
      </w:r>
      <w:r w:rsidR="00E0655A">
        <w:t xml:space="preserve">extension of </w:t>
      </w:r>
      <w:r w:rsidR="007E60B1">
        <w:t>indications</w:t>
      </w:r>
      <w:r w:rsidR="00E0655A">
        <w:t xml:space="preserve"> in paediatric patients, and the new 2 mg/4 mL oral suspension product for the following indications</w:t>
      </w:r>
      <w:r>
        <w:t>:</w:t>
      </w:r>
    </w:p>
    <w:p w14:paraId="328505F0" w14:textId="77777777" w:rsidR="00DE5FE0" w:rsidRPr="00E0655A" w:rsidRDefault="00DE5FE0" w:rsidP="00E0655A">
      <w:pPr>
        <w:ind w:left="360"/>
        <w:rPr>
          <w:i/>
        </w:rPr>
      </w:pPr>
      <w:r w:rsidRPr="00E0655A">
        <w:rPr>
          <w:i/>
        </w:rPr>
        <w:t xml:space="preserve">Fycompa </w:t>
      </w:r>
      <w:proofErr w:type="gramStart"/>
      <w:r w:rsidRPr="00E0655A">
        <w:rPr>
          <w:i/>
        </w:rPr>
        <w:t>is indicated</w:t>
      </w:r>
      <w:proofErr w:type="gramEnd"/>
      <w:r w:rsidRPr="00E0655A">
        <w:rPr>
          <w:i/>
        </w:rPr>
        <w:t xml:space="preserve"> for the adjunctive treatment of:</w:t>
      </w:r>
    </w:p>
    <w:p w14:paraId="34418E65" w14:textId="77777777" w:rsidR="00DE5FE0" w:rsidRPr="00E0655A" w:rsidRDefault="00DE5FE0" w:rsidP="00E0655A">
      <w:pPr>
        <w:pStyle w:val="ListBullet"/>
        <w:ind w:left="720"/>
        <w:rPr>
          <w:i/>
        </w:rPr>
      </w:pPr>
      <w:r w:rsidRPr="00E0655A">
        <w:rPr>
          <w:i/>
        </w:rPr>
        <w:t>Partial-onset seizures (POS) with or without secondarily generalised seizures in patients from 4 years of age with epilepsy.</w:t>
      </w:r>
    </w:p>
    <w:p w14:paraId="52009A19" w14:textId="4CADFB99" w:rsidR="007D53B6" w:rsidRPr="00E0655A" w:rsidRDefault="00DE5FE0" w:rsidP="00E0655A">
      <w:pPr>
        <w:pStyle w:val="ListBullet"/>
        <w:ind w:left="720"/>
        <w:rPr>
          <w:i/>
        </w:rPr>
      </w:pPr>
      <w:r w:rsidRPr="00E0655A">
        <w:rPr>
          <w:i/>
        </w:rPr>
        <w:t>Primary generalised tonic-clonic seizures (PGTCS) in patients from 7 years of age with idiopathic generalised epilepsy.</w:t>
      </w:r>
    </w:p>
    <w:p w14:paraId="403B5FBD" w14:textId="6423D881" w:rsidR="00D23139" w:rsidRPr="00D23139" w:rsidRDefault="007D53B6" w:rsidP="007D53B6">
      <w:r>
        <w:t>As such, the</w:t>
      </w:r>
      <w:r w:rsidR="00E0655A">
        <w:t>se were the</w:t>
      </w:r>
      <w:r>
        <w:t xml:space="preserve"> full indications at this time </w:t>
      </w:r>
      <w:r w:rsidR="007E60B1">
        <w:t xml:space="preserve">for </w:t>
      </w:r>
      <w:r w:rsidR="00FE5D2F">
        <w:t xml:space="preserve">both </w:t>
      </w:r>
      <w:r w:rsidR="007E60B1">
        <w:t>the</w:t>
      </w:r>
      <w:r w:rsidR="00FE5D2F">
        <w:t xml:space="preserve"> film coated tablet presentations</w:t>
      </w:r>
      <w:r w:rsidR="00E0655A">
        <w:t xml:space="preserve"> and </w:t>
      </w:r>
      <w:r w:rsidR="00FE5D2F">
        <w:t xml:space="preserve">the </w:t>
      </w:r>
      <w:r w:rsidR="00E0655A">
        <w:t>oral suspension</w:t>
      </w:r>
      <w:r w:rsidR="00FE5D2F">
        <w:t xml:space="preserve"> presentation</w:t>
      </w:r>
      <w:r w:rsidR="00E0655A">
        <w:t>.</w:t>
      </w:r>
    </w:p>
    <w:p w14:paraId="40D4B63E" w14:textId="77777777" w:rsidR="00D23139" w:rsidRPr="00D23139" w:rsidRDefault="00D23139" w:rsidP="00D23139">
      <w:pPr>
        <w:pStyle w:val="Heading4"/>
      </w:pPr>
      <w:r w:rsidRPr="00D23139">
        <w:t>Specific conditions of registration applying to these goods</w:t>
      </w:r>
    </w:p>
    <w:p w14:paraId="3B604788" w14:textId="794D4BAD" w:rsidR="00EB25D8" w:rsidRDefault="00EB25D8" w:rsidP="00967F4B">
      <w:pPr>
        <w:pStyle w:val="ListBullet"/>
      </w:pPr>
      <w:r>
        <w:t xml:space="preserve">Fycompa (perampanel) is to be included in the Black Triangle Scheme as it is subject to additional monitoring in Australia due to approval of an extension of indications. The PI and </w:t>
      </w:r>
      <w:r w:rsidR="009E3E86">
        <w:t>Consumer Medicines Information</w:t>
      </w:r>
      <w:r>
        <w:t xml:space="preserve"> for Fycompa must include the black triangle symbol and mandatory accompanying text for five years, which starts from the date the new </w:t>
      </w:r>
      <w:proofErr w:type="gramStart"/>
      <w:r>
        <w:t>indication</w:t>
      </w:r>
      <w:proofErr w:type="gramEnd"/>
      <w:r>
        <w:t xml:space="preserve"> is registered.</w:t>
      </w:r>
    </w:p>
    <w:p w14:paraId="77A51288" w14:textId="682B3045" w:rsidR="009752A5" w:rsidRDefault="00EB25D8" w:rsidP="00967F4B">
      <w:pPr>
        <w:pStyle w:val="ListBullet"/>
      </w:pPr>
      <w:r>
        <w:t>The Fycompa EU-</w:t>
      </w:r>
      <w:r w:rsidR="003B4E5B">
        <w:t>RMP</w:t>
      </w:r>
      <w:r>
        <w:t xml:space="preserve"> (version 4.5, dated 13 May 2020, </w:t>
      </w:r>
      <w:r w:rsidR="003B4E5B">
        <w:t>DLP</w:t>
      </w:r>
      <w:r>
        <w:t xml:space="preserve"> 22 July 2019), with </w:t>
      </w:r>
      <w:r w:rsidR="003B4E5B">
        <w:t>ASA</w:t>
      </w:r>
      <w:r>
        <w:t xml:space="preserve"> (version 4.2, dated 26 October 2020), included with submission PM-2019-05359-1-1, and any subsequent revisions, as agreed with the TGA will be implemented in Australia.</w:t>
      </w:r>
    </w:p>
    <w:p w14:paraId="12C4DB5A" w14:textId="77777777" w:rsidR="00EB25D8" w:rsidRDefault="00EB25D8" w:rsidP="00967F4B">
      <w:pPr>
        <w:pStyle w:val="ListBullet"/>
        <w:numPr>
          <w:ilvl w:val="0"/>
          <w:numId w:val="0"/>
        </w:numPr>
        <w:ind w:left="360"/>
      </w:pPr>
      <w:r>
        <w:t>An obligatory component of risk management plans is routine pharmacovigilance.</w:t>
      </w:r>
      <w:r w:rsidR="00967F4B">
        <w:t xml:space="preserve"> </w:t>
      </w:r>
      <w:r>
        <w:t>Routine pharmacovigilance includes the submi</w:t>
      </w:r>
      <w:r w:rsidR="00967F4B">
        <w:t xml:space="preserve">ssion of periodic safety update </w:t>
      </w:r>
      <w:r>
        <w:t>reports (PSURs).</w:t>
      </w:r>
    </w:p>
    <w:p w14:paraId="251FCD8F" w14:textId="68EEE2AB" w:rsidR="00EB25D8" w:rsidRDefault="00EB25D8" w:rsidP="00967F4B">
      <w:pPr>
        <w:pStyle w:val="ListBullet"/>
        <w:numPr>
          <w:ilvl w:val="0"/>
          <w:numId w:val="0"/>
        </w:numPr>
        <w:ind w:left="360"/>
      </w:pPr>
      <w:r>
        <w:t>Unless agreed separately between the supplier who i</w:t>
      </w:r>
      <w:r w:rsidR="00967F4B">
        <w:t xml:space="preserve">s the recipient of the approval </w:t>
      </w:r>
      <w:r>
        <w:t xml:space="preserve">and the TGA, the first report </w:t>
      </w:r>
      <w:proofErr w:type="gramStart"/>
      <w:r>
        <w:t>must be submitted</w:t>
      </w:r>
      <w:proofErr w:type="gramEnd"/>
      <w:r>
        <w:t xml:space="preserve"> to TGA </w:t>
      </w:r>
      <w:r w:rsidR="00967F4B">
        <w:t xml:space="preserve">no later than 15 calendar </w:t>
      </w:r>
      <w:r w:rsidR="003B4E5B">
        <w:t>months after the date of the</w:t>
      </w:r>
      <w:r>
        <w:t xml:space="preserve"> approval letter.</w:t>
      </w:r>
      <w:r w:rsidR="00967F4B">
        <w:t xml:space="preserve"> The subsequent reports </w:t>
      </w:r>
      <w:proofErr w:type="gramStart"/>
      <w:r w:rsidR="00967F4B">
        <w:t xml:space="preserve">must be </w:t>
      </w:r>
      <w:r>
        <w:t>submitted</w:t>
      </w:r>
      <w:proofErr w:type="gramEnd"/>
      <w:r>
        <w:t xml:space="preserve"> no less frequently than annually from </w:t>
      </w:r>
      <w:r w:rsidR="00967F4B">
        <w:t xml:space="preserve">the date of the first submitted </w:t>
      </w:r>
      <w:r>
        <w:t>report until the period covered by such reports is not less than three y</w:t>
      </w:r>
      <w:r w:rsidR="00967F4B">
        <w:t xml:space="preserve">ears from the </w:t>
      </w:r>
      <w:r>
        <w:t xml:space="preserve">date of </w:t>
      </w:r>
      <w:r w:rsidR="003B4E5B">
        <w:lastRenderedPageBreak/>
        <w:t>the</w:t>
      </w:r>
      <w:r>
        <w:t xml:space="preserve"> approval letter. The annual submiss</w:t>
      </w:r>
      <w:r w:rsidR="00967F4B">
        <w:t xml:space="preserve">ion </w:t>
      </w:r>
      <w:proofErr w:type="gramStart"/>
      <w:r w:rsidR="00967F4B">
        <w:t>may be made up</w:t>
      </w:r>
      <w:proofErr w:type="gramEnd"/>
      <w:r w:rsidR="00967F4B">
        <w:t xml:space="preserve"> of two PSURs </w:t>
      </w:r>
      <w:r>
        <w:t>each covering six months. If the sponsor wishes,</w:t>
      </w:r>
      <w:r w:rsidR="00967F4B">
        <w:t xml:space="preserve"> the six monthly reports </w:t>
      </w:r>
      <w:proofErr w:type="gramStart"/>
      <w:r w:rsidR="00967F4B">
        <w:t xml:space="preserve">may be </w:t>
      </w:r>
      <w:r>
        <w:t>submitted</w:t>
      </w:r>
      <w:proofErr w:type="gramEnd"/>
      <w:r>
        <w:t xml:space="preserve"> separately as they become available.</w:t>
      </w:r>
    </w:p>
    <w:p w14:paraId="501DB3D3" w14:textId="274A9A25" w:rsidR="00EB25D8" w:rsidRDefault="00EB25D8" w:rsidP="00967F4B">
      <w:pPr>
        <w:pStyle w:val="ListBullet"/>
        <w:numPr>
          <w:ilvl w:val="0"/>
          <w:numId w:val="0"/>
        </w:numPr>
        <w:ind w:left="360"/>
      </w:pPr>
      <w:r>
        <w:t>If the product is approved in the EU during the thr</w:t>
      </w:r>
      <w:r w:rsidR="00967F4B">
        <w:t xml:space="preserve">ee years period, reports can be </w:t>
      </w:r>
      <w:r>
        <w:t>provided in line with the published list of EU referenc</w:t>
      </w:r>
      <w:r w:rsidR="00967F4B">
        <w:t xml:space="preserve">e dates no less frequently than </w:t>
      </w:r>
      <w:r>
        <w:t>annually from the date of the first submitted report u</w:t>
      </w:r>
      <w:r w:rsidR="00967F4B">
        <w:t xml:space="preserve">ntil the period covered by such </w:t>
      </w:r>
      <w:r>
        <w:t>reports is not less than t</w:t>
      </w:r>
      <w:r w:rsidR="003B4E5B">
        <w:t>hree years from the date of the</w:t>
      </w:r>
      <w:r>
        <w:t xml:space="preserve"> approval letter.</w:t>
      </w:r>
    </w:p>
    <w:p w14:paraId="1E888D6E" w14:textId="2E288068" w:rsidR="00EB25D8" w:rsidRDefault="00EB25D8" w:rsidP="00967F4B">
      <w:pPr>
        <w:pStyle w:val="ListBullet"/>
        <w:numPr>
          <w:ilvl w:val="0"/>
          <w:numId w:val="0"/>
        </w:numPr>
        <w:ind w:left="360"/>
      </w:pPr>
      <w:r>
        <w:t xml:space="preserve">The reports are </w:t>
      </w:r>
      <w:proofErr w:type="gramStart"/>
      <w:r>
        <w:t>to at least meet</w:t>
      </w:r>
      <w:proofErr w:type="gramEnd"/>
      <w:r>
        <w:t xml:space="preserve"> the requirement</w:t>
      </w:r>
      <w:r w:rsidR="00967F4B">
        <w:t xml:space="preserve">s for PSURs as described in the </w:t>
      </w:r>
      <w:r>
        <w:t xml:space="preserve">European Medicines Agency’s Guideline on </w:t>
      </w:r>
      <w:r w:rsidR="00FE5D2F">
        <w:t xml:space="preserve">Good Pharmacovigilance Practices </w:t>
      </w:r>
      <w:r w:rsidR="00967F4B">
        <w:t xml:space="preserve">(GVP) </w:t>
      </w:r>
      <w:r>
        <w:t>Module VII-periodic safety update report (Re</w:t>
      </w:r>
      <w:r w:rsidR="00967F4B">
        <w:t xml:space="preserve">v 1), Part VII.B Structures and </w:t>
      </w:r>
      <w:r>
        <w:t>processes. Note that submission of a PSUR does not co</w:t>
      </w:r>
      <w:r w:rsidR="00967F4B">
        <w:t xml:space="preserve">nstitute an application to vary </w:t>
      </w:r>
      <w:r>
        <w:t>the registration. Each report must have been prepa</w:t>
      </w:r>
      <w:r w:rsidR="00967F4B">
        <w:t xml:space="preserve">red within ninety calendar days </w:t>
      </w:r>
      <w:r>
        <w:t>of the data lock point for that report.</w:t>
      </w:r>
    </w:p>
    <w:p w14:paraId="77A67E63" w14:textId="77777777" w:rsidR="008E7846" w:rsidRDefault="00A80B5B" w:rsidP="00D23139">
      <w:pPr>
        <w:pStyle w:val="Heading2"/>
      </w:pPr>
      <w:bookmarkStart w:id="102" w:name="_Toc70347478"/>
      <w:r>
        <w:t xml:space="preserve">Attachment 1. </w:t>
      </w:r>
      <w:r w:rsidR="008E7846">
        <w:t xml:space="preserve">Product </w:t>
      </w:r>
      <w:r w:rsidR="00AA0ED0">
        <w:t>I</w:t>
      </w:r>
      <w:r w:rsidR="008E7846">
        <w:t>nformation</w:t>
      </w:r>
      <w:bookmarkEnd w:id="100"/>
      <w:bookmarkEnd w:id="101"/>
      <w:bookmarkEnd w:id="102"/>
    </w:p>
    <w:p w14:paraId="494B9C77" w14:textId="56560318" w:rsidR="00291957" w:rsidRPr="00967F4B" w:rsidRDefault="006136D7" w:rsidP="00967F4B">
      <w:pPr>
        <w:rPr>
          <w:color w:val="000000"/>
          <w:lang w:eastAsia="en-AU"/>
        </w:rPr>
      </w:pPr>
      <w:r w:rsidRPr="002B3624">
        <w:t xml:space="preserve">The </w:t>
      </w:r>
      <w:r>
        <w:t>PI</w:t>
      </w:r>
      <w:r w:rsidRPr="002B3624">
        <w:t xml:space="preserve"> for </w:t>
      </w:r>
      <w:r w:rsidR="00967F4B">
        <w:t>Fycompa</w:t>
      </w:r>
      <w:r w:rsidRPr="002B3624">
        <w:t xml:space="preserve"> </w:t>
      </w:r>
      <w:r>
        <w:t xml:space="preserve">approved with the </w:t>
      </w:r>
      <w:proofErr w:type="gramStart"/>
      <w:r>
        <w:t xml:space="preserve">submission which is described in </w:t>
      </w:r>
      <w:r w:rsidRPr="002B3624">
        <w:t>this AusPAR</w:t>
      </w:r>
      <w:proofErr w:type="gramEnd"/>
      <w:r w:rsidRPr="002B3624">
        <w:t xml:space="preserve"> is at Attachment 1. For the most recent </w:t>
      </w:r>
      <w:r>
        <w:t>PI,</w:t>
      </w:r>
      <w:r w:rsidRPr="002B3624">
        <w:t xml:space="preserve"> please refer to the </w:t>
      </w:r>
      <w:r w:rsidRPr="007C6B9B">
        <w:t xml:space="preserve">TGA website at </w:t>
      </w:r>
      <w:r w:rsidR="007C6B9B" w:rsidRPr="007C6B9B">
        <w:t>&lt;</w:t>
      </w:r>
      <w:hyperlink r:id="rId49" w:history="1">
        <w:r w:rsidR="007C6B9B" w:rsidRPr="007C6B9B">
          <w:rPr>
            <w:rStyle w:val="Hyperlink"/>
          </w:rPr>
          <w:t>https://www.tga.gov.au/product-information-pi</w:t>
        </w:r>
      </w:hyperlink>
      <w:r w:rsidR="00967F4B">
        <w:t>&gt;.</w:t>
      </w:r>
    </w:p>
    <w:p w14:paraId="74BE6ED9" w14:textId="77777777" w:rsidR="00744121" w:rsidRDefault="00744121" w:rsidP="00744121">
      <w:pPr>
        <w:rPr>
          <w:lang w:eastAsia="ja-JP"/>
        </w:rPr>
      </w:pPr>
    </w:p>
    <w:p w14:paraId="48AF7112" w14:textId="77777777" w:rsidR="00C80137" w:rsidRPr="001D043B" w:rsidRDefault="00C80137" w:rsidP="003A7F6C">
      <w:pPr>
        <w:pStyle w:val="TableTitle"/>
        <w:sectPr w:rsidR="00C80137" w:rsidRPr="001D043B" w:rsidSect="00B452CE">
          <w:headerReference w:type="even" r:id="rId50"/>
          <w:headerReference w:type="default" r:id="rId51"/>
          <w:headerReference w:type="first" r:id="rId52"/>
          <w:footerReference w:type="first" r:id="rId53"/>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2399883A" w14:textId="77777777" w:rsidTr="00A05FA4">
        <w:trPr>
          <w:trHeight w:hRule="exact" w:val="704"/>
        </w:trPr>
        <w:tc>
          <w:tcPr>
            <w:tcW w:w="9175" w:type="dxa"/>
          </w:tcPr>
          <w:p w14:paraId="0D918B4C" w14:textId="77777777" w:rsidR="001C32CD" w:rsidRPr="00487162" w:rsidRDefault="001C32CD" w:rsidP="00A05FA4">
            <w:pPr>
              <w:pStyle w:val="TGASignoff"/>
            </w:pPr>
            <w:r w:rsidRPr="00487162">
              <w:lastRenderedPageBreak/>
              <w:t>Therapeutic Goods Administration</w:t>
            </w:r>
          </w:p>
        </w:tc>
      </w:tr>
      <w:tr w:rsidR="001C32CD" w:rsidRPr="004C239D" w14:paraId="0F9F0D66" w14:textId="77777777" w:rsidTr="00A05FA4">
        <w:trPr>
          <w:trHeight w:val="1221"/>
        </w:trPr>
        <w:tc>
          <w:tcPr>
            <w:tcW w:w="9175" w:type="dxa"/>
            <w:tcMar>
              <w:top w:w="28" w:type="dxa"/>
            </w:tcMar>
          </w:tcPr>
          <w:p w14:paraId="540BD397" w14:textId="77777777" w:rsidR="001C32CD" w:rsidRPr="00487162" w:rsidRDefault="001C32CD" w:rsidP="00A05FA4">
            <w:pPr>
              <w:pStyle w:val="Address"/>
            </w:pPr>
            <w:r w:rsidRPr="00487162">
              <w:t>PO Box 100 Woden ACT 2606 Australia</w:t>
            </w:r>
          </w:p>
          <w:p w14:paraId="64C11C5F" w14:textId="3CC189A2" w:rsidR="001C32CD" w:rsidRPr="00487162" w:rsidRDefault="001C32CD" w:rsidP="00A05FA4">
            <w:pPr>
              <w:pStyle w:val="Address"/>
            </w:pPr>
            <w:r w:rsidRPr="00487162">
              <w:t xml:space="preserve">Email: </w:t>
            </w:r>
            <w:hyperlink r:id="rId54" w:history="1">
              <w:r w:rsidRPr="004C239D">
                <w:rPr>
                  <w:rStyle w:val="Hyperlink"/>
                </w:rPr>
                <w:t>info@tga.gov.au</w:t>
              </w:r>
            </w:hyperlink>
            <w:r w:rsidRPr="00487162">
              <w:t xml:space="preserve">  Phone: 1800 020 653  Fax: 02 6232 8605</w:t>
            </w:r>
          </w:p>
          <w:p w14:paraId="5F6A6484" w14:textId="67C9E47D" w:rsidR="001C32CD" w:rsidRPr="004C239D" w:rsidRDefault="002B56CA" w:rsidP="00A05FA4">
            <w:pPr>
              <w:pStyle w:val="Address"/>
              <w:spacing w:line="260" w:lineRule="atLeast"/>
              <w:rPr>
                <w:b/>
                <w:color w:val="0000FF"/>
                <w:u w:val="single"/>
              </w:rPr>
            </w:pPr>
            <w:hyperlink r:id="rId55" w:history="1">
              <w:r w:rsidR="007C6B9B" w:rsidRPr="007C6B9B">
                <w:rPr>
                  <w:rStyle w:val="Hyperlink"/>
                  <w:b/>
                </w:rPr>
                <w:t>https://www.tga.gov.au</w:t>
              </w:r>
            </w:hyperlink>
          </w:p>
        </w:tc>
      </w:tr>
    </w:tbl>
    <w:p w14:paraId="63D1B5AE" w14:textId="77777777" w:rsidR="00774E1D" w:rsidRPr="008A5E0B" w:rsidRDefault="00774E1D" w:rsidP="004C239D"/>
    <w:sectPr w:rsidR="00774E1D" w:rsidRPr="008A5E0B" w:rsidSect="001C32CD">
      <w:headerReference w:type="even" r:id="rId56"/>
      <w:headerReference w:type="default" r:id="rId57"/>
      <w:footerReference w:type="default" r:id="rId58"/>
      <w:headerReference w:type="first" r:id="rId59"/>
      <w:footerReference w:type="first" r:id="rId60"/>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76994E" w14:textId="77777777" w:rsidR="008E377E" w:rsidRDefault="008E377E" w:rsidP="00C40A36">
      <w:pPr>
        <w:spacing w:after="0"/>
      </w:pPr>
      <w:r>
        <w:separator/>
      </w:r>
    </w:p>
  </w:endnote>
  <w:endnote w:type="continuationSeparator" w:id="0">
    <w:p w14:paraId="543C2B21" w14:textId="77777777" w:rsidR="008E377E" w:rsidRDefault="008E377E"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8E377E" w:rsidRPr="00487162" w14:paraId="6181D38E" w14:textId="77777777" w:rsidTr="00DB750B">
      <w:trPr>
        <w:trHeight w:val="269"/>
      </w:trPr>
      <w:tc>
        <w:tcPr>
          <w:tcW w:w="7371" w:type="dxa"/>
          <w:tcMar>
            <w:top w:w="142" w:type="dxa"/>
            <w:bottom w:w="0" w:type="dxa"/>
          </w:tcMar>
        </w:tcPr>
        <w:p w14:paraId="6E65CEF5" w14:textId="1426F3D3" w:rsidR="008E377E" w:rsidRPr="00487162" w:rsidRDefault="008E377E" w:rsidP="004C6771">
          <w:pPr>
            <w:pStyle w:val="Footer"/>
          </w:pPr>
          <w:r w:rsidRPr="00487162">
            <w:t>AusPA</w:t>
          </w:r>
          <w:r>
            <w:t xml:space="preserve">R - </w:t>
          </w:r>
          <w:r w:rsidR="004C6771" w:rsidRPr="00773191">
            <w:t>Fycompa</w:t>
          </w:r>
          <w:r w:rsidRPr="00773191">
            <w:t xml:space="preserve"> - perampanel - Eisai Australia Pty Ltd - PM-2019-05359-1-1</w:t>
          </w:r>
          <w:r>
            <w:br/>
          </w:r>
          <w:r w:rsidR="004C6771">
            <w:t>FINAL 26</w:t>
          </w:r>
          <w:r>
            <w:t xml:space="preserve"> April 2021</w:t>
          </w:r>
        </w:p>
      </w:tc>
      <w:tc>
        <w:tcPr>
          <w:tcW w:w="1490" w:type="dxa"/>
          <w:tcMar>
            <w:top w:w="142" w:type="dxa"/>
            <w:bottom w:w="0" w:type="dxa"/>
          </w:tcMar>
        </w:tcPr>
        <w:p w14:paraId="52C16D10" w14:textId="13A59323" w:rsidR="008E377E" w:rsidRPr="00487162" w:rsidRDefault="008E377E" w:rsidP="00DB750B">
          <w:pPr>
            <w:pStyle w:val="Footer"/>
            <w:jc w:val="right"/>
          </w:pPr>
          <w:r w:rsidRPr="00487162">
            <w:t xml:space="preserve">Page </w:t>
          </w:r>
          <w:r>
            <w:fldChar w:fldCharType="begin"/>
          </w:r>
          <w:r>
            <w:instrText xml:space="preserve"> PAGE  \* Arabic </w:instrText>
          </w:r>
          <w:r>
            <w:fldChar w:fldCharType="separate"/>
          </w:r>
          <w:r w:rsidR="002B56CA">
            <w:rPr>
              <w:noProof/>
            </w:rPr>
            <w:t>12</w:t>
          </w:r>
          <w:r>
            <w:fldChar w:fldCharType="end"/>
          </w:r>
          <w:r w:rsidRPr="00487162">
            <w:t xml:space="preserve"> of </w:t>
          </w:r>
          <w:fldSimple w:instr=" NUMPAGES  \* Arabic ">
            <w:r w:rsidR="002B56CA">
              <w:rPr>
                <w:noProof/>
              </w:rPr>
              <w:t>65</w:t>
            </w:r>
          </w:fldSimple>
        </w:p>
      </w:tc>
    </w:tr>
  </w:tbl>
  <w:p w14:paraId="4C9DD922" w14:textId="77777777" w:rsidR="008E377E" w:rsidRDefault="008E377E"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8E377E" w:rsidRPr="00487162" w14:paraId="5EB2BCA0" w14:textId="77777777" w:rsidTr="00E45619">
      <w:trPr>
        <w:trHeight w:val="269"/>
      </w:trPr>
      <w:tc>
        <w:tcPr>
          <w:tcW w:w="4519" w:type="dxa"/>
          <w:tcBorders>
            <w:top w:val="single" w:sz="4" w:space="0" w:color="auto"/>
          </w:tcBorders>
          <w:tcMar>
            <w:top w:w="142" w:type="dxa"/>
            <w:bottom w:w="0" w:type="dxa"/>
          </w:tcMar>
        </w:tcPr>
        <w:p w14:paraId="07ED8575" w14:textId="77777777" w:rsidR="008E377E" w:rsidRPr="00487162" w:rsidRDefault="008E377E" w:rsidP="00FE1DEE">
          <w:pPr>
            <w:pStyle w:val="Footer"/>
          </w:pPr>
          <w:r w:rsidRPr="00487162">
            <w:t>Document title, Part #, Section # - Section title</w:t>
          </w:r>
        </w:p>
        <w:p w14:paraId="3E2596CC" w14:textId="77777777" w:rsidR="008E377E" w:rsidRPr="00487162" w:rsidRDefault="008E377E" w:rsidP="00FE1DEE">
          <w:pPr>
            <w:pStyle w:val="Footer"/>
          </w:pPr>
          <w:r w:rsidRPr="00487162">
            <w:t>V1.0 October 2010</w:t>
          </w:r>
        </w:p>
      </w:tc>
      <w:tc>
        <w:tcPr>
          <w:tcW w:w="4342" w:type="dxa"/>
          <w:tcBorders>
            <w:top w:val="single" w:sz="4" w:space="0" w:color="auto"/>
          </w:tcBorders>
          <w:tcMar>
            <w:top w:w="142" w:type="dxa"/>
            <w:bottom w:w="0" w:type="dxa"/>
          </w:tcMar>
        </w:tcPr>
        <w:p w14:paraId="4316D9EA" w14:textId="77777777" w:rsidR="008E377E" w:rsidRPr="00487162" w:rsidRDefault="008E377E"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4</w:t>
            </w:r>
          </w:fldSimple>
        </w:p>
      </w:tc>
    </w:tr>
  </w:tbl>
  <w:p w14:paraId="09FB1F12" w14:textId="77777777" w:rsidR="008E377E" w:rsidRDefault="008E377E">
    <w:pPr>
      <w:pStyle w:val="Footer"/>
    </w:pPr>
  </w:p>
  <w:p w14:paraId="01E399F5" w14:textId="77777777" w:rsidR="008E377E" w:rsidRDefault="008E377E"/>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BECA0" w14:textId="77777777" w:rsidR="008E377E" w:rsidRPr="001C32CD" w:rsidRDefault="008E377E"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8E377E" w14:paraId="46EABCFA" w14:textId="77777777" w:rsidTr="0010601F">
      <w:trPr>
        <w:trHeight w:val="108"/>
      </w:trPr>
      <w:tc>
        <w:tcPr>
          <w:tcW w:w="8875" w:type="dxa"/>
          <w:gridSpan w:val="2"/>
          <w:tcBorders>
            <w:bottom w:val="single" w:sz="4" w:space="0" w:color="auto"/>
          </w:tcBorders>
          <w:tcMar>
            <w:right w:w="284" w:type="dxa"/>
          </w:tcMar>
        </w:tcPr>
        <w:p w14:paraId="35573EFE" w14:textId="77777777" w:rsidR="008E377E" w:rsidRDefault="008E377E" w:rsidP="006E08B3">
          <w:pPr>
            <w:pStyle w:val="Heading3"/>
          </w:pPr>
          <w:r>
            <w:t>Copyright</w:t>
          </w:r>
        </w:p>
        <w:p w14:paraId="6F185D27" w14:textId="77777777" w:rsidR="008E377E" w:rsidRDefault="008E377E" w:rsidP="006E08B3">
          <w:r>
            <w:rPr>
              <w:rFonts w:cs="Arial"/>
            </w:rPr>
            <w:t>©</w:t>
          </w:r>
          <w:r>
            <w:t xml:space="preserve"> Commonwealth of Australia [add year]</w:t>
          </w:r>
        </w:p>
        <w:p w14:paraId="14BA9AEE" w14:textId="77777777" w:rsidR="008E377E" w:rsidRDefault="008E377E" w:rsidP="006E08B3"/>
        <w:p w14:paraId="55D65661" w14:textId="77777777" w:rsidR="008E377E" w:rsidRDefault="008E377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1ABCB0BD" w14:textId="77777777" w:rsidR="008E377E" w:rsidRDefault="008E377E" w:rsidP="006E08B3"/>
        <w:p w14:paraId="53D512E8" w14:textId="77777777" w:rsidR="008E377E" w:rsidRDefault="008E377E" w:rsidP="006E08B3">
          <w:pPr>
            <w:pStyle w:val="Heading3"/>
          </w:pPr>
          <w:r>
            <w:t>Confidentiality</w:t>
          </w:r>
        </w:p>
        <w:p w14:paraId="30433CBA" w14:textId="77777777" w:rsidR="008E377E" w:rsidRDefault="008E377E" w:rsidP="006E08B3">
          <w:r>
            <w:t xml:space="preserve">All submissions received </w:t>
          </w:r>
          <w:proofErr w:type="gramStart"/>
          <w:r>
            <w:t>will be placed</w:t>
          </w:r>
          <w:proofErr w:type="gramEnd"/>
          <w:r>
            <w:t xml:space="preserve"> on the TGA’s Internet site, unless marked confidential. Any confidential material contained within your submission </w:t>
          </w:r>
          <w:proofErr w:type="gramStart"/>
          <w:r>
            <w:t>should be provided</w:t>
          </w:r>
          <w:proofErr w:type="gramEnd"/>
          <w:r>
            <w:t xml:space="preserve"> under a separate cover and clearly marked “IN CONFIDENCE”. Reasons for a claim to confidentiality must be included in the space provided on the TGA submission coversheet.</w:t>
          </w:r>
        </w:p>
        <w:p w14:paraId="1E7D7B5F" w14:textId="77777777" w:rsidR="008E377E" w:rsidRDefault="008E377E" w:rsidP="006E08B3"/>
        <w:p w14:paraId="4EF2B025" w14:textId="77777777" w:rsidR="008E377E" w:rsidRDefault="008E377E" w:rsidP="006E08B3">
          <w:r>
            <w:t xml:space="preserve">For submission made by individuals, all personal details, other than your name, </w:t>
          </w:r>
          <w:proofErr w:type="gramStart"/>
          <w:r>
            <w:t>will be removed</w:t>
          </w:r>
          <w:proofErr w:type="gramEnd"/>
          <w:r>
            <w:t xml:space="preserve"> from your submission before it is published on the TGA’s Internet site.</w:t>
          </w:r>
        </w:p>
        <w:p w14:paraId="4F5C63F7" w14:textId="77777777" w:rsidR="008E377E" w:rsidRDefault="008E377E" w:rsidP="006E08B3"/>
        <w:p w14:paraId="2673E37B" w14:textId="77777777" w:rsidR="008E377E" w:rsidRDefault="008E377E" w:rsidP="006E08B3">
          <w:r>
            <w:t xml:space="preserve">In addition, a list of parties making submissions </w:t>
          </w:r>
          <w:proofErr w:type="gramStart"/>
          <w:r>
            <w:t>will be published</w:t>
          </w:r>
          <w:proofErr w:type="gramEnd"/>
          <w:r>
            <w:t xml:space="preserve">. If you do not wish to be identified with your </w:t>
          </w:r>
          <w:proofErr w:type="gramStart"/>
          <w:r>
            <w:t>submission</w:t>
          </w:r>
          <w:proofErr w:type="gramEnd"/>
          <w:r>
            <w:t xml:space="preserve"> you must specifically request this in the space provided ib the submission coversheet.</w:t>
          </w:r>
        </w:p>
      </w:tc>
    </w:tr>
    <w:tr w:rsidR="008E377E" w14:paraId="5B6CFA8D" w14:textId="77777777" w:rsidTr="0010601F">
      <w:trPr>
        <w:trHeight w:val="417"/>
      </w:trPr>
      <w:tc>
        <w:tcPr>
          <w:tcW w:w="4519" w:type="dxa"/>
          <w:tcBorders>
            <w:top w:val="single" w:sz="4" w:space="0" w:color="auto"/>
          </w:tcBorders>
          <w:tcMar>
            <w:top w:w="142" w:type="dxa"/>
            <w:bottom w:w="0" w:type="dxa"/>
          </w:tcMar>
        </w:tcPr>
        <w:p w14:paraId="36608DC0" w14:textId="77777777" w:rsidR="008E377E" w:rsidRDefault="008E377E" w:rsidP="006E08B3">
          <w:r>
            <w:t>Document title, Part #, Section # - Section title</w:t>
          </w:r>
        </w:p>
        <w:p w14:paraId="312ACACE" w14:textId="77777777" w:rsidR="008E377E" w:rsidRDefault="008E377E" w:rsidP="006E08B3">
          <w:r>
            <w:t>V1.0 October 2010</w:t>
          </w:r>
        </w:p>
      </w:tc>
      <w:tc>
        <w:tcPr>
          <w:tcW w:w="4356" w:type="dxa"/>
          <w:tcBorders>
            <w:top w:val="single" w:sz="4" w:space="0" w:color="auto"/>
          </w:tcBorders>
          <w:tcMar>
            <w:top w:w="142" w:type="dxa"/>
            <w:bottom w:w="0" w:type="dxa"/>
          </w:tcMar>
        </w:tcPr>
        <w:p w14:paraId="51B30253" w14:textId="77777777" w:rsidR="008E377E" w:rsidRDefault="008E377E"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w:t>
            </w:r>
          </w:fldSimple>
          <w:r>
            <w:t xml:space="preserve">  </w:t>
          </w:r>
        </w:p>
      </w:tc>
    </w:tr>
  </w:tbl>
  <w:p w14:paraId="7ED4C93D" w14:textId="77777777" w:rsidR="008E377E" w:rsidRDefault="008E377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78EAAE" w14:textId="77777777" w:rsidR="008E377E" w:rsidRDefault="008E377E" w:rsidP="00C40A36">
      <w:pPr>
        <w:spacing w:after="0"/>
      </w:pPr>
      <w:r>
        <w:separator/>
      </w:r>
    </w:p>
  </w:footnote>
  <w:footnote w:type="continuationSeparator" w:id="0">
    <w:p w14:paraId="3C38A3C1" w14:textId="77777777" w:rsidR="008E377E" w:rsidRDefault="008E377E" w:rsidP="00C40A36">
      <w:pPr>
        <w:spacing w:after="0"/>
      </w:pPr>
      <w:r>
        <w:continuationSeparator/>
      </w:r>
    </w:p>
  </w:footnote>
  <w:footnote w:id="1">
    <w:p w14:paraId="58F3BF8C" w14:textId="77777777" w:rsidR="008E377E" w:rsidRDefault="008E377E">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w:t>
      </w:r>
      <w:proofErr w:type="gramStart"/>
      <w:r w:rsidRPr="00460036">
        <w:t>being used</w:t>
      </w:r>
      <w:proofErr w:type="gramEnd"/>
      <w:r w:rsidRPr="00460036">
        <w:t xml:space="preserve">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78579C2A" w14:textId="6E15168B" w:rsidR="008E377E" w:rsidRDefault="008E377E">
      <w:pPr>
        <w:pStyle w:val="FootnoteText"/>
      </w:pPr>
      <w:r>
        <w:rPr>
          <w:rStyle w:val="FootnoteReference"/>
        </w:rPr>
        <w:footnoteRef/>
      </w:r>
      <w:r>
        <w:t xml:space="preserve"> World Health Organization, Epilepsy: Key Facts. Updated 20 June 2019, accessed 26 March 2021. Available from the WHO website.</w:t>
      </w:r>
    </w:p>
  </w:footnote>
  <w:footnote w:id="3">
    <w:p w14:paraId="6A710E71" w14:textId="14F4FCD8" w:rsidR="008E377E" w:rsidRDefault="008E377E">
      <w:pPr>
        <w:pStyle w:val="FootnoteText"/>
      </w:pPr>
      <w:r>
        <w:rPr>
          <w:rStyle w:val="FootnoteReference"/>
        </w:rPr>
        <w:footnoteRef/>
      </w:r>
      <w:r>
        <w:t xml:space="preserve"> </w:t>
      </w:r>
      <w:r w:rsidRPr="00150278">
        <w:t xml:space="preserve">Dalic L, Cook MJ. Managing drug-resistant epilepsy: challenges and solutions. </w:t>
      </w:r>
      <w:r w:rsidRPr="00150278">
        <w:rPr>
          <w:i/>
        </w:rPr>
        <w:t>Neuropsychiatr Dis Treat</w:t>
      </w:r>
      <w:r>
        <w:t>. 2016; 12: 2605-2616.</w:t>
      </w:r>
    </w:p>
  </w:footnote>
  <w:footnote w:id="4">
    <w:p w14:paraId="6B283FF8" w14:textId="790C46A0" w:rsidR="008E377E" w:rsidRDefault="008E377E">
      <w:pPr>
        <w:pStyle w:val="FootnoteText"/>
      </w:pPr>
      <w:r>
        <w:rPr>
          <w:rStyle w:val="FootnoteReference"/>
        </w:rPr>
        <w:footnoteRef/>
      </w:r>
      <w:r>
        <w:t xml:space="preserve"> Wilfong, A, </w:t>
      </w:r>
      <w:r w:rsidRPr="00805125">
        <w:t>Seizures and epilepsy in children: Classification, etiology, and clinical features</w:t>
      </w:r>
      <w:r>
        <w:t xml:space="preserve">, </w:t>
      </w:r>
      <w:r w:rsidRPr="00805125">
        <w:t xml:space="preserve">In: UpToDate, Waltham, MA (Accessed </w:t>
      </w:r>
      <w:r>
        <w:t>2019</w:t>
      </w:r>
      <w:r w:rsidRPr="00805125">
        <w:t>).</w:t>
      </w:r>
    </w:p>
  </w:footnote>
  <w:footnote w:id="5">
    <w:p w14:paraId="77838BD8" w14:textId="62B73BD6" w:rsidR="008E377E" w:rsidRPr="004C6771" w:rsidRDefault="008E377E">
      <w:pPr>
        <w:pStyle w:val="FootnoteText"/>
        <w:rPr>
          <w:lang w:val="en-US"/>
        </w:rPr>
      </w:pPr>
      <w:r>
        <w:rPr>
          <w:rStyle w:val="FootnoteReference"/>
        </w:rPr>
        <w:footnoteRef/>
      </w:r>
      <w:r>
        <w:t xml:space="preserve"> </w:t>
      </w:r>
      <w:r w:rsidRPr="004F68E5">
        <w:rPr>
          <w:b/>
        </w:rPr>
        <w:t>AMPA receptors</w:t>
      </w:r>
      <w:r>
        <w:t xml:space="preserve"> are ligand gated ion channel (or ionotropic</w:t>
      </w:r>
      <w:r w:rsidRPr="00D76183">
        <w:t>)</w:t>
      </w:r>
      <w:r>
        <w:t xml:space="preserve"> glutamate receptors. </w:t>
      </w:r>
      <w:proofErr w:type="gramStart"/>
      <w:r>
        <w:t>metabotropic</w:t>
      </w:r>
      <w:proofErr w:type="gramEnd"/>
      <w:r>
        <w:t xml:space="preserve">). The naming of AMPA receptors </w:t>
      </w:r>
      <w:proofErr w:type="gramStart"/>
      <w:r>
        <w:t>is derived</w:t>
      </w:r>
      <w:proofErr w:type="gramEnd"/>
      <w:r>
        <w:t xml:space="preserve"> from the ability of these receptors to be activated by the artificial glutamate analogue </w:t>
      </w:r>
      <w:r w:rsidRPr="00F9427C">
        <w:t>α-amino-3-hydroxy-5-methyl-4-isoxazolepropionic acid</w:t>
      </w:r>
      <w:r>
        <w:t xml:space="preserve"> (AMPA).</w:t>
      </w:r>
    </w:p>
  </w:footnote>
  <w:footnote w:id="6">
    <w:p w14:paraId="349A966F" w14:textId="13786992" w:rsidR="008E377E" w:rsidRDefault="008E377E" w:rsidP="00805125">
      <w:pPr>
        <w:pStyle w:val="FootnoteText"/>
      </w:pPr>
      <w:r>
        <w:rPr>
          <w:rStyle w:val="FootnoteReference"/>
        </w:rPr>
        <w:footnoteRef/>
      </w:r>
      <w:r>
        <w:t xml:space="preserve"> Brodie, M.J. et al, </w:t>
      </w:r>
      <w:r w:rsidRPr="00805125">
        <w:t>Epilepsy, Antiepileptic Drugs, and Aggression: An Evidence-Based Review</w:t>
      </w:r>
      <w:r>
        <w:t xml:space="preserve">, </w:t>
      </w:r>
      <w:r w:rsidRPr="00805125">
        <w:rPr>
          <w:i/>
        </w:rPr>
        <w:t>Pharmacological Reviews</w:t>
      </w:r>
      <w:r>
        <w:t>, 2016</w:t>
      </w:r>
      <w:proofErr w:type="gramStart"/>
      <w:r>
        <w:t>;</w:t>
      </w:r>
      <w:proofErr w:type="gramEnd"/>
      <w:r>
        <w:t xml:space="preserve"> 68 (3) 563-602.</w:t>
      </w:r>
    </w:p>
  </w:footnote>
  <w:footnote w:id="7">
    <w:p w14:paraId="6F4E0366" w14:textId="79764F6B" w:rsidR="008E377E" w:rsidRDefault="008E377E">
      <w:pPr>
        <w:pStyle w:val="FootnoteText"/>
      </w:pPr>
      <w:r>
        <w:rPr>
          <w:rStyle w:val="FootnoteReference"/>
        </w:rPr>
        <w:footnoteRef/>
      </w:r>
      <w:r>
        <w:t xml:space="preserve"> </w:t>
      </w:r>
      <w:r w:rsidRPr="006C4B93">
        <w:t>Pellock</w:t>
      </w:r>
      <w:r>
        <w:t>,</w:t>
      </w:r>
      <w:r w:rsidRPr="006C4B93">
        <w:t xml:space="preserve"> J</w:t>
      </w:r>
      <w:r>
        <w:t>.</w:t>
      </w:r>
      <w:r w:rsidRPr="006C4B93">
        <w:t>M</w:t>
      </w:r>
      <w:r>
        <w:t>. et al</w:t>
      </w:r>
      <w:r w:rsidRPr="006C4B93">
        <w:t xml:space="preserve">. Efficacy of antiepileptic drugs in adults predicts efficacy in children: a systematic review. </w:t>
      </w:r>
      <w:r w:rsidRPr="006C4B93">
        <w:rPr>
          <w:i/>
        </w:rPr>
        <w:t>Neurology</w:t>
      </w:r>
      <w:r>
        <w:t>. 2012</w:t>
      </w:r>
      <w:proofErr w:type="gramStart"/>
      <w:r>
        <w:t>;</w:t>
      </w:r>
      <w:proofErr w:type="gramEnd"/>
      <w:r>
        <w:t xml:space="preserve"> 79(14): 1482-1489</w:t>
      </w:r>
      <w:r w:rsidRPr="006C4B93">
        <w:t>.</w:t>
      </w:r>
    </w:p>
  </w:footnote>
  <w:footnote w:id="8">
    <w:p w14:paraId="618FCCC8" w14:textId="37884AF4" w:rsidR="008E377E" w:rsidRDefault="008E377E">
      <w:pPr>
        <w:pStyle w:val="FootnoteText"/>
      </w:pPr>
      <w:r>
        <w:rPr>
          <w:rStyle w:val="FootnoteReference"/>
        </w:rPr>
        <w:footnoteRef/>
      </w:r>
      <w:r>
        <w:t xml:space="preserve"> Pellock, J.M. et al</w:t>
      </w:r>
      <w:r w:rsidRPr="006C4B93">
        <w:t xml:space="preserve">. </w:t>
      </w:r>
      <w:proofErr w:type="gramStart"/>
      <w:r w:rsidRPr="006C4B93">
        <w:t>Extrapolating</w:t>
      </w:r>
      <w:proofErr w:type="gramEnd"/>
      <w:r w:rsidRPr="006C4B93">
        <w:t xml:space="preserve"> evidence of antiepileptic drug efficacy in adults to children ≥</w:t>
      </w:r>
      <w:r>
        <w:t xml:space="preserve"> </w:t>
      </w:r>
      <w:r w:rsidRPr="006C4B93">
        <w:t xml:space="preserve">2 years of age with focal seizures: The case for disease similarity. </w:t>
      </w:r>
      <w:r w:rsidRPr="006C4B93">
        <w:rPr>
          <w:i/>
        </w:rPr>
        <w:t>Epilepsia</w:t>
      </w:r>
      <w:r w:rsidRPr="006C4B93">
        <w:t>. 2017</w:t>
      </w:r>
      <w:proofErr w:type="gramStart"/>
      <w:r w:rsidRPr="006C4B93">
        <w:t>;</w:t>
      </w:r>
      <w:proofErr w:type="gramEnd"/>
      <w:r>
        <w:t xml:space="preserve"> </w:t>
      </w:r>
      <w:r w:rsidRPr="006C4B93">
        <w:t>58(10):</w:t>
      </w:r>
      <w:r>
        <w:t xml:space="preserve"> </w:t>
      </w:r>
      <w:r w:rsidRPr="006C4B93">
        <w:t>1686-1696.</w:t>
      </w:r>
    </w:p>
  </w:footnote>
  <w:footnote w:id="9">
    <w:p w14:paraId="00522CE2" w14:textId="0F8719A9" w:rsidR="008E377E" w:rsidRDefault="008E377E">
      <w:pPr>
        <w:pStyle w:val="FootnoteText"/>
      </w:pPr>
      <w:r>
        <w:rPr>
          <w:rStyle w:val="FootnoteReference"/>
        </w:rPr>
        <w:footnoteRef/>
      </w:r>
      <w:r>
        <w:t xml:space="preserve"> </w:t>
      </w:r>
      <w:r w:rsidRPr="004B7733">
        <w:t xml:space="preserve">EMA, European Public Assessment Report (EPAR), </w:t>
      </w:r>
      <w:r>
        <w:t>Fycompa (perampanel)</w:t>
      </w:r>
      <w:r w:rsidRPr="004B7733">
        <w:t xml:space="preserve">, </w:t>
      </w:r>
      <w:r>
        <w:t>EMA/695418/2020</w:t>
      </w:r>
      <w:r w:rsidRPr="004B7733">
        <w:t xml:space="preserve">, </w:t>
      </w:r>
      <w:r>
        <w:t>17 September 2020</w:t>
      </w:r>
      <w:r w:rsidRPr="004B7733">
        <w:t>. Available from the EMA website.</w:t>
      </w:r>
    </w:p>
  </w:footnote>
  <w:footnote w:id="10">
    <w:p w14:paraId="5253BC0A" w14:textId="77777777" w:rsidR="008E377E" w:rsidRDefault="008E377E" w:rsidP="001B3BC4">
      <w:pPr>
        <w:pStyle w:val="FootnoteText"/>
      </w:pPr>
      <w:r>
        <w:rPr>
          <w:rStyle w:val="FootnoteReference"/>
        </w:rPr>
        <w:footnoteRef/>
      </w:r>
      <w:r>
        <w:t xml:space="preserve"> </w:t>
      </w:r>
      <w:r w:rsidRPr="004C6771">
        <w:rPr>
          <w:b/>
        </w:rPr>
        <w:t>Cytochrome P450</w:t>
      </w:r>
      <w:r>
        <w:t xml:space="preserve"> (</w:t>
      </w:r>
      <w:r w:rsidRPr="004C6771">
        <w:rPr>
          <w:b/>
        </w:rPr>
        <w:t>CYP</w:t>
      </w:r>
      <w:r>
        <w:t xml:space="preserve">) </w:t>
      </w:r>
      <w:r w:rsidRPr="004C6771">
        <w:rPr>
          <w:b/>
        </w:rPr>
        <w:t>enzymes</w:t>
      </w:r>
      <w:r>
        <w:t xml:space="preserve">: CYPs are the major enzymes involved in drug metabolism, accounting for large part of the total metabolism. Most drugs undergo deactivation by CYPs, either directly or by facilitated excretion from the body. </w:t>
      </w:r>
      <w:proofErr w:type="gramStart"/>
      <w:r>
        <w:t>Also</w:t>
      </w:r>
      <w:proofErr w:type="gramEnd"/>
      <w:r>
        <w:t>, many substances are bioactivated by CYPs to form their active compounds.</w:t>
      </w:r>
    </w:p>
    <w:p w14:paraId="4DEC5C9D" w14:textId="1704231B" w:rsidR="008E377E" w:rsidRPr="004C6771" w:rsidRDefault="008E377E" w:rsidP="001B3BC4">
      <w:pPr>
        <w:pStyle w:val="FootnoteText"/>
        <w:rPr>
          <w:lang w:val="en-US"/>
        </w:rPr>
      </w:pPr>
      <w:r>
        <w:t xml:space="preserve">Many drugs may increase or decrease the activity of various CYP isozymes </w:t>
      </w:r>
      <w:proofErr w:type="gramStart"/>
      <w:r>
        <w:t>either by</w:t>
      </w:r>
      <w:proofErr w:type="gramEnd"/>
      <w:r>
        <w:t xml:space="preserve"> inducing the biosynthesis of an isozyme (enzyme induction) or by directly inhibiting the activity of the CYP (enzyme inhibition). This is a major source of adverse drug interactions, since changes in CYP enzyme activity may affect the metabolism and clearance of various drugs. Such drug interactions are especially important to take into account when using drugs of vital importance to the patient, drugs with important side-effects and drugs with small therapeutic windows, but any drug may be subject to an altered plasma concentration due to altered drug metabolism.</w:t>
      </w:r>
    </w:p>
  </w:footnote>
  <w:footnote w:id="11">
    <w:p w14:paraId="6544D9FC" w14:textId="31D5F028" w:rsidR="008E377E" w:rsidRDefault="008E377E">
      <w:pPr>
        <w:pStyle w:val="FootnoteText"/>
      </w:pPr>
      <w:r>
        <w:rPr>
          <w:rStyle w:val="FootnoteReference"/>
        </w:rPr>
        <w:footnoteRef/>
      </w:r>
      <w:r>
        <w:t xml:space="preserve"> ETA = </w:t>
      </w:r>
      <w:r w:rsidRPr="00D9216C">
        <w:t>empirical Bayes estimate of th</w:t>
      </w:r>
      <w:r>
        <w:t>e interindividual random effect.</w:t>
      </w:r>
    </w:p>
  </w:footnote>
  <w:footnote w:id="12">
    <w:p w14:paraId="561C2D3D" w14:textId="3C286AFA" w:rsidR="008E377E" w:rsidRDefault="008E377E">
      <w:pPr>
        <w:pStyle w:val="FootnoteText"/>
      </w:pPr>
      <w:r>
        <w:rPr>
          <w:rStyle w:val="FootnoteReference"/>
        </w:rPr>
        <w:footnoteRef/>
      </w:r>
      <w:r>
        <w:t xml:space="preserve"> French, J.A. et al</w:t>
      </w:r>
      <w:r w:rsidRPr="00D523E2">
        <w:t xml:space="preserve">. Perampanel for tonic-clonic seizures in idiopathic generalized epilepsy </w:t>
      </w:r>
      <w:proofErr w:type="gramStart"/>
      <w:r w:rsidRPr="00D523E2">
        <w:t>A</w:t>
      </w:r>
      <w:proofErr w:type="gramEnd"/>
      <w:r w:rsidRPr="00D523E2">
        <w:t xml:space="preserve"> randomized trial. </w:t>
      </w:r>
      <w:r w:rsidRPr="00D523E2">
        <w:rPr>
          <w:i/>
        </w:rPr>
        <w:t>Neurology</w:t>
      </w:r>
      <w:r>
        <w:t>. 2015</w:t>
      </w:r>
      <w:proofErr w:type="gramStart"/>
      <w:r>
        <w:t>;</w:t>
      </w:r>
      <w:proofErr w:type="gramEnd"/>
      <w:r>
        <w:t xml:space="preserve"> 85(11): 950-957</w:t>
      </w:r>
      <w:r w:rsidRPr="00D523E2">
        <w:t>.</w:t>
      </w:r>
    </w:p>
  </w:footnote>
  <w:footnote w:id="13">
    <w:p w14:paraId="7E2C73DA" w14:textId="6199A158" w:rsidR="008E377E" w:rsidRDefault="008E377E">
      <w:pPr>
        <w:pStyle w:val="FootnoteText"/>
      </w:pPr>
      <w:r>
        <w:rPr>
          <w:rStyle w:val="FootnoteReference"/>
        </w:rPr>
        <w:footnoteRef/>
      </w:r>
      <w:r>
        <w:t xml:space="preserve"> </w:t>
      </w:r>
      <w:r w:rsidRPr="00121817">
        <w:rPr>
          <w:b/>
        </w:rPr>
        <w:t>Clinical Global Impression</w:t>
      </w:r>
      <w:r>
        <w:t xml:space="preserve"> is a 7-point rating scale that provides a clinician-determined summary of the severity of a patient’s illness before and after commencing treatment, comprising two components: </w:t>
      </w:r>
      <w:r w:rsidRPr="00872615">
        <w:t xml:space="preserve">a) </w:t>
      </w:r>
      <w:r>
        <w:t xml:space="preserve">the severity of psychopathology, and </w:t>
      </w:r>
      <w:r w:rsidRPr="00872615">
        <w:t xml:space="preserve">b) </w:t>
      </w:r>
      <w:r>
        <w:t xml:space="preserve">the </w:t>
      </w:r>
      <w:r w:rsidRPr="00872615">
        <w:t>change f</w:t>
      </w:r>
      <w:r>
        <w:t>rom the initiation of treatment.</w:t>
      </w:r>
    </w:p>
  </w:footnote>
  <w:footnote w:id="14">
    <w:p w14:paraId="4ECE1CBF" w14:textId="18C5B0B5" w:rsidR="008E377E" w:rsidRPr="004C6771" w:rsidRDefault="008E377E">
      <w:pPr>
        <w:pStyle w:val="FootnoteText"/>
        <w:rPr>
          <w:lang w:val="en-US"/>
        </w:rPr>
      </w:pPr>
      <w:r>
        <w:rPr>
          <w:rStyle w:val="FootnoteReference"/>
        </w:rPr>
        <w:footnoteRef/>
      </w:r>
      <w:r>
        <w:t xml:space="preserve"> Definitions of </w:t>
      </w:r>
      <w:r w:rsidRPr="004C6771">
        <w:rPr>
          <w:b/>
        </w:rPr>
        <w:t>status epilepticus</w:t>
      </w:r>
      <w:r>
        <w:t xml:space="preserve"> vary, but status epilepticus</w:t>
      </w:r>
      <w:r w:rsidRPr="00417D36">
        <w:t xml:space="preserve"> is </w:t>
      </w:r>
      <w:r>
        <w:t xml:space="preserve">typically </w:t>
      </w:r>
      <w:r w:rsidRPr="00417D36">
        <w:t xml:space="preserve">a single seizure lasting more than five minutes or two or more seizures within a five-minute period without the person </w:t>
      </w:r>
      <w:r>
        <w:t>regaining consciousness between seizures</w:t>
      </w:r>
      <w:r w:rsidRPr="00417D36">
        <w:t>.</w:t>
      </w:r>
    </w:p>
  </w:footnote>
  <w:footnote w:id="15">
    <w:p w14:paraId="794F39F9" w14:textId="3F5ADB61" w:rsidR="008E377E" w:rsidRDefault="008E377E">
      <w:pPr>
        <w:pStyle w:val="FootnoteText"/>
      </w:pPr>
      <w:r>
        <w:rPr>
          <w:rStyle w:val="FootnoteReference"/>
        </w:rPr>
        <w:footnoteRef/>
      </w:r>
      <w:r>
        <w:t xml:space="preserve"> The </w:t>
      </w:r>
      <w:r w:rsidRPr="00CC1399">
        <w:rPr>
          <w:b/>
          <w:lang w:eastAsia="ja-JP"/>
        </w:rPr>
        <w:t>Aldenkamp-Baker Neuropsychological Assessment Schedule (ABNAS)</w:t>
      </w:r>
      <w:r>
        <w:rPr>
          <w:lang w:eastAsia="ja-JP"/>
        </w:rPr>
        <w:t xml:space="preserve"> is a patient reported outcome that </w:t>
      </w:r>
      <w:proofErr w:type="gramStart"/>
      <w:r>
        <w:rPr>
          <w:lang w:eastAsia="ja-JP"/>
        </w:rPr>
        <w:t>is used</w:t>
      </w:r>
      <w:proofErr w:type="gramEnd"/>
      <w:r>
        <w:rPr>
          <w:lang w:eastAsia="ja-JP"/>
        </w:rPr>
        <w:t xml:space="preserve"> to assess perceived side effects of antiepileptic medicines.</w:t>
      </w:r>
    </w:p>
  </w:footnote>
  <w:footnote w:id="16">
    <w:p w14:paraId="26EE479F" w14:textId="0596B2CA" w:rsidR="008E377E" w:rsidRDefault="008E377E" w:rsidP="00CC1399">
      <w:pPr>
        <w:pStyle w:val="FootnoteText"/>
      </w:pPr>
      <w:r>
        <w:rPr>
          <w:rStyle w:val="FootnoteReference"/>
        </w:rPr>
        <w:footnoteRef/>
      </w:r>
      <w:r>
        <w:t xml:space="preserve"> The </w:t>
      </w:r>
      <w:r w:rsidRPr="00CC1399">
        <w:rPr>
          <w:b/>
          <w:lang w:eastAsia="ja-JP"/>
        </w:rPr>
        <w:t>Child Behaviour Checklist (CBCL)</w:t>
      </w:r>
      <w:r>
        <w:rPr>
          <w:lang w:eastAsia="ja-JP"/>
        </w:rPr>
        <w:t xml:space="preserve"> is a checklist completed by the parent or primary caregiver that </w:t>
      </w:r>
      <w:proofErr w:type="gramStart"/>
      <w:r>
        <w:rPr>
          <w:lang w:eastAsia="ja-JP"/>
        </w:rPr>
        <w:t>is used</w:t>
      </w:r>
      <w:proofErr w:type="gramEnd"/>
      <w:r>
        <w:rPr>
          <w:lang w:eastAsia="ja-JP"/>
        </w:rPr>
        <w:t xml:space="preserve"> to detect behavioural and emotional issues in children and adolescents.</w:t>
      </w:r>
    </w:p>
  </w:footnote>
  <w:footnote w:id="17">
    <w:p w14:paraId="281F82CD" w14:textId="681FAED5" w:rsidR="008E377E" w:rsidRDefault="008E377E">
      <w:pPr>
        <w:pStyle w:val="FootnoteText"/>
      </w:pPr>
      <w:r>
        <w:rPr>
          <w:rStyle w:val="FootnoteReference"/>
        </w:rPr>
        <w:footnoteRef/>
      </w:r>
      <w:r>
        <w:t xml:space="preserve"> The </w:t>
      </w:r>
      <w:r w:rsidRPr="00CC1399">
        <w:rPr>
          <w:b/>
          <w:lang w:eastAsia="ja-JP"/>
        </w:rPr>
        <w:t>Lafayette Grooved Pegboard Test (LGPT)</w:t>
      </w:r>
      <w:r>
        <w:rPr>
          <w:lang w:eastAsia="ja-JP"/>
        </w:rPr>
        <w:t xml:space="preserve"> is a test of manipulative dexterity, consisting of 25 holes with randomly positioned slots. The pegs, which have a key along one side, </w:t>
      </w:r>
      <w:proofErr w:type="gramStart"/>
      <w:r>
        <w:rPr>
          <w:lang w:eastAsia="ja-JP"/>
        </w:rPr>
        <w:t>must be rotated</w:t>
      </w:r>
      <w:proofErr w:type="gramEnd"/>
      <w:r>
        <w:rPr>
          <w:lang w:eastAsia="ja-JP"/>
        </w:rPr>
        <w:t xml:space="preserve"> to insert into the hole.</w:t>
      </w:r>
    </w:p>
  </w:footnote>
  <w:footnote w:id="18">
    <w:p w14:paraId="1A0833F4" w14:textId="77777777" w:rsidR="008E377E" w:rsidRDefault="008E377E" w:rsidP="007D53B6">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47BDE62A" w14:textId="77777777" w:rsidR="008E377E" w:rsidRDefault="008E377E" w:rsidP="007D53B6">
      <w:pPr>
        <w:pStyle w:val="FootnoteText"/>
      </w:pPr>
      <w:r w:rsidRPr="007D53B6">
        <w:rPr>
          <w:i/>
        </w:rPr>
        <w:t>Routine pharmacovigilance</w:t>
      </w:r>
      <w:r>
        <w:t xml:space="preserve"> practices involve the following activities:</w:t>
      </w:r>
    </w:p>
    <w:p w14:paraId="5B33C0E2" w14:textId="77777777" w:rsidR="008E377E" w:rsidRPr="000A6FB2" w:rsidRDefault="008E377E" w:rsidP="000A6FB2">
      <w:pPr>
        <w:pStyle w:val="ListBullet"/>
        <w:spacing w:before="0" w:after="0"/>
        <w:rPr>
          <w:sz w:val="18"/>
          <w:szCs w:val="18"/>
        </w:rPr>
      </w:pPr>
      <w:r w:rsidRPr="000A6FB2">
        <w:rPr>
          <w:sz w:val="18"/>
          <w:szCs w:val="18"/>
        </w:rPr>
        <w:t>All suspected adverse reactions that are reported to the personnel of the company are collected and collated in an accessible manner;</w:t>
      </w:r>
    </w:p>
    <w:p w14:paraId="6B7B7FF5" w14:textId="77777777" w:rsidR="008E377E" w:rsidRPr="000A6FB2" w:rsidRDefault="008E377E" w:rsidP="000A6FB2">
      <w:pPr>
        <w:pStyle w:val="ListBullet"/>
        <w:spacing w:before="0" w:after="0"/>
        <w:rPr>
          <w:sz w:val="18"/>
          <w:szCs w:val="18"/>
        </w:rPr>
      </w:pPr>
      <w:r w:rsidRPr="000A6FB2">
        <w:rPr>
          <w:sz w:val="18"/>
          <w:szCs w:val="18"/>
        </w:rPr>
        <w:t>Reporting to regulatory authorities;</w:t>
      </w:r>
    </w:p>
    <w:p w14:paraId="7BE8BC62" w14:textId="77777777" w:rsidR="008E377E" w:rsidRPr="000A6FB2" w:rsidRDefault="008E377E" w:rsidP="000A6FB2">
      <w:pPr>
        <w:pStyle w:val="ListBullet"/>
        <w:spacing w:before="0" w:after="0"/>
        <w:rPr>
          <w:sz w:val="18"/>
          <w:szCs w:val="18"/>
        </w:rPr>
      </w:pPr>
      <w:r w:rsidRPr="000A6FB2">
        <w:rPr>
          <w:sz w:val="18"/>
          <w:szCs w:val="18"/>
        </w:rPr>
        <w:t>Continuous monitoring of the safety profiles of approved products including signal detection and updating of labelling;</w:t>
      </w:r>
    </w:p>
    <w:p w14:paraId="2A8FE879" w14:textId="77777777" w:rsidR="008E377E" w:rsidRPr="000A6FB2" w:rsidRDefault="008E377E" w:rsidP="000A6FB2">
      <w:pPr>
        <w:pStyle w:val="ListBullet"/>
        <w:spacing w:before="0" w:after="0"/>
        <w:rPr>
          <w:sz w:val="18"/>
          <w:szCs w:val="18"/>
        </w:rPr>
      </w:pPr>
      <w:r w:rsidRPr="000A6FB2">
        <w:rPr>
          <w:sz w:val="18"/>
          <w:szCs w:val="18"/>
        </w:rPr>
        <w:t>Submission of PSURs;</w:t>
      </w:r>
    </w:p>
    <w:p w14:paraId="6DD640F2" w14:textId="77777777" w:rsidR="008E377E" w:rsidRPr="000A6FB2" w:rsidRDefault="008E377E" w:rsidP="000A6FB2">
      <w:pPr>
        <w:pStyle w:val="ListBullet"/>
        <w:spacing w:before="0" w:after="0"/>
        <w:rPr>
          <w:sz w:val="18"/>
          <w:szCs w:val="18"/>
        </w:rPr>
      </w:pPr>
      <w:r w:rsidRPr="000A6FB2">
        <w:rPr>
          <w:sz w:val="18"/>
          <w:szCs w:val="18"/>
        </w:rPr>
        <w:t>Meeting other local regulatory agency requirements.</w:t>
      </w:r>
    </w:p>
  </w:footnote>
  <w:footnote w:id="19">
    <w:p w14:paraId="44B959DC" w14:textId="68AAA4EC" w:rsidR="008E377E" w:rsidRDefault="008E377E">
      <w:pPr>
        <w:pStyle w:val="FootnoteText"/>
      </w:pPr>
      <w:r>
        <w:rPr>
          <w:rStyle w:val="FootnoteReference"/>
        </w:rPr>
        <w:footnoteRef/>
      </w:r>
      <w:r>
        <w:t xml:space="preserve"> EMA, Human Medicines Development and Evaluation, Concept paper on extrapolation of efficacy and safety in medicine development, EMA/129698/2012, 19 March 2013.</w:t>
      </w:r>
    </w:p>
  </w:footnote>
  <w:footnote w:id="20">
    <w:p w14:paraId="5735295E" w14:textId="7B2C32D2" w:rsidR="008E377E" w:rsidRDefault="008E377E">
      <w:pPr>
        <w:pStyle w:val="FootnoteText"/>
      </w:pPr>
      <w:r>
        <w:rPr>
          <w:rStyle w:val="FootnoteReference"/>
        </w:rPr>
        <w:footnoteRef/>
      </w:r>
      <w:r>
        <w:t xml:space="preserve"> EMA, Draft reflection paper on extrapolation of efficacy and safety in paediatric medicine development, EMA/199678/2016, 1 April 2016.</w:t>
      </w:r>
    </w:p>
  </w:footnote>
  <w:footnote w:id="21">
    <w:p w14:paraId="207A11D0" w14:textId="09345648" w:rsidR="008E377E" w:rsidRDefault="008E377E" w:rsidP="00C73E0F">
      <w:pPr>
        <w:pStyle w:val="FootnoteText"/>
      </w:pPr>
      <w:r>
        <w:rPr>
          <w:rStyle w:val="FootnoteReference"/>
        </w:rPr>
        <w:footnoteRef/>
      </w:r>
      <w:r>
        <w:t xml:space="preserve"> FDA, </w:t>
      </w:r>
      <w:r w:rsidRPr="00C73E0F">
        <w:t>Center for Drug Evaluation and Research</w:t>
      </w:r>
      <w:r>
        <w:t>,</w:t>
      </w:r>
      <w:r w:rsidRPr="00C73E0F">
        <w:t xml:space="preserve"> Drugs for Treatment of Partial Onset Seizures: Full Extrapolation of Efficacy from Adults to Pediatric Patients 2 Years of Age and Older Guidance for Industry</w:t>
      </w:r>
      <w:r>
        <w:t>, FDA-2018-D-0178, September 2019.</w:t>
      </w:r>
    </w:p>
  </w:footnote>
  <w:footnote w:id="22">
    <w:p w14:paraId="68F5CB82" w14:textId="77D6B6A1" w:rsidR="008E377E" w:rsidRDefault="008E377E">
      <w:pPr>
        <w:pStyle w:val="FootnoteText"/>
      </w:pPr>
      <w:r>
        <w:rPr>
          <w:rStyle w:val="FootnoteReference"/>
        </w:rPr>
        <w:footnoteRef/>
      </w:r>
      <w:r>
        <w:t xml:space="preserve"> </w:t>
      </w:r>
      <w:r w:rsidRPr="00BA5DB5">
        <w:t xml:space="preserve">Mahmood, I., Allometric issues in drug development. </w:t>
      </w:r>
      <w:r w:rsidRPr="00BA5DB5">
        <w:rPr>
          <w:i/>
        </w:rPr>
        <w:t>J Pharm Sci</w:t>
      </w:r>
      <w:r>
        <w:t>, 1999</w:t>
      </w:r>
      <w:proofErr w:type="gramStart"/>
      <w:r>
        <w:t>;</w:t>
      </w:r>
      <w:proofErr w:type="gramEnd"/>
      <w:r>
        <w:t xml:space="preserve"> 88(11): </w:t>
      </w:r>
      <w:r w:rsidRPr="00BA5DB5">
        <w:t>1101-</w:t>
      </w:r>
      <w:r>
        <w:t>110</w:t>
      </w:r>
      <w:r w:rsidRPr="00BA5DB5">
        <w:t>6</w:t>
      </w:r>
      <w:r>
        <w:t>.</w:t>
      </w:r>
    </w:p>
  </w:footnote>
  <w:footnote w:id="23">
    <w:p w14:paraId="3BA06ED0" w14:textId="217C3987" w:rsidR="008E377E" w:rsidRDefault="008E377E">
      <w:pPr>
        <w:pStyle w:val="FootnoteText"/>
      </w:pPr>
      <w:r>
        <w:rPr>
          <w:rStyle w:val="FootnoteReference"/>
        </w:rPr>
        <w:footnoteRef/>
      </w:r>
      <w:r>
        <w:t xml:space="preserve"> Huang, Q. and </w:t>
      </w:r>
      <w:r w:rsidRPr="00BA5DB5">
        <w:t>Riviere</w:t>
      </w:r>
      <w:proofErr w:type="gramStart"/>
      <w:r>
        <w:t>,J.E</w:t>
      </w:r>
      <w:proofErr w:type="gramEnd"/>
      <w:r>
        <w:t>.</w:t>
      </w:r>
      <w:r w:rsidRPr="00BA5DB5">
        <w:t xml:space="preserve">, The application of allometric scaling principles to predict pharmacokinetic parameters across species. </w:t>
      </w:r>
      <w:r w:rsidRPr="00BA5DB5">
        <w:rPr>
          <w:i/>
        </w:rPr>
        <w:t>Expert Opin Drug Metab Toxicol</w:t>
      </w:r>
      <w:r>
        <w:t xml:space="preserve">, 2014; 10(9): </w:t>
      </w:r>
      <w:r w:rsidRPr="00BA5DB5">
        <w:t>1241-</w:t>
      </w:r>
      <w:r>
        <w:t>12</w:t>
      </w:r>
      <w:r w:rsidRPr="00BA5DB5">
        <w:t>53</w:t>
      </w:r>
      <w:r>
        <w:t>.</w:t>
      </w:r>
    </w:p>
  </w:footnote>
  <w:footnote w:id="24">
    <w:p w14:paraId="31670A33" w14:textId="5C7F8E74" w:rsidR="008E377E" w:rsidRDefault="008E377E">
      <w:pPr>
        <w:pStyle w:val="FootnoteText"/>
      </w:pPr>
      <w:r>
        <w:rPr>
          <w:rStyle w:val="FootnoteReference"/>
        </w:rPr>
        <w:footnoteRef/>
      </w:r>
      <w:r>
        <w:t xml:space="preserve"> </w:t>
      </w:r>
      <w:r w:rsidRPr="00BA5DB5">
        <w:t>Mahmood, I., Application of allometric principles for the prediction of pharmacokinetics in human and veterinary drug develo</w:t>
      </w:r>
      <w:r>
        <w:t xml:space="preserve">pment. </w:t>
      </w:r>
      <w:r w:rsidRPr="00BA5DB5">
        <w:rPr>
          <w:i/>
        </w:rPr>
        <w:t>Adv Drug Deliv Rev</w:t>
      </w:r>
      <w:r>
        <w:t>, 2007</w:t>
      </w:r>
      <w:proofErr w:type="gramStart"/>
      <w:r>
        <w:t>;</w:t>
      </w:r>
      <w:proofErr w:type="gramEnd"/>
      <w:r>
        <w:t xml:space="preserve"> 59(11): </w:t>
      </w:r>
      <w:r w:rsidRPr="00BA5DB5">
        <w:t>1177-</w:t>
      </w:r>
      <w:r>
        <w:t>11</w:t>
      </w:r>
      <w:r w:rsidRPr="00BA5DB5">
        <w:t>92</w:t>
      </w:r>
      <w:r>
        <w:t>.</w:t>
      </w:r>
    </w:p>
  </w:footnote>
  <w:footnote w:id="25">
    <w:p w14:paraId="1A766E66" w14:textId="06D0A0DE" w:rsidR="008E377E" w:rsidRDefault="008E377E">
      <w:pPr>
        <w:pStyle w:val="FootnoteText"/>
      </w:pPr>
      <w:r>
        <w:rPr>
          <w:rStyle w:val="FootnoteReference"/>
        </w:rPr>
        <w:footnoteRef/>
      </w:r>
      <w:r>
        <w:t xml:space="preserve"> EMA, Committee for medicinal products for human use (CHMP), Guideline on clinical investigation of medicinal products in the treatment of epileptic disorders, </w:t>
      </w:r>
      <w:r w:rsidRPr="00BA5DB5">
        <w:t>CHMP/EWP/566/98 Rev.2/Corr</w:t>
      </w:r>
      <w:r>
        <w:t>, 22 July 2010.</w:t>
      </w:r>
    </w:p>
  </w:footnote>
  <w:footnote w:id="26">
    <w:p w14:paraId="3558AC4C" w14:textId="072BB88B" w:rsidR="008E377E" w:rsidRDefault="008E377E">
      <w:pPr>
        <w:pStyle w:val="FootnoteText"/>
      </w:pPr>
      <w:r>
        <w:rPr>
          <w:rStyle w:val="FootnoteReference"/>
        </w:rPr>
        <w:footnoteRef/>
      </w:r>
      <w:r>
        <w:t xml:space="preserve"> </w:t>
      </w:r>
      <w:r w:rsidRPr="00ED53F4">
        <w:t>Steinhoff, B.J., et al., Efficacy and safety of adjunctive perampanel for the treatment of refractory partial seizures: a pooled analysis of three pha</w:t>
      </w:r>
      <w:r>
        <w:t xml:space="preserve">se III studies. </w:t>
      </w:r>
      <w:r w:rsidRPr="00ED53F4">
        <w:rPr>
          <w:i/>
        </w:rPr>
        <w:t>Epilepsia</w:t>
      </w:r>
      <w:r>
        <w:t xml:space="preserve">, 2013; 54(8): </w:t>
      </w:r>
      <w:r w:rsidRPr="00ED53F4">
        <w:t>1481-</w:t>
      </w:r>
      <w:r>
        <w:t>148</w:t>
      </w:r>
      <w:r w:rsidRPr="00ED53F4">
        <w:t>9</w:t>
      </w:r>
      <w:r>
        <w:t>.</w:t>
      </w:r>
    </w:p>
  </w:footnote>
  <w:footnote w:id="27">
    <w:p w14:paraId="1CCCC8B3" w14:textId="387696FE" w:rsidR="008E377E" w:rsidRDefault="008E377E">
      <w:pPr>
        <w:pStyle w:val="FootnoteText"/>
      </w:pPr>
      <w:r>
        <w:rPr>
          <w:rStyle w:val="FootnoteReference"/>
        </w:rPr>
        <w:footnoteRef/>
      </w:r>
      <w:r>
        <w:t xml:space="preserve"> </w:t>
      </w:r>
      <w:r w:rsidRPr="00ED53F4">
        <w:t>Goldenberg, M.M., Overview of drugs used for epilepsy and seizures: etiology,</w:t>
      </w:r>
      <w:r>
        <w:t xml:space="preserve"> diagnosis, and treatment. </w:t>
      </w:r>
      <w:r w:rsidRPr="00ED53F4">
        <w:rPr>
          <w:i/>
        </w:rPr>
        <w:t>P T</w:t>
      </w:r>
      <w:r>
        <w:t xml:space="preserve">, 2010; 35(7): </w:t>
      </w:r>
      <w:r w:rsidRPr="00ED53F4">
        <w:t>392-415</w:t>
      </w:r>
      <w:r>
        <w:t>.</w:t>
      </w:r>
    </w:p>
  </w:footnote>
  <w:footnote w:id="28">
    <w:p w14:paraId="649D6BD4" w14:textId="3A634AE2" w:rsidR="008E377E" w:rsidRDefault="008E377E">
      <w:pPr>
        <w:pStyle w:val="FootnoteText"/>
      </w:pPr>
      <w:r>
        <w:rPr>
          <w:rStyle w:val="FootnoteReference"/>
        </w:rPr>
        <w:footnoteRef/>
      </w:r>
      <w:r>
        <w:t xml:space="preserve"> </w:t>
      </w:r>
      <w:r w:rsidRPr="005D184C">
        <w:t xml:space="preserve">Aldenkamp, A.P., et al., The A-B neuropsychological assessment schedule (ABNAS): the relationship between patient-perceived </w:t>
      </w:r>
      <w:proofErr w:type="gramStart"/>
      <w:r w:rsidRPr="005D184C">
        <w:t>drug</w:t>
      </w:r>
      <w:proofErr w:type="gramEnd"/>
      <w:r w:rsidRPr="005D184C">
        <w:t xml:space="preserve"> related cognitive impairment and results of neuropsychological tests. </w:t>
      </w:r>
      <w:r w:rsidRPr="005D184C">
        <w:rPr>
          <w:i/>
        </w:rPr>
        <w:t>Seizure</w:t>
      </w:r>
      <w:r>
        <w:t xml:space="preserve">, 2002; 11(4): </w:t>
      </w:r>
      <w:r w:rsidRPr="005D184C">
        <w:t>231-</w:t>
      </w:r>
      <w:r>
        <w:t>23</w:t>
      </w:r>
      <w:r w:rsidRPr="005D184C">
        <w:t>7</w:t>
      </w:r>
      <w:r>
        <w:t>.</w:t>
      </w:r>
    </w:p>
  </w:footnote>
  <w:footnote w:id="29">
    <w:p w14:paraId="043528B8" w14:textId="4E94019F" w:rsidR="008E377E" w:rsidRDefault="008E377E">
      <w:pPr>
        <w:pStyle w:val="FootnoteText"/>
      </w:pPr>
      <w:r>
        <w:rPr>
          <w:rStyle w:val="FootnoteReference"/>
        </w:rPr>
        <w:footnoteRef/>
      </w:r>
      <w:r>
        <w:t xml:space="preserve"> </w:t>
      </w:r>
      <w:r w:rsidRPr="005D184C">
        <w:t>Meador, K.J., et al., Cognitive effects of adjunctive perampanel for partial-onset seizures: A ra</w:t>
      </w:r>
      <w:r>
        <w:t xml:space="preserve">ndomized trial. </w:t>
      </w:r>
      <w:r w:rsidRPr="005D184C">
        <w:rPr>
          <w:i/>
        </w:rPr>
        <w:t>Epilepsia</w:t>
      </w:r>
      <w:r>
        <w:t xml:space="preserve">, 2016; 57(2): </w:t>
      </w:r>
      <w:r w:rsidRPr="005D184C">
        <w:t>243-</w:t>
      </w:r>
      <w:r>
        <w:t>2</w:t>
      </w:r>
      <w:r w:rsidRPr="005D184C">
        <w:t>51</w:t>
      </w:r>
      <w:r>
        <w:t>.</w:t>
      </w:r>
    </w:p>
  </w:footnote>
  <w:footnote w:id="30">
    <w:p w14:paraId="06DBE337" w14:textId="0F670559" w:rsidR="008E377E" w:rsidRDefault="008E377E">
      <w:pPr>
        <w:pStyle w:val="FootnoteText"/>
      </w:pPr>
      <w:r>
        <w:rPr>
          <w:rStyle w:val="FootnoteReference"/>
        </w:rPr>
        <w:footnoteRef/>
      </w:r>
      <w:r>
        <w:t xml:space="preserve"> EMA, </w:t>
      </w:r>
      <w:r w:rsidRPr="005D184C">
        <w:t>Committee for Proprietary Medicinal Products</w:t>
      </w:r>
      <w:r>
        <w:t xml:space="preserve"> (CPMP), Note for Guidance on Clinical Investigation of medicinal Products in children, CPMP/EWP/462/95.</w:t>
      </w:r>
    </w:p>
  </w:footnote>
  <w:footnote w:id="31">
    <w:p w14:paraId="4F867FB2" w14:textId="77777777" w:rsidR="008E377E" w:rsidRDefault="008E377E"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75DDAC33" w14:textId="77777777" w:rsidR="008E377E" w:rsidRPr="00456765" w:rsidRDefault="008E377E" w:rsidP="00456765">
      <w:pPr>
        <w:pStyle w:val="FootnoteText"/>
        <w:rPr>
          <w:lang w:val="en-US"/>
        </w:rPr>
      </w:pPr>
      <w:r>
        <w:t xml:space="preserve">The Committee </w:t>
      </w:r>
      <w:proofErr w:type="gramStart"/>
      <w:r>
        <w:t>is established</w:t>
      </w:r>
      <w:proofErr w:type="gramEnd"/>
      <w:r>
        <w:t xml:space="preserve"> under Regulation 35 of the Therapeutic Goods Regulations 1990. </w:t>
      </w:r>
      <w:proofErr w:type="gramStart"/>
      <w:r>
        <w:t>Members are appointed by the Minister</w:t>
      </w:r>
      <w:proofErr w:type="gramEnd"/>
      <w:r>
        <w:t xml:space="preserve">. The ACM was established in January 2017 replacing </w:t>
      </w:r>
      <w:r w:rsidRPr="009E0C19">
        <w:t>Advisory Committee on Prescription Medicines (ACPM</w:t>
      </w:r>
      <w:proofErr w:type="gramStart"/>
      <w:r w:rsidRPr="009E0C19">
        <w:t xml:space="preserve">) </w:t>
      </w:r>
      <w:r>
        <w:t>which</w:t>
      </w:r>
      <w:proofErr w:type="gramEnd"/>
      <w:r>
        <w:t xml:space="preserve">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31BD9" w14:textId="77777777" w:rsidR="008E377E" w:rsidRDefault="008E377E"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8A113" w14:textId="77777777" w:rsidR="008E377E" w:rsidRDefault="008E377E">
    <w:pPr>
      <w:rPr>
        <w:noProof/>
        <w:lang w:eastAsia="en-AU"/>
      </w:rPr>
    </w:pPr>
    <w:r w:rsidRPr="00347824">
      <w:rPr>
        <w:noProof/>
        <w:lang w:eastAsia="en-AU"/>
      </w:rPr>
      <w:drawing>
        <wp:anchor distT="0" distB="0" distL="114300" distR="114300" simplePos="0" relativeHeight="251658752" behindDoc="1" locked="0" layoutInCell="1" allowOverlap="1" wp14:anchorId="2C88A272" wp14:editId="10CCAAD6">
          <wp:simplePos x="0" y="0"/>
          <wp:positionH relativeFrom="column">
            <wp:posOffset>-1089660</wp:posOffset>
          </wp:positionH>
          <wp:positionV relativeFrom="paragraph">
            <wp:posOffset>-585470</wp:posOffset>
          </wp:positionV>
          <wp:extent cx="7572375" cy="10706100"/>
          <wp:effectExtent l="19050" t="0" r="0" b="0"/>
          <wp:wrapNone/>
          <wp:docPr id="5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47282AF2" w14:textId="77777777" w:rsidR="008E377E" w:rsidRDefault="008E377E" w:rsidP="00593AD1">
    <w:pPr>
      <w:pStyle w:val="HeaderNoLine"/>
    </w:pPr>
    <w:r>
      <w:rPr>
        <w:noProof/>
        <w:lang w:eastAsia="en-AU"/>
      </w:rPr>
      <w:drawing>
        <wp:inline distT="0" distB="0" distL="0" distR="0" wp14:anchorId="16C288CB" wp14:editId="40069E4D">
          <wp:extent cx="5400675" cy="7639050"/>
          <wp:effectExtent l="0" t="0" r="9525" b="0"/>
          <wp:docPr id="52" name="Picture 5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8D60E" w14:textId="77777777" w:rsidR="008E377E" w:rsidRDefault="008E377E">
    <w:pPr>
      <w:pStyle w:val="Header"/>
    </w:pPr>
  </w:p>
  <w:p w14:paraId="0DC88D6A" w14:textId="77777777" w:rsidR="008E377E" w:rsidRDefault="008E377E"/>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C581E" w14:textId="487BBBCC" w:rsidR="008E377E" w:rsidRDefault="008E377E" w:rsidP="00E0655A">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3EAC3" w14:textId="77777777" w:rsidR="008E377E" w:rsidRDefault="008E377E">
    <w:pPr>
      <w:pStyle w:val="Header"/>
    </w:pPr>
    <w:r>
      <w:t>Therapeutic Goods Administration</w:t>
    </w:r>
  </w:p>
  <w:p w14:paraId="76E2162D" w14:textId="77777777" w:rsidR="008E377E" w:rsidRDefault="008E377E"/>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F10FD" w14:textId="77777777" w:rsidR="008E377E" w:rsidRDefault="008E377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B463F" w14:textId="77777777" w:rsidR="008E377E" w:rsidRDefault="008E377E"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AED98" w14:textId="77777777" w:rsidR="008E377E" w:rsidRDefault="008E377E" w:rsidP="006E08B3">
    <w:r>
      <w:t>Therapeutic Goods Administration</w:t>
    </w:r>
  </w:p>
  <w:p w14:paraId="33E9B0EB" w14:textId="77777777" w:rsidR="008E377E" w:rsidRDefault="008E377E"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492EE64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8F13E9"/>
    <w:multiLevelType w:val="multilevel"/>
    <w:tmpl w:val="2676E444"/>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16F43140"/>
    <w:multiLevelType w:val="hybridMultilevel"/>
    <w:tmpl w:val="38E40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587705"/>
    <w:multiLevelType w:val="hybridMultilevel"/>
    <w:tmpl w:val="EEC48C5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BD2DD1"/>
    <w:multiLevelType w:val="hybridMultilevel"/>
    <w:tmpl w:val="E9BC5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733D5C"/>
    <w:multiLevelType w:val="hybridMultilevel"/>
    <w:tmpl w:val="5BB23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D16553"/>
    <w:multiLevelType w:val="hybridMultilevel"/>
    <w:tmpl w:val="E83AA8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EB0575"/>
    <w:multiLevelType w:val="hybridMultilevel"/>
    <w:tmpl w:val="E83AA8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F9E171E"/>
    <w:multiLevelType w:val="hybridMultilevel"/>
    <w:tmpl w:val="295E548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1154F6C"/>
    <w:multiLevelType w:val="hybridMultilevel"/>
    <w:tmpl w:val="6E8C8F02"/>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570F27D9"/>
    <w:multiLevelType w:val="hybridMultilevel"/>
    <w:tmpl w:val="D74297B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5CBF48F6"/>
    <w:multiLevelType w:val="hybridMultilevel"/>
    <w:tmpl w:val="A0DA3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5BF2685"/>
    <w:multiLevelType w:val="hybridMultilevel"/>
    <w:tmpl w:val="F6DE2A24"/>
    <w:lvl w:ilvl="0" w:tplc="2D209F6C">
      <w:start w:val="1"/>
      <w:numFmt w:val="decimal"/>
      <w:lvlText w:val="%1."/>
      <w:lvlJc w:val="left"/>
      <w:pPr>
        <w:ind w:left="480" w:hanging="360"/>
      </w:pPr>
      <w:rPr>
        <w:rFonts w:ascii="Times New Roman" w:eastAsia="Times New Roman" w:hAnsi="Times New Roman" w:cs="Times New Roman" w:hint="default"/>
        <w:w w:val="100"/>
        <w:sz w:val="24"/>
        <w:szCs w:val="24"/>
      </w:rPr>
    </w:lvl>
    <w:lvl w:ilvl="1" w:tplc="71C8817A">
      <w:numFmt w:val="bullet"/>
      <w:lvlText w:val="•"/>
      <w:lvlJc w:val="left"/>
      <w:pPr>
        <w:ind w:left="1356" w:hanging="360"/>
      </w:pPr>
      <w:rPr>
        <w:rFonts w:hint="default"/>
      </w:rPr>
    </w:lvl>
    <w:lvl w:ilvl="2" w:tplc="92148A3E">
      <w:numFmt w:val="bullet"/>
      <w:lvlText w:val="•"/>
      <w:lvlJc w:val="left"/>
      <w:pPr>
        <w:ind w:left="2233" w:hanging="360"/>
      </w:pPr>
      <w:rPr>
        <w:rFonts w:hint="default"/>
      </w:rPr>
    </w:lvl>
    <w:lvl w:ilvl="3" w:tplc="0B5C207C">
      <w:numFmt w:val="bullet"/>
      <w:lvlText w:val="•"/>
      <w:lvlJc w:val="left"/>
      <w:pPr>
        <w:ind w:left="3109" w:hanging="360"/>
      </w:pPr>
      <w:rPr>
        <w:rFonts w:hint="default"/>
      </w:rPr>
    </w:lvl>
    <w:lvl w:ilvl="4" w:tplc="8A44CCC8">
      <w:numFmt w:val="bullet"/>
      <w:lvlText w:val="•"/>
      <w:lvlJc w:val="left"/>
      <w:pPr>
        <w:ind w:left="3986" w:hanging="360"/>
      </w:pPr>
      <w:rPr>
        <w:rFonts w:hint="default"/>
      </w:rPr>
    </w:lvl>
    <w:lvl w:ilvl="5" w:tplc="B98EF4AA">
      <w:numFmt w:val="bullet"/>
      <w:lvlText w:val="•"/>
      <w:lvlJc w:val="left"/>
      <w:pPr>
        <w:ind w:left="4862" w:hanging="360"/>
      </w:pPr>
      <w:rPr>
        <w:rFonts w:hint="default"/>
      </w:rPr>
    </w:lvl>
    <w:lvl w:ilvl="6" w:tplc="DEF05F94">
      <w:numFmt w:val="bullet"/>
      <w:lvlText w:val="•"/>
      <w:lvlJc w:val="left"/>
      <w:pPr>
        <w:ind w:left="5739" w:hanging="360"/>
      </w:pPr>
      <w:rPr>
        <w:rFonts w:hint="default"/>
      </w:rPr>
    </w:lvl>
    <w:lvl w:ilvl="7" w:tplc="235E2DC4">
      <w:numFmt w:val="bullet"/>
      <w:lvlText w:val="•"/>
      <w:lvlJc w:val="left"/>
      <w:pPr>
        <w:ind w:left="6615" w:hanging="360"/>
      </w:pPr>
      <w:rPr>
        <w:rFonts w:hint="default"/>
      </w:rPr>
    </w:lvl>
    <w:lvl w:ilvl="8" w:tplc="3EC0D34A">
      <w:numFmt w:val="bullet"/>
      <w:lvlText w:val="•"/>
      <w:lvlJc w:val="left"/>
      <w:pPr>
        <w:ind w:left="7492" w:hanging="360"/>
      </w:pPr>
      <w:rPr>
        <w:rFonts w:hint="default"/>
      </w:rPr>
    </w:lvl>
  </w:abstractNum>
  <w:abstractNum w:abstractNumId="22" w15:restartNumberingAfterBreak="0">
    <w:nsid w:val="66187B8D"/>
    <w:multiLevelType w:val="hybridMultilevel"/>
    <w:tmpl w:val="35A8C4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68F2DA0"/>
    <w:multiLevelType w:val="hybridMultilevel"/>
    <w:tmpl w:val="0B786EA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5"/>
  </w:num>
  <w:num w:numId="17">
    <w:abstractNumId w:val="5"/>
  </w:num>
  <w:num w:numId="18">
    <w:abstractNumId w:val="5"/>
  </w:num>
  <w:num w:numId="19">
    <w:abstractNumId w:val="7"/>
  </w:num>
  <w:num w:numId="20">
    <w:abstractNumId w:val="7"/>
  </w:num>
  <w:num w:numId="21">
    <w:abstractNumId w:val="7"/>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5"/>
  </w:num>
  <w:num w:numId="28">
    <w:abstractNumId w:val="24"/>
  </w:num>
  <w:num w:numId="29">
    <w:abstractNumId w:val="6"/>
  </w:num>
  <w:num w:numId="30">
    <w:abstractNumId w:val="13"/>
  </w:num>
  <w:num w:numId="31">
    <w:abstractNumId w:val="4"/>
  </w:num>
  <w:num w:numId="32">
    <w:abstractNumId w:val="17"/>
  </w:num>
  <w:num w:numId="33">
    <w:abstractNumId w:val="16"/>
  </w:num>
  <w:num w:numId="34">
    <w:abstractNumId w:val="18"/>
  </w:num>
  <w:num w:numId="35">
    <w:abstractNumId w:val="23"/>
  </w:num>
  <w:num w:numId="36">
    <w:abstractNumId w:val="22"/>
  </w:num>
  <w:num w:numId="37">
    <w:abstractNumId w:val="14"/>
  </w:num>
  <w:num w:numId="38">
    <w:abstractNumId w:val="12"/>
  </w:num>
  <w:num w:numId="39">
    <w:abstractNumId w:val="9"/>
  </w:num>
  <w:num w:numId="40">
    <w:abstractNumId w:val="19"/>
  </w:num>
  <w:num w:numId="41">
    <w:abstractNumId w:val="20"/>
  </w:num>
  <w:num w:numId="42">
    <w:abstractNumId w:val="11"/>
  </w:num>
  <w:num w:numId="43">
    <w:abstractNumId w:val="8"/>
  </w:num>
  <w:num w:numId="44">
    <w:abstractNumId w:val="10"/>
  </w:num>
  <w:num w:numId="45">
    <w:abstractNumId w:val="5"/>
    <w:lvlOverride w:ilvl="0">
      <w:startOverride w:val="1"/>
    </w:lvlOverride>
  </w:num>
  <w:num w:numId="46">
    <w:abstractNumId w:val="21"/>
  </w:num>
  <w:num w:numId="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6451"/>
    <w:rsid w:val="00002031"/>
    <w:rsid w:val="00004734"/>
    <w:rsid w:val="00006B22"/>
    <w:rsid w:val="00006FAB"/>
    <w:rsid w:val="00007DD0"/>
    <w:rsid w:val="0001276A"/>
    <w:rsid w:val="000246AE"/>
    <w:rsid w:val="00025C67"/>
    <w:rsid w:val="000440E8"/>
    <w:rsid w:val="00044772"/>
    <w:rsid w:val="0004541C"/>
    <w:rsid w:val="0005559E"/>
    <w:rsid w:val="000604D6"/>
    <w:rsid w:val="000734D8"/>
    <w:rsid w:val="0007636B"/>
    <w:rsid w:val="00077775"/>
    <w:rsid w:val="00090471"/>
    <w:rsid w:val="00096AA7"/>
    <w:rsid w:val="000A3AED"/>
    <w:rsid w:val="000A6FB2"/>
    <w:rsid w:val="000B3532"/>
    <w:rsid w:val="000B3A75"/>
    <w:rsid w:val="000C00C2"/>
    <w:rsid w:val="000C36DF"/>
    <w:rsid w:val="000C690F"/>
    <w:rsid w:val="000D1295"/>
    <w:rsid w:val="000D391B"/>
    <w:rsid w:val="000D3D6D"/>
    <w:rsid w:val="000D4FC7"/>
    <w:rsid w:val="000E6196"/>
    <w:rsid w:val="000E6A86"/>
    <w:rsid w:val="000F4869"/>
    <w:rsid w:val="000F5B42"/>
    <w:rsid w:val="000F6E6F"/>
    <w:rsid w:val="0010601F"/>
    <w:rsid w:val="0010788A"/>
    <w:rsid w:val="00107A31"/>
    <w:rsid w:val="00110EA5"/>
    <w:rsid w:val="00112F56"/>
    <w:rsid w:val="00113BB8"/>
    <w:rsid w:val="00121817"/>
    <w:rsid w:val="00122C2E"/>
    <w:rsid w:val="00124ACD"/>
    <w:rsid w:val="00125318"/>
    <w:rsid w:val="001305A2"/>
    <w:rsid w:val="00133238"/>
    <w:rsid w:val="00133A1B"/>
    <w:rsid w:val="0014197B"/>
    <w:rsid w:val="00142F54"/>
    <w:rsid w:val="001447CD"/>
    <w:rsid w:val="00147DD3"/>
    <w:rsid w:val="00150278"/>
    <w:rsid w:val="001516B1"/>
    <w:rsid w:val="00154EBB"/>
    <w:rsid w:val="00156316"/>
    <w:rsid w:val="00161181"/>
    <w:rsid w:val="00162D14"/>
    <w:rsid w:val="00163780"/>
    <w:rsid w:val="00165389"/>
    <w:rsid w:val="0017693F"/>
    <w:rsid w:val="0018110E"/>
    <w:rsid w:val="00181684"/>
    <w:rsid w:val="001843C6"/>
    <w:rsid w:val="001850E0"/>
    <w:rsid w:val="00187DC1"/>
    <w:rsid w:val="0019231D"/>
    <w:rsid w:val="001A03AF"/>
    <w:rsid w:val="001A2158"/>
    <w:rsid w:val="001A525F"/>
    <w:rsid w:val="001B09F9"/>
    <w:rsid w:val="001B3BC4"/>
    <w:rsid w:val="001B5C90"/>
    <w:rsid w:val="001B6448"/>
    <w:rsid w:val="001C32CD"/>
    <w:rsid w:val="001D2984"/>
    <w:rsid w:val="001E07CF"/>
    <w:rsid w:val="001E59F1"/>
    <w:rsid w:val="001F0D9F"/>
    <w:rsid w:val="001F2CEE"/>
    <w:rsid w:val="001F49EB"/>
    <w:rsid w:val="001F6CBA"/>
    <w:rsid w:val="00201D4E"/>
    <w:rsid w:val="002076C9"/>
    <w:rsid w:val="002108FD"/>
    <w:rsid w:val="00220B8A"/>
    <w:rsid w:val="002257F3"/>
    <w:rsid w:val="00233456"/>
    <w:rsid w:val="002339A5"/>
    <w:rsid w:val="00250271"/>
    <w:rsid w:val="00251324"/>
    <w:rsid w:val="00257848"/>
    <w:rsid w:val="002578E8"/>
    <w:rsid w:val="0027084A"/>
    <w:rsid w:val="00280265"/>
    <w:rsid w:val="00286434"/>
    <w:rsid w:val="00286C59"/>
    <w:rsid w:val="00291957"/>
    <w:rsid w:val="002942D1"/>
    <w:rsid w:val="0029501A"/>
    <w:rsid w:val="002A3721"/>
    <w:rsid w:val="002B1638"/>
    <w:rsid w:val="002B3624"/>
    <w:rsid w:val="002B56CA"/>
    <w:rsid w:val="002D0952"/>
    <w:rsid w:val="002D6A09"/>
    <w:rsid w:val="002E40B3"/>
    <w:rsid w:val="002E4C9A"/>
    <w:rsid w:val="002F11F8"/>
    <w:rsid w:val="002F3F56"/>
    <w:rsid w:val="002F44B5"/>
    <w:rsid w:val="002F5122"/>
    <w:rsid w:val="00311AC0"/>
    <w:rsid w:val="003176FC"/>
    <w:rsid w:val="00324E45"/>
    <w:rsid w:val="0032583B"/>
    <w:rsid w:val="00327883"/>
    <w:rsid w:val="00335504"/>
    <w:rsid w:val="00340C18"/>
    <w:rsid w:val="003442FD"/>
    <w:rsid w:val="00347824"/>
    <w:rsid w:val="00350567"/>
    <w:rsid w:val="003521E8"/>
    <w:rsid w:val="0035373D"/>
    <w:rsid w:val="00370CE3"/>
    <w:rsid w:val="003728F3"/>
    <w:rsid w:val="003735BC"/>
    <w:rsid w:val="0037496E"/>
    <w:rsid w:val="00383221"/>
    <w:rsid w:val="00386150"/>
    <w:rsid w:val="003873AA"/>
    <w:rsid w:val="003874CE"/>
    <w:rsid w:val="00390900"/>
    <w:rsid w:val="003A51D6"/>
    <w:rsid w:val="003A7F6C"/>
    <w:rsid w:val="003B2C3B"/>
    <w:rsid w:val="003B4D60"/>
    <w:rsid w:val="003B4E5B"/>
    <w:rsid w:val="003B7E39"/>
    <w:rsid w:val="003C58DC"/>
    <w:rsid w:val="003D1E62"/>
    <w:rsid w:val="003E0B99"/>
    <w:rsid w:val="003E2486"/>
    <w:rsid w:val="003E3208"/>
    <w:rsid w:val="003E5CA1"/>
    <w:rsid w:val="003E5D00"/>
    <w:rsid w:val="003F0B04"/>
    <w:rsid w:val="0040134E"/>
    <w:rsid w:val="00417D36"/>
    <w:rsid w:val="00421B04"/>
    <w:rsid w:val="004334C7"/>
    <w:rsid w:val="00440A2D"/>
    <w:rsid w:val="00441C3F"/>
    <w:rsid w:val="00444D1A"/>
    <w:rsid w:val="0045186A"/>
    <w:rsid w:val="00453D71"/>
    <w:rsid w:val="004564A7"/>
    <w:rsid w:val="00456765"/>
    <w:rsid w:val="00460036"/>
    <w:rsid w:val="004617BF"/>
    <w:rsid w:val="00463658"/>
    <w:rsid w:val="004637A0"/>
    <w:rsid w:val="00465C10"/>
    <w:rsid w:val="00466EF9"/>
    <w:rsid w:val="004722CC"/>
    <w:rsid w:val="00490483"/>
    <w:rsid w:val="004936E4"/>
    <w:rsid w:val="00494E60"/>
    <w:rsid w:val="00496CDB"/>
    <w:rsid w:val="00496D02"/>
    <w:rsid w:val="00497487"/>
    <w:rsid w:val="004A2771"/>
    <w:rsid w:val="004A6189"/>
    <w:rsid w:val="004A7390"/>
    <w:rsid w:val="004B76D0"/>
    <w:rsid w:val="004B7733"/>
    <w:rsid w:val="004B7B76"/>
    <w:rsid w:val="004C239D"/>
    <w:rsid w:val="004C2DCA"/>
    <w:rsid w:val="004C4FBE"/>
    <w:rsid w:val="004C61D2"/>
    <w:rsid w:val="004C6771"/>
    <w:rsid w:val="004F0C4A"/>
    <w:rsid w:val="004F0F38"/>
    <w:rsid w:val="004F47D6"/>
    <w:rsid w:val="004F68E5"/>
    <w:rsid w:val="00500337"/>
    <w:rsid w:val="00501921"/>
    <w:rsid w:val="00506593"/>
    <w:rsid w:val="00530354"/>
    <w:rsid w:val="0053625B"/>
    <w:rsid w:val="005434C6"/>
    <w:rsid w:val="00543B39"/>
    <w:rsid w:val="00546154"/>
    <w:rsid w:val="00550096"/>
    <w:rsid w:val="00555280"/>
    <w:rsid w:val="00556063"/>
    <w:rsid w:val="00557FF9"/>
    <w:rsid w:val="0056164B"/>
    <w:rsid w:val="00562327"/>
    <w:rsid w:val="005711D5"/>
    <w:rsid w:val="00576378"/>
    <w:rsid w:val="00577130"/>
    <w:rsid w:val="00577945"/>
    <w:rsid w:val="00577E38"/>
    <w:rsid w:val="005834D1"/>
    <w:rsid w:val="00585322"/>
    <w:rsid w:val="005857C6"/>
    <w:rsid w:val="00592F6E"/>
    <w:rsid w:val="00593AD1"/>
    <w:rsid w:val="005A68B6"/>
    <w:rsid w:val="005C5570"/>
    <w:rsid w:val="005C5B66"/>
    <w:rsid w:val="005C79A4"/>
    <w:rsid w:val="005D184C"/>
    <w:rsid w:val="005D5442"/>
    <w:rsid w:val="005F461C"/>
    <w:rsid w:val="00603F32"/>
    <w:rsid w:val="00605AD4"/>
    <w:rsid w:val="006136D7"/>
    <w:rsid w:val="00625A6E"/>
    <w:rsid w:val="00632398"/>
    <w:rsid w:val="00640FC3"/>
    <w:rsid w:val="00642020"/>
    <w:rsid w:val="006430EE"/>
    <w:rsid w:val="00646DC1"/>
    <w:rsid w:val="00650A7C"/>
    <w:rsid w:val="0065337B"/>
    <w:rsid w:val="0065419D"/>
    <w:rsid w:val="006603BC"/>
    <w:rsid w:val="006604D8"/>
    <w:rsid w:val="00664A5B"/>
    <w:rsid w:val="0066735C"/>
    <w:rsid w:val="006763D2"/>
    <w:rsid w:val="00680C08"/>
    <w:rsid w:val="006916A0"/>
    <w:rsid w:val="006931B1"/>
    <w:rsid w:val="006A0229"/>
    <w:rsid w:val="006A15C0"/>
    <w:rsid w:val="006A58A8"/>
    <w:rsid w:val="006C3E2A"/>
    <w:rsid w:val="006C4B93"/>
    <w:rsid w:val="006C642F"/>
    <w:rsid w:val="006D03E5"/>
    <w:rsid w:val="006D4AB5"/>
    <w:rsid w:val="006D5D3E"/>
    <w:rsid w:val="006E08B3"/>
    <w:rsid w:val="006E5D75"/>
    <w:rsid w:val="006F17AC"/>
    <w:rsid w:val="006F25B8"/>
    <w:rsid w:val="006F572E"/>
    <w:rsid w:val="007046D6"/>
    <w:rsid w:val="00705DB0"/>
    <w:rsid w:val="00722B57"/>
    <w:rsid w:val="00730F8A"/>
    <w:rsid w:val="00735A8C"/>
    <w:rsid w:val="0074253D"/>
    <w:rsid w:val="00744121"/>
    <w:rsid w:val="0074429B"/>
    <w:rsid w:val="00752F9C"/>
    <w:rsid w:val="007615BC"/>
    <w:rsid w:val="00761F1A"/>
    <w:rsid w:val="00762F05"/>
    <w:rsid w:val="007652FF"/>
    <w:rsid w:val="00770CAC"/>
    <w:rsid w:val="00770EF1"/>
    <w:rsid w:val="00773191"/>
    <w:rsid w:val="00773EF7"/>
    <w:rsid w:val="00774568"/>
    <w:rsid w:val="00774E1D"/>
    <w:rsid w:val="007765D8"/>
    <w:rsid w:val="0077675A"/>
    <w:rsid w:val="00780355"/>
    <w:rsid w:val="007819FD"/>
    <w:rsid w:val="00785717"/>
    <w:rsid w:val="00785721"/>
    <w:rsid w:val="00793A59"/>
    <w:rsid w:val="007A46F5"/>
    <w:rsid w:val="007A6505"/>
    <w:rsid w:val="007B6132"/>
    <w:rsid w:val="007B6E9F"/>
    <w:rsid w:val="007C1216"/>
    <w:rsid w:val="007C1AF7"/>
    <w:rsid w:val="007C6B9B"/>
    <w:rsid w:val="007D53B6"/>
    <w:rsid w:val="007E1183"/>
    <w:rsid w:val="007E60B1"/>
    <w:rsid w:val="00805125"/>
    <w:rsid w:val="00805D27"/>
    <w:rsid w:val="00806DCB"/>
    <w:rsid w:val="00821776"/>
    <w:rsid w:val="00826084"/>
    <w:rsid w:val="00831DB6"/>
    <w:rsid w:val="008321F5"/>
    <w:rsid w:val="00832369"/>
    <w:rsid w:val="00834660"/>
    <w:rsid w:val="00836BC2"/>
    <w:rsid w:val="0085156D"/>
    <w:rsid w:val="00852B28"/>
    <w:rsid w:val="0085641B"/>
    <w:rsid w:val="00857136"/>
    <w:rsid w:val="00872615"/>
    <w:rsid w:val="00875A6B"/>
    <w:rsid w:val="0087737C"/>
    <w:rsid w:val="00881BAA"/>
    <w:rsid w:val="00885B11"/>
    <w:rsid w:val="00886D15"/>
    <w:rsid w:val="00887DD8"/>
    <w:rsid w:val="00891BA9"/>
    <w:rsid w:val="00896018"/>
    <w:rsid w:val="008960DD"/>
    <w:rsid w:val="0089635C"/>
    <w:rsid w:val="008A2537"/>
    <w:rsid w:val="008A2B9D"/>
    <w:rsid w:val="008A3D9F"/>
    <w:rsid w:val="008A5E0B"/>
    <w:rsid w:val="008A6D59"/>
    <w:rsid w:val="008B4B03"/>
    <w:rsid w:val="008B596F"/>
    <w:rsid w:val="008C159F"/>
    <w:rsid w:val="008C1623"/>
    <w:rsid w:val="008C1850"/>
    <w:rsid w:val="008C51A9"/>
    <w:rsid w:val="008E377E"/>
    <w:rsid w:val="008E7846"/>
    <w:rsid w:val="008F02E5"/>
    <w:rsid w:val="008F1CCC"/>
    <w:rsid w:val="008F2967"/>
    <w:rsid w:val="008F6943"/>
    <w:rsid w:val="00902A21"/>
    <w:rsid w:val="0091523F"/>
    <w:rsid w:val="00920330"/>
    <w:rsid w:val="009219D7"/>
    <w:rsid w:val="00922D53"/>
    <w:rsid w:val="00923B70"/>
    <w:rsid w:val="00924482"/>
    <w:rsid w:val="00930237"/>
    <w:rsid w:val="00937C17"/>
    <w:rsid w:val="00940A89"/>
    <w:rsid w:val="00941F77"/>
    <w:rsid w:val="00946EA5"/>
    <w:rsid w:val="00960520"/>
    <w:rsid w:val="00963C08"/>
    <w:rsid w:val="00967F4B"/>
    <w:rsid w:val="009752A5"/>
    <w:rsid w:val="0098585A"/>
    <w:rsid w:val="0099661F"/>
    <w:rsid w:val="009A4CED"/>
    <w:rsid w:val="009A690D"/>
    <w:rsid w:val="009B1D12"/>
    <w:rsid w:val="009B416B"/>
    <w:rsid w:val="009C4BD5"/>
    <w:rsid w:val="009D7B77"/>
    <w:rsid w:val="009E0BB0"/>
    <w:rsid w:val="009E3E86"/>
    <w:rsid w:val="009E3FBB"/>
    <w:rsid w:val="009F658E"/>
    <w:rsid w:val="009F7353"/>
    <w:rsid w:val="00A04F85"/>
    <w:rsid w:val="00A05FA4"/>
    <w:rsid w:val="00A102E4"/>
    <w:rsid w:val="00A1219C"/>
    <w:rsid w:val="00A12C42"/>
    <w:rsid w:val="00A14DF7"/>
    <w:rsid w:val="00A22D57"/>
    <w:rsid w:val="00A3246D"/>
    <w:rsid w:val="00A36FA7"/>
    <w:rsid w:val="00A44DDB"/>
    <w:rsid w:val="00A475B7"/>
    <w:rsid w:val="00A47AF7"/>
    <w:rsid w:val="00A47C3E"/>
    <w:rsid w:val="00A50226"/>
    <w:rsid w:val="00A60BAD"/>
    <w:rsid w:val="00A77F87"/>
    <w:rsid w:val="00A80B5B"/>
    <w:rsid w:val="00A84E36"/>
    <w:rsid w:val="00A928ED"/>
    <w:rsid w:val="00A964D1"/>
    <w:rsid w:val="00AA0ED0"/>
    <w:rsid w:val="00AA5063"/>
    <w:rsid w:val="00AB0133"/>
    <w:rsid w:val="00AB5766"/>
    <w:rsid w:val="00AC2B40"/>
    <w:rsid w:val="00AC2BB2"/>
    <w:rsid w:val="00AC2C3C"/>
    <w:rsid w:val="00AC512D"/>
    <w:rsid w:val="00AD0083"/>
    <w:rsid w:val="00AD3935"/>
    <w:rsid w:val="00AD7706"/>
    <w:rsid w:val="00AE65EB"/>
    <w:rsid w:val="00AE67A7"/>
    <w:rsid w:val="00AF1D94"/>
    <w:rsid w:val="00AF60C5"/>
    <w:rsid w:val="00B009C6"/>
    <w:rsid w:val="00B01548"/>
    <w:rsid w:val="00B0318A"/>
    <w:rsid w:val="00B130C5"/>
    <w:rsid w:val="00B13EBD"/>
    <w:rsid w:val="00B21D29"/>
    <w:rsid w:val="00B25034"/>
    <w:rsid w:val="00B33588"/>
    <w:rsid w:val="00B33863"/>
    <w:rsid w:val="00B37D17"/>
    <w:rsid w:val="00B4175E"/>
    <w:rsid w:val="00B41C85"/>
    <w:rsid w:val="00B452CE"/>
    <w:rsid w:val="00B54C25"/>
    <w:rsid w:val="00B76B91"/>
    <w:rsid w:val="00B77EB1"/>
    <w:rsid w:val="00B811C6"/>
    <w:rsid w:val="00B855B0"/>
    <w:rsid w:val="00B92E08"/>
    <w:rsid w:val="00BA5DB5"/>
    <w:rsid w:val="00BB09C6"/>
    <w:rsid w:val="00BC2693"/>
    <w:rsid w:val="00BC622A"/>
    <w:rsid w:val="00BE0A78"/>
    <w:rsid w:val="00BE79F0"/>
    <w:rsid w:val="00BF046D"/>
    <w:rsid w:val="00BF1190"/>
    <w:rsid w:val="00BF3774"/>
    <w:rsid w:val="00BF5D04"/>
    <w:rsid w:val="00C009AA"/>
    <w:rsid w:val="00C1164D"/>
    <w:rsid w:val="00C16861"/>
    <w:rsid w:val="00C346AB"/>
    <w:rsid w:val="00C404A6"/>
    <w:rsid w:val="00C40A36"/>
    <w:rsid w:val="00C4184E"/>
    <w:rsid w:val="00C44419"/>
    <w:rsid w:val="00C45E7B"/>
    <w:rsid w:val="00C471B1"/>
    <w:rsid w:val="00C525A2"/>
    <w:rsid w:val="00C52E24"/>
    <w:rsid w:val="00C61207"/>
    <w:rsid w:val="00C6316B"/>
    <w:rsid w:val="00C634A9"/>
    <w:rsid w:val="00C64586"/>
    <w:rsid w:val="00C70A36"/>
    <w:rsid w:val="00C70D53"/>
    <w:rsid w:val="00C73D0B"/>
    <w:rsid w:val="00C73E0F"/>
    <w:rsid w:val="00C74F5C"/>
    <w:rsid w:val="00C772FF"/>
    <w:rsid w:val="00C80137"/>
    <w:rsid w:val="00C801AF"/>
    <w:rsid w:val="00C80256"/>
    <w:rsid w:val="00C933F6"/>
    <w:rsid w:val="00C94CD4"/>
    <w:rsid w:val="00C9747E"/>
    <w:rsid w:val="00CA5626"/>
    <w:rsid w:val="00CB6BC0"/>
    <w:rsid w:val="00CC1399"/>
    <w:rsid w:val="00CC1B7C"/>
    <w:rsid w:val="00CC727F"/>
    <w:rsid w:val="00CF15C3"/>
    <w:rsid w:val="00CF2B6F"/>
    <w:rsid w:val="00CF2F3E"/>
    <w:rsid w:val="00CF58B6"/>
    <w:rsid w:val="00CF5DAD"/>
    <w:rsid w:val="00D0062D"/>
    <w:rsid w:val="00D017ED"/>
    <w:rsid w:val="00D040D3"/>
    <w:rsid w:val="00D04C65"/>
    <w:rsid w:val="00D153D8"/>
    <w:rsid w:val="00D201D2"/>
    <w:rsid w:val="00D224FE"/>
    <w:rsid w:val="00D23139"/>
    <w:rsid w:val="00D425BB"/>
    <w:rsid w:val="00D453FA"/>
    <w:rsid w:val="00D523E2"/>
    <w:rsid w:val="00D6493E"/>
    <w:rsid w:val="00D66451"/>
    <w:rsid w:val="00D7195D"/>
    <w:rsid w:val="00D7301E"/>
    <w:rsid w:val="00D76183"/>
    <w:rsid w:val="00D83AE1"/>
    <w:rsid w:val="00D855D4"/>
    <w:rsid w:val="00D902C9"/>
    <w:rsid w:val="00D9216C"/>
    <w:rsid w:val="00D93466"/>
    <w:rsid w:val="00DA1124"/>
    <w:rsid w:val="00DA64CB"/>
    <w:rsid w:val="00DB06B8"/>
    <w:rsid w:val="00DB6124"/>
    <w:rsid w:val="00DB750B"/>
    <w:rsid w:val="00DB75B7"/>
    <w:rsid w:val="00DC0A2F"/>
    <w:rsid w:val="00DC1948"/>
    <w:rsid w:val="00DC2EAD"/>
    <w:rsid w:val="00DC3DAC"/>
    <w:rsid w:val="00DC6E02"/>
    <w:rsid w:val="00DD28CD"/>
    <w:rsid w:val="00DE02AE"/>
    <w:rsid w:val="00DE15A1"/>
    <w:rsid w:val="00DE39D1"/>
    <w:rsid w:val="00DE5FE0"/>
    <w:rsid w:val="00DF1D7F"/>
    <w:rsid w:val="00DF4BE4"/>
    <w:rsid w:val="00E02382"/>
    <w:rsid w:val="00E02FB4"/>
    <w:rsid w:val="00E0655A"/>
    <w:rsid w:val="00E13FC7"/>
    <w:rsid w:val="00E20571"/>
    <w:rsid w:val="00E235F7"/>
    <w:rsid w:val="00E23659"/>
    <w:rsid w:val="00E239D4"/>
    <w:rsid w:val="00E26130"/>
    <w:rsid w:val="00E33D42"/>
    <w:rsid w:val="00E40B22"/>
    <w:rsid w:val="00E4407A"/>
    <w:rsid w:val="00E44ED1"/>
    <w:rsid w:val="00E45619"/>
    <w:rsid w:val="00E4588F"/>
    <w:rsid w:val="00E46DA3"/>
    <w:rsid w:val="00E51BB1"/>
    <w:rsid w:val="00E55CB0"/>
    <w:rsid w:val="00E624A5"/>
    <w:rsid w:val="00E64BA4"/>
    <w:rsid w:val="00E7344E"/>
    <w:rsid w:val="00E8228F"/>
    <w:rsid w:val="00E82665"/>
    <w:rsid w:val="00EA547D"/>
    <w:rsid w:val="00EB0798"/>
    <w:rsid w:val="00EB25D8"/>
    <w:rsid w:val="00EB40AD"/>
    <w:rsid w:val="00EB586E"/>
    <w:rsid w:val="00EB5FC8"/>
    <w:rsid w:val="00EB7825"/>
    <w:rsid w:val="00EC463D"/>
    <w:rsid w:val="00EC7A85"/>
    <w:rsid w:val="00ED2922"/>
    <w:rsid w:val="00ED3CAD"/>
    <w:rsid w:val="00ED53F4"/>
    <w:rsid w:val="00ED5A41"/>
    <w:rsid w:val="00EE1DE8"/>
    <w:rsid w:val="00EE27C2"/>
    <w:rsid w:val="00EE33B4"/>
    <w:rsid w:val="00EF4BAD"/>
    <w:rsid w:val="00EF59DC"/>
    <w:rsid w:val="00F033EC"/>
    <w:rsid w:val="00F04F68"/>
    <w:rsid w:val="00F12670"/>
    <w:rsid w:val="00F14B27"/>
    <w:rsid w:val="00F21B63"/>
    <w:rsid w:val="00F3148D"/>
    <w:rsid w:val="00F325C5"/>
    <w:rsid w:val="00F32FE0"/>
    <w:rsid w:val="00F35298"/>
    <w:rsid w:val="00F36253"/>
    <w:rsid w:val="00F40D66"/>
    <w:rsid w:val="00F47333"/>
    <w:rsid w:val="00F47E37"/>
    <w:rsid w:val="00F53C07"/>
    <w:rsid w:val="00F54B65"/>
    <w:rsid w:val="00F63DBF"/>
    <w:rsid w:val="00F640B6"/>
    <w:rsid w:val="00F65B1D"/>
    <w:rsid w:val="00F66DF2"/>
    <w:rsid w:val="00F80E40"/>
    <w:rsid w:val="00F848D9"/>
    <w:rsid w:val="00F9427C"/>
    <w:rsid w:val="00FA2E5D"/>
    <w:rsid w:val="00FA5069"/>
    <w:rsid w:val="00FA5B82"/>
    <w:rsid w:val="00FA639E"/>
    <w:rsid w:val="00FC1FCA"/>
    <w:rsid w:val="00FC25E4"/>
    <w:rsid w:val="00FC4EF7"/>
    <w:rsid w:val="00FD0824"/>
    <w:rsid w:val="00FD119B"/>
    <w:rsid w:val="00FD1EDC"/>
    <w:rsid w:val="00FE1DEE"/>
    <w:rsid w:val="00FE5D2F"/>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8C451B6"/>
  <w15:docId w15:val="{9727C650-C1A0-41F5-BB0C-7D4459C43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0655A"/>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0A6FB2"/>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646DC1"/>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646DC1"/>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646DC1"/>
    <w:pPr>
      <w:framePr w:hSpace="180" w:wrap="around" w:vAnchor="page" w:hAnchor="text" w:y="3316"/>
      <w:spacing w:after="480" w:line="240" w:lineRule="auto"/>
      <w:contextualSpacing/>
      <w:outlineLvl w:val="0"/>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646DC1"/>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1"/>
    <w:qFormat/>
    <w:rsid w:val="00DE5FE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ind w:left="720"/>
    </w:pPr>
    <w:rPr>
      <w:rFonts w:eastAsia="Times New Roman"/>
      <w:kern w:val="16"/>
      <w:szCs w:val="24"/>
      <w:lang w:eastAsia="en-AU"/>
    </w:rPr>
  </w:style>
  <w:style w:type="paragraph" w:styleId="BodyText">
    <w:name w:val="Body Text"/>
    <w:basedOn w:val="Normal"/>
    <w:link w:val="BodyTextChar"/>
    <w:uiPriority w:val="1"/>
    <w:qFormat/>
    <w:rsid w:val="00967F4B"/>
    <w:pPr>
      <w:widowControl w:val="0"/>
      <w:autoSpaceDE w:val="0"/>
      <w:autoSpaceDN w:val="0"/>
      <w:spacing w:after="0" w:line="240" w:lineRule="auto"/>
      <w:ind w:left="120"/>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967F4B"/>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967F4B"/>
    <w:pPr>
      <w:widowControl w:val="0"/>
      <w:autoSpaceDE w:val="0"/>
      <w:autoSpaceDN w:val="0"/>
      <w:spacing w:before="0" w:after="0" w:line="210" w:lineRule="exact"/>
    </w:pPr>
    <w:rPr>
      <w:rFonts w:ascii="Times New Roman" w:eastAsia="Times New Roman" w:hAnsi="Times New Roman"/>
      <w:lang w:val="en-US"/>
    </w:rPr>
  </w:style>
  <w:style w:type="paragraph" w:customStyle="1" w:styleId="Default">
    <w:name w:val="Default"/>
    <w:rsid w:val="001F0D9F"/>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594986">
      <w:bodyDiv w:val="1"/>
      <w:marLeft w:val="0"/>
      <w:marRight w:val="0"/>
      <w:marTop w:val="0"/>
      <w:marBottom w:val="0"/>
      <w:divBdr>
        <w:top w:val="none" w:sz="0" w:space="0" w:color="auto"/>
        <w:left w:val="none" w:sz="0" w:space="0" w:color="auto"/>
        <w:bottom w:val="none" w:sz="0" w:space="0" w:color="auto"/>
        <w:right w:val="none" w:sz="0" w:space="0" w:color="auto"/>
      </w:divBdr>
    </w:div>
    <w:div w:id="76749177">
      <w:bodyDiv w:val="1"/>
      <w:marLeft w:val="0"/>
      <w:marRight w:val="0"/>
      <w:marTop w:val="0"/>
      <w:marBottom w:val="0"/>
      <w:divBdr>
        <w:top w:val="none" w:sz="0" w:space="0" w:color="auto"/>
        <w:left w:val="none" w:sz="0" w:space="0" w:color="auto"/>
        <w:bottom w:val="none" w:sz="0" w:space="0" w:color="auto"/>
        <w:right w:val="none" w:sz="0" w:space="0" w:color="auto"/>
      </w:divBdr>
    </w:div>
    <w:div w:id="140852136">
      <w:bodyDiv w:val="1"/>
      <w:marLeft w:val="0"/>
      <w:marRight w:val="0"/>
      <w:marTop w:val="0"/>
      <w:marBottom w:val="0"/>
      <w:divBdr>
        <w:top w:val="none" w:sz="0" w:space="0" w:color="auto"/>
        <w:left w:val="none" w:sz="0" w:space="0" w:color="auto"/>
        <w:bottom w:val="none" w:sz="0" w:space="0" w:color="auto"/>
        <w:right w:val="none" w:sz="0" w:space="0" w:color="auto"/>
      </w:divBdr>
    </w:div>
    <w:div w:id="268507308">
      <w:bodyDiv w:val="1"/>
      <w:marLeft w:val="0"/>
      <w:marRight w:val="0"/>
      <w:marTop w:val="0"/>
      <w:marBottom w:val="0"/>
      <w:divBdr>
        <w:top w:val="none" w:sz="0" w:space="0" w:color="auto"/>
        <w:left w:val="none" w:sz="0" w:space="0" w:color="auto"/>
        <w:bottom w:val="none" w:sz="0" w:space="0" w:color="auto"/>
        <w:right w:val="none" w:sz="0" w:space="0" w:color="auto"/>
      </w:divBdr>
    </w:div>
    <w:div w:id="358160786">
      <w:bodyDiv w:val="1"/>
      <w:marLeft w:val="0"/>
      <w:marRight w:val="0"/>
      <w:marTop w:val="0"/>
      <w:marBottom w:val="0"/>
      <w:divBdr>
        <w:top w:val="none" w:sz="0" w:space="0" w:color="auto"/>
        <w:left w:val="none" w:sz="0" w:space="0" w:color="auto"/>
        <w:bottom w:val="none" w:sz="0" w:space="0" w:color="auto"/>
        <w:right w:val="none" w:sz="0" w:space="0" w:color="auto"/>
      </w:divBdr>
    </w:div>
    <w:div w:id="423575713">
      <w:bodyDiv w:val="1"/>
      <w:marLeft w:val="0"/>
      <w:marRight w:val="0"/>
      <w:marTop w:val="0"/>
      <w:marBottom w:val="0"/>
      <w:divBdr>
        <w:top w:val="none" w:sz="0" w:space="0" w:color="auto"/>
        <w:left w:val="none" w:sz="0" w:space="0" w:color="auto"/>
        <w:bottom w:val="none" w:sz="0" w:space="0" w:color="auto"/>
        <w:right w:val="none" w:sz="0" w:space="0" w:color="auto"/>
      </w:divBdr>
    </w:div>
    <w:div w:id="557938648">
      <w:bodyDiv w:val="1"/>
      <w:marLeft w:val="0"/>
      <w:marRight w:val="0"/>
      <w:marTop w:val="0"/>
      <w:marBottom w:val="0"/>
      <w:divBdr>
        <w:top w:val="none" w:sz="0" w:space="0" w:color="auto"/>
        <w:left w:val="none" w:sz="0" w:space="0" w:color="auto"/>
        <w:bottom w:val="none" w:sz="0" w:space="0" w:color="auto"/>
        <w:right w:val="none" w:sz="0" w:space="0" w:color="auto"/>
      </w:divBdr>
    </w:div>
    <w:div w:id="611128425">
      <w:bodyDiv w:val="1"/>
      <w:marLeft w:val="0"/>
      <w:marRight w:val="0"/>
      <w:marTop w:val="0"/>
      <w:marBottom w:val="0"/>
      <w:divBdr>
        <w:top w:val="none" w:sz="0" w:space="0" w:color="auto"/>
        <w:left w:val="none" w:sz="0" w:space="0" w:color="auto"/>
        <w:bottom w:val="none" w:sz="0" w:space="0" w:color="auto"/>
        <w:right w:val="none" w:sz="0" w:space="0" w:color="auto"/>
      </w:divBdr>
    </w:div>
    <w:div w:id="708920975">
      <w:bodyDiv w:val="1"/>
      <w:marLeft w:val="0"/>
      <w:marRight w:val="0"/>
      <w:marTop w:val="0"/>
      <w:marBottom w:val="0"/>
      <w:divBdr>
        <w:top w:val="none" w:sz="0" w:space="0" w:color="auto"/>
        <w:left w:val="none" w:sz="0" w:space="0" w:color="auto"/>
        <w:bottom w:val="none" w:sz="0" w:space="0" w:color="auto"/>
        <w:right w:val="none" w:sz="0" w:space="0" w:color="auto"/>
      </w:divBdr>
    </w:div>
    <w:div w:id="906647552">
      <w:bodyDiv w:val="1"/>
      <w:marLeft w:val="0"/>
      <w:marRight w:val="0"/>
      <w:marTop w:val="0"/>
      <w:marBottom w:val="0"/>
      <w:divBdr>
        <w:top w:val="none" w:sz="0" w:space="0" w:color="auto"/>
        <w:left w:val="none" w:sz="0" w:space="0" w:color="auto"/>
        <w:bottom w:val="none" w:sz="0" w:space="0" w:color="auto"/>
        <w:right w:val="none" w:sz="0" w:space="0" w:color="auto"/>
      </w:divBdr>
    </w:div>
    <w:div w:id="1227492101">
      <w:bodyDiv w:val="1"/>
      <w:marLeft w:val="0"/>
      <w:marRight w:val="0"/>
      <w:marTop w:val="0"/>
      <w:marBottom w:val="0"/>
      <w:divBdr>
        <w:top w:val="none" w:sz="0" w:space="0" w:color="auto"/>
        <w:left w:val="none" w:sz="0" w:space="0" w:color="auto"/>
        <w:bottom w:val="none" w:sz="0" w:space="0" w:color="auto"/>
        <w:right w:val="none" w:sz="0" w:space="0" w:color="auto"/>
      </w:divBdr>
    </w:div>
    <w:div w:id="1336418868">
      <w:bodyDiv w:val="1"/>
      <w:marLeft w:val="0"/>
      <w:marRight w:val="0"/>
      <w:marTop w:val="0"/>
      <w:marBottom w:val="0"/>
      <w:divBdr>
        <w:top w:val="none" w:sz="0" w:space="0" w:color="auto"/>
        <w:left w:val="none" w:sz="0" w:space="0" w:color="auto"/>
        <w:bottom w:val="none" w:sz="0" w:space="0" w:color="auto"/>
        <w:right w:val="none" w:sz="0" w:space="0" w:color="auto"/>
      </w:divBdr>
    </w:div>
    <w:div w:id="1877037968">
      <w:bodyDiv w:val="1"/>
      <w:marLeft w:val="0"/>
      <w:marRight w:val="0"/>
      <w:marTop w:val="0"/>
      <w:marBottom w:val="0"/>
      <w:divBdr>
        <w:top w:val="none" w:sz="0" w:space="0" w:color="auto"/>
        <w:left w:val="none" w:sz="0" w:space="0" w:color="auto"/>
        <w:bottom w:val="none" w:sz="0" w:space="0" w:color="auto"/>
        <w:right w:val="none" w:sz="0" w:space="0" w:color="auto"/>
      </w:divBdr>
      <w:divsChild>
        <w:div w:id="1802765571">
          <w:marLeft w:val="0"/>
          <w:marRight w:val="0"/>
          <w:marTop w:val="75"/>
          <w:marBottom w:val="0"/>
          <w:divBdr>
            <w:top w:val="none" w:sz="0" w:space="0" w:color="auto"/>
            <w:left w:val="none" w:sz="0" w:space="0" w:color="auto"/>
            <w:bottom w:val="none" w:sz="0" w:space="0" w:color="auto"/>
            <w:right w:val="none" w:sz="0" w:space="0" w:color="auto"/>
          </w:divBdr>
          <w:divsChild>
            <w:div w:id="17122335">
              <w:marLeft w:val="0"/>
              <w:marRight w:val="0"/>
              <w:marTop w:val="0"/>
              <w:marBottom w:val="0"/>
              <w:divBdr>
                <w:top w:val="none" w:sz="0" w:space="0" w:color="auto"/>
                <w:left w:val="none" w:sz="0" w:space="0" w:color="auto"/>
                <w:bottom w:val="none" w:sz="0" w:space="0" w:color="auto"/>
                <w:right w:val="none" w:sz="0" w:space="0" w:color="auto"/>
              </w:divBdr>
            </w:div>
          </w:divsChild>
        </w:div>
        <w:div w:id="1276670974">
          <w:marLeft w:val="0"/>
          <w:marRight w:val="0"/>
          <w:marTop w:val="75"/>
          <w:marBottom w:val="300"/>
          <w:divBdr>
            <w:top w:val="none" w:sz="0" w:space="0" w:color="auto"/>
            <w:left w:val="none" w:sz="0" w:space="0" w:color="auto"/>
            <w:bottom w:val="none" w:sz="0" w:space="0" w:color="auto"/>
            <w:right w:val="none" w:sz="0" w:space="0" w:color="auto"/>
          </w:divBdr>
        </w:div>
      </w:divsChild>
    </w:div>
    <w:div w:id="1890071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eader" Target="header3.xml"/><Relationship Id="rId55" Type="http://schemas.openxmlformats.org/officeDocument/2006/relationships/hyperlink" Target="https://www.tga.gov.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hyperlink" Target="mailto:info@tga.gov.au"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oter" Target="footer2.xm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www.tga.gov.au/product-information-pi" TargetMode="External"/><Relationship Id="rId57" Type="http://schemas.openxmlformats.org/officeDocument/2006/relationships/header" Target="header7.xml"/><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eader" Target="header5.xml"/><Relationship Id="rId6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header" Target="header6.xml"/><Relationship Id="rId8" Type="http://schemas.openxmlformats.org/officeDocument/2006/relationships/hyperlink" Target="https://www.tga.gov.au" TargetMode="External"/><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eader" Target="header8.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gul\AppData\Local\Hewlett-Packard\HP%20TRIM\TEMP\HPTRIM.91892\t0RA1CE4.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934718-5FE6-4DEE-8299-AD20D809F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t0RA1CE4.DOTX</Template>
  <TotalTime>186</TotalTime>
  <Pages>65</Pages>
  <Words>15403</Words>
  <Characters>87798</Characters>
  <Application>Microsoft Office Word</Application>
  <DocSecurity>0</DocSecurity>
  <Lines>731</Lines>
  <Paragraphs>205</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Therapeutic Goods Administration</Company>
  <LinksUpToDate>false</LinksUpToDate>
  <CharactersWithSpaces>102996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Perampanel hemisesquihydrate</dc:title>
  <dc:subject>prescription medicine regulation</dc:subject>
  <dc:creator>Therapeutic Goods Administration</dc:creator>
  <cp:keywords/>
  <cp:lastPrinted>2019-08-14T04:30:00Z</cp:lastPrinted>
  <dcterms:created xsi:type="dcterms:W3CDTF">2021-04-21T23:31:00Z</dcterms:created>
  <dcterms:modified xsi:type="dcterms:W3CDTF">2021-05-06T23:05:00Z</dcterms:modified>
  <cp:category/>
</cp:coreProperties>
</file>