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58297" w14:textId="7FA05D93" w:rsidR="00C453DF" w:rsidRPr="00C453DF" w:rsidRDefault="00C453DF" w:rsidP="00C453DF">
      <w:pPr>
        <w:spacing w:after="240" w:line="280" w:lineRule="exact"/>
        <w:rPr>
          <w:rFonts w:ascii="Times New Roman" w:eastAsia="MS Mincho" w:hAnsi="Times New Roman" w:cs="Times New Roman"/>
          <w:sz w:val="24"/>
          <w:szCs w:val="20"/>
          <w:lang w:val="en-US"/>
        </w:rPr>
      </w:pPr>
      <w:r w:rsidRPr="0060730F">
        <w:rPr>
          <w:rFonts w:ascii="Times New Roman" w:eastAsia="MS Mincho" w:hAnsi="Times New Roman" w:cs="Times New Roman"/>
          <w:noProof/>
          <w:sz w:val="24"/>
          <w:szCs w:val="20"/>
          <w:lang w:eastAsia="en-AU"/>
        </w:rPr>
        <mc:AlternateContent>
          <mc:Choice Requires="wps">
            <w:drawing>
              <wp:inline distT="0" distB="0" distL="0" distR="0" wp14:anchorId="797FDF20" wp14:editId="399FBD72">
                <wp:extent cx="180000" cy="154800"/>
                <wp:effectExtent l="0" t="0" r="0" b="0"/>
                <wp:docPr id="3" name="Isosceles Triangle 3"/>
                <wp:cNvGraphicFramePr/>
                <a:graphic xmlns:a="http://schemas.openxmlformats.org/drawingml/2006/main">
                  <a:graphicData uri="http://schemas.microsoft.com/office/word/2010/wordprocessingShape">
                    <wps:wsp>
                      <wps:cNvSpPr/>
                      <wps:spPr>
                        <a:xfrm flipH="1" flipV="1">
                          <a:off x="0" y="0"/>
                          <a:ext cx="180000" cy="154800"/>
                        </a:xfrm>
                        <a:prstGeom prst="triangle">
                          <a:avLst/>
                        </a:prstGeom>
                        <a:solidFill>
                          <a:sysClr val="windowText" lastClr="000000"/>
                        </a:solidFill>
                        <a:ln w="25400" cap="flat" cmpd="sng" algn="ctr">
                          <a:noFill/>
                          <a:prstDash val="solid"/>
                        </a:ln>
                        <a:effectLst/>
                      </wps:spPr>
                      <wps:txbx>
                        <w:txbxContent>
                          <w:p w14:paraId="2687E177" w14:textId="77777777" w:rsidR="00527070" w:rsidRDefault="00527070" w:rsidP="00C453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97FDF2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width:14.15pt;height:12.2pt;flip:x 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" fillcolor="windowText" stroked="f" strokeweight="2pt">
                <v:textbox>
                  <w:txbxContent>
                    <w:p w14:paraId="2687E177" w14:textId="77777777" w:rsidR="00527070" w:rsidRDefault="00527070" w:rsidP="00C453DF">
                      <w:pPr>
                        <w:jc w:val="center"/>
                      </w:pPr>
                    </w:p>
                  </w:txbxContent>
                </v:textbox>
                <w10:anchorlock/>
              </v:shape>
            </w:pict>
          </mc:Fallback>
        </mc:AlternateContent>
      </w:r>
      <w:r w:rsidRPr="0060730F">
        <w:rPr>
          <w:rFonts w:ascii="Times New Roman" w:eastAsia="MS Mincho" w:hAnsi="Times New Roman" w:cs="Times New Roman"/>
          <w:sz w:val="24"/>
          <w:szCs w:val="20"/>
          <w:lang w:val="en-US"/>
        </w:rPr>
        <w:t>This medicinal product is subject to additional monitoring in Australia</w:t>
      </w:r>
      <w:r w:rsidR="00AC36D8">
        <w:rPr>
          <w:rFonts w:ascii="Times New Roman" w:eastAsia="MS Mincho" w:hAnsi="Times New Roman" w:cs="Times New Roman"/>
          <w:sz w:val="24"/>
          <w:szCs w:val="20"/>
          <w:lang w:val="en-US"/>
        </w:rPr>
        <w:t xml:space="preserve"> due to approval of an extension of indications</w:t>
      </w:r>
      <w:r w:rsidRPr="0060730F">
        <w:rPr>
          <w:rFonts w:ascii="Times New Roman" w:eastAsia="MS Mincho" w:hAnsi="Times New Roman" w:cs="Times New Roman"/>
          <w:sz w:val="24"/>
          <w:szCs w:val="20"/>
          <w:lang w:val="en-US"/>
        </w:rPr>
        <w:t xml:space="preserve">. This will allow quick identification of new safety information. Healthcare professionals are asked to report any suspected adverse events at www.tga.gov.au/reporting-problems. </w:t>
      </w:r>
    </w:p>
    <w:p w14:paraId="0C906403" w14:textId="3BA088A6" w:rsidR="00835476" w:rsidRPr="0021584E" w:rsidRDefault="00D85D9B" w:rsidP="00D85D9B">
      <w:pPr>
        <w:pStyle w:val="Heading1"/>
        <w:numPr>
          <w:ilvl w:val="0"/>
          <w:numId w:val="0"/>
        </w:numPr>
        <w:jc w:val="center"/>
      </w:pPr>
      <w:r>
        <w:t xml:space="preserve">Australian </w:t>
      </w:r>
      <w:r w:rsidR="00835476" w:rsidRPr="00BE78D8">
        <w:t>PRODUCT INFORMATION</w:t>
      </w:r>
      <w:r>
        <w:t xml:space="preserve"> – </w:t>
      </w:r>
      <w:r w:rsidR="0021584E">
        <w:t>Fycompa</w:t>
      </w:r>
      <w:r w:rsidR="0021584E" w:rsidRPr="0021584E">
        <w:rPr>
          <w:vertAlign w:val="superscript"/>
        </w:rPr>
        <w:t>®</w:t>
      </w:r>
      <w:r w:rsidR="0021584E">
        <w:rPr>
          <w:vertAlign w:val="superscript"/>
        </w:rPr>
        <w:t xml:space="preserve"> </w:t>
      </w:r>
      <w:r w:rsidR="00D8104D">
        <w:t>(</w:t>
      </w:r>
      <w:r w:rsidR="0021584E">
        <w:t>perampanel</w:t>
      </w:r>
      <w:r w:rsidR="00D8104D">
        <w:t>)</w:t>
      </w:r>
      <w:r w:rsidR="002821A2">
        <w:t xml:space="preserve"> film-coated tablets</w:t>
      </w:r>
      <w:r w:rsidR="00C742A9">
        <w:t xml:space="preserve"> and oral suspension</w:t>
      </w:r>
    </w:p>
    <w:p w14:paraId="1A597194" w14:textId="77777777" w:rsidR="00835476" w:rsidRDefault="00835476" w:rsidP="00D85D9B">
      <w:pPr>
        <w:pStyle w:val="Heading1"/>
      </w:pPr>
      <w:r w:rsidRPr="00BE78D8">
        <w:t>Name of the MEDICINE</w:t>
      </w:r>
    </w:p>
    <w:p w14:paraId="7466EDDD" w14:textId="458CA91E" w:rsidR="0021584E" w:rsidRDefault="002821A2" w:rsidP="0021584E">
      <w:pPr>
        <w:pStyle w:val="BodyText"/>
      </w:pPr>
      <w:r>
        <w:t xml:space="preserve">Perampanel </w:t>
      </w:r>
      <w:r w:rsidR="00D8104D">
        <w:t>(</w:t>
      </w:r>
      <w:r w:rsidR="0021584E" w:rsidRPr="0021584E">
        <w:t>as hemisesquihydrate</w:t>
      </w:r>
      <w:r w:rsidR="00D8104D">
        <w:t>)</w:t>
      </w:r>
    </w:p>
    <w:p w14:paraId="076B502E" w14:textId="77777777" w:rsidR="00D85D9B" w:rsidRDefault="00D85D9B" w:rsidP="00D85D9B">
      <w:pPr>
        <w:pStyle w:val="Heading1"/>
        <w:ind w:left="431" w:hanging="431"/>
      </w:pPr>
      <w:r w:rsidRPr="00356A04">
        <w:t>Qualitative and quantitative composition</w:t>
      </w:r>
    </w:p>
    <w:p w14:paraId="3AEFA1AB" w14:textId="77777777" w:rsidR="00C742A9" w:rsidRDefault="00C742A9" w:rsidP="00111E1B">
      <w:pPr>
        <w:pStyle w:val="Heading2"/>
      </w:pPr>
      <w:bookmarkStart w:id="0" w:name="_GoBack"/>
      <w:bookmarkEnd w:id="0"/>
      <w:r>
        <w:t>Film-Coated Tablets</w:t>
      </w:r>
    </w:p>
    <w:p w14:paraId="1619F65D" w14:textId="77777777" w:rsidR="008B5455" w:rsidRDefault="008B5455" w:rsidP="00111E1B">
      <w:pPr>
        <w:pStyle w:val="Heading3"/>
      </w:pPr>
      <w:r w:rsidRPr="00FB0E31">
        <w:t>Fycompa 2 mg film</w:t>
      </w:r>
      <w:r w:rsidRPr="00FB0E31">
        <w:noBreakHyphen/>
        <w:t>coated tablets</w:t>
      </w:r>
      <w:r w:rsidRPr="002821A2">
        <w:t xml:space="preserve"> </w:t>
      </w:r>
    </w:p>
    <w:p w14:paraId="7D0D0E12" w14:textId="77777777" w:rsidR="002821A2" w:rsidRDefault="002821A2" w:rsidP="00143D1C">
      <w:pPr>
        <w:pStyle w:val="BodyText"/>
        <w:spacing w:after="240"/>
      </w:pPr>
      <w:r w:rsidRPr="002821A2">
        <w:t>Each 2 mg FYCOMPA film-coated tablet contains 2</w:t>
      </w:r>
      <w:r>
        <w:t xml:space="preserve"> </w:t>
      </w:r>
      <w:r w:rsidRPr="002821A2">
        <w:t>mg of perampanel (as hemisesquihydrate).</w:t>
      </w:r>
    </w:p>
    <w:p w14:paraId="07FEBCDD" w14:textId="77777777" w:rsidR="008B5455" w:rsidRDefault="008B5455" w:rsidP="00143D1C">
      <w:pPr>
        <w:pStyle w:val="BodyText"/>
        <w:spacing w:after="240"/>
      </w:pPr>
      <w:r>
        <w:t xml:space="preserve">Excipient with known effect: </w:t>
      </w:r>
    </w:p>
    <w:p w14:paraId="610D7141" w14:textId="2A9EAFC8" w:rsidR="008B5455" w:rsidRDefault="008B5455" w:rsidP="00143D1C">
      <w:pPr>
        <w:pStyle w:val="BodyText"/>
        <w:spacing w:after="240"/>
      </w:pPr>
      <w:r>
        <w:t>Each 2 mg tablet contains 78.5 mg of lactose (as monohydrate).</w:t>
      </w:r>
    </w:p>
    <w:p w14:paraId="3FB719C6" w14:textId="77777777" w:rsidR="008B5455" w:rsidRDefault="008B5455" w:rsidP="008B5455">
      <w:pPr>
        <w:pStyle w:val="Heading3"/>
      </w:pPr>
      <w:r w:rsidRPr="00FB0E31">
        <w:t xml:space="preserve">Fycompa </w:t>
      </w:r>
      <w:r>
        <w:t>4</w:t>
      </w:r>
      <w:r w:rsidRPr="00FB0E31">
        <w:t> mg film</w:t>
      </w:r>
      <w:r w:rsidRPr="00FB0E31">
        <w:noBreakHyphen/>
        <w:t>coated tablets</w:t>
      </w:r>
      <w:r w:rsidRPr="002821A2">
        <w:t xml:space="preserve"> </w:t>
      </w:r>
    </w:p>
    <w:p w14:paraId="6E649107" w14:textId="77777777" w:rsidR="002821A2" w:rsidRDefault="002821A2" w:rsidP="00143D1C">
      <w:pPr>
        <w:pStyle w:val="BodyText"/>
        <w:spacing w:after="240"/>
      </w:pPr>
      <w:r>
        <w:t>Each 4</w:t>
      </w:r>
      <w:r w:rsidRPr="002821A2">
        <w:t xml:space="preserve"> mg FYCOMPA film-</w:t>
      </w:r>
      <w:r>
        <w:t xml:space="preserve">coated tablet contains 4 </w:t>
      </w:r>
      <w:r w:rsidRPr="002821A2">
        <w:t>mg of perampanel (as hemisesquihydrate).</w:t>
      </w:r>
    </w:p>
    <w:p w14:paraId="1B4EBCC4" w14:textId="77777777" w:rsidR="008B5455" w:rsidRDefault="008B5455" w:rsidP="00143D1C">
      <w:pPr>
        <w:pStyle w:val="BodyText"/>
        <w:spacing w:after="240"/>
      </w:pPr>
      <w:r>
        <w:t xml:space="preserve">Excipient with known effect: </w:t>
      </w:r>
    </w:p>
    <w:p w14:paraId="102E8E90" w14:textId="77777777" w:rsidR="008B5455" w:rsidRDefault="008B5455" w:rsidP="00143D1C">
      <w:pPr>
        <w:pStyle w:val="BodyText"/>
        <w:spacing w:after="240"/>
      </w:pPr>
      <w:r>
        <w:t>Each 4 mg tablet contains 157 mg of lactose (as monohydrate).</w:t>
      </w:r>
    </w:p>
    <w:p w14:paraId="1535A168" w14:textId="77777777" w:rsidR="008B5455" w:rsidRDefault="008B5455" w:rsidP="008B5455">
      <w:pPr>
        <w:pStyle w:val="Heading3"/>
      </w:pPr>
      <w:r>
        <w:t>Fycompa 6</w:t>
      </w:r>
      <w:r w:rsidRPr="00FB0E31">
        <w:t> mg film</w:t>
      </w:r>
      <w:r w:rsidRPr="00FB0E31">
        <w:noBreakHyphen/>
        <w:t>coated tablets</w:t>
      </w:r>
      <w:r w:rsidRPr="002821A2">
        <w:t xml:space="preserve"> </w:t>
      </w:r>
    </w:p>
    <w:p w14:paraId="457DDA90" w14:textId="77777777" w:rsidR="002821A2" w:rsidRDefault="002821A2" w:rsidP="00143D1C">
      <w:pPr>
        <w:pStyle w:val="BodyText"/>
        <w:spacing w:after="240"/>
      </w:pPr>
      <w:r>
        <w:t>Each 6</w:t>
      </w:r>
      <w:r w:rsidRPr="002821A2">
        <w:t xml:space="preserve"> mg FYCOMPA film-</w:t>
      </w:r>
      <w:r>
        <w:t xml:space="preserve">coated tablet contains 6 </w:t>
      </w:r>
      <w:r w:rsidRPr="002821A2">
        <w:t>mg of perampanel (as hemisesquihydrate).</w:t>
      </w:r>
    </w:p>
    <w:p w14:paraId="32BC0911" w14:textId="77777777" w:rsidR="008B5455" w:rsidRDefault="008B5455" w:rsidP="00143D1C">
      <w:pPr>
        <w:pStyle w:val="BodyText"/>
        <w:spacing w:after="240"/>
      </w:pPr>
      <w:r>
        <w:t xml:space="preserve">Excipient with known effect: </w:t>
      </w:r>
    </w:p>
    <w:p w14:paraId="144BB595" w14:textId="77777777" w:rsidR="008B5455" w:rsidRDefault="008B5455" w:rsidP="00143D1C">
      <w:pPr>
        <w:pStyle w:val="BodyText"/>
        <w:spacing w:after="240"/>
      </w:pPr>
      <w:r>
        <w:t>Each 6 mg tablet contains 151 mg of lactose (as monohydrate).</w:t>
      </w:r>
    </w:p>
    <w:p w14:paraId="09782E4B" w14:textId="77777777" w:rsidR="008B5455" w:rsidRDefault="008B5455" w:rsidP="008B5455">
      <w:pPr>
        <w:pStyle w:val="Heading3"/>
      </w:pPr>
      <w:r>
        <w:t>Fycompa 8</w:t>
      </w:r>
      <w:r w:rsidRPr="00FB0E31">
        <w:t> mg film</w:t>
      </w:r>
      <w:r w:rsidRPr="00FB0E31">
        <w:noBreakHyphen/>
        <w:t>coated tablets</w:t>
      </w:r>
      <w:r w:rsidRPr="002821A2">
        <w:t xml:space="preserve"> </w:t>
      </w:r>
    </w:p>
    <w:p w14:paraId="6294B0C3" w14:textId="77777777" w:rsidR="002821A2" w:rsidRDefault="002821A2" w:rsidP="00143D1C">
      <w:pPr>
        <w:pStyle w:val="BodyText"/>
        <w:spacing w:after="240"/>
      </w:pPr>
      <w:r>
        <w:t>Each 8</w:t>
      </w:r>
      <w:r w:rsidRPr="002821A2">
        <w:t xml:space="preserve"> mg FYCOMPA film-</w:t>
      </w:r>
      <w:r>
        <w:t xml:space="preserve">coated tablet contains 8 </w:t>
      </w:r>
      <w:r w:rsidRPr="002821A2">
        <w:t>mg of perampanel (as hemisesquihydrate).</w:t>
      </w:r>
    </w:p>
    <w:p w14:paraId="3584767A" w14:textId="77777777" w:rsidR="008B5455" w:rsidRDefault="008B5455" w:rsidP="00143D1C">
      <w:pPr>
        <w:pStyle w:val="BodyText"/>
        <w:keepNext/>
        <w:spacing w:after="240"/>
      </w:pPr>
      <w:r>
        <w:lastRenderedPageBreak/>
        <w:t xml:space="preserve">Excipient with known effect: </w:t>
      </w:r>
    </w:p>
    <w:p w14:paraId="6E98760C" w14:textId="77777777" w:rsidR="008B5455" w:rsidRDefault="008B5455" w:rsidP="00143D1C">
      <w:pPr>
        <w:pStyle w:val="BodyText"/>
        <w:spacing w:after="240"/>
      </w:pPr>
      <w:r>
        <w:t>Each 8 mg tablet contains 149 mg of lactose (as monohydrate).</w:t>
      </w:r>
    </w:p>
    <w:p w14:paraId="0E13854A" w14:textId="77777777" w:rsidR="008B5455" w:rsidRDefault="008B5455" w:rsidP="008B5455">
      <w:pPr>
        <w:pStyle w:val="Heading3"/>
      </w:pPr>
      <w:r w:rsidRPr="00FB0E31">
        <w:t xml:space="preserve">Fycompa </w:t>
      </w:r>
      <w:r>
        <w:t>10</w:t>
      </w:r>
      <w:r w:rsidRPr="00FB0E31">
        <w:t> mg film</w:t>
      </w:r>
      <w:r w:rsidRPr="00FB0E31">
        <w:noBreakHyphen/>
        <w:t>coated tablets</w:t>
      </w:r>
      <w:r w:rsidRPr="002821A2">
        <w:t xml:space="preserve"> </w:t>
      </w:r>
    </w:p>
    <w:p w14:paraId="1DED2C85" w14:textId="77777777" w:rsidR="002821A2" w:rsidRDefault="002821A2" w:rsidP="00143D1C">
      <w:pPr>
        <w:pStyle w:val="BodyText"/>
        <w:spacing w:after="240"/>
      </w:pPr>
      <w:r>
        <w:t>Each 10</w:t>
      </w:r>
      <w:r w:rsidRPr="002821A2">
        <w:t xml:space="preserve"> mg FYCOMPA film-coated tablet contains </w:t>
      </w:r>
      <w:r>
        <w:t xml:space="preserve">10 </w:t>
      </w:r>
      <w:r w:rsidRPr="002821A2">
        <w:t>mg of perampanel (as hemisesquihydrate).</w:t>
      </w:r>
    </w:p>
    <w:p w14:paraId="3CD2AD12" w14:textId="77777777" w:rsidR="008B5455" w:rsidRDefault="008B5455" w:rsidP="00143D1C">
      <w:pPr>
        <w:pStyle w:val="BodyText"/>
        <w:spacing w:after="240"/>
      </w:pPr>
      <w:r>
        <w:t xml:space="preserve">Excipient with known effect: </w:t>
      </w:r>
    </w:p>
    <w:p w14:paraId="1C4A504F" w14:textId="77777777" w:rsidR="008B5455" w:rsidRDefault="008B5455" w:rsidP="00143D1C">
      <w:pPr>
        <w:pStyle w:val="BodyText"/>
        <w:spacing w:after="240"/>
      </w:pPr>
      <w:r>
        <w:t>Each 10 mg tablet contains 147 mg of lactose (as monohydrate).</w:t>
      </w:r>
    </w:p>
    <w:p w14:paraId="5E915799" w14:textId="77777777" w:rsidR="008B5455" w:rsidRDefault="008B5455" w:rsidP="008B5455">
      <w:pPr>
        <w:pStyle w:val="Heading3"/>
      </w:pPr>
      <w:r w:rsidRPr="00FB0E31">
        <w:t xml:space="preserve">Fycompa </w:t>
      </w:r>
      <w:r>
        <w:t>1</w:t>
      </w:r>
      <w:r w:rsidRPr="00FB0E31">
        <w:t>2 mg film</w:t>
      </w:r>
      <w:r w:rsidRPr="00FB0E31">
        <w:noBreakHyphen/>
        <w:t>coated tablets</w:t>
      </w:r>
      <w:r w:rsidRPr="002821A2">
        <w:t xml:space="preserve"> </w:t>
      </w:r>
    </w:p>
    <w:p w14:paraId="08DA7F59" w14:textId="77777777" w:rsidR="002821A2" w:rsidRDefault="002821A2" w:rsidP="00143D1C">
      <w:pPr>
        <w:pStyle w:val="BodyText"/>
        <w:spacing w:after="240"/>
      </w:pPr>
      <w:r w:rsidRPr="002821A2">
        <w:t xml:space="preserve">Each </w:t>
      </w:r>
      <w:r>
        <w:t>1</w:t>
      </w:r>
      <w:r w:rsidRPr="002821A2">
        <w:t xml:space="preserve">2 mg FYCOMPA film-coated tablet contains </w:t>
      </w:r>
      <w:r>
        <w:t>1</w:t>
      </w:r>
      <w:r w:rsidRPr="002821A2">
        <w:t>2</w:t>
      </w:r>
      <w:r>
        <w:t xml:space="preserve"> </w:t>
      </w:r>
      <w:r w:rsidRPr="002821A2">
        <w:t>mg of perampanel (as hemisesquihydrate).</w:t>
      </w:r>
    </w:p>
    <w:p w14:paraId="54B53977" w14:textId="77777777" w:rsidR="008B5455" w:rsidRDefault="008B5455" w:rsidP="00143D1C">
      <w:pPr>
        <w:pStyle w:val="BodyText"/>
        <w:spacing w:after="240"/>
      </w:pPr>
      <w:r>
        <w:t xml:space="preserve">Excipient with known effect: </w:t>
      </w:r>
    </w:p>
    <w:p w14:paraId="5A3CD94D" w14:textId="77777777" w:rsidR="008B5455" w:rsidRDefault="008B5455" w:rsidP="00143D1C">
      <w:pPr>
        <w:pStyle w:val="BodyText"/>
        <w:spacing w:after="240"/>
      </w:pPr>
      <w:r>
        <w:t>Each 12 mg tablet contains 145 mg of lactose (as monohydrate).</w:t>
      </w:r>
    </w:p>
    <w:p w14:paraId="6F5DA606" w14:textId="77777777" w:rsidR="00197303" w:rsidRDefault="00197303" w:rsidP="00197303">
      <w:pPr>
        <w:pStyle w:val="Heading3"/>
      </w:pPr>
      <w:r>
        <w:t>All film-coated tablets</w:t>
      </w:r>
    </w:p>
    <w:p w14:paraId="76B71DFA" w14:textId="55A06F21" w:rsidR="00197303" w:rsidRDefault="00197303" w:rsidP="00143D1C">
      <w:pPr>
        <w:pStyle w:val="BodyText"/>
        <w:spacing w:after="240"/>
      </w:pPr>
      <w:r w:rsidRPr="00197303">
        <w:t>Excipients with known effect: Sugars (as lactose)</w:t>
      </w:r>
    </w:p>
    <w:p w14:paraId="165FCAA6" w14:textId="65601389" w:rsidR="00197303" w:rsidRPr="00197303" w:rsidRDefault="00C742A9" w:rsidP="00143D1C">
      <w:pPr>
        <w:pStyle w:val="BodyText"/>
        <w:spacing w:after="240"/>
      </w:pPr>
      <w:r w:rsidRPr="00197303">
        <w:t xml:space="preserve">For the full list of excipients, see Section </w:t>
      </w:r>
      <w:r w:rsidRPr="00197303">
        <w:fldChar w:fldCharType="begin"/>
      </w:r>
      <w:r w:rsidRPr="00197303">
        <w:instrText xml:space="preserve"> REF _Ref503187308 \r \h </w:instrText>
      </w:r>
      <w:r w:rsidR="00197303">
        <w:instrText xml:space="preserve"> \* MERGEFORMAT </w:instrText>
      </w:r>
      <w:r w:rsidRPr="00197303">
        <w:fldChar w:fldCharType="separate"/>
      </w:r>
      <w:r w:rsidR="007B3B4A">
        <w:t>6.1</w:t>
      </w:r>
      <w:r w:rsidRPr="00197303">
        <w:fldChar w:fldCharType="end"/>
      </w:r>
      <w:r w:rsidRPr="00197303">
        <w:t xml:space="preserve"> List of excipients.</w:t>
      </w:r>
    </w:p>
    <w:p w14:paraId="4A0F282E" w14:textId="77777777" w:rsidR="00C742A9" w:rsidRDefault="00C742A9" w:rsidP="00111E1B">
      <w:pPr>
        <w:pStyle w:val="Heading2"/>
      </w:pPr>
      <w:r>
        <w:t>Oral suspension</w:t>
      </w:r>
    </w:p>
    <w:p w14:paraId="5A0044CB" w14:textId="1912CD63" w:rsidR="00C742A9" w:rsidRDefault="00C742A9" w:rsidP="00143D1C">
      <w:pPr>
        <w:pStyle w:val="BodyText"/>
        <w:spacing w:after="240"/>
      </w:pPr>
      <w:r>
        <w:t xml:space="preserve">Each bottle of 340 </w:t>
      </w:r>
      <w:r w:rsidR="00660D53">
        <w:t>mL oral suspension</w:t>
      </w:r>
      <w:r>
        <w:t xml:space="preserve"> contains 170 mg perampanel</w:t>
      </w:r>
      <w:r w:rsidR="002241DD">
        <w:t xml:space="preserve"> (</w:t>
      </w:r>
      <w:r w:rsidR="002241DD" w:rsidRPr="0021584E">
        <w:t>as hemisesquihydrate</w:t>
      </w:r>
      <w:r w:rsidR="002241DD">
        <w:t>).</w:t>
      </w:r>
    </w:p>
    <w:p w14:paraId="74E168F0" w14:textId="4040AE01" w:rsidR="00682482" w:rsidRDefault="00682482" w:rsidP="00143D1C">
      <w:pPr>
        <w:pStyle w:val="BodyText"/>
        <w:spacing w:after="240"/>
      </w:pPr>
      <w:r>
        <w:t>Each 4 mL of oral suspension contains 2 mg perampanel</w:t>
      </w:r>
      <w:r w:rsidR="002241DD">
        <w:t xml:space="preserve"> (</w:t>
      </w:r>
      <w:r w:rsidR="002241DD" w:rsidRPr="0021584E">
        <w:t>as hemisesquihydrate</w:t>
      </w:r>
      <w:r w:rsidR="002241DD">
        <w:t>)</w:t>
      </w:r>
      <w:r>
        <w:t xml:space="preserve">. </w:t>
      </w:r>
    </w:p>
    <w:p w14:paraId="00F844D9" w14:textId="77777777" w:rsidR="00C742A9" w:rsidRDefault="00C742A9" w:rsidP="00143D1C">
      <w:pPr>
        <w:pStyle w:val="BodyText"/>
        <w:spacing w:after="240"/>
      </w:pPr>
      <w:r>
        <w:t>Excipient with known effect:</w:t>
      </w:r>
    </w:p>
    <w:p w14:paraId="76E0E7EF" w14:textId="65125975" w:rsidR="00954965" w:rsidRDefault="00C742A9" w:rsidP="00143D1C">
      <w:pPr>
        <w:pStyle w:val="BodyText"/>
        <w:spacing w:after="240"/>
      </w:pPr>
      <w:r>
        <w:t>Each</w:t>
      </w:r>
      <w:r w:rsidR="00682482">
        <w:t xml:space="preserve"> 4</w:t>
      </w:r>
      <w:r>
        <w:t xml:space="preserve"> </w:t>
      </w:r>
      <w:r w:rsidR="00660D53">
        <w:t>mL</w:t>
      </w:r>
      <w:r>
        <w:t xml:space="preserve"> of oral suspe</w:t>
      </w:r>
      <w:r w:rsidR="00954965">
        <w:t>nsion contains:</w:t>
      </w:r>
    </w:p>
    <w:p w14:paraId="73F335AB" w14:textId="0C60287E" w:rsidR="00C742A9" w:rsidRDefault="00682482" w:rsidP="00143D1C">
      <w:pPr>
        <w:pStyle w:val="BodyText"/>
        <w:spacing w:after="240"/>
      </w:pPr>
      <w:r>
        <w:t>1000</w:t>
      </w:r>
      <w:r w:rsidR="00660D53">
        <w:t xml:space="preserve"> mg sorbitol</w:t>
      </w:r>
      <w:r w:rsidR="00954965">
        <w:t xml:space="preserve"> solution (70%) (crystallising),</w:t>
      </w:r>
    </w:p>
    <w:p w14:paraId="545ED2DD" w14:textId="5FFE323A" w:rsidR="00660D53" w:rsidRDefault="00682482" w:rsidP="00143D1C">
      <w:pPr>
        <w:pStyle w:val="BodyText"/>
        <w:spacing w:after="240"/>
      </w:pPr>
      <w:r>
        <w:t>4.40</w:t>
      </w:r>
      <w:r w:rsidR="00660D53">
        <w:t xml:space="preserve"> mg sodium benzoate.</w:t>
      </w:r>
    </w:p>
    <w:p w14:paraId="398AA8E3" w14:textId="23CBF909" w:rsidR="00C742A9" w:rsidRDefault="00C742A9" w:rsidP="00143D1C">
      <w:pPr>
        <w:pStyle w:val="BodyText"/>
        <w:spacing w:after="240"/>
      </w:pPr>
      <w:r>
        <w:t>F</w:t>
      </w:r>
      <w:r w:rsidRPr="00356A04">
        <w:t>or the full list of excipients, see S</w:t>
      </w:r>
      <w:r>
        <w:t xml:space="preserve">ection </w:t>
      </w:r>
      <w:r>
        <w:fldChar w:fldCharType="begin"/>
      </w:r>
      <w:r>
        <w:instrText xml:space="preserve"> REF _Ref503187308 \r \h </w:instrText>
      </w:r>
      <w:r>
        <w:fldChar w:fldCharType="separate"/>
      </w:r>
      <w:r w:rsidR="007B3B4A">
        <w:t>6.1</w:t>
      </w:r>
      <w:r>
        <w:fldChar w:fldCharType="end"/>
      </w:r>
      <w:r>
        <w:t xml:space="preserve"> List of excipients.</w:t>
      </w:r>
    </w:p>
    <w:p w14:paraId="51A8EAA6" w14:textId="77777777" w:rsidR="00DC5E06" w:rsidRDefault="00DC5E06" w:rsidP="00DC5E06">
      <w:pPr>
        <w:pStyle w:val="Heading1"/>
        <w:ind w:left="431" w:hanging="431"/>
      </w:pPr>
      <w:r w:rsidRPr="00356A04">
        <w:t>Pharmaceutical form</w:t>
      </w:r>
    </w:p>
    <w:p w14:paraId="583EC0A3" w14:textId="77777777" w:rsidR="00660D53" w:rsidRDefault="00660D53" w:rsidP="00660D53">
      <w:pPr>
        <w:pStyle w:val="Heading2"/>
      </w:pPr>
      <w:r>
        <w:t>Film coated tablet</w:t>
      </w:r>
    </w:p>
    <w:p w14:paraId="7A71215A" w14:textId="77777777" w:rsidR="002821A2" w:rsidRDefault="002821A2" w:rsidP="00143D1C">
      <w:pPr>
        <w:pStyle w:val="BodyText"/>
        <w:spacing w:after="240"/>
      </w:pPr>
      <w:r>
        <w:t>FYCOMPA 2 mg film-coated tablets are orange, round, biconvex tablets, engraved with E275 on one side and ‘2’ on other side.</w:t>
      </w:r>
    </w:p>
    <w:p w14:paraId="26C59C91" w14:textId="77777777" w:rsidR="002821A2" w:rsidRDefault="002821A2" w:rsidP="00143D1C">
      <w:pPr>
        <w:pStyle w:val="BodyText"/>
        <w:spacing w:after="240"/>
      </w:pPr>
      <w:r>
        <w:t>FYCOMPA 4 mg film-coated tablets are red, round, biconvex tablets, engraved with E277 on one side and ‘4’ on other side.</w:t>
      </w:r>
    </w:p>
    <w:p w14:paraId="4DFF6789" w14:textId="77777777" w:rsidR="002821A2" w:rsidRDefault="002821A2" w:rsidP="00143D1C">
      <w:pPr>
        <w:pStyle w:val="BodyText"/>
        <w:spacing w:after="240"/>
      </w:pPr>
      <w:r>
        <w:t>FYCOMPA 6 mg film-coated tablets are pink, round, biconvex tablets, engraved with E294 on one side and ‘6’ on other side</w:t>
      </w:r>
    </w:p>
    <w:p w14:paraId="10F26633" w14:textId="77777777" w:rsidR="002821A2" w:rsidRDefault="002821A2" w:rsidP="00143D1C">
      <w:pPr>
        <w:pStyle w:val="BodyText"/>
        <w:spacing w:after="240"/>
      </w:pPr>
      <w:r>
        <w:t>FYCOMPA 8 mg film-coated tablets are purple, round, biconvex tablets, engraved with E295 on one side and ‘8’ on other side.</w:t>
      </w:r>
    </w:p>
    <w:p w14:paraId="5565D76C" w14:textId="77777777" w:rsidR="002821A2" w:rsidRDefault="002821A2" w:rsidP="00143D1C">
      <w:pPr>
        <w:pStyle w:val="BodyText"/>
        <w:spacing w:after="240"/>
      </w:pPr>
      <w:r>
        <w:t>FYCOMPA 10 mg film-coated tablets are green, round, biconvex tablets, engraved with E296 on one side and ‘10’ on other side.</w:t>
      </w:r>
    </w:p>
    <w:p w14:paraId="68C56888" w14:textId="77777777" w:rsidR="002821A2" w:rsidRDefault="002821A2" w:rsidP="00143D1C">
      <w:pPr>
        <w:pStyle w:val="BodyText"/>
        <w:spacing w:after="240"/>
      </w:pPr>
      <w:r>
        <w:t>FYCOMPA 12 mg film-coated tablets are blue, round, biconvex tablets, engraved with E297 on one side and ‘12’ on other side.</w:t>
      </w:r>
    </w:p>
    <w:p w14:paraId="7F2FA85B" w14:textId="77777777" w:rsidR="00C742A9" w:rsidRDefault="00C742A9" w:rsidP="00660D53">
      <w:pPr>
        <w:pStyle w:val="Heading2"/>
      </w:pPr>
      <w:r>
        <w:t>Oral suspension</w:t>
      </w:r>
    </w:p>
    <w:p w14:paraId="625A9FDF" w14:textId="321426AF" w:rsidR="00C742A9" w:rsidRDefault="00954965" w:rsidP="00143D1C">
      <w:pPr>
        <w:pStyle w:val="BodyText"/>
        <w:spacing w:after="240"/>
      </w:pPr>
      <w:r>
        <w:t>FYCOMPA oral suspension appears as a w</w:t>
      </w:r>
      <w:r w:rsidR="00C742A9">
        <w:t>hite to off</w:t>
      </w:r>
      <w:r w:rsidR="00C742A9">
        <w:noBreakHyphen/>
        <w:t>white suspension</w:t>
      </w:r>
      <w:r w:rsidR="001B69E6">
        <w:t>.</w:t>
      </w:r>
    </w:p>
    <w:p w14:paraId="1BA67BF9" w14:textId="77777777" w:rsidR="00DC5E06" w:rsidRDefault="00DC5E06" w:rsidP="00DC5E06">
      <w:pPr>
        <w:pStyle w:val="Heading1"/>
        <w:ind w:left="431" w:hanging="431"/>
      </w:pPr>
      <w:r w:rsidRPr="00356A04">
        <w:t>Clinical particulars</w:t>
      </w:r>
    </w:p>
    <w:p w14:paraId="5CEEB6FA" w14:textId="77777777" w:rsidR="00DC5E06" w:rsidRDefault="00DC5E06" w:rsidP="00DC5E06">
      <w:pPr>
        <w:pStyle w:val="Heading2"/>
        <w:ind w:left="578" w:hanging="578"/>
      </w:pPr>
      <w:r w:rsidRPr="00356A04">
        <w:t xml:space="preserve">Therapeutic indications </w:t>
      </w:r>
    </w:p>
    <w:p w14:paraId="7A1BE9A5" w14:textId="77777777" w:rsidR="007772D1" w:rsidRDefault="0015665E" w:rsidP="00143D1C">
      <w:pPr>
        <w:pStyle w:val="BodyText"/>
        <w:spacing w:after="240"/>
        <w:rPr>
          <w:rFonts w:cs="Times New Roman"/>
          <w:szCs w:val="24"/>
        </w:rPr>
      </w:pPr>
      <w:r w:rsidRPr="003E7FB8">
        <w:rPr>
          <w:rFonts w:cs="Times New Roman"/>
          <w:szCs w:val="24"/>
        </w:rPr>
        <w:t xml:space="preserve">FYCOMPA is indicated for the adjunctive treatment of </w:t>
      </w:r>
    </w:p>
    <w:p w14:paraId="4CEE8583" w14:textId="7435869F" w:rsidR="0015665E" w:rsidRPr="004328C5" w:rsidRDefault="007772D1" w:rsidP="00143D1C">
      <w:pPr>
        <w:pStyle w:val="BodyText"/>
        <w:spacing w:after="240"/>
        <w:rPr>
          <w:rFonts w:cs="Times New Roman"/>
          <w:szCs w:val="24"/>
        </w:rPr>
      </w:pPr>
      <w:r>
        <w:rPr>
          <w:rFonts w:cs="Times New Roman"/>
          <w:szCs w:val="24"/>
        </w:rPr>
        <w:tab/>
        <w:t xml:space="preserve">- </w:t>
      </w:r>
      <w:r w:rsidR="00270728">
        <w:rPr>
          <w:rFonts w:cs="Times New Roman"/>
          <w:szCs w:val="24"/>
        </w:rPr>
        <w:t>P</w:t>
      </w:r>
      <w:r w:rsidR="0015665E" w:rsidRPr="003E7FB8">
        <w:rPr>
          <w:rFonts w:cs="Times New Roman"/>
          <w:szCs w:val="24"/>
        </w:rPr>
        <w:t xml:space="preserve">artial-onset seizures </w:t>
      </w:r>
      <w:r w:rsidR="00B741BC">
        <w:rPr>
          <w:rFonts w:cs="Times New Roman"/>
          <w:szCs w:val="24"/>
        </w:rPr>
        <w:t xml:space="preserve">(POS) </w:t>
      </w:r>
      <w:r w:rsidR="0015665E" w:rsidRPr="003E7FB8">
        <w:rPr>
          <w:rFonts w:cs="Times New Roman"/>
          <w:szCs w:val="24"/>
        </w:rPr>
        <w:t xml:space="preserve">with or without secondarily generalised seizures in patients from </w:t>
      </w:r>
      <w:r w:rsidR="00270728">
        <w:rPr>
          <w:rFonts w:cs="Times New Roman"/>
          <w:szCs w:val="24"/>
        </w:rPr>
        <w:t>4</w:t>
      </w:r>
      <w:r w:rsidR="0015665E" w:rsidRPr="003E7FB8">
        <w:rPr>
          <w:rFonts w:cs="Times New Roman"/>
          <w:szCs w:val="24"/>
        </w:rPr>
        <w:t xml:space="preserve"> years of age with epilepsy.</w:t>
      </w:r>
    </w:p>
    <w:p w14:paraId="03B75D39" w14:textId="0C3AE005" w:rsidR="0015665E" w:rsidRPr="007772D1" w:rsidRDefault="00270728" w:rsidP="00143D1C">
      <w:pPr>
        <w:pStyle w:val="BodyText"/>
        <w:spacing w:after="240"/>
        <w:rPr>
          <w:rFonts w:cs="Times New Roman"/>
          <w:szCs w:val="24"/>
        </w:rPr>
      </w:pPr>
      <w:r>
        <w:rPr>
          <w:rFonts w:cs="Times New Roman"/>
          <w:szCs w:val="24"/>
        </w:rPr>
        <w:tab/>
        <w:t>- P</w:t>
      </w:r>
      <w:r w:rsidR="0015665E" w:rsidRPr="007772D1">
        <w:rPr>
          <w:rFonts w:cs="Times New Roman"/>
          <w:szCs w:val="24"/>
        </w:rPr>
        <w:t>rimary generalised tonic-clonic seizures</w:t>
      </w:r>
      <w:r w:rsidR="00B741BC">
        <w:rPr>
          <w:rFonts w:cs="Times New Roman"/>
          <w:szCs w:val="24"/>
        </w:rPr>
        <w:t xml:space="preserve"> (PGTCS)</w:t>
      </w:r>
      <w:r w:rsidR="0015665E" w:rsidRPr="007772D1">
        <w:rPr>
          <w:rFonts w:cs="Times New Roman"/>
          <w:szCs w:val="24"/>
        </w:rPr>
        <w:t xml:space="preserve"> in patients from </w:t>
      </w:r>
      <w:r>
        <w:rPr>
          <w:rFonts w:cs="Times New Roman"/>
          <w:szCs w:val="24"/>
        </w:rPr>
        <w:t>7</w:t>
      </w:r>
      <w:r w:rsidR="0015665E" w:rsidRPr="007772D1">
        <w:rPr>
          <w:rFonts w:cs="Times New Roman"/>
          <w:szCs w:val="24"/>
        </w:rPr>
        <w:t xml:space="preserve"> years of age with idiopathic generalised epilepsy.</w:t>
      </w:r>
    </w:p>
    <w:p w14:paraId="44C8FCF5" w14:textId="77777777" w:rsidR="00DC5E06" w:rsidRPr="00BE78D8" w:rsidRDefault="00DC5E06" w:rsidP="00DC5E06">
      <w:pPr>
        <w:pStyle w:val="Heading2"/>
        <w:rPr>
          <w:lang w:val="en-US"/>
        </w:rPr>
      </w:pPr>
      <w:bookmarkStart w:id="1" w:name="_Ref503529038"/>
      <w:r>
        <w:rPr>
          <w:lang w:val="en-US"/>
        </w:rPr>
        <w:t>Dose and method of administration</w:t>
      </w:r>
      <w:bookmarkEnd w:id="1"/>
    </w:p>
    <w:p w14:paraId="3D23B644" w14:textId="77777777" w:rsidR="005858F0" w:rsidRDefault="005858F0" w:rsidP="00143D1C">
      <w:pPr>
        <w:pStyle w:val="BodyText"/>
        <w:spacing w:after="240"/>
      </w:pPr>
      <w:r>
        <w:t>FYCOMPA</w:t>
      </w:r>
      <w:r w:rsidRPr="001A6E35">
        <w:t xml:space="preserve"> must be titrated, according to individual patient response, in order to optimise the balance between efficacy and tolerability. </w:t>
      </w:r>
      <w:r>
        <w:t>FYCOMPA</w:t>
      </w:r>
      <w:r w:rsidRPr="001A6E35">
        <w:t xml:space="preserve"> should be taken orally once daily </w:t>
      </w:r>
      <w:r>
        <w:t>at</w:t>
      </w:r>
      <w:r w:rsidRPr="001A6E35">
        <w:t xml:space="preserve"> bedtime. </w:t>
      </w:r>
    </w:p>
    <w:p w14:paraId="629942DB" w14:textId="74A4B313" w:rsidR="004E1857" w:rsidRPr="004E1857" w:rsidRDefault="004E1857" w:rsidP="00143D1C">
      <w:pPr>
        <w:pStyle w:val="BodyText"/>
        <w:spacing w:after="240"/>
      </w:pPr>
      <w:r w:rsidRPr="004E1857">
        <w:t>The physician should prescribe the most appropriate formulation and strength according to weight and dose. Alternate formulations of perampanel are available, including oral suspension</w:t>
      </w:r>
      <w:r w:rsidR="00926E8D">
        <w:t>.</w:t>
      </w:r>
    </w:p>
    <w:p w14:paraId="0DFAC05C" w14:textId="77777777" w:rsidR="003F3775" w:rsidRDefault="003F3775" w:rsidP="003F3775">
      <w:pPr>
        <w:pStyle w:val="Heading3"/>
      </w:pPr>
      <w:r>
        <w:t>Dose and Titration for all patients</w:t>
      </w:r>
    </w:p>
    <w:p w14:paraId="19A71B95" w14:textId="69E40134" w:rsidR="00891146" w:rsidRDefault="00864CBE" w:rsidP="00143D1C">
      <w:pPr>
        <w:pStyle w:val="BodyText"/>
        <w:spacing w:after="240"/>
        <w:rPr>
          <w:lang w:val="en-GB"/>
        </w:rPr>
      </w:pPr>
      <w:r>
        <w:rPr>
          <w:lang w:val="en-GB"/>
        </w:rPr>
        <w:fldChar w:fldCharType="begin"/>
      </w:r>
      <w:r>
        <w:rPr>
          <w:lang w:val="en-GB"/>
        </w:rPr>
        <w:instrText xml:space="preserve"> REF _Ref54174129 \h </w:instrText>
      </w:r>
      <w:r>
        <w:rPr>
          <w:lang w:val="en-GB"/>
        </w:rPr>
      </w:r>
      <w:r>
        <w:rPr>
          <w:lang w:val="en-GB"/>
        </w:rPr>
        <w:fldChar w:fldCharType="separate"/>
      </w:r>
      <w:r w:rsidR="007B3B4A">
        <w:t xml:space="preserve">Table </w:t>
      </w:r>
      <w:r w:rsidR="007B3B4A">
        <w:rPr>
          <w:noProof/>
        </w:rPr>
        <w:t>1</w:t>
      </w:r>
      <w:r>
        <w:rPr>
          <w:lang w:val="en-GB"/>
        </w:rPr>
        <w:fldChar w:fldCharType="end"/>
      </w:r>
      <w:r>
        <w:rPr>
          <w:lang w:val="en-GB"/>
        </w:rPr>
        <w:t xml:space="preserve"> </w:t>
      </w:r>
      <w:r w:rsidR="00891146" w:rsidRPr="00891146">
        <w:rPr>
          <w:lang w:val="en-GB"/>
        </w:rPr>
        <w:t xml:space="preserve">summarises the recommended posology for </w:t>
      </w:r>
      <w:r w:rsidR="003F3775">
        <w:rPr>
          <w:lang w:val="en-GB"/>
        </w:rPr>
        <w:t>patients with Partial</w:t>
      </w:r>
      <w:r w:rsidR="00B741BC">
        <w:rPr>
          <w:lang w:val="en-GB"/>
        </w:rPr>
        <w:noBreakHyphen/>
      </w:r>
      <w:r w:rsidR="003F3775">
        <w:rPr>
          <w:lang w:val="en-GB"/>
        </w:rPr>
        <w:t xml:space="preserve">Onset Seizures </w:t>
      </w:r>
      <w:r w:rsidR="00891146" w:rsidRPr="00891146">
        <w:rPr>
          <w:lang w:val="en-GB"/>
        </w:rPr>
        <w:t>from 4 years of age</w:t>
      </w:r>
      <w:r w:rsidR="003F3775">
        <w:rPr>
          <w:lang w:val="en-GB"/>
        </w:rPr>
        <w:t xml:space="preserve"> </w:t>
      </w:r>
      <w:r w:rsidR="003F3775">
        <w:t>and patients with Primary Generalised Tonic Clonic Seizures from 7 years of age</w:t>
      </w:r>
      <w:r w:rsidR="00891146" w:rsidRPr="00891146">
        <w:rPr>
          <w:lang w:val="en-GB"/>
        </w:rPr>
        <w:t>.</w:t>
      </w:r>
    </w:p>
    <w:p w14:paraId="221B8244" w14:textId="69629B63" w:rsidR="003F3775" w:rsidRDefault="003F3775" w:rsidP="00143D1C">
      <w:pPr>
        <w:pStyle w:val="BodyText"/>
        <w:spacing w:after="240"/>
      </w:pPr>
      <w:r w:rsidRPr="001A6E35">
        <w:t xml:space="preserve">Treatment with </w:t>
      </w:r>
      <w:r>
        <w:t>FYCOMPA</w:t>
      </w:r>
      <w:r w:rsidRPr="001A6E35">
        <w:t xml:space="preserve"> should be initiated with</w:t>
      </w:r>
      <w:r>
        <w:t xml:space="preserve"> the lowest dose specified in </w:t>
      </w:r>
      <w:r>
        <w:fldChar w:fldCharType="begin"/>
      </w:r>
      <w:r>
        <w:instrText xml:space="preserve"> REF _Ref54174129 \h </w:instrText>
      </w:r>
      <w:r>
        <w:fldChar w:fldCharType="separate"/>
      </w:r>
      <w:r w:rsidR="007B3B4A">
        <w:t xml:space="preserve">Table </w:t>
      </w:r>
      <w:r w:rsidR="007B3B4A">
        <w:rPr>
          <w:noProof/>
        </w:rPr>
        <w:t>1</w:t>
      </w:r>
      <w:r>
        <w:fldChar w:fldCharType="end"/>
      </w:r>
      <w:r>
        <w:t xml:space="preserve"> for the patient’s age and weight</w:t>
      </w:r>
      <w:r w:rsidRPr="001A6E35">
        <w:t>.</w:t>
      </w:r>
      <w:r>
        <w:t xml:space="preserve"> </w:t>
      </w:r>
      <w:r w:rsidRPr="001A6E35">
        <w:t xml:space="preserve">The dose may be increased based on clinical response and tolerability by increments </w:t>
      </w:r>
      <w:r>
        <w:t xml:space="preserve">according to age and weight as specified in </w:t>
      </w:r>
      <w:r>
        <w:fldChar w:fldCharType="begin"/>
      </w:r>
      <w:r>
        <w:instrText xml:space="preserve"> REF _Ref54174129 \h </w:instrText>
      </w:r>
      <w:r>
        <w:fldChar w:fldCharType="separate"/>
      </w:r>
      <w:r w:rsidR="007B3B4A">
        <w:t xml:space="preserve">Table </w:t>
      </w:r>
      <w:r w:rsidR="007B3B4A">
        <w:rPr>
          <w:noProof/>
        </w:rPr>
        <w:t>1</w:t>
      </w:r>
      <w:r>
        <w:fldChar w:fldCharType="end"/>
      </w:r>
      <w:r>
        <w:t xml:space="preserve"> (no more frequently than either weekly or </w:t>
      </w:r>
      <w:r w:rsidRPr="00A30F78">
        <w:t xml:space="preserve">every </w:t>
      </w:r>
      <w:r w:rsidRPr="006273E7">
        <w:t>2</w:t>
      </w:r>
      <w:r>
        <w:t>-4</w:t>
      </w:r>
      <w:r w:rsidRPr="006273E7">
        <w:t xml:space="preserve"> week</w:t>
      </w:r>
      <w:r w:rsidRPr="00B36510">
        <w:t>s</w:t>
      </w:r>
      <w:r>
        <w:t xml:space="preserve"> as per half</w:t>
      </w:r>
      <w:r>
        <w:noBreakHyphen/>
        <w:t xml:space="preserve">life considerations described below) </w:t>
      </w:r>
      <w:r w:rsidRPr="001A6E35">
        <w:t>to a maintenance dose</w:t>
      </w:r>
      <w:r>
        <w:t xml:space="preserve"> according to age and weight as specified in </w:t>
      </w:r>
      <w:r>
        <w:fldChar w:fldCharType="begin"/>
      </w:r>
      <w:r>
        <w:instrText xml:space="preserve"> REF _Ref54174129 \h </w:instrText>
      </w:r>
      <w:r>
        <w:fldChar w:fldCharType="separate"/>
      </w:r>
      <w:r w:rsidR="007B3B4A">
        <w:t xml:space="preserve">Table </w:t>
      </w:r>
      <w:r w:rsidR="007B3B4A">
        <w:rPr>
          <w:noProof/>
        </w:rPr>
        <w:t>1</w:t>
      </w:r>
      <w:r>
        <w:fldChar w:fldCharType="end"/>
      </w:r>
      <w:r w:rsidRPr="001A6E35">
        <w:t>.</w:t>
      </w:r>
      <w:r>
        <w:t xml:space="preserve"> </w:t>
      </w:r>
      <w:r w:rsidRPr="00FC4AD5">
        <w:t xml:space="preserve">Real world experience suggests that slower titration may lead to improved tolerability. </w:t>
      </w:r>
      <w:r>
        <w:t>D</w:t>
      </w:r>
      <w:r w:rsidRPr="001A6E35">
        <w:t>epending upon individual clinical response and tolerability</w:t>
      </w:r>
      <w:r>
        <w:t xml:space="preserve"> at the recommended maintenance dose</w:t>
      </w:r>
      <w:r w:rsidRPr="001A6E35">
        <w:t>, the dose may be increased by increments</w:t>
      </w:r>
      <w:r>
        <w:t xml:space="preserve"> no more frequently than either weekly or every 2-4 weeks according to age and weight as specified in </w:t>
      </w:r>
      <w:r>
        <w:fldChar w:fldCharType="begin"/>
      </w:r>
      <w:r>
        <w:instrText xml:space="preserve"> REF _Ref54174129 \h </w:instrText>
      </w:r>
      <w:r>
        <w:fldChar w:fldCharType="separate"/>
      </w:r>
      <w:r w:rsidR="007B3B4A">
        <w:t xml:space="preserve">Table </w:t>
      </w:r>
      <w:r w:rsidR="007B3B4A">
        <w:rPr>
          <w:noProof/>
        </w:rPr>
        <w:t>1</w:t>
      </w:r>
      <w:r>
        <w:fldChar w:fldCharType="end"/>
      </w:r>
      <w:r>
        <w:t xml:space="preserve"> to the Recommended Maximum Dose specified in </w:t>
      </w:r>
      <w:r>
        <w:fldChar w:fldCharType="begin"/>
      </w:r>
      <w:r>
        <w:instrText xml:space="preserve"> REF _Ref54174129 \h </w:instrText>
      </w:r>
      <w:r>
        <w:fldChar w:fldCharType="separate"/>
      </w:r>
      <w:r w:rsidR="007B3B4A">
        <w:t xml:space="preserve">Table </w:t>
      </w:r>
      <w:r w:rsidR="007B3B4A">
        <w:rPr>
          <w:noProof/>
        </w:rPr>
        <w:t>1</w:t>
      </w:r>
      <w:r>
        <w:fldChar w:fldCharType="end"/>
      </w:r>
      <w:r>
        <w:t xml:space="preserve">, which may be effective in some patients </w:t>
      </w:r>
      <w:r w:rsidRPr="009D7EAE">
        <w:t>(</w:t>
      </w:r>
      <w:r>
        <w:t>s</w:t>
      </w:r>
      <w:r w:rsidRPr="009D7EAE">
        <w:t xml:space="preserve">ee </w:t>
      </w:r>
      <w:r>
        <w:t xml:space="preserve">Section </w:t>
      </w:r>
      <w:r>
        <w:fldChar w:fldCharType="begin"/>
      </w:r>
      <w:r>
        <w:instrText xml:space="preserve"> REF _Ref503187146 \r \h </w:instrText>
      </w:r>
      <w:r>
        <w:fldChar w:fldCharType="separate"/>
      </w:r>
      <w:r w:rsidR="007B3B4A">
        <w:t>4.4</w:t>
      </w:r>
      <w:r>
        <w:fldChar w:fldCharType="end"/>
      </w:r>
      <w:r>
        <w:t xml:space="preserve"> Special warnings and precautions for use)</w:t>
      </w:r>
      <w:r w:rsidRPr="001A6E35">
        <w:t xml:space="preserve">. </w:t>
      </w:r>
      <w:r w:rsidRPr="004940AA">
        <w:t xml:space="preserve">It is recommended that </w:t>
      </w:r>
      <w:r>
        <w:t>FYCOMPA</w:t>
      </w:r>
      <w:r w:rsidRPr="004940AA">
        <w:t xml:space="preserve"> is maintained at the lowest dose that controls symptoms in order to reduce potential adverse events.</w:t>
      </w:r>
    </w:p>
    <w:p w14:paraId="7002D786" w14:textId="6236E0D0" w:rsidR="003F3775" w:rsidRDefault="003F3775" w:rsidP="00143D1C">
      <w:pPr>
        <w:pStyle w:val="BodyText"/>
        <w:spacing w:after="240"/>
      </w:pPr>
      <w:r>
        <w:t>Concomitant medicines, such as m</w:t>
      </w:r>
      <w:r w:rsidRPr="007A7DAB">
        <w:t>oderate and strong CYP3A4 inducers, including enzyme-inducing AEDs such as phenytoin, carbamazepine, and oxcarbazepine,</w:t>
      </w:r>
      <w:r>
        <w:t xml:space="preserve"> may impact the half-life of perampanel </w:t>
      </w:r>
      <w:r w:rsidRPr="001A6E35">
        <w:t>(</w:t>
      </w:r>
      <w:r w:rsidRPr="00111909">
        <w:t xml:space="preserve">see Section </w:t>
      </w:r>
      <w:r>
        <w:rPr>
          <w:color w:val="000000"/>
        </w:rPr>
        <w:fldChar w:fldCharType="begin"/>
      </w:r>
      <w:r>
        <w:rPr>
          <w:color w:val="000000"/>
        </w:rPr>
        <w:instrText xml:space="preserve"> REF _Ref503187121 \r \h </w:instrText>
      </w:r>
      <w:r>
        <w:rPr>
          <w:color w:val="000000"/>
        </w:rPr>
      </w:r>
      <w:r>
        <w:rPr>
          <w:color w:val="000000"/>
        </w:rPr>
        <w:fldChar w:fldCharType="separate"/>
      </w:r>
      <w:r w:rsidR="007B3B4A">
        <w:rPr>
          <w:color w:val="000000"/>
        </w:rPr>
        <w:t>4.5</w:t>
      </w:r>
      <w:r>
        <w:rPr>
          <w:color w:val="000000"/>
        </w:rPr>
        <w:fldChar w:fldCharType="end"/>
      </w:r>
      <w:r w:rsidRPr="00111909">
        <w:t xml:space="preserve"> Interactions with other medicines and other forms of interactions</w:t>
      </w:r>
      <w:r w:rsidRPr="001A6E35">
        <w:t>)</w:t>
      </w:r>
      <w:r>
        <w:t xml:space="preserve">. </w:t>
      </w:r>
      <w:r w:rsidRPr="001A6E35">
        <w:t xml:space="preserve">Patients who are taking concomitant medicinal products that do not shorten the half-life of </w:t>
      </w:r>
      <w:r>
        <w:t>perampanel</w:t>
      </w:r>
      <w:r w:rsidRPr="001A6E35">
        <w:t xml:space="preserve"> should be titrated no more frequently than </w:t>
      </w:r>
      <w:r w:rsidR="007529BA">
        <w:t>every</w:t>
      </w:r>
      <w:r w:rsidRPr="001A6E35">
        <w:t xml:space="preserve"> 2</w:t>
      </w:r>
      <w:r>
        <w:t xml:space="preserve">-4 </w:t>
      </w:r>
      <w:r w:rsidRPr="001A6E35">
        <w:t>week</w:t>
      </w:r>
      <w:r w:rsidR="007529BA">
        <w:t>s</w:t>
      </w:r>
      <w:r w:rsidRPr="001A6E35">
        <w:t xml:space="preserve">. Patients who are taking concomitant medicinal products that shorten the half-life of </w:t>
      </w:r>
      <w:r>
        <w:t>perampanel</w:t>
      </w:r>
      <w:r w:rsidRPr="001A6E35">
        <w:t xml:space="preserve"> (</w:t>
      </w:r>
      <w:r w:rsidRPr="00111909">
        <w:t>see Section</w:t>
      </w:r>
      <w:r>
        <w:t> </w:t>
      </w:r>
      <w:r>
        <w:rPr>
          <w:color w:val="000000"/>
        </w:rPr>
        <w:fldChar w:fldCharType="begin"/>
      </w:r>
      <w:r>
        <w:rPr>
          <w:color w:val="000000"/>
        </w:rPr>
        <w:instrText xml:space="preserve"> REF _Ref503187121 \r \h </w:instrText>
      </w:r>
      <w:r>
        <w:rPr>
          <w:color w:val="000000"/>
        </w:rPr>
      </w:r>
      <w:r>
        <w:rPr>
          <w:color w:val="000000"/>
        </w:rPr>
        <w:fldChar w:fldCharType="separate"/>
      </w:r>
      <w:r w:rsidR="007B3B4A">
        <w:rPr>
          <w:color w:val="000000"/>
        </w:rPr>
        <w:t>4.5</w:t>
      </w:r>
      <w:r>
        <w:rPr>
          <w:color w:val="000000"/>
        </w:rPr>
        <w:fldChar w:fldCharType="end"/>
      </w:r>
      <w:r w:rsidRPr="00111909">
        <w:t xml:space="preserve"> Interactions with other medicines and other forms of interactions</w:t>
      </w:r>
      <w:r w:rsidRPr="001A6E35">
        <w:t>) should be titrated no more frequently than at week</w:t>
      </w:r>
      <w:r>
        <w:t>ly</w:t>
      </w:r>
      <w:r w:rsidRPr="001A6E35">
        <w:t xml:space="preserve"> intervals.</w:t>
      </w:r>
    </w:p>
    <w:p w14:paraId="493CB59C" w14:textId="1985B92F" w:rsidR="00864CBE" w:rsidRDefault="00864CBE" w:rsidP="005129B3">
      <w:pPr>
        <w:pStyle w:val="Caption"/>
      </w:pPr>
      <w:bookmarkStart w:id="2" w:name="_Ref54174129"/>
      <w:r>
        <w:t xml:space="preserve">Table </w:t>
      </w:r>
      <w:r w:rsidR="00BE01DB">
        <w:rPr>
          <w:noProof/>
        </w:rPr>
        <w:fldChar w:fldCharType="begin"/>
      </w:r>
      <w:r w:rsidR="00BE01DB">
        <w:rPr>
          <w:noProof/>
        </w:rPr>
        <w:instrText xml:space="preserve"> SEQ Table \* ARABIC </w:instrText>
      </w:r>
      <w:r w:rsidR="00BE01DB">
        <w:rPr>
          <w:noProof/>
        </w:rPr>
        <w:fldChar w:fldCharType="separate"/>
      </w:r>
      <w:r w:rsidR="007B3B4A">
        <w:rPr>
          <w:noProof/>
        </w:rPr>
        <w:t>1</w:t>
      </w:r>
      <w:r w:rsidR="00BE01DB">
        <w:rPr>
          <w:noProof/>
        </w:rPr>
        <w:fldChar w:fldCharType="end"/>
      </w:r>
      <w:bookmarkEnd w:id="2"/>
      <w:r>
        <w:t>:</w:t>
      </w:r>
      <w:r w:rsidR="003B260B">
        <w:t xml:space="preserve"> </w:t>
      </w:r>
      <w:r>
        <w:t>R</w:t>
      </w:r>
      <w:r w:rsidRPr="00864CBE">
        <w:t xml:space="preserve">ecommended posology for </w:t>
      </w:r>
      <w:r w:rsidR="003F3775">
        <w:t>patients with Partial</w:t>
      </w:r>
      <w:r w:rsidR="00B741BC">
        <w:noBreakHyphen/>
      </w:r>
      <w:r w:rsidR="003F3775">
        <w:t>Onset Seizures</w:t>
      </w:r>
      <w:r w:rsidRPr="00864CBE">
        <w:t xml:space="preserve"> </w:t>
      </w:r>
      <w:r w:rsidR="003F3775">
        <w:t>(</w:t>
      </w:r>
      <w:r w:rsidRPr="00864CBE">
        <w:t>from 4 years of age</w:t>
      </w:r>
      <w:r w:rsidR="003F3775">
        <w:t>) and Primary Generalised Tonic Clonic Seizures (from 7 years of age)</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824"/>
        <w:gridCol w:w="1825"/>
        <w:gridCol w:w="1824"/>
        <w:gridCol w:w="1825"/>
      </w:tblGrid>
      <w:tr w:rsidR="009D7F74" w:rsidRPr="004838BD" w14:paraId="5E7224DA" w14:textId="77777777" w:rsidTr="003F3775">
        <w:tc>
          <w:tcPr>
            <w:tcW w:w="1792" w:type="dxa"/>
            <w:vMerge w:val="restart"/>
            <w:shd w:val="clear" w:color="auto" w:fill="auto"/>
            <w:vAlign w:val="center"/>
          </w:tcPr>
          <w:p w14:paraId="224F2935" w14:textId="77777777" w:rsidR="009D7F74" w:rsidRPr="004838BD" w:rsidRDefault="009D7F74" w:rsidP="008D3834">
            <w:pPr>
              <w:pStyle w:val="BodyText"/>
              <w:keepNext/>
              <w:rPr>
                <w:sz w:val="20"/>
                <w:lang w:val="en-GB"/>
              </w:rPr>
            </w:pPr>
          </w:p>
        </w:tc>
        <w:tc>
          <w:tcPr>
            <w:tcW w:w="1824" w:type="dxa"/>
            <w:vMerge w:val="restart"/>
            <w:shd w:val="clear" w:color="auto" w:fill="auto"/>
            <w:vAlign w:val="center"/>
          </w:tcPr>
          <w:p w14:paraId="51ECA2FB" w14:textId="77777777" w:rsidR="009D7F74" w:rsidRPr="005F4F0B" w:rsidRDefault="009D7F74" w:rsidP="008D3834">
            <w:pPr>
              <w:pStyle w:val="BodyText"/>
              <w:keepNext/>
              <w:rPr>
                <w:b/>
                <w:bCs/>
                <w:sz w:val="20"/>
                <w:lang w:val="en-GB"/>
              </w:rPr>
            </w:pPr>
            <w:r w:rsidRPr="005F4F0B">
              <w:rPr>
                <w:b/>
                <w:bCs/>
                <w:sz w:val="20"/>
                <w:lang w:val="en-GB"/>
              </w:rPr>
              <w:t>Adult/adolescent (12 years and older)</w:t>
            </w:r>
          </w:p>
        </w:tc>
        <w:tc>
          <w:tcPr>
            <w:tcW w:w="5474" w:type="dxa"/>
            <w:gridSpan w:val="3"/>
            <w:shd w:val="clear" w:color="auto" w:fill="auto"/>
            <w:vAlign w:val="center"/>
          </w:tcPr>
          <w:p w14:paraId="7E355105" w14:textId="4B60C443" w:rsidR="009D7F74" w:rsidRPr="005F4F0B" w:rsidRDefault="009D7F74" w:rsidP="008D3834">
            <w:pPr>
              <w:pStyle w:val="BodyText"/>
              <w:keepNext/>
              <w:jc w:val="center"/>
              <w:rPr>
                <w:b/>
                <w:bCs/>
                <w:sz w:val="20"/>
                <w:lang w:val="en-GB"/>
              </w:rPr>
            </w:pPr>
            <w:r w:rsidRPr="005F4F0B">
              <w:rPr>
                <w:b/>
                <w:bCs/>
                <w:sz w:val="20"/>
                <w:lang w:val="en-GB"/>
              </w:rPr>
              <w:t>Children (</w:t>
            </w:r>
            <w:r w:rsidR="003F3775">
              <w:rPr>
                <w:b/>
                <w:bCs/>
                <w:sz w:val="20"/>
                <w:lang w:val="en-GB"/>
              </w:rPr>
              <w:t>&lt;12</w:t>
            </w:r>
            <w:r w:rsidRPr="005F4F0B">
              <w:rPr>
                <w:b/>
                <w:bCs/>
                <w:sz w:val="20"/>
                <w:lang w:val="en-GB"/>
              </w:rPr>
              <w:t> years); weighing:</w:t>
            </w:r>
          </w:p>
        </w:tc>
      </w:tr>
      <w:tr w:rsidR="009D7F74" w:rsidRPr="004838BD" w14:paraId="321D32C9" w14:textId="77777777" w:rsidTr="003F3775">
        <w:tc>
          <w:tcPr>
            <w:tcW w:w="1792" w:type="dxa"/>
            <w:vMerge/>
            <w:shd w:val="clear" w:color="auto" w:fill="auto"/>
            <w:vAlign w:val="center"/>
          </w:tcPr>
          <w:p w14:paraId="5BFC98BC" w14:textId="77777777" w:rsidR="009D7F74" w:rsidRPr="008D3834" w:rsidRDefault="009D7F74" w:rsidP="008D3834">
            <w:pPr>
              <w:pStyle w:val="BodyText"/>
              <w:keepNext/>
              <w:rPr>
                <w:sz w:val="20"/>
                <w:lang w:val="en-GB"/>
              </w:rPr>
            </w:pPr>
          </w:p>
        </w:tc>
        <w:tc>
          <w:tcPr>
            <w:tcW w:w="1824" w:type="dxa"/>
            <w:vMerge/>
            <w:shd w:val="clear" w:color="auto" w:fill="auto"/>
            <w:vAlign w:val="center"/>
          </w:tcPr>
          <w:p w14:paraId="047C4076" w14:textId="77777777" w:rsidR="009D7F74" w:rsidRPr="008D3834" w:rsidRDefault="009D7F74" w:rsidP="008D3834">
            <w:pPr>
              <w:pStyle w:val="BodyText"/>
              <w:keepNext/>
              <w:rPr>
                <w:sz w:val="20"/>
                <w:lang w:val="en-GB"/>
              </w:rPr>
            </w:pPr>
          </w:p>
        </w:tc>
        <w:tc>
          <w:tcPr>
            <w:tcW w:w="1825" w:type="dxa"/>
            <w:shd w:val="clear" w:color="auto" w:fill="auto"/>
            <w:vAlign w:val="center"/>
          </w:tcPr>
          <w:p w14:paraId="2DC1B261" w14:textId="77777777" w:rsidR="009D7F74" w:rsidRPr="005F4F0B" w:rsidRDefault="009D7F74" w:rsidP="008D3834">
            <w:pPr>
              <w:pStyle w:val="BodyText"/>
              <w:keepNext/>
              <w:rPr>
                <w:b/>
                <w:bCs/>
                <w:sz w:val="20"/>
                <w:lang w:val="en-GB"/>
              </w:rPr>
            </w:pPr>
            <w:r w:rsidRPr="005F4F0B">
              <w:rPr>
                <w:b/>
                <w:bCs/>
                <w:sz w:val="20"/>
                <w:lang w:val="en-GB"/>
              </w:rPr>
              <w:t>≥ 30 kg</w:t>
            </w:r>
          </w:p>
        </w:tc>
        <w:tc>
          <w:tcPr>
            <w:tcW w:w="1824" w:type="dxa"/>
            <w:shd w:val="clear" w:color="auto" w:fill="auto"/>
            <w:vAlign w:val="center"/>
          </w:tcPr>
          <w:p w14:paraId="7AE4FFF6" w14:textId="77777777" w:rsidR="009D7F74" w:rsidRPr="005F4F0B" w:rsidRDefault="009D7F74" w:rsidP="008D3834">
            <w:pPr>
              <w:pStyle w:val="BodyText"/>
              <w:keepNext/>
              <w:rPr>
                <w:b/>
                <w:bCs/>
                <w:sz w:val="20"/>
                <w:lang w:val="en-GB"/>
              </w:rPr>
            </w:pPr>
            <w:r w:rsidRPr="005F4F0B">
              <w:rPr>
                <w:b/>
                <w:bCs/>
                <w:sz w:val="20"/>
                <w:lang w:val="en-GB"/>
              </w:rPr>
              <w:t>20 - &lt; 30 kg</w:t>
            </w:r>
          </w:p>
        </w:tc>
        <w:tc>
          <w:tcPr>
            <w:tcW w:w="1825" w:type="dxa"/>
            <w:shd w:val="clear" w:color="auto" w:fill="auto"/>
            <w:vAlign w:val="center"/>
          </w:tcPr>
          <w:p w14:paraId="3E3C8092" w14:textId="77777777" w:rsidR="009D7F74" w:rsidRPr="005F4F0B" w:rsidRDefault="009D7F74" w:rsidP="008D3834">
            <w:pPr>
              <w:pStyle w:val="BodyText"/>
              <w:keepNext/>
              <w:rPr>
                <w:b/>
                <w:bCs/>
                <w:sz w:val="20"/>
                <w:lang w:val="en-GB"/>
              </w:rPr>
            </w:pPr>
            <w:r w:rsidRPr="005F4F0B">
              <w:rPr>
                <w:b/>
                <w:bCs/>
                <w:sz w:val="20"/>
                <w:lang w:val="en-GB"/>
              </w:rPr>
              <w:t>&lt; 20 kg</w:t>
            </w:r>
          </w:p>
        </w:tc>
      </w:tr>
      <w:tr w:rsidR="009D7F74" w:rsidRPr="004838BD" w14:paraId="46A88789" w14:textId="77777777" w:rsidTr="003F3775">
        <w:tc>
          <w:tcPr>
            <w:tcW w:w="1792" w:type="dxa"/>
            <w:shd w:val="clear" w:color="auto" w:fill="auto"/>
            <w:vAlign w:val="center"/>
          </w:tcPr>
          <w:p w14:paraId="25322961" w14:textId="77777777" w:rsidR="009D7F74" w:rsidRPr="005F4F0B" w:rsidRDefault="009D7F74" w:rsidP="008D3834">
            <w:pPr>
              <w:pStyle w:val="BodyText"/>
              <w:keepNext/>
              <w:rPr>
                <w:b/>
                <w:bCs/>
                <w:sz w:val="20"/>
                <w:lang w:val="en-GB"/>
              </w:rPr>
            </w:pPr>
            <w:r w:rsidRPr="005F4F0B">
              <w:rPr>
                <w:b/>
                <w:bCs/>
                <w:sz w:val="20"/>
                <w:lang w:val="en-GB"/>
              </w:rPr>
              <w:t>Recommended starting dose</w:t>
            </w:r>
          </w:p>
        </w:tc>
        <w:tc>
          <w:tcPr>
            <w:tcW w:w="1824" w:type="dxa"/>
            <w:shd w:val="clear" w:color="auto" w:fill="auto"/>
            <w:vAlign w:val="center"/>
          </w:tcPr>
          <w:p w14:paraId="106A3858" w14:textId="77777777" w:rsidR="009D7F74" w:rsidRPr="005F4F0B" w:rsidRDefault="009D7F74" w:rsidP="008D3834">
            <w:pPr>
              <w:pStyle w:val="BodyText"/>
              <w:keepNext/>
              <w:rPr>
                <w:bCs/>
                <w:sz w:val="20"/>
                <w:lang w:val="en-GB"/>
              </w:rPr>
            </w:pPr>
            <w:r w:rsidRPr="005F4F0B">
              <w:rPr>
                <w:bCs/>
                <w:sz w:val="20"/>
                <w:lang w:val="en-GB"/>
              </w:rPr>
              <w:t>2 mg/day</w:t>
            </w:r>
            <w:r w:rsidRPr="005F4F0B">
              <w:rPr>
                <w:bCs/>
                <w:sz w:val="20"/>
                <w:lang w:val="en-GB"/>
              </w:rPr>
              <w:br/>
              <w:t>(4 ml/day)</w:t>
            </w:r>
          </w:p>
        </w:tc>
        <w:tc>
          <w:tcPr>
            <w:tcW w:w="1825" w:type="dxa"/>
            <w:shd w:val="clear" w:color="auto" w:fill="auto"/>
            <w:vAlign w:val="center"/>
          </w:tcPr>
          <w:p w14:paraId="56005418" w14:textId="77777777" w:rsidR="009D7F74" w:rsidRPr="005F4F0B" w:rsidRDefault="009D7F74" w:rsidP="008D3834">
            <w:pPr>
              <w:pStyle w:val="BodyText"/>
              <w:keepNext/>
              <w:rPr>
                <w:bCs/>
                <w:sz w:val="20"/>
                <w:lang w:val="en-GB"/>
              </w:rPr>
            </w:pPr>
            <w:r w:rsidRPr="005F4F0B">
              <w:rPr>
                <w:bCs/>
                <w:sz w:val="20"/>
                <w:lang w:val="en-GB"/>
              </w:rPr>
              <w:t>2 mg/day</w:t>
            </w:r>
            <w:r w:rsidRPr="005F4F0B">
              <w:rPr>
                <w:bCs/>
                <w:sz w:val="20"/>
                <w:lang w:val="en-GB"/>
              </w:rPr>
              <w:br/>
              <w:t>(4 ml/day)</w:t>
            </w:r>
          </w:p>
        </w:tc>
        <w:tc>
          <w:tcPr>
            <w:tcW w:w="1824" w:type="dxa"/>
            <w:shd w:val="clear" w:color="auto" w:fill="auto"/>
            <w:vAlign w:val="center"/>
          </w:tcPr>
          <w:p w14:paraId="65A70B89" w14:textId="77777777" w:rsidR="009D7F74" w:rsidRPr="005F4F0B" w:rsidRDefault="009D7F74" w:rsidP="008D3834">
            <w:pPr>
              <w:pStyle w:val="BodyText"/>
              <w:keepNext/>
              <w:rPr>
                <w:bCs/>
                <w:sz w:val="20"/>
                <w:lang w:val="en-GB"/>
              </w:rPr>
            </w:pPr>
            <w:r w:rsidRPr="005F4F0B">
              <w:rPr>
                <w:bCs/>
                <w:sz w:val="20"/>
                <w:lang w:val="en-GB"/>
              </w:rPr>
              <w:t>1 mg/day</w:t>
            </w:r>
            <w:r w:rsidRPr="005F4F0B">
              <w:rPr>
                <w:bCs/>
                <w:sz w:val="20"/>
                <w:lang w:val="en-GB"/>
              </w:rPr>
              <w:br/>
              <w:t>(2 ml/day)</w:t>
            </w:r>
          </w:p>
        </w:tc>
        <w:tc>
          <w:tcPr>
            <w:tcW w:w="1825" w:type="dxa"/>
            <w:shd w:val="clear" w:color="auto" w:fill="auto"/>
            <w:vAlign w:val="center"/>
          </w:tcPr>
          <w:p w14:paraId="54727969" w14:textId="77777777" w:rsidR="009D7F74" w:rsidRPr="005F4F0B" w:rsidRDefault="009D7F74" w:rsidP="008D3834">
            <w:pPr>
              <w:pStyle w:val="BodyText"/>
              <w:keepNext/>
              <w:rPr>
                <w:bCs/>
                <w:sz w:val="20"/>
                <w:lang w:val="en-GB"/>
              </w:rPr>
            </w:pPr>
            <w:r w:rsidRPr="005F4F0B">
              <w:rPr>
                <w:bCs/>
                <w:sz w:val="20"/>
                <w:lang w:val="en-GB"/>
              </w:rPr>
              <w:t>1 mg/day</w:t>
            </w:r>
            <w:r w:rsidRPr="005F4F0B">
              <w:rPr>
                <w:bCs/>
                <w:sz w:val="20"/>
                <w:lang w:val="en-GB"/>
              </w:rPr>
              <w:br/>
              <w:t>(2 ml/day)</w:t>
            </w:r>
          </w:p>
        </w:tc>
      </w:tr>
      <w:tr w:rsidR="009D7F74" w:rsidRPr="004838BD" w14:paraId="6A66D3BF" w14:textId="77777777" w:rsidTr="003F3775">
        <w:tc>
          <w:tcPr>
            <w:tcW w:w="1792" w:type="dxa"/>
            <w:shd w:val="clear" w:color="auto" w:fill="auto"/>
            <w:vAlign w:val="center"/>
          </w:tcPr>
          <w:p w14:paraId="4A647D2B" w14:textId="5A562092" w:rsidR="009D7F74" w:rsidRPr="005F4F0B" w:rsidRDefault="009D7F74" w:rsidP="00863D0D">
            <w:pPr>
              <w:pStyle w:val="BodyText"/>
              <w:rPr>
                <w:b/>
                <w:bCs/>
                <w:sz w:val="20"/>
                <w:lang w:val="en-GB"/>
              </w:rPr>
            </w:pPr>
            <w:r w:rsidRPr="005F4F0B">
              <w:rPr>
                <w:b/>
                <w:bCs/>
                <w:sz w:val="20"/>
                <w:lang w:val="en-GB"/>
              </w:rPr>
              <w:t xml:space="preserve">Titration </w:t>
            </w:r>
            <w:r w:rsidR="003F3775">
              <w:rPr>
                <w:b/>
                <w:bCs/>
                <w:sz w:val="20"/>
                <w:lang w:val="en-GB"/>
              </w:rPr>
              <w:t>increments up to maintenance dose</w:t>
            </w:r>
            <w:r w:rsidR="003F3775">
              <w:rPr>
                <w:b/>
                <w:bCs/>
                <w:sz w:val="20"/>
                <w:vertAlign w:val="superscript"/>
                <w:lang w:val="en-GB"/>
              </w:rPr>
              <w:t>a</w:t>
            </w:r>
            <w:r w:rsidR="003F3775">
              <w:rPr>
                <w:b/>
                <w:bCs/>
                <w:sz w:val="20"/>
                <w:lang w:val="en-GB"/>
              </w:rPr>
              <w:t xml:space="preserve"> </w:t>
            </w:r>
          </w:p>
        </w:tc>
        <w:tc>
          <w:tcPr>
            <w:tcW w:w="1824" w:type="dxa"/>
            <w:shd w:val="clear" w:color="auto" w:fill="auto"/>
            <w:vAlign w:val="center"/>
          </w:tcPr>
          <w:p w14:paraId="0C22B1C4" w14:textId="0267D2C0" w:rsidR="009D7F74" w:rsidRPr="005F4F0B" w:rsidRDefault="009D7F74" w:rsidP="00863D0D">
            <w:pPr>
              <w:pStyle w:val="BodyText"/>
              <w:rPr>
                <w:bCs/>
                <w:sz w:val="20"/>
                <w:lang w:val="en-GB"/>
              </w:rPr>
            </w:pPr>
            <w:r w:rsidRPr="005F4F0B">
              <w:rPr>
                <w:bCs/>
                <w:sz w:val="20"/>
                <w:lang w:val="en-GB"/>
              </w:rPr>
              <w:t>2 mg/day</w:t>
            </w:r>
            <w:r w:rsidRPr="005F4F0B">
              <w:rPr>
                <w:bCs/>
                <w:sz w:val="20"/>
                <w:lang w:val="en-GB"/>
              </w:rPr>
              <w:br/>
              <w:t>(4 ml/day)</w:t>
            </w:r>
            <w:r w:rsidRPr="005F4F0B">
              <w:rPr>
                <w:bCs/>
                <w:sz w:val="20"/>
                <w:lang w:val="en-GB"/>
              </w:rPr>
              <w:br/>
            </w:r>
          </w:p>
        </w:tc>
        <w:tc>
          <w:tcPr>
            <w:tcW w:w="1825" w:type="dxa"/>
            <w:shd w:val="clear" w:color="auto" w:fill="auto"/>
            <w:vAlign w:val="center"/>
          </w:tcPr>
          <w:p w14:paraId="2A0A6932" w14:textId="640CBB35" w:rsidR="009D7F74" w:rsidRPr="005F4F0B" w:rsidRDefault="009D7F74">
            <w:pPr>
              <w:pStyle w:val="BodyText"/>
              <w:rPr>
                <w:bCs/>
                <w:sz w:val="20"/>
                <w:lang w:val="en-GB"/>
              </w:rPr>
            </w:pPr>
            <w:r w:rsidRPr="005F4F0B">
              <w:rPr>
                <w:bCs/>
                <w:sz w:val="20"/>
                <w:lang w:val="en-GB"/>
              </w:rPr>
              <w:t>2 mg/day</w:t>
            </w:r>
            <w:r w:rsidRPr="005F4F0B">
              <w:rPr>
                <w:bCs/>
                <w:sz w:val="20"/>
                <w:lang w:val="en-GB"/>
              </w:rPr>
              <w:br/>
              <w:t>(4 ml/day)</w:t>
            </w:r>
            <w:r w:rsidRPr="005F4F0B">
              <w:rPr>
                <w:bCs/>
                <w:sz w:val="20"/>
                <w:lang w:val="en-GB"/>
              </w:rPr>
              <w:br/>
            </w:r>
          </w:p>
        </w:tc>
        <w:tc>
          <w:tcPr>
            <w:tcW w:w="1824" w:type="dxa"/>
            <w:shd w:val="clear" w:color="auto" w:fill="auto"/>
            <w:vAlign w:val="center"/>
          </w:tcPr>
          <w:p w14:paraId="6C727775" w14:textId="02D37C1E" w:rsidR="009D7F74" w:rsidRPr="005F4F0B" w:rsidRDefault="009D7F74">
            <w:pPr>
              <w:pStyle w:val="BodyText"/>
              <w:rPr>
                <w:bCs/>
                <w:sz w:val="20"/>
                <w:lang w:val="en-GB"/>
              </w:rPr>
            </w:pPr>
            <w:r w:rsidRPr="005F4F0B">
              <w:rPr>
                <w:bCs/>
                <w:sz w:val="20"/>
                <w:lang w:val="en-GB"/>
              </w:rPr>
              <w:t>1 mg/day</w:t>
            </w:r>
            <w:r w:rsidRPr="005F4F0B">
              <w:rPr>
                <w:bCs/>
                <w:sz w:val="20"/>
                <w:lang w:val="en-GB"/>
              </w:rPr>
              <w:br/>
              <w:t>(2 ml/day)</w:t>
            </w:r>
            <w:r w:rsidRPr="005F4F0B">
              <w:rPr>
                <w:bCs/>
                <w:sz w:val="20"/>
                <w:lang w:val="en-GB"/>
              </w:rPr>
              <w:br/>
            </w:r>
          </w:p>
        </w:tc>
        <w:tc>
          <w:tcPr>
            <w:tcW w:w="1825" w:type="dxa"/>
            <w:shd w:val="clear" w:color="auto" w:fill="auto"/>
            <w:vAlign w:val="center"/>
          </w:tcPr>
          <w:p w14:paraId="7E5DAA9A" w14:textId="064D4E56" w:rsidR="009D7F74" w:rsidRPr="005F4F0B" w:rsidRDefault="009D7F74">
            <w:pPr>
              <w:pStyle w:val="BodyText"/>
              <w:rPr>
                <w:bCs/>
                <w:sz w:val="20"/>
                <w:lang w:val="en-GB"/>
              </w:rPr>
            </w:pPr>
            <w:r w:rsidRPr="005F4F0B">
              <w:rPr>
                <w:bCs/>
                <w:sz w:val="20"/>
                <w:lang w:val="en-GB"/>
              </w:rPr>
              <w:t>1 mg/day</w:t>
            </w:r>
            <w:r w:rsidRPr="005F4F0B">
              <w:rPr>
                <w:bCs/>
                <w:sz w:val="20"/>
                <w:lang w:val="en-GB"/>
              </w:rPr>
              <w:br/>
              <w:t>(2 ml/day)</w:t>
            </w:r>
            <w:r w:rsidRPr="005F4F0B">
              <w:rPr>
                <w:bCs/>
                <w:sz w:val="20"/>
                <w:lang w:val="en-GB"/>
              </w:rPr>
              <w:br/>
            </w:r>
          </w:p>
        </w:tc>
      </w:tr>
      <w:tr w:rsidR="009D7F74" w:rsidRPr="004838BD" w14:paraId="0D691000" w14:textId="77777777" w:rsidTr="003F3775">
        <w:tc>
          <w:tcPr>
            <w:tcW w:w="1792" w:type="dxa"/>
            <w:shd w:val="clear" w:color="auto" w:fill="auto"/>
            <w:vAlign w:val="center"/>
          </w:tcPr>
          <w:p w14:paraId="05D645B2" w14:textId="77777777" w:rsidR="009D7F74" w:rsidRPr="005F4F0B" w:rsidRDefault="009D7F74" w:rsidP="00863D0D">
            <w:pPr>
              <w:pStyle w:val="BodyText"/>
              <w:rPr>
                <w:b/>
                <w:bCs/>
                <w:sz w:val="20"/>
                <w:lang w:val="en-GB"/>
              </w:rPr>
            </w:pPr>
            <w:r w:rsidRPr="005F4F0B">
              <w:rPr>
                <w:b/>
                <w:bCs/>
                <w:sz w:val="20"/>
                <w:lang w:val="en-GB"/>
              </w:rPr>
              <w:t>Recommended maintenance dose</w:t>
            </w:r>
          </w:p>
        </w:tc>
        <w:tc>
          <w:tcPr>
            <w:tcW w:w="1824" w:type="dxa"/>
            <w:shd w:val="clear" w:color="auto" w:fill="auto"/>
            <w:vAlign w:val="center"/>
          </w:tcPr>
          <w:p w14:paraId="083C6215" w14:textId="77777777" w:rsidR="009D7F74" w:rsidRPr="005F4F0B" w:rsidRDefault="009D7F74" w:rsidP="00863D0D">
            <w:pPr>
              <w:pStyle w:val="BodyText"/>
              <w:rPr>
                <w:bCs/>
                <w:sz w:val="20"/>
                <w:lang w:val="en-GB"/>
              </w:rPr>
            </w:pPr>
            <w:r w:rsidRPr="005F4F0B">
              <w:rPr>
                <w:bCs/>
                <w:sz w:val="20"/>
                <w:lang w:val="en-GB"/>
              </w:rPr>
              <w:t>4 – 8 mg/day</w:t>
            </w:r>
            <w:r w:rsidRPr="005F4F0B">
              <w:rPr>
                <w:bCs/>
                <w:sz w:val="20"/>
                <w:lang w:val="en-GB"/>
              </w:rPr>
              <w:br/>
              <w:t>(8 – 16 ml/day)</w:t>
            </w:r>
          </w:p>
        </w:tc>
        <w:tc>
          <w:tcPr>
            <w:tcW w:w="1825" w:type="dxa"/>
            <w:shd w:val="clear" w:color="auto" w:fill="auto"/>
            <w:vAlign w:val="center"/>
          </w:tcPr>
          <w:p w14:paraId="0F8B7DBF" w14:textId="77777777" w:rsidR="009D7F74" w:rsidRPr="005F4F0B" w:rsidRDefault="009D7F74">
            <w:pPr>
              <w:pStyle w:val="BodyText"/>
              <w:rPr>
                <w:bCs/>
                <w:sz w:val="20"/>
                <w:lang w:val="en-GB"/>
              </w:rPr>
            </w:pPr>
            <w:r w:rsidRPr="005F4F0B">
              <w:rPr>
                <w:bCs/>
                <w:sz w:val="20"/>
                <w:lang w:val="en-GB"/>
              </w:rPr>
              <w:t>4 – 8 mg/day</w:t>
            </w:r>
            <w:r w:rsidRPr="005F4F0B">
              <w:rPr>
                <w:bCs/>
                <w:sz w:val="20"/>
                <w:lang w:val="en-GB"/>
              </w:rPr>
              <w:br/>
              <w:t>(8 – 16 ml/day)</w:t>
            </w:r>
          </w:p>
        </w:tc>
        <w:tc>
          <w:tcPr>
            <w:tcW w:w="1824" w:type="dxa"/>
            <w:shd w:val="clear" w:color="auto" w:fill="auto"/>
            <w:vAlign w:val="center"/>
          </w:tcPr>
          <w:p w14:paraId="7563D21D" w14:textId="77777777" w:rsidR="009D7F74" w:rsidRPr="005F4F0B" w:rsidRDefault="009D7F74">
            <w:pPr>
              <w:pStyle w:val="BodyText"/>
              <w:rPr>
                <w:bCs/>
                <w:sz w:val="20"/>
                <w:lang w:val="en-GB"/>
              </w:rPr>
            </w:pPr>
            <w:r w:rsidRPr="005F4F0B">
              <w:rPr>
                <w:bCs/>
                <w:sz w:val="20"/>
                <w:lang w:val="en-GB"/>
              </w:rPr>
              <w:t>4 – 6 mg/day</w:t>
            </w:r>
            <w:r w:rsidRPr="005F4F0B">
              <w:rPr>
                <w:bCs/>
                <w:sz w:val="20"/>
                <w:lang w:val="en-GB"/>
              </w:rPr>
              <w:br/>
              <w:t>(8 – 12 ml/day)</w:t>
            </w:r>
          </w:p>
        </w:tc>
        <w:tc>
          <w:tcPr>
            <w:tcW w:w="1825" w:type="dxa"/>
            <w:shd w:val="clear" w:color="auto" w:fill="auto"/>
            <w:vAlign w:val="center"/>
          </w:tcPr>
          <w:p w14:paraId="1180988D" w14:textId="77777777" w:rsidR="009D7F74" w:rsidRPr="005F4F0B" w:rsidRDefault="009D7F74">
            <w:pPr>
              <w:pStyle w:val="BodyText"/>
              <w:rPr>
                <w:bCs/>
                <w:sz w:val="20"/>
                <w:lang w:val="en-GB"/>
              </w:rPr>
            </w:pPr>
            <w:r w:rsidRPr="005F4F0B">
              <w:rPr>
                <w:bCs/>
                <w:sz w:val="20"/>
                <w:lang w:val="en-GB"/>
              </w:rPr>
              <w:t>2 – 4 mg/day</w:t>
            </w:r>
            <w:r w:rsidRPr="005F4F0B">
              <w:rPr>
                <w:bCs/>
                <w:sz w:val="20"/>
                <w:lang w:val="en-GB"/>
              </w:rPr>
              <w:br/>
              <w:t>(4 – 8 ml/day)</w:t>
            </w:r>
          </w:p>
        </w:tc>
      </w:tr>
      <w:tr w:rsidR="009D7F74" w:rsidRPr="004838BD" w14:paraId="39F6BC86" w14:textId="77777777" w:rsidTr="003F3775">
        <w:tc>
          <w:tcPr>
            <w:tcW w:w="1792" w:type="dxa"/>
            <w:shd w:val="clear" w:color="auto" w:fill="auto"/>
            <w:vAlign w:val="center"/>
          </w:tcPr>
          <w:p w14:paraId="12977B03" w14:textId="5EC2FF00" w:rsidR="009D7F74" w:rsidRPr="005F4F0B" w:rsidRDefault="009D7F74" w:rsidP="00863D0D">
            <w:pPr>
              <w:pStyle w:val="BodyText"/>
              <w:rPr>
                <w:b/>
                <w:bCs/>
                <w:sz w:val="20"/>
                <w:lang w:val="en-GB"/>
              </w:rPr>
            </w:pPr>
            <w:r w:rsidRPr="005F4F0B">
              <w:rPr>
                <w:b/>
                <w:bCs/>
                <w:sz w:val="20"/>
                <w:lang w:val="en-GB"/>
              </w:rPr>
              <w:t xml:space="preserve">Titration </w:t>
            </w:r>
            <w:r w:rsidR="003F3775">
              <w:rPr>
                <w:b/>
                <w:bCs/>
                <w:sz w:val="20"/>
                <w:lang w:val="en-GB"/>
              </w:rPr>
              <w:t>increments up to maximum dose</w:t>
            </w:r>
            <w:r w:rsidR="003F3775">
              <w:rPr>
                <w:b/>
                <w:bCs/>
                <w:sz w:val="20"/>
                <w:vertAlign w:val="superscript"/>
                <w:lang w:val="en-GB"/>
              </w:rPr>
              <w:t>a</w:t>
            </w:r>
            <w:r w:rsidR="003F3775">
              <w:rPr>
                <w:b/>
                <w:bCs/>
                <w:sz w:val="20"/>
                <w:lang w:val="en-GB"/>
              </w:rPr>
              <w:t xml:space="preserve"> </w:t>
            </w:r>
            <w:r w:rsidR="003F3775" w:rsidRPr="005F4F0B">
              <w:rPr>
                <w:b/>
                <w:bCs/>
                <w:sz w:val="20"/>
                <w:lang w:val="en-GB"/>
              </w:rPr>
              <w:t xml:space="preserve"> </w:t>
            </w:r>
          </w:p>
        </w:tc>
        <w:tc>
          <w:tcPr>
            <w:tcW w:w="1824" w:type="dxa"/>
            <w:shd w:val="clear" w:color="auto" w:fill="auto"/>
            <w:vAlign w:val="center"/>
          </w:tcPr>
          <w:p w14:paraId="5856DF9B" w14:textId="79BD97F3" w:rsidR="009D7F74" w:rsidRPr="005F4F0B" w:rsidRDefault="009D7F74" w:rsidP="00863D0D">
            <w:pPr>
              <w:pStyle w:val="BodyText"/>
              <w:rPr>
                <w:bCs/>
                <w:sz w:val="20"/>
                <w:lang w:val="en-GB"/>
              </w:rPr>
            </w:pPr>
            <w:r w:rsidRPr="005F4F0B">
              <w:rPr>
                <w:bCs/>
                <w:sz w:val="20"/>
                <w:lang w:val="en-GB"/>
              </w:rPr>
              <w:t>2 mg/day</w:t>
            </w:r>
            <w:r w:rsidRPr="005F4F0B">
              <w:rPr>
                <w:bCs/>
                <w:sz w:val="20"/>
                <w:lang w:val="en-GB"/>
              </w:rPr>
              <w:br/>
              <w:t>(4 ml/day)</w:t>
            </w:r>
            <w:r w:rsidRPr="005F4F0B">
              <w:rPr>
                <w:bCs/>
                <w:sz w:val="20"/>
                <w:lang w:val="en-GB"/>
              </w:rPr>
              <w:br/>
            </w:r>
          </w:p>
        </w:tc>
        <w:tc>
          <w:tcPr>
            <w:tcW w:w="1825" w:type="dxa"/>
            <w:shd w:val="clear" w:color="auto" w:fill="auto"/>
            <w:vAlign w:val="center"/>
          </w:tcPr>
          <w:p w14:paraId="17CD1C05" w14:textId="09F727EB" w:rsidR="009D7F74" w:rsidRPr="005F4F0B" w:rsidRDefault="009D7F74">
            <w:pPr>
              <w:pStyle w:val="BodyText"/>
              <w:rPr>
                <w:bCs/>
                <w:sz w:val="20"/>
                <w:lang w:val="en-GB"/>
              </w:rPr>
            </w:pPr>
            <w:r w:rsidRPr="005F4F0B">
              <w:rPr>
                <w:bCs/>
                <w:sz w:val="20"/>
                <w:lang w:val="en-GB"/>
              </w:rPr>
              <w:t>2 mg/day</w:t>
            </w:r>
            <w:r w:rsidRPr="005F4F0B">
              <w:rPr>
                <w:bCs/>
                <w:sz w:val="20"/>
                <w:lang w:val="en-GB"/>
              </w:rPr>
              <w:br/>
              <w:t>(4 ml/day)</w:t>
            </w:r>
            <w:r w:rsidRPr="005F4F0B">
              <w:rPr>
                <w:bCs/>
                <w:sz w:val="20"/>
                <w:lang w:val="en-GB"/>
              </w:rPr>
              <w:br/>
            </w:r>
          </w:p>
        </w:tc>
        <w:tc>
          <w:tcPr>
            <w:tcW w:w="1824" w:type="dxa"/>
            <w:shd w:val="clear" w:color="auto" w:fill="auto"/>
            <w:vAlign w:val="center"/>
          </w:tcPr>
          <w:p w14:paraId="32B8B612" w14:textId="69C31B8A" w:rsidR="009D7F74" w:rsidRPr="005F4F0B" w:rsidRDefault="009D7F74">
            <w:pPr>
              <w:pStyle w:val="BodyText"/>
              <w:rPr>
                <w:bCs/>
                <w:sz w:val="20"/>
                <w:lang w:val="en-GB"/>
              </w:rPr>
            </w:pPr>
            <w:r w:rsidRPr="005F4F0B">
              <w:rPr>
                <w:bCs/>
                <w:sz w:val="20"/>
                <w:lang w:val="en-GB"/>
              </w:rPr>
              <w:t>1 mg/day</w:t>
            </w:r>
            <w:r w:rsidRPr="005F4F0B">
              <w:rPr>
                <w:bCs/>
                <w:sz w:val="20"/>
                <w:lang w:val="en-GB"/>
              </w:rPr>
              <w:br/>
              <w:t>(2 ml/day)</w:t>
            </w:r>
            <w:r w:rsidRPr="005F4F0B">
              <w:rPr>
                <w:bCs/>
                <w:sz w:val="20"/>
                <w:lang w:val="en-GB"/>
              </w:rPr>
              <w:br/>
            </w:r>
          </w:p>
        </w:tc>
        <w:tc>
          <w:tcPr>
            <w:tcW w:w="1825" w:type="dxa"/>
            <w:shd w:val="clear" w:color="auto" w:fill="auto"/>
            <w:vAlign w:val="center"/>
          </w:tcPr>
          <w:p w14:paraId="732DAA9A" w14:textId="7D046DAC" w:rsidR="009D7F74" w:rsidRPr="005F4F0B" w:rsidRDefault="009D7F74">
            <w:pPr>
              <w:pStyle w:val="BodyText"/>
              <w:rPr>
                <w:bCs/>
                <w:sz w:val="20"/>
                <w:lang w:val="en-GB"/>
              </w:rPr>
            </w:pPr>
            <w:r w:rsidRPr="005F4F0B">
              <w:rPr>
                <w:bCs/>
                <w:sz w:val="20"/>
                <w:lang w:val="en-GB"/>
              </w:rPr>
              <w:t>0.5 mg/day</w:t>
            </w:r>
            <w:r w:rsidRPr="005F4F0B">
              <w:rPr>
                <w:bCs/>
                <w:sz w:val="20"/>
                <w:lang w:val="en-GB"/>
              </w:rPr>
              <w:br/>
              <w:t>(1 ml/day)</w:t>
            </w:r>
            <w:r w:rsidRPr="005F4F0B">
              <w:rPr>
                <w:bCs/>
                <w:sz w:val="20"/>
                <w:lang w:val="en-GB"/>
              </w:rPr>
              <w:br/>
            </w:r>
          </w:p>
        </w:tc>
      </w:tr>
      <w:tr w:rsidR="009D7F74" w:rsidRPr="004838BD" w14:paraId="4758600A" w14:textId="77777777" w:rsidTr="003F3775">
        <w:tc>
          <w:tcPr>
            <w:tcW w:w="1792" w:type="dxa"/>
            <w:tcBorders>
              <w:bottom w:val="single" w:sz="4" w:space="0" w:color="auto"/>
            </w:tcBorders>
            <w:shd w:val="clear" w:color="auto" w:fill="auto"/>
            <w:vAlign w:val="center"/>
          </w:tcPr>
          <w:p w14:paraId="49AB2DC8" w14:textId="77777777" w:rsidR="009D7F74" w:rsidRPr="005F4F0B" w:rsidRDefault="009D7F74" w:rsidP="00863D0D">
            <w:pPr>
              <w:pStyle w:val="BodyText"/>
              <w:rPr>
                <w:b/>
                <w:bCs/>
                <w:sz w:val="20"/>
                <w:lang w:val="en-GB"/>
              </w:rPr>
            </w:pPr>
            <w:r w:rsidRPr="005F4F0B">
              <w:rPr>
                <w:b/>
                <w:bCs/>
                <w:sz w:val="20"/>
                <w:lang w:val="en-GB"/>
              </w:rPr>
              <w:t>Recommended maximum dose</w:t>
            </w:r>
          </w:p>
        </w:tc>
        <w:tc>
          <w:tcPr>
            <w:tcW w:w="1824" w:type="dxa"/>
            <w:tcBorders>
              <w:bottom w:val="single" w:sz="4" w:space="0" w:color="auto"/>
            </w:tcBorders>
            <w:shd w:val="clear" w:color="auto" w:fill="auto"/>
            <w:vAlign w:val="center"/>
          </w:tcPr>
          <w:p w14:paraId="470827F9" w14:textId="77777777" w:rsidR="009D7F74" w:rsidRPr="005F4F0B" w:rsidRDefault="009D7F74" w:rsidP="00863D0D">
            <w:pPr>
              <w:pStyle w:val="BodyText"/>
              <w:rPr>
                <w:bCs/>
                <w:sz w:val="20"/>
                <w:lang w:val="en-GB"/>
              </w:rPr>
            </w:pPr>
            <w:r w:rsidRPr="005F4F0B">
              <w:rPr>
                <w:bCs/>
                <w:sz w:val="20"/>
                <w:lang w:val="en-GB"/>
              </w:rPr>
              <w:t>12 mg/day</w:t>
            </w:r>
            <w:r w:rsidRPr="005F4F0B">
              <w:rPr>
                <w:bCs/>
                <w:sz w:val="20"/>
                <w:lang w:val="en-GB"/>
              </w:rPr>
              <w:br/>
              <w:t>(24 ml/day)</w:t>
            </w:r>
          </w:p>
        </w:tc>
        <w:tc>
          <w:tcPr>
            <w:tcW w:w="1825" w:type="dxa"/>
            <w:tcBorders>
              <w:bottom w:val="single" w:sz="4" w:space="0" w:color="auto"/>
            </w:tcBorders>
            <w:shd w:val="clear" w:color="auto" w:fill="auto"/>
            <w:vAlign w:val="center"/>
          </w:tcPr>
          <w:p w14:paraId="1EF25EE4" w14:textId="77777777" w:rsidR="009D7F74" w:rsidRPr="005F4F0B" w:rsidRDefault="009D7F74">
            <w:pPr>
              <w:pStyle w:val="BodyText"/>
              <w:rPr>
                <w:bCs/>
                <w:sz w:val="20"/>
                <w:lang w:val="en-GB"/>
              </w:rPr>
            </w:pPr>
            <w:r w:rsidRPr="005F4F0B">
              <w:rPr>
                <w:bCs/>
                <w:sz w:val="20"/>
                <w:lang w:val="en-GB"/>
              </w:rPr>
              <w:t>12 mg/day</w:t>
            </w:r>
            <w:r w:rsidRPr="005F4F0B">
              <w:rPr>
                <w:bCs/>
                <w:sz w:val="20"/>
                <w:lang w:val="en-GB"/>
              </w:rPr>
              <w:br/>
              <w:t>(24 ml/day)</w:t>
            </w:r>
          </w:p>
        </w:tc>
        <w:tc>
          <w:tcPr>
            <w:tcW w:w="1824" w:type="dxa"/>
            <w:tcBorders>
              <w:bottom w:val="single" w:sz="4" w:space="0" w:color="auto"/>
            </w:tcBorders>
            <w:shd w:val="clear" w:color="auto" w:fill="auto"/>
            <w:vAlign w:val="center"/>
          </w:tcPr>
          <w:p w14:paraId="532F05BA" w14:textId="77777777" w:rsidR="009D7F74" w:rsidRPr="005F4F0B" w:rsidRDefault="009D7F74">
            <w:pPr>
              <w:pStyle w:val="BodyText"/>
              <w:rPr>
                <w:bCs/>
                <w:sz w:val="20"/>
                <w:lang w:val="en-GB"/>
              </w:rPr>
            </w:pPr>
            <w:r w:rsidRPr="005F4F0B">
              <w:rPr>
                <w:bCs/>
                <w:sz w:val="20"/>
                <w:lang w:val="en-GB"/>
              </w:rPr>
              <w:t>8 mg/day</w:t>
            </w:r>
            <w:r w:rsidRPr="005F4F0B">
              <w:rPr>
                <w:bCs/>
                <w:sz w:val="20"/>
                <w:lang w:val="en-GB"/>
              </w:rPr>
              <w:br/>
              <w:t>(16 ml/day)</w:t>
            </w:r>
          </w:p>
        </w:tc>
        <w:tc>
          <w:tcPr>
            <w:tcW w:w="1825" w:type="dxa"/>
            <w:tcBorders>
              <w:bottom w:val="single" w:sz="4" w:space="0" w:color="auto"/>
            </w:tcBorders>
            <w:shd w:val="clear" w:color="auto" w:fill="auto"/>
            <w:vAlign w:val="center"/>
          </w:tcPr>
          <w:p w14:paraId="4DFB938D" w14:textId="77777777" w:rsidR="009D7F74" w:rsidRPr="005F4F0B" w:rsidRDefault="009D7F74">
            <w:pPr>
              <w:pStyle w:val="BodyText"/>
              <w:rPr>
                <w:bCs/>
                <w:sz w:val="20"/>
                <w:lang w:val="en-GB"/>
              </w:rPr>
            </w:pPr>
            <w:r w:rsidRPr="005F4F0B">
              <w:rPr>
                <w:bCs/>
                <w:sz w:val="20"/>
                <w:lang w:val="en-GB"/>
              </w:rPr>
              <w:t>6 mg/day</w:t>
            </w:r>
            <w:r w:rsidRPr="005F4F0B">
              <w:rPr>
                <w:bCs/>
                <w:sz w:val="20"/>
                <w:lang w:val="en-GB"/>
              </w:rPr>
              <w:br/>
              <w:t>(12 ml/day)</w:t>
            </w:r>
          </w:p>
        </w:tc>
      </w:tr>
      <w:tr w:rsidR="003F3775" w:rsidRPr="004838BD" w14:paraId="35ACDE46" w14:textId="77777777" w:rsidTr="003F3775">
        <w:tc>
          <w:tcPr>
            <w:tcW w:w="9090" w:type="dxa"/>
            <w:gridSpan w:val="5"/>
            <w:tcBorders>
              <w:top w:val="single" w:sz="4" w:space="0" w:color="auto"/>
              <w:left w:val="nil"/>
              <w:bottom w:val="nil"/>
              <w:right w:val="nil"/>
            </w:tcBorders>
            <w:shd w:val="clear" w:color="auto" w:fill="auto"/>
            <w:vAlign w:val="center"/>
          </w:tcPr>
          <w:p w14:paraId="61C797A7" w14:textId="4B8ECB8C" w:rsidR="003F3775" w:rsidRDefault="003F3775" w:rsidP="003F3775">
            <w:pPr>
              <w:pStyle w:val="BodyText"/>
              <w:tabs>
                <w:tab w:val="left" w:pos="300"/>
              </w:tabs>
              <w:rPr>
                <w:bCs/>
                <w:sz w:val="18"/>
                <w:lang w:val="en-GB"/>
              </w:rPr>
            </w:pPr>
            <w:r w:rsidRPr="000D15F7">
              <w:rPr>
                <w:bCs/>
                <w:sz w:val="18"/>
                <w:lang w:val="en-GB"/>
              </w:rPr>
              <w:t>a:</w:t>
            </w:r>
            <w:r>
              <w:rPr>
                <w:bCs/>
                <w:sz w:val="18"/>
                <w:lang w:val="en-GB"/>
              </w:rPr>
              <w:t xml:space="preserve"> </w:t>
            </w:r>
            <w:r>
              <w:rPr>
                <w:bCs/>
                <w:sz w:val="18"/>
                <w:lang w:val="en-GB"/>
              </w:rPr>
              <w:tab/>
              <w:t xml:space="preserve">Titration for </w:t>
            </w:r>
            <w:r w:rsidRPr="000D15F7">
              <w:rPr>
                <w:bCs/>
                <w:sz w:val="18"/>
                <w:lang w:val="en-GB"/>
              </w:rPr>
              <w:t>patients</w:t>
            </w:r>
            <w:r>
              <w:rPr>
                <w:bCs/>
                <w:sz w:val="18"/>
                <w:lang w:val="en-GB"/>
              </w:rPr>
              <w:t xml:space="preserve"> taking</w:t>
            </w:r>
            <w:r w:rsidRPr="000D15F7">
              <w:rPr>
                <w:bCs/>
                <w:sz w:val="18"/>
                <w:lang w:val="en-GB"/>
              </w:rPr>
              <w:t xml:space="preserve"> medicinal products that do not shorten the half-life of perampanel</w:t>
            </w:r>
            <w:r w:rsidRPr="000D15F7">
              <w:rPr>
                <w:b/>
                <w:bCs/>
                <w:sz w:val="18"/>
                <w:lang w:val="en-GB"/>
              </w:rPr>
              <w:t xml:space="preserve"> </w:t>
            </w:r>
            <w:r>
              <w:rPr>
                <w:bCs/>
                <w:sz w:val="18"/>
                <w:lang w:val="en-GB"/>
              </w:rPr>
              <w:t xml:space="preserve">should occur </w:t>
            </w:r>
            <w:r w:rsidR="007529BA">
              <w:rPr>
                <w:bCs/>
                <w:sz w:val="18"/>
                <w:lang w:val="en-GB"/>
              </w:rPr>
              <w:t>no more frequently than every</w:t>
            </w:r>
            <w:r>
              <w:rPr>
                <w:bCs/>
                <w:sz w:val="18"/>
                <w:lang w:val="en-GB"/>
              </w:rPr>
              <w:t xml:space="preserve"> 2-4 week</w:t>
            </w:r>
            <w:r w:rsidR="007529BA">
              <w:rPr>
                <w:bCs/>
                <w:sz w:val="18"/>
                <w:lang w:val="en-GB"/>
              </w:rPr>
              <w:t>s</w:t>
            </w:r>
            <w:r>
              <w:rPr>
                <w:bCs/>
                <w:sz w:val="18"/>
                <w:lang w:val="en-GB"/>
              </w:rPr>
              <w:t xml:space="preserve">. </w:t>
            </w:r>
          </w:p>
          <w:p w14:paraId="47AC3CFF" w14:textId="0A8E0281" w:rsidR="003F3775" w:rsidRPr="005F4F0B" w:rsidRDefault="003F3775" w:rsidP="00143D1C">
            <w:pPr>
              <w:pStyle w:val="BodyText"/>
              <w:tabs>
                <w:tab w:val="left" w:pos="270"/>
              </w:tabs>
              <w:spacing w:after="240"/>
              <w:rPr>
                <w:bCs/>
                <w:sz w:val="20"/>
                <w:lang w:val="en-GB"/>
              </w:rPr>
            </w:pPr>
            <w:r>
              <w:rPr>
                <w:bCs/>
                <w:sz w:val="18"/>
                <w:lang w:val="en-GB"/>
              </w:rPr>
              <w:tab/>
              <w:t>Titration for patients taking</w:t>
            </w:r>
            <w:r w:rsidRPr="000D15F7">
              <w:rPr>
                <w:bCs/>
                <w:sz w:val="18"/>
                <w:lang w:val="en-GB"/>
              </w:rPr>
              <w:t xml:space="preserve"> </w:t>
            </w:r>
            <w:r w:rsidRPr="00137ADD">
              <w:rPr>
                <w:bCs/>
                <w:sz w:val="18"/>
                <w:lang w:val="en-GB"/>
              </w:rPr>
              <w:t>medicinal products that shorten the half-life of perampanel</w:t>
            </w:r>
            <w:r>
              <w:rPr>
                <w:bCs/>
                <w:sz w:val="18"/>
                <w:lang w:val="en-GB"/>
              </w:rPr>
              <w:t xml:space="preserve"> should occur no more frequently than weekly intervals</w:t>
            </w:r>
          </w:p>
        </w:tc>
      </w:tr>
    </w:tbl>
    <w:p w14:paraId="5C9C99E4" w14:textId="77777777" w:rsidR="005858F0" w:rsidRPr="005E4AEB" w:rsidRDefault="005858F0" w:rsidP="005858F0">
      <w:pPr>
        <w:pStyle w:val="Heading3"/>
      </w:pPr>
      <w:r w:rsidRPr="005E4AEB">
        <w:t>Treatment withdrawal and missed doses</w:t>
      </w:r>
    </w:p>
    <w:p w14:paraId="7EC89877" w14:textId="349A3D02" w:rsidR="005858F0" w:rsidRPr="00111909" w:rsidRDefault="005858F0" w:rsidP="00143D1C">
      <w:pPr>
        <w:pStyle w:val="BodyText"/>
        <w:spacing w:after="240"/>
      </w:pPr>
      <w:r w:rsidRPr="00111909">
        <w:t xml:space="preserve">When withdrawing FYCOMPA, the dose should be gradually reduced </w:t>
      </w:r>
      <w:r w:rsidR="00AE1D15" w:rsidRPr="009D7EAE">
        <w:t>(</w:t>
      </w:r>
      <w:r w:rsidR="00D8104D">
        <w:t>s</w:t>
      </w:r>
      <w:r w:rsidR="00AE1D15" w:rsidRPr="009D7EAE">
        <w:t xml:space="preserve">ee </w:t>
      </w:r>
      <w:r w:rsidR="00AE1D15">
        <w:t xml:space="preserve">Section </w:t>
      </w:r>
      <w:r w:rsidR="00AE1D15">
        <w:fldChar w:fldCharType="begin"/>
      </w:r>
      <w:r w:rsidR="00AE1D15">
        <w:instrText xml:space="preserve"> REF _Ref503187146 \r \h </w:instrText>
      </w:r>
      <w:r w:rsidR="00AE1D15">
        <w:fldChar w:fldCharType="separate"/>
      </w:r>
      <w:r w:rsidR="007B3B4A">
        <w:t>4.4</w:t>
      </w:r>
      <w:r w:rsidR="00AE1D15">
        <w:fldChar w:fldCharType="end"/>
      </w:r>
      <w:r w:rsidR="00AE1D15">
        <w:t xml:space="preserve"> Special warnings and precautions for use</w:t>
      </w:r>
      <w:r w:rsidRPr="00111909">
        <w:t xml:space="preserve">). </w:t>
      </w:r>
    </w:p>
    <w:p w14:paraId="13F6D50A" w14:textId="77777777" w:rsidR="005858F0" w:rsidRPr="00111909" w:rsidRDefault="005858F0" w:rsidP="00143D1C">
      <w:pPr>
        <w:pStyle w:val="BodyText"/>
        <w:spacing w:after="240"/>
      </w:pPr>
      <w:r w:rsidRPr="00111909">
        <w:t xml:space="preserve">Single missed dose: As </w:t>
      </w:r>
      <w:r>
        <w:t>perampanel</w:t>
      </w:r>
      <w:r w:rsidRPr="00111909">
        <w:t xml:space="preserve"> has a long half-life, the patient should wait and take their next dose as scheduled. </w:t>
      </w:r>
    </w:p>
    <w:p w14:paraId="5D4FCE0D" w14:textId="0ED90012" w:rsidR="005858F0" w:rsidRPr="00111909" w:rsidRDefault="005858F0" w:rsidP="00143D1C">
      <w:pPr>
        <w:pStyle w:val="BodyText"/>
        <w:spacing w:after="240"/>
      </w:pPr>
      <w:r w:rsidRPr="00111909">
        <w:t xml:space="preserve">If more than 1 dose has been missed, for a continuous period of less than 5 half-lives (3 weeks for patients not taking </w:t>
      </w:r>
      <w:r>
        <w:t>perampanel</w:t>
      </w:r>
      <w:r w:rsidRPr="00111909">
        <w:t xml:space="preserve"> metabolism-inducing AEDs, 1 week for patients taking </w:t>
      </w:r>
      <w:r>
        <w:t>perampanel</w:t>
      </w:r>
      <w:r w:rsidRPr="00111909">
        <w:t xml:space="preserve"> metabolism-inducing AEDs (see </w:t>
      </w:r>
      <w:r w:rsidR="00AE1D15" w:rsidRPr="00111909">
        <w:t xml:space="preserve">Section </w:t>
      </w:r>
      <w:r w:rsidR="00AE1D15">
        <w:rPr>
          <w:color w:val="000000"/>
        </w:rPr>
        <w:fldChar w:fldCharType="begin"/>
      </w:r>
      <w:r w:rsidR="00AE1D15">
        <w:rPr>
          <w:color w:val="000000"/>
        </w:rPr>
        <w:instrText xml:space="preserve"> REF _Ref503187121 \r \h </w:instrText>
      </w:r>
      <w:r w:rsidR="00AE1D15">
        <w:rPr>
          <w:color w:val="000000"/>
        </w:rPr>
      </w:r>
      <w:r w:rsidR="00AE1D15">
        <w:rPr>
          <w:color w:val="000000"/>
        </w:rPr>
        <w:fldChar w:fldCharType="separate"/>
      </w:r>
      <w:r w:rsidR="007B3B4A">
        <w:rPr>
          <w:color w:val="000000"/>
        </w:rPr>
        <w:t>4.5</w:t>
      </w:r>
      <w:r w:rsidR="00AE1D15">
        <w:rPr>
          <w:color w:val="000000"/>
        </w:rPr>
        <w:fldChar w:fldCharType="end"/>
      </w:r>
      <w:r w:rsidR="00AE1D15" w:rsidRPr="00111909">
        <w:t xml:space="preserve"> Interactions With Other Medicines And Other Forms Of Interactions</w:t>
      </w:r>
      <w:r w:rsidRPr="00111909">
        <w:t>), consideration should be given to re</w:t>
      </w:r>
      <w:r w:rsidRPr="00111909">
        <w:softHyphen/>
        <w:t xml:space="preserve">start treatment from the last dose level. </w:t>
      </w:r>
    </w:p>
    <w:p w14:paraId="0363B629" w14:textId="77777777" w:rsidR="005858F0" w:rsidRPr="00111909" w:rsidRDefault="005858F0" w:rsidP="00143D1C">
      <w:pPr>
        <w:pStyle w:val="BodyText"/>
        <w:spacing w:after="240"/>
      </w:pPr>
      <w:r w:rsidRPr="00111909">
        <w:t xml:space="preserve">If a patient has discontinued </w:t>
      </w:r>
      <w:r>
        <w:t>perampanel</w:t>
      </w:r>
      <w:r w:rsidRPr="00111909">
        <w:t xml:space="preserve"> for a continuous period of more than 5 half-lives, it is recommended that initial dosing recommendations given above should be followed. </w:t>
      </w:r>
    </w:p>
    <w:p w14:paraId="4CA8B7D3" w14:textId="77777777" w:rsidR="00E70BE4" w:rsidRDefault="00E70BE4" w:rsidP="005858F0">
      <w:pPr>
        <w:pStyle w:val="Heading3"/>
        <w:rPr>
          <w:lang w:eastAsia="ja-JP"/>
        </w:rPr>
      </w:pPr>
      <w:r>
        <w:rPr>
          <w:lang w:eastAsia="ja-JP"/>
        </w:rPr>
        <w:t>Special Populations</w:t>
      </w:r>
    </w:p>
    <w:p w14:paraId="7FA0E64D" w14:textId="77777777" w:rsidR="005858F0" w:rsidRPr="005956E5" w:rsidRDefault="005858F0" w:rsidP="00E70BE4">
      <w:pPr>
        <w:pStyle w:val="Heading4"/>
        <w:rPr>
          <w:lang w:eastAsia="ja-JP"/>
        </w:rPr>
      </w:pPr>
      <w:r w:rsidRPr="005956E5">
        <w:rPr>
          <w:lang w:eastAsia="ja-JP"/>
        </w:rPr>
        <w:t>Renal impairment</w:t>
      </w:r>
    </w:p>
    <w:p w14:paraId="5AB01135" w14:textId="77777777" w:rsidR="005858F0" w:rsidRDefault="005858F0" w:rsidP="00143D1C">
      <w:pPr>
        <w:pStyle w:val="BodyText"/>
        <w:spacing w:after="240"/>
      </w:pPr>
      <w:r w:rsidRPr="001A6E35">
        <w:t>Dose adjustment is not required in patients with mild renal impairment. Use in patients with moderate or severe renal impairment or patients undergoing haemodialysis is not recommended.</w:t>
      </w:r>
      <w:r>
        <w:t xml:space="preserve"> </w:t>
      </w:r>
    </w:p>
    <w:p w14:paraId="66F5091D" w14:textId="77777777" w:rsidR="005858F0" w:rsidRPr="005956E5" w:rsidRDefault="005858F0" w:rsidP="00E70BE4">
      <w:pPr>
        <w:pStyle w:val="Heading4"/>
      </w:pPr>
      <w:r w:rsidRPr="005956E5">
        <w:t xml:space="preserve">Patients with hepatic impairment </w:t>
      </w:r>
    </w:p>
    <w:p w14:paraId="7D47688A" w14:textId="4302DF12" w:rsidR="00B741BC" w:rsidRDefault="005858F0" w:rsidP="00143D1C">
      <w:pPr>
        <w:pStyle w:val="BodyText"/>
        <w:spacing w:after="240"/>
      </w:pPr>
      <w:r w:rsidRPr="001A6E35">
        <w:t>Dose increases in</w:t>
      </w:r>
      <w:r w:rsidR="00D46C6D">
        <w:t xml:space="preserve"> adult and adolescent</w:t>
      </w:r>
      <w:r w:rsidRPr="001A6E35">
        <w:t xml:space="preserve"> patients with mild and moderate hepatic impairment should be based on clinical response and tolerability.</w:t>
      </w:r>
    </w:p>
    <w:p w14:paraId="02AF2C93" w14:textId="36937C00" w:rsidR="00D46C6D" w:rsidRDefault="005858F0" w:rsidP="00143D1C">
      <w:pPr>
        <w:pStyle w:val="BodyText"/>
        <w:spacing w:after="240"/>
      </w:pPr>
      <w:r w:rsidRPr="001A6E35">
        <w:t xml:space="preserve">For </w:t>
      </w:r>
      <w:r w:rsidR="00D46C6D">
        <w:t xml:space="preserve">adult and adolescent </w:t>
      </w:r>
      <w:r w:rsidRPr="001A6E35">
        <w:t xml:space="preserve">patients with mild or moderate hepatic impairment, dosing can be initiated at </w:t>
      </w:r>
      <w:r w:rsidR="00B741BC">
        <w:t xml:space="preserve">the starting dose specified in </w:t>
      </w:r>
      <w:r w:rsidR="00B741BC">
        <w:fldChar w:fldCharType="begin"/>
      </w:r>
      <w:r w:rsidR="00B741BC">
        <w:instrText xml:space="preserve"> REF _Ref54174129 \h </w:instrText>
      </w:r>
      <w:r w:rsidR="00B741BC">
        <w:fldChar w:fldCharType="separate"/>
      </w:r>
      <w:r w:rsidR="007B3B4A">
        <w:t xml:space="preserve">Table </w:t>
      </w:r>
      <w:r w:rsidR="007B3B4A">
        <w:rPr>
          <w:noProof/>
        </w:rPr>
        <w:t>1</w:t>
      </w:r>
      <w:r w:rsidR="00B741BC">
        <w:fldChar w:fldCharType="end"/>
      </w:r>
      <w:r w:rsidRPr="001A6E35">
        <w:t xml:space="preserve">. Patients should be up-titrated </w:t>
      </w:r>
      <w:r w:rsidR="00B741BC">
        <w:t xml:space="preserve">slowly and </w:t>
      </w:r>
      <w:r w:rsidRPr="001A6E35">
        <w:t xml:space="preserve">no faster than every 2 weeks based on tolerability and effectiveness. </w:t>
      </w:r>
      <w:r>
        <w:t>FYCOMPA</w:t>
      </w:r>
      <w:r w:rsidRPr="001A6E35">
        <w:t xml:space="preserve"> dosing for patients with mild and moderate impairment should not exceed </w:t>
      </w:r>
      <w:r w:rsidR="00B741BC">
        <w:t xml:space="preserve">the maintenance dose specified in </w:t>
      </w:r>
      <w:r w:rsidR="00B741BC">
        <w:fldChar w:fldCharType="begin"/>
      </w:r>
      <w:r w:rsidR="00B741BC">
        <w:instrText xml:space="preserve"> REF _Ref54174129 \h </w:instrText>
      </w:r>
      <w:r w:rsidR="00B741BC">
        <w:fldChar w:fldCharType="separate"/>
      </w:r>
      <w:r w:rsidR="007B3B4A">
        <w:t xml:space="preserve">Table </w:t>
      </w:r>
      <w:r w:rsidR="007B3B4A">
        <w:rPr>
          <w:noProof/>
        </w:rPr>
        <w:t>1</w:t>
      </w:r>
      <w:r w:rsidR="00B741BC">
        <w:fldChar w:fldCharType="end"/>
      </w:r>
      <w:r w:rsidRPr="001A6E35">
        <w:t>.</w:t>
      </w:r>
    </w:p>
    <w:p w14:paraId="7C4688A7" w14:textId="212199E4" w:rsidR="00D46C6D" w:rsidRDefault="00D46C6D" w:rsidP="00143D1C">
      <w:pPr>
        <w:pStyle w:val="BodyText"/>
        <w:spacing w:after="240"/>
      </w:pPr>
      <w:r>
        <w:t xml:space="preserve">No data is available in </w:t>
      </w:r>
      <w:r w:rsidR="00CF48A4">
        <w:t>children</w:t>
      </w:r>
      <w:r>
        <w:t xml:space="preserve"> &lt;12 years </w:t>
      </w:r>
      <w:r w:rsidRPr="001A6E35">
        <w:t>with mild or moderate hepatic impairment</w:t>
      </w:r>
      <w:r>
        <w:t xml:space="preserve">. No dosing recommendation can be made for these </w:t>
      </w:r>
      <w:r w:rsidR="00CF48A4">
        <w:t>children</w:t>
      </w:r>
      <w:r>
        <w:t>.</w:t>
      </w:r>
      <w:r w:rsidR="005858F0" w:rsidRPr="001A6E35">
        <w:t xml:space="preserve"> </w:t>
      </w:r>
    </w:p>
    <w:p w14:paraId="616B8D67" w14:textId="38F55EC3" w:rsidR="005858F0" w:rsidRDefault="005858F0" w:rsidP="00143D1C">
      <w:pPr>
        <w:pStyle w:val="BodyText"/>
        <w:spacing w:after="240"/>
      </w:pPr>
      <w:r w:rsidRPr="001A6E35">
        <w:t xml:space="preserve">Use in patients with severe hepatic impairment is not recommended. </w:t>
      </w:r>
    </w:p>
    <w:p w14:paraId="3FD4C31B" w14:textId="77777777" w:rsidR="005858F0" w:rsidRPr="00737B7E" w:rsidRDefault="005858F0" w:rsidP="00E70BE4">
      <w:pPr>
        <w:pStyle w:val="Heading4"/>
      </w:pPr>
      <w:r w:rsidRPr="00737B7E">
        <w:t>Elderly patients</w:t>
      </w:r>
    </w:p>
    <w:p w14:paraId="604DAC29" w14:textId="1635887D" w:rsidR="005858F0" w:rsidRDefault="005858F0" w:rsidP="00143D1C">
      <w:pPr>
        <w:pStyle w:val="BodyText"/>
        <w:spacing w:after="240"/>
        <w:rPr>
          <w:lang w:eastAsia="en-AU"/>
        </w:rPr>
      </w:pPr>
      <w:r>
        <w:rPr>
          <w:lang w:eastAsia="en-AU"/>
        </w:rPr>
        <w:t xml:space="preserve">FYCOMPA </w:t>
      </w:r>
      <w:r w:rsidRPr="00FF7800">
        <w:rPr>
          <w:lang w:eastAsia="en-AU"/>
        </w:rPr>
        <w:t>should be used with caution in the elderly</w:t>
      </w:r>
      <w:r>
        <w:rPr>
          <w:lang w:eastAsia="en-AU"/>
        </w:rPr>
        <w:t xml:space="preserve"> (</w:t>
      </w:r>
      <w:r w:rsidR="00D8104D">
        <w:t>s</w:t>
      </w:r>
      <w:r w:rsidR="00AE1D15" w:rsidRPr="009D7EAE">
        <w:t xml:space="preserve">ee </w:t>
      </w:r>
      <w:r w:rsidR="00AE1D15">
        <w:t xml:space="preserve">Section </w:t>
      </w:r>
      <w:r w:rsidR="00AE1D15">
        <w:fldChar w:fldCharType="begin"/>
      </w:r>
      <w:r w:rsidR="00AE1D15">
        <w:instrText xml:space="preserve"> REF _Ref503187146 \r \h </w:instrText>
      </w:r>
      <w:r w:rsidR="00AE1D15">
        <w:fldChar w:fldCharType="separate"/>
      </w:r>
      <w:r w:rsidR="007B3B4A">
        <w:t>4.4</w:t>
      </w:r>
      <w:r w:rsidR="00AE1D15">
        <w:fldChar w:fldCharType="end"/>
      </w:r>
      <w:r w:rsidR="00AE1D15">
        <w:t xml:space="preserve"> Special warnings and precautions for use</w:t>
      </w:r>
      <w:r>
        <w:rPr>
          <w:lang w:eastAsia="en-AU"/>
        </w:rPr>
        <w:t>)</w:t>
      </w:r>
      <w:r w:rsidRPr="00FF7800">
        <w:rPr>
          <w:lang w:eastAsia="en-AU"/>
        </w:rPr>
        <w:t>.</w:t>
      </w:r>
    </w:p>
    <w:p w14:paraId="107B3944" w14:textId="77777777" w:rsidR="005858F0" w:rsidRPr="00737B7E" w:rsidRDefault="005858F0" w:rsidP="00E70BE4">
      <w:pPr>
        <w:pStyle w:val="Heading4"/>
      </w:pPr>
      <w:r w:rsidRPr="00737B7E">
        <w:t xml:space="preserve">Paediatric patients </w:t>
      </w:r>
    </w:p>
    <w:p w14:paraId="6250AE3B" w14:textId="52493153" w:rsidR="005858F0" w:rsidRDefault="00E94D6F" w:rsidP="00143D1C">
      <w:pPr>
        <w:pStyle w:val="BodyText"/>
        <w:spacing w:after="240"/>
      </w:pPr>
      <w:r>
        <w:t>There is limited long term safety data in children below 12 years of age.</w:t>
      </w:r>
      <w:r w:rsidR="00B90B34">
        <w:t xml:space="preserve"> </w:t>
      </w:r>
      <w:r w:rsidR="005858F0" w:rsidRPr="001A6E35">
        <w:t xml:space="preserve">The safety and efficacy of </w:t>
      </w:r>
      <w:r w:rsidR="005858F0">
        <w:t>FYCOMPA</w:t>
      </w:r>
      <w:r w:rsidR="005858F0" w:rsidRPr="001A6E35">
        <w:t xml:space="preserve"> in children below </w:t>
      </w:r>
      <w:r w:rsidR="00CE685F">
        <w:t>4</w:t>
      </w:r>
      <w:r w:rsidR="005858F0" w:rsidRPr="001A6E35">
        <w:t xml:space="preserve"> years of age</w:t>
      </w:r>
      <w:r w:rsidR="003F3775" w:rsidRPr="003F3775">
        <w:t xml:space="preserve"> </w:t>
      </w:r>
      <w:r w:rsidR="003F3775">
        <w:t>with POS and 7 years of age with PGTCS</w:t>
      </w:r>
      <w:r w:rsidR="00143D1C">
        <w:t xml:space="preserve"> have not been established yet.</w:t>
      </w:r>
    </w:p>
    <w:p w14:paraId="42D00344" w14:textId="77777777" w:rsidR="005858F0" w:rsidRDefault="005858F0" w:rsidP="005858F0">
      <w:pPr>
        <w:pStyle w:val="Heading3"/>
      </w:pPr>
      <w:r w:rsidRPr="008A0486">
        <w:t xml:space="preserve">Method of administration </w:t>
      </w:r>
    </w:p>
    <w:p w14:paraId="411A327A" w14:textId="0F857B4F" w:rsidR="00D96ACB" w:rsidRDefault="005858F0" w:rsidP="00143D1C">
      <w:pPr>
        <w:pStyle w:val="BodyText"/>
        <w:spacing w:after="240"/>
      </w:pPr>
      <w:r>
        <w:t>FYCOMPA</w:t>
      </w:r>
      <w:r w:rsidRPr="001A6E35">
        <w:t xml:space="preserve"> should be taken as single oral dose at bedtime. It may be taken with or without food </w:t>
      </w:r>
      <w:r w:rsidR="00AE1D15" w:rsidRPr="00E872FD">
        <w:t>(</w:t>
      </w:r>
      <w:r w:rsidR="00AE1D15">
        <w:t xml:space="preserve">see Section </w:t>
      </w:r>
      <w:r w:rsidR="00AE1D15" w:rsidRPr="00E3366C">
        <w:fldChar w:fldCharType="begin"/>
      </w:r>
      <w:r w:rsidR="00AE1D15" w:rsidRPr="00E3366C">
        <w:instrText xml:space="preserve"> REF _Ref2178479 \r \h </w:instrText>
      </w:r>
      <w:r w:rsidR="00AE1D15">
        <w:instrText xml:space="preserve"> \* MERGEFORMAT </w:instrText>
      </w:r>
      <w:r w:rsidR="00AE1D15" w:rsidRPr="00E3366C">
        <w:fldChar w:fldCharType="separate"/>
      </w:r>
      <w:r w:rsidR="007B3B4A">
        <w:t>5.2</w:t>
      </w:r>
      <w:r w:rsidR="00AE1D15" w:rsidRPr="00E3366C">
        <w:fldChar w:fldCharType="end"/>
      </w:r>
      <w:r w:rsidR="00AE1D15">
        <w:t xml:space="preserve"> Pharmacokinetic Properties</w:t>
      </w:r>
      <w:r w:rsidR="00AE1D15" w:rsidRPr="00E872FD">
        <w:t>).</w:t>
      </w:r>
    </w:p>
    <w:p w14:paraId="55FAFD4D" w14:textId="77777777" w:rsidR="005858F0" w:rsidRDefault="005858F0" w:rsidP="00143D1C">
      <w:pPr>
        <w:pStyle w:val="BodyText"/>
        <w:spacing w:after="240"/>
      </w:pPr>
      <w:r w:rsidRPr="001A6E35">
        <w:t xml:space="preserve">The </w:t>
      </w:r>
      <w:r w:rsidR="00B9554C">
        <w:t xml:space="preserve">film-coated </w:t>
      </w:r>
      <w:r w:rsidRPr="001A6E35">
        <w:t xml:space="preserve">tablet should be swallowed whole with a glass of water. It should not be chewed, crushed or split. The </w:t>
      </w:r>
      <w:r w:rsidR="00B9554C">
        <w:t>film</w:t>
      </w:r>
      <w:r w:rsidR="00B9554C">
        <w:noBreakHyphen/>
        <w:t xml:space="preserve">coated </w:t>
      </w:r>
      <w:r w:rsidRPr="001A6E35">
        <w:t>tablets cannot be split accurately as there is no break line. To ensure the patient receives the entire dose the tablets should be swallowed whole without chewing or crushing.</w:t>
      </w:r>
    </w:p>
    <w:p w14:paraId="2306BF93" w14:textId="669E2F05" w:rsidR="00B9554C" w:rsidRDefault="00A24401" w:rsidP="00143D1C">
      <w:pPr>
        <w:pStyle w:val="BodyText"/>
        <w:spacing w:after="240"/>
        <w:rPr>
          <w:lang w:eastAsia="en-AU"/>
        </w:rPr>
      </w:pPr>
      <w:r>
        <w:rPr>
          <w:lang w:eastAsia="en-AU"/>
        </w:rPr>
        <w:t>The oral suspension should be shaken vigorously for at least 5 seconds before every administration. T</w:t>
      </w:r>
      <w:r w:rsidR="00B9554C" w:rsidRPr="00B9554C">
        <w:rPr>
          <w:lang w:eastAsia="en-AU"/>
        </w:rPr>
        <w:t xml:space="preserve">he press in-bottle adapter (PIBA) which is supplied in the product carton should be inserted firmly into the neck of the bottle before use and remain in place for the duration of the usage of the bottle. The oral syringe should be inserted into the PIBA and the dose withdrawn from the inverted bottle. </w:t>
      </w:r>
      <w:r w:rsidR="003F3775">
        <w:rPr>
          <w:lang w:eastAsia="en-AU"/>
        </w:rPr>
        <w:t xml:space="preserve">The provided adaptor and graduated oral dosing syringe should be used to administer the oral suspension. A household teaspoon or tablespoon is not an adequate measuring device. </w:t>
      </w:r>
      <w:r w:rsidR="00B9554C" w:rsidRPr="00B9554C">
        <w:rPr>
          <w:lang w:eastAsia="en-AU"/>
        </w:rPr>
        <w:t>The cap should be replaced after each use. The cap fits properly when the PIBA is in place.</w:t>
      </w:r>
    </w:p>
    <w:p w14:paraId="5D7EBB6A" w14:textId="19C1C902" w:rsidR="003F3775" w:rsidRPr="001A6E35" w:rsidRDefault="003F3775" w:rsidP="00143D1C">
      <w:pPr>
        <w:pStyle w:val="BodyText"/>
        <w:spacing w:after="240"/>
        <w:rPr>
          <w:lang w:eastAsia="en-AU"/>
        </w:rPr>
      </w:pPr>
      <w:r>
        <w:rPr>
          <w:lang w:eastAsia="en-AU"/>
        </w:rPr>
        <w:t>Discard any unused FYCOMPA oral suspension remaining 90 days after first opening the bottle.</w:t>
      </w:r>
    </w:p>
    <w:p w14:paraId="1C29E1BB" w14:textId="77777777" w:rsidR="0064422E" w:rsidRDefault="00032264" w:rsidP="00032264">
      <w:pPr>
        <w:pStyle w:val="Heading2"/>
        <w:rPr>
          <w:lang w:val="en-US"/>
        </w:rPr>
      </w:pPr>
      <w:r>
        <w:rPr>
          <w:lang w:val="en-US"/>
        </w:rPr>
        <w:t>Contraindications</w:t>
      </w:r>
    </w:p>
    <w:p w14:paraId="0DC57B6F" w14:textId="1A2CECF8" w:rsidR="0015665E" w:rsidRDefault="0015665E" w:rsidP="00143D1C">
      <w:pPr>
        <w:pStyle w:val="BodyText"/>
        <w:spacing w:after="240"/>
        <w:rPr>
          <w:lang w:val="en-US"/>
        </w:rPr>
      </w:pPr>
      <w:r w:rsidRPr="0015665E">
        <w:rPr>
          <w:lang w:val="en-US"/>
        </w:rPr>
        <w:t>Hypersensitivity to the active substance or to any of the excipients (</w:t>
      </w:r>
      <w:r w:rsidRPr="00356A04">
        <w:t>see S</w:t>
      </w:r>
      <w:r>
        <w:t xml:space="preserve">ection </w:t>
      </w:r>
      <w:r>
        <w:fldChar w:fldCharType="begin"/>
      </w:r>
      <w:r>
        <w:instrText xml:space="preserve"> REF _Ref503187308 \r \h </w:instrText>
      </w:r>
      <w:r>
        <w:fldChar w:fldCharType="separate"/>
      </w:r>
      <w:r w:rsidR="007B3B4A">
        <w:t>6.1</w:t>
      </w:r>
      <w:r>
        <w:fldChar w:fldCharType="end"/>
      </w:r>
      <w:r>
        <w:t xml:space="preserve"> List of excipients.</w:t>
      </w:r>
      <w:r w:rsidRPr="0015665E">
        <w:rPr>
          <w:lang w:val="en-US"/>
        </w:rPr>
        <w:t>).</w:t>
      </w:r>
    </w:p>
    <w:p w14:paraId="300EC0FE" w14:textId="77777777" w:rsidR="00032264" w:rsidRDefault="00032264" w:rsidP="00032264">
      <w:pPr>
        <w:pStyle w:val="Heading2"/>
        <w:ind w:left="578" w:hanging="578"/>
      </w:pPr>
      <w:bookmarkStart w:id="3" w:name="_Ref503187146"/>
      <w:r w:rsidRPr="00356A04">
        <w:t>Special warnings and precautions for use</w:t>
      </w:r>
      <w:bookmarkEnd w:id="3"/>
    </w:p>
    <w:p w14:paraId="4EA101CC" w14:textId="77777777" w:rsidR="005732BF" w:rsidRPr="005732BF" w:rsidRDefault="005732BF" w:rsidP="005732BF">
      <w:pPr>
        <w:pStyle w:val="Heading3"/>
        <w:rPr>
          <w:lang w:eastAsia="en-AU"/>
        </w:rPr>
      </w:pPr>
      <w:r w:rsidRPr="005732BF">
        <w:rPr>
          <w:lang w:eastAsia="en-AU"/>
        </w:rPr>
        <w:t xml:space="preserve">Suicidal ideation and behaviour </w:t>
      </w:r>
    </w:p>
    <w:p w14:paraId="11CED264" w14:textId="77777777" w:rsidR="005732BF" w:rsidRDefault="005732BF" w:rsidP="00143D1C">
      <w:pPr>
        <w:pStyle w:val="BodyText"/>
        <w:spacing w:after="240"/>
      </w:pPr>
      <w:r>
        <w:t>Antiepileptic drugs (AED), including FYCOMPA, increase the risk of suicidal thoughts or behaviour in patients taking these drugs for any indication. Patients treated with any AED for any indication should be monitored for the emergence or worsening of depression, suicidal thoughts or behaviour, and/or any unusual changes in mood or behaviour.</w:t>
      </w:r>
    </w:p>
    <w:p w14:paraId="6E80D8E3" w14:textId="77777777" w:rsidR="005732BF" w:rsidRDefault="005732BF" w:rsidP="00143D1C">
      <w:pPr>
        <w:pStyle w:val="BodyText"/>
        <w:spacing w:after="240"/>
      </w:pPr>
      <w:r>
        <w:rPr>
          <w:lang w:eastAsia="en-AU"/>
        </w:rPr>
        <w:t>Pooled analyses of 199 placebo-controlled clinical trials (mono- and adjunctive therapy) of 11 different AEDs showed that patients randomised to one of the AEDs had approximately twice the risk (adjusted Relative Risk 1.8, 95% ci:1.2, 2.7) of suicidal thinking or behaviour compared to patients randomised to placebo. In these trials, which had a median treatment duration of 12 weeks, the estimated incidence rate of suicidal behaviour or ideation among 27,863 AED-treatment patients was 0.43%, compared to 0.24% among 16,029 placebo-treated patients, representing an increase of approximately one case of suicidal thinking or behaviour for every 530 patients treated. There were four suicides in drug-treated patients in the trials and none in the placebo-treated patients, but the number is too small to allow any conclusion about drug effect on suicide.</w:t>
      </w:r>
    </w:p>
    <w:p w14:paraId="000A22BB" w14:textId="77777777" w:rsidR="005732BF" w:rsidRDefault="005732BF" w:rsidP="00143D1C">
      <w:pPr>
        <w:pStyle w:val="BodyText"/>
        <w:spacing w:after="240"/>
      </w:pPr>
      <w:r>
        <w:rPr>
          <w:lang w:eastAsia="en-AU"/>
        </w:rPr>
        <w:t>The increased risk of suicidal thoughts or behaviour with AEDs was observed as early as one week after starting drug treatment with AEDs and persisted for the duration of treatment assessed. Because most trials included in the analysis did not extend beyond 24 weeks, the risk of suicidal thoughts or behaviour beyond 24 weeks could not be assessed.</w:t>
      </w:r>
    </w:p>
    <w:p w14:paraId="674C7F38" w14:textId="488E794C" w:rsidR="005732BF" w:rsidRDefault="005732BF" w:rsidP="00143D1C">
      <w:pPr>
        <w:pStyle w:val="BodyText"/>
        <w:spacing w:after="240"/>
        <w:rPr>
          <w:lang w:eastAsia="en-AU"/>
        </w:rPr>
      </w:pPr>
      <w:r>
        <w:rPr>
          <w:lang w:eastAsia="en-AU"/>
        </w:rPr>
        <w:t xml:space="preserve">The risk of suicidal thoughts or behaviour was generally consistent among drugs in the data analyses. The finding of increased risk with AEDs of varying mechanisms of action and across a range of indications suggests that the risk applies to all AEDs used for any indication. The risk did not vary substantially by age (5-100 years) in the clinical trials analysed. </w:t>
      </w:r>
      <w:r w:rsidR="00D8104D">
        <w:rPr>
          <w:lang w:eastAsia="en-AU"/>
        </w:rPr>
        <w:fldChar w:fldCharType="begin"/>
      </w:r>
      <w:r w:rsidR="00D8104D">
        <w:rPr>
          <w:lang w:eastAsia="en-AU"/>
        </w:rPr>
        <w:instrText xml:space="preserve"> REF _Ref42870002 \h </w:instrText>
      </w:r>
      <w:r w:rsidR="00D8104D">
        <w:rPr>
          <w:lang w:eastAsia="en-AU"/>
        </w:rPr>
      </w:r>
      <w:r w:rsidR="00D8104D">
        <w:rPr>
          <w:lang w:eastAsia="en-AU"/>
        </w:rPr>
        <w:fldChar w:fldCharType="separate"/>
      </w:r>
      <w:r w:rsidR="007B3B4A">
        <w:rPr>
          <w:lang w:eastAsia="en-AU"/>
        </w:rPr>
        <w:t xml:space="preserve">Table </w:t>
      </w:r>
      <w:r w:rsidR="007B3B4A">
        <w:rPr>
          <w:noProof/>
        </w:rPr>
        <w:t>2</w:t>
      </w:r>
      <w:r w:rsidR="00D8104D">
        <w:rPr>
          <w:lang w:eastAsia="en-AU"/>
        </w:rPr>
        <w:fldChar w:fldCharType="end"/>
      </w:r>
      <w:r w:rsidR="00D8104D">
        <w:rPr>
          <w:lang w:eastAsia="en-AU"/>
        </w:rPr>
        <w:t xml:space="preserve"> </w:t>
      </w:r>
      <w:r>
        <w:rPr>
          <w:lang w:eastAsia="en-AU"/>
        </w:rPr>
        <w:t>shows absolute and relative risk by indication for all evaluated AEDs.</w:t>
      </w:r>
    </w:p>
    <w:p w14:paraId="71251EF9" w14:textId="49688C43" w:rsidR="005732BF" w:rsidRDefault="005732BF" w:rsidP="005129B3">
      <w:pPr>
        <w:pStyle w:val="Caption"/>
      </w:pPr>
      <w:bookmarkStart w:id="4" w:name="_Ref42870002"/>
      <w:r>
        <w:rPr>
          <w:lang w:eastAsia="en-AU"/>
        </w:rPr>
        <w:t xml:space="preserve">Table </w:t>
      </w:r>
      <w:r w:rsidR="00BE01DB">
        <w:rPr>
          <w:noProof/>
        </w:rPr>
        <w:fldChar w:fldCharType="begin"/>
      </w:r>
      <w:r w:rsidR="00BE01DB">
        <w:rPr>
          <w:noProof/>
        </w:rPr>
        <w:instrText xml:space="preserve"> SEQ Table \* ARABIC </w:instrText>
      </w:r>
      <w:r w:rsidR="00BE01DB">
        <w:rPr>
          <w:noProof/>
        </w:rPr>
        <w:fldChar w:fldCharType="separate"/>
      </w:r>
      <w:r w:rsidR="007B3B4A">
        <w:rPr>
          <w:noProof/>
        </w:rPr>
        <w:t>2</w:t>
      </w:r>
      <w:r w:rsidR="00BE01DB">
        <w:rPr>
          <w:noProof/>
        </w:rPr>
        <w:fldChar w:fldCharType="end"/>
      </w:r>
      <w:bookmarkEnd w:id="4"/>
      <w:r>
        <w:rPr>
          <w:lang w:eastAsia="en-AU"/>
        </w:rPr>
        <w:t>: Risk by indication for Antiepileptic Drugs in the Pooled Analysis</w:t>
      </w:r>
    </w:p>
    <w:tbl>
      <w:tblPr>
        <w:tblStyle w:val="TableGrid"/>
        <w:tblW w:w="0" w:type="auto"/>
        <w:tblLook w:val="04A0" w:firstRow="1" w:lastRow="0" w:firstColumn="1" w:lastColumn="0" w:noHBand="0" w:noVBand="1"/>
      </w:tblPr>
      <w:tblGrid>
        <w:gridCol w:w="1370"/>
        <w:gridCol w:w="2059"/>
        <w:gridCol w:w="1791"/>
        <w:gridCol w:w="1933"/>
        <w:gridCol w:w="1863"/>
      </w:tblGrid>
      <w:tr w:rsidR="005732BF" w14:paraId="56F8E091" w14:textId="77777777" w:rsidTr="005F4F0B">
        <w:tc>
          <w:tcPr>
            <w:tcW w:w="1370" w:type="dxa"/>
            <w:tcBorders>
              <w:top w:val="single" w:sz="4" w:space="0" w:color="auto"/>
              <w:left w:val="single" w:sz="4" w:space="0" w:color="auto"/>
              <w:bottom w:val="single" w:sz="4" w:space="0" w:color="auto"/>
              <w:right w:val="single" w:sz="4" w:space="0" w:color="auto"/>
            </w:tcBorders>
          </w:tcPr>
          <w:p w14:paraId="38222D38" w14:textId="77777777" w:rsidR="005732BF" w:rsidRPr="005F4F0B" w:rsidRDefault="005732BF" w:rsidP="008D3834">
            <w:pPr>
              <w:pStyle w:val="BodyText"/>
              <w:keepNext/>
              <w:rPr>
                <w:bCs/>
                <w:sz w:val="20"/>
                <w:lang w:eastAsia="en-AU"/>
              </w:rPr>
            </w:pPr>
            <w:r w:rsidRPr="005F4F0B">
              <w:rPr>
                <w:bCs/>
                <w:sz w:val="20"/>
                <w:lang w:eastAsia="en-AU"/>
              </w:rPr>
              <w:t xml:space="preserve">Indication </w:t>
            </w:r>
          </w:p>
        </w:tc>
        <w:tc>
          <w:tcPr>
            <w:tcW w:w="2059" w:type="dxa"/>
            <w:tcBorders>
              <w:top w:val="single" w:sz="4" w:space="0" w:color="auto"/>
              <w:left w:val="single" w:sz="4" w:space="0" w:color="auto"/>
              <w:bottom w:val="single" w:sz="4" w:space="0" w:color="auto"/>
              <w:right w:val="single" w:sz="4" w:space="0" w:color="auto"/>
            </w:tcBorders>
          </w:tcPr>
          <w:p w14:paraId="122D9371" w14:textId="77777777" w:rsidR="005732BF" w:rsidRPr="005F4F0B" w:rsidRDefault="005732BF" w:rsidP="008D3834">
            <w:pPr>
              <w:pStyle w:val="BodyText"/>
              <w:keepNext/>
              <w:rPr>
                <w:bCs/>
                <w:sz w:val="20"/>
                <w:lang w:eastAsia="en-AU"/>
              </w:rPr>
            </w:pPr>
            <w:r w:rsidRPr="005F4F0B">
              <w:rPr>
                <w:bCs/>
                <w:sz w:val="20"/>
                <w:lang w:eastAsia="en-AU"/>
              </w:rPr>
              <w:t xml:space="preserve">Placebo Patients with Events Per 1000 Patients </w:t>
            </w:r>
          </w:p>
        </w:tc>
        <w:tc>
          <w:tcPr>
            <w:tcW w:w="1791" w:type="dxa"/>
            <w:tcBorders>
              <w:top w:val="single" w:sz="4" w:space="0" w:color="auto"/>
              <w:left w:val="single" w:sz="4" w:space="0" w:color="auto"/>
              <w:bottom w:val="single" w:sz="4" w:space="0" w:color="auto"/>
              <w:right w:val="single" w:sz="4" w:space="0" w:color="auto"/>
            </w:tcBorders>
          </w:tcPr>
          <w:p w14:paraId="797DFE36" w14:textId="77777777" w:rsidR="005732BF" w:rsidRPr="005F4F0B" w:rsidRDefault="005732BF" w:rsidP="008D3834">
            <w:pPr>
              <w:pStyle w:val="BodyText"/>
              <w:keepNext/>
              <w:rPr>
                <w:bCs/>
                <w:sz w:val="20"/>
                <w:lang w:eastAsia="en-AU"/>
              </w:rPr>
            </w:pPr>
            <w:r w:rsidRPr="005F4F0B">
              <w:rPr>
                <w:bCs/>
                <w:sz w:val="20"/>
                <w:lang w:eastAsia="en-AU"/>
              </w:rPr>
              <w:t>Drug Patients with Events Per 1000 Patients</w:t>
            </w:r>
          </w:p>
        </w:tc>
        <w:tc>
          <w:tcPr>
            <w:tcW w:w="1933" w:type="dxa"/>
            <w:tcBorders>
              <w:top w:val="single" w:sz="4" w:space="0" w:color="auto"/>
              <w:left w:val="single" w:sz="4" w:space="0" w:color="auto"/>
              <w:bottom w:val="single" w:sz="4" w:space="0" w:color="auto"/>
              <w:right w:val="single" w:sz="4" w:space="0" w:color="auto"/>
            </w:tcBorders>
          </w:tcPr>
          <w:p w14:paraId="718E453E" w14:textId="77777777" w:rsidR="005732BF" w:rsidRPr="005F4F0B" w:rsidRDefault="005732BF" w:rsidP="008D3834">
            <w:pPr>
              <w:pStyle w:val="BodyText"/>
              <w:keepNext/>
              <w:rPr>
                <w:bCs/>
                <w:sz w:val="20"/>
                <w:lang w:eastAsia="en-AU"/>
              </w:rPr>
            </w:pPr>
            <w:r w:rsidRPr="005F4F0B">
              <w:rPr>
                <w:bCs/>
                <w:sz w:val="20"/>
                <w:lang w:eastAsia="en-AU"/>
              </w:rPr>
              <w:t xml:space="preserve">Relative Risk: Incidence of Events in Drug Patients </w:t>
            </w:r>
          </w:p>
          <w:p w14:paraId="7A033D74" w14:textId="77777777" w:rsidR="005732BF" w:rsidRPr="005F4F0B" w:rsidRDefault="005732BF" w:rsidP="008D3834">
            <w:pPr>
              <w:pStyle w:val="BodyText"/>
              <w:keepNext/>
              <w:rPr>
                <w:lang w:eastAsia="en-AU"/>
              </w:rPr>
            </w:pPr>
            <w:r w:rsidRPr="005F4F0B">
              <w:rPr>
                <w:bCs/>
                <w:sz w:val="20"/>
                <w:lang w:eastAsia="en-AU"/>
              </w:rPr>
              <w:t xml:space="preserve">Incidence in Placebo Patients </w:t>
            </w:r>
          </w:p>
        </w:tc>
        <w:tc>
          <w:tcPr>
            <w:tcW w:w="1863" w:type="dxa"/>
            <w:tcBorders>
              <w:left w:val="single" w:sz="4" w:space="0" w:color="auto"/>
              <w:bottom w:val="single" w:sz="4" w:space="0" w:color="auto"/>
            </w:tcBorders>
          </w:tcPr>
          <w:p w14:paraId="69597490" w14:textId="77777777" w:rsidR="005732BF" w:rsidRPr="005F4F0B" w:rsidRDefault="005732BF" w:rsidP="008D3834">
            <w:pPr>
              <w:pStyle w:val="BodyText"/>
              <w:keepNext/>
              <w:rPr>
                <w:bCs/>
                <w:sz w:val="20"/>
                <w:lang w:eastAsia="en-AU"/>
              </w:rPr>
            </w:pPr>
            <w:r w:rsidRPr="005F4F0B">
              <w:rPr>
                <w:bCs/>
                <w:sz w:val="20"/>
                <w:lang w:eastAsia="en-AU"/>
              </w:rPr>
              <w:t>Risk Difference:</w:t>
            </w:r>
          </w:p>
          <w:p w14:paraId="27D9A808" w14:textId="77777777" w:rsidR="005732BF" w:rsidRPr="005F4F0B" w:rsidRDefault="005732BF" w:rsidP="008D3834">
            <w:pPr>
              <w:pStyle w:val="BodyText"/>
              <w:keepNext/>
              <w:rPr>
                <w:bCs/>
                <w:sz w:val="20"/>
                <w:lang w:eastAsia="en-AU"/>
              </w:rPr>
            </w:pPr>
            <w:r w:rsidRPr="005F4F0B">
              <w:rPr>
                <w:bCs/>
                <w:sz w:val="20"/>
                <w:lang w:eastAsia="en-AU"/>
              </w:rPr>
              <w:t>Additional Drug</w:t>
            </w:r>
          </w:p>
          <w:p w14:paraId="64100E13" w14:textId="77777777" w:rsidR="005732BF" w:rsidRPr="005F4F0B" w:rsidRDefault="005732BF" w:rsidP="008D3834">
            <w:pPr>
              <w:pStyle w:val="BodyText"/>
              <w:keepNext/>
              <w:rPr>
                <w:lang w:eastAsia="en-AU"/>
              </w:rPr>
            </w:pPr>
            <w:r w:rsidRPr="005F4F0B">
              <w:rPr>
                <w:bCs/>
                <w:sz w:val="20"/>
                <w:lang w:eastAsia="en-AU"/>
              </w:rPr>
              <w:t xml:space="preserve">Patients with Events Per 1000 Patients </w:t>
            </w:r>
          </w:p>
        </w:tc>
      </w:tr>
      <w:tr w:rsidR="005732BF" w14:paraId="63B5B3EA" w14:textId="77777777" w:rsidTr="005F4F0B">
        <w:tc>
          <w:tcPr>
            <w:tcW w:w="1370" w:type="dxa"/>
            <w:tcBorders>
              <w:top w:val="single" w:sz="4" w:space="0" w:color="auto"/>
              <w:left w:val="single" w:sz="4" w:space="0" w:color="auto"/>
              <w:bottom w:val="nil"/>
              <w:right w:val="single" w:sz="4" w:space="0" w:color="auto"/>
            </w:tcBorders>
          </w:tcPr>
          <w:p w14:paraId="24CC0992" w14:textId="77777777" w:rsidR="005732BF" w:rsidRPr="005F4F0B" w:rsidRDefault="005732BF" w:rsidP="008D3834">
            <w:pPr>
              <w:pStyle w:val="BodyText"/>
              <w:keepNext/>
              <w:rPr>
                <w:bCs/>
                <w:sz w:val="20"/>
                <w:lang w:eastAsia="en-AU"/>
              </w:rPr>
            </w:pPr>
            <w:r w:rsidRPr="005F4F0B">
              <w:rPr>
                <w:bCs/>
                <w:sz w:val="20"/>
                <w:lang w:eastAsia="en-AU"/>
              </w:rPr>
              <w:t>Epilepsy</w:t>
            </w:r>
          </w:p>
        </w:tc>
        <w:tc>
          <w:tcPr>
            <w:tcW w:w="2059" w:type="dxa"/>
            <w:tcBorders>
              <w:top w:val="single" w:sz="4" w:space="0" w:color="auto"/>
              <w:left w:val="single" w:sz="4" w:space="0" w:color="auto"/>
              <w:bottom w:val="nil"/>
              <w:right w:val="single" w:sz="4" w:space="0" w:color="auto"/>
            </w:tcBorders>
          </w:tcPr>
          <w:p w14:paraId="4297F949" w14:textId="77777777" w:rsidR="005732BF" w:rsidRPr="005F4F0B" w:rsidRDefault="005732BF" w:rsidP="008D3834">
            <w:pPr>
              <w:pStyle w:val="BodyText"/>
              <w:keepNext/>
              <w:rPr>
                <w:bCs/>
                <w:sz w:val="20"/>
                <w:lang w:eastAsia="en-AU"/>
              </w:rPr>
            </w:pPr>
            <w:r w:rsidRPr="005F4F0B">
              <w:rPr>
                <w:bCs/>
                <w:sz w:val="20"/>
                <w:lang w:eastAsia="en-AU"/>
              </w:rPr>
              <w:t>1.0</w:t>
            </w:r>
          </w:p>
        </w:tc>
        <w:tc>
          <w:tcPr>
            <w:tcW w:w="1791" w:type="dxa"/>
            <w:tcBorders>
              <w:top w:val="single" w:sz="4" w:space="0" w:color="auto"/>
              <w:left w:val="single" w:sz="4" w:space="0" w:color="auto"/>
              <w:bottom w:val="nil"/>
              <w:right w:val="single" w:sz="4" w:space="0" w:color="auto"/>
            </w:tcBorders>
          </w:tcPr>
          <w:p w14:paraId="5B4337CA" w14:textId="77777777" w:rsidR="005732BF" w:rsidRPr="005F4F0B" w:rsidRDefault="005732BF" w:rsidP="008D3834">
            <w:pPr>
              <w:pStyle w:val="BodyText"/>
              <w:keepNext/>
              <w:rPr>
                <w:bCs/>
                <w:sz w:val="20"/>
                <w:lang w:eastAsia="en-AU"/>
              </w:rPr>
            </w:pPr>
            <w:r w:rsidRPr="005F4F0B">
              <w:rPr>
                <w:bCs/>
                <w:sz w:val="20"/>
                <w:lang w:eastAsia="en-AU"/>
              </w:rPr>
              <w:t>3.4</w:t>
            </w:r>
          </w:p>
        </w:tc>
        <w:tc>
          <w:tcPr>
            <w:tcW w:w="1933" w:type="dxa"/>
            <w:tcBorders>
              <w:top w:val="single" w:sz="4" w:space="0" w:color="auto"/>
              <w:left w:val="single" w:sz="4" w:space="0" w:color="auto"/>
              <w:bottom w:val="nil"/>
              <w:right w:val="single" w:sz="4" w:space="0" w:color="auto"/>
            </w:tcBorders>
          </w:tcPr>
          <w:p w14:paraId="3CC02B28" w14:textId="77777777" w:rsidR="005732BF" w:rsidRPr="005F4F0B" w:rsidRDefault="005732BF" w:rsidP="008D3834">
            <w:pPr>
              <w:pStyle w:val="BodyText"/>
              <w:keepNext/>
              <w:rPr>
                <w:bCs/>
                <w:sz w:val="20"/>
                <w:lang w:eastAsia="en-AU"/>
              </w:rPr>
            </w:pPr>
            <w:r w:rsidRPr="005F4F0B">
              <w:rPr>
                <w:bCs/>
                <w:sz w:val="20"/>
                <w:lang w:eastAsia="en-AU"/>
              </w:rPr>
              <w:t>3.5</w:t>
            </w:r>
          </w:p>
        </w:tc>
        <w:tc>
          <w:tcPr>
            <w:tcW w:w="1863" w:type="dxa"/>
            <w:tcBorders>
              <w:top w:val="single" w:sz="4" w:space="0" w:color="auto"/>
              <w:left w:val="single" w:sz="4" w:space="0" w:color="auto"/>
              <w:bottom w:val="nil"/>
              <w:right w:val="single" w:sz="4" w:space="0" w:color="auto"/>
            </w:tcBorders>
          </w:tcPr>
          <w:p w14:paraId="33447127" w14:textId="77777777" w:rsidR="005732BF" w:rsidRPr="005F4F0B" w:rsidRDefault="005732BF" w:rsidP="008D3834">
            <w:pPr>
              <w:pStyle w:val="BodyText"/>
              <w:keepNext/>
              <w:rPr>
                <w:bCs/>
                <w:sz w:val="20"/>
                <w:lang w:eastAsia="en-AU"/>
              </w:rPr>
            </w:pPr>
            <w:r w:rsidRPr="005F4F0B">
              <w:rPr>
                <w:bCs/>
                <w:sz w:val="20"/>
                <w:lang w:eastAsia="en-AU"/>
              </w:rPr>
              <w:t>2.4</w:t>
            </w:r>
          </w:p>
        </w:tc>
      </w:tr>
      <w:tr w:rsidR="005732BF" w14:paraId="3FCF3895" w14:textId="77777777" w:rsidTr="005F4F0B">
        <w:tc>
          <w:tcPr>
            <w:tcW w:w="1370" w:type="dxa"/>
            <w:tcBorders>
              <w:top w:val="nil"/>
              <w:left w:val="single" w:sz="4" w:space="0" w:color="auto"/>
              <w:bottom w:val="nil"/>
              <w:right w:val="single" w:sz="4" w:space="0" w:color="auto"/>
            </w:tcBorders>
          </w:tcPr>
          <w:p w14:paraId="4CC4148A" w14:textId="77777777" w:rsidR="005732BF" w:rsidRPr="005F4F0B" w:rsidRDefault="005732BF" w:rsidP="008D3834">
            <w:pPr>
              <w:pStyle w:val="BodyText"/>
              <w:keepNext/>
              <w:rPr>
                <w:bCs/>
                <w:sz w:val="20"/>
                <w:lang w:eastAsia="en-AU"/>
              </w:rPr>
            </w:pPr>
            <w:r w:rsidRPr="005F4F0B">
              <w:rPr>
                <w:bCs/>
                <w:sz w:val="20"/>
                <w:lang w:eastAsia="en-AU"/>
              </w:rPr>
              <w:t>Psychiatric</w:t>
            </w:r>
          </w:p>
        </w:tc>
        <w:tc>
          <w:tcPr>
            <w:tcW w:w="2059" w:type="dxa"/>
            <w:tcBorders>
              <w:top w:val="nil"/>
              <w:left w:val="single" w:sz="4" w:space="0" w:color="auto"/>
              <w:bottom w:val="nil"/>
              <w:right w:val="single" w:sz="4" w:space="0" w:color="auto"/>
            </w:tcBorders>
          </w:tcPr>
          <w:p w14:paraId="1954C7A1" w14:textId="77777777" w:rsidR="005732BF" w:rsidRPr="005F4F0B" w:rsidRDefault="005732BF" w:rsidP="008D3834">
            <w:pPr>
              <w:pStyle w:val="BodyText"/>
              <w:keepNext/>
              <w:rPr>
                <w:bCs/>
                <w:sz w:val="20"/>
                <w:lang w:eastAsia="en-AU"/>
              </w:rPr>
            </w:pPr>
            <w:r w:rsidRPr="005F4F0B">
              <w:rPr>
                <w:bCs/>
                <w:sz w:val="20"/>
                <w:lang w:eastAsia="en-AU"/>
              </w:rPr>
              <w:t>5.7</w:t>
            </w:r>
          </w:p>
        </w:tc>
        <w:tc>
          <w:tcPr>
            <w:tcW w:w="1791" w:type="dxa"/>
            <w:tcBorders>
              <w:top w:val="nil"/>
              <w:left w:val="single" w:sz="4" w:space="0" w:color="auto"/>
              <w:bottom w:val="nil"/>
              <w:right w:val="single" w:sz="4" w:space="0" w:color="auto"/>
            </w:tcBorders>
          </w:tcPr>
          <w:p w14:paraId="647B28A1" w14:textId="77777777" w:rsidR="005732BF" w:rsidRPr="005F4F0B" w:rsidRDefault="005732BF" w:rsidP="008D3834">
            <w:pPr>
              <w:pStyle w:val="BodyText"/>
              <w:keepNext/>
              <w:rPr>
                <w:bCs/>
                <w:sz w:val="20"/>
                <w:lang w:eastAsia="en-AU"/>
              </w:rPr>
            </w:pPr>
            <w:r w:rsidRPr="005F4F0B">
              <w:rPr>
                <w:bCs/>
                <w:sz w:val="20"/>
                <w:lang w:eastAsia="en-AU"/>
              </w:rPr>
              <w:t>8.5</w:t>
            </w:r>
          </w:p>
        </w:tc>
        <w:tc>
          <w:tcPr>
            <w:tcW w:w="1933" w:type="dxa"/>
            <w:tcBorders>
              <w:top w:val="nil"/>
              <w:left w:val="single" w:sz="4" w:space="0" w:color="auto"/>
              <w:bottom w:val="nil"/>
              <w:right w:val="single" w:sz="4" w:space="0" w:color="auto"/>
            </w:tcBorders>
          </w:tcPr>
          <w:p w14:paraId="63D28AB8" w14:textId="77777777" w:rsidR="005732BF" w:rsidRPr="005F4F0B" w:rsidRDefault="005732BF" w:rsidP="008D3834">
            <w:pPr>
              <w:pStyle w:val="BodyText"/>
              <w:keepNext/>
              <w:rPr>
                <w:bCs/>
                <w:sz w:val="20"/>
                <w:lang w:eastAsia="en-AU"/>
              </w:rPr>
            </w:pPr>
            <w:r w:rsidRPr="005F4F0B">
              <w:rPr>
                <w:bCs/>
                <w:sz w:val="20"/>
                <w:lang w:eastAsia="en-AU"/>
              </w:rPr>
              <w:t>1.5</w:t>
            </w:r>
          </w:p>
        </w:tc>
        <w:tc>
          <w:tcPr>
            <w:tcW w:w="1863" w:type="dxa"/>
            <w:tcBorders>
              <w:top w:val="nil"/>
              <w:left w:val="single" w:sz="4" w:space="0" w:color="auto"/>
              <w:bottom w:val="nil"/>
              <w:right w:val="single" w:sz="4" w:space="0" w:color="auto"/>
            </w:tcBorders>
          </w:tcPr>
          <w:p w14:paraId="1F2093B5" w14:textId="77777777" w:rsidR="005732BF" w:rsidRPr="005F4F0B" w:rsidRDefault="005732BF" w:rsidP="008D3834">
            <w:pPr>
              <w:pStyle w:val="BodyText"/>
              <w:keepNext/>
              <w:rPr>
                <w:bCs/>
                <w:sz w:val="20"/>
                <w:lang w:eastAsia="en-AU"/>
              </w:rPr>
            </w:pPr>
            <w:r w:rsidRPr="005F4F0B">
              <w:rPr>
                <w:bCs/>
                <w:sz w:val="20"/>
                <w:lang w:eastAsia="en-AU"/>
              </w:rPr>
              <w:t>2.9</w:t>
            </w:r>
          </w:p>
        </w:tc>
      </w:tr>
      <w:tr w:rsidR="005732BF" w14:paraId="7741048D" w14:textId="77777777" w:rsidTr="005F4F0B">
        <w:tc>
          <w:tcPr>
            <w:tcW w:w="1370" w:type="dxa"/>
            <w:tcBorders>
              <w:top w:val="nil"/>
              <w:left w:val="single" w:sz="4" w:space="0" w:color="auto"/>
              <w:bottom w:val="nil"/>
              <w:right w:val="single" w:sz="4" w:space="0" w:color="auto"/>
            </w:tcBorders>
          </w:tcPr>
          <w:p w14:paraId="0BBA7DF4" w14:textId="77777777" w:rsidR="005732BF" w:rsidRPr="005F4F0B" w:rsidRDefault="005732BF" w:rsidP="008D3834">
            <w:pPr>
              <w:pStyle w:val="BodyText"/>
              <w:keepNext/>
              <w:rPr>
                <w:bCs/>
                <w:sz w:val="20"/>
                <w:lang w:eastAsia="en-AU"/>
              </w:rPr>
            </w:pPr>
            <w:r w:rsidRPr="005F4F0B">
              <w:rPr>
                <w:bCs/>
                <w:sz w:val="20"/>
                <w:lang w:eastAsia="en-AU"/>
              </w:rPr>
              <w:t xml:space="preserve">Other </w:t>
            </w:r>
          </w:p>
        </w:tc>
        <w:tc>
          <w:tcPr>
            <w:tcW w:w="2059" w:type="dxa"/>
            <w:tcBorders>
              <w:top w:val="nil"/>
              <w:left w:val="single" w:sz="4" w:space="0" w:color="auto"/>
              <w:bottom w:val="nil"/>
              <w:right w:val="single" w:sz="4" w:space="0" w:color="auto"/>
            </w:tcBorders>
          </w:tcPr>
          <w:p w14:paraId="0C7EBA9B" w14:textId="77777777" w:rsidR="005732BF" w:rsidRPr="005F4F0B" w:rsidRDefault="005732BF" w:rsidP="008D3834">
            <w:pPr>
              <w:pStyle w:val="BodyText"/>
              <w:keepNext/>
              <w:rPr>
                <w:bCs/>
                <w:sz w:val="20"/>
                <w:lang w:eastAsia="en-AU"/>
              </w:rPr>
            </w:pPr>
            <w:r w:rsidRPr="005F4F0B">
              <w:rPr>
                <w:bCs/>
                <w:sz w:val="20"/>
                <w:lang w:eastAsia="en-AU"/>
              </w:rPr>
              <w:t>1.0</w:t>
            </w:r>
          </w:p>
        </w:tc>
        <w:tc>
          <w:tcPr>
            <w:tcW w:w="1791" w:type="dxa"/>
            <w:tcBorders>
              <w:top w:val="nil"/>
              <w:left w:val="single" w:sz="4" w:space="0" w:color="auto"/>
              <w:bottom w:val="nil"/>
              <w:right w:val="single" w:sz="4" w:space="0" w:color="auto"/>
            </w:tcBorders>
          </w:tcPr>
          <w:p w14:paraId="74C9924A" w14:textId="77777777" w:rsidR="005732BF" w:rsidRPr="005F4F0B" w:rsidRDefault="005732BF" w:rsidP="008D3834">
            <w:pPr>
              <w:pStyle w:val="BodyText"/>
              <w:keepNext/>
              <w:rPr>
                <w:bCs/>
                <w:sz w:val="20"/>
                <w:lang w:eastAsia="en-AU"/>
              </w:rPr>
            </w:pPr>
            <w:r w:rsidRPr="005F4F0B">
              <w:rPr>
                <w:bCs/>
                <w:sz w:val="20"/>
                <w:lang w:eastAsia="en-AU"/>
              </w:rPr>
              <w:t>1.8</w:t>
            </w:r>
          </w:p>
        </w:tc>
        <w:tc>
          <w:tcPr>
            <w:tcW w:w="1933" w:type="dxa"/>
            <w:tcBorders>
              <w:top w:val="nil"/>
              <w:left w:val="single" w:sz="4" w:space="0" w:color="auto"/>
              <w:bottom w:val="nil"/>
              <w:right w:val="single" w:sz="4" w:space="0" w:color="auto"/>
            </w:tcBorders>
          </w:tcPr>
          <w:p w14:paraId="73FE13BF" w14:textId="77777777" w:rsidR="005732BF" w:rsidRPr="005F4F0B" w:rsidRDefault="005732BF" w:rsidP="008D3834">
            <w:pPr>
              <w:pStyle w:val="BodyText"/>
              <w:keepNext/>
              <w:rPr>
                <w:bCs/>
                <w:sz w:val="20"/>
                <w:lang w:eastAsia="en-AU"/>
              </w:rPr>
            </w:pPr>
            <w:r w:rsidRPr="005F4F0B">
              <w:rPr>
                <w:bCs/>
                <w:sz w:val="20"/>
                <w:lang w:eastAsia="en-AU"/>
              </w:rPr>
              <w:t>1.9</w:t>
            </w:r>
          </w:p>
        </w:tc>
        <w:tc>
          <w:tcPr>
            <w:tcW w:w="1863" w:type="dxa"/>
            <w:tcBorders>
              <w:top w:val="nil"/>
              <w:left w:val="single" w:sz="4" w:space="0" w:color="auto"/>
              <w:bottom w:val="nil"/>
              <w:right w:val="single" w:sz="4" w:space="0" w:color="auto"/>
            </w:tcBorders>
          </w:tcPr>
          <w:p w14:paraId="754871C2" w14:textId="77777777" w:rsidR="005732BF" w:rsidRPr="005F4F0B" w:rsidRDefault="005732BF" w:rsidP="008D3834">
            <w:pPr>
              <w:pStyle w:val="BodyText"/>
              <w:keepNext/>
              <w:rPr>
                <w:bCs/>
                <w:sz w:val="20"/>
                <w:lang w:eastAsia="en-AU"/>
              </w:rPr>
            </w:pPr>
            <w:r w:rsidRPr="005F4F0B">
              <w:rPr>
                <w:bCs/>
                <w:sz w:val="20"/>
                <w:lang w:eastAsia="en-AU"/>
              </w:rPr>
              <w:t>0.9</w:t>
            </w:r>
          </w:p>
        </w:tc>
      </w:tr>
      <w:tr w:rsidR="005732BF" w14:paraId="1C01E29A" w14:textId="77777777" w:rsidTr="005F4F0B">
        <w:tc>
          <w:tcPr>
            <w:tcW w:w="1370" w:type="dxa"/>
            <w:tcBorders>
              <w:top w:val="nil"/>
              <w:left w:val="single" w:sz="4" w:space="0" w:color="auto"/>
              <w:bottom w:val="single" w:sz="4" w:space="0" w:color="auto"/>
              <w:right w:val="single" w:sz="4" w:space="0" w:color="auto"/>
            </w:tcBorders>
          </w:tcPr>
          <w:p w14:paraId="145896C7" w14:textId="77777777" w:rsidR="005732BF" w:rsidRPr="005F4F0B" w:rsidRDefault="005732BF" w:rsidP="00863D0D">
            <w:pPr>
              <w:pStyle w:val="BodyText"/>
              <w:rPr>
                <w:bCs/>
                <w:sz w:val="20"/>
                <w:lang w:eastAsia="en-AU"/>
              </w:rPr>
            </w:pPr>
            <w:r w:rsidRPr="005F4F0B">
              <w:rPr>
                <w:bCs/>
                <w:sz w:val="20"/>
                <w:lang w:eastAsia="en-AU"/>
              </w:rPr>
              <w:t>Total</w:t>
            </w:r>
          </w:p>
        </w:tc>
        <w:tc>
          <w:tcPr>
            <w:tcW w:w="2059" w:type="dxa"/>
            <w:tcBorders>
              <w:top w:val="nil"/>
              <w:left w:val="single" w:sz="4" w:space="0" w:color="auto"/>
              <w:bottom w:val="single" w:sz="4" w:space="0" w:color="auto"/>
              <w:right w:val="single" w:sz="4" w:space="0" w:color="auto"/>
            </w:tcBorders>
          </w:tcPr>
          <w:p w14:paraId="259D0605" w14:textId="77777777" w:rsidR="005732BF" w:rsidRPr="005F4F0B" w:rsidRDefault="005732BF">
            <w:pPr>
              <w:pStyle w:val="BodyText"/>
              <w:rPr>
                <w:bCs/>
                <w:sz w:val="20"/>
                <w:lang w:eastAsia="en-AU"/>
              </w:rPr>
            </w:pPr>
            <w:r w:rsidRPr="005F4F0B">
              <w:rPr>
                <w:bCs/>
                <w:sz w:val="20"/>
                <w:lang w:eastAsia="en-AU"/>
              </w:rPr>
              <w:t>2.4</w:t>
            </w:r>
          </w:p>
        </w:tc>
        <w:tc>
          <w:tcPr>
            <w:tcW w:w="1791" w:type="dxa"/>
            <w:tcBorders>
              <w:top w:val="nil"/>
              <w:left w:val="single" w:sz="4" w:space="0" w:color="auto"/>
              <w:bottom w:val="single" w:sz="4" w:space="0" w:color="auto"/>
              <w:right w:val="single" w:sz="4" w:space="0" w:color="auto"/>
            </w:tcBorders>
          </w:tcPr>
          <w:p w14:paraId="13FCAA5D" w14:textId="77777777" w:rsidR="005732BF" w:rsidRPr="005F4F0B" w:rsidRDefault="005732BF">
            <w:pPr>
              <w:pStyle w:val="BodyText"/>
              <w:rPr>
                <w:bCs/>
                <w:sz w:val="20"/>
                <w:lang w:eastAsia="en-AU"/>
              </w:rPr>
            </w:pPr>
            <w:r w:rsidRPr="005F4F0B">
              <w:rPr>
                <w:bCs/>
                <w:sz w:val="20"/>
                <w:lang w:eastAsia="en-AU"/>
              </w:rPr>
              <w:t>4.3</w:t>
            </w:r>
          </w:p>
        </w:tc>
        <w:tc>
          <w:tcPr>
            <w:tcW w:w="1933" w:type="dxa"/>
            <w:tcBorders>
              <w:top w:val="nil"/>
              <w:left w:val="single" w:sz="4" w:space="0" w:color="auto"/>
              <w:bottom w:val="single" w:sz="4" w:space="0" w:color="auto"/>
              <w:right w:val="single" w:sz="4" w:space="0" w:color="auto"/>
            </w:tcBorders>
          </w:tcPr>
          <w:p w14:paraId="5F205C45" w14:textId="77777777" w:rsidR="005732BF" w:rsidRPr="005F4F0B" w:rsidRDefault="005732BF">
            <w:pPr>
              <w:pStyle w:val="BodyText"/>
              <w:rPr>
                <w:bCs/>
                <w:sz w:val="20"/>
                <w:lang w:eastAsia="en-AU"/>
              </w:rPr>
            </w:pPr>
            <w:r w:rsidRPr="005F4F0B">
              <w:rPr>
                <w:bCs/>
                <w:sz w:val="20"/>
                <w:lang w:eastAsia="en-AU"/>
              </w:rPr>
              <w:t>1.8</w:t>
            </w:r>
          </w:p>
        </w:tc>
        <w:tc>
          <w:tcPr>
            <w:tcW w:w="1863" w:type="dxa"/>
            <w:tcBorders>
              <w:top w:val="nil"/>
              <w:left w:val="single" w:sz="4" w:space="0" w:color="auto"/>
              <w:bottom w:val="single" w:sz="4" w:space="0" w:color="auto"/>
              <w:right w:val="single" w:sz="4" w:space="0" w:color="auto"/>
            </w:tcBorders>
          </w:tcPr>
          <w:p w14:paraId="77809C87" w14:textId="77777777" w:rsidR="005732BF" w:rsidRPr="005F4F0B" w:rsidRDefault="005732BF">
            <w:pPr>
              <w:pStyle w:val="BodyText"/>
              <w:rPr>
                <w:bCs/>
                <w:sz w:val="20"/>
                <w:lang w:eastAsia="en-AU"/>
              </w:rPr>
            </w:pPr>
            <w:r w:rsidRPr="005F4F0B">
              <w:rPr>
                <w:bCs/>
                <w:sz w:val="20"/>
                <w:lang w:eastAsia="en-AU"/>
              </w:rPr>
              <w:t>1.9</w:t>
            </w:r>
          </w:p>
        </w:tc>
      </w:tr>
    </w:tbl>
    <w:p w14:paraId="4902DAFD" w14:textId="77777777" w:rsidR="005732BF" w:rsidRDefault="005732BF" w:rsidP="00143D1C">
      <w:pPr>
        <w:pStyle w:val="BodyText"/>
        <w:spacing w:before="240" w:after="240"/>
      </w:pPr>
      <w:r>
        <w:rPr>
          <w:lang w:eastAsia="en-AU"/>
        </w:rPr>
        <w:t>The relative risk for suicidal thoughts or behaviour was higher in clinical trials for epilepsy than in clinical trials for psychiatric or other indications, but the absolute risk differences were similar for epilepsy and psychiatric conditions.</w:t>
      </w:r>
    </w:p>
    <w:p w14:paraId="19A49976" w14:textId="77777777" w:rsidR="005732BF" w:rsidRDefault="005732BF" w:rsidP="00143D1C">
      <w:pPr>
        <w:pStyle w:val="BodyText"/>
        <w:spacing w:after="240"/>
      </w:pPr>
      <w:r>
        <w:rPr>
          <w:lang w:eastAsia="en-AU"/>
        </w:rPr>
        <w:t xml:space="preserve">Anyone considering prescribing FYCOMPA or any other AED must balance the risk with the risk of untreated illness. Epilepsy and many other illnesses for which AEDs are prescribed are themselves associated with morbidity and mortality and an increased risk of suicidal thoughts and behaviour. Should suicidal thoughts and behaviour emerge during treatment, the prescriber needs to consider whether the emergence of these symptoms in any given patient may be related to the illness being treated. </w:t>
      </w:r>
    </w:p>
    <w:p w14:paraId="450086BA" w14:textId="77777777" w:rsidR="005732BF" w:rsidRDefault="005732BF" w:rsidP="00143D1C">
      <w:pPr>
        <w:pStyle w:val="BodyText"/>
        <w:spacing w:after="240"/>
      </w:pPr>
      <w:r>
        <w:rPr>
          <w:lang w:eastAsia="en-AU"/>
        </w:rPr>
        <w:t>Patients, their caregivers, and families should be informed that AEDs increase the risk of suicidal thoughts and behaviour and should be advised of the need to be alert for the emergence or worsening of the signs and symptoms of depression, any unusual changes in mood or behaviour, or the emergence of suicidal thoughts, behaviour, or thoughts about self-harm. Behaviours of concern should be reported immediately to the treating doctor.</w:t>
      </w:r>
    </w:p>
    <w:p w14:paraId="10D16082" w14:textId="77777777" w:rsidR="005732BF" w:rsidRPr="005732BF" w:rsidRDefault="005732BF" w:rsidP="005732BF">
      <w:pPr>
        <w:pStyle w:val="Heading3"/>
      </w:pPr>
      <w:r w:rsidRPr="005732BF">
        <w:rPr>
          <w:lang w:eastAsia="en-AU"/>
        </w:rPr>
        <w:t>Drug Reaction with Eosinophilia and Systemic Symptoms (DRESS)/Multiorgan</w:t>
      </w:r>
      <w:r>
        <w:rPr>
          <w:lang w:eastAsia="en-AU"/>
        </w:rPr>
        <w:t xml:space="preserve"> </w:t>
      </w:r>
      <w:r w:rsidRPr="005732BF">
        <w:t>Hypersensitivity</w:t>
      </w:r>
    </w:p>
    <w:p w14:paraId="4B7006C2" w14:textId="1D673DA0" w:rsidR="005732BF" w:rsidRDefault="005732BF" w:rsidP="00143D1C">
      <w:pPr>
        <w:pStyle w:val="BodyText"/>
        <w:spacing w:after="240"/>
      </w:pPr>
      <w:r>
        <w:t xml:space="preserve">Drug Reaction with Eosinophilia and Systemic Symptoms (DRESS), also known as Multiorgan hypersensitivity, has been reported in patients taking antiepileptic drugs, including FYCOMPA. DRESS may be fatal or life-threatening. If signs or symptoms of DRESS are present, the patient should be evaluated immediately and FYCOMPA should be discontinued if an alternative </w:t>
      </w:r>
      <w:r w:rsidR="004838BD">
        <w:t>aetiology</w:t>
      </w:r>
      <w:r>
        <w:t xml:space="preserve"> for the signs or symptoms cannot be established.</w:t>
      </w:r>
    </w:p>
    <w:p w14:paraId="1ECF23CB" w14:textId="77777777" w:rsidR="005732BF" w:rsidRDefault="005732BF" w:rsidP="005732BF">
      <w:pPr>
        <w:pStyle w:val="Heading3"/>
        <w:rPr>
          <w:lang w:eastAsia="en-AU"/>
        </w:rPr>
      </w:pPr>
      <w:r w:rsidRPr="005732BF">
        <w:rPr>
          <w:lang w:eastAsia="en-AU"/>
        </w:rPr>
        <w:t xml:space="preserve">Nervous system disorders </w:t>
      </w:r>
    </w:p>
    <w:p w14:paraId="0B9CEFA0" w14:textId="77777777" w:rsidR="005732BF" w:rsidRPr="005732BF" w:rsidRDefault="005732BF" w:rsidP="005732BF">
      <w:pPr>
        <w:pStyle w:val="Heading4"/>
      </w:pPr>
      <w:r w:rsidRPr="005732BF">
        <w:t>Dizziness and gait disturbance</w:t>
      </w:r>
    </w:p>
    <w:p w14:paraId="1EA18E8A" w14:textId="18277C8B" w:rsidR="005732BF" w:rsidRPr="005732BF" w:rsidRDefault="005732BF" w:rsidP="00143D1C">
      <w:pPr>
        <w:pStyle w:val="BodyText"/>
        <w:spacing w:after="240"/>
      </w:pPr>
      <w:r w:rsidRPr="005732BF">
        <w:t xml:space="preserve">FYCOMPA caused dose-related increases in events related to dizziness and disturbance in gait or coordination (see </w:t>
      </w:r>
      <w:r w:rsidR="00E3366C">
        <w:fldChar w:fldCharType="begin"/>
      </w:r>
      <w:r w:rsidR="00E3366C">
        <w:instrText xml:space="preserve"> REF _Ref503187256 \r \h </w:instrText>
      </w:r>
      <w:r w:rsidR="00E3366C">
        <w:fldChar w:fldCharType="separate"/>
      </w:r>
      <w:r w:rsidR="007B3B4A">
        <w:t>4.8</w:t>
      </w:r>
      <w:r w:rsidR="00E3366C">
        <w:fldChar w:fldCharType="end"/>
      </w:r>
      <w:r w:rsidR="00E3366C">
        <w:t xml:space="preserve"> Adverse Effects</w:t>
      </w:r>
      <w:r w:rsidR="00D8104D">
        <w:t xml:space="preserve"> (Undesirable effects)</w:t>
      </w:r>
      <w:r w:rsidR="00143D1C">
        <w:t xml:space="preserve">). </w:t>
      </w:r>
      <w:r w:rsidRPr="005732BF">
        <w:t>In the controlled Phase 3 epilepsy clinical trials, dizziness and vertigo were reported in 35% and 47% of patients randomised to receive FYCOMPA at doses of 8 mg and 12 mg/day, respectively, compared to 10% of placebo-treated patients. The gait disturbance related events (including ataxia, gait disturbance, balance disorder, and coordination abnormal) were reported in 12% and 16% of patients randomised to receive FYCOMPA at doses of 8 mg and 12 mg/day, respectively, compared to 2% of placebo-treated patients.</w:t>
      </w:r>
    </w:p>
    <w:p w14:paraId="32A32774" w14:textId="77777777" w:rsidR="005732BF" w:rsidRPr="005732BF" w:rsidRDefault="005732BF" w:rsidP="00143D1C">
      <w:pPr>
        <w:pStyle w:val="BodyText"/>
        <w:spacing w:after="240"/>
      </w:pPr>
      <w:r w:rsidRPr="005732BF">
        <w:t>These adverse reactions occurred mostly during the titration phase and led to discontinuation in 3% of FYCOMPA-treated subjects compared to 1% of placebo-treated patients. Elderly patients had an increased risk of these adverse reactions compared to younger adults and adolescents.</w:t>
      </w:r>
    </w:p>
    <w:p w14:paraId="3E08BD0F" w14:textId="77777777" w:rsidR="005732BF" w:rsidRPr="00C00C7D" w:rsidRDefault="005732BF" w:rsidP="005732BF">
      <w:pPr>
        <w:pStyle w:val="Heading4"/>
      </w:pPr>
      <w:r w:rsidRPr="00C00C7D">
        <w:t>Somnolence</w:t>
      </w:r>
      <w:r w:rsidRPr="005732BF">
        <w:t xml:space="preserve"> </w:t>
      </w:r>
      <w:r w:rsidRPr="00C00C7D">
        <w:t>and</w:t>
      </w:r>
      <w:r w:rsidRPr="005732BF">
        <w:t xml:space="preserve"> Fatigue</w:t>
      </w:r>
    </w:p>
    <w:p w14:paraId="7049B82C" w14:textId="77777777" w:rsidR="005732BF" w:rsidRPr="005732BF" w:rsidRDefault="005732BF" w:rsidP="00143D1C">
      <w:pPr>
        <w:pStyle w:val="BodyText"/>
        <w:spacing w:after="240"/>
      </w:pPr>
      <w:r w:rsidRPr="005732BF">
        <w:t>FYCOMPA caused dose-dependent increases in somnolence and fatigue-related events (including fatigue, asthenia, and lethargy).</w:t>
      </w:r>
    </w:p>
    <w:p w14:paraId="3442E3D0" w14:textId="77777777" w:rsidR="005732BF" w:rsidRPr="005732BF" w:rsidRDefault="005732BF" w:rsidP="00143D1C">
      <w:pPr>
        <w:pStyle w:val="BodyText"/>
        <w:spacing w:after="240"/>
      </w:pPr>
      <w:r w:rsidRPr="005732BF">
        <w:t>In the controlled Phase 3 epilepsy clinical trials, 16% and 18% of patients randomised to receive FYCOMPA at doses of 8 mg and 12 mg/day, respectively, reported somnolence compared to 7% of placebo patients.  In the controlled Phase 3 epilepsy clinical trials, 12% and 15% of patients randomised to receive FYCOMPA at doses of 8 mg and 12 mg/day, respectively, reported fatigue-related events compared to 5% of placebo patients.  Somnolence or fatigue-related events led to discontinuation in 2% of FYCOMPA-treated patients and 0.5% of placebo-treated patients. Elderly patients had an increased risk of these adverse reactions compared to younger adults and adolescents.</w:t>
      </w:r>
    </w:p>
    <w:p w14:paraId="476C8A30" w14:textId="77777777" w:rsidR="005732BF" w:rsidRPr="00C00C7D" w:rsidRDefault="005732BF" w:rsidP="005732BF">
      <w:pPr>
        <w:pStyle w:val="Heading3"/>
      </w:pPr>
      <w:r w:rsidRPr="00C00C7D">
        <w:rPr>
          <w:lang w:eastAsia="en-AU"/>
        </w:rPr>
        <w:t>Falls</w:t>
      </w:r>
    </w:p>
    <w:p w14:paraId="29FE3359" w14:textId="77777777" w:rsidR="005732BF" w:rsidRPr="005732BF" w:rsidRDefault="005732BF" w:rsidP="00143D1C">
      <w:pPr>
        <w:pStyle w:val="BodyText"/>
        <w:spacing w:after="240"/>
      </w:pPr>
      <w:r w:rsidRPr="005732BF">
        <w:t xml:space="preserve">An increased risk of falls, in some cases leading to serious injuries including head injuries and bone fracture, occurred in patients being treated with FYCOMPA (with and without concurrent seizures).  In the controlled Phase 3 epilepsy clinical trials, falls were reported in 5% and 10% of patients randomised to receive FYCOMPA at doses of 8 mg and 12 mg/day, respectively, compared to 3% of placebo-treated patients. Falls were reported as serious and led to discontinuation more frequently in FYCOMPA -treated patients than placebo-treated patients. </w:t>
      </w:r>
    </w:p>
    <w:p w14:paraId="051405C4" w14:textId="3AB55E30" w:rsidR="005732BF" w:rsidRPr="005732BF" w:rsidRDefault="005732BF" w:rsidP="00143D1C">
      <w:pPr>
        <w:pStyle w:val="BodyText"/>
        <w:spacing w:after="240"/>
      </w:pPr>
      <w:r w:rsidRPr="005732BF">
        <w:t xml:space="preserve">Twenty patients aged 65 and over years received perampanel in the double blind </w:t>
      </w:r>
      <w:r w:rsidR="00191DA6">
        <w:t>P</w:t>
      </w:r>
      <w:r w:rsidRPr="005732BF">
        <w:t>hase 3 epilepsy studies</w:t>
      </w:r>
      <w:r w:rsidR="00191DA6">
        <w:t>.</w:t>
      </w:r>
      <w:r w:rsidRPr="005732BF">
        <w:t xml:space="preserve"> Dizziness and falls were particularly frequent in these patients. Dizziness occurred in 55.6% of elderly patients given the 8 mg dose and 42.9% given the 12 mg dose. Falls occurred in 11.1% of elderly patients given the 8 mg dose and 57.1% given the 12 mg dose. FYCOMPA should be used with caution in the elderly.</w:t>
      </w:r>
    </w:p>
    <w:p w14:paraId="3A52FB8D" w14:textId="77777777" w:rsidR="005732BF" w:rsidRPr="005732BF" w:rsidRDefault="005732BF" w:rsidP="005732BF">
      <w:pPr>
        <w:pStyle w:val="Heading3"/>
        <w:rPr>
          <w:lang w:eastAsia="en-AU"/>
        </w:rPr>
      </w:pPr>
      <w:r w:rsidRPr="005732BF">
        <w:rPr>
          <w:lang w:eastAsia="en-AU"/>
        </w:rPr>
        <w:t>End of treatment</w:t>
      </w:r>
    </w:p>
    <w:p w14:paraId="1C892F29" w14:textId="13EAB2A1" w:rsidR="005732BF" w:rsidRDefault="005732BF" w:rsidP="00143D1C">
      <w:pPr>
        <w:pStyle w:val="BodyText"/>
        <w:spacing w:after="240"/>
      </w:pPr>
      <w:r w:rsidRPr="007B2319">
        <w:t>It is recommended that discontinuation be undertaken gradually to minimise the potential for rebound seizures (</w:t>
      </w:r>
      <w:r w:rsidRPr="00A21782">
        <w:t xml:space="preserve">see </w:t>
      </w:r>
      <w:r>
        <w:t xml:space="preserve">Section </w:t>
      </w:r>
      <w:r>
        <w:fldChar w:fldCharType="begin"/>
      </w:r>
      <w:r>
        <w:instrText xml:space="preserve"> REF _Ref503529038 \r \h </w:instrText>
      </w:r>
      <w:r>
        <w:fldChar w:fldCharType="separate"/>
      </w:r>
      <w:r w:rsidR="007B3B4A">
        <w:t>4.2</w:t>
      </w:r>
      <w:r>
        <w:fldChar w:fldCharType="end"/>
      </w:r>
      <w:r>
        <w:t xml:space="preserve"> Dose and method of administration</w:t>
      </w:r>
      <w:r w:rsidRPr="007B2319">
        <w:t xml:space="preserve">). However, due to its long half-life and subsequent slow decline in plasma concentrations, </w:t>
      </w:r>
      <w:r>
        <w:t>FYCOMPA</w:t>
      </w:r>
      <w:r w:rsidRPr="007B2319">
        <w:t xml:space="preserve"> can be discontinued abruptly if absolutely needed.</w:t>
      </w:r>
    </w:p>
    <w:p w14:paraId="7E3883FF" w14:textId="77777777" w:rsidR="005732BF" w:rsidRPr="005732BF" w:rsidRDefault="005732BF" w:rsidP="005732BF">
      <w:pPr>
        <w:pStyle w:val="Heading3"/>
        <w:rPr>
          <w:lang w:eastAsia="en-AU"/>
        </w:rPr>
      </w:pPr>
      <w:r w:rsidRPr="005732BF">
        <w:rPr>
          <w:lang w:eastAsia="en-AU"/>
        </w:rPr>
        <w:t xml:space="preserve">Serious Psychiatric and Behavioural Reactions </w:t>
      </w:r>
    </w:p>
    <w:p w14:paraId="592CDBB3" w14:textId="77777777" w:rsidR="005732BF" w:rsidRDefault="005732BF" w:rsidP="00143D1C">
      <w:pPr>
        <w:pStyle w:val="BodyText"/>
        <w:spacing w:after="240"/>
      </w:pPr>
      <w:r>
        <w:t>Serious or life-threatening psychiatric and behavioural adverse reactions including aggression, hostility, irritability, anger, and homicidal ideation and threats have been reported in patients taking FYCOMPA. Aggression was observed more frequently in adolescents than adults. Monitor patients for these reactions as well as for changes in mood, behaviour, or personality that are not typical for the patient, particularly during the titration period and at higher doses. FYCOMPA should be reduced if these symptoms occur and should be discontinued immediately if symptoms are severe or are worsening.</w:t>
      </w:r>
    </w:p>
    <w:p w14:paraId="65456B74" w14:textId="77777777" w:rsidR="005732BF" w:rsidRDefault="005732BF" w:rsidP="00143D1C">
      <w:pPr>
        <w:pStyle w:val="BodyText"/>
        <w:spacing w:after="240"/>
      </w:pPr>
      <w:r>
        <w:t>In controlled Phase 3 epilepsy clinical trials, hostility and aggression related adverse reactions occurred in 12% and 20% of patients randomised to receive FYCOMPA at doses of 8 mg and 12 mg/day, respectively, compared to 6% of patients in the placebo group. These effects were dose-related and generally appeared within the first 6 weeks of treatment although new events continued to be observed through more than 37 weeks. FYCOMPA - treated patients experienced more hostility and aggression related adverse reactions that were serious, severe, and led to dose reduction, interruption, and discontinuation more frequently than placebo-treated patients.</w:t>
      </w:r>
    </w:p>
    <w:p w14:paraId="0D557F7E" w14:textId="77777777" w:rsidR="005732BF" w:rsidRDefault="005732BF" w:rsidP="00143D1C">
      <w:pPr>
        <w:pStyle w:val="BodyText"/>
        <w:spacing w:after="240"/>
      </w:pPr>
      <w:r>
        <w:t xml:space="preserve">In general, in the placebo-controlled Phase 3 epilepsy trials, neuropsychiatric events were reported more frequently in patients being treated with </w:t>
      </w:r>
      <w:r w:rsidRPr="007855E3">
        <w:t>FYCOMPA</w:t>
      </w:r>
      <w:r>
        <w:t xml:space="preserve"> than in patients taking placebo. These events included irritability, aggression, anger and anxiety which occurred in 2% or greater of FYCOMPA treated patients and twice as frequently as in placebo-treated patients. Other symptoms that were observed with FYCOMPA treatment and more common than with placebo, included belligerence, affect lability, agitation, and physical assault. Some of these events were reported as serious and life-threatening, Homicidal ideation and/or threat were exhibited in 0.1% of 4,368 FYCOMPA treated patients in controlled and open label studies, including non-epilepsy studies.</w:t>
      </w:r>
    </w:p>
    <w:p w14:paraId="7F23AED0" w14:textId="77777777" w:rsidR="005732BF" w:rsidRDefault="005732BF" w:rsidP="00143D1C">
      <w:pPr>
        <w:pStyle w:val="BodyText"/>
        <w:spacing w:after="240"/>
      </w:pPr>
      <w:r>
        <w:t>In the Phase 3 epilepsy trials these events occurred in patients with and without prior psychiatric history, prior aggressive behaviour, or concomitant use of medications associated with hostility and aggression. Some patients experienced worsening of their pre-existing psychiatric conditions. Patients with active psychotic disorders and unstable recurrent affective disorders were excluded from the clinical trials. The combination of alcohol and FYCOMPA significantly worsened mood and increased anger. Patients taking FYCOMPA should avoid the use of alcohol.</w:t>
      </w:r>
    </w:p>
    <w:p w14:paraId="04C6B151" w14:textId="77777777" w:rsidR="005732BF" w:rsidRDefault="005732BF" w:rsidP="00143D1C">
      <w:pPr>
        <w:pStyle w:val="BodyText"/>
        <w:spacing w:after="240"/>
      </w:pPr>
      <w:r>
        <w:t xml:space="preserve">In healthy volunteers taking FYCOMPA, observed psychiatric events included paranoia, euphoric mood, agitation, anger, mental status changes and disorientation confusional state. </w:t>
      </w:r>
    </w:p>
    <w:p w14:paraId="558D227A" w14:textId="77777777" w:rsidR="005732BF" w:rsidRDefault="005732BF" w:rsidP="00143D1C">
      <w:pPr>
        <w:pStyle w:val="BodyText"/>
        <w:spacing w:after="240"/>
      </w:pPr>
      <w:r>
        <w:t>In the non-epilepsy trials, psychiatric events that occurred in FYCOMPA-treated subjects more often than placebo-treated subjects included disorientation, delusion and paranoia.</w:t>
      </w:r>
    </w:p>
    <w:p w14:paraId="52466C52" w14:textId="77777777" w:rsidR="005732BF" w:rsidRDefault="005732BF" w:rsidP="00143D1C">
      <w:pPr>
        <w:pStyle w:val="BodyText"/>
        <w:spacing w:after="240"/>
      </w:pPr>
      <w:r>
        <w:t>Patients, their caregivers, and families should be informed that FYCOMPA may increase the risk of psychiatric events. Patients should be monitored during treatment and for at least one month after the last dose of FYCOMPA, and especially when taking higher doses and during the initial few weeks of drug therapy (titration period), or at others times of dose increases. The dose of FYCOMPA should be reduced if these symptoms occur. Permanently discontinue FYCOMPA for persistent severe or worsening psychiatric symptoms or behaviours and refer for psychiatric evaluation.</w:t>
      </w:r>
    </w:p>
    <w:p w14:paraId="5C709346" w14:textId="77777777" w:rsidR="005732BF" w:rsidRPr="005732BF" w:rsidRDefault="005732BF" w:rsidP="005732BF">
      <w:pPr>
        <w:pStyle w:val="Heading3"/>
        <w:rPr>
          <w:lang w:eastAsia="en-AU"/>
        </w:rPr>
      </w:pPr>
      <w:r w:rsidRPr="005732BF">
        <w:rPr>
          <w:lang w:eastAsia="en-AU"/>
        </w:rPr>
        <w:t>Abuse potential</w:t>
      </w:r>
    </w:p>
    <w:p w14:paraId="65CEDEA3" w14:textId="77777777" w:rsidR="005732BF" w:rsidRDefault="005732BF" w:rsidP="00143D1C">
      <w:pPr>
        <w:pStyle w:val="BodyText"/>
        <w:spacing w:after="240"/>
      </w:pPr>
      <w:r w:rsidRPr="007B2319">
        <w:t xml:space="preserve">Caution should be exercised in patients with a history of substance abuse and the patient should be monitored for symptoms of </w:t>
      </w:r>
      <w:r>
        <w:t>FYCOMPA</w:t>
      </w:r>
      <w:r w:rsidRPr="007B2319">
        <w:t xml:space="preserve"> abuse</w:t>
      </w:r>
      <w:r>
        <w:t xml:space="preserve">. </w:t>
      </w:r>
    </w:p>
    <w:p w14:paraId="4CEE92D1" w14:textId="0A62459A" w:rsidR="005732BF" w:rsidRDefault="005732BF" w:rsidP="00143D1C">
      <w:pPr>
        <w:pStyle w:val="BodyText"/>
        <w:spacing w:after="240"/>
      </w:pPr>
      <w:r>
        <w:t>In a clinical trial of 40 volunteers with a history of polydrug use</w:t>
      </w:r>
      <w:r w:rsidR="00191DA6">
        <w:t>,</w:t>
      </w:r>
      <w:r>
        <w:t xml:space="preserve"> supra-therapeutic doses of FYCOMPA (24 mg and 36 mg) produced responses for “Euphoria” that were similar to alprazolam 3 mg, </w:t>
      </w:r>
      <w:r w:rsidRPr="00737B7E">
        <w:t>and lower than ketamine 100 mg</w:t>
      </w:r>
      <w:r>
        <w:t xml:space="preserve">. The incidence of euphoria </w:t>
      </w:r>
      <w:r w:rsidRPr="00737B7E">
        <w:t>reported as an adverse event in this study</w:t>
      </w:r>
      <w:r w:rsidRPr="007855E3">
        <w:t xml:space="preserve"> </w:t>
      </w:r>
      <w:r>
        <w:t>following FYCOMPA administration 8 mg, 24 mg and 36 mg was 37%, 46%, 46%, respectively, which was higher than alprazolam 3mg (13%) but lower than ketamine 100mg (89%).</w:t>
      </w:r>
    </w:p>
    <w:p w14:paraId="7F36D76F" w14:textId="77777777" w:rsidR="005732BF" w:rsidRDefault="005732BF" w:rsidP="00143D1C">
      <w:pPr>
        <w:pStyle w:val="BodyText"/>
        <w:spacing w:after="240"/>
      </w:pPr>
      <w:r>
        <w:t xml:space="preserve">“Drug liking”, Overall Drug Liking”, and “Take Drug Again” for FYCOMPA were each statistically lower than for ketamine 100mg. In addition, for “Bad Drug Effects”, FYCOMPA 24 mg and 36 mg produced responses significantly higher than ketamine 100mg. For “Sedation”, FYCOMPA 24 and 36 mg produced responses similar to alprazolam 3 mg and higher than ketamine 100 mg. On the “Take Drug Again” scale all doses of FYCOMPA produced lower scores than 1.5 mg and 3 mg alprazolam, and most of the differences were statistically significant. </w:t>
      </w:r>
    </w:p>
    <w:p w14:paraId="207BCFA8" w14:textId="77777777" w:rsidR="005732BF" w:rsidRDefault="005732BF" w:rsidP="00143D1C">
      <w:pPr>
        <w:pStyle w:val="BodyText"/>
        <w:spacing w:after="240"/>
      </w:pPr>
      <w:r>
        <w:t>The potential for FYCOMPA to produce withdrawal symptoms has not been adequately evaluated.</w:t>
      </w:r>
    </w:p>
    <w:p w14:paraId="74F10871" w14:textId="59E37619" w:rsidR="005732BF" w:rsidRPr="005732BF" w:rsidRDefault="005732BF" w:rsidP="005732BF">
      <w:pPr>
        <w:pStyle w:val="Heading3"/>
        <w:rPr>
          <w:lang w:eastAsia="en-AU"/>
        </w:rPr>
      </w:pPr>
      <w:r w:rsidRPr="005732BF">
        <w:rPr>
          <w:lang w:eastAsia="en-AU"/>
        </w:rPr>
        <w:t>Monotherapy</w:t>
      </w:r>
    </w:p>
    <w:p w14:paraId="5DDDD335" w14:textId="77777777" w:rsidR="005732BF" w:rsidRDefault="005732BF" w:rsidP="00143D1C">
      <w:pPr>
        <w:pStyle w:val="BodyText"/>
        <w:spacing w:after="240"/>
      </w:pPr>
      <w:r>
        <w:t xml:space="preserve">FYCOMPA has not been assessed as monotherapy in patients with epilepsy. Monotherapy is not recommended. </w:t>
      </w:r>
    </w:p>
    <w:p w14:paraId="06368742" w14:textId="77777777" w:rsidR="003A0C5A" w:rsidRDefault="003A0C5A" w:rsidP="003A0C5A">
      <w:pPr>
        <w:pStyle w:val="Heading3"/>
        <w:rPr>
          <w:lang w:eastAsia="en-AU"/>
        </w:rPr>
      </w:pPr>
      <w:r>
        <w:rPr>
          <w:lang w:eastAsia="en-AU"/>
        </w:rPr>
        <w:t>Hepatotoxicity</w:t>
      </w:r>
    </w:p>
    <w:p w14:paraId="74EFB136" w14:textId="6190BDA4" w:rsidR="003A0C5A" w:rsidRDefault="003A0C5A" w:rsidP="00143D1C">
      <w:pPr>
        <w:pStyle w:val="BodyText"/>
        <w:spacing w:after="240"/>
        <w:rPr>
          <w:lang w:eastAsia="en-AU"/>
        </w:rPr>
      </w:pPr>
      <w:r>
        <w:t xml:space="preserve">Cases of hepatotoxicity (mainly hepatic enzyme increased) with </w:t>
      </w:r>
      <w:r w:rsidR="002C1F2E">
        <w:t>FYCOMPA</w:t>
      </w:r>
      <w:r>
        <w:t xml:space="preserve"> in combination with other antiepileptic drugs have been reported. If hepatic enzymes elevation is observed, monitoring of liver function should be considered.</w:t>
      </w:r>
    </w:p>
    <w:p w14:paraId="6C9515AE" w14:textId="081AE80E" w:rsidR="005732BF" w:rsidRPr="005732BF" w:rsidRDefault="005732BF" w:rsidP="003A0C5A">
      <w:pPr>
        <w:pStyle w:val="Heading3"/>
        <w:rPr>
          <w:lang w:eastAsia="en-AU"/>
        </w:rPr>
      </w:pPr>
      <w:r w:rsidRPr="005732BF">
        <w:rPr>
          <w:lang w:eastAsia="en-AU"/>
        </w:rPr>
        <w:t xml:space="preserve">Galactose Intolerance </w:t>
      </w:r>
    </w:p>
    <w:p w14:paraId="2E6DB6D0" w14:textId="5AEB1D32" w:rsidR="00A56386" w:rsidRDefault="005732BF" w:rsidP="00143D1C">
      <w:pPr>
        <w:pStyle w:val="BodyText"/>
        <w:spacing w:after="240"/>
      </w:pPr>
      <w:r>
        <w:t>FYCOMPA</w:t>
      </w:r>
      <w:r w:rsidRPr="00E872FD">
        <w:t xml:space="preserve"> </w:t>
      </w:r>
      <w:r w:rsidR="00B9554C">
        <w:t xml:space="preserve">film-coated tablets </w:t>
      </w:r>
      <w:r w:rsidRPr="00E872FD">
        <w:t xml:space="preserve">contains lactose, therefore patients with rare hereditary problems of galactose intolerance, the Lapp lactase deficiency or glucose-galactose malabsorption should not take </w:t>
      </w:r>
      <w:r w:rsidR="00B9554C">
        <w:t>FYCOMPA film-coated tablets</w:t>
      </w:r>
      <w:r w:rsidRPr="00E872FD">
        <w:t>.</w:t>
      </w:r>
    </w:p>
    <w:p w14:paraId="3E0F9279" w14:textId="77777777" w:rsidR="00B9554C" w:rsidRDefault="00B9554C" w:rsidP="00111E1B">
      <w:pPr>
        <w:pStyle w:val="Heading3"/>
      </w:pPr>
      <w:r>
        <w:t>Sorbitol</w:t>
      </w:r>
    </w:p>
    <w:p w14:paraId="7673020C" w14:textId="77777777" w:rsidR="00B9554C" w:rsidRDefault="00B9554C" w:rsidP="00143D1C">
      <w:pPr>
        <w:pStyle w:val="BodyText"/>
        <w:spacing w:after="240"/>
      </w:pPr>
      <w:r>
        <w:t>FYCOMPA oral suspension contains sorbitol</w:t>
      </w:r>
      <w:r w:rsidRPr="002C6A81">
        <w:t>;</w:t>
      </w:r>
      <w:r>
        <w:t xml:space="preserve"> therefore patients with rare hereditary problems of fructose intolerance should not take FYCOMPA oral suspension.</w:t>
      </w:r>
    </w:p>
    <w:p w14:paraId="06DF0784" w14:textId="77777777" w:rsidR="00B9554C" w:rsidRDefault="00B9554C" w:rsidP="00143D1C">
      <w:pPr>
        <w:pStyle w:val="BodyText"/>
        <w:spacing w:after="240"/>
      </w:pPr>
      <w:r>
        <w:t>Caution should be exercised when combining FYCOMPA oral suspension with other antiepileptic medications containing sorbitol, since a combined intake of over 1 gram of sorbitol may affect absorption of some drugs.</w:t>
      </w:r>
    </w:p>
    <w:p w14:paraId="0FA70DCC" w14:textId="77777777" w:rsidR="00FA4E56" w:rsidRPr="00B871A6" w:rsidRDefault="00FA4E56" w:rsidP="00FA4E56">
      <w:pPr>
        <w:pStyle w:val="Heading3"/>
      </w:pPr>
      <w:r w:rsidRPr="00B871A6">
        <w:t>Use in hepatic impairment</w:t>
      </w:r>
    </w:p>
    <w:p w14:paraId="16C9118B" w14:textId="519C483E" w:rsidR="00FA4E56" w:rsidRPr="002C6A81" w:rsidRDefault="00FA4E56" w:rsidP="00143D1C">
      <w:pPr>
        <w:pStyle w:val="BodyText"/>
        <w:spacing w:after="240"/>
      </w:pPr>
      <w:r w:rsidRPr="002C6A81">
        <w:t xml:space="preserve">See </w:t>
      </w:r>
      <w:r w:rsidR="00E3366C" w:rsidRPr="002C6A81">
        <w:t xml:space="preserve">Section </w:t>
      </w:r>
      <w:r w:rsidRPr="002C6A81">
        <w:fldChar w:fldCharType="begin"/>
      </w:r>
      <w:r w:rsidRPr="002C6A81">
        <w:instrText xml:space="preserve"> REF _Ref503529038 \r \h  \* MERGEFORMAT </w:instrText>
      </w:r>
      <w:r w:rsidRPr="002C6A81">
        <w:fldChar w:fldCharType="separate"/>
      </w:r>
      <w:r w:rsidR="007B3B4A">
        <w:t>4.2</w:t>
      </w:r>
      <w:r w:rsidRPr="002C6A81">
        <w:fldChar w:fldCharType="end"/>
      </w:r>
      <w:r w:rsidRPr="002C6A81">
        <w:t xml:space="preserve"> Dose and method of administration,</w:t>
      </w:r>
      <w:r w:rsidR="00D96ACB">
        <w:t xml:space="preserve"> Patients with</w:t>
      </w:r>
      <w:r w:rsidRPr="002C6A81">
        <w:t xml:space="preserve"> hepatic impairment and Section </w:t>
      </w:r>
      <w:r w:rsidR="00E3366C" w:rsidRPr="002C6A81">
        <w:fldChar w:fldCharType="begin"/>
      </w:r>
      <w:r w:rsidR="00E3366C" w:rsidRPr="002C6A81">
        <w:instrText xml:space="preserve"> REF _Ref2178479 \r \h </w:instrText>
      </w:r>
      <w:r w:rsidR="002C6A81">
        <w:instrText xml:space="preserve"> \* MERGEFORMAT </w:instrText>
      </w:r>
      <w:r w:rsidR="00E3366C" w:rsidRPr="002C6A81">
        <w:fldChar w:fldCharType="separate"/>
      </w:r>
      <w:r w:rsidR="007B3B4A">
        <w:t>5.2</w:t>
      </w:r>
      <w:r w:rsidR="00E3366C" w:rsidRPr="002C6A81">
        <w:fldChar w:fldCharType="end"/>
      </w:r>
      <w:r w:rsidRPr="002C6A81">
        <w:t xml:space="preserve"> Pharmacokinetic Properties, Special Populations, Hepatic Impairment</w:t>
      </w:r>
      <w:r w:rsidR="00D96ACB">
        <w:t>.</w:t>
      </w:r>
      <w:r w:rsidRPr="002C6A81">
        <w:t xml:space="preserve"> </w:t>
      </w:r>
    </w:p>
    <w:p w14:paraId="7919D4FB" w14:textId="77777777" w:rsidR="00FA4E56" w:rsidRPr="002C6A81" w:rsidRDefault="00FA4E56" w:rsidP="00FA4E56">
      <w:pPr>
        <w:pStyle w:val="Heading3"/>
      </w:pPr>
      <w:r w:rsidRPr="002C6A81">
        <w:t>Use in renal impairment</w:t>
      </w:r>
    </w:p>
    <w:p w14:paraId="6F0CA7D4" w14:textId="7BFD27CB" w:rsidR="00FA4E56" w:rsidRPr="002C6A81" w:rsidRDefault="00FA4E56" w:rsidP="00143D1C">
      <w:pPr>
        <w:pStyle w:val="BodyText"/>
        <w:spacing w:after="240"/>
      </w:pPr>
      <w:r w:rsidRPr="002C6A81">
        <w:t xml:space="preserve">See </w:t>
      </w:r>
      <w:r w:rsidR="00E3366C" w:rsidRPr="002C6A81">
        <w:t xml:space="preserve">Section </w:t>
      </w:r>
      <w:r w:rsidRPr="002C6A81">
        <w:fldChar w:fldCharType="begin"/>
      </w:r>
      <w:r w:rsidRPr="002C6A81">
        <w:instrText xml:space="preserve"> REF _Ref503529038 \r \h  \* MERGEFORMAT </w:instrText>
      </w:r>
      <w:r w:rsidRPr="002C6A81">
        <w:fldChar w:fldCharType="separate"/>
      </w:r>
      <w:r w:rsidR="007B3B4A">
        <w:t>4.2</w:t>
      </w:r>
      <w:r w:rsidRPr="002C6A81">
        <w:fldChar w:fldCharType="end"/>
      </w:r>
      <w:r w:rsidRPr="002C6A81">
        <w:t xml:space="preserve"> Dose and method of administration, </w:t>
      </w:r>
      <w:r w:rsidR="00D96ACB">
        <w:t>R</w:t>
      </w:r>
      <w:r w:rsidRPr="002C6A81">
        <w:t xml:space="preserve">enal impairment and Section </w:t>
      </w:r>
      <w:r w:rsidR="00E3366C" w:rsidRPr="002C6A81">
        <w:fldChar w:fldCharType="begin"/>
      </w:r>
      <w:r w:rsidR="00E3366C" w:rsidRPr="002C6A81">
        <w:instrText xml:space="preserve"> REF _Ref2178479 \r \h </w:instrText>
      </w:r>
      <w:r w:rsidR="002C6A81">
        <w:instrText xml:space="preserve"> \* MERGEFORMAT </w:instrText>
      </w:r>
      <w:r w:rsidR="00E3366C" w:rsidRPr="002C6A81">
        <w:fldChar w:fldCharType="separate"/>
      </w:r>
      <w:r w:rsidR="007B3B4A">
        <w:t>5.2</w:t>
      </w:r>
      <w:r w:rsidR="00E3366C" w:rsidRPr="002C6A81">
        <w:fldChar w:fldCharType="end"/>
      </w:r>
      <w:r w:rsidRPr="002C6A81">
        <w:t xml:space="preserve"> Pharmacokinetic Properties, Special Populations, Renal Impairment</w:t>
      </w:r>
      <w:r w:rsidR="00D96ACB">
        <w:t>.</w:t>
      </w:r>
    </w:p>
    <w:p w14:paraId="134E53A5" w14:textId="77777777" w:rsidR="00D8104D" w:rsidRDefault="00D8104D" w:rsidP="00D8104D">
      <w:pPr>
        <w:pStyle w:val="Heading3"/>
      </w:pPr>
      <w:r>
        <w:t>Effect on laboratory tests</w:t>
      </w:r>
    </w:p>
    <w:p w14:paraId="3EEB964A" w14:textId="77777777" w:rsidR="00D8104D" w:rsidRPr="00714972" w:rsidRDefault="00D8104D" w:rsidP="00143D1C">
      <w:pPr>
        <w:pStyle w:val="BodyText"/>
        <w:spacing w:after="240"/>
      </w:pPr>
      <w:r>
        <w:t>No data available.</w:t>
      </w:r>
    </w:p>
    <w:p w14:paraId="3D6CCD26" w14:textId="77777777" w:rsidR="00FA4E56" w:rsidRPr="002C6A81" w:rsidRDefault="00FA4E56" w:rsidP="00FA4E56">
      <w:pPr>
        <w:pStyle w:val="Heading3"/>
      </w:pPr>
      <w:r w:rsidRPr="002C6A81">
        <w:t>Use in the Elderly</w:t>
      </w:r>
    </w:p>
    <w:p w14:paraId="2323B32F" w14:textId="06F59445" w:rsidR="00FA4E56" w:rsidRPr="002C6A81" w:rsidRDefault="00D96ACB" w:rsidP="00143D1C">
      <w:pPr>
        <w:pStyle w:val="BodyText"/>
        <w:spacing w:after="240"/>
      </w:pPr>
      <w:r>
        <w:t xml:space="preserve">Twenty patients aged 65 and over received </w:t>
      </w:r>
      <w:r>
        <w:rPr>
          <w:szCs w:val="24"/>
        </w:rPr>
        <w:t>perampanel</w:t>
      </w:r>
      <w:r>
        <w:t xml:space="preserve"> in the double blind </w:t>
      </w:r>
      <w:r w:rsidR="00191DA6">
        <w:t>P</w:t>
      </w:r>
      <w:r>
        <w:t xml:space="preserve">hase 3 epilepsy studies. Dizziness and falls were particularly frequent in these patients and the incidence of falls was increased in elderly patients taking </w:t>
      </w:r>
      <w:r>
        <w:rPr>
          <w:szCs w:val="24"/>
        </w:rPr>
        <w:t>perampanel</w:t>
      </w:r>
      <w:r>
        <w:t xml:space="preserve"> </w:t>
      </w:r>
      <w:r w:rsidRPr="009D7EAE">
        <w:t>(</w:t>
      </w:r>
      <w:r w:rsidR="00D8104D">
        <w:t>s</w:t>
      </w:r>
      <w:r w:rsidRPr="009D7EAE">
        <w:t xml:space="preserve">ee </w:t>
      </w:r>
      <w:r>
        <w:t xml:space="preserve">Section </w:t>
      </w:r>
      <w:r>
        <w:fldChar w:fldCharType="begin"/>
      </w:r>
      <w:r>
        <w:instrText xml:space="preserve"> REF _Ref503187146 \r \h </w:instrText>
      </w:r>
      <w:r>
        <w:fldChar w:fldCharType="separate"/>
      </w:r>
      <w:r w:rsidR="007B3B4A">
        <w:t>4.4</w:t>
      </w:r>
      <w:r>
        <w:fldChar w:fldCharType="end"/>
      </w:r>
      <w:r>
        <w:t xml:space="preserve"> Special warnings and precautions for use, Falls). Dizziness occurred in 55.6% of elderly patients given the 8</w:t>
      </w:r>
      <w:r w:rsidR="00D8104D">
        <w:t> </w:t>
      </w:r>
      <w:r>
        <w:t>mg dose and falls occurred in 57.1% given the 12 mg dose. FYCOMPA should be used with caution in the elderly</w:t>
      </w:r>
      <w:r w:rsidR="00FA4E56" w:rsidRPr="002C6A81">
        <w:t xml:space="preserve"> (see Section </w:t>
      </w:r>
      <w:r w:rsidR="00FA4E56" w:rsidRPr="002C6A81">
        <w:fldChar w:fldCharType="begin"/>
      </w:r>
      <w:r w:rsidR="00FA4E56" w:rsidRPr="002C6A81">
        <w:instrText xml:space="preserve"> REF _Ref503529038 \r \h  \* MERGEFORMAT </w:instrText>
      </w:r>
      <w:r w:rsidR="00FA4E56" w:rsidRPr="002C6A81">
        <w:fldChar w:fldCharType="separate"/>
      </w:r>
      <w:r w:rsidR="007B3B4A">
        <w:t>4.2</w:t>
      </w:r>
      <w:r w:rsidR="00FA4E56" w:rsidRPr="002C6A81">
        <w:fldChar w:fldCharType="end"/>
      </w:r>
      <w:r w:rsidR="00FA4E56" w:rsidRPr="002C6A81">
        <w:t xml:space="preserve"> Dose and method of administration and Section </w:t>
      </w:r>
      <w:r w:rsidR="00FA4E56" w:rsidRPr="002C6A81">
        <w:fldChar w:fldCharType="begin"/>
      </w:r>
      <w:r w:rsidR="00FA4E56" w:rsidRPr="002C6A81">
        <w:instrText xml:space="preserve"> REF _Ref503187256 \r \h  \* MERGEFORMAT </w:instrText>
      </w:r>
      <w:r w:rsidR="00FA4E56" w:rsidRPr="002C6A81">
        <w:fldChar w:fldCharType="separate"/>
      </w:r>
      <w:r w:rsidR="007B3B4A">
        <w:t>4.8</w:t>
      </w:r>
      <w:r w:rsidR="00FA4E56" w:rsidRPr="002C6A81">
        <w:fldChar w:fldCharType="end"/>
      </w:r>
      <w:r w:rsidR="00FA4E56" w:rsidRPr="002C6A81">
        <w:t xml:space="preserve"> Adverse effects, Other Special Populations).</w:t>
      </w:r>
    </w:p>
    <w:p w14:paraId="630611F9" w14:textId="77777777" w:rsidR="00505C3C" w:rsidRDefault="00505C3C" w:rsidP="00505C3C">
      <w:pPr>
        <w:pStyle w:val="Heading3"/>
      </w:pPr>
      <w:r w:rsidRPr="002C6A81">
        <w:t>Paediatric Use</w:t>
      </w:r>
    </w:p>
    <w:p w14:paraId="7AEC6B60" w14:textId="07CB413B" w:rsidR="00D96ACB" w:rsidRDefault="009F76D9" w:rsidP="00143D1C">
      <w:pPr>
        <w:pStyle w:val="BodyText"/>
        <w:spacing w:after="240"/>
      </w:pPr>
      <w:r w:rsidRPr="00E4509F">
        <w:rPr>
          <w:lang w:eastAsia="en-AU"/>
        </w:rPr>
        <w:t>The safety and efficacy of FYCOMPA in children below 4 years of age with POS and 7 years of age with PGTCS have not been established yet.</w:t>
      </w:r>
      <w:r w:rsidR="00BE721F">
        <w:rPr>
          <w:lang w:eastAsia="en-AU"/>
        </w:rPr>
        <w:t xml:space="preserve"> </w:t>
      </w:r>
      <w:r w:rsidR="00D96ACB">
        <w:rPr>
          <w:lang w:eastAsia="en-AU"/>
        </w:rPr>
        <w:t xml:space="preserve">FYCOMPA is not recommended </w:t>
      </w:r>
      <w:r w:rsidR="00A07DC4">
        <w:rPr>
          <w:lang w:eastAsia="en-AU"/>
        </w:rPr>
        <w:t xml:space="preserve">for use in </w:t>
      </w:r>
      <w:r w:rsidR="00D96ACB">
        <w:rPr>
          <w:lang w:eastAsia="en-AU"/>
        </w:rPr>
        <w:t xml:space="preserve">children aged less than </w:t>
      </w:r>
      <w:r w:rsidR="00CE685F">
        <w:rPr>
          <w:lang w:eastAsia="en-AU"/>
        </w:rPr>
        <w:t>4</w:t>
      </w:r>
      <w:r w:rsidR="00D96ACB">
        <w:rPr>
          <w:lang w:eastAsia="en-AU"/>
        </w:rPr>
        <w:t xml:space="preserve"> years</w:t>
      </w:r>
      <w:r w:rsidR="00D31F0C">
        <w:rPr>
          <w:lang w:eastAsia="en-AU"/>
        </w:rPr>
        <w:t xml:space="preserve"> of age</w:t>
      </w:r>
      <w:r w:rsidR="00D96ACB">
        <w:rPr>
          <w:lang w:eastAsia="en-AU"/>
        </w:rPr>
        <w:t xml:space="preserve">. </w:t>
      </w:r>
    </w:p>
    <w:p w14:paraId="65430E64" w14:textId="77777777" w:rsidR="00032264" w:rsidRDefault="00032264" w:rsidP="00032264">
      <w:pPr>
        <w:pStyle w:val="Heading2"/>
        <w:ind w:left="578" w:hanging="578"/>
      </w:pPr>
      <w:bookmarkStart w:id="5" w:name="_Ref503187121"/>
      <w:r w:rsidRPr="00356A04">
        <w:t>Interactions with other medicines and other forms of interactions</w:t>
      </w:r>
      <w:bookmarkEnd w:id="5"/>
    </w:p>
    <w:p w14:paraId="588C062B" w14:textId="11C07D43" w:rsidR="00292CC2" w:rsidRDefault="00292CC2" w:rsidP="00143D1C">
      <w:pPr>
        <w:pStyle w:val="BodyText"/>
        <w:spacing w:after="240"/>
      </w:pPr>
      <w:r>
        <w:t>FYCOMPA</w:t>
      </w:r>
      <w:r w:rsidRPr="00E872FD">
        <w:t xml:space="preserve"> is not considered </w:t>
      </w:r>
      <w:r w:rsidR="009F76D9">
        <w:t xml:space="preserve">as </w:t>
      </w:r>
      <w:r w:rsidRPr="00E872FD">
        <w:t>a strong inducer or inhibitor of cytochrome P450 or UGT enzymes (</w:t>
      </w:r>
      <w:r w:rsidR="007855E3">
        <w:t xml:space="preserve">see Section </w:t>
      </w:r>
      <w:r w:rsidR="00E3366C" w:rsidRPr="00E3366C">
        <w:fldChar w:fldCharType="begin"/>
      </w:r>
      <w:r w:rsidR="00E3366C" w:rsidRPr="00E3366C">
        <w:instrText xml:space="preserve"> REF _Ref2178479 \r \h </w:instrText>
      </w:r>
      <w:r w:rsidR="00E3366C">
        <w:instrText xml:space="preserve"> \* MERGEFORMAT </w:instrText>
      </w:r>
      <w:r w:rsidR="00E3366C" w:rsidRPr="00E3366C">
        <w:fldChar w:fldCharType="separate"/>
      </w:r>
      <w:r w:rsidR="007B3B4A">
        <w:t>5.2</w:t>
      </w:r>
      <w:r w:rsidR="00E3366C" w:rsidRPr="00E3366C">
        <w:fldChar w:fldCharType="end"/>
      </w:r>
      <w:r w:rsidR="007855E3">
        <w:t xml:space="preserve"> Pharmacokinetic Properties</w:t>
      </w:r>
      <w:r w:rsidRPr="00E872FD">
        <w:t xml:space="preserve">). </w:t>
      </w:r>
    </w:p>
    <w:p w14:paraId="2D9341B2" w14:textId="77777777" w:rsidR="00292CC2" w:rsidRPr="00FE2867" w:rsidRDefault="00292CC2" w:rsidP="00292CC2">
      <w:pPr>
        <w:pStyle w:val="Heading3"/>
      </w:pPr>
      <w:r w:rsidRPr="00FE2867">
        <w:t xml:space="preserve">Drug interaction studies </w:t>
      </w:r>
    </w:p>
    <w:p w14:paraId="054C26CE" w14:textId="77777777" w:rsidR="00292CC2" w:rsidRPr="00FE2867" w:rsidRDefault="00292CC2" w:rsidP="00292CC2">
      <w:pPr>
        <w:pStyle w:val="Heading4"/>
      </w:pPr>
      <w:r w:rsidRPr="00FE2867">
        <w:t xml:space="preserve">In vitro assessment of drug interactions </w:t>
      </w:r>
    </w:p>
    <w:p w14:paraId="557957D8" w14:textId="77777777" w:rsidR="00292CC2" w:rsidRPr="007855E3" w:rsidRDefault="00292CC2" w:rsidP="007855E3">
      <w:pPr>
        <w:pStyle w:val="BodyText"/>
        <w:rPr>
          <w:i/>
          <w:iCs/>
        </w:rPr>
      </w:pPr>
      <w:r w:rsidRPr="007855E3">
        <w:rPr>
          <w:i/>
          <w:iCs/>
        </w:rPr>
        <w:t xml:space="preserve">Drug metabolising enzyme </w:t>
      </w:r>
    </w:p>
    <w:p w14:paraId="2B2BDD5A" w14:textId="77777777" w:rsidR="00292CC2" w:rsidRDefault="00292CC2" w:rsidP="00143D1C">
      <w:pPr>
        <w:pStyle w:val="BodyText"/>
        <w:spacing w:after="240"/>
      </w:pPr>
      <w:r w:rsidRPr="00FE2867">
        <w:t>In human liver microsomes, perampanel (30 µmol/l) had a weak inhibitory effect on CYP2C8 and UGT1A9 among major hepatic CYPs and UGTs.</w:t>
      </w:r>
      <w:r>
        <w:t xml:space="preserve">  </w:t>
      </w:r>
    </w:p>
    <w:p w14:paraId="020B3641" w14:textId="77777777" w:rsidR="00292CC2" w:rsidRDefault="00292CC2" w:rsidP="00143D1C">
      <w:pPr>
        <w:pStyle w:val="BodyText"/>
        <w:spacing w:after="240"/>
      </w:pPr>
      <w:r w:rsidRPr="00FE2867">
        <w:t>Compared with positive controls (including phenobarbi</w:t>
      </w:r>
      <w:r>
        <w:t>tal</w:t>
      </w:r>
      <w:r w:rsidRPr="00FE2867">
        <w:t xml:space="preserve">, rifampicin), perampanel was found to weakly induce </w:t>
      </w:r>
      <w:r>
        <w:t xml:space="preserve">only </w:t>
      </w:r>
      <w:r w:rsidRPr="00FE2867">
        <w:t>CYP3A4/5 (≥3 µmol/</w:t>
      </w:r>
      <w:r>
        <w:t>L</w:t>
      </w:r>
      <w:r w:rsidRPr="00FE2867">
        <w:t>)</w:t>
      </w:r>
      <w:r>
        <w:t xml:space="preserve"> and CYP2B6 (30</w:t>
      </w:r>
      <w:r w:rsidRPr="00EE7ABE">
        <w:t xml:space="preserve"> </w:t>
      </w:r>
      <w:r w:rsidRPr="00FE2867">
        <w:t>µmol</w:t>
      </w:r>
      <w:r>
        <w:t xml:space="preserve">/L) </w:t>
      </w:r>
      <w:r w:rsidRPr="00FE2867">
        <w:t>among major hepatic CYPs and UGTs in cultured human hepatocytes.</w:t>
      </w:r>
    </w:p>
    <w:p w14:paraId="72B156A4" w14:textId="77777777" w:rsidR="00292CC2" w:rsidRPr="007855E3" w:rsidRDefault="00292CC2" w:rsidP="007855E3">
      <w:pPr>
        <w:pStyle w:val="BodyText"/>
        <w:keepNext/>
        <w:rPr>
          <w:i/>
          <w:iCs/>
        </w:rPr>
      </w:pPr>
      <w:r w:rsidRPr="007855E3">
        <w:rPr>
          <w:i/>
          <w:iCs/>
        </w:rPr>
        <w:t xml:space="preserve">Transporters </w:t>
      </w:r>
    </w:p>
    <w:p w14:paraId="1855B59B" w14:textId="77777777" w:rsidR="00292CC2" w:rsidRPr="007855E3" w:rsidRDefault="00292CC2" w:rsidP="00143D1C">
      <w:pPr>
        <w:pStyle w:val="BodyText"/>
        <w:spacing w:after="240"/>
      </w:pPr>
      <w:r>
        <w:t xml:space="preserve">Perampanel was not a substrate or significant inhibitor of several influx </w:t>
      </w:r>
      <w:r w:rsidRPr="00691842">
        <w:t>or efflux</w:t>
      </w:r>
      <w:r w:rsidRPr="007855E3">
        <w:t xml:space="preserve"> </w:t>
      </w:r>
      <w:r>
        <w:t xml:space="preserve">transporters </w:t>
      </w:r>
      <w:r>
        <w:rPr>
          <w:i/>
        </w:rPr>
        <w:t xml:space="preserve">in vitro </w:t>
      </w:r>
      <w:r w:rsidRPr="001374AB">
        <w:t>(organic anion transporting polypeptides 1B1 and 1B3; organic anion transporters 1, 2, 3 and 4; organic cation transporters 1, 2 and 3; efflux transporters P-glycoprotein and Breast Cancer Resistance Protein.)</w:t>
      </w:r>
    </w:p>
    <w:p w14:paraId="3B01534B" w14:textId="77777777" w:rsidR="00292CC2" w:rsidRPr="007855E3" w:rsidRDefault="00292CC2" w:rsidP="007855E3">
      <w:pPr>
        <w:pStyle w:val="BodyText"/>
        <w:rPr>
          <w:i/>
          <w:iCs/>
        </w:rPr>
      </w:pPr>
      <w:r w:rsidRPr="007855E3">
        <w:rPr>
          <w:i/>
          <w:iCs/>
        </w:rPr>
        <w:t>Oral contraceptives</w:t>
      </w:r>
    </w:p>
    <w:p w14:paraId="3CE5394A" w14:textId="23B6BCC7" w:rsidR="00292CC2" w:rsidRDefault="00292CC2" w:rsidP="00143D1C">
      <w:pPr>
        <w:pStyle w:val="BodyText"/>
        <w:spacing w:after="240"/>
      </w:pPr>
      <w:r w:rsidRPr="00E872FD">
        <w:t xml:space="preserve">In healthy women receiving 12 mg (but not 4 or 8 mg/day) for 21 days concomitantly with a combined oral contraceptive, </w:t>
      </w:r>
      <w:r>
        <w:t>FYCOMPA</w:t>
      </w:r>
      <w:r w:rsidRPr="00E872FD">
        <w:t xml:space="preserve"> was shown to decrease the levonorgestrel exposure (mean C</w:t>
      </w:r>
      <w:r w:rsidRPr="007855E3">
        <w:rPr>
          <w:vertAlign w:val="subscript"/>
        </w:rPr>
        <w:t>max</w:t>
      </w:r>
      <w:r w:rsidRPr="00E872FD">
        <w:t xml:space="preserve"> and AUC values were each decreased by 40%). </w:t>
      </w:r>
      <w:r w:rsidR="004635FA" w:rsidRPr="00E872FD">
        <w:t>Ethinyloestradiol</w:t>
      </w:r>
      <w:r w:rsidRPr="00E872FD">
        <w:t xml:space="preserve"> AUC was not affected by </w:t>
      </w:r>
      <w:r>
        <w:t>FYCOMPA</w:t>
      </w:r>
      <w:r w:rsidRPr="00E872FD">
        <w:t xml:space="preserve"> 12 mg whereas C</w:t>
      </w:r>
      <w:r w:rsidRPr="007855E3">
        <w:rPr>
          <w:vertAlign w:val="subscript"/>
        </w:rPr>
        <w:t>max</w:t>
      </w:r>
      <w:r w:rsidRPr="00E872FD">
        <w:t xml:space="preserve"> was decreased by 18%. Therefore, the possibility of decreased efficacy of progestative</w:t>
      </w:r>
      <w:r>
        <w:t xml:space="preserve"> </w:t>
      </w:r>
      <w:r w:rsidRPr="00E872FD">
        <w:softHyphen/>
        <w:t xml:space="preserve">containing oral contraceptives should be considered for women needing </w:t>
      </w:r>
      <w:r>
        <w:t>FYCOMPA</w:t>
      </w:r>
      <w:r w:rsidRPr="00E872FD">
        <w:t xml:space="preserve"> 12 mg/day and an additional reliable </w:t>
      </w:r>
      <w:r>
        <w:t xml:space="preserve">non-hormonal </w:t>
      </w:r>
      <w:r w:rsidRPr="00E872FD">
        <w:t>method (</w:t>
      </w:r>
      <w:r>
        <w:t xml:space="preserve">for example </w:t>
      </w:r>
      <w:r w:rsidRPr="00E872FD">
        <w:t>intra-uterine device (IUD), condom)</w:t>
      </w:r>
      <w:r>
        <w:t xml:space="preserve"> form of contraceptive</w:t>
      </w:r>
      <w:r w:rsidRPr="00E872FD">
        <w:t xml:space="preserve"> is to be used (</w:t>
      </w:r>
      <w:r w:rsidR="00E3366C">
        <w:t xml:space="preserve">see Section </w:t>
      </w:r>
      <w:r w:rsidR="00E3366C">
        <w:fldChar w:fldCharType="begin"/>
      </w:r>
      <w:r w:rsidR="00E3366C">
        <w:instrText xml:space="preserve"> REF _Ref2178145 \r \h </w:instrText>
      </w:r>
      <w:r w:rsidR="00E3366C">
        <w:fldChar w:fldCharType="separate"/>
      </w:r>
      <w:r w:rsidR="007B3B4A">
        <w:t>4.6</w:t>
      </w:r>
      <w:r w:rsidR="00E3366C">
        <w:fldChar w:fldCharType="end"/>
      </w:r>
      <w:r w:rsidR="00E3366C">
        <w:t xml:space="preserve"> </w:t>
      </w:r>
      <w:r w:rsidR="00E3366C" w:rsidRPr="00E3366C">
        <w:t>Fertility, Pregnancy And Lactation</w:t>
      </w:r>
      <w:r w:rsidR="00E3366C">
        <w:t>, Use In Pregnancy</w:t>
      </w:r>
      <w:r w:rsidRPr="00E3366C">
        <w:t>)</w:t>
      </w:r>
      <w:r w:rsidRPr="00E872FD">
        <w:t>.</w:t>
      </w:r>
    </w:p>
    <w:p w14:paraId="13781126" w14:textId="77777777" w:rsidR="00292CC2" w:rsidRPr="00E872FD" w:rsidRDefault="00292CC2" w:rsidP="007855E3">
      <w:pPr>
        <w:pStyle w:val="Heading3"/>
      </w:pPr>
      <w:r w:rsidRPr="00E872FD">
        <w:t xml:space="preserve">Interactions between </w:t>
      </w:r>
      <w:r>
        <w:t>FYCOMPA</w:t>
      </w:r>
      <w:r w:rsidRPr="00E872FD">
        <w:t xml:space="preserve"> and other anti-epileptic medicinal products</w:t>
      </w:r>
    </w:p>
    <w:p w14:paraId="0036950F" w14:textId="0DD0938D" w:rsidR="00292CC2" w:rsidRDefault="00292CC2" w:rsidP="00143D1C">
      <w:pPr>
        <w:pStyle w:val="BodyText"/>
        <w:spacing w:after="240"/>
      </w:pPr>
      <w:r w:rsidRPr="00E872FD">
        <w:t xml:space="preserve">Potential interactions between </w:t>
      </w:r>
      <w:r>
        <w:t>FYCOMPA</w:t>
      </w:r>
      <w:r w:rsidRPr="00E872FD">
        <w:t xml:space="preserve"> and other anti-epileptic drugs (AEDs) were assessed in clinical studies</w:t>
      </w:r>
      <w:r w:rsidR="002B05DD">
        <w:t>. A</w:t>
      </w:r>
      <w:r w:rsidRPr="00E872FD">
        <w:t xml:space="preserve">  population PK analysis of </w:t>
      </w:r>
      <w:r w:rsidR="002B05DD">
        <w:t>three</w:t>
      </w:r>
      <w:r w:rsidRPr="00B21F3D">
        <w:t xml:space="preserve"> pooled </w:t>
      </w:r>
      <w:r w:rsidRPr="00E872FD">
        <w:t>Phase 3 studies</w:t>
      </w:r>
      <w:r>
        <w:t xml:space="preserve"> </w:t>
      </w:r>
      <w:r w:rsidR="002B05DD">
        <w:rPr>
          <w:rFonts w:eastAsia="Times New Roman"/>
        </w:rPr>
        <w:t xml:space="preserve">in adolescent and adult patients with partial-onset seizures evaluated the effect of </w:t>
      </w:r>
      <w:r w:rsidR="002B05DD" w:rsidRPr="005C4183">
        <w:rPr>
          <w:rFonts w:eastAsia="Times New Roman"/>
        </w:rPr>
        <w:t>Fycompa</w:t>
      </w:r>
      <w:r w:rsidR="002B05DD">
        <w:rPr>
          <w:rFonts w:eastAsia="Times New Roman"/>
        </w:rPr>
        <w:t xml:space="preserve"> (up to 12 mg once daily) on the PK of other AEDs. In another population PK analysis of pooled data from twenty Phase 1 studies in healthy subjects, with Fycompa up to 36 mg, and one Phase 2 and six Phase 3 studies in</w:t>
      </w:r>
      <w:r>
        <w:t xml:space="preserve"> </w:t>
      </w:r>
      <w:r w:rsidR="00852EE7">
        <w:rPr>
          <w:rFonts w:eastAsia="Times New Roman"/>
        </w:rPr>
        <w:t>paediatric, adolescent and adult</w:t>
      </w:r>
      <w:r w:rsidR="00852EE7" w:rsidRPr="005C4183">
        <w:rPr>
          <w:rFonts w:eastAsia="Times New Roman"/>
        </w:rPr>
        <w:t xml:space="preserve"> </w:t>
      </w:r>
      <w:r>
        <w:t xml:space="preserve">patients with partial-onset seizures </w:t>
      </w:r>
      <w:r w:rsidR="002D4160">
        <w:t>or</w:t>
      </w:r>
      <w:r>
        <w:t xml:space="preserve"> primary generalised tonic-clonic seizures</w:t>
      </w:r>
      <w:r w:rsidR="00975323">
        <w:t>,</w:t>
      </w:r>
      <w:r w:rsidR="002D4160">
        <w:rPr>
          <w:rFonts w:eastAsia="Times New Roman"/>
        </w:rPr>
        <w:t xml:space="preserve"> with Fycompa up to 16 mg once daily, evaluated the effect of concomitant AEDs of perampanel clearance</w:t>
      </w:r>
      <w:r w:rsidR="002D4160" w:rsidRPr="005C4183">
        <w:rPr>
          <w:rFonts w:eastAsia="Times New Roman"/>
        </w:rPr>
        <w:t>.</w:t>
      </w:r>
      <w:r w:rsidRPr="00E872FD">
        <w:t xml:space="preserve"> The effect of these interactions on average steady state concentration is summarised in </w:t>
      </w:r>
      <w:r w:rsidR="00D8104D">
        <w:fldChar w:fldCharType="begin"/>
      </w:r>
      <w:r w:rsidR="00D8104D">
        <w:instrText xml:space="preserve"> REF _Ref36034230 \h </w:instrText>
      </w:r>
      <w:r w:rsidR="00D8104D">
        <w:fldChar w:fldCharType="separate"/>
      </w:r>
      <w:r w:rsidR="007B3B4A">
        <w:t xml:space="preserve">Table </w:t>
      </w:r>
      <w:r w:rsidR="007B3B4A">
        <w:rPr>
          <w:noProof/>
        </w:rPr>
        <w:t>3</w:t>
      </w:r>
      <w:r w:rsidR="00D8104D">
        <w:fldChar w:fldCharType="end"/>
      </w:r>
      <w:r w:rsidRPr="00E872FD">
        <w:t xml:space="preserve">. </w:t>
      </w:r>
    </w:p>
    <w:p w14:paraId="6F254C6B" w14:textId="5489746E" w:rsidR="00D8104D" w:rsidRDefault="00D8104D" w:rsidP="00D8104D">
      <w:pPr>
        <w:pStyle w:val="Caption"/>
      </w:pPr>
      <w:bookmarkStart w:id="6" w:name="_Ref36034230"/>
      <w:r>
        <w:t xml:space="preserve">Table </w:t>
      </w:r>
      <w:r w:rsidR="00BE01DB">
        <w:rPr>
          <w:noProof/>
        </w:rPr>
        <w:fldChar w:fldCharType="begin"/>
      </w:r>
      <w:r w:rsidR="00BE01DB">
        <w:rPr>
          <w:noProof/>
        </w:rPr>
        <w:instrText xml:space="preserve"> SEQ Table \* ARABIC </w:instrText>
      </w:r>
      <w:r w:rsidR="00BE01DB">
        <w:rPr>
          <w:noProof/>
        </w:rPr>
        <w:fldChar w:fldCharType="separate"/>
      </w:r>
      <w:r w:rsidR="007B3B4A">
        <w:rPr>
          <w:noProof/>
        </w:rPr>
        <w:t>3</w:t>
      </w:r>
      <w:r w:rsidR="00BE01DB">
        <w:rPr>
          <w:noProof/>
        </w:rPr>
        <w:fldChar w:fldCharType="end"/>
      </w:r>
      <w:bookmarkEnd w:id="6"/>
      <w:r>
        <w:t>: The e</w:t>
      </w:r>
      <w:r w:rsidRPr="00A76C00">
        <w:t>ffect of interactions on average steady state concentration</w:t>
      </w:r>
      <w:r>
        <w:t>s of other AEDs</w:t>
      </w:r>
    </w:p>
    <w:tbl>
      <w:tblPr>
        <w:tblW w:w="0" w:type="auto"/>
        <w:tblBorders>
          <w:top w:val="nil"/>
          <w:left w:val="nil"/>
          <w:bottom w:val="nil"/>
          <w:right w:val="nil"/>
        </w:tblBorders>
        <w:tblLayout w:type="fixed"/>
        <w:tblLook w:val="0000" w:firstRow="0" w:lastRow="0" w:firstColumn="0" w:lastColumn="0" w:noHBand="0" w:noVBand="0"/>
      </w:tblPr>
      <w:tblGrid>
        <w:gridCol w:w="1962"/>
        <w:gridCol w:w="3260"/>
        <w:gridCol w:w="3315"/>
      </w:tblGrid>
      <w:tr w:rsidR="00292CC2" w:rsidRPr="007855E3" w14:paraId="03D55836" w14:textId="77777777" w:rsidTr="007855E3">
        <w:trPr>
          <w:trHeight w:val="271"/>
        </w:trPr>
        <w:tc>
          <w:tcPr>
            <w:tcW w:w="1962" w:type="dxa"/>
            <w:tcBorders>
              <w:top w:val="single" w:sz="6" w:space="0" w:color="000000"/>
              <w:left w:val="single" w:sz="4" w:space="0" w:color="000000"/>
              <w:bottom w:val="single" w:sz="4" w:space="0" w:color="000000"/>
              <w:right w:val="single" w:sz="4" w:space="0" w:color="000000"/>
            </w:tcBorders>
          </w:tcPr>
          <w:p w14:paraId="4691DD5C" w14:textId="77777777" w:rsidR="00292CC2" w:rsidRPr="007855E3" w:rsidRDefault="00292CC2" w:rsidP="00263138">
            <w:pPr>
              <w:pStyle w:val="BodyText"/>
              <w:keepNext/>
              <w:rPr>
                <w:b/>
                <w:sz w:val="20"/>
              </w:rPr>
            </w:pPr>
            <w:r w:rsidRPr="007855E3">
              <w:rPr>
                <w:b/>
                <w:sz w:val="20"/>
              </w:rPr>
              <w:t xml:space="preserve">AED coadministered </w:t>
            </w:r>
          </w:p>
        </w:tc>
        <w:tc>
          <w:tcPr>
            <w:tcW w:w="3260" w:type="dxa"/>
            <w:tcBorders>
              <w:top w:val="single" w:sz="6" w:space="0" w:color="000000"/>
              <w:left w:val="single" w:sz="4" w:space="0" w:color="000000"/>
              <w:bottom w:val="single" w:sz="4" w:space="0" w:color="000000"/>
              <w:right w:val="single" w:sz="4" w:space="0" w:color="000000"/>
            </w:tcBorders>
          </w:tcPr>
          <w:p w14:paraId="64E5FCE5" w14:textId="77777777" w:rsidR="00292CC2" w:rsidRPr="007855E3" w:rsidRDefault="00292CC2" w:rsidP="00263138">
            <w:pPr>
              <w:pStyle w:val="BodyText"/>
              <w:keepNext/>
              <w:rPr>
                <w:b/>
                <w:sz w:val="20"/>
              </w:rPr>
            </w:pPr>
            <w:r w:rsidRPr="007855E3">
              <w:rPr>
                <w:b/>
                <w:sz w:val="20"/>
              </w:rPr>
              <w:t xml:space="preserve">Influence of AED on FYCOMPA concentration </w:t>
            </w:r>
          </w:p>
        </w:tc>
        <w:tc>
          <w:tcPr>
            <w:tcW w:w="3315" w:type="dxa"/>
            <w:tcBorders>
              <w:top w:val="single" w:sz="6" w:space="0" w:color="000000"/>
              <w:left w:val="single" w:sz="4" w:space="0" w:color="000000"/>
              <w:bottom w:val="single" w:sz="4" w:space="0" w:color="000000"/>
              <w:right w:val="single" w:sz="4" w:space="0" w:color="000000"/>
            </w:tcBorders>
          </w:tcPr>
          <w:p w14:paraId="6623BB4D" w14:textId="77777777" w:rsidR="00292CC2" w:rsidRPr="007855E3" w:rsidRDefault="00292CC2" w:rsidP="00263138">
            <w:pPr>
              <w:pStyle w:val="BodyText"/>
              <w:keepNext/>
              <w:rPr>
                <w:b/>
                <w:sz w:val="20"/>
              </w:rPr>
            </w:pPr>
            <w:r w:rsidRPr="007855E3">
              <w:rPr>
                <w:b/>
                <w:sz w:val="20"/>
              </w:rPr>
              <w:t xml:space="preserve">Influence of FYCOMPA on AED concentration </w:t>
            </w:r>
          </w:p>
        </w:tc>
      </w:tr>
      <w:tr w:rsidR="00292CC2" w:rsidRPr="007855E3" w14:paraId="350B2D14" w14:textId="77777777" w:rsidTr="007855E3">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14:paraId="2AA5BDED" w14:textId="77777777" w:rsidR="00292CC2" w:rsidRPr="00023A60" w:rsidRDefault="00292CC2" w:rsidP="00023A60">
            <w:pPr>
              <w:pStyle w:val="BodyText"/>
              <w:rPr>
                <w:bCs/>
                <w:sz w:val="20"/>
              </w:rPr>
            </w:pPr>
            <w:r w:rsidRPr="00023A60">
              <w:rPr>
                <w:bCs/>
                <w:sz w:val="20"/>
              </w:rPr>
              <w:t xml:space="preserve">Carbamazepine </w:t>
            </w:r>
          </w:p>
        </w:tc>
        <w:tc>
          <w:tcPr>
            <w:tcW w:w="3260" w:type="dxa"/>
            <w:tcBorders>
              <w:top w:val="single" w:sz="4" w:space="0" w:color="000000"/>
              <w:left w:val="single" w:sz="4" w:space="0" w:color="000000"/>
              <w:bottom w:val="single" w:sz="4" w:space="0" w:color="000000"/>
              <w:right w:val="single" w:sz="4" w:space="0" w:color="000000"/>
            </w:tcBorders>
            <w:vAlign w:val="center"/>
          </w:tcPr>
          <w:p w14:paraId="3373EA51" w14:textId="4E38234E" w:rsidR="00292CC2" w:rsidRPr="005F4F0B" w:rsidRDefault="00AF7BA6" w:rsidP="000A401A">
            <w:pPr>
              <w:pStyle w:val="BodyText"/>
              <w:keepNext/>
              <w:rPr>
                <w:sz w:val="20"/>
              </w:rPr>
            </w:pPr>
            <w:r w:rsidRPr="007526D5">
              <w:rPr>
                <w:bCs/>
                <w:sz w:val="20"/>
              </w:rPr>
              <w:t>3</w:t>
            </w:r>
            <w:r w:rsidR="00197303" w:rsidRPr="007526D5">
              <w:rPr>
                <w:bCs/>
                <w:sz w:val="20"/>
              </w:rPr>
              <w:t>-f</w:t>
            </w:r>
            <w:r w:rsidR="00292CC2" w:rsidRPr="00623E51">
              <w:rPr>
                <w:bCs/>
                <w:sz w:val="20"/>
              </w:rPr>
              <w:t xml:space="preserve">old decrease </w:t>
            </w:r>
          </w:p>
        </w:tc>
        <w:tc>
          <w:tcPr>
            <w:tcW w:w="3315" w:type="dxa"/>
            <w:tcBorders>
              <w:top w:val="single" w:sz="4" w:space="0" w:color="000000"/>
              <w:left w:val="single" w:sz="4" w:space="0" w:color="000000"/>
              <w:bottom w:val="single" w:sz="4" w:space="0" w:color="000000"/>
              <w:right w:val="single" w:sz="4" w:space="0" w:color="000000"/>
            </w:tcBorders>
            <w:vAlign w:val="center"/>
          </w:tcPr>
          <w:p w14:paraId="00F0E844" w14:textId="77777777" w:rsidR="00292CC2" w:rsidRPr="00023A60" w:rsidRDefault="00292CC2" w:rsidP="00023A60">
            <w:pPr>
              <w:pStyle w:val="BodyText"/>
              <w:rPr>
                <w:bCs/>
                <w:sz w:val="20"/>
              </w:rPr>
            </w:pPr>
            <w:r w:rsidRPr="00023A60">
              <w:rPr>
                <w:bCs/>
                <w:sz w:val="20"/>
              </w:rPr>
              <w:t xml:space="preserve">&lt;10% decrease </w:t>
            </w:r>
          </w:p>
        </w:tc>
      </w:tr>
      <w:tr w:rsidR="00292CC2" w:rsidRPr="007855E3" w14:paraId="48BC78DC" w14:textId="77777777" w:rsidTr="007855E3">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14:paraId="08CD30D6" w14:textId="77777777" w:rsidR="00292CC2" w:rsidRPr="00023A60" w:rsidRDefault="00292CC2" w:rsidP="00023A60">
            <w:pPr>
              <w:pStyle w:val="BodyText"/>
              <w:rPr>
                <w:bCs/>
                <w:sz w:val="20"/>
              </w:rPr>
            </w:pPr>
            <w:r w:rsidRPr="00023A60">
              <w:rPr>
                <w:bCs/>
                <w:sz w:val="20"/>
              </w:rPr>
              <w:t xml:space="preserve">Clobazam </w:t>
            </w:r>
          </w:p>
        </w:tc>
        <w:tc>
          <w:tcPr>
            <w:tcW w:w="3260" w:type="dxa"/>
            <w:tcBorders>
              <w:top w:val="single" w:sz="4" w:space="0" w:color="000000"/>
              <w:left w:val="single" w:sz="4" w:space="0" w:color="000000"/>
              <w:bottom w:val="single" w:sz="4" w:space="0" w:color="000000"/>
              <w:right w:val="single" w:sz="4" w:space="0" w:color="000000"/>
            </w:tcBorders>
            <w:vAlign w:val="center"/>
          </w:tcPr>
          <w:p w14:paraId="42D7352E" w14:textId="77777777" w:rsidR="00292CC2" w:rsidRPr="00023A60" w:rsidRDefault="00292CC2" w:rsidP="00023A60">
            <w:pPr>
              <w:pStyle w:val="BodyText"/>
              <w:rPr>
                <w:bCs/>
                <w:sz w:val="20"/>
              </w:rPr>
            </w:pPr>
            <w:r w:rsidRPr="00023A60">
              <w:rPr>
                <w:bCs/>
                <w:sz w:val="20"/>
              </w:rPr>
              <w:t xml:space="preserve">No influence </w:t>
            </w:r>
          </w:p>
        </w:tc>
        <w:tc>
          <w:tcPr>
            <w:tcW w:w="3315" w:type="dxa"/>
            <w:tcBorders>
              <w:top w:val="single" w:sz="4" w:space="0" w:color="000000"/>
              <w:left w:val="single" w:sz="4" w:space="0" w:color="000000"/>
              <w:bottom w:val="single" w:sz="4" w:space="0" w:color="000000"/>
              <w:right w:val="single" w:sz="4" w:space="0" w:color="000000"/>
            </w:tcBorders>
            <w:vAlign w:val="center"/>
          </w:tcPr>
          <w:p w14:paraId="55200714" w14:textId="77777777" w:rsidR="00292CC2" w:rsidRPr="00023A60" w:rsidRDefault="00292CC2" w:rsidP="00023A60">
            <w:pPr>
              <w:pStyle w:val="BodyText"/>
              <w:rPr>
                <w:bCs/>
                <w:sz w:val="20"/>
              </w:rPr>
            </w:pPr>
            <w:r w:rsidRPr="00023A60">
              <w:rPr>
                <w:bCs/>
                <w:sz w:val="20"/>
              </w:rPr>
              <w:t xml:space="preserve">&lt;10% decrease </w:t>
            </w:r>
          </w:p>
        </w:tc>
      </w:tr>
      <w:tr w:rsidR="00292CC2" w:rsidRPr="007855E3" w14:paraId="1351FA75" w14:textId="77777777" w:rsidTr="007855E3">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14:paraId="01756DA9" w14:textId="77777777" w:rsidR="00292CC2" w:rsidRPr="00023A60" w:rsidRDefault="00292CC2" w:rsidP="00023A60">
            <w:pPr>
              <w:pStyle w:val="BodyText"/>
              <w:rPr>
                <w:bCs/>
                <w:sz w:val="20"/>
              </w:rPr>
            </w:pPr>
            <w:r w:rsidRPr="00023A60">
              <w:rPr>
                <w:bCs/>
                <w:sz w:val="20"/>
              </w:rPr>
              <w:t xml:space="preserve">Clonazepam </w:t>
            </w:r>
          </w:p>
        </w:tc>
        <w:tc>
          <w:tcPr>
            <w:tcW w:w="3260" w:type="dxa"/>
            <w:tcBorders>
              <w:top w:val="single" w:sz="4" w:space="0" w:color="000000"/>
              <w:left w:val="single" w:sz="4" w:space="0" w:color="000000"/>
              <w:bottom w:val="single" w:sz="4" w:space="0" w:color="000000"/>
              <w:right w:val="single" w:sz="4" w:space="0" w:color="000000"/>
            </w:tcBorders>
            <w:vAlign w:val="center"/>
          </w:tcPr>
          <w:p w14:paraId="10FCA8CA" w14:textId="77777777" w:rsidR="00292CC2" w:rsidRPr="00023A60" w:rsidRDefault="00292CC2" w:rsidP="00023A60">
            <w:pPr>
              <w:pStyle w:val="BodyText"/>
              <w:rPr>
                <w:bCs/>
                <w:sz w:val="20"/>
              </w:rPr>
            </w:pPr>
            <w:r w:rsidRPr="00023A60">
              <w:rPr>
                <w:bCs/>
                <w:sz w:val="20"/>
              </w:rPr>
              <w:t xml:space="preserve">No influence </w:t>
            </w:r>
          </w:p>
        </w:tc>
        <w:tc>
          <w:tcPr>
            <w:tcW w:w="3315" w:type="dxa"/>
            <w:tcBorders>
              <w:top w:val="single" w:sz="4" w:space="0" w:color="000000"/>
              <w:left w:val="single" w:sz="4" w:space="0" w:color="000000"/>
              <w:bottom w:val="single" w:sz="4" w:space="0" w:color="000000"/>
              <w:right w:val="single" w:sz="4" w:space="0" w:color="000000"/>
            </w:tcBorders>
            <w:vAlign w:val="center"/>
          </w:tcPr>
          <w:p w14:paraId="47E4104B" w14:textId="77777777" w:rsidR="00292CC2" w:rsidRPr="00023A60" w:rsidRDefault="00292CC2" w:rsidP="00023A60">
            <w:pPr>
              <w:pStyle w:val="BodyText"/>
              <w:rPr>
                <w:bCs/>
                <w:sz w:val="20"/>
              </w:rPr>
            </w:pPr>
            <w:r w:rsidRPr="00023A60">
              <w:rPr>
                <w:bCs/>
                <w:sz w:val="20"/>
              </w:rPr>
              <w:t xml:space="preserve">No influence </w:t>
            </w:r>
          </w:p>
        </w:tc>
      </w:tr>
      <w:tr w:rsidR="00292CC2" w:rsidRPr="007855E3" w14:paraId="47AF2271" w14:textId="77777777" w:rsidTr="007855E3">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14:paraId="4B021732" w14:textId="77777777" w:rsidR="00292CC2" w:rsidRPr="00023A60" w:rsidRDefault="00292CC2" w:rsidP="00023A60">
            <w:pPr>
              <w:pStyle w:val="BodyText"/>
              <w:rPr>
                <w:bCs/>
                <w:sz w:val="20"/>
              </w:rPr>
            </w:pPr>
            <w:r w:rsidRPr="00023A60">
              <w:rPr>
                <w:bCs/>
                <w:sz w:val="20"/>
              </w:rPr>
              <w:t xml:space="preserve">Lamotrigine </w:t>
            </w:r>
          </w:p>
        </w:tc>
        <w:tc>
          <w:tcPr>
            <w:tcW w:w="3260" w:type="dxa"/>
            <w:tcBorders>
              <w:top w:val="single" w:sz="4" w:space="0" w:color="000000"/>
              <w:left w:val="single" w:sz="4" w:space="0" w:color="000000"/>
              <w:bottom w:val="single" w:sz="4" w:space="0" w:color="000000"/>
              <w:right w:val="single" w:sz="4" w:space="0" w:color="000000"/>
            </w:tcBorders>
            <w:vAlign w:val="center"/>
          </w:tcPr>
          <w:p w14:paraId="2A40B7F3" w14:textId="77777777" w:rsidR="00292CC2" w:rsidRPr="00023A60" w:rsidRDefault="00292CC2" w:rsidP="00023A60">
            <w:pPr>
              <w:pStyle w:val="BodyText"/>
              <w:rPr>
                <w:bCs/>
                <w:sz w:val="20"/>
              </w:rPr>
            </w:pPr>
            <w:r w:rsidRPr="00023A60">
              <w:rPr>
                <w:bCs/>
                <w:sz w:val="20"/>
              </w:rPr>
              <w:t xml:space="preserve">No influence </w:t>
            </w:r>
          </w:p>
        </w:tc>
        <w:tc>
          <w:tcPr>
            <w:tcW w:w="3315" w:type="dxa"/>
            <w:tcBorders>
              <w:top w:val="single" w:sz="4" w:space="0" w:color="000000"/>
              <w:left w:val="single" w:sz="4" w:space="0" w:color="000000"/>
              <w:bottom w:val="single" w:sz="4" w:space="0" w:color="000000"/>
              <w:right w:val="single" w:sz="4" w:space="0" w:color="000000"/>
            </w:tcBorders>
            <w:vAlign w:val="center"/>
          </w:tcPr>
          <w:p w14:paraId="0FDDB681" w14:textId="77777777" w:rsidR="00292CC2" w:rsidRPr="00023A60" w:rsidRDefault="00292CC2" w:rsidP="00023A60">
            <w:pPr>
              <w:pStyle w:val="BodyText"/>
              <w:rPr>
                <w:bCs/>
                <w:sz w:val="20"/>
              </w:rPr>
            </w:pPr>
            <w:r w:rsidRPr="00023A60">
              <w:rPr>
                <w:bCs/>
                <w:sz w:val="20"/>
              </w:rPr>
              <w:t xml:space="preserve">&lt;10% decrease </w:t>
            </w:r>
          </w:p>
        </w:tc>
      </w:tr>
      <w:tr w:rsidR="00292CC2" w:rsidRPr="007855E3" w14:paraId="6473DD89" w14:textId="77777777" w:rsidTr="007855E3">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14:paraId="24C93001" w14:textId="77777777" w:rsidR="00292CC2" w:rsidRPr="00023A60" w:rsidRDefault="00292CC2" w:rsidP="00023A60">
            <w:pPr>
              <w:pStyle w:val="BodyText"/>
              <w:rPr>
                <w:bCs/>
                <w:sz w:val="20"/>
              </w:rPr>
            </w:pPr>
            <w:r w:rsidRPr="00023A60">
              <w:rPr>
                <w:bCs/>
                <w:sz w:val="20"/>
              </w:rPr>
              <w:t xml:space="preserve">Levetiracetam </w:t>
            </w:r>
          </w:p>
        </w:tc>
        <w:tc>
          <w:tcPr>
            <w:tcW w:w="3260" w:type="dxa"/>
            <w:tcBorders>
              <w:top w:val="single" w:sz="4" w:space="0" w:color="000000"/>
              <w:left w:val="single" w:sz="4" w:space="0" w:color="000000"/>
              <w:bottom w:val="single" w:sz="4" w:space="0" w:color="000000"/>
              <w:right w:val="single" w:sz="4" w:space="0" w:color="000000"/>
            </w:tcBorders>
            <w:vAlign w:val="center"/>
          </w:tcPr>
          <w:p w14:paraId="55435FDE" w14:textId="77777777" w:rsidR="00292CC2" w:rsidRPr="00023A60" w:rsidRDefault="00292CC2" w:rsidP="00023A60">
            <w:pPr>
              <w:pStyle w:val="BodyText"/>
              <w:rPr>
                <w:bCs/>
                <w:sz w:val="20"/>
              </w:rPr>
            </w:pPr>
            <w:r w:rsidRPr="00023A60">
              <w:rPr>
                <w:bCs/>
                <w:sz w:val="20"/>
              </w:rPr>
              <w:t xml:space="preserve">No influence </w:t>
            </w:r>
          </w:p>
        </w:tc>
        <w:tc>
          <w:tcPr>
            <w:tcW w:w="3315" w:type="dxa"/>
            <w:tcBorders>
              <w:top w:val="single" w:sz="4" w:space="0" w:color="000000"/>
              <w:left w:val="single" w:sz="4" w:space="0" w:color="000000"/>
              <w:bottom w:val="single" w:sz="4" w:space="0" w:color="000000"/>
              <w:right w:val="single" w:sz="4" w:space="0" w:color="000000"/>
            </w:tcBorders>
            <w:vAlign w:val="center"/>
          </w:tcPr>
          <w:p w14:paraId="14C1A8C2" w14:textId="77777777" w:rsidR="00292CC2" w:rsidRPr="00023A60" w:rsidRDefault="00292CC2" w:rsidP="00023A60">
            <w:pPr>
              <w:pStyle w:val="BodyText"/>
              <w:rPr>
                <w:bCs/>
                <w:sz w:val="20"/>
              </w:rPr>
            </w:pPr>
            <w:r w:rsidRPr="00023A60">
              <w:rPr>
                <w:bCs/>
                <w:sz w:val="20"/>
              </w:rPr>
              <w:t xml:space="preserve">No influence </w:t>
            </w:r>
          </w:p>
        </w:tc>
      </w:tr>
      <w:tr w:rsidR="00292CC2" w:rsidRPr="007855E3" w14:paraId="35EB9BA7" w14:textId="77777777" w:rsidTr="007855E3">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14:paraId="4C06C06A" w14:textId="77777777" w:rsidR="00292CC2" w:rsidRPr="00023A60" w:rsidRDefault="00292CC2" w:rsidP="00023A60">
            <w:pPr>
              <w:pStyle w:val="BodyText"/>
              <w:rPr>
                <w:bCs/>
                <w:sz w:val="20"/>
              </w:rPr>
            </w:pPr>
            <w:r w:rsidRPr="00023A60">
              <w:rPr>
                <w:bCs/>
                <w:sz w:val="20"/>
              </w:rPr>
              <w:t xml:space="preserve">Oxcarbazepine </w:t>
            </w:r>
          </w:p>
        </w:tc>
        <w:tc>
          <w:tcPr>
            <w:tcW w:w="3260" w:type="dxa"/>
            <w:tcBorders>
              <w:top w:val="single" w:sz="4" w:space="0" w:color="000000"/>
              <w:left w:val="single" w:sz="4" w:space="0" w:color="000000"/>
              <w:bottom w:val="single" w:sz="4" w:space="0" w:color="000000"/>
              <w:right w:val="single" w:sz="4" w:space="0" w:color="000000"/>
            </w:tcBorders>
            <w:vAlign w:val="center"/>
          </w:tcPr>
          <w:p w14:paraId="3A106EB6" w14:textId="108F4B15" w:rsidR="00292CC2" w:rsidRPr="005F4F0B" w:rsidRDefault="00AF7BA6" w:rsidP="000A401A">
            <w:pPr>
              <w:pStyle w:val="BodyText"/>
              <w:keepNext/>
              <w:rPr>
                <w:sz w:val="20"/>
              </w:rPr>
            </w:pPr>
            <w:r w:rsidRPr="007526D5">
              <w:rPr>
                <w:bCs/>
                <w:sz w:val="20"/>
              </w:rPr>
              <w:t>2</w:t>
            </w:r>
            <w:r w:rsidR="00197303" w:rsidRPr="007526D5">
              <w:rPr>
                <w:bCs/>
                <w:sz w:val="20"/>
              </w:rPr>
              <w:t>-</w:t>
            </w:r>
            <w:r w:rsidR="00292CC2" w:rsidRPr="007526D5">
              <w:rPr>
                <w:bCs/>
                <w:sz w:val="20"/>
              </w:rPr>
              <w:t xml:space="preserve">fold decrease </w:t>
            </w:r>
          </w:p>
        </w:tc>
        <w:tc>
          <w:tcPr>
            <w:tcW w:w="3315" w:type="dxa"/>
            <w:tcBorders>
              <w:top w:val="single" w:sz="4" w:space="0" w:color="000000"/>
              <w:left w:val="single" w:sz="4" w:space="0" w:color="000000"/>
              <w:bottom w:val="single" w:sz="4" w:space="0" w:color="000000"/>
              <w:right w:val="single" w:sz="4" w:space="0" w:color="000000"/>
            </w:tcBorders>
          </w:tcPr>
          <w:p w14:paraId="23740B8B" w14:textId="77777777" w:rsidR="00292CC2" w:rsidRPr="005F4F0B" w:rsidRDefault="00292CC2" w:rsidP="00263138">
            <w:pPr>
              <w:pStyle w:val="BodyText"/>
              <w:keepNext/>
              <w:rPr>
                <w:sz w:val="20"/>
                <w:szCs w:val="13"/>
              </w:rPr>
            </w:pPr>
            <w:r w:rsidRPr="007526D5">
              <w:rPr>
                <w:bCs/>
                <w:sz w:val="20"/>
              </w:rPr>
              <w:t xml:space="preserve">35% increase </w:t>
            </w:r>
            <w:r w:rsidRPr="005F4F0B">
              <w:rPr>
                <w:sz w:val="20"/>
                <w:szCs w:val="13"/>
                <w:vertAlign w:val="superscript"/>
              </w:rPr>
              <w:t>1)</w:t>
            </w:r>
            <w:r w:rsidRPr="007526D5">
              <w:rPr>
                <w:bCs/>
                <w:sz w:val="20"/>
              </w:rPr>
              <w:t xml:space="preserve"> </w:t>
            </w:r>
          </w:p>
        </w:tc>
      </w:tr>
      <w:tr w:rsidR="00292CC2" w:rsidRPr="007855E3" w14:paraId="41F3E0D4" w14:textId="77777777" w:rsidTr="007855E3">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14:paraId="2ABF2C70" w14:textId="77777777" w:rsidR="00292CC2" w:rsidRPr="00023A60" w:rsidRDefault="00292CC2" w:rsidP="00023A60">
            <w:pPr>
              <w:pStyle w:val="BodyText"/>
              <w:rPr>
                <w:bCs/>
                <w:sz w:val="20"/>
              </w:rPr>
            </w:pPr>
            <w:r w:rsidRPr="00023A60">
              <w:rPr>
                <w:bCs/>
                <w:sz w:val="20"/>
              </w:rPr>
              <w:t xml:space="preserve">Phenobarbital </w:t>
            </w:r>
          </w:p>
        </w:tc>
        <w:tc>
          <w:tcPr>
            <w:tcW w:w="3260" w:type="dxa"/>
            <w:tcBorders>
              <w:top w:val="single" w:sz="4" w:space="0" w:color="000000"/>
              <w:left w:val="single" w:sz="4" w:space="0" w:color="000000"/>
              <w:bottom w:val="single" w:sz="4" w:space="0" w:color="000000"/>
              <w:right w:val="single" w:sz="4" w:space="0" w:color="000000"/>
            </w:tcBorders>
            <w:vAlign w:val="center"/>
          </w:tcPr>
          <w:p w14:paraId="03188534" w14:textId="64402690" w:rsidR="00292CC2" w:rsidRPr="00023A60" w:rsidRDefault="00230AB7" w:rsidP="00023A60">
            <w:pPr>
              <w:pStyle w:val="BodyText"/>
              <w:rPr>
                <w:bCs/>
                <w:sz w:val="20"/>
              </w:rPr>
            </w:pPr>
            <w:r w:rsidRPr="00023A60">
              <w:rPr>
                <w:bCs/>
                <w:sz w:val="20"/>
              </w:rPr>
              <w:t>20% decrease</w:t>
            </w:r>
          </w:p>
        </w:tc>
        <w:tc>
          <w:tcPr>
            <w:tcW w:w="3315" w:type="dxa"/>
            <w:tcBorders>
              <w:top w:val="single" w:sz="4" w:space="0" w:color="000000"/>
              <w:left w:val="single" w:sz="4" w:space="0" w:color="000000"/>
              <w:bottom w:val="single" w:sz="4" w:space="0" w:color="000000"/>
              <w:right w:val="single" w:sz="4" w:space="0" w:color="000000"/>
            </w:tcBorders>
            <w:vAlign w:val="center"/>
          </w:tcPr>
          <w:p w14:paraId="5EBADE6D" w14:textId="77777777" w:rsidR="00292CC2" w:rsidRPr="00023A60" w:rsidRDefault="00292CC2" w:rsidP="00023A60">
            <w:pPr>
              <w:pStyle w:val="BodyText"/>
              <w:rPr>
                <w:bCs/>
                <w:sz w:val="20"/>
              </w:rPr>
            </w:pPr>
            <w:r w:rsidRPr="00023A60">
              <w:rPr>
                <w:bCs/>
                <w:sz w:val="20"/>
              </w:rPr>
              <w:t xml:space="preserve">No influence </w:t>
            </w:r>
          </w:p>
        </w:tc>
      </w:tr>
      <w:tr w:rsidR="00292CC2" w:rsidRPr="007855E3" w14:paraId="5D49AD78" w14:textId="77777777" w:rsidTr="007855E3">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14:paraId="4404FEB4" w14:textId="77777777" w:rsidR="00292CC2" w:rsidRPr="00023A60" w:rsidRDefault="00292CC2" w:rsidP="00023A60">
            <w:pPr>
              <w:pStyle w:val="BodyText"/>
              <w:rPr>
                <w:bCs/>
                <w:sz w:val="20"/>
              </w:rPr>
            </w:pPr>
            <w:r w:rsidRPr="00023A60">
              <w:rPr>
                <w:bCs/>
                <w:sz w:val="20"/>
              </w:rPr>
              <w:t xml:space="preserve">Phenytoin </w:t>
            </w:r>
          </w:p>
        </w:tc>
        <w:tc>
          <w:tcPr>
            <w:tcW w:w="3260" w:type="dxa"/>
            <w:tcBorders>
              <w:top w:val="single" w:sz="4" w:space="0" w:color="000000"/>
              <w:left w:val="single" w:sz="4" w:space="0" w:color="000000"/>
              <w:bottom w:val="single" w:sz="4" w:space="0" w:color="000000"/>
              <w:right w:val="single" w:sz="4" w:space="0" w:color="000000"/>
            </w:tcBorders>
            <w:vAlign w:val="center"/>
          </w:tcPr>
          <w:p w14:paraId="0EAC297E" w14:textId="042E3DFA" w:rsidR="00292CC2" w:rsidRPr="005F4F0B" w:rsidRDefault="00AF7BA6" w:rsidP="000A401A">
            <w:pPr>
              <w:pStyle w:val="BodyText"/>
              <w:keepNext/>
              <w:rPr>
                <w:sz w:val="20"/>
              </w:rPr>
            </w:pPr>
            <w:r w:rsidRPr="007526D5">
              <w:rPr>
                <w:bCs/>
                <w:sz w:val="20"/>
              </w:rPr>
              <w:t>2</w:t>
            </w:r>
            <w:r w:rsidR="00197303" w:rsidRPr="007526D5">
              <w:rPr>
                <w:bCs/>
                <w:sz w:val="20"/>
              </w:rPr>
              <w:t>-</w:t>
            </w:r>
            <w:r w:rsidR="00292CC2" w:rsidRPr="007526D5">
              <w:rPr>
                <w:bCs/>
                <w:sz w:val="20"/>
              </w:rPr>
              <w:t xml:space="preserve">fold decrease </w:t>
            </w:r>
          </w:p>
        </w:tc>
        <w:tc>
          <w:tcPr>
            <w:tcW w:w="3315" w:type="dxa"/>
            <w:tcBorders>
              <w:top w:val="single" w:sz="4" w:space="0" w:color="000000"/>
              <w:left w:val="single" w:sz="4" w:space="0" w:color="000000"/>
              <w:bottom w:val="single" w:sz="4" w:space="0" w:color="000000"/>
              <w:right w:val="single" w:sz="4" w:space="0" w:color="000000"/>
            </w:tcBorders>
            <w:vAlign w:val="center"/>
          </w:tcPr>
          <w:p w14:paraId="7DC0820A" w14:textId="77777777" w:rsidR="00292CC2" w:rsidRPr="00023A60" w:rsidRDefault="00292CC2" w:rsidP="00023A60">
            <w:pPr>
              <w:pStyle w:val="BodyText"/>
              <w:rPr>
                <w:bCs/>
                <w:sz w:val="20"/>
              </w:rPr>
            </w:pPr>
            <w:r w:rsidRPr="00023A60">
              <w:rPr>
                <w:bCs/>
                <w:sz w:val="20"/>
              </w:rPr>
              <w:t xml:space="preserve">No influence </w:t>
            </w:r>
          </w:p>
        </w:tc>
      </w:tr>
      <w:tr w:rsidR="00292CC2" w:rsidRPr="007855E3" w14:paraId="69FDB0AB" w14:textId="77777777" w:rsidTr="007855E3">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14:paraId="6E90CDE6" w14:textId="77777777" w:rsidR="00292CC2" w:rsidRPr="00023A60" w:rsidRDefault="00292CC2" w:rsidP="00023A60">
            <w:pPr>
              <w:pStyle w:val="BodyText"/>
              <w:rPr>
                <w:bCs/>
                <w:sz w:val="20"/>
              </w:rPr>
            </w:pPr>
            <w:r w:rsidRPr="00023A60">
              <w:rPr>
                <w:bCs/>
                <w:sz w:val="20"/>
              </w:rPr>
              <w:t xml:space="preserve">Topiramate </w:t>
            </w:r>
          </w:p>
        </w:tc>
        <w:tc>
          <w:tcPr>
            <w:tcW w:w="3260" w:type="dxa"/>
            <w:tcBorders>
              <w:top w:val="single" w:sz="4" w:space="0" w:color="000000"/>
              <w:left w:val="single" w:sz="4" w:space="0" w:color="000000"/>
              <w:bottom w:val="single" w:sz="4" w:space="0" w:color="000000"/>
              <w:right w:val="single" w:sz="4" w:space="0" w:color="000000"/>
            </w:tcBorders>
            <w:vAlign w:val="center"/>
          </w:tcPr>
          <w:p w14:paraId="4437F3AE" w14:textId="7D0C4342" w:rsidR="00292CC2" w:rsidRPr="005F4F0B" w:rsidRDefault="00AF7BA6" w:rsidP="00263138">
            <w:pPr>
              <w:pStyle w:val="BodyText"/>
              <w:keepNext/>
              <w:rPr>
                <w:sz w:val="20"/>
              </w:rPr>
            </w:pPr>
            <w:r w:rsidRPr="007526D5">
              <w:rPr>
                <w:bCs/>
                <w:sz w:val="20"/>
              </w:rPr>
              <w:t>20</w:t>
            </w:r>
            <w:r w:rsidR="00292CC2" w:rsidRPr="007526D5">
              <w:rPr>
                <w:bCs/>
                <w:sz w:val="20"/>
              </w:rPr>
              <w:t xml:space="preserve">% decrease </w:t>
            </w:r>
          </w:p>
        </w:tc>
        <w:tc>
          <w:tcPr>
            <w:tcW w:w="3315" w:type="dxa"/>
            <w:tcBorders>
              <w:top w:val="single" w:sz="4" w:space="0" w:color="000000"/>
              <w:left w:val="single" w:sz="4" w:space="0" w:color="000000"/>
              <w:bottom w:val="single" w:sz="4" w:space="0" w:color="000000"/>
              <w:right w:val="single" w:sz="4" w:space="0" w:color="000000"/>
            </w:tcBorders>
            <w:vAlign w:val="center"/>
          </w:tcPr>
          <w:p w14:paraId="318C2F41" w14:textId="77777777" w:rsidR="00292CC2" w:rsidRPr="00023A60" w:rsidRDefault="00292CC2" w:rsidP="00023A60">
            <w:pPr>
              <w:pStyle w:val="BodyText"/>
              <w:rPr>
                <w:bCs/>
                <w:sz w:val="20"/>
              </w:rPr>
            </w:pPr>
            <w:r w:rsidRPr="00023A60">
              <w:rPr>
                <w:bCs/>
                <w:sz w:val="20"/>
              </w:rPr>
              <w:t xml:space="preserve">No influence </w:t>
            </w:r>
          </w:p>
        </w:tc>
      </w:tr>
      <w:tr w:rsidR="00292CC2" w:rsidRPr="007855E3" w14:paraId="46A6F707" w14:textId="77777777" w:rsidTr="007855E3">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14:paraId="446F8B14" w14:textId="77777777" w:rsidR="00292CC2" w:rsidRPr="00023A60" w:rsidRDefault="00292CC2" w:rsidP="00023A60">
            <w:pPr>
              <w:pStyle w:val="BodyText"/>
              <w:rPr>
                <w:bCs/>
                <w:sz w:val="20"/>
              </w:rPr>
            </w:pPr>
            <w:r w:rsidRPr="00023A60">
              <w:rPr>
                <w:bCs/>
                <w:sz w:val="20"/>
              </w:rPr>
              <w:t xml:space="preserve">Valproic Acid </w:t>
            </w:r>
          </w:p>
        </w:tc>
        <w:tc>
          <w:tcPr>
            <w:tcW w:w="3260" w:type="dxa"/>
            <w:tcBorders>
              <w:top w:val="single" w:sz="4" w:space="0" w:color="000000"/>
              <w:left w:val="single" w:sz="4" w:space="0" w:color="000000"/>
              <w:bottom w:val="single" w:sz="4" w:space="0" w:color="000000"/>
              <w:right w:val="single" w:sz="4" w:space="0" w:color="000000"/>
            </w:tcBorders>
            <w:vAlign w:val="center"/>
          </w:tcPr>
          <w:p w14:paraId="06375AE1" w14:textId="77777777" w:rsidR="00292CC2" w:rsidRPr="00023A60" w:rsidRDefault="00292CC2" w:rsidP="00023A60">
            <w:pPr>
              <w:pStyle w:val="BodyText"/>
              <w:rPr>
                <w:bCs/>
                <w:sz w:val="20"/>
              </w:rPr>
            </w:pPr>
            <w:r w:rsidRPr="00023A60">
              <w:rPr>
                <w:bCs/>
                <w:sz w:val="20"/>
              </w:rPr>
              <w:t xml:space="preserve">No influence </w:t>
            </w:r>
          </w:p>
        </w:tc>
        <w:tc>
          <w:tcPr>
            <w:tcW w:w="3315" w:type="dxa"/>
            <w:tcBorders>
              <w:top w:val="single" w:sz="4" w:space="0" w:color="000000"/>
              <w:left w:val="single" w:sz="4" w:space="0" w:color="000000"/>
              <w:bottom w:val="single" w:sz="4" w:space="0" w:color="000000"/>
              <w:right w:val="single" w:sz="4" w:space="0" w:color="000000"/>
            </w:tcBorders>
            <w:vAlign w:val="center"/>
          </w:tcPr>
          <w:p w14:paraId="14A630B3" w14:textId="77777777" w:rsidR="00292CC2" w:rsidRPr="00023A60" w:rsidRDefault="00292CC2" w:rsidP="00023A60">
            <w:pPr>
              <w:pStyle w:val="BodyText"/>
              <w:rPr>
                <w:bCs/>
                <w:sz w:val="20"/>
              </w:rPr>
            </w:pPr>
            <w:r w:rsidRPr="00023A60">
              <w:rPr>
                <w:bCs/>
                <w:sz w:val="20"/>
              </w:rPr>
              <w:t xml:space="preserve">&lt;10% decrease </w:t>
            </w:r>
          </w:p>
        </w:tc>
      </w:tr>
      <w:tr w:rsidR="00292CC2" w:rsidRPr="007855E3" w14:paraId="52D75899" w14:textId="77777777" w:rsidTr="007855E3">
        <w:trPr>
          <w:trHeight w:val="135"/>
        </w:trPr>
        <w:tc>
          <w:tcPr>
            <w:tcW w:w="1962" w:type="dxa"/>
            <w:tcBorders>
              <w:top w:val="single" w:sz="4" w:space="0" w:color="000000"/>
              <w:left w:val="single" w:sz="4" w:space="0" w:color="000000"/>
              <w:bottom w:val="single" w:sz="6" w:space="0" w:color="000000"/>
              <w:right w:val="single" w:sz="4" w:space="0" w:color="000000"/>
            </w:tcBorders>
            <w:vAlign w:val="center"/>
          </w:tcPr>
          <w:p w14:paraId="0E5FA3A2" w14:textId="77777777" w:rsidR="00292CC2" w:rsidRPr="00023A60" w:rsidRDefault="00292CC2" w:rsidP="00023A60">
            <w:pPr>
              <w:pStyle w:val="BodyText"/>
              <w:rPr>
                <w:bCs/>
                <w:sz w:val="20"/>
              </w:rPr>
            </w:pPr>
            <w:r w:rsidRPr="00023A60">
              <w:rPr>
                <w:bCs/>
                <w:sz w:val="20"/>
              </w:rPr>
              <w:t xml:space="preserve">Zonisamide </w:t>
            </w:r>
          </w:p>
        </w:tc>
        <w:tc>
          <w:tcPr>
            <w:tcW w:w="3260" w:type="dxa"/>
            <w:tcBorders>
              <w:top w:val="single" w:sz="4" w:space="0" w:color="000000"/>
              <w:left w:val="single" w:sz="4" w:space="0" w:color="000000"/>
              <w:bottom w:val="single" w:sz="6" w:space="0" w:color="000000"/>
              <w:right w:val="single" w:sz="4" w:space="0" w:color="000000"/>
            </w:tcBorders>
            <w:vAlign w:val="center"/>
          </w:tcPr>
          <w:p w14:paraId="06153A66" w14:textId="77777777" w:rsidR="00292CC2" w:rsidRPr="00023A60" w:rsidRDefault="00292CC2" w:rsidP="00023A60">
            <w:pPr>
              <w:pStyle w:val="BodyText"/>
              <w:rPr>
                <w:bCs/>
                <w:sz w:val="20"/>
              </w:rPr>
            </w:pPr>
            <w:r w:rsidRPr="00023A60">
              <w:rPr>
                <w:bCs/>
                <w:sz w:val="20"/>
              </w:rPr>
              <w:t xml:space="preserve">No influence </w:t>
            </w:r>
          </w:p>
        </w:tc>
        <w:tc>
          <w:tcPr>
            <w:tcW w:w="3315" w:type="dxa"/>
            <w:tcBorders>
              <w:top w:val="single" w:sz="4" w:space="0" w:color="000000"/>
              <w:left w:val="single" w:sz="4" w:space="0" w:color="000000"/>
              <w:bottom w:val="single" w:sz="6" w:space="0" w:color="000000"/>
              <w:right w:val="single" w:sz="4" w:space="0" w:color="000000"/>
            </w:tcBorders>
            <w:vAlign w:val="center"/>
          </w:tcPr>
          <w:p w14:paraId="776E0589" w14:textId="77777777" w:rsidR="00292CC2" w:rsidRPr="00023A60" w:rsidRDefault="00292CC2" w:rsidP="00023A60">
            <w:pPr>
              <w:pStyle w:val="BodyText"/>
              <w:rPr>
                <w:bCs/>
                <w:sz w:val="20"/>
              </w:rPr>
            </w:pPr>
            <w:r w:rsidRPr="00023A60">
              <w:rPr>
                <w:bCs/>
                <w:sz w:val="20"/>
              </w:rPr>
              <w:t xml:space="preserve">No influence </w:t>
            </w:r>
          </w:p>
        </w:tc>
      </w:tr>
    </w:tbl>
    <w:p w14:paraId="2A6EBAED" w14:textId="06E63600" w:rsidR="00292CC2" w:rsidRPr="00023A60" w:rsidRDefault="00292CC2" w:rsidP="00023A60">
      <w:pPr>
        <w:pStyle w:val="BodyText"/>
        <w:numPr>
          <w:ilvl w:val="0"/>
          <w:numId w:val="34"/>
        </w:numPr>
        <w:rPr>
          <w:bCs/>
          <w:sz w:val="20"/>
        </w:rPr>
      </w:pPr>
      <w:r w:rsidRPr="00023A60">
        <w:rPr>
          <w:bCs/>
          <w:sz w:val="20"/>
        </w:rPr>
        <w:t>Active metabolite monohydroxycarbazepine was not assessed.</w:t>
      </w:r>
    </w:p>
    <w:p w14:paraId="67FD2A9E" w14:textId="2891F339" w:rsidR="00292CC2" w:rsidRDefault="005D1F4B" w:rsidP="00143D1C">
      <w:pPr>
        <w:pStyle w:val="BodyText"/>
        <w:spacing w:after="240"/>
      </w:pPr>
      <w:r w:rsidRPr="006938FD">
        <w:rPr>
          <w:rFonts w:eastAsia="Times New Roman"/>
        </w:rPr>
        <w:t xml:space="preserve">Based on the results from </w:t>
      </w:r>
      <w:r w:rsidR="004C73AD" w:rsidRPr="006938FD">
        <w:rPr>
          <w:rFonts w:eastAsia="Times New Roman"/>
        </w:rPr>
        <w:t>the population</w:t>
      </w:r>
      <w:r w:rsidR="00292CC2" w:rsidRPr="006938FD">
        <w:t xml:space="preserve"> pharmacokinetic analysis of patients with partial-onset seizures and patients with primary generalised tonic-clonic seizures</w:t>
      </w:r>
      <w:r w:rsidR="00191DA6">
        <w:t>,</w:t>
      </w:r>
      <w:r w:rsidR="00292CC2" w:rsidRPr="006938FD">
        <w:t xml:space="preserve"> </w:t>
      </w:r>
      <w:r w:rsidR="00230AB7" w:rsidRPr="006938FD">
        <w:t>t</w:t>
      </w:r>
      <w:r w:rsidR="00292CC2" w:rsidRPr="006938FD">
        <w:t xml:space="preserve">he total clearance of FYCOMPA was increased when </w:t>
      </w:r>
      <w:r w:rsidR="00336C35" w:rsidRPr="006938FD">
        <w:t>co-</w:t>
      </w:r>
      <w:r w:rsidR="00292CC2" w:rsidRPr="006938FD">
        <w:t>administered with carbamazepine (</w:t>
      </w:r>
      <w:r w:rsidR="005351B1" w:rsidRPr="006938FD">
        <w:t>3</w:t>
      </w:r>
      <w:r w:rsidR="00292CC2" w:rsidRPr="006938FD">
        <w:t xml:space="preserve">-fold), </w:t>
      </w:r>
      <w:r w:rsidR="00230AB7" w:rsidRPr="006938FD">
        <w:t xml:space="preserve">and </w:t>
      </w:r>
      <w:r w:rsidR="00292CC2" w:rsidRPr="006938FD">
        <w:t>phenytoin</w:t>
      </w:r>
      <w:r w:rsidR="005351B1" w:rsidRPr="006938FD">
        <w:t xml:space="preserve"> or</w:t>
      </w:r>
      <w:r w:rsidR="00292CC2" w:rsidRPr="006938FD">
        <w:t xml:space="preserve"> </w:t>
      </w:r>
      <w:r w:rsidR="00292CC2" w:rsidRPr="00B37793">
        <w:t>oxcarbazepine (</w:t>
      </w:r>
      <w:r w:rsidR="00914FF3" w:rsidRPr="00B37793">
        <w:t>2</w:t>
      </w:r>
      <w:r w:rsidR="00292CC2" w:rsidRPr="00B37793">
        <w:t xml:space="preserve">-fold), which are known inducers of enzymes of metabolism </w:t>
      </w:r>
      <w:r w:rsidR="00E3366C" w:rsidRPr="00B37793">
        <w:t xml:space="preserve">(see Section </w:t>
      </w:r>
      <w:r w:rsidR="00E3366C" w:rsidRPr="006938FD">
        <w:fldChar w:fldCharType="begin"/>
      </w:r>
      <w:r w:rsidR="00E3366C" w:rsidRPr="006938FD">
        <w:instrText xml:space="preserve"> REF _Ref2178479 \r \h </w:instrText>
      </w:r>
      <w:r w:rsidR="00E3366C" w:rsidRPr="006938FD">
        <w:fldChar w:fldCharType="separate"/>
      </w:r>
      <w:r w:rsidR="007B3B4A">
        <w:t>5.2</w:t>
      </w:r>
      <w:r w:rsidR="00E3366C" w:rsidRPr="006938FD">
        <w:fldChar w:fldCharType="end"/>
      </w:r>
      <w:r w:rsidR="00E3366C" w:rsidRPr="006938FD">
        <w:t xml:space="preserve"> Pharmacokinetic Properties)</w:t>
      </w:r>
      <w:r w:rsidR="00292CC2" w:rsidRPr="006938FD">
        <w:t xml:space="preserve">. This effect should be taken into account and managed when adding or withdrawing these AEDs from a patient’s treatment regimen. </w:t>
      </w:r>
      <w:r w:rsidR="0003287A" w:rsidRPr="006938FD">
        <w:t>Clonazepam, levetiracetam, phenobarbital, topiramate, zonisamide, clobazam, lamotrigine and valproic acid did not affect to a clinically relevant manner the clearance of Fycompa.</w:t>
      </w:r>
    </w:p>
    <w:p w14:paraId="4904659F" w14:textId="4A580E89" w:rsidR="00292CC2" w:rsidRDefault="00292CC2" w:rsidP="00143D1C">
      <w:pPr>
        <w:pStyle w:val="BodyText"/>
        <w:spacing w:after="240"/>
      </w:pPr>
      <w:r w:rsidRPr="00AE275B">
        <w:t xml:space="preserve">In a population pharmacokinetic analysis of patients with partial-onset seizures, </w:t>
      </w:r>
      <w:r>
        <w:t>FYCOMPA</w:t>
      </w:r>
      <w:r w:rsidRPr="00AE275B">
        <w:t xml:space="preserve"> did not affect to a clinically relevant manner the clearance of clonazepam, levetiracetam, phenobarbital, phenytoin, topiramate, zonisamide, carbamazepine, clobazam, lamotrigine and valproic acid, at the highest </w:t>
      </w:r>
      <w:r>
        <w:t>FYCOMPA</w:t>
      </w:r>
      <w:r w:rsidRPr="00AE275B">
        <w:t xml:space="preserve"> dose evaluated (12 mg/day). </w:t>
      </w:r>
    </w:p>
    <w:p w14:paraId="5950F2C9" w14:textId="375D44BC" w:rsidR="00292CC2" w:rsidRDefault="00B37793" w:rsidP="00143D1C">
      <w:pPr>
        <w:pStyle w:val="BodyText"/>
        <w:spacing w:after="240"/>
      </w:pPr>
      <w:r>
        <w:t>FYCOMPA</w:t>
      </w:r>
      <w:r w:rsidR="00292CC2" w:rsidRPr="00AE275B">
        <w:t xml:space="preserve"> was found to decrease the clearance of oxcarbazepine by 26%. Oxcarbazepine is rapidly metabolised by cytosolic reductase enzyme to the active metabolite, monohydroxycarbazepine. The effect of </w:t>
      </w:r>
      <w:r w:rsidR="00292CC2">
        <w:t>FYCOMPA</w:t>
      </w:r>
      <w:r w:rsidR="00292CC2" w:rsidRPr="00AE275B">
        <w:t xml:space="preserve"> on monohydroxycarbazepine concentrations is not known. </w:t>
      </w:r>
    </w:p>
    <w:p w14:paraId="4DE88B8A" w14:textId="041D49CC" w:rsidR="00292CC2" w:rsidRPr="00AE275B" w:rsidRDefault="00292CC2" w:rsidP="00143D1C">
      <w:pPr>
        <w:pStyle w:val="BodyText"/>
        <w:spacing w:after="240"/>
      </w:pPr>
      <w:r>
        <w:t>FYCOMPA</w:t>
      </w:r>
      <w:r w:rsidRPr="00AE275B">
        <w:t xml:space="preserve"> is dosed to clinical effect regardless of other AEDs</w:t>
      </w:r>
      <w:r w:rsidR="007855E3">
        <w:t xml:space="preserve"> </w:t>
      </w:r>
      <w:r w:rsidR="007855E3" w:rsidRPr="007B2319">
        <w:t>(</w:t>
      </w:r>
      <w:r w:rsidR="007855E3" w:rsidRPr="00A21782">
        <w:t xml:space="preserve">see </w:t>
      </w:r>
      <w:r w:rsidR="007855E3">
        <w:t xml:space="preserve">Section </w:t>
      </w:r>
      <w:r w:rsidR="007855E3">
        <w:fldChar w:fldCharType="begin"/>
      </w:r>
      <w:r w:rsidR="007855E3">
        <w:instrText xml:space="preserve"> REF _Ref503529038 \r \h </w:instrText>
      </w:r>
      <w:r w:rsidR="007855E3">
        <w:fldChar w:fldCharType="separate"/>
      </w:r>
      <w:r w:rsidR="007B3B4A">
        <w:t>4.2</w:t>
      </w:r>
      <w:r w:rsidR="007855E3">
        <w:fldChar w:fldCharType="end"/>
      </w:r>
      <w:r w:rsidR="007855E3">
        <w:t xml:space="preserve"> Dose and method of administration</w:t>
      </w:r>
      <w:r w:rsidR="007855E3" w:rsidRPr="007B2319">
        <w:t>)</w:t>
      </w:r>
      <w:r w:rsidRPr="00AE275B">
        <w:t>.</w:t>
      </w:r>
    </w:p>
    <w:p w14:paraId="7FA9CF9C" w14:textId="77777777" w:rsidR="00292CC2" w:rsidRPr="00AE275B" w:rsidRDefault="00292CC2" w:rsidP="007855E3">
      <w:pPr>
        <w:pStyle w:val="Heading3"/>
      </w:pPr>
      <w:r w:rsidRPr="00AE275B">
        <w:t>Effect of perampanel on CYP3A substrates</w:t>
      </w:r>
    </w:p>
    <w:p w14:paraId="308E8317" w14:textId="77777777" w:rsidR="00292CC2" w:rsidRPr="00190818" w:rsidRDefault="00292CC2" w:rsidP="007855E3">
      <w:pPr>
        <w:pStyle w:val="Heading4"/>
      </w:pPr>
      <w:r w:rsidRPr="00190818">
        <w:t xml:space="preserve">Concomitant CYP3A inducing </w:t>
      </w:r>
      <w:r>
        <w:t>AEDs</w:t>
      </w:r>
    </w:p>
    <w:p w14:paraId="6647E717" w14:textId="77777777" w:rsidR="00292CC2" w:rsidRPr="007855E3" w:rsidRDefault="00292CC2" w:rsidP="007855E3">
      <w:pPr>
        <w:pStyle w:val="BodyText"/>
        <w:rPr>
          <w:i/>
          <w:iCs/>
        </w:rPr>
      </w:pPr>
      <w:r w:rsidRPr="007855E3">
        <w:rPr>
          <w:i/>
          <w:iCs/>
        </w:rPr>
        <w:t>Partial-Onset Seizures</w:t>
      </w:r>
    </w:p>
    <w:p w14:paraId="6F79401C" w14:textId="570A689F" w:rsidR="00292CC2" w:rsidRDefault="00292CC2" w:rsidP="00143D1C">
      <w:pPr>
        <w:pStyle w:val="BodyText"/>
        <w:spacing w:after="240"/>
      </w:pPr>
      <w:r w:rsidRPr="009C4599">
        <w:t xml:space="preserve">Response rates after addition of </w:t>
      </w:r>
      <w:r>
        <w:t>perampanel</w:t>
      </w:r>
      <w:r w:rsidRPr="009C4599">
        <w:t xml:space="preserve"> at fixed doses were less when patients received concomitant CYP3A enzyme-inducing anti-epileptic medicinal products (carbamazepine, phenytoin, oxcarbazepine) as compared to response rates in patient who received concomitant non-enzyme– inducing </w:t>
      </w:r>
      <w:r>
        <w:t>AEDs (</w:t>
      </w:r>
      <w:r w:rsidR="007855E3">
        <w:rPr>
          <w:lang w:val="en-US"/>
        </w:rPr>
        <w:t xml:space="preserve">see Section </w:t>
      </w:r>
      <w:r w:rsidR="007855E3">
        <w:rPr>
          <w:lang w:val="en-US"/>
        </w:rPr>
        <w:fldChar w:fldCharType="begin"/>
      </w:r>
      <w:r w:rsidR="007855E3">
        <w:rPr>
          <w:lang w:val="en-US"/>
        </w:rPr>
        <w:instrText xml:space="preserve"> REF _Ref503528653 \r \h </w:instrText>
      </w:r>
      <w:r w:rsidR="007855E3">
        <w:rPr>
          <w:lang w:val="en-US"/>
        </w:rPr>
      </w:r>
      <w:r w:rsidR="007855E3">
        <w:rPr>
          <w:lang w:val="en-US"/>
        </w:rPr>
        <w:fldChar w:fldCharType="separate"/>
      </w:r>
      <w:r w:rsidR="007B3B4A">
        <w:rPr>
          <w:lang w:val="en-US"/>
        </w:rPr>
        <w:t>5.1</w:t>
      </w:r>
      <w:r w:rsidR="007855E3">
        <w:rPr>
          <w:lang w:val="en-US"/>
        </w:rPr>
        <w:fldChar w:fldCharType="end"/>
      </w:r>
      <w:r w:rsidR="007855E3">
        <w:rPr>
          <w:lang w:val="en-US"/>
        </w:rPr>
        <w:t xml:space="preserve"> Pharmacodynamic properties, Clinical trials</w:t>
      </w:r>
      <w:r>
        <w:t>)</w:t>
      </w:r>
      <w:r w:rsidRPr="00190818">
        <w:t xml:space="preserve">. Patients’ response should be monitored when they are switching from concomitant non-inducer anti-epileptic medicinal products to enzyme inducing medicinal products and vice versa. Depending upon individual clinical response and tolerability, the dose may be increased or decreased 2 mg at a time </w:t>
      </w:r>
      <w:r w:rsidR="007855E3" w:rsidRPr="007B2319">
        <w:t>(</w:t>
      </w:r>
      <w:r w:rsidR="007855E3" w:rsidRPr="00A21782">
        <w:t xml:space="preserve">see </w:t>
      </w:r>
      <w:r w:rsidR="007855E3">
        <w:t xml:space="preserve">Section </w:t>
      </w:r>
      <w:r w:rsidR="007855E3">
        <w:fldChar w:fldCharType="begin"/>
      </w:r>
      <w:r w:rsidR="007855E3">
        <w:instrText xml:space="preserve"> REF _Ref503529038 \r \h </w:instrText>
      </w:r>
      <w:r w:rsidR="007855E3">
        <w:fldChar w:fldCharType="separate"/>
      </w:r>
      <w:r w:rsidR="007B3B4A">
        <w:t>4.2</w:t>
      </w:r>
      <w:r w:rsidR="007855E3">
        <w:fldChar w:fldCharType="end"/>
      </w:r>
      <w:r w:rsidR="007855E3">
        <w:t xml:space="preserve"> Dose and method of administration</w:t>
      </w:r>
      <w:r w:rsidR="007855E3" w:rsidRPr="007B2319">
        <w:t>)</w:t>
      </w:r>
      <w:r w:rsidR="007855E3">
        <w:t>.</w:t>
      </w:r>
    </w:p>
    <w:p w14:paraId="44CA0632" w14:textId="77777777" w:rsidR="00292CC2" w:rsidRPr="007855E3" w:rsidRDefault="00292CC2" w:rsidP="007855E3">
      <w:pPr>
        <w:pStyle w:val="BodyText"/>
        <w:rPr>
          <w:i/>
          <w:iCs/>
        </w:rPr>
      </w:pPr>
      <w:r w:rsidRPr="007855E3">
        <w:rPr>
          <w:i/>
          <w:iCs/>
        </w:rPr>
        <w:t>Primary Generalised Tonic-Clonic Seizures</w:t>
      </w:r>
    </w:p>
    <w:p w14:paraId="155C8794" w14:textId="0A544160" w:rsidR="00292CC2" w:rsidRDefault="00292CC2" w:rsidP="00143D1C">
      <w:pPr>
        <w:pStyle w:val="BodyText"/>
        <w:spacing w:after="240"/>
      </w:pPr>
      <w:r w:rsidRPr="00944424">
        <w:t xml:space="preserve">Response rates after addition of </w:t>
      </w:r>
      <w:r>
        <w:t>perampanel</w:t>
      </w:r>
      <w:r w:rsidRPr="00944424">
        <w:t xml:space="preserve"> at a fixed dose of 8 mg were less when patients received concomitant CYP3A enzyme-inducing </w:t>
      </w:r>
      <w:r>
        <w:t xml:space="preserve">AEDs </w:t>
      </w:r>
      <w:r w:rsidRPr="00944424">
        <w:t xml:space="preserve">(carbamazepine, phenytoin, oxcarbazepine) as compared to response rates in patients who received concomitant non-enzyme–inducing </w:t>
      </w:r>
      <w:r>
        <w:t xml:space="preserve">AEDs </w:t>
      </w:r>
      <w:r w:rsidR="007855E3" w:rsidRPr="00666637">
        <w:t>(</w:t>
      </w:r>
      <w:r w:rsidR="007855E3">
        <w:rPr>
          <w:lang w:val="en-US"/>
        </w:rPr>
        <w:t xml:space="preserve">see Section </w:t>
      </w:r>
      <w:r w:rsidR="007855E3">
        <w:rPr>
          <w:lang w:val="en-US"/>
        </w:rPr>
        <w:fldChar w:fldCharType="begin"/>
      </w:r>
      <w:r w:rsidR="007855E3">
        <w:rPr>
          <w:lang w:val="en-US"/>
        </w:rPr>
        <w:instrText xml:space="preserve"> REF _Ref503528653 \r \h </w:instrText>
      </w:r>
      <w:r w:rsidR="007855E3">
        <w:rPr>
          <w:lang w:val="en-US"/>
        </w:rPr>
      </w:r>
      <w:r w:rsidR="007855E3">
        <w:rPr>
          <w:lang w:val="en-US"/>
        </w:rPr>
        <w:fldChar w:fldCharType="separate"/>
      </w:r>
      <w:r w:rsidR="007B3B4A">
        <w:rPr>
          <w:lang w:val="en-US"/>
        </w:rPr>
        <w:t>5.1</w:t>
      </w:r>
      <w:r w:rsidR="007855E3">
        <w:rPr>
          <w:lang w:val="en-US"/>
        </w:rPr>
        <w:fldChar w:fldCharType="end"/>
      </w:r>
      <w:r w:rsidR="007855E3">
        <w:rPr>
          <w:lang w:val="en-US"/>
        </w:rPr>
        <w:t xml:space="preserve"> Pharmacodynamic properties, Clinical trials</w:t>
      </w:r>
      <w:r>
        <w:t>)</w:t>
      </w:r>
      <w:r w:rsidRPr="00190818">
        <w:t xml:space="preserve">. </w:t>
      </w:r>
      <w:r w:rsidRPr="002E150F">
        <w:t xml:space="preserve">Patients’ response should be monitored when they are switching from concomitant non-inducer AEDs to enzyme-inducing AEDs, and vice versa. </w:t>
      </w:r>
      <w:r w:rsidRPr="009C4599">
        <w:t>Depending upon individual clinical response and tolerability, the dose may be increased by increments of 2 mg up to 12 mg/day.</w:t>
      </w:r>
    </w:p>
    <w:p w14:paraId="75EE305C" w14:textId="77777777" w:rsidR="00292CC2" w:rsidRDefault="00292CC2" w:rsidP="007855E3">
      <w:pPr>
        <w:pStyle w:val="Heading3"/>
      </w:pPr>
      <w:r w:rsidRPr="00AE275B">
        <w:t>Effect of cytochrome P450 indu</w:t>
      </w:r>
      <w:r>
        <w:t>cing or inhibiting medicinal products</w:t>
      </w:r>
      <w:r w:rsidRPr="00AE275B">
        <w:t xml:space="preserve"> on perampanel pharmacokinetics</w:t>
      </w:r>
      <w:r w:rsidRPr="00B626B1">
        <w:t xml:space="preserve"> </w:t>
      </w:r>
    </w:p>
    <w:p w14:paraId="4DC235E1" w14:textId="77777777" w:rsidR="00292CC2" w:rsidRDefault="00292CC2" w:rsidP="00143D1C">
      <w:pPr>
        <w:pStyle w:val="BodyText"/>
        <w:spacing w:after="240"/>
      </w:pPr>
      <w:r w:rsidRPr="007B2319">
        <w:t xml:space="preserve">Patients should be closely monitored for tolerability and clinical response when adding or removing cytochrome P450 inducers or inhibitors, since perampanel plasma levels can be decreased or increased; the dose of </w:t>
      </w:r>
      <w:r>
        <w:t>FYCOMPA</w:t>
      </w:r>
      <w:r w:rsidRPr="007B2319">
        <w:t xml:space="preserve"> may need to be adjusted accordingly</w:t>
      </w:r>
      <w:r w:rsidR="007855E3">
        <w:t>.</w:t>
      </w:r>
    </w:p>
    <w:p w14:paraId="5C811CD6" w14:textId="77777777" w:rsidR="00292CC2" w:rsidRPr="00B626B1" w:rsidRDefault="00292CC2" w:rsidP="007855E3">
      <w:pPr>
        <w:pStyle w:val="Heading4"/>
      </w:pPr>
      <w:r w:rsidRPr="00B626B1">
        <w:t>Effect of cytochrome P450 inducers on perampanel pharmacokinetics</w:t>
      </w:r>
    </w:p>
    <w:p w14:paraId="603C1B7A" w14:textId="77777777" w:rsidR="00292CC2" w:rsidRDefault="00292CC2" w:rsidP="00143D1C">
      <w:pPr>
        <w:pStyle w:val="BodyText"/>
        <w:spacing w:after="240"/>
      </w:pPr>
      <w:r w:rsidRPr="00AE275B">
        <w:t>Strong inducers of cytochrome P450, such as rifampicin and hypericum, are expected to decrease perampanel concentrations. Felbamate has been shown to decrease the concentrations of some drugs and may also reduce perampanel concentrations.</w:t>
      </w:r>
    </w:p>
    <w:p w14:paraId="29E4942E" w14:textId="77777777" w:rsidR="00292CC2" w:rsidRPr="00AE275B" w:rsidRDefault="00292CC2" w:rsidP="007855E3">
      <w:pPr>
        <w:pStyle w:val="Heading4"/>
      </w:pPr>
      <w:r w:rsidRPr="00AE275B">
        <w:t>Effect of cytochrome P450 inhibitors on perampanel pharmacokinetics</w:t>
      </w:r>
    </w:p>
    <w:p w14:paraId="41156421" w14:textId="77777777" w:rsidR="00292CC2" w:rsidRDefault="00292CC2" w:rsidP="00143D1C">
      <w:pPr>
        <w:pStyle w:val="BodyText"/>
        <w:spacing w:after="240"/>
      </w:pPr>
      <w:r w:rsidRPr="00AE275B">
        <w:t xml:space="preserve">In healthy subjects, the CYP3A4 inhibitor ketoconazole (400 mg once daily for 10 days) increased perampanel AUC by 20% and prolonged perampanel half-life by 15% (67.8 h vs 58.4 h). Larger effects cannot be excluded when </w:t>
      </w:r>
      <w:r>
        <w:t>FYCOMPA</w:t>
      </w:r>
      <w:r w:rsidRPr="00AE275B">
        <w:t xml:space="preserve"> is combined with a CYP3A inhibitor with longer half-life than ketoconazole or when the inhibitor is given for a longer treatment duration.</w:t>
      </w:r>
      <w:r>
        <w:t xml:space="preserve"> </w:t>
      </w:r>
      <w:r w:rsidRPr="00AE275B">
        <w:t>Strong inhibitors of other cytochrome P450 isoforms could potentially also incr</w:t>
      </w:r>
      <w:r w:rsidR="007855E3">
        <w:t>ease perampanel concentrations.</w:t>
      </w:r>
    </w:p>
    <w:p w14:paraId="15A136F9" w14:textId="77777777" w:rsidR="007855E3" w:rsidRDefault="00292CC2" w:rsidP="007855E3">
      <w:pPr>
        <w:pStyle w:val="Heading4"/>
      </w:pPr>
      <w:r w:rsidRPr="00AE275B">
        <w:t>Levodopa.</w:t>
      </w:r>
    </w:p>
    <w:p w14:paraId="64C6BE1B" w14:textId="77777777" w:rsidR="00292CC2" w:rsidRDefault="00292CC2" w:rsidP="00143D1C">
      <w:pPr>
        <w:pStyle w:val="BodyText"/>
        <w:spacing w:after="240"/>
      </w:pPr>
      <w:r w:rsidRPr="00AE275B">
        <w:t xml:space="preserve">In healthy subjects, </w:t>
      </w:r>
      <w:r>
        <w:t>FYCOMPA</w:t>
      </w:r>
      <w:r w:rsidRPr="00AE275B">
        <w:t xml:space="preserve"> (4 mg once daily for 19 days) had no eff</w:t>
      </w:r>
      <w:r w:rsidR="007855E3">
        <w:t>ect on C</w:t>
      </w:r>
      <w:r w:rsidR="007855E3" w:rsidRPr="007855E3">
        <w:rPr>
          <w:vertAlign w:val="subscript"/>
        </w:rPr>
        <w:t>max</w:t>
      </w:r>
      <w:r w:rsidR="007855E3">
        <w:t xml:space="preserve"> or AUC of levodopa.</w:t>
      </w:r>
    </w:p>
    <w:p w14:paraId="0F13AB6B" w14:textId="77777777" w:rsidR="00292CC2" w:rsidRPr="00AE275B" w:rsidRDefault="00292CC2" w:rsidP="007855E3">
      <w:pPr>
        <w:pStyle w:val="Heading4"/>
      </w:pPr>
      <w:r w:rsidRPr="00AE275B">
        <w:t>Alcohol</w:t>
      </w:r>
    </w:p>
    <w:p w14:paraId="00A3E983" w14:textId="48A41201" w:rsidR="00292CC2" w:rsidRDefault="00292CC2" w:rsidP="00143D1C">
      <w:pPr>
        <w:pStyle w:val="BodyText"/>
        <w:spacing w:after="240"/>
      </w:pPr>
      <w:r w:rsidRPr="00AE275B">
        <w:t xml:space="preserve">The effects of </w:t>
      </w:r>
      <w:r>
        <w:t>perampanel</w:t>
      </w:r>
      <w:r w:rsidRPr="00AE275B">
        <w:t xml:space="preserve"> on tasks involving alertness and vigilance such as driving ability were additive or supra-additive to the effects of alcohol itself, as found in a pharmacodynamic interaction study in healthy subjects. Multiple dosing of </w:t>
      </w:r>
      <w:r>
        <w:t>perampanel</w:t>
      </w:r>
      <w:r w:rsidRPr="00AE275B">
        <w:t xml:space="preserve"> 12 mg/day increased levels of anger, confusion, and depression as assessed using the Profile of Mood State 5-point rating scale (see </w:t>
      </w:r>
      <w:r w:rsidR="00D8104D">
        <w:t xml:space="preserve">Section </w:t>
      </w:r>
      <w:r w:rsidR="007855E3">
        <w:fldChar w:fldCharType="begin"/>
      </w:r>
      <w:r w:rsidR="007855E3">
        <w:instrText xml:space="preserve"> REF _Ref503528653 \r \h </w:instrText>
      </w:r>
      <w:r w:rsidR="007855E3">
        <w:fldChar w:fldCharType="separate"/>
      </w:r>
      <w:r w:rsidR="007B3B4A">
        <w:t>5.1</w:t>
      </w:r>
      <w:r w:rsidR="007855E3">
        <w:fldChar w:fldCharType="end"/>
      </w:r>
      <w:r w:rsidR="007855E3">
        <w:t xml:space="preserve"> </w:t>
      </w:r>
      <w:r>
        <w:t>Pharmacodynamic Properties</w:t>
      </w:r>
      <w:r w:rsidRPr="00AE275B">
        <w:t xml:space="preserve">). These effects may also be seen when </w:t>
      </w:r>
      <w:r>
        <w:t>FYCOMPA</w:t>
      </w:r>
      <w:r w:rsidRPr="00AE275B">
        <w:t xml:space="preserve"> is used in combination with other central nervous system (CNS) depressants. </w:t>
      </w:r>
    </w:p>
    <w:p w14:paraId="1DCFA817" w14:textId="77777777" w:rsidR="005732BF" w:rsidRDefault="00292CC2" w:rsidP="00143D1C">
      <w:pPr>
        <w:pStyle w:val="BodyText"/>
        <w:spacing w:after="240"/>
        <w:rPr>
          <w:szCs w:val="24"/>
        </w:rPr>
      </w:pPr>
      <w:r w:rsidRPr="00AE275B">
        <w:rPr>
          <w:szCs w:val="24"/>
        </w:rPr>
        <w:t>Interaction studies have only been performed in adults. In a population pharmacokinetic analysis of the adolescent patients in the Phase 3 clinical studies, there were no notable differences between this population and the overall population.</w:t>
      </w:r>
    </w:p>
    <w:p w14:paraId="69736E3F" w14:textId="77777777" w:rsidR="00F76FA0" w:rsidRPr="00F76FA0" w:rsidRDefault="00F76FA0" w:rsidP="00F76FA0">
      <w:pPr>
        <w:pStyle w:val="Heading4"/>
      </w:pPr>
      <w:r w:rsidRPr="00F76FA0">
        <w:t>Paediatric population</w:t>
      </w:r>
    </w:p>
    <w:p w14:paraId="57DB4851" w14:textId="77777777" w:rsidR="00F76FA0" w:rsidRDefault="00F76FA0" w:rsidP="00143D1C">
      <w:pPr>
        <w:pStyle w:val="BodyText"/>
        <w:spacing w:after="240"/>
        <w:rPr>
          <w:lang w:val="en-US"/>
        </w:rPr>
      </w:pPr>
      <w:r w:rsidRPr="00F76FA0">
        <w:rPr>
          <w:lang w:val="en-US"/>
        </w:rPr>
        <w:t>Interaction studies have only been performed in adults.</w:t>
      </w:r>
    </w:p>
    <w:p w14:paraId="435C6D39" w14:textId="1FE6DB68" w:rsidR="00F76FA0" w:rsidRDefault="00F76FA0" w:rsidP="00143D1C">
      <w:pPr>
        <w:pStyle w:val="BodyText"/>
        <w:spacing w:after="240"/>
        <w:rPr>
          <w:lang w:val="en-US"/>
        </w:rPr>
      </w:pPr>
      <w:r w:rsidRPr="00F76FA0">
        <w:rPr>
          <w:lang w:val="en-US"/>
        </w:rPr>
        <w:t>In a population pharmacokinetic analysis of</w:t>
      </w:r>
      <w:r>
        <w:rPr>
          <w:lang w:val="en-US"/>
        </w:rPr>
        <w:t xml:space="preserve"> the adolescent patients age ≥12 years and children age </w:t>
      </w:r>
      <w:r w:rsidR="00E94D6F">
        <w:rPr>
          <w:lang w:val="en-US"/>
        </w:rPr>
        <w:t>4</w:t>
      </w:r>
      <w:r>
        <w:rPr>
          <w:lang w:val="en-US"/>
        </w:rPr>
        <w:t xml:space="preserve"> to </w:t>
      </w:r>
      <w:r w:rsidR="00BE721F">
        <w:rPr>
          <w:lang w:val="en-US"/>
        </w:rPr>
        <w:t>&lt;12</w:t>
      </w:r>
      <w:r w:rsidRPr="00F76FA0">
        <w:rPr>
          <w:lang w:val="en-US"/>
        </w:rPr>
        <w:t xml:space="preserve"> years, there were no notable differences compared to the adult population.</w:t>
      </w:r>
    </w:p>
    <w:p w14:paraId="138181BF" w14:textId="77777777" w:rsidR="00032264" w:rsidRPr="00356A04" w:rsidRDefault="00032264" w:rsidP="00032264">
      <w:pPr>
        <w:pStyle w:val="Heading2"/>
        <w:ind w:left="578" w:hanging="578"/>
      </w:pPr>
      <w:bookmarkStart w:id="7" w:name="_Ref2178145"/>
      <w:r w:rsidRPr="00356A04">
        <w:t>Fertility, pregnancy and lactation</w:t>
      </w:r>
      <w:bookmarkEnd w:id="7"/>
      <w:r w:rsidRPr="00356A04">
        <w:t xml:space="preserve"> </w:t>
      </w:r>
    </w:p>
    <w:p w14:paraId="6A5B4511" w14:textId="77777777" w:rsidR="00303B57" w:rsidRDefault="00303B57" w:rsidP="00032264">
      <w:pPr>
        <w:pStyle w:val="Heading3"/>
      </w:pPr>
      <w:r w:rsidRPr="00032264">
        <w:t>Effects on Fertility</w:t>
      </w:r>
    </w:p>
    <w:p w14:paraId="4A757E5C" w14:textId="77777777" w:rsidR="00FA4E56" w:rsidRDefault="00FA4E56" w:rsidP="00143D1C">
      <w:pPr>
        <w:pStyle w:val="BodyText"/>
        <w:spacing w:after="240"/>
      </w:pPr>
      <w:r w:rsidRPr="00FA4E56">
        <w:t>There were no clear effects on fertility or early embryonic development in male or female rats treated with perampanel at oral doses of 1, 10, or 30 mg/kg/day (0.8, 8 and 23 times respectively the MRHD of 12 mg/day based on body surface area). Prolonged and/or irregular estrous cycles were observed at all doses but particularly at the high-dose. The effect of FYCOMPA on human fertility has not been established.</w:t>
      </w:r>
    </w:p>
    <w:p w14:paraId="1BDD7C4D" w14:textId="77777777" w:rsidR="00032264" w:rsidRDefault="00C6307C" w:rsidP="00032264">
      <w:pPr>
        <w:pStyle w:val="Heading3"/>
      </w:pPr>
      <w:r w:rsidRPr="00032264">
        <w:t xml:space="preserve">Use in Pregnancy </w:t>
      </w:r>
    </w:p>
    <w:p w14:paraId="1AF6628D" w14:textId="77777777" w:rsidR="00FA4E56" w:rsidRPr="007855E3" w:rsidRDefault="00FA4E56" w:rsidP="00143D1C">
      <w:pPr>
        <w:pStyle w:val="BodyText"/>
        <w:spacing w:after="240"/>
        <w:rPr>
          <w:lang w:val="en-US"/>
        </w:rPr>
      </w:pPr>
      <w:r w:rsidRPr="007855E3">
        <w:rPr>
          <w:lang w:val="en-US"/>
        </w:rPr>
        <w:t>Pregnancy Category B3.</w:t>
      </w:r>
    </w:p>
    <w:p w14:paraId="2F5FB08A" w14:textId="77777777" w:rsidR="00FA4E56" w:rsidRDefault="00FA4E56" w:rsidP="00143D1C">
      <w:pPr>
        <w:pStyle w:val="BodyText"/>
        <w:spacing w:after="240"/>
        <w:rPr>
          <w:rFonts w:eastAsia="MS Mincho"/>
          <w:szCs w:val="24"/>
        </w:rPr>
      </w:pPr>
      <w:r>
        <w:rPr>
          <w:rFonts w:eastAsia="MS Mincho"/>
          <w:szCs w:val="24"/>
        </w:rPr>
        <w:t>FYCOMPA</w:t>
      </w:r>
      <w:r w:rsidRPr="00DE0BBD">
        <w:rPr>
          <w:rFonts w:eastAsia="MS Mincho"/>
          <w:szCs w:val="24"/>
        </w:rPr>
        <w:t xml:space="preserve"> is not recommended during pregnancy</w:t>
      </w:r>
      <w:r w:rsidRPr="00441F2B">
        <w:rPr>
          <w:rFonts w:eastAsia="MS Mincho"/>
          <w:szCs w:val="24"/>
        </w:rPr>
        <w:t xml:space="preserve">. There are limited amounts of data (less than 300 pregnancy outcomes) from the use of </w:t>
      </w:r>
      <w:r>
        <w:rPr>
          <w:rFonts w:eastAsia="MS Mincho"/>
          <w:szCs w:val="24"/>
        </w:rPr>
        <w:t>FYCOMPA</w:t>
      </w:r>
      <w:r w:rsidRPr="00441F2B">
        <w:rPr>
          <w:rFonts w:eastAsia="MS Mincho"/>
          <w:szCs w:val="24"/>
        </w:rPr>
        <w:t xml:space="preserve"> in pregnant women.</w:t>
      </w:r>
    </w:p>
    <w:p w14:paraId="174D5F33" w14:textId="77777777" w:rsidR="00FA4E56" w:rsidRDefault="00FA4E56" w:rsidP="00143D1C">
      <w:pPr>
        <w:pStyle w:val="BodyText"/>
        <w:spacing w:after="240"/>
        <w:rPr>
          <w:rFonts w:eastAsia="MS Mincho"/>
          <w:szCs w:val="24"/>
        </w:rPr>
      </w:pPr>
      <w:r w:rsidRPr="00441F2B">
        <w:rPr>
          <w:rFonts w:eastAsia="MS Mincho"/>
          <w:szCs w:val="24"/>
        </w:rPr>
        <w:t>Perampanel and/or its metabol</w:t>
      </w:r>
      <w:r>
        <w:rPr>
          <w:rFonts w:eastAsia="MS Mincho"/>
          <w:szCs w:val="24"/>
        </w:rPr>
        <w:t>i</w:t>
      </w:r>
      <w:r w:rsidRPr="00441F2B">
        <w:rPr>
          <w:rFonts w:eastAsia="MS Mincho"/>
          <w:szCs w:val="24"/>
        </w:rPr>
        <w:t xml:space="preserve">tes cross the placenta in rats. Oral administration of perampanel to pregnant rats </w:t>
      </w:r>
      <w:r>
        <w:rPr>
          <w:rFonts w:eastAsia="MS Mincho"/>
          <w:szCs w:val="24"/>
        </w:rPr>
        <w:t>throughout</w:t>
      </w:r>
      <w:r w:rsidRPr="007855E3">
        <w:t xml:space="preserve"> </w:t>
      </w:r>
      <w:r w:rsidRPr="00441F2B">
        <w:rPr>
          <w:rFonts w:eastAsia="MS Mincho"/>
          <w:szCs w:val="24"/>
        </w:rPr>
        <w:t>organogenesis at doses of 1,</w:t>
      </w:r>
      <w:r>
        <w:rPr>
          <w:rFonts w:eastAsia="MS Mincho"/>
          <w:szCs w:val="24"/>
        </w:rPr>
        <w:t xml:space="preserve"> </w:t>
      </w:r>
      <w:r w:rsidRPr="00441F2B">
        <w:rPr>
          <w:rFonts w:eastAsia="MS Mincho"/>
          <w:szCs w:val="24"/>
        </w:rPr>
        <w:t>3 and 10 mg/kg/day was associated with a dose-related increase in diverticulum of the intestine; a no effect dose was not established. These doses are 0.8, 2 and 8 times respectively the MRHD of 12 mg/</w:t>
      </w:r>
      <w:r>
        <w:rPr>
          <w:rFonts w:eastAsia="MS Mincho"/>
          <w:szCs w:val="24"/>
        </w:rPr>
        <w:t>day based on body surface area.</w:t>
      </w:r>
    </w:p>
    <w:p w14:paraId="46741838" w14:textId="77777777" w:rsidR="00FA4E56" w:rsidRDefault="00FA4E56" w:rsidP="00143D1C">
      <w:pPr>
        <w:pStyle w:val="BodyText"/>
        <w:spacing w:after="240"/>
        <w:rPr>
          <w:rFonts w:eastAsia="MS Mincho"/>
          <w:szCs w:val="24"/>
        </w:rPr>
      </w:pPr>
      <w:r w:rsidRPr="00441F2B">
        <w:rPr>
          <w:rFonts w:eastAsia="MS Mincho"/>
          <w:szCs w:val="24"/>
        </w:rPr>
        <w:t>There were no effec</w:t>
      </w:r>
      <w:r>
        <w:rPr>
          <w:rFonts w:eastAsia="MS Mincho"/>
          <w:szCs w:val="24"/>
        </w:rPr>
        <w:t>t</w:t>
      </w:r>
      <w:r w:rsidRPr="00441F2B">
        <w:rPr>
          <w:rFonts w:eastAsia="MS Mincho"/>
          <w:szCs w:val="24"/>
        </w:rPr>
        <w:t>s on embryofetal development following oral administration of perampanel to pregnant rabbits</w:t>
      </w:r>
      <w:r w:rsidRPr="007317D2">
        <w:rPr>
          <w:rFonts w:eastAsia="MS Mincho"/>
          <w:szCs w:val="24"/>
        </w:rPr>
        <w:t xml:space="preserve"> throughout </w:t>
      </w:r>
      <w:r w:rsidRPr="00441F2B">
        <w:rPr>
          <w:rFonts w:eastAsia="MS Mincho"/>
          <w:szCs w:val="24"/>
        </w:rPr>
        <w:t>organogenesis at doses of 1, 3 and 10 mg/kg/day</w:t>
      </w:r>
      <w:r>
        <w:rPr>
          <w:rFonts w:eastAsia="MS Mincho"/>
          <w:szCs w:val="24"/>
        </w:rPr>
        <w:t xml:space="preserve"> </w:t>
      </w:r>
      <w:r w:rsidRPr="00441F2B">
        <w:rPr>
          <w:rFonts w:eastAsia="MS Mincho"/>
          <w:szCs w:val="24"/>
        </w:rPr>
        <w:t>(1.4, 4 and 14 times respectively the MRHD of 12 mg/day based on body surface area). Exposure (plasma AUC) at all doses was less than anticipated clinical exposure.</w:t>
      </w:r>
    </w:p>
    <w:p w14:paraId="0873B406" w14:textId="77777777" w:rsidR="00FA4E56" w:rsidRDefault="00FA4E56" w:rsidP="00143D1C">
      <w:pPr>
        <w:pStyle w:val="BodyText"/>
        <w:spacing w:after="240"/>
        <w:rPr>
          <w:rFonts w:eastAsia="MS Mincho"/>
          <w:szCs w:val="24"/>
        </w:rPr>
      </w:pPr>
      <w:r w:rsidRPr="00441F2B">
        <w:rPr>
          <w:rFonts w:eastAsia="MS Mincho"/>
          <w:szCs w:val="24"/>
        </w:rPr>
        <w:t>Oral administration of perampanel to rats from early gestation to weaning at doses of</w:t>
      </w:r>
      <w:r>
        <w:rPr>
          <w:rFonts w:eastAsia="MS Mincho"/>
          <w:szCs w:val="24"/>
        </w:rPr>
        <w:t xml:space="preserve"> 1,</w:t>
      </w:r>
      <w:r w:rsidRPr="00441F2B">
        <w:rPr>
          <w:rFonts w:eastAsia="MS Mincho"/>
          <w:szCs w:val="24"/>
        </w:rPr>
        <w:t xml:space="preserve"> 3 or 10mg/kg/day (0.8, 2 and 8 times the MRHD of 12 mg/day based on body surface area) was associated with increased stillbirths and abnormal delivery and nursing behaviour at the mid- and</w:t>
      </w:r>
      <w:r>
        <w:rPr>
          <w:rFonts w:eastAsia="MS Mincho"/>
          <w:szCs w:val="24"/>
        </w:rPr>
        <w:t xml:space="preserve"> high-doses; the no-effect dose</w:t>
      </w:r>
      <w:r w:rsidRPr="00441F2B">
        <w:rPr>
          <w:rFonts w:eastAsia="MS Mincho"/>
          <w:szCs w:val="24"/>
        </w:rPr>
        <w:t xml:space="preserve"> was 1 mg/kg/day. Behavioural development and reproductive function of the offspring were not affected</w:t>
      </w:r>
      <w:r>
        <w:rPr>
          <w:rFonts w:eastAsia="MS Mincho"/>
          <w:szCs w:val="24"/>
        </w:rPr>
        <w:t>.</w:t>
      </w:r>
    </w:p>
    <w:p w14:paraId="50DECCCD" w14:textId="77777777" w:rsidR="00E84DC8" w:rsidRDefault="00527492" w:rsidP="00032264">
      <w:pPr>
        <w:pStyle w:val="Heading3"/>
      </w:pPr>
      <w:r w:rsidRPr="00032264">
        <w:t>Women of childbearing potential</w:t>
      </w:r>
    </w:p>
    <w:p w14:paraId="0E63C70B" w14:textId="77777777" w:rsidR="00E3366C" w:rsidRDefault="00E3366C" w:rsidP="00143D1C">
      <w:pPr>
        <w:pStyle w:val="BodyText"/>
        <w:spacing w:after="240"/>
      </w:pPr>
      <w:r w:rsidRPr="00E3366C">
        <w:t>FYCOMPA is not recommended in women of childbearing potential not using contraception unless clearly necessary.</w:t>
      </w:r>
    </w:p>
    <w:p w14:paraId="7E3DF99A" w14:textId="767BDF72" w:rsidR="00C6307C" w:rsidRDefault="00C6307C" w:rsidP="00032264">
      <w:pPr>
        <w:pStyle w:val="Heading3"/>
      </w:pPr>
      <w:r w:rsidRPr="00032264">
        <w:t xml:space="preserve">Use </w:t>
      </w:r>
      <w:r w:rsidR="004838BD">
        <w:t>i</w:t>
      </w:r>
      <w:r w:rsidRPr="00032264">
        <w:t>n Lactation</w:t>
      </w:r>
    </w:p>
    <w:p w14:paraId="2A9D8614" w14:textId="760931A0" w:rsidR="00FA4E56" w:rsidRDefault="00FA4E56" w:rsidP="00143D1C">
      <w:pPr>
        <w:pStyle w:val="BodyText"/>
        <w:spacing w:after="240"/>
      </w:pPr>
      <w:r>
        <w:t>Studies in lactating rats have shown excretion of perampanel and/or its metabolites in milk. The excretion into breast milk was measured in rats at 10 days post-partum. Levels peaked at one hour and were about 4 times the levels in plasma. Studies in rats with perampanel administration from early gestation to weaning have shown adverse effects (</w:t>
      </w:r>
      <w:r w:rsidR="00E3366C">
        <w:t xml:space="preserve">see Section </w:t>
      </w:r>
      <w:r w:rsidR="00E3366C">
        <w:fldChar w:fldCharType="begin"/>
      </w:r>
      <w:r w:rsidR="00E3366C">
        <w:instrText xml:space="preserve"> REF _Ref2178145 \r \h </w:instrText>
      </w:r>
      <w:r w:rsidR="00E3366C">
        <w:fldChar w:fldCharType="separate"/>
      </w:r>
      <w:r w:rsidR="007B3B4A">
        <w:t>4.6</w:t>
      </w:r>
      <w:r w:rsidR="00E3366C">
        <w:fldChar w:fldCharType="end"/>
      </w:r>
      <w:r w:rsidR="00E3366C">
        <w:t xml:space="preserve"> </w:t>
      </w:r>
      <w:r w:rsidR="00E3366C" w:rsidRPr="00E3366C">
        <w:t>Fertility, Pregnancy And Lactation</w:t>
      </w:r>
      <w:r w:rsidR="00E3366C">
        <w:t>, Use In Pregnancy</w:t>
      </w:r>
      <w:r>
        <w:t>).</w:t>
      </w:r>
    </w:p>
    <w:p w14:paraId="01DF13F0" w14:textId="77777777" w:rsidR="00FA4E56" w:rsidRDefault="00FA4E56" w:rsidP="00143D1C">
      <w:pPr>
        <w:pStyle w:val="BodyText"/>
        <w:spacing w:after="240"/>
      </w:pPr>
      <w:r>
        <w:t>It is not known whether perampanel is excreted in human milk. A risk to the newborns/infants cannot be excluded. A decision must be made whether to discontinue breastfeeding or to discontinue/abstain from FYCOMPA therapy taking into account the benefit of breastfeeding for the child and the benefit of therapy for the woman.</w:t>
      </w:r>
    </w:p>
    <w:p w14:paraId="0BBB72BF" w14:textId="77777777" w:rsidR="00CB2DC4" w:rsidRDefault="00CB2DC4" w:rsidP="00032264">
      <w:pPr>
        <w:pStyle w:val="Heading2"/>
      </w:pPr>
      <w:r w:rsidRPr="00032264">
        <w:t>Effects on ability to drive and use machines</w:t>
      </w:r>
    </w:p>
    <w:p w14:paraId="312DB78B" w14:textId="77777777" w:rsidR="00FA4E56" w:rsidRDefault="00FA4E56" w:rsidP="00143D1C">
      <w:pPr>
        <w:pStyle w:val="BodyText"/>
        <w:spacing w:after="240"/>
      </w:pPr>
      <w:r>
        <w:t>FYCOMPA has moderate influence on the ability to drive and use machines.</w:t>
      </w:r>
    </w:p>
    <w:p w14:paraId="5B88A128" w14:textId="77777777" w:rsidR="00FA4E56" w:rsidRDefault="00FA4E56" w:rsidP="00143D1C">
      <w:pPr>
        <w:pStyle w:val="BodyText"/>
        <w:spacing w:after="240"/>
      </w:pPr>
      <w:r>
        <w:t>FYCOMPA may cause dizziness and somnolence and therefore may influence the ability to drive or use machines. Patients are advised not to drive a vehicle, operate complex machinery or engage in other potentially hazardous activities until it is known whether FYCOMPA affects their ability to perform these tasks.</w:t>
      </w:r>
    </w:p>
    <w:p w14:paraId="192CAEED" w14:textId="77777777" w:rsidR="00766F3B" w:rsidRDefault="00766F3B" w:rsidP="00766F3B">
      <w:pPr>
        <w:pStyle w:val="Heading2"/>
        <w:ind w:left="578" w:hanging="578"/>
      </w:pPr>
      <w:bookmarkStart w:id="8" w:name="_Ref503187256"/>
      <w:r w:rsidRPr="00356A04">
        <w:t>Adverse effects (Undesirable effects)</w:t>
      </w:r>
      <w:bookmarkEnd w:id="8"/>
    </w:p>
    <w:p w14:paraId="623F8B3E" w14:textId="77777777" w:rsidR="00026C88" w:rsidRPr="00BE78D8" w:rsidRDefault="00026C88" w:rsidP="00766F3B">
      <w:pPr>
        <w:pStyle w:val="Heading3"/>
        <w:rPr>
          <w:lang w:val="en-US"/>
        </w:rPr>
      </w:pPr>
      <w:r w:rsidRPr="00BE78D8">
        <w:rPr>
          <w:lang w:val="en-US"/>
        </w:rPr>
        <w:t>Clinical Trials</w:t>
      </w:r>
    </w:p>
    <w:p w14:paraId="45F6E110" w14:textId="45471300" w:rsidR="00256A10" w:rsidRPr="00691842" w:rsidRDefault="00256A10" w:rsidP="00256A10">
      <w:pPr>
        <w:pStyle w:val="Heading4"/>
        <w:rPr>
          <w:lang w:val="en-US"/>
        </w:rPr>
      </w:pPr>
      <w:r w:rsidRPr="00691842">
        <w:rPr>
          <w:lang w:val="en-US"/>
        </w:rPr>
        <w:t>Partial-Onset Seizures</w:t>
      </w:r>
      <w:r w:rsidR="009F76D9">
        <w:rPr>
          <w:lang w:val="en-US"/>
        </w:rPr>
        <w:t xml:space="preserve"> in adults and adolescents</w:t>
      </w:r>
    </w:p>
    <w:p w14:paraId="2B250173" w14:textId="53AC7D41" w:rsidR="00256A10" w:rsidRPr="003C3AA8" w:rsidRDefault="00256A10" w:rsidP="00143D1C">
      <w:pPr>
        <w:pStyle w:val="BodyText"/>
        <w:spacing w:after="240"/>
        <w:rPr>
          <w:lang w:val="en-US"/>
        </w:rPr>
      </w:pPr>
      <w:r w:rsidRPr="003C3AA8">
        <w:rPr>
          <w:lang w:val="en-US"/>
        </w:rPr>
        <w:t>A total of 1,038</w:t>
      </w:r>
      <w:r w:rsidR="009F76D9" w:rsidRPr="009F76D9">
        <w:rPr>
          <w:lang w:val="en-US"/>
        </w:rPr>
        <w:t xml:space="preserve"> </w:t>
      </w:r>
      <w:r w:rsidR="009F76D9">
        <w:rPr>
          <w:lang w:val="en-US"/>
        </w:rPr>
        <w:t>in adult and adolescent</w:t>
      </w:r>
      <w:r w:rsidRPr="003C3AA8">
        <w:rPr>
          <w:lang w:val="en-US"/>
        </w:rPr>
        <w:t xml:space="preserve"> patients on </w:t>
      </w:r>
      <w:r>
        <w:t>perampanel</w:t>
      </w:r>
      <w:r w:rsidRPr="003C3AA8">
        <w:rPr>
          <w:lang w:val="en-US"/>
        </w:rPr>
        <w:t xml:space="preserve"> (2, 4, 8, or 12 mg once daily) constituted the safety population in the pooled analysis of Phase 3 placebo controlled studies in patients with partial</w:t>
      </w:r>
      <w:r>
        <w:rPr>
          <w:lang w:val="en-US"/>
        </w:rPr>
        <w:t>-</w:t>
      </w:r>
      <w:r w:rsidRPr="003C3AA8">
        <w:rPr>
          <w:lang w:val="en-US"/>
        </w:rPr>
        <w:t>onset seizures.</w:t>
      </w:r>
      <w:r>
        <w:rPr>
          <w:lang w:val="en-US"/>
        </w:rPr>
        <w:t xml:space="preserve"> </w:t>
      </w:r>
      <w:r w:rsidRPr="003C3AA8">
        <w:rPr>
          <w:lang w:val="en-US"/>
        </w:rPr>
        <w:t>Approximately 51% of patients were female and the mean age was 35 years.</w:t>
      </w:r>
      <w:r>
        <w:rPr>
          <w:lang w:val="en-US"/>
        </w:rPr>
        <w:t xml:space="preserve"> </w:t>
      </w:r>
    </w:p>
    <w:p w14:paraId="5999AFFF" w14:textId="77777777" w:rsidR="00256A10" w:rsidRPr="00256A10" w:rsidRDefault="00256A10" w:rsidP="00256A10">
      <w:pPr>
        <w:pStyle w:val="BodyText"/>
        <w:rPr>
          <w:i/>
          <w:iCs/>
          <w:lang w:val="en-US"/>
        </w:rPr>
      </w:pPr>
      <w:r w:rsidRPr="00256A10">
        <w:rPr>
          <w:i/>
          <w:iCs/>
          <w:lang w:val="en-US"/>
        </w:rPr>
        <w:t>Adverse Reactions Leading to Discontinuation</w:t>
      </w:r>
    </w:p>
    <w:p w14:paraId="7801AFD6" w14:textId="77777777" w:rsidR="00256A10" w:rsidRPr="003C3AA8" w:rsidRDefault="00256A10" w:rsidP="00143D1C">
      <w:pPr>
        <w:pStyle w:val="BodyText"/>
        <w:spacing w:after="240"/>
        <w:rPr>
          <w:lang w:val="en-US"/>
        </w:rPr>
      </w:pPr>
      <w:r w:rsidRPr="003C3AA8">
        <w:rPr>
          <w:lang w:val="en-US"/>
        </w:rPr>
        <w:t xml:space="preserve">In controlled Phase 3 clinical trials the rate of discontinuation as a result of an adverse reaction was 3%, 8% and 19% in patients </w:t>
      </w:r>
      <w:r>
        <w:rPr>
          <w:lang w:val="en-US"/>
        </w:rPr>
        <w:t>randomised</w:t>
      </w:r>
      <w:r w:rsidRPr="003C3AA8">
        <w:rPr>
          <w:lang w:val="en-US"/>
        </w:rPr>
        <w:t xml:space="preserve"> to receive </w:t>
      </w:r>
      <w:r w:rsidRPr="00256A10">
        <w:t>FYCOMPA</w:t>
      </w:r>
      <w:r w:rsidRPr="003C3AA8">
        <w:rPr>
          <w:lang w:val="en-US"/>
        </w:rPr>
        <w:t xml:space="preserve"> at the recommended doses of 4 mg, 8 mg and 12 mg/day, respectively, and 5% in patients </w:t>
      </w:r>
      <w:r>
        <w:rPr>
          <w:lang w:val="en-US"/>
        </w:rPr>
        <w:t>randomised</w:t>
      </w:r>
      <w:r w:rsidRPr="003C3AA8">
        <w:rPr>
          <w:lang w:val="en-US"/>
        </w:rPr>
        <w:t xml:space="preserve"> to receive placebo The adverse events most commonly leading to discontinuation (≥1% in the 8 mg or 12 mg </w:t>
      </w:r>
      <w:r w:rsidRPr="00256A10">
        <w:t>FYCOMPA</w:t>
      </w:r>
      <w:r w:rsidRPr="003C3AA8">
        <w:rPr>
          <w:lang w:val="en-US"/>
        </w:rPr>
        <w:t xml:space="preserve"> group and greater than placebo) were dizziness, somnolence, vertigo, aggression, anger, ataxia, blurred vision, irritability, and dysarthria</w:t>
      </w:r>
      <w:r>
        <w:rPr>
          <w:lang w:val="en-US"/>
        </w:rPr>
        <w:t>.</w:t>
      </w:r>
      <w:r w:rsidRPr="003C3AA8">
        <w:rPr>
          <w:lang w:val="en-US"/>
        </w:rPr>
        <w:t xml:space="preserve"> </w:t>
      </w:r>
    </w:p>
    <w:p w14:paraId="323739B3" w14:textId="77777777" w:rsidR="00256A10" w:rsidRPr="00256A10" w:rsidRDefault="00256A10" w:rsidP="00256A10">
      <w:pPr>
        <w:pStyle w:val="BodyText"/>
        <w:rPr>
          <w:i/>
          <w:iCs/>
          <w:lang w:val="en-US"/>
        </w:rPr>
      </w:pPr>
      <w:r w:rsidRPr="00256A10">
        <w:rPr>
          <w:i/>
          <w:iCs/>
          <w:lang w:val="en-US"/>
        </w:rPr>
        <w:t>Most Common Adverse Reactions</w:t>
      </w:r>
    </w:p>
    <w:p w14:paraId="0BAD4E63" w14:textId="1AB0B6BA" w:rsidR="00256A10" w:rsidRPr="003C3AA8" w:rsidRDefault="00D8104D" w:rsidP="00143D1C">
      <w:pPr>
        <w:pStyle w:val="BodyText"/>
        <w:spacing w:after="240"/>
        <w:rPr>
          <w:lang w:val="en-US"/>
        </w:rPr>
      </w:pPr>
      <w:r>
        <w:rPr>
          <w:lang w:val="en-US"/>
        </w:rPr>
        <w:fldChar w:fldCharType="begin"/>
      </w:r>
      <w:r>
        <w:rPr>
          <w:lang w:val="en-US"/>
        </w:rPr>
        <w:instrText xml:space="preserve"> REF _Ref42870248 \h </w:instrText>
      </w:r>
      <w:r>
        <w:rPr>
          <w:lang w:val="en-US"/>
        </w:rPr>
      </w:r>
      <w:r>
        <w:rPr>
          <w:lang w:val="en-US"/>
        </w:rPr>
        <w:fldChar w:fldCharType="separate"/>
      </w:r>
      <w:r w:rsidR="007B3B4A">
        <w:t xml:space="preserve">Table </w:t>
      </w:r>
      <w:r w:rsidR="007B3B4A">
        <w:rPr>
          <w:noProof/>
        </w:rPr>
        <w:t>4</w:t>
      </w:r>
      <w:r>
        <w:rPr>
          <w:lang w:val="en-US"/>
        </w:rPr>
        <w:fldChar w:fldCharType="end"/>
      </w:r>
      <w:r w:rsidR="00256A10">
        <w:rPr>
          <w:lang w:val="en-US"/>
        </w:rPr>
        <w:t xml:space="preserve"> below</w:t>
      </w:r>
      <w:r w:rsidR="00256A10" w:rsidRPr="003C3AA8">
        <w:rPr>
          <w:lang w:val="en-US"/>
        </w:rPr>
        <w:t xml:space="preserve"> gives the incidence in the Phase 3 controlled trials of the adverse reactions that occurred in ≥2% of patients with partial-onset seizures in any </w:t>
      </w:r>
      <w:r w:rsidR="00256A10" w:rsidRPr="00256A10">
        <w:t>FYCOMPA</w:t>
      </w:r>
      <w:r w:rsidR="00256A10" w:rsidRPr="003C3AA8">
        <w:rPr>
          <w:lang w:val="en-US"/>
        </w:rPr>
        <w:t xml:space="preserve"> dose group.</w:t>
      </w:r>
      <w:r w:rsidR="00256A10">
        <w:rPr>
          <w:lang w:val="en-US"/>
        </w:rPr>
        <w:t xml:space="preserve"> </w:t>
      </w:r>
      <w:r w:rsidR="00256A10" w:rsidRPr="003C3AA8">
        <w:rPr>
          <w:lang w:val="en-US"/>
        </w:rPr>
        <w:t xml:space="preserve">Overall, the most frequently reported dose-related adverse reactions in patients receiving </w:t>
      </w:r>
      <w:r w:rsidR="00256A10" w:rsidRPr="00256A10">
        <w:t>FYCOMPA</w:t>
      </w:r>
      <w:r w:rsidR="00256A10" w:rsidRPr="003C3AA8">
        <w:rPr>
          <w:lang w:val="en-US"/>
        </w:rPr>
        <w:t xml:space="preserve"> at doses of 8 mg or 12 mg (≥4% and occurring at least 1% higher than the placebo group) included dizziness (36%), somnolence (16%), fatigue (10%), irritability (9%), falls (7%), nausea (7%), ataxia (5%), balance disorder (4%), gait disturbance (4%), vertigo (4%), and weight gain (4%). For almost every adverse reaction, rates were higher on 12 mg and more often led to dose reduction or discontinuation.</w:t>
      </w:r>
      <w:r w:rsidR="00256A10">
        <w:rPr>
          <w:lang w:val="en-US"/>
        </w:rPr>
        <w:t xml:space="preserve"> </w:t>
      </w:r>
    </w:p>
    <w:p w14:paraId="5D55BE9B" w14:textId="42C1A3AE" w:rsidR="00256A10" w:rsidRDefault="00256A10" w:rsidP="000A401A">
      <w:pPr>
        <w:pStyle w:val="Caption"/>
      </w:pPr>
      <w:bookmarkStart w:id="9" w:name="_Ref42870248"/>
      <w:r>
        <w:t xml:space="preserve">Table </w:t>
      </w:r>
      <w:r w:rsidR="00F76FA0">
        <w:rPr>
          <w:noProof/>
        </w:rPr>
        <w:fldChar w:fldCharType="begin"/>
      </w:r>
      <w:r w:rsidR="00F76FA0">
        <w:rPr>
          <w:noProof/>
        </w:rPr>
        <w:instrText xml:space="preserve"> SEQ Table \* ARABIC </w:instrText>
      </w:r>
      <w:r w:rsidR="00F76FA0">
        <w:rPr>
          <w:noProof/>
        </w:rPr>
        <w:fldChar w:fldCharType="separate"/>
      </w:r>
      <w:r w:rsidR="007B3B4A">
        <w:rPr>
          <w:noProof/>
        </w:rPr>
        <w:t>4</w:t>
      </w:r>
      <w:r w:rsidR="00F76FA0">
        <w:rPr>
          <w:noProof/>
        </w:rPr>
        <w:fldChar w:fldCharType="end"/>
      </w:r>
      <w:bookmarkEnd w:id="9"/>
      <w:r w:rsidR="007A0A9C">
        <w:t>:</w:t>
      </w:r>
      <w:r>
        <w:t xml:space="preserve"> </w:t>
      </w:r>
      <w:r w:rsidRPr="000D4FC0">
        <w:t xml:space="preserve">Adverse Reactions in Pooled Double-blind Trials in Patients with Partial-Onset Seizures (Reactions ≥ 2% of Patients in Highest </w:t>
      </w:r>
      <w:r>
        <w:t>FYCOMPA</w:t>
      </w:r>
      <w:r w:rsidRPr="000D4FC0">
        <w:t xml:space="preserve"> Dose (12 mg) Group and More Frequent than Placebo)</w:t>
      </w:r>
    </w:p>
    <w:tbl>
      <w:tblPr>
        <w:tblW w:w="7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080"/>
        <w:gridCol w:w="900"/>
        <w:gridCol w:w="916"/>
        <w:gridCol w:w="946"/>
        <w:gridCol w:w="28"/>
      </w:tblGrid>
      <w:tr w:rsidR="00256A10" w:rsidRPr="005F4F0B" w14:paraId="3A7D3D9B" w14:textId="77777777" w:rsidTr="00023A60">
        <w:trPr>
          <w:tblHeader/>
          <w:jc w:val="center"/>
        </w:trPr>
        <w:tc>
          <w:tcPr>
            <w:tcW w:w="3528" w:type="dxa"/>
            <w:vMerge w:val="restart"/>
            <w:shd w:val="clear" w:color="auto" w:fill="auto"/>
            <w:vAlign w:val="bottom"/>
          </w:tcPr>
          <w:p w14:paraId="3D7E2038" w14:textId="77777777" w:rsidR="00256A10" w:rsidRPr="005F4F0B" w:rsidRDefault="00256A10" w:rsidP="000A401A">
            <w:pPr>
              <w:pStyle w:val="BodyText"/>
              <w:keepNext/>
              <w:rPr>
                <w:sz w:val="20"/>
              </w:rPr>
            </w:pPr>
          </w:p>
        </w:tc>
        <w:tc>
          <w:tcPr>
            <w:tcW w:w="1080" w:type="dxa"/>
            <w:vMerge w:val="restart"/>
            <w:shd w:val="clear" w:color="auto" w:fill="auto"/>
            <w:vAlign w:val="center"/>
          </w:tcPr>
          <w:p w14:paraId="2AA6CB01" w14:textId="77777777" w:rsidR="00256A10" w:rsidRPr="00023A60" w:rsidRDefault="00256A10" w:rsidP="00023A60">
            <w:pPr>
              <w:pStyle w:val="BodyText"/>
              <w:rPr>
                <w:bCs/>
                <w:sz w:val="20"/>
              </w:rPr>
            </w:pPr>
            <w:r w:rsidRPr="00023A60">
              <w:rPr>
                <w:bCs/>
                <w:sz w:val="20"/>
              </w:rPr>
              <w:t>Placebo</w:t>
            </w:r>
          </w:p>
          <w:p w14:paraId="5BC6A3DA" w14:textId="77777777" w:rsidR="00256A10" w:rsidRPr="00023A60" w:rsidRDefault="00256A10" w:rsidP="00023A60">
            <w:pPr>
              <w:pStyle w:val="BodyText"/>
              <w:rPr>
                <w:bCs/>
                <w:sz w:val="20"/>
              </w:rPr>
            </w:pPr>
            <w:r w:rsidRPr="00023A60">
              <w:rPr>
                <w:bCs/>
                <w:sz w:val="20"/>
              </w:rPr>
              <w:t>n=442</w:t>
            </w:r>
          </w:p>
          <w:p w14:paraId="6E88CEC4" w14:textId="77777777" w:rsidR="00256A10" w:rsidRPr="005F4F0B" w:rsidRDefault="00256A10" w:rsidP="00023A60">
            <w:pPr>
              <w:pStyle w:val="BodyText"/>
            </w:pPr>
            <w:r w:rsidRPr="00023A60">
              <w:rPr>
                <w:bCs/>
                <w:sz w:val="20"/>
              </w:rPr>
              <w:t>%</w:t>
            </w:r>
          </w:p>
        </w:tc>
        <w:tc>
          <w:tcPr>
            <w:tcW w:w="2790" w:type="dxa"/>
            <w:gridSpan w:val="4"/>
            <w:shd w:val="clear" w:color="auto" w:fill="auto"/>
            <w:vAlign w:val="center"/>
          </w:tcPr>
          <w:p w14:paraId="1171169D" w14:textId="77777777" w:rsidR="00256A10" w:rsidRPr="00023A60" w:rsidRDefault="00256A10" w:rsidP="00023A60">
            <w:pPr>
              <w:pStyle w:val="BodyText"/>
              <w:rPr>
                <w:bCs/>
                <w:sz w:val="20"/>
              </w:rPr>
            </w:pPr>
            <w:r w:rsidRPr="00023A60">
              <w:rPr>
                <w:bCs/>
                <w:sz w:val="20"/>
              </w:rPr>
              <w:t>FYCOMPA</w:t>
            </w:r>
          </w:p>
        </w:tc>
      </w:tr>
      <w:tr w:rsidR="00256A10" w:rsidRPr="005F4F0B" w14:paraId="0F8B35D9" w14:textId="77777777" w:rsidTr="00023A60">
        <w:trPr>
          <w:gridAfter w:val="1"/>
          <w:wAfter w:w="28" w:type="dxa"/>
          <w:tblHeader/>
          <w:jc w:val="center"/>
        </w:trPr>
        <w:tc>
          <w:tcPr>
            <w:tcW w:w="3528" w:type="dxa"/>
            <w:vMerge/>
            <w:shd w:val="clear" w:color="auto" w:fill="auto"/>
          </w:tcPr>
          <w:p w14:paraId="71B14277" w14:textId="77777777" w:rsidR="00256A10" w:rsidRPr="005F4F0B" w:rsidRDefault="00256A10" w:rsidP="008D3834">
            <w:pPr>
              <w:pStyle w:val="BodyText"/>
              <w:keepNext/>
              <w:rPr>
                <w:sz w:val="20"/>
              </w:rPr>
            </w:pPr>
          </w:p>
        </w:tc>
        <w:tc>
          <w:tcPr>
            <w:tcW w:w="1080" w:type="dxa"/>
            <w:vMerge/>
            <w:shd w:val="clear" w:color="auto" w:fill="auto"/>
            <w:vAlign w:val="center"/>
          </w:tcPr>
          <w:p w14:paraId="384FC34C" w14:textId="77777777" w:rsidR="00256A10" w:rsidRPr="005F4F0B" w:rsidRDefault="00256A10" w:rsidP="008D3834">
            <w:pPr>
              <w:pStyle w:val="BodyText"/>
              <w:keepNext/>
              <w:rPr>
                <w:sz w:val="20"/>
              </w:rPr>
            </w:pPr>
          </w:p>
        </w:tc>
        <w:tc>
          <w:tcPr>
            <w:tcW w:w="900" w:type="dxa"/>
            <w:shd w:val="clear" w:color="auto" w:fill="auto"/>
            <w:vAlign w:val="center"/>
          </w:tcPr>
          <w:p w14:paraId="6703FC05" w14:textId="77777777" w:rsidR="00256A10" w:rsidRPr="00023A60" w:rsidRDefault="00256A10" w:rsidP="00863D0D">
            <w:pPr>
              <w:pStyle w:val="BodyText"/>
              <w:rPr>
                <w:bCs/>
                <w:sz w:val="20"/>
              </w:rPr>
            </w:pPr>
            <w:r w:rsidRPr="00023A60">
              <w:rPr>
                <w:bCs/>
                <w:sz w:val="20"/>
              </w:rPr>
              <w:t>4 mg</w:t>
            </w:r>
          </w:p>
          <w:p w14:paraId="1EE83B9D" w14:textId="77777777" w:rsidR="00256A10" w:rsidRPr="00023A60" w:rsidRDefault="00256A10">
            <w:pPr>
              <w:pStyle w:val="BodyText"/>
              <w:rPr>
                <w:bCs/>
                <w:sz w:val="20"/>
              </w:rPr>
            </w:pPr>
            <w:r w:rsidRPr="00023A60">
              <w:rPr>
                <w:bCs/>
                <w:sz w:val="20"/>
              </w:rPr>
              <w:t>n=172</w:t>
            </w:r>
          </w:p>
          <w:p w14:paraId="4E43A9CF" w14:textId="77777777" w:rsidR="00256A10" w:rsidRPr="005F4F0B" w:rsidRDefault="00256A10">
            <w:pPr>
              <w:pStyle w:val="BodyText"/>
            </w:pPr>
            <w:r w:rsidRPr="00023A60">
              <w:rPr>
                <w:bCs/>
                <w:sz w:val="20"/>
              </w:rPr>
              <w:t>%</w:t>
            </w:r>
          </w:p>
        </w:tc>
        <w:tc>
          <w:tcPr>
            <w:tcW w:w="916" w:type="dxa"/>
            <w:shd w:val="clear" w:color="auto" w:fill="auto"/>
            <w:vAlign w:val="center"/>
          </w:tcPr>
          <w:p w14:paraId="14D657BF" w14:textId="77777777" w:rsidR="00256A10" w:rsidRPr="00023A60" w:rsidRDefault="00256A10">
            <w:pPr>
              <w:pStyle w:val="BodyText"/>
              <w:rPr>
                <w:bCs/>
                <w:sz w:val="20"/>
              </w:rPr>
            </w:pPr>
            <w:r w:rsidRPr="00023A60">
              <w:rPr>
                <w:bCs/>
                <w:sz w:val="20"/>
              </w:rPr>
              <w:t>8 mg</w:t>
            </w:r>
          </w:p>
          <w:p w14:paraId="7DF1034A" w14:textId="77777777" w:rsidR="00256A10" w:rsidRPr="00023A60" w:rsidRDefault="00256A10">
            <w:pPr>
              <w:pStyle w:val="BodyText"/>
              <w:rPr>
                <w:bCs/>
                <w:sz w:val="20"/>
              </w:rPr>
            </w:pPr>
            <w:r w:rsidRPr="00023A60">
              <w:rPr>
                <w:bCs/>
                <w:sz w:val="20"/>
              </w:rPr>
              <w:t>n=431</w:t>
            </w:r>
          </w:p>
          <w:p w14:paraId="221823F9" w14:textId="77777777" w:rsidR="00256A10" w:rsidRPr="005F4F0B" w:rsidRDefault="00256A10">
            <w:pPr>
              <w:pStyle w:val="BodyText"/>
            </w:pPr>
            <w:r w:rsidRPr="00023A60">
              <w:rPr>
                <w:bCs/>
                <w:sz w:val="20"/>
              </w:rPr>
              <w:t>%</w:t>
            </w:r>
          </w:p>
        </w:tc>
        <w:tc>
          <w:tcPr>
            <w:tcW w:w="946" w:type="dxa"/>
            <w:shd w:val="clear" w:color="auto" w:fill="auto"/>
            <w:vAlign w:val="center"/>
          </w:tcPr>
          <w:p w14:paraId="1328C520" w14:textId="77777777" w:rsidR="00256A10" w:rsidRPr="00023A60" w:rsidRDefault="00256A10">
            <w:pPr>
              <w:pStyle w:val="BodyText"/>
              <w:rPr>
                <w:bCs/>
                <w:sz w:val="20"/>
              </w:rPr>
            </w:pPr>
            <w:r w:rsidRPr="00023A60">
              <w:rPr>
                <w:bCs/>
                <w:sz w:val="20"/>
              </w:rPr>
              <w:t>12 mg</w:t>
            </w:r>
          </w:p>
          <w:p w14:paraId="1E1F22E9" w14:textId="77777777" w:rsidR="00256A10" w:rsidRPr="00023A60" w:rsidRDefault="00256A10">
            <w:pPr>
              <w:pStyle w:val="BodyText"/>
              <w:rPr>
                <w:bCs/>
                <w:sz w:val="20"/>
              </w:rPr>
            </w:pPr>
            <w:r w:rsidRPr="00023A60">
              <w:rPr>
                <w:bCs/>
                <w:sz w:val="20"/>
              </w:rPr>
              <w:t>n=255</w:t>
            </w:r>
          </w:p>
          <w:p w14:paraId="2B8B06A8" w14:textId="77777777" w:rsidR="00256A10" w:rsidRPr="005F4F0B" w:rsidRDefault="00256A10">
            <w:pPr>
              <w:pStyle w:val="BodyText"/>
            </w:pPr>
            <w:r w:rsidRPr="00023A60">
              <w:rPr>
                <w:bCs/>
                <w:sz w:val="20"/>
              </w:rPr>
              <w:t>%</w:t>
            </w:r>
          </w:p>
        </w:tc>
      </w:tr>
      <w:tr w:rsidR="00256A10" w:rsidRPr="005F4F0B" w14:paraId="37492408" w14:textId="77777777" w:rsidTr="00F76FA0">
        <w:trPr>
          <w:gridAfter w:val="1"/>
          <w:wAfter w:w="28" w:type="dxa"/>
          <w:jc w:val="center"/>
        </w:trPr>
        <w:tc>
          <w:tcPr>
            <w:tcW w:w="3528" w:type="dxa"/>
            <w:shd w:val="clear" w:color="auto" w:fill="auto"/>
          </w:tcPr>
          <w:p w14:paraId="6A9D7F00" w14:textId="77777777" w:rsidR="00256A10" w:rsidRPr="00023A60" w:rsidRDefault="00256A10" w:rsidP="00023A60">
            <w:pPr>
              <w:pStyle w:val="BodyText"/>
              <w:rPr>
                <w:bCs/>
                <w:sz w:val="20"/>
              </w:rPr>
            </w:pPr>
            <w:r w:rsidRPr="00023A60">
              <w:rPr>
                <w:bCs/>
                <w:sz w:val="20"/>
              </w:rPr>
              <w:t>Ear and Labyrinth Disorders</w:t>
            </w:r>
          </w:p>
        </w:tc>
        <w:tc>
          <w:tcPr>
            <w:tcW w:w="1080" w:type="dxa"/>
            <w:shd w:val="clear" w:color="auto" w:fill="auto"/>
          </w:tcPr>
          <w:p w14:paraId="371E138B" w14:textId="77777777" w:rsidR="00256A10" w:rsidRPr="005F4F0B" w:rsidRDefault="00256A10" w:rsidP="000A401A">
            <w:pPr>
              <w:pStyle w:val="BodyText"/>
              <w:keepNext/>
              <w:rPr>
                <w:sz w:val="20"/>
              </w:rPr>
            </w:pPr>
          </w:p>
        </w:tc>
        <w:tc>
          <w:tcPr>
            <w:tcW w:w="900" w:type="dxa"/>
            <w:shd w:val="clear" w:color="auto" w:fill="auto"/>
          </w:tcPr>
          <w:p w14:paraId="17E08E98" w14:textId="77777777" w:rsidR="00256A10" w:rsidRPr="005F4F0B" w:rsidRDefault="00256A10" w:rsidP="000A401A">
            <w:pPr>
              <w:pStyle w:val="BodyText"/>
              <w:keepNext/>
              <w:rPr>
                <w:sz w:val="20"/>
              </w:rPr>
            </w:pPr>
          </w:p>
        </w:tc>
        <w:tc>
          <w:tcPr>
            <w:tcW w:w="916" w:type="dxa"/>
            <w:shd w:val="clear" w:color="auto" w:fill="auto"/>
          </w:tcPr>
          <w:p w14:paraId="1CCB218E" w14:textId="77777777" w:rsidR="00256A10" w:rsidRPr="005F4F0B" w:rsidRDefault="00256A10" w:rsidP="000A401A">
            <w:pPr>
              <w:pStyle w:val="BodyText"/>
              <w:keepNext/>
              <w:rPr>
                <w:sz w:val="20"/>
              </w:rPr>
            </w:pPr>
          </w:p>
        </w:tc>
        <w:tc>
          <w:tcPr>
            <w:tcW w:w="946" w:type="dxa"/>
            <w:shd w:val="clear" w:color="auto" w:fill="auto"/>
          </w:tcPr>
          <w:p w14:paraId="37D3113D" w14:textId="77777777" w:rsidR="00256A10" w:rsidRPr="005F4F0B" w:rsidRDefault="00256A10" w:rsidP="000A401A">
            <w:pPr>
              <w:pStyle w:val="BodyText"/>
              <w:keepNext/>
              <w:rPr>
                <w:sz w:val="20"/>
              </w:rPr>
            </w:pPr>
          </w:p>
        </w:tc>
      </w:tr>
      <w:tr w:rsidR="00256A10" w:rsidRPr="005F4F0B" w14:paraId="255E6CE2" w14:textId="77777777" w:rsidTr="00F76FA0">
        <w:trPr>
          <w:gridAfter w:val="1"/>
          <w:wAfter w:w="28" w:type="dxa"/>
          <w:jc w:val="center"/>
        </w:trPr>
        <w:tc>
          <w:tcPr>
            <w:tcW w:w="3528" w:type="dxa"/>
            <w:shd w:val="clear" w:color="auto" w:fill="auto"/>
          </w:tcPr>
          <w:p w14:paraId="0BF81CB4" w14:textId="77777777" w:rsidR="00256A10" w:rsidRPr="00023A60" w:rsidRDefault="00256A10" w:rsidP="00863D0D">
            <w:pPr>
              <w:pStyle w:val="BodyText"/>
              <w:rPr>
                <w:bCs/>
                <w:sz w:val="20"/>
              </w:rPr>
            </w:pPr>
            <w:r w:rsidRPr="00023A60">
              <w:rPr>
                <w:bCs/>
                <w:sz w:val="20"/>
              </w:rPr>
              <w:t xml:space="preserve">   Vertigo</w:t>
            </w:r>
          </w:p>
        </w:tc>
        <w:tc>
          <w:tcPr>
            <w:tcW w:w="1080" w:type="dxa"/>
            <w:shd w:val="clear" w:color="auto" w:fill="auto"/>
          </w:tcPr>
          <w:p w14:paraId="4871D80B" w14:textId="77777777" w:rsidR="00256A10" w:rsidRPr="00023A60" w:rsidRDefault="00256A10">
            <w:pPr>
              <w:pStyle w:val="BodyText"/>
              <w:rPr>
                <w:bCs/>
                <w:sz w:val="20"/>
              </w:rPr>
            </w:pPr>
            <w:r w:rsidRPr="00023A60">
              <w:rPr>
                <w:bCs/>
                <w:sz w:val="20"/>
              </w:rPr>
              <w:t>1</w:t>
            </w:r>
          </w:p>
        </w:tc>
        <w:tc>
          <w:tcPr>
            <w:tcW w:w="900" w:type="dxa"/>
            <w:shd w:val="clear" w:color="auto" w:fill="auto"/>
          </w:tcPr>
          <w:p w14:paraId="5279EFBE" w14:textId="77777777" w:rsidR="00256A10" w:rsidRPr="00023A60" w:rsidRDefault="00256A10">
            <w:pPr>
              <w:pStyle w:val="BodyText"/>
              <w:rPr>
                <w:bCs/>
                <w:sz w:val="20"/>
              </w:rPr>
            </w:pPr>
            <w:r w:rsidRPr="00023A60">
              <w:rPr>
                <w:bCs/>
                <w:sz w:val="20"/>
              </w:rPr>
              <w:t>4</w:t>
            </w:r>
          </w:p>
        </w:tc>
        <w:tc>
          <w:tcPr>
            <w:tcW w:w="916" w:type="dxa"/>
            <w:shd w:val="clear" w:color="auto" w:fill="auto"/>
          </w:tcPr>
          <w:p w14:paraId="2AEF2C62" w14:textId="77777777" w:rsidR="00256A10" w:rsidRPr="00023A60" w:rsidRDefault="00256A10">
            <w:pPr>
              <w:pStyle w:val="BodyText"/>
              <w:rPr>
                <w:bCs/>
                <w:sz w:val="20"/>
              </w:rPr>
            </w:pPr>
            <w:r w:rsidRPr="00023A60">
              <w:rPr>
                <w:bCs/>
                <w:sz w:val="20"/>
              </w:rPr>
              <w:t>3</w:t>
            </w:r>
          </w:p>
        </w:tc>
        <w:tc>
          <w:tcPr>
            <w:tcW w:w="946" w:type="dxa"/>
            <w:shd w:val="clear" w:color="auto" w:fill="auto"/>
          </w:tcPr>
          <w:p w14:paraId="348675B5" w14:textId="77777777" w:rsidR="00256A10" w:rsidRPr="00023A60" w:rsidRDefault="00256A10">
            <w:pPr>
              <w:pStyle w:val="BodyText"/>
              <w:rPr>
                <w:bCs/>
                <w:sz w:val="20"/>
              </w:rPr>
            </w:pPr>
            <w:r w:rsidRPr="00023A60">
              <w:rPr>
                <w:bCs/>
                <w:sz w:val="20"/>
              </w:rPr>
              <w:t>5</w:t>
            </w:r>
          </w:p>
        </w:tc>
      </w:tr>
      <w:tr w:rsidR="00256A10" w:rsidRPr="005F4F0B" w14:paraId="6ACB24D2" w14:textId="77777777" w:rsidTr="00F76FA0">
        <w:trPr>
          <w:gridAfter w:val="1"/>
          <w:wAfter w:w="28" w:type="dxa"/>
          <w:jc w:val="center"/>
        </w:trPr>
        <w:tc>
          <w:tcPr>
            <w:tcW w:w="3528" w:type="dxa"/>
            <w:shd w:val="clear" w:color="auto" w:fill="auto"/>
          </w:tcPr>
          <w:p w14:paraId="3283E28F" w14:textId="77777777" w:rsidR="00256A10" w:rsidRPr="00023A60" w:rsidRDefault="00256A10" w:rsidP="00863D0D">
            <w:pPr>
              <w:pStyle w:val="BodyText"/>
              <w:rPr>
                <w:bCs/>
                <w:sz w:val="20"/>
              </w:rPr>
            </w:pPr>
            <w:r w:rsidRPr="00023A60">
              <w:rPr>
                <w:bCs/>
                <w:sz w:val="20"/>
              </w:rPr>
              <w:t>Eye Disorders</w:t>
            </w:r>
          </w:p>
        </w:tc>
        <w:tc>
          <w:tcPr>
            <w:tcW w:w="1080" w:type="dxa"/>
            <w:shd w:val="clear" w:color="auto" w:fill="auto"/>
            <w:vAlign w:val="center"/>
          </w:tcPr>
          <w:p w14:paraId="0897543B" w14:textId="77777777" w:rsidR="00256A10" w:rsidRPr="005F4F0B" w:rsidRDefault="00256A10" w:rsidP="00256A10">
            <w:pPr>
              <w:pStyle w:val="BodyText"/>
              <w:rPr>
                <w:sz w:val="20"/>
              </w:rPr>
            </w:pPr>
          </w:p>
        </w:tc>
        <w:tc>
          <w:tcPr>
            <w:tcW w:w="900" w:type="dxa"/>
            <w:shd w:val="clear" w:color="auto" w:fill="auto"/>
            <w:vAlign w:val="center"/>
          </w:tcPr>
          <w:p w14:paraId="30870B77" w14:textId="77777777" w:rsidR="00256A10" w:rsidRPr="005F4F0B" w:rsidRDefault="00256A10" w:rsidP="00256A10">
            <w:pPr>
              <w:pStyle w:val="BodyText"/>
              <w:rPr>
                <w:sz w:val="20"/>
              </w:rPr>
            </w:pPr>
          </w:p>
        </w:tc>
        <w:tc>
          <w:tcPr>
            <w:tcW w:w="916" w:type="dxa"/>
            <w:shd w:val="clear" w:color="auto" w:fill="auto"/>
            <w:vAlign w:val="center"/>
          </w:tcPr>
          <w:p w14:paraId="47CF9844" w14:textId="77777777" w:rsidR="00256A10" w:rsidRPr="005F4F0B" w:rsidRDefault="00256A10" w:rsidP="00256A10">
            <w:pPr>
              <w:pStyle w:val="BodyText"/>
              <w:rPr>
                <w:sz w:val="20"/>
              </w:rPr>
            </w:pPr>
          </w:p>
        </w:tc>
        <w:tc>
          <w:tcPr>
            <w:tcW w:w="946" w:type="dxa"/>
            <w:shd w:val="clear" w:color="auto" w:fill="auto"/>
            <w:vAlign w:val="center"/>
          </w:tcPr>
          <w:p w14:paraId="02113FD9" w14:textId="77777777" w:rsidR="00256A10" w:rsidRPr="005F4F0B" w:rsidRDefault="00256A10" w:rsidP="00256A10">
            <w:pPr>
              <w:pStyle w:val="BodyText"/>
              <w:rPr>
                <w:sz w:val="20"/>
              </w:rPr>
            </w:pPr>
          </w:p>
        </w:tc>
      </w:tr>
      <w:tr w:rsidR="00256A10" w:rsidRPr="005F4F0B" w14:paraId="46145CBB" w14:textId="77777777" w:rsidTr="00F76FA0">
        <w:trPr>
          <w:gridAfter w:val="1"/>
          <w:wAfter w:w="28" w:type="dxa"/>
          <w:jc w:val="center"/>
        </w:trPr>
        <w:tc>
          <w:tcPr>
            <w:tcW w:w="3528" w:type="dxa"/>
            <w:shd w:val="clear" w:color="auto" w:fill="auto"/>
          </w:tcPr>
          <w:p w14:paraId="0E5086F4" w14:textId="77777777" w:rsidR="00256A10" w:rsidRPr="00023A60" w:rsidRDefault="00256A10" w:rsidP="00863D0D">
            <w:pPr>
              <w:pStyle w:val="BodyText"/>
              <w:rPr>
                <w:bCs/>
                <w:sz w:val="20"/>
              </w:rPr>
            </w:pPr>
            <w:r w:rsidRPr="00023A60">
              <w:rPr>
                <w:bCs/>
                <w:sz w:val="20"/>
              </w:rPr>
              <w:t xml:space="preserve">   Diplopia</w:t>
            </w:r>
          </w:p>
        </w:tc>
        <w:tc>
          <w:tcPr>
            <w:tcW w:w="1080" w:type="dxa"/>
            <w:shd w:val="clear" w:color="auto" w:fill="auto"/>
          </w:tcPr>
          <w:p w14:paraId="4255F005" w14:textId="77777777" w:rsidR="00256A10" w:rsidRPr="00023A60" w:rsidRDefault="00256A10">
            <w:pPr>
              <w:pStyle w:val="BodyText"/>
              <w:rPr>
                <w:bCs/>
                <w:sz w:val="20"/>
              </w:rPr>
            </w:pPr>
            <w:r w:rsidRPr="00023A60">
              <w:rPr>
                <w:bCs/>
                <w:sz w:val="20"/>
              </w:rPr>
              <w:t>1</w:t>
            </w:r>
          </w:p>
        </w:tc>
        <w:tc>
          <w:tcPr>
            <w:tcW w:w="900" w:type="dxa"/>
            <w:shd w:val="clear" w:color="auto" w:fill="auto"/>
          </w:tcPr>
          <w:p w14:paraId="75E5BE30" w14:textId="77777777" w:rsidR="00256A10" w:rsidRPr="00023A60" w:rsidRDefault="00256A10">
            <w:pPr>
              <w:pStyle w:val="BodyText"/>
              <w:rPr>
                <w:bCs/>
                <w:sz w:val="20"/>
              </w:rPr>
            </w:pPr>
            <w:r w:rsidRPr="00023A60">
              <w:rPr>
                <w:bCs/>
                <w:sz w:val="20"/>
              </w:rPr>
              <w:t>1</w:t>
            </w:r>
          </w:p>
        </w:tc>
        <w:tc>
          <w:tcPr>
            <w:tcW w:w="916" w:type="dxa"/>
            <w:shd w:val="clear" w:color="auto" w:fill="auto"/>
          </w:tcPr>
          <w:p w14:paraId="09BE377E" w14:textId="77777777" w:rsidR="00256A10" w:rsidRPr="00023A60" w:rsidRDefault="00256A10">
            <w:pPr>
              <w:pStyle w:val="BodyText"/>
              <w:rPr>
                <w:bCs/>
                <w:sz w:val="20"/>
              </w:rPr>
            </w:pPr>
            <w:r w:rsidRPr="00023A60">
              <w:rPr>
                <w:bCs/>
                <w:sz w:val="20"/>
              </w:rPr>
              <w:t>1</w:t>
            </w:r>
          </w:p>
        </w:tc>
        <w:tc>
          <w:tcPr>
            <w:tcW w:w="946" w:type="dxa"/>
            <w:shd w:val="clear" w:color="auto" w:fill="auto"/>
          </w:tcPr>
          <w:p w14:paraId="6163A095" w14:textId="77777777" w:rsidR="00256A10" w:rsidRPr="00023A60" w:rsidRDefault="00256A10">
            <w:pPr>
              <w:pStyle w:val="BodyText"/>
              <w:rPr>
                <w:bCs/>
                <w:sz w:val="20"/>
              </w:rPr>
            </w:pPr>
            <w:r w:rsidRPr="00023A60">
              <w:rPr>
                <w:bCs/>
                <w:sz w:val="20"/>
              </w:rPr>
              <w:t>3</w:t>
            </w:r>
          </w:p>
        </w:tc>
      </w:tr>
      <w:tr w:rsidR="00256A10" w:rsidRPr="005F4F0B" w14:paraId="5BF803E4" w14:textId="77777777" w:rsidTr="00F76FA0">
        <w:trPr>
          <w:gridAfter w:val="1"/>
          <w:wAfter w:w="28" w:type="dxa"/>
          <w:jc w:val="center"/>
        </w:trPr>
        <w:tc>
          <w:tcPr>
            <w:tcW w:w="3528" w:type="dxa"/>
            <w:shd w:val="clear" w:color="auto" w:fill="auto"/>
          </w:tcPr>
          <w:p w14:paraId="16363B4B" w14:textId="77777777" w:rsidR="00256A10" w:rsidRPr="00023A60" w:rsidRDefault="00256A10" w:rsidP="00863D0D">
            <w:pPr>
              <w:pStyle w:val="BodyText"/>
              <w:rPr>
                <w:bCs/>
                <w:sz w:val="20"/>
              </w:rPr>
            </w:pPr>
            <w:r w:rsidRPr="00023A60">
              <w:rPr>
                <w:bCs/>
                <w:sz w:val="20"/>
              </w:rPr>
              <w:t xml:space="preserve">   Blurred vision</w:t>
            </w:r>
          </w:p>
        </w:tc>
        <w:tc>
          <w:tcPr>
            <w:tcW w:w="1080" w:type="dxa"/>
            <w:shd w:val="clear" w:color="auto" w:fill="auto"/>
          </w:tcPr>
          <w:p w14:paraId="398D590E" w14:textId="77777777" w:rsidR="00256A10" w:rsidRPr="00023A60" w:rsidRDefault="00256A10">
            <w:pPr>
              <w:pStyle w:val="BodyText"/>
              <w:rPr>
                <w:bCs/>
                <w:sz w:val="20"/>
              </w:rPr>
            </w:pPr>
            <w:r w:rsidRPr="00023A60">
              <w:rPr>
                <w:bCs/>
                <w:sz w:val="20"/>
              </w:rPr>
              <w:t>1</w:t>
            </w:r>
          </w:p>
        </w:tc>
        <w:tc>
          <w:tcPr>
            <w:tcW w:w="900" w:type="dxa"/>
            <w:shd w:val="clear" w:color="auto" w:fill="auto"/>
          </w:tcPr>
          <w:p w14:paraId="7E9E3963" w14:textId="77777777" w:rsidR="00256A10" w:rsidRPr="00023A60" w:rsidRDefault="00256A10">
            <w:pPr>
              <w:pStyle w:val="BodyText"/>
              <w:rPr>
                <w:bCs/>
                <w:sz w:val="20"/>
              </w:rPr>
            </w:pPr>
            <w:r w:rsidRPr="00023A60">
              <w:rPr>
                <w:bCs/>
                <w:sz w:val="20"/>
              </w:rPr>
              <w:t>1</w:t>
            </w:r>
          </w:p>
        </w:tc>
        <w:tc>
          <w:tcPr>
            <w:tcW w:w="916" w:type="dxa"/>
            <w:shd w:val="clear" w:color="auto" w:fill="auto"/>
          </w:tcPr>
          <w:p w14:paraId="170C79DD" w14:textId="77777777" w:rsidR="00256A10" w:rsidRPr="00023A60" w:rsidRDefault="00256A10">
            <w:pPr>
              <w:pStyle w:val="BodyText"/>
              <w:rPr>
                <w:bCs/>
                <w:sz w:val="20"/>
              </w:rPr>
            </w:pPr>
            <w:r w:rsidRPr="00023A60">
              <w:rPr>
                <w:bCs/>
                <w:sz w:val="20"/>
              </w:rPr>
              <w:t>3</w:t>
            </w:r>
          </w:p>
        </w:tc>
        <w:tc>
          <w:tcPr>
            <w:tcW w:w="946" w:type="dxa"/>
            <w:shd w:val="clear" w:color="auto" w:fill="auto"/>
          </w:tcPr>
          <w:p w14:paraId="54ABC02B" w14:textId="77777777" w:rsidR="00256A10" w:rsidRPr="00023A60" w:rsidRDefault="00256A10">
            <w:pPr>
              <w:pStyle w:val="BodyText"/>
              <w:rPr>
                <w:bCs/>
                <w:sz w:val="20"/>
              </w:rPr>
            </w:pPr>
            <w:r w:rsidRPr="00023A60">
              <w:rPr>
                <w:bCs/>
                <w:sz w:val="20"/>
              </w:rPr>
              <w:t>4</w:t>
            </w:r>
          </w:p>
        </w:tc>
      </w:tr>
      <w:tr w:rsidR="00256A10" w:rsidRPr="005F4F0B" w14:paraId="1D7A372C" w14:textId="77777777" w:rsidTr="00F76FA0">
        <w:trPr>
          <w:gridAfter w:val="1"/>
          <w:wAfter w:w="28" w:type="dxa"/>
          <w:jc w:val="center"/>
        </w:trPr>
        <w:tc>
          <w:tcPr>
            <w:tcW w:w="3528" w:type="dxa"/>
            <w:shd w:val="clear" w:color="auto" w:fill="auto"/>
          </w:tcPr>
          <w:p w14:paraId="54BA2C9A" w14:textId="77777777" w:rsidR="00256A10" w:rsidRPr="00023A60" w:rsidRDefault="00256A10" w:rsidP="00863D0D">
            <w:pPr>
              <w:pStyle w:val="BodyText"/>
              <w:rPr>
                <w:bCs/>
                <w:sz w:val="20"/>
              </w:rPr>
            </w:pPr>
            <w:r w:rsidRPr="00023A60">
              <w:rPr>
                <w:bCs/>
                <w:sz w:val="20"/>
              </w:rPr>
              <w:t>Gastrointestinal Disorders</w:t>
            </w:r>
          </w:p>
        </w:tc>
        <w:tc>
          <w:tcPr>
            <w:tcW w:w="1080" w:type="dxa"/>
            <w:shd w:val="clear" w:color="auto" w:fill="auto"/>
            <w:vAlign w:val="center"/>
          </w:tcPr>
          <w:p w14:paraId="054DE392" w14:textId="77777777" w:rsidR="00256A10" w:rsidRPr="005F4F0B" w:rsidRDefault="00256A10" w:rsidP="00256A10">
            <w:pPr>
              <w:pStyle w:val="BodyText"/>
              <w:rPr>
                <w:sz w:val="20"/>
              </w:rPr>
            </w:pPr>
          </w:p>
        </w:tc>
        <w:tc>
          <w:tcPr>
            <w:tcW w:w="900" w:type="dxa"/>
            <w:shd w:val="clear" w:color="auto" w:fill="auto"/>
            <w:vAlign w:val="center"/>
          </w:tcPr>
          <w:p w14:paraId="1820006E" w14:textId="77777777" w:rsidR="00256A10" w:rsidRPr="005F4F0B" w:rsidRDefault="00256A10" w:rsidP="00256A10">
            <w:pPr>
              <w:pStyle w:val="BodyText"/>
              <w:rPr>
                <w:sz w:val="20"/>
              </w:rPr>
            </w:pPr>
          </w:p>
        </w:tc>
        <w:tc>
          <w:tcPr>
            <w:tcW w:w="916" w:type="dxa"/>
            <w:shd w:val="clear" w:color="auto" w:fill="auto"/>
            <w:vAlign w:val="center"/>
          </w:tcPr>
          <w:p w14:paraId="1EBD2BC4" w14:textId="77777777" w:rsidR="00256A10" w:rsidRPr="005F4F0B" w:rsidRDefault="00256A10" w:rsidP="00256A10">
            <w:pPr>
              <w:pStyle w:val="BodyText"/>
              <w:rPr>
                <w:sz w:val="20"/>
              </w:rPr>
            </w:pPr>
          </w:p>
        </w:tc>
        <w:tc>
          <w:tcPr>
            <w:tcW w:w="946" w:type="dxa"/>
            <w:shd w:val="clear" w:color="auto" w:fill="auto"/>
            <w:vAlign w:val="center"/>
          </w:tcPr>
          <w:p w14:paraId="5A44D3B2" w14:textId="77777777" w:rsidR="00256A10" w:rsidRPr="005F4F0B" w:rsidRDefault="00256A10" w:rsidP="00256A10">
            <w:pPr>
              <w:pStyle w:val="BodyText"/>
              <w:rPr>
                <w:sz w:val="20"/>
              </w:rPr>
            </w:pPr>
          </w:p>
        </w:tc>
      </w:tr>
      <w:tr w:rsidR="00256A10" w:rsidRPr="005F4F0B" w14:paraId="4DCCBE2C" w14:textId="77777777" w:rsidTr="00F76FA0">
        <w:trPr>
          <w:gridAfter w:val="1"/>
          <w:wAfter w:w="28" w:type="dxa"/>
          <w:jc w:val="center"/>
        </w:trPr>
        <w:tc>
          <w:tcPr>
            <w:tcW w:w="3528" w:type="dxa"/>
            <w:shd w:val="clear" w:color="auto" w:fill="auto"/>
          </w:tcPr>
          <w:p w14:paraId="74A34ED9" w14:textId="77777777" w:rsidR="00256A10" w:rsidRPr="00023A60" w:rsidRDefault="00256A10" w:rsidP="00863D0D">
            <w:pPr>
              <w:pStyle w:val="BodyText"/>
              <w:rPr>
                <w:bCs/>
                <w:sz w:val="20"/>
              </w:rPr>
            </w:pPr>
            <w:r w:rsidRPr="00023A60">
              <w:rPr>
                <w:bCs/>
                <w:sz w:val="20"/>
              </w:rPr>
              <w:t xml:space="preserve">   Constipation</w:t>
            </w:r>
          </w:p>
        </w:tc>
        <w:tc>
          <w:tcPr>
            <w:tcW w:w="1080" w:type="dxa"/>
            <w:shd w:val="clear" w:color="auto" w:fill="auto"/>
          </w:tcPr>
          <w:p w14:paraId="3814E00E" w14:textId="77777777" w:rsidR="00256A10" w:rsidRPr="00023A60" w:rsidRDefault="00256A10">
            <w:pPr>
              <w:pStyle w:val="BodyText"/>
              <w:rPr>
                <w:bCs/>
                <w:sz w:val="20"/>
              </w:rPr>
            </w:pPr>
            <w:r w:rsidRPr="00023A60">
              <w:rPr>
                <w:bCs/>
                <w:sz w:val="20"/>
              </w:rPr>
              <w:t>2</w:t>
            </w:r>
          </w:p>
        </w:tc>
        <w:tc>
          <w:tcPr>
            <w:tcW w:w="900" w:type="dxa"/>
            <w:shd w:val="clear" w:color="auto" w:fill="auto"/>
          </w:tcPr>
          <w:p w14:paraId="13E4516E" w14:textId="77777777" w:rsidR="00256A10" w:rsidRPr="00023A60" w:rsidRDefault="00256A10">
            <w:pPr>
              <w:pStyle w:val="BodyText"/>
              <w:rPr>
                <w:bCs/>
                <w:sz w:val="20"/>
              </w:rPr>
            </w:pPr>
            <w:r w:rsidRPr="00023A60">
              <w:rPr>
                <w:bCs/>
                <w:sz w:val="20"/>
              </w:rPr>
              <w:t>2</w:t>
            </w:r>
          </w:p>
        </w:tc>
        <w:tc>
          <w:tcPr>
            <w:tcW w:w="916" w:type="dxa"/>
            <w:shd w:val="clear" w:color="auto" w:fill="auto"/>
          </w:tcPr>
          <w:p w14:paraId="3914A25B" w14:textId="77777777" w:rsidR="00256A10" w:rsidRPr="00023A60" w:rsidRDefault="00256A10">
            <w:pPr>
              <w:pStyle w:val="BodyText"/>
              <w:rPr>
                <w:bCs/>
                <w:sz w:val="20"/>
              </w:rPr>
            </w:pPr>
            <w:r w:rsidRPr="00023A60">
              <w:rPr>
                <w:bCs/>
                <w:sz w:val="20"/>
              </w:rPr>
              <w:t>2</w:t>
            </w:r>
          </w:p>
        </w:tc>
        <w:tc>
          <w:tcPr>
            <w:tcW w:w="946" w:type="dxa"/>
            <w:shd w:val="clear" w:color="auto" w:fill="auto"/>
          </w:tcPr>
          <w:p w14:paraId="67A55C24" w14:textId="77777777" w:rsidR="00256A10" w:rsidRPr="00023A60" w:rsidRDefault="00256A10">
            <w:pPr>
              <w:pStyle w:val="BodyText"/>
              <w:rPr>
                <w:bCs/>
                <w:sz w:val="20"/>
              </w:rPr>
            </w:pPr>
            <w:r w:rsidRPr="00023A60">
              <w:rPr>
                <w:bCs/>
                <w:sz w:val="20"/>
              </w:rPr>
              <w:t>3</w:t>
            </w:r>
          </w:p>
        </w:tc>
      </w:tr>
      <w:tr w:rsidR="00256A10" w:rsidRPr="005F4F0B" w14:paraId="2F9A90F7" w14:textId="77777777" w:rsidTr="00F76FA0">
        <w:trPr>
          <w:gridAfter w:val="1"/>
          <w:wAfter w:w="28" w:type="dxa"/>
          <w:jc w:val="center"/>
        </w:trPr>
        <w:tc>
          <w:tcPr>
            <w:tcW w:w="3528" w:type="dxa"/>
            <w:shd w:val="clear" w:color="auto" w:fill="auto"/>
          </w:tcPr>
          <w:p w14:paraId="42A889CE" w14:textId="77777777" w:rsidR="00256A10" w:rsidRPr="00023A60" w:rsidRDefault="00256A10" w:rsidP="00863D0D">
            <w:pPr>
              <w:pStyle w:val="BodyText"/>
              <w:rPr>
                <w:bCs/>
                <w:sz w:val="20"/>
              </w:rPr>
            </w:pPr>
            <w:r w:rsidRPr="00023A60">
              <w:rPr>
                <w:bCs/>
                <w:sz w:val="20"/>
              </w:rPr>
              <w:t xml:space="preserve">   Nausea</w:t>
            </w:r>
          </w:p>
        </w:tc>
        <w:tc>
          <w:tcPr>
            <w:tcW w:w="1080" w:type="dxa"/>
            <w:shd w:val="clear" w:color="auto" w:fill="auto"/>
          </w:tcPr>
          <w:p w14:paraId="56BB8C49" w14:textId="77777777" w:rsidR="00256A10" w:rsidRPr="00023A60" w:rsidRDefault="00256A10">
            <w:pPr>
              <w:pStyle w:val="BodyText"/>
              <w:rPr>
                <w:bCs/>
                <w:sz w:val="20"/>
              </w:rPr>
            </w:pPr>
            <w:r w:rsidRPr="00023A60">
              <w:rPr>
                <w:bCs/>
                <w:sz w:val="20"/>
              </w:rPr>
              <w:t>5</w:t>
            </w:r>
          </w:p>
        </w:tc>
        <w:tc>
          <w:tcPr>
            <w:tcW w:w="900" w:type="dxa"/>
            <w:shd w:val="clear" w:color="auto" w:fill="auto"/>
          </w:tcPr>
          <w:p w14:paraId="7401AE4C" w14:textId="77777777" w:rsidR="00256A10" w:rsidRPr="00023A60" w:rsidRDefault="00256A10">
            <w:pPr>
              <w:pStyle w:val="BodyText"/>
              <w:rPr>
                <w:bCs/>
                <w:sz w:val="20"/>
              </w:rPr>
            </w:pPr>
            <w:r w:rsidRPr="00023A60">
              <w:rPr>
                <w:bCs/>
                <w:sz w:val="20"/>
              </w:rPr>
              <w:t>3</w:t>
            </w:r>
          </w:p>
        </w:tc>
        <w:tc>
          <w:tcPr>
            <w:tcW w:w="916" w:type="dxa"/>
            <w:shd w:val="clear" w:color="auto" w:fill="auto"/>
          </w:tcPr>
          <w:p w14:paraId="7F889B62" w14:textId="77777777" w:rsidR="00256A10" w:rsidRPr="00023A60" w:rsidRDefault="00256A10">
            <w:pPr>
              <w:pStyle w:val="BodyText"/>
              <w:rPr>
                <w:bCs/>
                <w:sz w:val="20"/>
              </w:rPr>
            </w:pPr>
            <w:r w:rsidRPr="00023A60">
              <w:rPr>
                <w:bCs/>
                <w:sz w:val="20"/>
              </w:rPr>
              <w:t>6</w:t>
            </w:r>
          </w:p>
        </w:tc>
        <w:tc>
          <w:tcPr>
            <w:tcW w:w="946" w:type="dxa"/>
            <w:shd w:val="clear" w:color="auto" w:fill="auto"/>
          </w:tcPr>
          <w:p w14:paraId="36BDEF85" w14:textId="77777777" w:rsidR="00256A10" w:rsidRPr="00023A60" w:rsidRDefault="00256A10">
            <w:pPr>
              <w:pStyle w:val="BodyText"/>
              <w:rPr>
                <w:bCs/>
                <w:sz w:val="20"/>
              </w:rPr>
            </w:pPr>
            <w:r w:rsidRPr="00023A60">
              <w:rPr>
                <w:bCs/>
                <w:sz w:val="20"/>
              </w:rPr>
              <w:t>8</w:t>
            </w:r>
          </w:p>
        </w:tc>
      </w:tr>
      <w:tr w:rsidR="00256A10" w:rsidRPr="005F4F0B" w14:paraId="08BE9A26" w14:textId="77777777" w:rsidTr="00F76FA0">
        <w:trPr>
          <w:gridAfter w:val="1"/>
          <w:wAfter w:w="28" w:type="dxa"/>
          <w:jc w:val="center"/>
        </w:trPr>
        <w:tc>
          <w:tcPr>
            <w:tcW w:w="3528" w:type="dxa"/>
            <w:shd w:val="clear" w:color="auto" w:fill="auto"/>
          </w:tcPr>
          <w:p w14:paraId="57B830CA" w14:textId="77777777" w:rsidR="00256A10" w:rsidRPr="00023A60" w:rsidRDefault="00256A10" w:rsidP="00863D0D">
            <w:pPr>
              <w:pStyle w:val="BodyText"/>
              <w:rPr>
                <w:bCs/>
                <w:sz w:val="20"/>
              </w:rPr>
            </w:pPr>
            <w:r w:rsidRPr="00023A60">
              <w:rPr>
                <w:bCs/>
                <w:sz w:val="20"/>
              </w:rPr>
              <w:t xml:space="preserve">   Vomiting</w:t>
            </w:r>
          </w:p>
        </w:tc>
        <w:tc>
          <w:tcPr>
            <w:tcW w:w="1080" w:type="dxa"/>
            <w:shd w:val="clear" w:color="auto" w:fill="auto"/>
          </w:tcPr>
          <w:p w14:paraId="5034A626" w14:textId="77777777" w:rsidR="00256A10" w:rsidRPr="00023A60" w:rsidRDefault="00256A10">
            <w:pPr>
              <w:pStyle w:val="BodyText"/>
              <w:rPr>
                <w:bCs/>
                <w:sz w:val="20"/>
              </w:rPr>
            </w:pPr>
            <w:r w:rsidRPr="00023A60">
              <w:rPr>
                <w:bCs/>
                <w:sz w:val="20"/>
              </w:rPr>
              <w:t>3</w:t>
            </w:r>
          </w:p>
        </w:tc>
        <w:tc>
          <w:tcPr>
            <w:tcW w:w="900" w:type="dxa"/>
            <w:shd w:val="clear" w:color="auto" w:fill="auto"/>
          </w:tcPr>
          <w:p w14:paraId="0ED6E7CF" w14:textId="77777777" w:rsidR="00256A10" w:rsidRPr="00023A60" w:rsidRDefault="00256A10">
            <w:pPr>
              <w:pStyle w:val="BodyText"/>
              <w:rPr>
                <w:bCs/>
                <w:sz w:val="20"/>
              </w:rPr>
            </w:pPr>
            <w:r w:rsidRPr="00023A60">
              <w:rPr>
                <w:bCs/>
                <w:sz w:val="20"/>
              </w:rPr>
              <w:t>2</w:t>
            </w:r>
          </w:p>
        </w:tc>
        <w:tc>
          <w:tcPr>
            <w:tcW w:w="916" w:type="dxa"/>
            <w:shd w:val="clear" w:color="auto" w:fill="auto"/>
          </w:tcPr>
          <w:p w14:paraId="6587A82B" w14:textId="77777777" w:rsidR="00256A10" w:rsidRPr="00023A60" w:rsidRDefault="00256A10">
            <w:pPr>
              <w:pStyle w:val="BodyText"/>
              <w:rPr>
                <w:bCs/>
                <w:sz w:val="20"/>
              </w:rPr>
            </w:pPr>
            <w:r w:rsidRPr="00023A60">
              <w:rPr>
                <w:bCs/>
                <w:sz w:val="20"/>
              </w:rPr>
              <w:t>3</w:t>
            </w:r>
          </w:p>
        </w:tc>
        <w:tc>
          <w:tcPr>
            <w:tcW w:w="946" w:type="dxa"/>
            <w:shd w:val="clear" w:color="auto" w:fill="auto"/>
          </w:tcPr>
          <w:p w14:paraId="204B6DC3" w14:textId="77777777" w:rsidR="00256A10" w:rsidRPr="00023A60" w:rsidRDefault="00256A10">
            <w:pPr>
              <w:pStyle w:val="BodyText"/>
              <w:rPr>
                <w:bCs/>
                <w:sz w:val="20"/>
              </w:rPr>
            </w:pPr>
            <w:r w:rsidRPr="00023A60">
              <w:rPr>
                <w:bCs/>
                <w:sz w:val="20"/>
              </w:rPr>
              <w:t>4</w:t>
            </w:r>
          </w:p>
        </w:tc>
      </w:tr>
      <w:tr w:rsidR="00256A10" w:rsidRPr="005F4F0B" w14:paraId="4A5D8818" w14:textId="77777777" w:rsidTr="00F76FA0">
        <w:trPr>
          <w:gridAfter w:val="1"/>
          <w:wAfter w:w="28" w:type="dxa"/>
          <w:jc w:val="center"/>
        </w:trPr>
        <w:tc>
          <w:tcPr>
            <w:tcW w:w="3528" w:type="dxa"/>
            <w:shd w:val="clear" w:color="auto" w:fill="auto"/>
          </w:tcPr>
          <w:p w14:paraId="132C6226" w14:textId="77777777" w:rsidR="00256A10" w:rsidRPr="00023A60" w:rsidRDefault="00256A10" w:rsidP="00863D0D">
            <w:pPr>
              <w:pStyle w:val="BodyText"/>
              <w:rPr>
                <w:bCs/>
                <w:sz w:val="20"/>
              </w:rPr>
            </w:pPr>
            <w:r w:rsidRPr="00023A60">
              <w:rPr>
                <w:bCs/>
                <w:sz w:val="20"/>
              </w:rPr>
              <w:t>Infections and Infestations</w:t>
            </w:r>
          </w:p>
        </w:tc>
        <w:tc>
          <w:tcPr>
            <w:tcW w:w="1080" w:type="dxa"/>
            <w:shd w:val="clear" w:color="auto" w:fill="auto"/>
          </w:tcPr>
          <w:p w14:paraId="28BE0414" w14:textId="77777777" w:rsidR="00256A10" w:rsidRPr="005F4F0B" w:rsidRDefault="00256A10" w:rsidP="00256A10">
            <w:pPr>
              <w:pStyle w:val="BodyText"/>
              <w:rPr>
                <w:sz w:val="20"/>
              </w:rPr>
            </w:pPr>
          </w:p>
        </w:tc>
        <w:tc>
          <w:tcPr>
            <w:tcW w:w="900" w:type="dxa"/>
            <w:shd w:val="clear" w:color="auto" w:fill="auto"/>
          </w:tcPr>
          <w:p w14:paraId="1CAF368E" w14:textId="77777777" w:rsidR="00256A10" w:rsidRPr="005F4F0B" w:rsidRDefault="00256A10" w:rsidP="00256A10">
            <w:pPr>
              <w:pStyle w:val="BodyText"/>
              <w:rPr>
                <w:sz w:val="20"/>
              </w:rPr>
            </w:pPr>
          </w:p>
        </w:tc>
        <w:tc>
          <w:tcPr>
            <w:tcW w:w="916" w:type="dxa"/>
            <w:shd w:val="clear" w:color="auto" w:fill="auto"/>
          </w:tcPr>
          <w:p w14:paraId="08CC9D69" w14:textId="77777777" w:rsidR="00256A10" w:rsidRPr="005F4F0B" w:rsidRDefault="00256A10" w:rsidP="00256A10">
            <w:pPr>
              <w:pStyle w:val="BodyText"/>
              <w:rPr>
                <w:sz w:val="20"/>
              </w:rPr>
            </w:pPr>
          </w:p>
        </w:tc>
        <w:tc>
          <w:tcPr>
            <w:tcW w:w="946" w:type="dxa"/>
            <w:shd w:val="clear" w:color="auto" w:fill="auto"/>
          </w:tcPr>
          <w:p w14:paraId="2CBF84FC" w14:textId="77777777" w:rsidR="00256A10" w:rsidRPr="005F4F0B" w:rsidRDefault="00256A10" w:rsidP="00256A10">
            <w:pPr>
              <w:pStyle w:val="BodyText"/>
              <w:rPr>
                <w:sz w:val="20"/>
              </w:rPr>
            </w:pPr>
          </w:p>
        </w:tc>
      </w:tr>
      <w:tr w:rsidR="00256A10" w:rsidRPr="005F4F0B" w14:paraId="2B8DE11C" w14:textId="77777777" w:rsidTr="00F76FA0">
        <w:trPr>
          <w:gridAfter w:val="1"/>
          <w:wAfter w:w="28" w:type="dxa"/>
          <w:jc w:val="center"/>
        </w:trPr>
        <w:tc>
          <w:tcPr>
            <w:tcW w:w="3528" w:type="dxa"/>
            <w:shd w:val="clear" w:color="auto" w:fill="auto"/>
          </w:tcPr>
          <w:p w14:paraId="013AE4AD" w14:textId="77777777" w:rsidR="00256A10" w:rsidRPr="00023A60" w:rsidRDefault="00256A10" w:rsidP="00863D0D">
            <w:pPr>
              <w:pStyle w:val="BodyText"/>
              <w:rPr>
                <w:bCs/>
                <w:sz w:val="20"/>
              </w:rPr>
            </w:pPr>
            <w:r w:rsidRPr="00023A60">
              <w:rPr>
                <w:bCs/>
                <w:sz w:val="20"/>
              </w:rPr>
              <w:t xml:space="preserve">   Upper respiratory tract infection</w:t>
            </w:r>
          </w:p>
        </w:tc>
        <w:tc>
          <w:tcPr>
            <w:tcW w:w="1080" w:type="dxa"/>
            <w:shd w:val="clear" w:color="auto" w:fill="auto"/>
          </w:tcPr>
          <w:p w14:paraId="4B638029" w14:textId="77777777" w:rsidR="00256A10" w:rsidRPr="00023A60" w:rsidRDefault="00256A10">
            <w:pPr>
              <w:pStyle w:val="BodyText"/>
              <w:rPr>
                <w:bCs/>
                <w:sz w:val="20"/>
              </w:rPr>
            </w:pPr>
            <w:r w:rsidRPr="00023A60">
              <w:rPr>
                <w:bCs/>
                <w:sz w:val="20"/>
              </w:rPr>
              <w:t>3</w:t>
            </w:r>
          </w:p>
        </w:tc>
        <w:tc>
          <w:tcPr>
            <w:tcW w:w="900" w:type="dxa"/>
            <w:shd w:val="clear" w:color="auto" w:fill="auto"/>
          </w:tcPr>
          <w:p w14:paraId="43389164" w14:textId="77777777" w:rsidR="00256A10" w:rsidRPr="00023A60" w:rsidRDefault="00256A10">
            <w:pPr>
              <w:pStyle w:val="BodyText"/>
              <w:rPr>
                <w:bCs/>
                <w:sz w:val="20"/>
              </w:rPr>
            </w:pPr>
            <w:r w:rsidRPr="00023A60">
              <w:rPr>
                <w:bCs/>
                <w:sz w:val="20"/>
              </w:rPr>
              <w:t>3</w:t>
            </w:r>
          </w:p>
        </w:tc>
        <w:tc>
          <w:tcPr>
            <w:tcW w:w="916" w:type="dxa"/>
            <w:shd w:val="clear" w:color="auto" w:fill="auto"/>
          </w:tcPr>
          <w:p w14:paraId="6C2E8F3A" w14:textId="77777777" w:rsidR="00256A10" w:rsidRPr="00023A60" w:rsidRDefault="00256A10">
            <w:pPr>
              <w:pStyle w:val="BodyText"/>
              <w:rPr>
                <w:bCs/>
                <w:sz w:val="20"/>
              </w:rPr>
            </w:pPr>
            <w:r w:rsidRPr="00023A60">
              <w:rPr>
                <w:bCs/>
                <w:sz w:val="20"/>
              </w:rPr>
              <w:t>3</w:t>
            </w:r>
          </w:p>
        </w:tc>
        <w:tc>
          <w:tcPr>
            <w:tcW w:w="946" w:type="dxa"/>
            <w:shd w:val="clear" w:color="auto" w:fill="auto"/>
          </w:tcPr>
          <w:p w14:paraId="5139A579" w14:textId="77777777" w:rsidR="00256A10" w:rsidRPr="00023A60" w:rsidRDefault="00256A10">
            <w:pPr>
              <w:pStyle w:val="BodyText"/>
              <w:rPr>
                <w:bCs/>
                <w:sz w:val="20"/>
              </w:rPr>
            </w:pPr>
            <w:r w:rsidRPr="00023A60">
              <w:rPr>
                <w:bCs/>
                <w:sz w:val="20"/>
              </w:rPr>
              <w:t>4</w:t>
            </w:r>
          </w:p>
        </w:tc>
      </w:tr>
      <w:tr w:rsidR="00256A10" w:rsidRPr="005F4F0B" w14:paraId="55B82046" w14:textId="77777777" w:rsidTr="00F76FA0">
        <w:trPr>
          <w:gridAfter w:val="1"/>
          <w:wAfter w:w="28" w:type="dxa"/>
          <w:jc w:val="center"/>
        </w:trPr>
        <w:tc>
          <w:tcPr>
            <w:tcW w:w="3528" w:type="dxa"/>
            <w:shd w:val="clear" w:color="auto" w:fill="auto"/>
          </w:tcPr>
          <w:p w14:paraId="7D01B3F4" w14:textId="77777777" w:rsidR="00256A10" w:rsidRPr="00023A60" w:rsidRDefault="00256A10" w:rsidP="00863D0D">
            <w:pPr>
              <w:pStyle w:val="BodyText"/>
              <w:rPr>
                <w:bCs/>
                <w:sz w:val="20"/>
              </w:rPr>
            </w:pPr>
            <w:r w:rsidRPr="00023A60">
              <w:rPr>
                <w:bCs/>
                <w:sz w:val="20"/>
              </w:rPr>
              <w:t>Injury, Poisoning and Procedural Complications</w:t>
            </w:r>
          </w:p>
        </w:tc>
        <w:tc>
          <w:tcPr>
            <w:tcW w:w="1080" w:type="dxa"/>
            <w:shd w:val="clear" w:color="auto" w:fill="auto"/>
          </w:tcPr>
          <w:p w14:paraId="45618E1A" w14:textId="77777777" w:rsidR="00256A10" w:rsidRPr="005F4F0B" w:rsidRDefault="00256A10" w:rsidP="00256A10">
            <w:pPr>
              <w:pStyle w:val="BodyText"/>
              <w:rPr>
                <w:sz w:val="20"/>
              </w:rPr>
            </w:pPr>
          </w:p>
        </w:tc>
        <w:tc>
          <w:tcPr>
            <w:tcW w:w="900" w:type="dxa"/>
            <w:shd w:val="clear" w:color="auto" w:fill="auto"/>
          </w:tcPr>
          <w:p w14:paraId="4A955C07" w14:textId="77777777" w:rsidR="00256A10" w:rsidRPr="005F4F0B" w:rsidRDefault="00256A10" w:rsidP="00256A10">
            <w:pPr>
              <w:pStyle w:val="BodyText"/>
              <w:rPr>
                <w:sz w:val="20"/>
              </w:rPr>
            </w:pPr>
          </w:p>
        </w:tc>
        <w:tc>
          <w:tcPr>
            <w:tcW w:w="916" w:type="dxa"/>
            <w:shd w:val="clear" w:color="auto" w:fill="auto"/>
          </w:tcPr>
          <w:p w14:paraId="5EF8578D" w14:textId="77777777" w:rsidR="00256A10" w:rsidRPr="005F4F0B" w:rsidRDefault="00256A10" w:rsidP="00256A10">
            <w:pPr>
              <w:pStyle w:val="BodyText"/>
              <w:rPr>
                <w:sz w:val="20"/>
              </w:rPr>
            </w:pPr>
          </w:p>
        </w:tc>
        <w:tc>
          <w:tcPr>
            <w:tcW w:w="946" w:type="dxa"/>
            <w:shd w:val="clear" w:color="auto" w:fill="auto"/>
          </w:tcPr>
          <w:p w14:paraId="7843A259" w14:textId="77777777" w:rsidR="00256A10" w:rsidRPr="005F4F0B" w:rsidRDefault="00256A10" w:rsidP="00256A10">
            <w:pPr>
              <w:pStyle w:val="BodyText"/>
              <w:rPr>
                <w:sz w:val="20"/>
              </w:rPr>
            </w:pPr>
          </w:p>
        </w:tc>
      </w:tr>
      <w:tr w:rsidR="00256A10" w:rsidRPr="005F4F0B" w14:paraId="51A1B9EB" w14:textId="77777777" w:rsidTr="00F76FA0">
        <w:trPr>
          <w:gridAfter w:val="1"/>
          <w:wAfter w:w="28" w:type="dxa"/>
          <w:jc w:val="center"/>
        </w:trPr>
        <w:tc>
          <w:tcPr>
            <w:tcW w:w="3528" w:type="dxa"/>
            <w:shd w:val="clear" w:color="auto" w:fill="auto"/>
          </w:tcPr>
          <w:p w14:paraId="13BB05A8" w14:textId="77777777" w:rsidR="00256A10" w:rsidRPr="00023A60" w:rsidRDefault="00256A10" w:rsidP="00863D0D">
            <w:pPr>
              <w:pStyle w:val="BodyText"/>
              <w:rPr>
                <w:bCs/>
                <w:sz w:val="20"/>
              </w:rPr>
            </w:pPr>
            <w:r w:rsidRPr="00023A60">
              <w:rPr>
                <w:bCs/>
                <w:sz w:val="20"/>
              </w:rPr>
              <w:t xml:space="preserve">  Contusion</w:t>
            </w:r>
          </w:p>
        </w:tc>
        <w:tc>
          <w:tcPr>
            <w:tcW w:w="1080" w:type="dxa"/>
            <w:shd w:val="clear" w:color="auto" w:fill="auto"/>
          </w:tcPr>
          <w:p w14:paraId="08D4CAE9" w14:textId="77777777" w:rsidR="00256A10" w:rsidRPr="00023A60" w:rsidRDefault="00256A10">
            <w:pPr>
              <w:pStyle w:val="BodyText"/>
              <w:rPr>
                <w:bCs/>
                <w:sz w:val="20"/>
              </w:rPr>
            </w:pPr>
            <w:r w:rsidRPr="00023A60">
              <w:rPr>
                <w:bCs/>
                <w:sz w:val="20"/>
              </w:rPr>
              <w:t>1</w:t>
            </w:r>
          </w:p>
        </w:tc>
        <w:tc>
          <w:tcPr>
            <w:tcW w:w="900" w:type="dxa"/>
            <w:shd w:val="clear" w:color="auto" w:fill="auto"/>
          </w:tcPr>
          <w:p w14:paraId="66790E0E" w14:textId="77777777" w:rsidR="00256A10" w:rsidRPr="00023A60" w:rsidRDefault="00256A10">
            <w:pPr>
              <w:pStyle w:val="BodyText"/>
              <w:rPr>
                <w:bCs/>
                <w:sz w:val="20"/>
              </w:rPr>
            </w:pPr>
            <w:r w:rsidRPr="00023A60">
              <w:rPr>
                <w:bCs/>
                <w:sz w:val="20"/>
              </w:rPr>
              <w:t>0</w:t>
            </w:r>
          </w:p>
        </w:tc>
        <w:tc>
          <w:tcPr>
            <w:tcW w:w="916" w:type="dxa"/>
            <w:shd w:val="clear" w:color="auto" w:fill="auto"/>
          </w:tcPr>
          <w:p w14:paraId="4D1D1EE1" w14:textId="77777777" w:rsidR="00256A10" w:rsidRPr="00023A60" w:rsidRDefault="00256A10">
            <w:pPr>
              <w:pStyle w:val="BodyText"/>
              <w:rPr>
                <w:bCs/>
                <w:sz w:val="20"/>
              </w:rPr>
            </w:pPr>
            <w:r w:rsidRPr="00023A60">
              <w:rPr>
                <w:bCs/>
                <w:sz w:val="20"/>
              </w:rPr>
              <w:t>2</w:t>
            </w:r>
          </w:p>
        </w:tc>
        <w:tc>
          <w:tcPr>
            <w:tcW w:w="946" w:type="dxa"/>
            <w:shd w:val="clear" w:color="auto" w:fill="auto"/>
          </w:tcPr>
          <w:p w14:paraId="713677E0" w14:textId="77777777" w:rsidR="00256A10" w:rsidRPr="00023A60" w:rsidRDefault="00256A10">
            <w:pPr>
              <w:pStyle w:val="BodyText"/>
              <w:rPr>
                <w:bCs/>
                <w:sz w:val="20"/>
              </w:rPr>
            </w:pPr>
            <w:r w:rsidRPr="00023A60">
              <w:rPr>
                <w:bCs/>
                <w:sz w:val="20"/>
              </w:rPr>
              <w:t>2</w:t>
            </w:r>
          </w:p>
        </w:tc>
      </w:tr>
      <w:tr w:rsidR="00256A10" w:rsidRPr="005F4F0B" w14:paraId="2D59E20E" w14:textId="77777777" w:rsidTr="00F76FA0">
        <w:trPr>
          <w:gridAfter w:val="1"/>
          <w:wAfter w:w="28" w:type="dxa"/>
          <w:jc w:val="center"/>
        </w:trPr>
        <w:tc>
          <w:tcPr>
            <w:tcW w:w="3528" w:type="dxa"/>
            <w:shd w:val="clear" w:color="auto" w:fill="auto"/>
          </w:tcPr>
          <w:p w14:paraId="44665BCA" w14:textId="77777777" w:rsidR="00256A10" w:rsidRPr="00023A60" w:rsidRDefault="00256A10" w:rsidP="00863D0D">
            <w:pPr>
              <w:pStyle w:val="BodyText"/>
              <w:rPr>
                <w:bCs/>
                <w:sz w:val="20"/>
              </w:rPr>
            </w:pPr>
            <w:r w:rsidRPr="00023A60">
              <w:rPr>
                <w:bCs/>
                <w:sz w:val="20"/>
              </w:rPr>
              <w:t xml:space="preserve">  Falls</w:t>
            </w:r>
          </w:p>
        </w:tc>
        <w:tc>
          <w:tcPr>
            <w:tcW w:w="1080" w:type="dxa"/>
            <w:shd w:val="clear" w:color="auto" w:fill="auto"/>
          </w:tcPr>
          <w:p w14:paraId="25DC320C" w14:textId="77777777" w:rsidR="00256A10" w:rsidRPr="00023A60" w:rsidRDefault="00256A10">
            <w:pPr>
              <w:pStyle w:val="BodyText"/>
              <w:rPr>
                <w:bCs/>
                <w:sz w:val="20"/>
              </w:rPr>
            </w:pPr>
            <w:r w:rsidRPr="00023A60">
              <w:rPr>
                <w:bCs/>
                <w:sz w:val="20"/>
              </w:rPr>
              <w:t>3</w:t>
            </w:r>
          </w:p>
        </w:tc>
        <w:tc>
          <w:tcPr>
            <w:tcW w:w="900" w:type="dxa"/>
            <w:shd w:val="clear" w:color="auto" w:fill="auto"/>
          </w:tcPr>
          <w:p w14:paraId="0B78ABC9" w14:textId="77777777" w:rsidR="00256A10" w:rsidRPr="00023A60" w:rsidRDefault="00256A10">
            <w:pPr>
              <w:pStyle w:val="BodyText"/>
              <w:rPr>
                <w:bCs/>
                <w:sz w:val="20"/>
              </w:rPr>
            </w:pPr>
            <w:r w:rsidRPr="00023A60">
              <w:rPr>
                <w:bCs/>
                <w:sz w:val="20"/>
              </w:rPr>
              <w:t>2</w:t>
            </w:r>
          </w:p>
        </w:tc>
        <w:tc>
          <w:tcPr>
            <w:tcW w:w="916" w:type="dxa"/>
            <w:shd w:val="clear" w:color="auto" w:fill="auto"/>
          </w:tcPr>
          <w:p w14:paraId="2F63050E" w14:textId="77777777" w:rsidR="00256A10" w:rsidRPr="00023A60" w:rsidRDefault="00256A10">
            <w:pPr>
              <w:pStyle w:val="BodyText"/>
              <w:rPr>
                <w:bCs/>
                <w:sz w:val="20"/>
              </w:rPr>
            </w:pPr>
            <w:r w:rsidRPr="00023A60">
              <w:rPr>
                <w:bCs/>
                <w:sz w:val="20"/>
              </w:rPr>
              <w:t>5</w:t>
            </w:r>
          </w:p>
        </w:tc>
        <w:tc>
          <w:tcPr>
            <w:tcW w:w="946" w:type="dxa"/>
            <w:shd w:val="clear" w:color="auto" w:fill="auto"/>
          </w:tcPr>
          <w:p w14:paraId="04C5A50F" w14:textId="77777777" w:rsidR="00256A10" w:rsidRPr="00023A60" w:rsidRDefault="00256A10">
            <w:pPr>
              <w:pStyle w:val="BodyText"/>
              <w:rPr>
                <w:bCs/>
                <w:sz w:val="20"/>
              </w:rPr>
            </w:pPr>
            <w:r w:rsidRPr="00023A60">
              <w:rPr>
                <w:bCs/>
                <w:sz w:val="20"/>
              </w:rPr>
              <w:t>10</w:t>
            </w:r>
          </w:p>
        </w:tc>
      </w:tr>
      <w:tr w:rsidR="00256A10" w:rsidRPr="005F4F0B" w14:paraId="63E51687" w14:textId="77777777" w:rsidTr="00F76FA0">
        <w:trPr>
          <w:gridAfter w:val="1"/>
          <w:wAfter w:w="28" w:type="dxa"/>
          <w:jc w:val="center"/>
        </w:trPr>
        <w:tc>
          <w:tcPr>
            <w:tcW w:w="3528" w:type="dxa"/>
            <w:shd w:val="clear" w:color="auto" w:fill="auto"/>
          </w:tcPr>
          <w:p w14:paraId="6C41F000" w14:textId="77777777" w:rsidR="00256A10" w:rsidRPr="00023A60" w:rsidRDefault="00256A10" w:rsidP="00863D0D">
            <w:pPr>
              <w:pStyle w:val="BodyText"/>
              <w:rPr>
                <w:bCs/>
                <w:sz w:val="20"/>
              </w:rPr>
            </w:pPr>
            <w:r w:rsidRPr="00023A60">
              <w:rPr>
                <w:bCs/>
                <w:sz w:val="20"/>
              </w:rPr>
              <w:t xml:space="preserve">  Head injury</w:t>
            </w:r>
          </w:p>
        </w:tc>
        <w:tc>
          <w:tcPr>
            <w:tcW w:w="1080" w:type="dxa"/>
            <w:shd w:val="clear" w:color="auto" w:fill="auto"/>
          </w:tcPr>
          <w:p w14:paraId="38A123B1" w14:textId="77777777" w:rsidR="00256A10" w:rsidRPr="00023A60" w:rsidRDefault="00256A10">
            <w:pPr>
              <w:pStyle w:val="BodyText"/>
              <w:rPr>
                <w:bCs/>
                <w:sz w:val="20"/>
              </w:rPr>
            </w:pPr>
            <w:r w:rsidRPr="00023A60">
              <w:rPr>
                <w:bCs/>
                <w:sz w:val="20"/>
              </w:rPr>
              <w:t>1</w:t>
            </w:r>
          </w:p>
        </w:tc>
        <w:tc>
          <w:tcPr>
            <w:tcW w:w="900" w:type="dxa"/>
            <w:shd w:val="clear" w:color="auto" w:fill="auto"/>
          </w:tcPr>
          <w:p w14:paraId="18E3022A" w14:textId="77777777" w:rsidR="00256A10" w:rsidRPr="00023A60" w:rsidRDefault="00256A10">
            <w:pPr>
              <w:pStyle w:val="BodyText"/>
              <w:rPr>
                <w:bCs/>
                <w:sz w:val="20"/>
              </w:rPr>
            </w:pPr>
            <w:r w:rsidRPr="00023A60">
              <w:rPr>
                <w:bCs/>
                <w:sz w:val="20"/>
              </w:rPr>
              <w:t>1</w:t>
            </w:r>
          </w:p>
        </w:tc>
        <w:tc>
          <w:tcPr>
            <w:tcW w:w="916" w:type="dxa"/>
            <w:shd w:val="clear" w:color="auto" w:fill="auto"/>
          </w:tcPr>
          <w:p w14:paraId="57D6B5F6" w14:textId="77777777" w:rsidR="00256A10" w:rsidRPr="00023A60" w:rsidRDefault="00256A10">
            <w:pPr>
              <w:pStyle w:val="BodyText"/>
              <w:rPr>
                <w:bCs/>
                <w:sz w:val="20"/>
              </w:rPr>
            </w:pPr>
            <w:r w:rsidRPr="00023A60">
              <w:rPr>
                <w:bCs/>
                <w:sz w:val="20"/>
              </w:rPr>
              <w:t>1</w:t>
            </w:r>
          </w:p>
        </w:tc>
        <w:tc>
          <w:tcPr>
            <w:tcW w:w="946" w:type="dxa"/>
            <w:shd w:val="clear" w:color="auto" w:fill="auto"/>
          </w:tcPr>
          <w:p w14:paraId="630F7AC1" w14:textId="77777777" w:rsidR="00256A10" w:rsidRPr="00023A60" w:rsidRDefault="00256A10">
            <w:pPr>
              <w:pStyle w:val="BodyText"/>
              <w:rPr>
                <w:bCs/>
                <w:sz w:val="20"/>
              </w:rPr>
            </w:pPr>
            <w:r w:rsidRPr="00023A60">
              <w:rPr>
                <w:bCs/>
                <w:sz w:val="20"/>
              </w:rPr>
              <w:t>3</w:t>
            </w:r>
          </w:p>
        </w:tc>
      </w:tr>
      <w:tr w:rsidR="00256A10" w:rsidRPr="005F4F0B" w14:paraId="4FE25C23" w14:textId="77777777" w:rsidTr="00F76FA0">
        <w:trPr>
          <w:gridAfter w:val="1"/>
          <w:wAfter w:w="28" w:type="dxa"/>
          <w:jc w:val="center"/>
        </w:trPr>
        <w:tc>
          <w:tcPr>
            <w:tcW w:w="3528" w:type="dxa"/>
            <w:shd w:val="clear" w:color="auto" w:fill="auto"/>
          </w:tcPr>
          <w:p w14:paraId="669E1FC5" w14:textId="77777777" w:rsidR="00256A10" w:rsidRPr="00023A60" w:rsidRDefault="00256A10" w:rsidP="00863D0D">
            <w:pPr>
              <w:pStyle w:val="BodyText"/>
              <w:rPr>
                <w:bCs/>
                <w:sz w:val="20"/>
              </w:rPr>
            </w:pPr>
            <w:r w:rsidRPr="00023A60">
              <w:rPr>
                <w:bCs/>
                <w:sz w:val="20"/>
              </w:rPr>
              <w:t xml:space="preserve">  Limb injury</w:t>
            </w:r>
          </w:p>
        </w:tc>
        <w:tc>
          <w:tcPr>
            <w:tcW w:w="1080" w:type="dxa"/>
            <w:shd w:val="clear" w:color="auto" w:fill="auto"/>
          </w:tcPr>
          <w:p w14:paraId="5B35A387" w14:textId="77777777" w:rsidR="00256A10" w:rsidRPr="00023A60" w:rsidRDefault="00256A10">
            <w:pPr>
              <w:pStyle w:val="BodyText"/>
              <w:rPr>
                <w:bCs/>
                <w:sz w:val="20"/>
              </w:rPr>
            </w:pPr>
            <w:r w:rsidRPr="00023A60">
              <w:rPr>
                <w:bCs/>
                <w:sz w:val="20"/>
              </w:rPr>
              <w:t>&lt;1</w:t>
            </w:r>
          </w:p>
        </w:tc>
        <w:tc>
          <w:tcPr>
            <w:tcW w:w="900" w:type="dxa"/>
            <w:shd w:val="clear" w:color="auto" w:fill="auto"/>
          </w:tcPr>
          <w:p w14:paraId="33CF5F84" w14:textId="77777777" w:rsidR="00256A10" w:rsidRPr="00023A60" w:rsidRDefault="00256A10">
            <w:pPr>
              <w:pStyle w:val="BodyText"/>
              <w:rPr>
                <w:bCs/>
                <w:sz w:val="20"/>
              </w:rPr>
            </w:pPr>
            <w:r w:rsidRPr="00023A60">
              <w:rPr>
                <w:bCs/>
                <w:sz w:val="20"/>
              </w:rPr>
              <w:t>1</w:t>
            </w:r>
          </w:p>
        </w:tc>
        <w:tc>
          <w:tcPr>
            <w:tcW w:w="916" w:type="dxa"/>
            <w:shd w:val="clear" w:color="auto" w:fill="auto"/>
          </w:tcPr>
          <w:p w14:paraId="35900CE4" w14:textId="77777777" w:rsidR="00256A10" w:rsidRPr="00023A60" w:rsidRDefault="00256A10">
            <w:pPr>
              <w:pStyle w:val="BodyText"/>
              <w:rPr>
                <w:bCs/>
                <w:sz w:val="20"/>
              </w:rPr>
            </w:pPr>
            <w:r w:rsidRPr="00023A60">
              <w:rPr>
                <w:bCs/>
                <w:sz w:val="20"/>
              </w:rPr>
              <w:t>1</w:t>
            </w:r>
          </w:p>
        </w:tc>
        <w:tc>
          <w:tcPr>
            <w:tcW w:w="946" w:type="dxa"/>
            <w:shd w:val="clear" w:color="auto" w:fill="auto"/>
          </w:tcPr>
          <w:p w14:paraId="724B5AAC" w14:textId="77777777" w:rsidR="00256A10" w:rsidRPr="00023A60" w:rsidRDefault="00256A10">
            <w:pPr>
              <w:pStyle w:val="BodyText"/>
              <w:rPr>
                <w:bCs/>
                <w:sz w:val="20"/>
              </w:rPr>
            </w:pPr>
            <w:r w:rsidRPr="00023A60">
              <w:rPr>
                <w:bCs/>
                <w:sz w:val="20"/>
              </w:rPr>
              <w:t>2</w:t>
            </w:r>
          </w:p>
        </w:tc>
      </w:tr>
      <w:tr w:rsidR="00256A10" w:rsidRPr="005F4F0B" w14:paraId="515A67E6" w14:textId="77777777" w:rsidTr="00F76FA0">
        <w:trPr>
          <w:gridAfter w:val="1"/>
          <w:wAfter w:w="28" w:type="dxa"/>
          <w:jc w:val="center"/>
        </w:trPr>
        <w:tc>
          <w:tcPr>
            <w:tcW w:w="3528" w:type="dxa"/>
            <w:shd w:val="clear" w:color="auto" w:fill="auto"/>
          </w:tcPr>
          <w:p w14:paraId="39F59B08" w14:textId="77777777" w:rsidR="00256A10" w:rsidRPr="00023A60" w:rsidRDefault="00256A10" w:rsidP="00863D0D">
            <w:pPr>
              <w:pStyle w:val="BodyText"/>
              <w:rPr>
                <w:bCs/>
                <w:sz w:val="20"/>
              </w:rPr>
            </w:pPr>
            <w:r w:rsidRPr="00023A60">
              <w:rPr>
                <w:bCs/>
                <w:sz w:val="20"/>
              </w:rPr>
              <w:t xml:space="preserve">  Skin laceration</w:t>
            </w:r>
          </w:p>
        </w:tc>
        <w:tc>
          <w:tcPr>
            <w:tcW w:w="1080" w:type="dxa"/>
            <w:shd w:val="clear" w:color="auto" w:fill="auto"/>
          </w:tcPr>
          <w:p w14:paraId="1E496676" w14:textId="77777777" w:rsidR="00256A10" w:rsidRPr="00023A60" w:rsidRDefault="00256A10">
            <w:pPr>
              <w:pStyle w:val="BodyText"/>
              <w:rPr>
                <w:bCs/>
                <w:sz w:val="20"/>
              </w:rPr>
            </w:pPr>
            <w:r w:rsidRPr="00023A60">
              <w:rPr>
                <w:bCs/>
                <w:sz w:val="20"/>
              </w:rPr>
              <w:t>1</w:t>
            </w:r>
          </w:p>
        </w:tc>
        <w:tc>
          <w:tcPr>
            <w:tcW w:w="900" w:type="dxa"/>
            <w:shd w:val="clear" w:color="auto" w:fill="auto"/>
          </w:tcPr>
          <w:p w14:paraId="00EC8D92" w14:textId="77777777" w:rsidR="00256A10" w:rsidRPr="00023A60" w:rsidRDefault="00256A10">
            <w:pPr>
              <w:pStyle w:val="BodyText"/>
              <w:rPr>
                <w:bCs/>
                <w:sz w:val="20"/>
              </w:rPr>
            </w:pPr>
            <w:r w:rsidRPr="00023A60">
              <w:rPr>
                <w:bCs/>
                <w:sz w:val="20"/>
              </w:rPr>
              <w:t>0</w:t>
            </w:r>
          </w:p>
        </w:tc>
        <w:tc>
          <w:tcPr>
            <w:tcW w:w="916" w:type="dxa"/>
            <w:shd w:val="clear" w:color="auto" w:fill="auto"/>
          </w:tcPr>
          <w:p w14:paraId="0DFFBF35" w14:textId="77777777" w:rsidR="00256A10" w:rsidRPr="00023A60" w:rsidRDefault="00256A10">
            <w:pPr>
              <w:pStyle w:val="BodyText"/>
              <w:rPr>
                <w:bCs/>
                <w:sz w:val="20"/>
              </w:rPr>
            </w:pPr>
            <w:r w:rsidRPr="00023A60">
              <w:rPr>
                <w:bCs/>
                <w:sz w:val="20"/>
              </w:rPr>
              <w:t>2</w:t>
            </w:r>
          </w:p>
        </w:tc>
        <w:tc>
          <w:tcPr>
            <w:tcW w:w="946" w:type="dxa"/>
            <w:shd w:val="clear" w:color="auto" w:fill="auto"/>
          </w:tcPr>
          <w:p w14:paraId="27570B54" w14:textId="77777777" w:rsidR="00256A10" w:rsidRPr="00023A60" w:rsidRDefault="00256A10">
            <w:pPr>
              <w:pStyle w:val="BodyText"/>
              <w:rPr>
                <w:bCs/>
                <w:sz w:val="20"/>
              </w:rPr>
            </w:pPr>
            <w:r w:rsidRPr="00023A60">
              <w:rPr>
                <w:bCs/>
                <w:sz w:val="20"/>
              </w:rPr>
              <w:t>2</w:t>
            </w:r>
          </w:p>
        </w:tc>
      </w:tr>
      <w:tr w:rsidR="00256A10" w:rsidRPr="005F4F0B" w14:paraId="116EFE58" w14:textId="77777777" w:rsidTr="00F76FA0">
        <w:trPr>
          <w:gridAfter w:val="1"/>
          <w:wAfter w:w="28" w:type="dxa"/>
          <w:jc w:val="center"/>
        </w:trPr>
        <w:tc>
          <w:tcPr>
            <w:tcW w:w="3528" w:type="dxa"/>
            <w:shd w:val="clear" w:color="auto" w:fill="auto"/>
          </w:tcPr>
          <w:p w14:paraId="1450C49A" w14:textId="77777777" w:rsidR="00256A10" w:rsidRPr="00023A60" w:rsidRDefault="00256A10" w:rsidP="00863D0D">
            <w:pPr>
              <w:pStyle w:val="BodyText"/>
              <w:rPr>
                <w:bCs/>
                <w:sz w:val="20"/>
              </w:rPr>
            </w:pPr>
            <w:r w:rsidRPr="00023A60">
              <w:rPr>
                <w:bCs/>
                <w:sz w:val="20"/>
              </w:rPr>
              <w:t>Investigations</w:t>
            </w:r>
          </w:p>
        </w:tc>
        <w:tc>
          <w:tcPr>
            <w:tcW w:w="1080" w:type="dxa"/>
            <w:shd w:val="clear" w:color="auto" w:fill="auto"/>
          </w:tcPr>
          <w:p w14:paraId="7993023D" w14:textId="77777777" w:rsidR="00256A10" w:rsidRPr="005F4F0B" w:rsidRDefault="00256A10" w:rsidP="00256A10">
            <w:pPr>
              <w:pStyle w:val="BodyText"/>
              <w:rPr>
                <w:sz w:val="20"/>
              </w:rPr>
            </w:pPr>
          </w:p>
        </w:tc>
        <w:tc>
          <w:tcPr>
            <w:tcW w:w="900" w:type="dxa"/>
            <w:shd w:val="clear" w:color="auto" w:fill="auto"/>
          </w:tcPr>
          <w:p w14:paraId="17C9C424" w14:textId="77777777" w:rsidR="00256A10" w:rsidRPr="005F4F0B" w:rsidRDefault="00256A10" w:rsidP="00256A10">
            <w:pPr>
              <w:pStyle w:val="BodyText"/>
              <w:rPr>
                <w:sz w:val="20"/>
              </w:rPr>
            </w:pPr>
          </w:p>
        </w:tc>
        <w:tc>
          <w:tcPr>
            <w:tcW w:w="916" w:type="dxa"/>
            <w:shd w:val="clear" w:color="auto" w:fill="auto"/>
          </w:tcPr>
          <w:p w14:paraId="327654CC" w14:textId="77777777" w:rsidR="00256A10" w:rsidRPr="005F4F0B" w:rsidRDefault="00256A10" w:rsidP="00256A10">
            <w:pPr>
              <w:pStyle w:val="BodyText"/>
              <w:rPr>
                <w:sz w:val="20"/>
              </w:rPr>
            </w:pPr>
          </w:p>
        </w:tc>
        <w:tc>
          <w:tcPr>
            <w:tcW w:w="946" w:type="dxa"/>
            <w:shd w:val="clear" w:color="auto" w:fill="auto"/>
          </w:tcPr>
          <w:p w14:paraId="009FE709" w14:textId="77777777" w:rsidR="00256A10" w:rsidRPr="005F4F0B" w:rsidRDefault="00256A10" w:rsidP="00256A10">
            <w:pPr>
              <w:pStyle w:val="BodyText"/>
              <w:rPr>
                <w:sz w:val="20"/>
              </w:rPr>
            </w:pPr>
          </w:p>
        </w:tc>
      </w:tr>
      <w:tr w:rsidR="00256A10" w:rsidRPr="005F4F0B" w14:paraId="7D68C2BB" w14:textId="77777777" w:rsidTr="00F76FA0">
        <w:trPr>
          <w:gridAfter w:val="1"/>
          <w:wAfter w:w="28" w:type="dxa"/>
          <w:jc w:val="center"/>
        </w:trPr>
        <w:tc>
          <w:tcPr>
            <w:tcW w:w="3528" w:type="dxa"/>
            <w:shd w:val="clear" w:color="auto" w:fill="auto"/>
          </w:tcPr>
          <w:p w14:paraId="6A2020AD" w14:textId="77777777" w:rsidR="00256A10" w:rsidRPr="00023A60" w:rsidRDefault="00256A10" w:rsidP="00863D0D">
            <w:pPr>
              <w:pStyle w:val="BodyText"/>
              <w:rPr>
                <w:bCs/>
                <w:sz w:val="20"/>
              </w:rPr>
            </w:pPr>
            <w:r w:rsidRPr="00023A60">
              <w:rPr>
                <w:bCs/>
                <w:sz w:val="20"/>
              </w:rPr>
              <w:t xml:space="preserve">  Weight gain</w:t>
            </w:r>
          </w:p>
        </w:tc>
        <w:tc>
          <w:tcPr>
            <w:tcW w:w="1080" w:type="dxa"/>
            <w:shd w:val="clear" w:color="auto" w:fill="auto"/>
          </w:tcPr>
          <w:p w14:paraId="6D9286B7" w14:textId="77777777" w:rsidR="00256A10" w:rsidRPr="00023A60" w:rsidRDefault="00256A10">
            <w:pPr>
              <w:pStyle w:val="BodyText"/>
              <w:rPr>
                <w:bCs/>
                <w:sz w:val="20"/>
              </w:rPr>
            </w:pPr>
            <w:r w:rsidRPr="00023A60">
              <w:rPr>
                <w:bCs/>
                <w:sz w:val="20"/>
              </w:rPr>
              <w:t>1</w:t>
            </w:r>
          </w:p>
        </w:tc>
        <w:tc>
          <w:tcPr>
            <w:tcW w:w="900" w:type="dxa"/>
            <w:shd w:val="clear" w:color="auto" w:fill="auto"/>
          </w:tcPr>
          <w:p w14:paraId="2947185D" w14:textId="77777777" w:rsidR="00256A10" w:rsidRPr="00023A60" w:rsidRDefault="00256A10">
            <w:pPr>
              <w:pStyle w:val="BodyText"/>
              <w:rPr>
                <w:bCs/>
                <w:sz w:val="20"/>
              </w:rPr>
            </w:pPr>
            <w:r w:rsidRPr="00023A60">
              <w:rPr>
                <w:bCs/>
                <w:sz w:val="20"/>
              </w:rPr>
              <w:t>4</w:t>
            </w:r>
          </w:p>
        </w:tc>
        <w:tc>
          <w:tcPr>
            <w:tcW w:w="916" w:type="dxa"/>
            <w:shd w:val="clear" w:color="auto" w:fill="auto"/>
          </w:tcPr>
          <w:p w14:paraId="277E6142" w14:textId="77777777" w:rsidR="00256A10" w:rsidRPr="00023A60" w:rsidRDefault="00256A10">
            <w:pPr>
              <w:pStyle w:val="BodyText"/>
              <w:rPr>
                <w:bCs/>
                <w:sz w:val="20"/>
              </w:rPr>
            </w:pPr>
            <w:r w:rsidRPr="00023A60">
              <w:rPr>
                <w:bCs/>
                <w:sz w:val="20"/>
              </w:rPr>
              <w:t>4</w:t>
            </w:r>
          </w:p>
        </w:tc>
        <w:tc>
          <w:tcPr>
            <w:tcW w:w="946" w:type="dxa"/>
            <w:shd w:val="clear" w:color="auto" w:fill="auto"/>
          </w:tcPr>
          <w:p w14:paraId="3665E0AB" w14:textId="77777777" w:rsidR="00256A10" w:rsidRPr="00023A60" w:rsidRDefault="00256A10">
            <w:pPr>
              <w:pStyle w:val="BodyText"/>
              <w:rPr>
                <w:bCs/>
                <w:sz w:val="20"/>
              </w:rPr>
            </w:pPr>
            <w:r w:rsidRPr="00023A60">
              <w:rPr>
                <w:bCs/>
                <w:sz w:val="20"/>
              </w:rPr>
              <w:t>4</w:t>
            </w:r>
          </w:p>
        </w:tc>
      </w:tr>
      <w:tr w:rsidR="00256A10" w:rsidRPr="005F4F0B" w14:paraId="55D58163" w14:textId="77777777" w:rsidTr="00F76FA0">
        <w:trPr>
          <w:gridAfter w:val="1"/>
          <w:wAfter w:w="28" w:type="dxa"/>
          <w:jc w:val="center"/>
        </w:trPr>
        <w:tc>
          <w:tcPr>
            <w:tcW w:w="3528" w:type="dxa"/>
            <w:shd w:val="clear" w:color="auto" w:fill="auto"/>
          </w:tcPr>
          <w:p w14:paraId="37036C22" w14:textId="77777777" w:rsidR="00256A10" w:rsidRPr="00023A60" w:rsidRDefault="00256A10" w:rsidP="00863D0D">
            <w:pPr>
              <w:pStyle w:val="BodyText"/>
              <w:rPr>
                <w:bCs/>
                <w:sz w:val="20"/>
              </w:rPr>
            </w:pPr>
            <w:r w:rsidRPr="00023A60">
              <w:rPr>
                <w:bCs/>
                <w:sz w:val="20"/>
              </w:rPr>
              <w:t>Metabolism &amp; Nutrition disorders</w:t>
            </w:r>
          </w:p>
        </w:tc>
        <w:tc>
          <w:tcPr>
            <w:tcW w:w="1080" w:type="dxa"/>
            <w:shd w:val="clear" w:color="auto" w:fill="auto"/>
            <w:vAlign w:val="center"/>
          </w:tcPr>
          <w:p w14:paraId="195812EB" w14:textId="77777777" w:rsidR="00256A10" w:rsidRPr="005F4F0B" w:rsidRDefault="00256A10" w:rsidP="00256A10">
            <w:pPr>
              <w:pStyle w:val="BodyText"/>
              <w:rPr>
                <w:sz w:val="20"/>
              </w:rPr>
            </w:pPr>
          </w:p>
        </w:tc>
        <w:tc>
          <w:tcPr>
            <w:tcW w:w="900" w:type="dxa"/>
            <w:shd w:val="clear" w:color="auto" w:fill="auto"/>
            <w:vAlign w:val="center"/>
          </w:tcPr>
          <w:p w14:paraId="62DA8E8C" w14:textId="77777777" w:rsidR="00256A10" w:rsidRPr="005F4F0B" w:rsidRDefault="00256A10" w:rsidP="00256A10">
            <w:pPr>
              <w:pStyle w:val="BodyText"/>
              <w:rPr>
                <w:sz w:val="20"/>
              </w:rPr>
            </w:pPr>
          </w:p>
        </w:tc>
        <w:tc>
          <w:tcPr>
            <w:tcW w:w="916" w:type="dxa"/>
            <w:shd w:val="clear" w:color="auto" w:fill="auto"/>
            <w:vAlign w:val="center"/>
          </w:tcPr>
          <w:p w14:paraId="759B6E24" w14:textId="77777777" w:rsidR="00256A10" w:rsidRPr="005F4F0B" w:rsidRDefault="00256A10" w:rsidP="00256A10">
            <w:pPr>
              <w:pStyle w:val="BodyText"/>
              <w:rPr>
                <w:sz w:val="20"/>
              </w:rPr>
            </w:pPr>
          </w:p>
        </w:tc>
        <w:tc>
          <w:tcPr>
            <w:tcW w:w="946" w:type="dxa"/>
            <w:shd w:val="clear" w:color="auto" w:fill="auto"/>
          </w:tcPr>
          <w:p w14:paraId="66DD60C0" w14:textId="77777777" w:rsidR="00256A10" w:rsidRPr="005F4F0B" w:rsidRDefault="00256A10" w:rsidP="00256A10">
            <w:pPr>
              <w:pStyle w:val="BodyText"/>
              <w:rPr>
                <w:sz w:val="20"/>
              </w:rPr>
            </w:pPr>
          </w:p>
        </w:tc>
      </w:tr>
      <w:tr w:rsidR="00256A10" w:rsidRPr="005F4F0B" w14:paraId="300881E7" w14:textId="77777777" w:rsidTr="00F76FA0">
        <w:trPr>
          <w:gridAfter w:val="1"/>
          <w:wAfter w:w="28" w:type="dxa"/>
          <w:jc w:val="center"/>
        </w:trPr>
        <w:tc>
          <w:tcPr>
            <w:tcW w:w="3528" w:type="dxa"/>
            <w:shd w:val="clear" w:color="auto" w:fill="auto"/>
          </w:tcPr>
          <w:p w14:paraId="7AD1926C" w14:textId="77777777" w:rsidR="00256A10" w:rsidRPr="00023A60" w:rsidDel="003024EF" w:rsidRDefault="00256A10" w:rsidP="00863D0D">
            <w:pPr>
              <w:pStyle w:val="BodyText"/>
              <w:rPr>
                <w:bCs/>
                <w:sz w:val="20"/>
              </w:rPr>
            </w:pPr>
            <w:r w:rsidRPr="00023A60">
              <w:rPr>
                <w:bCs/>
                <w:sz w:val="20"/>
              </w:rPr>
              <w:t xml:space="preserve">  Hyponatremia</w:t>
            </w:r>
          </w:p>
        </w:tc>
        <w:tc>
          <w:tcPr>
            <w:tcW w:w="1080" w:type="dxa"/>
            <w:shd w:val="clear" w:color="auto" w:fill="auto"/>
          </w:tcPr>
          <w:p w14:paraId="54EB22CF" w14:textId="77777777" w:rsidR="00256A10" w:rsidRPr="00023A60" w:rsidDel="003024EF" w:rsidRDefault="00256A10">
            <w:pPr>
              <w:pStyle w:val="BodyText"/>
              <w:rPr>
                <w:bCs/>
                <w:sz w:val="20"/>
              </w:rPr>
            </w:pPr>
            <w:r w:rsidRPr="00023A60">
              <w:rPr>
                <w:bCs/>
                <w:sz w:val="20"/>
              </w:rPr>
              <w:t>&lt;1</w:t>
            </w:r>
          </w:p>
        </w:tc>
        <w:tc>
          <w:tcPr>
            <w:tcW w:w="900" w:type="dxa"/>
            <w:shd w:val="clear" w:color="auto" w:fill="auto"/>
          </w:tcPr>
          <w:p w14:paraId="5BA3367D" w14:textId="77777777" w:rsidR="00256A10" w:rsidRPr="00023A60" w:rsidDel="003024EF" w:rsidRDefault="00256A10">
            <w:pPr>
              <w:pStyle w:val="BodyText"/>
              <w:rPr>
                <w:bCs/>
                <w:sz w:val="20"/>
              </w:rPr>
            </w:pPr>
            <w:r w:rsidRPr="00023A60">
              <w:rPr>
                <w:bCs/>
                <w:sz w:val="20"/>
              </w:rPr>
              <w:t>0</w:t>
            </w:r>
          </w:p>
        </w:tc>
        <w:tc>
          <w:tcPr>
            <w:tcW w:w="916" w:type="dxa"/>
            <w:shd w:val="clear" w:color="auto" w:fill="auto"/>
          </w:tcPr>
          <w:p w14:paraId="1F6E4AB4" w14:textId="77777777" w:rsidR="00256A10" w:rsidRPr="00023A60" w:rsidDel="003024EF" w:rsidRDefault="00256A10">
            <w:pPr>
              <w:pStyle w:val="BodyText"/>
              <w:rPr>
                <w:bCs/>
                <w:sz w:val="20"/>
              </w:rPr>
            </w:pPr>
            <w:r w:rsidRPr="00023A60">
              <w:rPr>
                <w:bCs/>
                <w:sz w:val="20"/>
              </w:rPr>
              <w:t>0</w:t>
            </w:r>
          </w:p>
        </w:tc>
        <w:tc>
          <w:tcPr>
            <w:tcW w:w="946" w:type="dxa"/>
            <w:shd w:val="clear" w:color="auto" w:fill="auto"/>
          </w:tcPr>
          <w:p w14:paraId="6534A771" w14:textId="77777777" w:rsidR="00256A10" w:rsidRPr="00023A60" w:rsidDel="003024EF" w:rsidRDefault="00256A10">
            <w:pPr>
              <w:pStyle w:val="BodyText"/>
              <w:rPr>
                <w:bCs/>
                <w:sz w:val="20"/>
              </w:rPr>
            </w:pPr>
            <w:r w:rsidRPr="00023A60">
              <w:rPr>
                <w:bCs/>
                <w:sz w:val="20"/>
              </w:rPr>
              <w:t>2</w:t>
            </w:r>
          </w:p>
        </w:tc>
      </w:tr>
      <w:tr w:rsidR="00256A10" w:rsidRPr="005F4F0B" w14:paraId="0871B624" w14:textId="77777777" w:rsidTr="00F76FA0">
        <w:trPr>
          <w:gridAfter w:val="1"/>
          <w:wAfter w:w="28" w:type="dxa"/>
          <w:jc w:val="center"/>
        </w:trPr>
        <w:tc>
          <w:tcPr>
            <w:tcW w:w="3528" w:type="dxa"/>
            <w:shd w:val="clear" w:color="auto" w:fill="auto"/>
          </w:tcPr>
          <w:p w14:paraId="516C4B51" w14:textId="77777777" w:rsidR="00256A10" w:rsidRPr="00023A60" w:rsidRDefault="00256A10" w:rsidP="00863D0D">
            <w:pPr>
              <w:pStyle w:val="BodyText"/>
              <w:rPr>
                <w:bCs/>
                <w:sz w:val="20"/>
              </w:rPr>
            </w:pPr>
            <w:r w:rsidRPr="00023A60">
              <w:rPr>
                <w:bCs/>
                <w:sz w:val="20"/>
              </w:rPr>
              <w:t>Musculoskeletal and Connective Tissue disorders</w:t>
            </w:r>
          </w:p>
        </w:tc>
        <w:tc>
          <w:tcPr>
            <w:tcW w:w="1080" w:type="dxa"/>
            <w:shd w:val="clear" w:color="auto" w:fill="auto"/>
            <w:vAlign w:val="center"/>
          </w:tcPr>
          <w:p w14:paraId="42923872" w14:textId="77777777" w:rsidR="00256A10" w:rsidRPr="005F4F0B" w:rsidRDefault="00256A10" w:rsidP="00256A10">
            <w:pPr>
              <w:pStyle w:val="BodyText"/>
              <w:rPr>
                <w:sz w:val="20"/>
              </w:rPr>
            </w:pPr>
          </w:p>
        </w:tc>
        <w:tc>
          <w:tcPr>
            <w:tcW w:w="900" w:type="dxa"/>
            <w:shd w:val="clear" w:color="auto" w:fill="auto"/>
            <w:vAlign w:val="center"/>
          </w:tcPr>
          <w:p w14:paraId="7E8C34F8" w14:textId="77777777" w:rsidR="00256A10" w:rsidRPr="005F4F0B" w:rsidRDefault="00256A10" w:rsidP="00256A10">
            <w:pPr>
              <w:pStyle w:val="BodyText"/>
              <w:rPr>
                <w:sz w:val="20"/>
              </w:rPr>
            </w:pPr>
          </w:p>
        </w:tc>
        <w:tc>
          <w:tcPr>
            <w:tcW w:w="916" w:type="dxa"/>
            <w:shd w:val="clear" w:color="auto" w:fill="auto"/>
            <w:vAlign w:val="center"/>
          </w:tcPr>
          <w:p w14:paraId="63D8F9D7" w14:textId="77777777" w:rsidR="00256A10" w:rsidRPr="005F4F0B" w:rsidRDefault="00256A10" w:rsidP="00256A10">
            <w:pPr>
              <w:pStyle w:val="BodyText"/>
              <w:rPr>
                <w:sz w:val="20"/>
              </w:rPr>
            </w:pPr>
          </w:p>
        </w:tc>
        <w:tc>
          <w:tcPr>
            <w:tcW w:w="946" w:type="dxa"/>
            <w:shd w:val="clear" w:color="auto" w:fill="auto"/>
          </w:tcPr>
          <w:p w14:paraId="15F58EBD" w14:textId="77777777" w:rsidR="00256A10" w:rsidRPr="005F4F0B" w:rsidRDefault="00256A10" w:rsidP="00256A10">
            <w:pPr>
              <w:pStyle w:val="BodyText"/>
              <w:rPr>
                <w:sz w:val="20"/>
              </w:rPr>
            </w:pPr>
          </w:p>
        </w:tc>
      </w:tr>
      <w:tr w:rsidR="00256A10" w:rsidRPr="005F4F0B" w14:paraId="135D9727" w14:textId="77777777" w:rsidTr="00F76FA0">
        <w:trPr>
          <w:gridAfter w:val="1"/>
          <w:wAfter w:w="28" w:type="dxa"/>
          <w:jc w:val="center"/>
        </w:trPr>
        <w:tc>
          <w:tcPr>
            <w:tcW w:w="3528" w:type="dxa"/>
            <w:shd w:val="clear" w:color="auto" w:fill="auto"/>
          </w:tcPr>
          <w:p w14:paraId="0D652F84" w14:textId="77777777" w:rsidR="00256A10" w:rsidRPr="00023A60" w:rsidRDefault="00256A10" w:rsidP="00863D0D">
            <w:pPr>
              <w:pStyle w:val="BodyText"/>
              <w:rPr>
                <w:bCs/>
                <w:sz w:val="20"/>
              </w:rPr>
            </w:pPr>
            <w:r w:rsidRPr="00023A60">
              <w:rPr>
                <w:bCs/>
                <w:sz w:val="20"/>
              </w:rPr>
              <w:t xml:space="preserve">  Arthralgia</w:t>
            </w:r>
          </w:p>
        </w:tc>
        <w:tc>
          <w:tcPr>
            <w:tcW w:w="1080" w:type="dxa"/>
            <w:shd w:val="clear" w:color="auto" w:fill="auto"/>
          </w:tcPr>
          <w:p w14:paraId="7DDC8369" w14:textId="77777777" w:rsidR="00256A10" w:rsidRPr="00023A60" w:rsidRDefault="00256A10">
            <w:pPr>
              <w:pStyle w:val="BodyText"/>
              <w:rPr>
                <w:bCs/>
                <w:sz w:val="20"/>
              </w:rPr>
            </w:pPr>
            <w:r w:rsidRPr="00023A60">
              <w:rPr>
                <w:bCs/>
                <w:sz w:val="20"/>
              </w:rPr>
              <w:t>1</w:t>
            </w:r>
          </w:p>
        </w:tc>
        <w:tc>
          <w:tcPr>
            <w:tcW w:w="900" w:type="dxa"/>
            <w:shd w:val="clear" w:color="auto" w:fill="auto"/>
          </w:tcPr>
          <w:p w14:paraId="0FAA56A6" w14:textId="77777777" w:rsidR="00256A10" w:rsidRPr="00023A60" w:rsidRDefault="00256A10">
            <w:pPr>
              <w:pStyle w:val="BodyText"/>
              <w:rPr>
                <w:bCs/>
                <w:sz w:val="20"/>
              </w:rPr>
            </w:pPr>
            <w:r w:rsidRPr="00023A60">
              <w:rPr>
                <w:bCs/>
                <w:sz w:val="20"/>
              </w:rPr>
              <w:t>0</w:t>
            </w:r>
          </w:p>
        </w:tc>
        <w:tc>
          <w:tcPr>
            <w:tcW w:w="916" w:type="dxa"/>
            <w:shd w:val="clear" w:color="auto" w:fill="auto"/>
          </w:tcPr>
          <w:p w14:paraId="14CAC964" w14:textId="77777777" w:rsidR="00256A10" w:rsidRPr="00023A60" w:rsidRDefault="00256A10">
            <w:pPr>
              <w:pStyle w:val="BodyText"/>
              <w:rPr>
                <w:bCs/>
                <w:sz w:val="20"/>
              </w:rPr>
            </w:pPr>
            <w:r w:rsidRPr="00023A60">
              <w:rPr>
                <w:bCs/>
                <w:sz w:val="20"/>
              </w:rPr>
              <w:t>3</w:t>
            </w:r>
          </w:p>
        </w:tc>
        <w:tc>
          <w:tcPr>
            <w:tcW w:w="946" w:type="dxa"/>
            <w:shd w:val="clear" w:color="auto" w:fill="auto"/>
          </w:tcPr>
          <w:p w14:paraId="429CC5D0" w14:textId="77777777" w:rsidR="00256A10" w:rsidRPr="00023A60" w:rsidRDefault="00256A10">
            <w:pPr>
              <w:pStyle w:val="BodyText"/>
              <w:rPr>
                <w:bCs/>
                <w:sz w:val="20"/>
              </w:rPr>
            </w:pPr>
            <w:r w:rsidRPr="00023A60">
              <w:rPr>
                <w:bCs/>
                <w:sz w:val="20"/>
              </w:rPr>
              <w:t>2</w:t>
            </w:r>
          </w:p>
        </w:tc>
      </w:tr>
      <w:tr w:rsidR="00256A10" w:rsidRPr="005F4F0B" w14:paraId="207CE9DA" w14:textId="77777777" w:rsidTr="00F76FA0">
        <w:trPr>
          <w:gridAfter w:val="1"/>
          <w:wAfter w:w="28" w:type="dxa"/>
          <w:jc w:val="center"/>
        </w:trPr>
        <w:tc>
          <w:tcPr>
            <w:tcW w:w="3528" w:type="dxa"/>
            <w:shd w:val="clear" w:color="auto" w:fill="auto"/>
          </w:tcPr>
          <w:p w14:paraId="087C7DCD" w14:textId="77777777" w:rsidR="00256A10" w:rsidRPr="00023A60" w:rsidRDefault="00256A10" w:rsidP="00863D0D">
            <w:pPr>
              <w:pStyle w:val="BodyText"/>
              <w:rPr>
                <w:bCs/>
                <w:sz w:val="20"/>
              </w:rPr>
            </w:pPr>
            <w:r w:rsidRPr="00023A60">
              <w:rPr>
                <w:bCs/>
                <w:sz w:val="20"/>
              </w:rPr>
              <w:t xml:space="preserve">  Back pain</w:t>
            </w:r>
          </w:p>
        </w:tc>
        <w:tc>
          <w:tcPr>
            <w:tcW w:w="1080" w:type="dxa"/>
            <w:shd w:val="clear" w:color="auto" w:fill="auto"/>
          </w:tcPr>
          <w:p w14:paraId="2AF2D1A7" w14:textId="77777777" w:rsidR="00256A10" w:rsidRPr="00023A60" w:rsidRDefault="00256A10">
            <w:pPr>
              <w:pStyle w:val="BodyText"/>
              <w:rPr>
                <w:bCs/>
                <w:sz w:val="20"/>
              </w:rPr>
            </w:pPr>
            <w:r w:rsidRPr="00023A60">
              <w:rPr>
                <w:bCs/>
                <w:sz w:val="20"/>
              </w:rPr>
              <w:t>2</w:t>
            </w:r>
          </w:p>
        </w:tc>
        <w:tc>
          <w:tcPr>
            <w:tcW w:w="900" w:type="dxa"/>
            <w:shd w:val="clear" w:color="auto" w:fill="auto"/>
          </w:tcPr>
          <w:p w14:paraId="4061C5A4" w14:textId="77777777" w:rsidR="00256A10" w:rsidRPr="00023A60" w:rsidRDefault="00256A10">
            <w:pPr>
              <w:pStyle w:val="BodyText"/>
              <w:rPr>
                <w:bCs/>
                <w:sz w:val="20"/>
              </w:rPr>
            </w:pPr>
            <w:r w:rsidRPr="00023A60">
              <w:rPr>
                <w:bCs/>
                <w:sz w:val="20"/>
              </w:rPr>
              <w:t>2</w:t>
            </w:r>
          </w:p>
        </w:tc>
        <w:tc>
          <w:tcPr>
            <w:tcW w:w="916" w:type="dxa"/>
            <w:shd w:val="clear" w:color="auto" w:fill="auto"/>
          </w:tcPr>
          <w:p w14:paraId="01E7F37B" w14:textId="77777777" w:rsidR="00256A10" w:rsidRPr="00023A60" w:rsidRDefault="00256A10">
            <w:pPr>
              <w:pStyle w:val="BodyText"/>
              <w:rPr>
                <w:bCs/>
                <w:sz w:val="20"/>
              </w:rPr>
            </w:pPr>
            <w:r w:rsidRPr="00023A60">
              <w:rPr>
                <w:bCs/>
                <w:sz w:val="20"/>
              </w:rPr>
              <w:t>2</w:t>
            </w:r>
          </w:p>
        </w:tc>
        <w:tc>
          <w:tcPr>
            <w:tcW w:w="946" w:type="dxa"/>
            <w:shd w:val="clear" w:color="auto" w:fill="auto"/>
          </w:tcPr>
          <w:p w14:paraId="3A74736D" w14:textId="77777777" w:rsidR="00256A10" w:rsidRPr="00023A60" w:rsidRDefault="00256A10">
            <w:pPr>
              <w:pStyle w:val="BodyText"/>
              <w:rPr>
                <w:bCs/>
                <w:sz w:val="20"/>
              </w:rPr>
            </w:pPr>
            <w:r w:rsidRPr="00023A60">
              <w:rPr>
                <w:bCs/>
                <w:sz w:val="20"/>
              </w:rPr>
              <w:t>5</w:t>
            </w:r>
          </w:p>
        </w:tc>
      </w:tr>
      <w:tr w:rsidR="00256A10" w:rsidRPr="005F4F0B" w14:paraId="35763B83" w14:textId="77777777" w:rsidTr="00F76FA0">
        <w:trPr>
          <w:gridAfter w:val="1"/>
          <w:wAfter w:w="28" w:type="dxa"/>
          <w:jc w:val="center"/>
        </w:trPr>
        <w:tc>
          <w:tcPr>
            <w:tcW w:w="3528" w:type="dxa"/>
            <w:shd w:val="clear" w:color="auto" w:fill="auto"/>
          </w:tcPr>
          <w:p w14:paraId="73242516" w14:textId="77777777" w:rsidR="00256A10" w:rsidRPr="00023A60" w:rsidRDefault="00256A10" w:rsidP="00863D0D">
            <w:pPr>
              <w:pStyle w:val="BodyText"/>
              <w:rPr>
                <w:bCs/>
                <w:sz w:val="20"/>
              </w:rPr>
            </w:pPr>
            <w:r w:rsidRPr="00023A60">
              <w:rPr>
                <w:bCs/>
                <w:sz w:val="20"/>
              </w:rPr>
              <w:t xml:space="preserve">  Musculoskeletal pain</w:t>
            </w:r>
          </w:p>
        </w:tc>
        <w:tc>
          <w:tcPr>
            <w:tcW w:w="1080" w:type="dxa"/>
            <w:shd w:val="clear" w:color="auto" w:fill="auto"/>
          </w:tcPr>
          <w:p w14:paraId="4CAFB57A" w14:textId="77777777" w:rsidR="00256A10" w:rsidRPr="00023A60" w:rsidRDefault="00256A10">
            <w:pPr>
              <w:pStyle w:val="BodyText"/>
              <w:rPr>
                <w:bCs/>
                <w:sz w:val="20"/>
              </w:rPr>
            </w:pPr>
            <w:r w:rsidRPr="00023A60">
              <w:rPr>
                <w:bCs/>
                <w:sz w:val="20"/>
              </w:rPr>
              <w:t>1</w:t>
            </w:r>
          </w:p>
        </w:tc>
        <w:tc>
          <w:tcPr>
            <w:tcW w:w="900" w:type="dxa"/>
            <w:shd w:val="clear" w:color="auto" w:fill="auto"/>
          </w:tcPr>
          <w:p w14:paraId="0BD1E629" w14:textId="77777777" w:rsidR="00256A10" w:rsidRPr="00023A60" w:rsidRDefault="00256A10">
            <w:pPr>
              <w:pStyle w:val="BodyText"/>
              <w:rPr>
                <w:bCs/>
                <w:sz w:val="20"/>
              </w:rPr>
            </w:pPr>
            <w:r w:rsidRPr="00023A60">
              <w:rPr>
                <w:bCs/>
                <w:sz w:val="20"/>
              </w:rPr>
              <w:t>1</w:t>
            </w:r>
          </w:p>
        </w:tc>
        <w:tc>
          <w:tcPr>
            <w:tcW w:w="916" w:type="dxa"/>
            <w:shd w:val="clear" w:color="auto" w:fill="auto"/>
          </w:tcPr>
          <w:p w14:paraId="0E776866" w14:textId="77777777" w:rsidR="00256A10" w:rsidRPr="00023A60" w:rsidRDefault="00256A10">
            <w:pPr>
              <w:pStyle w:val="BodyText"/>
              <w:rPr>
                <w:bCs/>
                <w:sz w:val="20"/>
              </w:rPr>
            </w:pPr>
            <w:r w:rsidRPr="00023A60">
              <w:rPr>
                <w:bCs/>
                <w:sz w:val="20"/>
              </w:rPr>
              <w:t>1</w:t>
            </w:r>
          </w:p>
        </w:tc>
        <w:tc>
          <w:tcPr>
            <w:tcW w:w="946" w:type="dxa"/>
            <w:shd w:val="clear" w:color="auto" w:fill="auto"/>
          </w:tcPr>
          <w:p w14:paraId="15ECB8B2" w14:textId="77777777" w:rsidR="00256A10" w:rsidRPr="00023A60" w:rsidRDefault="00256A10">
            <w:pPr>
              <w:pStyle w:val="BodyText"/>
              <w:rPr>
                <w:bCs/>
                <w:sz w:val="20"/>
              </w:rPr>
            </w:pPr>
            <w:r w:rsidRPr="00023A60">
              <w:rPr>
                <w:bCs/>
                <w:sz w:val="20"/>
              </w:rPr>
              <w:t>2</w:t>
            </w:r>
          </w:p>
        </w:tc>
      </w:tr>
      <w:tr w:rsidR="00256A10" w:rsidRPr="005F4F0B" w14:paraId="6F558AC9" w14:textId="77777777" w:rsidTr="00F76FA0">
        <w:trPr>
          <w:gridAfter w:val="1"/>
          <w:wAfter w:w="28" w:type="dxa"/>
          <w:jc w:val="center"/>
        </w:trPr>
        <w:tc>
          <w:tcPr>
            <w:tcW w:w="3528" w:type="dxa"/>
            <w:shd w:val="clear" w:color="auto" w:fill="auto"/>
          </w:tcPr>
          <w:p w14:paraId="13D5E8EF" w14:textId="77777777" w:rsidR="00256A10" w:rsidRPr="00023A60" w:rsidRDefault="00256A10" w:rsidP="00863D0D">
            <w:pPr>
              <w:pStyle w:val="BodyText"/>
              <w:rPr>
                <w:bCs/>
                <w:sz w:val="20"/>
              </w:rPr>
            </w:pPr>
            <w:r w:rsidRPr="00023A60">
              <w:rPr>
                <w:bCs/>
                <w:sz w:val="20"/>
              </w:rPr>
              <w:t xml:space="preserve">  Myalgia</w:t>
            </w:r>
          </w:p>
        </w:tc>
        <w:tc>
          <w:tcPr>
            <w:tcW w:w="1080" w:type="dxa"/>
            <w:shd w:val="clear" w:color="auto" w:fill="auto"/>
          </w:tcPr>
          <w:p w14:paraId="1055D239" w14:textId="77777777" w:rsidR="00256A10" w:rsidRPr="00023A60" w:rsidRDefault="00256A10">
            <w:pPr>
              <w:pStyle w:val="BodyText"/>
              <w:rPr>
                <w:bCs/>
                <w:sz w:val="20"/>
              </w:rPr>
            </w:pPr>
            <w:r w:rsidRPr="00023A60">
              <w:rPr>
                <w:bCs/>
                <w:sz w:val="20"/>
              </w:rPr>
              <w:t>2</w:t>
            </w:r>
          </w:p>
        </w:tc>
        <w:tc>
          <w:tcPr>
            <w:tcW w:w="900" w:type="dxa"/>
            <w:shd w:val="clear" w:color="auto" w:fill="auto"/>
          </w:tcPr>
          <w:p w14:paraId="476E8D6D" w14:textId="77777777" w:rsidR="00256A10" w:rsidRPr="00023A60" w:rsidRDefault="00256A10">
            <w:pPr>
              <w:pStyle w:val="BodyText"/>
              <w:rPr>
                <w:bCs/>
                <w:sz w:val="20"/>
              </w:rPr>
            </w:pPr>
            <w:r w:rsidRPr="00023A60">
              <w:rPr>
                <w:bCs/>
                <w:sz w:val="20"/>
              </w:rPr>
              <w:t>1</w:t>
            </w:r>
          </w:p>
        </w:tc>
        <w:tc>
          <w:tcPr>
            <w:tcW w:w="916" w:type="dxa"/>
            <w:shd w:val="clear" w:color="auto" w:fill="auto"/>
          </w:tcPr>
          <w:p w14:paraId="77347BB1" w14:textId="77777777" w:rsidR="00256A10" w:rsidRPr="00023A60" w:rsidRDefault="00256A10">
            <w:pPr>
              <w:pStyle w:val="BodyText"/>
              <w:rPr>
                <w:bCs/>
                <w:sz w:val="20"/>
              </w:rPr>
            </w:pPr>
            <w:r w:rsidRPr="00023A60">
              <w:rPr>
                <w:bCs/>
                <w:sz w:val="20"/>
              </w:rPr>
              <w:t>1</w:t>
            </w:r>
          </w:p>
        </w:tc>
        <w:tc>
          <w:tcPr>
            <w:tcW w:w="946" w:type="dxa"/>
            <w:shd w:val="clear" w:color="auto" w:fill="auto"/>
          </w:tcPr>
          <w:p w14:paraId="337A2120" w14:textId="77777777" w:rsidR="00256A10" w:rsidRPr="00023A60" w:rsidRDefault="00256A10">
            <w:pPr>
              <w:pStyle w:val="BodyText"/>
              <w:rPr>
                <w:bCs/>
                <w:sz w:val="20"/>
              </w:rPr>
            </w:pPr>
            <w:r w:rsidRPr="00023A60">
              <w:rPr>
                <w:bCs/>
                <w:sz w:val="20"/>
              </w:rPr>
              <w:t>3</w:t>
            </w:r>
          </w:p>
        </w:tc>
      </w:tr>
      <w:tr w:rsidR="00256A10" w:rsidRPr="005F4F0B" w14:paraId="7AA813CB" w14:textId="77777777" w:rsidTr="00F76FA0">
        <w:trPr>
          <w:gridAfter w:val="1"/>
          <w:wAfter w:w="28" w:type="dxa"/>
          <w:jc w:val="center"/>
        </w:trPr>
        <w:tc>
          <w:tcPr>
            <w:tcW w:w="3528" w:type="dxa"/>
            <w:shd w:val="clear" w:color="auto" w:fill="auto"/>
          </w:tcPr>
          <w:p w14:paraId="3FBA29C5" w14:textId="77777777" w:rsidR="00256A10" w:rsidRPr="00023A60" w:rsidRDefault="00256A10" w:rsidP="00863D0D">
            <w:pPr>
              <w:pStyle w:val="BodyText"/>
              <w:rPr>
                <w:bCs/>
                <w:sz w:val="20"/>
              </w:rPr>
            </w:pPr>
            <w:r w:rsidRPr="00023A60">
              <w:rPr>
                <w:bCs/>
                <w:sz w:val="20"/>
              </w:rPr>
              <w:t xml:space="preserve">  Pain in extremity</w:t>
            </w:r>
          </w:p>
        </w:tc>
        <w:tc>
          <w:tcPr>
            <w:tcW w:w="1080" w:type="dxa"/>
            <w:shd w:val="clear" w:color="auto" w:fill="auto"/>
          </w:tcPr>
          <w:p w14:paraId="63E14201" w14:textId="77777777" w:rsidR="00256A10" w:rsidRPr="00023A60" w:rsidRDefault="00256A10">
            <w:pPr>
              <w:pStyle w:val="BodyText"/>
              <w:rPr>
                <w:bCs/>
                <w:sz w:val="20"/>
              </w:rPr>
            </w:pPr>
            <w:r w:rsidRPr="00023A60">
              <w:rPr>
                <w:bCs/>
                <w:sz w:val="20"/>
              </w:rPr>
              <w:t>1</w:t>
            </w:r>
          </w:p>
        </w:tc>
        <w:tc>
          <w:tcPr>
            <w:tcW w:w="900" w:type="dxa"/>
            <w:shd w:val="clear" w:color="auto" w:fill="auto"/>
          </w:tcPr>
          <w:p w14:paraId="53AE1F97" w14:textId="77777777" w:rsidR="00256A10" w:rsidRPr="00023A60" w:rsidRDefault="00256A10">
            <w:pPr>
              <w:pStyle w:val="BodyText"/>
              <w:rPr>
                <w:bCs/>
                <w:sz w:val="20"/>
              </w:rPr>
            </w:pPr>
            <w:r w:rsidRPr="00023A60">
              <w:rPr>
                <w:bCs/>
                <w:sz w:val="20"/>
              </w:rPr>
              <w:t>0</w:t>
            </w:r>
          </w:p>
        </w:tc>
        <w:tc>
          <w:tcPr>
            <w:tcW w:w="916" w:type="dxa"/>
            <w:shd w:val="clear" w:color="auto" w:fill="auto"/>
          </w:tcPr>
          <w:p w14:paraId="59FECE07" w14:textId="77777777" w:rsidR="00256A10" w:rsidRPr="00023A60" w:rsidRDefault="00256A10">
            <w:pPr>
              <w:pStyle w:val="BodyText"/>
              <w:rPr>
                <w:bCs/>
                <w:sz w:val="20"/>
              </w:rPr>
            </w:pPr>
            <w:r w:rsidRPr="00023A60">
              <w:rPr>
                <w:bCs/>
                <w:sz w:val="20"/>
              </w:rPr>
              <w:t>2</w:t>
            </w:r>
          </w:p>
        </w:tc>
        <w:tc>
          <w:tcPr>
            <w:tcW w:w="946" w:type="dxa"/>
            <w:shd w:val="clear" w:color="auto" w:fill="auto"/>
          </w:tcPr>
          <w:p w14:paraId="1F32CB25" w14:textId="77777777" w:rsidR="00256A10" w:rsidRPr="00023A60" w:rsidRDefault="00256A10">
            <w:pPr>
              <w:pStyle w:val="BodyText"/>
              <w:rPr>
                <w:bCs/>
                <w:sz w:val="20"/>
              </w:rPr>
            </w:pPr>
            <w:r w:rsidRPr="00023A60">
              <w:rPr>
                <w:bCs/>
                <w:sz w:val="20"/>
              </w:rPr>
              <w:t>3</w:t>
            </w:r>
          </w:p>
        </w:tc>
      </w:tr>
      <w:tr w:rsidR="00256A10" w:rsidRPr="005F4F0B" w14:paraId="211A73D2" w14:textId="77777777" w:rsidTr="00F76FA0">
        <w:trPr>
          <w:gridAfter w:val="1"/>
          <w:wAfter w:w="28" w:type="dxa"/>
          <w:jc w:val="center"/>
        </w:trPr>
        <w:tc>
          <w:tcPr>
            <w:tcW w:w="3528" w:type="dxa"/>
            <w:shd w:val="clear" w:color="auto" w:fill="auto"/>
          </w:tcPr>
          <w:p w14:paraId="1D0C4C48" w14:textId="77777777" w:rsidR="00256A10" w:rsidRPr="00023A60" w:rsidRDefault="00256A10" w:rsidP="00863D0D">
            <w:pPr>
              <w:pStyle w:val="BodyText"/>
              <w:rPr>
                <w:bCs/>
                <w:sz w:val="20"/>
              </w:rPr>
            </w:pPr>
            <w:r w:rsidRPr="00023A60">
              <w:rPr>
                <w:bCs/>
                <w:sz w:val="20"/>
              </w:rPr>
              <w:t xml:space="preserve">  Peripheral edema</w:t>
            </w:r>
          </w:p>
        </w:tc>
        <w:tc>
          <w:tcPr>
            <w:tcW w:w="1080" w:type="dxa"/>
            <w:shd w:val="clear" w:color="auto" w:fill="auto"/>
          </w:tcPr>
          <w:p w14:paraId="7BD7319B" w14:textId="77777777" w:rsidR="00256A10" w:rsidRPr="00023A60" w:rsidRDefault="00256A10">
            <w:pPr>
              <w:pStyle w:val="BodyText"/>
              <w:rPr>
                <w:bCs/>
                <w:sz w:val="20"/>
              </w:rPr>
            </w:pPr>
            <w:r w:rsidRPr="00023A60">
              <w:rPr>
                <w:bCs/>
                <w:sz w:val="20"/>
              </w:rPr>
              <w:t>1</w:t>
            </w:r>
          </w:p>
        </w:tc>
        <w:tc>
          <w:tcPr>
            <w:tcW w:w="900" w:type="dxa"/>
            <w:shd w:val="clear" w:color="auto" w:fill="auto"/>
          </w:tcPr>
          <w:p w14:paraId="09970425" w14:textId="77777777" w:rsidR="00256A10" w:rsidRPr="00023A60" w:rsidRDefault="00256A10">
            <w:pPr>
              <w:pStyle w:val="BodyText"/>
              <w:rPr>
                <w:bCs/>
                <w:sz w:val="20"/>
              </w:rPr>
            </w:pPr>
            <w:r w:rsidRPr="00023A60">
              <w:rPr>
                <w:bCs/>
                <w:sz w:val="20"/>
              </w:rPr>
              <w:t>1</w:t>
            </w:r>
          </w:p>
        </w:tc>
        <w:tc>
          <w:tcPr>
            <w:tcW w:w="916" w:type="dxa"/>
            <w:shd w:val="clear" w:color="auto" w:fill="auto"/>
          </w:tcPr>
          <w:p w14:paraId="0186A43C" w14:textId="77777777" w:rsidR="00256A10" w:rsidRPr="00023A60" w:rsidRDefault="00256A10">
            <w:pPr>
              <w:pStyle w:val="BodyText"/>
              <w:rPr>
                <w:bCs/>
                <w:sz w:val="20"/>
              </w:rPr>
            </w:pPr>
            <w:r w:rsidRPr="00023A60">
              <w:rPr>
                <w:bCs/>
                <w:sz w:val="20"/>
              </w:rPr>
              <w:t>1</w:t>
            </w:r>
          </w:p>
        </w:tc>
        <w:tc>
          <w:tcPr>
            <w:tcW w:w="946" w:type="dxa"/>
            <w:shd w:val="clear" w:color="auto" w:fill="auto"/>
          </w:tcPr>
          <w:p w14:paraId="25574C65" w14:textId="77777777" w:rsidR="00256A10" w:rsidRPr="00023A60" w:rsidRDefault="00256A10">
            <w:pPr>
              <w:pStyle w:val="BodyText"/>
              <w:rPr>
                <w:bCs/>
                <w:sz w:val="20"/>
              </w:rPr>
            </w:pPr>
            <w:r w:rsidRPr="00023A60">
              <w:rPr>
                <w:bCs/>
                <w:sz w:val="20"/>
              </w:rPr>
              <w:t>2</w:t>
            </w:r>
          </w:p>
        </w:tc>
      </w:tr>
      <w:tr w:rsidR="00256A10" w:rsidRPr="005F4F0B" w14:paraId="3E788B1D" w14:textId="77777777" w:rsidTr="00F76FA0">
        <w:trPr>
          <w:gridAfter w:val="1"/>
          <w:wAfter w:w="28" w:type="dxa"/>
          <w:jc w:val="center"/>
        </w:trPr>
        <w:tc>
          <w:tcPr>
            <w:tcW w:w="3528" w:type="dxa"/>
            <w:shd w:val="clear" w:color="auto" w:fill="auto"/>
          </w:tcPr>
          <w:p w14:paraId="0ED9F5F4" w14:textId="77777777" w:rsidR="00256A10" w:rsidRPr="00023A60" w:rsidRDefault="00256A10" w:rsidP="00863D0D">
            <w:pPr>
              <w:pStyle w:val="BodyText"/>
              <w:rPr>
                <w:bCs/>
                <w:sz w:val="20"/>
              </w:rPr>
            </w:pPr>
            <w:r w:rsidRPr="00023A60">
              <w:rPr>
                <w:bCs/>
                <w:sz w:val="20"/>
              </w:rPr>
              <w:t>Nervous system disorders</w:t>
            </w:r>
          </w:p>
        </w:tc>
        <w:tc>
          <w:tcPr>
            <w:tcW w:w="1080" w:type="dxa"/>
            <w:shd w:val="clear" w:color="auto" w:fill="auto"/>
            <w:vAlign w:val="center"/>
          </w:tcPr>
          <w:p w14:paraId="5ABD4561" w14:textId="77777777" w:rsidR="00256A10" w:rsidRPr="005F4F0B" w:rsidRDefault="00256A10" w:rsidP="00256A10">
            <w:pPr>
              <w:pStyle w:val="BodyText"/>
              <w:rPr>
                <w:sz w:val="20"/>
              </w:rPr>
            </w:pPr>
          </w:p>
        </w:tc>
        <w:tc>
          <w:tcPr>
            <w:tcW w:w="900" w:type="dxa"/>
            <w:shd w:val="clear" w:color="auto" w:fill="auto"/>
            <w:vAlign w:val="center"/>
          </w:tcPr>
          <w:p w14:paraId="2A1B711F" w14:textId="77777777" w:rsidR="00256A10" w:rsidRPr="005F4F0B" w:rsidRDefault="00256A10" w:rsidP="00256A10">
            <w:pPr>
              <w:pStyle w:val="BodyText"/>
              <w:rPr>
                <w:sz w:val="20"/>
              </w:rPr>
            </w:pPr>
          </w:p>
        </w:tc>
        <w:tc>
          <w:tcPr>
            <w:tcW w:w="916" w:type="dxa"/>
            <w:shd w:val="clear" w:color="auto" w:fill="auto"/>
            <w:vAlign w:val="center"/>
          </w:tcPr>
          <w:p w14:paraId="79CF6A01" w14:textId="77777777" w:rsidR="00256A10" w:rsidRPr="005F4F0B" w:rsidRDefault="00256A10" w:rsidP="00256A10">
            <w:pPr>
              <w:pStyle w:val="BodyText"/>
              <w:rPr>
                <w:sz w:val="20"/>
              </w:rPr>
            </w:pPr>
          </w:p>
        </w:tc>
        <w:tc>
          <w:tcPr>
            <w:tcW w:w="946" w:type="dxa"/>
            <w:shd w:val="clear" w:color="auto" w:fill="auto"/>
          </w:tcPr>
          <w:p w14:paraId="2522ADF6" w14:textId="77777777" w:rsidR="00256A10" w:rsidRPr="005F4F0B" w:rsidRDefault="00256A10" w:rsidP="00256A10">
            <w:pPr>
              <w:pStyle w:val="BodyText"/>
              <w:rPr>
                <w:sz w:val="20"/>
              </w:rPr>
            </w:pPr>
          </w:p>
        </w:tc>
      </w:tr>
      <w:tr w:rsidR="00256A10" w:rsidRPr="005F4F0B" w14:paraId="30CA2312" w14:textId="77777777" w:rsidTr="00F76FA0">
        <w:trPr>
          <w:gridAfter w:val="1"/>
          <w:wAfter w:w="28" w:type="dxa"/>
          <w:jc w:val="center"/>
        </w:trPr>
        <w:tc>
          <w:tcPr>
            <w:tcW w:w="3528" w:type="dxa"/>
            <w:shd w:val="clear" w:color="auto" w:fill="auto"/>
          </w:tcPr>
          <w:p w14:paraId="317D9BB9" w14:textId="77777777" w:rsidR="00256A10" w:rsidRPr="00023A60" w:rsidRDefault="00256A10" w:rsidP="00863D0D">
            <w:pPr>
              <w:pStyle w:val="BodyText"/>
              <w:rPr>
                <w:bCs/>
                <w:sz w:val="20"/>
              </w:rPr>
            </w:pPr>
            <w:r w:rsidRPr="00023A60">
              <w:rPr>
                <w:bCs/>
                <w:sz w:val="20"/>
              </w:rPr>
              <w:t xml:space="preserve">  Asthenia</w:t>
            </w:r>
          </w:p>
        </w:tc>
        <w:tc>
          <w:tcPr>
            <w:tcW w:w="1080" w:type="dxa"/>
            <w:shd w:val="clear" w:color="auto" w:fill="auto"/>
          </w:tcPr>
          <w:p w14:paraId="3ACBC6EC" w14:textId="77777777" w:rsidR="00256A10" w:rsidRPr="00023A60" w:rsidRDefault="00256A10">
            <w:pPr>
              <w:pStyle w:val="BodyText"/>
              <w:rPr>
                <w:bCs/>
                <w:sz w:val="20"/>
              </w:rPr>
            </w:pPr>
            <w:r w:rsidRPr="00023A60">
              <w:rPr>
                <w:bCs/>
                <w:sz w:val="20"/>
              </w:rPr>
              <w:t>1</w:t>
            </w:r>
          </w:p>
        </w:tc>
        <w:tc>
          <w:tcPr>
            <w:tcW w:w="900" w:type="dxa"/>
            <w:shd w:val="clear" w:color="auto" w:fill="auto"/>
          </w:tcPr>
          <w:p w14:paraId="369B26D9" w14:textId="77777777" w:rsidR="00256A10" w:rsidRPr="00023A60" w:rsidRDefault="00256A10">
            <w:pPr>
              <w:pStyle w:val="BodyText"/>
              <w:rPr>
                <w:bCs/>
                <w:sz w:val="20"/>
              </w:rPr>
            </w:pPr>
            <w:r w:rsidRPr="00023A60">
              <w:rPr>
                <w:bCs/>
                <w:sz w:val="20"/>
              </w:rPr>
              <w:t>1</w:t>
            </w:r>
          </w:p>
        </w:tc>
        <w:tc>
          <w:tcPr>
            <w:tcW w:w="916" w:type="dxa"/>
            <w:shd w:val="clear" w:color="auto" w:fill="auto"/>
          </w:tcPr>
          <w:p w14:paraId="792E27DF" w14:textId="77777777" w:rsidR="00256A10" w:rsidRPr="00023A60" w:rsidRDefault="00256A10">
            <w:pPr>
              <w:pStyle w:val="BodyText"/>
              <w:rPr>
                <w:bCs/>
                <w:sz w:val="20"/>
              </w:rPr>
            </w:pPr>
            <w:r w:rsidRPr="00023A60">
              <w:rPr>
                <w:bCs/>
                <w:sz w:val="20"/>
              </w:rPr>
              <w:t>2</w:t>
            </w:r>
          </w:p>
        </w:tc>
        <w:tc>
          <w:tcPr>
            <w:tcW w:w="946" w:type="dxa"/>
            <w:shd w:val="clear" w:color="auto" w:fill="auto"/>
          </w:tcPr>
          <w:p w14:paraId="7ABC9C6E" w14:textId="77777777" w:rsidR="00256A10" w:rsidRPr="00023A60" w:rsidRDefault="00256A10">
            <w:pPr>
              <w:pStyle w:val="BodyText"/>
              <w:rPr>
                <w:bCs/>
                <w:sz w:val="20"/>
              </w:rPr>
            </w:pPr>
            <w:r w:rsidRPr="00023A60">
              <w:rPr>
                <w:bCs/>
                <w:sz w:val="20"/>
              </w:rPr>
              <w:t>2</w:t>
            </w:r>
          </w:p>
        </w:tc>
      </w:tr>
      <w:tr w:rsidR="00256A10" w:rsidRPr="005F4F0B" w14:paraId="1CE84CC1" w14:textId="77777777" w:rsidTr="00F76FA0">
        <w:trPr>
          <w:gridAfter w:val="1"/>
          <w:wAfter w:w="28" w:type="dxa"/>
          <w:jc w:val="center"/>
        </w:trPr>
        <w:tc>
          <w:tcPr>
            <w:tcW w:w="3528" w:type="dxa"/>
            <w:shd w:val="clear" w:color="auto" w:fill="auto"/>
          </w:tcPr>
          <w:p w14:paraId="55B02DCC" w14:textId="77777777" w:rsidR="00256A10" w:rsidRPr="00023A60" w:rsidRDefault="00256A10" w:rsidP="00863D0D">
            <w:pPr>
              <w:pStyle w:val="BodyText"/>
              <w:rPr>
                <w:bCs/>
                <w:sz w:val="20"/>
              </w:rPr>
            </w:pPr>
            <w:r w:rsidRPr="00023A60">
              <w:rPr>
                <w:bCs/>
                <w:sz w:val="20"/>
              </w:rPr>
              <w:t xml:space="preserve">  Ataxia</w:t>
            </w:r>
          </w:p>
        </w:tc>
        <w:tc>
          <w:tcPr>
            <w:tcW w:w="1080" w:type="dxa"/>
            <w:shd w:val="clear" w:color="auto" w:fill="auto"/>
          </w:tcPr>
          <w:p w14:paraId="62D9D727" w14:textId="77777777" w:rsidR="00256A10" w:rsidRPr="00023A60" w:rsidRDefault="00256A10">
            <w:pPr>
              <w:pStyle w:val="BodyText"/>
              <w:rPr>
                <w:bCs/>
                <w:sz w:val="20"/>
              </w:rPr>
            </w:pPr>
            <w:r w:rsidRPr="00023A60">
              <w:rPr>
                <w:bCs/>
                <w:sz w:val="20"/>
              </w:rPr>
              <w:t>0</w:t>
            </w:r>
          </w:p>
        </w:tc>
        <w:tc>
          <w:tcPr>
            <w:tcW w:w="900" w:type="dxa"/>
            <w:shd w:val="clear" w:color="auto" w:fill="auto"/>
          </w:tcPr>
          <w:p w14:paraId="5A1FF086" w14:textId="77777777" w:rsidR="00256A10" w:rsidRPr="00023A60" w:rsidRDefault="00256A10">
            <w:pPr>
              <w:pStyle w:val="BodyText"/>
              <w:rPr>
                <w:bCs/>
                <w:sz w:val="20"/>
              </w:rPr>
            </w:pPr>
            <w:r w:rsidRPr="00023A60">
              <w:rPr>
                <w:bCs/>
                <w:sz w:val="20"/>
              </w:rPr>
              <w:t>1</w:t>
            </w:r>
          </w:p>
        </w:tc>
        <w:tc>
          <w:tcPr>
            <w:tcW w:w="916" w:type="dxa"/>
            <w:shd w:val="clear" w:color="auto" w:fill="auto"/>
          </w:tcPr>
          <w:p w14:paraId="165B1A1A" w14:textId="77777777" w:rsidR="00256A10" w:rsidRPr="00023A60" w:rsidRDefault="00256A10">
            <w:pPr>
              <w:pStyle w:val="BodyText"/>
              <w:rPr>
                <w:bCs/>
                <w:sz w:val="20"/>
              </w:rPr>
            </w:pPr>
            <w:r w:rsidRPr="00023A60">
              <w:rPr>
                <w:bCs/>
                <w:sz w:val="20"/>
              </w:rPr>
              <w:t>3</w:t>
            </w:r>
          </w:p>
        </w:tc>
        <w:tc>
          <w:tcPr>
            <w:tcW w:w="946" w:type="dxa"/>
            <w:shd w:val="clear" w:color="auto" w:fill="auto"/>
          </w:tcPr>
          <w:p w14:paraId="40050D9E" w14:textId="77777777" w:rsidR="00256A10" w:rsidRPr="00023A60" w:rsidRDefault="00256A10">
            <w:pPr>
              <w:pStyle w:val="BodyText"/>
              <w:rPr>
                <w:bCs/>
                <w:sz w:val="20"/>
              </w:rPr>
            </w:pPr>
            <w:r w:rsidRPr="00023A60">
              <w:rPr>
                <w:bCs/>
                <w:sz w:val="20"/>
              </w:rPr>
              <w:t>8</w:t>
            </w:r>
          </w:p>
        </w:tc>
      </w:tr>
      <w:tr w:rsidR="00256A10" w:rsidRPr="005F4F0B" w14:paraId="78ED37FE" w14:textId="77777777" w:rsidTr="00F76FA0">
        <w:trPr>
          <w:gridAfter w:val="1"/>
          <w:wAfter w:w="28" w:type="dxa"/>
          <w:jc w:val="center"/>
        </w:trPr>
        <w:tc>
          <w:tcPr>
            <w:tcW w:w="3528" w:type="dxa"/>
            <w:shd w:val="clear" w:color="auto" w:fill="auto"/>
          </w:tcPr>
          <w:p w14:paraId="16D5403D" w14:textId="77777777" w:rsidR="00256A10" w:rsidRPr="00023A60" w:rsidRDefault="00256A10" w:rsidP="00863D0D">
            <w:pPr>
              <w:pStyle w:val="BodyText"/>
              <w:rPr>
                <w:bCs/>
                <w:sz w:val="20"/>
              </w:rPr>
            </w:pPr>
            <w:r w:rsidRPr="00023A60">
              <w:rPr>
                <w:bCs/>
                <w:sz w:val="20"/>
              </w:rPr>
              <w:t xml:space="preserve">  Balance disorder</w:t>
            </w:r>
          </w:p>
        </w:tc>
        <w:tc>
          <w:tcPr>
            <w:tcW w:w="1080" w:type="dxa"/>
            <w:shd w:val="clear" w:color="auto" w:fill="auto"/>
          </w:tcPr>
          <w:p w14:paraId="0E0E1983" w14:textId="77777777" w:rsidR="00256A10" w:rsidRPr="00023A60" w:rsidRDefault="00256A10">
            <w:pPr>
              <w:pStyle w:val="BodyText"/>
              <w:rPr>
                <w:bCs/>
                <w:sz w:val="20"/>
              </w:rPr>
            </w:pPr>
            <w:r w:rsidRPr="00023A60">
              <w:rPr>
                <w:bCs/>
                <w:sz w:val="20"/>
              </w:rPr>
              <w:t>1</w:t>
            </w:r>
          </w:p>
        </w:tc>
        <w:tc>
          <w:tcPr>
            <w:tcW w:w="900" w:type="dxa"/>
            <w:shd w:val="clear" w:color="auto" w:fill="auto"/>
          </w:tcPr>
          <w:p w14:paraId="4DF576A7" w14:textId="77777777" w:rsidR="00256A10" w:rsidRPr="00023A60" w:rsidRDefault="00256A10">
            <w:pPr>
              <w:pStyle w:val="BodyText"/>
              <w:rPr>
                <w:bCs/>
                <w:sz w:val="20"/>
              </w:rPr>
            </w:pPr>
            <w:r w:rsidRPr="00023A60">
              <w:rPr>
                <w:bCs/>
                <w:sz w:val="20"/>
              </w:rPr>
              <w:t>0</w:t>
            </w:r>
          </w:p>
        </w:tc>
        <w:tc>
          <w:tcPr>
            <w:tcW w:w="916" w:type="dxa"/>
            <w:shd w:val="clear" w:color="auto" w:fill="auto"/>
          </w:tcPr>
          <w:p w14:paraId="5CD5CA1F" w14:textId="77777777" w:rsidR="00256A10" w:rsidRPr="00023A60" w:rsidRDefault="00256A10">
            <w:pPr>
              <w:pStyle w:val="BodyText"/>
              <w:rPr>
                <w:bCs/>
                <w:sz w:val="20"/>
              </w:rPr>
            </w:pPr>
            <w:r w:rsidRPr="00023A60">
              <w:rPr>
                <w:bCs/>
                <w:sz w:val="20"/>
              </w:rPr>
              <w:t>5</w:t>
            </w:r>
          </w:p>
        </w:tc>
        <w:tc>
          <w:tcPr>
            <w:tcW w:w="946" w:type="dxa"/>
            <w:shd w:val="clear" w:color="auto" w:fill="auto"/>
          </w:tcPr>
          <w:p w14:paraId="10B7DEDB" w14:textId="77777777" w:rsidR="00256A10" w:rsidRPr="00023A60" w:rsidRDefault="00256A10">
            <w:pPr>
              <w:pStyle w:val="BodyText"/>
              <w:rPr>
                <w:bCs/>
                <w:sz w:val="20"/>
              </w:rPr>
            </w:pPr>
            <w:r w:rsidRPr="00023A60">
              <w:rPr>
                <w:bCs/>
                <w:sz w:val="20"/>
              </w:rPr>
              <w:t>3</w:t>
            </w:r>
          </w:p>
        </w:tc>
      </w:tr>
      <w:tr w:rsidR="00256A10" w:rsidRPr="005F4F0B" w14:paraId="69473E36" w14:textId="77777777" w:rsidTr="00F76FA0">
        <w:trPr>
          <w:gridAfter w:val="1"/>
          <w:wAfter w:w="28" w:type="dxa"/>
          <w:jc w:val="center"/>
        </w:trPr>
        <w:tc>
          <w:tcPr>
            <w:tcW w:w="3528" w:type="dxa"/>
            <w:shd w:val="clear" w:color="auto" w:fill="auto"/>
          </w:tcPr>
          <w:p w14:paraId="3F8A1391" w14:textId="77777777" w:rsidR="00256A10" w:rsidRPr="00023A60" w:rsidRDefault="00256A10" w:rsidP="00863D0D">
            <w:pPr>
              <w:pStyle w:val="BodyText"/>
              <w:rPr>
                <w:bCs/>
                <w:sz w:val="20"/>
              </w:rPr>
            </w:pPr>
            <w:r w:rsidRPr="00023A60">
              <w:rPr>
                <w:bCs/>
                <w:sz w:val="20"/>
              </w:rPr>
              <w:t xml:space="preserve">  Coordination abnormal</w:t>
            </w:r>
          </w:p>
        </w:tc>
        <w:tc>
          <w:tcPr>
            <w:tcW w:w="1080" w:type="dxa"/>
            <w:shd w:val="clear" w:color="auto" w:fill="auto"/>
          </w:tcPr>
          <w:p w14:paraId="2F1D8B1A" w14:textId="77777777" w:rsidR="00256A10" w:rsidRPr="00023A60" w:rsidRDefault="00256A10">
            <w:pPr>
              <w:pStyle w:val="BodyText"/>
              <w:rPr>
                <w:bCs/>
                <w:sz w:val="20"/>
              </w:rPr>
            </w:pPr>
            <w:r w:rsidRPr="00023A60">
              <w:rPr>
                <w:bCs/>
                <w:sz w:val="20"/>
              </w:rPr>
              <w:t>0</w:t>
            </w:r>
          </w:p>
        </w:tc>
        <w:tc>
          <w:tcPr>
            <w:tcW w:w="900" w:type="dxa"/>
            <w:shd w:val="clear" w:color="auto" w:fill="auto"/>
          </w:tcPr>
          <w:p w14:paraId="1B6E2DBA" w14:textId="77777777" w:rsidR="00256A10" w:rsidRPr="00023A60" w:rsidRDefault="00256A10">
            <w:pPr>
              <w:pStyle w:val="BodyText"/>
              <w:rPr>
                <w:bCs/>
                <w:sz w:val="20"/>
              </w:rPr>
            </w:pPr>
            <w:r w:rsidRPr="00023A60">
              <w:rPr>
                <w:bCs/>
                <w:sz w:val="20"/>
              </w:rPr>
              <w:t>1</w:t>
            </w:r>
          </w:p>
        </w:tc>
        <w:tc>
          <w:tcPr>
            <w:tcW w:w="916" w:type="dxa"/>
            <w:shd w:val="clear" w:color="auto" w:fill="auto"/>
          </w:tcPr>
          <w:p w14:paraId="6CDD04C5" w14:textId="77777777" w:rsidR="00256A10" w:rsidRPr="00023A60" w:rsidRDefault="00256A10">
            <w:pPr>
              <w:pStyle w:val="BodyText"/>
              <w:rPr>
                <w:bCs/>
                <w:sz w:val="20"/>
              </w:rPr>
            </w:pPr>
            <w:r w:rsidRPr="00023A60">
              <w:rPr>
                <w:bCs/>
                <w:sz w:val="20"/>
              </w:rPr>
              <w:t>&lt;1</w:t>
            </w:r>
          </w:p>
        </w:tc>
        <w:tc>
          <w:tcPr>
            <w:tcW w:w="946" w:type="dxa"/>
            <w:shd w:val="clear" w:color="auto" w:fill="auto"/>
          </w:tcPr>
          <w:p w14:paraId="760CEF5A" w14:textId="77777777" w:rsidR="00256A10" w:rsidRPr="00023A60" w:rsidRDefault="00256A10">
            <w:pPr>
              <w:pStyle w:val="BodyText"/>
              <w:rPr>
                <w:bCs/>
                <w:sz w:val="20"/>
              </w:rPr>
            </w:pPr>
            <w:r w:rsidRPr="00023A60">
              <w:rPr>
                <w:bCs/>
                <w:sz w:val="20"/>
              </w:rPr>
              <w:t>2</w:t>
            </w:r>
          </w:p>
        </w:tc>
      </w:tr>
      <w:tr w:rsidR="00256A10" w:rsidRPr="005F4F0B" w14:paraId="07107492" w14:textId="77777777" w:rsidTr="00F76FA0">
        <w:trPr>
          <w:gridAfter w:val="1"/>
          <w:wAfter w:w="28" w:type="dxa"/>
          <w:jc w:val="center"/>
        </w:trPr>
        <w:tc>
          <w:tcPr>
            <w:tcW w:w="3528" w:type="dxa"/>
            <w:shd w:val="clear" w:color="auto" w:fill="auto"/>
          </w:tcPr>
          <w:p w14:paraId="6D2A9AD2" w14:textId="77777777" w:rsidR="00256A10" w:rsidRPr="00023A60" w:rsidRDefault="00256A10" w:rsidP="00863D0D">
            <w:pPr>
              <w:pStyle w:val="BodyText"/>
              <w:rPr>
                <w:bCs/>
                <w:sz w:val="20"/>
              </w:rPr>
            </w:pPr>
            <w:r w:rsidRPr="00023A60">
              <w:rPr>
                <w:bCs/>
                <w:sz w:val="20"/>
              </w:rPr>
              <w:t xml:space="preserve">  Dizziness</w:t>
            </w:r>
          </w:p>
        </w:tc>
        <w:tc>
          <w:tcPr>
            <w:tcW w:w="1080" w:type="dxa"/>
            <w:shd w:val="clear" w:color="auto" w:fill="auto"/>
          </w:tcPr>
          <w:p w14:paraId="16825823" w14:textId="77777777" w:rsidR="00256A10" w:rsidRPr="00023A60" w:rsidRDefault="00256A10">
            <w:pPr>
              <w:pStyle w:val="BodyText"/>
              <w:rPr>
                <w:bCs/>
                <w:sz w:val="20"/>
              </w:rPr>
            </w:pPr>
            <w:r w:rsidRPr="00023A60">
              <w:rPr>
                <w:bCs/>
                <w:sz w:val="20"/>
              </w:rPr>
              <w:t>9</w:t>
            </w:r>
          </w:p>
        </w:tc>
        <w:tc>
          <w:tcPr>
            <w:tcW w:w="900" w:type="dxa"/>
            <w:shd w:val="clear" w:color="auto" w:fill="auto"/>
          </w:tcPr>
          <w:p w14:paraId="217BF548" w14:textId="77777777" w:rsidR="00256A10" w:rsidRPr="00023A60" w:rsidRDefault="00256A10">
            <w:pPr>
              <w:pStyle w:val="BodyText"/>
              <w:rPr>
                <w:bCs/>
                <w:sz w:val="20"/>
              </w:rPr>
            </w:pPr>
            <w:r w:rsidRPr="00023A60">
              <w:rPr>
                <w:bCs/>
                <w:sz w:val="20"/>
              </w:rPr>
              <w:t>16</w:t>
            </w:r>
          </w:p>
        </w:tc>
        <w:tc>
          <w:tcPr>
            <w:tcW w:w="916" w:type="dxa"/>
            <w:shd w:val="clear" w:color="auto" w:fill="auto"/>
          </w:tcPr>
          <w:p w14:paraId="2B7D9855" w14:textId="77777777" w:rsidR="00256A10" w:rsidRPr="00023A60" w:rsidRDefault="00256A10">
            <w:pPr>
              <w:pStyle w:val="BodyText"/>
              <w:rPr>
                <w:bCs/>
                <w:sz w:val="20"/>
              </w:rPr>
            </w:pPr>
            <w:r w:rsidRPr="00023A60">
              <w:rPr>
                <w:bCs/>
                <w:sz w:val="20"/>
              </w:rPr>
              <w:t>32</w:t>
            </w:r>
          </w:p>
        </w:tc>
        <w:tc>
          <w:tcPr>
            <w:tcW w:w="946" w:type="dxa"/>
            <w:shd w:val="clear" w:color="auto" w:fill="auto"/>
          </w:tcPr>
          <w:p w14:paraId="0C49D22B" w14:textId="77777777" w:rsidR="00256A10" w:rsidRPr="00023A60" w:rsidRDefault="00256A10">
            <w:pPr>
              <w:pStyle w:val="BodyText"/>
              <w:rPr>
                <w:bCs/>
                <w:sz w:val="20"/>
              </w:rPr>
            </w:pPr>
            <w:r w:rsidRPr="00023A60">
              <w:rPr>
                <w:bCs/>
                <w:sz w:val="20"/>
              </w:rPr>
              <w:t>43</w:t>
            </w:r>
          </w:p>
        </w:tc>
      </w:tr>
      <w:tr w:rsidR="00256A10" w:rsidRPr="005F4F0B" w14:paraId="7399FCF6" w14:textId="77777777" w:rsidTr="00F76FA0">
        <w:trPr>
          <w:gridAfter w:val="1"/>
          <w:wAfter w:w="28" w:type="dxa"/>
          <w:jc w:val="center"/>
        </w:trPr>
        <w:tc>
          <w:tcPr>
            <w:tcW w:w="3528" w:type="dxa"/>
            <w:shd w:val="clear" w:color="auto" w:fill="auto"/>
          </w:tcPr>
          <w:p w14:paraId="1D54BA51" w14:textId="77777777" w:rsidR="00256A10" w:rsidRPr="00023A60" w:rsidRDefault="00256A10" w:rsidP="00863D0D">
            <w:pPr>
              <w:pStyle w:val="BodyText"/>
              <w:rPr>
                <w:bCs/>
                <w:sz w:val="20"/>
              </w:rPr>
            </w:pPr>
            <w:r w:rsidRPr="00023A60">
              <w:rPr>
                <w:bCs/>
                <w:sz w:val="20"/>
              </w:rPr>
              <w:t xml:space="preserve">  Dysarthria</w:t>
            </w:r>
          </w:p>
        </w:tc>
        <w:tc>
          <w:tcPr>
            <w:tcW w:w="1080" w:type="dxa"/>
            <w:shd w:val="clear" w:color="auto" w:fill="auto"/>
          </w:tcPr>
          <w:p w14:paraId="567C6E85" w14:textId="77777777" w:rsidR="00256A10" w:rsidRPr="00023A60" w:rsidRDefault="00256A10">
            <w:pPr>
              <w:pStyle w:val="BodyText"/>
              <w:rPr>
                <w:bCs/>
                <w:sz w:val="20"/>
              </w:rPr>
            </w:pPr>
            <w:r w:rsidRPr="00023A60">
              <w:rPr>
                <w:bCs/>
                <w:sz w:val="20"/>
              </w:rPr>
              <w:t>0</w:t>
            </w:r>
          </w:p>
        </w:tc>
        <w:tc>
          <w:tcPr>
            <w:tcW w:w="900" w:type="dxa"/>
            <w:shd w:val="clear" w:color="auto" w:fill="auto"/>
          </w:tcPr>
          <w:p w14:paraId="7EA8CDE3" w14:textId="77777777" w:rsidR="00256A10" w:rsidRPr="00023A60" w:rsidRDefault="00256A10">
            <w:pPr>
              <w:pStyle w:val="BodyText"/>
              <w:rPr>
                <w:bCs/>
                <w:sz w:val="20"/>
              </w:rPr>
            </w:pPr>
            <w:r w:rsidRPr="00023A60">
              <w:rPr>
                <w:bCs/>
                <w:sz w:val="20"/>
              </w:rPr>
              <w:t>1</w:t>
            </w:r>
          </w:p>
        </w:tc>
        <w:tc>
          <w:tcPr>
            <w:tcW w:w="916" w:type="dxa"/>
            <w:shd w:val="clear" w:color="auto" w:fill="auto"/>
          </w:tcPr>
          <w:p w14:paraId="2CEF7B0C" w14:textId="77777777" w:rsidR="00256A10" w:rsidRPr="00023A60" w:rsidRDefault="00256A10">
            <w:pPr>
              <w:pStyle w:val="BodyText"/>
              <w:rPr>
                <w:bCs/>
                <w:sz w:val="20"/>
              </w:rPr>
            </w:pPr>
            <w:r w:rsidRPr="00023A60">
              <w:rPr>
                <w:bCs/>
                <w:sz w:val="20"/>
              </w:rPr>
              <w:t>3</w:t>
            </w:r>
          </w:p>
        </w:tc>
        <w:tc>
          <w:tcPr>
            <w:tcW w:w="946" w:type="dxa"/>
            <w:shd w:val="clear" w:color="auto" w:fill="auto"/>
          </w:tcPr>
          <w:p w14:paraId="7A503F51" w14:textId="77777777" w:rsidR="00256A10" w:rsidRPr="00023A60" w:rsidRDefault="00256A10">
            <w:pPr>
              <w:pStyle w:val="BodyText"/>
              <w:rPr>
                <w:bCs/>
                <w:sz w:val="20"/>
              </w:rPr>
            </w:pPr>
            <w:r w:rsidRPr="00023A60">
              <w:rPr>
                <w:bCs/>
                <w:sz w:val="20"/>
              </w:rPr>
              <w:t>4</w:t>
            </w:r>
          </w:p>
        </w:tc>
      </w:tr>
      <w:tr w:rsidR="00256A10" w:rsidRPr="005F4F0B" w14:paraId="6E2A576D" w14:textId="77777777" w:rsidTr="00F76FA0">
        <w:trPr>
          <w:gridAfter w:val="1"/>
          <w:wAfter w:w="28" w:type="dxa"/>
          <w:jc w:val="center"/>
        </w:trPr>
        <w:tc>
          <w:tcPr>
            <w:tcW w:w="3528" w:type="dxa"/>
            <w:shd w:val="clear" w:color="auto" w:fill="auto"/>
          </w:tcPr>
          <w:p w14:paraId="758A50FD" w14:textId="77777777" w:rsidR="00256A10" w:rsidRPr="00023A60" w:rsidRDefault="00256A10" w:rsidP="00863D0D">
            <w:pPr>
              <w:pStyle w:val="BodyText"/>
              <w:rPr>
                <w:bCs/>
                <w:sz w:val="20"/>
              </w:rPr>
            </w:pPr>
            <w:r w:rsidRPr="00023A60">
              <w:rPr>
                <w:bCs/>
                <w:sz w:val="20"/>
              </w:rPr>
              <w:t xml:space="preserve">  Fatigue</w:t>
            </w:r>
          </w:p>
        </w:tc>
        <w:tc>
          <w:tcPr>
            <w:tcW w:w="1080" w:type="dxa"/>
            <w:shd w:val="clear" w:color="auto" w:fill="auto"/>
          </w:tcPr>
          <w:p w14:paraId="56520234" w14:textId="77777777" w:rsidR="00256A10" w:rsidRPr="00023A60" w:rsidRDefault="00256A10">
            <w:pPr>
              <w:pStyle w:val="BodyText"/>
              <w:rPr>
                <w:bCs/>
                <w:sz w:val="20"/>
              </w:rPr>
            </w:pPr>
            <w:r w:rsidRPr="00023A60">
              <w:rPr>
                <w:bCs/>
                <w:sz w:val="20"/>
              </w:rPr>
              <w:t>5</w:t>
            </w:r>
          </w:p>
        </w:tc>
        <w:tc>
          <w:tcPr>
            <w:tcW w:w="900" w:type="dxa"/>
            <w:shd w:val="clear" w:color="auto" w:fill="auto"/>
          </w:tcPr>
          <w:p w14:paraId="232B6E51" w14:textId="77777777" w:rsidR="00256A10" w:rsidRPr="00023A60" w:rsidRDefault="00256A10">
            <w:pPr>
              <w:pStyle w:val="BodyText"/>
              <w:rPr>
                <w:bCs/>
                <w:sz w:val="20"/>
              </w:rPr>
            </w:pPr>
            <w:r w:rsidRPr="00023A60">
              <w:rPr>
                <w:bCs/>
                <w:sz w:val="20"/>
              </w:rPr>
              <w:t>8</w:t>
            </w:r>
          </w:p>
        </w:tc>
        <w:tc>
          <w:tcPr>
            <w:tcW w:w="916" w:type="dxa"/>
            <w:shd w:val="clear" w:color="auto" w:fill="auto"/>
          </w:tcPr>
          <w:p w14:paraId="5433E2B4" w14:textId="77777777" w:rsidR="00256A10" w:rsidRPr="00023A60" w:rsidRDefault="00256A10">
            <w:pPr>
              <w:pStyle w:val="BodyText"/>
              <w:rPr>
                <w:bCs/>
                <w:sz w:val="20"/>
              </w:rPr>
            </w:pPr>
            <w:r w:rsidRPr="00023A60">
              <w:rPr>
                <w:bCs/>
                <w:sz w:val="20"/>
              </w:rPr>
              <w:t>8</w:t>
            </w:r>
          </w:p>
        </w:tc>
        <w:tc>
          <w:tcPr>
            <w:tcW w:w="946" w:type="dxa"/>
            <w:shd w:val="clear" w:color="auto" w:fill="auto"/>
          </w:tcPr>
          <w:p w14:paraId="658D05F4" w14:textId="77777777" w:rsidR="00256A10" w:rsidRPr="00023A60" w:rsidRDefault="00256A10">
            <w:pPr>
              <w:pStyle w:val="BodyText"/>
              <w:rPr>
                <w:bCs/>
                <w:sz w:val="20"/>
              </w:rPr>
            </w:pPr>
            <w:r w:rsidRPr="00023A60">
              <w:rPr>
                <w:bCs/>
                <w:sz w:val="20"/>
              </w:rPr>
              <w:t>12</w:t>
            </w:r>
          </w:p>
        </w:tc>
      </w:tr>
      <w:tr w:rsidR="00256A10" w:rsidRPr="005F4F0B" w14:paraId="61976C05" w14:textId="77777777" w:rsidTr="00F76FA0">
        <w:trPr>
          <w:gridAfter w:val="1"/>
          <w:wAfter w:w="28" w:type="dxa"/>
          <w:jc w:val="center"/>
        </w:trPr>
        <w:tc>
          <w:tcPr>
            <w:tcW w:w="3528" w:type="dxa"/>
            <w:shd w:val="clear" w:color="auto" w:fill="auto"/>
          </w:tcPr>
          <w:p w14:paraId="6968DF1D" w14:textId="77777777" w:rsidR="00256A10" w:rsidRPr="00023A60" w:rsidRDefault="00256A10" w:rsidP="00863D0D">
            <w:pPr>
              <w:pStyle w:val="BodyText"/>
              <w:rPr>
                <w:bCs/>
                <w:sz w:val="20"/>
              </w:rPr>
            </w:pPr>
            <w:r w:rsidRPr="00023A60">
              <w:rPr>
                <w:bCs/>
                <w:sz w:val="20"/>
              </w:rPr>
              <w:t xml:space="preserve">  Gait disturbance</w:t>
            </w:r>
          </w:p>
        </w:tc>
        <w:tc>
          <w:tcPr>
            <w:tcW w:w="1080" w:type="dxa"/>
            <w:shd w:val="clear" w:color="auto" w:fill="auto"/>
          </w:tcPr>
          <w:p w14:paraId="774458BD" w14:textId="77777777" w:rsidR="00256A10" w:rsidRPr="00023A60" w:rsidRDefault="00256A10">
            <w:pPr>
              <w:pStyle w:val="BodyText"/>
              <w:rPr>
                <w:bCs/>
                <w:sz w:val="20"/>
              </w:rPr>
            </w:pPr>
            <w:r w:rsidRPr="00023A60">
              <w:rPr>
                <w:bCs/>
                <w:sz w:val="20"/>
              </w:rPr>
              <w:t>1</w:t>
            </w:r>
          </w:p>
        </w:tc>
        <w:tc>
          <w:tcPr>
            <w:tcW w:w="900" w:type="dxa"/>
            <w:shd w:val="clear" w:color="auto" w:fill="auto"/>
          </w:tcPr>
          <w:p w14:paraId="140D3882" w14:textId="77777777" w:rsidR="00256A10" w:rsidRPr="00023A60" w:rsidRDefault="00256A10">
            <w:pPr>
              <w:pStyle w:val="BodyText"/>
              <w:rPr>
                <w:bCs/>
                <w:sz w:val="20"/>
              </w:rPr>
            </w:pPr>
            <w:r w:rsidRPr="00023A60">
              <w:rPr>
                <w:bCs/>
                <w:sz w:val="20"/>
              </w:rPr>
              <w:t>1</w:t>
            </w:r>
          </w:p>
        </w:tc>
        <w:tc>
          <w:tcPr>
            <w:tcW w:w="916" w:type="dxa"/>
            <w:shd w:val="clear" w:color="auto" w:fill="auto"/>
          </w:tcPr>
          <w:p w14:paraId="5A3D91CA" w14:textId="77777777" w:rsidR="00256A10" w:rsidRPr="00023A60" w:rsidRDefault="00256A10">
            <w:pPr>
              <w:pStyle w:val="BodyText"/>
              <w:rPr>
                <w:bCs/>
                <w:sz w:val="20"/>
              </w:rPr>
            </w:pPr>
            <w:r w:rsidRPr="00023A60">
              <w:rPr>
                <w:bCs/>
                <w:sz w:val="20"/>
              </w:rPr>
              <w:t>4</w:t>
            </w:r>
          </w:p>
        </w:tc>
        <w:tc>
          <w:tcPr>
            <w:tcW w:w="946" w:type="dxa"/>
            <w:shd w:val="clear" w:color="auto" w:fill="auto"/>
          </w:tcPr>
          <w:p w14:paraId="070EE5ED" w14:textId="77777777" w:rsidR="00256A10" w:rsidRPr="00023A60" w:rsidRDefault="00256A10">
            <w:pPr>
              <w:pStyle w:val="BodyText"/>
              <w:rPr>
                <w:bCs/>
                <w:sz w:val="20"/>
              </w:rPr>
            </w:pPr>
            <w:r w:rsidRPr="00023A60">
              <w:rPr>
                <w:bCs/>
                <w:sz w:val="20"/>
              </w:rPr>
              <w:t>4</w:t>
            </w:r>
          </w:p>
        </w:tc>
      </w:tr>
      <w:tr w:rsidR="00256A10" w:rsidRPr="005F4F0B" w14:paraId="2B3A097D" w14:textId="77777777" w:rsidTr="00F76FA0">
        <w:trPr>
          <w:gridAfter w:val="1"/>
          <w:wAfter w:w="28" w:type="dxa"/>
          <w:jc w:val="center"/>
        </w:trPr>
        <w:tc>
          <w:tcPr>
            <w:tcW w:w="3528" w:type="dxa"/>
            <w:shd w:val="clear" w:color="auto" w:fill="auto"/>
          </w:tcPr>
          <w:p w14:paraId="0917DB21" w14:textId="77777777" w:rsidR="00256A10" w:rsidRPr="00023A60" w:rsidRDefault="00256A10" w:rsidP="00863D0D">
            <w:pPr>
              <w:pStyle w:val="BodyText"/>
              <w:rPr>
                <w:bCs/>
                <w:sz w:val="20"/>
              </w:rPr>
            </w:pPr>
            <w:r w:rsidRPr="00023A60">
              <w:rPr>
                <w:bCs/>
                <w:sz w:val="20"/>
              </w:rPr>
              <w:t xml:space="preserve">  Headache</w:t>
            </w:r>
          </w:p>
        </w:tc>
        <w:tc>
          <w:tcPr>
            <w:tcW w:w="1080" w:type="dxa"/>
            <w:shd w:val="clear" w:color="auto" w:fill="auto"/>
          </w:tcPr>
          <w:p w14:paraId="733E3642" w14:textId="77777777" w:rsidR="00256A10" w:rsidRPr="00023A60" w:rsidRDefault="00256A10">
            <w:pPr>
              <w:pStyle w:val="BodyText"/>
              <w:rPr>
                <w:bCs/>
                <w:sz w:val="20"/>
              </w:rPr>
            </w:pPr>
            <w:r w:rsidRPr="00023A60">
              <w:rPr>
                <w:bCs/>
                <w:sz w:val="20"/>
              </w:rPr>
              <w:t>11</w:t>
            </w:r>
          </w:p>
        </w:tc>
        <w:tc>
          <w:tcPr>
            <w:tcW w:w="900" w:type="dxa"/>
            <w:shd w:val="clear" w:color="auto" w:fill="auto"/>
          </w:tcPr>
          <w:p w14:paraId="34B487CD" w14:textId="77777777" w:rsidR="00256A10" w:rsidRPr="00023A60" w:rsidRDefault="00256A10">
            <w:pPr>
              <w:pStyle w:val="BodyText"/>
              <w:rPr>
                <w:bCs/>
                <w:sz w:val="20"/>
              </w:rPr>
            </w:pPr>
            <w:r w:rsidRPr="00023A60">
              <w:rPr>
                <w:bCs/>
                <w:sz w:val="20"/>
              </w:rPr>
              <w:t>11</w:t>
            </w:r>
          </w:p>
        </w:tc>
        <w:tc>
          <w:tcPr>
            <w:tcW w:w="916" w:type="dxa"/>
            <w:shd w:val="clear" w:color="auto" w:fill="auto"/>
          </w:tcPr>
          <w:p w14:paraId="0CCA86D6" w14:textId="77777777" w:rsidR="00256A10" w:rsidRPr="00023A60" w:rsidRDefault="00256A10">
            <w:pPr>
              <w:pStyle w:val="BodyText"/>
              <w:rPr>
                <w:bCs/>
                <w:sz w:val="20"/>
              </w:rPr>
            </w:pPr>
            <w:r w:rsidRPr="00023A60">
              <w:rPr>
                <w:bCs/>
                <w:sz w:val="20"/>
              </w:rPr>
              <w:t>11</w:t>
            </w:r>
          </w:p>
        </w:tc>
        <w:tc>
          <w:tcPr>
            <w:tcW w:w="946" w:type="dxa"/>
            <w:shd w:val="clear" w:color="auto" w:fill="auto"/>
          </w:tcPr>
          <w:p w14:paraId="50A37E88" w14:textId="77777777" w:rsidR="00256A10" w:rsidRPr="00023A60" w:rsidRDefault="00256A10">
            <w:pPr>
              <w:pStyle w:val="BodyText"/>
              <w:rPr>
                <w:bCs/>
                <w:sz w:val="20"/>
              </w:rPr>
            </w:pPr>
            <w:r w:rsidRPr="00023A60">
              <w:rPr>
                <w:bCs/>
                <w:sz w:val="20"/>
              </w:rPr>
              <w:t>13</w:t>
            </w:r>
          </w:p>
        </w:tc>
      </w:tr>
      <w:tr w:rsidR="00256A10" w:rsidRPr="005F4F0B" w14:paraId="45723897" w14:textId="77777777" w:rsidTr="00F76FA0">
        <w:trPr>
          <w:gridAfter w:val="1"/>
          <w:wAfter w:w="28" w:type="dxa"/>
          <w:jc w:val="center"/>
        </w:trPr>
        <w:tc>
          <w:tcPr>
            <w:tcW w:w="3528" w:type="dxa"/>
            <w:shd w:val="clear" w:color="auto" w:fill="auto"/>
          </w:tcPr>
          <w:p w14:paraId="6C8AD155" w14:textId="77777777" w:rsidR="00256A10" w:rsidRPr="00023A60" w:rsidRDefault="00256A10" w:rsidP="00863D0D">
            <w:pPr>
              <w:pStyle w:val="BodyText"/>
              <w:rPr>
                <w:bCs/>
                <w:sz w:val="20"/>
              </w:rPr>
            </w:pPr>
            <w:r w:rsidRPr="00023A60">
              <w:rPr>
                <w:bCs/>
                <w:sz w:val="20"/>
              </w:rPr>
              <w:t xml:space="preserve">  Hypersomnia</w:t>
            </w:r>
          </w:p>
        </w:tc>
        <w:tc>
          <w:tcPr>
            <w:tcW w:w="1080" w:type="dxa"/>
            <w:shd w:val="clear" w:color="auto" w:fill="auto"/>
          </w:tcPr>
          <w:p w14:paraId="248D8A50" w14:textId="77777777" w:rsidR="00256A10" w:rsidRPr="00023A60" w:rsidRDefault="00256A10">
            <w:pPr>
              <w:pStyle w:val="BodyText"/>
              <w:rPr>
                <w:bCs/>
                <w:sz w:val="20"/>
              </w:rPr>
            </w:pPr>
            <w:r w:rsidRPr="00023A60">
              <w:rPr>
                <w:bCs/>
                <w:sz w:val="20"/>
              </w:rPr>
              <w:t>0</w:t>
            </w:r>
          </w:p>
        </w:tc>
        <w:tc>
          <w:tcPr>
            <w:tcW w:w="900" w:type="dxa"/>
            <w:shd w:val="clear" w:color="auto" w:fill="auto"/>
          </w:tcPr>
          <w:p w14:paraId="64FFF035" w14:textId="77777777" w:rsidR="00256A10" w:rsidRPr="00023A60" w:rsidRDefault="00256A10">
            <w:pPr>
              <w:pStyle w:val="BodyText"/>
              <w:rPr>
                <w:bCs/>
                <w:sz w:val="20"/>
              </w:rPr>
            </w:pPr>
            <w:r w:rsidRPr="00023A60">
              <w:rPr>
                <w:bCs/>
                <w:sz w:val="20"/>
              </w:rPr>
              <w:t>1</w:t>
            </w:r>
          </w:p>
        </w:tc>
        <w:tc>
          <w:tcPr>
            <w:tcW w:w="916" w:type="dxa"/>
            <w:shd w:val="clear" w:color="auto" w:fill="auto"/>
          </w:tcPr>
          <w:p w14:paraId="49AF1697" w14:textId="77777777" w:rsidR="00256A10" w:rsidRPr="00023A60" w:rsidRDefault="00256A10">
            <w:pPr>
              <w:pStyle w:val="BodyText"/>
              <w:rPr>
                <w:bCs/>
                <w:sz w:val="20"/>
              </w:rPr>
            </w:pPr>
            <w:r w:rsidRPr="00023A60">
              <w:rPr>
                <w:bCs/>
                <w:sz w:val="20"/>
              </w:rPr>
              <w:t>2</w:t>
            </w:r>
          </w:p>
        </w:tc>
        <w:tc>
          <w:tcPr>
            <w:tcW w:w="946" w:type="dxa"/>
            <w:shd w:val="clear" w:color="auto" w:fill="auto"/>
          </w:tcPr>
          <w:p w14:paraId="5D0289ED" w14:textId="77777777" w:rsidR="00256A10" w:rsidRPr="00023A60" w:rsidRDefault="00256A10">
            <w:pPr>
              <w:pStyle w:val="BodyText"/>
              <w:rPr>
                <w:bCs/>
                <w:sz w:val="20"/>
              </w:rPr>
            </w:pPr>
            <w:r w:rsidRPr="00023A60">
              <w:rPr>
                <w:bCs/>
                <w:sz w:val="20"/>
              </w:rPr>
              <w:t>3</w:t>
            </w:r>
          </w:p>
        </w:tc>
      </w:tr>
      <w:tr w:rsidR="00256A10" w:rsidRPr="005F4F0B" w14:paraId="09785E53" w14:textId="77777777" w:rsidTr="00F76FA0">
        <w:trPr>
          <w:gridAfter w:val="1"/>
          <w:wAfter w:w="28" w:type="dxa"/>
          <w:jc w:val="center"/>
        </w:trPr>
        <w:tc>
          <w:tcPr>
            <w:tcW w:w="3528" w:type="dxa"/>
            <w:shd w:val="clear" w:color="auto" w:fill="auto"/>
          </w:tcPr>
          <w:p w14:paraId="49F1DD7C" w14:textId="77777777" w:rsidR="00256A10" w:rsidRPr="00023A60" w:rsidRDefault="00256A10" w:rsidP="00863D0D">
            <w:pPr>
              <w:pStyle w:val="BodyText"/>
              <w:rPr>
                <w:bCs/>
                <w:sz w:val="20"/>
              </w:rPr>
            </w:pPr>
            <w:r w:rsidRPr="00023A60">
              <w:rPr>
                <w:bCs/>
                <w:sz w:val="20"/>
              </w:rPr>
              <w:t xml:space="preserve">  Hypoaesthesia</w:t>
            </w:r>
          </w:p>
        </w:tc>
        <w:tc>
          <w:tcPr>
            <w:tcW w:w="1080" w:type="dxa"/>
            <w:shd w:val="clear" w:color="auto" w:fill="auto"/>
          </w:tcPr>
          <w:p w14:paraId="5ECAB5B6" w14:textId="77777777" w:rsidR="00256A10" w:rsidRPr="00023A60" w:rsidRDefault="00256A10">
            <w:pPr>
              <w:pStyle w:val="BodyText"/>
              <w:rPr>
                <w:bCs/>
                <w:sz w:val="20"/>
              </w:rPr>
            </w:pPr>
            <w:r w:rsidRPr="00023A60">
              <w:rPr>
                <w:bCs/>
                <w:sz w:val="20"/>
              </w:rPr>
              <w:t>1</w:t>
            </w:r>
          </w:p>
        </w:tc>
        <w:tc>
          <w:tcPr>
            <w:tcW w:w="900" w:type="dxa"/>
            <w:shd w:val="clear" w:color="auto" w:fill="auto"/>
          </w:tcPr>
          <w:p w14:paraId="21A9F4E4" w14:textId="77777777" w:rsidR="00256A10" w:rsidRPr="00023A60" w:rsidRDefault="00256A10">
            <w:pPr>
              <w:pStyle w:val="BodyText"/>
              <w:rPr>
                <w:bCs/>
                <w:sz w:val="20"/>
              </w:rPr>
            </w:pPr>
            <w:r w:rsidRPr="00023A60">
              <w:rPr>
                <w:bCs/>
                <w:sz w:val="20"/>
              </w:rPr>
              <w:t>0</w:t>
            </w:r>
          </w:p>
        </w:tc>
        <w:tc>
          <w:tcPr>
            <w:tcW w:w="916" w:type="dxa"/>
            <w:shd w:val="clear" w:color="auto" w:fill="auto"/>
          </w:tcPr>
          <w:p w14:paraId="10248647" w14:textId="77777777" w:rsidR="00256A10" w:rsidRPr="00023A60" w:rsidRDefault="00256A10">
            <w:pPr>
              <w:pStyle w:val="BodyText"/>
              <w:rPr>
                <w:bCs/>
                <w:sz w:val="20"/>
              </w:rPr>
            </w:pPr>
            <w:r w:rsidRPr="00023A60">
              <w:rPr>
                <w:bCs/>
                <w:sz w:val="20"/>
              </w:rPr>
              <w:t>0</w:t>
            </w:r>
          </w:p>
        </w:tc>
        <w:tc>
          <w:tcPr>
            <w:tcW w:w="946" w:type="dxa"/>
            <w:shd w:val="clear" w:color="auto" w:fill="auto"/>
          </w:tcPr>
          <w:p w14:paraId="64401527" w14:textId="77777777" w:rsidR="00256A10" w:rsidRPr="00023A60" w:rsidRDefault="00256A10">
            <w:pPr>
              <w:pStyle w:val="BodyText"/>
              <w:rPr>
                <w:bCs/>
                <w:sz w:val="20"/>
              </w:rPr>
            </w:pPr>
            <w:r w:rsidRPr="00023A60">
              <w:rPr>
                <w:bCs/>
                <w:sz w:val="20"/>
              </w:rPr>
              <w:t>3</w:t>
            </w:r>
          </w:p>
        </w:tc>
      </w:tr>
      <w:tr w:rsidR="00256A10" w:rsidRPr="005F4F0B" w14:paraId="2D51DA82" w14:textId="77777777" w:rsidTr="00F76FA0">
        <w:trPr>
          <w:gridAfter w:val="1"/>
          <w:wAfter w:w="28" w:type="dxa"/>
          <w:jc w:val="center"/>
        </w:trPr>
        <w:tc>
          <w:tcPr>
            <w:tcW w:w="3528" w:type="dxa"/>
            <w:shd w:val="clear" w:color="auto" w:fill="auto"/>
          </w:tcPr>
          <w:p w14:paraId="69C751DE" w14:textId="77777777" w:rsidR="00256A10" w:rsidRPr="00023A60" w:rsidRDefault="00256A10" w:rsidP="00863D0D">
            <w:pPr>
              <w:pStyle w:val="BodyText"/>
              <w:rPr>
                <w:bCs/>
                <w:sz w:val="20"/>
              </w:rPr>
            </w:pPr>
            <w:r w:rsidRPr="00023A60">
              <w:rPr>
                <w:bCs/>
                <w:sz w:val="20"/>
              </w:rPr>
              <w:t xml:space="preserve">  Memory impairment</w:t>
            </w:r>
          </w:p>
        </w:tc>
        <w:tc>
          <w:tcPr>
            <w:tcW w:w="1080" w:type="dxa"/>
            <w:shd w:val="clear" w:color="auto" w:fill="auto"/>
          </w:tcPr>
          <w:p w14:paraId="1E9CA8F0" w14:textId="77777777" w:rsidR="00256A10" w:rsidRPr="00023A60" w:rsidRDefault="00256A10">
            <w:pPr>
              <w:pStyle w:val="BodyText"/>
              <w:rPr>
                <w:bCs/>
                <w:sz w:val="20"/>
              </w:rPr>
            </w:pPr>
            <w:r w:rsidRPr="00023A60">
              <w:rPr>
                <w:bCs/>
                <w:sz w:val="20"/>
              </w:rPr>
              <w:t>1</w:t>
            </w:r>
          </w:p>
        </w:tc>
        <w:tc>
          <w:tcPr>
            <w:tcW w:w="900" w:type="dxa"/>
            <w:shd w:val="clear" w:color="auto" w:fill="auto"/>
          </w:tcPr>
          <w:p w14:paraId="7B09B941" w14:textId="77777777" w:rsidR="00256A10" w:rsidRPr="00023A60" w:rsidRDefault="00256A10">
            <w:pPr>
              <w:pStyle w:val="BodyText"/>
              <w:rPr>
                <w:bCs/>
                <w:sz w:val="20"/>
              </w:rPr>
            </w:pPr>
            <w:r w:rsidRPr="00023A60">
              <w:rPr>
                <w:bCs/>
                <w:sz w:val="20"/>
              </w:rPr>
              <w:t>0</w:t>
            </w:r>
          </w:p>
        </w:tc>
        <w:tc>
          <w:tcPr>
            <w:tcW w:w="916" w:type="dxa"/>
            <w:shd w:val="clear" w:color="auto" w:fill="auto"/>
          </w:tcPr>
          <w:p w14:paraId="3F14EA0D" w14:textId="77777777" w:rsidR="00256A10" w:rsidRPr="00023A60" w:rsidRDefault="00256A10">
            <w:pPr>
              <w:pStyle w:val="BodyText"/>
              <w:rPr>
                <w:bCs/>
                <w:sz w:val="20"/>
              </w:rPr>
            </w:pPr>
            <w:r w:rsidRPr="00023A60">
              <w:rPr>
                <w:bCs/>
                <w:sz w:val="20"/>
              </w:rPr>
              <w:t>1</w:t>
            </w:r>
          </w:p>
        </w:tc>
        <w:tc>
          <w:tcPr>
            <w:tcW w:w="946" w:type="dxa"/>
            <w:shd w:val="clear" w:color="auto" w:fill="auto"/>
          </w:tcPr>
          <w:p w14:paraId="2063BCE1" w14:textId="77777777" w:rsidR="00256A10" w:rsidRPr="00023A60" w:rsidRDefault="00256A10">
            <w:pPr>
              <w:pStyle w:val="BodyText"/>
              <w:rPr>
                <w:bCs/>
                <w:sz w:val="20"/>
              </w:rPr>
            </w:pPr>
            <w:r w:rsidRPr="00023A60">
              <w:rPr>
                <w:bCs/>
                <w:sz w:val="20"/>
              </w:rPr>
              <w:t>2</w:t>
            </w:r>
          </w:p>
        </w:tc>
      </w:tr>
      <w:tr w:rsidR="00256A10" w:rsidRPr="005F4F0B" w14:paraId="746B255D" w14:textId="77777777" w:rsidTr="00F76FA0">
        <w:trPr>
          <w:gridAfter w:val="1"/>
          <w:wAfter w:w="28" w:type="dxa"/>
          <w:jc w:val="center"/>
        </w:trPr>
        <w:tc>
          <w:tcPr>
            <w:tcW w:w="3528" w:type="dxa"/>
            <w:shd w:val="clear" w:color="auto" w:fill="auto"/>
          </w:tcPr>
          <w:p w14:paraId="38386DBE" w14:textId="77777777" w:rsidR="00256A10" w:rsidRPr="00023A60" w:rsidRDefault="00256A10" w:rsidP="00863D0D">
            <w:pPr>
              <w:pStyle w:val="BodyText"/>
              <w:rPr>
                <w:bCs/>
                <w:sz w:val="20"/>
              </w:rPr>
            </w:pPr>
            <w:r w:rsidRPr="00023A60">
              <w:rPr>
                <w:bCs/>
                <w:sz w:val="20"/>
              </w:rPr>
              <w:t xml:space="preserve">  Paraesthesia</w:t>
            </w:r>
          </w:p>
        </w:tc>
        <w:tc>
          <w:tcPr>
            <w:tcW w:w="1080" w:type="dxa"/>
            <w:shd w:val="clear" w:color="auto" w:fill="auto"/>
          </w:tcPr>
          <w:p w14:paraId="67D6D48F" w14:textId="77777777" w:rsidR="00256A10" w:rsidRPr="00023A60" w:rsidRDefault="00256A10">
            <w:pPr>
              <w:pStyle w:val="BodyText"/>
              <w:rPr>
                <w:bCs/>
                <w:sz w:val="20"/>
              </w:rPr>
            </w:pPr>
            <w:r w:rsidRPr="00023A60">
              <w:rPr>
                <w:bCs/>
                <w:sz w:val="20"/>
              </w:rPr>
              <w:t>1</w:t>
            </w:r>
          </w:p>
        </w:tc>
        <w:tc>
          <w:tcPr>
            <w:tcW w:w="900" w:type="dxa"/>
            <w:shd w:val="clear" w:color="auto" w:fill="auto"/>
          </w:tcPr>
          <w:p w14:paraId="37A5572E" w14:textId="77777777" w:rsidR="00256A10" w:rsidRPr="00023A60" w:rsidRDefault="00256A10">
            <w:pPr>
              <w:pStyle w:val="BodyText"/>
              <w:rPr>
                <w:bCs/>
                <w:sz w:val="20"/>
              </w:rPr>
            </w:pPr>
            <w:r w:rsidRPr="00023A60">
              <w:rPr>
                <w:bCs/>
                <w:sz w:val="20"/>
              </w:rPr>
              <w:t>0</w:t>
            </w:r>
          </w:p>
        </w:tc>
        <w:tc>
          <w:tcPr>
            <w:tcW w:w="916" w:type="dxa"/>
            <w:shd w:val="clear" w:color="auto" w:fill="auto"/>
          </w:tcPr>
          <w:p w14:paraId="5D0E4265" w14:textId="77777777" w:rsidR="00256A10" w:rsidRPr="00023A60" w:rsidRDefault="00256A10">
            <w:pPr>
              <w:pStyle w:val="BodyText"/>
              <w:rPr>
                <w:bCs/>
                <w:sz w:val="20"/>
              </w:rPr>
            </w:pPr>
            <w:r w:rsidRPr="00023A60">
              <w:rPr>
                <w:bCs/>
                <w:sz w:val="20"/>
              </w:rPr>
              <w:t>1</w:t>
            </w:r>
          </w:p>
        </w:tc>
        <w:tc>
          <w:tcPr>
            <w:tcW w:w="946" w:type="dxa"/>
            <w:shd w:val="clear" w:color="auto" w:fill="auto"/>
          </w:tcPr>
          <w:p w14:paraId="07160FDC" w14:textId="77777777" w:rsidR="00256A10" w:rsidRPr="00023A60" w:rsidRDefault="00256A10">
            <w:pPr>
              <w:pStyle w:val="BodyText"/>
              <w:rPr>
                <w:bCs/>
                <w:sz w:val="20"/>
              </w:rPr>
            </w:pPr>
            <w:r w:rsidRPr="00023A60">
              <w:rPr>
                <w:bCs/>
                <w:sz w:val="20"/>
              </w:rPr>
              <w:t>2</w:t>
            </w:r>
          </w:p>
        </w:tc>
      </w:tr>
      <w:tr w:rsidR="00256A10" w:rsidRPr="005F4F0B" w14:paraId="632485F0" w14:textId="77777777" w:rsidTr="00F76FA0">
        <w:trPr>
          <w:gridAfter w:val="1"/>
          <w:wAfter w:w="28" w:type="dxa"/>
          <w:jc w:val="center"/>
        </w:trPr>
        <w:tc>
          <w:tcPr>
            <w:tcW w:w="3528" w:type="dxa"/>
            <w:shd w:val="clear" w:color="auto" w:fill="auto"/>
          </w:tcPr>
          <w:p w14:paraId="4D8554B3" w14:textId="77777777" w:rsidR="00256A10" w:rsidRPr="00023A60" w:rsidRDefault="00256A10" w:rsidP="00863D0D">
            <w:pPr>
              <w:pStyle w:val="BodyText"/>
              <w:rPr>
                <w:bCs/>
                <w:sz w:val="20"/>
              </w:rPr>
            </w:pPr>
            <w:r w:rsidRPr="00023A60">
              <w:rPr>
                <w:bCs/>
                <w:sz w:val="20"/>
              </w:rPr>
              <w:t xml:space="preserve">  Somnolence</w:t>
            </w:r>
          </w:p>
        </w:tc>
        <w:tc>
          <w:tcPr>
            <w:tcW w:w="1080" w:type="dxa"/>
            <w:shd w:val="clear" w:color="auto" w:fill="auto"/>
          </w:tcPr>
          <w:p w14:paraId="0F0F30DF" w14:textId="77777777" w:rsidR="00256A10" w:rsidRPr="00023A60" w:rsidRDefault="00256A10">
            <w:pPr>
              <w:pStyle w:val="BodyText"/>
              <w:rPr>
                <w:bCs/>
                <w:sz w:val="20"/>
              </w:rPr>
            </w:pPr>
            <w:r w:rsidRPr="00023A60">
              <w:rPr>
                <w:bCs/>
                <w:sz w:val="20"/>
              </w:rPr>
              <w:t>7</w:t>
            </w:r>
          </w:p>
        </w:tc>
        <w:tc>
          <w:tcPr>
            <w:tcW w:w="900" w:type="dxa"/>
            <w:shd w:val="clear" w:color="auto" w:fill="auto"/>
          </w:tcPr>
          <w:p w14:paraId="54D28652" w14:textId="77777777" w:rsidR="00256A10" w:rsidRPr="00023A60" w:rsidRDefault="00256A10">
            <w:pPr>
              <w:pStyle w:val="BodyText"/>
              <w:rPr>
                <w:bCs/>
                <w:sz w:val="20"/>
              </w:rPr>
            </w:pPr>
            <w:r w:rsidRPr="00023A60">
              <w:rPr>
                <w:bCs/>
                <w:sz w:val="20"/>
              </w:rPr>
              <w:t>9</w:t>
            </w:r>
          </w:p>
        </w:tc>
        <w:tc>
          <w:tcPr>
            <w:tcW w:w="916" w:type="dxa"/>
            <w:shd w:val="clear" w:color="auto" w:fill="auto"/>
          </w:tcPr>
          <w:p w14:paraId="2B77D12E" w14:textId="77777777" w:rsidR="00256A10" w:rsidRPr="00023A60" w:rsidRDefault="00256A10">
            <w:pPr>
              <w:pStyle w:val="BodyText"/>
              <w:rPr>
                <w:bCs/>
                <w:sz w:val="20"/>
              </w:rPr>
            </w:pPr>
            <w:r w:rsidRPr="00023A60">
              <w:rPr>
                <w:bCs/>
                <w:sz w:val="20"/>
              </w:rPr>
              <w:t>16</w:t>
            </w:r>
          </w:p>
        </w:tc>
        <w:tc>
          <w:tcPr>
            <w:tcW w:w="946" w:type="dxa"/>
            <w:shd w:val="clear" w:color="auto" w:fill="auto"/>
          </w:tcPr>
          <w:p w14:paraId="2EA09FF0" w14:textId="77777777" w:rsidR="00256A10" w:rsidRPr="00023A60" w:rsidRDefault="00256A10">
            <w:pPr>
              <w:pStyle w:val="BodyText"/>
              <w:rPr>
                <w:bCs/>
                <w:sz w:val="20"/>
              </w:rPr>
            </w:pPr>
            <w:r w:rsidRPr="00023A60">
              <w:rPr>
                <w:bCs/>
                <w:sz w:val="20"/>
              </w:rPr>
              <w:t>18</w:t>
            </w:r>
          </w:p>
        </w:tc>
      </w:tr>
      <w:tr w:rsidR="00256A10" w:rsidRPr="005F4F0B" w14:paraId="2B110FE5" w14:textId="77777777" w:rsidTr="00F76FA0">
        <w:trPr>
          <w:gridAfter w:val="1"/>
          <w:wAfter w:w="28" w:type="dxa"/>
          <w:jc w:val="center"/>
        </w:trPr>
        <w:tc>
          <w:tcPr>
            <w:tcW w:w="3528" w:type="dxa"/>
            <w:shd w:val="clear" w:color="auto" w:fill="auto"/>
          </w:tcPr>
          <w:p w14:paraId="0B333A88" w14:textId="77777777" w:rsidR="00256A10" w:rsidRPr="00023A60" w:rsidRDefault="00256A10" w:rsidP="00863D0D">
            <w:pPr>
              <w:pStyle w:val="BodyText"/>
              <w:rPr>
                <w:bCs/>
                <w:sz w:val="20"/>
              </w:rPr>
            </w:pPr>
            <w:r w:rsidRPr="00023A60">
              <w:rPr>
                <w:bCs/>
                <w:sz w:val="20"/>
              </w:rPr>
              <w:t>Psychiatric disorders</w:t>
            </w:r>
          </w:p>
        </w:tc>
        <w:tc>
          <w:tcPr>
            <w:tcW w:w="1080" w:type="dxa"/>
            <w:shd w:val="clear" w:color="auto" w:fill="auto"/>
          </w:tcPr>
          <w:p w14:paraId="47592DED" w14:textId="77777777" w:rsidR="00256A10" w:rsidRPr="005F4F0B" w:rsidRDefault="00256A10" w:rsidP="00256A10">
            <w:pPr>
              <w:pStyle w:val="BodyText"/>
              <w:rPr>
                <w:sz w:val="20"/>
              </w:rPr>
            </w:pPr>
          </w:p>
        </w:tc>
        <w:tc>
          <w:tcPr>
            <w:tcW w:w="900" w:type="dxa"/>
            <w:shd w:val="clear" w:color="auto" w:fill="auto"/>
          </w:tcPr>
          <w:p w14:paraId="4343B19E" w14:textId="77777777" w:rsidR="00256A10" w:rsidRPr="005F4F0B" w:rsidRDefault="00256A10" w:rsidP="00256A10">
            <w:pPr>
              <w:pStyle w:val="BodyText"/>
              <w:rPr>
                <w:sz w:val="20"/>
              </w:rPr>
            </w:pPr>
          </w:p>
        </w:tc>
        <w:tc>
          <w:tcPr>
            <w:tcW w:w="916" w:type="dxa"/>
            <w:shd w:val="clear" w:color="auto" w:fill="auto"/>
          </w:tcPr>
          <w:p w14:paraId="1701D00B" w14:textId="77777777" w:rsidR="00256A10" w:rsidRPr="005F4F0B" w:rsidRDefault="00256A10" w:rsidP="00256A10">
            <w:pPr>
              <w:pStyle w:val="BodyText"/>
              <w:rPr>
                <w:sz w:val="20"/>
              </w:rPr>
            </w:pPr>
          </w:p>
        </w:tc>
        <w:tc>
          <w:tcPr>
            <w:tcW w:w="946" w:type="dxa"/>
            <w:shd w:val="clear" w:color="auto" w:fill="auto"/>
          </w:tcPr>
          <w:p w14:paraId="3B970113" w14:textId="77777777" w:rsidR="00256A10" w:rsidRPr="005F4F0B" w:rsidRDefault="00256A10" w:rsidP="00256A10">
            <w:pPr>
              <w:pStyle w:val="BodyText"/>
              <w:rPr>
                <w:sz w:val="20"/>
              </w:rPr>
            </w:pPr>
          </w:p>
        </w:tc>
      </w:tr>
      <w:tr w:rsidR="00256A10" w:rsidRPr="005F4F0B" w14:paraId="4927721C" w14:textId="77777777" w:rsidTr="00F76FA0">
        <w:trPr>
          <w:gridAfter w:val="1"/>
          <w:wAfter w:w="28" w:type="dxa"/>
          <w:jc w:val="center"/>
        </w:trPr>
        <w:tc>
          <w:tcPr>
            <w:tcW w:w="3528" w:type="dxa"/>
            <w:shd w:val="clear" w:color="auto" w:fill="auto"/>
          </w:tcPr>
          <w:p w14:paraId="489B7D70" w14:textId="77777777" w:rsidR="00256A10" w:rsidRPr="00023A60" w:rsidRDefault="00256A10" w:rsidP="00863D0D">
            <w:pPr>
              <w:pStyle w:val="BodyText"/>
              <w:rPr>
                <w:bCs/>
                <w:sz w:val="20"/>
              </w:rPr>
            </w:pPr>
            <w:r w:rsidRPr="00023A60">
              <w:rPr>
                <w:bCs/>
                <w:sz w:val="20"/>
              </w:rPr>
              <w:t xml:space="preserve">  Aggression</w:t>
            </w:r>
          </w:p>
        </w:tc>
        <w:tc>
          <w:tcPr>
            <w:tcW w:w="1080" w:type="dxa"/>
            <w:shd w:val="clear" w:color="auto" w:fill="auto"/>
          </w:tcPr>
          <w:p w14:paraId="102802D7" w14:textId="77777777" w:rsidR="00256A10" w:rsidRPr="00023A60" w:rsidRDefault="00256A10">
            <w:pPr>
              <w:pStyle w:val="BodyText"/>
              <w:rPr>
                <w:bCs/>
                <w:sz w:val="20"/>
              </w:rPr>
            </w:pPr>
            <w:r w:rsidRPr="00023A60">
              <w:rPr>
                <w:bCs/>
                <w:sz w:val="20"/>
              </w:rPr>
              <w:t>1</w:t>
            </w:r>
          </w:p>
        </w:tc>
        <w:tc>
          <w:tcPr>
            <w:tcW w:w="900" w:type="dxa"/>
            <w:shd w:val="clear" w:color="auto" w:fill="auto"/>
          </w:tcPr>
          <w:p w14:paraId="6A019AB7" w14:textId="77777777" w:rsidR="00256A10" w:rsidRPr="00023A60" w:rsidRDefault="00256A10">
            <w:pPr>
              <w:pStyle w:val="BodyText"/>
              <w:rPr>
                <w:bCs/>
                <w:sz w:val="20"/>
              </w:rPr>
            </w:pPr>
            <w:r w:rsidRPr="00023A60">
              <w:rPr>
                <w:bCs/>
                <w:sz w:val="20"/>
              </w:rPr>
              <w:t>1</w:t>
            </w:r>
          </w:p>
        </w:tc>
        <w:tc>
          <w:tcPr>
            <w:tcW w:w="916" w:type="dxa"/>
            <w:shd w:val="clear" w:color="auto" w:fill="auto"/>
          </w:tcPr>
          <w:p w14:paraId="5A99498D" w14:textId="77777777" w:rsidR="00256A10" w:rsidRPr="00023A60" w:rsidRDefault="00256A10">
            <w:pPr>
              <w:pStyle w:val="BodyText"/>
              <w:rPr>
                <w:bCs/>
                <w:sz w:val="20"/>
              </w:rPr>
            </w:pPr>
            <w:r w:rsidRPr="00023A60">
              <w:rPr>
                <w:bCs/>
                <w:sz w:val="20"/>
              </w:rPr>
              <w:t>2</w:t>
            </w:r>
          </w:p>
        </w:tc>
        <w:tc>
          <w:tcPr>
            <w:tcW w:w="946" w:type="dxa"/>
            <w:shd w:val="clear" w:color="auto" w:fill="auto"/>
          </w:tcPr>
          <w:p w14:paraId="45A795B7" w14:textId="77777777" w:rsidR="00256A10" w:rsidRPr="00023A60" w:rsidRDefault="00256A10">
            <w:pPr>
              <w:pStyle w:val="BodyText"/>
              <w:rPr>
                <w:bCs/>
                <w:sz w:val="20"/>
              </w:rPr>
            </w:pPr>
            <w:r w:rsidRPr="00023A60">
              <w:rPr>
                <w:bCs/>
                <w:sz w:val="20"/>
              </w:rPr>
              <w:t>3</w:t>
            </w:r>
          </w:p>
        </w:tc>
      </w:tr>
      <w:tr w:rsidR="00256A10" w:rsidRPr="005F4F0B" w14:paraId="15E4D580" w14:textId="77777777" w:rsidTr="00F76FA0">
        <w:trPr>
          <w:gridAfter w:val="1"/>
          <w:wAfter w:w="28" w:type="dxa"/>
          <w:jc w:val="center"/>
        </w:trPr>
        <w:tc>
          <w:tcPr>
            <w:tcW w:w="3528" w:type="dxa"/>
            <w:shd w:val="clear" w:color="auto" w:fill="auto"/>
          </w:tcPr>
          <w:p w14:paraId="095173D7" w14:textId="77777777" w:rsidR="00256A10" w:rsidRPr="00023A60" w:rsidRDefault="00256A10" w:rsidP="00863D0D">
            <w:pPr>
              <w:pStyle w:val="BodyText"/>
              <w:rPr>
                <w:bCs/>
                <w:sz w:val="20"/>
              </w:rPr>
            </w:pPr>
            <w:r w:rsidRPr="00023A60">
              <w:rPr>
                <w:bCs/>
                <w:sz w:val="20"/>
              </w:rPr>
              <w:t xml:space="preserve">  Anger</w:t>
            </w:r>
          </w:p>
        </w:tc>
        <w:tc>
          <w:tcPr>
            <w:tcW w:w="1080" w:type="dxa"/>
            <w:shd w:val="clear" w:color="auto" w:fill="auto"/>
          </w:tcPr>
          <w:p w14:paraId="14D5C684" w14:textId="77777777" w:rsidR="00256A10" w:rsidRPr="00023A60" w:rsidRDefault="00256A10">
            <w:pPr>
              <w:pStyle w:val="BodyText"/>
              <w:rPr>
                <w:bCs/>
                <w:sz w:val="20"/>
              </w:rPr>
            </w:pPr>
            <w:r w:rsidRPr="00023A60">
              <w:rPr>
                <w:bCs/>
                <w:sz w:val="20"/>
              </w:rPr>
              <w:t>&lt;1</w:t>
            </w:r>
          </w:p>
        </w:tc>
        <w:tc>
          <w:tcPr>
            <w:tcW w:w="900" w:type="dxa"/>
            <w:shd w:val="clear" w:color="auto" w:fill="auto"/>
          </w:tcPr>
          <w:p w14:paraId="682D6D66" w14:textId="77777777" w:rsidR="00256A10" w:rsidRPr="00023A60" w:rsidRDefault="00256A10">
            <w:pPr>
              <w:pStyle w:val="BodyText"/>
              <w:rPr>
                <w:bCs/>
                <w:sz w:val="20"/>
              </w:rPr>
            </w:pPr>
            <w:r w:rsidRPr="00023A60">
              <w:rPr>
                <w:bCs/>
                <w:sz w:val="20"/>
              </w:rPr>
              <w:t>0</w:t>
            </w:r>
          </w:p>
        </w:tc>
        <w:tc>
          <w:tcPr>
            <w:tcW w:w="916" w:type="dxa"/>
            <w:shd w:val="clear" w:color="auto" w:fill="auto"/>
          </w:tcPr>
          <w:p w14:paraId="31CACBC8" w14:textId="77777777" w:rsidR="00256A10" w:rsidRPr="00023A60" w:rsidRDefault="00256A10">
            <w:pPr>
              <w:pStyle w:val="BodyText"/>
              <w:rPr>
                <w:bCs/>
                <w:sz w:val="20"/>
              </w:rPr>
            </w:pPr>
            <w:r w:rsidRPr="00023A60">
              <w:rPr>
                <w:bCs/>
                <w:sz w:val="20"/>
              </w:rPr>
              <w:t>1</w:t>
            </w:r>
          </w:p>
        </w:tc>
        <w:tc>
          <w:tcPr>
            <w:tcW w:w="946" w:type="dxa"/>
            <w:shd w:val="clear" w:color="auto" w:fill="auto"/>
          </w:tcPr>
          <w:p w14:paraId="4BF87672" w14:textId="77777777" w:rsidR="00256A10" w:rsidRPr="00023A60" w:rsidRDefault="00256A10">
            <w:pPr>
              <w:pStyle w:val="BodyText"/>
              <w:rPr>
                <w:bCs/>
                <w:sz w:val="20"/>
              </w:rPr>
            </w:pPr>
            <w:r w:rsidRPr="00023A60">
              <w:rPr>
                <w:bCs/>
                <w:sz w:val="20"/>
              </w:rPr>
              <w:t>3</w:t>
            </w:r>
          </w:p>
        </w:tc>
      </w:tr>
      <w:tr w:rsidR="00256A10" w:rsidRPr="005F4F0B" w14:paraId="079F7496" w14:textId="77777777" w:rsidTr="00F76FA0">
        <w:trPr>
          <w:gridAfter w:val="1"/>
          <w:wAfter w:w="28" w:type="dxa"/>
          <w:jc w:val="center"/>
        </w:trPr>
        <w:tc>
          <w:tcPr>
            <w:tcW w:w="3528" w:type="dxa"/>
            <w:shd w:val="clear" w:color="auto" w:fill="auto"/>
          </w:tcPr>
          <w:p w14:paraId="06DF3A10" w14:textId="77777777" w:rsidR="00256A10" w:rsidRPr="00023A60" w:rsidRDefault="00256A10" w:rsidP="00863D0D">
            <w:pPr>
              <w:pStyle w:val="BodyText"/>
              <w:rPr>
                <w:bCs/>
                <w:sz w:val="20"/>
              </w:rPr>
            </w:pPr>
            <w:r w:rsidRPr="00023A60">
              <w:rPr>
                <w:bCs/>
                <w:sz w:val="20"/>
              </w:rPr>
              <w:t xml:space="preserve">  Anxiety</w:t>
            </w:r>
          </w:p>
        </w:tc>
        <w:tc>
          <w:tcPr>
            <w:tcW w:w="1080" w:type="dxa"/>
            <w:shd w:val="clear" w:color="auto" w:fill="auto"/>
          </w:tcPr>
          <w:p w14:paraId="3CC331E2" w14:textId="77777777" w:rsidR="00256A10" w:rsidRPr="00023A60" w:rsidRDefault="00256A10">
            <w:pPr>
              <w:pStyle w:val="BodyText"/>
              <w:rPr>
                <w:bCs/>
                <w:sz w:val="20"/>
              </w:rPr>
            </w:pPr>
            <w:r w:rsidRPr="00023A60">
              <w:rPr>
                <w:bCs/>
                <w:sz w:val="20"/>
              </w:rPr>
              <w:t>1</w:t>
            </w:r>
          </w:p>
        </w:tc>
        <w:tc>
          <w:tcPr>
            <w:tcW w:w="900" w:type="dxa"/>
            <w:shd w:val="clear" w:color="auto" w:fill="auto"/>
          </w:tcPr>
          <w:p w14:paraId="275D7C2D" w14:textId="77777777" w:rsidR="00256A10" w:rsidRPr="00023A60" w:rsidRDefault="00256A10">
            <w:pPr>
              <w:pStyle w:val="BodyText"/>
              <w:rPr>
                <w:bCs/>
                <w:sz w:val="20"/>
              </w:rPr>
            </w:pPr>
            <w:r w:rsidRPr="00023A60">
              <w:rPr>
                <w:bCs/>
                <w:sz w:val="20"/>
              </w:rPr>
              <w:t>2</w:t>
            </w:r>
          </w:p>
        </w:tc>
        <w:tc>
          <w:tcPr>
            <w:tcW w:w="916" w:type="dxa"/>
            <w:shd w:val="clear" w:color="auto" w:fill="auto"/>
          </w:tcPr>
          <w:p w14:paraId="4871925B" w14:textId="77777777" w:rsidR="00256A10" w:rsidRPr="00023A60" w:rsidRDefault="00256A10">
            <w:pPr>
              <w:pStyle w:val="BodyText"/>
              <w:rPr>
                <w:bCs/>
                <w:sz w:val="20"/>
              </w:rPr>
            </w:pPr>
            <w:r w:rsidRPr="00023A60">
              <w:rPr>
                <w:bCs/>
                <w:sz w:val="20"/>
              </w:rPr>
              <w:t>3</w:t>
            </w:r>
          </w:p>
        </w:tc>
        <w:tc>
          <w:tcPr>
            <w:tcW w:w="946" w:type="dxa"/>
            <w:shd w:val="clear" w:color="auto" w:fill="auto"/>
          </w:tcPr>
          <w:p w14:paraId="480875E4" w14:textId="77777777" w:rsidR="00256A10" w:rsidRPr="00023A60" w:rsidRDefault="00256A10">
            <w:pPr>
              <w:pStyle w:val="BodyText"/>
              <w:rPr>
                <w:bCs/>
                <w:sz w:val="20"/>
              </w:rPr>
            </w:pPr>
            <w:r w:rsidRPr="00023A60">
              <w:rPr>
                <w:bCs/>
                <w:sz w:val="20"/>
              </w:rPr>
              <w:t>4</w:t>
            </w:r>
          </w:p>
        </w:tc>
      </w:tr>
      <w:tr w:rsidR="00256A10" w:rsidRPr="005F4F0B" w14:paraId="1E5DE2BB" w14:textId="77777777" w:rsidTr="00F76FA0">
        <w:trPr>
          <w:gridAfter w:val="1"/>
          <w:wAfter w:w="28" w:type="dxa"/>
          <w:jc w:val="center"/>
        </w:trPr>
        <w:tc>
          <w:tcPr>
            <w:tcW w:w="3528" w:type="dxa"/>
            <w:shd w:val="clear" w:color="auto" w:fill="auto"/>
          </w:tcPr>
          <w:p w14:paraId="0B486048" w14:textId="77777777" w:rsidR="00256A10" w:rsidRPr="00023A60" w:rsidRDefault="00256A10" w:rsidP="00863D0D">
            <w:pPr>
              <w:pStyle w:val="BodyText"/>
              <w:rPr>
                <w:bCs/>
                <w:sz w:val="20"/>
              </w:rPr>
            </w:pPr>
            <w:r w:rsidRPr="00023A60">
              <w:rPr>
                <w:bCs/>
                <w:sz w:val="20"/>
              </w:rPr>
              <w:t xml:space="preserve">  Confusional state</w:t>
            </w:r>
          </w:p>
        </w:tc>
        <w:tc>
          <w:tcPr>
            <w:tcW w:w="1080" w:type="dxa"/>
            <w:shd w:val="clear" w:color="auto" w:fill="auto"/>
          </w:tcPr>
          <w:p w14:paraId="72A27010" w14:textId="77777777" w:rsidR="00256A10" w:rsidRPr="00023A60" w:rsidRDefault="00256A10">
            <w:pPr>
              <w:pStyle w:val="BodyText"/>
              <w:rPr>
                <w:bCs/>
                <w:sz w:val="20"/>
              </w:rPr>
            </w:pPr>
            <w:r w:rsidRPr="00023A60">
              <w:rPr>
                <w:bCs/>
                <w:sz w:val="20"/>
              </w:rPr>
              <w:t>&lt;1</w:t>
            </w:r>
          </w:p>
        </w:tc>
        <w:tc>
          <w:tcPr>
            <w:tcW w:w="900" w:type="dxa"/>
            <w:shd w:val="clear" w:color="auto" w:fill="auto"/>
          </w:tcPr>
          <w:p w14:paraId="5CB201B5" w14:textId="77777777" w:rsidR="00256A10" w:rsidRPr="00023A60" w:rsidRDefault="00256A10">
            <w:pPr>
              <w:pStyle w:val="BodyText"/>
              <w:rPr>
                <w:bCs/>
                <w:sz w:val="20"/>
              </w:rPr>
            </w:pPr>
            <w:r w:rsidRPr="00023A60">
              <w:rPr>
                <w:bCs/>
                <w:sz w:val="20"/>
              </w:rPr>
              <w:t>1</w:t>
            </w:r>
          </w:p>
        </w:tc>
        <w:tc>
          <w:tcPr>
            <w:tcW w:w="916" w:type="dxa"/>
            <w:shd w:val="clear" w:color="auto" w:fill="auto"/>
          </w:tcPr>
          <w:p w14:paraId="33F86C2C" w14:textId="77777777" w:rsidR="00256A10" w:rsidRPr="00023A60" w:rsidRDefault="00256A10">
            <w:pPr>
              <w:pStyle w:val="BodyText"/>
              <w:rPr>
                <w:bCs/>
                <w:sz w:val="20"/>
              </w:rPr>
            </w:pPr>
            <w:r w:rsidRPr="00023A60">
              <w:rPr>
                <w:bCs/>
                <w:sz w:val="20"/>
              </w:rPr>
              <w:t>1</w:t>
            </w:r>
          </w:p>
        </w:tc>
        <w:tc>
          <w:tcPr>
            <w:tcW w:w="946" w:type="dxa"/>
            <w:shd w:val="clear" w:color="auto" w:fill="auto"/>
          </w:tcPr>
          <w:p w14:paraId="5C5AB1A5" w14:textId="77777777" w:rsidR="00256A10" w:rsidRPr="00023A60" w:rsidRDefault="00256A10">
            <w:pPr>
              <w:pStyle w:val="BodyText"/>
              <w:rPr>
                <w:bCs/>
                <w:sz w:val="20"/>
              </w:rPr>
            </w:pPr>
            <w:r w:rsidRPr="00023A60">
              <w:rPr>
                <w:bCs/>
                <w:sz w:val="20"/>
              </w:rPr>
              <w:t>2</w:t>
            </w:r>
          </w:p>
        </w:tc>
      </w:tr>
      <w:tr w:rsidR="00256A10" w:rsidRPr="005F4F0B" w14:paraId="11A3FFCC" w14:textId="77777777" w:rsidTr="00F76FA0">
        <w:trPr>
          <w:gridAfter w:val="1"/>
          <w:wAfter w:w="28" w:type="dxa"/>
          <w:jc w:val="center"/>
        </w:trPr>
        <w:tc>
          <w:tcPr>
            <w:tcW w:w="3528" w:type="dxa"/>
            <w:shd w:val="clear" w:color="auto" w:fill="auto"/>
          </w:tcPr>
          <w:p w14:paraId="12CFE6F8" w14:textId="77777777" w:rsidR="00256A10" w:rsidRPr="00023A60" w:rsidRDefault="00256A10" w:rsidP="00863D0D">
            <w:pPr>
              <w:pStyle w:val="BodyText"/>
              <w:rPr>
                <w:bCs/>
                <w:sz w:val="20"/>
              </w:rPr>
            </w:pPr>
            <w:r w:rsidRPr="00023A60">
              <w:rPr>
                <w:bCs/>
                <w:sz w:val="20"/>
              </w:rPr>
              <w:t xml:space="preserve">  Euphoric mood</w:t>
            </w:r>
          </w:p>
        </w:tc>
        <w:tc>
          <w:tcPr>
            <w:tcW w:w="1080" w:type="dxa"/>
            <w:shd w:val="clear" w:color="auto" w:fill="auto"/>
          </w:tcPr>
          <w:p w14:paraId="4CDC7310" w14:textId="77777777" w:rsidR="00256A10" w:rsidRPr="00023A60" w:rsidRDefault="00256A10">
            <w:pPr>
              <w:pStyle w:val="BodyText"/>
              <w:rPr>
                <w:bCs/>
                <w:sz w:val="20"/>
              </w:rPr>
            </w:pPr>
            <w:r w:rsidRPr="00023A60">
              <w:rPr>
                <w:bCs/>
                <w:sz w:val="20"/>
              </w:rPr>
              <w:t>0</w:t>
            </w:r>
          </w:p>
        </w:tc>
        <w:tc>
          <w:tcPr>
            <w:tcW w:w="900" w:type="dxa"/>
            <w:shd w:val="clear" w:color="auto" w:fill="auto"/>
          </w:tcPr>
          <w:p w14:paraId="403704C7" w14:textId="77777777" w:rsidR="00256A10" w:rsidRPr="00023A60" w:rsidRDefault="00256A10">
            <w:pPr>
              <w:pStyle w:val="BodyText"/>
              <w:rPr>
                <w:bCs/>
                <w:sz w:val="20"/>
              </w:rPr>
            </w:pPr>
            <w:r w:rsidRPr="00023A60">
              <w:rPr>
                <w:bCs/>
                <w:sz w:val="20"/>
              </w:rPr>
              <w:t>0</w:t>
            </w:r>
          </w:p>
        </w:tc>
        <w:tc>
          <w:tcPr>
            <w:tcW w:w="916" w:type="dxa"/>
            <w:shd w:val="clear" w:color="auto" w:fill="auto"/>
          </w:tcPr>
          <w:p w14:paraId="19BF2993" w14:textId="77777777" w:rsidR="00256A10" w:rsidRPr="00023A60" w:rsidRDefault="00256A10">
            <w:pPr>
              <w:pStyle w:val="BodyText"/>
              <w:rPr>
                <w:bCs/>
                <w:sz w:val="20"/>
              </w:rPr>
            </w:pPr>
            <w:r w:rsidRPr="00023A60">
              <w:rPr>
                <w:bCs/>
                <w:sz w:val="20"/>
              </w:rPr>
              <w:t>&lt;1</w:t>
            </w:r>
          </w:p>
        </w:tc>
        <w:tc>
          <w:tcPr>
            <w:tcW w:w="946" w:type="dxa"/>
            <w:shd w:val="clear" w:color="auto" w:fill="auto"/>
          </w:tcPr>
          <w:p w14:paraId="55AAB9BA" w14:textId="77777777" w:rsidR="00256A10" w:rsidRPr="00023A60" w:rsidRDefault="00256A10">
            <w:pPr>
              <w:pStyle w:val="BodyText"/>
              <w:rPr>
                <w:bCs/>
                <w:sz w:val="20"/>
              </w:rPr>
            </w:pPr>
            <w:r w:rsidRPr="00023A60">
              <w:rPr>
                <w:bCs/>
                <w:sz w:val="20"/>
              </w:rPr>
              <w:t>2</w:t>
            </w:r>
          </w:p>
        </w:tc>
      </w:tr>
      <w:tr w:rsidR="00256A10" w:rsidRPr="005F4F0B" w14:paraId="29E5C456" w14:textId="77777777" w:rsidTr="00F76FA0">
        <w:trPr>
          <w:gridAfter w:val="1"/>
          <w:wAfter w:w="28" w:type="dxa"/>
          <w:jc w:val="center"/>
        </w:trPr>
        <w:tc>
          <w:tcPr>
            <w:tcW w:w="3528" w:type="dxa"/>
            <w:shd w:val="clear" w:color="auto" w:fill="auto"/>
          </w:tcPr>
          <w:p w14:paraId="5B98E5D0" w14:textId="77777777" w:rsidR="00256A10" w:rsidRPr="00023A60" w:rsidRDefault="00256A10" w:rsidP="00863D0D">
            <w:pPr>
              <w:pStyle w:val="BodyText"/>
              <w:rPr>
                <w:bCs/>
                <w:sz w:val="20"/>
              </w:rPr>
            </w:pPr>
            <w:r w:rsidRPr="00023A60">
              <w:rPr>
                <w:bCs/>
                <w:sz w:val="20"/>
              </w:rPr>
              <w:t xml:space="preserve">  Irritability</w:t>
            </w:r>
          </w:p>
        </w:tc>
        <w:tc>
          <w:tcPr>
            <w:tcW w:w="1080" w:type="dxa"/>
            <w:shd w:val="clear" w:color="auto" w:fill="auto"/>
          </w:tcPr>
          <w:p w14:paraId="13B538F4" w14:textId="77777777" w:rsidR="00256A10" w:rsidRPr="00023A60" w:rsidRDefault="00256A10">
            <w:pPr>
              <w:pStyle w:val="BodyText"/>
              <w:rPr>
                <w:bCs/>
                <w:sz w:val="20"/>
              </w:rPr>
            </w:pPr>
            <w:r w:rsidRPr="00023A60">
              <w:rPr>
                <w:bCs/>
                <w:sz w:val="20"/>
              </w:rPr>
              <w:t>3</w:t>
            </w:r>
          </w:p>
        </w:tc>
        <w:tc>
          <w:tcPr>
            <w:tcW w:w="900" w:type="dxa"/>
            <w:shd w:val="clear" w:color="auto" w:fill="auto"/>
          </w:tcPr>
          <w:p w14:paraId="2A569AB2" w14:textId="77777777" w:rsidR="00256A10" w:rsidRPr="00023A60" w:rsidRDefault="00256A10">
            <w:pPr>
              <w:pStyle w:val="BodyText"/>
              <w:rPr>
                <w:bCs/>
                <w:sz w:val="20"/>
              </w:rPr>
            </w:pPr>
            <w:r w:rsidRPr="00023A60">
              <w:rPr>
                <w:bCs/>
                <w:sz w:val="20"/>
              </w:rPr>
              <w:t>4</w:t>
            </w:r>
          </w:p>
        </w:tc>
        <w:tc>
          <w:tcPr>
            <w:tcW w:w="916" w:type="dxa"/>
            <w:shd w:val="clear" w:color="auto" w:fill="auto"/>
          </w:tcPr>
          <w:p w14:paraId="57795F07" w14:textId="77777777" w:rsidR="00256A10" w:rsidRPr="00023A60" w:rsidRDefault="00256A10">
            <w:pPr>
              <w:pStyle w:val="BodyText"/>
              <w:rPr>
                <w:bCs/>
                <w:sz w:val="20"/>
              </w:rPr>
            </w:pPr>
            <w:r w:rsidRPr="00023A60">
              <w:rPr>
                <w:bCs/>
                <w:sz w:val="20"/>
              </w:rPr>
              <w:t>7</w:t>
            </w:r>
          </w:p>
        </w:tc>
        <w:tc>
          <w:tcPr>
            <w:tcW w:w="946" w:type="dxa"/>
            <w:shd w:val="clear" w:color="auto" w:fill="auto"/>
          </w:tcPr>
          <w:p w14:paraId="663F6A81" w14:textId="77777777" w:rsidR="00256A10" w:rsidRPr="00023A60" w:rsidRDefault="00256A10">
            <w:pPr>
              <w:pStyle w:val="BodyText"/>
              <w:rPr>
                <w:bCs/>
                <w:sz w:val="20"/>
              </w:rPr>
            </w:pPr>
            <w:r w:rsidRPr="00023A60">
              <w:rPr>
                <w:bCs/>
                <w:sz w:val="20"/>
              </w:rPr>
              <w:t>12</w:t>
            </w:r>
          </w:p>
        </w:tc>
      </w:tr>
      <w:tr w:rsidR="00256A10" w:rsidRPr="005F4F0B" w14:paraId="1AE0827F" w14:textId="77777777" w:rsidTr="00F76FA0">
        <w:trPr>
          <w:gridAfter w:val="1"/>
          <w:wAfter w:w="28" w:type="dxa"/>
          <w:jc w:val="center"/>
        </w:trPr>
        <w:tc>
          <w:tcPr>
            <w:tcW w:w="3528" w:type="dxa"/>
            <w:shd w:val="clear" w:color="auto" w:fill="auto"/>
          </w:tcPr>
          <w:p w14:paraId="6EA9D92D" w14:textId="77777777" w:rsidR="00256A10" w:rsidRPr="00023A60" w:rsidRDefault="00256A10" w:rsidP="00863D0D">
            <w:pPr>
              <w:pStyle w:val="BodyText"/>
              <w:rPr>
                <w:bCs/>
                <w:sz w:val="20"/>
              </w:rPr>
            </w:pPr>
            <w:r w:rsidRPr="00023A60">
              <w:rPr>
                <w:bCs/>
                <w:sz w:val="20"/>
              </w:rPr>
              <w:t xml:space="preserve">  Mood altered</w:t>
            </w:r>
          </w:p>
        </w:tc>
        <w:tc>
          <w:tcPr>
            <w:tcW w:w="1080" w:type="dxa"/>
            <w:shd w:val="clear" w:color="auto" w:fill="auto"/>
          </w:tcPr>
          <w:p w14:paraId="04FD8D8F" w14:textId="77777777" w:rsidR="00256A10" w:rsidRPr="00023A60" w:rsidRDefault="00256A10">
            <w:pPr>
              <w:pStyle w:val="BodyText"/>
              <w:rPr>
                <w:bCs/>
                <w:sz w:val="20"/>
              </w:rPr>
            </w:pPr>
            <w:r w:rsidRPr="00023A60">
              <w:rPr>
                <w:bCs/>
                <w:sz w:val="20"/>
              </w:rPr>
              <w:t>&lt;1</w:t>
            </w:r>
          </w:p>
        </w:tc>
        <w:tc>
          <w:tcPr>
            <w:tcW w:w="900" w:type="dxa"/>
            <w:shd w:val="clear" w:color="auto" w:fill="auto"/>
          </w:tcPr>
          <w:p w14:paraId="0E2C6452" w14:textId="77777777" w:rsidR="00256A10" w:rsidRPr="00023A60" w:rsidRDefault="00256A10">
            <w:pPr>
              <w:pStyle w:val="BodyText"/>
              <w:rPr>
                <w:bCs/>
                <w:sz w:val="20"/>
              </w:rPr>
            </w:pPr>
            <w:r w:rsidRPr="00023A60">
              <w:rPr>
                <w:bCs/>
                <w:sz w:val="20"/>
              </w:rPr>
              <w:t>1</w:t>
            </w:r>
          </w:p>
        </w:tc>
        <w:tc>
          <w:tcPr>
            <w:tcW w:w="916" w:type="dxa"/>
            <w:shd w:val="clear" w:color="auto" w:fill="auto"/>
          </w:tcPr>
          <w:p w14:paraId="58114833" w14:textId="77777777" w:rsidR="00256A10" w:rsidRPr="00023A60" w:rsidRDefault="00256A10">
            <w:pPr>
              <w:pStyle w:val="BodyText"/>
              <w:rPr>
                <w:bCs/>
                <w:sz w:val="20"/>
              </w:rPr>
            </w:pPr>
            <w:r w:rsidRPr="00023A60">
              <w:rPr>
                <w:bCs/>
                <w:sz w:val="20"/>
              </w:rPr>
              <w:t>&lt;1</w:t>
            </w:r>
          </w:p>
        </w:tc>
        <w:tc>
          <w:tcPr>
            <w:tcW w:w="946" w:type="dxa"/>
            <w:shd w:val="clear" w:color="auto" w:fill="auto"/>
          </w:tcPr>
          <w:p w14:paraId="2A0B9F06" w14:textId="77777777" w:rsidR="00256A10" w:rsidRPr="00023A60" w:rsidRDefault="00256A10">
            <w:pPr>
              <w:pStyle w:val="BodyText"/>
              <w:rPr>
                <w:bCs/>
                <w:sz w:val="20"/>
              </w:rPr>
            </w:pPr>
            <w:r w:rsidRPr="00023A60">
              <w:rPr>
                <w:bCs/>
                <w:sz w:val="20"/>
              </w:rPr>
              <w:t>2</w:t>
            </w:r>
          </w:p>
        </w:tc>
      </w:tr>
      <w:tr w:rsidR="00256A10" w:rsidRPr="005F4F0B" w14:paraId="663BA2A7" w14:textId="77777777" w:rsidTr="00F76FA0">
        <w:trPr>
          <w:gridAfter w:val="1"/>
          <w:wAfter w:w="28" w:type="dxa"/>
          <w:jc w:val="center"/>
        </w:trPr>
        <w:tc>
          <w:tcPr>
            <w:tcW w:w="3528" w:type="dxa"/>
            <w:shd w:val="clear" w:color="auto" w:fill="auto"/>
          </w:tcPr>
          <w:p w14:paraId="31FB0965" w14:textId="77777777" w:rsidR="00256A10" w:rsidRPr="00023A60" w:rsidRDefault="00256A10" w:rsidP="00863D0D">
            <w:pPr>
              <w:pStyle w:val="BodyText"/>
              <w:rPr>
                <w:bCs/>
                <w:sz w:val="20"/>
              </w:rPr>
            </w:pPr>
            <w:r w:rsidRPr="00023A60">
              <w:rPr>
                <w:bCs/>
                <w:sz w:val="20"/>
              </w:rPr>
              <w:t>Respiratory, Thoracic and Mediastinal Disorders</w:t>
            </w:r>
          </w:p>
        </w:tc>
        <w:tc>
          <w:tcPr>
            <w:tcW w:w="1080" w:type="dxa"/>
            <w:shd w:val="clear" w:color="auto" w:fill="auto"/>
            <w:vAlign w:val="center"/>
          </w:tcPr>
          <w:p w14:paraId="06A43792" w14:textId="77777777" w:rsidR="00256A10" w:rsidRPr="005F4F0B" w:rsidRDefault="00256A10" w:rsidP="00256A10">
            <w:pPr>
              <w:pStyle w:val="BodyText"/>
              <w:rPr>
                <w:sz w:val="20"/>
              </w:rPr>
            </w:pPr>
          </w:p>
        </w:tc>
        <w:tc>
          <w:tcPr>
            <w:tcW w:w="900" w:type="dxa"/>
            <w:shd w:val="clear" w:color="auto" w:fill="auto"/>
            <w:vAlign w:val="center"/>
          </w:tcPr>
          <w:p w14:paraId="64F48147" w14:textId="77777777" w:rsidR="00256A10" w:rsidRPr="005F4F0B" w:rsidRDefault="00256A10" w:rsidP="00256A10">
            <w:pPr>
              <w:pStyle w:val="BodyText"/>
              <w:rPr>
                <w:sz w:val="20"/>
              </w:rPr>
            </w:pPr>
          </w:p>
        </w:tc>
        <w:tc>
          <w:tcPr>
            <w:tcW w:w="916" w:type="dxa"/>
            <w:shd w:val="clear" w:color="auto" w:fill="auto"/>
            <w:vAlign w:val="center"/>
          </w:tcPr>
          <w:p w14:paraId="13106533" w14:textId="77777777" w:rsidR="00256A10" w:rsidRPr="005F4F0B" w:rsidRDefault="00256A10" w:rsidP="00256A10">
            <w:pPr>
              <w:pStyle w:val="BodyText"/>
              <w:rPr>
                <w:sz w:val="20"/>
              </w:rPr>
            </w:pPr>
          </w:p>
        </w:tc>
        <w:tc>
          <w:tcPr>
            <w:tcW w:w="946" w:type="dxa"/>
            <w:shd w:val="clear" w:color="auto" w:fill="auto"/>
            <w:vAlign w:val="center"/>
          </w:tcPr>
          <w:p w14:paraId="77071849" w14:textId="77777777" w:rsidR="00256A10" w:rsidRPr="005F4F0B" w:rsidRDefault="00256A10" w:rsidP="00256A10">
            <w:pPr>
              <w:pStyle w:val="BodyText"/>
              <w:rPr>
                <w:sz w:val="20"/>
              </w:rPr>
            </w:pPr>
          </w:p>
        </w:tc>
      </w:tr>
      <w:tr w:rsidR="00256A10" w:rsidRPr="005F4F0B" w14:paraId="54158B9D" w14:textId="77777777" w:rsidTr="00F76FA0">
        <w:trPr>
          <w:gridAfter w:val="1"/>
          <w:wAfter w:w="28" w:type="dxa"/>
          <w:jc w:val="center"/>
        </w:trPr>
        <w:tc>
          <w:tcPr>
            <w:tcW w:w="3528" w:type="dxa"/>
            <w:shd w:val="clear" w:color="auto" w:fill="auto"/>
          </w:tcPr>
          <w:p w14:paraId="18DBBD82" w14:textId="77777777" w:rsidR="00256A10" w:rsidRPr="00023A60" w:rsidRDefault="00256A10" w:rsidP="00863D0D">
            <w:pPr>
              <w:pStyle w:val="BodyText"/>
              <w:rPr>
                <w:bCs/>
                <w:sz w:val="20"/>
              </w:rPr>
            </w:pPr>
            <w:r w:rsidRPr="00023A60">
              <w:rPr>
                <w:bCs/>
                <w:sz w:val="20"/>
              </w:rPr>
              <w:t xml:space="preserve">  Cough</w:t>
            </w:r>
          </w:p>
        </w:tc>
        <w:tc>
          <w:tcPr>
            <w:tcW w:w="1080" w:type="dxa"/>
            <w:shd w:val="clear" w:color="auto" w:fill="auto"/>
          </w:tcPr>
          <w:p w14:paraId="4101D9BA" w14:textId="77777777" w:rsidR="00256A10" w:rsidRPr="00023A60" w:rsidRDefault="00256A10">
            <w:pPr>
              <w:pStyle w:val="BodyText"/>
              <w:rPr>
                <w:bCs/>
                <w:sz w:val="20"/>
              </w:rPr>
            </w:pPr>
            <w:r w:rsidRPr="00023A60">
              <w:rPr>
                <w:bCs/>
                <w:sz w:val="20"/>
              </w:rPr>
              <w:t>3</w:t>
            </w:r>
          </w:p>
        </w:tc>
        <w:tc>
          <w:tcPr>
            <w:tcW w:w="900" w:type="dxa"/>
            <w:shd w:val="clear" w:color="auto" w:fill="auto"/>
          </w:tcPr>
          <w:p w14:paraId="7F0A8291" w14:textId="77777777" w:rsidR="00256A10" w:rsidRPr="00023A60" w:rsidRDefault="00256A10">
            <w:pPr>
              <w:pStyle w:val="BodyText"/>
              <w:rPr>
                <w:bCs/>
                <w:sz w:val="20"/>
              </w:rPr>
            </w:pPr>
            <w:r w:rsidRPr="00023A60">
              <w:rPr>
                <w:bCs/>
                <w:sz w:val="20"/>
              </w:rPr>
              <w:t>1</w:t>
            </w:r>
          </w:p>
        </w:tc>
        <w:tc>
          <w:tcPr>
            <w:tcW w:w="916" w:type="dxa"/>
            <w:shd w:val="clear" w:color="auto" w:fill="auto"/>
          </w:tcPr>
          <w:p w14:paraId="513FF840" w14:textId="77777777" w:rsidR="00256A10" w:rsidRPr="00023A60" w:rsidRDefault="00256A10">
            <w:pPr>
              <w:pStyle w:val="BodyText"/>
              <w:rPr>
                <w:bCs/>
                <w:sz w:val="20"/>
              </w:rPr>
            </w:pPr>
            <w:r w:rsidRPr="00023A60">
              <w:rPr>
                <w:bCs/>
                <w:sz w:val="20"/>
              </w:rPr>
              <w:t>1</w:t>
            </w:r>
          </w:p>
        </w:tc>
        <w:tc>
          <w:tcPr>
            <w:tcW w:w="946" w:type="dxa"/>
            <w:shd w:val="clear" w:color="auto" w:fill="auto"/>
          </w:tcPr>
          <w:p w14:paraId="1E238798" w14:textId="77777777" w:rsidR="00256A10" w:rsidRPr="00023A60" w:rsidRDefault="00256A10">
            <w:pPr>
              <w:pStyle w:val="BodyText"/>
              <w:rPr>
                <w:bCs/>
                <w:sz w:val="20"/>
              </w:rPr>
            </w:pPr>
            <w:r w:rsidRPr="00023A60">
              <w:rPr>
                <w:bCs/>
                <w:sz w:val="20"/>
              </w:rPr>
              <w:t>4</w:t>
            </w:r>
          </w:p>
        </w:tc>
      </w:tr>
      <w:tr w:rsidR="00256A10" w:rsidRPr="005F4F0B" w14:paraId="15B56CB9" w14:textId="77777777" w:rsidTr="00F76FA0">
        <w:trPr>
          <w:gridAfter w:val="1"/>
          <w:wAfter w:w="28" w:type="dxa"/>
          <w:jc w:val="center"/>
        </w:trPr>
        <w:tc>
          <w:tcPr>
            <w:tcW w:w="3528" w:type="dxa"/>
            <w:shd w:val="clear" w:color="auto" w:fill="auto"/>
          </w:tcPr>
          <w:p w14:paraId="5999E51E" w14:textId="77777777" w:rsidR="00256A10" w:rsidRPr="00023A60" w:rsidRDefault="00256A10" w:rsidP="00863D0D">
            <w:pPr>
              <w:pStyle w:val="BodyText"/>
              <w:rPr>
                <w:bCs/>
                <w:sz w:val="20"/>
              </w:rPr>
            </w:pPr>
            <w:r w:rsidRPr="00023A60">
              <w:rPr>
                <w:bCs/>
                <w:sz w:val="20"/>
              </w:rPr>
              <w:t xml:space="preserve">  Oropharyngeal pain</w:t>
            </w:r>
          </w:p>
        </w:tc>
        <w:tc>
          <w:tcPr>
            <w:tcW w:w="1080" w:type="dxa"/>
            <w:shd w:val="clear" w:color="auto" w:fill="auto"/>
          </w:tcPr>
          <w:p w14:paraId="7FF79CFE" w14:textId="77777777" w:rsidR="00256A10" w:rsidRPr="00023A60" w:rsidRDefault="00256A10">
            <w:pPr>
              <w:pStyle w:val="BodyText"/>
              <w:rPr>
                <w:bCs/>
                <w:sz w:val="20"/>
              </w:rPr>
            </w:pPr>
            <w:r w:rsidRPr="00023A60">
              <w:rPr>
                <w:bCs/>
                <w:sz w:val="20"/>
              </w:rPr>
              <w:t>1</w:t>
            </w:r>
          </w:p>
        </w:tc>
        <w:tc>
          <w:tcPr>
            <w:tcW w:w="900" w:type="dxa"/>
            <w:shd w:val="clear" w:color="auto" w:fill="auto"/>
          </w:tcPr>
          <w:p w14:paraId="594EA818" w14:textId="77777777" w:rsidR="00256A10" w:rsidRPr="00023A60" w:rsidRDefault="00256A10">
            <w:pPr>
              <w:pStyle w:val="BodyText"/>
              <w:rPr>
                <w:bCs/>
                <w:sz w:val="20"/>
              </w:rPr>
            </w:pPr>
            <w:r w:rsidRPr="00023A60">
              <w:rPr>
                <w:bCs/>
                <w:sz w:val="20"/>
              </w:rPr>
              <w:t>2</w:t>
            </w:r>
          </w:p>
        </w:tc>
        <w:tc>
          <w:tcPr>
            <w:tcW w:w="916" w:type="dxa"/>
            <w:shd w:val="clear" w:color="auto" w:fill="auto"/>
          </w:tcPr>
          <w:p w14:paraId="3993893F" w14:textId="77777777" w:rsidR="00256A10" w:rsidRPr="00023A60" w:rsidRDefault="00256A10">
            <w:pPr>
              <w:pStyle w:val="BodyText"/>
              <w:rPr>
                <w:bCs/>
                <w:sz w:val="20"/>
              </w:rPr>
            </w:pPr>
            <w:r w:rsidRPr="00023A60">
              <w:rPr>
                <w:bCs/>
                <w:sz w:val="20"/>
              </w:rPr>
              <w:t>2</w:t>
            </w:r>
          </w:p>
        </w:tc>
        <w:tc>
          <w:tcPr>
            <w:tcW w:w="946" w:type="dxa"/>
            <w:shd w:val="clear" w:color="auto" w:fill="auto"/>
          </w:tcPr>
          <w:p w14:paraId="6C04F845" w14:textId="77777777" w:rsidR="00256A10" w:rsidRPr="00023A60" w:rsidRDefault="00256A10">
            <w:pPr>
              <w:pStyle w:val="BodyText"/>
              <w:rPr>
                <w:bCs/>
                <w:sz w:val="20"/>
              </w:rPr>
            </w:pPr>
            <w:r w:rsidRPr="00023A60">
              <w:rPr>
                <w:bCs/>
                <w:sz w:val="20"/>
              </w:rPr>
              <w:t>2</w:t>
            </w:r>
          </w:p>
        </w:tc>
      </w:tr>
    </w:tbl>
    <w:p w14:paraId="0C92AAA4" w14:textId="77777777" w:rsidR="00256A10" w:rsidRPr="00256A10" w:rsidRDefault="00256A10" w:rsidP="00527070">
      <w:pPr>
        <w:pStyle w:val="BodyText"/>
        <w:spacing w:before="240"/>
        <w:rPr>
          <w:i/>
          <w:iCs/>
        </w:rPr>
      </w:pPr>
      <w:r w:rsidRPr="00256A10">
        <w:rPr>
          <w:i/>
          <w:iCs/>
        </w:rPr>
        <w:t>Weight Gain</w:t>
      </w:r>
    </w:p>
    <w:p w14:paraId="71A912F1" w14:textId="0FE76FBD" w:rsidR="00256A10" w:rsidRDefault="00C21FB8" w:rsidP="00527070">
      <w:pPr>
        <w:pStyle w:val="BodyText"/>
        <w:spacing w:after="240"/>
      </w:pPr>
      <w:r>
        <w:t>Body w</w:t>
      </w:r>
      <w:r w:rsidR="00075749" w:rsidRPr="00075749">
        <w:t xml:space="preserve">eight of subjects was </w:t>
      </w:r>
      <w:r>
        <w:t>recorded during vital signs monitoring</w:t>
      </w:r>
      <w:r w:rsidR="00075749" w:rsidRPr="00075749">
        <w:t xml:space="preserve"> at various time points during the conduct of Phase 3 studies. </w:t>
      </w:r>
      <w:r w:rsidR="00256A10">
        <w:t>In controlled clinical trials in patients with partial</w:t>
      </w:r>
      <w:r w:rsidR="009F76D9">
        <w:noBreakHyphen/>
      </w:r>
      <w:r w:rsidR="00256A10">
        <w:t>onset seizures, clinically significant weight gain (i.e. &gt;7% BW) occurred in 14%, 15.3% and 15.4% of patients given perampanel 4 mg, 8 mg and 12 mg respectively compared to 7.1% given placebo.</w:t>
      </w:r>
    </w:p>
    <w:p w14:paraId="42FC9895" w14:textId="3CB6668C" w:rsidR="00256A10" w:rsidRDefault="00256A10" w:rsidP="00527070">
      <w:pPr>
        <w:pStyle w:val="BodyText"/>
        <w:spacing w:after="240"/>
      </w:pPr>
      <w:r w:rsidRPr="00FE2C2F">
        <w:t xml:space="preserve">Across the entire </w:t>
      </w:r>
      <w:r>
        <w:t>perampanel</w:t>
      </w:r>
      <w:r w:rsidRPr="00FE2C2F">
        <w:t xml:space="preserve"> treatment duration</w:t>
      </w:r>
      <w:r>
        <w:t xml:space="preserve"> </w:t>
      </w:r>
      <w:r w:rsidRPr="0056199B">
        <w:rPr>
          <w:lang w:val="en-GB"/>
        </w:rPr>
        <w:t>in the open label extension study for partial</w:t>
      </w:r>
      <w:r w:rsidR="009F76D9">
        <w:rPr>
          <w:lang w:val="en-GB"/>
        </w:rPr>
        <w:noBreakHyphen/>
      </w:r>
      <w:r w:rsidRPr="0056199B">
        <w:rPr>
          <w:lang w:val="en-GB"/>
        </w:rPr>
        <w:t>onset seizures,</w:t>
      </w:r>
      <w:r w:rsidR="00075749">
        <w:rPr>
          <w:lang w:val="en-GB"/>
        </w:rPr>
        <w:t xml:space="preserve"> based on </w:t>
      </w:r>
      <w:r w:rsidR="00C21FB8">
        <w:rPr>
          <w:lang w:val="en-GB"/>
        </w:rPr>
        <w:t xml:space="preserve">body </w:t>
      </w:r>
      <w:r w:rsidR="00075749">
        <w:rPr>
          <w:lang w:val="en-GB"/>
        </w:rPr>
        <w:t>weight measurements</w:t>
      </w:r>
      <w:r w:rsidRPr="00FE2C2F">
        <w:t xml:space="preserve">, 43.9% of subjects had an increase in body weight of &gt;7%, and 15.3% had a decrease in body weight of &gt;7%. The mean change from baseline in body weight at the end of treatment was 2.54 kg. The mean duration of </w:t>
      </w:r>
      <w:r>
        <w:t>perampanel</w:t>
      </w:r>
      <w:r w:rsidRPr="00FE2C2F">
        <w:t xml:space="preserve"> exposure was 115.41 weeks</w:t>
      </w:r>
      <w:r>
        <w:t>.</w:t>
      </w:r>
    </w:p>
    <w:p w14:paraId="2E38157D" w14:textId="25724075" w:rsidR="00256A10" w:rsidRDefault="00256A10" w:rsidP="00527070">
      <w:pPr>
        <w:pStyle w:val="BodyText"/>
        <w:spacing w:after="240"/>
      </w:pPr>
      <w:r w:rsidRPr="002E150F">
        <w:t xml:space="preserve">In subjects with primary generalised tonic-clonic seizures who completed the controlled clinical trial and subsequently entered the open-label extension phase, </w:t>
      </w:r>
      <w:r w:rsidR="00075749">
        <w:t xml:space="preserve">based on </w:t>
      </w:r>
      <w:r w:rsidR="00C21FB8">
        <w:t xml:space="preserve">body </w:t>
      </w:r>
      <w:r w:rsidR="00075749">
        <w:t xml:space="preserve">weight measurements, </w:t>
      </w:r>
      <w:r w:rsidRPr="002E150F">
        <w:t xml:space="preserve">27.9% had a clinically notable increase (&gt;7%) in body weight across the entire </w:t>
      </w:r>
      <w:r>
        <w:t>perampanel</w:t>
      </w:r>
      <w:r w:rsidRPr="002E150F">
        <w:t xml:space="preserve"> treatment duration. The mean duration of </w:t>
      </w:r>
      <w:r>
        <w:t>perampanel</w:t>
      </w:r>
      <w:r w:rsidRPr="002E150F">
        <w:t xml:space="preserve"> exposure was 40.3 weeks.</w:t>
      </w:r>
    </w:p>
    <w:p w14:paraId="003D1DB0" w14:textId="77777777" w:rsidR="00256A10" w:rsidRPr="00256A10" w:rsidRDefault="00256A10" w:rsidP="00256A10">
      <w:pPr>
        <w:pStyle w:val="BodyText"/>
        <w:rPr>
          <w:i/>
          <w:iCs/>
        </w:rPr>
      </w:pPr>
      <w:r w:rsidRPr="00256A10">
        <w:rPr>
          <w:i/>
          <w:iCs/>
        </w:rPr>
        <w:t>Other Adverse Reactions</w:t>
      </w:r>
    </w:p>
    <w:p w14:paraId="43A8985E" w14:textId="77777777" w:rsidR="00256A10" w:rsidRPr="00256A10" w:rsidRDefault="00256A10" w:rsidP="00256A10">
      <w:pPr>
        <w:pStyle w:val="BodyText"/>
      </w:pPr>
      <w:r w:rsidRPr="00256A10">
        <w:t xml:space="preserve">The following </w:t>
      </w:r>
      <w:r w:rsidRPr="004A719F">
        <w:t>adverse</w:t>
      </w:r>
      <w:r>
        <w:t xml:space="preserve"> </w:t>
      </w:r>
      <w:r w:rsidRPr="004A719F">
        <w:t>reactions</w:t>
      </w:r>
      <w:r>
        <w:t xml:space="preserve"> </w:t>
      </w:r>
      <w:r w:rsidRPr="004A719F">
        <w:t>are</w:t>
      </w:r>
      <w:r>
        <w:t xml:space="preserve"> </w:t>
      </w:r>
      <w:r w:rsidRPr="004A719F">
        <w:t>discussed</w:t>
      </w:r>
      <w:r>
        <w:t xml:space="preserve"> </w:t>
      </w:r>
      <w:r w:rsidRPr="004A719F">
        <w:t>in</w:t>
      </w:r>
      <w:r>
        <w:t xml:space="preserve"> </w:t>
      </w:r>
      <w:r w:rsidRPr="004A719F">
        <w:t>more</w:t>
      </w:r>
      <w:r>
        <w:t xml:space="preserve"> </w:t>
      </w:r>
      <w:r w:rsidRPr="004A719F">
        <w:t>detail</w:t>
      </w:r>
      <w:r>
        <w:t xml:space="preserve"> </w:t>
      </w:r>
      <w:r w:rsidRPr="004A719F">
        <w:t>in</w:t>
      </w:r>
      <w:r>
        <w:t xml:space="preserve"> </w:t>
      </w:r>
      <w:r w:rsidRPr="00256A10">
        <w:t xml:space="preserve">the precautions section </w:t>
      </w:r>
      <w:r w:rsidRPr="004A719F">
        <w:t>of</w:t>
      </w:r>
      <w:r>
        <w:t xml:space="preserve"> </w:t>
      </w:r>
      <w:r w:rsidRPr="004A719F">
        <w:t>the</w:t>
      </w:r>
      <w:r>
        <w:t xml:space="preserve"> </w:t>
      </w:r>
      <w:r w:rsidRPr="00256A10">
        <w:t>prescribing information:</w:t>
      </w:r>
    </w:p>
    <w:p w14:paraId="35EA272A" w14:textId="77777777" w:rsidR="00256A10" w:rsidRPr="004A719F" w:rsidRDefault="00256A10" w:rsidP="00256A10">
      <w:pPr>
        <w:pStyle w:val="BodyText"/>
        <w:numPr>
          <w:ilvl w:val="0"/>
          <w:numId w:val="28"/>
        </w:numPr>
      </w:pPr>
      <w:r w:rsidRPr="004A719F">
        <w:t>Psychiatric reactions including aggression</w:t>
      </w:r>
    </w:p>
    <w:p w14:paraId="72ED5663" w14:textId="77777777" w:rsidR="00256A10" w:rsidRPr="004A719F" w:rsidRDefault="00256A10" w:rsidP="00256A10">
      <w:pPr>
        <w:pStyle w:val="BodyText"/>
        <w:numPr>
          <w:ilvl w:val="0"/>
          <w:numId w:val="28"/>
        </w:numPr>
      </w:pPr>
      <w:r w:rsidRPr="004A719F">
        <w:t>Suicidal ideation and behaviour</w:t>
      </w:r>
    </w:p>
    <w:p w14:paraId="161815E5" w14:textId="77777777" w:rsidR="00256A10" w:rsidRPr="004A719F" w:rsidRDefault="00256A10" w:rsidP="00256A10">
      <w:pPr>
        <w:pStyle w:val="BodyText"/>
        <w:numPr>
          <w:ilvl w:val="0"/>
          <w:numId w:val="28"/>
        </w:numPr>
      </w:pPr>
      <w:r w:rsidRPr="004A719F">
        <w:t>Abuse potential</w:t>
      </w:r>
    </w:p>
    <w:p w14:paraId="350CA478" w14:textId="77777777" w:rsidR="00256A10" w:rsidRPr="004A719F" w:rsidRDefault="00256A10" w:rsidP="00256A10">
      <w:pPr>
        <w:pStyle w:val="BodyText"/>
        <w:numPr>
          <w:ilvl w:val="0"/>
          <w:numId w:val="28"/>
        </w:numPr>
      </w:pPr>
      <w:r w:rsidRPr="004A719F">
        <w:t>Dizziness and gait disturbance</w:t>
      </w:r>
    </w:p>
    <w:p w14:paraId="410E64DD" w14:textId="77777777" w:rsidR="00256A10" w:rsidRPr="004A719F" w:rsidRDefault="00256A10" w:rsidP="00256A10">
      <w:pPr>
        <w:pStyle w:val="BodyText"/>
        <w:numPr>
          <w:ilvl w:val="0"/>
          <w:numId w:val="28"/>
        </w:numPr>
      </w:pPr>
      <w:r w:rsidRPr="004A719F">
        <w:t>Falls</w:t>
      </w:r>
    </w:p>
    <w:p w14:paraId="604040E2" w14:textId="77777777" w:rsidR="00256A10" w:rsidRPr="004A719F" w:rsidRDefault="00256A10" w:rsidP="00256A10">
      <w:pPr>
        <w:pStyle w:val="BodyText"/>
        <w:numPr>
          <w:ilvl w:val="0"/>
          <w:numId w:val="28"/>
        </w:numPr>
      </w:pPr>
      <w:r w:rsidRPr="004A719F">
        <w:t>Somnolence and fatigue</w:t>
      </w:r>
    </w:p>
    <w:p w14:paraId="5CAB75B2" w14:textId="42ACE687" w:rsidR="009F76D9" w:rsidRPr="00691842" w:rsidRDefault="009F76D9" w:rsidP="009F76D9">
      <w:pPr>
        <w:pStyle w:val="Heading4"/>
      </w:pPr>
      <w:r w:rsidRPr="00691842">
        <w:t xml:space="preserve">Primary </w:t>
      </w:r>
      <w:r>
        <w:t>Generalised</w:t>
      </w:r>
      <w:r w:rsidRPr="00691842">
        <w:t xml:space="preserve"> Tonic-Clonic Seizures</w:t>
      </w:r>
      <w:r w:rsidRPr="009F76D9">
        <w:t xml:space="preserve"> </w:t>
      </w:r>
      <w:r>
        <w:t>in adults and adolescents</w:t>
      </w:r>
    </w:p>
    <w:p w14:paraId="38CF1956" w14:textId="512B4B43" w:rsidR="009F76D9" w:rsidRDefault="009F76D9" w:rsidP="00527070">
      <w:pPr>
        <w:pStyle w:val="BodyText"/>
        <w:spacing w:after="240"/>
      </w:pPr>
      <w:r>
        <w:t>A total of 81 adult and adolescent patients on perampanel constituted the safety population in the Phase 3 placebo-controlled trial in patients with primary generalised tonic-clonic seizures. Approximately 57% of patients were female, and the mean age was 27 years.</w:t>
      </w:r>
    </w:p>
    <w:p w14:paraId="6CA12022" w14:textId="77777777" w:rsidR="009F76D9" w:rsidRDefault="009F76D9" w:rsidP="00527070">
      <w:pPr>
        <w:pStyle w:val="BodyText"/>
        <w:spacing w:after="240"/>
      </w:pPr>
      <w:r>
        <w:t>In the controlled Phase 3 primary generalised tonic-clonic seizures clinical trial, the adverse event profile was similar to that noted for the controlled Phase 3 partial-onset seizures trials.</w:t>
      </w:r>
    </w:p>
    <w:p w14:paraId="3F896FC8" w14:textId="77777777" w:rsidR="009F76D9" w:rsidRDefault="009F76D9" w:rsidP="00527070">
      <w:pPr>
        <w:pStyle w:val="BodyText"/>
        <w:spacing w:after="240"/>
      </w:pPr>
      <w:r>
        <w:t>The most frequently reported adverse reactions in patients receiving FYCOMPA (≥10% and higher than in the placebo group) included dizziness (32.1%), fatigue (14.8%), headache (12.3%), somnolence (11.1%), and irritability (11.1%). The adverse reactions most commonly leading to discontinuation (≥2% in the FYCOMPA group and greater than placebo) were vomiting and dizziness.</w:t>
      </w:r>
      <w:r w:rsidRPr="00023A6D">
        <w:t xml:space="preserve"> </w:t>
      </w:r>
    </w:p>
    <w:p w14:paraId="2F21E667" w14:textId="77777777" w:rsidR="00256A10" w:rsidRDefault="00256A10" w:rsidP="00256A10">
      <w:pPr>
        <w:pStyle w:val="Heading4"/>
      </w:pPr>
      <w:r w:rsidRPr="00691842">
        <w:t xml:space="preserve">Paediatric population </w:t>
      </w:r>
    </w:p>
    <w:p w14:paraId="4290B9CF" w14:textId="3C88EE3D" w:rsidR="00F76FA0" w:rsidRDefault="00256A10" w:rsidP="00527070">
      <w:pPr>
        <w:pStyle w:val="BodyText"/>
        <w:spacing w:after="240"/>
      </w:pPr>
      <w:r w:rsidRPr="00023A6D">
        <w:t>Based on the clinical trial database of 1</w:t>
      </w:r>
      <w:r w:rsidR="00F76FA0">
        <w:t>96</w:t>
      </w:r>
      <w:r w:rsidRPr="00023A6D">
        <w:t xml:space="preserve"> adolescents</w:t>
      </w:r>
      <w:r w:rsidR="009F76D9">
        <w:t xml:space="preserve"> </w:t>
      </w:r>
      <w:r w:rsidR="009F76D9" w:rsidRPr="00CC08FC">
        <w:t>exposed to</w:t>
      </w:r>
      <w:r w:rsidR="009F76D9">
        <w:t xml:space="preserve"> FYCOMPA</w:t>
      </w:r>
      <w:r w:rsidR="009F76D9" w:rsidRPr="00CC08FC">
        <w:t xml:space="preserve"> from double</w:t>
      </w:r>
      <w:r w:rsidR="009F76D9">
        <w:noBreakHyphen/>
      </w:r>
      <w:r w:rsidR="009F76D9" w:rsidRPr="00CC08FC">
        <w:t xml:space="preserve">blind studies for </w:t>
      </w:r>
      <w:r w:rsidR="009F76D9">
        <w:t>POS</w:t>
      </w:r>
      <w:r w:rsidR="009F76D9" w:rsidRPr="00CC08FC">
        <w:t xml:space="preserve"> and </w:t>
      </w:r>
      <w:r w:rsidR="009F76D9">
        <w:t>PGTCS</w:t>
      </w:r>
      <w:r w:rsidRPr="00023A6D">
        <w:t>, the frequency, type and severity of adverse reactions in adolescents are expected to be the same as in adults</w:t>
      </w:r>
      <w:r w:rsidR="00F76FA0">
        <w:t>, except for aggression, which was observed more frequently in adolescents than in adults.</w:t>
      </w:r>
    </w:p>
    <w:p w14:paraId="57D0926F" w14:textId="31C2A3B0" w:rsidR="00661386" w:rsidRDefault="00075749" w:rsidP="00527070">
      <w:pPr>
        <w:pStyle w:val="BodyText"/>
        <w:spacing w:after="240"/>
      </w:pPr>
      <w:r w:rsidRPr="00E01DE8">
        <w:t xml:space="preserve">Based on the clinical trial database of 180 </w:t>
      </w:r>
      <w:r w:rsidR="00BE721F">
        <w:t xml:space="preserve">children (4 to &lt;12 years) </w:t>
      </w:r>
      <w:r w:rsidR="009F76D9">
        <w:t xml:space="preserve">with POS and PGTCS, </w:t>
      </w:r>
      <w:r w:rsidRPr="00E01DE8">
        <w:t>exposed to perampanel from a multicent</w:t>
      </w:r>
      <w:r w:rsidR="00256092">
        <w:t>re</w:t>
      </w:r>
      <w:r w:rsidRPr="00E01DE8">
        <w:t xml:space="preserve"> open label study, </w:t>
      </w:r>
      <w:r>
        <w:t>t</w:t>
      </w:r>
      <w:r w:rsidRPr="00E01DE8">
        <w:t>he overall safety profile in children w</w:t>
      </w:r>
      <w:r w:rsidR="00256092">
        <w:t>ere</w:t>
      </w:r>
      <w:r w:rsidRPr="00E01DE8">
        <w:t xml:space="preserve"> similar to that of</w:t>
      </w:r>
      <w:r>
        <w:t xml:space="preserve"> </w:t>
      </w:r>
      <w:r w:rsidRPr="00E01DE8">
        <w:t>adolescents and adults, except for somnolence</w:t>
      </w:r>
      <w:r w:rsidR="00E4784E">
        <w:t xml:space="preserve"> (26.1%</w:t>
      </w:r>
      <w:r w:rsidR="00B36953">
        <w:t>, 14.8% adolescents and 14.2% adults,</w:t>
      </w:r>
      <w:r w:rsidR="00E4784E">
        <w:t>)</w:t>
      </w:r>
      <w:r w:rsidRPr="00E01DE8">
        <w:t>, irritability</w:t>
      </w:r>
      <w:r w:rsidR="00E4784E">
        <w:t xml:space="preserve"> (12.8%</w:t>
      </w:r>
      <w:r w:rsidR="00B36953">
        <w:t>, 6.6% adolescents, and 7.4% adults,</w:t>
      </w:r>
      <w:r w:rsidR="00E4784E">
        <w:t>)</w:t>
      </w:r>
      <w:r w:rsidRPr="00E01DE8">
        <w:t>, aggression</w:t>
      </w:r>
      <w:r w:rsidR="00E4784E">
        <w:t xml:space="preserve"> (8.9%</w:t>
      </w:r>
      <w:r w:rsidR="00B36953">
        <w:t>, 7.7% adolescents, 1.0% adults</w:t>
      </w:r>
      <w:r w:rsidR="00E4784E">
        <w:t>)</w:t>
      </w:r>
      <w:r w:rsidRPr="00E01DE8">
        <w:t xml:space="preserve">, and agitation </w:t>
      </w:r>
      <w:r w:rsidR="004C5DE2">
        <w:t>(4.4%</w:t>
      </w:r>
      <w:r w:rsidR="00B36953">
        <w:t>, 0.5% adolescents and 0.4% adults</w:t>
      </w:r>
      <w:r w:rsidR="004C5DE2">
        <w:t xml:space="preserve">) </w:t>
      </w:r>
      <w:r w:rsidRPr="00E01DE8">
        <w:t>which w</w:t>
      </w:r>
      <w:r w:rsidR="00256092">
        <w:t>ere</w:t>
      </w:r>
      <w:r w:rsidRPr="00E01DE8">
        <w:t xml:space="preserve"> observed more frequently in children than in adolescents and adults</w:t>
      </w:r>
      <w:r>
        <w:t>.</w:t>
      </w:r>
      <w:r w:rsidR="00C76A65">
        <w:t xml:space="preserve"> </w:t>
      </w:r>
      <w:r w:rsidR="0076592C">
        <w:fldChar w:fldCharType="begin"/>
      </w:r>
      <w:r w:rsidR="0076592C">
        <w:instrText xml:space="preserve"> REF _Ref55828261 \h </w:instrText>
      </w:r>
      <w:r w:rsidR="0076592C">
        <w:fldChar w:fldCharType="separate"/>
      </w:r>
      <w:r w:rsidR="007B3B4A">
        <w:t xml:space="preserve">Table </w:t>
      </w:r>
      <w:r w:rsidR="007B3B4A">
        <w:rPr>
          <w:noProof/>
        </w:rPr>
        <w:t>5</w:t>
      </w:r>
      <w:r w:rsidR="0076592C">
        <w:fldChar w:fldCharType="end"/>
      </w:r>
      <w:r w:rsidR="0076592C">
        <w:t xml:space="preserve"> provides a summary of the adverse </w:t>
      </w:r>
      <w:r w:rsidR="00D31F0C">
        <w:t>events</w:t>
      </w:r>
      <w:r w:rsidR="0076592C">
        <w:t xml:space="preserve"> observed in the </w:t>
      </w:r>
      <w:r w:rsidR="00D31F0C">
        <w:t xml:space="preserve">core </w:t>
      </w:r>
      <w:r w:rsidR="0076592C">
        <w:t>study occurring in more than 10% of the subjects.</w:t>
      </w:r>
    </w:p>
    <w:p w14:paraId="517EA6AC" w14:textId="0D2FF581" w:rsidR="0076592C" w:rsidRDefault="0076592C" w:rsidP="0076592C">
      <w:pPr>
        <w:pStyle w:val="Caption"/>
      </w:pPr>
      <w:bookmarkStart w:id="10" w:name="_Ref55828261"/>
      <w:r>
        <w:t xml:space="preserve">Table </w:t>
      </w:r>
      <w:r>
        <w:rPr>
          <w:noProof/>
        </w:rPr>
        <w:fldChar w:fldCharType="begin"/>
      </w:r>
      <w:r>
        <w:rPr>
          <w:noProof/>
        </w:rPr>
        <w:instrText xml:space="preserve"> SEQ Table \* ARABIC </w:instrText>
      </w:r>
      <w:r>
        <w:rPr>
          <w:noProof/>
        </w:rPr>
        <w:fldChar w:fldCharType="separate"/>
      </w:r>
      <w:r w:rsidR="007B3B4A">
        <w:rPr>
          <w:noProof/>
        </w:rPr>
        <w:t>5</w:t>
      </w:r>
      <w:r>
        <w:rPr>
          <w:noProof/>
        </w:rPr>
        <w:fldChar w:fldCharType="end"/>
      </w:r>
      <w:bookmarkEnd w:id="10"/>
      <w:r w:rsidR="007A0A9C">
        <w:t>:</w:t>
      </w:r>
      <w:r>
        <w:t xml:space="preserve"> </w:t>
      </w:r>
      <w:r w:rsidR="006A46D9">
        <w:t>TEAEs</w:t>
      </w:r>
      <w:r w:rsidRPr="000D4FC0">
        <w:t xml:space="preserve"> in </w:t>
      </w:r>
      <w:r>
        <w:t>Paediatric Trial</w:t>
      </w:r>
      <w:r w:rsidRPr="000D4FC0">
        <w:t xml:space="preserve"> in Patients with</w:t>
      </w:r>
      <w:r>
        <w:t xml:space="preserve"> POS</w:t>
      </w:r>
      <w:r w:rsidRPr="000D4FC0">
        <w:t xml:space="preserve"> </w:t>
      </w:r>
      <w:r>
        <w:t>or PGTC</w:t>
      </w:r>
      <w:r w:rsidRPr="000D4FC0">
        <w:t xml:space="preserve"> (</w:t>
      </w:r>
      <w:r w:rsidR="006A46D9">
        <w:t>TEAE</w:t>
      </w:r>
      <w:r w:rsidRPr="000D4FC0">
        <w:t xml:space="preserve">s ≥ </w:t>
      </w:r>
      <w:r>
        <w:t>10% of Patients)</w:t>
      </w:r>
    </w:p>
    <w:tbl>
      <w:tblPr>
        <w:tblW w:w="7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4"/>
        <w:gridCol w:w="1734"/>
      </w:tblGrid>
      <w:tr w:rsidR="0076592C" w:rsidRPr="005F4F0B" w14:paraId="442CA28F" w14:textId="77777777" w:rsidTr="00365DC3">
        <w:trPr>
          <w:trHeight w:val="264"/>
          <w:tblHeader/>
          <w:jc w:val="center"/>
        </w:trPr>
        <w:tc>
          <w:tcPr>
            <w:tcW w:w="3528" w:type="dxa"/>
            <w:vMerge w:val="restart"/>
            <w:shd w:val="clear" w:color="auto" w:fill="auto"/>
            <w:vAlign w:val="bottom"/>
          </w:tcPr>
          <w:p w14:paraId="02CCEA6E" w14:textId="77777777" w:rsidR="0076592C" w:rsidRPr="005F4F0B" w:rsidRDefault="0076592C" w:rsidP="00365DC3">
            <w:pPr>
              <w:pStyle w:val="BodyText"/>
              <w:keepNext/>
              <w:rPr>
                <w:sz w:val="20"/>
              </w:rPr>
            </w:pPr>
          </w:p>
        </w:tc>
        <w:tc>
          <w:tcPr>
            <w:tcW w:w="1080" w:type="dxa"/>
            <w:vMerge w:val="restart"/>
            <w:shd w:val="clear" w:color="auto" w:fill="auto"/>
            <w:vAlign w:val="center"/>
          </w:tcPr>
          <w:p w14:paraId="0A4A3E8D" w14:textId="77777777" w:rsidR="0076592C" w:rsidRPr="00023A60" w:rsidRDefault="0076592C" w:rsidP="00023A60">
            <w:pPr>
              <w:pStyle w:val="BodyText"/>
              <w:rPr>
                <w:bCs/>
                <w:sz w:val="20"/>
              </w:rPr>
            </w:pPr>
            <w:r w:rsidRPr="00023A60">
              <w:rPr>
                <w:bCs/>
                <w:sz w:val="20"/>
              </w:rPr>
              <w:t>Total</w:t>
            </w:r>
          </w:p>
          <w:p w14:paraId="5D4E70BA" w14:textId="77777777" w:rsidR="0076592C" w:rsidRPr="00023A60" w:rsidRDefault="0076592C" w:rsidP="00023A60">
            <w:pPr>
              <w:pStyle w:val="BodyText"/>
              <w:rPr>
                <w:bCs/>
                <w:sz w:val="20"/>
              </w:rPr>
            </w:pPr>
            <w:r w:rsidRPr="00023A60">
              <w:rPr>
                <w:bCs/>
                <w:sz w:val="20"/>
              </w:rPr>
              <w:t>(N=180)</w:t>
            </w:r>
          </w:p>
          <w:p w14:paraId="254787AC" w14:textId="77777777" w:rsidR="0076592C" w:rsidRPr="005F4F0B" w:rsidRDefault="0076592C" w:rsidP="00023A60">
            <w:pPr>
              <w:pStyle w:val="BodyText"/>
            </w:pPr>
            <w:r w:rsidRPr="00023A60">
              <w:rPr>
                <w:bCs/>
                <w:sz w:val="20"/>
              </w:rPr>
              <w:t>n (%)</w:t>
            </w:r>
          </w:p>
        </w:tc>
      </w:tr>
      <w:tr w:rsidR="0076592C" w:rsidRPr="005F4F0B" w14:paraId="286DC480" w14:textId="77777777" w:rsidTr="00365DC3">
        <w:trPr>
          <w:trHeight w:val="264"/>
          <w:tblHeader/>
          <w:jc w:val="center"/>
        </w:trPr>
        <w:tc>
          <w:tcPr>
            <w:tcW w:w="3528" w:type="dxa"/>
            <w:vMerge/>
            <w:shd w:val="clear" w:color="auto" w:fill="auto"/>
          </w:tcPr>
          <w:p w14:paraId="7F650FF4" w14:textId="77777777" w:rsidR="0076592C" w:rsidRPr="005F4F0B" w:rsidRDefault="0076592C" w:rsidP="00365DC3">
            <w:pPr>
              <w:pStyle w:val="BodyText"/>
              <w:keepNext/>
              <w:rPr>
                <w:sz w:val="20"/>
              </w:rPr>
            </w:pPr>
          </w:p>
        </w:tc>
        <w:tc>
          <w:tcPr>
            <w:tcW w:w="1080" w:type="dxa"/>
            <w:vMerge/>
            <w:shd w:val="clear" w:color="auto" w:fill="auto"/>
            <w:vAlign w:val="center"/>
          </w:tcPr>
          <w:p w14:paraId="6321F2D5" w14:textId="77777777" w:rsidR="0076592C" w:rsidRPr="005F4F0B" w:rsidRDefault="0076592C" w:rsidP="00365DC3">
            <w:pPr>
              <w:pStyle w:val="BodyText"/>
              <w:keepNext/>
              <w:rPr>
                <w:sz w:val="20"/>
              </w:rPr>
            </w:pPr>
          </w:p>
        </w:tc>
      </w:tr>
      <w:tr w:rsidR="0076592C" w:rsidRPr="005F4F0B" w14:paraId="05066149" w14:textId="77777777" w:rsidTr="00365DC3">
        <w:trPr>
          <w:jc w:val="center"/>
        </w:trPr>
        <w:tc>
          <w:tcPr>
            <w:tcW w:w="3528" w:type="dxa"/>
            <w:shd w:val="clear" w:color="auto" w:fill="auto"/>
          </w:tcPr>
          <w:p w14:paraId="1618244A" w14:textId="77777777" w:rsidR="0076592C" w:rsidRPr="00023A60" w:rsidRDefault="0076592C" w:rsidP="00023A60">
            <w:pPr>
              <w:pStyle w:val="BodyText"/>
              <w:rPr>
                <w:bCs/>
                <w:sz w:val="20"/>
              </w:rPr>
            </w:pPr>
            <w:r w:rsidRPr="00023A60">
              <w:rPr>
                <w:bCs/>
                <w:sz w:val="20"/>
              </w:rPr>
              <w:t>Somnolence</w:t>
            </w:r>
          </w:p>
        </w:tc>
        <w:tc>
          <w:tcPr>
            <w:tcW w:w="1080" w:type="dxa"/>
            <w:shd w:val="clear" w:color="auto" w:fill="auto"/>
          </w:tcPr>
          <w:p w14:paraId="3734F0CB" w14:textId="77777777" w:rsidR="0076592C" w:rsidRPr="00023A60" w:rsidRDefault="0076592C" w:rsidP="00023A60">
            <w:pPr>
              <w:pStyle w:val="BodyText"/>
              <w:rPr>
                <w:bCs/>
                <w:sz w:val="20"/>
              </w:rPr>
            </w:pPr>
            <w:r w:rsidRPr="00023A60">
              <w:rPr>
                <w:bCs/>
                <w:sz w:val="20"/>
              </w:rPr>
              <w:t>47 (26.1)</w:t>
            </w:r>
          </w:p>
        </w:tc>
      </w:tr>
      <w:tr w:rsidR="0076592C" w:rsidRPr="005F4F0B" w14:paraId="7003D094" w14:textId="77777777" w:rsidTr="00365DC3">
        <w:trPr>
          <w:jc w:val="center"/>
        </w:trPr>
        <w:tc>
          <w:tcPr>
            <w:tcW w:w="3528" w:type="dxa"/>
            <w:shd w:val="clear" w:color="auto" w:fill="auto"/>
          </w:tcPr>
          <w:p w14:paraId="60CED036" w14:textId="77777777" w:rsidR="0076592C" w:rsidRPr="00023A60" w:rsidRDefault="0076592C" w:rsidP="00863D0D">
            <w:pPr>
              <w:pStyle w:val="BodyText"/>
              <w:rPr>
                <w:bCs/>
                <w:sz w:val="20"/>
              </w:rPr>
            </w:pPr>
            <w:r w:rsidRPr="00023A60">
              <w:rPr>
                <w:bCs/>
                <w:sz w:val="20"/>
              </w:rPr>
              <w:t>Nasopharyngitis</w:t>
            </w:r>
          </w:p>
        </w:tc>
        <w:tc>
          <w:tcPr>
            <w:tcW w:w="1080" w:type="dxa"/>
            <w:shd w:val="clear" w:color="auto" w:fill="auto"/>
          </w:tcPr>
          <w:p w14:paraId="79168546" w14:textId="77777777" w:rsidR="0076592C" w:rsidRPr="00023A60" w:rsidRDefault="0076592C">
            <w:pPr>
              <w:pStyle w:val="BodyText"/>
              <w:rPr>
                <w:bCs/>
                <w:sz w:val="20"/>
              </w:rPr>
            </w:pPr>
            <w:r w:rsidRPr="00023A60">
              <w:rPr>
                <w:bCs/>
                <w:sz w:val="20"/>
              </w:rPr>
              <w:t>35 (19.4)</w:t>
            </w:r>
          </w:p>
        </w:tc>
      </w:tr>
      <w:tr w:rsidR="0076592C" w:rsidRPr="005F4F0B" w14:paraId="2B3E43CD" w14:textId="77777777" w:rsidTr="00365DC3">
        <w:trPr>
          <w:jc w:val="center"/>
        </w:trPr>
        <w:tc>
          <w:tcPr>
            <w:tcW w:w="3528" w:type="dxa"/>
            <w:shd w:val="clear" w:color="auto" w:fill="auto"/>
          </w:tcPr>
          <w:p w14:paraId="5D65AB3C" w14:textId="77777777" w:rsidR="0076592C" w:rsidRPr="00023A60" w:rsidRDefault="0076592C" w:rsidP="00863D0D">
            <w:pPr>
              <w:pStyle w:val="BodyText"/>
              <w:rPr>
                <w:bCs/>
                <w:sz w:val="20"/>
              </w:rPr>
            </w:pPr>
            <w:r w:rsidRPr="00023A60">
              <w:rPr>
                <w:bCs/>
                <w:sz w:val="20"/>
              </w:rPr>
              <w:t>Dizziness</w:t>
            </w:r>
          </w:p>
        </w:tc>
        <w:tc>
          <w:tcPr>
            <w:tcW w:w="1080" w:type="dxa"/>
            <w:shd w:val="clear" w:color="auto" w:fill="auto"/>
            <w:vAlign w:val="center"/>
          </w:tcPr>
          <w:p w14:paraId="2067052D" w14:textId="77777777" w:rsidR="0076592C" w:rsidRPr="00023A60" w:rsidRDefault="0076592C">
            <w:pPr>
              <w:pStyle w:val="BodyText"/>
              <w:rPr>
                <w:bCs/>
                <w:sz w:val="20"/>
              </w:rPr>
            </w:pPr>
            <w:r w:rsidRPr="00023A60">
              <w:rPr>
                <w:bCs/>
                <w:sz w:val="20"/>
              </w:rPr>
              <w:t>23 (12.8)</w:t>
            </w:r>
          </w:p>
        </w:tc>
      </w:tr>
      <w:tr w:rsidR="0076592C" w:rsidRPr="005F4F0B" w14:paraId="7562745B" w14:textId="77777777" w:rsidTr="00365DC3">
        <w:trPr>
          <w:jc w:val="center"/>
        </w:trPr>
        <w:tc>
          <w:tcPr>
            <w:tcW w:w="3528" w:type="dxa"/>
            <w:shd w:val="clear" w:color="auto" w:fill="auto"/>
          </w:tcPr>
          <w:p w14:paraId="0EBBC8A5" w14:textId="77777777" w:rsidR="0076592C" w:rsidRPr="00023A60" w:rsidRDefault="0076592C" w:rsidP="00863D0D">
            <w:pPr>
              <w:pStyle w:val="BodyText"/>
              <w:rPr>
                <w:bCs/>
                <w:sz w:val="20"/>
              </w:rPr>
            </w:pPr>
            <w:r w:rsidRPr="00023A60">
              <w:rPr>
                <w:bCs/>
                <w:sz w:val="20"/>
              </w:rPr>
              <w:t>Irritability</w:t>
            </w:r>
          </w:p>
        </w:tc>
        <w:tc>
          <w:tcPr>
            <w:tcW w:w="1080" w:type="dxa"/>
            <w:shd w:val="clear" w:color="auto" w:fill="auto"/>
          </w:tcPr>
          <w:p w14:paraId="550D2C1F" w14:textId="77777777" w:rsidR="0076592C" w:rsidRPr="00023A60" w:rsidRDefault="0076592C">
            <w:pPr>
              <w:pStyle w:val="BodyText"/>
              <w:rPr>
                <w:bCs/>
                <w:sz w:val="20"/>
              </w:rPr>
            </w:pPr>
            <w:r w:rsidRPr="00023A60">
              <w:rPr>
                <w:bCs/>
                <w:sz w:val="20"/>
              </w:rPr>
              <w:t>23 (12.8)</w:t>
            </w:r>
          </w:p>
        </w:tc>
      </w:tr>
      <w:tr w:rsidR="0076592C" w:rsidRPr="005F4F0B" w14:paraId="16DFC0DD" w14:textId="77777777" w:rsidTr="00365DC3">
        <w:trPr>
          <w:jc w:val="center"/>
        </w:trPr>
        <w:tc>
          <w:tcPr>
            <w:tcW w:w="3528" w:type="dxa"/>
            <w:shd w:val="clear" w:color="auto" w:fill="auto"/>
          </w:tcPr>
          <w:p w14:paraId="5D16B1C1" w14:textId="77777777" w:rsidR="0076592C" w:rsidRPr="00023A60" w:rsidRDefault="0076592C" w:rsidP="00863D0D">
            <w:pPr>
              <w:pStyle w:val="BodyText"/>
              <w:rPr>
                <w:bCs/>
                <w:sz w:val="20"/>
              </w:rPr>
            </w:pPr>
            <w:r w:rsidRPr="00023A60">
              <w:rPr>
                <w:bCs/>
                <w:sz w:val="20"/>
              </w:rPr>
              <w:t>Pyrexia</w:t>
            </w:r>
          </w:p>
        </w:tc>
        <w:tc>
          <w:tcPr>
            <w:tcW w:w="1080" w:type="dxa"/>
            <w:shd w:val="clear" w:color="auto" w:fill="auto"/>
          </w:tcPr>
          <w:p w14:paraId="4AAE2C21" w14:textId="77777777" w:rsidR="0076592C" w:rsidRPr="00023A60" w:rsidRDefault="0076592C">
            <w:pPr>
              <w:pStyle w:val="BodyText"/>
              <w:rPr>
                <w:bCs/>
                <w:sz w:val="20"/>
              </w:rPr>
            </w:pPr>
            <w:r w:rsidRPr="00023A60">
              <w:rPr>
                <w:bCs/>
                <w:sz w:val="20"/>
              </w:rPr>
              <w:t>23 (12.8)</w:t>
            </w:r>
          </w:p>
        </w:tc>
      </w:tr>
      <w:tr w:rsidR="0076592C" w:rsidRPr="005F4F0B" w14:paraId="0DAC9FE3" w14:textId="77777777" w:rsidTr="00365DC3">
        <w:trPr>
          <w:jc w:val="center"/>
        </w:trPr>
        <w:tc>
          <w:tcPr>
            <w:tcW w:w="3528" w:type="dxa"/>
            <w:shd w:val="clear" w:color="auto" w:fill="auto"/>
          </w:tcPr>
          <w:p w14:paraId="20F68DB8" w14:textId="77777777" w:rsidR="0076592C" w:rsidRPr="00023A60" w:rsidRDefault="0076592C" w:rsidP="00863D0D">
            <w:pPr>
              <w:pStyle w:val="BodyText"/>
              <w:rPr>
                <w:bCs/>
                <w:sz w:val="20"/>
              </w:rPr>
            </w:pPr>
            <w:r w:rsidRPr="00023A60">
              <w:rPr>
                <w:bCs/>
                <w:sz w:val="20"/>
              </w:rPr>
              <w:t>Vomiting</w:t>
            </w:r>
          </w:p>
        </w:tc>
        <w:tc>
          <w:tcPr>
            <w:tcW w:w="1080" w:type="dxa"/>
            <w:shd w:val="clear" w:color="auto" w:fill="auto"/>
          </w:tcPr>
          <w:p w14:paraId="2DA77E7F" w14:textId="77777777" w:rsidR="0076592C" w:rsidRPr="00023A60" w:rsidRDefault="0076592C">
            <w:pPr>
              <w:pStyle w:val="BodyText"/>
              <w:rPr>
                <w:bCs/>
                <w:sz w:val="20"/>
              </w:rPr>
            </w:pPr>
            <w:r w:rsidRPr="00023A60">
              <w:rPr>
                <w:bCs/>
                <w:sz w:val="20"/>
              </w:rPr>
              <w:t>20 (11.1)</w:t>
            </w:r>
          </w:p>
        </w:tc>
      </w:tr>
    </w:tbl>
    <w:p w14:paraId="0758E193" w14:textId="7ACAFAC9" w:rsidR="0088323F" w:rsidRDefault="00325082" w:rsidP="00527070">
      <w:pPr>
        <w:pStyle w:val="BodyText"/>
        <w:spacing w:before="240"/>
      </w:pPr>
      <w:r w:rsidRPr="00984FC3">
        <w:t>TEAEs leading to dose reduction were observed in 40.6% of children</w:t>
      </w:r>
      <w:r w:rsidR="005C3CDB">
        <w:t>.</w:t>
      </w:r>
      <w:r w:rsidRPr="00984FC3">
        <w:t xml:space="preserve"> Common TEAEs leading to dose reduction in</w:t>
      </w:r>
      <w:r w:rsidR="00661386">
        <w:t xml:space="preserve"> </w:t>
      </w:r>
      <w:r w:rsidRPr="00984FC3">
        <w:t>children</w:t>
      </w:r>
      <w:r w:rsidR="00026B69">
        <w:t xml:space="preserve"> included somnolence (13.3%), </w:t>
      </w:r>
      <w:r w:rsidR="004C5DE2">
        <w:t xml:space="preserve">dizziness (5.6%), </w:t>
      </w:r>
      <w:r w:rsidR="00026B69">
        <w:t>irritability (4.4%), and aggression (4.4%).</w:t>
      </w:r>
      <w:r w:rsidR="0076592C">
        <w:t xml:space="preserve"> TEAEs leading to d</w:t>
      </w:r>
      <w:r w:rsidR="0076592C" w:rsidRPr="0076592C">
        <w:t>iscontinuation</w:t>
      </w:r>
      <w:r w:rsidR="0076592C">
        <w:t xml:space="preserve"> were observed in </w:t>
      </w:r>
      <w:r w:rsidR="00E033EE">
        <w:t>9.4%</w:t>
      </w:r>
      <w:r w:rsidR="0076592C">
        <w:t xml:space="preserve"> of children</w:t>
      </w:r>
      <w:r w:rsidR="0076592C" w:rsidRPr="0076592C">
        <w:t xml:space="preserve">. </w:t>
      </w:r>
      <w:r w:rsidR="0076592C">
        <w:t>Reasons for discontinuation occurring in more than one subject were</w:t>
      </w:r>
      <w:r w:rsidR="0076592C" w:rsidRPr="0076592C">
        <w:t xml:space="preserve"> irritability </w:t>
      </w:r>
      <w:r w:rsidR="0076592C">
        <w:t>(</w:t>
      </w:r>
      <w:r w:rsidR="0076592C" w:rsidRPr="0076592C">
        <w:t>1.7%</w:t>
      </w:r>
      <w:r w:rsidR="0076592C">
        <w:t>), aggression</w:t>
      </w:r>
      <w:r w:rsidR="0076592C" w:rsidRPr="0076592C">
        <w:t xml:space="preserve"> </w:t>
      </w:r>
      <w:r w:rsidR="0076592C">
        <w:t>(</w:t>
      </w:r>
      <w:r w:rsidR="0076592C" w:rsidRPr="0076592C">
        <w:t>1.7%</w:t>
      </w:r>
      <w:r w:rsidR="0076592C">
        <w:t xml:space="preserve">), </w:t>
      </w:r>
      <w:r w:rsidR="0076592C" w:rsidRPr="0076592C">
        <w:t xml:space="preserve">seizure </w:t>
      </w:r>
      <w:r w:rsidR="0076592C">
        <w:t>(</w:t>
      </w:r>
      <w:r w:rsidR="0076592C" w:rsidRPr="0076592C">
        <w:t xml:space="preserve">1.1%), and balance disorder </w:t>
      </w:r>
      <w:r w:rsidR="0076592C">
        <w:t>(</w:t>
      </w:r>
      <w:r w:rsidR="0076592C" w:rsidRPr="0076592C">
        <w:t>1.1%)</w:t>
      </w:r>
      <w:r w:rsidR="0076592C">
        <w:t>.</w:t>
      </w:r>
    </w:p>
    <w:p w14:paraId="70AF9334" w14:textId="17D7C312" w:rsidR="0088323F" w:rsidRPr="00137B68" w:rsidRDefault="0088323F" w:rsidP="00527070">
      <w:pPr>
        <w:pStyle w:val="BodyText"/>
        <w:spacing w:after="240"/>
      </w:pPr>
      <w:r>
        <w:t>In the core and extension phase of this study, 76.7% of subjects received Fycompa for more than 24 weeks and 33.9% of subjects received Fycompa for more than 52 weeks.</w:t>
      </w:r>
    </w:p>
    <w:p w14:paraId="740CAD98" w14:textId="2416F02E" w:rsidR="00D03070" w:rsidRPr="006B4B7D" w:rsidRDefault="00230AB7" w:rsidP="00527070">
      <w:pPr>
        <w:pStyle w:val="BodyText"/>
        <w:spacing w:after="240"/>
      </w:pPr>
      <w:r>
        <w:t>Available data in children</w:t>
      </w:r>
      <w:r w:rsidR="003F2E6A">
        <w:t xml:space="preserve"> from multiple open label </w:t>
      </w:r>
      <w:r w:rsidR="00926E8D">
        <w:t xml:space="preserve">uncontrolled </w:t>
      </w:r>
      <w:r w:rsidR="003F2E6A">
        <w:t>studies</w:t>
      </w:r>
      <w:r>
        <w:t xml:space="preserve"> did not suggest any</w:t>
      </w:r>
      <w:r w:rsidR="00F76FA0">
        <w:t xml:space="preserve"> clinically significant effects of perampanel on growth and development parameters including body weight, height, thyroid function, insulin-like growth factor 1 (IGF 1) level, cognition (as assessed by Aldenkamp-Baker neuropsychological assessment schedule</w:t>
      </w:r>
      <w:r w:rsidR="004838BD">
        <w:t xml:space="preserve"> </w:t>
      </w:r>
      <w:r w:rsidR="00F76FA0">
        <w:t xml:space="preserve">[ABNAS]), behaviour (as assessed by Child </w:t>
      </w:r>
      <w:r w:rsidR="00661386">
        <w:t>Behaviour</w:t>
      </w:r>
      <w:r w:rsidR="00F76FA0">
        <w:t xml:space="preserve"> Checklist [CBCL]), and dexterity (as assessed by Lafayette Grooved Pegboard Test [LGPT])</w:t>
      </w:r>
      <w:r w:rsidR="004C4E40">
        <w:t xml:space="preserve"> were evaluated by open label uncontrolled studies</w:t>
      </w:r>
      <w:r w:rsidR="00F76FA0">
        <w:t>.</w:t>
      </w:r>
      <w:r w:rsidR="00D03070" w:rsidRPr="00D03070">
        <w:t xml:space="preserve"> </w:t>
      </w:r>
      <w:r w:rsidR="004C4E40">
        <w:t>The</w:t>
      </w:r>
      <w:r w:rsidR="00D03070" w:rsidRPr="00122FEB">
        <w:t xml:space="preserve"> long term effects </w:t>
      </w:r>
      <w:r w:rsidR="00B90B34">
        <w:t>(</w:t>
      </w:r>
      <w:r w:rsidR="00D03070" w:rsidRPr="00122FEB">
        <w:t>greater than 1 year</w:t>
      </w:r>
      <w:r w:rsidR="00B90B34">
        <w:t>)</w:t>
      </w:r>
      <w:r w:rsidR="00D03070" w:rsidRPr="00122FEB">
        <w:t xml:space="preserve"> on </w:t>
      </w:r>
      <w:r w:rsidR="004C4E40">
        <w:t>cognition, growth and development</w:t>
      </w:r>
      <w:r w:rsidR="0016297B">
        <w:t xml:space="preserve"> </w:t>
      </w:r>
      <w:r w:rsidR="00D03070" w:rsidRPr="00122FEB">
        <w:t>in children remain unknown.</w:t>
      </w:r>
    </w:p>
    <w:p w14:paraId="153F53DC" w14:textId="77777777" w:rsidR="00256A10" w:rsidRPr="00691842" w:rsidRDefault="00256A10" w:rsidP="00256A10">
      <w:pPr>
        <w:pStyle w:val="Heading3"/>
      </w:pPr>
      <w:r w:rsidRPr="00691842">
        <w:t>Post-Marketing Experience</w:t>
      </w:r>
    </w:p>
    <w:p w14:paraId="3980D09A" w14:textId="451EDB9A" w:rsidR="00256A10" w:rsidRDefault="00EC5EE8" w:rsidP="00527070">
      <w:pPr>
        <w:pStyle w:val="BodyText"/>
        <w:spacing w:after="240"/>
      </w:pPr>
      <w:r w:rsidRPr="00EC5EE8">
        <w:t>The following adverse reactions have been identified during post approval use of FYCOMPA. Because these reactions are reported voluntarily from a population of uncertain size, it is not always possible to reliably estimate their frequency or establish a causal relationship to drug exposure.</w:t>
      </w:r>
    </w:p>
    <w:p w14:paraId="1DCF67D5" w14:textId="77777777" w:rsidR="00256A10" w:rsidRPr="00256A10" w:rsidRDefault="00256A10" w:rsidP="00023A60">
      <w:pPr>
        <w:pStyle w:val="BodyText"/>
        <w:keepNext/>
        <w:rPr>
          <w:b/>
        </w:rPr>
      </w:pPr>
      <w:r w:rsidRPr="00256A10">
        <w:rPr>
          <w:b/>
        </w:rPr>
        <w:t>Skin and Subcutaneous tissue disorders</w:t>
      </w:r>
    </w:p>
    <w:p w14:paraId="38CF1F96" w14:textId="77777777" w:rsidR="00256A10" w:rsidRDefault="00256A10" w:rsidP="00527070">
      <w:pPr>
        <w:pStyle w:val="BodyText"/>
        <w:numPr>
          <w:ilvl w:val="0"/>
          <w:numId w:val="29"/>
        </w:numPr>
        <w:spacing w:after="240"/>
        <w:rPr>
          <w:lang w:val="en-US"/>
        </w:rPr>
      </w:pPr>
      <w:r w:rsidRPr="00691842">
        <w:rPr>
          <w:lang w:val="en-GB"/>
        </w:rPr>
        <w:t>Drug Reaction with Eosinophilia and Systemic Symptoms (DRESS)</w:t>
      </w:r>
    </w:p>
    <w:p w14:paraId="57D2ED1D" w14:textId="77777777" w:rsidR="00256A10" w:rsidRDefault="00256A10" w:rsidP="00256A10">
      <w:pPr>
        <w:pStyle w:val="Heading3"/>
      </w:pPr>
      <w:r>
        <w:t>Reporting suspected adverse effects</w:t>
      </w:r>
    </w:p>
    <w:p w14:paraId="51DF5FC1" w14:textId="41F3672A" w:rsidR="00256A10" w:rsidRDefault="00256A10" w:rsidP="00527070">
      <w:pPr>
        <w:pStyle w:val="BodyText"/>
        <w:spacing w:after="240"/>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8B4F02">
          <w:rPr>
            <w:rStyle w:val="Hyperlink"/>
          </w:rPr>
          <w:t>www.tga.gov.au/reporting-problems</w:t>
        </w:r>
      </w:hyperlink>
      <w:r>
        <w:t>.</w:t>
      </w:r>
    </w:p>
    <w:p w14:paraId="01695060" w14:textId="77777777" w:rsidR="00E52433" w:rsidRDefault="00D85D9B" w:rsidP="00D85D9B">
      <w:pPr>
        <w:pStyle w:val="Heading2"/>
        <w:rPr>
          <w:lang w:val="en-US"/>
        </w:rPr>
      </w:pPr>
      <w:r>
        <w:rPr>
          <w:lang w:val="en-US"/>
        </w:rPr>
        <w:t>Overdose</w:t>
      </w:r>
    </w:p>
    <w:p w14:paraId="403D1D82" w14:textId="0C68CB63" w:rsidR="00C740BA" w:rsidRDefault="00170364" w:rsidP="00527070">
      <w:pPr>
        <w:pStyle w:val="BodyText"/>
        <w:spacing w:after="240"/>
        <w:rPr>
          <w:lang w:val="en-US"/>
        </w:rPr>
      </w:pPr>
      <w:r>
        <w:rPr>
          <w:lang w:val="en-US"/>
        </w:rPr>
        <w:t>For information on the management of overdose, c</w:t>
      </w:r>
      <w:r w:rsidR="00C740BA" w:rsidRPr="00C740BA">
        <w:rPr>
          <w:lang w:val="en-US"/>
        </w:rPr>
        <w:t>ontact the Poison Information Centre on 13 11 26</w:t>
      </w:r>
      <w:r w:rsidR="00C740BA">
        <w:rPr>
          <w:lang w:val="en-US"/>
        </w:rPr>
        <w:t xml:space="preserve"> (Australia)</w:t>
      </w:r>
      <w:r w:rsidR="00C740BA" w:rsidRPr="00C740BA">
        <w:rPr>
          <w:lang w:val="en-US"/>
        </w:rPr>
        <w:t>.</w:t>
      </w:r>
    </w:p>
    <w:p w14:paraId="75D957E7" w14:textId="77777777" w:rsidR="00256A10" w:rsidRDefault="00C740BA" w:rsidP="00527070">
      <w:pPr>
        <w:pStyle w:val="BodyText"/>
        <w:spacing w:after="240"/>
        <w:rPr>
          <w:lang w:val="en-US"/>
        </w:rPr>
      </w:pPr>
      <w:r w:rsidRPr="00C740BA">
        <w:rPr>
          <w:lang w:val="en-US"/>
        </w:rPr>
        <w:t>There is limited clinical experience with perampanel overdose in humans. In a report of an intentional overdose that could have resulted in a dose up to 264 mg, the patient experienced events of altered mental status, agitation and aggressive behaviour and recovered without sequelae. There is no available specific antidote to the effects of perampanel. General supportive care of the patient is indicated including monitoring of vital signs and observation of the clinical status of the patient. In view of its long half-life, the effects caused by perampanel could be prolonged. Because of low renal clearance special interventions such as forced diuresis, dialysis or haemoperfusion are unlikely to be of value</w:t>
      </w:r>
      <w:r>
        <w:rPr>
          <w:lang w:val="en-US"/>
        </w:rPr>
        <w:t>.</w:t>
      </w:r>
    </w:p>
    <w:p w14:paraId="6EE0D7FA" w14:textId="77777777" w:rsidR="00D85D9B" w:rsidRPr="00356A04" w:rsidRDefault="00D85D9B" w:rsidP="00D85D9B">
      <w:pPr>
        <w:pStyle w:val="Heading1"/>
        <w:ind w:left="431" w:hanging="431"/>
      </w:pPr>
      <w:r w:rsidRPr="00356A04">
        <w:t>Pharmacological properties</w:t>
      </w:r>
    </w:p>
    <w:p w14:paraId="42CA8642" w14:textId="77777777" w:rsidR="00D85D9B" w:rsidRPr="00356A04" w:rsidRDefault="00D85D9B" w:rsidP="00D85D9B">
      <w:pPr>
        <w:pStyle w:val="Heading2"/>
        <w:ind w:left="578" w:hanging="578"/>
      </w:pPr>
      <w:bookmarkStart w:id="11" w:name="_Ref503528653"/>
      <w:r w:rsidRPr="00356A04">
        <w:t>Pharmacodynamic properties</w:t>
      </w:r>
      <w:bookmarkEnd w:id="11"/>
      <w:r w:rsidRPr="00356A04">
        <w:t xml:space="preserve"> </w:t>
      </w:r>
    </w:p>
    <w:p w14:paraId="6E8D764E" w14:textId="77777777" w:rsidR="004D7A69" w:rsidRDefault="004D7A69" w:rsidP="004D7A69">
      <w:pPr>
        <w:pStyle w:val="Heading3"/>
      </w:pPr>
      <w:r>
        <w:t>Mechanism of Action</w:t>
      </w:r>
    </w:p>
    <w:p w14:paraId="4400707E" w14:textId="77777777" w:rsidR="004D7A69" w:rsidRDefault="004D7A69" w:rsidP="00527070">
      <w:pPr>
        <w:pStyle w:val="BodyText"/>
        <w:spacing w:after="240"/>
      </w:pPr>
      <w:r>
        <w:t xml:space="preserve">Perampanel is a first-in-class selective, non-competitive antagonist of the ionotropic α-amino-3¬hydroxy-5-methyl-4-isoxazoleproprionic acid (AMPA) glutamate receptor on post-synaptic neurons. Glutamate is the primary excitatory neurotransmitter in the central nervous system and is implicated in a number of neurological disorders caused by neuronal overexcitation. Several perampanel metabolites are also AMPA antagonists, although weaker than the parent compound. In vitro, perampanel inhibited AMPA-induced (but not NMDA-induced) increase in intracellular calcium in rat cortical neurons. In vivo, perampanel displayed anticonvulsant activity in several animal models. </w:t>
      </w:r>
    </w:p>
    <w:p w14:paraId="72303ACF" w14:textId="77777777" w:rsidR="004D7A69" w:rsidRDefault="004D7A69" w:rsidP="00527070">
      <w:pPr>
        <w:pStyle w:val="BodyText"/>
        <w:spacing w:after="240"/>
      </w:pPr>
      <w:r>
        <w:t xml:space="preserve">The precise mechanism by which perampanel exerts its antiepileptic effects in humans remains to be fully elucidated. </w:t>
      </w:r>
    </w:p>
    <w:p w14:paraId="090978E1" w14:textId="77777777" w:rsidR="004D7A69" w:rsidRDefault="004D7A69" w:rsidP="004D7A69">
      <w:pPr>
        <w:pStyle w:val="Heading3"/>
      </w:pPr>
      <w:r>
        <w:t xml:space="preserve">Pharmacodynamic effects </w:t>
      </w:r>
    </w:p>
    <w:p w14:paraId="4B6F03E3" w14:textId="77777777" w:rsidR="004D7A69" w:rsidRDefault="004D7A69" w:rsidP="00527070">
      <w:pPr>
        <w:pStyle w:val="BodyText"/>
        <w:spacing w:after="240"/>
      </w:pPr>
      <w:r>
        <w:t xml:space="preserve">Pharmacokinetic-pharmacodynamic (efficacy) analyses have shown that within the recommended dose range there is a positive correlation between serum levels of FYCOMPA and seizure frequency for partial-onset seizures and primary generalised tonic-clonic seizures. </w:t>
      </w:r>
    </w:p>
    <w:p w14:paraId="5EE06712" w14:textId="77777777" w:rsidR="004D7A69" w:rsidRDefault="004D7A69" w:rsidP="004D7A69">
      <w:pPr>
        <w:pStyle w:val="Heading4"/>
      </w:pPr>
      <w:r>
        <w:t>Psychomotor performance</w:t>
      </w:r>
    </w:p>
    <w:p w14:paraId="61DF15A6" w14:textId="77777777" w:rsidR="004D7A69" w:rsidRDefault="004D7A69" w:rsidP="00527070">
      <w:pPr>
        <w:pStyle w:val="BodyText"/>
        <w:spacing w:after="240"/>
      </w:pPr>
      <w:r>
        <w:t>Single and multiple doses of 8 mg and 12 mg impaired psychomotor performance in healthy volunteers in a dose-related manner. The effects of perampanel on complex tasks such as driving ability were additive or supra-additive to the impairment effects of alcohol. Psychomotor performance testing returned to baseline within 2 weeks of cessation of perampanel dosing.</w:t>
      </w:r>
    </w:p>
    <w:p w14:paraId="480580DD" w14:textId="77777777" w:rsidR="004D7A69" w:rsidRDefault="004D7A69" w:rsidP="004D7A69">
      <w:pPr>
        <w:pStyle w:val="Heading4"/>
      </w:pPr>
      <w:r>
        <w:t>Cognitive function</w:t>
      </w:r>
    </w:p>
    <w:p w14:paraId="162D6A6A" w14:textId="2B4F4A04" w:rsidR="004D7A69" w:rsidRDefault="004D7A69" w:rsidP="00527070">
      <w:pPr>
        <w:pStyle w:val="BodyText"/>
        <w:spacing w:before="240"/>
      </w:pPr>
      <w:r>
        <w:t>In a healthy volunteer study to assess the effects of perampanel on alertness, and memory using a standard battery of assessments, no effects of perampanel were found following single and multiple doses of perampanel up to 12 mg/day.</w:t>
      </w:r>
    </w:p>
    <w:p w14:paraId="3CC1CC02" w14:textId="10D365FA" w:rsidR="006564D2" w:rsidRDefault="006564D2" w:rsidP="00527070">
      <w:pPr>
        <w:pStyle w:val="BodyText"/>
        <w:spacing w:before="240" w:after="240"/>
      </w:pPr>
      <w:r>
        <w:t xml:space="preserve">In an open label uncontrolled study conducted in paediatric patients, no clinically important changes in cognition relative to baseline as measured by ABNAS were observed following adjunctive perampanel therapy </w:t>
      </w:r>
      <w:r w:rsidR="005218C5" w:rsidRPr="005218C5">
        <w:t xml:space="preserve">(see Section </w:t>
      </w:r>
      <w:r w:rsidR="005218C5" w:rsidRPr="005218C5">
        <w:fldChar w:fldCharType="begin"/>
      </w:r>
      <w:r w:rsidR="005218C5" w:rsidRPr="005218C5">
        <w:instrText xml:space="preserve"> REF _Ref503528653 \r \h </w:instrText>
      </w:r>
      <w:r w:rsidR="005218C5">
        <w:instrText xml:space="preserve"> \* MERGEFORMAT </w:instrText>
      </w:r>
      <w:r w:rsidR="005218C5" w:rsidRPr="005218C5">
        <w:fldChar w:fldCharType="separate"/>
      </w:r>
      <w:r w:rsidR="007B3B4A">
        <w:t>5.1</w:t>
      </w:r>
      <w:r w:rsidR="005218C5" w:rsidRPr="005218C5">
        <w:fldChar w:fldCharType="end"/>
      </w:r>
      <w:r w:rsidR="005218C5" w:rsidRPr="005218C5">
        <w:t xml:space="preserve"> Paediatric population</w:t>
      </w:r>
      <w:r>
        <w:t>).</w:t>
      </w:r>
      <w:r w:rsidR="00F519F5">
        <w:t xml:space="preserve"> Long-term cognitive effects of perampanel in children are unknown.</w:t>
      </w:r>
    </w:p>
    <w:p w14:paraId="5DCE4C4C" w14:textId="77777777" w:rsidR="004D7A69" w:rsidRDefault="004D7A69" w:rsidP="004D7A69">
      <w:pPr>
        <w:pStyle w:val="Heading4"/>
      </w:pPr>
      <w:r>
        <w:t>Cardiac electrophysiology</w:t>
      </w:r>
    </w:p>
    <w:p w14:paraId="4E51D6C0" w14:textId="1BD74602" w:rsidR="004D7A69" w:rsidRDefault="004D7A69" w:rsidP="00527070">
      <w:pPr>
        <w:pStyle w:val="BodyText"/>
        <w:spacing w:after="240"/>
      </w:pPr>
      <w:r>
        <w:t>Perampanel did not prolong the QTc interval when administered in daily doses up to 12</w:t>
      </w:r>
      <w:r w:rsidR="00B2482B">
        <w:t> </w:t>
      </w:r>
      <w:r>
        <w:t>mg/day, and did not have a dose-related or clinically important effect on QRS duration.</w:t>
      </w:r>
    </w:p>
    <w:p w14:paraId="34A8671B" w14:textId="77777777" w:rsidR="00DC5E06" w:rsidRDefault="00E879C8" w:rsidP="00E879C8">
      <w:pPr>
        <w:pStyle w:val="Heading3"/>
        <w:rPr>
          <w:lang w:val="en-US"/>
        </w:rPr>
      </w:pPr>
      <w:r>
        <w:rPr>
          <w:lang w:val="en-US"/>
        </w:rPr>
        <w:t>Clinical Trials</w:t>
      </w:r>
    </w:p>
    <w:p w14:paraId="3B884B1B" w14:textId="7AD71A7E" w:rsidR="0015665E" w:rsidRPr="003E3975" w:rsidRDefault="0015665E" w:rsidP="0015665E">
      <w:pPr>
        <w:pStyle w:val="Heading4"/>
      </w:pPr>
      <w:r>
        <w:t>Partial-</w:t>
      </w:r>
      <w:r w:rsidRPr="003E3975">
        <w:t>Onset Seizures</w:t>
      </w:r>
      <w:r w:rsidR="00E521AF" w:rsidRPr="00E521AF">
        <w:rPr>
          <w:lang w:val="en-US"/>
        </w:rPr>
        <w:t xml:space="preserve"> </w:t>
      </w:r>
      <w:r w:rsidR="00E521AF">
        <w:rPr>
          <w:lang w:val="en-US"/>
        </w:rPr>
        <w:t>in adults and adolescents</w:t>
      </w:r>
    </w:p>
    <w:p w14:paraId="76B60B8B" w14:textId="0824AD0A" w:rsidR="0015665E" w:rsidRPr="002D1F29" w:rsidRDefault="0015665E" w:rsidP="00527070">
      <w:pPr>
        <w:pStyle w:val="BodyText"/>
        <w:spacing w:after="240"/>
      </w:pPr>
      <w:r w:rsidRPr="002D1F29">
        <w:t xml:space="preserve">The efficacy of </w:t>
      </w:r>
      <w:r>
        <w:t>FYCOMPA</w:t>
      </w:r>
      <w:r w:rsidRPr="002D1F29">
        <w:t xml:space="preserve"> in partial-onset seizures </w:t>
      </w:r>
      <w:r w:rsidR="00E521AF">
        <w:rPr>
          <w:lang w:val="en-US"/>
        </w:rPr>
        <w:t>in adults and adolescents</w:t>
      </w:r>
      <w:r w:rsidR="00E521AF" w:rsidRPr="002D1F29">
        <w:t xml:space="preserve"> </w:t>
      </w:r>
      <w:r w:rsidRPr="002D1F29">
        <w:t>was established in three adjunctive therapy 19 week, randomised, double-blind, placebo-controlled, multicentre trials in adult and adolescent patients. Subjects had partial-onset seizures with or without secondary generalisation and were not adequately controlled with one to three concomitant AEDs. During a 6-week baseline period, subjects were required to have more than five seizures with no seizure-free period exceeding 25 days. In these three trials, subjects had a mean duration of epilepsy of approximately 21.06 years.  Between 85.3% and 89.1% of patients were taking two to three concomitant AEDs with or without conc</w:t>
      </w:r>
      <w:r w:rsidR="00527070">
        <w:t>urrent vagal nerve stimulation.</w:t>
      </w:r>
    </w:p>
    <w:p w14:paraId="4B9B4FEA" w14:textId="65B78210" w:rsidR="0015665E" w:rsidRDefault="0015665E" w:rsidP="00527070">
      <w:pPr>
        <w:pStyle w:val="BodyText"/>
        <w:spacing w:after="240"/>
      </w:pPr>
      <w:r w:rsidRPr="002D1F29">
        <w:t xml:space="preserve">Two studies (studies 304 and 305) compared doses of </w:t>
      </w:r>
      <w:r>
        <w:t>FYCOMPA</w:t>
      </w:r>
      <w:r w:rsidRPr="002D1F29">
        <w:t xml:space="preserve"> 8 and 12 mg/day with placebo and the third study (study 306) compared doses of </w:t>
      </w:r>
      <w:r>
        <w:t>FYCOMPA</w:t>
      </w:r>
      <w:r w:rsidRPr="002D1F29">
        <w:t xml:space="preserve"> 2, 4 and 8</w:t>
      </w:r>
      <w:r w:rsidR="00B2482B">
        <w:t> </w:t>
      </w:r>
      <w:r w:rsidRPr="002D1F29">
        <w:t>mg/day with placebo. In all three trials, following a 6-week Baseline Phase to establish baseline seizure frequency prior to randomisation, subjects were randomised and titrated to the randomised dose. During the Titration Phase in all three trials, treatment was initiated at 2</w:t>
      </w:r>
      <w:r w:rsidR="00B2482B">
        <w:t> </w:t>
      </w:r>
      <w:r w:rsidRPr="002D1F29">
        <w:t>mg/day and increased in weekly increments of 2 mg/day to the target dose. Subjects experiencing intolerable adverse events could remain on the same dose or have their dose decreased to the previously tolerated dose. In all three trials, the Titration Phase was followed by a Maintenance Phase that lasted 13 weeks, during which patients were to remai</w:t>
      </w:r>
      <w:r>
        <w:t>n on a stable dose of FYCOMPA.</w:t>
      </w:r>
    </w:p>
    <w:p w14:paraId="0D539980" w14:textId="77777777" w:rsidR="0015665E" w:rsidRDefault="0015665E" w:rsidP="00527070">
      <w:pPr>
        <w:pStyle w:val="BodyText"/>
        <w:spacing w:after="240"/>
        <w:rPr>
          <w:lang w:val="en-US"/>
        </w:rPr>
      </w:pPr>
      <w:r w:rsidRPr="002D1F29">
        <w:t xml:space="preserve">The pooled 50% responder rates were placebo 19%, 4 mg 29%, 8 mg 35% and 12 mg 35%. A statistically significant effect on the reduction in 28-day seizure frequency (Baseline to Treatment Phase) as compared to the placebo group was observed with </w:t>
      </w:r>
      <w:r>
        <w:t>FYCOMPA</w:t>
      </w:r>
      <w:r w:rsidRPr="002D1F29">
        <w:t xml:space="preserve"> treatment at doses of 4 mg/day (Study 306), 8 mg/day (Studies 304, 305 and 306), and 12 mg/day (Studies 304 and 305). </w:t>
      </w:r>
      <w:r w:rsidRPr="00C11CE6">
        <w:t xml:space="preserve">The 50% responder rates in the 4 mg, 8 mg and 12 mg groups were respectively 23.0%, 31.5%, and 30.0% in combination with enzyme inducing anti-epileptic medicinal products and were 33.3%, 46.5% and 50.0% when </w:t>
      </w:r>
      <w:r>
        <w:t>FYCOMPA</w:t>
      </w:r>
      <w:r w:rsidRPr="00C11CE6">
        <w:t xml:space="preserve"> was given in combination with non-enzyme-inducing anti-epileptic medicinal products.</w:t>
      </w:r>
      <w:r>
        <w:t xml:space="preserve"> </w:t>
      </w:r>
      <w:r w:rsidRPr="002D1F29">
        <w:t xml:space="preserve">These studies show that once-daily administration of </w:t>
      </w:r>
      <w:r>
        <w:t>FYCOMPA</w:t>
      </w:r>
      <w:r w:rsidRPr="002D1F29">
        <w:t xml:space="preserve"> at doses of 4 mg to 12 mg was significantly more efficacious than placebo as adjunctive treatment in this population. </w:t>
      </w:r>
    </w:p>
    <w:p w14:paraId="17B80402" w14:textId="68BBFC61" w:rsidR="00170364" w:rsidRPr="00170364" w:rsidRDefault="00170364" w:rsidP="005F4F0B">
      <w:pPr>
        <w:pStyle w:val="Caption"/>
      </w:pPr>
      <w:r>
        <w:t xml:space="preserve">Table </w:t>
      </w:r>
      <w:r w:rsidR="00BE01DB">
        <w:rPr>
          <w:noProof/>
        </w:rPr>
        <w:fldChar w:fldCharType="begin"/>
      </w:r>
      <w:r w:rsidR="00BE01DB">
        <w:rPr>
          <w:noProof/>
        </w:rPr>
        <w:instrText xml:space="preserve"> SEQ Table \* ARABIC </w:instrText>
      </w:r>
      <w:r w:rsidR="00BE01DB">
        <w:rPr>
          <w:noProof/>
        </w:rPr>
        <w:fldChar w:fldCharType="separate"/>
      </w:r>
      <w:r w:rsidR="007B3B4A">
        <w:rPr>
          <w:noProof/>
        </w:rPr>
        <w:t>6</w:t>
      </w:r>
      <w:r w:rsidR="00BE01DB">
        <w:rPr>
          <w:noProof/>
        </w:rPr>
        <w:fldChar w:fldCharType="end"/>
      </w:r>
      <w:r>
        <w:t xml:space="preserve">: Pooled </w:t>
      </w:r>
      <w:r w:rsidRPr="003F2D3A">
        <w:t xml:space="preserve">50% </w:t>
      </w:r>
      <w:r>
        <w:t>r</w:t>
      </w:r>
      <w:r w:rsidRPr="003F2D3A">
        <w:t xml:space="preserve">esponder </w:t>
      </w:r>
      <w:r>
        <w:t>rate</w:t>
      </w:r>
      <w:r w:rsidRPr="003F2D3A">
        <w:t xml:space="preserve"> during the maintenance period (LOCF) for placebo and Fycompa dose</w:t>
      </w:r>
    </w:p>
    <w:tbl>
      <w:tblPr>
        <w:tblStyle w:val="TableGrid"/>
        <w:tblW w:w="0" w:type="auto"/>
        <w:tblLook w:val="04A0" w:firstRow="1" w:lastRow="0" w:firstColumn="1" w:lastColumn="0" w:noHBand="0" w:noVBand="1"/>
      </w:tblPr>
      <w:tblGrid>
        <w:gridCol w:w="2295"/>
        <w:gridCol w:w="1344"/>
        <w:gridCol w:w="1344"/>
        <w:gridCol w:w="1344"/>
        <w:gridCol w:w="1344"/>
        <w:gridCol w:w="1345"/>
      </w:tblGrid>
      <w:tr w:rsidR="0015665E" w:rsidRPr="00C11CE6" w14:paraId="0F207D77" w14:textId="77777777" w:rsidTr="007855E3">
        <w:tc>
          <w:tcPr>
            <w:tcW w:w="2376" w:type="dxa"/>
          </w:tcPr>
          <w:p w14:paraId="31CBB94C" w14:textId="4C0594B3" w:rsidR="00170364" w:rsidRDefault="00170364" w:rsidP="005F4F0B">
            <w:pPr>
              <w:pStyle w:val="BodyText"/>
              <w:keepNext/>
            </w:pPr>
            <w:r>
              <w:t>Treatment</w:t>
            </w:r>
          </w:p>
          <w:p w14:paraId="27FC137B" w14:textId="77777777" w:rsidR="00170364" w:rsidRDefault="00170364" w:rsidP="005F4F0B">
            <w:pPr>
              <w:pStyle w:val="BodyText"/>
              <w:keepNext/>
            </w:pPr>
          </w:p>
          <w:p w14:paraId="0A1AE016" w14:textId="0D267EA8" w:rsidR="0015665E" w:rsidRPr="0015665E" w:rsidRDefault="0015665E" w:rsidP="005F4F0B">
            <w:pPr>
              <w:pStyle w:val="BodyText"/>
              <w:keepNext/>
            </w:pPr>
            <w:r w:rsidRPr="0015665E">
              <w:t>Responder</w:t>
            </w:r>
            <w:r w:rsidR="00170364">
              <w:t xml:space="preserve"> status</w:t>
            </w:r>
          </w:p>
        </w:tc>
        <w:tc>
          <w:tcPr>
            <w:tcW w:w="1373" w:type="dxa"/>
          </w:tcPr>
          <w:p w14:paraId="441362B1" w14:textId="77777777" w:rsidR="0015665E" w:rsidRPr="0015665E" w:rsidRDefault="0015665E" w:rsidP="005F4F0B">
            <w:pPr>
              <w:pStyle w:val="BodyText"/>
              <w:keepNext/>
            </w:pPr>
            <w:r w:rsidRPr="0015665E">
              <w:t>Placebo</w:t>
            </w:r>
          </w:p>
          <w:p w14:paraId="36BDEAB5" w14:textId="77777777" w:rsidR="0015665E" w:rsidRPr="0015665E" w:rsidRDefault="0015665E" w:rsidP="005F4F0B">
            <w:pPr>
              <w:pStyle w:val="BodyText"/>
              <w:keepNext/>
            </w:pPr>
            <w:r w:rsidRPr="0015665E">
              <w:t>(N=441)</w:t>
            </w:r>
          </w:p>
          <w:p w14:paraId="2EE1E364" w14:textId="77777777" w:rsidR="0015665E" w:rsidRPr="0015665E" w:rsidRDefault="0015665E" w:rsidP="005F4F0B">
            <w:pPr>
              <w:pStyle w:val="BodyText"/>
              <w:keepNext/>
            </w:pPr>
            <w:r w:rsidRPr="0015665E">
              <w:t>%</w:t>
            </w:r>
          </w:p>
        </w:tc>
        <w:tc>
          <w:tcPr>
            <w:tcW w:w="1373" w:type="dxa"/>
          </w:tcPr>
          <w:p w14:paraId="2ADD51AA" w14:textId="77777777" w:rsidR="0015665E" w:rsidRPr="0015665E" w:rsidRDefault="0015665E" w:rsidP="005F4F0B">
            <w:pPr>
              <w:pStyle w:val="BodyText"/>
              <w:keepNext/>
            </w:pPr>
            <w:r w:rsidRPr="0015665E">
              <w:t>2 mg</w:t>
            </w:r>
          </w:p>
          <w:p w14:paraId="0792B48A" w14:textId="77777777" w:rsidR="0015665E" w:rsidRPr="0015665E" w:rsidRDefault="0015665E" w:rsidP="005F4F0B">
            <w:pPr>
              <w:pStyle w:val="BodyText"/>
              <w:keepNext/>
            </w:pPr>
            <w:r w:rsidRPr="0015665E">
              <w:t>(N=180)</w:t>
            </w:r>
          </w:p>
          <w:p w14:paraId="2224B414" w14:textId="77777777" w:rsidR="0015665E" w:rsidRPr="0015665E" w:rsidRDefault="0015665E" w:rsidP="005F4F0B">
            <w:pPr>
              <w:pStyle w:val="BodyText"/>
              <w:keepNext/>
            </w:pPr>
            <w:r w:rsidRPr="0015665E">
              <w:t>%</w:t>
            </w:r>
          </w:p>
        </w:tc>
        <w:tc>
          <w:tcPr>
            <w:tcW w:w="1373" w:type="dxa"/>
          </w:tcPr>
          <w:p w14:paraId="751D219A" w14:textId="77777777" w:rsidR="0015665E" w:rsidRPr="0015665E" w:rsidRDefault="0015665E" w:rsidP="005F4F0B">
            <w:pPr>
              <w:pStyle w:val="BodyText"/>
              <w:keepNext/>
            </w:pPr>
            <w:r w:rsidRPr="0015665E">
              <w:t>4 mg</w:t>
            </w:r>
          </w:p>
          <w:p w14:paraId="799F15F1" w14:textId="77777777" w:rsidR="0015665E" w:rsidRPr="0015665E" w:rsidRDefault="0015665E" w:rsidP="005F4F0B">
            <w:pPr>
              <w:pStyle w:val="BodyText"/>
              <w:keepNext/>
            </w:pPr>
            <w:r w:rsidRPr="0015665E">
              <w:t>(N=172)</w:t>
            </w:r>
          </w:p>
          <w:p w14:paraId="6719A846" w14:textId="77777777" w:rsidR="0015665E" w:rsidRPr="0015665E" w:rsidRDefault="0015665E" w:rsidP="005F4F0B">
            <w:pPr>
              <w:pStyle w:val="BodyText"/>
              <w:keepNext/>
            </w:pPr>
            <w:r w:rsidRPr="0015665E">
              <w:t>%</w:t>
            </w:r>
          </w:p>
        </w:tc>
        <w:tc>
          <w:tcPr>
            <w:tcW w:w="1373" w:type="dxa"/>
          </w:tcPr>
          <w:p w14:paraId="5E596AA8" w14:textId="77777777" w:rsidR="0015665E" w:rsidRPr="0015665E" w:rsidRDefault="0015665E" w:rsidP="005F4F0B">
            <w:pPr>
              <w:pStyle w:val="BodyText"/>
              <w:keepNext/>
            </w:pPr>
            <w:r w:rsidRPr="0015665E">
              <w:t>8 mg</w:t>
            </w:r>
          </w:p>
          <w:p w14:paraId="275D9815" w14:textId="77777777" w:rsidR="0015665E" w:rsidRPr="0015665E" w:rsidRDefault="0015665E" w:rsidP="005F4F0B">
            <w:pPr>
              <w:pStyle w:val="BodyText"/>
              <w:keepNext/>
            </w:pPr>
            <w:r w:rsidRPr="0015665E">
              <w:t>(N=431)</w:t>
            </w:r>
          </w:p>
          <w:p w14:paraId="4CA02A6E" w14:textId="77777777" w:rsidR="0015665E" w:rsidRPr="0015665E" w:rsidRDefault="0015665E" w:rsidP="005F4F0B">
            <w:pPr>
              <w:pStyle w:val="BodyText"/>
              <w:keepNext/>
            </w:pPr>
            <w:r w:rsidRPr="0015665E">
              <w:t>%</w:t>
            </w:r>
          </w:p>
        </w:tc>
        <w:tc>
          <w:tcPr>
            <w:tcW w:w="1374" w:type="dxa"/>
          </w:tcPr>
          <w:p w14:paraId="37889EC5" w14:textId="77777777" w:rsidR="0015665E" w:rsidRPr="0015665E" w:rsidRDefault="0015665E" w:rsidP="005F4F0B">
            <w:pPr>
              <w:pStyle w:val="BodyText"/>
              <w:keepNext/>
            </w:pPr>
            <w:r w:rsidRPr="0015665E">
              <w:t>12 mg</w:t>
            </w:r>
          </w:p>
          <w:p w14:paraId="0F3FB91F" w14:textId="77777777" w:rsidR="0015665E" w:rsidRPr="0015665E" w:rsidRDefault="0015665E" w:rsidP="005F4F0B">
            <w:pPr>
              <w:pStyle w:val="BodyText"/>
              <w:keepNext/>
            </w:pPr>
            <w:r w:rsidRPr="0015665E">
              <w:t>(N=254)</w:t>
            </w:r>
          </w:p>
          <w:p w14:paraId="1AAD8DAA" w14:textId="77777777" w:rsidR="0015665E" w:rsidRPr="0015665E" w:rsidRDefault="0015665E" w:rsidP="005F4F0B">
            <w:pPr>
              <w:pStyle w:val="BodyText"/>
              <w:keepNext/>
            </w:pPr>
            <w:r w:rsidRPr="0015665E">
              <w:t>%</w:t>
            </w:r>
          </w:p>
        </w:tc>
      </w:tr>
      <w:tr w:rsidR="0015665E" w:rsidRPr="009752AD" w14:paraId="038B39B5" w14:textId="77777777" w:rsidTr="007855E3">
        <w:tc>
          <w:tcPr>
            <w:tcW w:w="2376" w:type="dxa"/>
          </w:tcPr>
          <w:p w14:paraId="6C79F560" w14:textId="77777777" w:rsidR="0015665E" w:rsidRPr="0015665E" w:rsidRDefault="0015665E" w:rsidP="0015665E">
            <w:pPr>
              <w:pStyle w:val="BodyText"/>
            </w:pPr>
            <w:r w:rsidRPr="0015665E">
              <w:t>Maintenance - LOCF</w:t>
            </w:r>
          </w:p>
        </w:tc>
        <w:tc>
          <w:tcPr>
            <w:tcW w:w="6866" w:type="dxa"/>
            <w:gridSpan w:val="5"/>
          </w:tcPr>
          <w:p w14:paraId="1DC75817" w14:textId="77777777" w:rsidR="0015665E" w:rsidRPr="0015665E" w:rsidRDefault="0015665E" w:rsidP="0015665E">
            <w:pPr>
              <w:pStyle w:val="BodyText"/>
            </w:pPr>
          </w:p>
        </w:tc>
      </w:tr>
      <w:tr w:rsidR="0015665E" w:rsidRPr="009752AD" w14:paraId="1B1C0C2B" w14:textId="77777777" w:rsidTr="007855E3">
        <w:tc>
          <w:tcPr>
            <w:tcW w:w="2376" w:type="dxa"/>
          </w:tcPr>
          <w:p w14:paraId="0F3195F2" w14:textId="77777777" w:rsidR="0015665E" w:rsidRPr="0015665E" w:rsidRDefault="0015665E" w:rsidP="0015665E">
            <w:pPr>
              <w:pStyle w:val="BodyText"/>
            </w:pPr>
            <w:r w:rsidRPr="0015665E">
              <w:t>Yes</w:t>
            </w:r>
          </w:p>
        </w:tc>
        <w:tc>
          <w:tcPr>
            <w:tcW w:w="1373" w:type="dxa"/>
          </w:tcPr>
          <w:p w14:paraId="7C52196F" w14:textId="77777777" w:rsidR="0015665E" w:rsidRPr="0015665E" w:rsidRDefault="0015665E" w:rsidP="0015665E">
            <w:pPr>
              <w:pStyle w:val="BodyText"/>
            </w:pPr>
            <w:r w:rsidRPr="0015665E">
              <w:t>19.3</w:t>
            </w:r>
          </w:p>
        </w:tc>
        <w:tc>
          <w:tcPr>
            <w:tcW w:w="1373" w:type="dxa"/>
          </w:tcPr>
          <w:p w14:paraId="74A6C430" w14:textId="77777777" w:rsidR="0015665E" w:rsidRPr="0015665E" w:rsidRDefault="0015665E" w:rsidP="0015665E">
            <w:pPr>
              <w:pStyle w:val="BodyText"/>
            </w:pPr>
            <w:r w:rsidRPr="0015665E">
              <w:t>20.6</w:t>
            </w:r>
          </w:p>
        </w:tc>
        <w:tc>
          <w:tcPr>
            <w:tcW w:w="1373" w:type="dxa"/>
          </w:tcPr>
          <w:p w14:paraId="3CC151DC" w14:textId="77777777" w:rsidR="0015665E" w:rsidRPr="0015665E" w:rsidRDefault="0015665E" w:rsidP="0015665E">
            <w:pPr>
              <w:pStyle w:val="BodyText"/>
            </w:pPr>
            <w:r w:rsidRPr="0015665E">
              <w:t>28.5</w:t>
            </w:r>
          </w:p>
        </w:tc>
        <w:tc>
          <w:tcPr>
            <w:tcW w:w="1373" w:type="dxa"/>
          </w:tcPr>
          <w:p w14:paraId="5F6E3877" w14:textId="77777777" w:rsidR="0015665E" w:rsidRPr="0015665E" w:rsidRDefault="0015665E" w:rsidP="0015665E">
            <w:pPr>
              <w:pStyle w:val="BodyText"/>
            </w:pPr>
            <w:r w:rsidRPr="0015665E">
              <w:t>35.3</w:t>
            </w:r>
          </w:p>
        </w:tc>
        <w:tc>
          <w:tcPr>
            <w:tcW w:w="1374" w:type="dxa"/>
          </w:tcPr>
          <w:p w14:paraId="22791B61" w14:textId="77777777" w:rsidR="0015665E" w:rsidRPr="0015665E" w:rsidRDefault="0015665E" w:rsidP="0015665E">
            <w:pPr>
              <w:pStyle w:val="BodyText"/>
            </w:pPr>
            <w:r w:rsidRPr="0015665E">
              <w:t>35.0</w:t>
            </w:r>
          </w:p>
        </w:tc>
      </w:tr>
      <w:tr w:rsidR="0015665E" w:rsidRPr="009752AD" w14:paraId="27B8A9F5" w14:textId="77777777" w:rsidTr="007855E3">
        <w:tc>
          <w:tcPr>
            <w:tcW w:w="2376" w:type="dxa"/>
          </w:tcPr>
          <w:p w14:paraId="1E0B7C61" w14:textId="77777777" w:rsidR="0015665E" w:rsidRPr="0015665E" w:rsidRDefault="0015665E" w:rsidP="0015665E">
            <w:pPr>
              <w:pStyle w:val="BodyText"/>
            </w:pPr>
            <w:r w:rsidRPr="0015665E">
              <w:t>No</w:t>
            </w:r>
          </w:p>
        </w:tc>
        <w:tc>
          <w:tcPr>
            <w:tcW w:w="1373" w:type="dxa"/>
          </w:tcPr>
          <w:p w14:paraId="39AF55E7" w14:textId="77777777" w:rsidR="0015665E" w:rsidRPr="0015665E" w:rsidRDefault="0015665E" w:rsidP="0015665E">
            <w:pPr>
              <w:pStyle w:val="BodyText"/>
            </w:pPr>
            <w:r w:rsidRPr="0015665E">
              <w:t>80.7</w:t>
            </w:r>
          </w:p>
        </w:tc>
        <w:tc>
          <w:tcPr>
            <w:tcW w:w="1373" w:type="dxa"/>
          </w:tcPr>
          <w:p w14:paraId="167F4F65" w14:textId="77777777" w:rsidR="0015665E" w:rsidRPr="0015665E" w:rsidRDefault="0015665E" w:rsidP="0015665E">
            <w:pPr>
              <w:pStyle w:val="BodyText"/>
            </w:pPr>
            <w:r w:rsidRPr="0015665E">
              <w:t>79.4</w:t>
            </w:r>
          </w:p>
        </w:tc>
        <w:tc>
          <w:tcPr>
            <w:tcW w:w="1373" w:type="dxa"/>
          </w:tcPr>
          <w:p w14:paraId="2D158C51" w14:textId="77777777" w:rsidR="0015665E" w:rsidRPr="0015665E" w:rsidRDefault="0015665E" w:rsidP="0015665E">
            <w:pPr>
              <w:pStyle w:val="BodyText"/>
            </w:pPr>
            <w:r w:rsidRPr="0015665E">
              <w:t>71.5</w:t>
            </w:r>
          </w:p>
        </w:tc>
        <w:tc>
          <w:tcPr>
            <w:tcW w:w="1373" w:type="dxa"/>
          </w:tcPr>
          <w:p w14:paraId="2EB4C2DD" w14:textId="77777777" w:rsidR="0015665E" w:rsidRPr="0015665E" w:rsidRDefault="0015665E" w:rsidP="0015665E">
            <w:pPr>
              <w:pStyle w:val="BodyText"/>
            </w:pPr>
            <w:r w:rsidRPr="0015665E">
              <w:t>64.7</w:t>
            </w:r>
          </w:p>
        </w:tc>
        <w:tc>
          <w:tcPr>
            <w:tcW w:w="1374" w:type="dxa"/>
          </w:tcPr>
          <w:p w14:paraId="67A45E0B" w14:textId="77777777" w:rsidR="0015665E" w:rsidRPr="0015665E" w:rsidRDefault="0015665E" w:rsidP="0015665E">
            <w:pPr>
              <w:pStyle w:val="BodyText"/>
            </w:pPr>
            <w:r w:rsidRPr="0015665E">
              <w:t>65.0</w:t>
            </w:r>
          </w:p>
        </w:tc>
      </w:tr>
    </w:tbl>
    <w:p w14:paraId="725CED4C" w14:textId="77777777" w:rsidR="0015665E" w:rsidRPr="009752AD" w:rsidRDefault="0015665E" w:rsidP="0015665E">
      <w:pPr>
        <w:pStyle w:val="BodyText"/>
      </w:pPr>
    </w:p>
    <w:p w14:paraId="72087FE2" w14:textId="502D39CD" w:rsidR="0015665E" w:rsidRDefault="0015665E" w:rsidP="00527070">
      <w:pPr>
        <w:pStyle w:val="BodyText"/>
        <w:spacing w:after="240"/>
      </w:pPr>
      <w:r w:rsidRPr="009752AD">
        <w:rPr>
          <w:lang w:val="en-US"/>
        </w:rPr>
        <w:t xml:space="preserve">Therefore the </w:t>
      </w:r>
      <w:r w:rsidR="00170364">
        <w:rPr>
          <w:lang w:val="en-US"/>
        </w:rPr>
        <w:t>number needed to treat (</w:t>
      </w:r>
      <w:r w:rsidRPr="009752AD">
        <w:rPr>
          <w:lang w:val="en-US"/>
        </w:rPr>
        <w:t>NNT</w:t>
      </w:r>
      <w:r w:rsidR="00170364">
        <w:rPr>
          <w:lang w:val="en-US"/>
        </w:rPr>
        <w:t>)</w:t>
      </w:r>
      <w:r w:rsidRPr="009752AD">
        <w:rPr>
          <w:lang w:val="en-US"/>
        </w:rPr>
        <w:t xml:space="preserve"> with any dose of </w:t>
      </w:r>
      <w:r>
        <w:rPr>
          <w:lang w:val="en-US"/>
        </w:rPr>
        <w:t>FYCOMPA</w:t>
      </w:r>
      <w:r w:rsidRPr="009752AD">
        <w:rPr>
          <w:lang w:val="en-US"/>
        </w:rPr>
        <w:t xml:space="preserve"> for 4 mg to 12 mg to achieve a 50% reduction in seizure frequency was 6.25 to 10.9.</w:t>
      </w:r>
    </w:p>
    <w:p w14:paraId="7B1B11C6" w14:textId="77777777" w:rsidR="0015665E" w:rsidRDefault="0015665E" w:rsidP="00527070">
      <w:pPr>
        <w:pStyle w:val="BodyText"/>
        <w:spacing w:after="240"/>
      </w:pPr>
      <w:r w:rsidRPr="002D1F29">
        <w:t xml:space="preserve">Data from placebo-controlled studies demonstrate that improvement in seizure control is observed with a once-daily </w:t>
      </w:r>
      <w:r>
        <w:t>FYCOMPA</w:t>
      </w:r>
      <w:r w:rsidRPr="002D1F29">
        <w:t xml:space="preserve"> dose of 4 mg and this benefit is enhanced as the dose is increased to 8 mg/day. No efficacy benefit was observed at the dose of 12 mg as compared to the dose of 8 mg in the overall population. Benefit at the dose of 12 mg was observed in some patients who tolerate the dose of 8 mg and when the clinical response to that dose was insufficient. A clinically meaningful reduction in seizure frequency relative to placebo was achieved as early as the second week of dosing when patients reached a daily dose of 4 mg. </w:t>
      </w:r>
    </w:p>
    <w:p w14:paraId="2382CCAF" w14:textId="75966090" w:rsidR="0015665E" w:rsidRDefault="0015665E" w:rsidP="0015665E">
      <w:pPr>
        <w:pStyle w:val="Heading4"/>
      </w:pPr>
      <w:r w:rsidRPr="002D1F29">
        <w:t>Open label extension study</w:t>
      </w:r>
      <w:r>
        <w:t xml:space="preserve"> for Partial Onset Seizures</w:t>
      </w:r>
      <w:r w:rsidR="009667FA">
        <w:t xml:space="preserve"> </w:t>
      </w:r>
      <w:r w:rsidR="009667FA">
        <w:rPr>
          <w:lang w:val="en-US"/>
        </w:rPr>
        <w:t>in adults and adolescents</w:t>
      </w:r>
    </w:p>
    <w:p w14:paraId="6BF308AC" w14:textId="77777777" w:rsidR="0015665E" w:rsidRPr="002D1F29" w:rsidRDefault="0015665E" w:rsidP="00527070">
      <w:pPr>
        <w:pStyle w:val="BodyText"/>
        <w:spacing w:after="240"/>
      </w:pPr>
      <w:r w:rsidRPr="002D1F29">
        <w:t xml:space="preserve">Ninety-seven percent of the patients who completed the randomised trials were enrolled in the open label extension study (n=1186). Patients from the randomised trial were converted to </w:t>
      </w:r>
      <w:r>
        <w:t>perampanel</w:t>
      </w:r>
      <w:r w:rsidRPr="002D1F29">
        <w:t xml:space="preserve"> over 16 weeks followed by a long term maintenance period (≥1 year). The mean average daily dose was </w:t>
      </w:r>
      <w:r>
        <w:t>10.05 mg.</w:t>
      </w:r>
    </w:p>
    <w:p w14:paraId="5FA82FB3" w14:textId="77777777" w:rsidR="0015665E" w:rsidRPr="007827D2" w:rsidRDefault="0015665E" w:rsidP="0015665E">
      <w:pPr>
        <w:pStyle w:val="Heading4"/>
      </w:pPr>
      <w:r w:rsidRPr="007827D2">
        <w:t>Elderly Patients in Clinical Trials</w:t>
      </w:r>
      <w:r>
        <w:t xml:space="preserve"> for </w:t>
      </w:r>
      <w:r w:rsidRPr="007827D2">
        <w:rPr>
          <w:lang w:val="en-GB"/>
        </w:rPr>
        <w:t>Partial Onset Se</w:t>
      </w:r>
      <w:r>
        <w:rPr>
          <w:lang w:val="en-GB"/>
        </w:rPr>
        <w:t>izures</w:t>
      </w:r>
    </w:p>
    <w:p w14:paraId="523ADFB6" w14:textId="77777777" w:rsidR="0015665E" w:rsidRDefault="0015665E" w:rsidP="00527070">
      <w:pPr>
        <w:pStyle w:val="BodyText"/>
        <w:spacing w:after="240"/>
      </w:pPr>
      <w:r>
        <w:t xml:space="preserve">In these studies, </w:t>
      </w:r>
      <w:r w:rsidRPr="0091003E">
        <w:t xml:space="preserve">31 patients aged 65 and over received </w:t>
      </w:r>
      <w:r>
        <w:t>perampanel</w:t>
      </w:r>
      <w:r w:rsidRPr="0091003E">
        <w:t>. Due to high rates of dizziness and falls in these patients</w:t>
      </w:r>
      <w:r>
        <w:t>,</w:t>
      </w:r>
      <w:r w:rsidRPr="0091003E">
        <w:t xml:space="preserve"> </w:t>
      </w:r>
      <w:r>
        <w:t>FYCOMPA</w:t>
      </w:r>
      <w:r w:rsidRPr="0091003E">
        <w:t xml:space="preserve"> </w:t>
      </w:r>
      <w:r>
        <w:t xml:space="preserve">should be used with caution in the </w:t>
      </w:r>
      <w:r w:rsidRPr="0091003E">
        <w:t>elderly</w:t>
      </w:r>
      <w:r>
        <w:t>.</w:t>
      </w:r>
    </w:p>
    <w:p w14:paraId="5523E3B6" w14:textId="3497738C" w:rsidR="0015665E" w:rsidRDefault="0015665E" w:rsidP="0015665E">
      <w:pPr>
        <w:pStyle w:val="Heading4"/>
      </w:pPr>
      <w:r w:rsidRPr="003E3975">
        <w:t xml:space="preserve">Primary </w:t>
      </w:r>
      <w:r>
        <w:t xml:space="preserve">Generalised </w:t>
      </w:r>
      <w:r w:rsidRPr="003E3975">
        <w:t>Tonic-Clonic Seizures</w:t>
      </w:r>
      <w:r w:rsidR="009667FA" w:rsidRPr="009667FA">
        <w:rPr>
          <w:lang w:val="en-US"/>
        </w:rPr>
        <w:t xml:space="preserve"> </w:t>
      </w:r>
      <w:r w:rsidR="009667FA">
        <w:rPr>
          <w:lang w:val="en-US"/>
        </w:rPr>
        <w:t>in adults and adolescents</w:t>
      </w:r>
    </w:p>
    <w:p w14:paraId="5CE3911C" w14:textId="77777777" w:rsidR="0015665E" w:rsidRDefault="0015665E" w:rsidP="00527070">
      <w:pPr>
        <w:pStyle w:val="BodyText"/>
        <w:spacing w:after="240"/>
      </w:pPr>
      <w:r>
        <w:t>FYCOMPA as adjunctive therapy in patients 12 years of age and older with idiopathic generalised epilepsy experiencing primary generalised tonic-clonic seizures was established in a multicentre, randomised, double-blind, placebo-controlled study (Study 332).  Eligible patients on a stable dose of 1 to 3 AEDs experiencing at least 3 primary generalised tonic-clonic seizures during the 8-week baseline period were randomised to either FYCOMPA or placebo.  The population included 164 patients (FYCOMPA N=82, placebo N=82).  Patients were titrated over four weeks to a target dose of 8 mg per day or the highest tolerated dose and treated for an additional 13 weeks on the last dose level achieved at the end of the titration period. The total treatment period was 17 weeks.  Study drug was given once per day.</w:t>
      </w:r>
    </w:p>
    <w:p w14:paraId="1B4FB0C5" w14:textId="18D5AE87" w:rsidR="0015665E" w:rsidRDefault="0015665E" w:rsidP="00527070">
      <w:pPr>
        <w:pStyle w:val="BodyText"/>
        <w:spacing w:after="240"/>
      </w:pPr>
      <w:r w:rsidRPr="00691842">
        <w:rPr>
          <w:lang w:val="en-GB"/>
        </w:rPr>
        <w:t>The primary endpoint was the percent change from baseline in primary generalised tonic-clonic seizure frequency per 28 days during the treatment period (titration + maintenance) as compared to the baseline period.</w:t>
      </w:r>
      <w:r w:rsidRPr="00165009">
        <w:rPr>
          <w:u w:val="single"/>
          <w:lang w:val="en-GB"/>
        </w:rPr>
        <w:t xml:space="preserve"> </w:t>
      </w:r>
      <w:r>
        <w:t>The median percent change in primary generalised tonic-clonic seizure frequency per 28 days during the Titration and Maintenance Periods (combined) relative to Prerandomization was greater with FYCOMPA (-76.5%) than with placebo (-38.4%), P&lt;0.0001. The 50% primary generalised tonic-clonic seizures responder rate during the Maintenance Period was significantly higher in the FYCOMPA group (64.2%) than in the placebo group (39.5%)</w:t>
      </w:r>
      <w:r w:rsidR="004635FA">
        <w:t>, P</w:t>
      </w:r>
      <w:r>
        <w:t xml:space="preserve">=0.0019.  </w:t>
      </w:r>
      <w:r w:rsidRPr="00B12072">
        <w:rPr>
          <w:lang w:val="en-US"/>
        </w:rPr>
        <w:t xml:space="preserve">The 50% responder rates were 58.0% for the </w:t>
      </w:r>
      <w:r>
        <w:rPr>
          <w:lang w:val="en-US"/>
        </w:rPr>
        <w:t>FYCOMPA</w:t>
      </w:r>
      <w:r w:rsidRPr="00B12072">
        <w:rPr>
          <w:lang w:val="en-US"/>
        </w:rPr>
        <w:t xml:space="preserve"> group and 35.8% for the placebo group (P=0.0059) when discontinued patients were considered non-responders. </w:t>
      </w:r>
      <w:r w:rsidRPr="001E2AB7">
        <w:t xml:space="preserve">The 50% responder rate was 22.2% </w:t>
      </w:r>
      <w:r w:rsidRPr="00B12072">
        <w:rPr>
          <w:lang w:val="en-GB"/>
        </w:rPr>
        <w:t xml:space="preserve">when </w:t>
      </w:r>
      <w:r>
        <w:rPr>
          <w:lang w:val="en-GB"/>
        </w:rPr>
        <w:t>FYCOMPA</w:t>
      </w:r>
      <w:r w:rsidRPr="00B12072">
        <w:rPr>
          <w:lang w:val="en-GB"/>
        </w:rPr>
        <w:t xml:space="preserve"> was used</w:t>
      </w:r>
      <w:r>
        <w:rPr>
          <w:lang w:val="en-GB"/>
        </w:rPr>
        <w:t xml:space="preserve"> </w:t>
      </w:r>
      <w:r w:rsidRPr="001E2AB7">
        <w:t xml:space="preserve">in combination with enzyme inducing anti-epileptic medicinal products and 69.4% when </w:t>
      </w:r>
      <w:r>
        <w:t>FYCOMPA</w:t>
      </w:r>
      <w:r w:rsidRPr="001E2AB7">
        <w:t xml:space="preserve"> was given in combination with non-enzyme-inducing anti-epileptic medicinal products. The number of </w:t>
      </w:r>
      <w:r>
        <w:t>FYCOMPA</w:t>
      </w:r>
      <w:r w:rsidRPr="001E2AB7">
        <w:t xml:space="preserve"> subjects taking enzyme inducing anti-epileptic </w:t>
      </w:r>
      <w:r>
        <w:t>medicinal products was small (n </w:t>
      </w:r>
      <w:r w:rsidRPr="001E2AB7">
        <w:t>=</w:t>
      </w:r>
      <w:r>
        <w:t> </w:t>
      </w:r>
      <w:r w:rsidRPr="001E2AB7">
        <w:t xml:space="preserve">9). </w:t>
      </w:r>
    </w:p>
    <w:p w14:paraId="53FD80EF" w14:textId="77777777" w:rsidR="0015665E" w:rsidRDefault="0015665E" w:rsidP="00527070">
      <w:pPr>
        <w:pStyle w:val="BodyText"/>
        <w:spacing w:after="240"/>
      </w:pPr>
      <w:r>
        <w:t xml:space="preserve">During the 3 month maintenance period, 30.9% of the patients on FYCOMPA in the clinical studies became free of PGTC seizures compared with 12.3% on placebo. </w:t>
      </w:r>
      <w:r w:rsidRPr="00B12072">
        <w:rPr>
          <w:lang w:val="en-US"/>
        </w:rPr>
        <w:t xml:space="preserve">Freedom from all seizures was achieved in 23.5% of patients on </w:t>
      </w:r>
      <w:r>
        <w:rPr>
          <w:lang w:val="en-US"/>
        </w:rPr>
        <w:t>FYCOMPA</w:t>
      </w:r>
      <w:r w:rsidRPr="00B12072">
        <w:rPr>
          <w:lang w:val="en-US"/>
        </w:rPr>
        <w:t xml:space="preserve"> compared to 4.9% of patients on placebo. </w:t>
      </w:r>
      <w:r>
        <w:t xml:space="preserve"> There are no data regarding the effects of withdrawal of concomitant anti-epileptic medicinal products to achieve monotherapy with FYCOMPA. </w:t>
      </w:r>
      <w:r w:rsidRPr="00B12072">
        <w:rPr>
          <w:lang w:val="en-US"/>
        </w:rPr>
        <w:t xml:space="preserve">The efficacy of </w:t>
      </w:r>
      <w:r>
        <w:rPr>
          <w:lang w:val="en-US"/>
        </w:rPr>
        <w:t>FYCOMPA</w:t>
      </w:r>
      <w:r w:rsidRPr="00B12072">
        <w:rPr>
          <w:lang w:val="en-US"/>
        </w:rPr>
        <w:t xml:space="preserve"> in the treatment of absence and myoclonic seizures has not been demonstrated.</w:t>
      </w:r>
    </w:p>
    <w:p w14:paraId="51AA4A1F" w14:textId="77777777" w:rsidR="0015665E" w:rsidRPr="00390DCA" w:rsidRDefault="0015665E" w:rsidP="0015665E">
      <w:pPr>
        <w:pStyle w:val="Heading4"/>
        <w:rPr>
          <w:rFonts w:eastAsia="MS Mincho"/>
          <w:lang w:eastAsia="ja-JP"/>
        </w:rPr>
      </w:pPr>
      <w:r w:rsidRPr="008A0486">
        <w:t>Paediatric population</w:t>
      </w:r>
    </w:p>
    <w:p w14:paraId="0CEA7A81" w14:textId="58952D0F" w:rsidR="0015665E" w:rsidRDefault="0015665E" w:rsidP="00527070">
      <w:pPr>
        <w:pStyle w:val="BodyText"/>
        <w:spacing w:after="240"/>
      </w:pPr>
      <w:r w:rsidRPr="00B7716A">
        <w:t xml:space="preserve">The three pivotal double-blind placebo-controlled </w:t>
      </w:r>
      <w:r w:rsidR="00191DA6">
        <w:t>P</w:t>
      </w:r>
      <w:r w:rsidRPr="00B7716A">
        <w:t>hase 3 studies included 143 adolescents between the ages of 12 and 18. The results in these adolescents were similar to those seen in the adult population.</w:t>
      </w:r>
      <w:r w:rsidRPr="002D1F29">
        <w:t xml:space="preserve"> </w:t>
      </w:r>
    </w:p>
    <w:p w14:paraId="7F2F3538" w14:textId="0ABF9C68" w:rsidR="0015665E" w:rsidRDefault="0015665E" w:rsidP="00527070">
      <w:pPr>
        <w:pStyle w:val="BodyText"/>
        <w:spacing w:after="240"/>
        <w:rPr>
          <w:rFonts w:eastAsiaTheme="minorEastAsia"/>
          <w:lang w:val="en-US"/>
        </w:rPr>
      </w:pPr>
      <w:r w:rsidRPr="00B7716A">
        <w:rPr>
          <w:rFonts w:eastAsiaTheme="minorEastAsia"/>
          <w:lang w:val="en-US"/>
        </w:rPr>
        <w:t>Study 332 included 22 adolescents between the ages of 12 and 18. The results in these adolescents</w:t>
      </w:r>
      <w:r>
        <w:rPr>
          <w:rFonts w:eastAsiaTheme="minorEastAsia"/>
          <w:lang w:val="en-US"/>
        </w:rPr>
        <w:t xml:space="preserve"> </w:t>
      </w:r>
      <w:r w:rsidRPr="00B7716A">
        <w:rPr>
          <w:rFonts w:eastAsiaTheme="minorEastAsia"/>
          <w:lang w:val="en-US"/>
        </w:rPr>
        <w:t>were similar to those seen in the adult population.</w:t>
      </w:r>
    </w:p>
    <w:p w14:paraId="57F35DDE" w14:textId="6DFA2C66" w:rsidR="0088323F" w:rsidRDefault="009667FA" w:rsidP="00527070">
      <w:pPr>
        <w:pStyle w:val="BodyText"/>
        <w:spacing w:after="240"/>
        <w:rPr>
          <w:rFonts w:eastAsiaTheme="minorEastAsia"/>
          <w:lang w:val="en-US"/>
        </w:rPr>
      </w:pPr>
      <w:r>
        <w:t>The efficacy of perampanel in children down to the age of 4 years for POS and 7 years for PGTCS has been extrapolated from data of adolescents and adults with POS or PGTCS</w:t>
      </w:r>
      <w:r w:rsidR="00D46C6D">
        <w:t>.</w:t>
      </w:r>
      <w:r>
        <w:t xml:space="preserve"> </w:t>
      </w:r>
      <w:r w:rsidR="00D46C6D">
        <w:t>A</w:t>
      </w:r>
      <w:r>
        <w:t xml:space="preserve"> similar </w:t>
      </w:r>
      <w:r w:rsidR="00D46C6D">
        <w:t xml:space="preserve">clinical </w:t>
      </w:r>
      <w:r>
        <w:t xml:space="preserve">response is expected </w:t>
      </w:r>
      <w:r w:rsidR="00D46C6D">
        <w:t xml:space="preserve">in these patients </w:t>
      </w:r>
      <w:r>
        <w:t>based on the paediatric posology (see Section </w:t>
      </w:r>
      <w:r>
        <w:fldChar w:fldCharType="begin"/>
      </w:r>
      <w:r>
        <w:instrText xml:space="preserve"> REF _Ref503529038 \r \h </w:instrText>
      </w:r>
      <w:r>
        <w:fldChar w:fldCharType="separate"/>
      </w:r>
      <w:r w:rsidR="007B3B4A">
        <w:t>4.2</w:t>
      </w:r>
      <w:r>
        <w:fldChar w:fldCharType="end"/>
      </w:r>
      <w:r>
        <w:t xml:space="preserve"> </w:t>
      </w:r>
      <w:r>
        <w:fldChar w:fldCharType="begin"/>
      </w:r>
      <w:r>
        <w:instrText xml:space="preserve"> REF _Ref503529038 \h </w:instrText>
      </w:r>
      <w:r>
        <w:fldChar w:fldCharType="separate"/>
      </w:r>
      <w:r w:rsidR="007B3B4A">
        <w:rPr>
          <w:lang w:val="en-US"/>
        </w:rPr>
        <w:t>Dose and method of administration</w:t>
      </w:r>
      <w:r>
        <w:fldChar w:fldCharType="end"/>
      </w:r>
      <w:r>
        <w:t>) established to achieve plasma concentrations in the range observed in adolescents and adults taking efficacious doses (</w:t>
      </w:r>
      <w:bookmarkStart w:id="12" w:name="_Hlk62131008"/>
      <w:r w:rsidR="00D46C6D">
        <w:t xml:space="preserve">see </w:t>
      </w:r>
      <w:r>
        <w:t>Section </w:t>
      </w:r>
      <w:r w:rsidR="00D46C6D">
        <w:fldChar w:fldCharType="begin"/>
      </w:r>
      <w:r w:rsidR="00D46C6D">
        <w:instrText xml:space="preserve"> REF _Ref2178479 \r \h </w:instrText>
      </w:r>
      <w:r w:rsidR="00D46C6D">
        <w:fldChar w:fldCharType="separate"/>
      </w:r>
      <w:r w:rsidR="007B3B4A">
        <w:t>5.2</w:t>
      </w:r>
      <w:r w:rsidR="00D46C6D">
        <w:fldChar w:fldCharType="end"/>
      </w:r>
      <w:r w:rsidR="00D46C6D">
        <w:t xml:space="preserve"> </w:t>
      </w:r>
      <w:r w:rsidR="00D46C6D">
        <w:fldChar w:fldCharType="begin"/>
      </w:r>
      <w:r w:rsidR="00D46C6D">
        <w:instrText xml:space="preserve"> REF _Ref2178479 \h </w:instrText>
      </w:r>
      <w:r w:rsidR="00D46C6D">
        <w:fldChar w:fldCharType="separate"/>
      </w:r>
      <w:r w:rsidR="007B3B4A" w:rsidRPr="003F5607">
        <w:rPr>
          <w:lang w:val="en-US"/>
        </w:rPr>
        <w:t>Pharmacokinetic properties</w:t>
      </w:r>
      <w:r w:rsidR="00D46C6D">
        <w:fldChar w:fldCharType="end"/>
      </w:r>
      <w:bookmarkEnd w:id="12"/>
      <w:r>
        <w:t xml:space="preserve">). Data supporting the extrapolation principle and the safety </w:t>
      </w:r>
      <w:r w:rsidRPr="006564D2">
        <w:rPr>
          <w:rFonts w:eastAsiaTheme="minorEastAsia"/>
          <w:lang w:val="en-US"/>
        </w:rPr>
        <w:t xml:space="preserve">of perampanel adjunctive therapy </w:t>
      </w:r>
      <w:r>
        <w:t xml:space="preserve">in children (aged 4 to &lt;12 years old) have been evaluated in </w:t>
      </w:r>
      <w:r>
        <w:rPr>
          <w:rFonts w:eastAsiaTheme="minorEastAsia"/>
          <w:lang w:val="en-US"/>
        </w:rPr>
        <w:t>a</w:t>
      </w:r>
      <w:r w:rsidR="006564D2" w:rsidRPr="006564D2">
        <w:rPr>
          <w:rFonts w:eastAsiaTheme="minorEastAsia"/>
          <w:lang w:val="en-US"/>
        </w:rPr>
        <w:t>n open</w:t>
      </w:r>
      <w:r w:rsidR="00C8325C">
        <w:rPr>
          <w:rFonts w:eastAsiaTheme="minorEastAsia"/>
          <w:lang w:val="en-US"/>
        </w:rPr>
        <w:t>-</w:t>
      </w:r>
      <w:r w:rsidR="006564D2" w:rsidRPr="006564D2">
        <w:rPr>
          <w:rFonts w:eastAsiaTheme="minorEastAsia"/>
          <w:lang w:val="en-US"/>
        </w:rPr>
        <w:t xml:space="preserve">label, uncontrolled </w:t>
      </w:r>
      <w:r w:rsidR="003F5607">
        <w:rPr>
          <w:rFonts w:eastAsiaTheme="minorEastAsia"/>
          <w:lang w:val="en-US"/>
        </w:rPr>
        <w:t>study</w:t>
      </w:r>
      <w:r w:rsidR="006564D2" w:rsidRPr="006564D2">
        <w:rPr>
          <w:rFonts w:eastAsiaTheme="minorEastAsia"/>
          <w:lang w:val="en-US"/>
        </w:rPr>
        <w:t xml:space="preserve"> (Study 311)</w:t>
      </w:r>
      <w:r>
        <w:rPr>
          <w:rFonts w:eastAsiaTheme="minorEastAsia"/>
          <w:lang w:val="en-US"/>
        </w:rPr>
        <w:t xml:space="preserve">.A total of </w:t>
      </w:r>
      <w:r w:rsidR="006564D2" w:rsidRPr="006564D2">
        <w:rPr>
          <w:rFonts w:eastAsiaTheme="minorEastAsia"/>
          <w:lang w:val="en-US"/>
        </w:rPr>
        <w:t xml:space="preserve">180 paediatric patients (aged 4 to </w:t>
      </w:r>
      <w:r w:rsidR="00BE721F">
        <w:rPr>
          <w:rFonts w:eastAsiaTheme="minorEastAsia"/>
          <w:lang w:val="en-US"/>
        </w:rPr>
        <w:t>&lt;12</w:t>
      </w:r>
      <w:r w:rsidR="006564D2" w:rsidRPr="006564D2">
        <w:rPr>
          <w:rFonts w:eastAsiaTheme="minorEastAsia"/>
          <w:lang w:val="en-US"/>
        </w:rPr>
        <w:t xml:space="preserve"> years old) with inadequately controlled partial-onset seizur</w:t>
      </w:r>
      <w:r w:rsidR="00C8325C">
        <w:rPr>
          <w:rFonts w:eastAsiaTheme="minorEastAsia"/>
          <w:lang w:val="en-US"/>
        </w:rPr>
        <w:t>es or primary generalised tonic</w:t>
      </w:r>
      <w:r w:rsidR="00C8325C">
        <w:rPr>
          <w:rFonts w:eastAsiaTheme="minorEastAsia"/>
          <w:lang w:val="en-US"/>
        </w:rPr>
        <w:noBreakHyphen/>
      </w:r>
      <w:r w:rsidR="006564D2" w:rsidRPr="006564D2">
        <w:rPr>
          <w:rFonts w:eastAsiaTheme="minorEastAsia"/>
          <w:lang w:val="en-US"/>
        </w:rPr>
        <w:t>clonic seizures. Patients were titrated over 11 weeks to a target dose of 8 mg/day or the maximum tolerated dose (not to exceed 12 mg/day) for patients not taking concomitant CYP3A</w:t>
      </w:r>
      <w:r w:rsidR="00C8325C">
        <w:rPr>
          <w:rFonts w:eastAsiaTheme="minorEastAsia"/>
          <w:lang w:val="en-US"/>
        </w:rPr>
        <w:noBreakHyphen/>
      </w:r>
      <w:r w:rsidR="006564D2" w:rsidRPr="006564D2">
        <w:rPr>
          <w:rFonts w:eastAsiaTheme="minorEastAsia"/>
          <w:lang w:val="en-US"/>
        </w:rPr>
        <w:t>inducing antiepileptic drugs (carbamazepine, oxcarbazepine, eslicarbazepine and phenytoin) or 12 mg/day or the maximum tolerated dose (not to exceed 16 mg/day) for patients taking a concomitant CYP3A</w:t>
      </w:r>
      <w:r w:rsidR="00C8325C">
        <w:rPr>
          <w:rFonts w:eastAsiaTheme="minorEastAsia"/>
          <w:lang w:val="en-US"/>
        </w:rPr>
        <w:noBreakHyphen/>
      </w:r>
      <w:r w:rsidR="006564D2" w:rsidRPr="006564D2">
        <w:rPr>
          <w:rFonts w:eastAsiaTheme="minorEastAsia"/>
          <w:lang w:val="en-US"/>
        </w:rPr>
        <w:t>inducing antiepileptic drug.  Perampanel dose achieved at the end of titration was maintained for 12 weeks (for a total of 23 weeks of exposure) at the completion of the core study. Patients who entered into Extension Phase were treated for an additional 29 weeks for a total exposure duration of 52 weeks</w:t>
      </w:r>
      <w:r w:rsidR="00C8325C">
        <w:rPr>
          <w:rFonts w:eastAsiaTheme="minorEastAsia"/>
          <w:lang w:val="en-US"/>
        </w:rPr>
        <w:t>.</w:t>
      </w:r>
      <w:r w:rsidR="00926E8D">
        <w:rPr>
          <w:rFonts w:eastAsiaTheme="minorEastAsia"/>
          <w:lang w:val="en-US"/>
        </w:rPr>
        <w:t xml:space="preserve"> </w:t>
      </w:r>
      <w:r w:rsidR="00D46C6D">
        <w:rPr>
          <w:rFonts w:eastAsiaTheme="minorEastAsia"/>
          <w:lang w:val="en-US"/>
        </w:rPr>
        <w:t>T</w:t>
      </w:r>
      <w:r w:rsidR="00926E8D">
        <w:rPr>
          <w:rFonts w:eastAsiaTheme="minorEastAsia"/>
          <w:lang w:val="en-US"/>
        </w:rPr>
        <w:t>he approved dose for children weighing &lt;30 kg</w:t>
      </w:r>
      <w:r w:rsidR="00D46C6D">
        <w:rPr>
          <w:rFonts w:eastAsiaTheme="minorEastAsia"/>
          <w:lang w:val="en-US"/>
        </w:rPr>
        <w:t xml:space="preserve"> is lower than the dose used in this study</w:t>
      </w:r>
      <w:r w:rsidR="00926E8D">
        <w:rPr>
          <w:rFonts w:eastAsiaTheme="minorEastAsia"/>
          <w:lang w:val="en-US"/>
        </w:rPr>
        <w:t>.</w:t>
      </w:r>
      <w:r w:rsidR="00C8325C">
        <w:rPr>
          <w:rFonts w:eastAsiaTheme="minorEastAsia"/>
          <w:lang w:val="en-US"/>
        </w:rPr>
        <w:t xml:space="preserve"> </w:t>
      </w:r>
      <w:r w:rsidR="00863D0D">
        <w:rPr>
          <w:rFonts w:eastAsiaTheme="minorEastAsia"/>
          <w:lang w:val="en-US"/>
        </w:rPr>
        <w:t xml:space="preserve">Efficacy results observed in the core and extension phase of the Study are presented in </w:t>
      </w:r>
      <w:r w:rsidR="00863D0D">
        <w:rPr>
          <w:rFonts w:eastAsiaTheme="minorEastAsia"/>
          <w:lang w:val="en-US"/>
        </w:rPr>
        <w:fldChar w:fldCharType="begin"/>
      </w:r>
      <w:r w:rsidR="00863D0D">
        <w:rPr>
          <w:rFonts w:eastAsiaTheme="minorEastAsia"/>
          <w:lang w:val="en-US"/>
        </w:rPr>
        <w:instrText xml:space="preserve"> REF _Ref56085408 \h </w:instrText>
      </w:r>
      <w:r w:rsidR="00863D0D">
        <w:rPr>
          <w:rFonts w:eastAsiaTheme="minorEastAsia"/>
          <w:lang w:val="en-US"/>
        </w:rPr>
      </w:r>
      <w:r w:rsidR="00863D0D">
        <w:rPr>
          <w:rFonts w:eastAsiaTheme="minorEastAsia"/>
          <w:lang w:val="en-US"/>
        </w:rPr>
        <w:fldChar w:fldCharType="separate"/>
      </w:r>
      <w:r w:rsidR="007B3B4A">
        <w:t>Table </w:t>
      </w:r>
      <w:r w:rsidR="007B3B4A">
        <w:rPr>
          <w:noProof/>
        </w:rPr>
        <w:t>7</w:t>
      </w:r>
      <w:r w:rsidR="00863D0D">
        <w:rPr>
          <w:rFonts w:eastAsiaTheme="minorEastAsia"/>
          <w:lang w:val="en-US"/>
        </w:rPr>
        <w:fldChar w:fldCharType="end"/>
      </w:r>
      <w:r w:rsidR="00863D0D">
        <w:rPr>
          <w:rFonts w:eastAsiaTheme="minorEastAsia"/>
          <w:lang w:val="en-US"/>
        </w:rPr>
        <w:t>.</w:t>
      </w:r>
      <w:r w:rsidR="00FC3381" w:rsidRPr="00FC3381">
        <w:t xml:space="preserve"> </w:t>
      </w:r>
      <w:r w:rsidR="00FC3381">
        <w:rPr>
          <w:rFonts w:eastAsiaTheme="minorEastAsia"/>
          <w:lang w:val="en-US"/>
        </w:rPr>
        <w:t>Overall, t</w:t>
      </w:r>
      <w:r w:rsidR="00FC3381" w:rsidRPr="00FC3381">
        <w:rPr>
          <w:rFonts w:eastAsiaTheme="minorEastAsia"/>
          <w:lang w:val="en-US"/>
        </w:rPr>
        <w:t>he treatment effects on the median reduction in seizure frequency, 50% responder rate, and seizure-free rate were sustained following 52 weeks of perampanel treatment.</w:t>
      </w:r>
      <w:r w:rsidR="00863D0D">
        <w:rPr>
          <w:rFonts w:eastAsiaTheme="minorEastAsia"/>
          <w:lang w:val="en-US"/>
        </w:rPr>
        <w:t xml:space="preserve"> </w:t>
      </w:r>
    </w:p>
    <w:p w14:paraId="364658D4" w14:textId="7FBB2AB6" w:rsidR="0088323F" w:rsidRDefault="0088323F" w:rsidP="00863D0D">
      <w:pPr>
        <w:pStyle w:val="Caption"/>
      </w:pPr>
      <w:bookmarkStart w:id="13" w:name="_Ref56085408"/>
      <w:bookmarkStart w:id="14" w:name="_Hlk56016960"/>
      <w:r>
        <w:t>Table</w:t>
      </w:r>
      <w:r w:rsidR="00B2482B">
        <w:t> </w:t>
      </w:r>
      <w:r w:rsidR="00BE01DB">
        <w:rPr>
          <w:noProof/>
        </w:rPr>
        <w:fldChar w:fldCharType="begin"/>
      </w:r>
      <w:r w:rsidR="00BE01DB">
        <w:rPr>
          <w:noProof/>
        </w:rPr>
        <w:instrText xml:space="preserve"> SEQ Table \* ARABIC </w:instrText>
      </w:r>
      <w:r w:rsidR="00BE01DB">
        <w:rPr>
          <w:noProof/>
        </w:rPr>
        <w:fldChar w:fldCharType="separate"/>
      </w:r>
      <w:r w:rsidR="007B3B4A">
        <w:rPr>
          <w:noProof/>
        </w:rPr>
        <w:t>7</w:t>
      </w:r>
      <w:r w:rsidR="00BE01DB">
        <w:rPr>
          <w:noProof/>
        </w:rPr>
        <w:fldChar w:fldCharType="end"/>
      </w:r>
      <w:bookmarkEnd w:id="13"/>
      <w:r>
        <w:t xml:space="preserve">: </w:t>
      </w:r>
      <w:r w:rsidR="00FC3381" w:rsidRPr="00FC3381">
        <w:t xml:space="preserve">Summary of Efficacy Endpoint Data in Children Aged 4 to </w:t>
      </w:r>
      <w:r w:rsidR="00BE721F">
        <w:t>&lt;12</w:t>
      </w:r>
      <w:r w:rsidR="00FC3381" w:rsidRPr="00FC3381">
        <w:t xml:space="preserve"> Years from Open-Label Study 311.</w:t>
      </w:r>
    </w:p>
    <w:tbl>
      <w:tblPr>
        <w:tblStyle w:val="TableGrid"/>
        <w:tblW w:w="4950" w:type="pct"/>
        <w:tblLook w:val="04A0" w:firstRow="1" w:lastRow="0" w:firstColumn="1" w:lastColumn="0" w:noHBand="0" w:noVBand="1"/>
      </w:tblPr>
      <w:tblGrid>
        <w:gridCol w:w="2909"/>
        <w:gridCol w:w="1516"/>
        <w:gridCol w:w="1561"/>
        <w:gridCol w:w="1424"/>
        <w:gridCol w:w="1516"/>
      </w:tblGrid>
      <w:tr w:rsidR="0088323F" w:rsidRPr="00863D0D" w14:paraId="0E61773A" w14:textId="77777777" w:rsidTr="008D3834">
        <w:tc>
          <w:tcPr>
            <w:tcW w:w="2909" w:type="dxa"/>
            <w:tcBorders>
              <w:bottom w:val="nil"/>
            </w:tcBorders>
          </w:tcPr>
          <w:p w14:paraId="43CA7FB4" w14:textId="77777777" w:rsidR="0088323F" w:rsidRPr="00863D0D" w:rsidRDefault="0088323F" w:rsidP="00863D0D">
            <w:pPr>
              <w:pStyle w:val="BodyText"/>
              <w:keepNext/>
              <w:rPr>
                <w:sz w:val="20"/>
              </w:rPr>
            </w:pPr>
          </w:p>
        </w:tc>
        <w:tc>
          <w:tcPr>
            <w:tcW w:w="3077" w:type="dxa"/>
            <w:gridSpan w:val="2"/>
          </w:tcPr>
          <w:p w14:paraId="4A91E931" w14:textId="77777777" w:rsidR="0088323F" w:rsidRPr="00863D0D" w:rsidRDefault="0088323F" w:rsidP="00863D0D">
            <w:pPr>
              <w:pStyle w:val="BodyText"/>
              <w:keepNext/>
              <w:rPr>
                <w:b/>
                <w:bCs/>
                <w:sz w:val="20"/>
              </w:rPr>
            </w:pPr>
            <w:r w:rsidRPr="00863D0D">
              <w:rPr>
                <w:b/>
                <w:bCs/>
                <w:sz w:val="20"/>
              </w:rPr>
              <w:t>POS</w:t>
            </w:r>
          </w:p>
        </w:tc>
        <w:tc>
          <w:tcPr>
            <w:tcW w:w="2940" w:type="dxa"/>
            <w:gridSpan w:val="2"/>
          </w:tcPr>
          <w:p w14:paraId="5AABDD9B" w14:textId="77777777" w:rsidR="0088323F" w:rsidRPr="00863D0D" w:rsidRDefault="0088323F" w:rsidP="00863D0D">
            <w:pPr>
              <w:pStyle w:val="BodyText"/>
              <w:keepNext/>
              <w:rPr>
                <w:b/>
                <w:bCs/>
                <w:sz w:val="20"/>
              </w:rPr>
            </w:pPr>
            <w:r w:rsidRPr="00863D0D">
              <w:rPr>
                <w:b/>
                <w:bCs/>
                <w:sz w:val="20"/>
              </w:rPr>
              <w:t>PGTCS</w:t>
            </w:r>
          </w:p>
        </w:tc>
      </w:tr>
      <w:tr w:rsidR="0088323F" w:rsidRPr="00863D0D" w14:paraId="2BF736B6" w14:textId="77777777" w:rsidTr="008D3834">
        <w:tc>
          <w:tcPr>
            <w:tcW w:w="2909" w:type="dxa"/>
            <w:tcBorders>
              <w:top w:val="nil"/>
              <w:bottom w:val="single" w:sz="4" w:space="0" w:color="auto"/>
            </w:tcBorders>
          </w:tcPr>
          <w:p w14:paraId="367843EE" w14:textId="77777777" w:rsidR="00FC3381" w:rsidRDefault="00FC3381" w:rsidP="00863D0D">
            <w:pPr>
              <w:pStyle w:val="BodyText"/>
              <w:rPr>
                <w:b/>
                <w:bCs/>
                <w:sz w:val="20"/>
              </w:rPr>
            </w:pPr>
          </w:p>
          <w:p w14:paraId="4C279F79" w14:textId="016262E3" w:rsidR="0088323F" w:rsidRPr="00863D0D" w:rsidRDefault="0088323F" w:rsidP="00863D0D">
            <w:pPr>
              <w:pStyle w:val="BodyText"/>
              <w:rPr>
                <w:b/>
                <w:bCs/>
                <w:sz w:val="20"/>
              </w:rPr>
            </w:pPr>
            <w:r w:rsidRPr="00863D0D">
              <w:rPr>
                <w:b/>
                <w:bCs/>
                <w:sz w:val="20"/>
              </w:rPr>
              <w:t>Disease Cohort</w:t>
            </w:r>
          </w:p>
        </w:tc>
        <w:tc>
          <w:tcPr>
            <w:tcW w:w="1516" w:type="dxa"/>
            <w:tcBorders>
              <w:bottom w:val="single" w:sz="4" w:space="0" w:color="auto"/>
            </w:tcBorders>
          </w:tcPr>
          <w:p w14:paraId="46C5B7E4" w14:textId="77777777" w:rsidR="00FC3381" w:rsidRDefault="00FC3381" w:rsidP="005F4F0B">
            <w:pPr>
              <w:pStyle w:val="BodyText"/>
              <w:rPr>
                <w:b/>
                <w:bCs/>
                <w:sz w:val="20"/>
              </w:rPr>
            </w:pPr>
          </w:p>
          <w:p w14:paraId="59A99C6D" w14:textId="77777777" w:rsidR="00FC3381" w:rsidRDefault="0088323F" w:rsidP="00FC3381">
            <w:pPr>
              <w:pStyle w:val="BodyText"/>
              <w:rPr>
                <w:b/>
                <w:bCs/>
                <w:sz w:val="20"/>
              </w:rPr>
            </w:pPr>
            <w:r w:rsidRPr="00863D0D">
              <w:rPr>
                <w:b/>
                <w:bCs/>
                <w:sz w:val="20"/>
              </w:rPr>
              <w:t>Total</w:t>
            </w:r>
          </w:p>
          <w:p w14:paraId="271DAFAA" w14:textId="70F5BCAC" w:rsidR="0088323F" w:rsidRPr="00863D0D" w:rsidRDefault="0088323F" w:rsidP="00FC3381">
            <w:pPr>
              <w:pStyle w:val="BodyText"/>
              <w:rPr>
                <w:b/>
                <w:bCs/>
                <w:sz w:val="20"/>
              </w:rPr>
            </w:pPr>
            <w:r w:rsidRPr="00863D0D">
              <w:rPr>
                <w:b/>
                <w:bCs/>
                <w:sz w:val="20"/>
              </w:rPr>
              <w:t>(N=148)</w:t>
            </w:r>
          </w:p>
        </w:tc>
        <w:tc>
          <w:tcPr>
            <w:tcW w:w="1561" w:type="dxa"/>
            <w:tcBorders>
              <w:bottom w:val="single" w:sz="4" w:space="0" w:color="auto"/>
            </w:tcBorders>
          </w:tcPr>
          <w:p w14:paraId="38E8C3E8" w14:textId="77777777" w:rsidR="0088323F" w:rsidRPr="00863D0D" w:rsidRDefault="0088323F" w:rsidP="00863D0D">
            <w:pPr>
              <w:pStyle w:val="BodyText"/>
              <w:rPr>
                <w:b/>
                <w:bCs/>
                <w:sz w:val="20"/>
              </w:rPr>
            </w:pPr>
            <w:r w:rsidRPr="00863D0D">
              <w:rPr>
                <w:b/>
                <w:bCs/>
                <w:sz w:val="20"/>
              </w:rPr>
              <w:t>Subset of POS with SGS (N=54)</w:t>
            </w:r>
          </w:p>
        </w:tc>
        <w:tc>
          <w:tcPr>
            <w:tcW w:w="1424" w:type="dxa"/>
            <w:tcBorders>
              <w:bottom w:val="single" w:sz="4" w:space="0" w:color="auto"/>
            </w:tcBorders>
          </w:tcPr>
          <w:p w14:paraId="21D57394" w14:textId="77777777" w:rsidR="00FC3381" w:rsidRDefault="00FC3381" w:rsidP="00FC3381">
            <w:pPr>
              <w:pStyle w:val="BodyText"/>
              <w:rPr>
                <w:b/>
                <w:bCs/>
                <w:sz w:val="20"/>
              </w:rPr>
            </w:pPr>
          </w:p>
          <w:p w14:paraId="0C5C30EA" w14:textId="77777777" w:rsidR="00FC3381" w:rsidRDefault="0088323F" w:rsidP="00FC3381">
            <w:pPr>
              <w:pStyle w:val="BodyText"/>
              <w:rPr>
                <w:b/>
                <w:bCs/>
                <w:sz w:val="20"/>
              </w:rPr>
            </w:pPr>
            <w:r w:rsidRPr="00863D0D">
              <w:rPr>
                <w:b/>
                <w:bCs/>
                <w:sz w:val="20"/>
              </w:rPr>
              <w:t>Total</w:t>
            </w:r>
          </w:p>
          <w:p w14:paraId="54B06921" w14:textId="7B7681BD" w:rsidR="0088323F" w:rsidRPr="00863D0D" w:rsidRDefault="0088323F" w:rsidP="00FC3381">
            <w:pPr>
              <w:pStyle w:val="BodyText"/>
              <w:rPr>
                <w:b/>
                <w:bCs/>
                <w:sz w:val="20"/>
              </w:rPr>
            </w:pPr>
            <w:r w:rsidRPr="00863D0D">
              <w:rPr>
                <w:b/>
                <w:bCs/>
                <w:sz w:val="20"/>
              </w:rPr>
              <w:t>(N=22)</w:t>
            </w:r>
          </w:p>
        </w:tc>
        <w:tc>
          <w:tcPr>
            <w:tcW w:w="1516" w:type="dxa"/>
            <w:tcBorders>
              <w:bottom w:val="single" w:sz="4" w:space="0" w:color="auto"/>
            </w:tcBorders>
          </w:tcPr>
          <w:p w14:paraId="0EBE0CA1" w14:textId="77777777" w:rsidR="0088323F" w:rsidRPr="00863D0D" w:rsidRDefault="0088323F" w:rsidP="00863D0D">
            <w:pPr>
              <w:pStyle w:val="BodyText"/>
              <w:rPr>
                <w:b/>
                <w:bCs/>
                <w:sz w:val="20"/>
              </w:rPr>
            </w:pPr>
            <w:r w:rsidRPr="00863D0D">
              <w:rPr>
                <w:b/>
                <w:bCs/>
                <w:sz w:val="20"/>
              </w:rPr>
              <w:t>Subset of PGTCS of IGE (N=19)</w:t>
            </w:r>
          </w:p>
        </w:tc>
      </w:tr>
      <w:tr w:rsidR="0088323F" w:rsidRPr="00863D0D" w14:paraId="3A5CCAF8" w14:textId="77777777" w:rsidTr="008D3834">
        <w:tc>
          <w:tcPr>
            <w:tcW w:w="8926" w:type="dxa"/>
            <w:gridSpan w:val="5"/>
            <w:tcBorders>
              <w:bottom w:val="single" w:sz="4" w:space="0" w:color="auto"/>
            </w:tcBorders>
          </w:tcPr>
          <w:p w14:paraId="45FA9CC3" w14:textId="77777777" w:rsidR="0088323F" w:rsidRPr="00023A60" w:rsidRDefault="0088323F" w:rsidP="00863D0D">
            <w:pPr>
              <w:pStyle w:val="BodyText"/>
              <w:rPr>
                <w:sz w:val="20"/>
              </w:rPr>
            </w:pPr>
            <w:r w:rsidRPr="00023A60">
              <w:rPr>
                <w:sz w:val="20"/>
              </w:rPr>
              <w:t>Median change in seizure frequency per 28 days from baseline</w:t>
            </w:r>
          </w:p>
        </w:tc>
      </w:tr>
      <w:tr w:rsidR="0088323F" w:rsidRPr="00863D0D" w14:paraId="4B802091" w14:textId="77777777" w:rsidTr="008D3834">
        <w:tc>
          <w:tcPr>
            <w:tcW w:w="2909" w:type="dxa"/>
            <w:tcBorders>
              <w:top w:val="single" w:sz="4" w:space="0" w:color="auto"/>
              <w:bottom w:val="nil"/>
            </w:tcBorders>
          </w:tcPr>
          <w:p w14:paraId="14E355AD" w14:textId="77777777" w:rsidR="0088323F" w:rsidRPr="00023A60" w:rsidRDefault="0088323F" w:rsidP="00863D0D">
            <w:pPr>
              <w:pStyle w:val="BodyText"/>
              <w:rPr>
                <w:sz w:val="20"/>
              </w:rPr>
            </w:pPr>
            <w:r w:rsidRPr="00023A60">
              <w:rPr>
                <w:sz w:val="20"/>
              </w:rPr>
              <w:t xml:space="preserve">    Treatment duration: 23 weeks</w:t>
            </w:r>
          </w:p>
        </w:tc>
        <w:tc>
          <w:tcPr>
            <w:tcW w:w="1516" w:type="dxa"/>
            <w:tcBorders>
              <w:top w:val="single" w:sz="4" w:space="0" w:color="auto"/>
              <w:bottom w:val="nil"/>
            </w:tcBorders>
          </w:tcPr>
          <w:p w14:paraId="705A8F8F" w14:textId="77777777" w:rsidR="0088323F" w:rsidRPr="00863D0D" w:rsidRDefault="0088323F" w:rsidP="00863D0D">
            <w:pPr>
              <w:pStyle w:val="BodyText"/>
              <w:rPr>
                <w:sz w:val="20"/>
                <w:szCs w:val="20"/>
              </w:rPr>
            </w:pPr>
            <w:r w:rsidRPr="00023A60">
              <w:rPr>
                <w:sz w:val="20"/>
                <w:szCs w:val="20"/>
              </w:rPr>
              <w:t>-40.1%</w:t>
            </w:r>
          </w:p>
        </w:tc>
        <w:tc>
          <w:tcPr>
            <w:tcW w:w="1561" w:type="dxa"/>
            <w:tcBorders>
              <w:top w:val="single" w:sz="4" w:space="0" w:color="auto"/>
              <w:bottom w:val="nil"/>
            </w:tcBorders>
          </w:tcPr>
          <w:p w14:paraId="5D424640" w14:textId="77777777" w:rsidR="0088323F" w:rsidRPr="00863D0D" w:rsidRDefault="0088323F" w:rsidP="00863D0D">
            <w:pPr>
              <w:pStyle w:val="BodyText"/>
              <w:rPr>
                <w:sz w:val="20"/>
                <w:szCs w:val="20"/>
              </w:rPr>
            </w:pPr>
            <w:r w:rsidRPr="00863D0D">
              <w:rPr>
                <w:sz w:val="20"/>
              </w:rPr>
              <w:noBreakHyphen/>
            </w:r>
            <w:r w:rsidRPr="00863D0D">
              <w:rPr>
                <w:sz w:val="20"/>
                <w:szCs w:val="20"/>
              </w:rPr>
              <w:t>58.7%</w:t>
            </w:r>
          </w:p>
        </w:tc>
        <w:tc>
          <w:tcPr>
            <w:tcW w:w="1424" w:type="dxa"/>
            <w:tcBorders>
              <w:top w:val="single" w:sz="4" w:space="0" w:color="auto"/>
              <w:bottom w:val="nil"/>
            </w:tcBorders>
          </w:tcPr>
          <w:p w14:paraId="528DF544" w14:textId="77777777" w:rsidR="0088323F" w:rsidRPr="00863D0D" w:rsidRDefault="0088323F" w:rsidP="00863D0D">
            <w:pPr>
              <w:pStyle w:val="BodyText"/>
              <w:rPr>
                <w:sz w:val="20"/>
                <w:szCs w:val="20"/>
              </w:rPr>
            </w:pPr>
            <w:r w:rsidRPr="00863D0D">
              <w:rPr>
                <w:sz w:val="20"/>
                <w:szCs w:val="20"/>
              </w:rPr>
              <w:noBreakHyphen/>
              <w:t>69.2%</w:t>
            </w:r>
          </w:p>
        </w:tc>
        <w:tc>
          <w:tcPr>
            <w:tcW w:w="1516" w:type="dxa"/>
            <w:tcBorders>
              <w:top w:val="single" w:sz="4" w:space="0" w:color="auto"/>
              <w:bottom w:val="nil"/>
            </w:tcBorders>
          </w:tcPr>
          <w:p w14:paraId="2B0720C0" w14:textId="77777777" w:rsidR="0088323F" w:rsidRPr="00863D0D" w:rsidRDefault="0088323F" w:rsidP="00863D0D">
            <w:pPr>
              <w:pStyle w:val="BodyText"/>
              <w:rPr>
                <w:sz w:val="20"/>
                <w:szCs w:val="20"/>
              </w:rPr>
            </w:pPr>
            <w:r w:rsidRPr="00863D0D">
              <w:rPr>
                <w:sz w:val="20"/>
                <w:szCs w:val="24"/>
              </w:rPr>
              <w:t>-56.5%</w:t>
            </w:r>
          </w:p>
        </w:tc>
      </w:tr>
      <w:tr w:rsidR="0088323F" w:rsidRPr="00863D0D" w14:paraId="10E82E0D" w14:textId="77777777" w:rsidTr="008D3834">
        <w:tc>
          <w:tcPr>
            <w:tcW w:w="2909" w:type="dxa"/>
            <w:tcBorders>
              <w:top w:val="nil"/>
            </w:tcBorders>
          </w:tcPr>
          <w:p w14:paraId="0D6E4B12" w14:textId="77777777" w:rsidR="0088323F" w:rsidRPr="00023A60" w:rsidRDefault="0088323F" w:rsidP="00863D0D">
            <w:pPr>
              <w:pStyle w:val="BodyText"/>
              <w:rPr>
                <w:sz w:val="20"/>
              </w:rPr>
            </w:pPr>
            <w:r w:rsidRPr="00023A60">
              <w:rPr>
                <w:sz w:val="20"/>
              </w:rPr>
              <w:t xml:space="preserve">    Treatment duration: 52 weeks</w:t>
            </w:r>
          </w:p>
        </w:tc>
        <w:tc>
          <w:tcPr>
            <w:tcW w:w="1516" w:type="dxa"/>
            <w:tcBorders>
              <w:top w:val="nil"/>
            </w:tcBorders>
          </w:tcPr>
          <w:p w14:paraId="5B42B6B2" w14:textId="77777777" w:rsidR="0088323F" w:rsidRPr="00863D0D" w:rsidRDefault="0088323F" w:rsidP="00863D0D">
            <w:pPr>
              <w:pStyle w:val="BodyText"/>
              <w:rPr>
                <w:sz w:val="20"/>
                <w:szCs w:val="20"/>
              </w:rPr>
            </w:pPr>
            <w:r w:rsidRPr="00863D0D">
              <w:rPr>
                <w:sz w:val="20"/>
                <w:szCs w:val="20"/>
              </w:rPr>
              <w:t>-46.1%</w:t>
            </w:r>
          </w:p>
        </w:tc>
        <w:tc>
          <w:tcPr>
            <w:tcW w:w="1561" w:type="dxa"/>
            <w:tcBorders>
              <w:top w:val="nil"/>
            </w:tcBorders>
          </w:tcPr>
          <w:p w14:paraId="2967BD9B" w14:textId="77777777" w:rsidR="0088323F" w:rsidRPr="00863D0D" w:rsidRDefault="0088323F" w:rsidP="00863D0D">
            <w:pPr>
              <w:pStyle w:val="BodyText"/>
              <w:rPr>
                <w:sz w:val="20"/>
                <w:szCs w:val="20"/>
              </w:rPr>
            </w:pPr>
            <w:r w:rsidRPr="00863D0D">
              <w:rPr>
                <w:sz w:val="20"/>
              </w:rPr>
              <w:t>-</w:t>
            </w:r>
            <w:r w:rsidRPr="00863D0D">
              <w:rPr>
                <w:sz w:val="20"/>
                <w:szCs w:val="20"/>
              </w:rPr>
              <w:t>62.8%</w:t>
            </w:r>
          </w:p>
        </w:tc>
        <w:tc>
          <w:tcPr>
            <w:tcW w:w="1424" w:type="dxa"/>
            <w:tcBorders>
              <w:top w:val="nil"/>
            </w:tcBorders>
          </w:tcPr>
          <w:p w14:paraId="0BE1AF37" w14:textId="77777777" w:rsidR="0088323F" w:rsidRPr="00863D0D" w:rsidRDefault="0088323F" w:rsidP="00863D0D">
            <w:pPr>
              <w:pStyle w:val="BodyText"/>
              <w:rPr>
                <w:sz w:val="20"/>
                <w:szCs w:val="20"/>
              </w:rPr>
            </w:pPr>
            <w:r w:rsidRPr="00863D0D">
              <w:rPr>
                <w:sz w:val="20"/>
                <w:szCs w:val="20"/>
              </w:rPr>
              <w:t>-47.9%</w:t>
            </w:r>
          </w:p>
        </w:tc>
        <w:tc>
          <w:tcPr>
            <w:tcW w:w="1516" w:type="dxa"/>
            <w:tcBorders>
              <w:top w:val="nil"/>
            </w:tcBorders>
          </w:tcPr>
          <w:p w14:paraId="6C0B8487" w14:textId="77777777" w:rsidR="0088323F" w:rsidRPr="00863D0D" w:rsidRDefault="0088323F" w:rsidP="00863D0D">
            <w:pPr>
              <w:pStyle w:val="BodyText"/>
              <w:rPr>
                <w:sz w:val="20"/>
                <w:szCs w:val="20"/>
              </w:rPr>
            </w:pPr>
            <w:r w:rsidRPr="00863D0D">
              <w:rPr>
                <w:sz w:val="20"/>
                <w:szCs w:val="20"/>
              </w:rPr>
              <w:t>-39.7%</w:t>
            </w:r>
          </w:p>
        </w:tc>
      </w:tr>
      <w:tr w:rsidR="0088323F" w:rsidRPr="00863D0D" w14:paraId="1DA069F6" w14:textId="77777777" w:rsidTr="008D3834">
        <w:tc>
          <w:tcPr>
            <w:tcW w:w="8926" w:type="dxa"/>
            <w:gridSpan w:val="5"/>
            <w:tcBorders>
              <w:bottom w:val="single" w:sz="4" w:space="0" w:color="auto"/>
            </w:tcBorders>
          </w:tcPr>
          <w:p w14:paraId="363B57B4" w14:textId="77777777" w:rsidR="0088323F" w:rsidRPr="00023A60" w:rsidRDefault="0088323F" w:rsidP="00863D0D">
            <w:pPr>
              <w:pStyle w:val="BodyText"/>
              <w:rPr>
                <w:sz w:val="20"/>
              </w:rPr>
            </w:pPr>
            <w:r w:rsidRPr="00023A60">
              <w:rPr>
                <w:sz w:val="20"/>
              </w:rPr>
              <w:t>50% Responder Rate</w:t>
            </w:r>
          </w:p>
        </w:tc>
      </w:tr>
      <w:tr w:rsidR="0088323F" w:rsidRPr="00863D0D" w14:paraId="4B15F334" w14:textId="77777777" w:rsidTr="008D3834">
        <w:tc>
          <w:tcPr>
            <w:tcW w:w="2909" w:type="dxa"/>
            <w:tcBorders>
              <w:bottom w:val="nil"/>
            </w:tcBorders>
          </w:tcPr>
          <w:p w14:paraId="2E0DC67A" w14:textId="77777777" w:rsidR="0088323F" w:rsidRPr="00023A60" w:rsidRDefault="0088323F" w:rsidP="00863D0D">
            <w:pPr>
              <w:pStyle w:val="BodyText"/>
              <w:rPr>
                <w:sz w:val="20"/>
              </w:rPr>
            </w:pPr>
            <w:r w:rsidRPr="00023A60">
              <w:rPr>
                <w:sz w:val="20"/>
              </w:rPr>
              <w:t xml:space="preserve">    Treatment duration: 23 weeks</w:t>
            </w:r>
          </w:p>
        </w:tc>
        <w:tc>
          <w:tcPr>
            <w:tcW w:w="1516" w:type="dxa"/>
            <w:tcBorders>
              <w:bottom w:val="nil"/>
            </w:tcBorders>
          </w:tcPr>
          <w:p w14:paraId="6184146E" w14:textId="77777777" w:rsidR="0088323F" w:rsidRPr="00863D0D" w:rsidRDefault="0088323F" w:rsidP="00863D0D">
            <w:pPr>
              <w:pStyle w:val="BodyText"/>
              <w:rPr>
                <w:sz w:val="20"/>
              </w:rPr>
            </w:pPr>
            <w:r w:rsidRPr="00863D0D">
              <w:rPr>
                <w:sz w:val="20"/>
                <w:szCs w:val="20"/>
              </w:rPr>
              <w:t>46.6%</w:t>
            </w:r>
          </w:p>
        </w:tc>
        <w:tc>
          <w:tcPr>
            <w:tcW w:w="1561" w:type="dxa"/>
            <w:tcBorders>
              <w:bottom w:val="nil"/>
            </w:tcBorders>
          </w:tcPr>
          <w:p w14:paraId="23109F32" w14:textId="77777777" w:rsidR="0088323F" w:rsidRPr="00863D0D" w:rsidRDefault="0088323F" w:rsidP="00863D0D">
            <w:pPr>
              <w:pStyle w:val="BodyText"/>
              <w:rPr>
                <w:sz w:val="20"/>
              </w:rPr>
            </w:pPr>
            <w:r w:rsidRPr="00863D0D">
              <w:rPr>
                <w:sz w:val="20"/>
                <w:szCs w:val="20"/>
              </w:rPr>
              <w:t>64.8%</w:t>
            </w:r>
          </w:p>
        </w:tc>
        <w:tc>
          <w:tcPr>
            <w:tcW w:w="1424" w:type="dxa"/>
            <w:tcBorders>
              <w:bottom w:val="nil"/>
            </w:tcBorders>
          </w:tcPr>
          <w:p w14:paraId="4FB815D5" w14:textId="77777777" w:rsidR="0088323F" w:rsidRPr="00863D0D" w:rsidRDefault="0088323F" w:rsidP="00863D0D">
            <w:pPr>
              <w:pStyle w:val="BodyText"/>
              <w:rPr>
                <w:sz w:val="20"/>
              </w:rPr>
            </w:pPr>
            <w:r w:rsidRPr="00863D0D">
              <w:rPr>
                <w:sz w:val="20"/>
                <w:szCs w:val="20"/>
              </w:rPr>
              <w:t>63.6%</w:t>
            </w:r>
          </w:p>
        </w:tc>
        <w:tc>
          <w:tcPr>
            <w:tcW w:w="1516" w:type="dxa"/>
            <w:tcBorders>
              <w:bottom w:val="nil"/>
            </w:tcBorders>
          </w:tcPr>
          <w:p w14:paraId="642A6FF5" w14:textId="77777777" w:rsidR="0088323F" w:rsidRPr="00863D0D" w:rsidRDefault="0088323F" w:rsidP="00863D0D">
            <w:pPr>
              <w:pStyle w:val="BodyText"/>
              <w:rPr>
                <w:sz w:val="20"/>
              </w:rPr>
            </w:pPr>
            <w:r w:rsidRPr="00863D0D">
              <w:rPr>
                <w:sz w:val="20"/>
                <w:szCs w:val="20"/>
              </w:rPr>
              <w:t>63.2%</w:t>
            </w:r>
          </w:p>
        </w:tc>
      </w:tr>
      <w:tr w:rsidR="0088323F" w:rsidRPr="00863D0D" w14:paraId="4734F1C4" w14:textId="77777777" w:rsidTr="008D3834">
        <w:tc>
          <w:tcPr>
            <w:tcW w:w="2909" w:type="dxa"/>
            <w:tcBorders>
              <w:top w:val="nil"/>
            </w:tcBorders>
          </w:tcPr>
          <w:p w14:paraId="241FECA1" w14:textId="77777777" w:rsidR="0088323F" w:rsidRPr="00863D0D" w:rsidRDefault="0088323F" w:rsidP="00863D0D">
            <w:pPr>
              <w:pStyle w:val="BodyText"/>
              <w:rPr>
                <w:sz w:val="20"/>
              </w:rPr>
            </w:pPr>
            <w:r w:rsidRPr="00863D0D">
              <w:rPr>
                <w:sz w:val="20"/>
              </w:rPr>
              <w:t xml:space="preserve">    Treatment duration: 52 weeks</w:t>
            </w:r>
          </w:p>
        </w:tc>
        <w:tc>
          <w:tcPr>
            <w:tcW w:w="1516" w:type="dxa"/>
            <w:tcBorders>
              <w:top w:val="nil"/>
            </w:tcBorders>
          </w:tcPr>
          <w:p w14:paraId="77C5B50D" w14:textId="77777777" w:rsidR="0088323F" w:rsidRPr="00863D0D" w:rsidRDefault="0088323F" w:rsidP="00863D0D">
            <w:pPr>
              <w:pStyle w:val="BodyText"/>
              <w:rPr>
                <w:sz w:val="20"/>
              </w:rPr>
            </w:pPr>
            <w:r w:rsidRPr="00863D0D">
              <w:rPr>
                <w:sz w:val="20"/>
                <w:szCs w:val="20"/>
              </w:rPr>
              <w:t>45.9%</w:t>
            </w:r>
          </w:p>
        </w:tc>
        <w:tc>
          <w:tcPr>
            <w:tcW w:w="1561" w:type="dxa"/>
            <w:tcBorders>
              <w:top w:val="nil"/>
            </w:tcBorders>
          </w:tcPr>
          <w:p w14:paraId="76BFA862" w14:textId="77777777" w:rsidR="0088323F" w:rsidRPr="00863D0D" w:rsidRDefault="0088323F" w:rsidP="00863D0D">
            <w:pPr>
              <w:pStyle w:val="BodyText"/>
              <w:rPr>
                <w:sz w:val="20"/>
              </w:rPr>
            </w:pPr>
            <w:r w:rsidRPr="00863D0D">
              <w:rPr>
                <w:sz w:val="20"/>
                <w:szCs w:val="20"/>
              </w:rPr>
              <w:t>66.7%</w:t>
            </w:r>
          </w:p>
        </w:tc>
        <w:tc>
          <w:tcPr>
            <w:tcW w:w="1424" w:type="dxa"/>
            <w:tcBorders>
              <w:top w:val="nil"/>
            </w:tcBorders>
          </w:tcPr>
          <w:p w14:paraId="31ABB0C3" w14:textId="77777777" w:rsidR="0088323F" w:rsidRPr="00863D0D" w:rsidRDefault="0088323F" w:rsidP="00863D0D">
            <w:pPr>
              <w:pStyle w:val="BodyText"/>
              <w:rPr>
                <w:sz w:val="20"/>
              </w:rPr>
            </w:pPr>
            <w:r w:rsidRPr="00863D0D">
              <w:rPr>
                <w:sz w:val="20"/>
                <w:szCs w:val="20"/>
              </w:rPr>
              <w:t>45.5%</w:t>
            </w:r>
          </w:p>
        </w:tc>
        <w:tc>
          <w:tcPr>
            <w:tcW w:w="1516" w:type="dxa"/>
            <w:tcBorders>
              <w:top w:val="nil"/>
            </w:tcBorders>
          </w:tcPr>
          <w:p w14:paraId="22A8F7BE" w14:textId="77777777" w:rsidR="0088323F" w:rsidRPr="00863D0D" w:rsidRDefault="0088323F" w:rsidP="00863D0D">
            <w:pPr>
              <w:pStyle w:val="BodyText"/>
              <w:rPr>
                <w:sz w:val="20"/>
              </w:rPr>
            </w:pPr>
            <w:r w:rsidRPr="00863D0D">
              <w:rPr>
                <w:sz w:val="20"/>
                <w:szCs w:val="20"/>
              </w:rPr>
              <w:t>42.1%</w:t>
            </w:r>
          </w:p>
        </w:tc>
      </w:tr>
    </w:tbl>
    <w:bookmarkEnd w:id="14"/>
    <w:p w14:paraId="4FEE61AF" w14:textId="5E2E0754" w:rsidR="000A401A" w:rsidRDefault="00CE685F" w:rsidP="00527070">
      <w:pPr>
        <w:pStyle w:val="BodyText"/>
        <w:spacing w:before="240" w:after="240"/>
      </w:pPr>
      <w:r>
        <w:t xml:space="preserve">Following 23 </w:t>
      </w:r>
      <w:r w:rsidR="003F5607">
        <w:t>weeks of perampanel treatment, 42.6% of patients with partial-onset seizures, 43.7% in the subset of partial-onset seizure patients with secondarily generalized seizures, 34.8% of patients with primary generalized tonic-clonic seizures, and 35.3% in the subset of primary generalized tonic-clonic seizures of idiopathic generalized epilepsy (IGE) patients were very much improved or much improved compared to baseline, as assessed by Clinical Global Impression of Change (CGIC). The treatment effects on the CGIC observed above were sustained following 52 weeks of perampanel treatment.</w:t>
      </w:r>
    </w:p>
    <w:p w14:paraId="72DE8209" w14:textId="1A676D8A" w:rsidR="0015665E" w:rsidRPr="003F5607" w:rsidRDefault="00FE2C69" w:rsidP="00527070">
      <w:pPr>
        <w:pStyle w:val="BodyText"/>
        <w:spacing w:after="240"/>
        <w:rPr>
          <w:rFonts w:eastAsiaTheme="minorEastAsia"/>
          <w:lang w:val="en-US"/>
        </w:rPr>
      </w:pPr>
      <w:r>
        <w:rPr>
          <w:rFonts w:eastAsiaTheme="minorEastAsia"/>
          <w:lang w:val="en-US"/>
        </w:rPr>
        <w:t xml:space="preserve">There is limited long term safety data in children below 12 years of age. </w:t>
      </w:r>
      <w:r w:rsidR="0015665E" w:rsidRPr="003F5607">
        <w:rPr>
          <w:rFonts w:eastAsiaTheme="minorEastAsia"/>
          <w:lang w:val="en-US"/>
        </w:rPr>
        <w:t xml:space="preserve">The safety and efficacy of FYCOMPA in children below </w:t>
      </w:r>
      <w:r>
        <w:rPr>
          <w:rFonts w:eastAsiaTheme="minorEastAsia"/>
          <w:lang w:val="en-US"/>
        </w:rPr>
        <w:t>4</w:t>
      </w:r>
      <w:r w:rsidR="0015665E" w:rsidRPr="003F5607">
        <w:rPr>
          <w:rFonts w:eastAsiaTheme="minorEastAsia"/>
          <w:lang w:val="en-US"/>
        </w:rPr>
        <w:t xml:space="preserve"> years of age have not been established yet. </w:t>
      </w:r>
    </w:p>
    <w:p w14:paraId="010EEA9D" w14:textId="77777777" w:rsidR="00D85D9B" w:rsidRPr="003F5607" w:rsidRDefault="00D85D9B" w:rsidP="006938FD">
      <w:pPr>
        <w:pStyle w:val="Heading2"/>
        <w:rPr>
          <w:lang w:val="en-US"/>
        </w:rPr>
      </w:pPr>
      <w:bookmarkStart w:id="15" w:name="_Ref2178479"/>
      <w:r w:rsidRPr="003F5607">
        <w:rPr>
          <w:lang w:val="en-US"/>
        </w:rPr>
        <w:t>Pharmacokinetic properties</w:t>
      </w:r>
      <w:bookmarkEnd w:id="15"/>
      <w:r w:rsidRPr="003F5607">
        <w:rPr>
          <w:lang w:val="en-US"/>
        </w:rPr>
        <w:t xml:space="preserve"> </w:t>
      </w:r>
    </w:p>
    <w:p w14:paraId="344B3671" w14:textId="2A49C897" w:rsidR="004D7A69" w:rsidRPr="003F5607" w:rsidRDefault="004D7A69" w:rsidP="00527070">
      <w:pPr>
        <w:pStyle w:val="BodyText"/>
        <w:spacing w:after="240"/>
        <w:rPr>
          <w:rFonts w:eastAsiaTheme="minorEastAsia"/>
          <w:lang w:val="en-US"/>
        </w:rPr>
      </w:pPr>
      <w:r w:rsidRPr="003F5607">
        <w:rPr>
          <w:rFonts w:eastAsiaTheme="minorEastAsia"/>
          <w:lang w:val="en-US"/>
        </w:rPr>
        <w:t>The pharmacokinetics of perampanel have been studied in healthy adult subjects (age range 18 to 79)</w:t>
      </w:r>
      <w:r w:rsidR="008B6437">
        <w:rPr>
          <w:rFonts w:eastAsiaTheme="minorEastAsia"/>
          <w:lang w:val="en-US"/>
        </w:rPr>
        <w:t xml:space="preserve">, </w:t>
      </w:r>
      <w:r w:rsidR="00FC3381">
        <w:rPr>
          <w:rFonts w:eastAsiaTheme="minorEastAsia"/>
          <w:lang w:val="en-US"/>
        </w:rPr>
        <w:t xml:space="preserve">subjects </w:t>
      </w:r>
      <w:r w:rsidR="00FC3381" w:rsidRPr="003F5607">
        <w:rPr>
          <w:rFonts w:eastAsiaTheme="minorEastAsia"/>
          <w:lang w:val="en-US"/>
        </w:rPr>
        <w:t>with hepatic impairment</w:t>
      </w:r>
      <w:r w:rsidR="00FC3381">
        <w:rPr>
          <w:rFonts w:eastAsiaTheme="minorEastAsia"/>
          <w:lang w:val="en-US"/>
        </w:rPr>
        <w:t xml:space="preserve">, and </w:t>
      </w:r>
      <w:r w:rsidR="008B6437">
        <w:rPr>
          <w:rFonts w:eastAsiaTheme="minorEastAsia"/>
          <w:lang w:val="en-US"/>
        </w:rPr>
        <w:t>adults, adolescents, and p</w:t>
      </w:r>
      <w:r w:rsidR="00B90B34">
        <w:rPr>
          <w:rFonts w:eastAsiaTheme="minorEastAsia"/>
          <w:lang w:val="en-US"/>
        </w:rPr>
        <w:t>a</w:t>
      </w:r>
      <w:r w:rsidR="008B6437">
        <w:rPr>
          <w:rFonts w:eastAsiaTheme="minorEastAsia"/>
          <w:lang w:val="en-US"/>
        </w:rPr>
        <w:t>ediatric patients</w:t>
      </w:r>
      <w:r w:rsidRPr="003F5607">
        <w:rPr>
          <w:rFonts w:eastAsiaTheme="minorEastAsia"/>
          <w:lang w:val="en-US"/>
        </w:rPr>
        <w:t xml:space="preserve"> </w:t>
      </w:r>
      <w:r w:rsidR="008B6437" w:rsidRPr="005C4183">
        <w:rPr>
          <w:rFonts w:eastAsia="Times New Roman"/>
        </w:rPr>
        <w:t>with partial</w:t>
      </w:r>
      <w:r w:rsidR="008B6437">
        <w:rPr>
          <w:rFonts w:eastAsia="Times New Roman"/>
        </w:rPr>
        <w:noBreakHyphen/>
      </w:r>
      <w:r w:rsidR="008B6437" w:rsidRPr="005C4183">
        <w:rPr>
          <w:rFonts w:eastAsia="Times New Roman"/>
        </w:rPr>
        <w:t>onset seizures and primary generalised tonic</w:t>
      </w:r>
      <w:r w:rsidR="008B6437">
        <w:rPr>
          <w:rFonts w:eastAsia="Times New Roman"/>
        </w:rPr>
        <w:noBreakHyphen/>
      </w:r>
      <w:r w:rsidR="008B6437" w:rsidRPr="005C4183">
        <w:rPr>
          <w:rFonts w:eastAsia="Times New Roman"/>
        </w:rPr>
        <w:t>clonic seizures</w:t>
      </w:r>
      <w:r w:rsidRPr="003F5607">
        <w:rPr>
          <w:rFonts w:eastAsiaTheme="minorEastAsia"/>
          <w:lang w:val="en-US"/>
        </w:rPr>
        <w:t xml:space="preserve">. </w:t>
      </w:r>
    </w:p>
    <w:p w14:paraId="41095116" w14:textId="77777777" w:rsidR="004D7A69" w:rsidRPr="003F5607" w:rsidRDefault="004D7A69" w:rsidP="006938FD">
      <w:pPr>
        <w:pStyle w:val="Heading3"/>
        <w:rPr>
          <w:lang w:val="en-US"/>
        </w:rPr>
      </w:pPr>
      <w:r w:rsidRPr="003F5607">
        <w:rPr>
          <w:lang w:val="en-US"/>
        </w:rPr>
        <w:t>Absorption</w:t>
      </w:r>
    </w:p>
    <w:p w14:paraId="1D789DD9" w14:textId="77777777" w:rsidR="004D7A69" w:rsidRPr="003F5607" w:rsidRDefault="004D7A69" w:rsidP="00527070">
      <w:pPr>
        <w:pStyle w:val="BodyText"/>
        <w:spacing w:after="240"/>
        <w:rPr>
          <w:rFonts w:eastAsiaTheme="minorEastAsia"/>
          <w:lang w:val="en-US"/>
        </w:rPr>
      </w:pPr>
      <w:r w:rsidRPr="003F5607">
        <w:rPr>
          <w:rFonts w:eastAsiaTheme="minorEastAsia"/>
          <w:lang w:val="en-US"/>
        </w:rPr>
        <w:t>Perampanel is around 100% bioavailable. Median T</w:t>
      </w:r>
      <w:r w:rsidRPr="006938FD">
        <w:rPr>
          <w:rFonts w:eastAsiaTheme="minorEastAsia"/>
          <w:vertAlign w:val="subscript"/>
          <w:lang w:val="en-US"/>
        </w:rPr>
        <w:t>max</w:t>
      </w:r>
      <w:r w:rsidRPr="003F5607">
        <w:rPr>
          <w:rFonts w:eastAsiaTheme="minorEastAsia"/>
          <w:lang w:val="en-US"/>
        </w:rPr>
        <w:t xml:space="preserve"> range from 0.5 to 2.5 hours under fasted conditions. </w:t>
      </w:r>
    </w:p>
    <w:p w14:paraId="0640E50B" w14:textId="77777777" w:rsidR="00B9554C" w:rsidRDefault="004D7A69" w:rsidP="00527070">
      <w:pPr>
        <w:pStyle w:val="BodyText"/>
        <w:spacing w:after="240"/>
      </w:pPr>
      <w:r w:rsidRPr="003F5607">
        <w:rPr>
          <w:rFonts w:eastAsiaTheme="minorEastAsia"/>
          <w:lang w:val="en-US"/>
        </w:rPr>
        <w:t xml:space="preserve">Perampanel is readily absorbed after oral administration with no evidence of marked first-pass metabolism. Food does not affect the extent of absorption, but slows the rate of absorption. When administered with food, peak plasma concentrations are reduced and delayed by </w:t>
      </w:r>
      <w:r>
        <w:t>2 hours compared with dosing in a fasted state.</w:t>
      </w:r>
    </w:p>
    <w:p w14:paraId="3E538CD6" w14:textId="6BA109AB" w:rsidR="004D7A69" w:rsidRDefault="00B9554C" w:rsidP="00527070">
      <w:pPr>
        <w:pStyle w:val="BodyText"/>
        <w:spacing w:after="240"/>
      </w:pPr>
      <w:r>
        <w:t xml:space="preserve">FYCOMPA </w:t>
      </w:r>
      <w:r w:rsidRPr="00B9554C">
        <w:t xml:space="preserve">oral suspension is bioequivalent on a mg per mg basis to </w:t>
      </w:r>
      <w:r>
        <w:t>FYCOMPA film</w:t>
      </w:r>
      <w:r>
        <w:noBreakHyphen/>
        <w:t>coated</w:t>
      </w:r>
      <w:r w:rsidRPr="00B9554C">
        <w:t xml:space="preserve"> tablets under fasted conditions. When a single 12 mg dose of both formulations was administered with a high fat meal,</w:t>
      </w:r>
      <w:r>
        <w:t xml:space="preserve"> FYCOMPA</w:t>
      </w:r>
      <w:r w:rsidRPr="00B9554C">
        <w:t xml:space="preserve"> oral suspension achieves equivalent AUC</w:t>
      </w:r>
      <w:r w:rsidRPr="00B9554C">
        <w:rPr>
          <w:vertAlign w:val="subscript"/>
        </w:rPr>
        <w:t>0-inf</w:t>
      </w:r>
      <w:r w:rsidRPr="00B9554C">
        <w:t xml:space="preserve"> and approximately 23 % lower C</w:t>
      </w:r>
      <w:r w:rsidRPr="00B9554C">
        <w:rPr>
          <w:vertAlign w:val="subscript"/>
        </w:rPr>
        <w:t>max</w:t>
      </w:r>
      <w:r w:rsidRPr="00B9554C">
        <w:t xml:space="preserve"> and 2 hours delay in time to peak exposure (</w:t>
      </w:r>
      <w:r w:rsidR="004635FA">
        <w:t>T</w:t>
      </w:r>
      <w:r w:rsidRPr="00B9554C">
        <w:rPr>
          <w:vertAlign w:val="subscript"/>
        </w:rPr>
        <w:t>max</w:t>
      </w:r>
      <w:r w:rsidRPr="00B9554C">
        <w:t xml:space="preserve">) compared to the </w:t>
      </w:r>
      <w:r>
        <w:t xml:space="preserve">film-coated </w:t>
      </w:r>
      <w:r w:rsidRPr="00B9554C">
        <w:t>tablet formulation. However, population pharmacokinetic analysis demonstrated that under simulated steady state exposure conditions, C</w:t>
      </w:r>
      <w:r w:rsidRPr="00B9554C">
        <w:rPr>
          <w:vertAlign w:val="subscript"/>
        </w:rPr>
        <w:t>max</w:t>
      </w:r>
      <w:r w:rsidRPr="00B9554C">
        <w:t xml:space="preserve"> and AUC, of</w:t>
      </w:r>
      <w:r>
        <w:t xml:space="preserve"> FYCOMPA</w:t>
      </w:r>
      <w:r w:rsidRPr="00B9554C">
        <w:t xml:space="preserve"> oral suspension were bioequivalent to the </w:t>
      </w:r>
      <w:r>
        <w:t xml:space="preserve">film-coated </w:t>
      </w:r>
      <w:r w:rsidRPr="00B9554C">
        <w:t>tablet formulation under both fasted and fed conditions.</w:t>
      </w:r>
      <w:r w:rsidR="004D7A69">
        <w:t xml:space="preserve"> </w:t>
      </w:r>
    </w:p>
    <w:p w14:paraId="6BBC3FC5" w14:textId="50B5E962" w:rsidR="00EA6F6D" w:rsidRPr="006938FD" w:rsidRDefault="00EA6F6D" w:rsidP="00F952B8">
      <w:pPr>
        <w:pStyle w:val="BodyText"/>
        <w:spacing w:after="240"/>
      </w:pPr>
      <w:r w:rsidRPr="00EA6F6D">
        <w:t xml:space="preserve">When coadministered with </w:t>
      </w:r>
      <w:r w:rsidRPr="00EA6F6D">
        <w:rPr>
          <w:rFonts w:hint="eastAsia"/>
        </w:rPr>
        <w:t xml:space="preserve">a </w:t>
      </w:r>
      <w:r w:rsidRPr="00EA6F6D">
        <w:t>high fat meal, C</w:t>
      </w:r>
      <w:r w:rsidRPr="006938FD">
        <w:rPr>
          <w:vertAlign w:val="subscript"/>
        </w:rPr>
        <w:t>max</w:t>
      </w:r>
      <w:r w:rsidRPr="00EA6F6D">
        <w:t xml:space="preserve"> and AUC</w:t>
      </w:r>
      <w:r w:rsidRPr="00BF50A2">
        <w:rPr>
          <w:vertAlign w:val="subscript"/>
        </w:rPr>
        <w:t>0-inf</w:t>
      </w:r>
      <w:r w:rsidR="00B90B34">
        <w:t xml:space="preserve"> </w:t>
      </w:r>
      <w:r w:rsidRPr="00EA6F6D">
        <w:t>of a single 12</w:t>
      </w:r>
      <w:r w:rsidRPr="00EA6F6D">
        <w:noBreakHyphen/>
        <w:t>mg dose of perampanel oral suspension were approximately 22% and 13%, respectively, lower compared to fasted conditions.</w:t>
      </w:r>
    </w:p>
    <w:p w14:paraId="3579DCC1" w14:textId="77777777" w:rsidR="004D7A69" w:rsidRDefault="004D7A69" w:rsidP="004D7A69">
      <w:pPr>
        <w:pStyle w:val="Heading3"/>
      </w:pPr>
      <w:r>
        <w:t>Distribution</w:t>
      </w:r>
    </w:p>
    <w:p w14:paraId="1F16B7E0" w14:textId="1BFCC389" w:rsidR="004D7A69" w:rsidRDefault="004D7A69" w:rsidP="00F952B8">
      <w:pPr>
        <w:pStyle w:val="BodyText"/>
        <w:spacing w:after="240"/>
      </w:pPr>
      <w:r>
        <w:t>Data from in vitro studies indicate that perampanel is approximately 95% bound to plasma proteins.</w:t>
      </w:r>
    </w:p>
    <w:p w14:paraId="4598C519" w14:textId="77777777" w:rsidR="004D7A69" w:rsidRDefault="004D7A69" w:rsidP="00F952B8">
      <w:pPr>
        <w:pStyle w:val="BodyText"/>
        <w:spacing w:after="240"/>
      </w:pPr>
      <w:r>
        <w:t>In vitro studies show that perampanel is not a substrate or significant inhibitor of organic anion transporting polypeptides (OATP) 1B1 and 1B3, organic anion transporters (OAT) 1, 2, 3, and 4, organic cation transporters (OCT) 1, 2, and 3</w:t>
      </w:r>
      <w:r w:rsidR="002C5F91">
        <w:t>, and the efflux transporters P</w:t>
      </w:r>
      <w:r w:rsidR="002C5F91">
        <w:noBreakHyphen/>
      </w:r>
      <w:r>
        <w:t xml:space="preserve">glycoprotein and Breast Cancer Resistance Protein (BCRP). </w:t>
      </w:r>
    </w:p>
    <w:p w14:paraId="4D4E1562" w14:textId="77777777" w:rsidR="004D7A69" w:rsidRDefault="004D7A69" w:rsidP="004D7A69">
      <w:pPr>
        <w:pStyle w:val="Heading3"/>
      </w:pPr>
      <w:r>
        <w:t>Metabolism</w:t>
      </w:r>
    </w:p>
    <w:p w14:paraId="4797390D" w14:textId="77777777" w:rsidR="004D7A69" w:rsidRDefault="004D7A69" w:rsidP="00F952B8">
      <w:pPr>
        <w:pStyle w:val="BodyText"/>
        <w:spacing w:after="240"/>
      </w:pPr>
      <w:r>
        <w:t xml:space="preserve">Perampanel is extensively metabolised via primary oxidation and sequential glucuronidation. Primary oxidative metabolism is mediated by CYP3A based on results of in vitro studies using recombinant human CYPs and human liver microsomes. However, the metabolism has not been completely elucidated and other pathways cannot be excluded. </w:t>
      </w:r>
    </w:p>
    <w:p w14:paraId="04CBF548" w14:textId="77777777" w:rsidR="004D7A69" w:rsidRDefault="004D7A69" w:rsidP="00F952B8">
      <w:pPr>
        <w:pStyle w:val="BodyText"/>
        <w:spacing w:after="240"/>
      </w:pPr>
      <w:r>
        <w:t xml:space="preserve">Following administration of radiolabeled perampanel, only trace amounts of perampanel metabolites were observed in plasma. </w:t>
      </w:r>
    </w:p>
    <w:p w14:paraId="0FF578E9" w14:textId="77777777" w:rsidR="004D7A69" w:rsidRDefault="004D7A69" w:rsidP="004D7A69">
      <w:pPr>
        <w:pStyle w:val="Heading3"/>
      </w:pPr>
      <w:r>
        <w:t>Excretion</w:t>
      </w:r>
    </w:p>
    <w:p w14:paraId="572C325F" w14:textId="77777777" w:rsidR="004D7A69" w:rsidRDefault="004D7A69" w:rsidP="00F952B8">
      <w:pPr>
        <w:pStyle w:val="BodyText"/>
        <w:spacing w:after="240"/>
      </w:pPr>
      <w:r>
        <w:t>Following administration of a radiolabeled perampanel dose to 8 healthy elderly subjects, 30% of recovered radioactivity was found in the urine and 70% in the faeces. In urine and faeces, recovered radioactivity was primarily composed of a mixture of oxidative and conjugated metabolites. In a population pharmacokinetic analysis of pooled data from 19 Phase 1 studies, the average t</w:t>
      </w:r>
      <w:r w:rsidRPr="002C5F91">
        <w:rPr>
          <w:vertAlign w:val="subscript"/>
        </w:rPr>
        <w:t>1/2</w:t>
      </w:r>
      <w:r>
        <w:t xml:space="preserve"> of perampanel was 105 hours. When dosed in combination with the strong CYP3A inducer carbamazepine, the average t</w:t>
      </w:r>
      <w:r w:rsidRPr="002C5F91">
        <w:rPr>
          <w:vertAlign w:val="subscript"/>
        </w:rPr>
        <w:t>1/2</w:t>
      </w:r>
      <w:r>
        <w:t xml:space="preserve"> was 25 hours.</w:t>
      </w:r>
    </w:p>
    <w:p w14:paraId="5DE03FAE" w14:textId="77777777" w:rsidR="004D7A69" w:rsidRDefault="004D7A69" w:rsidP="004D7A69">
      <w:pPr>
        <w:pStyle w:val="Heading3"/>
      </w:pPr>
      <w:r>
        <w:t>Linearity/non-linearity</w:t>
      </w:r>
    </w:p>
    <w:p w14:paraId="397D2474" w14:textId="4AE60D26" w:rsidR="00E8356F" w:rsidRPr="00E8356F" w:rsidRDefault="00E8356F" w:rsidP="00F952B8">
      <w:pPr>
        <w:pStyle w:val="BodyText"/>
        <w:spacing w:after="240"/>
      </w:pPr>
      <w:r w:rsidRPr="00E8356F">
        <w:t>In a population PK analysis on pooled data from twenty Phase 1 studies in healthy subjects receiving perampanel between 0.2 and 36 mg either as single or multiple doses, one Phase 2 and five Phase 3 studies in patients with partial-onset seizure receiving perampanel between 2 and 16 mg/day and two Phase 3 studies in patients with primary generalised tonic</w:t>
      </w:r>
      <w:r w:rsidRPr="00E8356F">
        <w:noBreakHyphen/>
        <w:t>clonic seizures receiving perampanel between 2 and 14 mg/day a linear relationship was found between dose and perampanel plasma concentrations.</w:t>
      </w:r>
      <w:r w:rsidR="006A46D9">
        <w:t xml:space="preserve"> </w:t>
      </w:r>
      <w:r w:rsidR="006A46D9" w:rsidRPr="006A46D9">
        <w:t>Dose linearity was demonstrated in the population PK analysis for doses between 0.2 and 36 mg.</w:t>
      </w:r>
    </w:p>
    <w:p w14:paraId="0D21C276" w14:textId="77777777" w:rsidR="004D7A69" w:rsidRDefault="004D7A69" w:rsidP="004D7A69">
      <w:pPr>
        <w:pStyle w:val="Heading3"/>
      </w:pPr>
      <w:r>
        <w:t xml:space="preserve">Special populations </w:t>
      </w:r>
    </w:p>
    <w:p w14:paraId="632DD96B" w14:textId="77777777" w:rsidR="004D7A69" w:rsidRDefault="004D7A69" w:rsidP="004D7A69">
      <w:pPr>
        <w:pStyle w:val="Heading4"/>
      </w:pPr>
      <w:r>
        <w:t xml:space="preserve">Hepatic impairment </w:t>
      </w:r>
    </w:p>
    <w:p w14:paraId="70FAD2AE" w14:textId="6657CEE4" w:rsidR="004D7A69" w:rsidRDefault="004D7A69" w:rsidP="00F952B8">
      <w:pPr>
        <w:pStyle w:val="BodyText"/>
        <w:spacing w:after="240"/>
      </w:pPr>
      <w:r>
        <w:t xml:space="preserve">The pharmacokinetics of perampanel following a single 1 mg dose were evaluated in 12 </w:t>
      </w:r>
      <w:r w:rsidR="009667FA">
        <w:t>adult</w:t>
      </w:r>
      <w:r>
        <w:t xml:space="preserve">s with mild and moderate hepatic impairment (Child-Pugh A and B, respectively) compared with 12 healthy, demographically matched </w:t>
      </w:r>
      <w:r w:rsidR="009667FA">
        <w:t>adults</w:t>
      </w:r>
      <w:r>
        <w:t xml:space="preserve">. The mean apparent clearance of unbound perampanel in mildly impaired subjects was 188 </w:t>
      </w:r>
      <w:r w:rsidR="00660D53">
        <w:t>mL</w:t>
      </w:r>
      <w:r>
        <w:t xml:space="preserve">/min vs. 338 </w:t>
      </w:r>
      <w:r w:rsidR="00660D53">
        <w:t>mL</w:t>
      </w:r>
      <w:r>
        <w:t xml:space="preserve">/min in matched controls, and in moderately impaired subjects was 120 </w:t>
      </w:r>
      <w:r w:rsidR="00660D53">
        <w:t>mL</w:t>
      </w:r>
      <w:r>
        <w:t xml:space="preserve">/min vs. 392 </w:t>
      </w:r>
      <w:r w:rsidR="00660D53">
        <w:t>mL</w:t>
      </w:r>
      <w:r>
        <w:t>/min in matched controls. The t</w:t>
      </w:r>
      <w:r w:rsidRPr="002C5F91">
        <w:rPr>
          <w:vertAlign w:val="subscript"/>
        </w:rPr>
        <w:t>1/2</w:t>
      </w:r>
      <w:r>
        <w:t xml:space="preserve"> was longer in mildly impaired (306 h vs. 125 h) and moderately impaired (295 h vs. 139 h) subjects compared to matched healthy subjects. </w:t>
      </w:r>
      <w:r w:rsidR="009667FA" w:rsidRPr="00276B72">
        <w:t>FYCOMPA has not been studied in paediatric patients with hepatic impairment</w:t>
      </w:r>
      <w:r w:rsidR="004C1EFE">
        <w:t xml:space="preserve"> </w:t>
      </w:r>
      <w:r w:rsidR="009667FA" w:rsidRPr="00276B72">
        <w:t>(</w:t>
      </w:r>
      <w:r w:rsidR="009667FA">
        <w:t>s</w:t>
      </w:r>
      <w:r w:rsidR="009667FA" w:rsidRPr="00276B72">
        <w:t xml:space="preserve">ee Section </w:t>
      </w:r>
      <w:r w:rsidR="009667FA" w:rsidRPr="00276B72">
        <w:fldChar w:fldCharType="begin"/>
      </w:r>
      <w:r w:rsidR="009667FA" w:rsidRPr="00276B72">
        <w:instrText xml:space="preserve"> REF _Ref503529038 \r \h </w:instrText>
      </w:r>
      <w:r w:rsidR="009667FA">
        <w:rPr>
          <w:highlight w:val="yellow"/>
        </w:rPr>
        <w:instrText xml:space="preserve"> \* MERGEFORMAT </w:instrText>
      </w:r>
      <w:r w:rsidR="009667FA" w:rsidRPr="00276B72">
        <w:fldChar w:fldCharType="separate"/>
      </w:r>
      <w:r w:rsidR="007B3B4A">
        <w:t>4.2</w:t>
      </w:r>
      <w:r w:rsidR="009667FA" w:rsidRPr="00276B72">
        <w:fldChar w:fldCharType="end"/>
      </w:r>
      <w:r w:rsidR="009667FA" w:rsidRPr="00276B72">
        <w:t xml:space="preserve"> </w:t>
      </w:r>
      <w:r w:rsidR="009667FA" w:rsidRPr="00276B72">
        <w:fldChar w:fldCharType="begin"/>
      </w:r>
      <w:r w:rsidR="009667FA" w:rsidRPr="00276B72">
        <w:instrText xml:space="preserve"> REF _Ref503529038 \h </w:instrText>
      </w:r>
      <w:r w:rsidR="009667FA">
        <w:rPr>
          <w:highlight w:val="yellow"/>
        </w:rPr>
        <w:instrText xml:space="preserve"> \* MERGEFORMAT </w:instrText>
      </w:r>
      <w:r w:rsidR="009667FA" w:rsidRPr="00276B72">
        <w:fldChar w:fldCharType="separate"/>
      </w:r>
      <w:r w:rsidR="007B3B4A">
        <w:rPr>
          <w:lang w:val="en-US"/>
        </w:rPr>
        <w:t>Dose and method of administration</w:t>
      </w:r>
      <w:r w:rsidR="009667FA" w:rsidRPr="00276B72">
        <w:fldChar w:fldCharType="end"/>
      </w:r>
      <w:r w:rsidR="009667FA">
        <w:t>)</w:t>
      </w:r>
      <w:r w:rsidR="004C1EFE">
        <w:t>.</w:t>
      </w:r>
    </w:p>
    <w:p w14:paraId="561F118F" w14:textId="77777777" w:rsidR="004D7A69" w:rsidRDefault="004D7A69" w:rsidP="004D7A69">
      <w:pPr>
        <w:pStyle w:val="Heading4"/>
      </w:pPr>
      <w:r>
        <w:t xml:space="preserve">Renal impairment </w:t>
      </w:r>
    </w:p>
    <w:p w14:paraId="2F098F1C" w14:textId="5649BEC0" w:rsidR="002421BD" w:rsidRDefault="004D7A69" w:rsidP="00F952B8">
      <w:pPr>
        <w:pStyle w:val="BodyText"/>
        <w:spacing w:after="240"/>
      </w:pPr>
      <w:r>
        <w:t>The pharmacokinetics of perampanel have not been formally evaluated in</w:t>
      </w:r>
      <w:r w:rsidR="00BE01DB">
        <w:t xml:space="preserve"> adult</w:t>
      </w:r>
      <w:r w:rsidR="0012729F">
        <w:t>s</w:t>
      </w:r>
      <w:r w:rsidR="00BE01DB">
        <w:t xml:space="preserve"> </w:t>
      </w:r>
      <w:r w:rsidR="00CB465A">
        <w:t xml:space="preserve">and </w:t>
      </w:r>
      <w:r w:rsidR="0012729F">
        <w:t>children</w:t>
      </w:r>
      <w:r>
        <w:t xml:space="preserve"> with renal impairment </w:t>
      </w:r>
      <w:r w:rsidR="0012729F">
        <w:t xml:space="preserve"> </w:t>
      </w:r>
      <w:r w:rsidR="002421BD">
        <w:t>(</w:t>
      </w:r>
      <w:r w:rsidR="002421BD" w:rsidRPr="004D6DC9">
        <w:rPr>
          <w:rFonts w:cs="Times New Roman"/>
          <w:szCs w:val="24"/>
        </w:rPr>
        <w:t xml:space="preserve">see Section </w:t>
      </w:r>
      <w:r w:rsidR="002421BD" w:rsidRPr="001B3145">
        <w:rPr>
          <w:rFonts w:cs="Times New Roman"/>
          <w:szCs w:val="24"/>
        </w:rPr>
        <w:fldChar w:fldCharType="begin"/>
      </w:r>
      <w:r w:rsidR="002421BD" w:rsidRPr="001B3145">
        <w:rPr>
          <w:rFonts w:cs="Times New Roman"/>
          <w:szCs w:val="24"/>
        </w:rPr>
        <w:instrText xml:space="preserve"> REF _Ref503529038 \r \h  \* MERGEFORMAT </w:instrText>
      </w:r>
      <w:r w:rsidR="002421BD" w:rsidRPr="001B3145">
        <w:rPr>
          <w:rFonts w:cs="Times New Roman"/>
          <w:szCs w:val="24"/>
        </w:rPr>
      </w:r>
      <w:r w:rsidR="002421BD" w:rsidRPr="001B3145">
        <w:rPr>
          <w:rFonts w:cs="Times New Roman"/>
          <w:szCs w:val="24"/>
        </w:rPr>
        <w:fldChar w:fldCharType="separate"/>
      </w:r>
      <w:r w:rsidR="007B3B4A">
        <w:rPr>
          <w:rFonts w:cs="Times New Roman"/>
          <w:szCs w:val="24"/>
        </w:rPr>
        <w:t>4.2</w:t>
      </w:r>
      <w:r w:rsidR="002421BD" w:rsidRPr="001B3145">
        <w:rPr>
          <w:rFonts w:cs="Times New Roman"/>
          <w:szCs w:val="24"/>
        </w:rPr>
        <w:fldChar w:fldCharType="end"/>
      </w:r>
      <w:r w:rsidR="002421BD">
        <w:t xml:space="preserve"> Dose and method of administration).</w:t>
      </w:r>
    </w:p>
    <w:p w14:paraId="29F7AD52" w14:textId="642B597C" w:rsidR="00CB465A" w:rsidRDefault="004D7A69" w:rsidP="00F952B8">
      <w:pPr>
        <w:pStyle w:val="BodyText"/>
        <w:spacing w:after="240"/>
      </w:pPr>
      <w:r>
        <w:t xml:space="preserve">Perampanel is eliminated almost exclusively by metabolism followed by rapid excretion of metabolites; only trace amounts of perampanel metabolites are observed in plasma.  </w:t>
      </w:r>
      <w:r w:rsidR="00C11503" w:rsidRPr="002F0663">
        <w:rPr>
          <w:rFonts w:cs="Times New Roman"/>
          <w:szCs w:val="24"/>
        </w:rPr>
        <w:t xml:space="preserve">In a population pharmacokinetics analysis of adults and adolescents, </w:t>
      </w:r>
      <w:r w:rsidR="00C11503">
        <w:t>a</w:t>
      </w:r>
      <w:r>
        <w:t xml:space="preserve">pparent clearance of perampanel was decreased by 27% in patients with mild renal impairment (creatinine clearance 50-80 mL/min) compared to patients with normal renal function (creatinine clearance &gt; 80 mL/min), with corresponding 37% increase in AUC. Considering the substantial overlap in the exposure between normal and mildly impaired </w:t>
      </w:r>
      <w:r w:rsidR="00B77D4A">
        <w:t xml:space="preserve">adult and adolescent </w:t>
      </w:r>
      <w:r>
        <w:t xml:space="preserve">patients, no dosage adjustment is necessary for </w:t>
      </w:r>
      <w:r w:rsidR="00CB465A">
        <w:t xml:space="preserve">adult or </w:t>
      </w:r>
      <w:r w:rsidR="001F2F91">
        <w:t>adolescent</w:t>
      </w:r>
      <w:r w:rsidR="00CB465A">
        <w:t xml:space="preserve"> </w:t>
      </w:r>
      <w:r>
        <w:t xml:space="preserve">patients with mild renal impairment. </w:t>
      </w:r>
      <w:r w:rsidR="001F2F91">
        <w:t>Based on the pharmacokinetic properties of perampanel, no dosage adjustment is recommended for paediatric patients with mild renal impairment.</w:t>
      </w:r>
    </w:p>
    <w:p w14:paraId="00F18AE5" w14:textId="18E050DA" w:rsidR="004D7A69" w:rsidRDefault="004D7A69" w:rsidP="00F952B8">
      <w:pPr>
        <w:pStyle w:val="BodyText"/>
        <w:spacing w:after="240"/>
      </w:pPr>
      <w:r>
        <w:t xml:space="preserve">FYCOMPA has not been studied in </w:t>
      </w:r>
      <w:r w:rsidR="006710D8">
        <w:t>adults and children</w:t>
      </w:r>
      <w:r>
        <w:t xml:space="preserve"> with severe renal impairment and </w:t>
      </w:r>
      <w:r w:rsidR="00DA3BD4">
        <w:t xml:space="preserve">adults and children </w:t>
      </w:r>
      <w:r w:rsidR="002C5F91">
        <w:t>undergoing haemodialysis</w:t>
      </w:r>
      <w:r>
        <w:t xml:space="preserve"> </w:t>
      </w:r>
      <w:r w:rsidR="002C5F91">
        <w:t>(</w:t>
      </w:r>
      <w:r w:rsidR="002C5F91" w:rsidRPr="004D6DC9">
        <w:rPr>
          <w:rFonts w:cs="Times New Roman"/>
          <w:szCs w:val="24"/>
        </w:rPr>
        <w:t xml:space="preserve">see Section </w:t>
      </w:r>
      <w:r w:rsidR="002C5F91" w:rsidRPr="001B3145">
        <w:rPr>
          <w:rFonts w:cs="Times New Roman"/>
          <w:szCs w:val="24"/>
        </w:rPr>
        <w:fldChar w:fldCharType="begin"/>
      </w:r>
      <w:r w:rsidR="002C5F91" w:rsidRPr="001B3145">
        <w:rPr>
          <w:rFonts w:cs="Times New Roman"/>
          <w:szCs w:val="24"/>
        </w:rPr>
        <w:instrText xml:space="preserve"> REF _Ref503529038 \r \h  \* MERGEFORMAT </w:instrText>
      </w:r>
      <w:r w:rsidR="002C5F91" w:rsidRPr="001B3145">
        <w:rPr>
          <w:rFonts w:cs="Times New Roman"/>
          <w:szCs w:val="24"/>
        </w:rPr>
      </w:r>
      <w:r w:rsidR="002C5F91" w:rsidRPr="001B3145">
        <w:rPr>
          <w:rFonts w:cs="Times New Roman"/>
          <w:szCs w:val="24"/>
        </w:rPr>
        <w:fldChar w:fldCharType="separate"/>
      </w:r>
      <w:r w:rsidR="007B3B4A">
        <w:rPr>
          <w:rFonts w:cs="Times New Roman"/>
          <w:szCs w:val="24"/>
        </w:rPr>
        <w:t>4.2</w:t>
      </w:r>
      <w:r w:rsidR="002C5F91" w:rsidRPr="001B3145">
        <w:rPr>
          <w:rFonts w:cs="Times New Roman"/>
          <w:szCs w:val="24"/>
        </w:rPr>
        <w:fldChar w:fldCharType="end"/>
      </w:r>
      <w:r w:rsidR="002C5F91">
        <w:t xml:space="preserve"> Dose and method of administration)</w:t>
      </w:r>
      <w:r>
        <w:t>.</w:t>
      </w:r>
    </w:p>
    <w:p w14:paraId="7E7C6738" w14:textId="77777777" w:rsidR="004D7A69" w:rsidRDefault="004D7A69" w:rsidP="004D7A69">
      <w:pPr>
        <w:pStyle w:val="Heading4"/>
      </w:pPr>
      <w:r>
        <w:t xml:space="preserve">Gender </w:t>
      </w:r>
    </w:p>
    <w:p w14:paraId="0590CAD4" w14:textId="77777777" w:rsidR="004D7A69" w:rsidRDefault="004D7A69" w:rsidP="00F952B8">
      <w:pPr>
        <w:pStyle w:val="BodyText"/>
        <w:spacing w:after="240"/>
      </w:pPr>
      <w:r>
        <w:t>In a population pharmacokinetic analysis of patients with partial-onset seizures receiving perampanel up to 12 mg/day and patients with primary generalised tonic-clonic seizures receiving perampanel up to 8 mg/day in placebo-controlled clinical trials, perampanel clearance in females (0.54 l/h) was 18% lower than in males (0.66 l/h).</w:t>
      </w:r>
    </w:p>
    <w:p w14:paraId="0FE1CEB0" w14:textId="77777777" w:rsidR="004D7A69" w:rsidRDefault="004D7A69" w:rsidP="004D7A69">
      <w:pPr>
        <w:pStyle w:val="Heading4"/>
      </w:pPr>
      <w:r>
        <w:t xml:space="preserve">Elderly (65 years of age and above) </w:t>
      </w:r>
    </w:p>
    <w:p w14:paraId="64C2EC8F" w14:textId="77777777" w:rsidR="004D7A69" w:rsidRDefault="004D7A69" w:rsidP="00F952B8">
      <w:pPr>
        <w:pStyle w:val="BodyText"/>
        <w:spacing w:after="240"/>
      </w:pPr>
      <w:r>
        <w:t>Perampanel was given to 31 patients with epilepsy aged 65 years or older. While large differences in the pharmacokinetics of perampanel were not apparent, due to the adverse events experienced by these patients perampanel should be used with caution in the elderly.</w:t>
      </w:r>
    </w:p>
    <w:p w14:paraId="28D47283" w14:textId="77777777" w:rsidR="004D7A69" w:rsidRDefault="004D7A69" w:rsidP="004D7A69">
      <w:pPr>
        <w:pStyle w:val="Heading4"/>
      </w:pPr>
      <w:r>
        <w:t>Paediatric population</w:t>
      </w:r>
    </w:p>
    <w:p w14:paraId="3F8FE948" w14:textId="41C818EA" w:rsidR="009667FA" w:rsidRDefault="004D7A69" w:rsidP="00F952B8">
      <w:pPr>
        <w:pStyle w:val="BodyText"/>
        <w:spacing w:after="240"/>
      </w:pPr>
      <w:r>
        <w:t xml:space="preserve">In a population pharmacokinetic analysis </w:t>
      </w:r>
      <w:r w:rsidR="004A075E">
        <w:t xml:space="preserve">on pooled data from children aged 4 to </w:t>
      </w:r>
      <w:r w:rsidR="00BE721F">
        <w:t>&lt;12</w:t>
      </w:r>
      <w:r w:rsidR="004A075E">
        <w:t xml:space="preserve"> years, </w:t>
      </w:r>
      <w:r>
        <w:t>adolescent patients</w:t>
      </w:r>
      <w:r w:rsidR="00C8325C">
        <w:t xml:space="preserve"> aged </w:t>
      </w:r>
      <w:r w:rsidR="00C8325C">
        <w:rPr>
          <w:rFonts w:cs="Times New Roman"/>
        </w:rPr>
        <w:t>≥</w:t>
      </w:r>
      <w:r w:rsidR="00C8325C">
        <w:t>12 years</w:t>
      </w:r>
      <w:r w:rsidR="004A075E">
        <w:t xml:space="preserve">, and adults, perampanel clearance </w:t>
      </w:r>
      <w:r w:rsidR="00F519F5">
        <w:t xml:space="preserve">decreased </w:t>
      </w:r>
      <w:r w:rsidR="004A075E">
        <w:t xml:space="preserve">with an </w:t>
      </w:r>
      <w:r w:rsidR="00F519F5">
        <w:t>reduction</w:t>
      </w:r>
      <w:r w:rsidR="004A075E">
        <w:t xml:space="preserve"> in body weight.</w:t>
      </w:r>
      <w:r w:rsidR="00C8325C">
        <w:t xml:space="preserve"> </w:t>
      </w:r>
      <w:r w:rsidR="004A075E">
        <w:rPr>
          <w:rFonts w:eastAsia="Times New Roman"/>
        </w:rPr>
        <w:t xml:space="preserve">Hence, dose adjustment </w:t>
      </w:r>
      <w:r w:rsidR="00D05487">
        <w:rPr>
          <w:rFonts w:eastAsia="Times New Roman"/>
        </w:rPr>
        <w:t xml:space="preserve">for </w:t>
      </w:r>
      <w:r w:rsidR="004A075E">
        <w:rPr>
          <w:rFonts w:eastAsia="Times New Roman"/>
        </w:rPr>
        <w:t xml:space="preserve">children aged 4 to </w:t>
      </w:r>
      <w:r w:rsidR="00BE721F">
        <w:rPr>
          <w:rFonts w:eastAsia="Times New Roman"/>
        </w:rPr>
        <w:t>&lt;12</w:t>
      </w:r>
      <w:r w:rsidR="004A075E">
        <w:rPr>
          <w:rFonts w:eastAsia="Times New Roman"/>
        </w:rPr>
        <w:t xml:space="preserve"> years with a body weight &lt;30kg is necessary (see </w:t>
      </w:r>
      <w:r w:rsidR="009667FA">
        <w:rPr>
          <w:rFonts w:eastAsia="Times New Roman"/>
        </w:rPr>
        <w:t>S</w:t>
      </w:r>
      <w:r w:rsidR="004A075E">
        <w:rPr>
          <w:rFonts w:eastAsia="Times New Roman"/>
        </w:rPr>
        <w:t>ection </w:t>
      </w:r>
      <w:bookmarkStart w:id="16" w:name="_Hlk59530856"/>
      <w:r w:rsidR="00BE721F">
        <w:rPr>
          <w:rFonts w:eastAsia="Times New Roman"/>
        </w:rPr>
        <w:fldChar w:fldCharType="begin"/>
      </w:r>
      <w:r w:rsidR="00BE721F">
        <w:rPr>
          <w:rFonts w:eastAsia="Times New Roman"/>
        </w:rPr>
        <w:instrText xml:space="preserve"> REF _Ref503529038 \r \h </w:instrText>
      </w:r>
      <w:r w:rsidR="00BE721F">
        <w:rPr>
          <w:rFonts w:eastAsia="Times New Roman"/>
        </w:rPr>
      </w:r>
      <w:r w:rsidR="00BE721F">
        <w:rPr>
          <w:rFonts w:eastAsia="Times New Roman"/>
        </w:rPr>
        <w:fldChar w:fldCharType="separate"/>
      </w:r>
      <w:r w:rsidR="007B3B4A">
        <w:rPr>
          <w:rFonts w:eastAsia="Times New Roman"/>
        </w:rPr>
        <w:t>4.2</w:t>
      </w:r>
      <w:r w:rsidR="00BE721F">
        <w:rPr>
          <w:rFonts w:eastAsia="Times New Roman"/>
        </w:rPr>
        <w:fldChar w:fldCharType="end"/>
      </w:r>
      <w:r w:rsidR="00BE721F">
        <w:rPr>
          <w:rFonts w:eastAsia="Times New Roman"/>
        </w:rPr>
        <w:t xml:space="preserve"> </w:t>
      </w:r>
      <w:r w:rsidR="00BE721F">
        <w:rPr>
          <w:rFonts w:eastAsia="Times New Roman"/>
        </w:rPr>
        <w:fldChar w:fldCharType="begin"/>
      </w:r>
      <w:r w:rsidR="00BE721F">
        <w:rPr>
          <w:rFonts w:eastAsia="Times New Roman"/>
        </w:rPr>
        <w:instrText xml:space="preserve"> REF _Ref503529038 \h </w:instrText>
      </w:r>
      <w:r w:rsidR="00BE721F">
        <w:rPr>
          <w:rFonts w:eastAsia="Times New Roman"/>
        </w:rPr>
      </w:r>
      <w:r w:rsidR="00BE721F">
        <w:rPr>
          <w:rFonts w:eastAsia="Times New Roman"/>
        </w:rPr>
        <w:fldChar w:fldCharType="separate"/>
      </w:r>
      <w:r w:rsidR="007B3B4A">
        <w:rPr>
          <w:lang w:val="en-US"/>
        </w:rPr>
        <w:t>Dose and method of administration</w:t>
      </w:r>
      <w:r w:rsidR="00BE721F">
        <w:rPr>
          <w:rFonts w:eastAsia="Times New Roman"/>
        </w:rPr>
        <w:fldChar w:fldCharType="end"/>
      </w:r>
      <w:bookmarkEnd w:id="16"/>
      <w:r w:rsidR="004A075E">
        <w:rPr>
          <w:rFonts w:eastAsia="Times New Roman"/>
        </w:rPr>
        <w:t>).</w:t>
      </w:r>
    </w:p>
    <w:p w14:paraId="3A0ADE49" w14:textId="77777777" w:rsidR="00D85D9B" w:rsidRDefault="00D85D9B" w:rsidP="00D85D9B">
      <w:pPr>
        <w:pStyle w:val="Heading2"/>
        <w:ind w:left="578" w:hanging="578"/>
      </w:pPr>
      <w:r w:rsidRPr="00356A04">
        <w:t>Preclinical safety data</w:t>
      </w:r>
    </w:p>
    <w:p w14:paraId="4DFE59F4" w14:textId="77777777" w:rsidR="00032264" w:rsidRDefault="00032264" w:rsidP="00032264">
      <w:pPr>
        <w:pStyle w:val="Heading3"/>
      </w:pPr>
      <w:r w:rsidRPr="00032264">
        <w:t>Carcinogenicity</w:t>
      </w:r>
    </w:p>
    <w:p w14:paraId="31CDD1C3" w14:textId="77777777" w:rsidR="00FA4E56" w:rsidRDefault="00FA4E56" w:rsidP="00F952B8">
      <w:pPr>
        <w:pStyle w:val="BodyText"/>
        <w:spacing w:after="240"/>
      </w:pPr>
      <w:r>
        <w:t xml:space="preserve">Perampanel was administered orally to mice (1, 3, 10 or 30 mg/kg/day) and rats (10, 30 or 100 mg/kg/day in males; 3, 10 or 30 mg/kg/day in females) for up to 104 weeks. There was no evidence of treatment-related tumours in either species. Estimated exposures (plasma AUC) to perampanel at the highest doses tested were less than anticipated clinical exposure at the </w:t>
      </w:r>
      <w:r w:rsidRPr="00263138">
        <w:t>MRHD</w:t>
      </w:r>
      <w:r>
        <w:t xml:space="preserve"> of 12 mg/day.</w:t>
      </w:r>
    </w:p>
    <w:p w14:paraId="359FA0C5" w14:textId="77777777" w:rsidR="00032264" w:rsidRDefault="00032264" w:rsidP="00032264">
      <w:pPr>
        <w:pStyle w:val="Heading3"/>
      </w:pPr>
      <w:r w:rsidRPr="00032264">
        <w:t>Genotoxicity</w:t>
      </w:r>
    </w:p>
    <w:p w14:paraId="47E7827A" w14:textId="77777777" w:rsidR="00FA4E56" w:rsidRDefault="00FA4E56" w:rsidP="00F952B8">
      <w:pPr>
        <w:pStyle w:val="BodyText"/>
        <w:spacing w:after="240"/>
      </w:pPr>
      <w:r w:rsidRPr="00FA4E56">
        <w:t>Perampanel was negative in the bacterial reverse mutation and mouse lymphoma tk assays in vitro, and in the micronucleus test in rats in vivo.</w:t>
      </w:r>
    </w:p>
    <w:p w14:paraId="7386530B" w14:textId="77777777" w:rsidR="004D7A69" w:rsidRDefault="004D7A69" w:rsidP="004D7A69">
      <w:pPr>
        <w:pStyle w:val="Heading3"/>
      </w:pPr>
      <w:r>
        <w:t xml:space="preserve">Juvenile animal data </w:t>
      </w:r>
    </w:p>
    <w:p w14:paraId="032CD0F3" w14:textId="77777777" w:rsidR="004D7A69" w:rsidRDefault="004D7A69" w:rsidP="00F952B8">
      <w:pPr>
        <w:pStyle w:val="BodyText"/>
        <w:spacing w:after="240"/>
      </w:pPr>
      <w:r>
        <w:t>Oral administration of perampanel to juvenile rats for 12 weeks from post natal day 7 of life at doses of 1, 3 and 3/10/30 mg/kg/day (high-dose escalations after 4 and 8 weeks) was associated with CNS clinical signs and decreased hindlimb grip strength/foot splay (all doses), reduced growth and neurobehavioural impairment (mid/high doses), and delayed sexual maturation (high dose). A no-effect dose was not determined. Oral administration of perampanel to juvenile dogs for 33 weeks from post natal day 42 of life at doses of 1,5 and 5/10 mg/kg/day (high dose escalation after 2 weeks) was associated with CNS clinical signs at all dose. The CNS clinical signs were due to exaggerated pharmacologic effects of perampanel.</w:t>
      </w:r>
    </w:p>
    <w:p w14:paraId="0950DF54" w14:textId="77777777" w:rsidR="00D85D9B" w:rsidRPr="00356A04" w:rsidRDefault="00D85D9B" w:rsidP="00D85D9B">
      <w:pPr>
        <w:pStyle w:val="Heading1"/>
        <w:ind w:left="431" w:hanging="431"/>
      </w:pPr>
      <w:r w:rsidRPr="00356A04">
        <w:t>Pharmaceutical particulars</w:t>
      </w:r>
    </w:p>
    <w:p w14:paraId="7E9440A0" w14:textId="77777777" w:rsidR="00D85D9B" w:rsidRDefault="00D85D9B" w:rsidP="00D85D9B">
      <w:pPr>
        <w:pStyle w:val="Heading2"/>
        <w:ind w:left="578" w:hanging="578"/>
      </w:pPr>
      <w:bookmarkStart w:id="17" w:name="_Ref503187308"/>
      <w:r w:rsidRPr="00356A04">
        <w:t>List of excipients</w:t>
      </w:r>
      <w:bookmarkEnd w:id="17"/>
      <w:r w:rsidRPr="00356A04">
        <w:t xml:space="preserve"> </w:t>
      </w:r>
    </w:p>
    <w:p w14:paraId="18803349" w14:textId="77777777" w:rsidR="001A5DFE" w:rsidRDefault="001A5DFE" w:rsidP="00111E1B">
      <w:pPr>
        <w:pStyle w:val="Heading3"/>
      </w:pPr>
      <w:r>
        <w:t>Film-coated Tablets</w:t>
      </w:r>
    </w:p>
    <w:p w14:paraId="093C466C" w14:textId="054A4301" w:rsidR="00C740BA" w:rsidRDefault="00111909" w:rsidP="00F952B8">
      <w:pPr>
        <w:pStyle w:val="BodyText"/>
        <w:spacing w:after="240"/>
      </w:pPr>
      <w:r w:rsidRPr="00111909">
        <w:t>The film-coated tablets contain the excipients lactose</w:t>
      </w:r>
      <w:r w:rsidR="00170364">
        <w:t xml:space="preserve"> monohydrate</w:t>
      </w:r>
      <w:r w:rsidRPr="00111909">
        <w:t>, hypromellose, povidone, magnesium stearate, purified talc, microcrystalline cellulose (6 mg, 8 mg, 10 mg and 12 mg only), macrogol 8000, titanium di-oxide, iron oxide yellow (2 mg, 10 mg), iron oxide red (2mg, 4 mg, 6 mg, and 8 mg only), iron oxide black (8 mg only) and indigo carmine aluminium lake (10 mg &amp; 12 mg only).</w:t>
      </w:r>
    </w:p>
    <w:p w14:paraId="39BCF612" w14:textId="77777777" w:rsidR="001A5DFE" w:rsidRDefault="001A5DFE" w:rsidP="00111E1B">
      <w:pPr>
        <w:pStyle w:val="Heading3"/>
      </w:pPr>
      <w:r>
        <w:t>Oral suspension</w:t>
      </w:r>
    </w:p>
    <w:p w14:paraId="2138F4CC" w14:textId="1372ACDA" w:rsidR="00111909" w:rsidRDefault="001A5DFE" w:rsidP="00F952B8">
      <w:pPr>
        <w:pStyle w:val="BodyText"/>
        <w:spacing w:after="240"/>
      </w:pPr>
      <w:r>
        <w:t xml:space="preserve">The oral </w:t>
      </w:r>
      <w:r w:rsidR="00A24401">
        <w:t>suspension</w:t>
      </w:r>
      <w:r>
        <w:t xml:space="preserve"> contains sorbitol</w:t>
      </w:r>
      <w:r w:rsidR="00954965">
        <w:t xml:space="preserve"> solution (70%) </w:t>
      </w:r>
      <w:r>
        <w:t>(crystallisin</w:t>
      </w:r>
      <w:r w:rsidR="00954965">
        <w:t xml:space="preserve">g), </w:t>
      </w:r>
      <w:bookmarkStart w:id="18" w:name="_Hlk45799971"/>
      <w:r w:rsidR="003E6C80" w:rsidRPr="003E6C80">
        <w:t>Avicel RC – 591 (PING: 4093)</w:t>
      </w:r>
      <w:bookmarkEnd w:id="18"/>
      <w:r w:rsidR="00954965">
        <w:t>, poloxamer</w:t>
      </w:r>
      <w:r>
        <w:t xml:space="preserve">, </w:t>
      </w:r>
      <w:r w:rsidR="002241DD">
        <w:t>d</w:t>
      </w:r>
      <w:r w:rsidR="002241DD" w:rsidRPr="002241DD">
        <w:t xml:space="preserve">imeticone 500, </w:t>
      </w:r>
      <w:r w:rsidR="002241DD">
        <w:t>p</w:t>
      </w:r>
      <w:r w:rsidR="002241DD" w:rsidRPr="002241DD">
        <w:t xml:space="preserve">olysorbate 65, </w:t>
      </w:r>
      <w:r w:rsidR="002241DD">
        <w:t>m</w:t>
      </w:r>
      <w:r w:rsidR="002241DD" w:rsidRPr="002241DD">
        <w:t xml:space="preserve">ethylcellulose, </w:t>
      </w:r>
      <w:r w:rsidR="002241DD">
        <w:t>s</w:t>
      </w:r>
      <w:r w:rsidR="002241DD" w:rsidRPr="002241DD">
        <w:t xml:space="preserve">ilicon dioxide, PEG-40 stearate, </w:t>
      </w:r>
      <w:r w:rsidR="002241DD">
        <w:t>b</w:t>
      </w:r>
      <w:r w:rsidR="002241DD" w:rsidRPr="002241DD">
        <w:t xml:space="preserve">enzoic acid, </w:t>
      </w:r>
      <w:r w:rsidR="002241DD">
        <w:t>s</w:t>
      </w:r>
      <w:r w:rsidR="002241DD" w:rsidRPr="002241DD">
        <w:t xml:space="preserve">orbic acid, </w:t>
      </w:r>
      <w:r w:rsidR="002241DD">
        <w:t>s</w:t>
      </w:r>
      <w:r w:rsidR="002241DD" w:rsidRPr="002241DD">
        <w:t>ulfuric acid</w:t>
      </w:r>
      <w:r w:rsidR="002241DD">
        <w:t>,</w:t>
      </w:r>
      <w:r>
        <w:t xml:space="preserve"> </w:t>
      </w:r>
      <w:r w:rsidR="0077330F">
        <w:t>citric acid</w:t>
      </w:r>
      <w:r>
        <w:t>, sodium benzoate, purified water</w:t>
      </w:r>
      <w:r w:rsidR="002F0E3F">
        <w:t>.</w:t>
      </w:r>
    </w:p>
    <w:p w14:paraId="1428AED7" w14:textId="77777777" w:rsidR="00D85D9B" w:rsidRDefault="00D85D9B" w:rsidP="00D85D9B">
      <w:pPr>
        <w:pStyle w:val="Heading2"/>
        <w:ind w:left="578" w:hanging="578"/>
      </w:pPr>
      <w:r w:rsidRPr="00356A04">
        <w:t xml:space="preserve">Incompatibilities </w:t>
      </w:r>
    </w:p>
    <w:p w14:paraId="77C823AD" w14:textId="77777777" w:rsidR="00C740BA" w:rsidRDefault="00111909" w:rsidP="00F952B8">
      <w:pPr>
        <w:pStyle w:val="BodyText"/>
        <w:spacing w:after="240"/>
      </w:pPr>
      <w:r w:rsidRPr="00111909">
        <w:t>Incompatibilities were either not assessed or not identified as part of the registration of this medicine.</w:t>
      </w:r>
    </w:p>
    <w:p w14:paraId="29A080F4" w14:textId="77777777" w:rsidR="00D85D9B" w:rsidRDefault="00D85D9B" w:rsidP="00D85D9B">
      <w:pPr>
        <w:pStyle w:val="Heading2"/>
        <w:ind w:left="578" w:hanging="578"/>
      </w:pPr>
      <w:r w:rsidRPr="00356A04">
        <w:t xml:space="preserve">Shelf life </w:t>
      </w:r>
    </w:p>
    <w:p w14:paraId="0D7FD0EF" w14:textId="77777777" w:rsidR="00C740BA" w:rsidRDefault="00111909" w:rsidP="00F952B8">
      <w:pPr>
        <w:pStyle w:val="BodyText"/>
        <w:spacing w:after="240"/>
      </w:pPr>
      <w:r w:rsidRPr="00111909">
        <w:t>In Australia, information on the shelf life can be found on the public summary of the Australian Register of Therapeutic Goods (ARTG). The expiry date can be found on the packaging.</w:t>
      </w:r>
    </w:p>
    <w:p w14:paraId="5DBB5949" w14:textId="77777777" w:rsidR="00D85D9B" w:rsidRDefault="00D85D9B" w:rsidP="00D85D9B">
      <w:pPr>
        <w:pStyle w:val="Heading2"/>
        <w:ind w:left="578" w:hanging="578"/>
      </w:pPr>
      <w:r w:rsidRPr="00356A04">
        <w:t xml:space="preserve">Special precautions for storage </w:t>
      </w:r>
    </w:p>
    <w:p w14:paraId="65F33D47" w14:textId="77777777" w:rsidR="00756807" w:rsidRDefault="00756807" w:rsidP="00756807">
      <w:pPr>
        <w:pStyle w:val="Heading3"/>
      </w:pPr>
      <w:r>
        <w:t>FYCOMPA film coated tablets</w:t>
      </w:r>
    </w:p>
    <w:p w14:paraId="0D5444C8" w14:textId="5B6C8ADC" w:rsidR="00755B93" w:rsidRDefault="00111909" w:rsidP="00F952B8">
      <w:pPr>
        <w:pStyle w:val="BodyText"/>
        <w:spacing w:after="240"/>
      </w:pPr>
      <w:r w:rsidRPr="00111909">
        <w:t>Store below 30°C.</w:t>
      </w:r>
      <w:r w:rsidR="00D22518">
        <w:t xml:space="preserve"> </w:t>
      </w:r>
      <w:r w:rsidR="00170364">
        <w:t>Store in original container</w:t>
      </w:r>
    </w:p>
    <w:p w14:paraId="0875EE2E" w14:textId="512D4B52" w:rsidR="00756807" w:rsidRDefault="00756807" w:rsidP="00756807">
      <w:pPr>
        <w:pStyle w:val="Heading3"/>
      </w:pPr>
      <w:r>
        <w:t>FYCOMPA oral suspension</w:t>
      </w:r>
    </w:p>
    <w:p w14:paraId="06DA4630" w14:textId="0012B409" w:rsidR="00170364" w:rsidRDefault="00D22518" w:rsidP="00F952B8">
      <w:pPr>
        <w:pStyle w:val="BodyText"/>
        <w:spacing w:after="240"/>
      </w:pPr>
      <w:r>
        <w:t xml:space="preserve">Store </w:t>
      </w:r>
      <w:r w:rsidR="007B1220">
        <w:t>below 30</w:t>
      </w:r>
      <w:r w:rsidR="00756807" w:rsidRPr="00111909">
        <w:t>°</w:t>
      </w:r>
      <w:r w:rsidR="00756807">
        <w:t xml:space="preserve">C. </w:t>
      </w:r>
      <w:r w:rsidR="00756807" w:rsidRPr="00755B93">
        <w:t xml:space="preserve"> </w:t>
      </w:r>
      <w:r w:rsidR="00756807">
        <w:t>Do not freeze. Use within 90 days after the first opening of the bottle</w:t>
      </w:r>
    </w:p>
    <w:p w14:paraId="636907B7" w14:textId="77777777" w:rsidR="00D85D9B" w:rsidRDefault="00D85D9B" w:rsidP="00D85D9B">
      <w:pPr>
        <w:pStyle w:val="Heading2"/>
        <w:ind w:left="578" w:hanging="578"/>
      </w:pPr>
      <w:r w:rsidRPr="00356A04">
        <w:t xml:space="preserve">Nature and contents of container </w:t>
      </w:r>
    </w:p>
    <w:p w14:paraId="4F59EAB8" w14:textId="77777777" w:rsidR="001A5DFE" w:rsidRDefault="001A5DFE" w:rsidP="00111E1B">
      <w:pPr>
        <w:pStyle w:val="Heading3"/>
      </w:pPr>
      <w:r>
        <w:t>Film-coated tablets</w:t>
      </w:r>
    </w:p>
    <w:p w14:paraId="478E7C9F" w14:textId="77777777" w:rsidR="00C740BA" w:rsidRDefault="00C740BA" w:rsidP="00C740BA">
      <w:pPr>
        <w:pStyle w:val="BodyText"/>
      </w:pPr>
      <w:r>
        <w:t xml:space="preserve">FYCOMPA 2 mg film coated tablet is available in PVC/aluminium blisters of 7. </w:t>
      </w:r>
    </w:p>
    <w:p w14:paraId="404FA931" w14:textId="77777777" w:rsidR="00C740BA" w:rsidRDefault="00C740BA" w:rsidP="00C740BA">
      <w:pPr>
        <w:pStyle w:val="BodyText"/>
      </w:pPr>
      <w:r>
        <w:t xml:space="preserve">FYCOMPA 4 mg film coated tablet is available in PVC/aluminium blisters of 28. </w:t>
      </w:r>
    </w:p>
    <w:p w14:paraId="4B1A96F0" w14:textId="77777777" w:rsidR="00C740BA" w:rsidRDefault="00C740BA" w:rsidP="00C740BA">
      <w:pPr>
        <w:pStyle w:val="BodyText"/>
      </w:pPr>
      <w:r>
        <w:t xml:space="preserve">FYCOMPA 6 mg film coated tablet is available in PVC/aluminium blisters of 28. </w:t>
      </w:r>
    </w:p>
    <w:p w14:paraId="561D62BB" w14:textId="77777777" w:rsidR="00C740BA" w:rsidRDefault="00C740BA" w:rsidP="00C740BA">
      <w:pPr>
        <w:pStyle w:val="BodyText"/>
      </w:pPr>
      <w:r>
        <w:t xml:space="preserve">FYCOMPA 8 mg film coated tablet is available in PVC/aluminium blisters of 28. </w:t>
      </w:r>
    </w:p>
    <w:p w14:paraId="40618F34" w14:textId="77777777" w:rsidR="00C740BA" w:rsidRDefault="00C740BA" w:rsidP="00C740BA">
      <w:pPr>
        <w:pStyle w:val="BodyText"/>
      </w:pPr>
      <w:r>
        <w:t xml:space="preserve">FYCOMPA 10 mg film coated tablet is available in PVC/aluminium blisters of 28. </w:t>
      </w:r>
    </w:p>
    <w:p w14:paraId="79BF8D9C" w14:textId="77777777" w:rsidR="00C740BA" w:rsidRDefault="00C740BA" w:rsidP="00F952B8">
      <w:pPr>
        <w:pStyle w:val="BodyText"/>
        <w:spacing w:after="240"/>
      </w:pPr>
      <w:r>
        <w:t>FYCOMPA 12 mg film coated tablet is available in PVC/aluminium blisters of 28.</w:t>
      </w:r>
    </w:p>
    <w:p w14:paraId="14AAE689" w14:textId="77777777" w:rsidR="001A5DFE" w:rsidRDefault="001A5DFE" w:rsidP="00111E1B">
      <w:pPr>
        <w:pStyle w:val="Heading3"/>
      </w:pPr>
      <w:r>
        <w:t>Oral suspension</w:t>
      </w:r>
    </w:p>
    <w:p w14:paraId="7B5ADEBF" w14:textId="3F27F823" w:rsidR="001A5DFE" w:rsidRDefault="001A5DFE" w:rsidP="00F952B8">
      <w:pPr>
        <w:pStyle w:val="BodyText"/>
        <w:spacing w:after="240"/>
      </w:pPr>
      <w:r>
        <w:t xml:space="preserve">FYCOMPA oral suspension is supplied in a polyethylene terephthalate (PET) bottle with a child-resistant (CR) polypropylene (PP) closure; each bottle contains 340 </w:t>
      </w:r>
      <w:r w:rsidR="00660D53">
        <w:t>mL</w:t>
      </w:r>
      <w:r>
        <w:t xml:space="preserve"> of suspension </w:t>
      </w:r>
      <w:r w:rsidR="00C453DF">
        <w:t xml:space="preserve">and is packaged </w:t>
      </w:r>
      <w:r>
        <w:t>in an outer cardboard carton.</w:t>
      </w:r>
    </w:p>
    <w:p w14:paraId="38A1C909" w14:textId="77777777" w:rsidR="001A5DFE" w:rsidRDefault="001A5DFE" w:rsidP="00F952B8">
      <w:pPr>
        <w:pStyle w:val="BodyText"/>
        <w:spacing w:after="240"/>
      </w:pPr>
      <w:r>
        <w:t xml:space="preserve">Each carton contains one bottle, two 20 mL graduated oral dosing syringes and an LDPE press in bottle adapter (PIBA). The oral dosing syringes are graduated in 0.5 </w:t>
      </w:r>
      <w:r w:rsidR="00660D53">
        <w:t>mL</w:t>
      </w:r>
      <w:r>
        <w:t xml:space="preserve"> increments.</w:t>
      </w:r>
    </w:p>
    <w:p w14:paraId="6862D0EC" w14:textId="77777777" w:rsidR="00D85D9B" w:rsidRDefault="00D85D9B" w:rsidP="00D85D9B">
      <w:pPr>
        <w:pStyle w:val="Heading2"/>
        <w:ind w:left="578" w:hanging="578"/>
      </w:pPr>
      <w:r w:rsidRPr="00356A04">
        <w:t xml:space="preserve">Special precautions for disposal </w:t>
      </w:r>
    </w:p>
    <w:p w14:paraId="31F5DAAE" w14:textId="77777777" w:rsidR="00C740BA" w:rsidRDefault="00111909" w:rsidP="00F952B8">
      <w:pPr>
        <w:pStyle w:val="BodyText"/>
        <w:spacing w:after="240"/>
      </w:pPr>
      <w:r w:rsidRPr="00111909">
        <w:t>In Australia, any unused medicine or waste material should be disposed of by taking to your local pharmacy.</w:t>
      </w:r>
    </w:p>
    <w:p w14:paraId="21F6406A" w14:textId="77777777" w:rsidR="00D85D9B" w:rsidRDefault="00D85D9B" w:rsidP="00D85D9B">
      <w:pPr>
        <w:pStyle w:val="Heading2"/>
        <w:ind w:left="578" w:hanging="578"/>
      </w:pPr>
      <w:r w:rsidRPr="00356A04">
        <w:t>Physicochemical properties</w:t>
      </w:r>
    </w:p>
    <w:p w14:paraId="7F11DD2C" w14:textId="51AF5EBB" w:rsidR="004D7A69" w:rsidRDefault="004D7A69" w:rsidP="00F952B8">
      <w:pPr>
        <w:pStyle w:val="BodyText"/>
        <w:spacing w:after="240"/>
      </w:pPr>
      <w:r>
        <w:t xml:space="preserve">Perampanel hemisesquihydrate is a crystalline solid and is obtained as a white to yellowish white powder. The pKa value of perampanel hemisesquihydrate is 3.24 and the partition coefficient is 2.86 at 25°C. Perampanel hemisesquihydrate is freely soluble in N methyl 2 pyrrolidone, sparingly soluble in acetonitrile and acetone, slightly soluble in methanol, ethanol and ethyl acetate, very slightly soluble in 1-octanol and diethyl ether and practically insoluble in heptane and water. In aqueous solutions, perampanel hemisesquihydrate is very slightly soluble in 0.1 </w:t>
      </w:r>
      <w:r w:rsidR="00170364">
        <w:t>M</w:t>
      </w:r>
      <w:r>
        <w:t xml:space="preserve"> HCl at 37°C and practically insoluble in pH 2-11 Britton-Robinson buffers at 25°C, pH 4.5 USP acetate buffer and pH 7.5 USP phosphate buffer at 37°C.</w:t>
      </w:r>
    </w:p>
    <w:p w14:paraId="6B5EE9CD" w14:textId="77777777" w:rsidR="00D85D9B" w:rsidRPr="00356A04" w:rsidRDefault="00D85D9B" w:rsidP="00D85D9B">
      <w:pPr>
        <w:pStyle w:val="Heading3"/>
      </w:pPr>
      <w:r w:rsidRPr="00356A04">
        <w:t>Chemical structure</w:t>
      </w:r>
    </w:p>
    <w:p w14:paraId="333C5163" w14:textId="77777777" w:rsidR="004D7A69" w:rsidRDefault="004D7A69" w:rsidP="00F952B8">
      <w:pPr>
        <w:pStyle w:val="BodyText"/>
        <w:spacing w:after="240"/>
      </w:pPr>
      <w:r>
        <w:t>The chemical name of perampanel hemisesquihydrate is 2-(2-oxo-1-phenyl-5-pyridin-2-yl-1,2-dihydropyridin-3-yl)benzonitrile hydrate (4:3). It has a molecular weight of 362.9.</w:t>
      </w:r>
    </w:p>
    <w:p w14:paraId="415CDC82" w14:textId="77777777" w:rsidR="004D7A69" w:rsidRDefault="004D7A69" w:rsidP="00F952B8">
      <w:pPr>
        <w:pStyle w:val="BodyText"/>
        <w:spacing w:after="240"/>
      </w:pPr>
      <w:r>
        <w:t>The empirical formula of perampanel hemisesquihydrate is C</w:t>
      </w:r>
      <w:r w:rsidRPr="004D7A69">
        <w:rPr>
          <w:vertAlign w:val="subscript"/>
        </w:rPr>
        <w:t>23</w:t>
      </w:r>
      <w:r>
        <w:t>H</w:t>
      </w:r>
      <w:r w:rsidRPr="004D7A69">
        <w:rPr>
          <w:vertAlign w:val="subscript"/>
        </w:rPr>
        <w:t>15</w:t>
      </w:r>
      <w:r>
        <w:t>N</w:t>
      </w:r>
      <w:r w:rsidRPr="004D7A69">
        <w:rPr>
          <w:vertAlign w:val="subscript"/>
        </w:rPr>
        <w:t>3</w:t>
      </w:r>
      <w:r>
        <w:t>O • 3/4H</w:t>
      </w:r>
      <w:r w:rsidRPr="004D7A69">
        <w:rPr>
          <w:vertAlign w:val="subscript"/>
        </w:rPr>
        <w:t>2</w:t>
      </w:r>
      <w:r>
        <w:t>O</w:t>
      </w:r>
    </w:p>
    <w:p w14:paraId="46AFBBA0" w14:textId="77777777" w:rsidR="004D7A69" w:rsidRDefault="004D7A69" w:rsidP="004D7A69">
      <w:pPr>
        <w:pStyle w:val="BodyText"/>
      </w:pPr>
      <w:r>
        <w:t>Perampanel hemisesquihydrate has the following structural formula:</w:t>
      </w:r>
    </w:p>
    <w:p w14:paraId="5EBDB4E0" w14:textId="77777777" w:rsidR="004D7A69" w:rsidRDefault="004D7A69" w:rsidP="004D7A69">
      <w:pPr>
        <w:pStyle w:val="BodyText"/>
      </w:pPr>
      <w:r>
        <w:object w:dxaOrig="2420" w:dyaOrig="1653" w14:anchorId="3ACF1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84.55pt" o:ole="">
            <v:imagedata r:id="rId12" o:title=""/>
          </v:shape>
          <o:OLEObject Type="Embed" ProgID="ChemDraw.Document.6.0" ShapeID="_x0000_i1025" DrawAspect="Content" ObjectID="_1682149524" r:id="rId13"/>
        </w:object>
      </w:r>
    </w:p>
    <w:p w14:paraId="2ED0E7B8" w14:textId="77777777" w:rsidR="00D85D9B" w:rsidRDefault="00D85D9B" w:rsidP="00D85D9B">
      <w:pPr>
        <w:pStyle w:val="Heading3"/>
      </w:pPr>
      <w:r w:rsidRPr="00162C64">
        <w:t xml:space="preserve">CAS Number: </w:t>
      </w:r>
    </w:p>
    <w:p w14:paraId="1F56385D" w14:textId="77777777" w:rsidR="004D7A69" w:rsidRDefault="004D7A69" w:rsidP="00F952B8">
      <w:pPr>
        <w:pStyle w:val="BodyText"/>
        <w:spacing w:after="240"/>
      </w:pPr>
      <w:r>
        <w:t>CAS Number: 380917-97-5</w:t>
      </w:r>
    </w:p>
    <w:p w14:paraId="76F3B1FA" w14:textId="77777777" w:rsidR="00D85D9B" w:rsidRDefault="00D85D9B" w:rsidP="00D85D9B">
      <w:pPr>
        <w:pStyle w:val="Heading1"/>
      </w:pPr>
      <w:r w:rsidRPr="00BE78D8">
        <w:t xml:space="preserve">MEDICINE SCHEDULE </w:t>
      </w:r>
      <w:r>
        <w:t>(</w:t>
      </w:r>
      <w:r w:rsidRPr="00BE78D8">
        <w:t xml:space="preserve">POISON </w:t>
      </w:r>
      <w:r>
        <w:t>Standard)</w:t>
      </w:r>
    </w:p>
    <w:p w14:paraId="7DFFB542" w14:textId="77777777" w:rsidR="00111909" w:rsidRDefault="00111909" w:rsidP="00F952B8">
      <w:pPr>
        <w:pStyle w:val="BodyText"/>
        <w:spacing w:after="240"/>
      </w:pPr>
      <w:r w:rsidRPr="00111909">
        <w:t>Schedule 4 – Prescription only medicine</w:t>
      </w:r>
    </w:p>
    <w:p w14:paraId="19AE26F1" w14:textId="77777777" w:rsidR="00BE78D8" w:rsidRDefault="00BE78D8" w:rsidP="00D85D9B">
      <w:pPr>
        <w:pStyle w:val="Heading1"/>
      </w:pPr>
      <w:r w:rsidRPr="00BE78D8">
        <w:t>sponsor</w:t>
      </w:r>
    </w:p>
    <w:p w14:paraId="4918BB6D" w14:textId="77777777" w:rsidR="00111909" w:rsidRDefault="00111909" w:rsidP="00111909">
      <w:pPr>
        <w:pStyle w:val="BodyText"/>
      </w:pPr>
      <w:r>
        <w:t>Eisai Australia Pty. Ltd.</w:t>
      </w:r>
    </w:p>
    <w:p w14:paraId="54DB1033" w14:textId="77777777" w:rsidR="00111909" w:rsidRDefault="00111909" w:rsidP="00111909">
      <w:pPr>
        <w:pStyle w:val="BodyText"/>
      </w:pPr>
      <w:r>
        <w:t>Level 2, 437 St Kilda Road</w:t>
      </w:r>
    </w:p>
    <w:p w14:paraId="730958EE" w14:textId="77777777" w:rsidR="00111909" w:rsidRPr="009B2077" w:rsidRDefault="00111909" w:rsidP="00111909">
      <w:pPr>
        <w:pStyle w:val="BodyText"/>
      </w:pPr>
      <w:r w:rsidRPr="009B2077">
        <w:t>Melbourne, VIC, 3004</w:t>
      </w:r>
    </w:p>
    <w:p w14:paraId="48A58B96" w14:textId="77777777" w:rsidR="00111909" w:rsidRPr="009B2077" w:rsidRDefault="00111909" w:rsidP="00111909">
      <w:pPr>
        <w:pStyle w:val="BodyText"/>
      </w:pPr>
      <w:r w:rsidRPr="009B2077">
        <w:t>03 9832 9100</w:t>
      </w:r>
    </w:p>
    <w:p w14:paraId="11E8CD57" w14:textId="77777777" w:rsidR="00111909" w:rsidRPr="009B2077" w:rsidRDefault="00111909" w:rsidP="00F952B8">
      <w:pPr>
        <w:pStyle w:val="BodyText"/>
        <w:spacing w:after="240"/>
      </w:pPr>
      <w:r w:rsidRPr="009B2077">
        <w:t>medinfo_australia@eisai.net</w:t>
      </w:r>
    </w:p>
    <w:p w14:paraId="2912245C" w14:textId="77777777" w:rsidR="00BE78D8" w:rsidRDefault="00D85D9B" w:rsidP="00D85D9B">
      <w:pPr>
        <w:pStyle w:val="Heading1"/>
      </w:pPr>
      <w:r>
        <w:t>Date of First Approval</w:t>
      </w:r>
    </w:p>
    <w:p w14:paraId="3809B40A" w14:textId="77777777" w:rsidR="00111909" w:rsidRDefault="00111909" w:rsidP="00F952B8">
      <w:pPr>
        <w:pStyle w:val="BodyText"/>
        <w:spacing w:after="240"/>
      </w:pPr>
      <w:r w:rsidRPr="00111909">
        <w:t>23 May 2014</w:t>
      </w:r>
    </w:p>
    <w:p w14:paraId="05EB1E2F" w14:textId="77777777" w:rsidR="007A1D6F" w:rsidRDefault="00D85D9B" w:rsidP="00D85D9B">
      <w:pPr>
        <w:pStyle w:val="Heading1"/>
      </w:pPr>
      <w:r>
        <w:t>Date of Revision</w:t>
      </w:r>
    </w:p>
    <w:p w14:paraId="27F1AF31" w14:textId="4B2652DE" w:rsidR="00111909" w:rsidRDefault="00407D6D" w:rsidP="00F952B8">
      <w:pPr>
        <w:pStyle w:val="BodyText"/>
        <w:spacing w:after="240"/>
      </w:pPr>
      <w:r>
        <w:t>11 February 2021</w:t>
      </w:r>
    </w:p>
    <w:p w14:paraId="4A4C950E" w14:textId="77777777" w:rsidR="00111909" w:rsidRPr="002874BA" w:rsidRDefault="00111909" w:rsidP="00111909">
      <w:pPr>
        <w:pStyle w:val="Heading3"/>
      </w:pPr>
      <w:r w:rsidRPr="002874BA">
        <w:t>Summary Table of changes</w:t>
      </w:r>
    </w:p>
    <w:tbl>
      <w:tblPr>
        <w:tblStyle w:val="TableGrid2"/>
        <w:tblW w:w="0" w:type="auto"/>
        <w:tblLook w:val="04A0" w:firstRow="1" w:lastRow="0" w:firstColumn="1" w:lastColumn="0" w:noHBand="0" w:noVBand="1"/>
      </w:tblPr>
      <w:tblGrid>
        <w:gridCol w:w="1100"/>
        <w:gridCol w:w="1131"/>
        <w:gridCol w:w="6785"/>
      </w:tblGrid>
      <w:tr w:rsidR="00111909" w:rsidRPr="002874BA" w14:paraId="0A344FE5" w14:textId="77777777" w:rsidTr="00660D53">
        <w:tc>
          <w:tcPr>
            <w:tcW w:w="1101" w:type="dxa"/>
          </w:tcPr>
          <w:p w14:paraId="76FF1738" w14:textId="77777777" w:rsidR="00111909" w:rsidRPr="00E13432" w:rsidRDefault="00111909" w:rsidP="00660D53">
            <w:pPr>
              <w:pStyle w:val="BodyText"/>
              <w:rPr>
                <w:b/>
                <w:bCs/>
              </w:rPr>
            </w:pPr>
            <w:r w:rsidRPr="00E13432">
              <w:rPr>
                <w:b/>
                <w:bCs/>
              </w:rPr>
              <w:t>Version Number</w:t>
            </w:r>
          </w:p>
        </w:tc>
        <w:tc>
          <w:tcPr>
            <w:tcW w:w="1134" w:type="dxa"/>
          </w:tcPr>
          <w:p w14:paraId="332AB715" w14:textId="77777777" w:rsidR="00111909" w:rsidRPr="00E13432" w:rsidRDefault="00111909" w:rsidP="00660D53">
            <w:pPr>
              <w:pStyle w:val="BodyText"/>
              <w:rPr>
                <w:b/>
                <w:bCs/>
              </w:rPr>
            </w:pPr>
            <w:r w:rsidRPr="00E13432">
              <w:rPr>
                <w:b/>
                <w:bCs/>
              </w:rPr>
              <w:t>Section changed</w:t>
            </w:r>
          </w:p>
        </w:tc>
        <w:tc>
          <w:tcPr>
            <w:tcW w:w="7007" w:type="dxa"/>
          </w:tcPr>
          <w:p w14:paraId="08BE5E4C" w14:textId="77777777" w:rsidR="00111909" w:rsidRPr="00E13432" w:rsidRDefault="00111909" w:rsidP="00660D53">
            <w:pPr>
              <w:pStyle w:val="BodyText"/>
              <w:rPr>
                <w:b/>
                <w:bCs/>
              </w:rPr>
            </w:pPr>
            <w:r w:rsidRPr="00E13432">
              <w:rPr>
                <w:b/>
                <w:bCs/>
              </w:rPr>
              <w:t>Summary of new information</w:t>
            </w:r>
          </w:p>
        </w:tc>
      </w:tr>
      <w:tr w:rsidR="00111909" w:rsidRPr="002874BA" w14:paraId="37013147" w14:textId="77777777" w:rsidTr="00660D53">
        <w:tc>
          <w:tcPr>
            <w:tcW w:w="1101" w:type="dxa"/>
          </w:tcPr>
          <w:p w14:paraId="13E9C635" w14:textId="4FD212E2" w:rsidR="00111909" w:rsidRPr="002874BA" w:rsidRDefault="00170364" w:rsidP="00660D53">
            <w:pPr>
              <w:pStyle w:val="BodyText"/>
            </w:pPr>
            <w:r>
              <w:t>3.2</w:t>
            </w:r>
          </w:p>
        </w:tc>
        <w:tc>
          <w:tcPr>
            <w:tcW w:w="1134" w:type="dxa"/>
          </w:tcPr>
          <w:p w14:paraId="0A6593B5" w14:textId="77777777" w:rsidR="00111909" w:rsidRPr="002874BA" w:rsidRDefault="00263138" w:rsidP="00660D53">
            <w:pPr>
              <w:pStyle w:val="BodyText"/>
            </w:pPr>
            <w:r>
              <w:t>All</w:t>
            </w:r>
          </w:p>
        </w:tc>
        <w:tc>
          <w:tcPr>
            <w:tcW w:w="7007" w:type="dxa"/>
          </w:tcPr>
          <w:p w14:paraId="75E03FEC" w14:textId="492B57F8" w:rsidR="00111909" w:rsidRPr="002874BA" w:rsidRDefault="00170364" w:rsidP="00263138">
            <w:pPr>
              <w:pStyle w:val="BodyText"/>
            </w:pPr>
            <w:r>
              <w:t>Reformatted to new TGA template. No change to content.</w:t>
            </w:r>
          </w:p>
        </w:tc>
      </w:tr>
      <w:tr w:rsidR="00E1021E" w:rsidRPr="002874BA" w14:paraId="3CC3AEEC" w14:textId="77777777" w:rsidTr="00660D53">
        <w:tc>
          <w:tcPr>
            <w:tcW w:w="1101" w:type="dxa"/>
          </w:tcPr>
          <w:p w14:paraId="43CC440A" w14:textId="77777777" w:rsidR="00E1021E" w:rsidRPr="002874BA" w:rsidRDefault="00E1021E" w:rsidP="00E1021E">
            <w:pPr>
              <w:pStyle w:val="BodyText"/>
            </w:pPr>
            <w:r>
              <w:t>4</w:t>
            </w:r>
          </w:p>
        </w:tc>
        <w:tc>
          <w:tcPr>
            <w:tcW w:w="1134" w:type="dxa"/>
          </w:tcPr>
          <w:p w14:paraId="0E5B05E8" w14:textId="77777777" w:rsidR="00E1021E" w:rsidRPr="002874BA" w:rsidRDefault="00E1021E" w:rsidP="00E1021E">
            <w:pPr>
              <w:pStyle w:val="BodyText"/>
            </w:pPr>
            <w:r>
              <w:t>2, 3, 4.2, 4.4,5.2, 6.1, 6.3, 6.5.</w:t>
            </w:r>
          </w:p>
        </w:tc>
        <w:tc>
          <w:tcPr>
            <w:tcW w:w="7007" w:type="dxa"/>
          </w:tcPr>
          <w:p w14:paraId="54FE59B1" w14:textId="77777777" w:rsidR="00E1021E" w:rsidRPr="002874BA" w:rsidRDefault="00E1021E" w:rsidP="00E1021E">
            <w:pPr>
              <w:pStyle w:val="BodyText"/>
            </w:pPr>
            <w:r>
              <w:t>Updated to include information regarding a new oral suspension dosage form. Information updated includes composition, presentation, dosing information, special warnings and precautions regarding oral suspension ingredients, pharmacokinetics information, and excipients.</w:t>
            </w:r>
          </w:p>
        </w:tc>
      </w:tr>
      <w:tr w:rsidR="00E1021E" w:rsidRPr="002874BA" w14:paraId="6A56D976" w14:textId="77777777" w:rsidTr="00660D53">
        <w:tc>
          <w:tcPr>
            <w:tcW w:w="1101" w:type="dxa"/>
          </w:tcPr>
          <w:p w14:paraId="3A1A627C" w14:textId="77777777" w:rsidR="00E1021E" w:rsidRPr="002874BA" w:rsidRDefault="00E1021E" w:rsidP="00E1021E">
            <w:pPr>
              <w:pStyle w:val="BodyText"/>
            </w:pPr>
            <w:r>
              <w:t>4</w:t>
            </w:r>
          </w:p>
        </w:tc>
        <w:tc>
          <w:tcPr>
            <w:tcW w:w="1134" w:type="dxa"/>
          </w:tcPr>
          <w:p w14:paraId="21410537" w14:textId="77777777" w:rsidR="00E1021E" w:rsidRPr="002874BA" w:rsidRDefault="00E1021E" w:rsidP="00E1021E">
            <w:pPr>
              <w:pStyle w:val="BodyText"/>
            </w:pPr>
            <w:r>
              <w:t>4.1, 4.2, 4.4, 4.8, 5.1, 5.2.</w:t>
            </w:r>
          </w:p>
        </w:tc>
        <w:tc>
          <w:tcPr>
            <w:tcW w:w="7007" w:type="dxa"/>
          </w:tcPr>
          <w:p w14:paraId="5671E479" w14:textId="1EDAA634" w:rsidR="00E1021E" w:rsidRPr="002874BA" w:rsidRDefault="00E1021E" w:rsidP="00E1021E">
            <w:pPr>
              <w:pStyle w:val="BodyText"/>
            </w:pPr>
            <w:r>
              <w:t xml:space="preserve">Updated to include information to support an indication extension to include paediatric patients aged from </w:t>
            </w:r>
            <w:r w:rsidR="00A42C91">
              <w:t>4</w:t>
            </w:r>
            <w:r>
              <w:t xml:space="preserve"> to 11. Information updated includes the indication, the dosing information, special warnings and precautions for use in paediatric patients, pharmacodynamic information regarding the paediatric data. </w:t>
            </w:r>
          </w:p>
        </w:tc>
      </w:tr>
    </w:tbl>
    <w:p w14:paraId="0216ABF2" w14:textId="77777777" w:rsidR="00111909" w:rsidRPr="00111909" w:rsidRDefault="00111909" w:rsidP="00F952B8">
      <w:pPr>
        <w:pStyle w:val="BodyText"/>
      </w:pPr>
    </w:p>
    <w:sectPr w:rsidR="00111909" w:rsidRPr="00111909" w:rsidSect="0088349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8761B" w14:textId="77777777" w:rsidR="00527070" w:rsidRDefault="00527070" w:rsidP="00984B4D">
      <w:r>
        <w:separator/>
      </w:r>
    </w:p>
  </w:endnote>
  <w:endnote w:type="continuationSeparator" w:id="0">
    <w:p w14:paraId="1A151D44" w14:textId="77777777" w:rsidR="00527070" w:rsidRDefault="00527070" w:rsidP="00984B4D">
      <w:r>
        <w:continuationSeparator/>
      </w:r>
    </w:p>
  </w:endnote>
  <w:endnote w:type="continuationNotice" w:id="1">
    <w:p w14:paraId="1021A261" w14:textId="77777777" w:rsidR="00527070" w:rsidRDefault="005270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13B72" w14:textId="38B55988" w:rsidR="00527070" w:rsidRPr="00263138" w:rsidRDefault="00527070" w:rsidP="00263138">
    <w:pPr>
      <w:tabs>
        <w:tab w:val="center" w:pos="4680"/>
        <w:tab w:val="right" w:pos="8789"/>
      </w:tabs>
      <w:spacing w:after="0" w:line="240" w:lineRule="auto"/>
      <w:rPr>
        <w:sz w:val="20"/>
        <w:szCs w:val="20"/>
      </w:rPr>
    </w:pPr>
    <w:r w:rsidRPr="00263138">
      <w:rPr>
        <w:rFonts w:ascii="Times New Roman" w:eastAsia="Times New Roman" w:hAnsi="Times New Roman" w:cs="Times New Roman"/>
        <w:sz w:val="20"/>
        <w:szCs w:val="20"/>
        <w:lang w:val="en-GB" w:eastAsia="de-DE"/>
      </w:rPr>
      <w:t>Fycompa PI Version 4</w:t>
    </w:r>
    <w:r w:rsidRPr="00263138">
      <w:rPr>
        <w:rFonts w:ascii="Times New Roman" w:eastAsia="Times New Roman" w:hAnsi="Times New Roman" w:cs="Times New Roman"/>
        <w:sz w:val="20"/>
        <w:szCs w:val="20"/>
        <w:lang w:val="en-GB" w:eastAsia="de-DE"/>
      </w:rPr>
      <w:tab/>
    </w:r>
    <w:r w:rsidRPr="00263138">
      <w:rPr>
        <w:rFonts w:ascii="Times New Roman" w:eastAsia="Times New Roman" w:hAnsi="Times New Roman" w:cs="Times New Roman"/>
        <w:sz w:val="20"/>
        <w:szCs w:val="20"/>
        <w:lang w:val="en-GB" w:eastAsia="de-DE"/>
      </w:rPr>
      <w:tab/>
      <w:t xml:space="preserve">Page </w:t>
    </w:r>
    <w:r w:rsidRPr="00263138">
      <w:rPr>
        <w:rFonts w:ascii="Times New Roman" w:eastAsia="Times New Roman" w:hAnsi="Times New Roman" w:cs="Times New Roman"/>
        <w:sz w:val="20"/>
        <w:szCs w:val="20"/>
        <w:lang w:val="en-GB" w:eastAsia="de-DE"/>
      </w:rPr>
      <w:fldChar w:fldCharType="begin"/>
    </w:r>
    <w:r w:rsidRPr="00263138">
      <w:rPr>
        <w:rFonts w:ascii="Times New Roman" w:eastAsia="Times New Roman" w:hAnsi="Times New Roman" w:cs="Times New Roman"/>
        <w:sz w:val="20"/>
        <w:szCs w:val="20"/>
        <w:lang w:val="en-GB" w:eastAsia="de-DE"/>
      </w:rPr>
      <w:instrText xml:space="preserve"> PAGE  \* Arabic  \* MERGEFORMAT </w:instrText>
    </w:r>
    <w:r w:rsidRPr="00263138">
      <w:rPr>
        <w:rFonts w:ascii="Times New Roman" w:eastAsia="Times New Roman" w:hAnsi="Times New Roman" w:cs="Times New Roman"/>
        <w:sz w:val="20"/>
        <w:szCs w:val="20"/>
        <w:lang w:val="en-GB" w:eastAsia="de-DE"/>
      </w:rPr>
      <w:fldChar w:fldCharType="separate"/>
    </w:r>
    <w:r w:rsidR="007B3B4A">
      <w:rPr>
        <w:rFonts w:ascii="Times New Roman" w:eastAsia="Times New Roman" w:hAnsi="Times New Roman" w:cs="Times New Roman"/>
        <w:noProof/>
        <w:sz w:val="20"/>
        <w:szCs w:val="20"/>
        <w:lang w:val="en-GB" w:eastAsia="de-DE"/>
      </w:rPr>
      <w:t>1</w:t>
    </w:r>
    <w:r w:rsidRPr="00263138">
      <w:rPr>
        <w:rFonts w:ascii="Times New Roman" w:eastAsia="Times New Roman" w:hAnsi="Times New Roman" w:cs="Times New Roman"/>
        <w:sz w:val="20"/>
        <w:szCs w:val="20"/>
        <w:lang w:val="en-GB" w:eastAsia="de-DE"/>
      </w:rPr>
      <w:fldChar w:fldCharType="end"/>
    </w:r>
    <w:r>
      <w:rPr>
        <w:rFonts w:ascii="Times New Roman" w:eastAsia="Times New Roman" w:hAnsi="Times New Roman" w:cs="Times New Roman"/>
        <w:b/>
        <w:sz w:val="20"/>
        <w:szCs w:val="20"/>
        <w:lang w:val="en-GB" w:eastAsia="de-D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6BA33" w14:textId="77777777" w:rsidR="00527070" w:rsidRDefault="00527070" w:rsidP="00984B4D">
      <w:r>
        <w:separator/>
      </w:r>
    </w:p>
  </w:footnote>
  <w:footnote w:type="continuationSeparator" w:id="0">
    <w:p w14:paraId="58F45657" w14:textId="77777777" w:rsidR="00527070" w:rsidRDefault="00527070" w:rsidP="00984B4D">
      <w:r>
        <w:continuationSeparator/>
      </w:r>
    </w:p>
  </w:footnote>
  <w:footnote w:type="continuationNotice" w:id="1">
    <w:p w14:paraId="32810D96" w14:textId="77777777" w:rsidR="00527070" w:rsidRDefault="005270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6F0FB9" w14:paraId="349C29AA" w14:textId="77777777" w:rsidTr="00CB158A">
      <w:tc>
        <w:tcPr>
          <w:tcW w:w="8720" w:type="dxa"/>
          <w:shd w:val="clear" w:color="auto" w:fill="E4F2E0"/>
        </w:tcPr>
        <w:p w14:paraId="4D9DAA54" w14:textId="55DE749A" w:rsidR="006F0FB9" w:rsidRPr="007B3B4A" w:rsidRDefault="006F0FB9" w:rsidP="007B3B4A">
          <w:pPr>
            <w:rPr>
              <w:rFonts w:ascii="Times New Roman" w:hAnsi="Times New Roman" w:cs="Times New Roman"/>
              <w:sz w:val="20"/>
              <w:szCs w:val="20"/>
            </w:rPr>
          </w:pPr>
          <w:r w:rsidRPr="007B3B4A">
            <w:rPr>
              <w:rFonts w:ascii="Times New Roman" w:hAnsi="Times New Roman" w:cs="Times New Roman"/>
              <w:b/>
              <w:sz w:val="20"/>
              <w:szCs w:val="20"/>
            </w:rPr>
            <w:t xml:space="preserve">Attachment 1: Product information for </w:t>
          </w:r>
          <w:r w:rsidR="007B3B4A" w:rsidRPr="007B3B4A">
            <w:rPr>
              <w:rFonts w:ascii="Times New Roman" w:hAnsi="Times New Roman" w:cs="Times New Roman"/>
              <w:b/>
              <w:sz w:val="20"/>
              <w:szCs w:val="20"/>
            </w:rPr>
            <w:t>AusPAR - Fycompa - perampanel - Eisai Australia Pty Ltd - PM-2019-05359-1-1</w:t>
          </w:r>
          <w:r w:rsidR="007B3B4A" w:rsidRPr="007B3B4A">
            <w:rPr>
              <w:rFonts w:ascii="Times New Roman" w:hAnsi="Times New Roman" w:cs="Times New Roman"/>
              <w:b/>
              <w:sz w:val="20"/>
              <w:szCs w:val="20"/>
            </w:rPr>
            <w:t xml:space="preserve"> final</w:t>
          </w:r>
          <w:r w:rsidR="007B3B4A" w:rsidRPr="007B3B4A">
            <w:rPr>
              <w:rFonts w:ascii="Times New Roman" w:hAnsi="Times New Roman" w:cs="Times New Roman"/>
              <w:b/>
              <w:sz w:val="20"/>
              <w:szCs w:val="20"/>
            </w:rPr>
            <w:t xml:space="preserve"> 26 April 2021</w:t>
          </w:r>
          <w:r w:rsidR="007B3B4A" w:rsidRPr="007B3B4A">
            <w:rPr>
              <w:rFonts w:ascii="Times New Roman" w:hAnsi="Times New Roman" w:cs="Times New Roman"/>
              <w:b/>
              <w:sz w:val="20"/>
              <w:szCs w:val="20"/>
            </w:rPr>
            <w:t>.</w:t>
          </w:r>
          <w:r w:rsidRPr="007B3B4A">
            <w:rPr>
              <w:rFonts w:ascii="Times New Roman" w:hAnsi="Times New Roman" w:cs="Times New Roman"/>
              <w:b/>
              <w:sz w:val="20"/>
              <w:szCs w:val="20"/>
            </w:rPr>
            <w:t xml:space="preserve"> This is the Product Information that was approved with the submission described in this AusPAR. It may have been superseded. For the most recent PI, please refer to the TGA website at &lt;</w:t>
          </w:r>
          <w:hyperlink r:id="rId1" w:history="1">
            <w:r w:rsidRPr="007B3B4A">
              <w:rPr>
                <w:rStyle w:val="Hyperlink"/>
                <w:rFonts w:ascii="Times New Roman" w:hAnsi="Times New Roman" w:cs="Times New Roman"/>
                <w:sz w:val="20"/>
                <w:szCs w:val="20"/>
              </w:rPr>
              <w:t>https://www.tga.gov.au/product-information-pi</w:t>
            </w:r>
          </w:hyperlink>
          <w:r w:rsidRPr="007B3B4A">
            <w:rPr>
              <w:rStyle w:val="Hyperlink"/>
              <w:rFonts w:ascii="Times New Roman" w:hAnsi="Times New Roman" w:cs="Times New Roman"/>
              <w:color w:val="auto"/>
              <w:sz w:val="20"/>
              <w:szCs w:val="20"/>
              <w:u w:val="none"/>
            </w:rPr>
            <w:t>&gt;</w:t>
          </w:r>
        </w:p>
      </w:tc>
    </w:tr>
  </w:tbl>
  <w:p w14:paraId="4E216CC9" w14:textId="77777777" w:rsidR="006F0FB9" w:rsidRDefault="006F0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B06E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A47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321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42E8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36E9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0A14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24A3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A60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CE9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8EBB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52D"/>
    <w:multiLevelType w:val="hybridMultilevel"/>
    <w:tmpl w:val="914E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FB133E"/>
    <w:multiLevelType w:val="hybridMultilevel"/>
    <w:tmpl w:val="E634DC0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614AB3"/>
    <w:multiLevelType w:val="hybridMultilevel"/>
    <w:tmpl w:val="43EAC2B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61FCC"/>
    <w:multiLevelType w:val="hybridMultilevel"/>
    <w:tmpl w:val="2AB029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6C3140"/>
    <w:multiLevelType w:val="hybridMultilevel"/>
    <w:tmpl w:val="ACB8C0A8"/>
    <w:lvl w:ilvl="0" w:tplc="77C43F66">
      <w:start w:val="1"/>
      <w:numFmt w:val="lowerLetter"/>
      <w:lvlText w:val="%1"/>
      <w:lvlJc w:val="left"/>
      <w:pPr>
        <w:ind w:left="360" w:hanging="360"/>
      </w:pPr>
      <w:rPr>
        <w:rFonts w:hint="default"/>
        <w:sz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472911"/>
    <w:multiLevelType w:val="hybridMultilevel"/>
    <w:tmpl w:val="40DC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F5E98"/>
    <w:multiLevelType w:val="multilevel"/>
    <w:tmpl w:val="E44E457C"/>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C816749"/>
    <w:multiLevelType w:val="hybridMultilevel"/>
    <w:tmpl w:val="FA30BA3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5F443E"/>
    <w:multiLevelType w:val="hybridMultilevel"/>
    <w:tmpl w:val="86526BD4"/>
    <w:lvl w:ilvl="0" w:tplc="3C2CCA9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C84DF7"/>
    <w:multiLevelType w:val="hybridMultilevel"/>
    <w:tmpl w:val="B914CE2C"/>
    <w:lvl w:ilvl="0" w:tplc="6E10E9D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E32B0D"/>
    <w:multiLevelType w:val="singleLevel"/>
    <w:tmpl w:val="59B625FA"/>
    <w:name w:val="WWtf"/>
    <w:lvl w:ilvl="0">
      <w:start w:val="1"/>
      <w:numFmt w:val="lowerLetter"/>
      <w:lvlText w:val="%1"/>
      <w:lvlJc w:val="left"/>
      <w:pPr>
        <w:tabs>
          <w:tab w:val="num" w:pos="360"/>
        </w:tabs>
        <w:ind w:left="360" w:hanging="360"/>
      </w:pPr>
      <w:rPr>
        <w:rFonts w:ascii="Times New Roman" w:hAnsi="Times New Roman" w:cs="Times New Roman" w:hint="default"/>
        <w:b w:val="0"/>
        <w:i w:val="0"/>
        <w:caps w:val="0"/>
        <w:sz w:val="20"/>
        <w:u w:val="none"/>
        <w:vertAlign w:val="superscript"/>
      </w:rPr>
    </w:lvl>
  </w:abstractNum>
  <w:abstractNum w:abstractNumId="21" w15:restartNumberingAfterBreak="0">
    <w:nsid w:val="48B17B0B"/>
    <w:multiLevelType w:val="hybridMultilevel"/>
    <w:tmpl w:val="1FE4B0A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E40F7A"/>
    <w:multiLevelType w:val="hybridMultilevel"/>
    <w:tmpl w:val="CBC287AC"/>
    <w:lvl w:ilvl="0" w:tplc="77C43F66">
      <w:start w:val="1"/>
      <w:numFmt w:val="lowerLetter"/>
      <w:lvlText w:val="%1"/>
      <w:lvlJc w:val="left"/>
      <w:pPr>
        <w:ind w:left="720" w:hanging="360"/>
      </w:pPr>
      <w:rPr>
        <w:rFonts w:hint="default"/>
        <w:sz w:val="1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55242FD"/>
    <w:multiLevelType w:val="hybridMultilevel"/>
    <w:tmpl w:val="56FC8C1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7475815"/>
    <w:multiLevelType w:val="hybridMultilevel"/>
    <w:tmpl w:val="27EA859A"/>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E2289AF0">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321186C"/>
    <w:multiLevelType w:val="hybridMultilevel"/>
    <w:tmpl w:val="592EC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CA5570"/>
    <w:multiLevelType w:val="hybridMultilevel"/>
    <w:tmpl w:val="C7C43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6"/>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25"/>
  </w:num>
  <w:num w:numId="17">
    <w:abstractNumId w:val="25"/>
  </w:num>
  <w:num w:numId="18">
    <w:abstractNumId w:val="25"/>
  </w:num>
  <w:num w:numId="19">
    <w:abstractNumId w:val="25"/>
  </w:num>
  <w:num w:numId="20">
    <w:abstractNumId w:val="25"/>
  </w:num>
  <w:num w:numId="21">
    <w:abstractNumId w:val="25"/>
  </w:num>
  <w:num w:numId="22">
    <w:abstractNumId w:val="18"/>
  </w:num>
  <w:num w:numId="23">
    <w:abstractNumId w:val="22"/>
  </w:num>
  <w:num w:numId="24">
    <w:abstractNumId w:val="23"/>
  </w:num>
  <w:num w:numId="25">
    <w:abstractNumId w:val="17"/>
  </w:num>
  <w:num w:numId="26">
    <w:abstractNumId w:val="15"/>
  </w:num>
  <w:num w:numId="27">
    <w:abstractNumId w:val="19"/>
  </w:num>
  <w:num w:numId="28">
    <w:abstractNumId w:val="26"/>
  </w:num>
  <w:num w:numId="29">
    <w:abstractNumId w:val="27"/>
  </w:num>
  <w:num w:numId="30">
    <w:abstractNumId w:val="12"/>
  </w:num>
  <w:num w:numId="31">
    <w:abstractNumId w:val="11"/>
  </w:num>
  <w:num w:numId="32">
    <w:abstractNumId w:val="24"/>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69"/>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76"/>
    <w:rsid w:val="0000578A"/>
    <w:rsid w:val="00016BD2"/>
    <w:rsid w:val="000171FD"/>
    <w:rsid w:val="000201A6"/>
    <w:rsid w:val="00023A60"/>
    <w:rsid w:val="00023B7B"/>
    <w:rsid w:val="00026B69"/>
    <w:rsid w:val="00026C88"/>
    <w:rsid w:val="00032264"/>
    <w:rsid w:val="0003287A"/>
    <w:rsid w:val="00036583"/>
    <w:rsid w:val="00044E6C"/>
    <w:rsid w:val="00045B8D"/>
    <w:rsid w:val="00056D8D"/>
    <w:rsid w:val="00066BB0"/>
    <w:rsid w:val="00071E07"/>
    <w:rsid w:val="00073AA6"/>
    <w:rsid w:val="00075749"/>
    <w:rsid w:val="000773B9"/>
    <w:rsid w:val="00092849"/>
    <w:rsid w:val="000941FE"/>
    <w:rsid w:val="0009646C"/>
    <w:rsid w:val="000A0E85"/>
    <w:rsid w:val="000A3363"/>
    <w:rsid w:val="000A401A"/>
    <w:rsid w:val="000A5296"/>
    <w:rsid w:val="000A76C2"/>
    <w:rsid w:val="000B3D87"/>
    <w:rsid w:val="000C2000"/>
    <w:rsid w:val="000C35A5"/>
    <w:rsid w:val="000D0455"/>
    <w:rsid w:val="000E199D"/>
    <w:rsid w:val="000E1EA1"/>
    <w:rsid w:val="000F2515"/>
    <w:rsid w:val="000F700D"/>
    <w:rsid w:val="001079C9"/>
    <w:rsid w:val="00110D34"/>
    <w:rsid w:val="00111444"/>
    <w:rsid w:val="00111909"/>
    <w:rsid w:val="00111E1B"/>
    <w:rsid w:val="001250F6"/>
    <w:rsid w:val="00126D06"/>
    <w:rsid w:val="0012729F"/>
    <w:rsid w:val="00131F1D"/>
    <w:rsid w:val="001332B2"/>
    <w:rsid w:val="00135867"/>
    <w:rsid w:val="00137B68"/>
    <w:rsid w:val="00137D26"/>
    <w:rsid w:val="00143D1C"/>
    <w:rsid w:val="00145B50"/>
    <w:rsid w:val="001508F3"/>
    <w:rsid w:val="0015665E"/>
    <w:rsid w:val="00160EFA"/>
    <w:rsid w:val="001620CE"/>
    <w:rsid w:val="0016297B"/>
    <w:rsid w:val="00162C64"/>
    <w:rsid w:val="001641B7"/>
    <w:rsid w:val="00164F35"/>
    <w:rsid w:val="001702C6"/>
    <w:rsid w:val="00170364"/>
    <w:rsid w:val="00171061"/>
    <w:rsid w:val="00171ED5"/>
    <w:rsid w:val="00174EED"/>
    <w:rsid w:val="00180BA3"/>
    <w:rsid w:val="0018221D"/>
    <w:rsid w:val="00191DA6"/>
    <w:rsid w:val="001946D6"/>
    <w:rsid w:val="0019489C"/>
    <w:rsid w:val="00197303"/>
    <w:rsid w:val="001A119C"/>
    <w:rsid w:val="001A49D2"/>
    <w:rsid w:val="001A5DFE"/>
    <w:rsid w:val="001A7779"/>
    <w:rsid w:val="001B6080"/>
    <w:rsid w:val="001B69E6"/>
    <w:rsid w:val="001C4C5F"/>
    <w:rsid w:val="001D457C"/>
    <w:rsid w:val="001D6874"/>
    <w:rsid w:val="001D79E4"/>
    <w:rsid w:val="001F2F91"/>
    <w:rsid w:val="001F36A2"/>
    <w:rsid w:val="001F6CA5"/>
    <w:rsid w:val="0020202A"/>
    <w:rsid w:val="0020425D"/>
    <w:rsid w:val="00204FD1"/>
    <w:rsid w:val="002125F6"/>
    <w:rsid w:val="00214E83"/>
    <w:rsid w:val="0021584E"/>
    <w:rsid w:val="002178CE"/>
    <w:rsid w:val="00221DDE"/>
    <w:rsid w:val="00221E35"/>
    <w:rsid w:val="002241DD"/>
    <w:rsid w:val="00226723"/>
    <w:rsid w:val="0022682F"/>
    <w:rsid w:val="00227BAD"/>
    <w:rsid w:val="00230AB7"/>
    <w:rsid w:val="00233735"/>
    <w:rsid w:val="00233DB8"/>
    <w:rsid w:val="00234095"/>
    <w:rsid w:val="00236B3C"/>
    <w:rsid w:val="00240ADF"/>
    <w:rsid w:val="00240C8D"/>
    <w:rsid w:val="002421BD"/>
    <w:rsid w:val="0024707C"/>
    <w:rsid w:val="002501EF"/>
    <w:rsid w:val="00251DEA"/>
    <w:rsid w:val="002524C7"/>
    <w:rsid w:val="00256092"/>
    <w:rsid w:val="00256A10"/>
    <w:rsid w:val="00257015"/>
    <w:rsid w:val="00260A50"/>
    <w:rsid w:val="0026258A"/>
    <w:rsid w:val="00263138"/>
    <w:rsid w:val="002640E6"/>
    <w:rsid w:val="00270728"/>
    <w:rsid w:val="002725D4"/>
    <w:rsid w:val="00272781"/>
    <w:rsid w:val="00276668"/>
    <w:rsid w:val="002821A2"/>
    <w:rsid w:val="002905C7"/>
    <w:rsid w:val="00292680"/>
    <w:rsid w:val="00292CC2"/>
    <w:rsid w:val="00297416"/>
    <w:rsid w:val="002A4B48"/>
    <w:rsid w:val="002B05DD"/>
    <w:rsid w:val="002B1E01"/>
    <w:rsid w:val="002C1F2E"/>
    <w:rsid w:val="002C32CD"/>
    <w:rsid w:val="002C50B2"/>
    <w:rsid w:val="002C5D3A"/>
    <w:rsid w:val="002C5F91"/>
    <w:rsid w:val="002C6A81"/>
    <w:rsid w:val="002C77FA"/>
    <w:rsid w:val="002D14A0"/>
    <w:rsid w:val="002D4160"/>
    <w:rsid w:val="002D729F"/>
    <w:rsid w:val="002E1B2F"/>
    <w:rsid w:val="002E429E"/>
    <w:rsid w:val="002E6C48"/>
    <w:rsid w:val="002F0E3F"/>
    <w:rsid w:val="002F5578"/>
    <w:rsid w:val="003038F8"/>
    <w:rsid w:val="00303B57"/>
    <w:rsid w:val="00306F4F"/>
    <w:rsid w:val="00315C01"/>
    <w:rsid w:val="0032016F"/>
    <w:rsid w:val="0032045C"/>
    <w:rsid w:val="00325082"/>
    <w:rsid w:val="00326A1D"/>
    <w:rsid w:val="00331F23"/>
    <w:rsid w:val="0033334B"/>
    <w:rsid w:val="00336C35"/>
    <w:rsid w:val="0034217F"/>
    <w:rsid w:val="00342C7D"/>
    <w:rsid w:val="00346E9F"/>
    <w:rsid w:val="003511C2"/>
    <w:rsid w:val="00352697"/>
    <w:rsid w:val="00355BCD"/>
    <w:rsid w:val="00357B61"/>
    <w:rsid w:val="003641D5"/>
    <w:rsid w:val="00364644"/>
    <w:rsid w:val="00365948"/>
    <w:rsid w:val="00365DC3"/>
    <w:rsid w:val="003663AC"/>
    <w:rsid w:val="00366E64"/>
    <w:rsid w:val="00367A23"/>
    <w:rsid w:val="00371690"/>
    <w:rsid w:val="0037183D"/>
    <w:rsid w:val="00371A33"/>
    <w:rsid w:val="00372091"/>
    <w:rsid w:val="00372CFA"/>
    <w:rsid w:val="00373A81"/>
    <w:rsid w:val="00385FF1"/>
    <w:rsid w:val="00386878"/>
    <w:rsid w:val="00387B15"/>
    <w:rsid w:val="00391551"/>
    <w:rsid w:val="00393730"/>
    <w:rsid w:val="00396ADC"/>
    <w:rsid w:val="003A0068"/>
    <w:rsid w:val="003A020B"/>
    <w:rsid w:val="003A0C5A"/>
    <w:rsid w:val="003A2D53"/>
    <w:rsid w:val="003A7EF9"/>
    <w:rsid w:val="003B260B"/>
    <w:rsid w:val="003B346A"/>
    <w:rsid w:val="003B47AB"/>
    <w:rsid w:val="003B50B3"/>
    <w:rsid w:val="003C3214"/>
    <w:rsid w:val="003E2DA8"/>
    <w:rsid w:val="003E4732"/>
    <w:rsid w:val="003E6C80"/>
    <w:rsid w:val="003E7FB8"/>
    <w:rsid w:val="003F2E6A"/>
    <w:rsid w:val="003F3775"/>
    <w:rsid w:val="003F42CD"/>
    <w:rsid w:val="003F5607"/>
    <w:rsid w:val="003F755A"/>
    <w:rsid w:val="00402030"/>
    <w:rsid w:val="004046ED"/>
    <w:rsid w:val="00405928"/>
    <w:rsid w:val="00405B2B"/>
    <w:rsid w:val="00407D6D"/>
    <w:rsid w:val="00410FD3"/>
    <w:rsid w:val="00411865"/>
    <w:rsid w:val="00415AC8"/>
    <w:rsid w:val="00422ECB"/>
    <w:rsid w:val="00426553"/>
    <w:rsid w:val="00431655"/>
    <w:rsid w:val="004328C5"/>
    <w:rsid w:val="00434EE0"/>
    <w:rsid w:val="0043593E"/>
    <w:rsid w:val="00443797"/>
    <w:rsid w:val="00445A84"/>
    <w:rsid w:val="00450801"/>
    <w:rsid w:val="00450F9E"/>
    <w:rsid w:val="00451F3D"/>
    <w:rsid w:val="00455667"/>
    <w:rsid w:val="0045651D"/>
    <w:rsid w:val="00461951"/>
    <w:rsid w:val="004635FA"/>
    <w:rsid w:val="00472DD1"/>
    <w:rsid w:val="00475DAE"/>
    <w:rsid w:val="0047610F"/>
    <w:rsid w:val="00481C91"/>
    <w:rsid w:val="004838BD"/>
    <w:rsid w:val="00486AF6"/>
    <w:rsid w:val="004920FF"/>
    <w:rsid w:val="00496CDF"/>
    <w:rsid w:val="004A075E"/>
    <w:rsid w:val="004A38E3"/>
    <w:rsid w:val="004A5BDE"/>
    <w:rsid w:val="004A715D"/>
    <w:rsid w:val="004B59CC"/>
    <w:rsid w:val="004C1EFE"/>
    <w:rsid w:val="004C3D1A"/>
    <w:rsid w:val="004C4E40"/>
    <w:rsid w:val="004C5DE2"/>
    <w:rsid w:val="004C73AD"/>
    <w:rsid w:val="004C768E"/>
    <w:rsid w:val="004D19DF"/>
    <w:rsid w:val="004D4EB9"/>
    <w:rsid w:val="004D57A0"/>
    <w:rsid w:val="004D7119"/>
    <w:rsid w:val="004D7A69"/>
    <w:rsid w:val="004E074D"/>
    <w:rsid w:val="004E0BBD"/>
    <w:rsid w:val="004E0DD1"/>
    <w:rsid w:val="004E1857"/>
    <w:rsid w:val="004F22BF"/>
    <w:rsid w:val="004F4E71"/>
    <w:rsid w:val="00505C3C"/>
    <w:rsid w:val="00510686"/>
    <w:rsid w:val="005129B3"/>
    <w:rsid w:val="005132D1"/>
    <w:rsid w:val="00516AD3"/>
    <w:rsid w:val="005218C5"/>
    <w:rsid w:val="0052199D"/>
    <w:rsid w:val="0052249D"/>
    <w:rsid w:val="00527070"/>
    <w:rsid w:val="00527492"/>
    <w:rsid w:val="00527EC3"/>
    <w:rsid w:val="005338A5"/>
    <w:rsid w:val="005351B1"/>
    <w:rsid w:val="00536A73"/>
    <w:rsid w:val="0054379E"/>
    <w:rsid w:val="005472C0"/>
    <w:rsid w:val="00554495"/>
    <w:rsid w:val="0055752D"/>
    <w:rsid w:val="005640A8"/>
    <w:rsid w:val="00565867"/>
    <w:rsid w:val="005732BF"/>
    <w:rsid w:val="005752D5"/>
    <w:rsid w:val="0057560E"/>
    <w:rsid w:val="005844B5"/>
    <w:rsid w:val="005856A8"/>
    <w:rsid w:val="005858F0"/>
    <w:rsid w:val="00587538"/>
    <w:rsid w:val="00587B28"/>
    <w:rsid w:val="005A492A"/>
    <w:rsid w:val="005B1DBE"/>
    <w:rsid w:val="005B36B9"/>
    <w:rsid w:val="005B485C"/>
    <w:rsid w:val="005C29FE"/>
    <w:rsid w:val="005C3A97"/>
    <w:rsid w:val="005C3CDB"/>
    <w:rsid w:val="005C4E46"/>
    <w:rsid w:val="005C5893"/>
    <w:rsid w:val="005C64D7"/>
    <w:rsid w:val="005D1F4B"/>
    <w:rsid w:val="005D2656"/>
    <w:rsid w:val="005D31F1"/>
    <w:rsid w:val="005D3B28"/>
    <w:rsid w:val="005D3C0E"/>
    <w:rsid w:val="005D4C8F"/>
    <w:rsid w:val="005E03F0"/>
    <w:rsid w:val="005E10F2"/>
    <w:rsid w:val="005E6937"/>
    <w:rsid w:val="005F4F0B"/>
    <w:rsid w:val="005F6A99"/>
    <w:rsid w:val="00603978"/>
    <w:rsid w:val="006123C4"/>
    <w:rsid w:val="006135FD"/>
    <w:rsid w:val="0061463B"/>
    <w:rsid w:val="00616DA0"/>
    <w:rsid w:val="006170F3"/>
    <w:rsid w:val="00623E51"/>
    <w:rsid w:val="00630772"/>
    <w:rsid w:val="0064373A"/>
    <w:rsid w:val="00643F41"/>
    <w:rsid w:val="0064422E"/>
    <w:rsid w:val="006444F1"/>
    <w:rsid w:val="00645B48"/>
    <w:rsid w:val="00645C1D"/>
    <w:rsid w:val="0065012E"/>
    <w:rsid w:val="00650F56"/>
    <w:rsid w:val="00651E17"/>
    <w:rsid w:val="006564D2"/>
    <w:rsid w:val="0065743E"/>
    <w:rsid w:val="00660D53"/>
    <w:rsid w:val="00661386"/>
    <w:rsid w:val="006658FC"/>
    <w:rsid w:val="006710D8"/>
    <w:rsid w:val="00673C39"/>
    <w:rsid w:val="0067563F"/>
    <w:rsid w:val="00681D12"/>
    <w:rsid w:val="00682482"/>
    <w:rsid w:val="00685AFF"/>
    <w:rsid w:val="006938FD"/>
    <w:rsid w:val="006970D9"/>
    <w:rsid w:val="006A1D38"/>
    <w:rsid w:val="006A39BA"/>
    <w:rsid w:val="006A46D9"/>
    <w:rsid w:val="006A5564"/>
    <w:rsid w:val="006C21AC"/>
    <w:rsid w:val="006C32A0"/>
    <w:rsid w:val="006C7153"/>
    <w:rsid w:val="006D0FB2"/>
    <w:rsid w:val="006D1C8A"/>
    <w:rsid w:val="006E4356"/>
    <w:rsid w:val="006E772B"/>
    <w:rsid w:val="006F0FB9"/>
    <w:rsid w:val="006F15E5"/>
    <w:rsid w:val="006F4263"/>
    <w:rsid w:val="006F5B67"/>
    <w:rsid w:val="006F5CDE"/>
    <w:rsid w:val="006F62F3"/>
    <w:rsid w:val="006F7444"/>
    <w:rsid w:val="0071065A"/>
    <w:rsid w:val="007106FF"/>
    <w:rsid w:val="007130FE"/>
    <w:rsid w:val="00731742"/>
    <w:rsid w:val="00732AFF"/>
    <w:rsid w:val="00740730"/>
    <w:rsid w:val="007467B3"/>
    <w:rsid w:val="007526D5"/>
    <w:rsid w:val="007529BA"/>
    <w:rsid w:val="00753B48"/>
    <w:rsid w:val="00755B93"/>
    <w:rsid w:val="00755C8F"/>
    <w:rsid w:val="0075622C"/>
    <w:rsid w:val="00756807"/>
    <w:rsid w:val="00756E0A"/>
    <w:rsid w:val="00764259"/>
    <w:rsid w:val="0076592C"/>
    <w:rsid w:val="007663B0"/>
    <w:rsid w:val="00766F3B"/>
    <w:rsid w:val="0077330F"/>
    <w:rsid w:val="007739E4"/>
    <w:rsid w:val="00775AE0"/>
    <w:rsid w:val="007772D1"/>
    <w:rsid w:val="0078469B"/>
    <w:rsid w:val="007855E3"/>
    <w:rsid w:val="00786A1E"/>
    <w:rsid w:val="00790EA5"/>
    <w:rsid w:val="007A02CA"/>
    <w:rsid w:val="007A0A9C"/>
    <w:rsid w:val="007A1D6F"/>
    <w:rsid w:val="007B1220"/>
    <w:rsid w:val="007B31D9"/>
    <w:rsid w:val="007B3B4A"/>
    <w:rsid w:val="007B4197"/>
    <w:rsid w:val="007B654C"/>
    <w:rsid w:val="007C36D5"/>
    <w:rsid w:val="007C448B"/>
    <w:rsid w:val="007C5E73"/>
    <w:rsid w:val="007D44C5"/>
    <w:rsid w:val="007D47A5"/>
    <w:rsid w:val="007D4D46"/>
    <w:rsid w:val="007F083F"/>
    <w:rsid w:val="007F18B4"/>
    <w:rsid w:val="007F72E2"/>
    <w:rsid w:val="0080509B"/>
    <w:rsid w:val="00806A04"/>
    <w:rsid w:val="00810DCF"/>
    <w:rsid w:val="00812681"/>
    <w:rsid w:val="00820DF8"/>
    <w:rsid w:val="00827678"/>
    <w:rsid w:val="00827DE3"/>
    <w:rsid w:val="00835476"/>
    <w:rsid w:val="0084459E"/>
    <w:rsid w:val="008466B1"/>
    <w:rsid w:val="008475F3"/>
    <w:rsid w:val="00852EE7"/>
    <w:rsid w:val="00854358"/>
    <w:rsid w:val="00860D7B"/>
    <w:rsid w:val="00863D0D"/>
    <w:rsid w:val="00864CBE"/>
    <w:rsid w:val="00873C95"/>
    <w:rsid w:val="0087779B"/>
    <w:rsid w:val="0088323F"/>
    <w:rsid w:val="0088349C"/>
    <w:rsid w:val="00887D50"/>
    <w:rsid w:val="00891146"/>
    <w:rsid w:val="00893CD6"/>
    <w:rsid w:val="0089759B"/>
    <w:rsid w:val="008A3154"/>
    <w:rsid w:val="008A7290"/>
    <w:rsid w:val="008A7BEC"/>
    <w:rsid w:val="008B1A90"/>
    <w:rsid w:val="008B5455"/>
    <w:rsid w:val="008B6437"/>
    <w:rsid w:val="008B658A"/>
    <w:rsid w:val="008B6AC0"/>
    <w:rsid w:val="008C0A8B"/>
    <w:rsid w:val="008C2738"/>
    <w:rsid w:val="008C2A65"/>
    <w:rsid w:val="008D0E34"/>
    <w:rsid w:val="008D2B13"/>
    <w:rsid w:val="008D3834"/>
    <w:rsid w:val="008D5B63"/>
    <w:rsid w:val="008E098A"/>
    <w:rsid w:val="008E3DE0"/>
    <w:rsid w:val="008E4446"/>
    <w:rsid w:val="008F3E9D"/>
    <w:rsid w:val="008F7854"/>
    <w:rsid w:val="00902A05"/>
    <w:rsid w:val="00910A3E"/>
    <w:rsid w:val="00910DFE"/>
    <w:rsid w:val="00912335"/>
    <w:rsid w:val="00912F98"/>
    <w:rsid w:val="009147E8"/>
    <w:rsid w:val="00914FF3"/>
    <w:rsid w:val="0091557E"/>
    <w:rsid w:val="00920EBA"/>
    <w:rsid w:val="009248BB"/>
    <w:rsid w:val="00924F46"/>
    <w:rsid w:val="00926E8D"/>
    <w:rsid w:val="009303DF"/>
    <w:rsid w:val="00933981"/>
    <w:rsid w:val="00937B65"/>
    <w:rsid w:val="0094047F"/>
    <w:rsid w:val="0094416B"/>
    <w:rsid w:val="00946012"/>
    <w:rsid w:val="00950DC7"/>
    <w:rsid w:val="00951158"/>
    <w:rsid w:val="00951577"/>
    <w:rsid w:val="00954965"/>
    <w:rsid w:val="009666F8"/>
    <w:rsid w:val="009667FA"/>
    <w:rsid w:val="00975323"/>
    <w:rsid w:val="0098196D"/>
    <w:rsid w:val="00984B4D"/>
    <w:rsid w:val="009919B6"/>
    <w:rsid w:val="009949B1"/>
    <w:rsid w:val="009A131B"/>
    <w:rsid w:val="009A1D5E"/>
    <w:rsid w:val="009A2303"/>
    <w:rsid w:val="009A2828"/>
    <w:rsid w:val="009B2077"/>
    <w:rsid w:val="009B7610"/>
    <w:rsid w:val="009C49A3"/>
    <w:rsid w:val="009C6442"/>
    <w:rsid w:val="009D592B"/>
    <w:rsid w:val="009D7EAE"/>
    <w:rsid w:val="009D7F74"/>
    <w:rsid w:val="009E54CE"/>
    <w:rsid w:val="009F4525"/>
    <w:rsid w:val="009F76D9"/>
    <w:rsid w:val="00A01B59"/>
    <w:rsid w:val="00A02711"/>
    <w:rsid w:val="00A03289"/>
    <w:rsid w:val="00A07DC4"/>
    <w:rsid w:val="00A10C6A"/>
    <w:rsid w:val="00A1405D"/>
    <w:rsid w:val="00A15487"/>
    <w:rsid w:val="00A1689A"/>
    <w:rsid w:val="00A201F2"/>
    <w:rsid w:val="00A21782"/>
    <w:rsid w:val="00A22D40"/>
    <w:rsid w:val="00A24401"/>
    <w:rsid w:val="00A255ED"/>
    <w:rsid w:val="00A25A11"/>
    <w:rsid w:val="00A27C80"/>
    <w:rsid w:val="00A34C10"/>
    <w:rsid w:val="00A40620"/>
    <w:rsid w:val="00A40939"/>
    <w:rsid w:val="00A42C91"/>
    <w:rsid w:val="00A51E6E"/>
    <w:rsid w:val="00A552CF"/>
    <w:rsid w:val="00A561D7"/>
    <w:rsid w:val="00A56386"/>
    <w:rsid w:val="00A57B23"/>
    <w:rsid w:val="00A6627D"/>
    <w:rsid w:val="00A71335"/>
    <w:rsid w:val="00A765CF"/>
    <w:rsid w:val="00A7711C"/>
    <w:rsid w:val="00AA00DF"/>
    <w:rsid w:val="00AA031C"/>
    <w:rsid w:val="00AA1F9E"/>
    <w:rsid w:val="00AB1224"/>
    <w:rsid w:val="00AB2698"/>
    <w:rsid w:val="00AB6C19"/>
    <w:rsid w:val="00AC36D8"/>
    <w:rsid w:val="00AC5478"/>
    <w:rsid w:val="00AD5C0D"/>
    <w:rsid w:val="00AE0681"/>
    <w:rsid w:val="00AE1D15"/>
    <w:rsid w:val="00AF016C"/>
    <w:rsid w:val="00AF5F6B"/>
    <w:rsid w:val="00AF6DF1"/>
    <w:rsid w:val="00AF7BA6"/>
    <w:rsid w:val="00B148AA"/>
    <w:rsid w:val="00B22524"/>
    <w:rsid w:val="00B23E63"/>
    <w:rsid w:val="00B2482B"/>
    <w:rsid w:val="00B24AD4"/>
    <w:rsid w:val="00B27DF9"/>
    <w:rsid w:val="00B31DEA"/>
    <w:rsid w:val="00B32F8D"/>
    <w:rsid w:val="00B36953"/>
    <w:rsid w:val="00B37793"/>
    <w:rsid w:val="00B37AE0"/>
    <w:rsid w:val="00B405EF"/>
    <w:rsid w:val="00B53142"/>
    <w:rsid w:val="00B53FFF"/>
    <w:rsid w:val="00B549ED"/>
    <w:rsid w:val="00B61D56"/>
    <w:rsid w:val="00B64000"/>
    <w:rsid w:val="00B741BC"/>
    <w:rsid w:val="00B77D4A"/>
    <w:rsid w:val="00B8154C"/>
    <w:rsid w:val="00B81D5A"/>
    <w:rsid w:val="00B90B34"/>
    <w:rsid w:val="00B9554C"/>
    <w:rsid w:val="00B95AD2"/>
    <w:rsid w:val="00BA13E6"/>
    <w:rsid w:val="00BA1B54"/>
    <w:rsid w:val="00BA406B"/>
    <w:rsid w:val="00BA5740"/>
    <w:rsid w:val="00BA734B"/>
    <w:rsid w:val="00BB064D"/>
    <w:rsid w:val="00BB18C2"/>
    <w:rsid w:val="00BB4457"/>
    <w:rsid w:val="00BB5A74"/>
    <w:rsid w:val="00BD3879"/>
    <w:rsid w:val="00BD7E2E"/>
    <w:rsid w:val="00BE01DB"/>
    <w:rsid w:val="00BE721F"/>
    <w:rsid w:val="00BE78D8"/>
    <w:rsid w:val="00BF3F09"/>
    <w:rsid w:val="00BF50A2"/>
    <w:rsid w:val="00BF6DCD"/>
    <w:rsid w:val="00BF7107"/>
    <w:rsid w:val="00C03239"/>
    <w:rsid w:val="00C0748A"/>
    <w:rsid w:val="00C07E1F"/>
    <w:rsid w:val="00C11503"/>
    <w:rsid w:val="00C15050"/>
    <w:rsid w:val="00C20B13"/>
    <w:rsid w:val="00C21FB8"/>
    <w:rsid w:val="00C2307F"/>
    <w:rsid w:val="00C233DA"/>
    <w:rsid w:val="00C2539D"/>
    <w:rsid w:val="00C322E6"/>
    <w:rsid w:val="00C360CD"/>
    <w:rsid w:val="00C378AD"/>
    <w:rsid w:val="00C42F5F"/>
    <w:rsid w:val="00C4320E"/>
    <w:rsid w:val="00C453DF"/>
    <w:rsid w:val="00C54A3F"/>
    <w:rsid w:val="00C6307C"/>
    <w:rsid w:val="00C63FA8"/>
    <w:rsid w:val="00C669C3"/>
    <w:rsid w:val="00C740BA"/>
    <w:rsid w:val="00C742A9"/>
    <w:rsid w:val="00C76A65"/>
    <w:rsid w:val="00C8325C"/>
    <w:rsid w:val="00C8330E"/>
    <w:rsid w:val="00C852BE"/>
    <w:rsid w:val="00C85B1E"/>
    <w:rsid w:val="00C87816"/>
    <w:rsid w:val="00C90334"/>
    <w:rsid w:val="00C92DDE"/>
    <w:rsid w:val="00CA072E"/>
    <w:rsid w:val="00CA46AA"/>
    <w:rsid w:val="00CB0232"/>
    <w:rsid w:val="00CB2DC4"/>
    <w:rsid w:val="00CB465A"/>
    <w:rsid w:val="00CB7225"/>
    <w:rsid w:val="00CC652B"/>
    <w:rsid w:val="00CC69B5"/>
    <w:rsid w:val="00CC745D"/>
    <w:rsid w:val="00CD7419"/>
    <w:rsid w:val="00CE4A29"/>
    <w:rsid w:val="00CE685F"/>
    <w:rsid w:val="00CF3E4F"/>
    <w:rsid w:val="00CF48A4"/>
    <w:rsid w:val="00CF59EA"/>
    <w:rsid w:val="00CF6F3F"/>
    <w:rsid w:val="00D03070"/>
    <w:rsid w:val="00D04626"/>
    <w:rsid w:val="00D05487"/>
    <w:rsid w:val="00D12279"/>
    <w:rsid w:val="00D178F2"/>
    <w:rsid w:val="00D17B5A"/>
    <w:rsid w:val="00D22518"/>
    <w:rsid w:val="00D30DAD"/>
    <w:rsid w:val="00D31F0C"/>
    <w:rsid w:val="00D43DDE"/>
    <w:rsid w:val="00D46C6D"/>
    <w:rsid w:val="00D52723"/>
    <w:rsid w:val="00D57BA2"/>
    <w:rsid w:val="00D61A3B"/>
    <w:rsid w:val="00D67656"/>
    <w:rsid w:val="00D712C4"/>
    <w:rsid w:val="00D72F28"/>
    <w:rsid w:val="00D755FF"/>
    <w:rsid w:val="00D8104D"/>
    <w:rsid w:val="00D81284"/>
    <w:rsid w:val="00D84A53"/>
    <w:rsid w:val="00D84D82"/>
    <w:rsid w:val="00D85D9B"/>
    <w:rsid w:val="00D86AD6"/>
    <w:rsid w:val="00D93D65"/>
    <w:rsid w:val="00D96ACB"/>
    <w:rsid w:val="00DA3BD4"/>
    <w:rsid w:val="00DB68F1"/>
    <w:rsid w:val="00DB74F7"/>
    <w:rsid w:val="00DB7D69"/>
    <w:rsid w:val="00DC30D3"/>
    <w:rsid w:val="00DC5C59"/>
    <w:rsid w:val="00DC5E06"/>
    <w:rsid w:val="00DD1795"/>
    <w:rsid w:val="00DD33B5"/>
    <w:rsid w:val="00DD4DBB"/>
    <w:rsid w:val="00DE0435"/>
    <w:rsid w:val="00DE2F4E"/>
    <w:rsid w:val="00DE485A"/>
    <w:rsid w:val="00DE5022"/>
    <w:rsid w:val="00DE5051"/>
    <w:rsid w:val="00DE62B3"/>
    <w:rsid w:val="00DE685C"/>
    <w:rsid w:val="00DF1299"/>
    <w:rsid w:val="00DF1959"/>
    <w:rsid w:val="00DF207C"/>
    <w:rsid w:val="00DF44ED"/>
    <w:rsid w:val="00DF5029"/>
    <w:rsid w:val="00E00B24"/>
    <w:rsid w:val="00E01E31"/>
    <w:rsid w:val="00E033EE"/>
    <w:rsid w:val="00E07AED"/>
    <w:rsid w:val="00E1021E"/>
    <w:rsid w:val="00E14350"/>
    <w:rsid w:val="00E30809"/>
    <w:rsid w:val="00E3366C"/>
    <w:rsid w:val="00E36848"/>
    <w:rsid w:val="00E37739"/>
    <w:rsid w:val="00E4281B"/>
    <w:rsid w:val="00E456A1"/>
    <w:rsid w:val="00E4784E"/>
    <w:rsid w:val="00E47F61"/>
    <w:rsid w:val="00E510D9"/>
    <w:rsid w:val="00E51773"/>
    <w:rsid w:val="00E521AF"/>
    <w:rsid w:val="00E52433"/>
    <w:rsid w:val="00E544B2"/>
    <w:rsid w:val="00E56B5C"/>
    <w:rsid w:val="00E62261"/>
    <w:rsid w:val="00E6796A"/>
    <w:rsid w:val="00E70BE4"/>
    <w:rsid w:val="00E7271B"/>
    <w:rsid w:val="00E757D7"/>
    <w:rsid w:val="00E8356F"/>
    <w:rsid w:val="00E84DC8"/>
    <w:rsid w:val="00E879C8"/>
    <w:rsid w:val="00E90915"/>
    <w:rsid w:val="00E90A04"/>
    <w:rsid w:val="00E9439C"/>
    <w:rsid w:val="00E94D6F"/>
    <w:rsid w:val="00EA041B"/>
    <w:rsid w:val="00EA6F6D"/>
    <w:rsid w:val="00EB01CA"/>
    <w:rsid w:val="00EB27E7"/>
    <w:rsid w:val="00EB539A"/>
    <w:rsid w:val="00EB5C0B"/>
    <w:rsid w:val="00EC1888"/>
    <w:rsid w:val="00EC4E77"/>
    <w:rsid w:val="00EC5EE8"/>
    <w:rsid w:val="00ED0AEC"/>
    <w:rsid w:val="00ED1ED2"/>
    <w:rsid w:val="00ED65C9"/>
    <w:rsid w:val="00ED7231"/>
    <w:rsid w:val="00ED77CF"/>
    <w:rsid w:val="00EE3D87"/>
    <w:rsid w:val="00EE42B2"/>
    <w:rsid w:val="00EE4CD6"/>
    <w:rsid w:val="00EE5DA3"/>
    <w:rsid w:val="00EF539B"/>
    <w:rsid w:val="00EF6980"/>
    <w:rsid w:val="00F07B76"/>
    <w:rsid w:val="00F27CD8"/>
    <w:rsid w:val="00F30253"/>
    <w:rsid w:val="00F30549"/>
    <w:rsid w:val="00F30815"/>
    <w:rsid w:val="00F36880"/>
    <w:rsid w:val="00F3742A"/>
    <w:rsid w:val="00F45590"/>
    <w:rsid w:val="00F4595C"/>
    <w:rsid w:val="00F505C8"/>
    <w:rsid w:val="00F508B1"/>
    <w:rsid w:val="00F519F5"/>
    <w:rsid w:val="00F52549"/>
    <w:rsid w:val="00F525B8"/>
    <w:rsid w:val="00F554A2"/>
    <w:rsid w:val="00F5689B"/>
    <w:rsid w:val="00F631CA"/>
    <w:rsid w:val="00F71377"/>
    <w:rsid w:val="00F76FA0"/>
    <w:rsid w:val="00F8140B"/>
    <w:rsid w:val="00F8257F"/>
    <w:rsid w:val="00F952B8"/>
    <w:rsid w:val="00F96902"/>
    <w:rsid w:val="00F97C63"/>
    <w:rsid w:val="00FA0816"/>
    <w:rsid w:val="00FA2064"/>
    <w:rsid w:val="00FA4E56"/>
    <w:rsid w:val="00FB1C59"/>
    <w:rsid w:val="00FB4117"/>
    <w:rsid w:val="00FB44F8"/>
    <w:rsid w:val="00FB7380"/>
    <w:rsid w:val="00FC3381"/>
    <w:rsid w:val="00FC4217"/>
    <w:rsid w:val="00FC6E8D"/>
    <w:rsid w:val="00FD0D8C"/>
    <w:rsid w:val="00FD7A83"/>
    <w:rsid w:val="00FE2C69"/>
    <w:rsid w:val="00FE621C"/>
    <w:rsid w:val="00FF04C2"/>
    <w:rsid w:val="00FF0E17"/>
    <w:rsid w:val="00FF5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9095A46"/>
  <w15:docId w15:val="{8323C653-1A66-48F1-B6AA-EB3F10EE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23F"/>
  </w:style>
  <w:style w:type="paragraph" w:styleId="Heading1">
    <w:name w:val="heading 1"/>
    <w:basedOn w:val="Normal"/>
    <w:next w:val="BodyText"/>
    <w:link w:val="Heading1Char"/>
    <w:uiPriority w:val="9"/>
    <w:qFormat/>
    <w:rsid w:val="00D85D9B"/>
    <w:pPr>
      <w:keepNext/>
      <w:keepLines/>
      <w:numPr>
        <w:numId w:val="21"/>
      </w:numPr>
      <w:spacing w:before="120" w:after="240"/>
      <w:outlineLvl w:val="0"/>
    </w:pPr>
    <w:rPr>
      <w:rFonts w:asciiTheme="majorHAnsi" w:eastAsiaTheme="majorEastAsia" w:hAnsiTheme="majorHAnsi" w:cstheme="majorBidi"/>
      <w:b/>
      <w:bCs/>
      <w:caps/>
      <w:sz w:val="28"/>
      <w:szCs w:val="28"/>
    </w:rPr>
  </w:style>
  <w:style w:type="paragraph" w:styleId="Heading2">
    <w:name w:val="heading 2"/>
    <w:basedOn w:val="Normal"/>
    <w:next w:val="BodyText"/>
    <w:link w:val="Heading2Char"/>
    <w:uiPriority w:val="9"/>
    <w:unhideWhenUsed/>
    <w:qFormat/>
    <w:rsid w:val="00D85D9B"/>
    <w:pPr>
      <w:keepNext/>
      <w:numPr>
        <w:ilvl w:val="1"/>
        <w:numId w:val="21"/>
      </w:numPr>
      <w:spacing w:before="120" w:after="120"/>
      <w:outlineLvl w:val="1"/>
    </w:pPr>
    <w:rPr>
      <w:rFonts w:asciiTheme="majorHAnsi" w:hAnsiTheme="majorHAnsi"/>
      <w:b/>
      <w:smallCaps/>
      <w:sz w:val="24"/>
    </w:rPr>
  </w:style>
  <w:style w:type="paragraph" w:styleId="Heading3">
    <w:name w:val="heading 3"/>
    <w:basedOn w:val="Normal"/>
    <w:next w:val="BodyText"/>
    <w:link w:val="Heading3Char"/>
    <w:uiPriority w:val="9"/>
    <w:unhideWhenUsed/>
    <w:qFormat/>
    <w:rsid w:val="00D85D9B"/>
    <w:pPr>
      <w:keepNext/>
      <w:keepLines/>
      <w:spacing w:before="120" w:after="120"/>
      <w:ind w:left="227"/>
      <w:outlineLvl w:val="2"/>
    </w:pPr>
    <w:rPr>
      <w:rFonts w:asciiTheme="majorHAnsi" w:eastAsiaTheme="majorEastAsia" w:hAnsiTheme="majorHAnsi" w:cstheme="majorBidi"/>
      <w:b/>
      <w:bCs/>
      <w:sz w:val="24"/>
    </w:rPr>
  </w:style>
  <w:style w:type="paragraph" w:styleId="Heading4">
    <w:name w:val="heading 4"/>
    <w:basedOn w:val="Heading3"/>
    <w:next w:val="Normal"/>
    <w:link w:val="Heading4Char"/>
    <w:uiPriority w:val="9"/>
    <w:unhideWhenUsed/>
    <w:qFormat/>
    <w:rsid w:val="00D85D9B"/>
    <w:pPr>
      <w:outlineLvl w:val="3"/>
    </w:pPr>
    <w:rPr>
      <w:b w:val="0"/>
      <w:i/>
      <w:u w:val="single"/>
    </w:rPr>
  </w:style>
  <w:style w:type="paragraph" w:styleId="Heading5">
    <w:name w:val="heading 5"/>
    <w:basedOn w:val="Normal"/>
    <w:next w:val="Normal"/>
    <w:link w:val="Heading5Char"/>
    <w:uiPriority w:val="9"/>
    <w:unhideWhenUsed/>
    <w:qFormat/>
    <w:rsid w:val="00D85D9B"/>
    <w:pPr>
      <w:keepNext/>
      <w:keepLines/>
      <w:numPr>
        <w:ilvl w:val="4"/>
        <w:numId w:val="2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85D9B"/>
    <w:pPr>
      <w:keepNext/>
      <w:keepLines/>
      <w:numPr>
        <w:ilvl w:val="5"/>
        <w:numId w:val="2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85D9B"/>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85D9B"/>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85D9B"/>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D9B"/>
    <w:rPr>
      <w:rFonts w:ascii="Tahoma" w:hAnsi="Tahoma" w:cs="Tahoma"/>
      <w:sz w:val="16"/>
      <w:szCs w:val="16"/>
    </w:rPr>
  </w:style>
  <w:style w:type="table" w:styleId="TableGrid">
    <w:name w:val="Table Grid"/>
    <w:basedOn w:val="TableNormal"/>
    <w:uiPriority w:val="59"/>
    <w:rsid w:val="00D8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256A10"/>
    <w:pPr>
      <w:spacing w:line="213" w:lineRule="atLeast"/>
    </w:pPr>
    <w:rPr>
      <w:color w:val="auto"/>
    </w:rPr>
  </w:style>
  <w:style w:type="paragraph" w:styleId="Bibliography">
    <w:name w:val="Bibliography"/>
    <w:basedOn w:val="Normal"/>
    <w:next w:val="Normal"/>
    <w:uiPriority w:val="37"/>
    <w:unhideWhenUsed/>
    <w:rsid w:val="00292CC2"/>
  </w:style>
  <w:style w:type="paragraph" w:customStyle="1" w:styleId="Default">
    <w:name w:val="Default"/>
    <w:rsid w:val="00BE78D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CommentReference">
    <w:name w:val="annotation reference"/>
    <w:basedOn w:val="DefaultParagraphFont"/>
    <w:uiPriority w:val="99"/>
    <w:unhideWhenUsed/>
    <w:rsid w:val="00D85D9B"/>
    <w:rPr>
      <w:sz w:val="16"/>
      <w:szCs w:val="16"/>
    </w:rPr>
  </w:style>
  <w:style w:type="paragraph" w:styleId="CommentText">
    <w:name w:val="annotation text"/>
    <w:basedOn w:val="Normal"/>
    <w:link w:val="CommentTextChar"/>
    <w:uiPriority w:val="99"/>
    <w:unhideWhenUsed/>
    <w:qFormat/>
    <w:rsid w:val="00D85D9B"/>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D85D9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85D9B"/>
    <w:rPr>
      <w:b/>
      <w:bCs/>
    </w:rPr>
  </w:style>
  <w:style w:type="character" w:customStyle="1" w:styleId="CommentSubjectChar">
    <w:name w:val="Comment Subject Char"/>
    <w:basedOn w:val="CommentTextChar"/>
    <w:link w:val="CommentSubject"/>
    <w:uiPriority w:val="99"/>
    <w:semiHidden/>
    <w:rsid w:val="00D85D9B"/>
    <w:rPr>
      <w:rFonts w:ascii="Cambria" w:hAnsi="Cambria"/>
      <w:b/>
      <w:bCs/>
      <w:sz w:val="20"/>
      <w:szCs w:val="20"/>
    </w:rPr>
  </w:style>
  <w:style w:type="paragraph" w:styleId="Caption">
    <w:name w:val="caption"/>
    <w:basedOn w:val="Normal"/>
    <w:next w:val="Normal"/>
    <w:link w:val="CaptionChar"/>
    <w:unhideWhenUsed/>
    <w:qFormat/>
    <w:rsid w:val="00D85D9B"/>
    <w:pPr>
      <w:keepNext/>
      <w:spacing w:after="0" w:line="240" w:lineRule="auto"/>
    </w:pPr>
    <w:rPr>
      <w:rFonts w:ascii="Times New Roman" w:eastAsia="MS Mincho" w:hAnsi="Times New Roman" w:cs="Times New Roman"/>
      <w:b/>
      <w:bCs/>
      <w:sz w:val="24"/>
      <w:szCs w:val="20"/>
    </w:rPr>
  </w:style>
  <w:style w:type="paragraph" w:customStyle="1" w:styleId="Paragraph">
    <w:name w:val="Paragraph"/>
    <w:basedOn w:val="Normal"/>
    <w:link w:val="ParagraphChar"/>
    <w:qFormat/>
    <w:rsid w:val="00D85D9B"/>
    <w:pPr>
      <w:spacing w:after="240" w:line="280" w:lineRule="exact"/>
    </w:pPr>
    <w:rPr>
      <w:rFonts w:ascii="Times New Roman" w:eastAsia="MS Mincho" w:hAnsi="Times New Roman" w:cs="Times New Roman"/>
      <w:sz w:val="24"/>
      <w:szCs w:val="20"/>
      <w:lang w:val="en-US"/>
    </w:rPr>
  </w:style>
  <w:style w:type="character" w:customStyle="1" w:styleId="ParagraphChar">
    <w:name w:val="Paragraph Char"/>
    <w:link w:val="Paragraph"/>
    <w:rsid w:val="007B31D9"/>
    <w:rPr>
      <w:rFonts w:ascii="Times New Roman" w:eastAsia="MS Mincho" w:hAnsi="Times New Roman" w:cs="Times New Roman"/>
      <w:sz w:val="24"/>
      <w:szCs w:val="20"/>
      <w:lang w:val="en-US"/>
    </w:rPr>
  </w:style>
  <w:style w:type="character" w:customStyle="1" w:styleId="CaptionChar">
    <w:name w:val="Caption Char"/>
    <w:link w:val="Caption"/>
    <w:rsid w:val="007B31D9"/>
    <w:rPr>
      <w:rFonts w:ascii="Times New Roman" w:eastAsia="MS Mincho" w:hAnsi="Times New Roman" w:cs="Times New Roman"/>
      <w:b/>
      <w:bCs/>
      <w:sz w:val="24"/>
      <w:szCs w:val="20"/>
    </w:rPr>
  </w:style>
  <w:style w:type="paragraph" w:styleId="Header">
    <w:name w:val="header"/>
    <w:basedOn w:val="Normal"/>
    <w:link w:val="HeaderChar"/>
    <w:uiPriority w:val="99"/>
    <w:unhideWhenUsed/>
    <w:rsid w:val="00D85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D9B"/>
  </w:style>
  <w:style w:type="paragraph" w:styleId="Footer">
    <w:name w:val="footer"/>
    <w:basedOn w:val="Normal"/>
    <w:link w:val="FooterChar"/>
    <w:uiPriority w:val="99"/>
    <w:unhideWhenUsed/>
    <w:rsid w:val="00D85D9B"/>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D85D9B"/>
    <w:rPr>
      <w:rFonts w:ascii="Cambria" w:hAnsi="Cambria"/>
    </w:rPr>
  </w:style>
  <w:style w:type="paragraph" w:customStyle="1" w:styleId="TableTitle">
    <w:name w:val="Table Title"/>
    <w:next w:val="TableHead"/>
    <w:rsid w:val="002178CE"/>
    <w:pPr>
      <w:keepNext/>
      <w:keepLines/>
      <w:tabs>
        <w:tab w:val="left" w:pos="1440"/>
      </w:tabs>
      <w:spacing w:before="60" w:after="120" w:line="240" w:lineRule="auto"/>
      <w:ind w:left="1440" w:hanging="1440"/>
    </w:pPr>
    <w:rPr>
      <w:rFonts w:ascii="Arial" w:eastAsia="Times New Roman" w:hAnsi="Arial" w:cs="Times New Roman"/>
      <w:b/>
      <w:color w:val="000000"/>
      <w:sz w:val="24"/>
      <w:szCs w:val="24"/>
      <w:lang w:val="en-US"/>
    </w:rPr>
  </w:style>
  <w:style w:type="paragraph" w:customStyle="1" w:styleId="TableHead">
    <w:name w:val="Table Head"/>
    <w:basedOn w:val="Normal"/>
    <w:rsid w:val="002178CE"/>
    <w:pPr>
      <w:spacing w:before="60" w:after="60"/>
      <w:jc w:val="center"/>
    </w:pPr>
    <w:rPr>
      <w:b/>
      <w:szCs w:val="48"/>
      <w:lang w:val="en-US"/>
    </w:rPr>
  </w:style>
  <w:style w:type="paragraph" w:styleId="EndnoteText">
    <w:name w:val="endnote text"/>
    <w:basedOn w:val="Normal"/>
    <w:link w:val="EndnoteTextChar"/>
    <w:semiHidden/>
    <w:rsid w:val="002178CE"/>
    <w:pPr>
      <w:spacing w:before="60"/>
    </w:pPr>
    <w:rPr>
      <w:sz w:val="20"/>
      <w:lang w:val="en-US"/>
    </w:rPr>
  </w:style>
  <w:style w:type="character" w:customStyle="1" w:styleId="EndnoteTextChar">
    <w:name w:val="Endnote Text Char"/>
    <w:basedOn w:val="DefaultParagraphFont"/>
    <w:link w:val="EndnoteText"/>
    <w:semiHidden/>
    <w:rsid w:val="002178CE"/>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2178CE"/>
    <w:rPr>
      <w:vertAlign w:val="superscript"/>
    </w:rPr>
  </w:style>
  <w:style w:type="paragraph" w:customStyle="1" w:styleId="TableFootnote">
    <w:name w:val="Table Footnote"/>
    <w:basedOn w:val="Normal"/>
    <w:qFormat/>
    <w:rsid w:val="00D85D9B"/>
    <w:pPr>
      <w:spacing w:after="0" w:line="240" w:lineRule="auto"/>
    </w:pPr>
    <w:rPr>
      <w:rFonts w:ascii="Arial" w:hAnsi="Arial"/>
      <w:sz w:val="18"/>
      <w:szCs w:val="20"/>
    </w:rPr>
  </w:style>
  <w:style w:type="paragraph" w:styleId="Revision">
    <w:name w:val="Revision"/>
    <w:hidden/>
    <w:uiPriority w:val="99"/>
    <w:semiHidden/>
    <w:rsid w:val="00920EBA"/>
    <w:pPr>
      <w:spacing w:after="0" w:line="240" w:lineRule="auto"/>
    </w:pPr>
    <w:rPr>
      <w:rFonts w:ascii="Times New Roman" w:eastAsia="Times New Roman" w:hAnsi="Times New Roman" w:cs="Times New Roman"/>
      <w:color w:val="000000"/>
      <w:sz w:val="24"/>
      <w:szCs w:val="20"/>
      <w:lang w:val="en-GB" w:eastAsia="de-DE"/>
    </w:rPr>
  </w:style>
  <w:style w:type="paragraph" w:customStyle="1" w:styleId="StyleBoldAutoLeft0cmHanging25cm">
    <w:name w:val="Style Bold Auto Left:  0 cm Hanging:  2.5 cm"/>
    <w:basedOn w:val="Normal"/>
    <w:rsid w:val="00496CDF"/>
    <w:pPr>
      <w:keepNext/>
      <w:ind w:left="1418" w:hanging="1418"/>
    </w:pPr>
    <w:rPr>
      <w:b/>
      <w:bCs/>
    </w:rPr>
  </w:style>
  <w:style w:type="table" w:customStyle="1" w:styleId="TableGrid1">
    <w:name w:val="Table Grid1"/>
    <w:basedOn w:val="TableNormal"/>
    <w:next w:val="TableGrid"/>
    <w:rsid w:val="00D178F2"/>
    <w:pPr>
      <w:spacing w:before="6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D85D9B"/>
    <w:pPr>
      <w:spacing w:after="0"/>
    </w:pPr>
    <w:rPr>
      <w:rFonts w:ascii="Times New Roman" w:hAnsi="Times New Roman"/>
      <w:sz w:val="24"/>
    </w:rPr>
  </w:style>
  <w:style w:type="character" w:customStyle="1" w:styleId="BodyTextChar">
    <w:name w:val="Body Text Char"/>
    <w:basedOn w:val="DefaultParagraphFont"/>
    <w:link w:val="BodyText"/>
    <w:uiPriority w:val="99"/>
    <w:rsid w:val="00D85D9B"/>
    <w:rPr>
      <w:rFonts w:ascii="Times New Roman" w:hAnsi="Times New Roman"/>
      <w:sz w:val="24"/>
    </w:rPr>
  </w:style>
  <w:style w:type="paragraph" w:styleId="BodyText2">
    <w:name w:val="Body Text 2"/>
    <w:basedOn w:val="Normal"/>
    <w:link w:val="BodyText2Char"/>
    <w:uiPriority w:val="99"/>
    <w:unhideWhenUsed/>
    <w:rsid w:val="00D85D9B"/>
    <w:pPr>
      <w:spacing w:after="120" w:line="480" w:lineRule="auto"/>
    </w:pPr>
  </w:style>
  <w:style w:type="character" w:customStyle="1" w:styleId="BodyText2Char">
    <w:name w:val="Body Text 2 Char"/>
    <w:basedOn w:val="DefaultParagraphFont"/>
    <w:link w:val="BodyText2"/>
    <w:uiPriority w:val="99"/>
    <w:rsid w:val="00D85D9B"/>
  </w:style>
  <w:style w:type="paragraph" w:styleId="BodyText3">
    <w:name w:val="Body Text 3"/>
    <w:basedOn w:val="Normal"/>
    <w:link w:val="BodyText3Char"/>
    <w:uiPriority w:val="99"/>
    <w:semiHidden/>
    <w:unhideWhenUsed/>
    <w:rsid w:val="00D85D9B"/>
    <w:pPr>
      <w:spacing w:after="120"/>
    </w:pPr>
    <w:rPr>
      <w:sz w:val="16"/>
      <w:szCs w:val="16"/>
    </w:rPr>
  </w:style>
  <w:style w:type="character" w:customStyle="1" w:styleId="BodyText3Char">
    <w:name w:val="Body Text 3 Char"/>
    <w:basedOn w:val="DefaultParagraphFont"/>
    <w:link w:val="BodyText3"/>
    <w:uiPriority w:val="99"/>
    <w:semiHidden/>
    <w:rsid w:val="00D85D9B"/>
    <w:rPr>
      <w:sz w:val="16"/>
      <w:szCs w:val="16"/>
    </w:rPr>
  </w:style>
  <w:style w:type="character" w:styleId="FootnoteReference">
    <w:name w:val="footnote reference"/>
    <w:basedOn w:val="DefaultParagraphFont"/>
    <w:uiPriority w:val="99"/>
    <w:unhideWhenUsed/>
    <w:rsid w:val="00D85D9B"/>
    <w:rPr>
      <w:vertAlign w:val="superscript"/>
    </w:rPr>
  </w:style>
  <w:style w:type="paragraph" w:styleId="FootnoteText">
    <w:name w:val="footnote text"/>
    <w:basedOn w:val="Normal"/>
    <w:link w:val="FootnoteTextChar"/>
    <w:uiPriority w:val="99"/>
    <w:rsid w:val="00D85D9B"/>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D85D9B"/>
    <w:rPr>
      <w:rFonts w:ascii="Calibri" w:eastAsia="Calibri" w:hAnsi="Calibri" w:cs="Times New Roman"/>
      <w:sz w:val="20"/>
    </w:rPr>
  </w:style>
  <w:style w:type="character" w:customStyle="1" w:styleId="Heading1Char">
    <w:name w:val="Heading 1 Char"/>
    <w:basedOn w:val="DefaultParagraphFont"/>
    <w:link w:val="Heading1"/>
    <w:uiPriority w:val="9"/>
    <w:rsid w:val="00D85D9B"/>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D85D9B"/>
    <w:rPr>
      <w:rFonts w:asciiTheme="majorHAnsi" w:hAnsiTheme="majorHAnsi"/>
      <w:b/>
      <w:smallCaps/>
      <w:sz w:val="24"/>
    </w:rPr>
  </w:style>
  <w:style w:type="character" w:customStyle="1" w:styleId="Heading3Char">
    <w:name w:val="Heading 3 Char"/>
    <w:basedOn w:val="DefaultParagraphFont"/>
    <w:link w:val="Heading3"/>
    <w:uiPriority w:val="9"/>
    <w:rsid w:val="00D85D9B"/>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85D9B"/>
    <w:rPr>
      <w:rFonts w:asciiTheme="majorHAnsi" w:eastAsiaTheme="majorEastAsia" w:hAnsiTheme="majorHAnsi" w:cstheme="majorBidi"/>
      <w:bCs/>
      <w:i/>
      <w:sz w:val="24"/>
      <w:u w:val="single"/>
    </w:rPr>
  </w:style>
  <w:style w:type="character" w:customStyle="1" w:styleId="Heading5Char">
    <w:name w:val="Heading 5 Char"/>
    <w:basedOn w:val="DefaultParagraphFont"/>
    <w:link w:val="Heading5"/>
    <w:uiPriority w:val="9"/>
    <w:rsid w:val="00D85D9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85D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85D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85D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85D9B"/>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D85D9B"/>
    <w:rPr>
      <w:color w:val="0000FF" w:themeColor="hyperlink"/>
      <w:u w:val="single"/>
    </w:rPr>
  </w:style>
  <w:style w:type="table" w:styleId="LightGrid">
    <w:name w:val="Light Grid"/>
    <w:basedOn w:val="TableNormal"/>
    <w:uiPriority w:val="62"/>
    <w:rsid w:val="00D85D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3">
    <w:name w:val="List 3"/>
    <w:basedOn w:val="Normal"/>
    <w:uiPriority w:val="99"/>
    <w:unhideWhenUsed/>
    <w:rsid w:val="00D85D9B"/>
    <w:pPr>
      <w:ind w:left="849" w:hanging="283"/>
      <w:contextualSpacing/>
    </w:pPr>
  </w:style>
  <w:style w:type="paragraph" w:styleId="ListBullet">
    <w:name w:val="List Bullet"/>
    <w:basedOn w:val="Normal"/>
    <w:uiPriority w:val="99"/>
    <w:unhideWhenUsed/>
    <w:rsid w:val="00D85D9B"/>
    <w:pPr>
      <w:numPr>
        <w:numId w:val="22"/>
      </w:numPr>
      <w:spacing w:after="0"/>
      <w:contextualSpacing/>
    </w:pPr>
    <w:rPr>
      <w:rFonts w:ascii="Times New Roman" w:hAnsi="Times New Roman"/>
      <w:sz w:val="24"/>
    </w:rPr>
  </w:style>
  <w:style w:type="paragraph" w:styleId="ListParagraph">
    <w:name w:val="List Paragraph"/>
    <w:basedOn w:val="Normal"/>
    <w:uiPriority w:val="34"/>
    <w:qFormat/>
    <w:rsid w:val="00D85D9B"/>
    <w:pPr>
      <w:ind w:left="720"/>
      <w:contextualSpacing/>
    </w:pPr>
    <w:rPr>
      <w:rFonts w:ascii="Cambria" w:hAnsi="Cambria"/>
    </w:rPr>
  </w:style>
  <w:style w:type="paragraph" w:styleId="PlainText">
    <w:name w:val="Plain Text"/>
    <w:basedOn w:val="Normal"/>
    <w:link w:val="PlainTextChar"/>
    <w:rsid w:val="00D85D9B"/>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D85D9B"/>
    <w:rPr>
      <w:rFonts w:ascii="Courier New" w:eastAsia="Times New Roman" w:hAnsi="Courier New" w:cs="Courier New"/>
      <w:sz w:val="20"/>
      <w:szCs w:val="20"/>
      <w:lang w:val="en-US"/>
    </w:rPr>
  </w:style>
  <w:style w:type="paragraph" w:customStyle="1" w:styleId="TableCellCenter">
    <w:name w:val="Table Cell Center"/>
    <w:basedOn w:val="Paragraph"/>
    <w:rsid w:val="00D85D9B"/>
    <w:pPr>
      <w:keepLines/>
      <w:spacing w:before="50" w:after="50" w:line="240" w:lineRule="exact"/>
      <w:jc w:val="center"/>
    </w:pPr>
    <w:rPr>
      <w:rFonts w:eastAsia="Times New Roman"/>
      <w:sz w:val="20"/>
      <w:lang w:val="en-GB"/>
    </w:rPr>
  </w:style>
  <w:style w:type="paragraph" w:customStyle="1" w:styleId="TableCellLeft">
    <w:name w:val="Table Cell Left"/>
    <w:basedOn w:val="Paragraph"/>
    <w:rsid w:val="00D85D9B"/>
    <w:pPr>
      <w:keepLines/>
      <w:spacing w:before="50" w:after="50" w:line="240" w:lineRule="exact"/>
    </w:pPr>
    <w:rPr>
      <w:rFonts w:eastAsia="Times New Roman"/>
      <w:sz w:val="20"/>
      <w:lang w:val="en-GB"/>
    </w:rPr>
  </w:style>
  <w:style w:type="paragraph" w:customStyle="1" w:styleId="TableText">
    <w:name w:val="Table Text"/>
    <w:basedOn w:val="Normal"/>
    <w:qFormat/>
    <w:rsid w:val="00D85D9B"/>
    <w:pPr>
      <w:spacing w:after="0" w:line="240" w:lineRule="auto"/>
    </w:pPr>
    <w:rPr>
      <w:rFonts w:ascii="Arial" w:hAnsi="Arial"/>
      <w:sz w:val="20"/>
      <w:szCs w:val="20"/>
    </w:rPr>
  </w:style>
  <w:style w:type="paragraph" w:customStyle="1" w:styleId="TableCentre">
    <w:name w:val="Table Centre"/>
    <w:basedOn w:val="TableText"/>
    <w:qFormat/>
    <w:rsid w:val="00D85D9B"/>
    <w:pPr>
      <w:jc w:val="center"/>
    </w:pPr>
  </w:style>
  <w:style w:type="paragraph" w:customStyle="1" w:styleId="TableHeading">
    <w:name w:val="Table Heading"/>
    <w:basedOn w:val="BodyText"/>
    <w:next w:val="TableText"/>
    <w:qFormat/>
    <w:rsid w:val="00C54A3F"/>
    <w:pPr>
      <w:keepNext/>
      <w:spacing w:line="240" w:lineRule="auto"/>
    </w:pPr>
    <w:rPr>
      <w:rFonts w:ascii="Arial" w:eastAsia="Times New Roman" w:hAnsi="Arial" w:cs="Times New Roman"/>
      <w:b/>
      <w:bCs/>
      <w:sz w:val="20"/>
      <w:szCs w:val="20"/>
      <w:lang w:val="en-US"/>
    </w:rPr>
  </w:style>
  <w:style w:type="paragraph" w:styleId="TOAHeading">
    <w:name w:val="toa heading"/>
    <w:basedOn w:val="Normal"/>
    <w:next w:val="Normal"/>
    <w:uiPriority w:val="99"/>
    <w:unhideWhenUsed/>
    <w:rsid w:val="00D85D9B"/>
    <w:pPr>
      <w:spacing w:before="120"/>
    </w:pPr>
    <w:rPr>
      <w:rFonts w:asciiTheme="majorHAnsi" w:eastAsiaTheme="majorEastAsia" w:hAnsiTheme="majorHAnsi" w:cstheme="majorBidi"/>
      <w:b/>
      <w:bCs/>
      <w:sz w:val="24"/>
      <w:szCs w:val="24"/>
    </w:rPr>
  </w:style>
  <w:style w:type="paragraph" w:customStyle="1" w:styleId="CM26">
    <w:name w:val="CM26"/>
    <w:basedOn w:val="Default"/>
    <w:next w:val="Default"/>
    <w:uiPriority w:val="99"/>
    <w:rsid w:val="00256A10"/>
    <w:rPr>
      <w:rFonts w:eastAsiaTheme="minorEastAsia"/>
      <w:color w:val="auto"/>
      <w:lang w:val="en-US" w:eastAsia="en-US"/>
    </w:rPr>
  </w:style>
  <w:style w:type="paragraph" w:customStyle="1" w:styleId="CM14">
    <w:name w:val="CM14"/>
    <w:basedOn w:val="Normal"/>
    <w:next w:val="Normal"/>
    <w:uiPriority w:val="99"/>
    <w:rsid w:val="005858F0"/>
    <w:pPr>
      <w:widowControl w:val="0"/>
      <w:autoSpaceDE w:val="0"/>
      <w:autoSpaceDN w:val="0"/>
      <w:adjustRightInd w:val="0"/>
      <w:spacing w:after="0" w:line="240" w:lineRule="auto"/>
    </w:pPr>
    <w:rPr>
      <w:rFonts w:ascii="Times New Roman" w:eastAsia="Times New Roman" w:hAnsi="Times New Roman" w:cs="Times New Roman"/>
      <w:sz w:val="24"/>
      <w:szCs w:val="24"/>
      <w:lang w:eastAsia="en-AU"/>
    </w:rPr>
  </w:style>
  <w:style w:type="paragraph" w:customStyle="1" w:styleId="CM5">
    <w:name w:val="CM5"/>
    <w:basedOn w:val="Default"/>
    <w:next w:val="Default"/>
    <w:uiPriority w:val="99"/>
    <w:rsid w:val="005858F0"/>
    <w:pPr>
      <w:spacing w:line="251" w:lineRule="atLeast"/>
    </w:pPr>
    <w:rPr>
      <w:color w:val="auto"/>
    </w:rPr>
  </w:style>
  <w:style w:type="table" w:customStyle="1" w:styleId="TableGrid2">
    <w:name w:val="Table Grid2"/>
    <w:basedOn w:val="TableNormal"/>
    <w:next w:val="TableGrid"/>
    <w:uiPriority w:val="59"/>
    <w:rsid w:val="00111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rsid w:val="003A0C5A"/>
    <w:pPr>
      <w:spacing w:after="0" w:line="240" w:lineRule="auto"/>
    </w:pPr>
    <w:rPr>
      <w:rFonts w:ascii="Arial Narrow" w:eastAsia="MS Mincho" w:hAnsi="Arial Narrow"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8395">
      <w:bodyDiv w:val="1"/>
      <w:marLeft w:val="0"/>
      <w:marRight w:val="0"/>
      <w:marTop w:val="0"/>
      <w:marBottom w:val="0"/>
      <w:divBdr>
        <w:top w:val="none" w:sz="0" w:space="0" w:color="auto"/>
        <w:left w:val="none" w:sz="0" w:space="0" w:color="auto"/>
        <w:bottom w:val="none" w:sz="0" w:space="0" w:color="auto"/>
        <w:right w:val="none" w:sz="0" w:space="0" w:color="auto"/>
      </w:divBdr>
    </w:div>
    <w:div w:id="1907645748">
      <w:bodyDiv w:val="1"/>
      <w:marLeft w:val="0"/>
      <w:marRight w:val="0"/>
      <w:marTop w:val="0"/>
      <w:marBottom w:val="0"/>
      <w:divBdr>
        <w:top w:val="none" w:sz="0" w:space="0" w:color="auto"/>
        <w:left w:val="none" w:sz="0" w:space="0" w:color="auto"/>
        <w:bottom w:val="none" w:sz="0" w:space="0" w:color="auto"/>
        <w:right w:val="none" w:sz="0" w:space="0" w:color="auto"/>
      </w:divBdr>
    </w:div>
    <w:div w:id="212542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089DB389B179649B9836AE76D4E0D5F" ma:contentTypeVersion="12" ma:contentTypeDescription="新しいドキュメントを作成します。" ma:contentTypeScope="" ma:versionID="fde25376932e7a120f71adb66df5b563">
  <xsd:schema xmlns:xsd="http://www.w3.org/2001/XMLSchema" xmlns:xs="http://www.w3.org/2001/XMLSchema" xmlns:p="http://schemas.microsoft.com/office/2006/metadata/properties" xmlns:ns3="a6ecbc2e-e083-4913-a8b3-7ec777910d6d" xmlns:ns4="1fd88a7d-d524-4949-a9e4-79df53494899" targetNamespace="http://schemas.microsoft.com/office/2006/metadata/properties" ma:root="true" ma:fieldsID="1a10466ab2613421363c93cbc64588af" ns3:_="" ns4:_="">
    <xsd:import namespace="a6ecbc2e-e083-4913-a8b3-7ec777910d6d"/>
    <xsd:import namespace="1fd88a7d-d524-4949-a9e4-79df534948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cbc2e-e083-4913-a8b3-7ec777910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88a7d-d524-4949-a9e4-79df5349489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4AD45-04B6-4362-89F1-00D85D65D73C}">
  <ds:schemaRef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a6ecbc2e-e083-4913-a8b3-7ec777910d6d"/>
    <ds:schemaRef ds:uri="http://purl.org/dc/elements/1.1/"/>
    <ds:schemaRef ds:uri="http://schemas.microsoft.com/office/infopath/2007/PartnerControls"/>
    <ds:schemaRef ds:uri="1fd88a7d-d524-4949-a9e4-79df53494899"/>
    <ds:schemaRef ds:uri="http://purl.org/dc/terms/"/>
  </ds:schemaRefs>
</ds:datastoreItem>
</file>

<file path=customXml/itemProps2.xml><?xml version="1.0" encoding="utf-8"?>
<ds:datastoreItem xmlns:ds="http://schemas.openxmlformats.org/officeDocument/2006/customXml" ds:itemID="{280A991E-64F3-40D0-A2BC-1DC8FED0A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cbc2e-e083-4913-a8b3-7ec777910d6d"/>
    <ds:schemaRef ds:uri="1fd88a7d-d524-4949-a9e4-79df53494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5C72B-1CB4-4091-B66D-DF30388A80E5}">
  <ds:schemaRefs>
    <ds:schemaRef ds:uri="http://schemas.microsoft.com/sharepoint/v3/contenttype/forms"/>
  </ds:schemaRefs>
</ds:datastoreItem>
</file>

<file path=customXml/itemProps4.xml><?xml version="1.0" encoding="utf-8"?>
<ds:datastoreItem xmlns:ds="http://schemas.openxmlformats.org/officeDocument/2006/customXml" ds:itemID="{E9B18D21-D464-48B8-AB00-937D6BC2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32</Pages>
  <Words>10750</Words>
  <Characters>62892</Characters>
  <Application>Microsoft Office Word</Application>
  <DocSecurity>0</DocSecurity>
  <Lines>1612</Lines>
  <Paragraphs>1082</Paragraphs>
  <ScaleCrop>false</ScaleCrop>
  <HeadingPairs>
    <vt:vector size="2" baseType="variant">
      <vt:variant>
        <vt:lpstr>Title</vt:lpstr>
      </vt:variant>
      <vt:variant>
        <vt:i4>1</vt:i4>
      </vt:variant>
    </vt:vector>
  </HeadingPairs>
  <TitlesOfParts>
    <vt:vector size="1" baseType="lpstr">
      <vt:lpstr>Attachment: Product Information: Perampanel hemisesquihydrate</vt:lpstr>
    </vt:vector>
  </TitlesOfParts>
  <Company/>
  <LinksUpToDate>false</LinksUpToDate>
  <CharactersWithSpaces>72560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Perampanel hemisesquihydrate</dc:title>
  <dc:subject>prescription medicines</dc:subject>
  <dc:creator>Eisai Australia Pty. Ltd.</dc:creator>
  <cp:lastPrinted>2021-05-10T00:59:00Z</cp:lastPrinted>
  <dcterms:created xsi:type="dcterms:W3CDTF">2021-02-05T02:46:00Z</dcterms:created>
  <dcterms:modified xsi:type="dcterms:W3CDTF">2021-05-10T00:59:00Z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http://localhost/site/document</vt:lpwstr>
  </property>
  <property fmtid="{D5CDD505-2E9C-101B-9397-08002B2CF9AE}" pid="3" name="Order">
    <vt:r8>200</vt:r8>
  </property>
  <property fmtid="{D5CDD505-2E9C-101B-9397-08002B2CF9AE}" pid="4" name="_NewReviewCycle">
    <vt:lpwstr/>
  </property>
  <property fmtid="{D5CDD505-2E9C-101B-9397-08002B2CF9AE}" pid="5" name="ContentTypeId">
    <vt:lpwstr>0x0101001089DB389B179649B9836AE76D4E0D5F</vt:lpwstr>
  </property>
  <property fmtid="{D5CDD505-2E9C-101B-9397-08002B2CF9AE}" pid="6" name="_AdHocReviewCycleID">
    <vt:i4>1974202432</vt:i4>
  </property>
  <property fmtid="{D5CDD505-2E9C-101B-9397-08002B2CF9AE}" pid="7" name="_EmailSubject">
    <vt:lpwstr>[Response overdue] RE: re Draft AusPAR for FYCOMPA - perampanel - Eisai Australia Pty Ltd - PM-2019-05359-1-1 [SEC=OFFICIAL]</vt:lpwstr>
  </property>
  <property fmtid="{D5CDD505-2E9C-101B-9397-08002B2CF9AE}" pid="8" name="_AuthorEmail">
    <vt:lpwstr>Simon_Cornish@eisai.net</vt:lpwstr>
  </property>
  <property fmtid="{D5CDD505-2E9C-101B-9397-08002B2CF9AE}" pid="9" name="_AuthorEmailDisplayName">
    <vt:lpwstr>Simon Cornish</vt:lpwstr>
  </property>
  <property fmtid="{D5CDD505-2E9C-101B-9397-08002B2CF9AE}" pid="10" name="_ReviewingToolsShownOnce">
    <vt:lpwstr/>
  </property>
</Properties>
</file>