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651" w:rsidRPr="002C3651" w:rsidRDefault="002C3651" w:rsidP="002C3651">
      <w:r w:rsidRPr="002C3651">
        <mc:AlternateContent>
          <mc:Choice Requires="wps">
            <w:drawing>
              <wp:inline distT="0" distB="0" distL="0" distR="0" wp14:anchorId="2FEF0D56" wp14:editId="00DF6A52">
                <wp:extent cx="252095" cy="320722"/>
                <wp:effectExtent l="0" t="0" r="0" b="317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3207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7D43" w:rsidRPr="00BE2A26" w:rsidRDefault="00ED7D43" w:rsidP="002C3651">
                            <w:pPr>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2FEF0D56" id="_x0000_t202" coordsize="21600,21600" o:spt="202" path="m,l,21600r21600,l21600,xe">
                <v:stroke joinstyle="miter"/>
                <v:path gradientshapeok="t" o:connecttype="rect"/>
              </v:shapetype>
              <v:shape id="Text Box 10" o:spid="_x0000_s1026" type="#_x0000_t202" style="width:19.85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" stroked="f">
                <v:textbox inset="0,0,0,0">
                  <w:txbxContent>
                    <w:p w:rsidR="00ED7D43" w:rsidRPr="00BE2A26" w:rsidRDefault="00ED7D43" w:rsidP="002C3651">
                      <w:pPr>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Pr="002C3651">
        <w:t xml:space="preserve">This medicinal product is subject to additional monitoring in Australia due to provisional approval of an extension of indication. This will allow quick identification of new safety information. Healthcare professionals are asked to report any suspected adverse events at </w:t>
      </w:r>
      <w:hyperlink r:id="rId8" w:history="1">
        <w:r w:rsidRPr="002C3651">
          <w:rPr>
            <w:rStyle w:val="Hyperlink"/>
          </w:rPr>
          <w:t>www.tga.gov.au/reporting-problems</w:t>
        </w:r>
      </w:hyperlink>
      <w:r w:rsidRPr="002C3651">
        <w:t>.</w:t>
      </w:r>
    </w:p>
    <w:p w:rsidR="002C3651" w:rsidRPr="002C3651" w:rsidRDefault="002C3651" w:rsidP="002C3651"/>
    <w:p w:rsidR="002C3651" w:rsidRPr="002C3651" w:rsidRDefault="002C3651" w:rsidP="002C3651">
      <w:pPr>
        <w:pStyle w:val="TOC1"/>
        <w:rPr>
          <w:sz w:val="40"/>
          <w:szCs w:val="40"/>
        </w:rPr>
      </w:pPr>
      <w:r w:rsidRPr="002C3651">
        <w:rPr>
          <w:sz w:val="40"/>
          <w:szCs w:val="40"/>
        </w:rPr>
        <w:t>AUSTRALIAN PRODUCT INFORMATION – KEYTRUDA</w:t>
      </w:r>
      <w:r w:rsidRPr="002C3651">
        <w:rPr>
          <w:sz w:val="40"/>
          <w:szCs w:val="40"/>
          <w:vertAlign w:val="superscript"/>
        </w:rPr>
        <w:t>®</w:t>
      </w:r>
      <w:r w:rsidRPr="002C3651">
        <w:rPr>
          <w:sz w:val="40"/>
          <w:szCs w:val="40"/>
        </w:rPr>
        <w:t xml:space="preserve"> (pembrolizumab (</w:t>
      </w:r>
      <w:proofErr w:type="spellStart"/>
      <w:r w:rsidRPr="002C3651">
        <w:rPr>
          <w:sz w:val="40"/>
          <w:szCs w:val="40"/>
        </w:rPr>
        <w:t>rch</w:t>
      </w:r>
      <w:proofErr w:type="spellEnd"/>
      <w:r w:rsidRPr="002C3651">
        <w:rPr>
          <w:sz w:val="40"/>
          <w:szCs w:val="40"/>
        </w:rPr>
        <w:t>))</w:t>
      </w:r>
    </w:p>
    <w:p w:rsidR="002C3651" w:rsidRPr="002C3651" w:rsidRDefault="002C3651" w:rsidP="002C3651">
      <w:pPr>
        <w:pStyle w:val="Heading2"/>
      </w:pPr>
      <w:r w:rsidRPr="002C3651">
        <w:t>1 NAME OF THE MEDICINE</w:t>
      </w:r>
    </w:p>
    <w:p w:rsidR="002C3651" w:rsidRPr="002C3651" w:rsidRDefault="002C3651" w:rsidP="002C3651">
      <w:r w:rsidRPr="002C3651">
        <w:t>pembrolizumab (</w:t>
      </w:r>
      <w:proofErr w:type="spellStart"/>
      <w:r w:rsidRPr="002C3651">
        <w:t>rch</w:t>
      </w:r>
      <w:proofErr w:type="spellEnd"/>
      <w:r w:rsidRPr="002C3651">
        <w:t>)</w:t>
      </w:r>
    </w:p>
    <w:p w:rsidR="002C3651" w:rsidRPr="002C3651" w:rsidRDefault="002C3651" w:rsidP="002C3651">
      <w:pPr>
        <w:pStyle w:val="Heading2"/>
      </w:pPr>
      <w:r w:rsidRPr="002C3651">
        <w:t>2 QUALITATIVE AND QUANTITATIVE COMPOSITION</w:t>
      </w:r>
    </w:p>
    <w:p w:rsidR="002C3651" w:rsidRPr="002C3651" w:rsidRDefault="002C3651" w:rsidP="002C3651">
      <w:pPr>
        <w:rPr>
          <w:b/>
        </w:rPr>
      </w:pPr>
      <w:r w:rsidRPr="002C3651">
        <w:rPr>
          <w:b/>
        </w:rPr>
        <w:t>KEYTRUDA</w:t>
      </w:r>
      <w:r w:rsidRPr="002C3651">
        <w:rPr>
          <w:b/>
          <w:vertAlign w:val="superscript"/>
        </w:rPr>
        <w:t>®</w:t>
      </w:r>
      <w:r w:rsidRPr="002C3651">
        <w:rPr>
          <w:b/>
        </w:rPr>
        <w:t xml:space="preserve"> 50 mg powder for injection</w:t>
      </w:r>
    </w:p>
    <w:p w:rsidR="002C3651" w:rsidRPr="002C3651" w:rsidRDefault="002C3651" w:rsidP="002C3651">
      <w:r w:rsidRPr="002C3651">
        <w:t>One vial contains 50 mg of pembrolizumab.</w:t>
      </w:r>
    </w:p>
    <w:p w:rsidR="002C3651" w:rsidRPr="002C3651" w:rsidRDefault="002C3651" w:rsidP="002C3651">
      <w:r w:rsidRPr="002C3651">
        <w:t>After reconstitution, 1 mL of solution contains 25 mg of pembrolizumab.</w:t>
      </w:r>
    </w:p>
    <w:p w:rsidR="002C3651" w:rsidRPr="002C3651" w:rsidRDefault="002C3651" w:rsidP="002C3651">
      <w:pPr>
        <w:rPr>
          <w:b/>
        </w:rPr>
      </w:pPr>
      <w:r w:rsidRPr="002C3651">
        <w:rPr>
          <w:b/>
        </w:rPr>
        <w:t>KEYTRUDA</w:t>
      </w:r>
      <w:r w:rsidRPr="002C3651">
        <w:rPr>
          <w:b/>
          <w:vertAlign w:val="superscript"/>
        </w:rPr>
        <w:t>®</w:t>
      </w:r>
      <w:r w:rsidRPr="002C3651">
        <w:rPr>
          <w:b/>
        </w:rPr>
        <w:t xml:space="preserve"> 100 mg/4 mL concentrated injection</w:t>
      </w:r>
    </w:p>
    <w:p w:rsidR="002C3651" w:rsidRPr="002C3651" w:rsidRDefault="002C3651" w:rsidP="002C3651">
      <w:r w:rsidRPr="002C3651">
        <w:t>One vial contains 100 mg of pembrolizumab in 4 mL of solution.</w:t>
      </w:r>
    </w:p>
    <w:p w:rsidR="002C3651" w:rsidRPr="002C3651" w:rsidDel="005E34A2" w:rsidRDefault="002C3651" w:rsidP="002C3651">
      <w:r w:rsidRPr="002C3651" w:rsidDel="005E34A2">
        <w:t>For the full list of excipients, see Section 6.1 List of excipients.</w:t>
      </w:r>
    </w:p>
    <w:p w:rsidR="002C3651" w:rsidRPr="002C3651" w:rsidRDefault="002C3651" w:rsidP="002C3651">
      <w:pPr>
        <w:pStyle w:val="Heading2"/>
      </w:pPr>
      <w:r w:rsidRPr="002C3651">
        <w:t>3 PHARMACEUTICAL FORM</w:t>
      </w:r>
    </w:p>
    <w:p w:rsidR="002C3651" w:rsidRPr="002C3651" w:rsidRDefault="002C3651" w:rsidP="002C3651">
      <w:pPr>
        <w:rPr>
          <w:b/>
        </w:rPr>
      </w:pPr>
      <w:r w:rsidRPr="002C3651">
        <w:rPr>
          <w:b/>
        </w:rPr>
        <w:t>KEYTRUDA</w:t>
      </w:r>
      <w:r w:rsidRPr="002C3651">
        <w:rPr>
          <w:b/>
          <w:vertAlign w:val="superscript"/>
        </w:rPr>
        <w:t>®</w:t>
      </w:r>
      <w:r w:rsidRPr="002C3651">
        <w:rPr>
          <w:b/>
        </w:rPr>
        <w:t xml:space="preserve"> 50 mg powder for injection</w:t>
      </w:r>
    </w:p>
    <w:p w:rsidR="002C3651" w:rsidRPr="002C3651" w:rsidRDefault="002C3651" w:rsidP="002C3651">
      <w:r w:rsidRPr="002C3651">
        <w:t>KEYTRUDA 50 mg powder for injection is a sterile, preservative-free, white to off-white lyophilised powder.</w:t>
      </w:r>
    </w:p>
    <w:p w:rsidR="002C3651" w:rsidRPr="002C3651" w:rsidRDefault="002C3651" w:rsidP="002C3651">
      <w:r w:rsidRPr="002C3651">
        <w:t>Not for direct infusion or injection (see Section 4.2 DOSE AND METHOD OF ADMINISTRATION).</w:t>
      </w:r>
    </w:p>
    <w:p w:rsidR="002C3651" w:rsidRPr="002C3651" w:rsidRDefault="002C3651" w:rsidP="002C3651">
      <w:pPr>
        <w:rPr>
          <w:b/>
        </w:rPr>
      </w:pPr>
      <w:r w:rsidRPr="002C3651">
        <w:rPr>
          <w:b/>
        </w:rPr>
        <w:t>KEYTRUDA</w:t>
      </w:r>
      <w:r w:rsidRPr="002C3651">
        <w:rPr>
          <w:b/>
          <w:vertAlign w:val="superscript"/>
        </w:rPr>
        <w:t>®</w:t>
      </w:r>
      <w:r w:rsidRPr="002C3651">
        <w:rPr>
          <w:b/>
        </w:rPr>
        <w:t xml:space="preserve"> 100 mg/4 mL concentrated injection</w:t>
      </w:r>
    </w:p>
    <w:p w:rsidR="002C3651" w:rsidRPr="002C3651" w:rsidRDefault="002C3651" w:rsidP="002C3651">
      <w:r w:rsidRPr="002C3651">
        <w:t>KEYTRUDA 100 mg/4 mL concentrated injection is a sterile, preservative-free, clear to slightly opalescent, colourless to slightly yellow solution.</w:t>
      </w:r>
    </w:p>
    <w:p w:rsidR="002C3651" w:rsidRPr="002C3651" w:rsidRDefault="002C3651" w:rsidP="002C3651">
      <w:r w:rsidRPr="002C3651">
        <w:t>Not for direct infusion or injection (see Section 4.2 DOSE AND METHOD OF ADMINISTRATION).</w:t>
      </w:r>
    </w:p>
    <w:p w:rsidR="002C3651" w:rsidRPr="002C3651" w:rsidRDefault="002C3651" w:rsidP="002C3651"/>
    <w:p w:rsidR="002C3651" w:rsidRPr="002C3651" w:rsidRDefault="002C3651" w:rsidP="002C3651"/>
    <w:p w:rsidR="002C3651" w:rsidRPr="002C3651" w:rsidRDefault="002C3651" w:rsidP="002C3651">
      <w:pPr>
        <w:pStyle w:val="Heading2"/>
      </w:pPr>
      <w:r w:rsidRPr="002C3651">
        <w:t>4 CLINICAL PARTICULARS</w:t>
      </w:r>
    </w:p>
    <w:p w:rsidR="002C3651" w:rsidRPr="002C3651" w:rsidRDefault="002C3651" w:rsidP="002C3651">
      <w:pPr>
        <w:pStyle w:val="Heading3"/>
      </w:pPr>
      <w:r w:rsidRPr="002C3651">
        <w:t>4.1 THERAPEUTIC INDICATIONS</w:t>
      </w:r>
    </w:p>
    <w:p w:rsidR="002C3651" w:rsidRPr="002C3651" w:rsidRDefault="002C3651" w:rsidP="002C3651">
      <w:pPr>
        <w:rPr>
          <w:u w:val="single"/>
        </w:rPr>
      </w:pPr>
      <w:r w:rsidRPr="002C3651">
        <w:rPr>
          <w:u w:val="single"/>
        </w:rPr>
        <w:t>Melanoma</w:t>
      </w:r>
    </w:p>
    <w:p w:rsidR="002C3651" w:rsidRPr="002C3651" w:rsidRDefault="002C3651" w:rsidP="002C3651">
      <w:r w:rsidRPr="002C3651">
        <w:t>KEYTRUDA</w:t>
      </w:r>
      <w:r w:rsidRPr="002C3651">
        <w:rPr>
          <w:vertAlign w:val="superscript"/>
        </w:rPr>
        <w:t>®</w:t>
      </w:r>
      <w:r w:rsidRPr="002C3651">
        <w:t xml:space="preserve"> (pembrolizumab) is indicated as monotherapy for the treatment of </w:t>
      </w:r>
      <w:proofErr w:type="spellStart"/>
      <w:r w:rsidRPr="002C3651">
        <w:t>unresectable</w:t>
      </w:r>
      <w:proofErr w:type="spellEnd"/>
      <w:r w:rsidRPr="002C3651">
        <w:t xml:space="preserve"> or metastatic melanoma in adults.</w:t>
      </w:r>
    </w:p>
    <w:p w:rsidR="000336B5" w:rsidRDefault="002C3651" w:rsidP="002C3651">
      <w:r w:rsidRPr="002C3651">
        <w:t>KEYTRUDA</w:t>
      </w:r>
      <w:r w:rsidRPr="002C3651">
        <w:rPr>
          <w:vertAlign w:val="superscript"/>
        </w:rPr>
        <w:t>®</w:t>
      </w:r>
      <w:r w:rsidRPr="002C3651">
        <w:t xml:space="preserve"> (pembrolizumab) is indicated as monotherapy for the adjuvant treatment of patients with melanoma with lymph node involvement who have undergone complete resection</w:t>
      </w:r>
    </w:p>
    <w:p w:rsidR="002C3651" w:rsidRPr="002C3651" w:rsidRDefault="002C3651" w:rsidP="002C3651">
      <w:pPr>
        <w:rPr>
          <w:u w:val="single"/>
        </w:rPr>
      </w:pPr>
      <w:r w:rsidRPr="002C3651">
        <w:rPr>
          <w:u w:val="single"/>
        </w:rPr>
        <w:t>Non-small cell lung cancer (NSCLC)</w:t>
      </w:r>
    </w:p>
    <w:p w:rsidR="002C3651" w:rsidRPr="002C3651" w:rsidRDefault="002C3651" w:rsidP="002C3651">
      <w:r w:rsidRPr="002C3651">
        <w:t>KEYTRUDA</w:t>
      </w:r>
      <w:r w:rsidRPr="002C3651">
        <w:rPr>
          <w:vertAlign w:val="superscript"/>
        </w:rPr>
        <w:t>®</w:t>
      </w:r>
      <w:r w:rsidRPr="002C3651">
        <w:t xml:space="preserve"> (pembrolizumab), in combination with </w:t>
      </w:r>
      <w:proofErr w:type="spellStart"/>
      <w:r w:rsidRPr="002C3651">
        <w:t>pemetrexed</w:t>
      </w:r>
      <w:proofErr w:type="spellEnd"/>
      <w:r w:rsidRPr="002C3651">
        <w:t xml:space="preserve"> and platinum chemotherapy, is indicated for the first-line treatment of patients with metastatic non-squamous NSCLC, with no EGFR or ALK genomic tumour aberrations.</w:t>
      </w:r>
    </w:p>
    <w:p w:rsidR="002C3651" w:rsidRPr="002C3651" w:rsidRDefault="002C3651" w:rsidP="002C3651">
      <w:r w:rsidRPr="002C3651">
        <w:t>KEYTRUDA</w:t>
      </w:r>
      <w:r w:rsidRPr="002C3651">
        <w:rPr>
          <w:vertAlign w:val="superscript"/>
        </w:rPr>
        <w:t>®</w:t>
      </w:r>
      <w:r w:rsidRPr="002C3651">
        <w:t xml:space="preserve"> (pembrolizumab), in combination with carboplatin and either paclitaxel or nab-paclitaxel, is indicated for the first-line treatment of patients with metastatic squamous NSCLC.</w:t>
      </w:r>
    </w:p>
    <w:p w:rsidR="002C3651" w:rsidRPr="002C3651" w:rsidRDefault="002C3651" w:rsidP="002C3651">
      <w:r w:rsidRPr="002C3651">
        <w:t>KEYTRUDA</w:t>
      </w:r>
      <w:r w:rsidRPr="002C3651">
        <w:rPr>
          <w:vertAlign w:val="superscript"/>
        </w:rPr>
        <w:t>®</w:t>
      </w:r>
      <w:r w:rsidRPr="002C3651">
        <w:t xml:space="preserve"> (pembrolizumab) is indicated as monotherapy for the first-line treatment of patients with NSCLC expressing PD-L1 [tumour proportion score (TPS) ≥1%] as determined by a validated test, with no EGFR or ALK genomic tumour aberrations, and is</w:t>
      </w:r>
    </w:p>
    <w:p w:rsidR="002C3651" w:rsidRDefault="002C3651" w:rsidP="002C3651">
      <w:pPr>
        <w:pStyle w:val="ListBullet"/>
      </w:pPr>
      <w:r w:rsidRPr="002C3651">
        <w:t xml:space="preserve">stage III where patients are not candidates for surgical resection or </w:t>
      </w:r>
    </w:p>
    <w:p w:rsidR="002C3651" w:rsidRPr="002C3651" w:rsidRDefault="002C3651" w:rsidP="002C3651">
      <w:pPr>
        <w:pStyle w:val="ListBullet"/>
      </w:pPr>
      <w:r w:rsidRPr="002C3651">
        <w:t xml:space="preserve">definitive </w:t>
      </w:r>
      <w:proofErr w:type="spellStart"/>
      <w:r w:rsidRPr="002C3651">
        <w:t>chemoradiation</w:t>
      </w:r>
      <w:proofErr w:type="spellEnd"/>
      <w:r w:rsidRPr="002C3651">
        <w:t>, or</w:t>
      </w:r>
      <w:r>
        <w:t xml:space="preserve"> </w:t>
      </w:r>
      <w:r w:rsidRPr="002C3651">
        <w:t>metastatic.</w:t>
      </w:r>
    </w:p>
    <w:p w:rsidR="002C3651" w:rsidRPr="002C3651" w:rsidRDefault="002C3651" w:rsidP="002C3651">
      <w:r w:rsidRPr="002C3651">
        <w:t>KEYTRUDA</w:t>
      </w:r>
      <w:r w:rsidRPr="002C3651">
        <w:rPr>
          <w:vertAlign w:val="superscript"/>
        </w:rPr>
        <w:t>®</w:t>
      </w:r>
      <w:r w:rsidRPr="002C3651">
        <w:t xml:space="preserve"> (pembrolizumab) is indicated as monotherapy for the treatment of patients with advanced NSCLC whose tumours express PD-L1 with a ≥1% TPS as determined by a validated test and who have received platinum-containing chemotherapy. Patients with EGFR or ALK genomic tumour aberrations should have received prior therapy for these aberrations prior to receiving KEYTRUDA.</w:t>
      </w:r>
    </w:p>
    <w:p w:rsidR="002C3651" w:rsidRPr="002C3651" w:rsidRDefault="002C3651" w:rsidP="002C3651">
      <w:pPr>
        <w:rPr>
          <w:u w:val="single"/>
        </w:rPr>
      </w:pPr>
      <w:r w:rsidRPr="002C3651">
        <w:rPr>
          <w:u w:val="single"/>
        </w:rPr>
        <w:t>Head and Neck Squamous Cell Cancer (HNSCC)</w:t>
      </w:r>
    </w:p>
    <w:p w:rsidR="002C3651" w:rsidRPr="002C3651" w:rsidRDefault="002C3651" w:rsidP="002C3651">
      <w:r w:rsidRPr="002C3651">
        <w:t>KEYTRUDA</w:t>
      </w:r>
      <w:r w:rsidRPr="002C3651">
        <w:rPr>
          <w:vertAlign w:val="superscript"/>
        </w:rPr>
        <w:t>®</w:t>
      </w:r>
      <w:r w:rsidRPr="002C3651">
        <w:t xml:space="preserve"> (pembrolizumab) is indicated as monotherapy for the treatment of patients with recurrent or metastatic head and neck squamous cell carcinoma (HNSCC) with disease progression on or after platinum-containing chemotherapy. This indication is approved based on overall response rate and duration of response. Improvements in overall survival, progression-free survival or health-related quality of life have not been established.</w:t>
      </w:r>
    </w:p>
    <w:p w:rsidR="002C3651" w:rsidRPr="002C3651" w:rsidRDefault="002C3651" w:rsidP="002C3651">
      <w:pPr>
        <w:rPr>
          <w:u w:val="single"/>
        </w:rPr>
      </w:pPr>
      <w:r w:rsidRPr="002C3651">
        <w:rPr>
          <w:u w:val="single"/>
        </w:rPr>
        <w:t>Classical Hodgkin Lymphoma (</w:t>
      </w:r>
      <w:proofErr w:type="spellStart"/>
      <w:r w:rsidRPr="002C3651">
        <w:rPr>
          <w:u w:val="single"/>
        </w:rPr>
        <w:t>cHL</w:t>
      </w:r>
      <w:proofErr w:type="spellEnd"/>
      <w:r w:rsidRPr="002C3651">
        <w:rPr>
          <w:u w:val="single"/>
        </w:rPr>
        <w:t>)</w:t>
      </w:r>
    </w:p>
    <w:p w:rsidR="002C3651" w:rsidRPr="002C3651" w:rsidRDefault="002C3651" w:rsidP="002C3651">
      <w:r w:rsidRPr="002C3651">
        <w:t>KEYTRUDA</w:t>
      </w:r>
      <w:r w:rsidRPr="002C3651">
        <w:rPr>
          <w:vertAlign w:val="superscript"/>
        </w:rPr>
        <w:t>®</w:t>
      </w:r>
      <w:r w:rsidRPr="002C3651">
        <w:t xml:space="preserve"> (pembrolizumab) is indicated as monotherapy for the treatment of adult patients with relapsed or refractory classical Hodgkin Lymphoma (</w:t>
      </w:r>
      <w:proofErr w:type="spellStart"/>
      <w:r w:rsidRPr="002C3651">
        <w:t>cHL</w:t>
      </w:r>
      <w:proofErr w:type="spellEnd"/>
      <w:r w:rsidRPr="002C3651">
        <w:t>):</w:t>
      </w:r>
    </w:p>
    <w:p w:rsidR="002C3651" w:rsidRPr="002C3651" w:rsidRDefault="002C3651" w:rsidP="002C3651">
      <w:pPr>
        <w:pStyle w:val="Numberbullet0"/>
      </w:pPr>
      <w:r w:rsidRPr="002C3651">
        <w:lastRenderedPageBreak/>
        <w:t>following autologous stem cell transplant (ASCT) or</w:t>
      </w:r>
    </w:p>
    <w:p w:rsidR="002C3651" w:rsidRPr="002C3651" w:rsidRDefault="002C3651" w:rsidP="002C3651">
      <w:pPr>
        <w:pStyle w:val="Numberbullet0"/>
      </w:pPr>
      <w:r w:rsidRPr="002C3651">
        <w:t>following at least two prior therapies when ASCT or multi-agent chemotherapy is not a treatment option.</w:t>
      </w:r>
    </w:p>
    <w:p w:rsidR="002C3651" w:rsidRPr="002C3651" w:rsidRDefault="002C3651" w:rsidP="002C3651">
      <w:r w:rsidRPr="002C3651">
        <w:t>The approval of this indication is on the basis of objective response rate (ORR). See Section 5.1 PHARMACODYNAMIC PROPERTIES, Clinical Trials.</w:t>
      </w:r>
    </w:p>
    <w:p w:rsidR="002C3651" w:rsidRPr="002C3651" w:rsidRDefault="002C3651" w:rsidP="002C3651">
      <w:pPr>
        <w:rPr>
          <w:u w:val="single"/>
        </w:rPr>
      </w:pPr>
      <w:r w:rsidRPr="002C3651">
        <w:rPr>
          <w:u w:val="single"/>
        </w:rPr>
        <w:t>Primary mediastinal B-Cell Lymphoma (PMBCL)</w:t>
      </w:r>
    </w:p>
    <w:p w:rsidR="002C3651" w:rsidRPr="002C3651" w:rsidRDefault="002C3651" w:rsidP="002C3651">
      <w:r w:rsidRPr="002C3651">
        <w:t>KEYTRUDA</w:t>
      </w:r>
      <w:r w:rsidRPr="002C3651">
        <w:rPr>
          <w:vertAlign w:val="superscript"/>
        </w:rPr>
        <w:t>®</w:t>
      </w:r>
      <w:r w:rsidRPr="002C3651">
        <w:t xml:space="preserve"> (pembrolizumab) is indicated for the treatment of adult and paediatric patients with refractory primary mediastinal B-cell lymphoma (PMBCL), or who have relapsed after 2 or more prior lines of therapy. The approval of this indication is on the basis of objective response rate (ORR) and duration of response from non-randomised studies. See Section 5.1 PHARMACODYNAMIC PROPERTIES, Clinical Trials. </w:t>
      </w:r>
    </w:p>
    <w:p w:rsidR="002C3651" w:rsidRPr="002C3651" w:rsidRDefault="002C3651" w:rsidP="002C3651">
      <w:pPr>
        <w:rPr>
          <w:u w:val="single"/>
        </w:rPr>
      </w:pPr>
      <w:r w:rsidRPr="002C3651">
        <w:rPr>
          <w:u w:val="single"/>
        </w:rPr>
        <w:t>Urothelial carcinoma</w:t>
      </w:r>
    </w:p>
    <w:p w:rsidR="002C3651" w:rsidRPr="002C3651" w:rsidRDefault="002C3651" w:rsidP="002C3651">
      <w:r w:rsidRPr="002C3651">
        <w:t>KEYTRUDA</w:t>
      </w:r>
      <w:r w:rsidRPr="002C3651">
        <w:rPr>
          <w:vertAlign w:val="superscript"/>
        </w:rPr>
        <w:t>®</w:t>
      </w:r>
      <w:r w:rsidRPr="002C3651">
        <w:t xml:space="preserve"> (pembrolizumab) is indicated as monotherapy for the treatment of patients with locally advanced or metastatic urothelial carcinoma who are not eligible for cisplatin-containing therapy and whose tumours express PD-L1 [Combined Positive Score (CPS) ≥10] as determined by a validated test, or in patients who are not eligible for any platinum-containing chemotherapy regardless of PD-L1 status. This indication is approved based on overall response rate and duration of response in a single-arm study. Improvements in overall survival, progression-free survival, or health-related quality of life have not been established.</w:t>
      </w:r>
    </w:p>
    <w:p w:rsidR="002C3651" w:rsidRDefault="002C3651" w:rsidP="002C3651">
      <w:r w:rsidRPr="002C3651">
        <w:t>KEYTRUDA</w:t>
      </w:r>
      <w:r w:rsidRPr="002C3651">
        <w:rPr>
          <w:vertAlign w:val="superscript"/>
        </w:rPr>
        <w:t>®</w:t>
      </w:r>
      <w:r w:rsidRPr="002C3651">
        <w:t xml:space="preserve"> (pembrolizumab) is indicated as monotherapy for the treatment of patients with locally advanced or metastatic urothelial carcinoma who have received platinum-containing chemotherapy.</w:t>
      </w:r>
    </w:p>
    <w:p w:rsidR="002C3651" w:rsidRPr="002C3651" w:rsidRDefault="002C3651" w:rsidP="002C3651">
      <w:pPr>
        <w:rPr>
          <w:u w:val="single"/>
        </w:rPr>
      </w:pPr>
      <w:r w:rsidRPr="002C3651">
        <w:rPr>
          <w:u w:val="single"/>
        </w:rPr>
        <w:t>Microsatellite instability-high cancer</w:t>
      </w:r>
    </w:p>
    <w:p w:rsidR="002C3651" w:rsidRPr="002C3651" w:rsidRDefault="002C3651" w:rsidP="002C3651">
      <w:pPr>
        <w:rPr>
          <w:b/>
        </w:rPr>
      </w:pPr>
      <w:r w:rsidRPr="002C3651">
        <w:rPr>
          <w:b/>
        </w:rPr>
        <w:t>Colorectal</w:t>
      </w:r>
    </w:p>
    <w:p w:rsidR="002C3651" w:rsidRPr="002C3651" w:rsidRDefault="002C3651" w:rsidP="002C3651">
      <w:r w:rsidRPr="002C3651">
        <w:t>KEYTRUDA</w:t>
      </w:r>
      <w:r w:rsidRPr="002C3651">
        <w:rPr>
          <w:vertAlign w:val="superscript"/>
        </w:rPr>
        <w:t>®</w:t>
      </w:r>
      <w:r w:rsidRPr="002C3651">
        <w:t xml:space="preserve"> (pembrolizumab) is indicated in adult and paediatric patients for the treatment of </w:t>
      </w:r>
      <w:proofErr w:type="spellStart"/>
      <w:r w:rsidRPr="002C3651">
        <w:t>unresectable</w:t>
      </w:r>
      <w:proofErr w:type="spellEnd"/>
      <w:r w:rsidRPr="002C3651">
        <w:t xml:space="preserve"> or metastatic, microsatellite instability-high (MSI-H) or mismatch repair deficient (</w:t>
      </w:r>
      <w:proofErr w:type="spellStart"/>
      <w:r w:rsidRPr="002C3651">
        <w:t>dMMR</w:t>
      </w:r>
      <w:proofErr w:type="spellEnd"/>
      <w:r w:rsidRPr="002C3651">
        <w:t xml:space="preserve">) colorectal cancer that has progressed following treatment with a </w:t>
      </w:r>
      <w:proofErr w:type="spellStart"/>
      <w:r w:rsidRPr="002C3651">
        <w:t>fluoropyrimidine</w:t>
      </w:r>
      <w:proofErr w:type="spellEnd"/>
      <w:r w:rsidRPr="002C3651">
        <w:t xml:space="preserve">, </w:t>
      </w:r>
      <w:proofErr w:type="spellStart"/>
      <w:r w:rsidRPr="002C3651">
        <w:t>oxaliplatin</w:t>
      </w:r>
      <w:proofErr w:type="spellEnd"/>
      <w:r w:rsidRPr="002C3651">
        <w:t xml:space="preserve">, and </w:t>
      </w:r>
      <w:proofErr w:type="spellStart"/>
      <w:r w:rsidRPr="002C3651">
        <w:t>irinotecan</w:t>
      </w:r>
      <w:proofErr w:type="spellEnd"/>
      <w:r w:rsidRPr="002C3651">
        <w:t xml:space="preserve">. This indication was approved via the </w:t>
      </w:r>
      <w:r w:rsidRPr="002C3651">
        <w:rPr>
          <w:b/>
        </w:rPr>
        <w:t>provisional approval</w:t>
      </w:r>
      <w:r w:rsidRPr="002C3651">
        <w:t xml:space="preserve"> pathway, based on objective response rate and response duration in single-arm trials. Continued approval for this indication depends on verification and description of clinical benefit in the confirmatory trials.</w:t>
      </w:r>
    </w:p>
    <w:p w:rsidR="002C3651" w:rsidRPr="002C3651" w:rsidRDefault="002C3651" w:rsidP="002C3651">
      <w:pPr>
        <w:rPr>
          <w:b/>
        </w:rPr>
      </w:pPr>
      <w:r w:rsidRPr="002C3651">
        <w:rPr>
          <w:b/>
        </w:rPr>
        <w:t>Non-colorectal</w:t>
      </w:r>
    </w:p>
    <w:p w:rsidR="002C3651" w:rsidRPr="002C3651" w:rsidRDefault="002C3651" w:rsidP="002C3651">
      <w:r w:rsidRPr="002C3651">
        <w:t>KEYTRUDA</w:t>
      </w:r>
      <w:r w:rsidRPr="002C3651">
        <w:rPr>
          <w:vertAlign w:val="superscript"/>
        </w:rPr>
        <w:t>®</w:t>
      </w:r>
      <w:r w:rsidRPr="002C3651">
        <w:t xml:space="preserve"> (pembrolizumab) is indicated in adult and paediatric patients for the treatment of </w:t>
      </w:r>
      <w:proofErr w:type="spellStart"/>
      <w:r w:rsidRPr="002C3651">
        <w:t>unresectable</w:t>
      </w:r>
      <w:proofErr w:type="spellEnd"/>
      <w:r w:rsidRPr="002C3651">
        <w:t xml:space="preserve"> or metastatic, microsatellite instability-high (MSI-H) or mismatch repair deficient (</w:t>
      </w:r>
      <w:proofErr w:type="spellStart"/>
      <w:r w:rsidRPr="002C3651">
        <w:t>dMMR</w:t>
      </w:r>
      <w:proofErr w:type="spellEnd"/>
      <w:r w:rsidRPr="002C3651">
        <w:t xml:space="preserve">) tumours that have progressed following prior treatment and when there are no satisfactory alternative treatment options. This indication was approved via the </w:t>
      </w:r>
      <w:r w:rsidRPr="002C3651">
        <w:rPr>
          <w:b/>
        </w:rPr>
        <w:t>provisional approval</w:t>
      </w:r>
      <w:r w:rsidRPr="002C3651">
        <w:t xml:space="preserve"> pathway, based on the pooling of data on objective response rate and response duration across multiple different tissue types in a single-arm trial. Sample sizes for individual tissue types were too small to provide data on clinical utility of the MSI-H/</w:t>
      </w:r>
      <w:proofErr w:type="spellStart"/>
      <w:r w:rsidRPr="002C3651">
        <w:t>dMMR</w:t>
      </w:r>
      <w:proofErr w:type="spellEnd"/>
      <w:r w:rsidRPr="002C3651">
        <w:t xml:space="preserve"> tests for each of the tissue types, individually. The assumption that MSI-H/</w:t>
      </w:r>
      <w:proofErr w:type="spellStart"/>
      <w:r w:rsidRPr="002C3651">
        <w:t>dMMR</w:t>
      </w:r>
      <w:proofErr w:type="spellEnd"/>
      <w:r w:rsidRPr="002C3651">
        <w:t xml:space="preserve">-status is predictive of the </w:t>
      </w:r>
      <w:r w:rsidRPr="002C3651">
        <w:lastRenderedPageBreak/>
        <w:t xml:space="preserve">treatment effect of </w:t>
      </w:r>
      <w:proofErr w:type="spellStart"/>
      <w:r w:rsidRPr="002C3651">
        <w:t>Keytruda</w:t>
      </w:r>
      <w:proofErr w:type="spellEnd"/>
      <w:r w:rsidRPr="002C3651">
        <w:t xml:space="preserve"> for every tissue type has not been verified. Continued approval for this indication depends on verification and description of clinical benefit in the confirmatory trials.</w:t>
      </w:r>
    </w:p>
    <w:p w:rsidR="002C3651" w:rsidRPr="002C3651" w:rsidRDefault="002C3651" w:rsidP="002C3651"/>
    <w:p w:rsidR="002C3651" w:rsidRPr="002C3651" w:rsidRDefault="002C3651" w:rsidP="002C3651">
      <w:r w:rsidRPr="002C3651">
        <w:t>The safety and effectiveness of KEYTRUDA in paediatric patients with MSI-H central nervous system cancers have not been established.</w:t>
      </w:r>
    </w:p>
    <w:p w:rsidR="002C3651" w:rsidRPr="002C3651" w:rsidRDefault="002C3651" w:rsidP="002C3651">
      <w:pPr>
        <w:rPr>
          <w:u w:val="single"/>
        </w:rPr>
      </w:pPr>
      <w:r w:rsidRPr="002C3651">
        <w:rPr>
          <w:u w:val="single"/>
        </w:rPr>
        <w:t>Endometrial carcinoma</w:t>
      </w:r>
    </w:p>
    <w:p w:rsidR="002C3651" w:rsidRPr="002C3651" w:rsidRDefault="002C3651" w:rsidP="002C3651">
      <w:r w:rsidRPr="002C3651">
        <w:t>KEYTRUDA</w:t>
      </w:r>
      <w:r w:rsidRPr="002C3651">
        <w:rPr>
          <w:vertAlign w:val="superscript"/>
        </w:rPr>
        <w:t>®</w:t>
      </w:r>
      <w:r w:rsidRPr="002C3651">
        <w:t xml:space="preserve"> (pembrolizumab), in combination with lenvatinib, is indicated for the treatment of patients with advanced endometrial carcinoma that is not MSI-H or </w:t>
      </w:r>
      <w:proofErr w:type="spellStart"/>
      <w:r w:rsidRPr="002C3651">
        <w:t>dMMR</w:t>
      </w:r>
      <w:proofErr w:type="spellEnd"/>
      <w:r w:rsidRPr="002C3651">
        <w:t xml:space="preserve">, who have disease progression following prior systemic therapy and are not candidates for curative surgery or radiation. This indication was approved via the </w:t>
      </w:r>
      <w:r w:rsidRPr="002C3651">
        <w:rPr>
          <w:b/>
        </w:rPr>
        <w:t>provisional approval</w:t>
      </w:r>
      <w:r w:rsidRPr="002C3651">
        <w:t xml:space="preserve"> pathway, based on objective response rate and duration of response in a single-arm trial. Full registration for this indication depends on verification and description of clinical benefit in confirmatory trials.</w:t>
      </w:r>
    </w:p>
    <w:p w:rsidR="002C3651" w:rsidRPr="002C3651" w:rsidRDefault="002C3651" w:rsidP="002C3651">
      <w:pPr>
        <w:pStyle w:val="Heading3"/>
      </w:pPr>
      <w:r w:rsidRPr="002C3651">
        <w:t>4.2 DOSE AND METHOD OF ADMINISTRATION</w:t>
      </w:r>
    </w:p>
    <w:p w:rsidR="002C3651" w:rsidRDefault="002C3651" w:rsidP="002C3651">
      <w:r w:rsidRPr="002C3651">
        <w:t xml:space="preserve">Treatment must be initiated and supervised by specialised healthcare professionals experienced in the treatment of cancer. </w:t>
      </w:r>
      <w:r w:rsidRPr="002C3651">
        <w:cr/>
      </w:r>
    </w:p>
    <w:p w:rsidR="002C3651" w:rsidRPr="002C3651" w:rsidRDefault="002C3651" w:rsidP="002C3651">
      <w:pPr>
        <w:rPr>
          <w:b/>
        </w:rPr>
      </w:pPr>
      <w:r w:rsidRPr="002C3651">
        <w:rPr>
          <w:b/>
        </w:rPr>
        <w:t>Patient Selection</w:t>
      </w:r>
    </w:p>
    <w:p w:rsidR="002C3651" w:rsidRPr="002C3651" w:rsidRDefault="002C3651" w:rsidP="002C3651">
      <w:r w:rsidRPr="002C3651">
        <w:t>Select patients for treatment with KEYTRUDA, as a single agent, based on the presence of positive PD-L1 expression, using a validated test conducted by an experienced laboratory in:</w:t>
      </w:r>
    </w:p>
    <w:p w:rsidR="002C3651" w:rsidRPr="002C3651" w:rsidRDefault="002C3651" w:rsidP="002C3651">
      <w:pPr>
        <w:pStyle w:val="ListBullet"/>
      </w:pPr>
      <w:r w:rsidRPr="002C3651">
        <w:t xml:space="preserve">stage III NSCLC who are not candidates for surgical resection or definitive </w:t>
      </w:r>
      <w:proofErr w:type="spellStart"/>
      <w:r w:rsidRPr="002C3651">
        <w:t>chemoradiation</w:t>
      </w:r>
      <w:proofErr w:type="spellEnd"/>
      <w:r w:rsidRPr="002C3651">
        <w:t xml:space="preserve"> (see Section 5.1 PHARMACODYNAMIC PROPERTIES, Clinical Trials).</w:t>
      </w:r>
    </w:p>
    <w:p w:rsidR="002C3651" w:rsidRPr="002C3651" w:rsidRDefault="002C3651" w:rsidP="002C3651">
      <w:pPr>
        <w:pStyle w:val="ListBullet"/>
      </w:pPr>
      <w:r w:rsidRPr="002C3651">
        <w:t>metastatic NSCLC (see Section 5.1 PHARMACODYNAMIC PROPERTIES, Clinical Trials).</w:t>
      </w:r>
    </w:p>
    <w:p w:rsidR="002C3651" w:rsidRPr="002C3651" w:rsidRDefault="002C3651" w:rsidP="002C3651">
      <w:pPr>
        <w:pStyle w:val="ListBullet"/>
      </w:pPr>
      <w:r w:rsidRPr="002C3651">
        <w:t>previously untreated locally advanced or metastatic urothelial carcinoma, cisplatin ineligible (see Section 5.1 PHARMACODYNAMIC PROPERTIES, Clinical Trials).</w:t>
      </w:r>
    </w:p>
    <w:p w:rsidR="002C3651" w:rsidRPr="002C3651" w:rsidRDefault="002C3651" w:rsidP="002C3651">
      <w:pPr>
        <w:rPr>
          <w:b/>
        </w:rPr>
      </w:pPr>
      <w:r w:rsidRPr="002C3651">
        <w:rPr>
          <w:b/>
        </w:rPr>
        <w:t>Recommended Dosing</w:t>
      </w:r>
    </w:p>
    <w:p w:rsidR="002C3651" w:rsidRPr="002C3651" w:rsidRDefault="002C3651" w:rsidP="002C3651">
      <w:r w:rsidRPr="002C3651">
        <w:t>The recommended dose of KEYTRUDA in adults is 200 mg administered as an intravenous infusion over 30 minutes every 3 weeks.</w:t>
      </w:r>
    </w:p>
    <w:p w:rsidR="002C3651" w:rsidRPr="002C3651" w:rsidRDefault="002C3651" w:rsidP="002C3651">
      <w:pPr>
        <w:pStyle w:val="ListBullet"/>
      </w:pPr>
      <w:r w:rsidRPr="002C3651">
        <w:t>The recommended dose of KEYTRUDA in paediatric patients is 2 mg/kg (up to a maximum of 200 mg) for PMBCL or MSI-H/</w:t>
      </w:r>
      <w:proofErr w:type="spellStart"/>
      <w:r w:rsidRPr="002C3651">
        <w:t>dMMR</w:t>
      </w:r>
      <w:proofErr w:type="spellEnd"/>
      <w:r w:rsidRPr="002C3651">
        <w:t xml:space="preserve"> cancers.</w:t>
      </w:r>
    </w:p>
    <w:p w:rsidR="002C3651" w:rsidRPr="002C3651" w:rsidRDefault="002C3651" w:rsidP="002C3651">
      <w:r w:rsidRPr="002C3651">
        <w:t>When administering KEYTRUDA as part of a combination with chemotherapy, KEYTRUDA should be administered first. See also the Product Information for the chemotherapy agents administered in combination.</w:t>
      </w:r>
    </w:p>
    <w:p w:rsidR="002C3651" w:rsidRPr="002C3651" w:rsidRDefault="002C3651" w:rsidP="002C3651">
      <w:r w:rsidRPr="002C3651">
        <w:t>Patients should be treated with KEYTRUDA until disease progression or unacceptable toxicity. Patients with urothelial carcinoma, NSCLC, PMBCL or MSI-H/</w:t>
      </w:r>
      <w:proofErr w:type="spellStart"/>
      <w:r w:rsidRPr="002C3651">
        <w:t>dMMR</w:t>
      </w:r>
      <w:proofErr w:type="spellEnd"/>
      <w:r w:rsidRPr="002C3651">
        <w:t xml:space="preserve"> cancers without disease progression can be treated for up to 24 months or 35 cycles [see Section 5.1 </w:t>
      </w:r>
      <w:r w:rsidRPr="002C3651">
        <w:lastRenderedPageBreak/>
        <w:t>PHARMACODYNAMIC PROPERTIES, Clinical Trials]. Atypical responses (i.e., an initial transient increase in tumour size or small new lesions within the first few months followed by tumour shrinkage) have been observed. Clinically stable patients with initial evidence of disease progression can under some circumstances remain on treatment until disease progression is confirmed (see Section 5.1 PHARMACODYNAMIC PROPERTIES, Clinical Trials for a description of the circumstances where such continued treatment was allowed in the pivotal studies).</w:t>
      </w:r>
    </w:p>
    <w:p w:rsidR="002C3651" w:rsidRPr="002C3651" w:rsidRDefault="002C3651" w:rsidP="002C3651">
      <w:r w:rsidRPr="002C3651">
        <w:t>For the adjuvant treatment of melanoma, KEYTRUDA should be administered for up to one year or until disease recurrence or unacceptable toxicity.</w:t>
      </w:r>
    </w:p>
    <w:p w:rsidR="002C3651" w:rsidRDefault="002C3651" w:rsidP="002C3651">
      <w:r w:rsidRPr="002C3651">
        <w:t xml:space="preserve">For the treatment of endometrial carcinoma that is not MSI-H or </w:t>
      </w:r>
      <w:proofErr w:type="spellStart"/>
      <w:r w:rsidRPr="002C3651">
        <w:t>dMMR</w:t>
      </w:r>
      <w:proofErr w:type="spellEnd"/>
      <w:r w:rsidRPr="002C3651">
        <w:t>, KEYTRUDA should be administered as above in combination with lenvatinib 20 mg orally once daily until disease progression, unacceptable toxicity, or for KEYTRUDA, up to 24 months in patients without disease progression. Refer to the lenvatinib Product Information for recommended dosing information.</w:t>
      </w:r>
    </w:p>
    <w:p w:rsidR="002C3651" w:rsidRPr="002C3651" w:rsidRDefault="002C3651" w:rsidP="002C3651">
      <w:pPr>
        <w:rPr>
          <w:b/>
        </w:rPr>
      </w:pPr>
      <w:r w:rsidRPr="002C3651">
        <w:rPr>
          <w:b/>
        </w:rPr>
        <w:t>Dose Modifications</w:t>
      </w:r>
    </w:p>
    <w:p w:rsidR="002C3651" w:rsidRPr="002C3651" w:rsidRDefault="002C3651" w:rsidP="002C3651">
      <w:pPr>
        <w:pStyle w:val="Tabletitle"/>
      </w:pPr>
      <w:r w:rsidRPr="002C3651">
        <w:t>Table 1: Recommended Dose Modifications [see Section 4.4 SPECIAL WARNINGS AND PRECAUTIONS FOR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3332"/>
        <w:gridCol w:w="3260"/>
      </w:tblGrid>
      <w:tr w:rsidR="002C3651" w:rsidRPr="002C3651" w:rsidTr="002C3651">
        <w:trPr>
          <w:trHeight w:val="263"/>
          <w:tblHeader/>
        </w:trPr>
        <w:tc>
          <w:tcPr>
            <w:tcW w:w="1362" w:type="pct"/>
            <w:shd w:val="clear" w:color="auto" w:fill="auto"/>
            <w:vAlign w:val="bottom"/>
          </w:tcPr>
          <w:p w:rsidR="002C3651" w:rsidRPr="002C3651" w:rsidRDefault="002C3651" w:rsidP="002C3651">
            <w:pPr>
              <w:rPr>
                <w:b/>
                <w:sz w:val="18"/>
                <w:szCs w:val="18"/>
              </w:rPr>
            </w:pPr>
            <w:r w:rsidRPr="002C3651">
              <w:rPr>
                <w:b/>
                <w:sz w:val="18"/>
                <w:szCs w:val="18"/>
              </w:rPr>
              <w:t>Adverse reactions</w:t>
            </w:r>
          </w:p>
        </w:tc>
        <w:tc>
          <w:tcPr>
            <w:tcW w:w="1839" w:type="pct"/>
            <w:shd w:val="clear" w:color="auto" w:fill="auto"/>
            <w:vAlign w:val="bottom"/>
          </w:tcPr>
          <w:p w:rsidR="002C3651" w:rsidRPr="002C3651" w:rsidRDefault="002C3651" w:rsidP="002C3651">
            <w:pPr>
              <w:rPr>
                <w:b/>
                <w:sz w:val="18"/>
                <w:szCs w:val="18"/>
              </w:rPr>
            </w:pPr>
            <w:r w:rsidRPr="002C3651">
              <w:rPr>
                <w:b/>
                <w:sz w:val="18"/>
                <w:szCs w:val="18"/>
              </w:rPr>
              <w:t>Severity</w:t>
            </w:r>
          </w:p>
        </w:tc>
        <w:tc>
          <w:tcPr>
            <w:tcW w:w="1799" w:type="pct"/>
            <w:shd w:val="clear" w:color="auto" w:fill="auto"/>
            <w:vAlign w:val="bottom"/>
          </w:tcPr>
          <w:p w:rsidR="002C3651" w:rsidRPr="002C3651" w:rsidRDefault="002C3651" w:rsidP="002C3651">
            <w:pPr>
              <w:rPr>
                <w:b/>
                <w:sz w:val="18"/>
                <w:szCs w:val="18"/>
              </w:rPr>
            </w:pPr>
            <w:r w:rsidRPr="002C3651">
              <w:rPr>
                <w:b/>
                <w:sz w:val="18"/>
                <w:szCs w:val="18"/>
              </w:rPr>
              <w:t>Dose modification</w:t>
            </w:r>
          </w:p>
        </w:tc>
      </w:tr>
      <w:tr w:rsidR="002C3651" w:rsidRPr="002C3651" w:rsidTr="00135868">
        <w:tc>
          <w:tcPr>
            <w:tcW w:w="1362" w:type="pct"/>
            <w:vMerge w:val="restart"/>
            <w:shd w:val="clear" w:color="auto" w:fill="auto"/>
          </w:tcPr>
          <w:p w:rsidR="002C3651" w:rsidRPr="002C3651" w:rsidRDefault="002C3651" w:rsidP="002C3651">
            <w:pPr>
              <w:rPr>
                <w:sz w:val="18"/>
                <w:szCs w:val="18"/>
              </w:rPr>
            </w:pPr>
            <w:r w:rsidRPr="002C3651">
              <w:rPr>
                <w:sz w:val="18"/>
                <w:szCs w:val="18"/>
              </w:rPr>
              <w:t>Immune</w:t>
            </w:r>
            <w:r w:rsidRPr="002C3651">
              <w:rPr>
                <w:sz w:val="18"/>
                <w:szCs w:val="18"/>
              </w:rPr>
              <w:noBreakHyphen/>
              <w:t>mediated pneumonitis</w:t>
            </w:r>
          </w:p>
        </w:tc>
        <w:tc>
          <w:tcPr>
            <w:tcW w:w="1839" w:type="pct"/>
            <w:shd w:val="clear" w:color="auto" w:fill="auto"/>
          </w:tcPr>
          <w:p w:rsidR="002C3651" w:rsidRPr="002C3651" w:rsidRDefault="002C3651" w:rsidP="002C3651">
            <w:pPr>
              <w:rPr>
                <w:sz w:val="18"/>
                <w:szCs w:val="18"/>
              </w:rPr>
            </w:pPr>
            <w:r w:rsidRPr="002C3651">
              <w:rPr>
                <w:sz w:val="18"/>
                <w:szCs w:val="18"/>
              </w:rPr>
              <w:t>Moderate (Grade 2)</w:t>
            </w:r>
          </w:p>
        </w:tc>
        <w:tc>
          <w:tcPr>
            <w:tcW w:w="1799" w:type="pct"/>
            <w:shd w:val="clear" w:color="auto" w:fill="auto"/>
          </w:tcPr>
          <w:p w:rsidR="002C3651" w:rsidRPr="002C3651" w:rsidRDefault="002C3651" w:rsidP="002C3651">
            <w:pPr>
              <w:rPr>
                <w:sz w:val="18"/>
                <w:szCs w:val="18"/>
              </w:rPr>
            </w:pPr>
            <w:r w:rsidRPr="002C3651">
              <w:rPr>
                <w:sz w:val="18"/>
                <w:szCs w:val="18"/>
              </w:rPr>
              <w:t>Withhold until adverse reactions recover to Grade 0</w:t>
            </w:r>
            <w:r w:rsidRPr="002C3651">
              <w:rPr>
                <w:sz w:val="18"/>
                <w:szCs w:val="18"/>
              </w:rPr>
              <w:noBreakHyphen/>
              <w:t>1*</w:t>
            </w:r>
          </w:p>
        </w:tc>
      </w:tr>
      <w:tr w:rsidR="002C3651" w:rsidRPr="002C3651" w:rsidTr="00135868">
        <w:tc>
          <w:tcPr>
            <w:tcW w:w="1362" w:type="pct"/>
            <w:vMerge/>
            <w:shd w:val="clear" w:color="auto" w:fill="auto"/>
          </w:tcPr>
          <w:p w:rsidR="002C3651" w:rsidRPr="002C3651" w:rsidRDefault="002C3651" w:rsidP="002C3651">
            <w:pPr>
              <w:rPr>
                <w:sz w:val="18"/>
                <w:szCs w:val="18"/>
              </w:rPr>
            </w:pPr>
          </w:p>
        </w:tc>
        <w:tc>
          <w:tcPr>
            <w:tcW w:w="1839" w:type="pct"/>
            <w:shd w:val="clear" w:color="auto" w:fill="auto"/>
          </w:tcPr>
          <w:p w:rsidR="002C3651" w:rsidRPr="002C3651" w:rsidRDefault="002C3651" w:rsidP="002C3651">
            <w:pPr>
              <w:rPr>
                <w:sz w:val="18"/>
                <w:szCs w:val="18"/>
              </w:rPr>
            </w:pPr>
            <w:r w:rsidRPr="002C3651">
              <w:rPr>
                <w:sz w:val="18"/>
                <w:szCs w:val="18"/>
              </w:rPr>
              <w:t>Severe or life-threatening (Grade 3 or 4) or recurrent moderate (Grade 2)</w:t>
            </w:r>
          </w:p>
        </w:tc>
        <w:tc>
          <w:tcPr>
            <w:tcW w:w="1799" w:type="pct"/>
            <w:shd w:val="clear" w:color="auto" w:fill="auto"/>
          </w:tcPr>
          <w:p w:rsidR="002C3651" w:rsidRPr="002C3651" w:rsidRDefault="002C3651" w:rsidP="002C3651">
            <w:pPr>
              <w:rPr>
                <w:sz w:val="18"/>
                <w:szCs w:val="18"/>
              </w:rPr>
            </w:pPr>
            <w:r w:rsidRPr="002C3651">
              <w:rPr>
                <w:sz w:val="18"/>
                <w:szCs w:val="18"/>
              </w:rPr>
              <w:t>Permanently discontinue</w:t>
            </w:r>
          </w:p>
        </w:tc>
      </w:tr>
      <w:tr w:rsidR="002C3651" w:rsidRPr="002C3651" w:rsidTr="00135868">
        <w:tc>
          <w:tcPr>
            <w:tcW w:w="1362" w:type="pct"/>
            <w:vMerge w:val="restart"/>
            <w:shd w:val="clear" w:color="auto" w:fill="auto"/>
          </w:tcPr>
          <w:p w:rsidR="002C3651" w:rsidRPr="002C3651" w:rsidRDefault="002C3651" w:rsidP="002C3651">
            <w:pPr>
              <w:rPr>
                <w:sz w:val="18"/>
                <w:szCs w:val="18"/>
              </w:rPr>
            </w:pPr>
            <w:r w:rsidRPr="002C3651">
              <w:rPr>
                <w:sz w:val="18"/>
                <w:szCs w:val="18"/>
              </w:rPr>
              <w:t>Immune</w:t>
            </w:r>
            <w:r w:rsidRPr="002C3651">
              <w:rPr>
                <w:sz w:val="18"/>
                <w:szCs w:val="18"/>
              </w:rPr>
              <w:noBreakHyphen/>
              <w:t>mediated colitis</w:t>
            </w:r>
          </w:p>
        </w:tc>
        <w:tc>
          <w:tcPr>
            <w:tcW w:w="1839" w:type="pct"/>
            <w:shd w:val="clear" w:color="auto" w:fill="auto"/>
          </w:tcPr>
          <w:p w:rsidR="002C3651" w:rsidRPr="002C3651" w:rsidRDefault="002C3651" w:rsidP="002C3651">
            <w:pPr>
              <w:rPr>
                <w:sz w:val="18"/>
                <w:szCs w:val="18"/>
              </w:rPr>
            </w:pPr>
            <w:r w:rsidRPr="002C3651">
              <w:rPr>
                <w:sz w:val="18"/>
                <w:szCs w:val="18"/>
              </w:rPr>
              <w:t>Moderate or severe (Grade 2 or 3)</w:t>
            </w:r>
          </w:p>
        </w:tc>
        <w:tc>
          <w:tcPr>
            <w:tcW w:w="1799" w:type="pct"/>
            <w:shd w:val="clear" w:color="auto" w:fill="auto"/>
          </w:tcPr>
          <w:p w:rsidR="002C3651" w:rsidRPr="002C3651" w:rsidRDefault="002C3651" w:rsidP="002C3651">
            <w:pPr>
              <w:rPr>
                <w:sz w:val="18"/>
                <w:szCs w:val="18"/>
              </w:rPr>
            </w:pPr>
            <w:r w:rsidRPr="002C3651">
              <w:rPr>
                <w:sz w:val="18"/>
                <w:szCs w:val="18"/>
              </w:rPr>
              <w:t>Withhold until adverse reactions recover to Grade 0-1*</w:t>
            </w:r>
          </w:p>
        </w:tc>
      </w:tr>
      <w:tr w:rsidR="002C3651" w:rsidRPr="002C3651" w:rsidTr="00135868">
        <w:tc>
          <w:tcPr>
            <w:tcW w:w="1362" w:type="pct"/>
            <w:vMerge/>
            <w:shd w:val="clear" w:color="auto" w:fill="auto"/>
          </w:tcPr>
          <w:p w:rsidR="002C3651" w:rsidRPr="002C3651" w:rsidRDefault="002C3651" w:rsidP="002C3651">
            <w:pPr>
              <w:rPr>
                <w:sz w:val="18"/>
                <w:szCs w:val="18"/>
              </w:rPr>
            </w:pPr>
          </w:p>
        </w:tc>
        <w:tc>
          <w:tcPr>
            <w:tcW w:w="1839" w:type="pct"/>
            <w:shd w:val="clear" w:color="auto" w:fill="auto"/>
          </w:tcPr>
          <w:p w:rsidR="002C3651" w:rsidRPr="002C3651" w:rsidRDefault="002C3651" w:rsidP="002C3651">
            <w:pPr>
              <w:rPr>
                <w:sz w:val="18"/>
                <w:szCs w:val="18"/>
              </w:rPr>
            </w:pPr>
            <w:r w:rsidRPr="002C3651">
              <w:rPr>
                <w:sz w:val="18"/>
                <w:szCs w:val="18"/>
              </w:rPr>
              <w:t>Life-threatening (Grade 4) or recurrent severe (Grade 3)</w:t>
            </w:r>
          </w:p>
        </w:tc>
        <w:tc>
          <w:tcPr>
            <w:tcW w:w="1799" w:type="pct"/>
            <w:shd w:val="clear" w:color="auto" w:fill="auto"/>
          </w:tcPr>
          <w:p w:rsidR="002C3651" w:rsidRPr="002C3651" w:rsidRDefault="002C3651" w:rsidP="002C3651">
            <w:pPr>
              <w:rPr>
                <w:sz w:val="18"/>
                <w:szCs w:val="18"/>
              </w:rPr>
            </w:pPr>
            <w:r w:rsidRPr="002C3651">
              <w:rPr>
                <w:sz w:val="18"/>
                <w:szCs w:val="18"/>
              </w:rPr>
              <w:t>Permanently discontinue</w:t>
            </w:r>
          </w:p>
        </w:tc>
      </w:tr>
      <w:tr w:rsidR="002C3651" w:rsidRPr="002C3651" w:rsidTr="00135868">
        <w:tc>
          <w:tcPr>
            <w:tcW w:w="1362" w:type="pct"/>
            <w:vMerge w:val="restart"/>
            <w:shd w:val="clear" w:color="auto" w:fill="auto"/>
          </w:tcPr>
          <w:p w:rsidR="002C3651" w:rsidRPr="002C3651" w:rsidRDefault="002C3651" w:rsidP="002C3651">
            <w:pPr>
              <w:rPr>
                <w:sz w:val="18"/>
                <w:szCs w:val="18"/>
              </w:rPr>
            </w:pPr>
            <w:r w:rsidRPr="002C3651">
              <w:rPr>
                <w:sz w:val="18"/>
                <w:szCs w:val="18"/>
              </w:rPr>
              <w:t>Immune</w:t>
            </w:r>
            <w:r w:rsidRPr="002C3651">
              <w:rPr>
                <w:sz w:val="18"/>
                <w:szCs w:val="18"/>
              </w:rPr>
              <w:noBreakHyphen/>
              <w:t>mediated nephritis</w:t>
            </w:r>
          </w:p>
        </w:tc>
        <w:tc>
          <w:tcPr>
            <w:tcW w:w="1839" w:type="pct"/>
            <w:shd w:val="clear" w:color="auto" w:fill="auto"/>
          </w:tcPr>
          <w:p w:rsidR="002C3651" w:rsidRPr="002C3651" w:rsidRDefault="002C3651" w:rsidP="002C3651">
            <w:pPr>
              <w:rPr>
                <w:sz w:val="18"/>
                <w:szCs w:val="18"/>
              </w:rPr>
            </w:pPr>
            <w:r w:rsidRPr="002C3651">
              <w:rPr>
                <w:sz w:val="18"/>
                <w:szCs w:val="18"/>
              </w:rPr>
              <w:t xml:space="preserve">Moderate (Grade 2) </w:t>
            </w:r>
          </w:p>
        </w:tc>
        <w:tc>
          <w:tcPr>
            <w:tcW w:w="1799" w:type="pct"/>
            <w:shd w:val="clear" w:color="auto" w:fill="auto"/>
          </w:tcPr>
          <w:p w:rsidR="002C3651" w:rsidRPr="002C3651" w:rsidRDefault="002C3651" w:rsidP="002C3651">
            <w:pPr>
              <w:rPr>
                <w:sz w:val="18"/>
                <w:szCs w:val="18"/>
              </w:rPr>
            </w:pPr>
            <w:r w:rsidRPr="002C3651">
              <w:rPr>
                <w:sz w:val="18"/>
                <w:szCs w:val="18"/>
              </w:rPr>
              <w:t>Withhold until adverse reactions recover to Grade 0-1*</w:t>
            </w:r>
          </w:p>
        </w:tc>
      </w:tr>
      <w:tr w:rsidR="002C3651" w:rsidRPr="002C3651" w:rsidTr="00135868">
        <w:tc>
          <w:tcPr>
            <w:tcW w:w="1362" w:type="pct"/>
            <w:vMerge/>
            <w:shd w:val="clear" w:color="auto" w:fill="auto"/>
          </w:tcPr>
          <w:p w:rsidR="002C3651" w:rsidRPr="002C3651" w:rsidRDefault="002C3651" w:rsidP="002C3651">
            <w:pPr>
              <w:rPr>
                <w:sz w:val="18"/>
                <w:szCs w:val="18"/>
              </w:rPr>
            </w:pPr>
          </w:p>
        </w:tc>
        <w:tc>
          <w:tcPr>
            <w:tcW w:w="1839" w:type="pct"/>
            <w:shd w:val="clear" w:color="auto" w:fill="auto"/>
          </w:tcPr>
          <w:p w:rsidR="002C3651" w:rsidRPr="002C3651" w:rsidRDefault="002C3651" w:rsidP="002C3651">
            <w:pPr>
              <w:rPr>
                <w:sz w:val="18"/>
                <w:szCs w:val="18"/>
              </w:rPr>
            </w:pPr>
            <w:r w:rsidRPr="002C3651">
              <w:rPr>
                <w:sz w:val="18"/>
                <w:szCs w:val="18"/>
              </w:rPr>
              <w:t>Severe or life-threatening (Grade 3 or 4)</w:t>
            </w:r>
          </w:p>
        </w:tc>
        <w:tc>
          <w:tcPr>
            <w:tcW w:w="1799" w:type="pct"/>
            <w:shd w:val="clear" w:color="auto" w:fill="auto"/>
          </w:tcPr>
          <w:p w:rsidR="002C3651" w:rsidRPr="002C3651" w:rsidRDefault="002C3651" w:rsidP="002C3651">
            <w:pPr>
              <w:rPr>
                <w:sz w:val="18"/>
                <w:szCs w:val="18"/>
              </w:rPr>
            </w:pPr>
            <w:r w:rsidRPr="002C3651">
              <w:rPr>
                <w:sz w:val="18"/>
                <w:szCs w:val="18"/>
              </w:rPr>
              <w:t>Permanently discontinue</w:t>
            </w:r>
          </w:p>
        </w:tc>
      </w:tr>
      <w:tr w:rsidR="002C3651" w:rsidRPr="002C3651" w:rsidTr="00135868">
        <w:tc>
          <w:tcPr>
            <w:tcW w:w="1362" w:type="pct"/>
            <w:shd w:val="clear" w:color="auto" w:fill="auto"/>
          </w:tcPr>
          <w:p w:rsidR="002C3651" w:rsidRPr="002C3651" w:rsidRDefault="002C3651" w:rsidP="002C3651">
            <w:pPr>
              <w:rPr>
                <w:sz w:val="18"/>
                <w:szCs w:val="18"/>
              </w:rPr>
            </w:pPr>
            <w:r w:rsidRPr="002C3651">
              <w:rPr>
                <w:sz w:val="18"/>
                <w:szCs w:val="18"/>
              </w:rPr>
              <w:t>Immune</w:t>
            </w:r>
            <w:r w:rsidRPr="002C3651">
              <w:rPr>
                <w:sz w:val="18"/>
                <w:szCs w:val="18"/>
              </w:rPr>
              <w:noBreakHyphen/>
              <w:t xml:space="preserve">mediated </w:t>
            </w:r>
            <w:proofErr w:type="spellStart"/>
            <w:r w:rsidRPr="002C3651">
              <w:rPr>
                <w:sz w:val="18"/>
                <w:szCs w:val="18"/>
              </w:rPr>
              <w:t>endocrinopathies</w:t>
            </w:r>
            <w:proofErr w:type="spellEnd"/>
          </w:p>
        </w:tc>
        <w:tc>
          <w:tcPr>
            <w:tcW w:w="1839" w:type="pct"/>
            <w:shd w:val="clear" w:color="auto" w:fill="auto"/>
          </w:tcPr>
          <w:p w:rsidR="002C3651" w:rsidRPr="002C3651" w:rsidRDefault="002C3651" w:rsidP="002C3651">
            <w:pPr>
              <w:rPr>
                <w:sz w:val="18"/>
                <w:szCs w:val="18"/>
              </w:rPr>
            </w:pPr>
            <w:r w:rsidRPr="002C3651">
              <w:rPr>
                <w:sz w:val="18"/>
                <w:szCs w:val="18"/>
              </w:rPr>
              <w:t>Severe or life-threatening (Grade 3 or 4)</w:t>
            </w:r>
          </w:p>
        </w:tc>
        <w:tc>
          <w:tcPr>
            <w:tcW w:w="1799" w:type="pct"/>
            <w:shd w:val="clear" w:color="auto" w:fill="auto"/>
          </w:tcPr>
          <w:p w:rsidR="002C3651" w:rsidRPr="002C3651" w:rsidRDefault="002C3651" w:rsidP="002C3651">
            <w:pPr>
              <w:rPr>
                <w:sz w:val="18"/>
                <w:szCs w:val="18"/>
              </w:rPr>
            </w:pPr>
            <w:r w:rsidRPr="002C3651">
              <w:rPr>
                <w:sz w:val="18"/>
                <w:szCs w:val="18"/>
              </w:rPr>
              <w:t>Withhold until adverse reactions recover to Grade 0-1*</w:t>
            </w:r>
          </w:p>
          <w:p w:rsidR="002C3651" w:rsidRPr="002C3651" w:rsidRDefault="002C3651" w:rsidP="002C3651">
            <w:pPr>
              <w:rPr>
                <w:sz w:val="18"/>
                <w:szCs w:val="18"/>
              </w:rPr>
            </w:pPr>
            <w:r w:rsidRPr="002C3651">
              <w:rPr>
                <w:sz w:val="18"/>
                <w:szCs w:val="18"/>
              </w:rPr>
              <w:t xml:space="preserve">For patients with severe (Grade 3) or life-threatening (Grade 4) </w:t>
            </w:r>
            <w:proofErr w:type="spellStart"/>
            <w:r w:rsidRPr="002C3651">
              <w:rPr>
                <w:sz w:val="18"/>
                <w:szCs w:val="18"/>
              </w:rPr>
              <w:t>endocrinopathy</w:t>
            </w:r>
            <w:proofErr w:type="spellEnd"/>
            <w:r w:rsidRPr="002C3651">
              <w:rPr>
                <w:sz w:val="18"/>
                <w:szCs w:val="18"/>
              </w:rPr>
              <w:t xml:space="preserve"> that improves to Grade 2 or lower and is controlled with </w:t>
            </w:r>
            <w:r w:rsidRPr="002C3651">
              <w:rPr>
                <w:sz w:val="18"/>
                <w:szCs w:val="18"/>
              </w:rPr>
              <w:lastRenderedPageBreak/>
              <w:t>hormone replacement, continuation of KEYTRUDA may be considered.</w:t>
            </w:r>
          </w:p>
        </w:tc>
      </w:tr>
      <w:tr w:rsidR="002C3651" w:rsidRPr="002C3651" w:rsidTr="00135868">
        <w:tc>
          <w:tcPr>
            <w:tcW w:w="1362" w:type="pct"/>
            <w:vMerge w:val="restart"/>
            <w:shd w:val="clear" w:color="auto" w:fill="auto"/>
          </w:tcPr>
          <w:p w:rsidR="002C3651" w:rsidRPr="002C3651" w:rsidRDefault="002C3651" w:rsidP="002C3651">
            <w:pPr>
              <w:rPr>
                <w:sz w:val="18"/>
                <w:szCs w:val="18"/>
              </w:rPr>
            </w:pPr>
            <w:r w:rsidRPr="002C3651">
              <w:rPr>
                <w:sz w:val="18"/>
                <w:szCs w:val="18"/>
              </w:rPr>
              <w:lastRenderedPageBreak/>
              <w:t>Immune</w:t>
            </w:r>
            <w:r w:rsidRPr="002C3651">
              <w:rPr>
                <w:sz w:val="18"/>
                <w:szCs w:val="18"/>
              </w:rPr>
              <w:noBreakHyphen/>
              <w:t>mediated hepatitis</w:t>
            </w:r>
          </w:p>
        </w:tc>
        <w:tc>
          <w:tcPr>
            <w:tcW w:w="1839" w:type="pct"/>
            <w:shd w:val="clear" w:color="auto" w:fill="auto"/>
          </w:tcPr>
          <w:p w:rsidR="002C3651" w:rsidRPr="002C3651" w:rsidRDefault="002C3651" w:rsidP="002C3651">
            <w:pPr>
              <w:rPr>
                <w:sz w:val="18"/>
                <w:szCs w:val="18"/>
              </w:rPr>
            </w:pPr>
            <w:r w:rsidRPr="002C3651">
              <w:rPr>
                <w:sz w:val="18"/>
                <w:szCs w:val="18"/>
              </w:rPr>
              <w:t>Aspartate aminotransferase (AST) or alanine aminotransferase (ALT) &gt;3 to 5 times upper limit of normal (ULN) or total bilirubin &gt;1.5 to 3 times ULN</w:t>
            </w:r>
          </w:p>
        </w:tc>
        <w:tc>
          <w:tcPr>
            <w:tcW w:w="1799" w:type="pct"/>
            <w:shd w:val="clear" w:color="auto" w:fill="auto"/>
          </w:tcPr>
          <w:p w:rsidR="002C3651" w:rsidRPr="002C3651" w:rsidRDefault="002C3651" w:rsidP="002C3651">
            <w:pPr>
              <w:rPr>
                <w:sz w:val="18"/>
                <w:szCs w:val="18"/>
              </w:rPr>
            </w:pPr>
            <w:r w:rsidRPr="002C3651">
              <w:rPr>
                <w:sz w:val="18"/>
                <w:szCs w:val="18"/>
              </w:rPr>
              <w:t>Withhold until adverse reactions recover to Grade 0-1*</w:t>
            </w:r>
          </w:p>
        </w:tc>
      </w:tr>
      <w:tr w:rsidR="002C3651" w:rsidRPr="002C3651" w:rsidTr="00135868">
        <w:tc>
          <w:tcPr>
            <w:tcW w:w="1362" w:type="pct"/>
            <w:vMerge/>
            <w:shd w:val="clear" w:color="auto" w:fill="auto"/>
          </w:tcPr>
          <w:p w:rsidR="002C3651" w:rsidRPr="002C3651" w:rsidRDefault="002C3651" w:rsidP="002C3651">
            <w:pPr>
              <w:rPr>
                <w:sz w:val="18"/>
                <w:szCs w:val="18"/>
              </w:rPr>
            </w:pPr>
          </w:p>
        </w:tc>
        <w:tc>
          <w:tcPr>
            <w:tcW w:w="1839" w:type="pct"/>
            <w:shd w:val="clear" w:color="auto" w:fill="auto"/>
          </w:tcPr>
          <w:p w:rsidR="002C3651" w:rsidRPr="002C3651" w:rsidRDefault="002C3651" w:rsidP="002C3651">
            <w:pPr>
              <w:rPr>
                <w:sz w:val="18"/>
                <w:szCs w:val="18"/>
              </w:rPr>
            </w:pPr>
            <w:r w:rsidRPr="002C3651">
              <w:rPr>
                <w:sz w:val="18"/>
                <w:szCs w:val="18"/>
              </w:rPr>
              <w:t>AST or ALT &gt;5 times ULN or total bilirubin &gt;3 times ULN</w:t>
            </w:r>
          </w:p>
        </w:tc>
        <w:tc>
          <w:tcPr>
            <w:tcW w:w="1799" w:type="pct"/>
            <w:shd w:val="clear" w:color="auto" w:fill="auto"/>
          </w:tcPr>
          <w:p w:rsidR="002C3651" w:rsidRPr="002C3651" w:rsidRDefault="002C3651" w:rsidP="002C3651">
            <w:pPr>
              <w:rPr>
                <w:sz w:val="18"/>
                <w:szCs w:val="18"/>
              </w:rPr>
            </w:pPr>
            <w:r w:rsidRPr="002C3651">
              <w:rPr>
                <w:sz w:val="18"/>
                <w:szCs w:val="18"/>
              </w:rPr>
              <w:t>Permanently discontinue</w:t>
            </w:r>
          </w:p>
        </w:tc>
      </w:tr>
      <w:tr w:rsidR="002C3651" w:rsidRPr="002C3651" w:rsidTr="00135868">
        <w:tc>
          <w:tcPr>
            <w:tcW w:w="1362" w:type="pct"/>
            <w:vMerge/>
            <w:shd w:val="clear" w:color="auto" w:fill="auto"/>
          </w:tcPr>
          <w:p w:rsidR="002C3651" w:rsidRPr="002C3651" w:rsidRDefault="002C3651" w:rsidP="002C3651">
            <w:pPr>
              <w:rPr>
                <w:sz w:val="18"/>
                <w:szCs w:val="18"/>
              </w:rPr>
            </w:pPr>
          </w:p>
        </w:tc>
        <w:tc>
          <w:tcPr>
            <w:tcW w:w="1839" w:type="pct"/>
            <w:shd w:val="clear" w:color="auto" w:fill="auto"/>
          </w:tcPr>
          <w:p w:rsidR="002C3651" w:rsidRPr="002C3651" w:rsidRDefault="002C3651" w:rsidP="002C3651">
            <w:pPr>
              <w:rPr>
                <w:sz w:val="18"/>
                <w:szCs w:val="18"/>
              </w:rPr>
            </w:pPr>
            <w:r w:rsidRPr="002C3651">
              <w:rPr>
                <w:sz w:val="18"/>
                <w:szCs w:val="18"/>
              </w:rPr>
              <w:t>For patients with liver metastases who begin treatment with moderate (Grade 2) elevation of AST or ALT, if AST or ALT increases ≥50% relative to baseline and lasts ≥1 week</w:t>
            </w:r>
          </w:p>
        </w:tc>
        <w:tc>
          <w:tcPr>
            <w:tcW w:w="1799" w:type="pct"/>
            <w:shd w:val="clear" w:color="auto" w:fill="auto"/>
          </w:tcPr>
          <w:p w:rsidR="002C3651" w:rsidRPr="002C3651" w:rsidRDefault="002C3651" w:rsidP="002C3651">
            <w:pPr>
              <w:rPr>
                <w:sz w:val="18"/>
                <w:szCs w:val="18"/>
              </w:rPr>
            </w:pPr>
            <w:r w:rsidRPr="002C3651">
              <w:rPr>
                <w:sz w:val="18"/>
                <w:szCs w:val="18"/>
              </w:rPr>
              <w:t>Permanently discontinue</w:t>
            </w:r>
          </w:p>
        </w:tc>
      </w:tr>
      <w:tr w:rsidR="002C3651" w:rsidRPr="002C3651" w:rsidTr="00135868">
        <w:tc>
          <w:tcPr>
            <w:tcW w:w="1362" w:type="pct"/>
            <w:vMerge w:val="restart"/>
            <w:shd w:val="clear" w:color="auto" w:fill="auto"/>
          </w:tcPr>
          <w:p w:rsidR="002C3651" w:rsidRPr="002C3651" w:rsidRDefault="002C3651" w:rsidP="002C3651">
            <w:pPr>
              <w:rPr>
                <w:sz w:val="18"/>
                <w:szCs w:val="18"/>
              </w:rPr>
            </w:pPr>
            <w:r w:rsidRPr="002C3651">
              <w:rPr>
                <w:sz w:val="18"/>
                <w:szCs w:val="18"/>
              </w:rPr>
              <w:t>Immune</w:t>
            </w:r>
            <w:r w:rsidRPr="002C3651">
              <w:rPr>
                <w:sz w:val="18"/>
                <w:szCs w:val="18"/>
              </w:rPr>
              <w:noBreakHyphen/>
              <w:t>mediated skin reactions or Stevens-Johnson syndrome (SJS) or toxic epidermal necrolysis (TEN)</w:t>
            </w:r>
          </w:p>
        </w:tc>
        <w:tc>
          <w:tcPr>
            <w:tcW w:w="1839" w:type="pct"/>
            <w:shd w:val="clear" w:color="auto" w:fill="auto"/>
          </w:tcPr>
          <w:p w:rsidR="002C3651" w:rsidRPr="002C3651" w:rsidRDefault="002C3651" w:rsidP="002C3651">
            <w:pPr>
              <w:rPr>
                <w:sz w:val="18"/>
                <w:szCs w:val="18"/>
              </w:rPr>
            </w:pPr>
            <w:r w:rsidRPr="002C3651">
              <w:rPr>
                <w:sz w:val="18"/>
                <w:szCs w:val="18"/>
              </w:rPr>
              <w:t>Severe skin reactions (Grade 3) or suspected SJS or TEN</w:t>
            </w:r>
          </w:p>
        </w:tc>
        <w:tc>
          <w:tcPr>
            <w:tcW w:w="1799" w:type="pct"/>
            <w:shd w:val="clear" w:color="auto" w:fill="auto"/>
          </w:tcPr>
          <w:p w:rsidR="002C3651" w:rsidRPr="002C3651" w:rsidRDefault="002C3651" w:rsidP="002C3651">
            <w:pPr>
              <w:rPr>
                <w:sz w:val="18"/>
                <w:szCs w:val="18"/>
              </w:rPr>
            </w:pPr>
            <w:r w:rsidRPr="002C3651">
              <w:rPr>
                <w:sz w:val="18"/>
                <w:szCs w:val="18"/>
              </w:rPr>
              <w:t>Withhold until adverse reactions recover to Grade 0-1*</w:t>
            </w:r>
          </w:p>
        </w:tc>
      </w:tr>
      <w:tr w:rsidR="002C3651" w:rsidRPr="002C3651" w:rsidTr="00135868">
        <w:tc>
          <w:tcPr>
            <w:tcW w:w="1362" w:type="pct"/>
            <w:vMerge/>
            <w:shd w:val="clear" w:color="auto" w:fill="auto"/>
          </w:tcPr>
          <w:p w:rsidR="002C3651" w:rsidRPr="002C3651" w:rsidRDefault="002C3651" w:rsidP="002C3651">
            <w:pPr>
              <w:rPr>
                <w:sz w:val="18"/>
                <w:szCs w:val="18"/>
              </w:rPr>
            </w:pPr>
          </w:p>
        </w:tc>
        <w:tc>
          <w:tcPr>
            <w:tcW w:w="1839" w:type="pct"/>
            <w:shd w:val="clear" w:color="auto" w:fill="auto"/>
          </w:tcPr>
          <w:p w:rsidR="002C3651" w:rsidRPr="002C3651" w:rsidRDefault="002C3651" w:rsidP="002C3651">
            <w:pPr>
              <w:rPr>
                <w:sz w:val="18"/>
                <w:szCs w:val="18"/>
              </w:rPr>
            </w:pPr>
            <w:r w:rsidRPr="002C3651">
              <w:rPr>
                <w:sz w:val="18"/>
                <w:szCs w:val="18"/>
              </w:rPr>
              <w:t>Severe skin reactions (Grade 4) or confirmed SJS or TEN</w:t>
            </w:r>
          </w:p>
        </w:tc>
        <w:tc>
          <w:tcPr>
            <w:tcW w:w="1799" w:type="pct"/>
            <w:shd w:val="clear" w:color="auto" w:fill="auto"/>
          </w:tcPr>
          <w:p w:rsidR="002C3651" w:rsidRPr="002C3651" w:rsidRDefault="002C3651" w:rsidP="002C3651">
            <w:pPr>
              <w:rPr>
                <w:sz w:val="18"/>
                <w:szCs w:val="18"/>
              </w:rPr>
            </w:pPr>
            <w:r w:rsidRPr="002C3651">
              <w:rPr>
                <w:sz w:val="18"/>
                <w:szCs w:val="18"/>
              </w:rPr>
              <w:t>Permanently discontinue</w:t>
            </w:r>
          </w:p>
        </w:tc>
      </w:tr>
      <w:tr w:rsidR="002C3651" w:rsidRPr="002C3651" w:rsidTr="00135868">
        <w:tc>
          <w:tcPr>
            <w:tcW w:w="1362" w:type="pct"/>
            <w:vMerge w:val="restart"/>
            <w:shd w:val="clear" w:color="auto" w:fill="auto"/>
          </w:tcPr>
          <w:p w:rsidR="002C3651" w:rsidRPr="002C3651" w:rsidRDefault="002C3651" w:rsidP="002C3651">
            <w:pPr>
              <w:rPr>
                <w:sz w:val="18"/>
                <w:szCs w:val="18"/>
              </w:rPr>
            </w:pPr>
            <w:r w:rsidRPr="002C3651">
              <w:rPr>
                <w:sz w:val="18"/>
                <w:szCs w:val="18"/>
              </w:rPr>
              <w:t>Other immune</w:t>
            </w:r>
            <w:r w:rsidRPr="002C3651">
              <w:rPr>
                <w:sz w:val="18"/>
                <w:szCs w:val="18"/>
              </w:rPr>
              <w:noBreakHyphen/>
              <w:t>mediated adverse reactions</w:t>
            </w:r>
          </w:p>
        </w:tc>
        <w:tc>
          <w:tcPr>
            <w:tcW w:w="1839" w:type="pct"/>
            <w:shd w:val="clear" w:color="auto" w:fill="auto"/>
          </w:tcPr>
          <w:p w:rsidR="002C3651" w:rsidRPr="002C3651" w:rsidRDefault="002C3651" w:rsidP="002C3651">
            <w:pPr>
              <w:rPr>
                <w:sz w:val="18"/>
                <w:szCs w:val="18"/>
              </w:rPr>
            </w:pPr>
            <w:r w:rsidRPr="002C3651">
              <w:rPr>
                <w:sz w:val="18"/>
                <w:szCs w:val="18"/>
              </w:rPr>
              <w:t>Based on severity and type of reaction (Grade 2 or Grade 3)</w:t>
            </w:r>
          </w:p>
        </w:tc>
        <w:tc>
          <w:tcPr>
            <w:tcW w:w="1799" w:type="pct"/>
            <w:shd w:val="clear" w:color="auto" w:fill="auto"/>
          </w:tcPr>
          <w:p w:rsidR="002C3651" w:rsidRPr="002C3651" w:rsidRDefault="002C3651" w:rsidP="002C3651">
            <w:pPr>
              <w:rPr>
                <w:sz w:val="18"/>
                <w:szCs w:val="18"/>
              </w:rPr>
            </w:pPr>
            <w:r w:rsidRPr="002C3651">
              <w:rPr>
                <w:sz w:val="18"/>
                <w:szCs w:val="18"/>
              </w:rPr>
              <w:t>Withhold until adverse reactions recover to Grade 0-1*</w:t>
            </w:r>
          </w:p>
        </w:tc>
      </w:tr>
      <w:tr w:rsidR="002C3651" w:rsidRPr="002C3651" w:rsidTr="00135868">
        <w:tc>
          <w:tcPr>
            <w:tcW w:w="1362" w:type="pct"/>
            <w:vMerge/>
            <w:shd w:val="clear" w:color="auto" w:fill="auto"/>
          </w:tcPr>
          <w:p w:rsidR="002C3651" w:rsidRPr="002C3651" w:rsidRDefault="002C3651" w:rsidP="002C3651">
            <w:pPr>
              <w:rPr>
                <w:sz w:val="18"/>
                <w:szCs w:val="18"/>
              </w:rPr>
            </w:pPr>
          </w:p>
        </w:tc>
        <w:tc>
          <w:tcPr>
            <w:tcW w:w="1839" w:type="pct"/>
            <w:shd w:val="clear" w:color="auto" w:fill="auto"/>
          </w:tcPr>
          <w:p w:rsidR="002C3651" w:rsidRPr="002C3651" w:rsidRDefault="002C3651" w:rsidP="002C3651">
            <w:pPr>
              <w:rPr>
                <w:sz w:val="18"/>
                <w:szCs w:val="18"/>
              </w:rPr>
            </w:pPr>
            <w:r w:rsidRPr="002C3651">
              <w:rPr>
                <w:sz w:val="18"/>
                <w:szCs w:val="18"/>
              </w:rPr>
              <w:t xml:space="preserve">Severe or life-threatening (Grade 3 or 4) myocarditis, encephalitis, or </w:t>
            </w:r>
            <w:proofErr w:type="spellStart"/>
            <w:r w:rsidRPr="002C3651">
              <w:rPr>
                <w:sz w:val="18"/>
                <w:szCs w:val="18"/>
              </w:rPr>
              <w:t>Guillain-Barré</w:t>
            </w:r>
            <w:proofErr w:type="spellEnd"/>
            <w:r w:rsidRPr="002C3651">
              <w:rPr>
                <w:sz w:val="18"/>
                <w:szCs w:val="18"/>
              </w:rPr>
              <w:t xml:space="preserve"> syndrome</w:t>
            </w:r>
          </w:p>
        </w:tc>
        <w:tc>
          <w:tcPr>
            <w:tcW w:w="1799" w:type="pct"/>
            <w:shd w:val="clear" w:color="auto" w:fill="auto"/>
          </w:tcPr>
          <w:p w:rsidR="002C3651" w:rsidRPr="002C3651" w:rsidRDefault="002C3651" w:rsidP="002C3651">
            <w:pPr>
              <w:rPr>
                <w:sz w:val="18"/>
                <w:szCs w:val="18"/>
              </w:rPr>
            </w:pPr>
            <w:r w:rsidRPr="002C3651">
              <w:rPr>
                <w:sz w:val="18"/>
                <w:szCs w:val="18"/>
              </w:rPr>
              <w:t>Permanently discontinue</w:t>
            </w:r>
          </w:p>
        </w:tc>
      </w:tr>
      <w:tr w:rsidR="002C3651" w:rsidRPr="002C3651" w:rsidTr="00135868">
        <w:tc>
          <w:tcPr>
            <w:tcW w:w="1362" w:type="pct"/>
            <w:vMerge/>
            <w:shd w:val="clear" w:color="auto" w:fill="auto"/>
          </w:tcPr>
          <w:p w:rsidR="002C3651" w:rsidRPr="002C3651" w:rsidRDefault="002C3651" w:rsidP="002C3651">
            <w:pPr>
              <w:rPr>
                <w:sz w:val="18"/>
                <w:szCs w:val="18"/>
              </w:rPr>
            </w:pPr>
          </w:p>
        </w:tc>
        <w:tc>
          <w:tcPr>
            <w:tcW w:w="1839" w:type="pct"/>
            <w:shd w:val="clear" w:color="auto" w:fill="auto"/>
          </w:tcPr>
          <w:p w:rsidR="002C3651" w:rsidRPr="002C3651" w:rsidRDefault="002C3651" w:rsidP="002C3651">
            <w:pPr>
              <w:rPr>
                <w:sz w:val="18"/>
                <w:szCs w:val="18"/>
              </w:rPr>
            </w:pPr>
            <w:r w:rsidRPr="002C3651">
              <w:rPr>
                <w:sz w:val="18"/>
                <w:szCs w:val="18"/>
              </w:rPr>
              <w:t>Life-threatening (Grade 4) or recurrent severe (Grade 3)</w:t>
            </w:r>
          </w:p>
        </w:tc>
        <w:tc>
          <w:tcPr>
            <w:tcW w:w="1799" w:type="pct"/>
            <w:shd w:val="clear" w:color="auto" w:fill="auto"/>
          </w:tcPr>
          <w:p w:rsidR="002C3651" w:rsidRPr="002C3651" w:rsidRDefault="002C3651" w:rsidP="002C3651">
            <w:pPr>
              <w:rPr>
                <w:sz w:val="18"/>
                <w:szCs w:val="18"/>
              </w:rPr>
            </w:pPr>
            <w:r w:rsidRPr="002C3651">
              <w:rPr>
                <w:sz w:val="18"/>
                <w:szCs w:val="18"/>
              </w:rPr>
              <w:t>Permanently discontinue</w:t>
            </w:r>
          </w:p>
        </w:tc>
      </w:tr>
      <w:tr w:rsidR="002C3651" w:rsidRPr="002C3651" w:rsidTr="00135868">
        <w:tc>
          <w:tcPr>
            <w:tcW w:w="1362" w:type="pct"/>
            <w:tcBorders>
              <w:bottom w:val="single" w:sz="4" w:space="0" w:color="auto"/>
            </w:tcBorders>
            <w:shd w:val="clear" w:color="auto" w:fill="auto"/>
          </w:tcPr>
          <w:p w:rsidR="002C3651" w:rsidRPr="002C3651" w:rsidRDefault="002C3651" w:rsidP="002C3651">
            <w:pPr>
              <w:rPr>
                <w:sz w:val="18"/>
                <w:szCs w:val="18"/>
              </w:rPr>
            </w:pPr>
            <w:r w:rsidRPr="002C3651">
              <w:rPr>
                <w:sz w:val="18"/>
                <w:szCs w:val="18"/>
              </w:rPr>
              <w:t>Infusion</w:t>
            </w:r>
            <w:r w:rsidRPr="002C3651">
              <w:rPr>
                <w:sz w:val="18"/>
                <w:szCs w:val="18"/>
              </w:rPr>
              <w:noBreakHyphen/>
              <w:t>related reactions</w:t>
            </w:r>
          </w:p>
        </w:tc>
        <w:tc>
          <w:tcPr>
            <w:tcW w:w="1839" w:type="pct"/>
            <w:tcBorders>
              <w:bottom w:val="single" w:sz="4" w:space="0" w:color="auto"/>
            </w:tcBorders>
            <w:shd w:val="clear" w:color="auto" w:fill="auto"/>
          </w:tcPr>
          <w:p w:rsidR="002C3651" w:rsidRPr="002C3651" w:rsidRDefault="002C3651" w:rsidP="002C3651">
            <w:pPr>
              <w:rPr>
                <w:sz w:val="18"/>
                <w:szCs w:val="18"/>
              </w:rPr>
            </w:pPr>
            <w:r w:rsidRPr="002C3651">
              <w:rPr>
                <w:sz w:val="18"/>
                <w:szCs w:val="18"/>
              </w:rPr>
              <w:t>Severe or life-threatening (Grade 3 or 4)</w:t>
            </w:r>
          </w:p>
        </w:tc>
        <w:tc>
          <w:tcPr>
            <w:tcW w:w="1799" w:type="pct"/>
            <w:tcBorders>
              <w:bottom w:val="single" w:sz="4" w:space="0" w:color="auto"/>
            </w:tcBorders>
            <w:shd w:val="clear" w:color="auto" w:fill="auto"/>
          </w:tcPr>
          <w:p w:rsidR="002C3651" w:rsidRPr="002C3651" w:rsidRDefault="002C3651" w:rsidP="002C3651">
            <w:pPr>
              <w:rPr>
                <w:sz w:val="18"/>
                <w:szCs w:val="18"/>
              </w:rPr>
            </w:pPr>
            <w:r w:rsidRPr="002C3651">
              <w:rPr>
                <w:sz w:val="18"/>
                <w:szCs w:val="18"/>
              </w:rPr>
              <w:t>Permanently discontinue</w:t>
            </w:r>
          </w:p>
        </w:tc>
      </w:tr>
      <w:tr w:rsidR="002C3651" w:rsidRPr="002C3651" w:rsidTr="00135868">
        <w:tc>
          <w:tcPr>
            <w:tcW w:w="5000" w:type="pct"/>
            <w:gridSpan w:val="3"/>
            <w:tcBorders>
              <w:left w:val="nil"/>
              <w:bottom w:val="nil"/>
              <w:right w:val="nil"/>
            </w:tcBorders>
            <w:shd w:val="clear" w:color="auto" w:fill="auto"/>
          </w:tcPr>
          <w:p w:rsidR="002C3651" w:rsidRPr="002C3651" w:rsidRDefault="002C3651" w:rsidP="002C3651">
            <w:pPr>
              <w:rPr>
                <w:sz w:val="18"/>
                <w:szCs w:val="18"/>
              </w:rPr>
            </w:pPr>
            <w:r w:rsidRPr="002C3651">
              <w:rPr>
                <w:sz w:val="18"/>
                <w:szCs w:val="18"/>
              </w:rPr>
              <w:t>Note: toxicity grades are in accordance with National Cancer Institute Common Terminology Criteria for Adverse Events Version 4.0 (NCI CTCAE v.4)</w:t>
            </w:r>
            <w:r>
              <w:rPr>
                <w:sz w:val="18"/>
                <w:szCs w:val="18"/>
              </w:rPr>
              <w:br/>
            </w:r>
            <w:r w:rsidRPr="002C3651">
              <w:rPr>
                <w:sz w:val="18"/>
                <w:szCs w:val="18"/>
              </w:rPr>
              <w:t>* If corticosteroid dosing cannot be reduced to ≤10 mg prednisone or equivalent per day within 12 weeks or a treatment-related toxicity does not resolve to Grade 0-1 within 12 weeks after last dose of KEYTRUDA, then KEYTRUDA should be permanently discontinued.</w:t>
            </w:r>
            <w:r>
              <w:rPr>
                <w:sz w:val="18"/>
                <w:szCs w:val="18"/>
              </w:rPr>
              <w:br/>
            </w:r>
            <w:r w:rsidRPr="002C3651">
              <w:rPr>
                <w:sz w:val="18"/>
                <w:szCs w:val="18"/>
              </w:rPr>
              <w:t xml:space="preserve">In patients with </w:t>
            </w:r>
            <w:proofErr w:type="spellStart"/>
            <w:r w:rsidRPr="002C3651">
              <w:rPr>
                <w:sz w:val="18"/>
                <w:szCs w:val="18"/>
              </w:rPr>
              <w:t>cHL</w:t>
            </w:r>
            <w:proofErr w:type="spellEnd"/>
            <w:r w:rsidRPr="002C3651">
              <w:rPr>
                <w:sz w:val="18"/>
                <w:szCs w:val="18"/>
              </w:rPr>
              <w:t xml:space="preserve"> or PMBCL with Grade 4 </w:t>
            </w:r>
            <w:proofErr w:type="spellStart"/>
            <w:r w:rsidRPr="002C3651">
              <w:rPr>
                <w:sz w:val="18"/>
                <w:szCs w:val="18"/>
              </w:rPr>
              <w:t>hematological</w:t>
            </w:r>
            <w:proofErr w:type="spellEnd"/>
            <w:r w:rsidRPr="002C3651">
              <w:rPr>
                <w:sz w:val="18"/>
                <w:szCs w:val="18"/>
              </w:rPr>
              <w:t xml:space="preserve"> toxicity, KEYTRUDA should be withheld until adverse reactions recover to Grade 0-1.</w:t>
            </w:r>
            <w:r>
              <w:rPr>
                <w:sz w:val="18"/>
                <w:szCs w:val="18"/>
              </w:rPr>
              <w:br/>
            </w:r>
            <w:r w:rsidRPr="002C3651">
              <w:rPr>
                <w:sz w:val="18"/>
                <w:szCs w:val="18"/>
              </w:rPr>
              <w:t xml:space="preserve">When administering KEYTRUDA in combination with lenvatinib for the treatment of endometrial carcinoma, </w:t>
            </w:r>
            <w:r w:rsidRPr="002C3651">
              <w:rPr>
                <w:sz w:val="18"/>
                <w:szCs w:val="18"/>
              </w:rPr>
              <w:lastRenderedPageBreak/>
              <w:t>interrupt one or both as appropriate. No dose reductions are recommended for KEYTRUDA. Withhold, dose reduce, or discontinue lenvatinib in accordance with the instructions in the lenvatinib Product Information.</w:t>
            </w:r>
          </w:p>
        </w:tc>
      </w:tr>
    </w:tbl>
    <w:p w:rsidR="002C3651" w:rsidRPr="002C3651" w:rsidRDefault="002C3651" w:rsidP="002C3651">
      <w:pPr>
        <w:rPr>
          <w:b/>
        </w:rPr>
      </w:pPr>
      <w:r w:rsidRPr="002C3651">
        <w:rPr>
          <w:b/>
        </w:rPr>
        <w:lastRenderedPageBreak/>
        <w:t>Preparation and Administration</w:t>
      </w:r>
    </w:p>
    <w:p w:rsidR="002C3651" w:rsidRPr="002C3651" w:rsidRDefault="002C3651" w:rsidP="002C3651">
      <w:pPr>
        <w:pStyle w:val="Heading4"/>
      </w:pPr>
      <w:r w:rsidRPr="002C3651">
        <w:t>Preparation of KEYTRUDA 50 mg powder for injection</w:t>
      </w:r>
    </w:p>
    <w:p w:rsidR="002C3651" w:rsidRPr="002C3651" w:rsidRDefault="002C3651" w:rsidP="002C3651">
      <w:pPr>
        <w:pStyle w:val="ListBullet"/>
      </w:pPr>
      <w:r w:rsidRPr="002C3651">
        <w:t>Prior to reconstitution, the vial of lyophilised powder can be out of refrigeration (temperatures at or below 25°C) for up to 24 hours.</w:t>
      </w:r>
    </w:p>
    <w:p w:rsidR="002C3651" w:rsidRPr="002C3651" w:rsidRDefault="002C3651" w:rsidP="002C3651">
      <w:pPr>
        <w:pStyle w:val="ListBullet"/>
      </w:pPr>
      <w:r w:rsidRPr="002C3651">
        <w:t>Aseptically add 2.3 mL of sterile water for injection to yield a 25 mg/mL (pH 5.2-5.8) solution of KEYTRUDA.</w:t>
      </w:r>
    </w:p>
    <w:p w:rsidR="002C3651" w:rsidRPr="002C3651" w:rsidRDefault="002C3651" w:rsidP="002C3651">
      <w:pPr>
        <w:pStyle w:val="ListBullet"/>
      </w:pPr>
      <w:r w:rsidRPr="002C3651">
        <w:t>To avoid foaming, deliver the water along the walls of the vial and not directly on the lyophilised powder.</w:t>
      </w:r>
    </w:p>
    <w:p w:rsidR="002C3651" w:rsidRPr="002C3651" w:rsidRDefault="002C3651" w:rsidP="002C3651">
      <w:pPr>
        <w:pStyle w:val="ListBullet"/>
      </w:pPr>
      <w:r w:rsidRPr="002C3651">
        <w:t>Slowly swirl the vial to allow reconstitution of the lyophilised powder. Allow up to 5 minutes for the bubbles to clear. Do not shake the vials.</w:t>
      </w:r>
    </w:p>
    <w:p w:rsidR="002C3651" w:rsidRPr="002C3651" w:rsidRDefault="002C3651" w:rsidP="002C3651">
      <w:pPr>
        <w:pStyle w:val="ListBullet"/>
      </w:pPr>
      <w:r w:rsidRPr="002C3651">
        <w:t>Parenteral drug products should be inspected visually for particulate matter and discoloration prior to administration. Reconstituted KEYTRUDA is a clear to slightly opalescent, colourless to slightly yellow solution. Discard the vial if visible particles are observed.</w:t>
      </w:r>
    </w:p>
    <w:p w:rsidR="002C3651" w:rsidRPr="002C3651" w:rsidRDefault="002C3651" w:rsidP="002C3651">
      <w:pPr>
        <w:pStyle w:val="ListBullet"/>
      </w:pPr>
      <w:r w:rsidRPr="002C3651">
        <w:t>Withdraw the required volume up to 2 mL (50 mg) of KEYTRUDA and transfer into an intravenous bag containing 0.9% sodium chloride or 5% glucose (dextrose) to prepare a diluted solution with a final concentration ranging from 1 to 10 mg/</w:t>
      </w:r>
      <w:proofErr w:type="spellStart"/>
      <w:r w:rsidRPr="002C3651">
        <w:t>mL.</w:t>
      </w:r>
      <w:proofErr w:type="spellEnd"/>
      <w:r w:rsidRPr="002C3651">
        <w:t xml:space="preserve"> Mix diluted solution by gentle inversion (see Administration).</w:t>
      </w:r>
    </w:p>
    <w:p w:rsidR="002C3651" w:rsidRPr="002C3651" w:rsidRDefault="002C3651" w:rsidP="002C3651">
      <w:pPr>
        <w:pStyle w:val="Heading4"/>
      </w:pPr>
      <w:r w:rsidRPr="002C3651">
        <w:t>Preparation of KEYTRUDA 100 mg/4 mL concentrated injection</w:t>
      </w:r>
    </w:p>
    <w:p w:rsidR="002C3651" w:rsidRPr="002C3651" w:rsidRDefault="002C3651" w:rsidP="002C3651">
      <w:pPr>
        <w:pStyle w:val="ListBullet"/>
      </w:pPr>
      <w:r w:rsidRPr="002C3651">
        <w:t>Protect from light. Do not freeze. Do not shake.</w:t>
      </w:r>
    </w:p>
    <w:p w:rsidR="002C3651" w:rsidRPr="002C3651" w:rsidRDefault="002C3651" w:rsidP="002C3651">
      <w:pPr>
        <w:pStyle w:val="ListBullet"/>
      </w:pPr>
      <w:r w:rsidRPr="002C3651">
        <w:t>Equilibrate the vial of KEYTRUDA to room temperature.</w:t>
      </w:r>
    </w:p>
    <w:p w:rsidR="002C3651" w:rsidRPr="002C3651" w:rsidRDefault="002C3651" w:rsidP="002C3651">
      <w:pPr>
        <w:pStyle w:val="ListBullet"/>
      </w:pPr>
      <w:r w:rsidRPr="002C3651">
        <w:t>Prior to dilution, the vial of liquid can be out of refrigeration (temperatures at or below 25°C) for up to 24 hours.</w:t>
      </w:r>
    </w:p>
    <w:p w:rsidR="00135868" w:rsidRPr="00135868" w:rsidRDefault="00135868" w:rsidP="00135868">
      <w:pPr>
        <w:pStyle w:val="ListBullet"/>
      </w:pPr>
      <w:r w:rsidRPr="00135868">
        <w:t>Parenteral drug products should be inspected visually for particulate matter and discoloration prior to administration. KEYTRUDA is a clear to slightly opalescent, colourless to slightly yellow solution. Discard the vial if visible particles are observed.</w:t>
      </w:r>
    </w:p>
    <w:p w:rsidR="00135868" w:rsidRPr="00135868" w:rsidRDefault="00135868" w:rsidP="00135868">
      <w:pPr>
        <w:pStyle w:val="ListBullet"/>
      </w:pPr>
      <w:r w:rsidRPr="00135868">
        <w:t>Withdraw the required volume up to 4 mL (100 mg) of KEYTRUDA and transfer into an intravenous bag containing 0.9% sodium chloride or 5% glucose (dextrose) to prepare a diluted solution with a final concentration ranging from 1 to 10 mg/</w:t>
      </w:r>
      <w:proofErr w:type="spellStart"/>
      <w:r w:rsidRPr="00135868">
        <w:t>mL.</w:t>
      </w:r>
      <w:proofErr w:type="spellEnd"/>
      <w:r w:rsidRPr="00135868">
        <w:t xml:space="preserve"> Mix diluted solution by gentle inversion (see Administration).</w:t>
      </w:r>
    </w:p>
    <w:p w:rsidR="00135868" w:rsidRPr="00135868" w:rsidRDefault="00135868" w:rsidP="00135868">
      <w:pPr>
        <w:pStyle w:val="Heading4"/>
      </w:pPr>
      <w:r w:rsidRPr="00135868">
        <w:lastRenderedPageBreak/>
        <w:t>Administration</w:t>
      </w:r>
    </w:p>
    <w:p w:rsidR="00135868" w:rsidRPr="00135868" w:rsidRDefault="00135868" w:rsidP="00135868">
      <w:pPr>
        <w:pStyle w:val="ListBullet"/>
      </w:pPr>
      <w:r w:rsidRPr="00135868">
        <w:t>Do not freeze the infusion solution.</w:t>
      </w:r>
    </w:p>
    <w:p w:rsidR="00135868" w:rsidRPr="00135868" w:rsidRDefault="00135868" w:rsidP="00135868">
      <w:pPr>
        <w:pStyle w:val="ListBullet"/>
      </w:pPr>
      <w:r w:rsidRPr="00135868">
        <w:t>The product does not contain preservative. The reconstituted and/or diluted product should be used immediately. If not used immediately, reconstituted and diluted solutions of KEYTRUDA solutions may be stored at room temperature for a cumulative time of up to 6 hours. Reconstituted and diluted solutions of KEYTRUDA may also be stored under refrigeration at 2°C to 8°C; however, the total time from reconstitution or dilution of KEYTRUDA to completion of infusion should not exceed 24 hours. If refrigerated, allow the vials and/or IV bags to come to room temperature prior to use.</w:t>
      </w:r>
    </w:p>
    <w:p w:rsidR="00135868" w:rsidRPr="00135868" w:rsidRDefault="00135868" w:rsidP="00135868">
      <w:pPr>
        <w:pStyle w:val="ListBullet"/>
      </w:pPr>
      <w:r w:rsidRPr="00135868">
        <w:t>Administer infusion solution intravenously over 30 minutes using a sterile, non-pyrogenic, low-protein binding 0.2 to 5 µm in-line or add-on filter.</w:t>
      </w:r>
    </w:p>
    <w:p w:rsidR="00135868" w:rsidRPr="00135868" w:rsidRDefault="00135868" w:rsidP="00135868">
      <w:pPr>
        <w:pStyle w:val="ListBullet"/>
      </w:pPr>
      <w:r w:rsidRPr="00135868">
        <w:t>Do not co-administer other drugs through the same infusion line.</w:t>
      </w:r>
    </w:p>
    <w:p w:rsidR="00135868" w:rsidRPr="00135868" w:rsidRDefault="00135868" w:rsidP="00135868">
      <w:pPr>
        <w:pStyle w:val="ListBullet"/>
      </w:pPr>
      <w:r w:rsidRPr="00135868">
        <w:t>Product is for single use in one patient only, Discard any residue.</w:t>
      </w:r>
    </w:p>
    <w:p w:rsidR="00135868" w:rsidRPr="00135868" w:rsidRDefault="00135868" w:rsidP="00135868">
      <w:pPr>
        <w:rPr>
          <w:b/>
        </w:rPr>
      </w:pPr>
      <w:r w:rsidRPr="00135868">
        <w:rPr>
          <w:b/>
        </w:rPr>
        <w:t>Paediatric Patients</w:t>
      </w:r>
    </w:p>
    <w:p w:rsidR="00135868" w:rsidRPr="00135868" w:rsidRDefault="00135868" w:rsidP="00135868">
      <w:r w:rsidRPr="00135868">
        <w:t>In PMBCL and MSI-H/</w:t>
      </w:r>
      <w:proofErr w:type="spellStart"/>
      <w:r w:rsidRPr="00135868">
        <w:t>dMMR</w:t>
      </w:r>
      <w:proofErr w:type="spellEnd"/>
      <w:r w:rsidRPr="00135868">
        <w:t xml:space="preserve"> cancers, the recommended dose of KEYTRUDA in paediatric patients is 2 mg/kg (up to a maximum of 200 mg), administered as an intravenous infusion over 30 minutes every 3 weeks [see Section 4.1 THERAPEUTIC INDICATIONS and Section 4.4 SPECIAL WARNINGS AND PRECAUTIONS FOR USE].</w:t>
      </w:r>
    </w:p>
    <w:p w:rsidR="00135868" w:rsidRPr="00135868" w:rsidRDefault="00135868" w:rsidP="00135868">
      <w:pPr>
        <w:rPr>
          <w:b/>
        </w:rPr>
      </w:pPr>
      <w:r w:rsidRPr="00135868">
        <w:rPr>
          <w:b/>
        </w:rPr>
        <w:t>Geriatric Patients</w:t>
      </w:r>
    </w:p>
    <w:p w:rsidR="00135868" w:rsidRPr="00135868" w:rsidRDefault="00135868" w:rsidP="00135868">
      <w:r w:rsidRPr="00135868">
        <w:t>No overall differences in safety or efficacy were reported between elderly patients (65 years and over) and younger patients (less than 65 years). No dose adjustment is necessary in this population.</w:t>
      </w:r>
    </w:p>
    <w:p w:rsidR="00135868" w:rsidRPr="00135868" w:rsidRDefault="00135868" w:rsidP="00135868">
      <w:pPr>
        <w:rPr>
          <w:b/>
        </w:rPr>
      </w:pPr>
      <w:r w:rsidRPr="00135868">
        <w:rPr>
          <w:b/>
        </w:rPr>
        <w:t>Renal Insufficiency</w:t>
      </w:r>
    </w:p>
    <w:p w:rsidR="00135868" w:rsidRPr="00135868" w:rsidRDefault="00135868" w:rsidP="00135868">
      <w:r w:rsidRPr="00135868">
        <w:t>No dose adjustment is needed for patients with mild or moderate renal impairment. KEYTRUDA has not been studied in patients with severe renal impairment [See Section 5.2 PHARMACOKINETIC PROPERTIES, Special populations].</w:t>
      </w:r>
    </w:p>
    <w:p w:rsidR="00135868" w:rsidRPr="00135868" w:rsidRDefault="00135868" w:rsidP="00135868">
      <w:pPr>
        <w:rPr>
          <w:b/>
        </w:rPr>
      </w:pPr>
      <w:r w:rsidRPr="00135868">
        <w:rPr>
          <w:b/>
        </w:rPr>
        <w:t>Hepatic Insufficiency</w:t>
      </w:r>
    </w:p>
    <w:p w:rsidR="00135868" w:rsidRPr="00135868" w:rsidRDefault="00135868" w:rsidP="00135868">
      <w:r w:rsidRPr="00135868">
        <w:t>No dose adjustment is needed for patients with mild hepatic impairment. KEYTRUDA has not been studied in patients with moderate or severe hepatic impairment [See Section 5.2 PHARMACOKINETIC PROPERTIES, Special populations].</w:t>
      </w:r>
    </w:p>
    <w:p w:rsidR="00135868" w:rsidRPr="00135868" w:rsidRDefault="00135868" w:rsidP="00135868">
      <w:pPr>
        <w:pStyle w:val="Heading3"/>
      </w:pPr>
      <w:r w:rsidRPr="00135868">
        <w:t>4.3 CONTRAINDICATIONS</w:t>
      </w:r>
    </w:p>
    <w:p w:rsidR="00135868" w:rsidRPr="00135868" w:rsidRDefault="00135868" w:rsidP="00135868">
      <w:r w:rsidRPr="00135868">
        <w:t>None.</w:t>
      </w:r>
    </w:p>
    <w:p w:rsidR="00135868" w:rsidRDefault="00135868" w:rsidP="00135868">
      <w:pPr>
        <w:pStyle w:val="Heading3"/>
      </w:pPr>
      <w:r w:rsidRPr="00135868">
        <w:t>4.4 SPECIAL WARNINGS AND PRECAUTIONS FOR USE</w:t>
      </w:r>
    </w:p>
    <w:p w:rsidR="00135868" w:rsidRPr="00135868" w:rsidRDefault="00135868" w:rsidP="00135868">
      <w:pPr>
        <w:rPr>
          <w:b/>
          <w:bCs/>
        </w:rPr>
      </w:pPr>
      <w:r w:rsidRPr="00135868">
        <w:rPr>
          <w:b/>
          <w:bCs/>
        </w:rPr>
        <w:t>Assessment of PD-L1 status</w:t>
      </w:r>
    </w:p>
    <w:p w:rsidR="00135868" w:rsidRPr="00135868" w:rsidRDefault="00135868" w:rsidP="00135868">
      <w:r w:rsidRPr="00135868">
        <w:lastRenderedPageBreak/>
        <w:t>When assessing the PD-L1 status of the tumour, it is important that a well-validated and robust methodology is chosen to minimise false negative or false positive determinations.</w:t>
      </w:r>
    </w:p>
    <w:p w:rsidR="00135868" w:rsidRPr="00135868" w:rsidRDefault="00135868" w:rsidP="00135868">
      <w:pPr>
        <w:rPr>
          <w:b/>
          <w:bCs/>
        </w:rPr>
      </w:pPr>
      <w:r w:rsidRPr="00135868">
        <w:rPr>
          <w:b/>
          <w:bCs/>
        </w:rPr>
        <w:t>Immune-mediated Adverse Reactions</w:t>
      </w:r>
    </w:p>
    <w:p w:rsidR="00135868" w:rsidRPr="00135868" w:rsidRDefault="00135868" w:rsidP="00135868">
      <w:r w:rsidRPr="00135868">
        <w:t>Immune-mediated adverse reactions, including severe and fatal cases, have occurred in patients receiving KEYTRUDA. In clinical trials, most immune-mediated adverse reactions occurred during treatment, were reversible and managed with interruptions of KEYTRUDA, administration of corticosteroids and/or supportive care. Immune-related adverse reactions have occurred after discontinuation of treatment with KEYTRUDA. Immune-mediated adverse reactions affecting more than one body system can occur simultaneously.</w:t>
      </w:r>
    </w:p>
    <w:p w:rsidR="00135868" w:rsidRPr="00135868" w:rsidRDefault="00135868" w:rsidP="00135868">
      <w:r w:rsidRPr="00135868">
        <w:t xml:space="preserve">For suspected immune-mediated adverse reactions, ensure adequate evaluation to confirm </w:t>
      </w:r>
      <w:proofErr w:type="spellStart"/>
      <w:r w:rsidRPr="00135868">
        <w:t>etiology</w:t>
      </w:r>
      <w:proofErr w:type="spellEnd"/>
      <w:r w:rsidRPr="00135868">
        <w:t xml:space="preserve"> or exclude other causes. Based on the severity of the adverse reaction, withhold KEYTRUDA and consider administration of corticosteroids. Upon improvement to Grade 1 or less, initiate corticosteroid taper and continue to taper over at least 1 month. Based on limited data from clinical studies in patients whose immune-related adverse reactions could not be controlled with corticosteroid use, administration of other systemic </w:t>
      </w:r>
      <w:proofErr w:type="spellStart"/>
      <w:r w:rsidRPr="00135868">
        <w:t>immunosuppressants</w:t>
      </w:r>
      <w:proofErr w:type="spellEnd"/>
      <w:r w:rsidRPr="00135868">
        <w:t xml:space="preserve"> can be considered. Restart KEYTRUDA if the adverse reaction remains at Grade 1 or less following corticosteroid taper. If another episode of a severe adverse reaction occurs, permanently discontinue KEYTRUDA [See Section 4.2 DOSE AND METHOD OF ADMINISTRATION and Section 4.8 ADVERSE EFFECTS (UNDESIRABLE EFFECTS)].</w:t>
      </w:r>
    </w:p>
    <w:p w:rsidR="00135868" w:rsidRPr="00135868" w:rsidRDefault="00135868" w:rsidP="00135868">
      <w:pPr>
        <w:rPr>
          <w:u w:val="single"/>
        </w:rPr>
      </w:pPr>
      <w:r w:rsidRPr="00135868">
        <w:rPr>
          <w:u w:val="single"/>
        </w:rPr>
        <w:t>Immune-mediated pneumonitis</w:t>
      </w:r>
    </w:p>
    <w:p w:rsidR="00135868" w:rsidRPr="00135868" w:rsidRDefault="00135868" w:rsidP="00135868">
      <w:r w:rsidRPr="00135868">
        <w:t xml:space="preserve">Pneumonitis (including fatal cases) has been reported in patients receiving KEYTRUDA [See Section 4.8 ADVERSE EFFECTS (UNDESIRABLE EFFECTS)]. </w:t>
      </w:r>
    </w:p>
    <w:p w:rsidR="00135868" w:rsidRPr="00135868" w:rsidRDefault="00135868" w:rsidP="00135868">
      <w:r w:rsidRPr="00135868">
        <w:t>Monitor patients for signs and symptoms of pneumonitis. If pneumonitis is suspected, evaluate with radiographic imaging and exclude other causes. Administer corticosteroids for Grade 2 or greater events (initial dose of 1-2 mg/kg/day prednisone or equivalent followed by a taper), withhold KEYTRUDA for moderate (Grade 2) pneumonitis, and permanently discontinue KEYTRUDA for severe (Grade 3), life-threatening (Grade 4) or recurrent moderate (Grade 2) pneumonitis [See Section 4.2 DOSE AND METHOD OF ADMINISTRATION, Section 4.8 ADVERSE EFFECTS (UNDESIRABLE EFFECTS) and Immune-mediated Adverse Reactions above].</w:t>
      </w:r>
    </w:p>
    <w:p w:rsidR="00135868" w:rsidRPr="00135868" w:rsidRDefault="00135868" w:rsidP="00135868">
      <w:pPr>
        <w:rPr>
          <w:u w:val="single"/>
        </w:rPr>
      </w:pPr>
      <w:r w:rsidRPr="00135868">
        <w:rPr>
          <w:u w:val="single"/>
        </w:rPr>
        <w:t>Immune-mediated colitis</w:t>
      </w:r>
    </w:p>
    <w:p w:rsidR="00135868" w:rsidRPr="00135868" w:rsidRDefault="00135868" w:rsidP="00135868">
      <w:r w:rsidRPr="00135868">
        <w:t>Colitis has been reported in patients receiving KEYTRUDA [See Section 4.8 ADVERSE EFFECTS (UNDESIRABLE EFFECTS)].</w:t>
      </w:r>
    </w:p>
    <w:p w:rsidR="00135868" w:rsidRPr="00135868" w:rsidRDefault="00135868" w:rsidP="00135868">
      <w:r w:rsidRPr="00135868">
        <w:t>Monitor patients for signs and symptoms of colitis and exclude other causes. Administer corticosteroids for Grade 2 or greater events (initial dose of 1-2 mg/kg/day prednisone or equivalent followed by a taper), withhold KEYTRUDA for moderate (Grade 2) or severe (Grade 3) colitis, and permanently discontinue KEYTRUDA for life-threatening (Grade 4) colitis [See Section 4.2 DOSE AND METHOD OF ADMINISTRATION, Section 4.8 ADVERSE EFFECTS (UNDESIRABLE EFFECTS) and Immune-mediated Adverse Reactions above]. The potential risk of gastrointestinal perforation should be taken into consideration.</w:t>
      </w:r>
    </w:p>
    <w:p w:rsidR="00135868" w:rsidRPr="00135868" w:rsidRDefault="00135868" w:rsidP="00135868">
      <w:pPr>
        <w:rPr>
          <w:u w:val="single"/>
        </w:rPr>
      </w:pPr>
      <w:r w:rsidRPr="00135868">
        <w:rPr>
          <w:u w:val="single"/>
        </w:rPr>
        <w:t>Immune-mediated hepatitis</w:t>
      </w:r>
    </w:p>
    <w:p w:rsidR="00135868" w:rsidRPr="00135868" w:rsidRDefault="00135868" w:rsidP="00135868">
      <w:r w:rsidRPr="00135868">
        <w:lastRenderedPageBreak/>
        <w:t xml:space="preserve">Hepatitis has been reported in patients receiving KEYTRUDA [See Section 4.8 ADVERSE EFFECTS (UNDESIRABLE EFFECTS)]. </w:t>
      </w:r>
    </w:p>
    <w:p w:rsidR="00135868" w:rsidRPr="00135868" w:rsidRDefault="00135868" w:rsidP="00135868">
      <w:r w:rsidRPr="00135868">
        <w:t>Monitor patients for changes in liver function (at the start of treatment, periodically during treatment and as indicated based on clinical evaluation) and symptoms of hepatitis and exclude other causes. Administer corticosteroids (initial dose of 0.5-1 mg/kg/day [for Grade 2 events] and 1-2 mg/kg/day [for Grade 3 or greater events] prednisone or equivalent followed by a taper) and, based on severity of liver enzyme elevations, withhold or discontinue KEYTRUDA [See Section 4.2 DOSE AND METHOD OF ADMINISTRATION, Section 4.8 ADVERSE EFFECTS (UNDESIRABLE EFFECTS) and Immune-mediated Adverse Reactions above].</w:t>
      </w:r>
    </w:p>
    <w:p w:rsidR="00135868" w:rsidRPr="00135868" w:rsidRDefault="00135868" w:rsidP="00135868">
      <w:pPr>
        <w:rPr>
          <w:u w:val="single"/>
        </w:rPr>
      </w:pPr>
      <w:r w:rsidRPr="00135868">
        <w:rPr>
          <w:u w:val="single"/>
        </w:rPr>
        <w:t>Immune-mediated nephritis</w:t>
      </w:r>
    </w:p>
    <w:p w:rsidR="00135868" w:rsidRPr="00135868" w:rsidRDefault="00135868" w:rsidP="00135868">
      <w:r w:rsidRPr="00135868">
        <w:t xml:space="preserve">Nephritis has been reported in patients receiving KEYTRUDA. Nephritis appears to be more common when pembrolizumab is used in combination with </w:t>
      </w:r>
      <w:proofErr w:type="spellStart"/>
      <w:r w:rsidRPr="00135868">
        <w:t>pemetrexed</w:t>
      </w:r>
      <w:proofErr w:type="spellEnd"/>
      <w:r w:rsidRPr="00135868">
        <w:t xml:space="preserve"> and platinum chemotherapy than when pembrolizumab is used alone [See Section 4.8 ADVERSE EFFECTS (UNDESIRABLE EFFECTS)].</w:t>
      </w:r>
    </w:p>
    <w:p w:rsidR="00135868" w:rsidRPr="00135868" w:rsidRDefault="00135868" w:rsidP="00135868">
      <w:r w:rsidRPr="00135868">
        <w:t>Monitor patients for changes in renal function and exclude other causes. Administer corticosteroids for Grade 2 or greater events (initial dose of 1-2 mg/kg/day prednisone or equivalent followed by a taper), withhold KEYTRUDA for moderate (Grade 2), and permanently discontinue KEYTRUDA for severe (Grade 3) or life-threatening (Grade 4) nephritis. [See Section 4.2 DOSE AND METHOD OF ADMINISTRATION, Section 4.8 ADVERSE EFFECTS (UNDESIRABLE EFFECTS) and Immune-mediated Adverse Reactions above].</w:t>
      </w:r>
    </w:p>
    <w:p w:rsidR="00135868" w:rsidRPr="00135868" w:rsidRDefault="00135868" w:rsidP="00135868">
      <w:pPr>
        <w:rPr>
          <w:u w:val="single"/>
        </w:rPr>
      </w:pPr>
      <w:r w:rsidRPr="00135868">
        <w:rPr>
          <w:u w:val="single"/>
        </w:rPr>
        <w:t xml:space="preserve">Immune-mediated </w:t>
      </w:r>
      <w:proofErr w:type="spellStart"/>
      <w:r w:rsidRPr="00135868">
        <w:rPr>
          <w:u w:val="single"/>
        </w:rPr>
        <w:t>endocrinopathies</w:t>
      </w:r>
      <w:proofErr w:type="spellEnd"/>
    </w:p>
    <w:p w:rsidR="00135868" w:rsidRPr="00135868" w:rsidRDefault="00135868" w:rsidP="00135868">
      <w:proofErr w:type="spellStart"/>
      <w:r w:rsidRPr="00135868">
        <w:t>Hypophysitis</w:t>
      </w:r>
      <w:proofErr w:type="spellEnd"/>
      <w:r w:rsidRPr="00135868">
        <w:t xml:space="preserve"> has been reported in patients receiving KEYTRUDA [See Section 4.8 ADVERSE EFFECTS (UNDESIRABLE EFFECTS)]. </w:t>
      </w:r>
    </w:p>
    <w:p w:rsidR="00135868" w:rsidRPr="00135868" w:rsidRDefault="00135868" w:rsidP="00135868">
      <w:r w:rsidRPr="00135868">
        <w:t xml:space="preserve">Monitor patients for signs and symptoms of </w:t>
      </w:r>
      <w:proofErr w:type="spellStart"/>
      <w:r w:rsidRPr="00135868">
        <w:t>hypophysitis</w:t>
      </w:r>
      <w:proofErr w:type="spellEnd"/>
      <w:r w:rsidRPr="00135868">
        <w:t xml:space="preserve"> (including hypopituitarism and secondary adrenal insufficiency) and exclude other causes. Administer corticosteroids to treat secondary adrenal insufficiency and other hormone replacement as clinically indicated, withhold KEYTRUDA for moderate (Grade 2), withhold or discontinue KEYTRUDA for severe (Grade 3)</w:t>
      </w:r>
      <w:r w:rsidRPr="00135868" w:rsidDel="00EF1E17">
        <w:t xml:space="preserve"> </w:t>
      </w:r>
      <w:r w:rsidRPr="00135868">
        <w:t xml:space="preserve">or life-threatening (Grade 4) </w:t>
      </w:r>
      <w:proofErr w:type="spellStart"/>
      <w:r w:rsidRPr="00135868">
        <w:t>hypophysitis</w:t>
      </w:r>
      <w:proofErr w:type="spellEnd"/>
      <w:r w:rsidRPr="00135868">
        <w:t>. [See Section 4.2 DOSE AND METHOD OF ADMINISTRATION, Section 4.8 ADVERSE EFFECTS (UNDESIRABLE EFFECTS) and Immune-mediated Adverse Reactions above].</w:t>
      </w:r>
    </w:p>
    <w:p w:rsidR="00135868" w:rsidRPr="00135868" w:rsidRDefault="00135868" w:rsidP="00135868">
      <w:r w:rsidRPr="00135868">
        <w:t>Type 1 diabetes mellitus, including diabetic ketoacidosis, has been reported in patients receiving KEYTRUDA [See Section 4.8 ADVERSE EFFECTS (UNDESIRABLE EFFECTS)]. Monitor patients for hyperglycaemia or other signs and symptoms of diabetes. Administer insulin for type 1 diabetes, and withhold KEYTRUDA in cases of severe hyperglycaemia until metabolic control is achieved.</w:t>
      </w:r>
    </w:p>
    <w:p w:rsidR="00135868" w:rsidRPr="00135868" w:rsidRDefault="00135868" w:rsidP="00135868">
      <w:r w:rsidRPr="00135868">
        <w:t xml:space="preserve">Thyroid disorders, including hyperthyroidism, hypothyroidism and thyroiditis, have been reported in patients receiving KEYTRUDA and can occur at any time during treatment, therefore monitor patients for changes in thyroid function (at the start of treatment, periodically during treatment and as indicated based on clinical evaluation) and clinical signs and symptoms of thyroid disorders. Hypothyroidism may be managed with replacement therapy without treatment interruption and without corticosteroids. Hyperthyroidism may be managed symptomatically. Withhold or discontinue KEYTRUDA for severe (Grade 3) or life-threatening (Grade 4) hyperthyroidism [See Section 4.2 DOSE AND METHOD OF ADMINISTRATION, Section </w:t>
      </w:r>
      <w:r w:rsidRPr="00135868">
        <w:lastRenderedPageBreak/>
        <w:t xml:space="preserve">4.8 ADVERSE EFFECTS (UNDESIRABLE EFFECTS) and Immune-mediated Adverse Reactions above]. </w:t>
      </w:r>
    </w:p>
    <w:p w:rsidR="00135868" w:rsidRPr="00135868" w:rsidRDefault="00135868" w:rsidP="00135868">
      <w:r w:rsidRPr="00135868">
        <w:t xml:space="preserve">For patients with severe (Grade 3) or life-threatening (Grade 4) </w:t>
      </w:r>
      <w:proofErr w:type="spellStart"/>
      <w:r w:rsidRPr="00135868">
        <w:t>endocrinopathy</w:t>
      </w:r>
      <w:proofErr w:type="spellEnd"/>
      <w:r w:rsidRPr="00135868">
        <w:t xml:space="preserve"> that improves to Grade 2 or lower and is controlled with hormone replacement, continuation of KEYTRUDA may be considered.</w:t>
      </w:r>
    </w:p>
    <w:p w:rsidR="00135868" w:rsidRPr="00135868" w:rsidRDefault="00135868" w:rsidP="00135868">
      <w:pPr>
        <w:rPr>
          <w:u w:val="single"/>
        </w:rPr>
      </w:pPr>
      <w:r w:rsidRPr="00135868">
        <w:rPr>
          <w:u w:val="single"/>
        </w:rPr>
        <w:t xml:space="preserve">Severe skin reactions </w:t>
      </w:r>
    </w:p>
    <w:p w:rsidR="00135868" w:rsidRPr="00135868" w:rsidRDefault="00135868" w:rsidP="00135868">
      <w:r w:rsidRPr="00135868">
        <w:t>Immune-mediated severe skin reactions have been reported in patients treated with KEYTRUDA. Monitor patients for suspected severe skin reactions and exclude other causes. Based on the severity of the adverse reaction, withhold or permanently discontinue KEYTRUDA and administer corticosteroids [See Section 4.2 DOSE AND METHOD OF ADMINISTRATION].</w:t>
      </w:r>
    </w:p>
    <w:p w:rsidR="00135868" w:rsidRPr="00183DD9" w:rsidRDefault="00135868" w:rsidP="00135868">
      <w:r w:rsidRPr="00183DD9">
        <w:t xml:space="preserve">Cases of Stevens-Johnson syndrome (SJS), toxic epidermal necrolysis (TEN), and bullous pemphigoid, have been reported in patients treated with KEYTRUDA. Some cases of SJS and TEN have had a fatal outcome. For signs or symptoms of SJS or TEN, withhold KEYTRUDA and refer the patient for specialized care for assessment and treatment. If SJS or TEN is confirmed, permanently discontinue KEYTRUDA. [See </w:t>
      </w:r>
      <w:r>
        <w:t>Section 4.2</w:t>
      </w:r>
      <w:r w:rsidRPr="001F4437">
        <w:t xml:space="preserve"> DOSE AND METHOD OF ADMINISTRATION</w:t>
      </w:r>
      <w:r w:rsidRPr="00183DD9">
        <w:t>].</w:t>
      </w:r>
    </w:p>
    <w:p w:rsidR="00135868" w:rsidRPr="00183DD9" w:rsidRDefault="00135868" w:rsidP="00135868">
      <w:pPr>
        <w:pStyle w:val="Heading4"/>
      </w:pPr>
      <w:r w:rsidRPr="00183DD9">
        <w:t>Other immune-mediated adverse reactions</w:t>
      </w:r>
    </w:p>
    <w:p w:rsidR="00135868" w:rsidRPr="00183DD9" w:rsidRDefault="00135868" w:rsidP="00135868">
      <w:r w:rsidRPr="00183DD9">
        <w:t xml:space="preserve">The following additional clinically significant, immune-mediated adverse reactions were reported in less than 1% of patients treated with KEYTRUDA in KEYNOTE-001, KEYNOTE-002, KEYNOTE-006, and KEYNOTE-010: uveitis, myositis, Guillain-Barre syndrome, pancreatitis, encephalitis, sarcoidosis and </w:t>
      </w:r>
      <w:proofErr w:type="spellStart"/>
      <w:r w:rsidRPr="00183DD9">
        <w:t>myasthenic</w:t>
      </w:r>
      <w:proofErr w:type="spellEnd"/>
      <w:r w:rsidRPr="00183DD9">
        <w:t xml:space="preserve"> syndrome</w:t>
      </w:r>
      <w:r>
        <w:t>/myasthenia gravis (including exacerbation)</w:t>
      </w:r>
      <w:r w:rsidRPr="00183DD9">
        <w:t xml:space="preserve">. The following </w:t>
      </w:r>
      <w:r>
        <w:t>were</w:t>
      </w:r>
      <w:r w:rsidRPr="00183DD9">
        <w:t xml:space="preserve"> reported in other clinical studies with KEYTRUDA or in post-marketing use: myocarditis</w:t>
      </w:r>
      <w:r>
        <w:t xml:space="preserve">, </w:t>
      </w:r>
      <w:r w:rsidRPr="00702449">
        <w:t xml:space="preserve">pericarditis and pericardial effusion, </w:t>
      </w:r>
      <w:r>
        <w:t xml:space="preserve">and </w:t>
      </w:r>
      <w:r w:rsidRPr="00702449">
        <w:t>peripheral neuropathy</w:t>
      </w:r>
      <w:r w:rsidRPr="00183DD9">
        <w:t>.</w:t>
      </w:r>
    </w:p>
    <w:p w:rsidR="00135868" w:rsidRPr="00183DD9" w:rsidRDefault="00135868" w:rsidP="00135868">
      <w:r w:rsidRPr="00183DD9">
        <w:t>Cases of these immune-mediated adverse reactions, some of which were severe, have been reported in clinical trials or in post-marketing use.</w:t>
      </w:r>
    </w:p>
    <w:p w:rsidR="00135868" w:rsidRPr="00183DD9" w:rsidRDefault="00135868" w:rsidP="00135868">
      <w:r w:rsidRPr="00183DD9">
        <w:t>Solid organ transplant rejection has been reported in the post-marketing setting in patients treated with KEYTRUDA. Treatment with KEYTRUDA may increase the risk of rejection in solid organ transplant recipients.</w:t>
      </w:r>
      <w:r w:rsidRPr="00183DD9" w:rsidDel="00A8049D">
        <w:t xml:space="preserve"> </w:t>
      </w:r>
      <w:r w:rsidRPr="00183DD9">
        <w:t>Consider the benefit of treatment with KEYTRUDA versus the risk of possible organ rejection in these patients.</w:t>
      </w:r>
    </w:p>
    <w:p w:rsidR="00135868" w:rsidRDefault="00135868" w:rsidP="00135868">
      <w:pPr>
        <w:pStyle w:val="Heading4"/>
      </w:pPr>
      <w:r>
        <w:t>Increased mortality in patients with multiple myeloma when KEYTRUDA is added to a thalidomide analogue and dexamethasone</w:t>
      </w:r>
    </w:p>
    <w:p w:rsidR="00135868" w:rsidRDefault="00135868" w:rsidP="00135868">
      <w:r>
        <w:t>In two randomised clinical trials in patients with multiple myeloma, the addition of KEYTRUDA to a thalidomide analogue plus dexamethasone, a use for which no PD-1 blocking antibody is indicated, resulted in increased mortality. Treatment of patients with multiple myeloma with a PD-1 blocking antibody in combination with a thalidomide analogue plus dexamethasone is not recommended outside of controlled clinical trials.</w:t>
      </w:r>
    </w:p>
    <w:p w:rsidR="00135868" w:rsidRPr="00183DD9" w:rsidRDefault="00135868" w:rsidP="00135868">
      <w:pPr>
        <w:pStyle w:val="Heading4"/>
      </w:pPr>
      <w:r w:rsidRPr="00183DD9">
        <w:lastRenderedPageBreak/>
        <w:t>Infusion-related reactions</w:t>
      </w:r>
    </w:p>
    <w:p w:rsidR="00135868" w:rsidRPr="00183DD9" w:rsidRDefault="00135868" w:rsidP="00135868">
      <w:r w:rsidRPr="00183DD9">
        <w:t xml:space="preserve">Severe infusion reactions, including hypersensitivity and anaphylaxis, have been reported in 6 (0.2%) of 2799 patients receiving KEYTRUDA in KEYNOTE-001, KEYNOTE-002, KEYNOTE-006 and KEYNOTE-010. For severe infusion reactions, stop infusion and permanently discontinue KEYTRUDA [See </w:t>
      </w:r>
      <w:r>
        <w:t>Section 4.2</w:t>
      </w:r>
      <w:r w:rsidRPr="00D577FE">
        <w:t xml:space="preserve"> </w:t>
      </w:r>
      <w:r w:rsidRPr="001F4437">
        <w:t>DOSE AND METHOD OF ADMINISTRATION</w:t>
      </w:r>
      <w:r w:rsidRPr="00183DD9">
        <w:t xml:space="preserve">]. Patients with mild or moderate infusion reaction may continue to receive KEYTRUDA with close monitoring; premedication with antipyretic and antihistamine may be considered. </w:t>
      </w:r>
    </w:p>
    <w:p w:rsidR="00135868" w:rsidRDefault="00135868" w:rsidP="00135868">
      <w:pPr>
        <w:pStyle w:val="Heading4"/>
      </w:pPr>
      <w:r>
        <w:t>Patients excluded from clinical trials</w:t>
      </w:r>
    </w:p>
    <w:p w:rsidR="00135868" w:rsidRDefault="00135868" w:rsidP="00135868">
      <w:r>
        <w:t>Patients with the following conditions were excluded from clinical trials: active CNS metastases; ECOG PS ≥2 (except for urothelial carcinoma); HIV, hepatitis B or hepatitis C infection; active systemic autoimmune disease; interstitial lung disease; prior pneumonitis requiring systemic corticosteroid therapy; a history of severe hypersensitivity to another monoclonal antibody; receiving immunosuppressive therapy and a history of severe immune-related adverse reactions from treatment with ipilimumab, defined as any Grade 4 toxicity or Grade 3 toxicity requiring corticosteroid treatment (&gt; 10 mg/day prednisone or equivalent) for greater than 12 weeks. Patients with active infections were excluded from clinical trials and were required to have their infection treated prior to receiving pembrolizumab. Patients with active infections occurring during treatment with pembrolizumab were managed with appropriate medical therapy. Patients with clinically significant renal (creatinine &gt; 1.5 x ULN) or hepatic (bilirubin &gt; 1.5 x ULN, ALT, AST &gt; 2.5 x ULN in the absence of liver metastases) abnormalities at baseline were excluded from clinical trials, therefore information is limited in patients with severe renal and moderate to severe hepatic impairment.</w:t>
      </w:r>
    </w:p>
    <w:p w:rsidR="00135868" w:rsidRDefault="00135868" w:rsidP="00135868">
      <w:r>
        <w:t xml:space="preserve">For subjects with relapsed or refractory classical Hodgkin lymphoma, clinical data for the use of pembrolizumab in patients ineligible to ASCT due to reasons other than failure to salvage chemotherapy are limited (see section 5.1 Pharmacodynamic Properties). </w:t>
      </w:r>
    </w:p>
    <w:p w:rsidR="00135868" w:rsidRPr="00183DD9" w:rsidRDefault="00135868" w:rsidP="00135868">
      <w:r>
        <w:t>After careful consideration of the potential increased risk, pembrolizumab may be used with appropriate medical management in these patients.</w:t>
      </w:r>
    </w:p>
    <w:p w:rsidR="00135868" w:rsidRPr="00183DD9" w:rsidRDefault="00135868" w:rsidP="00135868">
      <w:pPr>
        <w:pStyle w:val="Heading4"/>
      </w:pPr>
      <w:r w:rsidRPr="00183DD9">
        <w:t>Patient Alert Card</w:t>
      </w:r>
    </w:p>
    <w:p w:rsidR="00135868" w:rsidRPr="00183DD9" w:rsidRDefault="00135868" w:rsidP="00135868">
      <w:r w:rsidRPr="00183DD9">
        <w:t>The prescriber must discuss the risks of KEYTRUDA therapy with the patient. The patient should be provided with the Patient Alert Card.</w:t>
      </w:r>
    </w:p>
    <w:p w:rsidR="00135868" w:rsidRPr="00183DD9" w:rsidRDefault="00135868" w:rsidP="00135868">
      <w:pPr>
        <w:pStyle w:val="Heading4"/>
      </w:pPr>
      <w:r w:rsidRPr="00183DD9">
        <w:t>Effects on Fertility</w:t>
      </w:r>
    </w:p>
    <w:p w:rsidR="00135868" w:rsidRPr="00183DD9" w:rsidRDefault="00135868" w:rsidP="00135868">
      <w:r w:rsidRPr="00183DD9">
        <w:t xml:space="preserve">Fertility studies have not been conducted with pembrolizumab. There were no notable effects on male and female reproductive organs observed in general repeat-dose toxicity studies conducted with pembrolizumab in </w:t>
      </w:r>
      <w:proofErr w:type="spellStart"/>
      <w:r w:rsidRPr="00183DD9">
        <w:t>Cynomolgus</w:t>
      </w:r>
      <w:proofErr w:type="spellEnd"/>
      <w:r w:rsidRPr="00183DD9">
        <w:t xml:space="preserve"> monkeys, involving IV administration at doses up to 200 mg/kg once a week for 1 month or once every two weeks for 6 months. No findings of toxicological significance were observed and the no observed adverse effect level (NOAEL) in both studies was </w:t>
      </w:r>
      <w:r>
        <w:t>≥</w:t>
      </w:r>
      <w:r w:rsidRPr="00183DD9">
        <w:t>200 mg/kg, which produced exposure multiples of 19 and 94 times the exposure in humans at doses of 10 and 2 mg/kg, respectively. The exposure multiple between the NOAEL and a human dose of 200 mg was 74.</w:t>
      </w:r>
    </w:p>
    <w:p w:rsidR="00135868" w:rsidRPr="00183DD9" w:rsidRDefault="00135868" w:rsidP="00135868">
      <w:pPr>
        <w:pStyle w:val="Heading4"/>
      </w:pPr>
      <w:r w:rsidRPr="00183DD9">
        <w:lastRenderedPageBreak/>
        <w:t>Use in Pregnancy</w:t>
      </w:r>
    </w:p>
    <w:p w:rsidR="00135868" w:rsidRPr="00183DD9" w:rsidRDefault="00135868" w:rsidP="00135868">
      <w:r w:rsidRPr="00183DD9">
        <w:t>There are no data on the use of pembrolizumab in pregnant women. Animal reproduction studies have not been conducted with pembrolizumab; however, blockade of the PD-1 pathway has been shown in mouse models of pregnancy to disrupt tolerance to the foetus and to result in an increase in foetal loss. These results indicate a potential risk, based on its mechanism of action, that administration of KEYTRUDA during pregnancy could cause foetal harm, including increased rates of abortion or stillbirth. Human IgG4 (immunoglobulin) is known to cross the placental barrier and pembrolizumab is an IgG4; therefore, pembrolizumab has the potential to be transmitted from the mother to the developing foetus. KEYTRUDA is not recommended during pregnancy unless the clinical benefit outweighs the potential risk to the foetus. Women of childbearing potential should use effective contraception during treatment with KEYTRUDA and for at least 4 months following the last dose of KEYTRUDA.</w:t>
      </w:r>
    </w:p>
    <w:p w:rsidR="00135868" w:rsidRPr="00183DD9" w:rsidRDefault="00135868" w:rsidP="00135868">
      <w:pPr>
        <w:pStyle w:val="Heading4"/>
      </w:pPr>
      <w:r w:rsidRPr="00183DD9">
        <w:t>Use in Lactation</w:t>
      </w:r>
    </w:p>
    <w:p w:rsidR="00135868" w:rsidRPr="00183DD9" w:rsidRDefault="00135868" w:rsidP="00135868">
      <w:r w:rsidRPr="00183DD9">
        <w:t>It is unknown whether KEYTRUDA is secreted in human milk. Because many drugs are secreted in human milk, a decision should be made whether to discontinue breast-feeding or to discontinue KEYTRUDA, taking into account the benefit of breast-feeding for the child and the benefit of KEYTRUDA therapy for the woman.</w:t>
      </w:r>
    </w:p>
    <w:p w:rsidR="00135868" w:rsidRPr="00183DD9" w:rsidRDefault="00135868" w:rsidP="00135868">
      <w:pPr>
        <w:pStyle w:val="Heading4"/>
      </w:pPr>
      <w:r w:rsidRPr="00183DD9">
        <w:t>Paediatric Use</w:t>
      </w:r>
    </w:p>
    <w:p w:rsidR="00135868" w:rsidRDefault="00135868" w:rsidP="00135868">
      <w:r>
        <w:t xml:space="preserve">There is limited experience with KEYTRUDA in </w:t>
      </w:r>
      <w:r w:rsidRPr="003C4631">
        <w:t>paediatric</w:t>
      </w:r>
      <w:r>
        <w:t xml:space="preserve"> patients. In a study, 87 </w:t>
      </w:r>
      <w:r w:rsidRPr="003C4631">
        <w:t>paediatric</w:t>
      </w:r>
      <w:r>
        <w:t xml:space="preserve"> patients (36 children ages 9 months to less than 12 years and 51 adolescents ages 12 years to 18 years) with advanced melanoma, lymphoma, or PD-L1 positive advanced, relapsed, or refractory solid tumours were administered KEYTRUDA 2 mg/kg every 3 weeks. Patients received KEYTRUDA for a median of 3 doses (range 1-26 doses), with 71 patients (82%) receiving KEYTRUDA for 2 doses or more. The concentrations of pembrolizumab in </w:t>
      </w:r>
      <w:r w:rsidRPr="003C4631">
        <w:t>paediatric</w:t>
      </w:r>
      <w:r>
        <w:t xml:space="preserve"> patients were comparable to those observed in adult patients at the same dose regimen of 2 mg/kg every 3 weeks.</w:t>
      </w:r>
    </w:p>
    <w:p w:rsidR="00135868" w:rsidRDefault="00135868" w:rsidP="00135868">
      <w:r>
        <w:t xml:space="preserve">The safety profile in these </w:t>
      </w:r>
      <w:r w:rsidRPr="003C4631">
        <w:t>paediatric</w:t>
      </w:r>
      <w:r>
        <w:t xml:space="preserve"> patients was similar to that seen in adults treated with pembrolizumab. The most common adverse reactions (reported in at least 20% of </w:t>
      </w:r>
      <w:r w:rsidRPr="003C4631">
        <w:t>paediatric</w:t>
      </w:r>
      <w:r>
        <w:t xml:space="preserve"> patients) were pyrexia, vomiting, fatigue, constipation, abdominal pain and nausea.</w:t>
      </w:r>
    </w:p>
    <w:p w:rsidR="00135868" w:rsidRPr="00183DD9" w:rsidRDefault="00135868" w:rsidP="00135868">
      <w:r>
        <w:t xml:space="preserve">Efficacy for </w:t>
      </w:r>
      <w:r w:rsidRPr="003C4631">
        <w:t>paediatric</w:t>
      </w:r>
      <w:r>
        <w:t xml:space="preserve"> patients with PMBCL or MSI-H/</w:t>
      </w:r>
      <w:proofErr w:type="spellStart"/>
      <w:r>
        <w:t>dMMR</w:t>
      </w:r>
      <w:proofErr w:type="spellEnd"/>
      <w:r>
        <w:t xml:space="preserve"> cancers is extrapolated from the results in the respective adult population [see Section 5.1 PHARMACODYNAMIC PROPERTIES, Clinical Trials]. Efficacy has not been established in other </w:t>
      </w:r>
      <w:r w:rsidRPr="003C4631">
        <w:t>paediatric</w:t>
      </w:r>
      <w:r>
        <w:t xml:space="preserve"> malignancies.</w:t>
      </w:r>
    </w:p>
    <w:p w:rsidR="00135868" w:rsidRPr="00183DD9" w:rsidRDefault="00135868" w:rsidP="00135868">
      <w:pPr>
        <w:pStyle w:val="Heading4"/>
      </w:pPr>
      <w:r w:rsidRPr="00183DD9">
        <w:lastRenderedPageBreak/>
        <w:t>Use in the elderly</w:t>
      </w:r>
    </w:p>
    <w:p w:rsidR="00135868" w:rsidRPr="00183DD9" w:rsidRDefault="00135868" w:rsidP="00135868">
      <w:pPr>
        <w:keepNext/>
      </w:pPr>
      <w:r w:rsidRPr="00183DD9">
        <w:t>No overall differences in safety or efficacy were reported between elderly patients (65 years and over) and younger patients (less than 65 years). No dose adjustment is necessary in this population.</w:t>
      </w:r>
    </w:p>
    <w:p w:rsidR="00135868" w:rsidRPr="00183DD9" w:rsidRDefault="00135868" w:rsidP="00135868">
      <w:pPr>
        <w:pStyle w:val="Heading4"/>
      </w:pPr>
      <w:r w:rsidRPr="00183DD9">
        <w:t>Effect on Laboratory Tests</w:t>
      </w:r>
    </w:p>
    <w:p w:rsidR="00135868" w:rsidRPr="00183DD9" w:rsidRDefault="00135868" w:rsidP="00135868">
      <w:r w:rsidRPr="00183DD9">
        <w:t xml:space="preserve">Thyroid and liver (hepatic transaminase and bilirubin levels) function tests should be performed at the start of treatment, periodically during treatment and as indicated based on clinical evaluation [see </w:t>
      </w:r>
      <w:r>
        <w:t>Section 4.4</w:t>
      </w:r>
      <w:r w:rsidRPr="00D577FE">
        <w:t xml:space="preserve"> SPECIAL WARNINGS AND PRECAUTIONS FOR USE</w:t>
      </w:r>
      <w:r w:rsidRPr="00183DD9">
        <w:t xml:space="preserve"> and </w:t>
      </w:r>
      <w:r>
        <w:t>Section 4.2</w:t>
      </w:r>
      <w:r w:rsidRPr="00D577FE">
        <w:t xml:space="preserve"> </w:t>
      </w:r>
      <w:r w:rsidRPr="001F4437">
        <w:t>DOSE AND METHOD OF ADMINISTRATION</w:t>
      </w:r>
      <w:r w:rsidRPr="00183DD9">
        <w:t>].</w:t>
      </w:r>
    </w:p>
    <w:p w:rsidR="00135868" w:rsidRPr="00183DD9" w:rsidRDefault="00135868" w:rsidP="00135868">
      <w:pPr>
        <w:pStyle w:val="Heading4"/>
      </w:pPr>
      <w:r w:rsidRPr="00183DD9">
        <w:t>Complications of allogeneic Haematopoietic Stem Cell Transplant (HSCT)</w:t>
      </w:r>
    </w:p>
    <w:p w:rsidR="00135868" w:rsidRPr="00183DD9" w:rsidRDefault="00135868" w:rsidP="00135868">
      <w:pPr>
        <w:pStyle w:val="Heading4"/>
      </w:pPr>
      <w:r w:rsidRPr="00183DD9">
        <w:t>Allogeneic HSCT after treatment with KEYTRUDA in classical Hodgkin Lymphoma</w:t>
      </w:r>
    </w:p>
    <w:p w:rsidR="00135868" w:rsidRPr="00183DD9" w:rsidRDefault="00135868" w:rsidP="00135868">
      <w:r w:rsidRPr="00183DD9">
        <w:t xml:space="preserve">Immune-mediated complications, including fatal events, occurred in patients who underwent allogeneic hematopoietic stem cell transplantation (HSCT) after being treated with KEYTRUDA. Of 23 patients with </w:t>
      </w:r>
      <w:proofErr w:type="spellStart"/>
      <w:r w:rsidRPr="00183DD9">
        <w:t>cHL</w:t>
      </w:r>
      <w:proofErr w:type="spellEnd"/>
      <w:r w:rsidRPr="00183DD9">
        <w:t xml:space="preserve"> who proceeded to allogeneic HSCT after treatment with KEYTRUDA on any trial, 6 patients (26%) developed graft-versus-host-disease (GVHD), one of which was fatal, and 2 patients (9%) developed severe hepatic </w:t>
      </w:r>
      <w:proofErr w:type="spellStart"/>
      <w:r w:rsidRPr="00183DD9">
        <w:t>veno</w:t>
      </w:r>
      <w:proofErr w:type="spellEnd"/>
      <w:r w:rsidRPr="00183DD9">
        <w:t xml:space="preserve">-occlusive disease (VOD) after reduced-intensity conditioning, one of which was fatal. Cases of fatal </w:t>
      </w:r>
      <w:proofErr w:type="spellStart"/>
      <w:r w:rsidRPr="00183DD9">
        <w:t>hyperacute</w:t>
      </w:r>
      <w:proofErr w:type="spellEnd"/>
      <w:r w:rsidRPr="00183DD9">
        <w:t xml:space="preserve"> GVHD after allogeneic HSCT have also been reported in patients with lymphoma who received a PD-1 receptor blocking antibody before transplantation. These complications may occur despite intervening therapy between PD-1 blockade and allogeneic HSCT. Follow patients closely for early evidence of transplant-related complications such as </w:t>
      </w:r>
      <w:proofErr w:type="spellStart"/>
      <w:r w:rsidRPr="00183DD9">
        <w:t>hyperacute</w:t>
      </w:r>
      <w:proofErr w:type="spellEnd"/>
      <w:r w:rsidRPr="00183DD9">
        <w:t xml:space="preserve"> GVHD, severe (Grade 3 to 4) acute GVHD, steroid-requiring febrile syndrome, hepatic VOD, and other immune mediated adverse reactions, and intervene promptly.</w:t>
      </w:r>
    </w:p>
    <w:p w:rsidR="00135868" w:rsidRPr="00183DD9" w:rsidRDefault="00135868" w:rsidP="00135868">
      <w:pPr>
        <w:pStyle w:val="Heading4"/>
      </w:pPr>
      <w:r w:rsidRPr="00183DD9">
        <w:t>Allogeneic HSCT prior to treatment with KEYTRUDA</w:t>
      </w:r>
    </w:p>
    <w:p w:rsidR="00135868" w:rsidRPr="00183DD9" w:rsidRDefault="00135868" w:rsidP="00135868">
      <w:r w:rsidRPr="00F274EA">
        <w:t xml:space="preserve">In patients with a history of allogeneic HSCT, </w:t>
      </w:r>
      <w:r>
        <w:t xml:space="preserve">acute </w:t>
      </w:r>
      <w:r w:rsidRPr="00F274EA">
        <w:t>GVHD</w:t>
      </w:r>
      <w:r>
        <w:t>, including fatal GVHD,</w:t>
      </w:r>
      <w:r w:rsidRPr="00F274EA">
        <w:t xml:space="preserve"> has been reported after treatment with</w:t>
      </w:r>
      <w:r w:rsidRPr="00183DD9">
        <w:t xml:space="preserve"> KEYTRUDA. Patients who experienced GVHD after their transplant procedure may be at increased risk for GVHD after treatment with KEYTRUDA. Consider the benefit of treatment with KEYTRUDA versus the risk of possible GVHD in patients with a history of allogeneic HSCT.</w:t>
      </w:r>
    </w:p>
    <w:p w:rsidR="00135868" w:rsidRPr="00183DD9" w:rsidRDefault="00135868" w:rsidP="00135868">
      <w:pPr>
        <w:pStyle w:val="Heading3"/>
      </w:pPr>
      <w:r w:rsidRPr="00183DD9">
        <w:t>Use of pembrolizumab in urothelial carcinoma patients who have received prior platinum-containing chemotherapy</w:t>
      </w:r>
    </w:p>
    <w:p w:rsidR="00135868" w:rsidRPr="00183DD9" w:rsidRDefault="00135868" w:rsidP="00135868">
      <w:r w:rsidRPr="00183DD9">
        <w:t xml:space="preserve">Physicians should consider the delayed onset of pembrolizumab effect before initiating treatment in patients with poorer prognostic features and/or aggressive disease. In urothelial cancer, a higher number of deaths within 2 months was observed in pembrolizumab compared to chemotherapy (see </w:t>
      </w:r>
      <w:r>
        <w:t>Section 5.1</w:t>
      </w:r>
      <w:r w:rsidRPr="00D577FE">
        <w:t xml:space="preserve"> PHARMACODYNAMIC PROPERTIES</w:t>
      </w:r>
      <w:r>
        <w:t>, Clinical Trials</w:t>
      </w:r>
      <w:r w:rsidRPr="00183DD9">
        <w:t>). Factors associated with early deaths were fast progressive disease on prior platinum therapy and liver metastases.</w:t>
      </w:r>
    </w:p>
    <w:p w:rsidR="00135868" w:rsidRPr="00183DD9" w:rsidRDefault="00135868" w:rsidP="00135868">
      <w:pPr>
        <w:pStyle w:val="Heading4"/>
      </w:pPr>
      <w:r w:rsidRPr="00183DD9">
        <w:lastRenderedPageBreak/>
        <w:t>Use of pembrolizumab in urothelial cancer for patients who are considered cisplatin ineligible</w:t>
      </w:r>
    </w:p>
    <w:p w:rsidR="00135868" w:rsidRPr="00183DD9" w:rsidRDefault="00135868" w:rsidP="00135868">
      <w:r w:rsidRPr="00183DD9">
        <w:t>The baseline and prognostic disease characteristics of the study population of KEYNOTE-052 included a proportion of patients eligible for a carboplatin-based combination or mono-chemotherapy for whom the benefit has not yet been assessed in a comparative study. No safety and efficacy data are available in frailer patients (e.g., ECOG performance status 3) considered not eligible for chemotherapy. In the absence of these data, pembrolizumab should be used with caution in this population after careful consideration of the potential risk-benefit on an individual basis.</w:t>
      </w:r>
    </w:p>
    <w:p w:rsidR="00135868" w:rsidRDefault="00135868" w:rsidP="00135868">
      <w:pPr>
        <w:pStyle w:val="Heading4"/>
      </w:pPr>
      <w:r>
        <w:t>Use of pembrolizumab in combination with chemotherapy for first-line treatment of patients with NSCLC</w:t>
      </w:r>
    </w:p>
    <w:p w:rsidR="00135868" w:rsidRDefault="00135868" w:rsidP="00135868">
      <w:r>
        <w:t xml:space="preserve">In general, the frequency of adverse reactions for pembrolizumab combination therapy is observed to be higher than for pembrolizumab monotherapy or chemotherapy alone, reflecting the contributions of each of these components (see sections 4.2 DOSE AND METHOD OF ADMINISTRATION and 4.8 ADVERSE EFFECTS). A direct comparison of the safety of pembrolizumab when used in combination with </w:t>
      </w:r>
      <w:proofErr w:type="spellStart"/>
      <w:r>
        <w:t>pemetrexed</w:t>
      </w:r>
      <w:proofErr w:type="spellEnd"/>
      <w:r>
        <w:t xml:space="preserve"> and platinum chemotherapy to pembrolizumab monotherapy is not available.</w:t>
      </w:r>
    </w:p>
    <w:p w:rsidR="00135868" w:rsidRDefault="00135868" w:rsidP="00135868">
      <w:r>
        <w:t>Efficacy and safety data from patients ≥ 75 years are limited. For patients ≥ 75 years, pembrolizumab combination therapy should be used with caution after careful consideration of the potential benefit/risk on an individual basis (see section 5.1 PHARMACODYNAMIC PROPERTIES, Clinical Trials).</w:t>
      </w:r>
    </w:p>
    <w:p w:rsidR="00135868" w:rsidRDefault="00135868" w:rsidP="00135868">
      <w:pPr>
        <w:pStyle w:val="Heading3"/>
      </w:pPr>
      <w:r>
        <w:t xml:space="preserve">4.5 </w:t>
      </w:r>
      <w:r w:rsidRPr="00AC1EB2">
        <w:t>INTERACTIONS WITH OTHER MEDICINES AND OTHER FORMS OF INTERACTIONS</w:t>
      </w:r>
    </w:p>
    <w:p w:rsidR="00135868" w:rsidRPr="00183DD9" w:rsidRDefault="00135868" w:rsidP="00135868">
      <w:r w:rsidRPr="00183DD9">
        <w:t xml:space="preserve">No formal pharmacokinetic drug interaction studies have been conducted with KEYTRUDA. Since pembrolizumab is cleared from the circulation through catabolism, no metabolic drug-drug interactions are expected. </w:t>
      </w:r>
    </w:p>
    <w:p w:rsidR="00135868" w:rsidRPr="00183DD9" w:rsidRDefault="00135868" w:rsidP="00135868">
      <w:r w:rsidRPr="00183DD9">
        <w:t xml:space="preserve">The use of systemic corticosteroids or </w:t>
      </w:r>
      <w:proofErr w:type="spellStart"/>
      <w:r w:rsidRPr="00183DD9">
        <w:t>immunosuppressants</w:t>
      </w:r>
      <w:proofErr w:type="spellEnd"/>
      <w:r w:rsidRPr="00183DD9">
        <w:t xml:space="preserve"> before starting KEYTRUDA should be avoided because of their potential interference with the pharmacodynamic activity and efficacy of KEYTRUDA. However, systemic corticosteroids or other </w:t>
      </w:r>
      <w:proofErr w:type="spellStart"/>
      <w:r w:rsidRPr="00183DD9">
        <w:t>immunosuppressants</w:t>
      </w:r>
      <w:proofErr w:type="spellEnd"/>
      <w:r w:rsidRPr="00183DD9">
        <w:t xml:space="preserve"> can be used after starting KEYTRUDA to treat immune-mediated adverse reactions [See </w:t>
      </w:r>
      <w:r>
        <w:t>Section 4.4</w:t>
      </w:r>
      <w:r w:rsidRPr="00D577FE">
        <w:t xml:space="preserve"> SPECIAL WARNINGS AND PRECAUTIONS FOR USE</w:t>
      </w:r>
      <w:r w:rsidRPr="00183DD9">
        <w:t>].</w:t>
      </w:r>
    </w:p>
    <w:p w:rsidR="00135868" w:rsidRPr="00667785" w:rsidRDefault="00135868" w:rsidP="00135868">
      <w:pPr>
        <w:pStyle w:val="Heading3"/>
      </w:pPr>
      <w:r>
        <w:t xml:space="preserve">4.6 </w:t>
      </w:r>
      <w:r w:rsidRPr="00AC1EB2">
        <w:t>FERTILITY, PREGNANCY AND LACTATION</w:t>
      </w:r>
    </w:p>
    <w:p w:rsidR="00135868" w:rsidRDefault="00135868" w:rsidP="00135868">
      <w:pPr>
        <w:pStyle w:val="Heading4"/>
      </w:pPr>
      <w:r w:rsidRPr="00AC1EB2">
        <w:t>Effects on fertility</w:t>
      </w:r>
    </w:p>
    <w:p w:rsidR="00135868" w:rsidRPr="00183DD9" w:rsidRDefault="00135868" w:rsidP="00135868">
      <w:r w:rsidRPr="00183DD9">
        <w:t>See Section 4.4</w:t>
      </w:r>
      <w:r w:rsidRPr="00D577FE">
        <w:t xml:space="preserve"> </w:t>
      </w:r>
      <w:r w:rsidRPr="002213C0">
        <w:t>SPECIAL WARNINGS AND PRECAUTIONS FOR USE</w:t>
      </w:r>
      <w:r>
        <w:t>, Effects on Fertility.</w:t>
      </w:r>
    </w:p>
    <w:p w:rsidR="00135868" w:rsidRDefault="00135868" w:rsidP="00135868">
      <w:pPr>
        <w:pStyle w:val="Heading3"/>
      </w:pPr>
      <w:r w:rsidRPr="00AC1EB2">
        <w:lastRenderedPageBreak/>
        <w:t>Use in pregnancy</w:t>
      </w:r>
    </w:p>
    <w:p w:rsidR="00135868" w:rsidRPr="00183DD9" w:rsidRDefault="00135868" w:rsidP="00135868">
      <w:r w:rsidRPr="00183DD9">
        <w:t>Category D (See Section 4.4</w:t>
      </w:r>
      <w:r w:rsidRPr="00D577FE">
        <w:t xml:space="preserve"> </w:t>
      </w:r>
      <w:r w:rsidRPr="002213C0">
        <w:t>SPECIAL WARNINGS AND PRECAUTIONS FOR USE</w:t>
      </w:r>
      <w:r>
        <w:t>, Use in Pregnancy</w:t>
      </w:r>
      <w:r w:rsidRPr="00183DD9">
        <w:t>).</w:t>
      </w:r>
    </w:p>
    <w:p w:rsidR="00135868" w:rsidRDefault="00135868" w:rsidP="00135868">
      <w:pPr>
        <w:pStyle w:val="Heading4"/>
      </w:pPr>
      <w:r w:rsidRPr="00AC1EB2">
        <w:t xml:space="preserve">Use in </w:t>
      </w:r>
      <w:r>
        <w:t>lactation</w:t>
      </w:r>
    </w:p>
    <w:p w:rsidR="00135868" w:rsidRPr="00183DD9" w:rsidRDefault="00135868" w:rsidP="00135868">
      <w:r w:rsidRPr="00183DD9">
        <w:t>See Section 4.4</w:t>
      </w:r>
      <w:r w:rsidRPr="00D577FE">
        <w:t xml:space="preserve"> </w:t>
      </w:r>
      <w:r w:rsidRPr="002213C0">
        <w:t>SPECIAL WARNINGS AND PRECAUTIONS FOR USE</w:t>
      </w:r>
      <w:r>
        <w:t>, Use in Lactation.</w:t>
      </w:r>
    </w:p>
    <w:p w:rsidR="00135868" w:rsidRPr="00AC1EB2" w:rsidRDefault="00135868" w:rsidP="00135868">
      <w:pPr>
        <w:pStyle w:val="Heading3"/>
      </w:pPr>
      <w:r>
        <w:t xml:space="preserve">4.7 </w:t>
      </w:r>
      <w:r w:rsidRPr="00AC1EB2">
        <w:t>EFFECTS ON ABILITY TO DRIVE AND USE MACHINES</w:t>
      </w:r>
    </w:p>
    <w:p w:rsidR="00135868" w:rsidRPr="00183DD9" w:rsidRDefault="00135868" w:rsidP="00135868">
      <w:r>
        <w:t>KEYTRUDA</w:t>
      </w:r>
      <w:r w:rsidRPr="00260891">
        <w:t xml:space="preserve"> may have a</w:t>
      </w:r>
      <w:r>
        <w:t>n</w:t>
      </w:r>
      <w:r w:rsidRPr="00260891">
        <w:t xml:space="preserve"> influence on the ability to drive and use machines. Fatigue has been reported following administration of </w:t>
      </w:r>
      <w:r>
        <w:t>KEYTRUDA [see Section 4.8</w:t>
      </w:r>
      <w:r w:rsidRPr="00D577FE">
        <w:t xml:space="preserve"> ADVERSE EFFECTS (UNDESIRABLE EFFECTS)</w:t>
      </w:r>
      <w:r>
        <w:t>]</w:t>
      </w:r>
      <w:r w:rsidRPr="00260891">
        <w:t>.</w:t>
      </w:r>
    </w:p>
    <w:p w:rsidR="00135868" w:rsidRPr="00AC1EB2" w:rsidRDefault="00135868" w:rsidP="00135868">
      <w:pPr>
        <w:pStyle w:val="Heading3"/>
      </w:pPr>
      <w:r>
        <w:t xml:space="preserve">4.8 </w:t>
      </w:r>
      <w:r w:rsidRPr="00AC1EB2">
        <w:t>ADVERSE EFFECTS (UNDESIRABLE EFFECTS)</w:t>
      </w:r>
    </w:p>
    <w:p w:rsidR="00135868" w:rsidRPr="00BB4418" w:rsidRDefault="00135868" w:rsidP="00135868">
      <w:pPr>
        <w:pStyle w:val="Heading4"/>
      </w:pPr>
      <w:r w:rsidRPr="00BB4418">
        <w:t>Clinical trials experience</w:t>
      </w:r>
    </w:p>
    <w:p w:rsidR="00135868" w:rsidRPr="00183DD9" w:rsidRDefault="00135868" w:rsidP="00135868">
      <w:r w:rsidRPr="00183DD9">
        <w:t xml:space="preserve">The safety of KEYTRUDA was evaluated in 2799 patients with </w:t>
      </w:r>
      <w:proofErr w:type="spellStart"/>
      <w:r w:rsidRPr="00183DD9">
        <w:t>unresectable</w:t>
      </w:r>
      <w:proofErr w:type="spellEnd"/>
      <w:r w:rsidRPr="00183DD9">
        <w:t xml:space="preserve"> or metastatic melanoma or metastatic NSCLC in controlled and uncontrolled studies. The median treatment duration was 4.2 months (range 1 day to 30.4 months) including 1153 patients treated for greater than or equal to six months and 600 patients treated for greater than or equal to one year. </w:t>
      </w:r>
    </w:p>
    <w:p w:rsidR="00135868" w:rsidRPr="00183DD9" w:rsidRDefault="00135868" w:rsidP="00135868">
      <w:r w:rsidRPr="00183DD9">
        <w:t>KEYTRUDA was discontinued for treatment-related adverse reactions in 5% of patients. Treatment-related serious adverse events (SAEs) reported up to 90 days after the last dose occurred in 10% of patients receiving KEYTRUDA. Of these treatment-related SAEs, the most common were: pneumonitis, colitis, diarrhoea, and pyrexia. The most common treatment-related adverse reactions (reported in &gt;10% of patients) were: fatigue, pruritus, rash, diarrhoea, and nausea. The safety profile was generally similar for patients with melanoma and NSCLC.</w:t>
      </w:r>
    </w:p>
    <w:p w:rsidR="00135868" w:rsidRPr="00183DD9" w:rsidRDefault="00135868" w:rsidP="00135868">
      <w:pPr>
        <w:pStyle w:val="Heading4"/>
      </w:pPr>
      <w:r w:rsidRPr="00183DD9">
        <w:t xml:space="preserve">Immune-mediated adverse reactions [see </w:t>
      </w:r>
      <w:r>
        <w:t>Section 4.4</w:t>
      </w:r>
      <w:r w:rsidRPr="005D55F7">
        <w:t xml:space="preserve"> SPECIAL WARNINGS AND PRECAUTIONS FOR USE</w:t>
      </w:r>
      <w:r w:rsidRPr="00183DD9">
        <w:t>]</w:t>
      </w:r>
    </w:p>
    <w:p w:rsidR="00135868" w:rsidRPr="00183DD9" w:rsidRDefault="00135868" w:rsidP="00135868">
      <w:r w:rsidRPr="00183DD9">
        <w:t xml:space="preserve">Immune-mediated adverse reactions are presented based on 2799 patients with melanoma and NSCLC. The safety profile was generally similar for patients with melanoma and NSCLC. Table </w:t>
      </w:r>
      <w:r>
        <w:t>2</w:t>
      </w:r>
      <w:r w:rsidRPr="00183DD9">
        <w:t xml:space="preserve"> presents the incidence of immune-mediated adverse reactions by Grade that occurred in patients receiving KEYTRUDA.</w:t>
      </w:r>
    </w:p>
    <w:p w:rsidR="00135868" w:rsidRPr="004172BA" w:rsidRDefault="00135868" w:rsidP="00135868">
      <w:pPr>
        <w:pStyle w:val="Tabletitle"/>
      </w:pPr>
      <w:r w:rsidRPr="00183DD9">
        <w:lastRenderedPageBreak/>
        <w:t xml:space="preserve">Table </w:t>
      </w:r>
      <w:r>
        <w:t>2</w:t>
      </w:r>
      <w:r w:rsidRPr="00183DD9">
        <w:t>: Immune-mediated Adverse Reactions</w:t>
      </w:r>
    </w:p>
    <w:tbl>
      <w:tblPr>
        <w:tblW w:w="3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045"/>
        <w:gridCol w:w="1050"/>
        <w:gridCol w:w="1050"/>
        <w:gridCol w:w="1196"/>
        <w:gridCol w:w="1019"/>
        <w:gridCol w:w="68"/>
      </w:tblGrid>
      <w:tr w:rsidR="00135868" w:rsidRPr="008272BD" w:rsidTr="00135868">
        <w:trPr>
          <w:tblHeader/>
          <w:jc w:val="center"/>
        </w:trPr>
        <w:tc>
          <w:tcPr>
            <w:tcW w:w="1233" w:type="pct"/>
            <w:shd w:val="clear" w:color="auto" w:fill="auto"/>
          </w:tcPr>
          <w:p w:rsidR="00135868" w:rsidRPr="008272BD" w:rsidRDefault="00135868" w:rsidP="00135868"/>
        </w:tc>
        <w:tc>
          <w:tcPr>
            <w:tcW w:w="3767" w:type="pct"/>
            <w:gridSpan w:val="6"/>
          </w:tcPr>
          <w:p w:rsidR="00135868" w:rsidRPr="00251B17" w:rsidRDefault="00135868" w:rsidP="00135868">
            <w:pPr>
              <w:pStyle w:val="TableParagraph"/>
              <w:rPr>
                <w:b/>
                <w:noProof/>
              </w:rPr>
            </w:pPr>
            <w:r w:rsidRPr="00251B17">
              <w:rPr>
                <w:b/>
                <w:noProof/>
              </w:rPr>
              <w:t>KEYTRUDA</w:t>
            </w:r>
          </w:p>
          <w:p w:rsidR="00135868" w:rsidRPr="00251B17" w:rsidRDefault="00135868" w:rsidP="00135868">
            <w:pPr>
              <w:pStyle w:val="TableParagraph"/>
              <w:rPr>
                <w:b/>
                <w:noProof/>
              </w:rPr>
            </w:pPr>
            <w:r w:rsidRPr="00251B17">
              <w:rPr>
                <w:b/>
                <w:noProof/>
              </w:rPr>
              <w:t>2 mg/kg every 3 weeks or 10 mg/kg every 2 or 3 weeks</w:t>
            </w:r>
          </w:p>
          <w:p w:rsidR="00135868" w:rsidRPr="008272BD" w:rsidRDefault="00135868" w:rsidP="00135868">
            <w:pPr>
              <w:pStyle w:val="TableParagraph"/>
              <w:rPr>
                <w:noProof/>
              </w:rPr>
            </w:pPr>
            <w:r w:rsidRPr="00251B17">
              <w:rPr>
                <w:b/>
                <w:noProof/>
              </w:rPr>
              <w:t>n=2799</w:t>
            </w:r>
          </w:p>
        </w:tc>
      </w:tr>
      <w:tr w:rsidR="00135868" w:rsidRPr="00251B17" w:rsidTr="00135868">
        <w:trPr>
          <w:tblHeader/>
          <w:jc w:val="center"/>
        </w:trPr>
        <w:tc>
          <w:tcPr>
            <w:tcW w:w="1233" w:type="pct"/>
            <w:shd w:val="clear" w:color="auto" w:fill="auto"/>
          </w:tcPr>
          <w:p w:rsidR="00135868" w:rsidRPr="00251B17" w:rsidRDefault="00135868" w:rsidP="00135868">
            <w:pPr>
              <w:pStyle w:val="TableParagraph"/>
              <w:rPr>
                <w:b/>
              </w:rPr>
            </w:pPr>
            <w:r w:rsidRPr="00251B17">
              <w:rPr>
                <w:b/>
              </w:rPr>
              <w:t>Adverse Reaction</w:t>
            </w:r>
          </w:p>
        </w:tc>
        <w:tc>
          <w:tcPr>
            <w:tcW w:w="725" w:type="pct"/>
          </w:tcPr>
          <w:p w:rsidR="00135868" w:rsidRPr="00251B17" w:rsidRDefault="00135868" w:rsidP="00135868">
            <w:pPr>
              <w:pStyle w:val="TableParagraph"/>
              <w:rPr>
                <w:b/>
                <w:noProof/>
              </w:rPr>
            </w:pPr>
            <w:r w:rsidRPr="00251B17">
              <w:rPr>
                <w:b/>
                <w:noProof/>
              </w:rPr>
              <w:t>All Grades</w:t>
            </w:r>
          </w:p>
          <w:p w:rsidR="00135868" w:rsidRPr="00251B17" w:rsidRDefault="00135868" w:rsidP="00135868">
            <w:pPr>
              <w:pStyle w:val="TableParagraph"/>
              <w:rPr>
                <w:b/>
                <w:noProof/>
              </w:rPr>
            </w:pPr>
            <w:r w:rsidRPr="00251B17">
              <w:rPr>
                <w:b/>
                <w:noProof/>
              </w:rPr>
              <w:t>(%)</w:t>
            </w:r>
          </w:p>
        </w:tc>
        <w:tc>
          <w:tcPr>
            <w:tcW w:w="729" w:type="pct"/>
          </w:tcPr>
          <w:p w:rsidR="00135868" w:rsidRPr="00251B17" w:rsidRDefault="00135868" w:rsidP="00135868">
            <w:pPr>
              <w:pStyle w:val="TableParagraph"/>
              <w:rPr>
                <w:b/>
                <w:noProof/>
              </w:rPr>
            </w:pPr>
            <w:r w:rsidRPr="00251B17">
              <w:rPr>
                <w:b/>
                <w:noProof/>
              </w:rPr>
              <w:t>Grade 2</w:t>
            </w:r>
          </w:p>
          <w:p w:rsidR="00135868" w:rsidRPr="00251B17" w:rsidRDefault="00135868" w:rsidP="00135868">
            <w:pPr>
              <w:pStyle w:val="TableParagraph"/>
              <w:rPr>
                <w:b/>
                <w:noProof/>
              </w:rPr>
            </w:pPr>
            <w:r w:rsidRPr="00251B17">
              <w:rPr>
                <w:b/>
                <w:noProof/>
              </w:rPr>
              <w:t>(%)</w:t>
            </w:r>
          </w:p>
        </w:tc>
        <w:tc>
          <w:tcPr>
            <w:tcW w:w="729" w:type="pct"/>
          </w:tcPr>
          <w:p w:rsidR="00135868" w:rsidRPr="00251B17" w:rsidRDefault="00135868" w:rsidP="00135868">
            <w:pPr>
              <w:pStyle w:val="TableParagraph"/>
              <w:rPr>
                <w:b/>
                <w:noProof/>
              </w:rPr>
            </w:pPr>
            <w:r w:rsidRPr="00251B17">
              <w:rPr>
                <w:b/>
                <w:noProof/>
              </w:rPr>
              <w:t>Grade 3</w:t>
            </w:r>
          </w:p>
          <w:p w:rsidR="00135868" w:rsidRPr="00251B17" w:rsidRDefault="00135868" w:rsidP="00135868">
            <w:pPr>
              <w:pStyle w:val="TableParagraph"/>
              <w:rPr>
                <w:b/>
                <w:noProof/>
              </w:rPr>
            </w:pPr>
            <w:r w:rsidRPr="00251B17">
              <w:rPr>
                <w:b/>
                <w:noProof/>
              </w:rPr>
              <w:t>(%)</w:t>
            </w:r>
          </w:p>
        </w:tc>
        <w:tc>
          <w:tcPr>
            <w:tcW w:w="830" w:type="pct"/>
          </w:tcPr>
          <w:p w:rsidR="00135868" w:rsidRPr="00251B17" w:rsidRDefault="00135868" w:rsidP="00135868">
            <w:pPr>
              <w:pStyle w:val="TableParagraph"/>
              <w:rPr>
                <w:b/>
                <w:noProof/>
              </w:rPr>
            </w:pPr>
            <w:r w:rsidRPr="00251B17">
              <w:rPr>
                <w:b/>
                <w:noProof/>
              </w:rPr>
              <w:t>Grade 4</w:t>
            </w:r>
          </w:p>
          <w:p w:rsidR="00135868" w:rsidRPr="00251B17" w:rsidRDefault="00135868" w:rsidP="00135868">
            <w:pPr>
              <w:pStyle w:val="TableParagraph"/>
              <w:rPr>
                <w:b/>
                <w:noProof/>
              </w:rPr>
            </w:pPr>
            <w:r w:rsidRPr="00251B17">
              <w:rPr>
                <w:b/>
                <w:noProof/>
              </w:rPr>
              <w:t>(%)</w:t>
            </w:r>
          </w:p>
        </w:tc>
        <w:tc>
          <w:tcPr>
            <w:tcW w:w="754" w:type="pct"/>
            <w:gridSpan w:val="2"/>
          </w:tcPr>
          <w:p w:rsidR="00135868" w:rsidRPr="00251B17" w:rsidRDefault="00135868" w:rsidP="00135868">
            <w:pPr>
              <w:pStyle w:val="TableParagraph"/>
              <w:rPr>
                <w:b/>
                <w:noProof/>
              </w:rPr>
            </w:pPr>
            <w:r w:rsidRPr="00251B17">
              <w:rPr>
                <w:b/>
                <w:noProof/>
              </w:rPr>
              <w:t>Grade 5</w:t>
            </w:r>
          </w:p>
          <w:p w:rsidR="00135868" w:rsidRPr="00251B17" w:rsidRDefault="00135868" w:rsidP="00135868">
            <w:pPr>
              <w:pStyle w:val="TableParagraph"/>
              <w:rPr>
                <w:b/>
                <w:noProof/>
              </w:rPr>
            </w:pPr>
            <w:r w:rsidRPr="00251B17">
              <w:rPr>
                <w:b/>
                <w:noProof/>
              </w:rPr>
              <w:t>(%)</w:t>
            </w:r>
          </w:p>
        </w:tc>
      </w:tr>
      <w:tr w:rsidR="00135868" w:rsidRPr="008272BD" w:rsidTr="00135868">
        <w:trPr>
          <w:jc w:val="center"/>
        </w:trPr>
        <w:tc>
          <w:tcPr>
            <w:tcW w:w="1233" w:type="pct"/>
            <w:shd w:val="clear" w:color="auto" w:fill="auto"/>
          </w:tcPr>
          <w:p w:rsidR="00135868" w:rsidRPr="008272BD" w:rsidRDefault="00135868" w:rsidP="00135868">
            <w:pPr>
              <w:pStyle w:val="TableParagraph"/>
              <w:rPr>
                <w:noProof/>
              </w:rPr>
            </w:pPr>
            <w:r w:rsidRPr="008272BD">
              <w:rPr>
                <w:noProof/>
              </w:rPr>
              <w:t>Hypothyroidism</w:t>
            </w:r>
            <w:r>
              <w:rPr>
                <w:noProof/>
              </w:rPr>
              <w:t>*</w:t>
            </w:r>
          </w:p>
        </w:tc>
        <w:tc>
          <w:tcPr>
            <w:tcW w:w="725" w:type="pct"/>
          </w:tcPr>
          <w:p w:rsidR="00135868" w:rsidRPr="008272BD" w:rsidRDefault="00135868" w:rsidP="00135868">
            <w:pPr>
              <w:pStyle w:val="TableParagraph"/>
              <w:rPr>
                <w:noProof/>
              </w:rPr>
            </w:pPr>
            <w:r>
              <w:rPr>
                <w:noProof/>
              </w:rPr>
              <w:t>8.5</w:t>
            </w:r>
          </w:p>
        </w:tc>
        <w:tc>
          <w:tcPr>
            <w:tcW w:w="729" w:type="pct"/>
          </w:tcPr>
          <w:p w:rsidR="00135868" w:rsidRPr="008272BD" w:rsidRDefault="00135868" w:rsidP="00135868">
            <w:pPr>
              <w:pStyle w:val="TableParagraph"/>
              <w:rPr>
                <w:noProof/>
              </w:rPr>
            </w:pPr>
            <w:r>
              <w:rPr>
                <w:noProof/>
              </w:rPr>
              <w:t>6.2</w:t>
            </w:r>
          </w:p>
        </w:tc>
        <w:tc>
          <w:tcPr>
            <w:tcW w:w="729" w:type="pct"/>
          </w:tcPr>
          <w:p w:rsidR="00135868" w:rsidRPr="008272BD" w:rsidRDefault="00135868" w:rsidP="00135868">
            <w:pPr>
              <w:pStyle w:val="TableParagraph"/>
              <w:rPr>
                <w:noProof/>
              </w:rPr>
            </w:pPr>
            <w:r w:rsidRPr="008272BD">
              <w:rPr>
                <w:noProof/>
              </w:rPr>
              <w:t>0.1</w:t>
            </w:r>
          </w:p>
        </w:tc>
        <w:tc>
          <w:tcPr>
            <w:tcW w:w="830" w:type="pct"/>
          </w:tcPr>
          <w:p w:rsidR="00135868" w:rsidRPr="008272BD" w:rsidRDefault="00135868" w:rsidP="00135868">
            <w:pPr>
              <w:pStyle w:val="TableParagraph"/>
              <w:rPr>
                <w:noProof/>
              </w:rPr>
            </w:pPr>
            <w:r w:rsidRPr="008272BD">
              <w:rPr>
                <w:noProof/>
              </w:rPr>
              <w:t>0</w:t>
            </w:r>
          </w:p>
        </w:tc>
        <w:tc>
          <w:tcPr>
            <w:tcW w:w="754" w:type="pct"/>
            <w:gridSpan w:val="2"/>
          </w:tcPr>
          <w:p w:rsidR="00135868" w:rsidRPr="008272BD" w:rsidRDefault="00135868" w:rsidP="00135868">
            <w:pPr>
              <w:pStyle w:val="TableParagraph"/>
              <w:rPr>
                <w:noProof/>
              </w:rPr>
            </w:pPr>
            <w:r w:rsidRPr="008272BD">
              <w:rPr>
                <w:noProof/>
              </w:rPr>
              <w:t>0</w:t>
            </w:r>
          </w:p>
        </w:tc>
      </w:tr>
      <w:tr w:rsidR="00135868" w:rsidRPr="008272BD" w:rsidTr="00135868">
        <w:trPr>
          <w:jc w:val="center"/>
        </w:trPr>
        <w:tc>
          <w:tcPr>
            <w:tcW w:w="1233" w:type="pct"/>
            <w:shd w:val="clear" w:color="auto" w:fill="auto"/>
          </w:tcPr>
          <w:p w:rsidR="00135868" w:rsidRPr="008272BD" w:rsidRDefault="00135868" w:rsidP="00135868">
            <w:pPr>
              <w:pStyle w:val="TableParagraph"/>
              <w:rPr>
                <w:noProof/>
              </w:rPr>
            </w:pPr>
            <w:r w:rsidRPr="008272BD">
              <w:rPr>
                <w:noProof/>
              </w:rPr>
              <w:t>Hyperthyroidism</w:t>
            </w:r>
          </w:p>
        </w:tc>
        <w:tc>
          <w:tcPr>
            <w:tcW w:w="725" w:type="pct"/>
          </w:tcPr>
          <w:p w:rsidR="00135868" w:rsidRPr="008272BD" w:rsidRDefault="00135868" w:rsidP="00135868">
            <w:pPr>
              <w:pStyle w:val="TableParagraph"/>
              <w:rPr>
                <w:noProof/>
              </w:rPr>
            </w:pPr>
            <w:r>
              <w:rPr>
                <w:noProof/>
              </w:rPr>
              <w:t>3.4</w:t>
            </w:r>
          </w:p>
        </w:tc>
        <w:tc>
          <w:tcPr>
            <w:tcW w:w="729" w:type="pct"/>
          </w:tcPr>
          <w:p w:rsidR="00135868" w:rsidRPr="008272BD" w:rsidRDefault="00135868" w:rsidP="00135868">
            <w:pPr>
              <w:pStyle w:val="TableParagraph"/>
              <w:rPr>
                <w:noProof/>
              </w:rPr>
            </w:pPr>
            <w:r>
              <w:rPr>
                <w:noProof/>
              </w:rPr>
              <w:t>0.8</w:t>
            </w:r>
          </w:p>
        </w:tc>
        <w:tc>
          <w:tcPr>
            <w:tcW w:w="729" w:type="pct"/>
          </w:tcPr>
          <w:p w:rsidR="00135868" w:rsidRPr="008272BD" w:rsidRDefault="00135868" w:rsidP="00135868">
            <w:pPr>
              <w:pStyle w:val="TableParagraph"/>
              <w:rPr>
                <w:noProof/>
              </w:rPr>
            </w:pPr>
            <w:r w:rsidRPr="008272BD">
              <w:rPr>
                <w:noProof/>
              </w:rPr>
              <w:t>0.1</w:t>
            </w:r>
          </w:p>
        </w:tc>
        <w:tc>
          <w:tcPr>
            <w:tcW w:w="830" w:type="pct"/>
          </w:tcPr>
          <w:p w:rsidR="00135868" w:rsidRPr="008272BD" w:rsidRDefault="00135868" w:rsidP="00135868">
            <w:pPr>
              <w:pStyle w:val="TableParagraph"/>
              <w:rPr>
                <w:noProof/>
              </w:rPr>
            </w:pPr>
            <w:r w:rsidRPr="008272BD">
              <w:rPr>
                <w:noProof/>
              </w:rPr>
              <w:t>0</w:t>
            </w:r>
          </w:p>
        </w:tc>
        <w:tc>
          <w:tcPr>
            <w:tcW w:w="754" w:type="pct"/>
            <w:gridSpan w:val="2"/>
          </w:tcPr>
          <w:p w:rsidR="00135868" w:rsidRPr="008272BD" w:rsidRDefault="00135868" w:rsidP="00135868">
            <w:pPr>
              <w:pStyle w:val="TableParagraph"/>
              <w:rPr>
                <w:noProof/>
              </w:rPr>
            </w:pPr>
            <w:r w:rsidRPr="008272BD">
              <w:rPr>
                <w:noProof/>
              </w:rPr>
              <w:t>0</w:t>
            </w:r>
          </w:p>
        </w:tc>
      </w:tr>
      <w:tr w:rsidR="00135868" w:rsidRPr="008272BD" w:rsidTr="00135868">
        <w:trPr>
          <w:jc w:val="center"/>
        </w:trPr>
        <w:tc>
          <w:tcPr>
            <w:tcW w:w="1233" w:type="pct"/>
            <w:shd w:val="clear" w:color="auto" w:fill="auto"/>
          </w:tcPr>
          <w:p w:rsidR="00135868" w:rsidRPr="008272BD" w:rsidRDefault="00135868" w:rsidP="00135868">
            <w:pPr>
              <w:pStyle w:val="TableParagraph"/>
              <w:rPr>
                <w:noProof/>
              </w:rPr>
            </w:pPr>
            <w:r w:rsidRPr="008272BD">
              <w:rPr>
                <w:noProof/>
              </w:rPr>
              <w:t>Pneumonitis</w:t>
            </w:r>
            <w:r w:rsidRPr="000D2673">
              <w:rPr>
                <w:vertAlign w:val="superscript"/>
              </w:rPr>
              <w:t>†</w:t>
            </w:r>
          </w:p>
        </w:tc>
        <w:tc>
          <w:tcPr>
            <w:tcW w:w="725" w:type="pct"/>
          </w:tcPr>
          <w:p w:rsidR="00135868" w:rsidRPr="00CD0D95" w:rsidRDefault="00135868" w:rsidP="00135868">
            <w:pPr>
              <w:pStyle w:val="TableParagraph"/>
              <w:rPr>
                <w:noProof/>
              </w:rPr>
            </w:pPr>
            <w:r>
              <w:rPr>
                <w:noProof/>
              </w:rPr>
              <w:t>3.4</w:t>
            </w:r>
          </w:p>
        </w:tc>
        <w:tc>
          <w:tcPr>
            <w:tcW w:w="729" w:type="pct"/>
          </w:tcPr>
          <w:p w:rsidR="00135868" w:rsidRPr="00CD0D95" w:rsidRDefault="00135868" w:rsidP="00135868">
            <w:pPr>
              <w:pStyle w:val="TableParagraph"/>
              <w:rPr>
                <w:noProof/>
              </w:rPr>
            </w:pPr>
            <w:r>
              <w:rPr>
                <w:noProof/>
              </w:rPr>
              <w:t>1.3</w:t>
            </w:r>
          </w:p>
        </w:tc>
        <w:tc>
          <w:tcPr>
            <w:tcW w:w="729" w:type="pct"/>
          </w:tcPr>
          <w:p w:rsidR="00135868" w:rsidRPr="00CD0D95" w:rsidRDefault="00135868" w:rsidP="00135868">
            <w:pPr>
              <w:pStyle w:val="TableParagraph"/>
              <w:rPr>
                <w:noProof/>
              </w:rPr>
            </w:pPr>
            <w:r>
              <w:rPr>
                <w:noProof/>
              </w:rPr>
              <w:t>0.9</w:t>
            </w:r>
          </w:p>
        </w:tc>
        <w:tc>
          <w:tcPr>
            <w:tcW w:w="830" w:type="pct"/>
          </w:tcPr>
          <w:p w:rsidR="00135868" w:rsidRPr="008272BD" w:rsidRDefault="00135868" w:rsidP="00135868">
            <w:pPr>
              <w:pStyle w:val="TableParagraph"/>
              <w:rPr>
                <w:noProof/>
              </w:rPr>
            </w:pPr>
            <w:r w:rsidRPr="008272BD">
              <w:rPr>
                <w:noProof/>
              </w:rPr>
              <w:t>0.</w:t>
            </w:r>
            <w:r>
              <w:rPr>
                <w:noProof/>
              </w:rPr>
              <w:t>3</w:t>
            </w:r>
          </w:p>
        </w:tc>
        <w:tc>
          <w:tcPr>
            <w:tcW w:w="754" w:type="pct"/>
            <w:gridSpan w:val="2"/>
          </w:tcPr>
          <w:p w:rsidR="00135868" w:rsidRPr="008272BD" w:rsidDel="0080638C" w:rsidRDefault="00135868" w:rsidP="00135868">
            <w:pPr>
              <w:pStyle w:val="TableParagraph"/>
              <w:rPr>
                <w:noProof/>
              </w:rPr>
            </w:pPr>
            <w:r w:rsidRPr="008272BD">
              <w:rPr>
                <w:noProof/>
              </w:rPr>
              <w:t>0.1</w:t>
            </w:r>
          </w:p>
        </w:tc>
      </w:tr>
      <w:tr w:rsidR="00135868" w:rsidRPr="008272BD" w:rsidTr="00135868">
        <w:trPr>
          <w:jc w:val="center"/>
        </w:trPr>
        <w:tc>
          <w:tcPr>
            <w:tcW w:w="1233" w:type="pct"/>
            <w:shd w:val="clear" w:color="auto" w:fill="auto"/>
          </w:tcPr>
          <w:p w:rsidR="00135868" w:rsidRPr="008272BD" w:rsidRDefault="00135868" w:rsidP="00135868">
            <w:pPr>
              <w:pStyle w:val="TableParagraph"/>
              <w:rPr>
                <w:noProof/>
              </w:rPr>
            </w:pPr>
            <w:r w:rsidRPr="008272BD">
              <w:rPr>
                <w:noProof/>
              </w:rPr>
              <w:t>Colitis</w:t>
            </w:r>
          </w:p>
        </w:tc>
        <w:tc>
          <w:tcPr>
            <w:tcW w:w="725" w:type="pct"/>
          </w:tcPr>
          <w:p w:rsidR="00135868" w:rsidRPr="008272BD" w:rsidRDefault="00135868" w:rsidP="00135868">
            <w:pPr>
              <w:pStyle w:val="TableParagraph"/>
              <w:rPr>
                <w:noProof/>
              </w:rPr>
            </w:pPr>
            <w:r w:rsidRPr="008272BD">
              <w:rPr>
                <w:noProof/>
              </w:rPr>
              <w:t>1.7</w:t>
            </w:r>
          </w:p>
        </w:tc>
        <w:tc>
          <w:tcPr>
            <w:tcW w:w="729" w:type="pct"/>
          </w:tcPr>
          <w:p w:rsidR="00135868" w:rsidRPr="008272BD" w:rsidRDefault="00135868" w:rsidP="00135868">
            <w:pPr>
              <w:pStyle w:val="TableParagraph"/>
              <w:rPr>
                <w:noProof/>
              </w:rPr>
            </w:pPr>
            <w:r w:rsidRPr="008272BD">
              <w:rPr>
                <w:noProof/>
              </w:rPr>
              <w:t>0.4</w:t>
            </w:r>
          </w:p>
        </w:tc>
        <w:tc>
          <w:tcPr>
            <w:tcW w:w="729" w:type="pct"/>
          </w:tcPr>
          <w:p w:rsidR="00135868" w:rsidRPr="008272BD" w:rsidRDefault="00135868" w:rsidP="00135868">
            <w:pPr>
              <w:pStyle w:val="TableParagraph"/>
              <w:rPr>
                <w:noProof/>
              </w:rPr>
            </w:pPr>
            <w:r>
              <w:rPr>
                <w:noProof/>
              </w:rPr>
              <w:t>1.1</w:t>
            </w:r>
          </w:p>
        </w:tc>
        <w:tc>
          <w:tcPr>
            <w:tcW w:w="830" w:type="pct"/>
          </w:tcPr>
          <w:p w:rsidR="00135868" w:rsidRPr="008272BD" w:rsidRDefault="00135868" w:rsidP="00135868">
            <w:pPr>
              <w:pStyle w:val="TableParagraph"/>
              <w:rPr>
                <w:noProof/>
              </w:rPr>
            </w:pPr>
            <w:r w:rsidRPr="008272BD">
              <w:rPr>
                <w:noProof/>
              </w:rPr>
              <w:t>&lt;0.1</w:t>
            </w:r>
          </w:p>
        </w:tc>
        <w:tc>
          <w:tcPr>
            <w:tcW w:w="754" w:type="pct"/>
            <w:gridSpan w:val="2"/>
          </w:tcPr>
          <w:p w:rsidR="00135868" w:rsidRPr="008272BD" w:rsidRDefault="00135868" w:rsidP="00135868">
            <w:pPr>
              <w:pStyle w:val="TableParagraph"/>
              <w:rPr>
                <w:noProof/>
              </w:rPr>
            </w:pPr>
            <w:r w:rsidRPr="008272BD">
              <w:rPr>
                <w:noProof/>
              </w:rPr>
              <w:t>0</w:t>
            </w:r>
          </w:p>
        </w:tc>
      </w:tr>
      <w:tr w:rsidR="00135868" w:rsidRPr="008272BD" w:rsidTr="00135868">
        <w:trPr>
          <w:jc w:val="center"/>
        </w:trPr>
        <w:tc>
          <w:tcPr>
            <w:tcW w:w="1233" w:type="pct"/>
            <w:shd w:val="clear" w:color="auto" w:fill="auto"/>
          </w:tcPr>
          <w:p w:rsidR="00135868" w:rsidRPr="008272BD" w:rsidRDefault="00135868" w:rsidP="00135868">
            <w:pPr>
              <w:pStyle w:val="TableParagraph"/>
              <w:rPr>
                <w:noProof/>
              </w:rPr>
            </w:pPr>
            <w:r w:rsidRPr="008272BD">
              <w:rPr>
                <w:noProof/>
              </w:rPr>
              <w:t>Hepatitis</w:t>
            </w:r>
          </w:p>
        </w:tc>
        <w:tc>
          <w:tcPr>
            <w:tcW w:w="725" w:type="pct"/>
          </w:tcPr>
          <w:p w:rsidR="00135868" w:rsidRPr="008272BD" w:rsidRDefault="00135868" w:rsidP="00135868">
            <w:pPr>
              <w:pStyle w:val="TableParagraph"/>
              <w:rPr>
                <w:noProof/>
              </w:rPr>
            </w:pPr>
            <w:r>
              <w:rPr>
                <w:noProof/>
              </w:rPr>
              <w:t>0.7</w:t>
            </w:r>
          </w:p>
        </w:tc>
        <w:tc>
          <w:tcPr>
            <w:tcW w:w="729" w:type="pct"/>
          </w:tcPr>
          <w:p w:rsidR="00135868" w:rsidRPr="008272BD" w:rsidRDefault="00135868" w:rsidP="00135868">
            <w:pPr>
              <w:pStyle w:val="TableParagraph"/>
              <w:rPr>
                <w:noProof/>
              </w:rPr>
            </w:pPr>
            <w:r w:rsidRPr="008272BD">
              <w:rPr>
                <w:noProof/>
              </w:rPr>
              <w:t>0.1</w:t>
            </w:r>
          </w:p>
        </w:tc>
        <w:tc>
          <w:tcPr>
            <w:tcW w:w="729" w:type="pct"/>
          </w:tcPr>
          <w:p w:rsidR="00135868" w:rsidRPr="008272BD" w:rsidRDefault="00135868" w:rsidP="00135868">
            <w:pPr>
              <w:pStyle w:val="TableParagraph"/>
              <w:rPr>
                <w:noProof/>
              </w:rPr>
            </w:pPr>
            <w:r>
              <w:rPr>
                <w:noProof/>
              </w:rPr>
              <w:t>0.4</w:t>
            </w:r>
          </w:p>
        </w:tc>
        <w:tc>
          <w:tcPr>
            <w:tcW w:w="830" w:type="pct"/>
          </w:tcPr>
          <w:p w:rsidR="00135868" w:rsidRPr="008272BD" w:rsidRDefault="00135868" w:rsidP="00135868">
            <w:pPr>
              <w:pStyle w:val="TableParagraph"/>
              <w:rPr>
                <w:noProof/>
              </w:rPr>
            </w:pPr>
            <w:r w:rsidRPr="008272BD">
              <w:rPr>
                <w:noProof/>
              </w:rPr>
              <w:t>&lt;0.1</w:t>
            </w:r>
          </w:p>
        </w:tc>
        <w:tc>
          <w:tcPr>
            <w:tcW w:w="754" w:type="pct"/>
            <w:gridSpan w:val="2"/>
          </w:tcPr>
          <w:p w:rsidR="00135868" w:rsidRPr="008272BD" w:rsidRDefault="00135868" w:rsidP="00135868">
            <w:pPr>
              <w:pStyle w:val="TableParagraph"/>
              <w:rPr>
                <w:noProof/>
              </w:rPr>
            </w:pPr>
            <w:r w:rsidRPr="008272BD">
              <w:rPr>
                <w:noProof/>
              </w:rPr>
              <w:t>0</w:t>
            </w:r>
          </w:p>
        </w:tc>
      </w:tr>
      <w:tr w:rsidR="00135868" w:rsidRPr="008272BD" w:rsidTr="00135868">
        <w:trPr>
          <w:jc w:val="center"/>
        </w:trPr>
        <w:tc>
          <w:tcPr>
            <w:tcW w:w="1233" w:type="pct"/>
            <w:shd w:val="clear" w:color="auto" w:fill="auto"/>
          </w:tcPr>
          <w:p w:rsidR="00135868" w:rsidRPr="008272BD" w:rsidRDefault="00135868" w:rsidP="00135868">
            <w:pPr>
              <w:pStyle w:val="TableParagraph"/>
              <w:rPr>
                <w:bCs/>
                <w:noProof/>
              </w:rPr>
            </w:pPr>
            <w:r w:rsidRPr="008272BD">
              <w:rPr>
                <w:noProof/>
              </w:rPr>
              <w:t>Hypophysitis</w:t>
            </w:r>
          </w:p>
        </w:tc>
        <w:tc>
          <w:tcPr>
            <w:tcW w:w="725" w:type="pct"/>
          </w:tcPr>
          <w:p w:rsidR="00135868" w:rsidRPr="008272BD" w:rsidRDefault="00135868" w:rsidP="00135868">
            <w:pPr>
              <w:pStyle w:val="TableParagraph"/>
              <w:rPr>
                <w:noProof/>
              </w:rPr>
            </w:pPr>
            <w:r>
              <w:rPr>
                <w:noProof/>
              </w:rPr>
              <w:t>0.6</w:t>
            </w:r>
          </w:p>
        </w:tc>
        <w:tc>
          <w:tcPr>
            <w:tcW w:w="729" w:type="pct"/>
          </w:tcPr>
          <w:p w:rsidR="00135868" w:rsidRPr="008272BD" w:rsidRDefault="00135868" w:rsidP="00135868">
            <w:pPr>
              <w:pStyle w:val="TableParagraph"/>
              <w:rPr>
                <w:noProof/>
              </w:rPr>
            </w:pPr>
            <w:r w:rsidRPr="008272BD">
              <w:rPr>
                <w:noProof/>
              </w:rPr>
              <w:t>0.2</w:t>
            </w:r>
          </w:p>
        </w:tc>
        <w:tc>
          <w:tcPr>
            <w:tcW w:w="729" w:type="pct"/>
          </w:tcPr>
          <w:p w:rsidR="00135868" w:rsidRPr="008272BD" w:rsidRDefault="00135868" w:rsidP="00135868">
            <w:pPr>
              <w:pStyle w:val="TableParagraph"/>
              <w:rPr>
                <w:noProof/>
              </w:rPr>
            </w:pPr>
            <w:r w:rsidRPr="008272BD">
              <w:rPr>
                <w:noProof/>
              </w:rPr>
              <w:t>0.3</w:t>
            </w:r>
          </w:p>
        </w:tc>
        <w:tc>
          <w:tcPr>
            <w:tcW w:w="830" w:type="pct"/>
          </w:tcPr>
          <w:p w:rsidR="00135868" w:rsidRPr="008272BD" w:rsidRDefault="00135868" w:rsidP="00135868">
            <w:pPr>
              <w:pStyle w:val="TableParagraph"/>
              <w:rPr>
                <w:noProof/>
              </w:rPr>
            </w:pPr>
            <w:r w:rsidRPr="008272BD">
              <w:rPr>
                <w:noProof/>
              </w:rPr>
              <w:t>&lt;0.1</w:t>
            </w:r>
          </w:p>
        </w:tc>
        <w:tc>
          <w:tcPr>
            <w:tcW w:w="754" w:type="pct"/>
            <w:gridSpan w:val="2"/>
          </w:tcPr>
          <w:p w:rsidR="00135868" w:rsidRPr="008272BD" w:rsidRDefault="00135868" w:rsidP="00135868">
            <w:pPr>
              <w:pStyle w:val="TableParagraph"/>
              <w:rPr>
                <w:noProof/>
              </w:rPr>
            </w:pPr>
            <w:r w:rsidRPr="008272BD">
              <w:rPr>
                <w:noProof/>
              </w:rPr>
              <w:t>0</w:t>
            </w:r>
          </w:p>
        </w:tc>
      </w:tr>
      <w:tr w:rsidR="00135868" w:rsidRPr="008272BD" w:rsidTr="00135868">
        <w:trPr>
          <w:jc w:val="center"/>
        </w:trPr>
        <w:tc>
          <w:tcPr>
            <w:tcW w:w="1233" w:type="pct"/>
            <w:shd w:val="clear" w:color="auto" w:fill="auto"/>
          </w:tcPr>
          <w:p w:rsidR="00135868" w:rsidRPr="008272BD" w:rsidRDefault="00135868" w:rsidP="00135868">
            <w:pPr>
              <w:pStyle w:val="TableParagraph"/>
              <w:rPr>
                <w:noProof/>
              </w:rPr>
            </w:pPr>
            <w:r w:rsidRPr="008272BD">
              <w:rPr>
                <w:noProof/>
              </w:rPr>
              <w:t>Nephritis</w:t>
            </w:r>
          </w:p>
        </w:tc>
        <w:tc>
          <w:tcPr>
            <w:tcW w:w="725" w:type="pct"/>
          </w:tcPr>
          <w:p w:rsidR="00135868" w:rsidRPr="008272BD" w:rsidRDefault="00135868" w:rsidP="00135868">
            <w:pPr>
              <w:pStyle w:val="TableParagraph"/>
              <w:rPr>
                <w:noProof/>
              </w:rPr>
            </w:pPr>
            <w:r w:rsidRPr="008272BD">
              <w:rPr>
                <w:noProof/>
              </w:rPr>
              <w:t>0.3</w:t>
            </w:r>
          </w:p>
        </w:tc>
        <w:tc>
          <w:tcPr>
            <w:tcW w:w="729" w:type="pct"/>
          </w:tcPr>
          <w:p w:rsidR="00135868" w:rsidRPr="008272BD" w:rsidRDefault="00135868" w:rsidP="00135868">
            <w:pPr>
              <w:pStyle w:val="TableParagraph"/>
              <w:rPr>
                <w:noProof/>
              </w:rPr>
            </w:pPr>
            <w:r w:rsidRPr="008272BD">
              <w:rPr>
                <w:noProof/>
              </w:rPr>
              <w:t>0.1</w:t>
            </w:r>
          </w:p>
        </w:tc>
        <w:tc>
          <w:tcPr>
            <w:tcW w:w="729" w:type="pct"/>
          </w:tcPr>
          <w:p w:rsidR="00135868" w:rsidRPr="008272BD" w:rsidRDefault="00135868" w:rsidP="00135868">
            <w:pPr>
              <w:pStyle w:val="TableParagraph"/>
              <w:rPr>
                <w:noProof/>
              </w:rPr>
            </w:pPr>
            <w:r w:rsidRPr="008272BD">
              <w:rPr>
                <w:noProof/>
              </w:rPr>
              <w:t>0.1</w:t>
            </w:r>
          </w:p>
        </w:tc>
        <w:tc>
          <w:tcPr>
            <w:tcW w:w="830" w:type="pct"/>
          </w:tcPr>
          <w:p w:rsidR="00135868" w:rsidRPr="008272BD" w:rsidRDefault="00135868" w:rsidP="00135868">
            <w:pPr>
              <w:pStyle w:val="TableParagraph"/>
              <w:rPr>
                <w:noProof/>
              </w:rPr>
            </w:pPr>
            <w:r w:rsidRPr="008272BD">
              <w:rPr>
                <w:noProof/>
              </w:rPr>
              <w:t>&lt;0.1</w:t>
            </w:r>
          </w:p>
        </w:tc>
        <w:tc>
          <w:tcPr>
            <w:tcW w:w="754" w:type="pct"/>
            <w:gridSpan w:val="2"/>
          </w:tcPr>
          <w:p w:rsidR="00135868" w:rsidRPr="008272BD" w:rsidRDefault="00135868" w:rsidP="00135868">
            <w:pPr>
              <w:pStyle w:val="TableParagraph"/>
              <w:rPr>
                <w:noProof/>
              </w:rPr>
            </w:pPr>
            <w:r w:rsidRPr="008272BD">
              <w:rPr>
                <w:noProof/>
              </w:rPr>
              <w:t>0</w:t>
            </w:r>
          </w:p>
        </w:tc>
      </w:tr>
      <w:tr w:rsidR="00135868" w:rsidRPr="008272BD" w:rsidTr="00135868">
        <w:trPr>
          <w:jc w:val="center"/>
        </w:trPr>
        <w:tc>
          <w:tcPr>
            <w:tcW w:w="1233" w:type="pct"/>
            <w:shd w:val="clear" w:color="auto" w:fill="auto"/>
          </w:tcPr>
          <w:p w:rsidR="00135868" w:rsidRPr="008272BD" w:rsidRDefault="00135868" w:rsidP="00135868">
            <w:pPr>
              <w:pStyle w:val="TableParagraph"/>
              <w:rPr>
                <w:noProof/>
              </w:rPr>
            </w:pPr>
            <w:r w:rsidRPr="008272BD">
              <w:rPr>
                <w:noProof/>
              </w:rPr>
              <w:t>Type 1 Diabetes Mellitus</w:t>
            </w:r>
          </w:p>
        </w:tc>
        <w:tc>
          <w:tcPr>
            <w:tcW w:w="725" w:type="pct"/>
          </w:tcPr>
          <w:p w:rsidR="00135868" w:rsidRPr="008272BD" w:rsidDel="00F95B36" w:rsidRDefault="00135868" w:rsidP="00135868">
            <w:pPr>
              <w:pStyle w:val="TableParagraph"/>
              <w:rPr>
                <w:noProof/>
              </w:rPr>
            </w:pPr>
            <w:r>
              <w:rPr>
                <w:noProof/>
              </w:rPr>
              <w:t>0.2</w:t>
            </w:r>
          </w:p>
        </w:tc>
        <w:tc>
          <w:tcPr>
            <w:tcW w:w="729" w:type="pct"/>
          </w:tcPr>
          <w:p w:rsidR="00135868" w:rsidRPr="008272BD" w:rsidRDefault="00135868" w:rsidP="00135868">
            <w:pPr>
              <w:pStyle w:val="TableParagraph"/>
              <w:rPr>
                <w:noProof/>
              </w:rPr>
            </w:pPr>
            <w:r w:rsidRPr="008272BD">
              <w:rPr>
                <w:noProof/>
              </w:rPr>
              <w:t>&lt;0.1</w:t>
            </w:r>
          </w:p>
        </w:tc>
        <w:tc>
          <w:tcPr>
            <w:tcW w:w="729" w:type="pct"/>
          </w:tcPr>
          <w:p w:rsidR="00135868" w:rsidRPr="008272BD" w:rsidRDefault="00135868" w:rsidP="00135868">
            <w:pPr>
              <w:pStyle w:val="TableParagraph"/>
              <w:rPr>
                <w:noProof/>
              </w:rPr>
            </w:pPr>
            <w:r>
              <w:rPr>
                <w:noProof/>
              </w:rPr>
              <w:t>0.1</w:t>
            </w:r>
          </w:p>
        </w:tc>
        <w:tc>
          <w:tcPr>
            <w:tcW w:w="830" w:type="pct"/>
          </w:tcPr>
          <w:p w:rsidR="00135868" w:rsidRPr="008272BD" w:rsidRDefault="00135868" w:rsidP="00135868">
            <w:pPr>
              <w:pStyle w:val="TableParagraph"/>
              <w:rPr>
                <w:noProof/>
              </w:rPr>
            </w:pPr>
            <w:r w:rsidRPr="008272BD">
              <w:rPr>
                <w:noProof/>
              </w:rPr>
              <w:t>0.1</w:t>
            </w:r>
          </w:p>
        </w:tc>
        <w:tc>
          <w:tcPr>
            <w:tcW w:w="754" w:type="pct"/>
            <w:gridSpan w:val="2"/>
          </w:tcPr>
          <w:p w:rsidR="00135868" w:rsidRPr="008272BD" w:rsidRDefault="00135868" w:rsidP="00135868">
            <w:pPr>
              <w:pStyle w:val="TableParagraph"/>
              <w:rPr>
                <w:noProof/>
              </w:rPr>
            </w:pPr>
            <w:r w:rsidRPr="008272BD">
              <w:rPr>
                <w:noProof/>
              </w:rPr>
              <w:t>0</w:t>
            </w:r>
          </w:p>
        </w:tc>
      </w:tr>
      <w:tr w:rsidR="00135868" w:rsidRPr="008272BD" w:rsidTr="00135868">
        <w:trPr>
          <w:gridAfter w:val="1"/>
          <w:wAfter w:w="47" w:type="pct"/>
          <w:jc w:val="center"/>
        </w:trPr>
        <w:tc>
          <w:tcPr>
            <w:tcW w:w="4953" w:type="pct"/>
            <w:gridSpan w:val="6"/>
            <w:tcBorders>
              <w:top w:val="nil"/>
              <w:left w:val="nil"/>
              <w:bottom w:val="nil"/>
              <w:right w:val="nil"/>
            </w:tcBorders>
            <w:shd w:val="clear" w:color="auto" w:fill="auto"/>
          </w:tcPr>
          <w:p w:rsidR="00135868" w:rsidRDefault="00135868" w:rsidP="00135868">
            <w:pPr>
              <w:pStyle w:val="TableFooter"/>
              <w:jc w:val="left"/>
            </w:pPr>
            <w:r w:rsidRPr="00251B17">
              <w:t xml:space="preserve">* In patients with HNSCC (n=192) the incidence of hypothyroidism was 14.6% (all Grades) with 0.5.% Grade 3. In patients with </w:t>
            </w:r>
            <w:proofErr w:type="spellStart"/>
            <w:r w:rsidRPr="00251B17">
              <w:t>cHL</w:t>
            </w:r>
            <w:proofErr w:type="spellEnd"/>
            <w:r w:rsidRPr="00251B17">
              <w:t xml:space="preserve"> (n=241) the incidence of hypothyroidism was 14.1% (all Grades) with 0.4% Grade 3.</w:t>
            </w:r>
          </w:p>
          <w:p w:rsidR="00135868" w:rsidRDefault="00135868" w:rsidP="00135868">
            <w:pPr>
              <w:pStyle w:val="TableFooter"/>
              <w:jc w:val="left"/>
            </w:pPr>
            <w:r w:rsidRPr="000D2673">
              <w:rPr>
                <w:vertAlign w:val="superscript"/>
              </w:rPr>
              <w:t>†</w:t>
            </w:r>
            <w:r>
              <w:t xml:space="preserve"> </w:t>
            </w:r>
            <w:r w:rsidRPr="000D2673">
              <w:t>In individual studies of patients with NSCLC treated with KEYTRUDA as monotherapy (total n=2022), the incidence of pneumonitis (all Grades) ranged from 3.8% to 8.3%.</w:t>
            </w:r>
          </w:p>
          <w:p w:rsidR="00135868" w:rsidRPr="00251B17" w:rsidRDefault="00135868" w:rsidP="00135868">
            <w:pPr>
              <w:pStyle w:val="TableFooter"/>
              <w:jc w:val="left"/>
            </w:pPr>
          </w:p>
        </w:tc>
      </w:tr>
    </w:tbl>
    <w:p w:rsidR="00135868" w:rsidRPr="00183DD9" w:rsidRDefault="00135868" w:rsidP="00135868">
      <w:r w:rsidRPr="00183DD9">
        <w:t xml:space="preserve">Incidences of pneumonitis in individual studies in </w:t>
      </w:r>
      <w:r>
        <w:t xml:space="preserve">patients with </w:t>
      </w:r>
      <w:r w:rsidRPr="00183DD9">
        <w:t xml:space="preserve">melanoma </w:t>
      </w:r>
      <w:r>
        <w:t>or</w:t>
      </w:r>
      <w:r w:rsidRPr="00183DD9">
        <w:t xml:space="preserve"> non-small cell lung cancer </w:t>
      </w:r>
      <w:r>
        <w:t xml:space="preserve">treated with KEYTRUDA as monotherapy </w:t>
      </w:r>
      <w:r w:rsidRPr="00183DD9">
        <w:t>ranged from 1.6% to 5.8%.</w:t>
      </w:r>
    </w:p>
    <w:p w:rsidR="00135868" w:rsidRPr="00183DD9" w:rsidRDefault="00135868" w:rsidP="00135868">
      <w:proofErr w:type="spellStart"/>
      <w:r w:rsidRPr="00887BF8">
        <w:rPr>
          <w:b/>
          <w:i/>
        </w:rPr>
        <w:t>Endocrinopathies</w:t>
      </w:r>
      <w:proofErr w:type="spellEnd"/>
      <w:r w:rsidRPr="00887BF8">
        <w:rPr>
          <w:b/>
        </w:rPr>
        <w:t>:</w:t>
      </w:r>
      <w:r w:rsidRPr="00183DD9">
        <w:t xml:space="preserve"> The median time to onset of </w:t>
      </w:r>
      <w:proofErr w:type="spellStart"/>
      <w:r w:rsidRPr="00183DD9">
        <w:t>hypophysitis</w:t>
      </w:r>
      <w:proofErr w:type="spellEnd"/>
      <w:r w:rsidRPr="00183DD9">
        <w:t xml:space="preserve"> was 3.7 months (range 1 day to 11.9 months). The median duration was 4.7 months (range 8+ days to 12.7+ months). </w:t>
      </w:r>
      <w:proofErr w:type="spellStart"/>
      <w:r w:rsidRPr="00183DD9">
        <w:t>Hypophysitis</w:t>
      </w:r>
      <w:proofErr w:type="spellEnd"/>
      <w:r w:rsidRPr="00183DD9">
        <w:t xml:space="preserve"> led to discontinuation of KEYTRUDA in 4 (0.1%) patients. </w:t>
      </w:r>
      <w:proofErr w:type="spellStart"/>
      <w:r w:rsidRPr="00183DD9">
        <w:t>Hypophysitis</w:t>
      </w:r>
      <w:proofErr w:type="spellEnd"/>
      <w:r w:rsidRPr="00183DD9">
        <w:t xml:space="preserve"> resolved in 7 patients. The median time to onset of hyperthyroidism was 1.4 months (range 1 day to 21.9 months). The median duration was 2.1 months (range 3 days to 15.0+ months). Hyperthyroidism led to discontinuation of KEYTRUDA in 2 (&lt;0.1%) patients. Hyperthyroidism resolved in 71 patients. The median time to onset of hypothyroidism was 3.5 months (range 1 day to 18.9 months). The median duration was not reached (range 2 days to 27.7+ months). One (&lt;0.1%) patient discontinued KEYTRUDA due to hypothyroidism.</w:t>
      </w:r>
    </w:p>
    <w:p w:rsidR="00135868" w:rsidRPr="00183DD9" w:rsidRDefault="00135868" w:rsidP="00135868">
      <w:r w:rsidRPr="00887BF8">
        <w:rPr>
          <w:b/>
          <w:i/>
        </w:rPr>
        <w:t>Pneumonitis</w:t>
      </w:r>
      <w:r w:rsidRPr="00887BF8">
        <w:rPr>
          <w:b/>
        </w:rPr>
        <w:t>:</w:t>
      </w:r>
      <w:r w:rsidRPr="00183DD9">
        <w:t xml:space="preserve"> The median time to onset of pneumonitis was 3.3 months (range 2 days to 19.3 months). The median duration was 1.5 months (range 1 day to 17.2+ months). Pneumonitis led to discontinuation of KEYTRUDA in 36 (1.3%) patients. Pneumonitis resolved in 55 patients.</w:t>
      </w:r>
    </w:p>
    <w:p w:rsidR="00135868" w:rsidRPr="00183DD9" w:rsidRDefault="00135868" w:rsidP="00135868">
      <w:r w:rsidRPr="00887BF8">
        <w:rPr>
          <w:b/>
          <w:i/>
        </w:rPr>
        <w:t>Colitis</w:t>
      </w:r>
      <w:r w:rsidRPr="00887BF8">
        <w:rPr>
          <w:b/>
        </w:rPr>
        <w:t>:</w:t>
      </w:r>
      <w:r w:rsidRPr="00183DD9">
        <w:t xml:space="preserve"> The median time to onset of colitis was 3.5 months (range 10 days to 16.2 months). The median duration was 1.3 months (range 1 day to 8.7+ months). Colitis led to discontinuation of KEYTRUDA in 15 (0.5%) patients. Colitis resolved in 41 patients.</w:t>
      </w:r>
    </w:p>
    <w:p w:rsidR="00135868" w:rsidRPr="00183DD9" w:rsidRDefault="00135868" w:rsidP="00135868">
      <w:r w:rsidRPr="00887BF8">
        <w:rPr>
          <w:b/>
          <w:i/>
        </w:rPr>
        <w:t>Hepatitis</w:t>
      </w:r>
      <w:r w:rsidRPr="00887BF8">
        <w:rPr>
          <w:b/>
        </w:rPr>
        <w:t>:</w:t>
      </w:r>
      <w:r w:rsidRPr="00183DD9">
        <w:t xml:space="preserve"> The median time to onset of hepatitis was 1.3 months (range 8 days to 21.4 months). The median duration was 1.8 months (range 8 days to 20.9+ months). Hepatitis led to discontinuation of KEYTRUDA in 6 (0.2%) patients. Hepatitis resolved in 15 patients. </w:t>
      </w:r>
    </w:p>
    <w:p w:rsidR="00135868" w:rsidRPr="00183DD9" w:rsidRDefault="00135868" w:rsidP="00135868">
      <w:r w:rsidRPr="00887BF8">
        <w:rPr>
          <w:b/>
          <w:i/>
        </w:rPr>
        <w:t>Nephritis</w:t>
      </w:r>
      <w:r w:rsidRPr="00887BF8">
        <w:rPr>
          <w:b/>
        </w:rPr>
        <w:t>:</w:t>
      </w:r>
      <w:r w:rsidRPr="00183DD9">
        <w:t xml:space="preserve"> The median time to onset of nephritis was 5.1 months (range 12 days to 12.8 months). The median duration was 3.3 months (range 12 days to 8.9+ months). Nephritis </w:t>
      </w:r>
      <w:r w:rsidRPr="00183DD9">
        <w:lastRenderedPageBreak/>
        <w:t>led to discontinuation of KEYTRUDA in 3 (0.1%) patients. Nephritis resolved in 5 patients.</w:t>
      </w:r>
      <w:r w:rsidRPr="005E0019">
        <w:t xml:space="preserve"> In patients with non-squamous NSCLC treated with pembrolizumab in combination with </w:t>
      </w:r>
      <w:proofErr w:type="spellStart"/>
      <w:r w:rsidRPr="005E0019">
        <w:t>pemetrexed</w:t>
      </w:r>
      <w:proofErr w:type="spellEnd"/>
      <w:r w:rsidRPr="005E0019">
        <w:t xml:space="preserve"> and platinum chemotherapy (n=405), the incidence of nephritis was 1.7% (all Grades) with 1.0% Grade 3 and 0.5% Grade 4.</w:t>
      </w:r>
    </w:p>
    <w:p w:rsidR="00135868" w:rsidRPr="00891578" w:rsidRDefault="00135868" w:rsidP="00135868">
      <w:pPr>
        <w:rPr>
          <w:b/>
          <w:bCs/>
        </w:rPr>
      </w:pPr>
      <w:r w:rsidRPr="00891578">
        <w:rPr>
          <w:b/>
          <w:bCs/>
        </w:rPr>
        <w:t>Other adverse events</w:t>
      </w:r>
    </w:p>
    <w:p w:rsidR="00135868" w:rsidRPr="00135868" w:rsidRDefault="00135868" w:rsidP="00135868">
      <w:pPr>
        <w:rPr>
          <w:u w:val="single"/>
        </w:rPr>
      </w:pPr>
      <w:r w:rsidRPr="00135868">
        <w:rPr>
          <w:u w:val="single"/>
        </w:rPr>
        <w:t>Melanoma</w:t>
      </w:r>
    </w:p>
    <w:p w:rsidR="00135868" w:rsidRPr="00135868" w:rsidRDefault="00135868" w:rsidP="00135868">
      <w:r w:rsidRPr="00135868">
        <w:t>Table 3 summarizes the adverse events that occurred in at least 10% of patients with melanoma treated with KEYTRUDA in KEYNOTE-006. The most common adverse events (reported in at least 15% of patients) were arthralgia and cough.</w:t>
      </w:r>
    </w:p>
    <w:p w:rsidR="00135868" w:rsidRPr="00135868" w:rsidRDefault="00135868" w:rsidP="00891578">
      <w:pPr>
        <w:pStyle w:val="Tabletitle"/>
      </w:pPr>
      <w:r w:rsidRPr="00135868">
        <w:t>Table 3: Adverse Events Occurring in ≥10% of Patients treated with KEYTRUDA and at a Higher Incidence than in the Ipilimumab Arm (Between Arm Difference of ≥5% [All Grades] or ≥2% [Grade 3]) (KEYNOTE-006)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4"/>
        <w:gridCol w:w="1560"/>
        <w:gridCol w:w="1984"/>
        <w:gridCol w:w="1701"/>
      </w:tblGrid>
      <w:tr w:rsidR="00135868" w:rsidRPr="00891578" w:rsidTr="00891578">
        <w:trPr>
          <w:jc w:val="center"/>
        </w:trPr>
        <w:tc>
          <w:tcPr>
            <w:tcW w:w="1980" w:type="dxa"/>
            <w:tcBorders>
              <w:top w:val="single" w:sz="4" w:space="0" w:color="auto"/>
              <w:left w:val="single" w:sz="4" w:space="0" w:color="auto"/>
              <w:bottom w:val="single" w:sz="4" w:space="0" w:color="auto"/>
              <w:right w:val="single" w:sz="4" w:space="0" w:color="auto"/>
            </w:tcBorders>
          </w:tcPr>
          <w:p w:rsidR="00135868" w:rsidRPr="00891578" w:rsidRDefault="00135868" w:rsidP="00135868">
            <w:pPr>
              <w:rPr>
                <w:sz w:val="20"/>
                <w:szCs w:val="20"/>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b/>
                <w:sz w:val="20"/>
                <w:szCs w:val="20"/>
              </w:rPr>
            </w:pPr>
            <w:r w:rsidRPr="00891578">
              <w:rPr>
                <w:b/>
                <w:sz w:val="20"/>
                <w:szCs w:val="20"/>
              </w:rPr>
              <w:t>KEYTRUDA</w:t>
            </w:r>
          </w:p>
          <w:p w:rsidR="00135868" w:rsidRPr="00891578" w:rsidRDefault="00135868" w:rsidP="00891578">
            <w:pPr>
              <w:rPr>
                <w:b/>
                <w:sz w:val="20"/>
                <w:szCs w:val="20"/>
              </w:rPr>
            </w:pPr>
            <w:r w:rsidRPr="00891578">
              <w:rPr>
                <w:b/>
                <w:sz w:val="20"/>
                <w:szCs w:val="20"/>
              </w:rPr>
              <w:t>10 mg/kg every 2 or 3 weeks</w:t>
            </w:r>
            <w:r w:rsidR="00891578">
              <w:rPr>
                <w:b/>
                <w:sz w:val="20"/>
                <w:szCs w:val="20"/>
              </w:rPr>
              <w:t xml:space="preserve"> </w:t>
            </w:r>
            <w:r w:rsidRPr="00891578">
              <w:rPr>
                <w:b/>
                <w:sz w:val="20"/>
                <w:szCs w:val="20"/>
              </w:rPr>
              <w:t>n=555</w:t>
            </w:r>
          </w:p>
        </w:tc>
        <w:tc>
          <w:tcPr>
            <w:tcW w:w="3685" w:type="dxa"/>
            <w:gridSpan w:val="2"/>
            <w:tcBorders>
              <w:top w:val="single" w:sz="4" w:space="0" w:color="auto"/>
              <w:left w:val="single" w:sz="4" w:space="0" w:color="auto"/>
              <w:bottom w:val="single" w:sz="4" w:space="0" w:color="auto"/>
              <w:right w:val="single" w:sz="4" w:space="0" w:color="auto"/>
            </w:tcBorders>
            <w:hideMark/>
          </w:tcPr>
          <w:p w:rsidR="00135868" w:rsidRPr="00891578" w:rsidRDefault="00135868" w:rsidP="00891578">
            <w:pPr>
              <w:rPr>
                <w:b/>
                <w:sz w:val="20"/>
                <w:szCs w:val="20"/>
              </w:rPr>
            </w:pPr>
            <w:r w:rsidRPr="00891578">
              <w:rPr>
                <w:b/>
                <w:sz w:val="20"/>
                <w:szCs w:val="20"/>
              </w:rPr>
              <w:t>Ipilimumab</w:t>
            </w:r>
            <w:r w:rsidR="00891578">
              <w:rPr>
                <w:b/>
                <w:sz w:val="20"/>
                <w:szCs w:val="20"/>
              </w:rPr>
              <w:t xml:space="preserve"> </w:t>
            </w:r>
            <w:r w:rsidRPr="00891578">
              <w:rPr>
                <w:b/>
                <w:sz w:val="20"/>
                <w:szCs w:val="20"/>
              </w:rPr>
              <w:t>3 mg/kg every 3 weeks</w:t>
            </w:r>
            <w:r w:rsidR="00891578">
              <w:rPr>
                <w:b/>
                <w:sz w:val="20"/>
                <w:szCs w:val="20"/>
              </w:rPr>
              <w:t xml:space="preserve"> </w:t>
            </w:r>
            <w:r w:rsidRPr="00891578">
              <w:rPr>
                <w:b/>
                <w:sz w:val="20"/>
                <w:szCs w:val="20"/>
              </w:rPr>
              <w:t>n=256</w:t>
            </w:r>
          </w:p>
        </w:tc>
      </w:tr>
      <w:tr w:rsidR="00135868" w:rsidRPr="00891578" w:rsidTr="00891578">
        <w:trPr>
          <w:jc w:val="center"/>
        </w:trPr>
        <w:tc>
          <w:tcPr>
            <w:tcW w:w="1980" w:type="dxa"/>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b/>
                <w:bCs/>
                <w:sz w:val="20"/>
                <w:szCs w:val="20"/>
              </w:rPr>
            </w:pPr>
            <w:r w:rsidRPr="00891578">
              <w:rPr>
                <w:b/>
                <w:sz w:val="20"/>
                <w:szCs w:val="20"/>
              </w:rPr>
              <w:t>Adverse Events</w:t>
            </w:r>
          </w:p>
        </w:tc>
        <w:tc>
          <w:tcPr>
            <w:tcW w:w="1984" w:type="dxa"/>
            <w:tcBorders>
              <w:top w:val="single" w:sz="4" w:space="0" w:color="auto"/>
              <w:left w:val="single" w:sz="4" w:space="0" w:color="auto"/>
              <w:bottom w:val="single" w:sz="4" w:space="0" w:color="auto"/>
              <w:right w:val="single" w:sz="4" w:space="0" w:color="auto"/>
            </w:tcBorders>
            <w:hideMark/>
          </w:tcPr>
          <w:p w:rsidR="00135868" w:rsidRPr="00891578" w:rsidRDefault="00135868" w:rsidP="00891578">
            <w:pPr>
              <w:rPr>
                <w:b/>
                <w:sz w:val="20"/>
                <w:szCs w:val="20"/>
              </w:rPr>
            </w:pPr>
            <w:r w:rsidRPr="00891578">
              <w:rPr>
                <w:b/>
                <w:sz w:val="20"/>
                <w:szCs w:val="20"/>
              </w:rPr>
              <w:t>All Grades</w:t>
            </w:r>
            <w:r w:rsidR="00891578" w:rsidRPr="00891578">
              <w:rPr>
                <w:b/>
                <w:sz w:val="20"/>
                <w:szCs w:val="20"/>
              </w:rPr>
              <w:t xml:space="preserve"> </w:t>
            </w:r>
            <w:r w:rsidRPr="00891578">
              <w:rPr>
                <w:b/>
                <w:sz w:val="20"/>
                <w:szCs w:val="20"/>
              </w:rPr>
              <w:t>(%)</w:t>
            </w:r>
          </w:p>
        </w:tc>
        <w:tc>
          <w:tcPr>
            <w:tcW w:w="1560" w:type="dxa"/>
            <w:tcBorders>
              <w:top w:val="single" w:sz="4" w:space="0" w:color="auto"/>
              <w:left w:val="single" w:sz="4" w:space="0" w:color="auto"/>
              <w:bottom w:val="single" w:sz="4" w:space="0" w:color="auto"/>
              <w:right w:val="single" w:sz="4" w:space="0" w:color="auto"/>
            </w:tcBorders>
            <w:hideMark/>
          </w:tcPr>
          <w:p w:rsidR="00135868" w:rsidRPr="00891578" w:rsidRDefault="00135868" w:rsidP="00891578">
            <w:pPr>
              <w:rPr>
                <w:b/>
                <w:sz w:val="20"/>
                <w:szCs w:val="20"/>
              </w:rPr>
            </w:pPr>
            <w:r w:rsidRPr="00891578">
              <w:rPr>
                <w:b/>
                <w:sz w:val="20"/>
                <w:szCs w:val="20"/>
              </w:rPr>
              <w:t>Grade 3*</w:t>
            </w:r>
            <w:r w:rsidR="00891578" w:rsidRPr="00891578">
              <w:rPr>
                <w:b/>
                <w:sz w:val="20"/>
                <w:szCs w:val="20"/>
              </w:rPr>
              <w:t xml:space="preserve"> </w:t>
            </w:r>
            <w:r w:rsidRPr="00891578">
              <w:rPr>
                <w:b/>
                <w:sz w:val="20"/>
                <w:szCs w:val="20"/>
              </w:rPr>
              <w:t>(%)</w:t>
            </w:r>
          </w:p>
        </w:tc>
        <w:tc>
          <w:tcPr>
            <w:tcW w:w="1984" w:type="dxa"/>
            <w:tcBorders>
              <w:top w:val="single" w:sz="4" w:space="0" w:color="auto"/>
              <w:left w:val="single" w:sz="4" w:space="0" w:color="auto"/>
              <w:bottom w:val="single" w:sz="4" w:space="0" w:color="auto"/>
              <w:right w:val="single" w:sz="4" w:space="0" w:color="auto"/>
            </w:tcBorders>
            <w:hideMark/>
          </w:tcPr>
          <w:p w:rsidR="00135868" w:rsidRPr="00891578" w:rsidRDefault="00135868" w:rsidP="00891578">
            <w:pPr>
              <w:rPr>
                <w:b/>
                <w:sz w:val="20"/>
                <w:szCs w:val="20"/>
              </w:rPr>
            </w:pPr>
            <w:r w:rsidRPr="00891578">
              <w:rPr>
                <w:b/>
                <w:sz w:val="20"/>
                <w:szCs w:val="20"/>
              </w:rPr>
              <w:t>All Grades</w:t>
            </w:r>
            <w:r w:rsidR="00891578" w:rsidRPr="00891578">
              <w:rPr>
                <w:b/>
                <w:sz w:val="20"/>
                <w:szCs w:val="20"/>
              </w:rPr>
              <w:t xml:space="preserve"> </w:t>
            </w:r>
            <w:r w:rsidRPr="00891578">
              <w:rPr>
                <w:b/>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rsidR="00135868" w:rsidRPr="00891578" w:rsidRDefault="00135868" w:rsidP="00891578">
            <w:pPr>
              <w:rPr>
                <w:b/>
                <w:sz w:val="20"/>
                <w:szCs w:val="20"/>
              </w:rPr>
            </w:pPr>
            <w:r w:rsidRPr="00891578">
              <w:rPr>
                <w:b/>
                <w:sz w:val="20"/>
                <w:szCs w:val="20"/>
              </w:rPr>
              <w:t>Grade 3*</w:t>
            </w:r>
            <w:r w:rsidR="00891578" w:rsidRPr="00891578">
              <w:rPr>
                <w:b/>
                <w:sz w:val="20"/>
                <w:szCs w:val="20"/>
              </w:rPr>
              <w:t xml:space="preserve"> </w:t>
            </w:r>
            <w:r w:rsidRPr="00891578">
              <w:rPr>
                <w:b/>
                <w:sz w:val="20"/>
                <w:szCs w:val="20"/>
              </w:rPr>
              <w:t>(%)</w:t>
            </w:r>
          </w:p>
        </w:tc>
      </w:tr>
      <w:tr w:rsidR="00135868" w:rsidRPr="00891578" w:rsidTr="00891578">
        <w:trPr>
          <w:jc w:val="center"/>
        </w:trPr>
        <w:tc>
          <w:tcPr>
            <w:tcW w:w="9209" w:type="dxa"/>
            <w:gridSpan w:val="5"/>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b/>
                <w:sz w:val="20"/>
                <w:szCs w:val="20"/>
              </w:rPr>
            </w:pPr>
            <w:r w:rsidRPr="00891578">
              <w:rPr>
                <w:b/>
                <w:sz w:val="20"/>
                <w:szCs w:val="20"/>
              </w:rPr>
              <w:t>Musculoskeletal and Connective Tissue Disorders</w:t>
            </w:r>
          </w:p>
        </w:tc>
      </w:tr>
      <w:tr w:rsidR="00135868" w:rsidRPr="00891578" w:rsidTr="00891578">
        <w:trPr>
          <w:jc w:val="center"/>
        </w:trPr>
        <w:tc>
          <w:tcPr>
            <w:tcW w:w="1980" w:type="dxa"/>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sz w:val="20"/>
                <w:szCs w:val="20"/>
              </w:rPr>
            </w:pPr>
            <w:r w:rsidRPr="00891578">
              <w:rPr>
                <w:sz w:val="20"/>
                <w:szCs w:val="20"/>
              </w:rPr>
              <w:t>Arthralgia</w:t>
            </w:r>
          </w:p>
        </w:tc>
        <w:tc>
          <w:tcPr>
            <w:tcW w:w="1984" w:type="dxa"/>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sz w:val="20"/>
                <w:szCs w:val="20"/>
              </w:rPr>
            </w:pPr>
            <w:r w:rsidRPr="00891578">
              <w:rPr>
                <w:sz w:val="20"/>
                <w:szCs w:val="20"/>
              </w:rPr>
              <w:t>18</w:t>
            </w:r>
          </w:p>
        </w:tc>
        <w:tc>
          <w:tcPr>
            <w:tcW w:w="1560" w:type="dxa"/>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sz w:val="20"/>
                <w:szCs w:val="20"/>
              </w:rPr>
            </w:pPr>
            <w:r w:rsidRPr="00891578">
              <w:rPr>
                <w:sz w:val="20"/>
                <w:szCs w:val="20"/>
              </w:rPr>
              <w:t>0</w:t>
            </w:r>
          </w:p>
        </w:tc>
        <w:tc>
          <w:tcPr>
            <w:tcW w:w="1984" w:type="dxa"/>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sz w:val="20"/>
                <w:szCs w:val="20"/>
              </w:rPr>
            </w:pPr>
            <w:r w:rsidRPr="00891578">
              <w:rPr>
                <w:sz w:val="20"/>
                <w:szCs w:val="20"/>
              </w:rPr>
              <w:t>10</w:t>
            </w:r>
          </w:p>
        </w:tc>
        <w:tc>
          <w:tcPr>
            <w:tcW w:w="1701" w:type="dxa"/>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sz w:val="20"/>
                <w:szCs w:val="20"/>
              </w:rPr>
            </w:pPr>
            <w:r w:rsidRPr="00891578">
              <w:rPr>
                <w:sz w:val="20"/>
                <w:szCs w:val="20"/>
              </w:rPr>
              <w:t>1</w:t>
            </w:r>
          </w:p>
        </w:tc>
      </w:tr>
      <w:tr w:rsidR="00135868" w:rsidRPr="00891578" w:rsidTr="00891578">
        <w:trPr>
          <w:jc w:val="center"/>
        </w:trPr>
        <w:tc>
          <w:tcPr>
            <w:tcW w:w="1980" w:type="dxa"/>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sz w:val="20"/>
                <w:szCs w:val="20"/>
              </w:rPr>
            </w:pPr>
            <w:r w:rsidRPr="00891578">
              <w:rPr>
                <w:sz w:val="20"/>
                <w:szCs w:val="20"/>
              </w:rPr>
              <w:t>Back pain</w:t>
            </w:r>
          </w:p>
        </w:tc>
        <w:tc>
          <w:tcPr>
            <w:tcW w:w="1984" w:type="dxa"/>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sz w:val="20"/>
                <w:szCs w:val="20"/>
              </w:rPr>
            </w:pPr>
            <w:r w:rsidRPr="00891578">
              <w:rPr>
                <w:sz w:val="20"/>
                <w:szCs w:val="20"/>
              </w:rPr>
              <w:t>12</w:t>
            </w:r>
          </w:p>
        </w:tc>
        <w:tc>
          <w:tcPr>
            <w:tcW w:w="1560" w:type="dxa"/>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sz w:val="20"/>
                <w:szCs w:val="20"/>
              </w:rPr>
            </w:pPr>
            <w:r w:rsidRPr="00891578">
              <w:rPr>
                <w:sz w:val="20"/>
                <w:szCs w:val="20"/>
              </w:rPr>
              <w:t>1</w:t>
            </w:r>
          </w:p>
        </w:tc>
        <w:tc>
          <w:tcPr>
            <w:tcW w:w="1984" w:type="dxa"/>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sz w:val="20"/>
                <w:szCs w:val="20"/>
              </w:rPr>
            </w:pPr>
            <w:r w:rsidRPr="00891578">
              <w:rPr>
                <w:sz w:val="20"/>
                <w:szCs w:val="20"/>
              </w:rPr>
              <w:t>7</w:t>
            </w:r>
          </w:p>
        </w:tc>
        <w:tc>
          <w:tcPr>
            <w:tcW w:w="1701" w:type="dxa"/>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sz w:val="20"/>
                <w:szCs w:val="20"/>
              </w:rPr>
            </w:pPr>
            <w:r w:rsidRPr="00891578">
              <w:rPr>
                <w:sz w:val="20"/>
                <w:szCs w:val="20"/>
              </w:rPr>
              <w:t>1</w:t>
            </w:r>
          </w:p>
        </w:tc>
      </w:tr>
      <w:tr w:rsidR="00135868" w:rsidRPr="00891578" w:rsidTr="00891578">
        <w:trPr>
          <w:jc w:val="center"/>
        </w:trPr>
        <w:tc>
          <w:tcPr>
            <w:tcW w:w="9209" w:type="dxa"/>
            <w:gridSpan w:val="5"/>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b/>
                <w:sz w:val="20"/>
                <w:szCs w:val="20"/>
              </w:rPr>
            </w:pPr>
            <w:r w:rsidRPr="00891578">
              <w:rPr>
                <w:b/>
                <w:sz w:val="20"/>
                <w:szCs w:val="20"/>
              </w:rPr>
              <w:t>Respiratory, Thoracic and Mediastinal Disorders</w:t>
            </w:r>
          </w:p>
        </w:tc>
      </w:tr>
      <w:tr w:rsidR="00135868" w:rsidRPr="00891578" w:rsidTr="00891578">
        <w:trPr>
          <w:jc w:val="center"/>
        </w:trPr>
        <w:tc>
          <w:tcPr>
            <w:tcW w:w="1980" w:type="dxa"/>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sz w:val="20"/>
                <w:szCs w:val="20"/>
              </w:rPr>
            </w:pPr>
            <w:r w:rsidRPr="00891578">
              <w:rPr>
                <w:sz w:val="20"/>
                <w:szCs w:val="20"/>
              </w:rPr>
              <w:t>Cough</w:t>
            </w:r>
          </w:p>
        </w:tc>
        <w:tc>
          <w:tcPr>
            <w:tcW w:w="1984" w:type="dxa"/>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sz w:val="20"/>
                <w:szCs w:val="20"/>
              </w:rPr>
            </w:pPr>
            <w:r w:rsidRPr="00891578">
              <w:rPr>
                <w:sz w:val="20"/>
                <w:szCs w:val="20"/>
              </w:rPr>
              <w:t>17</w:t>
            </w:r>
          </w:p>
        </w:tc>
        <w:tc>
          <w:tcPr>
            <w:tcW w:w="1560" w:type="dxa"/>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sz w:val="20"/>
                <w:szCs w:val="20"/>
              </w:rPr>
            </w:pPr>
            <w:r w:rsidRPr="00891578">
              <w:rPr>
                <w:sz w:val="20"/>
                <w:szCs w:val="20"/>
              </w:rPr>
              <w:t>0</w:t>
            </w:r>
          </w:p>
        </w:tc>
        <w:tc>
          <w:tcPr>
            <w:tcW w:w="1984" w:type="dxa"/>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sz w:val="20"/>
                <w:szCs w:val="20"/>
              </w:rPr>
            </w:pPr>
            <w:r w:rsidRPr="00891578">
              <w:rPr>
                <w:sz w:val="20"/>
                <w:szCs w:val="20"/>
              </w:rPr>
              <w:t>7</w:t>
            </w:r>
          </w:p>
        </w:tc>
        <w:tc>
          <w:tcPr>
            <w:tcW w:w="1701" w:type="dxa"/>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sz w:val="20"/>
                <w:szCs w:val="20"/>
              </w:rPr>
            </w:pPr>
            <w:r w:rsidRPr="00891578">
              <w:rPr>
                <w:sz w:val="20"/>
                <w:szCs w:val="20"/>
              </w:rPr>
              <w:t>0</w:t>
            </w:r>
          </w:p>
        </w:tc>
      </w:tr>
      <w:tr w:rsidR="00135868" w:rsidRPr="00891578" w:rsidTr="00891578">
        <w:trPr>
          <w:jc w:val="center"/>
        </w:trPr>
        <w:tc>
          <w:tcPr>
            <w:tcW w:w="9209" w:type="dxa"/>
            <w:gridSpan w:val="5"/>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b/>
                <w:sz w:val="20"/>
                <w:szCs w:val="20"/>
              </w:rPr>
            </w:pPr>
            <w:r w:rsidRPr="00891578">
              <w:rPr>
                <w:b/>
                <w:sz w:val="20"/>
                <w:szCs w:val="20"/>
              </w:rPr>
              <w:t>Skin And Subcutaneous Tissue Disorders</w:t>
            </w:r>
          </w:p>
        </w:tc>
      </w:tr>
      <w:tr w:rsidR="00135868" w:rsidRPr="00891578" w:rsidTr="00891578">
        <w:trPr>
          <w:jc w:val="center"/>
        </w:trPr>
        <w:tc>
          <w:tcPr>
            <w:tcW w:w="1980" w:type="dxa"/>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sz w:val="20"/>
                <w:szCs w:val="20"/>
              </w:rPr>
            </w:pPr>
            <w:r w:rsidRPr="00891578">
              <w:rPr>
                <w:sz w:val="20"/>
                <w:szCs w:val="20"/>
              </w:rPr>
              <w:t>Vitiligo</w:t>
            </w:r>
          </w:p>
        </w:tc>
        <w:tc>
          <w:tcPr>
            <w:tcW w:w="1984" w:type="dxa"/>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sz w:val="20"/>
                <w:szCs w:val="20"/>
              </w:rPr>
            </w:pPr>
            <w:r w:rsidRPr="00891578">
              <w:rPr>
                <w:sz w:val="20"/>
                <w:szCs w:val="20"/>
              </w:rPr>
              <w:t>11</w:t>
            </w:r>
          </w:p>
        </w:tc>
        <w:tc>
          <w:tcPr>
            <w:tcW w:w="1560" w:type="dxa"/>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sz w:val="20"/>
                <w:szCs w:val="20"/>
              </w:rPr>
            </w:pPr>
            <w:r w:rsidRPr="00891578">
              <w:rPr>
                <w:sz w:val="20"/>
                <w:szCs w:val="20"/>
              </w:rPr>
              <w:t>0</w:t>
            </w:r>
          </w:p>
        </w:tc>
        <w:tc>
          <w:tcPr>
            <w:tcW w:w="1984" w:type="dxa"/>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sz w:val="20"/>
                <w:szCs w:val="20"/>
              </w:rPr>
            </w:pPr>
            <w:r w:rsidRPr="00891578">
              <w:rPr>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135868" w:rsidRPr="00891578" w:rsidRDefault="00135868" w:rsidP="00135868">
            <w:pPr>
              <w:rPr>
                <w:sz w:val="20"/>
                <w:szCs w:val="20"/>
              </w:rPr>
            </w:pPr>
            <w:r w:rsidRPr="00891578">
              <w:rPr>
                <w:sz w:val="20"/>
                <w:szCs w:val="20"/>
              </w:rPr>
              <w:t>0</w:t>
            </w:r>
          </w:p>
        </w:tc>
      </w:tr>
      <w:tr w:rsidR="00135868" w:rsidRPr="00891578" w:rsidTr="00891578">
        <w:trPr>
          <w:jc w:val="center"/>
        </w:trPr>
        <w:tc>
          <w:tcPr>
            <w:tcW w:w="9209" w:type="dxa"/>
            <w:gridSpan w:val="5"/>
            <w:tcBorders>
              <w:top w:val="single" w:sz="4" w:space="0" w:color="auto"/>
              <w:left w:val="nil"/>
              <w:bottom w:val="nil"/>
              <w:right w:val="nil"/>
            </w:tcBorders>
            <w:hideMark/>
          </w:tcPr>
          <w:p w:rsidR="00135868" w:rsidRPr="00891578" w:rsidRDefault="00135868" w:rsidP="00D920A1">
            <w:pPr>
              <w:numPr>
                <w:ilvl w:val="0"/>
                <w:numId w:val="3"/>
              </w:numPr>
              <w:tabs>
                <w:tab w:val="num" w:pos="360"/>
              </w:tabs>
              <w:rPr>
                <w:sz w:val="20"/>
                <w:szCs w:val="20"/>
              </w:rPr>
            </w:pPr>
            <w:r w:rsidRPr="00891578">
              <w:rPr>
                <w:sz w:val="20"/>
                <w:szCs w:val="20"/>
              </w:rPr>
              <w:t>* Of these ≥10% adverse events, none was reported as Grade 4.</w:t>
            </w:r>
          </w:p>
        </w:tc>
      </w:tr>
    </w:tbl>
    <w:p w:rsidR="00135868" w:rsidRPr="00135868" w:rsidRDefault="00135868" w:rsidP="00891578">
      <w:pPr>
        <w:pStyle w:val="Tabletitle"/>
        <w:pageBreakBefore/>
      </w:pPr>
      <w:r w:rsidRPr="00135868">
        <w:lastRenderedPageBreak/>
        <w:t xml:space="preserve">Table 4: Laboratory Abnormalities Worsened from Baseline in ≥20% of Patients with </w:t>
      </w:r>
      <w:proofErr w:type="spellStart"/>
      <w:r w:rsidRPr="00135868">
        <w:t>Unresectable</w:t>
      </w:r>
      <w:proofErr w:type="spellEnd"/>
      <w:r w:rsidRPr="00135868">
        <w:t xml:space="preserve"> or Metastatic Melanoma and at a Higher Incidence than in the Ipilimumab Arm (Between Arm Difference of ≥5% [All Grades] or ≥2% [Grades 3-4]) (KEYNOTE-006)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515"/>
        <w:gridCol w:w="1276"/>
        <w:gridCol w:w="1276"/>
        <w:gridCol w:w="1275"/>
      </w:tblGrid>
      <w:tr w:rsidR="00135868" w:rsidRPr="00135868" w:rsidTr="00891578">
        <w:trPr>
          <w:jc w:val="center"/>
        </w:trPr>
        <w:tc>
          <w:tcPr>
            <w:tcW w:w="2122" w:type="dxa"/>
            <w:shd w:val="clear" w:color="auto" w:fill="auto"/>
          </w:tcPr>
          <w:p w:rsidR="00135868" w:rsidRPr="00135868" w:rsidRDefault="00135868" w:rsidP="00891578"/>
        </w:tc>
        <w:tc>
          <w:tcPr>
            <w:tcW w:w="2791" w:type="dxa"/>
            <w:gridSpan w:val="2"/>
            <w:shd w:val="clear" w:color="auto" w:fill="auto"/>
          </w:tcPr>
          <w:p w:rsidR="00135868" w:rsidRPr="00135868" w:rsidRDefault="00135868" w:rsidP="00891578">
            <w:pPr>
              <w:rPr>
                <w:b/>
              </w:rPr>
            </w:pPr>
            <w:r w:rsidRPr="00135868">
              <w:rPr>
                <w:b/>
              </w:rPr>
              <w:t>KEYTRUDA</w:t>
            </w:r>
          </w:p>
          <w:p w:rsidR="00135868" w:rsidRPr="00135868" w:rsidRDefault="00135868" w:rsidP="00891578">
            <w:pPr>
              <w:rPr>
                <w:b/>
              </w:rPr>
            </w:pPr>
            <w:r w:rsidRPr="00135868">
              <w:rPr>
                <w:b/>
              </w:rPr>
              <w:t>10 mg/kg every 2 or 3 weeks</w:t>
            </w:r>
          </w:p>
          <w:p w:rsidR="00135868" w:rsidRPr="00135868" w:rsidRDefault="00135868" w:rsidP="00891578">
            <w:pPr>
              <w:rPr>
                <w:b/>
              </w:rPr>
            </w:pPr>
            <w:r w:rsidRPr="00135868">
              <w:rPr>
                <w:b/>
              </w:rPr>
              <w:t>n=555</w:t>
            </w:r>
          </w:p>
        </w:tc>
        <w:tc>
          <w:tcPr>
            <w:tcW w:w="2551" w:type="dxa"/>
            <w:gridSpan w:val="2"/>
          </w:tcPr>
          <w:p w:rsidR="00135868" w:rsidRPr="00135868" w:rsidRDefault="00135868" w:rsidP="00891578">
            <w:pPr>
              <w:rPr>
                <w:b/>
              </w:rPr>
            </w:pPr>
            <w:r w:rsidRPr="00135868">
              <w:rPr>
                <w:b/>
              </w:rPr>
              <w:t>Ipilimumab</w:t>
            </w:r>
          </w:p>
          <w:p w:rsidR="00135868" w:rsidRPr="00135868" w:rsidRDefault="00135868" w:rsidP="00891578">
            <w:pPr>
              <w:rPr>
                <w:b/>
              </w:rPr>
            </w:pPr>
          </w:p>
          <w:p w:rsidR="00135868" w:rsidRPr="00135868" w:rsidRDefault="00135868" w:rsidP="00891578">
            <w:pPr>
              <w:rPr>
                <w:b/>
              </w:rPr>
            </w:pPr>
            <w:r w:rsidRPr="00135868">
              <w:rPr>
                <w:b/>
              </w:rPr>
              <w:t>n=256</w:t>
            </w:r>
          </w:p>
        </w:tc>
      </w:tr>
      <w:tr w:rsidR="00135868" w:rsidRPr="00135868" w:rsidTr="00891578">
        <w:trPr>
          <w:jc w:val="center"/>
        </w:trPr>
        <w:tc>
          <w:tcPr>
            <w:tcW w:w="2122" w:type="dxa"/>
            <w:shd w:val="clear" w:color="auto" w:fill="auto"/>
            <w:vAlign w:val="center"/>
          </w:tcPr>
          <w:p w:rsidR="00135868" w:rsidRPr="00135868" w:rsidRDefault="00135868" w:rsidP="00891578">
            <w:pPr>
              <w:rPr>
                <w:b/>
              </w:rPr>
            </w:pPr>
            <w:r w:rsidRPr="00135868">
              <w:rPr>
                <w:b/>
              </w:rPr>
              <w:t>Laboratory Test</w:t>
            </w:r>
          </w:p>
        </w:tc>
        <w:tc>
          <w:tcPr>
            <w:tcW w:w="1515" w:type="dxa"/>
            <w:shd w:val="clear" w:color="auto" w:fill="auto"/>
          </w:tcPr>
          <w:p w:rsidR="00135868" w:rsidRPr="00135868" w:rsidRDefault="00135868" w:rsidP="00891578">
            <w:pPr>
              <w:rPr>
                <w:b/>
              </w:rPr>
            </w:pPr>
            <w:r w:rsidRPr="00135868">
              <w:rPr>
                <w:b/>
              </w:rPr>
              <w:t>All Grades</w:t>
            </w:r>
          </w:p>
          <w:p w:rsidR="00135868" w:rsidRPr="00135868" w:rsidRDefault="00135868" w:rsidP="00891578">
            <w:pPr>
              <w:rPr>
                <w:b/>
              </w:rPr>
            </w:pPr>
            <w:r w:rsidRPr="00135868">
              <w:rPr>
                <w:b/>
              </w:rPr>
              <w:t>%</w:t>
            </w:r>
          </w:p>
        </w:tc>
        <w:tc>
          <w:tcPr>
            <w:tcW w:w="1276" w:type="dxa"/>
            <w:shd w:val="clear" w:color="auto" w:fill="auto"/>
          </w:tcPr>
          <w:p w:rsidR="00135868" w:rsidRPr="00135868" w:rsidRDefault="00135868" w:rsidP="00891578">
            <w:pPr>
              <w:rPr>
                <w:b/>
              </w:rPr>
            </w:pPr>
            <w:r w:rsidRPr="00135868">
              <w:rPr>
                <w:b/>
              </w:rPr>
              <w:t>Grades 3-4</w:t>
            </w:r>
          </w:p>
          <w:p w:rsidR="00135868" w:rsidRPr="00135868" w:rsidRDefault="00135868" w:rsidP="00891578">
            <w:pPr>
              <w:rPr>
                <w:b/>
              </w:rPr>
            </w:pPr>
            <w:r w:rsidRPr="00135868">
              <w:rPr>
                <w:b/>
              </w:rPr>
              <w:t>%</w:t>
            </w:r>
          </w:p>
        </w:tc>
        <w:tc>
          <w:tcPr>
            <w:tcW w:w="1276" w:type="dxa"/>
          </w:tcPr>
          <w:p w:rsidR="00135868" w:rsidRPr="00135868" w:rsidRDefault="00135868" w:rsidP="00891578">
            <w:pPr>
              <w:rPr>
                <w:b/>
              </w:rPr>
            </w:pPr>
            <w:r w:rsidRPr="00135868">
              <w:rPr>
                <w:b/>
              </w:rPr>
              <w:t>All Grades</w:t>
            </w:r>
          </w:p>
          <w:p w:rsidR="00135868" w:rsidRPr="00135868" w:rsidRDefault="00135868" w:rsidP="00891578">
            <w:pPr>
              <w:rPr>
                <w:b/>
              </w:rPr>
            </w:pPr>
            <w:r w:rsidRPr="00135868">
              <w:rPr>
                <w:b/>
              </w:rPr>
              <w:t>%</w:t>
            </w:r>
          </w:p>
        </w:tc>
        <w:tc>
          <w:tcPr>
            <w:tcW w:w="1275" w:type="dxa"/>
          </w:tcPr>
          <w:p w:rsidR="00135868" w:rsidRPr="00135868" w:rsidRDefault="00135868" w:rsidP="00891578">
            <w:pPr>
              <w:rPr>
                <w:b/>
              </w:rPr>
            </w:pPr>
            <w:r w:rsidRPr="00135868">
              <w:rPr>
                <w:b/>
              </w:rPr>
              <w:t>Grades 3-4</w:t>
            </w:r>
          </w:p>
          <w:p w:rsidR="00135868" w:rsidRPr="00135868" w:rsidRDefault="00135868" w:rsidP="00891578">
            <w:pPr>
              <w:rPr>
                <w:b/>
              </w:rPr>
            </w:pPr>
            <w:r w:rsidRPr="00135868">
              <w:rPr>
                <w:b/>
              </w:rPr>
              <w:t>%</w:t>
            </w:r>
          </w:p>
        </w:tc>
      </w:tr>
      <w:tr w:rsidR="00135868" w:rsidRPr="00135868" w:rsidTr="00135868">
        <w:trPr>
          <w:jc w:val="center"/>
        </w:trPr>
        <w:tc>
          <w:tcPr>
            <w:tcW w:w="4913" w:type="dxa"/>
            <w:gridSpan w:val="3"/>
            <w:shd w:val="clear" w:color="auto" w:fill="auto"/>
          </w:tcPr>
          <w:p w:rsidR="00135868" w:rsidRPr="00135868" w:rsidRDefault="00135868" w:rsidP="00891578">
            <w:pPr>
              <w:rPr>
                <w:b/>
              </w:rPr>
            </w:pPr>
            <w:proofErr w:type="spellStart"/>
            <w:r w:rsidRPr="00135868">
              <w:rPr>
                <w:b/>
              </w:rPr>
              <w:t>Hematology</w:t>
            </w:r>
            <w:proofErr w:type="spellEnd"/>
          </w:p>
        </w:tc>
        <w:tc>
          <w:tcPr>
            <w:tcW w:w="2551" w:type="dxa"/>
            <w:gridSpan w:val="2"/>
          </w:tcPr>
          <w:p w:rsidR="00135868" w:rsidRPr="00135868" w:rsidRDefault="00135868" w:rsidP="00891578"/>
        </w:tc>
      </w:tr>
      <w:tr w:rsidR="00135868" w:rsidRPr="00135868" w:rsidTr="00891578">
        <w:trPr>
          <w:jc w:val="center"/>
        </w:trPr>
        <w:tc>
          <w:tcPr>
            <w:tcW w:w="2122" w:type="dxa"/>
            <w:tcBorders>
              <w:bottom w:val="single" w:sz="4" w:space="0" w:color="auto"/>
            </w:tcBorders>
            <w:shd w:val="clear" w:color="auto" w:fill="auto"/>
          </w:tcPr>
          <w:p w:rsidR="00135868" w:rsidRPr="00135868" w:rsidRDefault="00135868" w:rsidP="00891578">
            <w:proofErr w:type="spellStart"/>
            <w:r w:rsidRPr="00135868">
              <w:t>Lymphopenia</w:t>
            </w:r>
            <w:proofErr w:type="spellEnd"/>
          </w:p>
        </w:tc>
        <w:tc>
          <w:tcPr>
            <w:tcW w:w="1515" w:type="dxa"/>
            <w:tcBorders>
              <w:bottom w:val="single" w:sz="4" w:space="0" w:color="auto"/>
            </w:tcBorders>
            <w:shd w:val="clear" w:color="auto" w:fill="auto"/>
          </w:tcPr>
          <w:p w:rsidR="00135868" w:rsidRPr="00135868" w:rsidRDefault="00135868" w:rsidP="00891578">
            <w:r w:rsidRPr="00135868">
              <w:t>45</w:t>
            </w:r>
          </w:p>
        </w:tc>
        <w:tc>
          <w:tcPr>
            <w:tcW w:w="1276" w:type="dxa"/>
            <w:tcBorders>
              <w:bottom w:val="single" w:sz="4" w:space="0" w:color="auto"/>
            </w:tcBorders>
            <w:shd w:val="clear" w:color="auto" w:fill="auto"/>
          </w:tcPr>
          <w:p w:rsidR="00135868" w:rsidRPr="00135868" w:rsidRDefault="00135868" w:rsidP="00891578">
            <w:r w:rsidRPr="00135868">
              <w:t>5</w:t>
            </w:r>
          </w:p>
        </w:tc>
        <w:tc>
          <w:tcPr>
            <w:tcW w:w="1276" w:type="dxa"/>
            <w:tcBorders>
              <w:bottom w:val="single" w:sz="4" w:space="0" w:color="auto"/>
            </w:tcBorders>
          </w:tcPr>
          <w:p w:rsidR="00135868" w:rsidRPr="00135868" w:rsidRDefault="00135868" w:rsidP="00891578">
            <w:r w:rsidRPr="00135868">
              <w:t>36</w:t>
            </w:r>
          </w:p>
        </w:tc>
        <w:tc>
          <w:tcPr>
            <w:tcW w:w="1275" w:type="dxa"/>
            <w:tcBorders>
              <w:bottom w:val="single" w:sz="4" w:space="0" w:color="auto"/>
            </w:tcBorders>
          </w:tcPr>
          <w:p w:rsidR="00135868" w:rsidRPr="00135868" w:rsidRDefault="00135868" w:rsidP="00891578">
            <w:r w:rsidRPr="00135868">
              <w:t>5</w:t>
            </w:r>
          </w:p>
        </w:tc>
      </w:tr>
      <w:tr w:rsidR="00135868" w:rsidRPr="00135868" w:rsidTr="00135868">
        <w:trPr>
          <w:jc w:val="center"/>
        </w:trPr>
        <w:tc>
          <w:tcPr>
            <w:tcW w:w="4913" w:type="dxa"/>
            <w:gridSpan w:val="3"/>
            <w:shd w:val="clear" w:color="auto" w:fill="auto"/>
          </w:tcPr>
          <w:p w:rsidR="00135868" w:rsidRPr="00135868" w:rsidRDefault="00135868" w:rsidP="00891578">
            <w:pPr>
              <w:rPr>
                <w:b/>
              </w:rPr>
            </w:pPr>
            <w:r w:rsidRPr="00135868">
              <w:rPr>
                <w:b/>
              </w:rPr>
              <w:t>Chemistry</w:t>
            </w:r>
          </w:p>
        </w:tc>
        <w:tc>
          <w:tcPr>
            <w:tcW w:w="2551" w:type="dxa"/>
            <w:gridSpan w:val="2"/>
          </w:tcPr>
          <w:p w:rsidR="00135868" w:rsidRPr="00135868" w:rsidRDefault="00135868" w:rsidP="00891578"/>
        </w:tc>
      </w:tr>
      <w:tr w:rsidR="00135868" w:rsidRPr="00135868" w:rsidTr="00891578">
        <w:trPr>
          <w:jc w:val="center"/>
        </w:trPr>
        <w:tc>
          <w:tcPr>
            <w:tcW w:w="2122" w:type="dxa"/>
            <w:shd w:val="clear" w:color="auto" w:fill="auto"/>
          </w:tcPr>
          <w:p w:rsidR="00135868" w:rsidRPr="00135868" w:rsidRDefault="00135868" w:rsidP="00891578">
            <w:r w:rsidRPr="00135868">
              <w:t>Hypertriglyceridemia</w:t>
            </w:r>
          </w:p>
        </w:tc>
        <w:tc>
          <w:tcPr>
            <w:tcW w:w="1515" w:type="dxa"/>
            <w:shd w:val="clear" w:color="auto" w:fill="auto"/>
          </w:tcPr>
          <w:p w:rsidR="00135868" w:rsidRPr="00135868" w:rsidRDefault="00135868" w:rsidP="00891578">
            <w:r w:rsidRPr="00135868">
              <w:t>40</w:t>
            </w:r>
          </w:p>
        </w:tc>
        <w:tc>
          <w:tcPr>
            <w:tcW w:w="1276" w:type="dxa"/>
            <w:shd w:val="clear" w:color="auto" w:fill="auto"/>
          </w:tcPr>
          <w:p w:rsidR="00135868" w:rsidRPr="00135868" w:rsidRDefault="00135868" w:rsidP="00891578">
            <w:r w:rsidRPr="00135868">
              <w:t>2</w:t>
            </w:r>
          </w:p>
        </w:tc>
        <w:tc>
          <w:tcPr>
            <w:tcW w:w="1276" w:type="dxa"/>
          </w:tcPr>
          <w:p w:rsidR="00135868" w:rsidRPr="00135868" w:rsidRDefault="00135868" w:rsidP="00891578">
            <w:r w:rsidRPr="00135868">
              <w:t>33</w:t>
            </w:r>
          </w:p>
        </w:tc>
        <w:tc>
          <w:tcPr>
            <w:tcW w:w="1275" w:type="dxa"/>
          </w:tcPr>
          <w:p w:rsidR="00135868" w:rsidRPr="00135868" w:rsidRDefault="00135868" w:rsidP="00891578">
            <w:r w:rsidRPr="00135868">
              <w:t>1</w:t>
            </w:r>
          </w:p>
        </w:tc>
      </w:tr>
    </w:tbl>
    <w:p w:rsidR="00135868" w:rsidRPr="00135868" w:rsidRDefault="00135868" w:rsidP="00135868">
      <w:r w:rsidRPr="00135868">
        <w:t>Table 5 summarises the adverse events that occurred in at least 10% of patients treated with KEYTRUDA in KEYNOTE-002. The most common adverse event (reported in at least 20% of patients) was pruritus.</w:t>
      </w:r>
    </w:p>
    <w:p w:rsidR="00135868" w:rsidRPr="00135868" w:rsidRDefault="00135868" w:rsidP="00891578">
      <w:pPr>
        <w:pStyle w:val="Tabletitle"/>
      </w:pPr>
      <w:r w:rsidRPr="00135868">
        <w:t>Table 5: Adverse Events Occurring in ≥10% of Patients Treated with KEYTRUDA and at a Higher Incidence than in the Chemotherapy Arm (Between Arm Difference of ≥5% [All Grades] or ≥2% [Grades 3-4]) (KEYNOTE-002)</w:t>
      </w: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1915"/>
        <w:gridCol w:w="1493"/>
        <w:gridCol w:w="1994"/>
        <w:gridCol w:w="1168"/>
      </w:tblGrid>
      <w:tr w:rsidR="00135868" w:rsidRPr="00135868" w:rsidTr="00891578">
        <w:trPr>
          <w:tblHeader/>
          <w:jc w:val="center"/>
        </w:trPr>
        <w:tc>
          <w:tcPr>
            <w:tcW w:w="2049" w:type="dxa"/>
            <w:shd w:val="clear" w:color="auto" w:fill="auto"/>
          </w:tcPr>
          <w:p w:rsidR="00135868" w:rsidRPr="00135868" w:rsidRDefault="00135868" w:rsidP="00135868"/>
        </w:tc>
        <w:tc>
          <w:tcPr>
            <w:tcW w:w="3408" w:type="dxa"/>
            <w:gridSpan w:val="2"/>
            <w:shd w:val="clear" w:color="auto" w:fill="auto"/>
          </w:tcPr>
          <w:p w:rsidR="00135868" w:rsidRPr="00135868" w:rsidRDefault="00135868" w:rsidP="00135868">
            <w:pPr>
              <w:rPr>
                <w:b/>
              </w:rPr>
            </w:pPr>
            <w:r w:rsidRPr="00135868">
              <w:rPr>
                <w:b/>
              </w:rPr>
              <w:t>KEYTRUDA</w:t>
            </w:r>
          </w:p>
          <w:p w:rsidR="00135868" w:rsidRPr="00135868" w:rsidRDefault="00135868" w:rsidP="00891578">
            <w:pPr>
              <w:rPr>
                <w:b/>
              </w:rPr>
            </w:pPr>
            <w:r w:rsidRPr="00135868">
              <w:rPr>
                <w:b/>
              </w:rPr>
              <w:t>2 mg/kg every 3 weeks</w:t>
            </w:r>
            <w:r w:rsidR="00891578">
              <w:rPr>
                <w:b/>
              </w:rPr>
              <w:t xml:space="preserve"> </w:t>
            </w:r>
            <w:r w:rsidRPr="00135868">
              <w:rPr>
                <w:b/>
              </w:rPr>
              <w:t>n=178</w:t>
            </w:r>
          </w:p>
        </w:tc>
        <w:tc>
          <w:tcPr>
            <w:tcW w:w="3162" w:type="dxa"/>
            <w:gridSpan w:val="2"/>
          </w:tcPr>
          <w:p w:rsidR="00135868" w:rsidRPr="00135868" w:rsidRDefault="00135868" w:rsidP="00135868">
            <w:pPr>
              <w:rPr>
                <w:b/>
              </w:rPr>
            </w:pPr>
            <w:r w:rsidRPr="00135868">
              <w:rPr>
                <w:b/>
              </w:rPr>
              <w:t>Chemotherapy</w:t>
            </w:r>
          </w:p>
          <w:p w:rsidR="00135868" w:rsidRPr="00135868" w:rsidRDefault="00135868" w:rsidP="00135868">
            <w:pPr>
              <w:rPr>
                <w:b/>
              </w:rPr>
            </w:pPr>
            <w:r w:rsidRPr="00135868">
              <w:rPr>
                <w:b/>
              </w:rPr>
              <w:t>n=171</w:t>
            </w:r>
          </w:p>
        </w:tc>
      </w:tr>
      <w:tr w:rsidR="00135868" w:rsidRPr="00135868" w:rsidTr="00891578">
        <w:trPr>
          <w:jc w:val="center"/>
        </w:trPr>
        <w:tc>
          <w:tcPr>
            <w:tcW w:w="2049" w:type="dxa"/>
            <w:shd w:val="clear" w:color="auto" w:fill="auto"/>
          </w:tcPr>
          <w:p w:rsidR="00135868" w:rsidRPr="00135868" w:rsidRDefault="00135868" w:rsidP="00135868">
            <w:pPr>
              <w:rPr>
                <w:b/>
                <w:bCs/>
              </w:rPr>
            </w:pPr>
            <w:r w:rsidRPr="00135868">
              <w:rPr>
                <w:b/>
              </w:rPr>
              <w:t>Adverse Event</w:t>
            </w:r>
          </w:p>
        </w:tc>
        <w:tc>
          <w:tcPr>
            <w:tcW w:w="1915" w:type="dxa"/>
            <w:shd w:val="clear" w:color="auto" w:fill="auto"/>
          </w:tcPr>
          <w:p w:rsidR="00135868" w:rsidRPr="00135868" w:rsidRDefault="00135868" w:rsidP="00891578">
            <w:pPr>
              <w:rPr>
                <w:b/>
              </w:rPr>
            </w:pPr>
            <w:r w:rsidRPr="00135868">
              <w:rPr>
                <w:b/>
              </w:rPr>
              <w:t>All Grades</w:t>
            </w:r>
            <w:r w:rsidR="00891578">
              <w:rPr>
                <w:b/>
              </w:rPr>
              <w:t xml:space="preserve"> </w:t>
            </w:r>
            <w:r w:rsidRPr="00135868">
              <w:rPr>
                <w:b/>
              </w:rPr>
              <w:t>(%)</w:t>
            </w:r>
          </w:p>
        </w:tc>
        <w:tc>
          <w:tcPr>
            <w:tcW w:w="1493" w:type="dxa"/>
            <w:shd w:val="clear" w:color="auto" w:fill="auto"/>
          </w:tcPr>
          <w:p w:rsidR="00135868" w:rsidRPr="00135868" w:rsidRDefault="00135868" w:rsidP="00891578">
            <w:pPr>
              <w:rPr>
                <w:b/>
              </w:rPr>
            </w:pPr>
            <w:r w:rsidRPr="00135868">
              <w:rPr>
                <w:b/>
              </w:rPr>
              <w:t>Grade 3-4*</w:t>
            </w:r>
            <w:r w:rsidR="00891578">
              <w:rPr>
                <w:b/>
              </w:rPr>
              <w:t xml:space="preserve"> </w:t>
            </w:r>
            <w:r w:rsidRPr="00135868">
              <w:rPr>
                <w:b/>
              </w:rPr>
              <w:t>(%)</w:t>
            </w:r>
          </w:p>
        </w:tc>
        <w:tc>
          <w:tcPr>
            <w:tcW w:w="1994" w:type="dxa"/>
          </w:tcPr>
          <w:p w:rsidR="00135868" w:rsidRPr="00135868" w:rsidRDefault="00135868" w:rsidP="00891578">
            <w:pPr>
              <w:rPr>
                <w:b/>
              </w:rPr>
            </w:pPr>
            <w:r w:rsidRPr="00135868">
              <w:rPr>
                <w:b/>
              </w:rPr>
              <w:t>All Grades</w:t>
            </w:r>
            <w:r w:rsidR="00891578">
              <w:rPr>
                <w:b/>
              </w:rPr>
              <w:t xml:space="preserve"> </w:t>
            </w:r>
            <w:r w:rsidRPr="00135868">
              <w:rPr>
                <w:b/>
              </w:rPr>
              <w:t>(%)</w:t>
            </w:r>
          </w:p>
        </w:tc>
        <w:tc>
          <w:tcPr>
            <w:tcW w:w="1168" w:type="dxa"/>
          </w:tcPr>
          <w:p w:rsidR="00135868" w:rsidRPr="00135868" w:rsidRDefault="00135868" w:rsidP="00891578">
            <w:pPr>
              <w:rPr>
                <w:b/>
              </w:rPr>
            </w:pPr>
            <w:r w:rsidRPr="00135868">
              <w:rPr>
                <w:b/>
              </w:rPr>
              <w:t>Grade 3-4*</w:t>
            </w:r>
            <w:r w:rsidR="00891578">
              <w:rPr>
                <w:b/>
              </w:rPr>
              <w:t xml:space="preserve"> </w:t>
            </w:r>
            <w:r w:rsidRPr="00135868">
              <w:rPr>
                <w:b/>
              </w:rPr>
              <w:t>(%)</w:t>
            </w:r>
          </w:p>
        </w:tc>
      </w:tr>
      <w:tr w:rsidR="00135868" w:rsidRPr="00135868" w:rsidTr="00891578">
        <w:trPr>
          <w:jc w:val="center"/>
        </w:trPr>
        <w:tc>
          <w:tcPr>
            <w:tcW w:w="8619" w:type="dxa"/>
            <w:gridSpan w:val="5"/>
            <w:shd w:val="clear" w:color="auto" w:fill="auto"/>
          </w:tcPr>
          <w:p w:rsidR="00135868" w:rsidRPr="00135868" w:rsidRDefault="00135868" w:rsidP="00135868">
            <w:pPr>
              <w:rPr>
                <w:b/>
              </w:rPr>
            </w:pPr>
            <w:r w:rsidRPr="00135868">
              <w:rPr>
                <w:b/>
              </w:rPr>
              <w:t>Gastrointestinal Disorders</w:t>
            </w:r>
          </w:p>
        </w:tc>
      </w:tr>
      <w:tr w:rsidR="00135868" w:rsidRPr="00135868" w:rsidTr="00891578">
        <w:trPr>
          <w:jc w:val="center"/>
        </w:trPr>
        <w:tc>
          <w:tcPr>
            <w:tcW w:w="2049" w:type="dxa"/>
            <w:shd w:val="clear" w:color="auto" w:fill="auto"/>
          </w:tcPr>
          <w:p w:rsidR="00135868" w:rsidRPr="00135868" w:rsidRDefault="00135868" w:rsidP="00135868">
            <w:r w:rsidRPr="00135868">
              <w:t>Abdominal pain</w:t>
            </w:r>
          </w:p>
        </w:tc>
        <w:tc>
          <w:tcPr>
            <w:tcW w:w="1915" w:type="dxa"/>
            <w:shd w:val="clear" w:color="auto" w:fill="auto"/>
          </w:tcPr>
          <w:p w:rsidR="00135868" w:rsidRPr="00135868" w:rsidRDefault="00135868" w:rsidP="00135868">
            <w:r w:rsidRPr="00135868">
              <w:t>13</w:t>
            </w:r>
          </w:p>
        </w:tc>
        <w:tc>
          <w:tcPr>
            <w:tcW w:w="1493" w:type="dxa"/>
            <w:shd w:val="clear" w:color="auto" w:fill="auto"/>
          </w:tcPr>
          <w:p w:rsidR="00135868" w:rsidRPr="00135868" w:rsidRDefault="00135868" w:rsidP="00135868">
            <w:r w:rsidRPr="00135868">
              <w:t>2</w:t>
            </w:r>
          </w:p>
        </w:tc>
        <w:tc>
          <w:tcPr>
            <w:tcW w:w="1994" w:type="dxa"/>
          </w:tcPr>
          <w:p w:rsidR="00135868" w:rsidRPr="00135868" w:rsidRDefault="00135868" w:rsidP="00135868">
            <w:r w:rsidRPr="00135868">
              <w:t>8</w:t>
            </w:r>
          </w:p>
        </w:tc>
        <w:tc>
          <w:tcPr>
            <w:tcW w:w="1168" w:type="dxa"/>
          </w:tcPr>
          <w:p w:rsidR="00135868" w:rsidRPr="00135868" w:rsidRDefault="00135868" w:rsidP="00135868">
            <w:r w:rsidRPr="00135868">
              <w:t>1</w:t>
            </w:r>
          </w:p>
        </w:tc>
      </w:tr>
      <w:tr w:rsidR="00135868" w:rsidRPr="00135868" w:rsidTr="00891578">
        <w:trPr>
          <w:jc w:val="center"/>
        </w:trPr>
        <w:tc>
          <w:tcPr>
            <w:tcW w:w="8619" w:type="dxa"/>
            <w:gridSpan w:val="5"/>
            <w:shd w:val="clear" w:color="auto" w:fill="auto"/>
          </w:tcPr>
          <w:p w:rsidR="00135868" w:rsidRPr="00135868" w:rsidRDefault="00135868" w:rsidP="00135868">
            <w:pPr>
              <w:rPr>
                <w:b/>
              </w:rPr>
            </w:pPr>
            <w:r w:rsidRPr="00135868">
              <w:rPr>
                <w:b/>
              </w:rPr>
              <w:t>Skin and Subcutaneous Tissue Disorders</w:t>
            </w:r>
          </w:p>
        </w:tc>
      </w:tr>
      <w:tr w:rsidR="00135868" w:rsidRPr="00135868" w:rsidTr="00891578">
        <w:trPr>
          <w:jc w:val="center"/>
        </w:trPr>
        <w:tc>
          <w:tcPr>
            <w:tcW w:w="2049" w:type="dxa"/>
            <w:shd w:val="clear" w:color="auto" w:fill="auto"/>
          </w:tcPr>
          <w:p w:rsidR="00135868" w:rsidRPr="00135868" w:rsidRDefault="00135868" w:rsidP="00135868">
            <w:r w:rsidRPr="00135868">
              <w:lastRenderedPageBreak/>
              <w:t>Pruritus</w:t>
            </w:r>
          </w:p>
        </w:tc>
        <w:tc>
          <w:tcPr>
            <w:tcW w:w="1915" w:type="dxa"/>
            <w:shd w:val="clear" w:color="auto" w:fill="auto"/>
          </w:tcPr>
          <w:p w:rsidR="00135868" w:rsidRPr="00135868" w:rsidRDefault="00135868" w:rsidP="00135868">
            <w:r w:rsidRPr="00135868">
              <w:t>25</w:t>
            </w:r>
          </w:p>
        </w:tc>
        <w:tc>
          <w:tcPr>
            <w:tcW w:w="1493" w:type="dxa"/>
            <w:shd w:val="clear" w:color="auto" w:fill="auto"/>
          </w:tcPr>
          <w:p w:rsidR="00135868" w:rsidRPr="00135868" w:rsidRDefault="00135868" w:rsidP="00135868">
            <w:r w:rsidRPr="00135868">
              <w:t>0</w:t>
            </w:r>
          </w:p>
        </w:tc>
        <w:tc>
          <w:tcPr>
            <w:tcW w:w="1994" w:type="dxa"/>
          </w:tcPr>
          <w:p w:rsidR="00135868" w:rsidRPr="00135868" w:rsidRDefault="00135868" w:rsidP="00135868">
            <w:r w:rsidRPr="00135868">
              <w:t>8</w:t>
            </w:r>
          </w:p>
        </w:tc>
        <w:tc>
          <w:tcPr>
            <w:tcW w:w="1168" w:type="dxa"/>
          </w:tcPr>
          <w:p w:rsidR="00135868" w:rsidRPr="00135868" w:rsidRDefault="00135868" w:rsidP="00135868">
            <w:r w:rsidRPr="00135868">
              <w:t>0</w:t>
            </w:r>
          </w:p>
        </w:tc>
      </w:tr>
      <w:tr w:rsidR="00135868" w:rsidRPr="00135868" w:rsidTr="00891578">
        <w:trPr>
          <w:jc w:val="center"/>
        </w:trPr>
        <w:tc>
          <w:tcPr>
            <w:tcW w:w="2049" w:type="dxa"/>
            <w:shd w:val="clear" w:color="auto" w:fill="auto"/>
          </w:tcPr>
          <w:p w:rsidR="00135868" w:rsidRPr="00135868" w:rsidRDefault="00135868" w:rsidP="00135868">
            <w:r w:rsidRPr="00135868">
              <w:t>Rash</w:t>
            </w:r>
          </w:p>
        </w:tc>
        <w:tc>
          <w:tcPr>
            <w:tcW w:w="1915" w:type="dxa"/>
            <w:shd w:val="clear" w:color="auto" w:fill="auto"/>
          </w:tcPr>
          <w:p w:rsidR="00135868" w:rsidRPr="00135868" w:rsidRDefault="00135868" w:rsidP="00135868">
            <w:r w:rsidRPr="00135868">
              <w:t>13</w:t>
            </w:r>
          </w:p>
        </w:tc>
        <w:tc>
          <w:tcPr>
            <w:tcW w:w="1493" w:type="dxa"/>
            <w:shd w:val="clear" w:color="auto" w:fill="auto"/>
          </w:tcPr>
          <w:p w:rsidR="00135868" w:rsidRPr="00135868" w:rsidRDefault="00135868" w:rsidP="00135868">
            <w:r w:rsidRPr="00135868">
              <w:t>0</w:t>
            </w:r>
          </w:p>
        </w:tc>
        <w:tc>
          <w:tcPr>
            <w:tcW w:w="1994" w:type="dxa"/>
          </w:tcPr>
          <w:p w:rsidR="00135868" w:rsidRPr="00135868" w:rsidRDefault="00135868" w:rsidP="00135868">
            <w:r w:rsidRPr="00135868">
              <w:t>8</w:t>
            </w:r>
          </w:p>
        </w:tc>
        <w:tc>
          <w:tcPr>
            <w:tcW w:w="1168" w:type="dxa"/>
          </w:tcPr>
          <w:p w:rsidR="00135868" w:rsidRPr="00135868" w:rsidRDefault="00135868" w:rsidP="00135868">
            <w:r w:rsidRPr="00135868">
              <w:t>0</w:t>
            </w:r>
          </w:p>
        </w:tc>
      </w:tr>
      <w:tr w:rsidR="00135868" w:rsidRPr="00135868" w:rsidTr="00891578">
        <w:trPr>
          <w:jc w:val="center"/>
        </w:trPr>
        <w:tc>
          <w:tcPr>
            <w:tcW w:w="8619" w:type="dxa"/>
            <w:gridSpan w:val="5"/>
            <w:shd w:val="clear" w:color="auto" w:fill="auto"/>
          </w:tcPr>
          <w:p w:rsidR="00135868" w:rsidRPr="00135868" w:rsidRDefault="00135868" w:rsidP="00135868">
            <w:pPr>
              <w:rPr>
                <w:b/>
              </w:rPr>
            </w:pPr>
            <w:r w:rsidRPr="00135868">
              <w:rPr>
                <w:b/>
              </w:rPr>
              <w:t xml:space="preserve">Metabolism and Nutrition Disorders </w:t>
            </w:r>
          </w:p>
        </w:tc>
      </w:tr>
      <w:tr w:rsidR="00135868" w:rsidRPr="00135868" w:rsidTr="00891578">
        <w:trPr>
          <w:jc w:val="center"/>
        </w:trPr>
        <w:tc>
          <w:tcPr>
            <w:tcW w:w="2049" w:type="dxa"/>
            <w:shd w:val="clear" w:color="auto" w:fill="auto"/>
          </w:tcPr>
          <w:p w:rsidR="00135868" w:rsidRPr="00135868" w:rsidRDefault="00135868" w:rsidP="00135868">
            <w:r w:rsidRPr="00135868">
              <w:t>Hyponatremia</w:t>
            </w:r>
          </w:p>
        </w:tc>
        <w:tc>
          <w:tcPr>
            <w:tcW w:w="1915" w:type="dxa"/>
            <w:shd w:val="clear" w:color="auto" w:fill="auto"/>
          </w:tcPr>
          <w:p w:rsidR="00135868" w:rsidRPr="00135868" w:rsidRDefault="00135868" w:rsidP="00135868">
            <w:r w:rsidRPr="00135868">
              <w:t>11</w:t>
            </w:r>
          </w:p>
        </w:tc>
        <w:tc>
          <w:tcPr>
            <w:tcW w:w="1493" w:type="dxa"/>
            <w:shd w:val="clear" w:color="auto" w:fill="auto"/>
          </w:tcPr>
          <w:p w:rsidR="00135868" w:rsidRPr="00135868" w:rsidRDefault="00135868" w:rsidP="00135868">
            <w:r w:rsidRPr="00135868">
              <w:t>3</w:t>
            </w:r>
          </w:p>
        </w:tc>
        <w:tc>
          <w:tcPr>
            <w:tcW w:w="1994" w:type="dxa"/>
          </w:tcPr>
          <w:p w:rsidR="00135868" w:rsidRPr="00135868" w:rsidRDefault="00135868" w:rsidP="00135868">
            <w:r w:rsidRPr="00135868">
              <w:t>5</w:t>
            </w:r>
          </w:p>
        </w:tc>
        <w:tc>
          <w:tcPr>
            <w:tcW w:w="1168" w:type="dxa"/>
          </w:tcPr>
          <w:p w:rsidR="00135868" w:rsidRPr="00135868" w:rsidRDefault="00135868" w:rsidP="00135868">
            <w:r w:rsidRPr="00135868">
              <w:t>1</w:t>
            </w:r>
          </w:p>
        </w:tc>
      </w:tr>
      <w:tr w:rsidR="00135868" w:rsidRPr="00135868" w:rsidTr="00891578">
        <w:trPr>
          <w:jc w:val="center"/>
        </w:trPr>
        <w:tc>
          <w:tcPr>
            <w:tcW w:w="8619" w:type="dxa"/>
            <w:gridSpan w:val="5"/>
            <w:shd w:val="clear" w:color="auto" w:fill="auto"/>
          </w:tcPr>
          <w:p w:rsidR="00135868" w:rsidRPr="00135868" w:rsidRDefault="00135868" w:rsidP="00135868">
            <w:pPr>
              <w:rPr>
                <w:b/>
              </w:rPr>
            </w:pPr>
            <w:r w:rsidRPr="00135868">
              <w:rPr>
                <w:b/>
              </w:rPr>
              <w:t>Musculoskeletal and Connective Tissue Disorders</w:t>
            </w:r>
          </w:p>
        </w:tc>
      </w:tr>
      <w:tr w:rsidR="00135868" w:rsidRPr="00135868" w:rsidTr="00891578">
        <w:trPr>
          <w:jc w:val="center"/>
        </w:trPr>
        <w:tc>
          <w:tcPr>
            <w:tcW w:w="2049" w:type="dxa"/>
            <w:shd w:val="clear" w:color="auto" w:fill="auto"/>
          </w:tcPr>
          <w:p w:rsidR="00135868" w:rsidRPr="00135868" w:rsidRDefault="00135868" w:rsidP="00135868">
            <w:r w:rsidRPr="00135868">
              <w:t>Arthralgia</w:t>
            </w:r>
          </w:p>
        </w:tc>
        <w:tc>
          <w:tcPr>
            <w:tcW w:w="1915" w:type="dxa"/>
            <w:shd w:val="clear" w:color="auto" w:fill="auto"/>
          </w:tcPr>
          <w:p w:rsidR="00135868" w:rsidRPr="00135868" w:rsidRDefault="00135868" w:rsidP="00135868">
            <w:r w:rsidRPr="00135868">
              <w:t>15</w:t>
            </w:r>
          </w:p>
        </w:tc>
        <w:tc>
          <w:tcPr>
            <w:tcW w:w="1493" w:type="dxa"/>
            <w:shd w:val="clear" w:color="auto" w:fill="auto"/>
          </w:tcPr>
          <w:p w:rsidR="00135868" w:rsidRPr="00135868" w:rsidRDefault="00135868" w:rsidP="00135868">
            <w:r w:rsidRPr="00135868">
              <w:t>1</w:t>
            </w:r>
          </w:p>
        </w:tc>
        <w:tc>
          <w:tcPr>
            <w:tcW w:w="1994" w:type="dxa"/>
          </w:tcPr>
          <w:p w:rsidR="00135868" w:rsidRPr="00135868" w:rsidRDefault="00135868" w:rsidP="00135868">
            <w:r w:rsidRPr="00135868">
              <w:t>10</w:t>
            </w:r>
          </w:p>
        </w:tc>
        <w:tc>
          <w:tcPr>
            <w:tcW w:w="1168" w:type="dxa"/>
          </w:tcPr>
          <w:p w:rsidR="00135868" w:rsidRPr="00135868" w:rsidRDefault="00135868" w:rsidP="00135868">
            <w:r w:rsidRPr="00135868">
              <w:t>1</w:t>
            </w:r>
          </w:p>
        </w:tc>
      </w:tr>
      <w:tr w:rsidR="00135868" w:rsidRPr="00135868" w:rsidTr="00891578">
        <w:trPr>
          <w:jc w:val="center"/>
        </w:trPr>
        <w:tc>
          <w:tcPr>
            <w:tcW w:w="8619" w:type="dxa"/>
            <w:gridSpan w:val="5"/>
            <w:tcBorders>
              <w:left w:val="nil"/>
              <w:bottom w:val="nil"/>
              <w:right w:val="nil"/>
            </w:tcBorders>
            <w:shd w:val="clear" w:color="auto" w:fill="auto"/>
          </w:tcPr>
          <w:p w:rsidR="00135868" w:rsidRPr="00135868" w:rsidRDefault="00135868" w:rsidP="00135868">
            <w:pPr>
              <w:rPr>
                <w:b/>
              </w:rPr>
            </w:pPr>
            <w:r w:rsidRPr="00135868">
              <w:t>* Of these ≥10% adverse events, none was reported as Grade 4 in patients receiving KEYTRUDA at 2 mg/kg. Hyponatremia was reported as Grade 4 in one patient receiving chemotherapy.</w:t>
            </w:r>
          </w:p>
        </w:tc>
      </w:tr>
    </w:tbl>
    <w:p w:rsidR="00135868" w:rsidRPr="00135868" w:rsidRDefault="00135868" w:rsidP="00891578">
      <w:pPr>
        <w:pStyle w:val="Tabletitle"/>
      </w:pPr>
      <w:r w:rsidRPr="00135868">
        <w:t xml:space="preserve">Table 6: Laboratory Abnormalities Worsened from Baseline in ≥20% of Patients with </w:t>
      </w:r>
      <w:proofErr w:type="spellStart"/>
      <w:r w:rsidRPr="00135868">
        <w:t>Unresectable</w:t>
      </w:r>
      <w:proofErr w:type="spellEnd"/>
      <w:r w:rsidRPr="00135868">
        <w:t xml:space="preserve"> or Metastatic Melanoma and at a Higher Incidence than in the Chemotherapy Arm (Between Arm Difference of ≥5% [All Grades] or ≥2% [Grades 3-4]) (KEYNOTE-002)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1276"/>
        <w:gridCol w:w="1620"/>
        <w:gridCol w:w="1080"/>
        <w:gridCol w:w="1170"/>
      </w:tblGrid>
      <w:tr w:rsidR="00135868" w:rsidRPr="00135868" w:rsidTr="00891578">
        <w:trPr>
          <w:tblHeader/>
          <w:jc w:val="center"/>
        </w:trPr>
        <w:tc>
          <w:tcPr>
            <w:tcW w:w="2596" w:type="dxa"/>
            <w:shd w:val="clear" w:color="auto" w:fill="auto"/>
          </w:tcPr>
          <w:p w:rsidR="00135868" w:rsidRPr="00135868" w:rsidRDefault="00135868" w:rsidP="00135868"/>
        </w:tc>
        <w:tc>
          <w:tcPr>
            <w:tcW w:w="2896" w:type="dxa"/>
            <w:gridSpan w:val="2"/>
            <w:shd w:val="clear" w:color="auto" w:fill="auto"/>
          </w:tcPr>
          <w:p w:rsidR="00135868" w:rsidRPr="00135868" w:rsidRDefault="00135868" w:rsidP="00135868">
            <w:pPr>
              <w:rPr>
                <w:b/>
              </w:rPr>
            </w:pPr>
            <w:r w:rsidRPr="00135868">
              <w:rPr>
                <w:b/>
              </w:rPr>
              <w:t>KEYTRUDA</w:t>
            </w:r>
          </w:p>
          <w:p w:rsidR="00135868" w:rsidRPr="00135868" w:rsidRDefault="00135868" w:rsidP="00135868">
            <w:pPr>
              <w:rPr>
                <w:b/>
              </w:rPr>
            </w:pPr>
            <w:r w:rsidRPr="00135868">
              <w:rPr>
                <w:b/>
              </w:rPr>
              <w:t>2 mg/kg every 3 weeks</w:t>
            </w:r>
          </w:p>
          <w:p w:rsidR="00135868" w:rsidRPr="00135868" w:rsidRDefault="00135868" w:rsidP="00135868">
            <w:pPr>
              <w:rPr>
                <w:b/>
              </w:rPr>
            </w:pPr>
            <w:r w:rsidRPr="00135868">
              <w:rPr>
                <w:b/>
              </w:rPr>
              <w:t>n=178</w:t>
            </w:r>
          </w:p>
        </w:tc>
        <w:tc>
          <w:tcPr>
            <w:tcW w:w="2250" w:type="dxa"/>
            <w:gridSpan w:val="2"/>
          </w:tcPr>
          <w:p w:rsidR="00135868" w:rsidRPr="00135868" w:rsidRDefault="00135868" w:rsidP="00135868">
            <w:pPr>
              <w:rPr>
                <w:b/>
              </w:rPr>
            </w:pPr>
            <w:r w:rsidRPr="00135868">
              <w:rPr>
                <w:b/>
              </w:rPr>
              <w:t>Chemotherapy</w:t>
            </w:r>
          </w:p>
          <w:p w:rsidR="00135868" w:rsidRPr="00135868" w:rsidRDefault="00135868" w:rsidP="00135868">
            <w:pPr>
              <w:rPr>
                <w:b/>
              </w:rPr>
            </w:pPr>
          </w:p>
          <w:p w:rsidR="00135868" w:rsidRPr="00135868" w:rsidRDefault="00135868" w:rsidP="00135868">
            <w:pPr>
              <w:rPr>
                <w:b/>
              </w:rPr>
            </w:pPr>
            <w:r w:rsidRPr="00135868">
              <w:rPr>
                <w:b/>
              </w:rPr>
              <w:t>n=171</w:t>
            </w:r>
          </w:p>
        </w:tc>
      </w:tr>
      <w:tr w:rsidR="00135868" w:rsidRPr="00135868" w:rsidTr="00135868">
        <w:trPr>
          <w:jc w:val="center"/>
        </w:trPr>
        <w:tc>
          <w:tcPr>
            <w:tcW w:w="2596" w:type="dxa"/>
            <w:shd w:val="clear" w:color="auto" w:fill="auto"/>
            <w:vAlign w:val="center"/>
          </w:tcPr>
          <w:p w:rsidR="00135868" w:rsidRPr="00135868" w:rsidRDefault="00135868" w:rsidP="00135868">
            <w:pPr>
              <w:rPr>
                <w:b/>
              </w:rPr>
            </w:pPr>
            <w:r w:rsidRPr="00135868">
              <w:rPr>
                <w:b/>
              </w:rPr>
              <w:t>Laboratory Test</w:t>
            </w:r>
          </w:p>
        </w:tc>
        <w:tc>
          <w:tcPr>
            <w:tcW w:w="1276" w:type="dxa"/>
            <w:shd w:val="clear" w:color="auto" w:fill="auto"/>
          </w:tcPr>
          <w:p w:rsidR="00135868" w:rsidRPr="00135868" w:rsidRDefault="00135868" w:rsidP="00135868">
            <w:pPr>
              <w:rPr>
                <w:b/>
              </w:rPr>
            </w:pPr>
            <w:r w:rsidRPr="00135868">
              <w:rPr>
                <w:b/>
              </w:rPr>
              <w:t>All Grades</w:t>
            </w:r>
          </w:p>
          <w:p w:rsidR="00135868" w:rsidRPr="00135868" w:rsidRDefault="00135868" w:rsidP="00135868">
            <w:pPr>
              <w:rPr>
                <w:b/>
              </w:rPr>
            </w:pPr>
            <w:r w:rsidRPr="00135868">
              <w:rPr>
                <w:b/>
              </w:rPr>
              <w:t>%</w:t>
            </w:r>
          </w:p>
        </w:tc>
        <w:tc>
          <w:tcPr>
            <w:tcW w:w="1620" w:type="dxa"/>
            <w:shd w:val="clear" w:color="auto" w:fill="auto"/>
          </w:tcPr>
          <w:p w:rsidR="00135868" w:rsidRPr="00135868" w:rsidRDefault="00135868" w:rsidP="00135868">
            <w:pPr>
              <w:rPr>
                <w:b/>
              </w:rPr>
            </w:pPr>
            <w:r w:rsidRPr="00135868">
              <w:rPr>
                <w:b/>
              </w:rPr>
              <w:t>Grades 3-4</w:t>
            </w:r>
          </w:p>
          <w:p w:rsidR="00135868" w:rsidRPr="00135868" w:rsidRDefault="00135868" w:rsidP="00135868">
            <w:pPr>
              <w:rPr>
                <w:b/>
              </w:rPr>
            </w:pPr>
            <w:r w:rsidRPr="00135868">
              <w:rPr>
                <w:b/>
              </w:rPr>
              <w:t>%</w:t>
            </w:r>
          </w:p>
        </w:tc>
        <w:tc>
          <w:tcPr>
            <w:tcW w:w="1080" w:type="dxa"/>
          </w:tcPr>
          <w:p w:rsidR="00135868" w:rsidRPr="00135868" w:rsidRDefault="00135868" w:rsidP="00135868">
            <w:pPr>
              <w:rPr>
                <w:b/>
              </w:rPr>
            </w:pPr>
            <w:r w:rsidRPr="00135868">
              <w:rPr>
                <w:b/>
              </w:rPr>
              <w:t>All Grades</w:t>
            </w:r>
          </w:p>
          <w:p w:rsidR="00135868" w:rsidRPr="00135868" w:rsidRDefault="00135868" w:rsidP="00135868">
            <w:pPr>
              <w:rPr>
                <w:b/>
              </w:rPr>
            </w:pPr>
            <w:r w:rsidRPr="00135868">
              <w:rPr>
                <w:b/>
              </w:rPr>
              <w:t>%</w:t>
            </w:r>
          </w:p>
        </w:tc>
        <w:tc>
          <w:tcPr>
            <w:tcW w:w="1170" w:type="dxa"/>
          </w:tcPr>
          <w:p w:rsidR="00135868" w:rsidRPr="00135868" w:rsidRDefault="00135868" w:rsidP="00135868">
            <w:pPr>
              <w:rPr>
                <w:b/>
              </w:rPr>
            </w:pPr>
            <w:r w:rsidRPr="00135868">
              <w:rPr>
                <w:b/>
              </w:rPr>
              <w:t>Grades 3-4</w:t>
            </w:r>
          </w:p>
          <w:p w:rsidR="00135868" w:rsidRPr="00135868" w:rsidRDefault="00135868" w:rsidP="00135868">
            <w:pPr>
              <w:rPr>
                <w:b/>
              </w:rPr>
            </w:pPr>
            <w:r w:rsidRPr="00135868">
              <w:rPr>
                <w:b/>
              </w:rPr>
              <w:t>%</w:t>
            </w:r>
          </w:p>
        </w:tc>
      </w:tr>
      <w:tr w:rsidR="00135868" w:rsidRPr="00135868" w:rsidTr="00135868">
        <w:trPr>
          <w:jc w:val="center"/>
        </w:trPr>
        <w:tc>
          <w:tcPr>
            <w:tcW w:w="5492" w:type="dxa"/>
            <w:gridSpan w:val="3"/>
            <w:shd w:val="clear" w:color="auto" w:fill="auto"/>
          </w:tcPr>
          <w:p w:rsidR="00135868" w:rsidRPr="00135868" w:rsidRDefault="00135868" w:rsidP="00135868">
            <w:pPr>
              <w:rPr>
                <w:b/>
              </w:rPr>
            </w:pPr>
            <w:r w:rsidRPr="00135868">
              <w:rPr>
                <w:b/>
              </w:rPr>
              <w:t>Chemistry</w:t>
            </w:r>
          </w:p>
        </w:tc>
        <w:tc>
          <w:tcPr>
            <w:tcW w:w="2250" w:type="dxa"/>
            <w:gridSpan w:val="2"/>
          </w:tcPr>
          <w:p w:rsidR="00135868" w:rsidRPr="00135868" w:rsidRDefault="00135868" w:rsidP="00135868"/>
        </w:tc>
      </w:tr>
      <w:tr w:rsidR="00135868" w:rsidRPr="00135868" w:rsidTr="00135868">
        <w:trPr>
          <w:jc w:val="center"/>
        </w:trPr>
        <w:tc>
          <w:tcPr>
            <w:tcW w:w="2596" w:type="dxa"/>
            <w:shd w:val="clear" w:color="auto" w:fill="auto"/>
          </w:tcPr>
          <w:p w:rsidR="00135868" w:rsidRPr="00135868" w:rsidRDefault="00135868" w:rsidP="00135868">
            <w:r w:rsidRPr="00135868">
              <w:t>Hyperglycaemia</w:t>
            </w:r>
          </w:p>
        </w:tc>
        <w:tc>
          <w:tcPr>
            <w:tcW w:w="1276" w:type="dxa"/>
            <w:shd w:val="clear" w:color="auto" w:fill="auto"/>
          </w:tcPr>
          <w:p w:rsidR="00135868" w:rsidRPr="00135868" w:rsidRDefault="00135868" w:rsidP="00135868">
            <w:r w:rsidRPr="00135868">
              <w:t>63</w:t>
            </w:r>
          </w:p>
        </w:tc>
        <w:tc>
          <w:tcPr>
            <w:tcW w:w="1620" w:type="dxa"/>
            <w:shd w:val="clear" w:color="auto" w:fill="auto"/>
          </w:tcPr>
          <w:p w:rsidR="00135868" w:rsidRPr="00135868" w:rsidRDefault="00135868" w:rsidP="00135868">
            <w:r w:rsidRPr="00135868">
              <w:t>9</w:t>
            </w:r>
          </w:p>
        </w:tc>
        <w:tc>
          <w:tcPr>
            <w:tcW w:w="1080" w:type="dxa"/>
          </w:tcPr>
          <w:p w:rsidR="00135868" w:rsidRPr="00135868" w:rsidRDefault="00135868" w:rsidP="00135868">
            <w:r w:rsidRPr="00135868">
              <w:t>56</w:t>
            </w:r>
          </w:p>
        </w:tc>
        <w:tc>
          <w:tcPr>
            <w:tcW w:w="1170" w:type="dxa"/>
          </w:tcPr>
          <w:p w:rsidR="00135868" w:rsidRPr="00135868" w:rsidRDefault="00135868" w:rsidP="00135868">
            <w:r w:rsidRPr="00135868">
              <w:t>6</w:t>
            </w:r>
          </w:p>
        </w:tc>
      </w:tr>
      <w:tr w:rsidR="00135868" w:rsidRPr="00135868" w:rsidTr="00135868">
        <w:trPr>
          <w:jc w:val="center"/>
        </w:trPr>
        <w:tc>
          <w:tcPr>
            <w:tcW w:w="2596" w:type="dxa"/>
            <w:shd w:val="clear" w:color="auto" w:fill="auto"/>
          </w:tcPr>
          <w:p w:rsidR="00135868" w:rsidRPr="00135868" w:rsidRDefault="00135868" w:rsidP="00135868">
            <w:r w:rsidRPr="00135868">
              <w:t>Hyponatremia</w:t>
            </w:r>
          </w:p>
        </w:tc>
        <w:tc>
          <w:tcPr>
            <w:tcW w:w="1276" w:type="dxa"/>
            <w:shd w:val="clear" w:color="auto" w:fill="auto"/>
          </w:tcPr>
          <w:p w:rsidR="00135868" w:rsidRPr="00135868" w:rsidRDefault="00135868" w:rsidP="00135868">
            <w:r w:rsidRPr="00135868">
              <w:t>45</w:t>
            </w:r>
          </w:p>
        </w:tc>
        <w:tc>
          <w:tcPr>
            <w:tcW w:w="1620" w:type="dxa"/>
            <w:shd w:val="clear" w:color="auto" w:fill="auto"/>
          </w:tcPr>
          <w:p w:rsidR="00135868" w:rsidRPr="00135868" w:rsidRDefault="00135868" w:rsidP="00135868">
            <w:r w:rsidRPr="00135868">
              <w:t>8</w:t>
            </w:r>
          </w:p>
        </w:tc>
        <w:tc>
          <w:tcPr>
            <w:tcW w:w="1080" w:type="dxa"/>
          </w:tcPr>
          <w:p w:rsidR="00135868" w:rsidRPr="00135868" w:rsidRDefault="00135868" w:rsidP="00135868">
            <w:r w:rsidRPr="00135868">
              <w:t>29</w:t>
            </w:r>
          </w:p>
        </w:tc>
        <w:tc>
          <w:tcPr>
            <w:tcW w:w="1170" w:type="dxa"/>
          </w:tcPr>
          <w:p w:rsidR="00135868" w:rsidRPr="00135868" w:rsidRDefault="00135868" w:rsidP="00135868">
            <w:r w:rsidRPr="00135868">
              <w:t>5</w:t>
            </w:r>
          </w:p>
        </w:tc>
      </w:tr>
      <w:tr w:rsidR="00135868" w:rsidRPr="00135868" w:rsidTr="00135868">
        <w:trPr>
          <w:jc w:val="center"/>
        </w:trPr>
        <w:tc>
          <w:tcPr>
            <w:tcW w:w="2596" w:type="dxa"/>
            <w:shd w:val="clear" w:color="auto" w:fill="auto"/>
          </w:tcPr>
          <w:p w:rsidR="00135868" w:rsidRPr="00135868" w:rsidRDefault="00135868" w:rsidP="00135868">
            <w:r w:rsidRPr="00135868">
              <w:lastRenderedPageBreak/>
              <w:t>Hypoalbuminemia</w:t>
            </w:r>
          </w:p>
        </w:tc>
        <w:tc>
          <w:tcPr>
            <w:tcW w:w="1276" w:type="dxa"/>
            <w:shd w:val="clear" w:color="auto" w:fill="auto"/>
          </w:tcPr>
          <w:p w:rsidR="00135868" w:rsidRPr="00135868" w:rsidRDefault="00135868" w:rsidP="00135868">
            <w:r w:rsidRPr="00135868">
              <w:t>43</w:t>
            </w:r>
          </w:p>
        </w:tc>
        <w:tc>
          <w:tcPr>
            <w:tcW w:w="1620" w:type="dxa"/>
            <w:shd w:val="clear" w:color="auto" w:fill="auto"/>
          </w:tcPr>
          <w:p w:rsidR="00135868" w:rsidRPr="00135868" w:rsidRDefault="00135868" w:rsidP="00135868">
            <w:r w:rsidRPr="00135868">
              <w:t>4</w:t>
            </w:r>
          </w:p>
        </w:tc>
        <w:tc>
          <w:tcPr>
            <w:tcW w:w="1080" w:type="dxa"/>
          </w:tcPr>
          <w:p w:rsidR="00135868" w:rsidRPr="00135868" w:rsidRDefault="00135868" w:rsidP="00135868">
            <w:r w:rsidRPr="00135868">
              <w:t>39</w:t>
            </w:r>
          </w:p>
        </w:tc>
        <w:tc>
          <w:tcPr>
            <w:tcW w:w="1170" w:type="dxa"/>
          </w:tcPr>
          <w:p w:rsidR="00135868" w:rsidRPr="00135868" w:rsidRDefault="00135868" w:rsidP="00135868">
            <w:r w:rsidRPr="00135868">
              <w:t>1</w:t>
            </w:r>
          </w:p>
        </w:tc>
      </w:tr>
      <w:tr w:rsidR="00135868" w:rsidRPr="00135868" w:rsidTr="00135868">
        <w:trPr>
          <w:jc w:val="center"/>
        </w:trPr>
        <w:tc>
          <w:tcPr>
            <w:tcW w:w="2596" w:type="dxa"/>
            <w:shd w:val="clear" w:color="auto" w:fill="auto"/>
          </w:tcPr>
          <w:p w:rsidR="00135868" w:rsidRPr="00135868" w:rsidRDefault="00135868" w:rsidP="00135868">
            <w:r w:rsidRPr="00135868">
              <w:t>Increased Aspartate Aminotransferase</w:t>
            </w:r>
          </w:p>
        </w:tc>
        <w:tc>
          <w:tcPr>
            <w:tcW w:w="1276" w:type="dxa"/>
            <w:shd w:val="clear" w:color="auto" w:fill="auto"/>
          </w:tcPr>
          <w:p w:rsidR="00135868" w:rsidRPr="00135868" w:rsidRDefault="00135868" w:rsidP="00135868">
            <w:r w:rsidRPr="00135868">
              <w:t>26</w:t>
            </w:r>
          </w:p>
        </w:tc>
        <w:tc>
          <w:tcPr>
            <w:tcW w:w="1620" w:type="dxa"/>
            <w:shd w:val="clear" w:color="auto" w:fill="auto"/>
          </w:tcPr>
          <w:p w:rsidR="00135868" w:rsidRPr="00135868" w:rsidRDefault="00135868" w:rsidP="00135868">
            <w:r w:rsidRPr="00135868">
              <w:t>2</w:t>
            </w:r>
          </w:p>
        </w:tc>
        <w:tc>
          <w:tcPr>
            <w:tcW w:w="1080" w:type="dxa"/>
          </w:tcPr>
          <w:p w:rsidR="00135868" w:rsidRPr="00135868" w:rsidRDefault="00135868" w:rsidP="00135868">
            <w:r w:rsidRPr="00135868">
              <w:t>17</w:t>
            </w:r>
          </w:p>
        </w:tc>
        <w:tc>
          <w:tcPr>
            <w:tcW w:w="1170" w:type="dxa"/>
          </w:tcPr>
          <w:p w:rsidR="00135868" w:rsidRPr="00135868" w:rsidRDefault="00135868" w:rsidP="00135868">
            <w:r w:rsidRPr="00135868">
              <w:t>1</w:t>
            </w:r>
          </w:p>
        </w:tc>
      </w:tr>
      <w:tr w:rsidR="00135868" w:rsidRPr="00135868" w:rsidTr="00135868">
        <w:trPr>
          <w:jc w:val="center"/>
        </w:trPr>
        <w:tc>
          <w:tcPr>
            <w:tcW w:w="2596" w:type="dxa"/>
            <w:shd w:val="clear" w:color="auto" w:fill="auto"/>
          </w:tcPr>
          <w:p w:rsidR="00135868" w:rsidRPr="00135868" w:rsidRDefault="00135868" w:rsidP="00135868">
            <w:r w:rsidRPr="00135868">
              <w:t>Increased Alkaline Phosphatase</w:t>
            </w:r>
          </w:p>
        </w:tc>
        <w:tc>
          <w:tcPr>
            <w:tcW w:w="1276" w:type="dxa"/>
            <w:shd w:val="clear" w:color="auto" w:fill="auto"/>
          </w:tcPr>
          <w:p w:rsidR="00135868" w:rsidRPr="00135868" w:rsidRDefault="00135868" w:rsidP="00135868">
            <w:r w:rsidRPr="00135868">
              <w:t>35</w:t>
            </w:r>
          </w:p>
        </w:tc>
        <w:tc>
          <w:tcPr>
            <w:tcW w:w="1620" w:type="dxa"/>
            <w:shd w:val="clear" w:color="auto" w:fill="auto"/>
          </w:tcPr>
          <w:p w:rsidR="00135868" w:rsidRPr="00135868" w:rsidRDefault="00135868" w:rsidP="00135868">
            <w:r w:rsidRPr="00135868">
              <w:t>4</w:t>
            </w:r>
          </w:p>
        </w:tc>
        <w:tc>
          <w:tcPr>
            <w:tcW w:w="1080" w:type="dxa"/>
          </w:tcPr>
          <w:p w:rsidR="00135868" w:rsidRPr="00135868" w:rsidRDefault="00135868" w:rsidP="00135868">
            <w:r w:rsidRPr="00135868">
              <w:t>28</w:t>
            </w:r>
          </w:p>
        </w:tc>
        <w:tc>
          <w:tcPr>
            <w:tcW w:w="1170" w:type="dxa"/>
          </w:tcPr>
          <w:p w:rsidR="00135868" w:rsidRPr="00135868" w:rsidRDefault="00135868" w:rsidP="00135868">
            <w:r w:rsidRPr="00135868">
              <w:t>2</w:t>
            </w:r>
          </w:p>
        </w:tc>
      </w:tr>
      <w:tr w:rsidR="00135868" w:rsidRPr="00135868" w:rsidTr="00135868">
        <w:trPr>
          <w:jc w:val="center"/>
        </w:trPr>
        <w:tc>
          <w:tcPr>
            <w:tcW w:w="5492" w:type="dxa"/>
            <w:gridSpan w:val="3"/>
            <w:shd w:val="clear" w:color="auto" w:fill="auto"/>
          </w:tcPr>
          <w:p w:rsidR="00135868" w:rsidRPr="00135868" w:rsidRDefault="00135868" w:rsidP="00135868">
            <w:pPr>
              <w:rPr>
                <w:b/>
              </w:rPr>
            </w:pPr>
            <w:proofErr w:type="spellStart"/>
            <w:r w:rsidRPr="00135868">
              <w:rPr>
                <w:b/>
              </w:rPr>
              <w:t>Hematology</w:t>
            </w:r>
            <w:proofErr w:type="spellEnd"/>
          </w:p>
        </w:tc>
        <w:tc>
          <w:tcPr>
            <w:tcW w:w="2250" w:type="dxa"/>
            <w:gridSpan w:val="2"/>
          </w:tcPr>
          <w:p w:rsidR="00135868" w:rsidRPr="00135868" w:rsidRDefault="00135868" w:rsidP="00135868"/>
        </w:tc>
      </w:tr>
      <w:tr w:rsidR="00135868" w:rsidRPr="00135868" w:rsidTr="00135868">
        <w:trPr>
          <w:jc w:val="center"/>
        </w:trPr>
        <w:tc>
          <w:tcPr>
            <w:tcW w:w="2596" w:type="dxa"/>
            <w:tcBorders>
              <w:bottom w:val="single" w:sz="4" w:space="0" w:color="auto"/>
            </w:tcBorders>
            <w:shd w:val="clear" w:color="auto" w:fill="auto"/>
          </w:tcPr>
          <w:p w:rsidR="00135868" w:rsidRPr="00135868" w:rsidRDefault="00135868" w:rsidP="00135868">
            <w:proofErr w:type="spellStart"/>
            <w:r w:rsidRPr="00135868">
              <w:t>Anemia</w:t>
            </w:r>
            <w:proofErr w:type="spellEnd"/>
          </w:p>
        </w:tc>
        <w:tc>
          <w:tcPr>
            <w:tcW w:w="1276" w:type="dxa"/>
            <w:tcBorders>
              <w:bottom w:val="single" w:sz="4" w:space="0" w:color="auto"/>
            </w:tcBorders>
            <w:shd w:val="clear" w:color="auto" w:fill="auto"/>
          </w:tcPr>
          <w:p w:rsidR="00135868" w:rsidRPr="00135868" w:rsidRDefault="00135868" w:rsidP="00135868">
            <w:r w:rsidRPr="00135868">
              <w:t>69</w:t>
            </w:r>
          </w:p>
        </w:tc>
        <w:tc>
          <w:tcPr>
            <w:tcW w:w="1620" w:type="dxa"/>
            <w:tcBorders>
              <w:bottom w:val="single" w:sz="4" w:space="0" w:color="auto"/>
            </w:tcBorders>
            <w:shd w:val="clear" w:color="auto" w:fill="auto"/>
          </w:tcPr>
          <w:p w:rsidR="00135868" w:rsidRPr="00135868" w:rsidRDefault="00135868" w:rsidP="00135868">
            <w:r w:rsidRPr="00135868">
              <w:t>12</w:t>
            </w:r>
          </w:p>
        </w:tc>
        <w:tc>
          <w:tcPr>
            <w:tcW w:w="1080" w:type="dxa"/>
            <w:tcBorders>
              <w:bottom w:val="single" w:sz="4" w:space="0" w:color="auto"/>
            </w:tcBorders>
          </w:tcPr>
          <w:p w:rsidR="00135868" w:rsidRPr="00135868" w:rsidRDefault="00135868" w:rsidP="00135868">
            <w:r w:rsidRPr="00135868">
              <w:t>76</w:t>
            </w:r>
          </w:p>
        </w:tc>
        <w:tc>
          <w:tcPr>
            <w:tcW w:w="1170" w:type="dxa"/>
            <w:tcBorders>
              <w:bottom w:val="single" w:sz="4" w:space="0" w:color="auto"/>
            </w:tcBorders>
          </w:tcPr>
          <w:p w:rsidR="00135868" w:rsidRPr="00135868" w:rsidRDefault="00135868" w:rsidP="00135868">
            <w:r w:rsidRPr="00135868">
              <w:t>8</w:t>
            </w:r>
          </w:p>
        </w:tc>
      </w:tr>
    </w:tbl>
    <w:p w:rsidR="00135868" w:rsidRPr="00135868" w:rsidRDefault="00135868" w:rsidP="00135868">
      <w:r w:rsidRPr="00135868">
        <w:t>Overall, the safety profile was similar across all doses and between patients previously treated with ipilimumab and patients naïve to treatment with ipilimumab.</w:t>
      </w:r>
    </w:p>
    <w:p w:rsidR="00135868" w:rsidRPr="00135868" w:rsidRDefault="00135868" w:rsidP="00135868">
      <w:pPr>
        <w:rPr>
          <w:u w:val="single"/>
        </w:rPr>
      </w:pPr>
      <w:r w:rsidRPr="00135868">
        <w:rPr>
          <w:u w:val="single"/>
        </w:rPr>
        <w:t>Resected Melanoma</w:t>
      </w:r>
    </w:p>
    <w:p w:rsidR="00135868" w:rsidRPr="00135868" w:rsidRDefault="00135868" w:rsidP="00135868">
      <w:r w:rsidRPr="00135868">
        <w:t>Among the 509 patients with resected melanoma treated with adjuvant pembrolizumab in KEYNOTE-054 (mean duration of treatment 9 months), adverse events that were reported in at least 5% of patients, and at least 5% more frequently with pembrolizumab than placebo, were hypothyroidism (14.7% vs 2.8%), hyperthyroidism (10.4% vs 1.2%) and pruritus (19.4% vs. 11.6%).</w:t>
      </w:r>
    </w:p>
    <w:p w:rsidR="00135868" w:rsidRPr="00135868" w:rsidRDefault="00135868" w:rsidP="00135868">
      <w:r w:rsidRPr="00135868">
        <w:t xml:space="preserve">The overall safety profile of pembrolizumab for the adjuvant treatment of melanoma was generally similar to that described for </w:t>
      </w:r>
      <w:proofErr w:type="spellStart"/>
      <w:r w:rsidRPr="00135868">
        <w:t>unresectable</w:t>
      </w:r>
      <w:proofErr w:type="spellEnd"/>
      <w:r w:rsidRPr="00135868">
        <w:t xml:space="preserve"> or metastatic melanoma and NSCLC, with immune-related adverse reactions the predominant significant toxicity. Discontinuation due to adverse events was 14% with adjuvant pembrolizumab treatment, most commonly due to pneumonitis, colitis, and diarrhoea. Compared to placebo, pembrolizumab was associated with increases in grade 3-5 adverse events (31.0% vs. 19.1%) and serious adverse events (25.1% vs. 16.3%). A fatal event of immune-mediated myositis occurred in the pembrolizumab arm.</w:t>
      </w:r>
    </w:p>
    <w:p w:rsidR="00135868" w:rsidRPr="00135868" w:rsidRDefault="00135868" w:rsidP="00135868">
      <w:pPr>
        <w:rPr>
          <w:u w:val="single"/>
        </w:rPr>
      </w:pPr>
      <w:r w:rsidRPr="00135868">
        <w:rPr>
          <w:u w:val="single"/>
        </w:rPr>
        <w:t>Non-Small Cell Lung Carcinoma (NSCLC)</w:t>
      </w:r>
    </w:p>
    <w:p w:rsidR="00135868" w:rsidRPr="00135868" w:rsidRDefault="00135868" w:rsidP="00135868">
      <w:pPr>
        <w:rPr>
          <w:i/>
        </w:rPr>
      </w:pPr>
      <w:r w:rsidRPr="00135868">
        <w:rPr>
          <w:i/>
        </w:rPr>
        <w:t>Combination Therapy</w:t>
      </w:r>
    </w:p>
    <w:p w:rsidR="00135868" w:rsidRPr="00135868" w:rsidRDefault="00135868" w:rsidP="00135868">
      <w:r w:rsidRPr="00135868">
        <w:t xml:space="preserve">Table 7 summarizes the adverse events that occurred in at least 20% of patients treated with KEYTRUDA, </w:t>
      </w:r>
      <w:proofErr w:type="spellStart"/>
      <w:r w:rsidRPr="00135868">
        <w:t>pemetrexed</w:t>
      </w:r>
      <w:proofErr w:type="spellEnd"/>
      <w:r w:rsidRPr="00135868">
        <w:t>, and platinum chemotherapy in KEYNOTE-189. Adverse events occurring in previously untreated patients with NSCLC receiving KEYTRUDA in combination with carboplatin and either paclitaxel or nab-paclitaxel in KEYNOTE-407 were generally similar to those occurring in patients in KEYNOTE-189 with the exception of alopecia (46%) and arthralgia (21%).</w:t>
      </w:r>
    </w:p>
    <w:p w:rsidR="00135868" w:rsidRPr="00135868" w:rsidRDefault="00135868" w:rsidP="00891578">
      <w:pPr>
        <w:pStyle w:val="Tabletitle"/>
      </w:pPr>
      <w:r w:rsidRPr="00135868">
        <w:lastRenderedPageBreak/>
        <w:t xml:space="preserve">Table 7: Adverse events occurring in ≥20% of patients receiving KEYTRUDA with </w:t>
      </w:r>
      <w:proofErr w:type="spellStart"/>
      <w:r w:rsidRPr="00135868">
        <w:t>pemetrexed</w:t>
      </w:r>
      <w:proofErr w:type="spellEnd"/>
      <w:r w:rsidRPr="00135868">
        <w:t xml:space="preserve"> and platinum chemotherapy</w:t>
      </w:r>
      <w:r w:rsidRPr="00135868" w:rsidDel="002429FD">
        <w:t xml:space="preserve"> </w:t>
      </w:r>
      <w:r w:rsidRPr="00135868">
        <w:t xml:space="preserve">and at a higher incidence than in patients receiving placebo with </w:t>
      </w:r>
      <w:proofErr w:type="spellStart"/>
      <w:r w:rsidRPr="00135868">
        <w:t>pemetrexed</w:t>
      </w:r>
      <w:proofErr w:type="spellEnd"/>
      <w:r w:rsidRPr="00135868">
        <w:t xml:space="preserve"> and platinum chemotherapy</w:t>
      </w:r>
      <w:r w:rsidRPr="00135868" w:rsidDel="002429FD">
        <w:t xml:space="preserve"> </w:t>
      </w:r>
      <w:r w:rsidRPr="00135868">
        <w:t>(between</w:t>
      </w:r>
      <w:r w:rsidRPr="00135868">
        <w:noBreakHyphen/>
        <w:t>arm difference of ≥5% [All Grades] or≥ 2% [Grades 3</w:t>
      </w:r>
      <w:r w:rsidRPr="00135868">
        <w:noBreakHyphen/>
        <w:t>4]) (KEYNOTE</w:t>
      </w:r>
      <w:r w:rsidRPr="00135868">
        <w:noBreakHyphen/>
        <w:t>189)</w:t>
      </w: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1148"/>
        <w:gridCol w:w="1236"/>
        <w:gridCol w:w="1046"/>
        <w:gridCol w:w="1145"/>
      </w:tblGrid>
      <w:tr w:rsidR="00135868" w:rsidRPr="00135868" w:rsidTr="00135868">
        <w:trPr>
          <w:jc w:val="center"/>
        </w:trPr>
        <w:tc>
          <w:tcPr>
            <w:tcW w:w="2756" w:type="dxa"/>
            <w:tcBorders>
              <w:top w:val="single" w:sz="4" w:space="0" w:color="auto"/>
              <w:left w:val="single" w:sz="4" w:space="0" w:color="auto"/>
              <w:bottom w:val="single" w:sz="4" w:space="0" w:color="auto"/>
              <w:right w:val="single" w:sz="4" w:space="0" w:color="auto"/>
            </w:tcBorders>
          </w:tcPr>
          <w:p w:rsidR="00135868" w:rsidRPr="00135868" w:rsidRDefault="00135868" w:rsidP="00891578"/>
        </w:tc>
        <w:tc>
          <w:tcPr>
            <w:tcW w:w="2384" w:type="dxa"/>
            <w:gridSpan w:val="2"/>
            <w:tcBorders>
              <w:top w:val="single" w:sz="4" w:space="0" w:color="auto"/>
              <w:left w:val="single" w:sz="4" w:space="0" w:color="auto"/>
              <w:bottom w:val="single" w:sz="4" w:space="0" w:color="auto"/>
              <w:right w:val="single" w:sz="4" w:space="0" w:color="auto"/>
            </w:tcBorders>
            <w:hideMark/>
          </w:tcPr>
          <w:p w:rsidR="00135868" w:rsidRPr="00135868" w:rsidRDefault="00135868" w:rsidP="00891578">
            <w:r w:rsidRPr="00135868">
              <w:t xml:space="preserve">KEYTRUDA + </w:t>
            </w:r>
            <w:proofErr w:type="spellStart"/>
            <w:r w:rsidRPr="00135868">
              <w:t>Pemetrexed</w:t>
            </w:r>
            <w:proofErr w:type="spellEnd"/>
            <w:r w:rsidRPr="00135868">
              <w:t xml:space="preserve"> + Platinum Chemotherapy</w:t>
            </w:r>
          </w:p>
          <w:p w:rsidR="00135868" w:rsidRPr="00135868" w:rsidRDefault="00135868" w:rsidP="00891578">
            <w:r w:rsidRPr="00135868">
              <w:t>n=405</w:t>
            </w:r>
          </w:p>
        </w:tc>
        <w:tc>
          <w:tcPr>
            <w:tcW w:w="2191" w:type="dxa"/>
            <w:gridSpan w:val="2"/>
            <w:tcBorders>
              <w:top w:val="single" w:sz="4" w:space="0" w:color="auto"/>
              <w:left w:val="single" w:sz="4" w:space="0" w:color="auto"/>
              <w:bottom w:val="single" w:sz="4" w:space="0" w:color="auto"/>
              <w:right w:val="single" w:sz="4" w:space="0" w:color="auto"/>
            </w:tcBorders>
          </w:tcPr>
          <w:p w:rsidR="00135868" w:rsidRPr="00135868" w:rsidRDefault="00135868" w:rsidP="00891578">
            <w:r w:rsidRPr="00135868">
              <w:t xml:space="preserve">Placebo + </w:t>
            </w:r>
            <w:proofErr w:type="spellStart"/>
            <w:r w:rsidRPr="00135868">
              <w:t>Pemetrexed</w:t>
            </w:r>
            <w:proofErr w:type="spellEnd"/>
            <w:r w:rsidRPr="00135868">
              <w:t xml:space="preserve"> + </w:t>
            </w:r>
          </w:p>
          <w:p w:rsidR="00135868" w:rsidRPr="00135868" w:rsidRDefault="00135868" w:rsidP="00891578">
            <w:r w:rsidRPr="00135868">
              <w:t>Platinum Chemotherapy</w:t>
            </w:r>
          </w:p>
          <w:p w:rsidR="00135868" w:rsidRPr="00135868" w:rsidRDefault="00135868" w:rsidP="00891578">
            <w:r w:rsidRPr="00135868">
              <w:t>n=202</w:t>
            </w:r>
          </w:p>
        </w:tc>
      </w:tr>
      <w:tr w:rsidR="00135868" w:rsidRPr="00135868" w:rsidTr="00135868">
        <w:trPr>
          <w:jc w:val="center"/>
        </w:trPr>
        <w:tc>
          <w:tcPr>
            <w:tcW w:w="2756"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pPr>
              <w:rPr>
                <w:bCs/>
              </w:rPr>
            </w:pPr>
            <w:r w:rsidRPr="00135868">
              <w:t>Adverse Events</w:t>
            </w:r>
          </w:p>
        </w:tc>
        <w:tc>
          <w:tcPr>
            <w:tcW w:w="1148"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r w:rsidRPr="00135868">
              <w:t>All Grades*</w:t>
            </w:r>
          </w:p>
          <w:p w:rsidR="00135868" w:rsidRPr="00135868" w:rsidRDefault="00135868" w:rsidP="00891578">
            <w:r w:rsidRPr="00135868">
              <w:t>(%)</w:t>
            </w:r>
          </w:p>
        </w:tc>
        <w:tc>
          <w:tcPr>
            <w:tcW w:w="1236"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r w:rsidRPr="00135868">
              <w:t>Grade 3-4</w:t>
            </w:r>
          </w:p>
          <w:p w:rsidR="00135868" w:rsidRPr="00135868" w:rsidRDefault="00135868" w:rsidP="00891578">
            <w:r w:rsidRPr="00135868">
              <w:t>(%)</w:t>
            </w:r>
          </w:p>
        </w:tc>
        <w:tc>
          <w:tcPr>
            <w:tcW w:w="1046"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r w:rsidRPr="00135868">
              <w:t>All Grades</w:t>
            </w:r>
          </w:p>
          <w:p w:rsidR="00135868" w:rsidRPr="00135868" w:rsidRDefault="00135868" w:rsidP="00891578">
            <w:r w:rsidRPr="00135868">
              <w:t>(%)</w:t>
            </w:r>
          </w:p>
        </w:tc>
        <w:tc>
          <w:tcPr>
            <w:tcW w:w="1145"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r w:rsidRPr="00135868">
              <w:t>Grade 3-4</w:t>
            </w:r>
          </w:p>
          <w:p w:rsidR="00135868" w:rsidRPr="00135868" w:rsidRDefault="00135868" w:rsidP="00891578">
            <w:r w:rsidRPr="00135868">
              <w:t>(%)</w:t>
            </w:r>
          </w:p>
        </w:tc>
      </w:tr>
      <w:tr w:rsidR="00135868" w:rsidRPr="00135868" w:rsidTr="00135868">
        <w:trPr>
          <w:jc w:val="center"/>
        </w:trPr>
        <w:tc>
          <w:tcPr>
            <w:tcW w:w="7331" w:type="dxa"/>
            <w:gridSpan w:val="5"/>
            <w:tcBorders>
              <w:top w:val="single" w:sz="4" w:space="0" w:color="auto"/>
              <w:left w:val="single" w:sz="4" w:space="0" w:color="auto"/>
              <w:bottom w:val="single" w:sz="4" w:space="0" w:color="auto"/>
              <w:right w:val="single" w:sz="4" w:space="0" w:color="auto"/>
            </w:tcBorders>
            <w:hideMark/>
          </w:tcPr>
          <w:p w:rsidR="00135868" w:rsidRPr="00891578" w:rsidRDefault="00135868" w:rsidP="00891578">
            <w:pPr>
              <w:rPr>
                <w:b/>
              </w:rPr>
            </w:pPr>
            <w:r w:rsidRPr="00891578">
              <w:rPr>
                <w:b/>
              </w:rPr>
              <w:t>General Disorders and Administration Site Conditions</w:t>
            </w:r>
          </w:p>
        </w:tc>
      </w:tr>
      <w:tr w:rsidR="00135868" w:rsidRPr="00135868" w:rsidTr="00135868">
        <w:trPr>
          <w:jc w:val="center"/>
        </w:trPr>
        <w:tc>
          <w:tcPr>
            <w:tcW w:w="2756"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r w:rsidRPr="00135868">
              <w:t>Fatigue</w:t>
            </w:r>
          </w:p>
        </w:tc>
        <w:tc>
          <w:tcPr>
            <w:tcW w:w="1148"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r w:rsidRPr="00135868">
              <w:t>41</w:t>
            </w:r>
          </w:p>
        </w:tc>
        <w:tc>
          <w:tcPr>
            <w:tcW w:w="1236"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r w:rsidRPr="00135868">
              <w:t>6</w:t>
            </w:r>
          </w:p>
        </w:tc>
        <w:tc>
          <w:tcPr>
            <w:tcW w:w="1046"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r w:rsidRPr="00135868">
              <w:t>38</w:t>
            </w:r>
          </w:p>
        </w:tc>
        <w:tc>
          <w:tcPr>
            <w:tcW w:w="1145"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r w:rsidRPr="00135868">
              <w:t>2.5</w:t>
            </w:r>
          </w:p>
        </w:tc>
      </w:tr>
      <w:tr w:rsidR="00135868" w:rsidRPr="00135868" w:rsidTr="00135868">
        <w:trPr>
          <w:jc w:val="center"/>
        </w:trPr>
        <w:tc>
          <w:tcPr>
            <w:tcW w:w="2756" w:type="dxa"/>
            <w:tcBorders>
              <w:top w:val="single" w:sz="4" w:space="0" w:color="auto"/>
              <w:left w:val="single" w:sz="4" w:space="0" w:color="auto"/>
              <w:bottom w:val="single" w:sz="4" w:space="0" w:color="auto"/>
              <w:right w:val="single" w:sz="4" w:space="0" w:color="auto"/>
            </w:tcBorders>
          </w:tcPr>
          <w:p w:rsidR="00135868" w:rsidRPr="00135868" w:rsidRDefault="00135868" w:rsidP="00891578">
            <w:r w:rsidRPr="00135868">
              <w:t>Asthenia</w:t>
            </w:r>
          </w:p>
        </w:tc>
        <w:tc>
          <w:tcPr>
            <w:tcW w:w="1148" w:type="dxa"/>
            <w:tcBorders>
              <w:top w:val="single" w:sz="4" w:space="0" w:color="auto"/>
              <w:left w:val="single" w:sz="4" w:space="0" w:color="auto"/>
              <w:bottom w:val="single" w:sz="4" w:space="0" w:color="auto"/>
              <w:right w:val="single" w:sz="4" w:space="0" w:color="auto"/>
            </w:tcBorders>
          </w:tcPr>
          <w:p w:rsidR="00135868" w:rsidRPr="00135868" w:rsidDel="00ED7137" w:rsidRDefault="00135868" w:rsidP="00891578">
            <w:r w:rsidRPr="00135868">
              <w:t>20</w:t>
            </w:r>
          </w:p>
        </w:tc>
        <w:tc>
          <w:tcPr>
            <w:tcW w:w="1236" w:type="dxa"/>
            <w:tcBorders>
              <w:top w:val="single" w:sz="4" w:space="0" w:color="auto"/>
              <w:left w:val="single" w:sz="4" w:space="0" w:color="auto"/>
              <w:bottom w:val="single" w:sz="4" w:space="0" w:color="auto"/>
              <w:right w:val="single" w:sz="4" w:space="0" w:color="auto"/>
            </w:tcBorders>
          </w:tcPr>
          <w:p w:rsidR="00135868" w:rsidRPr="00135868" w:rsidDel="00ED7137" w:rsidRDefault="00135868" w:rsidP="00891578">
            <w:r w:rsidRPr="00135868">
              <w:t>6</w:t>
            </w:r>
          </w:p>
        </w:tc>
        <w:tc>
          <w:tcPr>
            <w:tcW w:w="1046" w:type="dxa"/>
            <w:tcBorders>
              <w:top w:val="single" w:sz="4" w:space="0" w:color="auto"/>
              <w:left w:val="single" w:sz="4" w:space="0" w:color="auto"/>
              <w:bottom w:val="single" w:sz="4" w:space="0" w:color="auto"/>
              <w:right w:val="single" w:sz="4" w:space="0" w:color="auto"/>
            </w:tcBorders>
          </w:tcPr>
          <w:p w:rsidR="00135868" w:rsidRPr="00135868" w:rsidDel="00ED7137" w:rsidRDefault="00135868" w:rsidP="00891578">
            <w:r w:rsidRPr="00135868">
              <w:t>24</w:t>
            </w:r>
          </w:p>
        </w:tc>
        <w:tc>
          <w:tcPr>
            <w:tcW w:w="1145" w:type="dxa"/>
            <w:tcBorders>
              <w:top w:val="single" w:sz="4" w:space="0" w:color="auto"/>
              <w:left w:val="single" w:sz="4" w:space="0" w:color="auto"/>
              <w:bottom w:val="single" w:sz="4" w:space="0" w:color="auto"/>
              <w:right w:val="single" w:sz="4" w:space="0" w:color="auto"/>
            </w:tcBorders>
          </w:tcPr>
          <w:p w:rsidR="00135868" w:rsidRPr="00135868" w:rsidDel="00ED7137" w:rsidRDefault="00135868" w:rsidP="00891578">
            <w:r w:rsidRPr="00135868">
              <w:t>3.5</w:t>
            </w:r>
          </w:p>
        </w:tc>
      </w:tr>
      <w:tr w:rsidR="00135868" w:rsidRPr="00135868" w:rsidTr="00135868">
        <w:trPr>
          <w:jc w:val="center"/>
        </w:trPr>
        <w:tc>
          <w:tcPr>
            <w:tcW w:w="7331" w:type="dxa"/>
            <w:gridSpan w:val="5"/>
            <w:tcBorders>
              <w:top w:val="single" w:sz="4" w:space="0" w:color="auto"/>
              <w:left w:val="single" w:sz="4" w:space="0" w:color="auto"/>
              <w:bottom w:val="single" w:sz="4" w:space="0" w:color="auto"/>
              <w:right w:val="single" w:sz="4" w:space="0" w:color="auto"/>
            </w:tcBorders>
            <w:hideMark/>
          </w:tcPr>
          <w:p w:rsidR="00135868" w:rsidRPr="00891578" w:rsidRDefault="00135868" w:rsidP="00891578">
            <w:pPr>
              <w:rPr>
                <w:b/>
              </w:rPr>
            </w:pPr>
            <w:r w:rsidRPr="00891578">
              <w:rPr>
                <w:b/>
              </w:rPr>
              <w:t>Gastrointestinal Disorders</w:t>
            </w:r>
          </w:p>
        </w:tc>
      </w:tr>
      <w:tr w:rsidR="00135868" w:rsidRPr="00135868" w:rsidTr="00135868">
        <w:trPr>
          <w:jc w:val="center"/>
        </w:trPr>
        <w:tc>
          <w:tcPr>
            <w:tcW w:w="2756"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proofErr w:type="spellStart"/>
            <w:r w:rsidRPr="00135868">
              <w:t>Diarrhea</w:t>
            </w:r>
            <w:proofErr w:type="spellEnd"/>
          </w:p>
        </w:tc>
        <w:tc>
          <w:tcPr>
            <w:tcW w:w="1148"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r w:rsidRPr="00135868">
              <w:t>31</w:t>
            </w:r>
          </w:p>
        </w:tc>
        <w:tc>
          <w:tcPr>
            <w:tcW w:w="1236"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r w:rsidRPr="00135868">
              <w:t>5</w:t>
            </w:r>
          </w:p>
        </w:tc>
        <w:tc>
          <w:tcPr>
            <w:tcW w:w="1046"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r w:rsidRPr="00135868">
              <w:t>21</w:t>
            </w:r>
          </w:p>
        </w:tc>
        <w:tc>
          <w:tcPr>
            <w:tcW w:w="1145"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r w:rsidRPr="00135868">
              <w:t>3.0</w:t>
            </w:r>
          </w:p>
        </w:tc>
      </w:tr>
      <w:tr w:rsidR="00135868" w:rsidRPr="00135868" w:rsidTr="00135868">
        <w:trPr>
          <w:jc w:val="center"/>
        </w:trPr>
        <w:tc>
          <w:tcPr>
            <w:tcW w:w="7331" w:type="dxa"/>
            <w:gridSpan w:val="5"/>
            <w:tcBorders>
              <w:top w:val="single" w:sz="4" w:space="0" w:color="auto"/>
              <w:left w:val="single" w:sz="4" w:space="0" w:color="auto"/>
              <w:bottom w:val="single" w:sz="4" w:space="0" w:color="auto"/>
              <w:right w:val="single" w:sz="4" w:space="0" w:color="auto"/>
            </w:tcBorders>
            <w:hideMark/>
          </w:tcPr>
          <w:p w:rsidR="00135868" w:rsidRPr="00891578" w:rsidRDefault="00135868" w:rsidP="00891578">
            <w:pPr>
              <w:rPr>
                <w:b/>
              </w:rPr>
            </w:pPr>
            <w:r w:rsidRPr="00891578">
              <w:rPr>
                <w:b/>
                <w:bCs/>
              </w:rPr>
              <w:t>Blood and Lymphatic System Disorders</w:t>
            </w:r>
          </w:p>
        </w:tc>
      </w:tr>
      <w:tr w:rsidR="00135868" w:rsidRPr="00135868" w:rsidTr="00135868">
        <w:trPr>
          <w:jc w:val="center"/>
        </w:trPr>
        <w:tc>
          <w:tcPr>
            <w:tcW w:w="2756"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pPr>
              <w:rPr>
                <w:vertAlign w:val="superscript"/>
              </w:rPr>
            </w:pPr>
            <w:r w:rsidRPr="00135868">
              <w:t>Neutropenia</w:t>
            </w:r>
          </w:p>
        </w:tc>
        <w:tc>
          <w:tcPr>
            <w:tcW w:w="1148"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r w:rsidRPr="00135868">
              <w:t>27</w:t>
            </w:r>
          </w:p>
        </w:tc>
        <w:tc>
          <w:tcPr>
            <w:tcW w:w="1236"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r w:rsidRPr="00135868">
              <w:t>16</w:t>
            </w:r>
          </w:p>
        </w:tc>
        <w:tc>
          <w:tcPr>
            <w:tcW w:w="1046"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r w:rsidRPr="00135868">
              <w:t>24</w:t>
            </w:r>
          </w:p>
        </w:tc>
        <w:tc>
          <w:tcPr>
            <w:tcW w:w="1145"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r w:rsidRPr="00135868">
              <w:t>12</w:t>
            </w:r>
          </w:p>
        </w:tc>
      </w:tr>
      <w:tr w:rsidR="00135868" w:rsidRPr="00135868" w:rsidTr="00135868">
        <w:trPr>
          <w:jc w:val="center"/>
        </w:trPr>
        <w:tc>
          <w:tcPr>
            <w:tcW w:w="7331" w:type="dxa"/>
            <w:gridSpan w:val="5"/>
            <w:tcBorders>
              <w:top w:val="single" w:sz="4" w:space="0" w:color="auto"/>
              <w:left w:val="single" w:sz="4" w:space="0" w:color="auto"/>
              <w:bottom w:val="single" w:sz="4" w:space="0" w:color="auto"/>
              <w:right w:val="single" w:sz="4" w:space="0" w:color="auto"/>
            </w:tcBorders>
            <w:hideMark/>
          </w:tcPr>
          <w:p w:rsidR="00135868" w:rsidRPr="00891578" w:rsidRDefault="00135868" w:rsidP="00891578">
            <w:pPr>
              <w:rPr>
                <w:b/>
              </w:rPr>
            </w:pPr>
            <w:r w:rsidRPr="00891578">
              <w:rPr>
                <w:b/>
                <w:bCs/>
              </w:rPr>
              <w:t>Skin and Subcutaneous Tissue Disorders</w:t>
            </w:r>
          </w:p>
        </w:tc>
      </w:tr>
      <w:tr w:rsidR="00135868" w:rsidRPr="00135868" w:rsidTr="00135868">
        <w:trPr>
          <w:jc w:val="center"/>
        </w:trPr>
        <w:tc>
          <w:tcPr>
            <w:tcW w:w="2756"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pPr>
              <w:rPr>
                <w:vertAlign w:val="superscript"/>
              </w:rPr>
            </w:pPr>
            <w:r w:rsidRPr="00135868">
              <w:t>Rash</w:t>
            </w:r>
          </w:p>
        </w:tc>
        <w:tc>
          <w:tcPr>
            <w:tcW w:w="1148"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r w:rsidRPr="00135868">
              <w:t>20</w:t>
            </w:r>
          </w:p>
        </w:tc>
        <w:tc>
          <w:tcPr>
            <w:tcW w:w="1236"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r w:rsidRPr="00135868">
              <w:t>1.7</w:t>
            </w:r>
          </w:p>
        </w:tc>
        <w:tc>
          <w:tcPr>
            <w:tcW w:w="1046"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r w:rsidRPr="00135868">
              <w:t>11</w:t>
            </w:r>
          </w:p>
        </w:tc>
        <w:tc>
          <w:tcPr>
            <w:tcW w:w="1145" w:type="dxa"/>
            <w:tcBorders>
              <w:top w:val="single" w:sz="4" w:space="0" w:color="auto"/>
              <w:left w:val="single" w:sz="4" w:space="0" w:color="auto"/>
              <w:bottom w:val="single" w:sz="4" w:space="0" w:color="auto"/>
              <w:right w:val="single" w:sz="4" w:space="0" w:color="auto"/>
            </w:tcBorders>
            <w:hideMark/>
          </w:tcPr>
          <w:p w:rsidR="00135868" w:rsidRPr="00135868" w:rsidRDefault="00135868" w:rsidP="00891578">
            <w:r w:rsidRPr="00135868">
              <w:t>1.5</w:t>
            </w:r>
          </w:p>
        </w:tc>
      </w:tr>
      <w:tr w:rsidR="00135868" w:rsidRPr="00135868" w:rsidTr="00135868">
        <w:trPr>
          <w:jc w:val="center"/>
        </w:trPr>
        <w:tc>
          <w:tcPr>
            <w:tcW w:w="7331" w:type="dxa"/>
            <w:gridSpan w:val="5"/>
            <w:tcBorders>
              <w:top w:val="single" w:sz="4" w:space="0" w:color="auto"/>
              <w:left w:val="nil"/>
              <w:bottom w:val="nil"/>
              <w:right w:val="nil"/>
            </w:tcBorders>
            <w:hideMark/>
          </w:tcPr>
          <w:p w:rsidR="00135868" w:rsidRPr="00135868" w:rsidRDefault="00135868" w:rsidP="00891578">
            <w:r w:rsidRPr="00135868">
              <w:t>*</w:t>
            </w:r>
            <w:r w:rsidRPr="00135868">
              <w:tab/>
              <w:t>Graded per NCI CTCAE v4.03</w:t>
            </w:r>
          </w:p>
        </w:tc>
      </w:tr>
    </w:tbl>
    <w:p w:rsidR="00135868" w:rsidRPr="00135868" w:rsidRDefault="00135868" w:rsidP="00135868">
      <w:pPr>
        <w:rPr>
          <w:i/>
        </w:rPr>
      </w:pPr>
      <w:r w:rsidRPr="00135868">
        <w:rPr>
          <w:i/>
        </w:rPr>
        <w:t>Monotherapy</w:t>
      </w:r>
    </w:p>
    <w:p w:rsidR="00135868" w:rsidRPr="00135868" w:rsidRDefault="00135868" w:rsidP="00135868">
      <w:r w:rsidRPr="00135868">
        <w:t xml:space="preserve">Table 8 summarizes the adverse events that occurred in at least 10% of previously untreated patients with NSCLC receiving KEYTRUDA in KEYNOTE-042. The most common adverse events (reported in at least 15% of patients) were </w:t>
      </w:r>
      <w:proofErr w:type="spellStart"/>
      <w:r w:rsidRPr="00135868">
        <w:t>dyspnea</w:t>
      </w:r>
      <w:proofErr w:type="spellEnd"/>
      <w:r w:rsidRPr="00135868">
        <w:t xml:space="preserve"> and cough. Adverse events occurring in previously untreated patients with NSCLC receiving KEYTRUDA in KEYNOTE-024 and </w:t>
      </w:r>
      <w:r w:rsidRPr="00135868">
        <w:lastRenderedPageBreak/>
        <w:t>previously treated patients in KEYNOTE-010 were generally similar to those occurring in patients in KEYNOTE-042.</w:t>
      </w:r>
    </w:p>
    <w:p w:rsidR="00135868" w:rsidRPr="00135868" w:rsidRDefault="00135868" w:rsidP="00891578">
      <w:pPr>
        <w:pStyle w:val="Tabletitle"/>
      </w:pPr>
      <w:r w:rsidRPr="00135868">
        <w:t>Table 8: Adverse Events Occurring in ≥10% of NSCLC Patients Treated with KEYTRUDA and at a Higher Incidence than in the Chemotherapy Arm (Between Arm Difference of ≥5% [All Grades] or ≥2% [Grades 3-5]) (KEYNOTE-042)</w:t>
      </w:r>
    </w:p>
    <w:tbl>
      <w:tblPr>
        <w:tblW w:w="7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1336"/>
        <w:gridCol w:w="1337"/>
        <w:gridCol w:w="1336"/>
        <w:gridCol w:w="1337"/>
      </w:tblGrid>
      <w:tr w:rsidR="00135868" w:rsidRPr="00135868" w:rsidTr="00135868">
        <w:trPr>
          <w:jc w:val="center"/>
        </w:trPr>
        <w:tc>
          <w:tcPr>
            <w:tcW w:w="1944" w:type="dxa"/>
            <w:shd w:val="clear" w:color="auto" w:fill="auto"/>
          </w:tcPr>
          <w:p w:rsidR="00135868" w:rsidRPr="00135868" w:rsidRDefault="00135868" w:rsidP="00891578"/>
        </w:tc>
        <w:tc>
          <w:tcPr>
            <w:tcW w:w="2673" w:type="dxa"/>
            <w:gridSpan w:val="2"/>
            <w:shd w:val="clear" w:color="auto" w:fill="auto"/>
          </w:tcPr>
          <w:p w:rsidR="00135868" w:rsidRPr="00135868" w:rsidRDefault="00135868" w:rsidP="00891578">
            <w:r w:rsidRPr="00135868">
              <w:t>KEYTRUDA</w:t>
            </w:r>
          </w:p>
          <w:p w:rsidR="00135868" w:rsidRPr="00135868" w:rsidRDefault="00135868" w:rsidP="00891578">
            <w:r w:rsidRPr="00135868">
              <w:t>200 mg every 3 weeks</w:t>
            </w:r>
          </w:p>
          <w:p w:rsidR="00135868" w:rsidRPr="00135868" w:rsidRDefault="00135868" w:rsidP="00891578">
            <w:r w:rsidRPr="00135868">
              <w:t>n=636</w:t>
            </w:r>
          </w:p>
        </w:tc>
        <w:tc>
          <w:tcPr>
            <w:tcW w:w="2673" w:type="dxa"/>
            <w:gridSpan w:val="2"/>
          </w:tcPr>
          <w:p w:rsidR="00135868" w:rsidRPr="00135868" w:rsidRDefault="00135868" w:rsidP="00891578">
            <w:r w:rsidRPr="00135868">
              <w:t>Chemotherapy</w:t>
            </w:r>
          </w:p>
          <w:p w:rsidR="00135868" w:rsidRPr="00135868" w:rsidRDefault="00135868" w:rsidP="00891578"/>
          <w:p w:rsidR="00135868" w:rsidRPr="00135868" w:rsidRDefault="00135868" w:rsidP="00891578">
            <w:r w:rsidRPr="00135868">
              <w:t>n=615</w:t>
            </w:r>
          </w:p>
        </w:tc>
      </w:tr>
      <w:tr w:rsidR="00135868" w:rsidRPr="00135868" w:rsidTr="00135868">
        <w:trPr>
          <w:jc w:val="center"/>
        </w:trPr>
        <w:tc>
          <w:tcPr>
            <w:tcW w:w="1944" w:type="dxa"/>
            <w:shd w:val="clear" w:color="auto" w:fill="auto"/>
          </w:tcPr>
          <w:p w:rsidR="00135868" w:rsidRPr="00135868" w:rsidRDefault="00135868" w:rsidP="00891578">
            <w:pPr>
              <w:rPr>
                <w:bCs/>
              </w:rPr>
            </w:pPr>
            <w:r w:rsidRPr="00135868">
              <w:t>Adverse Event</w:t>
            </w:r>
          </w:p>
        </w:tc>
        <w:tc>
          <w:tcPr>
            <w:tcW w:w="1336" w:type="dxa"/>
            <w:shd w:val="clear" w:color="auto" w:fill="auto"/>
          </w:tcPr>
          <w:p w:rsidR="00135868" w:rsidRPr="00135868" w:rsidRDefault="00135868" w:rsidP="00891578">
            <w:r w:rsidRPr="00135868">
              <w:t>All Grades*</w:t>
            </w:r>
          </w:p>
          <w:p w:rsidR="00135868" w:rsidRPr="00135868" w:rsidRDefault="00135868" w:rsidP="00891578">
            <w:r w:rsidRPr="00135868">
              <w:t>(%)</w:t>
            </w:r>
          </w:p>
        </w:tc>
        <w:tc>
          <w:tcPr>
            <w:tcW w:w="1337" w:type="dxa"/>
            <w:shd w:val="clear" w:color="auto" w:fill="auto"/>
          </w:tcPr>
          <w:p w:rsidR="00135868" w:rsidRPr="00135868" w:rsidRDefault="00135868" w:rsidP="00891578">
            <w:r w:rsidRPr="00135868">
              <w:t>Grades 3-5</w:t>
            </w:r>
          </w:p>
          <w:p w:rsidR="00135868" w:rsidRPr="00135868" w:rsidRDefault="00135868" w:rsidP="00891578">
            <w:r w:rsidRPr="00135868">
              <w:t>(%)</w:t>
            </w:r>
          </w:p>
        </w:tc>
        <w:tc>
          <w:tcPr>
            <w:tcW w:w="1336" w:type="dxa"/>
          </w:tcPr>
          <w:p w:rsidR="00135868" w:rsidRPr="00135868" w:rsidRDefault="00135868" w:rsidP="00891578">
            <w:r w:rsidRPr="00135868">
              <w:t>All Grades</w:t>
            </w:r>
          </w:p>
          <w:p w:rsidR="00135868" w:rsidRPr="00135868" w:rsidRDefault="00135868" w:rsidP="00891578">
            <w:r w:rsidRPr="00135868">
              <w:t>(%)</w:t>
            </w:r>
          </w:p>
        </w:tc>
        <w:tc>
          <w:tcPr>
            <w:tcW w:w="1337" w:type="dxa"/>
          </w:tcPr>
          <w:p w:rsidR="00135868" w:rsidRPr="00135868" w:rsidRDefault="00135868" w:rsidP="00891578">
            <w:r w:rsidRPr="00135868">
              <w:t>Grades 3-5</w:t>
            </w:r>
          </w:p>
          <w:p w:rsidR="00135868" w:rsidRPr="00135868" w:rsidRDefault="00135868" w:rsidP="00891578">
            <w:r w:rsidRPr="00135868">
              <w:t>(%)</w:t>
            </w:r>
          </w:p>
        </w:tc>
      </w:tr>
      <w:tr w:rsidR="00135868" w:rsidRPr="00135868" w:rsidTr="00135868">
        <w:trPr>
          <w:jc w:val="center"/>
        </w:trPr>
        <w:tc>
          <w:tcPr>
            <w:tcW w:w="7290" w:type="dxa"/>
            <w:gridSpan w:val="5"/>
          </w:tcPr>
          <w:p w:rsidR="00135868" w:rsidRPr="00891578" w:rsidRDefault="00135868" w:rsidP="00891578">
            <w:pPr>
              <w:rPr>
                <w:b/>
              </w:rPr>
            </w:pPr>
            <w:r w:rsidRPr="00891578">
              <w:rPr>
                <w:b/>
                <w:bCs/>
              </w:rPr>
              <w:t>Respiratory, Thoracic and Mediastinal Disorders</w:t>
            </w:r>
          </w:p>
        </w:tc>
      </w:tr>
      <w:tr w:rsidR="00135868" w:rsidRPr="00135868" w:rsidTr="00135868">
        <w:trPr>
          <w:jc w:val="center"/>
        </w:trPr>
        <w:tc>
          <w:tcPr>
            <w:tcW w:w="1944" w:type="dxa"/>
            <w:shd w:val="clear" w:color="auto" w:fill="auto"/>
          </w:tcPr>
          <w:p w:rsidR="00135868" w:rsidRPr="00135868" w:rsidRDefault="00135868" w:rsidP="00891578">
            <w:proofErr w:type="spellStart"/>
            <w:r w:rsidRPr="00135868">
              <w:t>Dyspnea</w:t>
            </w:r>
            <w:proofErr w:type="spellEnd"/>
          </w:p>
        </w:tc>
        <w:tc>
          <w:tcPr>
            <w:tcW w:w="1336" w:type="dxa"/>
            <w:shd w:val="clear" w:color="auto" w:fill="auto"/>
          </w:tcPr>
          <w:p w:rsidR="00135868" w:rsidRPr="00135868" w:rsidRDefault="00135868" w:rsidP="00891578">
            <w:r w:rsidRPr="00135868">
              <w:t>17</w:t>
            </w:r>
          </w:p>
        </w:tc>
        <w:tc>
          <w:tcPr>
            <w:tcW w:w="1337" w:type="dxa"/>
            <w:shd w:val="clear" w:color="auto" w:fill="auto"/>
          </w:tcPr>
          <w:p w:rsidR="00135868" w:rsidRPr="00135868" w:rsidRDefault="00135868" w:rsidP="00891578">
            <w:r w:rsidRPr="00135868">
              <w:t>2.0</w:t>
            </w:r>
          </w:p>
        </w:tc>
        <w:tc>
          <w:tcPr>
            <w:tcW w:w="1336" w:type="dxa"/>
          </w:tcPr>
          <w:p w:rsidR="00135868" w:rsidRPr="00135868" w:rsidRDefault="00135868" w:rsidP="00891578">
            <w:r w:rsidRPr="00135868">
              <w:t>11</w:t>
            </w:r>
          </w:p>
        </w:tc>
        <w:tc>
          <w:tcPr>
            <w:tcW w:w="1337" w:type="dxa"/>
          </w:tcPr>
          <w:p w:rsidR="00135868" w:rsidRPr="00135868" w:rsidRDefault="00135868" w:rsidP="00891578">
            <w:r w:rsidRPr="00135868">
              <w:t>0.8</w:t>
            </w:r>
          </w:p>
        </w:tc>
      </w:tr>
      <w:tr w:rsidR="00135868" w:rsidRPr="00135868" w:rsidTr="00135868">
        <w:trPr>
          <w:jc w:val="center"/>
        </w:trPr>
        <w:tc>
          <w:tcPr>
            <w:tcW w:w="1944" w:type="dxa"/>
            <w:shd w:val="clear" w:color="auto" w:fill="auto"/>
          </w:tcPr>
          <w:p w:rsidR="00135868" w:rsidRPr="00135868" w:rsidRDefault="00135868" w:rsidP="00891578">
            <w:r w:rsidRPr="00135868">
              <w:t>Cough</w:t>
            </w:r>
          </w:p>
        </w:tc>
        <w:tc>
          <w:tcPr>
            <w:tcW w:w="1336" w:type="dxa"/>
            <w:shd w:val="clear" w:color="auto" w:fill="auto"/>
          </w:tcPr>
          <w:p w:rsidR="00135868" w:rsidRPr="00135868" w:rsidRDefault="00135868" w:rsidP="00891578">
            <w:r w:rsidRPr="00135868">
              <w:t>16</w:t>
            </w:r>
          </w:p>
        </w:tc>
        <w:tc>
          <w:tcPr>
            <w:tcW w:w="1337" w:type="dxa"/>
            <w:shd w:val="clear" w:color="auto" w:fill="auto"/>
          </w:tcPr>
          <w:p w:rsidR="00135868" w:rsidRPr="00135868" w:rsidRDefault="00135868" w:rsidP="00891578">
            <w:r w:rsidRPr="00135868">
              <w:t>0.2</w:t>
            </w:r>
          </w:p>
        </w:tc>
        <w:tc>
          <w:tcPr>
            <w:tcW w:w="1336" w:type="dxa"/>
          </w:tcPr>
          <w:p w:rsidR="00135868" w:rsidRPr="00135868" w:rsidRDefault="00135868" w:rsidP="00891578">
            <w:r w:rsidRPr="00135868">
              <w:t>11</w:t>
            </w:r>
          </w:p>
        </w:tc>
        <w:tc>
          <w:tcPr>
            <w:tcW w:w="1337" w:type="dxa"/>
          </w:tcPr>
          <w:p w:rsidR="00135868" w:rsidRPr="00135868" w:rsidRDefault="00135868" w:rsidP="00891578">
            <w:r w:rsidRPr="00135868">
              <w:t>0.3</w:t>
            </w:r>
          </w:p>
        </w:tc>
      </w:tr>
      <w:tr w:rsidR="00135868" w:rsidRPr="00135868" w:rsidTr="00135868">
        <w:trPr>
          <w:jc w:val="center"/>
        </w:trPr>
        <w:tc>
          <w:tcPr>
            <w:tcW w:w="7290" w:type="dxa"/>
            <w:gridSpan w:val="5"/>
          </w:tcPr>
          <w:p w:rsidR="00135868" w:rsidRPr="00891578" w:rsidRDefault="00135868" w:rsidP="00891578">
            <w:pPr>
              <w:rPr>
                <w:b/>
                <w:bCs/>
              </w:rPr>
            </w:pPr>
            <w:r w:rsidRPr="00891578">
              <w:rPr>
                <w:b/>
                <w:bCs/>
              </w:rPr>
              <w:t>Endocrine Disorders</w:t>
            </w:r>
          </w:p>
        </w:tc>
      </w:tr>
      <w:tr w:rsidR="00135868" w:rsidRPr="00135868" w:rsidTr="00135868">
        <w:trPr>
          <w:jc w:val="center"/>
        </w:trPr>
        <w:tc>
          <w:tcPr>
            <w:tcW w:w="1944" w:type="dxa"/>
            <w:shd w:val="clear" w:color="auto" w:fill="auto"/>
          </w:tcPr>
          <w:p w:rsidR="00135868" w:rsidRPr="00135868" w:rsidRDefault="00135868" w:rsidP="00891578">
            <w:r w:rsidRPr="00135868">
              <w:t>Hypothyroidism</w:t>
            </w:r>
          </w:p>
        </w:tc>
        <w:tc>
          <w:tcPr>
            <w:tcW w:w="1336" w:type="dxa"/>
            <w:shd w:val="clear" w:color="auto" w:fill="auto"/>
          </w:tcPr>
          <w:p w:rsidR="00135868" w:rsidRPr="00135868" w:rsidRDefault="00135868" w:rsidP="00891578">
            <w:r w:rsidRPr="00135868">
              <w:t>12</w:t>
            </w:r>
          </w:p>
        </w:tc>
        <w:tc>
          <w:tcPr>
            <w:tcW w:w="1337" w:type="dxa"/>
            <w:shd w:val="clear" w:color="auto" w:fill="auto"/>
          </w:tcPr>
          <w:p w:rsidR="00135868" w:rsidRPr="00135868" w:rsidRDefault="00135868" w:rsidP="00891578">
            <w:r w:rsidRPr="00135868">
              <w:t>0.2</w:t>
            </w:r>
          </w:p>
        </w:tc>
        <w:tc>
          <w:tcPr>
            <w:tcW w:w="1336" w:type="dxa"/>
          </w:tcPr>
          <w:p w:rsidR="00135868" w:rsidRPr="00135868" w:rsidRDefault="00135868" w:rsidP="00891578">
            <w:r w:rsidRPr="00135868">
              <w:t>1.5</w:t>
            </w:r>
          </w:p>
        </w:tc>
        <w:tc>
          <w:tcPr>
            <w:tcW w:w="1337" w:type="dxa"/>
          </w:tcPr>
          <w:p w:rsidR="00135868" w:rsidRPr="00135868" w:rsidRDefault="00135868" w:rsidP="00891578">
            <w:r w:rsidRPr="00135868">
              <w:t>0</w:t>
            </w:r>
          </w:p>
        </w:tc>
      </w:tr>
      <w:tr w:rsidR="00135868" w:rsidRPr="00135868" w:rsidTr="00135868">
        <w:trPr>
          <w:jc w:val="center"/>
        </w:trPr>
        <w:tc>
          <w:tcPr>
            <w:tcW w:w="7290" w:type="dxa"/>
            <w:gridSpan w:val="5"/>
            <w:tcBorders>
              <w:top w:val="nil"/>
              <w:left w:val="nil"/>
              <w:bottom w:val="nil"/>
              <w:right w:val="nil"/>
            </w:tcBorders>
          </w:tcPr>
          <w:p w:rsidR="00135868" w:rsidRPr="00135868" w:rsidRDefault="00135868" w:rsidP="00891578">
            <w:r w:rsidRPr="00135868">
              <w:t>*</w:t>
            </w:r>
            <w:r w:rsidRPr="00135868">
              <w:tab/>
              <w:t>Graded per NCI CTCAE v4.03</w:t>
            </w:r>
          </w:p>
        </w:tc>
      </w:tr>
    </w:tbl>
    <w:p w:rsidR="00135868" w:rsidRPr="00135868" w:rsidRDefault="00135868" w:rsidP="00135868">
      <w:pPr>
        <w:rPr>
          <w:u w:val="single"/>
        </w:rPr>
      </w:pPr>
      <w:r w:rsidRPr="00135868">
        <w:rPr>
          <w:u w:val="single"/>
        </w:rPr>
        <w:t>Head and Neck Cancer</w:t>
      </w:r>
    </w:p>
    <w:p w:rsidR="00135868" w:rsidRPr="00135868" w:rsidRDefault="00135868" w:rsidP="00135868">
      <w:r w:rsidRPr="00135868">
        <w:t>Adverse events occurring in patients with HNSCC were generally similar to those occurring in patients with melanoma or NSCLC, except with respect to the higher rate of hypothyroidism observed in patients with HNSCC (see Table 2). Of these 28 patients, 15 had no prior history of hypothyroidism.</w:t>
      </w:r>
    </w:p>
    <w:p w:rsidR="00135868" w:rsidRPr="00135868" w:rsidRDefault="00135868" w:rsidP="00135868">
      <w:pPr>
        <w:rPr>
          <w:u w:val="single"/>
        </w:rPr>
      </w:pPr>
      <w:r w:rsidRPr="00135868">
        <w:rPr>
          <w:u w:val="single"/>
        </w:rPr>
        <w:t>Classical Hodgkin Lymphoma</w:t>
      </w:r>
    </w:p>
    <w:p w:rsidR="00135868" w:rsidRPr="00135868" w:rsidRDefault="00135868" w:rsidP="00135868">
      <w:r w:rsidRPr="00135868">
        <w:t xml:space="preserve">In patients with </w:t>
      </w:r>
      <w:proofErr w:type="spellStart"/>
      <w:r w:rsidRPr="00135868">
        <w:t>cHL</w:t>
      </w:r>
      <w:proofErr w:type="spellEnd"/>
      <w:r w:rsidRPr="00135868">
        <w:t>, a higher incidence of pyrexia (24%) possibly due to B-symptoms, hypothyroidism (14.1%) and upper respiratory tract infection (13%) have been noted. Other adverse events were generally similar to those occurring in patients with melanoma or NSCLC.</w:t>
      </w:r>
      <w:r w:rsidRPr="00135868" w:rsidDel="00DC14EB">
        <w:t xml:space="preserve"> </w:t>
      </w:r>
    </w:p>
    <w:p w:rsidR="00135868" w:rsidRPr="00135868" w:rsidRDefault="00135868" w:rsidP="00135868">
      <w:pPr>
        <w:rPr>
          <w:u w:val="single"/>
        </w:rPr>
      </w:pPr>
      <w:r w:rsidRPr="00135868">
        <w:rPr>
          <w:u w:val="single"/>
        </w:rPr>
        <w:t>Primary Mediastinal B-Cell Lymphoma</w:t>
      </w:r>
    </w:p>
    <w:p w:rsidR="00135868" w:rsidRPr="00135868" w:rsidRDefault="00135868" w:rsidP="00135868">
      <w:r w:rsidRPr="00135868">
        <w:t xml:space="preserve">In patients with PMBCL, a higher incidence of pyrexia (28%) possibly due to B-symptoms, and neutropenia (26%) have been noted. The incidence of grade 3 or 4 neutropenia was 17%, and febrile neutropenia was 2%. A causal relationship with KEYTRUDA has not been established, </w:t>
      </w:r>
      <w:r w:rsidRPr="00135868">
        <w:lastRenderedPageBreak/>
        <w:t xml:space="preserve">and the neutropenia may have been due to prior </w:t>
      </w:r>
      <w:proofErr w:type="spellStart"/>
      <w:r w:rsidRPr="00135868">
        <w:t>myelotoxic</w:t>
      </w:r>
      <w:proofErr w:type="spellEnd"/>
      <w:r w:rsidRPr="00135868">
        <w:t xml:space="preserve"> therapy. Other adverse events were generally similar to those occurring in patients with melanoma or NSCLC.</w:t>
      </w:r>
    </w:p>
    <w:p w:rsidR="00135868" w:rsidRPr="00135868" w:rsidRDefault="00135868" w:rsidP="00135868">
      <w:pPr>
        <w:rPr>
          <w:u w:val="single"/>
        </w:rPr>
      </w:pPr>
      <w:r w:rsidRPr="00135868">
        <w:rPr>
          <w:u w:val="single"/>
        </w:rPr>
        <w:t>Urothelial Carcinoma</w:t>
      </w:r>
    </w:p>
    <w:p w:rsidR="00135868" w:rsidRPr="00135868" w:rsidRDefault="00135868" w:rsidP="00135868">
      <w:pPr>
        <w:rPr>
          <w:i/>
        </w:rPr>
      </w:pPr>
      <w:r w:rsidRPr="00135868">
        <w:rPr>
          <w:i/>
        </w:rPr>
        <w:t>Cisplatin Ineligible Patients with Urothelial Carcinoma</w:t>
      </w:r>
    </w:p>
    <w:p w:rsidR="00135868" w:rsidRPr="00135868" w:rsidRDefault="00135868" w:rsidP="00135868">
      <w:r w:rsidRPr="00135868">
        <w:t>The safety of KEYTRUDA was investigated in Study KEYNOTE-052, a single-arm trial that enrolled 370 patients with locally advanced or metastatic urothelial carcinoma who were not eligible for cisplatin-containing chemotherapy. Patients with autoimmune disease or medical conditions that required systemic corticosteroids or other immunosuppressive medications were ineligible. Patients received KEYTRUDA 200 mg every 3 weeks until unacceptable toxicity or either radiographic or clinical disease progression. The median duration of exposure to KEYTRUDA was 2.8 months (range: 1 day to 15.8 months).</w:t>
      </w:r>
    </w:p>
    <w:p w:rsidR="00135868" w:rsidRPr="00135868" w:rsidRDefault="00135868" w:rsidP="00135868">
      <w:r w:rsidRPr="00135868">
        <w:t xml:space="preserve">The most common adverse reactions (reported in at least 20% of patients) were fatigue, musculoskeletal pain, decreased appetite, constipation, rash and </w:t>
      </w:r>
      <w:proofErr w:type="spellStart"/>
      <w:r w:rsidRPr="00135868">
        <w:t>diarrhea</w:t>
      </w:r>
      <w:proofErr w:type="spellEnd"/>
      <w:r w:rsidRPr="00135868">
        <w:t xml:space="preserve">. KEYTRUDA was discontinued due to adverse reactions in 11% of patients. Eighteen patients (5%) died from causes other than disease progression. Five patients (1.4%) who were treated with KEYTRUDA experienced sepsis which led to death, and three patients (0.8%) experienced pneumonia which led to death. Adverse reactions leading to interruption of KEYTRUDA occurred in 22% of patients; the most common (≥1%) were liver enzyme increase, </w:t>
      </w:r>
      <w:proofErr w:type="spellStart"/>
      <w:r w:rsidRPr="00135868">
        <w:t>diarrhea</w:t>
      </w:r>
      <w:proofErr w:type="spellEnd"/>
      <w:r w:rsidRPr="00135868">
        <w:t xml:space="preserve">, urinary tract infection, acute kidney injury, fatigue, joint pain, and pneumonia. Serious adverse reactions occurred in 42% of patients. The most frequent serious adverse reactions (≥2%) were urinary tract infection, </w:t>
      </w:r>
      <w:proofErr w:type="spellStart"/>
      <w:r w:rsidRPr="00135868">
        <w:t>hematuria</w:t>
      </w:r>
      <w:proofErr w:type="spellEnd"/>
      <w:r w:rsidRPr="00135868">
        <w:t xml:space="preserve">, acute kidney injury, pneumonia, and </w:t>
      </w:r>
      <w:proofErr w:type="spellStart"/>
      <w:r w:rsidRPr="00135868">
        <w:t>urosepsis</w:t>
      </w:r>
      <w:proofErr w:type="spellEnd"/>
      <w:r w:rsidRPr="00135868">
        <w:t>.</w:t>
      </w:r>
    </w:p>
    <w:p w:rsidR="00135868" w:rsidRPr="00135868" w:rsidRDefault="00135868" w:rsidP="00135868">
      <w:r w:rsidRPr="00135868">
        <w:t>Immune-related adverse reactions that required systemic glucocorticoids occurred in 8% of patients, use of hormonal supplementation due to an immune-related adverse reaction occurred in 8% of patients, and 5% of patients required at least one steroid dose ≥40 mg oral prednisone equivalent.</w:t>
      </w:r>
    </w:p>
    <w:p w:rsidR="00135868" w:rsidRPr="00135868" w:rsidRDefault="00135868" w:rsidP="00135868">
      <w:r w:rsidRPr="00135868">
        <w:t>Table 9 summarizes the incidence of adverse reactions occurring in at least 10% of patients receiving KEYTRUDA.</w:t>
      </w:r>
    </w:p>
    <w:p w:rsidR="00135868" w:rsidRPr="00135868" w:rsidRDefault="00135868" w:rsidP="00891578">
      <w:pPr>
        <w:pStyle w:val="Tabletitle"/>
      </w:pPr>
      <w:r w:rsidRPr="00135868">
        <w:t>Table 9: Adverse Reactions Occurring in ≥10% of Patients Receiving KEYTRUDA in KEYNOTE-052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3205"/>
        <w:gridCol w:w="2584"/>
      </w:tblGrid>
      <w:tr w:rsidR="00135868" w:rsidRPr="00135868" w:rsidTr="00135868">
        <w:tc>
          <w:tcPr>
            <w:tcW w:w="1805" w:type="pct"/>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tblGrid>
            <w:tr w:rsidR="00135868" w:rsidRPr="00135868" w:rsidTr="00135868">
              <w:trPr>
                <w:jc w:val="center"/>
              </w:trPr>
              <w:tc>
                <w:tcPr>
                  <w:tcW w:w="7742" w:type="dxa"/>
                  <w:tcBorders>
                    <w:top w:val="single" w:sz="4" w:space="0" w:color="auto"/>
                    <w:left w:val="nil"/>
                    <w:bottom w:val="nil"/>
                    <w:right w:val="nil"/>
                  </w:tcBorders>
                  <w:hideMark/>
                </w:tcPr>
                <w:p w:rsidR="00135868" w:rsidRPr="00135868" w:rsidRDefault="00135868" w:rsidP="00135868"/>
              </w:tc>
            </w:tr>
          </w:tbl>
          <w:p w:rsidR="00135868" w:rsidRPr="00135868" w:rsidRDefault="00135868" w:rsidP="00135868"/>
        </w:tc>
        <w:tc>
          <w:tcPr>
            <w:tcW w:w="3195" w:type="pct"/>
            <w:gridSpan w:val="2"/>
          </w:tcPr>
          <w:p w:rsidR="00135868" w:rsidRPr="00135868" w:rsidRDefault="00135868" w:rsidP="00135868">
            <w:pPr>
              <w:rPr>
                <w:b/>
              </w:rPr>
            </w:pPr>
            <w:r w:rsidRPr="00135868">
              <w:rPr>
                <w:b/>
              </w:rPr>
              <w:t>KEYTRUDA</w:t>
            </w:r>
          </w:p>
          <w:p w:rsidR="00135868" w:rsidRPr="00135868" w:rsidRDefault="00135868" w:rsidP="00135868">
            <w:pPr>
              <w:rPr>
                <w:b/>
              </w:rPr>
            </w:pPr>
            <w:r w:rsidRPr="00135868">
              <w:rPr>
                <w:b/>
              </w:rPr>
              <w:t>200mg every 3 weeks</w:t>
            </w:r>
          </w:p>
          <w:p w:rsidR="00135868" w:rsidRPr="00135868" w:rsidRDefault="00135868" w:rsidP="00135868">
            <w:r w:rsidRPr="00135868">
              <w:rPr>
                <w:b/>
              </w:rPr>
              <w:t>N=370</w:t>
            </w:r>
          </w:p>
        </w:tc>
      </w:tr>
      <w:tr w:rsidR="00135868" w:rsidRPr="00135868" w:rsidTr="00135868">
        <w:tc>
          <w:tcPr>
            <w:tcW w:w="1805" w:type="pct"/>
          </w:tcPr>
          <w:p w:rsidR="00135868" w:rsidRPr="00135868" w:rsidRDefault="00135868" w:rsidP="00135868">
            <w:pPr>
              <w:rPr>
                <w:b/>
              </w:rPr>
            </w:pPr>
            <w:r w:rsidRPr="00135868">
              <w:rPr>
                <w:b/>
              </w:rPr>
              <w:t>Adverse Reaction</w:t>
            </w:r>
          </w:p>
        </w:tc>
        <w:tc>
          <w:tcPr>
            <w:tcW w:w="1769" w:type="pct"/>
          </w:tcPr>
          <w:p w:rsidR="00135868" w:rsidRPr="00135868" w:rsidRDefault="00135868" w:rsidP="00891578">
            <w:pPr>
              <w:rPr>
                <w:b/>
              </w:rPr>
            </w:pPr>
            <w:r w:rsidRPr="00135868">
              <w:rPr>
                <w:b/>
              </w:rPr>
              <w:t>All Grades</w:t>
            </w:r>
            <w:r w:rsidRPr="00135868">
              <w:rPr>
                <w:b/>
                <w:vertAlign w:val="superscript"/>
              </w:rPr>
              <w:t>*</w:t>
            </w:r>
            <w:r w:rsidR="00891578">
              <w:rPr>
                <w:b/>
                <w:vertAlign w:val="superscript"/>
              </w:rPr>
              <w:t xml:space="preserve"> </w:t>
            </w:r>
            <w:r w:rsidRPr="00135868">
              <w:rPr>
                <w:b/>
              </w:rPr>
              <w:t>(%)</w:t>
            </w:r>
          </w:p>
        </w:tc>
        <w:tc>
          <w:tcPr>
            <w:tcW w:w="1425" w:type="pct"/>
          </w:tcPr>
          <w:p w:rsidR="00135868" w:rsidRPr="00135868" w:rsidRDefault="00135868" w:rsidP="00891578">
            <w:pPr>
              <w:rPr>
                <w:b/>
              </w:rPr>
            </w:pPr>
            <w:r w:rsidRPr="00135868">
              <w:rPr>
                <w:b/>
              </w:rPr>
              <w:t>Grades 3 – 4</w:t>
            </w:r>
            <w:r w:rsidR="00891578">
              <w:rPr>
                <w:b/>
              </w:rPr>
              <w:t xml:space="preserve"> </w:t>
            </w:r>
            <w:r w:rsidRPr="00135868">
              <w:rPr>
                <w:b/>
              </w:rPr>
              <w:t>(%)</w:t>
            </w:r>
          </w:p>
        </w:tc>
      </w:tr>
      <w:tr w:rsidR="00135868" w:rsidRPr="00135868" w:rsidTr="00135868">
        <w:tc>
          <w:tcPr>
            <w:tcW w:w="1805" w:type="pct"/>
          </w:tcPr>
          <w:p w:rsidR="00135868" w:rsidRPr="00135868" w:rsidRDefault="00135868" w:rsidP="00135868">
            <w:r w:rsidRPr="00135868">
              <w:t xml:space="preserve">All Adverse Reactions </w:t>
            </w:r>
          </w:p>
        </w:tc>
        <w:tc>
          <w:tcPr>
            <w:tcW w:w="1769" w:type="pct"/>
          </w:tcPr>
          <w:p w:rsidR="00135868" w:rsidRPr="00135868" w:rsidRDefault="00135868" w:rsidP="00135868">
            <w:r w:rsidRPr="00135868">
              <w:t>96</w:t>
            </w:r>
          </w:p>
        </w:tc>
        <w:tc>
          <w:tcPr>
            <w:tcW w:w="1425" w:type="pct"/>
          </w:tcPr>
          <w:p w:rsidR="00135868" w:rsidRPr="00135868" w:rsidRDefault="00135868" w:rsidP="00135868">
            <w:r w:rsidRPr="00135868">
              <w:t>49</w:t>
            </w:r>
          </w:p>
        </w:tc>
      </w:tr>
      <w:tr w:rsidR="00135868" w:rsidRPr="00135868" w:rsidTr="00135868">
        <w:tc>
          <w:tcPr>
            <w:tcW w:w="5000" w:type="pct"/>
            <w:gridSpan w:val="3"/>
          </w:tcPr>
          <w:p w:rsidR="00135868" w:rsidRPr="00135868" w:rsidRDefault="00135868" w:rsidP="00135868">
            <w:pPr>
              <w:rPr>
                <w:b/>
              </w:rPr>
            </w:pPr>
            <w:r w:rsidRPr="00135868">
              <w:rPr>
                <w:b/>
              </w:rPr>
              <w:t>Blood and Lymphatic System Disorders</w:t>
            </w:r>
          </w:p>
        </w:tc>
      </w:tr>
      <w:tr w:rsidR="00135868" w:rsidRPr="00135868" w:rsidTr="00135868">
        <w:tc>
          <w:tcPr>
            <w:tcW w:w="1805" w:type="pct"/>
          </w:tcPr>
          <w:p w:rsidR="00135868" w:rsidRPr="00135868" w:rsidRDefault="00135868" w:rsidP="00135868">
            <w:proofErr w:type="spellStart"/>
            <w:r w:rsidRPr="00135868">
              <w:lastRenderedPageBreak/>
              <w:t>Anemia</w:t>
            </w:r>
            <w:proofErr w:type="spellEnd"/>
            <w:r w:rsidRPr="00135868">
              <w:t xml:space="preserve"> </w:t>
            </w:r>
          </w:p>
        </w:tc>
        <w:tc>
          <w:tcPr>
            <w:tcW w:w="1769" w:type="pct"/>
          </w:tcPr>
          <w:p w:rsidR="00135868" w:rsidRPr="00135868" w:rsidRDefault="00135868" w:rsidP="00135868">
            <w:r w:rsidRPr="00135868">
              <w:t>17</w:t>
            </w:r>
          </w:p>
        </w:tc>
        <w:tc>
          <w:tcPr>
            <w:tcW w:w="1425" w:type="pct"/>
          </w:tcPr>
          <w:p w:rsidR="00135868" w:rsidRPr="00135868" w:rsidRDefault="00135868" w:rsidP="00135868">
            <w:r w:rsidRPr="00135868">
              <w:t>7</w:t>
            </w:r>
          </w:p>
        </w:tc>
      </w:tr>
      <w:tr w:rsidR="00135868" w:rsidRPr="00135868" w:rsidTr="00135868">
        <w:tc>
          <w:tcPr>
            <w:tcW w:w="5000" w:type="pct"/>
            <w:gridSpan w:val="3"/>
          </w:tcPr>
          <w:p w:rsidR="00135868" w:rsidRPr="00135868" w:rsidRDefault="00135868" w:rsidP="00135868">
            <w:pPr>
              <w:rPr>
                <w:b/>
              </w:rPr>
            </w:pPr>
            <w:r w:rsidRPr="00135868">
              <w:rPr>
                <w:b/>
              </w:rPr>
              <w:t>Gastrointestinal Disorders</w:t>
            </w:r>
          </w:p>
        </w:tc>
      </w:tr>
      <w:tr w:rsidR="00135868" w:rsidRPr="00135868" w:rsidTr="00135868">
        <w:tc>
          <w:tcPr>
            <w:tcW w:w="1805" w:type="pct"/>
          </w:tcPr>
          <w:p w:rsidR="00135868" w:rsidRPr="00135868" w:rsidRDefault="00135868" w:rsidP="00135868">
            <w:r w:rsidRPr="00135868">
              <w:t xml:space="preserve">Constipation </w:t>
            </w:r>
          </w:p>
        </w:tc>
        <w:tc>
          <w:tcPr>
            <w:tcW w:w="1769" w:type="pct"/>
          </w:tcPr>
          <w:p w:rsidR="00135868" w:rsidRPr="00135868" w:rsidRDefault="00135868" w:rsidP="00135868">
            <w:r w:rsidRPr="00135868">
              <w:t>21</w:t>
            </w:r>
          </w:p>
        </w:tc>
        <w:tc>
          <w:tcPr>
            <w:tcW w:w="1425" w:type="pct"/>
          </w:tcPr>
          <w:p w:rsidR="00135868" w:rsidRPr="00135868" w:rsidRDefault="00135868" w:rsidP="00135868">
            <w:r w:rsidRPr="00135868">
              <w:t>1.1</w:t>
            </w:r>
          </w:p>
        </w:tc>
      </w:tr>
      <w:tr w:rsidR="00135868" w:rsidRPr="00135868" w:rsidTr="00135868">
        <w:tc>
          <w:tcPr>
            <w:tcW w:w="1805" w:type="pct"/>
          </w:tcPr>
          <w:p w:rsidR="00135868" w:rsidRPr="00135868" w:rsidRDefault="00135868" w:rsidP="00135868">
            <w:proofErr w:type="spellStart"/>
            <w:r w:rsidRPr="00135868">
              <w:t>Diarrhea</w:t>
            </w:r>
            <w:proofErr w:type="spellEnd"/>
            <w:r w:rsidRPr="00135868">
              <w:rPr>
                <w:vertAlign w:val="superscript"/>
              </w:rPr>
              <w:t>†</w:t>
            </w:r>
          </w:p>
        </w:tc>
        <w:tc>
          <w:tcPr>
            <w:tcW w:w="1769" w:type="pct"/>
          </w:tcPr>
          <w:p w:rsidR="00135868" w:rsidRPr="00135868" w:rsidRDefault="00135868" w:rsidP="00135868">
            <w:r w:rsidRPr="00135868">
              <w:t>20</w:t>
            </w:r>
          </w:p>
        </w:tc>
        <w:tc>
          <w:tcPr>
            <w:tcW w:w="1425" w:type="pct"/>
          </w:tcPr>
          <w:p w:rsidR="00135868" w:rsidRPr="00135868" w:rsidRDefault="00135868" w:rsidP="00135868">
            <w:r w:rsidRPr="00135868">
              <w:t>2.4</w:t>
            </w:r>
          </w:p>
        </w:tc>
      </w:tr>
      <w:tr w:rsidR="00135868" w:rsidRPr="00135868" w:rsidTr="00135868">
        <w:tc>
          <w:tcPr>
            <w:tcW w:w="1805" w:type="pct"/>
          </w:tcPr>
          <w:p w:rsidR="00135868" w:rsidRPr="00135868" w:rsidRDefault="00135868" w:rsidP="00135868">
            <w:r w:rsidRPr="00135868">
              <w:t xml:space="preserve">Nausea </w:t>
            </w:r>
          </w:p>
        </w:tc>
        <w:tc>
          <w:tcPr>
            <w:tcW w:w="1769" w:type="pct"/>
          </w:tcPr>
          <w:p w:rsidR="00135868" w:rsidRPr="00135868" w:rsidRDefault="00135868" w:rsidP="00135868">
            <w:r w:rsidRPr="00135868">
              <w:t>18</w:t>
            </w:r>
          </w:p>
        </w:tc>
        <w:tc>
          <w:tcPr>
            <w:tcW w:w="1425" w:type="pct"/>
          </w:tcPr>
          <w:p w:rsidR="00135868" w:rsidRPr="00135868" w:rsidRDefault="00135868" w:rsidP="00135868">
            <w:r w:rsidRPr="00135868">
              <w:t>1.1</w:t>
            </w:r>
          </w:p>
        </w:tc>
      </w:tr>
      <w:tr w:rsidR="00135868" w:rsidRPr="00135868" w:rsidTr="00135868">
        <w:tc>
          <w:tcPr>
            <w:tcW w:w="1805" w:type="pct"/>
          </w:tcPr>
          <w:p w:rsidR="00135868" w:rsidRPr="00135868" w:rsidRDefault="00135868" w:rsidP="00135868">
            <w:r w:rsidRPr="00135868">
              <w:t>Abdominal pain</w:t>
            </w:r>
            <w:r w:rsidRPr="00135868">
              <w:rPr>
                <w:vertAlign w:val="superscript"/>
              </w:rPr>
              <w:t>‡</w:t>
            </w:r>
          </w:p>
        </w:tc>
        <w:tc>
          <w:tcPr>
            <w:tcW w:w="1769" w:type="pct"/>
          </w:tcPr>
          <w:p w:rsidR="00135868" w:rsidRPr="00135868" w:rsidRDefault="00135868" w:rsidP="00135868">
            <w:r w:rsidRPr="00135868">
              <w:t>18</w:t>
            </w:r>
          </w:p>
        </w:tc>
        <w:tc>
          <w:tcPr>
            <w:tcW w:w="1425" w:type="pct"/>
          </w:tcPr>
          <w:p w:rsidR="00135868" w:rsidRPr="00135868" w:rsidRDefault="00135868" w:rsidP="00135868">
            <w:r w:rsidRPr="00135868">
              <w:t>2.7</w:t>
            </w:r>
          </w:p>
        </w:tc>
      </w:tr>
      <w:tr w:rsidR="00135868" w:rsidRPr="00135868" w:rsidTr="00135868">
        <w:tc>
          <w:tcPr>
            <w:tcW w:w="1805" w:type="pct"/>
          </w:tcPr>
          <w:p w:rsidR="00135868" w:rsidRPr="00135868" w:rsidRDefault="00135868" w:rsidP="00135868">
            <w:r w:rsidRPr="00135868">
              <w:t>Elevated LFTs</w:t>
            </w:r>
            <w:r w:rsidRPr="00135868">
              <w:rPr>
                <w:vertAlign w:val="superscript"/>
              </w:rPr>
              <w:t>§</w:t>
            </w:r>
          </w:p>
        </w:tc>
        <w:tc>
          <w:tcPr>
            <w:tcW w:w="1769" w:type="pct"/>
          </w:tcPr>
          <w:p w:rsidR="00135868" w:rsidRPr="00135868" w:rsidRDefault="00135868" w:rsidP="00135868">
            <w:r w:rsidRPr="00135868">
              <w:t>13</w:t>
            </w:r>
          </w:p>
        </w:tc>
        <w:tc>
          <w:tcPr>
            <w:tcW w:w="1425" w:type="pct"/>
          </w:tcPr>
          <w:p w:rsidR="00135868" w:rsidRPr="00135868" w:rsidRDefault="00135868" w:rsidP="00135868">
            <w:r w:rsidRPr="00135868">
              <w:t>3.5</w:t>
            </w:r>
          </w:p>
        </w:tc>
      </w:tr>
      <w:tr w:rsidR="00135868" w:rsidRPr="00135868" w:rsidTr="00135868">
        <w:tc>
          <w:tcPr>
            <w:tcW w:w="1805" w:type="pct"/>
          </w:tcPr>
          <w:p w:rsidR="00135868" w:rsidRPr="00135868" w:rsidRDefault="00135868" w:rsidP="00135868">
            <w:r w:rsidRPr="00135868">
              <w:t xml:space="preserve">Vomiting </w:t>
            </w:r>
          </w:p>
        </w:tc>
        <w:tc>
          <w:tcPr>
            <w:tcW w:w="1769" w:type="pct"/>
          </w:tcPr>
          <w:p w:rsidR="00135868" w:rsidRPr="00135868" w:rsidRDefault="00135868" w:rsidP="00135868">
            <w:r w:rsidRPr="00135868">
              <w:t>12</w:t>
            </w:r>
          </w:p>
        </w:tc>
        <w:tc>
          <w:tcPr>
            <w:tcW w:w="1425" w:type="pct"/>
          </w:tcPr>
          <w:p w:rsidR="00135868" w:rsidRPr="00135868" w:rsidRDefault="00135868" w:rsidP="00135868">
            <w:r w:rsidRPr="00135868">
              <w:t>0</w:t>
            </w:r>
          </w:p>
        </w:tc>
      </w:tr>
      <w:tr w:rsidR="00135868" w:rsidRPr="00135868" w:rsidTr="00135868">
        <w:tc>
          <w:tcPr>
            <w:tcW w:w="5000" w:type="pct"/>
            <w:gridSpan w:val="3"/>
          </w:tcPr>
          <w:p w:rsidR="00135868" w:rsidRPr="00135868" w:rsidRDefault="00135868" w:rsidP="00135868">
            <w:pPr>
              <w:rPr>
                <w:b/>
              </w:rPr>
            </w:pPr>
            <w:r w:rsidRPr="00135868">
              <w:rPr>
                <w:b/>
              </w:rPr>
              <w:t>General Disorders and Administration Site Conditions</w:t>
            </w:r>
          </w:p>
        </w:tc>
      </w:tr>
      <w:tr w:rsidR="00135868" w:rsidRPr="00135868" w:rsidTr="00135868">
        <w:tc>
          <w:tcPr>
            <w:tcW w:w="1805" w:type="pct"/>
          </w:tcPr>
          <w:p w:rsidR="00135868" w:rsidRPr="00135868" w:rsidRDefault="00135868" w:rsidP="00135868">
            <w:r w:rsidRPr="00135868">
              <w:t>Fatigue</w:t>
            </w:r>
            <w:r w:rsidRPr="00135868">
              <w:rPr>
                <w:vertAlign w:val="superscript"/>
              </w:rPr>
              <w:t>¶</w:t>
            </w:r>
          </w:p>
        </w:tc>
        <w:tc>
          <w:tcPr>
            <w:tcW w:w="1769" w:type="pct"/>
          </w:tcPr>
          <w:p w:rsidR="00135868" w:rsidRPr="00135868" w:rsidRDefault="00135868" w:rsidP="00135868">
            <w:r w:rsidRPr="00135868">
              <w:t>38</w:t>
            </w:r>
          </w:p>
        </w:tc>
        <w:tc>
          <w:tcPr>
            <w:tcW w:w="1425" w:type="pct"/>
          </w:tcPr>
          <w:p w:rsidR="00135868" w:rsidRPr="00135868" w:rsidRDefault="00135868" w:rsidP="00135868">
            <w:r w:rsidRPr="00135868">
              <w:t>6</w:t>
            </w:r>
          </w:p>
        </w:tc>
      </w:tr>
      <w:tr w:rsidR="00135868" w:rsidRPr="00135868" w:rsidTr="00135868">
        <w:tc>
          <w:tcPr>
            <w:tcW w:w="1805" w:type="pct"/>
          </w:tcPr>
          <w:p w:rsidR="00135868" w:rsidRPr="00135868" w:rsidRDefault="00135868" w:rsidP="00135868">
            <w:r w:rsidRPr="00135868">
              <w:t xml:space="preserve">Pyrexia </w:t>
            </w:r>
          </w:p>
        </w:tc>
        <w:tc>
          <w:tcPr>
            <w:tcW w:w="1769" w:type="pct"/>
          </w:tcPr>
          <w:p w:rsidR="00135868" w:rsidRPr="00135868" w:rsidRDefault="00135868" w:rsidP="00135868">
            <w:r w:rsidRPr="00135868">
              <w:t>11</w:t>
            </w:r>
          </w:p>
        </w:tc>
        <w:tc>
          <w:tcPr>
            <w:tcW w:w="1425" w:type="pct"/>
          </w:tcPr>
          <w:p w:rsidR="00135868" w:rsidRPr="00135868" w:rsidRDefault="00135868" w:rsidP="00135868">
            <w:r w:rsidRPr="00135868">
              <w:t>0.5</w:t>
            </w:r>
          </w:p>
        </w:tc>
      </w:tr>
      <w:tr w:rsidR="00135868" w:rsidRPr="00135868" w:rsidTr="00135868">
        <w:tc>
          <w:tcPr>
            <w:tcW w:w="1805" w:type="pct"/>
          </w:tcPr>
          <w:p w:rsidR="00135868" w:rsidRPr="00135868" w:rsidRDefault="00135868" w:rsidP="00135868">
            <w:r w:rsidRPr="00135868">
              <w:t xml:space="preserve">Weight decreased </w:t>
            </w:r>
          </w:p>
        </w:tc>
        <w:tc>
          <w:tcPr>
            <w:tcW w:w="1769" w:type="pct"/>
          </w:tcPr>
          <w:p w:rsidR="00135868" w:rsidRPr="00135868" w:rsidRDefault="00135868" w:rsidP="00135868">
            <w:r w:rsidRPr="00135868">
              <w:t>10</w:t>
            </w:r>
          </w:p>
        </w:tc>
        <w:tc>
          <w:tcPr>
            <w:tcW w:w="1425" w:type="pct"/>
          </w:tcPr>
          <w:p w:rsidR="00135868" w:rsidRPr="00135868" w:rsidRDefault="00135868" w:rsidP="00135868">
            <w:r w:rsidRPr="00135868">
              <w:t>0</w:t>
            </w:r>
          </w:p>
        </w:tc>
      </w:tr>
      <w:tr w:rsidR="00135868" w:rsidRPr="00135868" w:rsidTr="00135868">
        <w:tc>
          <w:tcPr>
            <w:tcW w:w="5000" w:type="pct"/>
            <w:gridSpan w:val="3"/>
          </w:tcPr>
          <w:p w:rsidR="00135868" w:rsidRPr="00135868" w:rsidRDefault="00135868" w:rsidP="00135868">
            <w:pPr>
              <w:rPr>
                <w:b/>
              </w:rPr>
            </w:pPr>
            <w:r w:rsidRPr="00135868">
              <w:rPr>
                <w:b/>
              </w:rPr>
              <w:t>Infections and Infestations</w:t>
            </w:r>
          </w:p>
        </w:tc>
      </w:tr>
      <w:tr w:rsidR="00135868" w:rsidRPr="00135868" w:rsidTr="00135868">
        <w:tc>
          <w:tcPr>
            <w:tcW w:w="1805" w:type="pct"/>
          </w:tcPr>
          <w:p w:rsidR="00135868" w:rsidRPr="00135868" w:rsidRDefault="00135868" w:rsidP="00135868">
            <w:r w:rsidRPr="00135868">
              <w:t>Urinary tract infection</w:t>
            </w:r>
          </w:p>
        </w:tc>
        <w:tc>
          <w:tcPr>
            <w:tcW w:w="1769" w:type="pct"/>
          </w:tcPr>
          <w:p w:rsidR="00135868" w:rsidRPr="00135868" w:rsidRDefault="00135868" w:rsidP="00135868">
            <w:r w:rsidRPr="00135868">
              <w:t>19</w:t>
            </w:r>
          </w:p>
        </w:tc>
        <w:tc>
          <w:tcPr>
            <w:tcW w:w="1425" w:type="pct"/>
          </w:tcPr>
          <w:p w:rsidR="00135868" w:rsidRPr="00135868" w:rsidRDefault="00135868" w:rsidP="00135868">
            <w:r w:rsidRPr="00135868">
              <w:t>9</w:t>
            </w:r>
          </w:p>
        </w:tc>
      </w:tr>
      <w:tr w:rsidR="00135868" w:rsidRPr="00135868" w:rsidTr="00135868">
        <w:tc>
          <w:tcPr>
            <w:tcW w:w="5000" w:type="pct"/>
            <w:gridSpan w:val="3"/>
          </w:tcPr>
          <w:p w:rsidR="00135868" w:rsidRPr="00135868" w:rsidRDefault="00135868" w:rsidP="00135868">
            <w:pPr>
              <w:rPr>
                <w:b/>
              </w:rPr>
            </w:pPr>
            <w:r w:rsidRPr="00135868">
              <w:rPr>
                <w:b/>
              </w:rPr>
              <w:t>Metabolism and Nutrition Disorders</w:t>
            </w:r>
          </w:p>
        </w:tc>
      </w:tr>
      <w:tr w:rsidR="00135868" w:rsidRPr="00135868" w:rsidTr="00135868">
        <w:tc>
          <w:tcPr>
            <w:tcW w:w="1805" w:type="pct"/>
          </w:tcPr>
          <w:p w:rsidR="00135868" w:rsidRPr="00135868" w:rsidRDefault="00135868" w:rsidP="00135868">
            <w:r w:rsidRPr="00135868">
              <w:t xml:space="preserve">Decreased appetite </w:t>
            </w:r>
          </w:p>
        </w:tc>
        <w:tc>
          <w:tcPr>
            <w:tcW w:w="1769" w:type="pct"/>
          </w:tcPr>
          <w:p w:rsidR="00135868" w:rsidRPr="00135868" w:rsidRDefault="00135868" w:rsidP="00135868">
            <w:r w:rsidRPr="00135868">
              <w:t>22</w:t>
            </w:r>
          </w:p>
        </w:tc>
        <w:tc>
          <w:tcPr>
            <w:tcW w:w="1425" w:type="pct"/>
          </w:tcPr>
          <w:p w:rsidR="00135868" w:rsidRPr="00135868" w:rsidRDefault="00135868" w:rsidP="00135868">
            <w:r w:rsidRPr="00135868">
              <w:t>1.6</w:t>
            </w:r>
          </w:p>
        </w:tc>
      </w:tr>
      <w:tr w:rsidR="00135868" w:rsidRPr="00135868" w:rsidTr="00135868">
        <w:tc>
          <w:tcPr>
            <w:tcW w:w="1805" w:type="pct"/>
          </w:tcPr>
          <w:p w:rsidR="00135868" w:rsidRPr="00135868" w:rsidRDefault="00135868" w:rsidP="00135868">
            <w:r w:rsidRPr="00135868">
              <w:t xml:space="preserve">Hyponatremia </w:t>
            </w:r>
          </w:p>
        </w:tc>
        <w:tc>
          <w:tcPr>
            <w:tcW w:w="1769" w:type="pct"/>
          </w:tcPr>
          <w:p w:rsidR="00135868" w:rsidRPr="00135868" w:rsidRDefault="00135868" w:rsidP="00135868">
            <w:r w:rsidRPr="00135868">
              <w:t>10</w:t>
            </w:r>
          </w:p>
        </w:tc>
        <w:tc>
          <w:tcPr>
            <w:tcW w:w="1425" w:type="pct"/>
          </w:tcPr>
          <w:p w:rsidR="00135868" w:rsidRPr="00135868" w:rsidRDefault="00135868" w:rsidP="00135868">
            <w:r w:rsidRPr="00135868">
              <w:t>4.1</w:t>
            </w:r>
          </w:p>
        </w:tc>
      </w:tr>
      <w:tr w:rsidR="00135868" w:rsidRPr="00135868" w:rsidTr="00135868">
        <w:tc>
          <w:tcPr>
            <w:tcW w:w="5000" w:type="pct"/>
            <w:gridSpan w:val="3"/>
          </w:tcPr>
          <w:p w:rsidR="00135868" w:rsidRPr="00135868" w:rsidRDefault="00135868" w:rsidP="00135868">
            <w:pPr>
              <w:rPr>
                <w:b/>
              </w:rPr>
            </w:pPr>
            <w:r w:rsidRPr="00135868">
              <w:rPr>
                <w:b/>
              </w:rPr>
              <w:t>Musculoskeletal and Connective Tissue Disorders</w:t>
            </w:r>
          </w:p>
        </w:tc>
      </w:tr>
      <w:tr w:rsidR="00135868" w:rsidRPr="00135868" w:rsidTr="00135868">
        <w:tc>
          <w:tcPr>
            <w:tcW w:w="1805" w:type="pct"/>
          </w:tcPr>
          <w:p w:rsidR="00135868" w:rsidRPr="00135868" w:rsidRDefault="00135868" w:rsidP="00135868">
            <w:r w:rsidRPr="00135868">
              <w:t>Musculoskeletal pain</w:t>
            </w:r>
            <w:r w:rsidRPr="00135868">
              <w:rPr>
                <w:vertAlign w:val="superscript"/>
              </w:rPr>
              <w:t>#</w:t>
            </w:r>
          </w:p>
        </w:tc>
        <w:tc>
          <w:tcPr>
            <w:tcW w:w="1769" w:type="pct"/>
          </w:tcPr>
          <w:p w:rsidR="00135868" w:rsidRPr="00135868" w:rsidRDefault="00135868" w:rsidP="00135868">
            <w:r w:rsidRPr="00135868">
              <w:t>24</w:t>
            </w:r>
          </w:p>
        </w:tc>
        <w:tc>
          <w:tcPr>
            <w:tcW w:w="1425" w:type="pct"/>
          </w:tcPr>
          <w:p w:rsidR="00135868" w:rsidRPr="00135868" w:rsidRDefault="00135868" w:rsidP="00135868">
            <w:r w:rsidRPr="00135868">
              <w:t>4.9</w:t>
            </w:r>
          </w:p>
        </w:tc>
      </w:tr>
      <w:tr w:rsidR="00135868" w:rsidRPr="00135868" w:rsidTr="00135868">
        <w:tc>
          <w:tcPr>
            <w:tcW w:w="1805" w:type="pct"/>
          </w:tcPr>
          <w:p w:rsidR="00135868" w:rsidRPr="00135868" w:rsidRDefault="00135868" w:rsidP="00135868">
            <w:r w:rsidRPr="00135868">
              <w:lastRenderedPageBreak/>
              <w:t xml:space="preserve">Arthralgia </w:t>
            </w:r>
          </w:p>
        </w:tc>
        <w:tc>
          <w:tcPr>
            <w:tcW w:w="1769" w:type="pct"/>
          </w:tcPr>
          <w:p w:rsidR="00135868" w:rsidRPr="00135868" w:rsidRDefault="00135868" w:rsidP="00135868">
            <w:r w:rsidRPr="00135868">
              <w:t>10</w:t>
            </w:r>
          </w:p>
        </w:tc>
        <w:tc>
          <w:tcPr>
            <w:tcW w:w="1425" w:type="pct"/>
          </w:tcPr>
          <w:p w:rsidR="00135868" w:rsidRPr="00135868" w:rsidRDefault="00135868" w:rsidP="00135868">
            <w:r w:rsidRPr="00135868">
              <w:t>1.1</w:t>
            </w:r>
          </w:p>
        </w:tc>
      </w:tr>
      <w:tr w:rsidR="00135868" w:rsidRPr="00135868" w:rsidTr="00135868">
        <w:tc>
          <w:tcPr>
            <w:tcW w:w="1805" w:type="pct"/>
          </w:tcPr>
          <w:p w:rsidR="00135868" w:rsidRPr="00135868" w:rsidRDefault="00135868" w:rsidP="00135868">
            <w:r w:rsidRPr="00135868">
              <w:t>Renal and Urinary Disorders</w:t>
            </w:r>
          </w:p>
        </w:tc>
        <w:tc>
          <w:tcPr>
            <w:tcW w:w="1769" w:type="pct"/>
          </w:tcPr>
          <w:p w:rsidR="00135868" w:rsidRPr="00135868" w:rsidRDefault="00135868" w:rsidP="00135868"/>
        </w:tc>
        <w:tc>
          <w:tcPr>
            <w:tcW w:w="1425" w:type="pct"/>
          </w:tcPr>
          <w:p w:rsidR="00135868" w:rsidRPr="00135868" w:rsidRDefault="00135868" w:rsidP="00135868"/>
        </w:tc>
      </w:tr>
      <w:tr w:rsidR="00135868" w:rsidRPr="00135868" w:rsidTr="00135868">
        <w:tc>
          <w:tcPr>
            <w:tcW w:w="1805" w:type="pct"/>
          </w:tcPr>
          <w:p w:rsidR="00135868" w:rsidRPr="00135868" w:rsidRDefault="00135868" w:rsidP="00135868">
            <w:r w:rsidRPr="00135868">
              <w:t>Blood creatinine increased</w:t>
            </w:r>
          </w:p>
        </w:tc>
        <w:tc>
          <w:tcPr>
            <w:tcW w:w="1769" w:type="pct"/>
          </w:tcPr>
          <w:p w:rsidR="00135868" w:rsidRPr="00135868" w:rsidRDefault="00135868" w:rsidP="00135868">
            <w:r w:rsidRPr="00135868">
              <w:t>11</w:t>
            </w:r>
          </w:p>
        </w:tc>
        <w:tc>
          <w:tcPr>
            <w:tcW w:w="1425" w:type="pct"/>
          </w:tcPr>
          <w:p w:rsidR="00135868" w:rsidRPr="00135868" w:rsidRDefault="00135868" w:rsidP="00135868">
            <w:r w:rsidRPr="00135868">
              <w:t>1.1</w:t>
            </w:r>
          </w:p>
        </w:tc>
      </w:tr>
      <w:tr w:rsidR="00135868" w:rsidRPr="00135868" w:rsidTr="00135868">
        <w:tc>
          <w:tcPr>
            <w:tcW w:w="1805" w:type="pct"/>
          </w:tcPr>
          <w:p w:rsidR="00135868" w:rsidRPr="00135868" w:rsidRDefault="00135868" w:rsidP="00135868">
            <w:proofErr w:type="spellStart"/>
            <w:r w:rsidRPr="00135868">
              <w:t>Hematuria</w:t>
            </w:r>
            <w:proofErr w:type="spellEnd"/>
            <w:r w:rsidRPr="00135868">
              <w:t xml:space="preserve"> </w:t>
            </w:r>
          </w:p>
        </w:tc>
        <w:tc>
          <w:tcPr>
            <w:tcW w:w="1769" w:type="pct"/>
          </w:tcPr>
          <w:p w:rsidR="00135868" w:rsidRPr="00135868" w:rsidRDefault="00135868" w:rsidP="00135868">
            <w:r w:rsidRPr="00135868">
              <w:t>13</w:t>
            </w:r>
          </w:p>
        </w:tc>
        <w:tc>
          <w:tcPr>
            <w:tcW w:w="1425" w:type="pct"/>
          </w:tcPr>
          <w:p w:rsidR="00135868" w:rsidRPr="00135868" w:rsidRDefault="00135868" w:rsidP="00135868">
            <w:r w:rsidRPr="00135868">
              <w:t>3.0</w:t>
            </w:r>
          </w:p>
        </w:tc>
      </w:tr>
      <w:tr w:rsidR="00135868" w:rsidRPr="00135868" w:rsidTr="00135868">
        <w:tc>
          <w:tcPr>
            <w:tcW w:w="5000" w:type="pct"/>
            <w:gridSpan w:val="3"/>
          </w:tcPr>
          <w:p w:rsidR="00135868" w:rsidRPr="00135868" w:rsidRDefault="00135868" w:rsidP="00135868">
            <w:pPr>
              <w:rPr>
                <w:b/>
              </w:rPr>
            </w:pPr>
            <w:r w:rsidRPr="00135868">
              <w:rPr>
                <w:b/>
              </w:rPr>
              <w:t>Respiratory, Thoracic, and Mediastinal Disorders</w:t>
            </w:r>
          </w:p>
        </w:tc>
      </w:tr>
      <w:tr w:rsidR="00135868" w:rsidRPr="00135868" w:rsidTr="00135868">
        <w:tc>
          <w:tcPr>
            <w:tcW w:w="1805" w:type="pct"/>
          </w:tcPr>
          <w:p w:rsidR="00135868" w:rsidRPr="00135868" w:rsidRDefault="00135868" w:rsidP="00135868">
            <w:r w:rsidRPr="00135868">
              <w:t xml:space="preserve">Cough </w:t>
            </w:r>
          </w:p>
        </w:tc>
        <w:tc>
          <w:tcPr>
            <w:tcW w:w="1769" w:type="pct"/>
          </w:tcPr>
          <w:p w:rsidR="00135868" w:rsidRPr="00135868" w:rsidRDefault="00135868" w:rsidP="00135868">
            <w:r w:rsidRPr="00135868">
              <w:t>14</w:t>
            </w:r>
          </w:p>
        </w:tc>
        <w:tc>
          <w:tcPr>
            <w:tcW w:w="1425" w:type="pct"/>
          </w:tcPr>
          <w:p w:rsidR="00135868" w:rsidRPr="00135868" w:rsidRDefault="00135868" w:rsidP="00135868">
            <w:r w:rsidRPr="00135868">
              <w:t>0</w:t>
            </w:r>
          </w:p>
        </w:tc>
      </w:tr>
      <w:tr w:rsidR="00135868" w:rsidRPr="00135868" w:rsidTr="00135868">
        <w:tc>
          <w:tcPr>
            <w:tcW w:w="1805" w:type="pct"/>
          </w:tcPr>
          <w:p w:rsidR="00135868" w:rsidRPr="00135868" w:rsidRDefault="00135868" w:rsidP="00135868">
            <w:proofErr w:type="spellStart"/>
            <w:r w:rsidRPr="00135868">
              <w:t>Dyspnea</w:t>
            </w:r>
            <w:proofErr w:type="spellEnd"/>
            <w:r w:rsidRPr="00135868">
              <w:t xml:space="preserve"> </w:t>
            </w:r>
          </w:p>
        </w:tc>
        <w:tc>
          <w:tcPr>
            <w:tcW w:w="1769" w:type="pct"/>
          </w:tcPr>
          <w:p w:rsidR="00135868" w:rsidRPr="00135868" w:rsidRDefault="00135868" w:rsidP="00135868">
            <w:r w:rsidRPr="00135868">
              <w:t>11</w:t>
            </w:r>
          </w:p>
        </w:tc>
        <w:tc>
          <w:tcPr>
            <w:tcW w:w="1425" w:type="pct"/>
          </w:tcPr>
          <w:p w:rsidR="00135868" w:rsidRPr="00135868" w:rsidRDefault="00135868" w:rsidP="00135868">
            <w:r w:rsidRPr="00135868">
              <w:t>0.5</w:t>
            </w:r>
          </w:p>
        </w:tc>
      </w:tr>
      <w:tr w:rsidR="00135868" w:rsidRPr="00135868" w:rsidTr="00135868">
        <w:tc>
          <w:tcPr>
            <w:tcW w:w="5000" w:type="pct"/>
            <w:gridSpan w:val="3"/>
          </w:tcPr>
          <w:p w:rsidR="00135868" w:rsidRPr="00135868" w:rsidRDefault="00135868" w:rsidP="00135868">
            <w:pPr>
              <w:rPr>
                <w:b/>
              </w:rPr>
            </w:pPr>
            <w:r w:rsidRPr="00135868">
              <w:rPr>
                <w:b/>
              </w:rPr>
              <w:t>Skin and Subcutaneous Tissue Disorders</w:t>
            </w:r>
          </w:p>
        </w:tc>
      </w:tr>
      <w:tr w:rsidR="00135868" w:rsidRPr="00135868" w:rsidTr="00135868">
        <w:tc>
          <w:tcPr>
            <w:tcW w:w="1805" w:type="pct"/>
          </w:tcPr>
          <w:p w:rsidR="00135868" w:rsidRPr="00135868" w:rsidRDefault="00135868" w:rsidP="00135868">
            <w:proofErr w:type="spellStart"/>
            <w:r w:rsidRPr="00135868">
              <w:t>Rash</w:t>
            </w:r>
            <w:r w:rsidRPr="00135868">
              <w:rPr>
                <w:vertAlign w:val="superscript"/>
              </w:rPr>
              <w:t>Þ</w:t>
            </w:r>
            <w:proofErr w:type="spellEnd"/>
          </w:p>
        </w:tc>
        <w:tc>
          <w:tcPr>
            <w:tcW w:w="1769" w:type="pct"/>
          </w:tcPr>
          <w:p w:rsidR="00135868" w:rsidRPr="00135868" w:rsidRDefault="00135868" w:rsidP="00135868">
            <w:r w:rsidRPr="00135868">
              <w:t>21</w:t>
            </w:r>
          </w:p>
        </w:tc>
        <w:tc>
          <w:tcPr>
            <w:tcW w:w="1425" w:type="pct"/>
          </w:tcPr>
          <w:p w:rsidR="00135868" w:rsidRPr="00135868" w:rsidRDefault="00135868" w:rsidP="00135868">
            <w:r w:rsidRPr="00135868">
              <w:t>0.5</w:t>
            </w:r>
          </w:p>
        </w:tc>
      </w:tr>
      <w:tr w:rsidR="00135868" w:rsidRPr="00135868" w:rsidTr="00135868">
        <w:tc>
          <w:tcPr>
            <w:tcW w:w="1805" w:type="pct"/>
          </w:tcPr>
          <w:p w:rsidR="00135868" w:rsidRPr="00135868" w:rsidRDefault="00135868" w:rsidP="00135868">
            <w:proofErr w:type="spellStart"/>
            <w:r w:rsidRPr="00135868">
              <w:t>Pruritis</w:t>
            </w:r>
            <w:proofErr w:type="spellEnd"/>
            <w:r w:rsidRPr="00135868">
              <w:t xml:space="preserve"> </w:t>
            </w:r>
          </w:p>
        </w:tc>
        <w:tc>
          <w:tcPr>
            <w:tcW w:w="1769" w:type="pct"/>
          </w:tcPr>
          <w:p w:rsidR="00135868" w:rsidRPr="00135868" w:rsidRDefault="00135868" w:rsidP="00135868">
            <w:r w:rsidRPr="00135868">
              <w:t>19</w:t>
            </w:r>
          </w:p>
        </w:tc>
        <w:tc>
          <w:tcPr>
            <w:tcW w:w="1425" w:type="pct"/>
          </w:tcPr>
          <w:p w:rsidR="00135868" w:rsidRPr="00135868" w:rsidRDefault="00135868" w:rsidP="00135868">
            <w:r w:rsidRPr="00135868">
              <w:t>0.3</w:t>
            </w:r>
          </w:p>
        </w:tc>
      </w:tr>
      <w:tr w:rsidR="00135868" w:rsidRPr="00135868" w:rsidTr="00135868">
        <w:tc>
          <w:tcPr>
            <w:tcW w:w="1805" w:type="pct"/>
          </w:tcPr>
          <w:p w:rsidR="00135868" w:rsidRPr="00135868" w:rsidRDefault="00135868" w:rsidP="00135868">
            <w:proofErr w:type="spellStart"/>
            <w:r w:rsidRPr="00135868">
              <w:t>Edema</w:t>
            </w:r>
            <w:proofErr w:type="spellEnd"/>
            <w:r w:rsidRPr="00135868">
              <w:t xml:space="preserve"> peripheral </w:t>
            </w:r>
          </w:p>
        </w:tc>
        <w:tc>
          <w:tcPr>
            <w:tcW w:w="1769" w:type="pct"/>
          </w:tcPr>
          <w:p w:rsidR="00135868" w:rsidRPr="00135868" w:rsidRDefault="00135868" w:rsidP="00135868">
            <w:r w:rsidRPr="00135868">
              <w:t>14</w:t>
            </w:r>
          </w:p>
        </w:tc>
        <w:tc>
          <w:tcPr>
            <w:tcW w:w="1425" w:type="pct"/>
          </w:tcPr>
          <w:p w:rsidR="00135868" w:rsidRPr="00135868" w:rsidRDefault="00135868" w:rsidP="00135868">
            <w:r w:rsidRPr="00135868">
              <w:t>1.1</w:t>
            </w:r>
          </w:p>
        </w:tc>
      </w:tr>
      <w:tr w:rsidR="00135868" w:rsidRPr="00135868" w:rsidTr="00135868">
        <w:tc>
          <w:tcPr>
            <w:tcW w:w="5000" w:type="pct"/>
            <w:gridSpan w:val="3"/>
          </w:tcPr>
          <w:p w:rsidR="00135868" w:rsidRPr="00135868" w:rsidRDefault="00135868" w:rsidP="00D920A1">
            <w:pPr>
              <w:numPr>
                <w:ilvl w:val="0"/>
                <w:numId w:val="3"/>
              </w:numPr>
              <w:tabs>
                <w:tab w:val="num" w:pos="360"/>
              </w:tabs>
            </w:pPr>
            <w:r w:rsidRPr="00135868">
              <w:rPr>
                <w:vertAlign w:val="superscript"/>
              </w:rPr>
              <w:t>*</w:t>
            </w:r>
            <w:r w:rsidRPr="00135868">
              <w:t xml:space="preserve"> </w:t>
            </w:r>
            <w:r w:rsidRPr="00135868">
              <w:tab/>
              <w:t>Graded per NCI CTCAE v4.0</w:t>
            </w:r>
          </w:p>
          <w:p w:rsidR="00135868" w:rsidRPr="00135868" w:rsidRDefault="00135868" w:rsidP="00D920A1">
            <w:pPr>
              <w:numPr>
                <w:ilvl w:val="0"/>
                <w:numId w:val="3"/>
              </w:numPr>
              <w:tabs>
                <w:tab w:val="num" w:pos="360"/>
              </w:tabs>
            </w:pPr>
            <w:r w:rsidRPr="00135868">
              <w:rPr>
                <w:vertAlign w:val="superscript"/>
              </w:rPr>
              <w:t>†</w:t>
            </w:r>
            <w:r w:rsidRPr="00135868">
              <w:t xml:space="preserve"> </w:t>
            </w:r>
            <w:r w:rsidRPr="00135868">
              <w:tab/>
              <w:t xml:space="preserve">Includes </w:t>
            </w:r>
            <w:proofErr w:type="spellStart"/>
            <w:r w:rsidRPr="00135868">
              <w:t>diarrhea</w:t>
            </w:r>
            <w:proofErr w:type="spellEnd"/>
            <w:r w:rsidRPr="00135868">
              <w:t xml:space="preserve">, colitis, </w:t>
            </w:r>
            <w:proofErr w:type="spellStart"/>
            <w:r w:rsidRPr="00135868">
              <w:t>enterocolitis</w:t>
            </w:r>
            <w:proofErr w:type="spellEnd"/>
            <w:r w:rsidRPr="00135868">
              <w:t>, gastroenteritis, frequent bowel movements</w:t>
            </w:r>
          </w:p>
          <w:p w:rsidR="00135868" w:rsidRPr="00135868" w:rsidRDefault="00135868" w:rsidP="00D920A1">
            <w:pPr>
              <w:numPr>
                <w:ilvl w:val="0"/>
                <w:numId w:val="3"/>
              </w:numPr>
              <w:tabs>
                <w:tab w:val="num" w:pos="360"/>
              </w:tabs>
            </w:pPr>
            <w:r w:rsidRPr="00135868">
              <w:rPr>
                <w:vertAlign w:val="superscript"/>
              </w:rPr>
              <w:t>‡</w:t>
            </w:r>
            <w:r w:rsidRPr="00135868">
              <w:t xml:space="preserve"> </w:t>
            </w:r>
            <w:r w:rsidRPr="00135868">
              <w:tab/>
              <w:t>Includes abdominal pain, pelvic pain, flank pain, abdominal pain lower, tumour pain, bladder pain, hepatic pain, suprapubic pain, abdominal discomfort, abdominal pain upper</w:t>
            </w:r>
          </w:p>
          <w:p w:rsidR="00135868" w:rsidRPr="00135868" w:rsidRDefault="00135868" w:rsidP="00D920A1">
            <w:pPr>
              <w:numPr>
                <w:ilvl w:val="0"/>
                <w:numId w:val="3"/>
              </w:numPr>
              <w:tabs>
                <w:tab w:val="num" w:pos="360"/>
              </w:tabs>
            </w:pPr>
            <w:r w:rsidRPr="00135868">
              <w:rPr>
                <w:vertAlign w:val="superscript"/>
              </w:rPr>
              <w:t xml:space="preserve">§ </w:t>
            </w:r>
            <w:r w:rsidRPr="00135868">
              <w:rPr>
                <w:vertAlign w:val="superscript"/>
              </w:rPr>
              <w:tab/>
            </w:r>
            <w:r w:rsidRPr="00135868">
              <w:t>Includes autoimmune hepatitis, hepatitis, hepatitis toxic, liver injury, transaminases increased, hyperbilirubinemia, blood bilirubin increased, alanine aminotransferase increased, aspartate aminotransferase increased, hepatic enzymes increased, liver function tests increased</w:t>
            </w:r>
          </w:p>
          <w:p w:rsidR="00135868" w:rsidRPr="00135868" w:rsidRDefault="00135868" w:rsidP="00D920A1">
            <w:pPr>
              <w:numPr>
                <w:ilvl w:val="0"/>
                <w:numId w:val="3"/>
              </w:numPr>
              <w:tabs>
                <w:tab w:val="num" w:pos="360"/>
              </w:tabs>
            </w:pPr>
            <w:r w:rsidRPr="00135868">
              <w:rPr>
                <w:vertAlign w:val="superscript"/>
              </w:rPr>
              <w:t>¶</w:t>
            </w:r>
            <w:r w:rsidRPr="00135868">
              <w:t xml:space="preserve"> </w:t>
            </w:r>
            <w:r w:rsidRPr="00135868">
              <w:tab/>
              <w:t>Includes fatigue, asthenia</w:t>
            </w:r>
          </w:p>
          <w:p w:rsidR="00135868" w:rsidRPr="00135868" w:rsidRDefault="00135868" w:rsidP="00D920A1">
            <w:pPr>
              <w:numPr>
                <w:ilvl w:val="0"/>
                <w:numId w:val="3"/>
              </w:numPr>
              <w:tabs>
                <w:tab w:val="num" w:pos="360"/>
              </w:tabs>
            </w:pPr>
            <w:r w:rsidRPr="00135868">
              <w:rPr>
                <w:vertAlign w:val="superscript"/>
              </w:rPr>
              <w:t>#</w:t>
            </w:r>
            <w:r w:rsidRPr="00135868">
              <w:t xml:space="preserve"> </w:t>
            </w:r>
            <w:r w:rsidRPr="00135868">
              <w:tab/>
              <w:t>Includes back pain, bone pain, musculoskeletal chest pain, musculoskeletal pain, myalgia, neck pain, pain in extremity, spinal pain</w:t>
            </w:r>
          </w:p>
          <w:p w:rsidR="00135868" w:rsidRPr="00135868" w:rsidRDefault="00135868" w:rsidP="00D920A1">
            <w:pPr>
              <w:numPr>
                <w:ilvl w:val="0"/>
                <w:numId w:val="3"/>
              </w:numPr>
              <w:tabs>
                <w:tab w:val="num" w:pos="360"/>
              </w:tabs>
            </w:pPr>
            <w:r w:rsidRPr="00135868">
              <w:rPr>
                <w:vertAlign w:val="superscript"/>
              </w:rPr>
              <w:t>Þ</w:t>
            </w:r>
            <w:r w:rsidRPr="00135868">
              <w:t xml:space="preserve"> </w:t>
            </w:r>
            <w:r w:rsidRPr="00135868">
              <w:tab/>
              <w:t xml:space="preserve">Includes dermatitis, dermatitis bullous, eczema, erythema, rash, rash macular, rash </w:t>
            </w:r>
            <w:proofErr w:type="spellStart"/>
            <w:r w:rsidRPr="00135868">
              <w:t>maculo-papular</w:t>
            </w:r>
            <w:proofErr w:type="spellEnd"/>
            <w:r w:rsidRPr="00135868">
              <w:t xml:space="preserve">, rash pruritic, rash pustular, skin reaction, dermatitis </w:t>
            </w:r>
            <w:proofErr w:type="spellStart"/>
            <w:r w:rsidRPr="00135868">
              <w:t>acneform</w:t>
            </w:r>
            <w:proofErr w:type="spellEnd"/>
            <w:r w:rsidRPr="00135868">
              <w:t xml:space="preserve">, seborrheic dermatitis, palmar-plantar </w:t>
            </w:r>
            <w:proofErr w:type="spellStart"/>
            <w:r w:rsidRPr="00135868">
              <w:t>erythrodysesthesia</w:t>
            </w:r>
            <w:proofErr w:type="spellEnd"/>
            <w:r w:rsidRPr="00135868">
              <w:t xml:space="preserve"> syndrome, rash generalized</w:t>
            </w:r>
          </w:p>
        </w:tc>
      </w:tr>
    </w:tbl>
    <w:p w:rsidR="00135868" w:rsidRPr="00135868" w:rsidRDefault="00135868" w:rsidP="00135868"/>
    <w:p w:rsidR="00135868" w:rsidRPr="00135868" w:rsidRDefault="00135868" w:rsidP="00135868">
      <w:pPr>
        <w:rPr>
          <w:i/>
        </w:rPr>
      </w:pPr>
      <w:r w:rsidRPr="00135868">
        <w:rPr>
          <w:i/>
        </w:rPr>
        <w:lastRenderedPageBreak/>
        <w:t>Previously Treated Urothelial Carcinoma</w:t>
      </w:r>
    </w:p>
    <w:p w:rsidR="00135868" w:rsidRPr="00135868" w:rsidRDefault="00135868" w:rsidP="00135868">
      <w:r w:rsidRPr="00135868">
        <w:t xml:space="preserve">The safety of KEYTRUDA for the treatment of patients with locally advanced or metastatic urothelial carcinoma with disease progression following platinum-containing chemotherapy was investigated in Study KEYNOTE-045. KEYNOTE-045 was a </w:t>
      </w:r>
      <w:proofErr w:type="spellStart"/>
      <w:r w:rsidRPr="00135868">
        <w:t>multicenter</w:t>
      </w:r>
      <w:proofErr w:type="spellEnd"/>
      <w:r w:rsidRPr="00135868">
        <w:t xml:space="preserve">, open-label, randomised (1:1), active-controlled trial in which 266 patients received KEYTRUDA 200 mg every 3 weeks or investigator’s choice of chemotherapy (n=255), consisting of paclitaxel (n=84), docetaxel (n=84) or </w:t>
      </w:r>
      <w:proofErr w:type="spellStart"/>
      <w:r w:rsidRPr="00135868">
        <w:t>vinflunine</w:t>
      </w:r>
      <w:proofErr w:type="spellEnd"/>
      <w:r w:rsidRPr="00135868">
        <w:t xml:space="preserve"> (n=87) [see Section 5.1 PHARMACODYNAMIC PROPERTIES, Clinical Trials]. Patients with autoimmune disease or a medical condition that required systemic corticosteroids or other immunosuppressive medications were ineligible. The median duration of exposure was 3.5 months (range: 1 day to 20 months) in patients who received KEYTRUDA and 1.5 months (range: 1 day to 14 months) in patients who received chemotherapy.</w:t>
      </w:r>
    </w:p>
    <w:p w:rsidR="00135868" w:rsidRPr="00135868" w:rsidRDefault="00135868" w:rsidP="00135868">
      <w:r w:rsidRPr="00135868">
        <w:t xml:space="preserve">KEYTRUDA was discontinued due to adverse reactions in 8% of patients. The most common adverse reaction resulting in permanent discontinuation of KEYTRUDA was pneumonitis (1.9%). Adverse reactions leading to interruption of KEYTRUDA occurred in 20% of patients; the most common (≥1%) were urinary tract infection (1.5%), </w:t>
      </w:r>
      <w:proofErr w:type="spellStart"/>
      <w:r w:rsidRPr="00135868">
        <w:t>diarrhea</w:t>
      </w:r>
      <w:proofErr w:type="spellEnd"/>
      <w:r w:rsidRPr="00135868">
        <w:t xml:space="preserve"> (1.5%), and colitis (1.1%). The most common adverse reactions (occurring in at least 20% of patients who received KEYTRUDA) were fatigue, musculoskeletal pain, pruritus, decreased appetite, nausea and rash. Serious adverse reactions occurred in 39% of KEYTRUDA-treated patients. The most frequent serious adverse reactions (≥2%) in KEYTRUDA-treated patients were urinary tract infection, pneumonia, </w:t>
      </w:r>
      <w:proofErr w:type="spellStart"/>
      <w:r w:rsidRPr="00135868">
        <w:t>anemia</w:t>
      </w:r>
      <w:proofErr w:type="spellEnd"/>
      <w:r w:rsidRPr="00135868">
        <w:t>, and pneumonitis.</w:t>
      </w:r>
    </w:p>
    <w:p w:rsidR="00135868" w:rsidRPr="00135868" w:rsidRDefault="00135868" w:rsidP="00135868">
      <w:r w:rsidRPr="00135868">
        <w:t>Table 10 summarizes the incidence of adverse reactions occurring in at least 10% of patients receiving KEYTRUDA. Table 11 summarizes the incidence of laboratory abnormalities that occurred in at least 20% of patients receiving KEYTRUDA.</w:t>
      </w:r>
    </w:p>
    <w:p w:rsidR="00135868" w:rsidRPr="00135868" w:rsidRDefault="00135868" w:rsidP="00891578">
      <w:pPr>
        <w:pStyle w:val="Tabletitle"/>
      </w:pPr>
      <w:r w:rsidRPr="00135868">
        <w:t>Table 10: Adverse Reactions Occurring in ≥10% of Patients Receiving KEYTRUDA in KEYNOTE-045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772"/>
        <w:gridCol w:w="1763"/>
        <w:gridCol w:w="1772"/>
        <w:gridCol w:w="1761"/>
      </w:tblGrid>
      <w:tr w:rsidR="00135868" w:rsidRPr="00135868" w:rsidTr="00135868">
        <w:tc>
          <w:tcPr>
            <w:tcW w:w="1099" w:type="pct"/>
          </w:tcPr>
          <w:p w:rsidR="00135868" w:rsidRPr="00135868" w:rsidRDefault="00135868" w:rsidP="00135868"/>
        </w:tc>
        <w:tc>
          <w:tcPr>
            <w:tcW w:w="1951" w:type="pct"/>
            <w:gridSpan w:val="2"/>
          </w:tcPr>
          <w:p w:rsidR="00135868" w:rsidRPr="00135868" w:rsidRDefault="00135868" w:rsidP="00135868">
            <w:pPr>
              <w:rPr>
                <w:b/>
              </w:rPr>
            </w:pPr>
            <w:r w:rsidRPr="00135868">
              <w:rPr>
                <w:b/>
              </w:rPr>
              <w:t>KEYTRUDA</w:t>
            </w:r>
          </w:p>
          <w:p w:rsidR="00135868" w:rsidRPr="00135868" w:rsidRDefault="00135868" w:rsidP="00135868">
            <w:pPr>
              <w:rPr>
                <w:b/>
              </w:rPr>
            </w:pPr>
            <w:r w:rsidRPr="00135868">
              <w:rPr>
                <w:b/>
              </w:rPr>
              <w:t>200 mg every 3 weeks</w:t>
            </w:r>
          </w:p>
          <w:p w:rsidR="00135868" w:rsidRPr="00135868" w:rsidRDefault="00135868" w:rsidP="00135868">
            <w:pPr>
              <w:rPr>
                <w:b/>
              </w:rPr>
            </w:pPr>
            <w:r w:rsidRPr="00135868">
              <w:rPr>
                <w:b/>
              </w:rPr>
              <w:t>N=266</w:t>
            </w:r>
          </w:p>
        </w:tc>
        <w:tc>
          <w:tcPr>
            <w:tcW w:w="1951" w:type="pct"/>
            <w:gridSpan w:val="2"/>
          </w:tcPr>
          <w:p w:rsidR="00135868" w:rsidRPr="00135868" w:rsidRDefault="00135868" w:rsidP="00135868">
            <w:pPr>
              <w:rPr>
                <w:b/>
              </w:rPr>
            </w:pPr>
            <w:r w:rsidRPr="00135868">
              <w:rPr>
                <w:b/>
              </w:rPr>
              <w:t>Chemotherapy</w:t>
            </w:r>
            <w:r w:rsidRPr="00135868">
              <w:rPr>
                <w:b/>
                <w:vertAlign w:val="superscript"/>
              </w:rPr>
              <w:t>*</w:t>
            </w:r>
          </w:p>
          <w:p w:rsidR="00135868" w:rsidRPr="00135868" w:rsidRDefault="00135868" w:rsidP="00135868">
            <w:pPr>
              <w:rPr>
                <w:b/>
              </w:rPr>
            </w:pPr>
            <w:r w:rsidRPr="00135868">
              <w:rPr>
                <w:b/>
              </w:rPr>
              <w:t>N=255</w:t>
            </w:r>
          </w:p>
        </w:tc>
      </w:tr>
      <w:tr w:rsidR="00135868" w:rsidRPr="00135868" w:rsidTr="00135868">
        <w:tc>
          <w:tcPr>
            <w:tcW w:w="1099" w:type="pct"/>
          </w:tcPr>
          <w:p w:rsidR="00135868" w:rsidRPr="00135868" w:rsidRDefault="00135868" w:rsidP="00135868">
            <w:pPr>
              <w:rPr>
                <w:b/>
              </w:rPr>
            </w:pPr>
            <w:r w:rsidRPr="00135868">
              <w:rPr>
                <w:b/>
              </w:rPr>
              <w:t>Adverse Reaction</w:t>
            </w:r>
          </w:p>
        </w:tc>
        <w:tc>
          <w:tcPr>
            <w:tcW w:w="978" w:type="pct"/>
          </w:tcPr>
          <w:p w:rsidR="00135868" w:rsidRPr="00135868" w:rsidRDefault="00135868" w:rsidP="00135868">
            <w:pPr>
              <w:rPr>
                <w:b/>
              </w:rPr>
            </w:pPr>
            <w:r w:rsidRPr="00135868">
              <w:rPr>
                <w:b/>
              </w:rPr>
              <w:t>All Grades</w:t>
            </w:r>
            <w:r w:rsidRPr="00135868">
              <w:rPr>
                <w:b/>
                <w:vertAlign w:val="superscript"/>
              </w:rPr>
              <w:t>†</w:t>
            </w:r>
          </w:p>
          <w:p w:rsidR="00135868" w:rsidRPr="00135868" w:rsidRDefault="00135868" w:rsidP="00135868">
            <w:pPr>
              <w:rPr>
                <w:b/>
              </w:rPr>
            </w:pPr>
            <w:r w:rsidRPr="00135868">
              <w:rPr>
                <w:b/>
              </w:rPr>
              <w:t>(%)</w:t>
            </w:r>
          </w:p>
        </w:tc>
        <w:tc>
          <w:tcPr>
            <w:tcW w:w="973" w:type="pct"/>
          </w:tcPr>
          <w:p w:rsidR="00135868" w:rsidRPr="00135868" w:rsidRDefault="00135868" w:rsidP="00135868">
            <w:pPr>
              <w:rPr>
                <w:b/>
              </w:rPr>
            </w:pPr>
            <w:r w:rsidRPr="00135868">
              <w:rPr>
                <w:b/>
              </w:rPr>
              <w:t>Grades 3 – 4</w:t>
            </w:r>
          </w:p>
          <w:p w:rsidR="00135868" w:rsidRPr="00135868" w:rsidRDefault="00135868" w:rsidP="00135868">
            <w:pPr>
              <w:rPr>
                <w:b/>
              </w:rPr>
            </w:pPr>
            <w:r w:rsidRPr="00135868">
              <w:rPr>
                <w:b/>
              </w:rPr>
              <w:t>(%)</w:t>
            </w:r>
          </w:p>
        </w:tc>
        <w:tc>
          <w:tcPr>
            <w:tcW w:w="978" w:type="pct"/>
          </w:tcPr>
          <w:p w:rsidR="00135868" w:rsidRPr="00135868" w:rsidRDefault="00135868" w:rsidP="00135868">
            <w:pPr>
              <w:rPr>
                <w:b/>
              </w:rPr>
            </w:pPr>
            <w:r w:rsidRPr="00135868">
              <w:rPr>
                <w:b/>
              </w:rPr>
              <w:t>All Grades</w:t>
            </w:r>
            <w:r w:rsidRPr="00135868">
              <w:rPr>
                <w:b/>
                <w:vertAlign w:val="superscript"/>
              </w:rPr>
              <w:t>†</w:t>
            </w:r>
          </w:p>
          <w:p w:rsidR="00135868" w:rsidRPr="00135868" w:rsidRDefault="00135868" w:rsidP="00135868">
            <w:pPr>
              <w:rPr>
                <w:b/>
              </w:rPr>
            </w:pPr>
            <w:r w:rsidRPr="00135868">
              <w:rPr>
                <w:b/>
              </w:rPr>
              <w:t>(%)</w:t>
            </w:r>
          </w:p>
        </w:tc>
        <w:tc>
          <w:tcPr>
            <w:tcW w:w="973" w:type="pct"/>
          </w:tcPr>
          <w:p w:rsidR="00135868" w:rsidRPr="00135868" w:rsidRDefault="00135868" w:rsidP="00135868">
            <w:pPr>
              <w:rPr>
                <w:b/>
              </w:rPr>
            </w:pPr>
            <w:r w:rsidRPr="00135868">
              <w:rPr>
                <w:b/>
              </w:rPr>
              <w:t>Grades 3 – 4</w:t>
            </w:r>
          </w:p>
          <w:p w:rsidR="00135868" w:rsidRPr="00135868" w:rsidRDefault="00135868" w:rsidP="00135868">
            <w:pPr>
              <w:rPr>
                <w:b/>
              </w:rPr>
            </w:pPr>
            <w:r w:rsidRPr="00135868">
              <w:rPr>
                <w:b/>
              </w:rPr>
              <w:t>(%)</w:t>
            </w:r>
          </w:p>
        </w:tc>
      </w:tr>
      <w:tr w:rsidR="00135868" w:rsidRPr="00135868" w:rsidTr="00135868">
        <w:tc>
          <w:tcPr>
            <w:tcW w:w="5000" w:type="pct"/>
            <w:gridSpan w:val="5"/>
          </w:tcPr>
          <w:p w:rsidR="00135868" w:rsidRPr="00135868" w:rsidRDefault="00135868" w:rsidP="00135868">
            <w:pPr>
              <w:rPr>
                <w:b/>
              </w:rPr>
            </w:pPr>
            <w:r w:rsidRPr="00135868">
              <w:rPr>
                <w:b/>
              </w:rPr>
              <w:t>Gastrointestinal Disorders</w:t>
            </w:r>
          </w:p>
        </w:tc>
      </w:tr>
      <w:tr w:rsidR="00135868" w:rsidRPr="00135868" w:rsidTr="00135868">
        <w:tc>
          <w:tcPr>
            <w:tcW w:w="1099" w:type="pct"/>
          </w:tcPr>
          <w:p w:rsidR="00135868" w:rsidRPr="00135868" w:rsidRDefault="00135868" w:rsidP="00135868">
            <w:r w:rsidRPr="00135868">
              <w:t>Nausea</w:t>
            </w:r>
          </w:p>
        </w:tc>
        <w:tc>
          <w:tcPr>
            <w:tcW w:w="978" w:type="pct"/>
          </w:tcPr>
          <w:p w:rsidR="00135868" w:rsidRPr="00135868" w:rsidRDefault="00135868" w:rsidP="00135868">
            <w:r w:rsidRPr="00135868">
              <w:t>21</w:t>
            </w:r>
          </w:p>
        </w:tc>
        <w:tc>
          <w:tcPr>
            <w:tcW w:w="973" w:type="pct"/>
          </w:tcPr>
          <w:p w:rsidR="00135868" w:rsidRPr="00135868" w:rsidRDefault="00135868" w:rsidP="00135868">
            <w:r w:rsidRPr="00135868">
              <w:t>1.1</w:t>
            </w:r>
          </w:p>
        </w:tc>
        <w:tc>
          <w:tcPr>
            <w:tcW w:w="978" w:type="pct"/>
          </w:tcPr>
          <w:p w:rsidR="00135868" w:rsidRPr="00135868" w:rsidRDefault="00135868" w:rsidP="00135868">
            <w:r w:rsidRPr="00135868">
              <w:t>29</w:t>
            </w:r>
          </w:p>
        </w:tc>
        <w:tc>
          <w:tcPr>
            <w:tcW w:w="973" w:type="pct"/>
          </w:tcPr>
          <w:p w:rsidR="00135868" w:rsidRPr="00135868" w:rsidRDefault="00135868" w:rsidP="00135868">
            <w:r w:rsidRPr="00135868">
              <w:t>1.6</w:t>
            </w:r>
          </w:p>
        </w:tc>
      </w:tr>
      <w:tr w:rsidR="00135868" w:rsidRPr="00135868" w:rsidTr="00135868">
        <w:tc>
          <w:tcPr>
            <w:tcW w:w="1099" w:type="pct"/>
          </w:tcPr>
          <w:p w:rsidR="00135868" w:rsidRPr="00135868" w:rsidRDefault="00135868" w:rsidP="00135868">
            <w:r w:rsidRPr="00135868">
              <w:t>Constipation</w:t>
            </w:r>
          </w:p>
        </w:tc>
        <w:tc>
          <w:tcPr>
            <w:tcW w:w="978" w:type="pct"/>
          </w:tcPr>
          <w:p w:rsidR="00135868" w:rsidRPr="00135868" w:rsidRDefault="00135868" w:rsidP="00135868">
            <w:r w:rsidRPr="00135868">
              <w:t>19</w:t>
            </w:r>
          </w:p>
        </w:tc>
        <w:tc>
          <w:tcPr>
            <w:tcW w:w="973" w:type="pct"/>
          </w:tcPr>
          <w:p w:rsidR="00135868" w:rsidRPr="00135868" w:rsidRDefault="00135868" w:rsidP="00135868">
            <w:r w:rsidRPr="00135868">
              <w:t>1.1</w:t>
            </w:r>
          </w:p>
        </w:tc>
        <w:tc>
          <w:tcPr>
            <w:tcW w:w="978" w:type="pct"/>
          </w:tcPr>
          <w:p w:rsidR="00135868" w:rsidRPr="00135868" w:rsidRDefault="00135868" w:rsidP="00135868">
            <w:r w:rsidRPr="00135868">
              <w:t>32</w:t>
            </w:r>
          </w:p>
        </w:tc>
        <w:tc>
          <w:tcPr>
            <w:tcW w:w="973" w:type="pct"/>
          </w:tcPr>
          <w:p w:rsidR="00135868" w:rsidRPr="00135868" w:rsidRDefault="00135868" w:rsidP="00135868">
            <w:r w:rsidRPr="00135868">
              <w:t>3.1</w:t>
            </w:r>
          </w:p>
        </w:tc>
      </w:tr>
      <w:tr w:rsidR="00135868" w:rsidRPr="00135868" w:rsidTr="00135868">
        <w:tc>
          <w:tcPr>
            <w:tcW w:w="1099" w:type="pct"/>
          </w:tcPr>
          <w:p w:rsidR="00135868" w:rsidRPr="00135868" w:rsidRDefault="00135868" w:rsidP="00135868">
            <w:proofErr w:type="spellStart"/>
            <w:r w:rsidRPr="00135868">
              <w:t>Diarrhea</w:t>
            </w:r>
            <w:proofErr w:type="spellEnd"/>
            <w:r w:rsidRPr="00135868">
              <w:rPr>
                <w:vertAlign w:val="superscript"/>
              </w:rPr>
              <w:t>‡</w:t>
            </w:r>
          </w:p>
        </w:tc>
        <w:tc>
          <w:tcPr>
            <w:tcW w:w="978" w:type="pct"/>
          </w:tcPr>
          <w:p w:rsidR="00135868" w:rsidRPr="00135868" w:rsidRDefault="00135868" w:rsidP="00135868">
            <w:r w:rsidRPr="00135868">
              <w:t>18</w:t>
            </w:r>
          </w:p>
        </w:tc>
        <w:tc>
          <w:tcPr>
            <w:tcW w:w="973" w:type="pct"/>
          </w:tcPr>
          <w:p w:rsidR="00135868" w:rsidRPr="00135868" w:rsidRDefault="00135868" w:rsidP="00135868">
            <w:r w:rsidRPr="00135868">
              <w:t>2.3</w:t>
            </w:r>
          </w:p>
        </w:tc>
        <w:tc>
          <w:tcPr>
            <w:tcW w:w="978" w:type="pct"/>
          </w:tcPr>
          <w:p w:rsidR="00135868" w:rsidRPr="00135868" w:rsidRDefault="00135868" w:rsidP="00135868">
            <w:r w:rsidRPr="00135868">
              <w:t>19</w:t>
            </w:r>
          </w:p>
        </w:tc>
        <w:tc>
          <w:tcPr>
            <w:tcW w:w="973" w:type="pct"/>
          </w:tcPr>
          <w:p w:rsidR="00135868" w:rsidRPr="00135868" w:rsidRDefault="00135868" w:rsidP="00135868">
            <w:r w:rsidRPr="00135868">
              <w:t>1.6</w:t>
            </w:r>
          </w:p>
        </w:tc>
      </w:tr>
      <w:tr w:rsidR="00135868" w:rsidRPr="00135868" w:rsidTr="00135868">
        <w:tc>
          <w:tcPr>
            <w:tcW w:w="1099" w:type="pct"/>
          </w:tcPr>
          <w:p w:rsidR="00135868" w:rsidRPr="00135868" w:rsidRDefault="00135868" w:rsidP="00135868">
            <w:r w:rsidRPr="00135868">
              <w:lastRenderedPageBreak/>
              <w:t>Vomiting</w:t>
            </w:r>
          </w:p>
        </w:tc>
        <w:tc>
          <w:tcPr>
            <w:tcW w:w="978" w:type="pct"/>
          </w:tcPr>
          <w:p w:rsidR="00135868" w:rsidRPr="00135868" w:rsidRDefault="00135868" w:rsidP="00135868">
            <w:r w:rsidRPr="00135868">
              <w:t>15</w:t>
            </w:r>
          </w:p>
        </w:tc>
        <w:tc>
          <w:tcPr>
            <w:tcW w:w="973" w:type="pct"/>
          </w:tcPr>
          <w:p w:rsidR="00135868" w:rsidRPr="00135868" w:rsidRDefault="00135868" w:rsidP="00135868">
            <w:r w:rsidRPr="00135868">
              <w:t>0.4</w:t>
            </w:r>
          </w:p>
        </w:tc>
        <w:tc>
          <w:tcPr>
            <w:tcW w:w="978" w:type="pct"/>
          </w:tcPr>
          <w:p w:rsidR="00135868" w:rsidRPr="00135868" w:rsidRDefault="00135868" w:rsidP="00135868">
            <w:r w:rsidRPr="00135868">
              <w:t>13</w:t>
            </w:r>
          </w:p>
        </w:tc>
        <w:tc>
          <w:tcPr>
            <w:tcW w:w="973" w:type="pct"/>
          </w:tcPr>
          <w:p w:rsidR="00135868" w:rsidRPr="00135868" w:rsidRDefault="00135868" w:rsidP="00135868">
            <w:r w:rsidRPr="00135868">
              <w:t>0.4</w:t>
            </w:r>
          </w:p>
        </w:tc>
      </w:tr>
      <w:tr w:rsidR="00135868" w:rsidRPr="00135868" w:rsidTr="00135868">
        <w:tc>
          <w:tcPr>
            <w:tcW w:w="1099" w:type="pct"/>
          </w:tcPr>
          <w:p w:rsidR="00135868" w:rsidRPr="00135868" w:rsidRDefault="00135868" w:rsidP="00135868">
            <w:r w:rsidRPr="00135868">
              <w:t>Abdominal pain</w:t>
            </w:r>
          </w:p>
        </w:tc>
        <w:tc>
          <w:tcPr>
            <w:tcW w:w="978" w:type="pct"/>
          </w:tcPr>
          <w:p w:rsidR="00135868" w:rsidRPr="00135868" w:rsidRDefault="00135868" w:rsidP="00135868">
            <w:r w:rsidRPr="00135868">
              <w:t>13</w:t>
            </w:r>
          </w:p>
        </w:tc>
        <w:tc>
          <w:tcPr>
            <w:tcW w:w="973" w:type="pct"/>
          </w:tcPr>
          <w:p w:rsidR="00135868" w:rsidRPr="00135868" w:rsidRDefault="00135868" w:rsidP="00135868">
            <w:r w:rsidRPr="00135868">
              <w:t>1.1</w:t>
            </w:r>
          </w:p>
        </w:tc>
        <w:tc>
          <w:tcPr>
            <w:tcW w:w="978" w:type="pct"/>
          </w:tcPr>
          <w:p w:rsidR="00135868" w:rsidRPr="00135868" w:rsidRDefault="00135868" w:rsidP="00135868">
            <w:r w:rsidRPr="00135868">
              <w:t>13</w:t>
            </w:r>
          </w:p>
        </w:tc>
        <w:tc>
          <w:tcPr>
            <w:tcW w:w="973" w:type="pct"/>
          </w:tcPr>
          <w:p w:rsidR="00135868" w:rsidRPr="00135868" w:rsidRDefault="00135868" w:rsidP="00135868">
            <w:r w:rsidRPr="00135868">
              <w:t>2.7</w:t>
            </w:r>
          </w:p>
        </w:tc>
      </w:tr>
      <w:tr w:rsidR="00135868" w:rsidRPr="00135868" w:rsidTr="00135868">
        <w:tc>
          <w:tcPr>
            <w:tcW w:w="5000" w:type="pct"/>
            <w:gridSpan w:val="5"/>
          </w:tcPr>
          <w:p w:rsidR="00135868" w:rsidRPr="00135868" w:rsidRDefault="00135868" w:rsidP="00135868">
            <w:pPr>
              <w:rPr>
                <w:b/>
              </w:rPr>
            </w:pPr>
            <w:r w:rsidRPr="00135868">
              <w:rPr>
                <w:b/>
              </w:rPr>
              <w:t>General Disorders and Administration Site Conditions</w:t>
            </w:r>
          </w:p>
        </w:tc>
      </w:tr>
      <w:tr w:rsidR="00135868" w:rsidRPr="00135868" w:rsidTr="00135868">
        <w:tc>
          <w:tcPr>
            <w:tcW w:w="1099" w:type="pct"/>
          </w:tcPr>
          <w:p w:rsidR="00135868" w:rsidRPr="00135868" w:rsidRDefault="00135868" w:rsidP="00135868">
            <w:r w:rsidRPr="00135868">
              <w:t>Fatigue</w:t>
            </w:r>
            <w:r w:rsidRPr="00135868">
              <w:rPr>
                <w:vertAlign w:val="superscript"/>
              </w:rPr>
              <w:t>§</w:t>
            </w:r>
          </w:p>
        </w:tc>
        <w:tc>
          <w:tcPr>
            <w:tcW w:w="978" w:type="pct"/>
          </w:tcPr>
          <w:p w:rsidR="00135868" w:rsidRPr="00135868" w:rsidRDefault="00135868" w:rsidP="00135868">
            <w:r w:rsidRPr="00135868">
              <w:t>38</w:t>
            </w:r>
          </w:p>
        </w:tc>
        <w:tc>
          <w:tcPr>
            <w:tcW w:w="973" w:type="pct"/>
          </w:tcPr>
          <w:p w:rsidR="00135868" w:rsidRPr="00135868" w:rsidRDefault="00135868" w:rsidP="00135868">
            <w:r w:rsidRPr="00135868">
              <w:t>4.5</w:t>
            </w:r>
          </w:p>
        </w:tc>
        <w:tc>
          <w:tcPr>
            <w:tcW w:w="978" w:type="pct"/>
          </w:tcPr>
          <w:p w:rsidR="00135868" w:rsidRPr="00135868" w:rsidRDefault="00135868" w:rsidP="00135868">
            <w:r w:rsidRPr="00135868">
              <w:t>56</w:t>
            </w:r>
          </w:p>
        </w:tc>
        <w:tc>
          <w:tcPr>
            <w:tcW w:w="973" w:type="pct"/>
          </w:tcPr>
          <w:p w:rsidR="00135868" w:rsidRPr="00135868" w:rsidRDefault="00135868" w:rsidP="00135868">
            <w:r w:rsidRPr="00135868">
              <w:t>11</w:t>
            </w:r>
          </w:p>
        </w:tc>
      </w:tr>
      <w:tr w:rsidR="00135868" w:rsidRPr="00135868" w:rsidTr="00135868">
        <w:tc>
          <w:tcPr>
            <w:tcW w:w="1099" w:type="pct"/>
          </w:tcPr>
          <w:p w:rsidR="00135868" w:rsidRPr="00135868" w:rsidRDefault="00135868" w:rsidP="00135868">
            <w:r w:rsidRPr="00135868">
              <w:t>Pyrexia</w:t>
            </w:r>
          </w:p>
        </w:tc>
        <w:tc>
          <w:tcPr>
            <w:tcW w:w="978" w:type="pct"/>
          </w:tcPr>
          <w:p w:rsidR="00135868" w:rsidRPr="00135868" w:rsidRDefault="00135868" w:rsidP="00135868">
            <w:pPr>
              <w:rPr>
                <w:b/>
              </w:rPr>
            </w:pPr>
            <w:r w:rsidRPr="00135868">
              <w:t>14</w:t>
            </w:r>
          </w:p>
        </w:tc>
        <w:tc>
          <w:tcPr>
            <w:tcW w:w="973" w:type="pct"/>
          </w:tcPr>
          <w:p w:rsidR="00135868" w:rsidRPr="00135868" w:rsidRDefault="00135868" w:rsidP="00135868">
            <w:r w:rsidRPr="00135868">
              <w:t>0.8</w:t>
            </w:r>
          </w:p>
        </w:tc>
        <w:tc>
          <w:tcPr>
            <w:tcW w:w="978" w:type="pct"/>
          </w:tcPr>
          <w:p w:rsidR="00135868" w:rsidRPr="00135868" w:rsidRDefault="00135868" w:rsidP="00135868">
            <w:r w:rsidRPr="00135868">
              <w:t>13</w:t>
            </w:r>
          </w:p>
        </w:tc>
        <w:tc>
          <w:tcPr>
            <w:tcW w:w="973" w:type="pct"/>
          </w:tcPr>
          <w:p w:rsidR="00135868" w:rsidRPr="00135868" w:rsidRDefault="00135868" w:rsidP="00135868">
            <w:r w:rsidRPr="00135868">
              <w:t>1.2</w:t>
            </w:r>
          </w:p>
        </w:tc>
      </w:tr>
      <w:tr w:rsidR="00135868" w:rsidRPr="00135868" w:rsidTr="00135868">
        <w:tc>
          <w:tcPr>
            <w:tcW w:w="5000" w:type="pct"/>
            <w:gridSpan w:val="5"/>
          </w:tcPr>
          <w:p w:rsidR="00135868" w:rsidRPr="00135868" w:rsidRDefault="00135868" w:rsidP="00135868">
            <w:pPr>
              <w:rPr>
                <w:b/>
              </w:rPr>
            </w:pPr>
            <w:r w:rsidRPr="00135868">
              <w:rPr>
                <w:b/>
              </w:rPr>
              <w:t>Infections and Infestations</w:t>
            </w:r>
          </w:p>
        </w:tc>
      </w:tr>
      <w:tr w:rsidR="00135868" w:rsidRPr="00135868" w:rsidTr="00135868">
        <w:tc>
          <w:tcPr>
            <w:tcW w:w="1099" w:type="pct"/>
          </w:tcPr>
          <w:p w:rsidR="00135868" w:rsidRPr="00135868" w:rsidRDefault="00135868" w:rsidP="00135868">
            <w:r w:rsidRPr="00135868">
              <w:t xml:space="preserve">Urinary tract infection </w:t>
            </w:r>
          </w:p>
        </w:tc>
        <w:tc>
          <w:tcPr>
            <w:tcW w:w="978" w:type="pct"/>
          </w:tcPr>
          <w:p w:rsidR="00135868" w:rsidRPr="00135868" w:rsidRDefault="00135868" w:rsidP="00135868">
            <w:pPr>
              <w:rPr>
                <w:b/>
              </w:rPr>
            </w:pPr>
            <w:r w:rsidRPr="00135868">
              <w:t>15</w:t>
            </w:r>
          </w:p>
        </w:tc>
        <w:tc>
          <w:tcPr>
            <w:tcW w:w="973" w:type="pct"/>
          </w:tcPr>
          <w:p w:rsidR="00135868" w:rsidRPr="00135868" w:rsidRDefault="00135868" w:rsidP="00135868">
            <w:r w:rsidRPr="00135868">
              <w:t>4.9</w:t>
            </w:r>
          </w:p>
        </w:tc>
        <w:tc>
          <w:tcPr>
            <w:tcW w:w="978" w:type="pct"/>
          </w:tcPr>
          <w:p w:rsidR="00135868" w:rsidRPr="00135868" w:rsidRDefault="00135868" w:rsidP="00135868">
            <w:r w:rsidRPr="00135868">
              <w:t>14</w:t>
            </w:r>
          </w:p>
        </w:tc>
        <w:tc>
          <w:tcPr>
            <w:tcW w:w="973" w:type="pct"/>
          </w:tcPr>
          <w:p w:rsidR="00135868" w:rsidRPr="00135868" w:rsidRDefault="00135868" w:rsidP="00135868">
            <w:r w:rsidRPr="00135868">
              <w:t>4.3</w:t>
            </w:r>
          </w:p>
        </w:tc>
      </w:tr>
      <w:tr w:rsidR="00135868" w:rsidRPr="00135868" w:rsidTr="00135868">
        <w:tc>
          <w:tcPr>
            <w:tcW w:w="5000" w:type="pct"/>
            <w:gridSpan w:val="5"/>
          </w:tcPr>
          <w:p w:rsidR="00135868" w:rsidRPr="00135868" w:rsidRDefault="00135868" w:rsidP="00135868">
            <w:pPr>
              <w:rPr>
                <w:b/>
              </w:rPr>
            </w:pPr>
            <w:r w:rsidRPr="00135868">
              <w:rPr>
                <w:b/>
              </w:rPr>
              <w:t>Metabolism and Nutrition Disorders</w:t>
            </w:r>
          </w:p>
        </w:tc>
      </w:tr>
      <w:tr w:rsidR="00135868" w:rsidRPr="00135868" w:rsidTr="00135868">
        <w:tc>
          <w:tcPr>
            <w:tcW w:w="1099" w:type="pct"/>
          </w:tcPr>
          <w:p w:rsidR="00135868" w:rsidRPr="00135868" w:rsidRDefault="00135868" w:rsidP="00135868">
            <w:r w:rsidRPr="00135868">
              <w:t>Decreased appetite</w:t>
            </w:r>
          </w:p>
        </w:tc>
        <w:tc>
          <w:tcPr>
            <w:tcW w:w="978" w:type="pct"/>
          </w:tcPr>
          <w:p w:rsidR="00135868" w:rsidRPr="00135868" w:rsidRDefault="00135868" w:rsidP="00135868">
            <w:pPr>
              <w:rPr>
                <w:b/>
              </w:rPr>
            </w:pPr>
            <w:r w:rsidRPr="00135868">
              <w:t>21</w:t>
            </w:r>
          </w:p>
        </w:tc>
        <w:tc>
          <w:tcPr>
            <w:tcW w:w="973" w:type="pct"/>
          </w:tcPr>
          <w:p w:rsidR="00135868" w:rsidRPr="00135868" w:rsidRDefault="00135868" w:rsidP="00135868">
            <w:r w:rsidRPr="00135868">
              <w:t>3.8</w:t>
            </w:r>
          </w:p>
        </w:tc>
        <w:tc>
          <w:tcPr>
            <w:tcW w:w="978" w:type="pct"/>
          </w:tcPr>
          <w:p w:rsidR="00135868" w:rsidRPr="00135868" w:rsidRDefault="00135868" w:rsidP="00135868">
            <w:r w:rsidRPr="00135868">
              <w:t>21</w:t>
            </w:r>
          </w:p>
        </w:tc>
        <w:tc>
          <w:tcPr>
            <w:tcW w:w="973" w:type="pct"/>
          </w:tcPr>
          <w:p w:rsidR="00135868" w:rsidRPr="00135868" w:rsidRDefault="00135868" w:rsidP="00135868">
            <w:r w:rsidRPr="00135868">
              <w:t>1.2</w:t>
            </w:r>
          </w:p>
        </w:tc>
      </w:tr>
      <w:tr w:rsidR="00135868" w:rsidRPr="00135868" w:rsidTr="00135868">
        <w:tc>
          <w:tcPr>
            <w:tcW w:w="5000" w:type="pct"/>
            <w:gridSpan w:val="5"/>
          </w:tcPr>
          <w:p w:rsidR="00135868" w:rsidRPr="00135868" w:rsidRDefault="00135868" w:rsidP="00135868">
            <w:pPr>
              <w:rPr>
                <w:b/>
              </w:rPr>
            </w:pPr>
            <w:r w:rsidRPr="00135868">
              <w:rPr>
                <w:b/>
              </w:rPr>
              <w:t>Musculoskeletal and Connective Tissue Disorders</w:t>
            </w:r>
          </w:p>
        </w:tc>
      </w:tr>
      <w:tr w:rsidR="00135868" w:rsidRPr="00135868" w:rsidTr="00135868">
        <w:tc>
          <w:tcPr>
            <w:tcW w:w="1099" w:type="pct"/>
          </w:tcPr>
          <w:p w:rsidR="00135868" w:rsidRPr="00135868" w:rsidRDefault="00135868" w:rsidP="00135868">
            <w:r w:rsidRPr="00135868">
              <w:t>Musculoskeletal pain</w:t>
            </w:r>
            <w:r w:rsidRPr="00135868">
              <w:rPr>
                <w:vertAlign w:val="superscript"/>
              </w:rPr>
              <w:t>¶</w:t>
            </w:r>
          </w:p>
        </w:tc>
        <w:tc>
          <w:tcPr>
            <w:tcW w:w="978" w:type="pct"/>
          </w:tcPr>
          <w:p w:rsidR="00135868" w:rsidRPr="00135868" w:rsidRDefault="00135868" w:rsidP="00135868">
            <w:r w:rsidRPr="00135868">
              <w:t>32</w:t>
            </w:r>
          </w:p>
        </w:tc>
        <w:tc>
          <w:tcPr>
            <w:tcW w:w="973" w:type="pct"/>
          </w:tcPr>
          <w:p w:rsidR="00135868" w:rsidRPr="00135868" w:rsidRDefault="00135868" w:rsidP="00135868">
            <w:pPr>
              <w:rPr>
                <w:b/>
              </w:rPr>
            </w:pPr>
            <w:r w:rsidRPr="00135868">
              <w:t>3.0</w:t>
            </w:r>
          </w:p>
        </w:tc>
        <w:tc>
          <w:tcPr>
            <w:tcW w:w="978" w:type="pct"/>
          </w:tcPr>
          <w:p w:rsidR="00135868" w:rsidRPr="00135868" w:rsidRDefault="00135868" w:rsidP="00135868">
            <w:pPr>
              <w:rPr>
                <w:b/>
              </w:rPr>
            </w:pPr>
            <w:r w:rsidRPr="00135868">
              <w:t>27</w:t>
            </w:r>
          </w:p>
        </w:tc>
        <w:tc>
          <w:tcPr>
            <w:tcW w:w="973" w:type="pct"/>
          </w:tcPr>
          <w:p w:rsidR="00135868" w:rsidRPr="00135868" w:rsidRDefault="00135868" w:rsidP="00135868">
            <w:pPr>
              <w:rPr>
                <w:b/>
              </w:rPr>
            </w:pPr>
            <w:r w:rsidRPr="00135868">
              <w:t>2.0</w:t>
            </w:r>
          </w:p>
        </w:tc>
      </w:tr>
      <w:tr w:rsidR="00135868" w:rsidRPr="00135868" w:rsidTr="00135868">
        <w:tc>
          <w:tcPr>
            <w:tcW w:w="5000" w:type="pct"/>
            <w:gridSpan w:val="5"/>
          </w:tcPr>
          <w:p w:rsidR="00135868" w:rsidRPr="00135868" w:rsidRDefault="00135868" w:rsidP="00135868">
            <w:pPr>
              <w:rPr>
                <w:b/>
              </w:rPr>
            </w:pPr>
            <w:r w:rsidRPr="00135868">
              <w:rPr>
                <w:b/>
              </w:rPr>
              <w:t>Renal and Urinary Disorders</w:t>
            </w:r>
          </w:p>
        </w:tc>
      </w:tr>
      <w:tr w:rsidR="00135868" w:rsidRPr="00135868" w:rsidTr="00135868">
        <w:tc>
          <w:tcPr>
            <w:tcW w:w="1099" w:type="pct"/>
          </w:tcPr>
          <w:p w:rsidR="00135868" w:rsidRPr="00135868" w:rsidRDefault="00135868" w:rsidP="00135868">
            <w:proofErr w:type="spellStart"/>
            <w:r w:rsidRPr="00135868">
              <w:t>Hematuria</w:t>
            </w:r>
            <w:proofErr w:type="spellEnd"/>
            <w:r w:rsidRPr="00135868">
              <w:rPr>
                <w:vertAlign w:val="superscript"/>
              </w:rPr>
              <w:t>#</w:t>
            </w:r>
          </w:p>
        </w:tc>
        <w:tc>
          <w:tcPr>
            <w:tcW w:w="978" w:type="pct"/>
          </w:tcPr>
          <w:p w:rsidR="00135868" w:rsidRPr="00135868" w:rsidRDefault="00135868" w:rsidP="00135868">
            <w:pPr>
              <w:rPr>
                <w:b/>
              </w:rPr>
            </w:pPr>
            <w:r w:rsidRPr="00135868">
              <w:t>12</w:t>
            </w:r>
          </w:p>
        </w:tc>
        <w:tc>
          <w:tcPr>
            <w:tcW w:w="973" w:type="pct"/>
          </w:tcPr>
          <w:p w:rsidR="00135868" w:rsidRPr="00135868" w:rsidRDefault="00135868" w:rsidP="00135868">
            <w:pPr>
              <w:rPr>
                <w:b/>
              </w:rPr>
            </w:pPr>
            <w:r w:rsidRPr="00135868">
              <w:t>2.3</w:t>
            </w:r>
          </w:p>
        </w:tc>
        <w:tc>
          <w:tcPr>
            <w:tcW w:w="978" w:type="pct"/>
          </w:tcPr>
          <w:p w:rsidR="00135868" w:rsidRPr="00135868" w:rsidRDefault="00135868" w:rsidP="00135868">
            <w:r w:rsidRPr="00135868">
              <w:t>8</w:t>
            </w:r>
          </w:p>
        </w:tc>
        <w:tc>
          <w:tcPr>
            <w:tcW w:w="973" w:type="pct"/>
          </w:tcPr>
          <w:p w:rsidR="00135868" w:rsidRPr="00135868" w:rsidRDefault="00135868" w:rsidP="00135868">
            <w:pPr>
              <w:rPr>
                <w:b/>
              </w:rPr>
            </w:pPr>
            <w:r w:rsidRPr="00135868">
              <w:t>1.6</w:t>
            </w:r>
          </w:p>
        </w:tc>
      </w:tr>
      <w:tr w:rsidR="00135868" w:rsidRPr="00135868" w:rsidTr="00135868">
        <w:tc>
          <w:tcPr>
            <w:tcW w:w="5000" w:type="pct"/>
            <w:gridSpan w:val="5"/>
          </w:tcPr>
          <w:p w:rsidR="00135868" w:rsidRPr="00135868" w:rsidRDefault="00135868" w:rsidP="00135868">
            <w:pPr>
              <w:rPr>
                <w:b/>
              </w:rPr>
            </w:pPr>
            <w:r w:rsidRPr="00135868">
              <w:rPr>
                <w:b/>
              </w:rPr>
              <w:t>Respiratory, Thoracic and Mediastinal Disorders</w:t>
            </w:r>
          </w:p>
        </w:tc>
      </w:tr>
      <w:tr w:rsidR="00135868" w:rsidRPr="00135868" w:rsidTr="00135868">
        <w:tc>
          <w:tcPr>
            <w:tcW w:w="1099" w:type="pct"/>
          </w:tcPr>
          <w:p w:rsidR="00135868" w:rsidRPr="00135868" w:rsidRDefault="00135868" w:rsidP="00135868">
            <w:proofErr w:type="spellStart"/>
            <w:r w:rsidRPr="00135868">
              <w:t>Cough</w:t>
            </w:r>
            <w:r w:rsidRPr="00135868">
              <w:rPr>
                <w:vertAlign w:val="superscript"/>
              </w:rPr>
              <w:t>Þ</w:t>
            </w:r>
            <w:proofErr w:type="spellEnd"/>
          </w:p>
        </w:tc>
        <w:tc>
          <w:tcPr>
            <w:tcW w:w="978" w:type="pct"/>
          </w:tcPr>
          <w:p w:rsidR="00135868" w:rsidRPr="00135868" w:rsidRDefault="00135868" w:rsidP="00135868">
            <w:pPr>
              <w:rPr>
                <w:b/>
              </w:rPr>
            </w:pPr>
            <w:r w:rsidRPr="00135868">
              <w:t>15</w:t>
            </w:r>
          </w:p>
        </w:tc>
        <w:tc>
          <w:tcPr>
            <w:tcW w:w="973" w:type="pct"/>
          </w:tcPr>
          <w:p w:rsidR="00135868" w:rsidRPr="00135868" w:rsidRDefault="00135868" w:rsidP="00135868">
            <w:pPr>
              <w:rPr>
                <w:b/>
              </w:rPr>
            </w:pPr>
            <w:r w:rsidRPr="00135868">
              <w:t>0.4</w:t>
            </w:r>
          </w:p>
        </w:tc>
        <w:tc>
          <w:tcPr>
            <w:tcW w:w="978" w:type="pct"/>
          </w:tcPr>
          <w:p w:rsidR="00135868" w:rsidRPr="00135868" w:rsidRDefault="00135868" w:rsidP="00135868">
            <w:r w:rsidRPr="00135868">
              <w:t>9</w:t>
            </w:r>
          </w:p>
        </w:tc>
        <w:tc>
          <w:tcPr>
            <w:tcW w:w="973" w:type="pct"/>
          </w:tcPr>
          <w:p w:rsidR="00135868" w:rsidRPr="00135868" w:rsidRDefault="00135868" w:rsidP="00135868">
            <w:r w:rsidRPr="00135868">
              <w:t>0</w:t>
            </w:r>
          </w:p>
        </w:tc>
      </w:tr>
      <w:tr w:rsidR="00135868" w:rsidRPr="00135868" w:rsidTr="00135868">
        <w:tc>
          <w:tcPr>
            <w:tcW w:w="1099" w:type="pct"/>
          </w:tcPr>
          <w:p w:rsidR="00135868" w:rsidRPr="00135868" w:rsidRDefault="00135868" w:rsidP="00135868">
            <w:proofErr w:type="spellStart"/>
            <w:r w:rsidRPr="00135868">
              <w:t>Dyspnea</w:t>
            </w:r>
            <w:r w:rsidRPr="00135868">
              <w:rPr>
                <w:vertAlign w:val="superscript"/>
              </w:rPr>
              <w:t>ß</w:t>
            </w:r>
            <w:proofErr w:type="spellEnd"/>
          </w:p>
        </w:tc>
        <w:tc>
          <w:tcPr>
            <w:tcW w:w="978" w:type="pct"/>
          </w:tcPr>
          <w:p w:rsidR="00135868" w:rsidRPr="00135868" w:rsidRDefault="00135868" w:rsidP="00135868">
            <w:r w:rsidRPr="00135868">
              <w:t>14</w:t>
            </w:r>
          </w:p>
        </w:tc>
        <w:tc>
          <w:tcPr>
            <w:tcW w:w="973" w:type="pct"/>
          </w:tcPr>
          <w:p w:rsidR="00135868" w:rsidRPr="00135868" w:rsidRDefault="00135868" w:rsidP="00135868">
            <w:pPr>
              <w:rPr>
                <w:b/>
              </w:rPr>
            </w:pPr>
            <w:r w:rsidRPr="00135868">
              <w:t>1.9</w:t>
            </w:r>
          </w:p>
        </w:tc>
        <w:tc>
          <w:tcPr>
            <w:tcW w:w="978" w:type="pct"/>
          </w:tcPr>
          <w:p w:rsidR="00135868" w:rsidRPr="00135868" w:rsidRDefault="00135868" w:rsidP="00135868">
            <w:pPr>
              <w:rPr>
                <w:b/>
              </w:rPr>
            </w:pPr>
            <w:r w:rsidRPr="00135868">
              <w:t>12</w:t>
            </w:r>
          </w:p>
        </w:tc>
        <w:tc>
          <w:tcPr>
            <w:tcW w:w="973" w:type="pct"/>
          </w:tcPr>
          <w:p w:rsidR="00135868" w:rsidRPr="00135868" w:rsidRDefault="00135868" w:rsidP="00135868">
            <w:pPr>
              <w:rPr>
                <w:b/>
              </w:rPr>
            </w:pPr>
            <w:r w:rsidRPr="00135868">
              <w:t>1.2</w:t>
            </w:r>
          </w:p>
        </w:tc>
      </w:tr>
      <w:tr w:rsidR="00135868" w:rsidRPr="00135868" w:rsidTr="00135868">
        <w:tc>
          <w:tcPr>
            <w:tcW w:w="5000" w:type="pct"/>
            <w:gridSpan w:val="5"/>
          </w:tcPr>
          <w:p w:rsidR="00135868" w:rsidRPr="00135868" w:rsidRDefault="00135868" w:rsidP="00135868">
            <w:pPr>
              <w:rPr>
                <w:b/>
              </w:rPr>
            </w:pPr>
            <w:r w:rsidRPr="00135868">
              <w:rPr>
                <w:b/>
              </w:rPr>
              <w:t>Skin and Subcutaneous Tissue Disorders</w:t>
            </w:r>
          </w:p>
        </w:tc>
      </w:tr>
      <w:tr w:rsidR="00135868" w:rsidRPr="00135868" w:rsidTr="00135868">
        <w:tc>
          <w:tcPr>
            <w:tcW w:w="1099" w:type="pct"/>
          </w:tcPr>
          <w:p w:rsidR="00135868" w:rsidRPr="00135868" w:rsidRDefault="00135868" w:rsidP="00135868">
            <w:r w:rsidRPr="00135868">
              <w:t xml:space="preserve">Pruritus </w:t>
            </w:r>
          </w:p>
        </w:tc>
        <w:tc>
          <w:tcPr>
            <w:tcW w:w="978" w:type="pct"/>
          </w:tcPr>
          <w:p w:rsidR="00135868" w:rsidRPr="00135868" w:rsidRDefault="00135868" w:rsidP="00135868">
            <w:pPr>
              <w:rPr>
                <w:b/>
              </w:rPr>
            </w:pPr>
            <w:r w:rsidRPr="00135868">
              <w:t>23</w:t>
            </w:r>
          </w:p>
        </w:tc>
        <w:tc>
          <w:tcPr>
            <w:tcW w:w="973" w:type="pct"/>
          </w:tcPr>
          <w:p w:rsidR="00135868" w:rsidRPr="00135868" w:rsidRDefault="00135868" w:rsidP="00135868">
            <w:r w:rsidRPr="00135868">
              <w:t>0</w:t>
            </w:r>
          </w:p>
        </w:tc>
        <w:tc>
          <w:tcPr>
            <w:tcW w:w="978" w:type="pct"/>
          </w:tcPr>
          <w:p w:rsidR="00135868" w:rsidRPr="00135868" w:rsidRDefault="00135868" w:rsidP="00135868">
            <w:r w:rsidRPr="00135868">
              <w:t>6</w:t>
            </w:r>
          </w:p>
        </w:tc>
        <w:tc>
          <w:tcPr>
            <w:tcW w:w="973" w:type="pct"/>
          </w:tcPr>
          <w:p w:rsidR="00135868" w:rsidRPr="00135868" w:rsidRDefault="00135868" w:rsidP="00135868">
            <w:pPr>
              <w:rPr>
                <w:b/>
              </w:rPr>
            </w:pPr>
            <w:r w:rsidRPr="00135868">
              <w:t>0.4</w:t>
            </w:r>
          </w:p>
        </w:tc>
      </w:tr>
      <w:tr w:rsidR="00135868" w:rsidRPr="00135868" w:rsidTr="00135868">
        <w:tc>
          <w:tcPr>
            <w:tcW w:w="1099" w:type="pct"/>
          </w:tcPr>
          <w:p w:rsidR="00135868" w:rsidRPr="00135868" w:rsidRDefault="00135868" w:rsidP="00135868">
            <w:proofErr w:type="spellStart"/>
            <w:r w:rsidRPr="00135868">
              <w:lastRenderedPageBreak/>
              <w:t>Rash</w:t>
            </w:r>
            <w:r w:rsidRPr="00135868">
              <w:rPr>
                <w:vertAlign w:val="superscript"/>
              </w:rPr>
              <w:t>à</w:t>
            </w:r>
            <w:proofErr w:type="spellEnd"/>
          </w:p>
        </w:tc>
        <w:tc>
          <w:tcPr>
            <w:tcW w:w="978" w:type="pct"/>
          </w:tcPr>
          <w:p w:rsidR="00135868" w:rsidRPr="00135868" w:rsidRDefault="00135868" w:rsidP="00135868">
            <w:pPr>
              <w:rPr>
                <w:b/>
              </w:rPr>
            </w:pPr>
            <w:r w:rsidRPr="00135868">
              <w:t>20</w:t>
            </w:r>
          </w:p>
        </w:tc>
        <w:tc>
          <w:tcPr>
            <w:tcW w:w="973" w:type="pct"/>
          </w:tcPr>
          <w:p w:rsidR="00135868" w:rsidRPr="00135868" w:rsidRDefault="00135868" w:rsidP="00135868">
            <w:pPr>
              <w:rPr>
                <w:b/>
              </w:rPr>
            </w:pPr>
            <w:r w:rsidRPr="00135868">
              <w:t>0.4</w:t>
            </w:r>
          </w:p>
        </w:tc>
        <w:tc>
          <w:tcPr>
            <w:tcW w:w="978" w:type="pct"/>
          </w:tcPr>
          <w:p w:rsidR="00135868" w:rsidRPr="00135868" w:rsidRDefault="00135868" w:rsidP="00135868">
            <w:pPr>
              <w:rPr>
                <w:b/>
              </w:rPr>
            </w:pPr>
            <w:r w:rsidRPr="00135868">
              <w:t>13</w:t>
            </w:r>
          </w:p>
        </w:tc>
        <w:tc>
          <w:tcPr>
            <w:tcW w:w="973" w:type="pct"/>
          </w:tcPr>
          <w:p w:rsidR="00135868" w:rsidRPr="00135868" w:rsidRDefault="00135868" w:rsidP="00135868">
            <w:r w:rsidRPr="00135868">
              <w:t>0.4</w:t>
            </w:r>
          </w:p>
        </w:tc>
      </w:tr>
      <w:tr w:rsidR="00135868" w:rsidRPr="00135868" w:rsidTr="00135868">
        <w:tc>
          <w:tcPr>
            <w:tcW w:w="5000" w:type="pct"/>
            <w:gridSpan w:val="5"/>
          </w:tcPr>
          <w:p w:rsidR="00135868" w:rsidRPr="00135868" w:rsidRDefault="00135868" w:rsidP="00D920A1">
            <w:pPr>
              <w:numPr>
                <w:ilvl w:val="0"/>
                <w:numId w:val="3"/>
              </w:numPr>
              <w:tabs>
                <w:tab w:val="num" w:pos="360"/>
              </w:tabs>
            </w:pPr>
            <w:r w:rsidRPr="00135868">
              <w:rPr>
                <w:vertAlign w:val="superscript"/>
              </w:rPr>
              <w:t>*</w:t>
            </w:r>
            <w:r w:rsidRPr="00135868">
              <w:t xml:space="preserve"> </w:t>
            </w:r>
            <w:r w:rsidRPr="00135868">
              <w:tab/>
              <w:t xml:space="preserve">Chemotherapy: paclitaxel, docetaxel, or </w:t>
            </w:r>
            <w:proofErr w:type="spellStart"/>
            <w:r w:rsidRPr="00135868">
              <w:t>vinflunine</w:t>
            </w:r>
            <w:proofErr w:type="spellEnd"/>
          </w:p>
          <w:p w:rsidR="00135868" w:rsidRPr="00135868" w:rsidRDefault="00135868" w:rsidP="00D920A1">
            <w:pPr>
              <w:numPr>
                <w:ilvl w:val="0"/>
                <w:numId w:val="3"/>
              </w:numPr>
              <w:tabs>
                <w:tab w:val="num" w:pos="360"/>
              </w:tabs>
            </w:pPr>
            <w:r w:rsidRPr="00135868">
              <w:rPr>
                <w:vertAlign w:val="superscript"/>
              </w:rPr>
              <w:t>†</w:t>
            </w:r>
            <w:r w:rsidRPr="00135868">
              <w:t xml:space="preserve"> </w:t>
            </w:r>
            <w:r w:rsidRPr="00135868">
              <w:tab/>
              <w:t>Graded per NCI CTCAE v4.0</w:t>
            </w:r>
          </w:p>
          <w:p w:rsidR="00135868" w:rsidRPr="00135868" w:rsidRDefault="00135868" w:rsidP="00D920A1">
            <w:pPr>
              <w:numPr>
                <w:ilvl w:val="0"/>
                <w:numId w:val="3"/>
              </w:numPr>
              <w:tabs>
                <w:tab w:val="num" w:pos="360"/>
              </w:tabs>
            </w:pPr>
            <w:r w:rsidRPr="00135868">
              <w:rPr>
                <w:vertAlign w:val="superscript"/>
              </w:rPr>
              <w:t>‡</w:t>
            </w:r>
            <w:r w:rsidRPr="00135868">
              <w:t xml:space="preserve"> </w:t>
            </w:r>
            <w:r w:rsidRPr="00135868">
              <w:tab/>
              <w:t xml:space="preserve">Includes </w:t>
            </w:r>
            <w:proofErr w:type="spellStart"/>
            <w:r w:rsidRPr="00135868">
              <w:t>diarrhea</w:t>
            </w:r>
            <w:proofErr w:type="spellEnd"/>
            <w:r w:rsidRPr="00135868">
              <w:t xml:space="preserve">, gastroenteritis, colitis, </w:t>
            </w:r>
            <w:proofErr w:type="spellStart"/>
            <w:r w:rsidRPr="00135868">
              <w:t>enterocolitis</w:t>
            </w:r>
            <w:proofErr w:type="spellEnd"/>
          </w:p>
          <w:p w:rsidR="00135868" w:rsidRPr="00135868" w:rsidRDefault="00135868" w:rsidP="00D920A1">
            <w:pPr>
              <w:numPr>
                <w:ilvl w:val="0"/>
                <w:numId w:val="3"/>
              </w:numPr>
              <w:tabs>
                <w:tab w:val="num" w:pos="360"/>
              </w:tabs>
            </w:pPr>
            <w:r w:rsidRPr="00135868">
              <w:rPr>
                <w:vertAlign w:val="superscript"/>
              </w:rPr>
              <w:t>§</w:t>
            </w:r>
            <w:r w:rsidRPr="00135868">
              <w:t xml:space="preserve"> </w:t>
            </w:r>
            <w:r w:rsidRPr="00135868">
              <w:tab/>
              <w:t>Includes asthenia, fatigue, malaise lethargy</w:t>
            </w:r>
          </w:p>
          <w:p w:rsidR="00135868" w:rsidRPr="00135868" w:rsidRDefault="00135868" w:rsidP="00D920A1">
            <w:pPr>
              <w:numPr>
                <w:ilvl w:val="0"/>
                <w:numId w:val="3"/>
              </w:numPr>
              <w:tabs>
                <w:tab w:val="num" w:pos="360"/>
              </w:tabs>
            </w:pPr>
            <w:r w:rsidRPr="00135868">
              <w:rPr>
                <w:vertAlign w:val="superscript"/>
              </w:rPr>
              <w:t>¶</w:t>
            </w:r>
            <w:r w:rsidRPr="00135868">
              <w:t xml:space="preserve"> </w:t>
            </w:r>
            <w:r w:rsidRPr="00135868">
              <w:tab/>
              <w:t>Includes back pain, myalgia, bone pain, musculoskeletal pain, pain in extremity, musculoskeletal chest pain, musculoskeletal discomfort, neck pain</w:t>
            </w:r>
          </w:p>
          <w:p w:rsidR="00135868" w:rsidRPr="00135868" w:rsidRDefault="00135868" w:rsidP="00D920A1">
            <w:pPr>
              <w:numPr>
                <w:ilvl w:val="0"/>
                <w:numId w:val="3"/>
              </w:numPr>
              <w:tabs>
                <w:tab w:val="num" w:pos="360"/>
              </w:tabs>
            </w:pPr>
            <w:r w:rsidRPr="00135868">
              <w:rPr>
                <w:vertAlign w:val="superscript"/>
              </w:rPr>
              <w:t>#</w:t>
            </w:r>
            <w:r w:rsidRPr="00135868">
              <w:t xml:space="preserve"> </w:t>
            </w:r>
            <w:r w:rsidRPr="00135868">
              <w:tab/>
              <w:t xml:space="preserve">Includes blood urine present, </w:t>
            </w:r>
            <w:proofErr w:type="spellStart"/>
            <w:r w:rsidRPr="00135868">
              <w:t>hematuria</w:t>
            </w:r>
            <w:proofErr w:type="spellEnd"/>
            <w:r w:rsidRPr="00135868">
              <w:t xml:space="preserve">, </w:t>
            </w:r>
            <w:proofErr w:type="spellStart"/>
            <w:r w:rsidRPr="00135868">
              <w:t>chromaturia</w:t>
            </w:r>
            <w:proofErr w:type="spellEnd"/>
          </w:p>
          <w:p w:rsidR="00135868" w:rsidRPr="00135868" w:rsidRDefault="00135868" w:rsidP="00D920A1">
            <w:pPr>
              <w:numPr>
                <w:ilvl w:val="0"/>
                <w:numId w:val="3"/>
              </w:numPr>
              <w:tabs>
                <w:tab w:val="num" w:pos="360"/>
              </w:tabs>
            </w:pPr>
            <w:r w:rsidRPr="00135868">
              <w:rPr>
                <w:vertAlign w:val="superscript"/>
              </w:rPr>
              <w:t>Þ</w:t>
            </w:r>
            <w:r w:rsidRPr="00135868">
              <w:t xml:space="preserve"> </w:t>
            </w:r>
            <w:r w:rsidRPr="00135868">
              <w:tab/>
              <w:t>Includes cough, productive cough</w:t>
            </w:r>
          </w:p>
          <w:p w:rsidR="00135868" w:rsidRPr="00135868" w:rsidRDefault="00135868" w:rsidP="00D920A1">
            <w:pPr>
              <w:numPr>
                <w:ilvl w:val="0"/>
                <w:numId w:val="3"/>
              </w:numPr>
              <w:tabs>
                <w:tab w:val="num" w:pos="360"/>
              </w:tabs>
            </w:pPr>
            <w:r w:rsidRPr="00135868">
              <w:rPr>
                <w:vertAlign w:val="superscript"/>
              </w:rPr>
              <w:t>ß</w:t>
            </w:r>
            <w:r w:rsidRPr="00135868">
              <w:t xml:space="preserve"> </w:t>
            </w:r>
            <w:r w:rsidRPr="00135868">
              <w:tab/>
              <w:t xml:space="preserve">Includes </w:t>
            </w:r>
            <w:proofErr w:type="spellStart"/>
            <w:r w:rsidRPr="00135868">
              <w:t>dyspnea</w:t>
            </w:r>
            <w:proofErr w:type="spellEnd"/>
            <w:r w:rsidRPr="00135868">
              <w:t xml:space="preserve">, </w:t>
            </w:r>
            <w:proofErr w:type="spellStart"/>
            <w:r w:rsidRPr="00135868">
              <w:t>dyspnea</w:t>
            </w:r>
            <w:proofErr w:type="spellEnd"/>
            <w:r w:rsidRPr="00135868">
              <w:t xml:space="preserve"> exertional, wheezing</w:t>
            </w:r>
          </w:p>
          <w:p w:rsidR="00135868" w:rsidRPr="00135868" w:rsidRDefault="00135868" w:rsidP="00D920A1">
            <w:pPr>
              <w:numPr>
                <w:ilvl w:val="0"/>
                <w:numId w:val="3"/>
              </w:numPr>
              <w:tabs>
                <w:tab w:val="num" w:pos="360"/>
              </w:tabs>
            </w:pPr>
            <w:r w:rsidRPr="00135868">
              <w:rPr>
                <w:vertAlign w:val="superscript"/>
              </w:rPr>
              <w:t>à</w:t>
            </w:r>
            <w:r w:rsidRPr="00135868">
              <w:t xml:space="preserve"> </w:t>
            </w:r>
            <w:r w:rsidRPr="00135868">
              <w:tab/>
              <w:t xml:space="preserve">Includes rash </w:t>
            </w:r>
            <w:proofErr w:type="spellStart"/>
            <w:r w:rsidRPr="00135868">
              <w:t>maculo-papular</w:t>
            </w:r>
            <w:proofErr w:type="spellEnd"/>
            <w:r w:rsidRPr="00135868">
              <w:t xml:space="preserve">, rash genital rash, rash erythematous, rash </w:t>
            </w:r>
            <w:proofErr w:type="spellStart"/>
            <w:r w:rsidRPr="00135868">
              <w:t>papular</w:t>
            </w:r>
            <w:proofErr w:type="spellEnd"/>
            <w:r w:rsidRPr="00135868">
              <w:t xml:space="preserve">, rash pruritic, rash pustular, erythema, drug eruption, eczema, eczema </w:t>
            </w:r>
            <w:proofErr w:type="spellStart"/>
            <w:r w:rsidRPr="00135868">
              <w:t>asteatotic</w:t>
            </w:r>
            <w:proofErr w:type="spellEnd"/>
            <w:r w:rsidRPr="00135868">
              <w:t xml:space="preserve">, dermatitis contact, dermatitis acneiform, dermatitis, </w:t>
            </w:r>
            <w:proofErr w:type="spellStart"/>
            <w:r w:rsidRPr="00135868">
              <w:t>seborrhoeic</w:t>
            </w:r>
            <w:proofErr w:type="spellEnd"/>
            <w:r w:rsidRPr="00135868">
              <w:t xml:space="preserve"> keratosis, lichenoid keratosis</w:t>
            </w:r>
          </w:p>
        </w:tc>
      </w:tr>
    </w:tbl>
    <w:p w:rsidR="00135868" w:rsidRPr="00135868" w:rsidRDefault="00135868" w:rsidP="00891578">
      <w:pPr>
        <w:pStyle w:val="Tabletitle"/>
      </w:pPr>
      <w:r w:rsidRPr="00135868">
        <w:t>Table 11: Laboratory Abnormalities Worsened from Baseline Occurring in ≥20% of Urothelial Carcinoma Patients Receiving KEYTRUDA in KEYNOTE-045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6"/>
        <w:gridCol w:w="1345"/>
        <w:gridCol w:w="1332"/>
        <w:gridCol w:w="1345"/>
        <w:gridCol w:w="1332"/>
      </w:tblGrid>
      <w:tr w:rsidR="00135868" w:rsidRPr="00135868" w:rsidTr="00135868">
        <w:tc>
          <w:tcPr>
            <w:tcW w:w="4142" w:type="dxa"/>
          </w:tcPr>
          <w:p w:rsidR="00135868" w:rsidRPr="00135868" w:rsidRDefault="00135868" w:rsidP="00135868"/>
        </w:tc>
        <w:tc>
          <w:tcPr>
            <w:tcW w:w="2856" w:type="dxa"/>
            <w:gridSpan w:val="2"/>
          </w:tcPr>
          <w:p w:rsidR="00135868" w:rsidRPr="00135868" w:rsidRDefault="00135868" w:rsidP="00135868">
            <w:pPr>
              <w:rPr>
                <w:b/>
              </w:rPr>
            </w:pPr>
            <w:r w:rsidRPr="00135868">
              <w:rPr>
                <w:b/>
              </w:rPr>
              <w:t>KEYTRUDA</w:t>
            </w:r>
          </w:p>
          <w:p w:rsidR="00135868" w:rsidRPr="00135868" w:rsidRDefault="00135868" w:rsidP="00135868">
            <w:pPr>
              <w:rPr>
                <w:b/>
              </w:rPr>
            </w:pPr>
            <w:r w:rsidRPr="00135868">
              <w:rPr>
                <w:b/>
              </w:rPr>
              <w:t>200 mg every 3 weeks</w:t>
            </w:r>
          </w:p>
        </w:tc>
        <w:tc>
          <w:tcPr>
            <w:tcW w:w="2857" w:type="dxa"/>
            <w:gridSpan w:val="2"/>
          </w:tcPr>
          <w:p w:rsidR="00135868" w:rsidRPr="00135868" w:rsidRDefault="00135868" w:rsidP="00135868">
            <w:pPr>
              <w:rPr>
                <w:b/>
              </w:rPr>
            </w:pPr>
            <w:r w:rsidRPr="00135868">
              <w:rPr>
                <w:b/>
              </w:rPr>
              <w:t>Chemotherapy</w:t>
            </w:r>
          </w:p>
        </w:tc>
      </w:tr>
      <w:tr w:rsidR="00135868" w:rsidRPr="00135868" w:rsidTr="00135868">
        <w:tc>
          <w:tcPr>
            <w:tcW w:w="4142" w:type="dxa"/>
          </w:tcPr>
          <w:p w:rsidR="00135868" w:rsidRPr="00135868" w:rsidRDefault="00135868" w:rsidP="00135868">
            <w:pPr>
              <w:rPr>
                <w:b/>
              </w:rPr>
            </w:pPr>
            <w:r w:rsidRPr="00135868">
              <w:rPr>
                <w:b/>
              </w:rPr>
              <w:t>Laboratory Test*</w:t>
            </w:r>
          </w:p>
        </w:tc>
        <w:tc>
          <w:tcPr>
            <w:tcW w:w="1428" w:type="dxa"/>
          </w:tcPr>
          <w:p w:rsidR="00135868" w:rsidRPr="00135868" w:rsidRDefault="00135868" w:rsidP="00135868">
            <w:pPr>
              <w:rPr>
                <w:b/>
              </w:rPr>
            </w:pPr>
            <w:r w:rsidRPr="00135868">
              <w:rPr>
                <w:b/>
              </w:rPr>
              <w:t>All Grades</w:t>
            </w:r>
            <w:r w:rsidRPr="00135868">
              <w:rPr>
                <w:b/>
                <w:vertAlign w:val="superscript"/>
              </w:rPr>
              <w:t>†</w:t>
            </w:r>
          </w:p>
          <w:p w:rsidR="00135868" w:rsidRPr="00135868" w:rsidRDefault="00135868" w:rsidP="00135868">
            <w:pPr>
              <w:rPr>
                <w:b/>
              </w:rPr>
            </w:pPr>
            <w:r w:rsidRPr="00135868">
              <w:rPr>
                <w:b/>
              </w:rPr>
              <w:t>(%)</w:t>
            </w:r>
          </w:p>
        </w:tc>
        <w:tc>
          <w:tcPr>
            <w:tcW w:w="1428" w:type="dxa"/>
          </w:tcPr>
          <w:p w:rsidR="00135868" w:rsidRPr="00135868" w:rsidRDefault="00135868" w:rsidP="00135868">
            <w:pPr>
              <w:rPr>
                <w:b/>
              </w:rPr>
            </w:pPr>
            <w:r w:rsidRPr="00135868">
              <w:rPr>
                <w:b/>
              </w:rPr>
              <w:t>Grades 3 – 4</w:t>
            </w:r>
          </w:p>
          <w:p w:rsidR="00135868" w:rsidRPr="00135868" w:rsidRDefault="00135868" w:rsidP="00135868">
            <w:pPr>
              <w:rPr>
                <w:b/>
              </w:rPr>
            </w:pPr>
            <w:r w:rsidRPr="00135868">
              <w:rPr>
                <w:b/>
              </w:rPr>
              <w:t>(%)</w:t>
            </w:r>
          </w:p>
        </w:tc>
        <w:tc>
          <w:tcPr>
            <w:tcW w:w="1428" w:type="dxa"/>
          </w:tcPr>
          <w:p w:rsidR="00135868" w:rsidRPr="00135868" w:rsidRDefault="00135868" w:rsidP="00135868">
            <w:pPr>
              <w:rPr>
                <w:b/>
              </w:rPr>
            </w:pPr>
            <w:r w:rsidRPr="00135868">
              <w:rPr>
                <w:b/>
              </w:rPr>
              <w:t>All Grades</w:t>
            </w:r>
            <w:r w:rsidRPr="00135868">
              <w:rPr>
                <w:b/>
                <w:vertAlign w:val="superscript"/>
              </w:rPr>
              <w:t>†</w:t>
            </w:r>
          </w:p>
          <w:p w:rsidR="00135868" w:rsidRPr="00135868" w:rsidRDefault="00135868" w:rsidP="00135868">
            <w:pPr>
              <w:rPr>
                <w:b/>
              </w:rPr>
            </w:pPr>
            <w:r w:rsidRPr="00135868">
              <w:rPr>
                <w:b/>
              </w:rPr>
              <w:t>(%)</w:t>
            </w:r>
          </w:p>
        </w:tc>
        <w:tc>
          <w:tcPr>
            <w:tcW w:w="1429" w:type="dxa"/>
          </w:tcPr>
          <w:p w:rsidR="00135868" w:rsidRPr="00135868" w:rsidRDefault="00135868" w:rsidP="00135868">
            <w:pPr>
              <w:rPr>
                <w:b/>
              </w:rPr>
            </w:pPr>
            <w:r w:rsidRPr="00135868">
              <w:rPr>
                <w:b/>
              </w:rPr>
              <w:t>Grades 3 – 4</w:t>
            </w:r>
          </w:p>
          <w:p w:rsidR="00135868" w:rsidRPr="00135868" w:rsidRDefault="00135868" w:rsidP="00135868">
            <w:pPr>
              <w:rPr>
                <w:b/>
              </w:rPr>
            </w:pPr>
            <w:r w:rsidRPr="00135868">
              <w:rPr>
                <w:b/>
              </w:rPr>
              <w:t>(%)</w:t>
            </w:r>
          </w:p>
        </w:tc>
      </w:tr>
      <w:tr w:rsidR="00135868" w:rsidRPr="00135868" w:rsidTr="00135868">
        <w:tc>
          <w:tcPr>
            <w:tcW w:w="9855" w:type="dxa"/>
            <w:gridSpan w:val="5"/>
          </w:tcPr>
          <w:p w:rsidR="00135868" w:rsidRPr="00135868" w:rsidRDefault="00135868" w:rsidP="00135868">
            <w:pPr>
              <w:rPr>
                <w:b/>
              </w:rPr>
            </w:pPr>
            <w:r w:rsidRPr="00135868">
              <w:rPr>
                <w:b/>
              </w:rPr>
              <w:t>Chemistry</w:t>
            </w:r>
          </w:p>
        </w:tc>
      </w:tr>
      <w:tr w:rsidR="00135868" w:rsidRPr="00135868" w:rsidTr="00135868">
        <w:tc>
          <w:tcPr>
            <w:tcW w:w="4142" w:type="dxa"/>
          </w:tcPr>
          <w:p w:rsidR="00135868" w:rsidRPr="00135868" w:rsidRDefault="00135868" w:rsidP="00135868">
            <w:r w:rsidRPr="00135868">
              <w:t xml:space="preserve">Glucose increased </w:t>
            </w:r>
          </w:p>
        </w:tc>
        <w:tc>
          <w:tcPr>
            <w:tcW w:w="1428" w:type="dxa"/>
          </w:tcPr>
          <w:p w:rsidR="00135868" w:rsidRPr="00135868" w:rsidRDefault="00135868" w:rsidP="00135868">
            <w:r w:rsidRPr="00135868">
              <w:t>52</w:t>
            </w:r>
          </w:p>
        </w:tc>
        <w:tc>
          <w:tcPr>
            <w:tcW w:w="1428" w:type="dxa"/>
          </w:tcPr>
          <w:p w:rsidR="00135868" w:rsidRPr="00135868" w:rsidRDefault="00135868" w:rsidP="00135868">
            <w:r w:rsidRPr="00135868">
              <w:t>8</w:t>
            </w:r>
          </w:p>
        </w:tc>
        <w:tc>
          <w:tcPr>
            <w:tcW w:w="1428" w:type="dxa"/>
          </w:tcPr>
          <w:p w:rsidR="00135868" w:rsidRPr="00135868" w:rsidRDefault="00135868" w:rsidP="00135868">
            <w:r w:rsidRPr="00135868">
              <w:t>60</w:t>
            </w:r>
          </w:p>
        </w:tc>
        <w:tc>
          <w:tcPr>
            <w:tcW w:w="1429" w:type="dxa"/>
          </w:tcPr>
          <w:p w:rsidR="00135868" w:rsidRPr="00135868" w:rsidRDefault="00135868" w:rsidP="00135868">
            <w:r w:rsidRPr="00135868">
              <w:t>7</w:t>
            </w:r>
          </w:p>
        </w:tc>
      </w:tr>
      <w:tr w:rsidR="00135868" w:rsidRPr="00135868" w:rsidTr="00135868">
        <w:tc>
          <w:tcPr>
            <w:tcW w:w="4142" w:type="dxa"/>
          </w:tcPr>
          <w:p w:rsidR="00135868" w:rsidRPr="00135868" w:rsidRDefault="00135868" w:rsidP="00135868">
            <w:proofErr w:type="spellStart"/>
            <w:r w:rsidRPr="00135868">
              <w:t>Hemoglobin</w:t>
            </w:r>
            <w:proofErr w:type="spellEnd"/>
            <w:r w:rsidRPr="00135868">
              <w:t xml:space="preserve"> decreased </w:t>
            </w:r>
          </w:p>
        </w:tc>
        <w:tc>
          <w:tcPr>
            <w:tcW w:w="1428" w:type="dxa"/>
          </w:tcPr>
          <w:p w:rsidR="00135868" w:rsidRPr="00135868" w:rsidRDefault="00135868" w:rsidP="00135868">
            <w:r w:rsidRPr="00135868">
              <w:t>52</w:t>
            </w:r>
          </w:p>
        </w:tc>
        <w:tc>
          <w:tcPr>
            <w:tcW w:w="1428" w:type="dxa"/>
          </w:tcPr>
          <w:p w:rsidR="00135868" w:rsidRPr="00135868" w:rsidRDefault="00135868" w:rsidP="00135868">
            <w:r w:rsidRPr="00135868">
              <w:t>13</w:t>
            </w:r>
          </w:p>
        </w:tc>
        <w:tc>
          <w:tcPr>
            <w:tcW w:w="1428" w:type="dxa"/>
          </w:tcPr>
          <w:p w:rsidR="00135868" w:rsidRPr="00135868" w:rsidRDefault="00135868" w:rsidP="00135868">
            <w:r w:rsidRPr="00135868">
              <w:t>68</w:t>
            </w:r>
          </w:p>
        </w:tc>
        <w:tc>
          <w:tcPr>
            <w:tcW w:w="1429" w:type="dxa"/>
          </w:tcPr>
          <w:p w:rsidR="00135868" w:rsidRPr="00135868" w:rsidRDefault="00135868" w:rsidP="00135868">
            <w:r w:rsidRPr="00135868">
              <w:t>18</w:t>
            </w:r>
          </w:p>
        </w:tc>
      </w:tr>
      <w:tr w:rsidR="00135868" w:rsidRPr="00135868" w:rsidTr="00135868">
        <w:tc>
          <w:tcPr>
            <w:tcW w:w="4142" w:type="dxa"/>
          </w:tcPr>
          <w:p w:rsidR="00135868" w:rsidRPr="00135868" w:rsidRDefault="00135868" w:rsidP="00135868">
            <w:r w:rsidRPr="00135868">
              <w:t xml:space="preserve">Lymphocytes decreased </w:t>
            </w:r>
          </w:p>
        </w:tc>
        <w:tc>
          <w:tcPr>
            <w:tcW w:w="1428" w:type="dxa"/>
          </w:tcPr>
          <w:p w:rsidR="00135868" w:rsidRPr="00135868" w:rsidRDefault="00135868" w:rsidP="00135868">
            <w:r w:rsidRPr="00135868">
              <w:t>45</w:t>
            </w:r>
          </w:p>
        </w:tc>
        <w:tc>
          <w:tcPr>
            <w:tcW w:w="1428" w:type="dxa"/>
          </w:tcPr>
          <w:p w:rsidR="00135868" w:rsidRPr="00135868" w:rsidRDefault="00135868" w:rsidP="00135868">
            <w:r w:rsidRPr="00135868">
              <w:t>15</w:t>
            </w:r>
          </w:p>
        </w:tc>
        <w:tc>
          <w:tcPr>
            <w:tcW w:w="1428" w:type="dxa"/>
          </w:tcPr>
          <w:p w:rsidR="00135868" w:rsidRPr="00135868" w:rsidRDefault="00135868" w:rsidP="00135868">
            <w:r w:rsidRPr="00135868">
              <w:t>53</w:t>
            </w:r>
          </w:p>
        </w:tc>
        <w:tc>
          <w:tcPr>
            <w:tcW w:w="1429" w:type="dxa"/>
          </w:tcPr>
          <w:p w:rsidR="00135868" w:rsidRPr="00135868" w:rsidRDefault="00135868" w:rsidP="00135868">
            <w:r w:rsidRPr="00135868">
              <w:t>25</w:t>
            </w:r>
          </w:p>
        </w:tc>
      </w:tr>
      <w:tr w:rsidR="00135868" w:rsidRPr="00135868" w:rsidTr="00135868">
        <w:tc>
          <w:tcPr>
            <w:tcW w:w="4142" w:type="dxa"/>
          </w:tcPr>
          <w:p w:rsidR="00135868" w:rsidRPr="00135868" w:rsidRDefault="00135868" w:rsidP="00135868">
            <w:r w:rsidRPr="00135868">
              <w:t xml:space="preserve">Albumin decreased </w:t>
            </w:r>
          </w:p>
        </w:tc>
        <w:tc>
          <w:tcPr>
            <w:tcW w:w="1428" w:type="dxa"/>
          </w:tcPr>
          <w:p w:rsidR="00135868" w:rsidRPr="00135868" w:rsidRDefault="00135868" w:rsidP="00135868">
            <w:r w:rsidRPr="00135868">
              <w:t>43</w:t>
            </w:r>
          </w:p>
        </w:tc>
        <w:tc>
          <w:tcPr>
            <w:tcW w:w="1428" w:type="dxa"/>
          </w:tcPr>
          <w:p w:rsidR="00135868" w:rsidRPr="00135868" w:rsidRDefault="00135868" w:rsidP="00135868">
            <w:r w:rsidRPr="00135868">
              <w:t>1.7</w:t>
            </w:r>
          </w:p>
        </w:tc>
        <w:tc>
          <w:tcPr>
            <w:tcW w:w="1428" w:type="dxa"/>
          </w:tcPr>
          <w:p w:rsidR="00135868" w:rsidRPr="00135868" w:rsidRDefault="00135868" w:rsidP="00135868">
            <w:r w:rsidRPr="00135868">
              <w:t>50</w:t>
            </w:r>
          </w:p>
        </w:tc>
        <w:tc>
          <w:tcPr>
            <w:tcW w:w="1429" w:type="dxa"/>
          </w:tcPr>
          <w:p w:rsidR="00135868" w:rsidRPr="00135868" w:rsidRDefault="00135868" w:rsidP="00135868">
            <w:r w:rsidRPr="00135868">
              <w:t>3.8</w:t>
            </w:r>
          </w:p>
        </w:tc>
      </w:tr>
      <w:tr w:rsidR="00135868" w:rsidRPr="00135868" w:rsidTr="00135868">
        <w:tc>
          <w:tcPr>
            <w:tcW w:w="4142" w:type="dxa"/>
          </w:tcPr>
          <w:p w:rsidR="00135868" w:rsidRPr="00135868" w:rsidRDefault="00135868" w:rsidP="00135868">
            <w:r w:rsidRPr="00135868">
              <w:lastRenderedPageBreak/>
              <w:t xml:space="preserve">Sodium decreased </w:t>
            </w:r>
          </w:p>
        </w:tc>
        <w:tc>
          <w:tcPr>
            <w:tcW w:w="1428" w:type="dxa"/>
          </w:tcPr>
          <w:p w:rsidR="00135868" w:rsidRPr="00135868" w:rsidRDefault="00135868" w:rsidP="00135868">
            <w:r w:rsidRPr="00135868">
              <w:t>37</w:t>
            </w:r>
          </w:p>
        </w:tc>
        <w:tc>
          <w:tcPr>
            <w:tcW w:w="1428" w:type="dxa"/>
          </w:tcPr>
          <w:p w:rsidR="00135868" w:rsidRPr="00135868" w:rsidRDefault="00135868" w:rsidP="00135868">
            <w:r w:rsidRPr="00135868">
              <w:t>9</w:t>
            </w:r>
          </w:p>
        </w:tc>
        <w:tc>
          <w:tcPr>
            <w:tcW w:w="1428" w:type="dxa"/>
          </w:tcPr>
          <w:p w:rsidR="00135868" w:rsidRPr="00135868" w:rsidRDefault="00135868" w:rsidP="00135868">
            <w:r w:rsidRPr="00135868">
              <w:t>47</w:t>
            </w:r>
          </w:p>
        </w:tc>
        <w:tc>
          <w:tcPr>
            <w:tcW w:w="1429" w:type="dxa"/>
          </w:tcPr>
          <w:p w:rsidR="00135868" w:rsidRPr="00135868" w:rsidRDefault="00135868" w:rsidP="00135868">
            <w:r w:rsidRPr="00135868">
              <w:t>13</w:t>
            </w:r>
          </w:p>
        </w:tc>
      </w:tr>
      <w:tr w:rsidR="00135868" w:rsidRPr="00135868" w:rsidTr="00135868">
        <w:tc>
          <w:tcPr>
            <w:tcW w:w="4142" w:type="dxa"/>
          </w:tcPr>
          <w:p w:rsidR="00135868" w:rsidRPr="00135868" w:rsidRDefault="00135868" w:rsidP="00135868">
            <w:r w:rsidRPr="00135868">
              <w:t xml:space="preserve">Alkaline phosphatase increased </w:t>
            </w:r>
          </w:p>
        </w:tc>
        <w:tc>
          <w:tcPr>
            <w:tcW w:w="1428" w:type="dxa"/>
          </w:tcPr>
          <w:p w:rsidR="00135868" w:rsidRPr="00135868" w:rsidRDefault="00135868" w:rsidP="00135868">
            <w:r w:rsidRPr="00135868">
              <w:t>37</w:t>
            </w:r>
          </w:p>
        </w:tc>
        <w:tc>
          <w:tcPr>
            <w:tcW w:w="1428" w:type="dxa"/>
          </w:tcPr>
          <w:p w:rsidR="00135868" w:rsidRPr="00135868" w:rsidRDefault="00135868" w:rsidP="00135868">
            <w:r w:rsidRPr="00135868">
              <w:t>7</w:t>
            </w:r>
          </w:p>
        </w:tc>
        <w:tc>
          <w:tcPr>
            <w:tcW w:w="1428" w:type="dxa"/>
          </w:tcPr>
          <w:p w:rsidR="00135868" w:rsidRPr="00135868" w:rsidRDefault="00135868" w:rsidP="00135868">
            <w:r w:rsidRPr="00135868">
              <w:t>33</w:t>
            </w:r>
          </w:p>
        </w:tc>
        <w:tc>
          <w:tcPr>
            <w:tcW w:w="1429" w:type="dxa"/>
          </w:tcPr>
          <w:p w:rsidR="00135868" w:rsidRPr="00135868" w:rsidRDefault="00135868" w:rsidP="00135868">
            <w:r w:rsidRPr="00135868">
              <w:t>4.9</w:t>
            </w:r>
          </w:p>
        </w:tc>
      </w:tr>
      <w:tr w:rsidR="00135868" w:rsidRPr="00135868" w:rsidTr="00135868">
        <w:tc>
          <w:tcPr>
            <w:tcW w:w="4142" w:type="dxa"/>
          </w:tcPr>
          <w:p w:rsidR="00135868" w:rsidRPr="00135868" w:rsidRDefault="00135868" w:rsidP="00135868">
            <w:r w:rsidRPr="00135868">
              <w:t xml:space="preserve">Creatinine increased </w:t>
            </w:r>
          </w:p>
        </w:tc>
        <w:tc>
          <w:tcPr>
            <w:tcW w:w="1428" w:type="dxa"/>
          </w:tcPr>
          <w:p w:rsidR="00135868" w:rsidRPr="00135868" w:rsidRDefault="00135868" w:rsidP="00135868">
            <w:r w:rsidRPr="00135868">
              <w:t>35</w:t>
            </w:r>
          </w:p>
        </w:tc>
        <w:tc>
          <w:tcPr>
            <w:tcW w:w="1428" w:type="dxa"/>
          </w:tcPr>
          <w:p w:rsidR="00135868" w:rsidRPr="00135868" w:rsidRDefault="00135868" w:rsidP="00135868">
            <w:r w:rsidRPr="00135868">
              <w:t>4.4</w:t>
            </w:r>
          </w:p>
        </w:tc>
        <w:tc>
          <w:tcPr>
            <w:tcW w:w="1428" w:type="dxa"/>
          </w:tcPr>
          <w:p w:rsidR="00135868" w:rsidRPr="00135868" w:rsidRDefault="00135868" w:rsidP="00135868">
            <w:r w:rsidRPr="00135868">
              <w:t>28</w:t>
            </w:r>
          </w:p>
        </w:tc>
        <w:tc>
          <w:tcPr>
            <w:tcW w:w="1429" w:type="dxa"/>
          </w:tcPr>
          <w:p w:rsidR="00135868" w:rsidRPr="00135868" w:rsidRDefault="00135868" w:rsidP="00135868">
            <w:r w:rsidRPr="00135868">
              <w:t>2.9</w:t>
            </w:r>
          </w:p>
        </w:tc>
      </w:tr>
      <w:tr w:rsidR="00135868" w:rsidRPr="00135868" w:rsidTr="00135868">
        <w:tc>
          <w:tcPr>
            <w:tcW w:w="4142" w:type="dxa"/>
          </w:tcPr>
          <w:p w:rsidR="00135868" w:rsidRPr="00135868" w:rsidRDefault="00135868" w:rsidP="00135868">
            <w:r w:rsidRPr="00135868">
              <w:t xml:space="preserve">Phosphate decreased </w:t>
            </w:r>
          </w:p>
        </w:tc>
        <w:tc>
          <w:tcPr>
            <w:tcW w:w="1428" w:type="dxa"/>
          </w:tcPr>
          <w:p w:rsidR="00135868" w:rsidRPr="00135868" w:rsidRDefault="00135868" w:rsidP="00135868">
            <w:r w:rsidRPr="00135868">
              <w:t>29</w:t>
            </w:r>
          </w:p>
        </w:tc>
        <w:tc>
          <w:tcPr>
            <w:tcW w:w="1428" w:type="dxa"/>
          </w:tcPr>
          <w:p w:rsidR="00135868" w:rsidRPr="00135868" w:rsidRDefault="00135868" w:rsidP="00135868">
            <w:r w:rsidRPr="00135868">
              <w:t>8</w:t>
            </w:r>
          </w:p>
        </w:tc>
        <w:tc>
          <w:tcPr>
            <w:tcW w:w="1428" w:type="dxa"/>
          </w:tcPr>
          <w:p w:rsidR="00135868" w:rsidRPr="00135868" w:rsidRDefault="00135868" w:rsidP="00135868">
            <w:r w:rsidRPr="00135868">
              <w:t>34</w:t>
            </w:r>
          </w:p>
        </w:tc>
        <w:tc>
          <w:tcPr>
            <w:tcW w:w="1429" w:type="dxa"/>
          </w:tcPr>
          <w:p w:rsidR="00135868" w:rsidRPr="00135868" w:rsidRDefault="00135868" w:rsidP="00135868">
            <w:r w:rsidRPr="00135868">
              <w:t>14</w:t>
            </w:r>
          </w:p>
        </w:tc>
      </w:tr>
      <w:tr w:rsidR="00135868" w:rsidRPr="00135868" w:rsidTr="00135868">
        <w:tc>
          <w:tcPr>
            <w:tcW w:w="4142" w:type="dxa"/>
          </w:tcPr>
          <w:p w:rsidR="00135868" w:rsidRPr="00135868" w:rsidRDefault="00135868" w:rsidP="00135868">
            <w:r w:rsidRPr="00135868">
              <w:t xml:space="preserve">Aspartate aminotransferase increased </w:t>
            </w:r>
          </w:p>
        </w:tc>
        <w:tc>
          <w:tcPr>
            <w:tcW w:w="1428" w:type="dxa"/>
          </w:tcPr>
          <w:p w:rsidR="00135868" w:rsidRPr="00135868" w:rsidRDefault="00135868" w:rsidP="00135868">
            <w:r w:rsidRPr="00135868">
              <w:t>28</w:t>
            </w:r>
          </w:p>
        </w:tc>
        <w:tc>
          <w:tcPr>
            <w:tcW w:w="1428" w:type="dxa"/>
          </w:tcPr>
          <w:p w:rsidR="00135868" w:rsidRPr="00135868" w:rsidRDefault="00135868" w:rsidP="00135868">
            <w:r w:rsidRPr="00135868">
              <w:t>4.1</w:t>
            </w:r>
          </w:p>
        </w:tc>
        <w:tc>
          <w:tcPr>
            <w:tcW w:w="1428" w:type="dxa"/>
          </w:tcPr>
          <w:p w:rsidR="00135868" w:rsidRPr="00135868" w:rsidRDefault="00135868" w:rsidP="00135868">
            <w:r w:rsidRPr="00135868">
              <w:t>20</w:t>
            </w:r>
          </w:p>
        </w:tc>
        <w:tc>
          <w:tcPr>
            <w:tcW w:w="1429" w:type="dxa"/>
          </w:tcPr>
          <w:p w:rsidR="00135868" w:rsidRPr="00135868" w:rsidRDefault="00135868" w:rsidP="00135868">
            <w:r w:rsidRPr="00135868">
              <w:t>2.5</w:t>
            </w:r>
          </w:p>
        </w:tc>
      </w:tr>
      <w:tr w:rsidR="00135868" w:rsidRPr="00135868" w:rsidTr="00135868">
        <w:tc>
          <w:tcPr>
            <w:tcW w:w="4142" w:type="dxa"/>
          </w:tcPr>
          <w:p w:rsidR="00135868" w:rsidRPr="00135868" w:rsidRDefault="00135868" w:rsidP="00135868">
            <w:r w:rsidRPr="00135868">
              <w:t xml:space="preserve">Potassium increased </w:t>
            </w:r>
          </w:p>
        </w:tc>
        <w:tc>
          <w:tcPr>
            <w:tcW w:w="1428" w:type="dxa"/>
          </w:tcPr>
          <w:p w:rsidR="00135868" w:rsidRPr="00135868" w:rsidRDefault="00135868" w:rsidP="00135868">
            <w:r w:rsidRPr="00135868">
              <w:t>28</w:t>
            </w:r>
          </w:p>
        </w:tc>
        <w:tc>
          <w:tcPr>
            <w:tcW w:w="1428" w:type="dxa"/>
          </w:tcPr>
          <w:p w:rsidR="00135868" w:rsidRPr="00135868" w:rsidRDefault="00135868" w:rsidP="00135868">
            <w:r w:rsidRPr="00135868">
              <w:t>0.8</w:t>
            </w:r>
          </w:p>
        </w:tc>
        <w:tc>
          <w:tcPr>
            <w:tcW w:w="1428" w:type="dxa"/>
          </w:tcPr>
          <w:p w:rsidR="00135868" w:rsidRPr="00135868" w:rsidRDefault="00135868" w:rsidP="00135868">
            <w:r w:rsidRPr="00135868">
              <w:t>27</w:t>
            </w:r>
          </w:p>
        </w:tc>
        <w:tc>
          <w:tcPr>
            <w:tcW w:w="1429" w:type="dxa"/>
          </w:tcPr>
          <w:p w:rsidR="00135868" w:rsidRPr="00135868" w:rsidRDefault="00135868" w:rsidP="00135868">
            <w:r w:rsidRPr="00135868">
              <w:t>6</w:t>
            </w:r>
          </w:p>
        </w:tc>
      </w:tr>
      <w:tr w:rsidR="00135868" w:rsidRPr="00135868" w:rsidTr="00135868">
        <w:tc>
          <w:tcPr>
            <w:tcW w:w="4142" w:type="dxa"/>
          </w:tcPr>
          <w:p w:rsidR="00135868" w:rsidRPr="00135868" w:rsidRDefault="00135868" w:rsidP="00135868">
            <w:r w:rsidRPr="00135868">
              <w:t xml:space="preserve">Calcium decreased </w:t>
            </w:r>
          </w:p>
        </w:tc>
        <w:tc>
          <w:tcPr>
            <w:tcW w:w="1428" w:type="dxa"/>
          </w:tcPr>
          <w:p w:rsidR="00135868" w:rsidRPr="00135868" w:rsidRDefault="00135868" w:rsidP="00135868">
            <w:r w:rsidRPr="00135868">
              <w:t>26</w:t>
            </w:r>
          </w:p>
        </w:tc>
        <w:tc>
          <w:tcPr>
            <w:tcW w:w="1428" w:type="dxa"/>
          </w:tcPr>
          <w:p w:rsidR="00135868" w:rsidRPr="00135868" w:rsidRDefault="00135868" w:rsidP="00135868">
            <w:r w:rsidRPr="00135868">
              <w:t>1.6</w:t>
            </w:r>
          </w:p>
        </w:tc>
        <w:tc>
          <w:tcPr>
            <w:tcW w:w="1428" w:type="dxa"/>
          </w:tcPr>
          <w:p w:rsidR="00135868" w:rsidRPr="00135868" w:rsidRDefault="00135868" w:rsidP="00135868">
            <w:r w:rsidRPr="00135868">
              <w:t>34</w:t>
            </w:r>
          </w:p>
        </w:tc>
        <w:tc>
          <w:tcPr>
            <w:tcW w:w="1429" w:type="dxa"/>
          </w:tcPr>
          <w:p w:rsidR="00135868" w:rsidRPr="00135868" w:rsidRDefault="00135868" w:rsidP="00135868">
            <w:r w:rsidRPr="00135868">
              <w:t>2.1</w:t>
            </w:r>
          </w:p>
        </w:tc>
      </w:tr>
      <w:tr w:rsidR="00135868" w:rsidRPr="00135868" w:rsidTr="00135868">
        <w:tc>
          <w:tcPr>
            <w:tcW w:w="9855" w:type="dxa"/>
            <w:gridSpan w:val="5"/>
          </w:tcPr>
          <w:p w:rsidR="00135868" w:rsidRPr="00135868" w:rsidRDefault="00135868" w:rsidP="00D920A1">
            <w:pPr>
              <w:numPr>
                <w:ilvl w:val="0"/>
                <w:numId w:val="3"/>
              </w:numPr>
              <w:tabs>
                <w:tab w:val="num" w:pos="360"/>
              </w:tabs>
            </w:pPr>
            <w:r w:rsidRPr="00135868">
              <w:rPr>
                <w:vertAlign w:val="superscript"/>
              </w:rPr>
              <w:t>*</w:t>
            </w:r>
            <w:r w:rsidRPr="00135868">
              <w:t xml:space="preserve"> </w:t>
            </w:r>
            <w:r w:rsidRPr="00135868">
              <w:tab/>
              <w:t>Each test incidence is based on the number of patients who had both baseline and at least one on-study laboratory measurement available: KEYTRUDA (range: 240 to 248 patients) and chemotherapy (range: 238 to 244 patients); phosphate decreased: KEYTRUDA n=232 and chemotherapy n=222.</w:t>
            </w:r>
          </w:p>
          <w:p w:rsidR="00135868" w:rsidRPr="00135868" w:rsidRDefault="00135868" w:rsidP="00D920A1">
            <w:pPr>
              <w:numPr>
                <w:ilvl w:val="0"/>
                <w:numId w:val="3"/>
              </w:numPr>
              <w:tabs>
                <w:tab w:val="num" w:pos="360"/>
              </w:tabs>
            </w:pPr>
            <w:r w:rsidRPr="00135868">
              <w:rPr>
                <w:vertAlign w:val="superscript"/>
              </w:rPr>
              <w:t>†</w:t>
            </w:r>
            <w:r w:rsidRPr="00135868">
              <w:t xml:space="preserve"> </w:t>
            </w:r>
            <w:r w:rsidRPr="00135868">
              <w:tab/>
              <w:t>Graded per NCI CTCAE v4.0</w:t>
            </w:r>
          </w:p>
        </w:tc>
      </w:tr>
    </w:tbl>
    <w:p w:rsidR="00135868" w:rsidRPr="00135868" w:rsidRDefault="00135868" w:rsidP="00135868">
      <w:pPr>
        <w:rPr>
          <w:u w:val="single"/>
        </w:rPr>
      </w:pPr>
      <w:r w:rsidRPr="00135868">
        <w:rPr>
          <w:u w:val="single"/>
        </w:rPr>
        <w:t>MSI-H/</w:t>
      </w:r>
      <w:proofErr w:type="spellStart"/>
      <w:r w:rsidRPr="00135868">
        <w:rPr>
          <w:u w:val="single"/>
        </w:rPr>
        <w:t>dMMR</w:t>
      </w:r>
      <w:proofErr w:type="spellEnd"/>
      <w:r w:rsidRPr="00135868">
        <w:rPr>
          <w:u w:val="single"/>
        </w:rPr>
        <w:t xml:space="preserve"> cancer </w:t>
      </w:r>
    </w:p>
    <w:p w:rsidR="00135868" w:rsidRPr="00135868" w:rsidRDefault="00135868" w:rsidP="00135868">
      <w:r w:rsidRPr="00135868">
        <w:t>Adverse events occurring in patients with MSI-H/</w:t>
      </w:r>
      <w:proofErr w:type="spellStart"/>
      <w:r w:rsidRPr="00135868">
        <w:t>dMMR</w:t>
      </w:r>
      <w:proofErr w:type="spellEnd"/>
      <w:r w:rsidRPr="00135868">
        <w:t xml:space="preserve"> cancer were generally similar to those occurring in patients with melanoma or NSCLC.</w:t>
      </w:r>
    </w:p>
    <w:p w:rsidR="00135868" w:rsidRPr="00135868" w:rsidRDefault="00135868" w:rsidP="00135868">
      <w:pPr>
        <w:rPr>
          <w:u w:val="single"/>
        </w:rPr>
      </w:pPr>
      <w:r w:rsidRPr="00135868">
        <w:rPr>
          <w:u w:val="single"/>
        </w:rPr>
        <w:t>Endometrial Carcinoma</w:t>
      </w:r>
    </w:p>
    <w:p w:rsidR="00135868" w:rsidRPr="00135868" w:rsidRDefault="00135868" w:rsidP="00135868">
      <w:bookmarkStart w:id="0" w:name="_Hlk7618664"/>
      <w:r w:rsidRPr="00135868">
        <w:t xml:space="preserve">The safety of KEYTRUDA in combination with lenvatinib (20 mg orally once daily) was investigated in KEYNOTE-146, a single-arm, multicentre, open-label trial in 94 patients with endometrial carcinoma whose tumours had progressed following one line of systemic therapy and were not MSI-H or </w:t>
      </w:r>
      <w:proofErr w:type="spellStart"/>
      <w:r w:rsidRPr="00135868">
        <w:t>dMMR</w:t>
      </w:r>
      <w:proofErr w:type="spellEnd"/>
      <w:r w:rsidRPr="00135868">
        <w:rPr>
          <w:i/>
        </w:rPr>
        <w:t xml:space="preserve">. </w:t>
      </w:r>
      <w:r w:rsidRPr="00135868">
        <w:t>The median duration of study treatment was 7 months (range: 0.03 to 37.8 months). The median duration of exposure to KEYTRUDA was 6 months (range: 0.03 to 23.8 months). KEYTRUDA was continued for a maximum of 24 months; however, treatment with lenvatinib could be continued beyond 24 months.</w:t>
      </w:r>
    </w:p>
    <w:p w:rsidR="00135868" w:rsidRPr="00135868" w:rsidRDefault="00135868" w:rsidP="00135868">
      <w:r w:rsidRPr="00135868">
        <w:t>Fatal adverse reactions occurred in 3% of patients receiving KEYTRUDA and lenvatinib, including gastrointestinal perforation, reversible posterior leukoencephalopathy syndrome (RPLS) with intraventricular haemorrhage, and intracranial haemorrhage.</w:t>
      </w:r>
    </w:p>
    <w:p w:rsidR="00135868" w:rsidRPr="00135868" w:rsidRDefault="00135868" w:rsidP="00135868">
      <w:r w:rsidRPr="00135868">
        <w:t xml:space="preserve">Serious adverse reactions occurred in 52% of patients receiving KEYTRUDA and lenvatinib. Serious adverse reactions in ≥ 3% of patients were hypertension (9%), abdominal pain (6%), musculoskeletal pain (5%), haemorrhage (4%), fatigue (4%), nausea (4%), </w:t>
      </w:r>
      <w:proofErr w:type="spellStart"/>
      <w:r w:rsidRPr="00135868">
        <w:t>confusional</w:t>
      </w:r>
      <w:proofErr w:type="spellEnd"/>
      <w:r w:rsidRPr="00135868">
        <w:t xml:space="preserve"> state (4%), pleural effusion (4%), adrenal insufficiency (3%), colitis (3%), dyspnoea (3%), and pyrexia (3%).</w:t>
      </w:r>
    </w:p>
    <w:p w:rsidR="00135868" w:rsidRPr="00135868" w:rsidRDefault="00135868" w:rsidP="00135868">
      <w:r w:rsidRPr="00135868">
        <w:lastRenderedPageBreak/>
        <w:t>KEYTRUDA was discontinued for adverse reactions (Grade 1-4) in 19% of patients, regardless of action taken with lenvatinib. The most common adverse reactions (≥ 2%) leading to discontinuation of KEYTRUDA were adrenal insufficiency (2%), colitis (2%), pancreatitis (2%), and muscular weakness (2%).</w:t>
      </w:r>
    </w:p>
    <w:p w:rsidR="00135868" w:rsidRPr="00135868" w:rsidRDefault="00135868" w:rsidP="00135868">
      <w:r w:rsidRPr="00135868">
        <w:t>Adverse reactions leading to interruption of KEYTRUDA occurred in 49% of patients; the most common adverse reactions leading to interruption of KEYTRUDA (≥2%) were: fatigue (14%), diarrhoea (6%), decreased appetite (6%), rash (5%), renal impairment (4%), vomiting (4%), increased lipase (4%), decreased weight (4%), nausea (3%), increased blood alkaline phosphatase (3%), skin ulcer (3%), adrenal insufficiency (2%), increased amylase (2%), hypocalcaemia (2%), hypomagnesemia (2%), hyponatremia (2%), peripheral oedema (2%), musculoskeletal pain (2%), pancreatitis (2%), and syncope (2%).</w:t>
      </w:r>
    </w:p>
    <w:bookmarkEnd w:id="0"/>
    <w:p w:rsidR="00135868" w:rsidRPr="00135868" w:rsidRDefault="00135868" w:rsidP="00135868">
      <w:r w:rsidRPr="00135868">
        <w:t>Tables 12 and 13 summarise adverse reactions and laboratory abnormalities, respectively, in patients on KEYTRUDA in combination with lenvatinib.</w:t>
      </w:r>
    </w:p>
    <w:p w:rsidR="00135868" w:rsidRPr="00135868" w:rsidRDefault="00135868" w:rsidP="00891578">
      <w:pPr>
        <w:pStyle w:val="Tabletitle"/>
      </w:pPr>
      <w:r w:rsidRPr="00135868">
        <w:t>Table 12: Adverse reactions occurring in ≥20% of patients with endometrial carcinoma in KEYNOTE</w:t>
      </w:r>
      <w:r w:rsidRPr="00135868">
        <w:noBreakHyphen/>
        <w:t>146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2046"/>
        <w:gridCol w:w="2174"/>
      </w:tblGrid>
      <w:tr w:rsidR="00135868" w:rsidRPr="00135868" w:rsidTr="00135868">
        <w:trPr>
          <w:trHeight w:val="440"/>
        </w:trPr>
        <w:tc>
          <w:tcPr>
            <w:tcW w:w="2671" w:type="pct"/>
            <w:vMerge w:val="restart"/>
            <w:shd w:val="clear" w:color="auto" w:fill="auto"/>
            <w:vAlign w:val="center"/>
          </w:tcPr>
          <w:p w:rsidR="00135868" w:rsidRPr="00135868" w:rsidRDefault="00135868" w:rsidP="00135868">
            <w:r w:rsidRPr="00135868">
              <w:rPr>
                <w:b/>
              </w:rPr>
              <w:t>Adverse Reaction</w:t>
            </w:r>
          </w:p>
        </w:tc>
        <w:tc>
          <w:tcPr>
            <w:tcW w:w="2329" w:type="pct"/>
            <w:gridSpan w:val="2"/>
            <w:shd w:val="clear" w:color="auto" w:fill="auto"/>
          </w:tcPr>
          <w:p w:rsidR="00135868" w:rsidRPr="00135868" w:rsidRDefault="00135868" w:rsidP="00135868">
            <w:pPr>
              <w:rPr>
                <w:b/>
              </w:rPr>
            </w:pPr>
            <w:r w:rsidRPr="00135868">
              <w:rPr>
                <w:b/>
              </w:rPr>
              <w:t>KEYTRUDA</w:t>
            </w:r>
          </w:p>
          <w:p w:rsidR="00135868" w:rsidRPr="00135868" w:rsidRDefault="00135868" w:rsidP="00135868">
            <w:pPr>
              <w:rPr>
                <w:b/>
              </w:rPr>
            </w:pPr>
            <w:r w:rsidRPr="00135868">
              <w:rPr>
                <w:b/>
              </w:rPr>
              <w:t>200 mg every 3 weeks</w:t>
            </w:r>
          </w:p>
          <w:p w:rsidR="00135868" w:rsidRPr="00135868" w:rsidRDefault="00135868" w:rsidP="00135868">
            <w:pPr>
              <w:rPr>
                <w:b/>
              </w:rPr>
            </w:pPr>
            <w:r w:rsidRPr="00135868">
              <w:rPr>
                <w:b/>
              </w:rPr>
              <w:t>with lenvatinib</w:t>
            </w:r>
          </w:p>
          <w:p w:rsidR="00135868" w:rsidRPr="00135868" w:rsidRDefault="00135868" w:rsidP="00135868">
            <w:r w:rsidRPr="00135868">
              <w:rPr>
                <w:b/>
              </w:rPr>
              <w:t>N=94</w:t>
            </w:r>
          </w:p>
        </w:tc>
      </w:tr>
      <w:tr w:rsidR="00135868" w:rsidRPr="00135868" w:rsidTr="00135868">
        <w:trPr>
          <w:trHeight w:val="341"/>
        </w:trPr>
        <w:tc>
          <w:tcPr>
            <w:tcW w:w="2671" w:type="pct"/>
            <w:vMerge/>
            <w:shd w:val="clear" w:color="auto" w:fill="auto"/>
          </w:tcPr>
          <w:p w:rsidR="00135868" w:rsidRPr="00135868" w:rsidRDefault="00135868" w:rsidP="00135868">
            <w:pPr>
              <w:rPr>
                <w:b/>
              </w:rPr>
            </w:pPr>
          </w:p>
        </w:tc>
        <w:tc>
          <w:tcPr>
            <w:tcW w:w="1129" w:type="pct"/>
            <w:shd w:val="clear" w:color="auto" w:fill="auto"/>
          </w:tcPr>
          <w:p w:rsidR="00135868" w:rsidRPr="00135868" w:rsidRDefault="00135868" w:rsidP="00135868">
            <w:pPr>
              <w:rPr>
                <w:b/>
              </w:rPr>
            </w:pPr>
            <w:r w:rsidRPr="00135868">
              <w:rPr>
                <w:b/>
              </w:rPr>
              <w:t>All Grades</w:t>
            </w:r>
          </w:p>
          <w:p w:rsidR="00135868" w:rsidRPr="00135868" w:rsidRDefault="00135868" w:rsidP="00135868">
            <w:pPr>
              <w:rPr>
                <w:b/>
              </w:rPr>
            </w:pPr>
            <w:r w:rsidRPr="00135868">
              <w:rPr>
                <w:b/>
              </w:rPr>
              <w:t>(%)</w:t>
            </w:r>
          </w:p>
        </w:tc>
        <w:tc>
          <w:tcPr>
            <w:tcW w:w="1199" w:type="pct"/>
            <w:shd w:val="clear" w:color="auto" w:fill="auto"/>
          </w:tcPr>
          <w:p w:rsidR="00135868" w:rsidRPr="00135868" w:rsidRDefault="00135868" w:rsidP="00135868">
            <w:pPr>
              <w:rPr>
                <w:b/>
              </w:rPr>
            </w:pPr>
            <w:r w:rsidRPr="00135868">
              <w:rPr>
                <w:b/>
              </w:rPr>
              <w:t>Grades 3-4</w:t>
            </w:r>
          </w:p>
          <w:p w:rsidR="00135868" w:rsidRPr="00135868" w:rsidRDefault="00135868" w:rsidP="00135868">
            <w:pPr>
              <w:rPr>
                <w:b/>
              </w:rPr>
            </w:pPr>
            <w:r w:rsidRPr="00135868">
              <w:rPr>
                <w:b/>
              </w:rPr>
              <w:t>(%)</w:t>
            </w:r>
          </w:p>
        </w:tc>
      </w:tr>
      <w:tr w:rsidR="00135868" w:rsidRPr="00135868" w:rsidTr="00135868">
        <w:tc>
          <w:tcPr>
            <w:tcW w:w="5000" w:type="pct"/>
            <w:gridSpan w:val="3"/>
            <w:shd w:val="clear" w:color="auto" w:fill="auto"/>
          </w:tcPr>
          <w:p w:rsidR="00135868" w:rsidRPr="00135868" w:rsidRDefault="00135868" w:rsidP="00135868">
            <w:r w:rsidRPr="00135868">
              <w:rPr>
                <w:b/>
              </w:rPr>
              <w:t>General</w:t>
            </w:r>
          </w:p>
        </w:tc>
      </w:tr>
      <w:tr w:rsidR="00135868" w:rsidRPr="00135868" w:rsidTr="00135868">
        <w:tc>
          <w:tcPr>
            <w:tcW w:w="2671" w:type="pct"/>
            <w:shd w:val="clear" w:color="auto" w:fill="auto"/>
          </w:tcPr>
          <w:p w:rsidR="00135868" w:rsidRPr="00135868" w:rsidRDefault="00135868" w:rsidP="00135868">
            <w:r w:rsidRPr="00135868">
              <w:t>Fatigue*</w:t>
            </w:r>
          </w:p>
        </w:tc>
        <w:tc>
          <w:tcPr>
            <w:tcW w:w="1129" w:type="pct"/>
            <w:shd w:val="clear" w:color="auto" w:fill="auto"/>
          </w:tcPr>
          <w:p w:rsidR="00135868" w:rsidRPr="00135868" w:rsidRDefault="00135868" w:rsidP="00135868">
            <w:r w:rsidRPr="00135868">
              <w:t>65</w:t>
            </w:r>
          </w:p>
        </w:tc>
        <w:tc>
          <w:tcPr>
            <w:tcW w:w="1199" w:type="pct"/>
            <w:shd w:val="clear" w:color="auto" w:fill="auto"/>
          </w:tcPr>
          <w:p w:rsidR="00135868" w:rsidRPr="00135868" w:rsidRDefault="00135868" w:rsidP="00135868">
            <w:r w:rsidRPr="00135868">
              <w:t>17</w:t>
            </w:r>
          </w:p>
        </w:tc>
      </w:tr>
      <w:tr w:rsidR="00135868" w:rsidRPr="00135868" w:rsidTr="00135868">
        <w:tc>
          <w:tcPr>
            <w:tcW w:w="5000" w:type="pct"/>
            <w:gridSpan w:val="3"/>
            <w:shd w:val="clear" w:color="auto" w:fill="auto"/>
          </w:tcPr>
          <w:p w:rsidR="00135868" w:rsidRPr="00135868" w:rsidRDefault="00135868" w:rsidP="00135868">
            <w:r w:rsidRPr="00135868">
              <w:rPr>
                <w:b/>
              </w:rPr>
              <w:t>Musculoskeletal and Connective Tissue</w:t>
            </w:r>
          </w:p>
        </w:tc>
      </w:tr>
      <w:tr w:rsidR="00135868" w:rsidRPr="00135868" w:rsidTr="00135868">
        <w:tc>
          <w:tcPr>
            <w:tcW w:w="2671" w:type="pct"/>
            <w:shd w:val="clear" w:color="auto" w:fill="auto"/>
          </w:tcPr>
          <w:p w:rsidR="00135868" w:rsidRPr="00135868" w:rsidRDefault="00135868" w:rsidP="00135868">
            <w:r w:rsidRPr="00135868">
              <w:t>Musculoskeletal pain</w:t>
            </w:r>
            <w:r w:rsidRPr="00135868">
              <w:rPr>
                <w:vertAlign w:val="superscript"/>
              </w:rPr>
              <w:t>†</w:t>
            </w:r>
          </w:p>
        </w:tc>
        <w:tc>
          <w:tcPr>
            <w:tcW w:w="1129" w:type="pct"/>
            <w:shd w:val="clear" w:color="auto" w:fill="auto"/>
          </w:tcPr>
          <w:p w:rsidR="00135868" w:rsidRPr="00135868" w:rsidRDefault="00135868" w:rsidP="00135868">
            <w:r w:rsidRPr="00135868">
              <w:t>65</w:t>
            </w:r>
          </w:p>
        </w:tc>
        <w:tc>
          <w:tcPr>
            <w:tcW w:w="1199" w:type="pct"/>
            <w:shd w:val="clear" w:color="auto" w:fill="auto"/>
          </w:tcPr>
          <w:p w:rsidR="00135868" w:rsidRPr="00135868" w:rsidRDefault="00135868" w:rsidP="00135868">
            <w:r w:rsidRPr="00135868">
              <w:t>3</w:t>
            </w:r>
          </w:p>
        </w:tc>
      </w:tr>
      <w:tr w:rsidR="00135868" w:rsidRPr="00135868" w:rsidTr="00135868">
        <w:tc>
          <w:tcPr>
            <w:tcW w:w="5000" w:type="pct"/>
            <w:gridSpan w:val="3"/>
            <w:shd w:val="clear" w:color="auto" w:fill="auto"/>
          </w:tcPr>
          <w:p w:rsidR="00135868" w:rsidRPr="00135868" w:rsidRDefault="00135868" w:rsidP="00135868">
            <w:r w:rsidRPr="00135868">
              <w:rPr>
                <w:b/>
              </w:rPr>
              <w:t>Vascular</w:t>
            </w:r>
          </w:p>
        </w:tc>
      </w:tr>
      <w:tr w:rsidR="00135868" w:rsidRPr="00135868" w:rsidTr="00135868">
        <w:tc>
          <w:tcPr>
            <w:tcW w:w="2671" w:type="pct"/>
            <w:shd w:val="clear" w:color="auto" w:fill="auto"/>
          </w:tcPr>
          <w:p w:rsidR="00135868" w:rsidRPr="00135868" w:rsidRDefault="00135868" w:rsidP="00135868">
            <w:pPr>
              <w:rPr>
                <w:b/>
              </w:rPr>
            </w:pPr>
            <w:r w:rsidRPr="00135868">
              <w:t>Hypertension</w:t>
            </w:r>
            <w:r w:rsidRPr="00135868">
              <w:rPr>
                <w:vertAlign w:val="superscript"/>
              </w:rPr>
              <w:t xml:space="preserve">‡ </w:t>
            </w:r>
          </w:p>
        </w:tc>
        <w:tc>
          <w:tcPr>
            <w:tcW w:w="1129" w:type="pct"/>
            <w:shd w:val="clear" w:color="auto" w:fill="auto"/>
          </w:tcPr>
          <w:p w:rsidR="00135868" w:rsidRPr="00135868" w:rsidRDefault="00135868" w:rsidP="00135868">
            <w:r w:rsidRPr="00135868">
              <w:t>65</w:t>
            </w:r>
          </w:p>
        </w:tc>
        <w:tc>
          <w:tcPr>
            <w:tcW w:w="1199" w:type="pct"/>
            <w:shd w:val="clear" w:color="auto" w:fill="auto"/>
          </w:tcPr>
          <w:p w:rsidR="00135868" w:rsidRPr="00135868" w:rsidRDefault="00135868" w:rsidP="00135868">
            <w:r w:rsidRPr="00135868">
              <w:t>38</w:t>
            </w:r>
          </w:p>
        </w:tc>
      </w:tr>
      <w:tr w:rsidR="00135868" w:rsidRPr="00135868" w:rsidTr="00135868">
        <w:tc>
          <w:tcPr>
            <w:tcW w:w="2671" w:type="pct"/>
            <w:shd w:val="clear" w:color="auto" w:fill="auto"/>
          </w:tcPr>
          <w:p w:rsidR="00135868" w:rsidRPr="00135868" w:rsidRDefault="00135868" w:rsidP="00135868">
            <w:r w:rsidRPr="00135868">
              <w:t>Haemorrhagic events</w:t>
            </w:r>
            <w:r w:rsidRPr="00135868">
              <w:rPr>
                <w:vertAlign w:val="superscript"/>
              </w:rPr>
              <w:t>§</w:t>
            </w:r>
          </w:p>
        </w:tc>
        <w:tc>
          <w:tcPr>
            <w:tcW w:w="1129" w:type="pct"/>
            <w:shd w:val="clear" w:color="auto" w:fill="auto"/>
          </w:tcPr>
          <w:p w:rsidR="00135868" w:rsidRPr="00135868" w:rsidRDefault="00135868" w:rsidP="00135868">
            <w:r w:rsidRPr="00135868">
              <w:t>28</w:t>
            </w:r>
          </w:p>
        </w:tc>
        <w:tc>
          <w:tcPr>
            <w:tcW w:w="1199" w:type="pct"/>
            <w:shd w:val="clear" w:color="auto" w:fill="auto"/>
          </w:tcPr>
          <w:p w:rsidR="00135868" w:rsidRPr="00135868" w:rsidRDefault="00135868" w:rsidP="00135868">
            <w:r w:rsidRPr="00135868">
              <w:t>4</w:t>
            </w:r>
          </w:p>
        </w:tc>
      </w:tr>
      <w:tr w:rsidR="00135868" w:rsidRPr="00135868" w:rsidTr="00135868">
        <w:tc>
          <w:tcPr>
            <w:tcW w:w="5000" w:type="pct"/>
            <w:gridSpan w:val="3"/>
            <w:shd w:val="clear" w:color="auto" w:fill="auto"/>
          </w:tcPr>
          <w:p w:rsidR="00135868" w:rsidRPr="00135868" w:rsidRDefault="00135868" w:rsidP="00135868">
            <w:r w:rsidRPr="00135868">
              <w:rPr>
                <w:b/>
              </w:rPr>
              <w:lastRenderedPageBreak/>
              <w:t>Gastrointestinal</w:t>
            </w:r>
          </w:p>
        </w:tc>
      </w:tr>
      <w:tr w:rsidR="00135868" w:rsidRPr="00135868" w:rsidTr="00135868">
        <w:tc>
          <w:tcPr>
            <w:tcW w:w="2671" w:type="pct"/>
            <w:shd w:val="clear" w:color="auto" w:fill="auto"/>
          </w:tcPr>
          <w:p w:rsidR="00135868" w:rsidRPr="00135868" w:rsidRDefault="00135868" w:rsidP="00135868">
            <w:r w:rsidRPr="00135868">
              <w:t>Diarrhoea</w:t>
            </w:r>
            <w:r w:rsidRPr="00135868">
              <w:rPr>
                <w:vertAlign w:val="superscript"/>
              </w:rPr>
              <w:t>¶</w:t>
            </w:r>
          </w:p>
        </w:tc>
        <w:tc>
          <w:tcPr>
            <w:tcW w:w="1129" w:type="pct"/>
            <w:shd w:val="clear" w:color="auto" w:fill="auto"/>
          </w:tcPr>
          <w:p w:rsidR="00135868" w:rsidRPr="00135868" w:rsidRDefault="00135868" w:rsidP="00135868">
            <w:r w:rsidRPr="00135868">
              <w:t>64</w:t>
            </w:r>
          </w:p>
        </w:tc>
        <w:tc>
          <w:tcPr>
            <w:tcW w:w="1199" w:type="pct"/>
            <w:shd w:val="clear" w:color="auto" w:fill="auto"/>
          </w:tcPr>
          <w:p w:rsidR="00135868" w:rsidRPr="00135868" w:rsidRDefault="00135868" w:rsidP="00135868">
            <w:r w:rsidRPr="00135868">
              <w:t>4</w:t>
            </w:r>
          </w:p>
        </w:tc>
      </w:tr>
      <w:tr w:rsidR="00135868" w:rsidRPr="00135868" w:rsidTr="00135868">
        <w:tc>
          <w:tcPr>
            <w:tcW w:w="2671" w:type="pct"/>
            <w:shd w:val="clear" w:color="auto" w:fill="auto"/>
          </w:tcPr>
          <w:p w:rsidR="00135868" w:rsidRPr="00135868" w:rsidRDefault="00135868" w:rsidP="00135868">
            <w:r w:rsidRPr="00135868">
              <w:t>Nausea</w:t>
            </w:r>
          </w:p>
        </w:tc>
        <w:tc>
          <w:tcPr>
            <w:tcW w:w="1129" w:type="pct"/>
            <w:shd w:val="clear" w:color="auto" w:fill="auto"/>
          </w:tcPr>
          <w:p w:rsidR="00135868" w:rsidRPr="00135868" w:rsidRDefault="00135868" w:rsidP="00135868">
            <w:r w:rsidRPr="00135868">
              <w:t>48</w:t>
            </w:r>
          </w:p>
        </w:tc>
        <w:tc>
          <w:tcPr>
            <w:tcW w:w="1199" w:type="pct"/>
            <w:shd w:val="clear" w:color="auto" w:fill="auto"/>
          </w:tcPr>
          <w:p w:rsidR="00135868" w:rsidRPr="00135868" w:rsidRDefault="00135868" w:rsidP="00135868">
            <w:r w:rsidRPr="00135868">
              <w:t>5</w:t>
            </w:r>
          </w:p>
        </w:tc>
      </w:tr>
      <w:tr w:rsidR="00135868" w:rsidRPr="00135868" w:rsidTr="00135868">
        <w:tc>
          <w:tcPr>
            <w:tcW w:w="2671" w:type="pct"/>
            <w:shd w:val="clear" w:color="auto" w:fill="auto"/>
          </w:tcPr>
          <w:p w:rsidR="00135868" w:rsidRPr="00135868" w:rsidRDefault="00135868" w:rsidP="00135868">
            <w:r w:rsidRPr="00135868">
              <w:t>Stomatitis</w:t>
            </w:r>
            <w:r w:rsidRPr="00135868">
              <w:rPr>
                <w:vertAlign w:val="superscript"/>
              </w:rPr>
              <w:t>#</w:t>
            </w:r>
          </w:p>
        </w:tc>
        <w:tc>
          <w:tcPr>
            <w:tcW w:w="1129" w:type="pct"/>
            <w:shd w:val="clear" w:color="auto" w:fill="auto"/>
          </w:tcPr>
          <w:p w:rsidR="00135868" w:rsidRPr="00135868" w:rsidRDefault="00135868" w:rsidP="00135868">
            <w:r w:rsidRPr="00135868">
              <w:t>43</w:t>
            </w:r>
          </w:p>
        </w:tc>
        <w:tc>
          <w:tcPr>
            <w:tcW w:w="1199" w:type="pct"/>
            <w:shd w:val="clear" w:color="auto" w:fill="auto"/>
          </w:tcPr>
          <w:p w:rsidR="00135868" w:rsidRPr="00135868" w:rsidRDefault="00135868" w:rsidP="00135868">
            <w:r w:rsidRPr="00135868">
              <w:t>0</w:t>
            </w:r>
          </w:p>
        </w:tc>
      </w:tr>
      <w:tr w:rsidR="00135868" w:rsidRPr="00135868" w:rsidTr="00135868">
        <w:tc>
          <w:tcPr>
            <w:tcW w:w="2671" w:type="pct"/>
            <w:shd w:val="clear" w:color="auto" w:fill="auto"/>
          </w:tcPr>
          <w:p w:rsidR="00135868" w:rsidRPr="00135868" w:rsidRDefault="00135868" w:rsidP="00135868">
            <w:pPr>
              <w:rPr>
                <w:b/>
              </w:rPr>
            </w:pPr>
            <w:r w:rsidRPr="00135868">
              <w:t>Vomiting</w:t>
            </w:r>
          </w:p>
        </w:tc>
        <w:tc>
          <w:tcPr>
            <w:tcW w:w="1129" w:type="pct"/>
            <w:shd w:val="clear" w:color="auto" w:fill="auto"/>
          </w:tcPr>
          <w:p w:rsidR="00135868" w:rsidRPr="00135868" w:rsidRDefault="00135868" w:rsidP="00135868">
            <w:r w:rsidRPr="00135868">
              <w:t>39</w:t>
            </w:r>
          </w:p>
        </w:tc>
        <w:tc>
          <w:tcPr>
            <w:tcW w:w="1199" w:type="pct"/>
            <w:shd w:val="clear" w:color="auto" w:fill="auto"/>
          </w:tcPr>
          <w:p w:rsidR="00135868" w:rsidRPr="00135868" w:rsidRDefault="00135868" w:rsidP="00135868">
            <w:r w:rsidRPr="00135868">
              <w:t>0</w:t>
            </w:r>
          </w:p>
        </w:tc>
      </w:tr>
      <w:tr w:rsidR="00135868" w:rsidRPr="00135868" w:rsidTr="00135868">
        <w:tc>
          <w:tcPr>
            <w:tcW w:w="2671" w:type="pct"/>
            <w:shd w:val="clear" w:color="auto" w:fill="auto"/>
          </w:tcPr>
          <w:p w:rsidR="00135868" w:rsidRPr="00135868" w:rsidRDefault="00135868" w:rsidP="00135868">
            <w:r w:rsidRPr="00135868">
              <w:t xml:space="preserve">Abdominal </w:t>
            </w:r>
            <w:proofErr w:type="spellStart"/>
            <w:r w:rsidRPr="00135868">
              <w:t>pain</w:t>
            </w:r>
            <w:r w:rsidRPr="00135868">
              <w:rPr>
                <w:vertAlign w:val="superscript"/>
              </w:rPr>
              <w:t>Þ</w:t>
            </w:r>
            <w:proofErr w:type="spellEnd"/>
          </w:p>
        </w:tc>
        <w:tc>
          <w:tcPr>
            <w:tcW w:w="1129" w:type="pct"/>
            <w:shd w:val="clear" w:color="auto" w:fill="auto"/>
          </w:tcPr>
          <w:p w:rsidR="00135868" w:rsidRPr="00135868" w:rsidRDefault="00135868" w:rsidP="00135868">
            <w:r w:rsidRPr="00135868">
              <w:t>33</w:t>
            </w:r>
          </w:p>
        </w:tc>
        <w:tc>
          <w:tcPr>
            <w:tcW w:w="1199" w:type="pct"/>
            <w:shd w:val="clear" w:color="auto" w:fill="auto"/>
          </w:tcPr>
          <w:p w:rsidR="00135868" w:rsidRPr="00135868" w:rsidRDefault="00135868" w:rsidP="00135868">
            <w:r w:rsidRPr="00135868">
              <w:t>6</w:t>
            </w:r>
          </w:p>
        </w:tc>
      </w:tr>
      <w:tr w:rsidR="00135868" w:rsidRPr="00135868" w:rsidTr="00135868">
        <w:tc>
          <w:tcPr>
            <w:tcW w:w="2671" w:type="pct"/>
            <w:shd w:val="clear" w:color="auto" w:fill="auto"/>
          </w:tcPr>
          <w:p w:rsidR="00135868" w:rsidRPr="00135868" w:rsidRDefault="00135868" w:rsidP="00135868">
            <w:r w:rsidRPr="00135868">
              <w:t>Constipation</w:t>
            </w:r>
          </w:p>
        </w:tc>
        <w:tc>
          <w:tcPr>
            <w:tcW w:w="1129" w:type="pct"/>
            <w:shd w:val="clear" w:color="auto" w:fill="auto"/>
          </w:tcPr>
          <w:p w:rsidR="00135868" w:rsidRPr="00135868" w:rsidRDefault="00135868" w:rsidP="00135868">
            <w:r w:rsidRPr="00135868">
              <w:t>32</w:t>
            </w:r>
          </w:p>
        </w:tc>
        <w:tc>
          <w:tcPr>
            <w:tcW w:w="1199" w:type="pct"/>
            <w:shd w:val="clear" w:color="auto" w:fill="auto"/>
          </w:tcPr>
          <w:p w:rsidR="00135868" w:rsidRPr="00135868" w:rsidRDefault="00135868" w:rsidP="00135868">
            <w:r w:rsidRPr="00135868">
              <w:t>0</w:t>
            </w:r>
          </w:p>
        </w:tc>
      </w:tr>
      <w:tr w:rsidR="00135868" w:rsidRPr="00135868" w:rsidTr="00135868">
        <w:tc>
          <w:tcPr>
            <w:tcW w:w="5000" w:type="pct"/>
            <w:gridSpan w:val="3"/>
            <w:shd w:val="clear" w:color="auto" w:fill="auto"/>
          </w:tcPr>
          <w:p w:rsidR="00135868" w:rsidRPr="00135868" w:rsidRDefault="00135868" w:rsidP="00135868">
            <w:r w:rsidRPr="00135868">
              <w:rPr>
                <w:b/>
              </w:rPr>
              <w:t>Metabolism</w:t>
            </w:r>
          </w:p>
        </w:tc>
      </w:tr>
      <w:tr w:rsidR="00135868" w:rsidRPr="00135868" w:rsidTr="00135868">
        <w:tc>
          <w:tcPr>
            <w:tcW w:w="2671" w:type="pct"/>
            <w:shd w:val="clear" w:color="auto" w:fill="auto"/>
          </w:tcPr>
          <w:p w:rsidR="00135868" w:rsidRPr="00135868" w:rsidRDefault="00135868" w:rsidP="00135868">
            <w:pPr>
              <w:rPr>
                <w:b/>
              </w:rPr>
            </w:pPr>
            <w:r w:rsidRPr="00135868">
              <w:t xml:space="preserve">Decreased </w:t>
            </w:r>
            <w:proofErr w:type="spellStart"/>
            <w:r w:rsidRPr="00135868">
              <w:t>appetite</w:t>
            </w:r>
            <w:r w:rsidRPr="00135868">
              <w:rPr>
                <w:vertAlign w:val="superscript"/>
              </w:rPr>
              <w:t>ß</w:t>
            </w:r>
            <w:proofErr w:type="spellEnd"/>
            <w:r w:rsidRPr="00135868">
              <w:t xml:space="preserve"> </w:t>
            </w:r>
          </w:p>
        </w:tc>
        <w:tc>
          <w:tcPr>
            <w:tcW w:w="1129" w:type="pct"/>
            <w:shd w:val="clear" w:color="auto" w:fill="auto"/>
          </w:tcPr>
          <w:p w:rsidR="00135868" w:rsidRPr="00135868" w:rsidRDefault="00135868" w:rsidP="00135868">
            <w:r w:rsidRPr="00135868">
              <w:t>52</w:t>
            </w:r>
          </w:p>
        </w:tc>
        <w:tc>
          <w:tcPr>
            <w:tcW w:w="1199" w:type="pct"/>
            <w:shd w:val="clear" w:color="auto" w:fill="auto"/>
          </w:tcPr>
          <w:p w:rsidR="00135868" w:rsidRPr="00135868" w:rsidRDefault="00135868" w:rsidP="00135868">
            <w:r w:rsidRPr="00135868">
              <w:t>0</w:t>
            </w:r>
          </w:p>
        </w:tc>
      </w:tr>
      <w:tr w:rsidR="00135868" w:rsidRPr="00135868" w:rsidTr="00135868">
        <w:tc>
          <w:tcPr>
            <w:tcW w:w="2671" w:type="pct"/>
            <w:shd w:val="clear" w:color="auto" w:fill="auto"/>
          </w:tcPr>
          <w:p w:rsidR="00135868" w:rsidRPr="00135868" w:rsidRDefault="00135868" w:rsidP="00135868">
            <w:pPr>
              <w:rPr>
                <w:b/>
              </w:rPr>
            </w:pPr>
            <w:r w:rsidRPr="00135868">
              <w:t xml:space="preserve">Hypomagnesemia </w:t>
            </w:r>
          </w:p>
        </w:tc>
        <w:tc>
          <w:tcPr>
            <w:tcW w:w="1129" w:type="pct"/>
            <w:shd w:val="clear" w:color="auto" w:fill="auto"/>
          </w:tcPr>
          <w:p w:rsidR="00135868" w:rsidRPr="00135868" w:rsidRDefault="00135868" w:rsidP="00135868">
            <w:r w:rsidRPr="00135868">
              <w:t>27</w:t>
            </w:r>
          </w:p>
        </w:tc>
        <w:tc>
          <w:tcPr>
            <w:tcW w:w="1199" w:type="pct"/>
            <w:shd w:val="clear" w:color="auto" w:fill="auto"/>
          </w:tcPr>
          <w:p w:rsidR="00135868" w:rsidRPr="00135868" w:rsidRDefault="00135868" w:rsidP="00135868">
            <w:r w:rsidRPr="00135868">
              <w:t>3</w:t>
            </w:r>
          </w:p>
        </w:tc>
      </w:tr>
      <w:tr w:rsidR="00135868" w:rsidRPr="00135868" w:rsidTr="00135868">
        <w:tc>
          <w:tcPr>
            <w:tcW w:w="5000" w:type="pct"/>
            <w:gridSpan w:val="3"/>
            <w:shd w:val="clear" w:color="auto" w:fill="auto"/>
          </w:tcPr>
          <w:p w:rsidR="00135868" w:rsidRPr="00135868" w:rsidRDefault="00135868" w:rsidP="00135868">
            <w:r w:rsidRPr="00135868">
              <w:rPr>
                <w:b/>
              </w:rPr>
              <w:t>Endocrine</w:t>
            </w:r>
          </w:p>
        </w:tc>
      </w:tr>
      <w:tr w:rsidR="00135868" w:rsidRPr="00135868" w:rsidTr="00135868">
        <w:tc>
          <w:tcPr>
            <w:tcW w:w="2671" w:type="pct"/>
            <w:shd w:val="clear" w:color="auto" w:fill="auto"/>
          </w:tcPr>
          <w:p w:rsidR="00135868" w:rsidRPr="00135868" w:rsidRDefault="00135868" w:rsidP="00135868">
            <w:pPr>
              <w:rPr>
                <w:b/>
              </w:rPr>
            </w:pPr>
            <w:proofErr w:type="spellStart"/>
            <w:r w:rsidRPr="00135868">
              <w:t>Hypothyroidism</w:t>
            </w:r>
            <w:r w:rsidRPr="00135868">
              <w:rPr>
                <w:vertAlign w:val="superscript"/>
              </w:rPr>
              <w:t>à</w:t>
            </w:r>
            <w:proofErr w:type="spellEnd"/>
          </w:p>
        </w:tc>
        <w:tc>
          <w:tcPr>
            <w:tcW w:w="1129" w:type="pct"/>
            <w:shd w:val="clear" w:color="auto" w:fill="auto"/>
          </w:tcPr>
          <w:p w:rsidR="00135868" w:rsidRPr="00135868" w:rsidRDefault="00135868" w:rsidP="00135868">
            <w:r w:rsidRPr="00135868">
              <w:t>51</w:t>
            </w:r>
          </w:p>
        </w:tc>
        <w:tc>
          <w:tcPr>
            <w:tcW w:w="1199" w:type="pct"/>
            <w:shd w:val="clear" w:color="auto" w:fill="auto"/>
          </w:tcPr>
          <w:p w:rsidR="00135868" w:rsidRPr="00135868" w:rsidRDefault="00135868" w:rsidP="00135868">
            <w:r w:rsidRPr="00135868">
              <w:t>1</w:t>
            </w:r>
          </w:p>
        </w:tc>
      </w:tr>
      <w:tr w:rsidR="00135868" w:rsidRPr="00135868" w:rsidTr="00135868">
        <w:tc>
          <w:tcPr>
            <w:tcW w:w="5000" w:type="pct"/>
            <w:gridSpan w:val="3"/>
            <w:shd w:val="clear" w:color="auto" w:fill="auto"/>
          </w:tcPr>
          <w:p w:rsidR="00135868" w:rsidRPr="00135868" w:rsidRDefault="00135868" w:rsidP="00135868">
            <w:r w:rsidRPr="00135868">
              <w:rPr>
                <w:b/>
              </w:rPr>
              <w:t>Investigations</w:t>
            </w:r>
          </w:p>
        </w:tc>
      </w:tr>
      <w:tr w:rsidR="00135868" w:rsidRPr="00135868" w:rsidTr="00135868">
        <w:tc>
          <w:tcPr>
            <w:tcW w:w="2671" w:type="pct"/>
            <w:shd w:val="clear" w:color="auto" w:fill="auto"/>
          </w:tcPr>
          <w:p w:rsidR="00135868" w:rsidRPr="00135868" w:rsidRDefault="00135868" w:rsidP="00135868">
            <w:pPr>
              <w:rPr>
                <w:b/>
              </w:rPr>
            </w:pPr>
            <w:r w:rsidRPr="00135868">
              <w:t>Decreased weight</w:t>
            </w:r>
          </w:p>
        </w:tc>
        <w:tc>
          <w:tcPr>
            <w:tcW w:w="1129" w:type="pct"/>
            <w:shd w:val="clear" w:color="auto" w:fill="auto"/>
          </w:tcPr>
          <w:p w:rsidR="00135868" w:rsidRPr="00135868" w:rsidRDefault="00135868" w:rsidP="00135868">
            <w:r w:rsidRPr="00135868">
              <w:t>36</w:t>
            </w:r>
          </w:p>
        </w:tc>
        <w:tc>
          <w:tcPr>
            <w:tcW w:w="1199" w:type="pct"/>
            <w:shd w:val="clear" w:color="auto" w:fill="auto"/>
          </w:tcPr>
          <w:p w:rsidR="00135868" w:rsidRPr="00135868" w:rsidRDefault="00135868" w:rsidP="00135868">
            <w:r w:rsidRPr="00135868">
              <w:t>3</w:t>
            </w:r>
          </w:p>
        </w:tc>
      </w:tr>
      <w:tr w:rsidR="00135868" w:rsidRPr="00135868" w:rsidTr="00135868">
        <w:tc>
          <w:tcPr>
            <w:tcW w:w="5000" w:type="pct"/>
            <w:gridSpan w:val="3"/>
            <w:shd w:val="clear" w:color="auto" w:fill="auto"/>
          </w:tcPr>
          <w:p w:rsidR="00135868" w:rsidRPr="00135868" w:rsidRDefault="00135868" w:rsidP="00135868">
            <w:r w:rsidRPr="00135868">
              <w:rPr>
                <w:b/>
              </w:rPr>
              <w:t>Nervous System</w:t>
            </w:r>
          </w:p>
        </w:tc>
      </w:tr>
      <w:tr w:rsidR="00135868" w:rsidRPr="00135868" w:rsidTr="00135868">
        <w:tc>
          <w:tcPr>
            <w:tcW w:w="2671" w:type="pct"/>
            <w:shd w:val="clear" w:color="auto" w:fill="auto"/>
          </w:tcPr>
          <w:p w:rsidR="00135868" w:rsidRPr="00135868" w:rsidRDefault="00135868" w:rsidP="00135868">
            <w:pPr>
              <w:rPr>
                <w:b/>
              </w:rPr>
            </w:pPr>
            <w:r w:rsidRPr="00135868">
              <w:t>Headache</w:t>
            </w:r>
          </w:p>
        </w:tc>
        <w:tc>
          <w:tcPr>
            <w:tcW w:w="1129" w:type="pct"/>
            <w:shd w:val="clear" w:color="auto" w:fill="auto"/>
          </w:tcPr>
          <w:p w:rsidR="00135868" w:rsidRPr="00135868" w:rsidRDefault="00135868" w:rsidP="00135868">
            <w:r w:rsidRPr="00135868">
              <w:t>33</w:t>
            </w:r>
          </w:p>
        </w:tc>
        <w:tc>
          <w:tcPr>
            <w:tcW w:w="1199" w:type="pct"/>
            <w:shd w:val="clear" w:color="auto" w:fill="auto"/>
          </w:tcPr>
          <w:p w:rsidR="00135868" w:rsidRPr="00135868" w:rsidRDefault="00135868" w:rsidP="00135868">
            <w:r w:rsidRPr="00135868">
              <w:t>1</w:t>
            </w:r>
          </w:p>
        </w:tc>
      </w:tr>
      <w:tr w:rsidR="00135868" w:rsidRPr="00135868" w:rsidTr="00135868">
        <w:tc>
          <w:tcPr>
            <w:tcW w:w="5000" w:type="pct"/>
            <w:gridSpan w:val="3"/>
            <w:shd w:val="clear" w:color="auto" w:fill="auto"/>
          </w:tcPr>
          <w:p w:rsidR="00135868" w:rsidRPr="00135868" w:rsidRDefault="00135868" w:rsidP="00135868">
            <w:r w:rsidRPr="00135868">
              <w:rPr>
                <w:b/>
              </w:rPr>
              <w:t>Infections</w:t>
            </w:r>
          </w:p>
        </w:tc>
      </w:tr>
      <w:tr w:rsidR="00135868" w:rsidRPr="00135868" w:rsidTr="00135868">
        <w:tc>
          <w:tcPr>
            <w:tcW w:w="2671" w:type="pct"/>
            <w:shd w:val="clear" w:color="auto" w:fill="auto"/>
          </w:tcPr>
          <w:p w:rsidR="00135868" w:rsidRPr="00135868" w:rsidRDefault="00135868" w:rsidP="00135868">
            <w:r w:rsidRPr="00135868">
              <w:t xml:space="preserve">Urinary tract </w:t>
            </w:r>
            <w:proofErr w:type="spellStart"/>
            <w:r w:rsidRPr="00135868">
              <w:t>infection</w:t>
            </w:r>
            <w:r w:rsidRPr="00135868">
              <w:rPr>
                <w:vertAlign w:val="superscript"/>
              </w:rPr>
              <w:t>è</w:t>
            </w:r>
            <w:proofErr w:type="spellEnd"/>
          </w:p>
        </w:tc>
        <w:tc>
          <w:tcPr>
            <w:tcW w:w="1129" w:type="pct"/>
            <w:shd w:val="clear" w:color="auto" w:fill="auto"/>
          </w:tcPr>
          <w:p w:rsidR="00135868" w:rsidRPr="00135868" w:rsidRDefault="00135868" w:rsidP="00135868">
            <w:r w:rsidRPr="00135868">
              <w:t>31</w:t>
            </w:r>
          </w:p>
        </w:tc>
        <w:tc>
          <w:tcPr>
            <w:tcW w:w="1199" w:type="pct"/>
            <w:shd w:val="clear" w:color="auto" w:fill="auto"/>
          </w:tcPr>
          <w:p w:rsidR="00135868" w:rsidRPr="00135868" w:rsidRDefault="00135868" w:rsidP="00135868">
            <w:r w:rsidRPr="00135868">
              <w:t>4</w:t>
            </w:r>
          </w:p>
        </w:tc>
      </w:tr>
      <w:tr w:rsidR="00135868" w:rsidRPr="00135868" w:rsidTr="00135868">
        <w:tc>
          <w:tcPr>
            <w:tcW w:w="5000" w:type="pct"/>
            <w:gridSpan w:val="3"/>
            <w:shd w:val="clear" w:color="auto" w:fill="auto"/>
          </w:tcPr>
          <w:p w:rsidR="00135868" w:rsidRPr="00135868" w:rsidRDefault="00135868" w:rsidP="00135868">
            <w:r w:rsidRPr="00135868">
              <w:rPr>
                <w:b/>
              </w:rPr>
              <w:t>Respiratory, Thoracic and Mediastinal</w:t>
            </w:r>
          </w:p>
        </w:tc>
      </w:tr>
      <w:tr w:rsidR="00135868" w:rsidRPr="00135868" w:rsidTr="00135868">
        <w:tc>
          <w:tcPr>
            <w:tcW w:w="2671" w:type="pct"/>
            <w:shd w:val="clear" w:color="auto" w:fill="auto"/>
          </w:tcPr>
          <w:p w:rsidR="00135868" w:rsidRPr="00135868" w:rsidRDefault="00135868" w:rsidP="00135868">
            <w:pPr>
              <w:rPr>
                <w:b/>
              </w:rPr>
            </w:pPr>
            <w:r w:rsidRPr="00135868">
              <w:lastRenderedPageBreak/>
              <w:t xml:space="preserve">Dysphonia </w:t>
            </w:r>
          </w:p>
        </w:tc>
        <w:tc>
          <w:tcPr>
            <w:tcW w:w="1129" w:type="pct"/>
            <w:shd w:val="clear" w:color="auto" w:fill="auto"/>
          </w:tcPr>
          <w:p w:rsidR="00135868" w:rsidRPr="00135868" w:rsidRDefault="00135868" w:rsidP="00135868">
            <w:r w:rsidRPr="00135868">
              <w:t>29</w:t>
            </w:r>
          </w:p>
        </w:tc>
        <w:tc>
          <w:tcPr>
            <w:tcW w:w="1199" w:type="pct"/>
            <w:shd w:val="clear" w:color="auto" w:fill="auto"/>
          </w:tcPr>
          <w:p w:rsidR="00135868" w:rsidRPr="00135868" w:rsidRDefault="00135868" w:rsidP="00135868">
            <w:r w:rsidRPr="00135868">
              <w:t>0</w:t>
            </w:r>
          </w:p>
        </w:tc>
      </w:tr>
      <w:tr w:rsidR="00135868" w:rsidRPr="00135868" w:rsidTr="00135868">
        <w:tc>
          <w:tcPr>
            <w:tcW w:w="2671" w:type="pct"/>
            <w:shd w:val="clear" w:color="auto" w:fill="auto"/>
          </w:tcPr>
          <w:p w:rsidR="00135868" w:rsidRPr="00135868" w:rsidRDefault="00135868" w:rsidP="00135868">
            <w:proofErr w:type="spellStart"/>
            <w:r w:rsidRPr="00135868">
              <w:t>Dyspnoea</w:t>
            </w:r>
            <w:r w:rsidRPr="00135868">
              <w:rPr>
                <w:vertAlign w:val="superscript"/>
              </w:rPr>
              <w:t>ð</w:t>
            </w:r>
            <w:proofErr w:type="spellEnd"/>
          </w:p>
        </w:tc>
        <w:tc>
          <w:tcPr>
            <w:tcW w:w="1129" w:type="pct"/>
            <w:shd w:val="clear" w:color="auto" w:fill="auto"/>
          </w:tcPr>
          <w:p w:rsidR="00135868" w:rsidRPr="00135868" w:rsidRDefault="00135868" w:rsidP="00135868">
            <w:r w:rsidRPr="00135868">
              <w:t>24</w:t>
            </w:r>
          </w:p>
        </w:tc>
        <w:tc>
          <w:tcPr>
            <w:tcW w:w="1199" w:type="pct"/>
            <w:shd w:val="clear" w:color="auto" w:fill="auto"/>
          </w:tcPr>
          <w:p w:rsidR="00135868" w:rsidRPr="00135868" w:rsidRDefault="00135868" w:rsidP="00135868">
            <w:r w:rsidRPr="00135868">
              <w:t>2</w:t>
            </w:r>
          </w:p>
        </w:tc>
      </w:tr>
      <w:tr w:rsidR="00135868" w:rsidRPr="00135868" w:rsidTr="00135868">
        <w:tc>
          <w:tcPr>
            <w:tcW w:w="2671" w:type="pct"/>
            <w:shd w:val="clear" w:color="auto" w:fill="auto"/>
          </w:tcPr>
          <w:p w:rsidR="00135868" w:rsidRPr="00135868" w:rsidRDefault="00135868" w:rsidP="00135868">
            <w:r w:rsidRPr="00135868">
              <w:t>Cough</w:t>
            </w:r>
          </w:p>
        </w:tc>
        <w:tc>
          <w:tcPr>
            <w:tcW w:w="1129" w:type="pct"/>
            <w:shd w:val="clear" w:color="auto" w:fill="auto"/>
          </w:tcPr>
          <w:p w:rsidR="00135868" w:rsidRPr="00135868" w:rsidRDefault="00135868" w:rsidP="00135868">
            <w:r w:rsidRPr="00135868">
              <w:t>21</w:t>
            </w:r>
          </w:p>
        </w:tc>
        <w:tc>
          <w:tcPr>
            <w:tcW w:w="1199" w:type="pct"/>
            <w:shd w:val="clear" w:color="auto" w:fill="auto"/>
          </w:tcPr>
          <w:p w:rsidR="00135868" w:rsidRPr="00135868" w:rsidRDefault="00135868" w:rsidP="00135868">
            <w:r w:rsidRPr="00135868">
              <w:t>0</w:t>
            </w:r>
          </w:p>
        </w:tc>
      </w:tr>
      <w:tr w:rsidR="00135868" w:rsidRPr="00135868" w:rsidTr="00135868">
        <w:tc>
          <w:tcPr>
            <w:tcW w:w="5000" w:type="pct"/>
            <w:gridSpan w:val="3"/>
            <w:shd w:val="clear" w:color="auto" w:fill="auto"/>
          </w:tcPr>
          <w:p w:rsidR="00135868" w:rsidRPr="00135868" w:rsidRDefault="00135868" w:rsidP="00135868">
            <w:r w:rsidRPr="00135868">
              <w:rPr>
                <w:b/>
              </w:rPr>
              <w:t>Skin and Subcutaneous Tissue</w:t>
            </w:r>
          </w:p>
        </w:tc>
      </w:tr>
      <w:tr w:rsidR="00135868" w:rsidRPr="00135868" w:rsidTr="00135868">
        <w:tc>
          <w:tcPr>
            <w:tcW w:w="2671" w:type="pct"/>
            <w:shd w:val="clear" w:color="auto" w:fill="auto"/>
          </w:tcPr>
          <w:p w:rsidR="00135868" w:rsidRPr="00135868" w:rsidRDefault="00135868" w:rsidP="00135868">
            <w:pPr>
              <w:rPr>
                <w:b/>
              </w:rPr>
            </w:pPr>
            <w:r w:rsidRPr="00135868">
              <w:t xml:space="preserve">Palmar-plantar </w:t>
            </w:r>
            <w:proofErr w:type="spellStart"/>
            <w:r w:rsidRPr="00135868">
              <w:t>erythrodysesthesia</w:t>
            </w:r>
            <w:proofErr w:type="spellEnd"/>
            <w:r w:rsidRPr="00135868">
              <w:t xml:space="preserve"> syndrome </w:t>
            </w:r>
          </w:p>
        </w:tc>
        <w:tc>
          <w:tcPr>
            <w:tcW w:w="1129" w:type="pct"/>
            <w:shd w:val="clear" w:color="auto" w:fill="auto"/>
          </w:tcPr>
          <w:p w:rsidR="00135868" w:rsidRPr="00135868" w:rsidRDefault="00135868" w:rsidP="00135868">
            <w:r w:rsidRPr="00135868">
              <w:t>26</w:t>
            </w:r>
          </w:p>
        </w:tc>
        <w:tc>
          <w:tcPr>
            <w:tcW w:w="1199" w:type="pct"/>
            <w:shd w:val="clear" w:color="auto" w:fill="auto"/>
          </w:tcPr>
          <w:p w:rsidR="00135868" w:rsidRPr="00135868" w:rsidRDefault="00135868" w:rsidP="00135868">
            <w:r w:rsidRPr="00135868">
              <w:t>3</w:t>
            </w:r>
          </w:p>
        </w:tc>
      </w:tr>
      <w:tr w:rsidR="00135868" w:rsidRPr="00135868" w:rsidTr="00135868">
        <w:tc>
          <w:tcPr>
            <w:tcW w:w="2671" w:type="pct"/>
            <w:tcBorders>
              <w:bottom w:val="single" w:sz="4" w:space="0" w:color="auto"/>
            </w:tcBorders>
            <w:shd w:val="clear" w:color="auto" w:fill="auto"/>
          </w:tcPr>
          <w:p w:rsidR="00135868" w:rsidRPr="00135868" w:rsidRDefault="00135868" w:rsidP="00135868">
            <w:pPr>
              <w:rPr>
                <w:b/>
              </w:rPr>
            </w:pPr>
            <w:proofErr w:type="spellStart"/>
            <w:r w:rsidRPr="00135868">
              <w:t>Rash</w:t>
            </w:r>
            <w:r w:rsidRPr="00135868">
              <w:rPr>
                <w:vertAlign w:val="superscript"/>
              </w:rPr>
              <w:t>ø</w:t>
            </w:r>
            <w:proofErr w:type="spellEnd"/>
          </w:p>
        </w:tc>
        <w:tc>
          <w:tcPr>
            <w:tcW w:w="1129" w:type="pct"/>
            <w:tcBorders>
              <w:bottom w:val="single" w:sz="4" w:space="0" w:color="auto"/>
            </w:tcBorders>
            <w:shd w:val="clear" w:color="auto" w:fill="auto"/>
          </w:tcPr>
          <w:p w:rsidR="00135868" w:rsidRPr="00135868" w:rsidRDefault="00135868" w:rsidP="00135868">
            <w:r w:rsidRPr="00135868">
              <w:t>21</w:t>
            </w:r>
          </w:p>
        </w:tc>
        <w:tc>
          <w:tcPr>
            <w:tcW w:w="1199" w:type="pct"/>
            <w:tcBorders>
              <w:bottom w:val="single" w:sz="4" w:space="0" w:color="auto"/>
            </w:tcBorders>
            <w:shd w:val="clear" w:color="auto" w:fill="auto"/>
          </w:tcPr>
          <w:p w:rsidR="00135868" w:rsidRPr="00135868" w:rsidRDefault="00135868" w:rsidP="00135868">
            <w:r w:rsidRPr="00135868">
              <w:t>3</w:t>
            </w:r>
          </w:p>
        </w:tc>
      </w:tr>
      <w:tr w:rsidR="00135868" w:rsidRPr="00135868" w:rsidTr="00135868">
        <w:tc>
          <w:tcPr>
            <w:tcW w:w="5000" w:type="pct"/>
            <w:gridSpan w:val="3"/>
            <w:tcBorders>
              <w:left w:val="nil"/>
              <w:bottom w:val="nil"/>
              <w:right w:val="nil"/>
            </w:tcBorders>
            <w:shd w:val="clear" w:color="auto" w:fill="auto"/>
          </w:tcPr>
          <w:p w:rsidR="00135868" w:rsidRPr="00135868" w:rsidRDefault="00135868" w:rsidP="00891578">
            <w:pPr>
              <w:pStyle w:val="Tabledescription"/>
              <w:rPr>
                <w:lang w:val="fr-FR"/>
              </w:rPr>
            </w:pPr>
            <w:r w:rsidRPr="00135868">
              <w:t xml:space="preserve">* </w:t>
            </w:r>
            <w:proofErr w:type="spellStart"/>
            <w:r w:rsidRPr="00135868">
              <w:rPr>
                <w:lang w:val="fr-FR"/>
              </w:rPr>
              <w:t>Includes</w:t>
            </w:r>
            <w:proofErr w:type="spellEnd"/>
            <w:r w:rsidRPr="00135868">
              <w:rPr>
                <w:lang w:val="fr-FR"/>
              </w:rPr>
              <w:t xml:space="preserve"> </w:t>
            </w:r>
            <w:proofErr w:type="spellStart"/>
            <w:r w:rsidRPr="00135868">
              <w:rPr>
                <w:lang w:val="fr-FR"/>
              </w:rPr>
              <w:t>asthenia</w:t>
            </w:r>
            <w:proofErr w:type="spellEnd"/>
            <w:r w:rsidRPr="00135868">
              <w:rPr>
                <w:lang w:val="fr-FR"/>
              </w:rPr>
              <w:t>, fatigue, and malaise</w:t>
            </w:r>
          </w:p>
          <w:p w:rsidR="00135868" w:rsidRPr="00135868" w:rsidRDefault="00135868" w:rsidP="00891578">
            <w:pPr>
              <w:pStyle w:val="Tabledescription"/>
            </w:pPr>
            <w:r w:rsidRPr="00135868">
              <w:rPr>
                <w:vertAlign w:val="superscript"/>
              </w:rPr>
              <w:t xml:space="preserve">† </w:t>
            </w:r>
            <w:r w:rsidRPr="00135868">
              <w:t>Includes arthralgia, arthritis, back pain, breast pain, musculoskeletal chest pain, musculoskeletal pain, musculoskeletal stiffness, myalgia, neck pain, non-cardiac chest pain, pain in extremity</w:t>
            </w:r>
          </w:p>
          <w:p w:rsidR="00135868" w:rsidRPr="00135868" w:rsidRDefault="00135868" w:rsidP="00891578">
            <w:pPr>
              <w:pStyle w:val="Tabledescription"/>
              <w:rPr>
                <w:lang w:val="fr-FR"/>
              </w:rPr>
            </w:pPr>
            <w:r w:rsidRPr="00135868">
              <w:rPr>
                <w:vertAlign w:val="superscript"/>
              </w:rPr>
              <w:t xml:space="preserve">‡ </w:t>
            </w:r>
            <w:proofErr w:type="spellStart"/>
            <w:r w:rsidRPr="00135868">
              <w:rPr>
                <w:lang w:val="fr-FR"/>
              </w:rPr>
              <w:t>Includes</w:t>
            </w:r>
            <w:proofErr w:type="spellEnd"/>
            <w:r w:rsidRPr="00135868">
              <w:rPr>
                <w:lang w:val="fr-FR"/>
              </w:rPr>
              <w:t xml:space="preserve"> essential hypertension, hypertension, and hypertensive </w:t>
            </w:r>
            <w:proofErr w:type="spellStart"/>
            <w:r w:rsidRPr="00135868">
              <w:rPr>
                <w:lang w:val="fr-FR"/>
              </w:rPr>
              <w:t>encephalopathy</w:t>
            </w:r>
            <w:proofErr w:type="spellEnd"/>
          </w:p>
          <w:p w:rsidR="00135868" w:rsidRPr="00135868" w:rsidRDefault="00135868" w:rsidP="00891578">
            <w:pPr>
              <w:pStyle w:val="Tabledescription"/>
            </w:pPr>
            <w:r w:rsidRPr="00135868">
              <w:rPr>
                <w:vertAlign w:val="superscript"/>
              </w:rPr>
              <w:t xml:space="preserve">§ </w:t>
            </w:r>
            <w:r w:rsidRPr="00135868">
              <w:t xml:space="preserve">Includes catheter site bruise, contusion, epistaxis, gastrointestinal haemorrhage, </w:t>
            </w:r>
            <w:proofErr w:type="spellStart"/>
            <w:r w:rsidRPr="00135868">
              <w:t>haematemesis</w:t>
            </w:r>
            <w:proofErr w:type="spellEnd"/>
            <w:r w:rsidRPr="00135868">
              <w:t xml:space="preserve">, haematuria, haemorrhage intracranial, injection site haemorrhage, intraventricular haemorrhage, large intestinal haemorrhage, </w:t>
            </w:r>
            <w:proofErr w:type="spellStart"/>
            <w:r w:rsidRPr="00135868">
              <w:t>metrorrhagia</w:t>
            </w:r>
            <w:proofErr w:type="spellEnd"/>
            <w:r w:rsidRPr="00135868">
              <w:t>, mouth haemorrhage, uterine haemorrhage, and vaginal haemorrhage</w:t>
            </w:r>
          </w:p>
          <w:p w:rsidR="00135868" w:rsidRPr="00135868" w:rsidRDefault="00135868" w:rsidP="00891578">
            <w:pPr>
              <w:pStyle w:val="Tabledescription"/>
            </w:pPr>
            <w:r w:rsidRPr="00135868">
              <w:rPr>
                <w:vertAlign w:val="superscript"/>
              </w:rPr>
              <w:t xml:space="preserve">¶ </w:t>
            </w:r>
            <w:r w:rsidRPr="00135868">
              <w:t>Includes diarrhoea, gastroenteritis, gastrointestinal viral infection, and viral diarrhoea</w:t>
            </w:r>
          </w:p>
          <w:p w:rsidR="00135868" w:rsidRPr="00135868" w:rsidRDefault="00135868" w:rsidP="00891578">
            <w:pPr>
              <w:pStyle w:val="Tabledescription"/>
            </w:pPr>
            <w:r w:rsidRPr="00135868">
              <w:rPr>
                <w:vertAlign w:val="superscript"/>
              </w:rPr>
              <w:t xml:space="preserve"># </w:t>
            </w:r>
            <w:r w:rsidRPr="00135868">
              <w:t>Includes glossitis, mouth ulceration, oral discomfort, oral mucosal blistering, oropharyngeal pain, and stomatitis</w:t>
            </w:r>
          </w:p>
          <w:p w:rsidR="00135868" w:rsidRPr="00135868" w:rsidRDefault="00135868" w:rsidP="00891578">
            <w:pPr>
              <w:pStyle w:val="Tabledescription"/>
            </w:pPr>
            <w:r w:rsidRPr="00135868">
              <w:rPr>
                <w:vertAlign w:val="superscript"/>
              </w:rPr>
              <w:t xml:space="preserve">Þ </w:t>
            </w:r>
            <w:r w:rsidRPr="00135868">
              <w:t>Includes abdominal discomfort, abdominal pain, lower abdominal pain, and upper abdominal pain</w:t>
            </w:r>
          </w:p>
          <w:p w:rsidR="00135868" w:rsidRPr="00135868" w:rsidRDefault="00135868" w:rsidP="00891578">
            <w:pPr>
              <w:pStyle w:val="Tabledescription"/>
            </w:pPr>
            <w:r w:rsidRPr="00135868">
              <w:rPr>
                <w:vertAlign w:val="superscript"/>
              </w:rPr>
              <w:t xml:space="preserve">ß </w:t>
            </w:r>
            <w:r w:rsidRPr="00135868">
              <w:t>Includes decreased appetite and early satiety</w:t>
            </w:r>
          </w:p>
          <w:p w:rsidR="00135868" w:rsidRPr="00135868" w:rsidRDefault="00135868" w:rsidP="00891578">
            <w:pPr>
              <w:pStyle w:val="Tabledescription"/>
            </w:pPr>
            <w:r w:rsidRPr="00135868">
              <w:rPr>
                <w:vertAlign w:val="superscript"/>
              </w:rPr>
              <w:t xml:space="preserve">à </w:t>
            </w:r>
            <w:r w:rsidRPr="00135868">
              <w:t>Includes increased blood thyroid stimulating hormone and hypothyroidism</w:t>
            </w:r>
          </w:p>
          <w:p w:rsidR="00135868" w:rsidRPr="00135868" w:rsidRDefault="00135868" w:rsidP="00891578">
            <w:pPr>
              <w:pStyle w:val="Tabledescription"/>
              <w:rPr>
                <w:vertAlign w:val="superscript"/>
              </w:rPr>
            </w:pPr>
            <w:r w:rsidRPr="00135868">
              <w:rPr>
                <w:vertAlign w:val="superscript"/>
              </w:rPr>
              <w:t xml:space="preserve">è </w:t>
            </w:r>
            <w:r w:rsidRPr="00135868">
              <w:t>Includes cystitis and urinary tract infection</w:t>
            </w:r>
            <w:r w:rsidRPr="00135868">
              <w:rPr>
                <w:vertAlign w:val="superscript"/>
              </w:rPr>
              <w:t xml:space="preserve"> </w:t>
            </w:r>
          </w:p>
          <w:p w:rsidR="00135868" w:rsidRPr="00135868" w:rsidRDefault="00135868" w:rsidP="00891578">
            <w:pPr>
              <w:pStyle w:val="Tabledescription"/>
            </w:pPr>
            <w:r w:rsidRPr="00135868">
              <w:rPr>
                <w:vertAlign w:val="superscript"/>
              </w:rPr>
              <w:t xml:space="preserve">ð </w:t>
            </w:r>
            <w:r w:rsidRPr="00135868">
              <w:t>Includes dyspnoea and exertional dyspnoea</w:t>
            </w:r>
          </w:p>
          <w:p w:rsidR="00135868" w:rsidRPr="00135868" w:rsidRDefault="00135868" w:rsidP="00891578">
            <w:pPr>
              <w:pStyle w:val="Tabledescription"/>
            </w:pPr>
            <w:r w:rsidRPr="00135868">
              <w:rPr>
                <w:vertAlign w:val="superscript"/>
              </w:rPr>
              <w:t xml:space="preserve">ø </w:t>
            </w:r>
            <w:r w:rsidRPr="00135868">
              <w:t xml:space="preserve">Includes rash, rash generalized, rash macular, and rash </w:t>
            </w:r>
            <w:proofErr w:type="spellStart"/>
            <w:r w:rsidRPr="00135868">
              <w:t>maculo-papular</w:t>
            </w:r>
            <w:proofErr w:type="spellEnd"/>
            <w:r w:rsidRPr="00135868">
              <w:t xml:space="preserve"> </w:t>
            </w:r>
          </w:p>
        </w:tc>
      </w:tr>
    </w:tbl>
    <w:p w:rsidR="00135868" w:rsidRPr="00135868" w:rsidRDefault="00135868" w:rsidP="00891578">
      <w:pPr>
        <w:pStyle w:val="Tabletitle"/>
      </w:pPr>
      <w:r w:rsidRPr="00135868">
        <w:lastRenderedPageBreak/>
        <w:t>Table 13: Laboratory abnormalities worsened from baseline occurring in ≥3% of patients with endometrial carcinoma in KEYNOTE</w:t>
      </w:r>
      <w:r w:rsidRPr="00135868">
        <w:noBreakHyphen/>
        <w:t>146</w:t>
      </w:r>
    </w:p>
    <w:tbl>
      <w:tblPr>
        <w:tblW w:w="5000" w:type="pct"/>
        <w:jc w:val="center"/>
        <w:tblCellMar>
          <w:left w:w="0" w:type="dxa"/>
          <w:right w:w="0" w:type="dxa"/>
        </w:tblCellMar>
        <w:tblLook w:val="0000" w:firstRow="0" w:lastRow="0" w:firstColumn="0" w:lastColumn="0" w:noHBand="0" w:noVBand="0"/>
      </w:tblPr>
      <w:tblGrid>
        <w:gridCol w:w="3997"/>
        <w:gridCol w:w="2169"/>
        <w:gridCol w:w="2894"/>
      </w:tblGrid>
      <w:tr w:rsidR="00135868" w:rsidRPr="00135868" w:rsidTr="00135868">
        <w:trPr>
          <w:cantSplit/>
          <w:tblHeader/>
          <w:jc w:val="center"/>
        </w:trPr>
        <w:tc>
          <w:tcPr>
            <w:tcW w:w="2206" w:type="pct"/>
            <w:vMerge w:val="restart"/>
            <w:tcBorders>
              <w:top w:val="single" w:sz="4" w:space="0" w:color="000000"/>
              <w:left w:val="single" w:sz="4" w:space="0" w:color="000000"/>
              <w:right w:val="nil"/>
            </w:tcBorders>
            <w:shd w:val="clear" w:color="auto" w:fill="FFFFFF"/>
            <w:vAlign w:val="center"/>
          </w:tcPr>
          <w:p w:rsidR="00135868" w:rsidRPr="00135868" w:rsidRDefault="00135868" w:rsidP="00135868">
            <w:r w:rsidRPr="00135868">
              <w:rPr>
                <w:b/>
              </w:rPr>
              <w:t>Laboratory Test*</w:t>
            </w:r>
          </w:p>
        </w:tc>
        <w:tc>
          <w:tcPr>
            <w:tcW w:w="2794"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135868" w:rsidRPr="00135868" w:rsidRDefault="00135868" w:rsidP="00135868">
            <w:pPr>
              <w:rPr>
                <w:b/>
                <w:lang w:val="en-US"/>
              </w:rPr>
            </w:pPr>
            <w:r w:rsidRPr="00135868">
              <w:rPr>
                <w:b/>
                <w:lang w:val="en-US"/>
              </w:rPr>
              <w:t>KEYTRUDA</w:t>
            </w:r>
          </w:p>
          <w:p w:rsidR="00135868" w:rsidRPr="00135868" w:rsidRDefault="00135868" w:rsidP="00135868">
            <w:pPr>
              <w:rPr>
                <w:b/>
                <w:lang w:val="en-US"/>
              </w:rPr>
            </w:pPr>
            <w:r w:rsidRPr="00135868">
              <w:rPr>
                <w:b/>
                <w:lang w:val="en-US"/>
              </w:rPr>
              <w:t>200 mg every 3 weeks</w:t>
            </w:r>
          </w:p>
          <w:p w:rsidR="00135868" w:rsidRPr="00135868" w:rsidRDefault="00135868" w:rsidP="00135868">
            <w:pPr>
              <w:rPr>
                <w:b/>
                <w:lang w:val="en-US"/>
              </w:rPr>
            </w:pPr>
            <w:r w:rsidRPr="00135868">
              <w:rPr>
                <w:b/>
                <w:lang w:val="en-US"/>
              </w:rPr>
              <w:t>with lenvatinib</w:t>
            </w:r>
          </w:p>
          <w:p w:rsidR="00135868" w:rsidRPr="00135868" w:rsidRDefault="00135868" w:rsidP="00135868">
            <w:pPr>
              <w:rPr>
                <w:b/>
                <w:lang w:val="en-US"/>
              </w:rPr>
            </w:pPr>
          </w:p>
        </w:tc>
      </w:tr>
      <w:tr w:rsidR="00135868" w:rsidRPr="00135868" w:rsidTr="00135868">
        <w:trPr>
          <w:cantSplit/>
          <w:tblHeader/>
          <w:jc w:val="center"/>
        </w:trPr>
        <w:tc>
          <w:tcPr>
            <w:tcW w:w="2206" w:type="pct"/>
            <w:vMerge/>
            <w:tcBorders>
              <w:left w:val="single" w:sz="4" w:space="0" w:color="000000"/>
              <w:bottom w:val="single" w:sz="4" w:space="0" w:color="000000"/>
              <w:right w:val="nil"/>
            </w:tcBorders>
            <w:shd w:val="clear" w:color="auto" w:fill="FFFFFF"/>
            <w:vAlign w:val="bottom"/>
          </w:tcPr>
          <w:p w:rsidR="00135868" w:rsidRPr="00135868" w:rsidRDefault="00135868" w:rsidP="00135868">
            <w:pPr>
              <w:rPr>
                <w:b/>
              </w:rPr>
            </w:pPr>
          </w:p>
        </w:tc>
        <w:tc>
          <w:tcPr>
            <w:tcW w:w="1197" w:type="pct"/>
            <w:tcBorders>
              <w:top w:val="nil"/>
              <w:left w:val="single" w:sz="4" w:space="0" w:color="000000"/>
              <w:bottom w:val="single" w:sz="4" w:space="0" w:color="000000"/>
              <w:right w:val="nil"/>
            </w:tcBorders>
            <w:shd w:val="clear" w:color="auto" w:fill="FFFFFF"/>
            <w:vAlign w:val="bottom"/>
          </w:tcPr>
          <w:p w:rsidR="00135868" w:rsidRPr="00135868" w:rsidRDefault="00135868" w:rsidP="00135868">
            <w:pPr>
              <w:rPr>
                <w:b/>
              </w:rPr>
            </w:pPr>
            <w:r w:rsidRPr="00135868">
              <w:rPr>
                <w:b/>
              </w:rPr>
              <w:t>All Grades</w:t>
            </w:r>
            <w:r w:rsidRPr="00135868">
              <w:rPr>
                <w:b/>
              </w:rPr>
              <w:br/>
              <w:t>%</w:t>
            </w:r>
            <w:r w:rsidRPr="00135868">
              <w:rPr>
                <w:vertAlign w:val="superscript"/>
              </w:rPr>
              <w:t>†</w:t>
            </w:r>
          </w:p>
        </w:tc>
        <w:tc>
          <w:tcPr>
            <w:tcW w:w="1597" w:type="pct"/>
            <w:tcBorders>
              <w:top w:val="nil"/>
              <w:left w:val="single" w:sz="4" w:space="0" w:color="000000"/>
              <w:bottom w:val="single" w:sz="4" w:space="0" w:color="000000"/>
              <w:right w:val="single" w:sz="4" w:space="0" w:color="000000"/>
            </w:tcBorders>
            <w:shd w:val="clear" w:color="auto" w:fill="FFFFFF"/>
            <w:vAlign w:val="bottom"/>
          </w:tcPr>
          <w:p w:rsidR="00135868" w:rsidRPr="00135868" w:rsidRDefault="00135868" w:rsidP="00135868">
            <w:pPr>
              <w:rPr>
                <w:b/>
              </w:rPr>
            </w:pPr>
            <w:r w:rsidRPr="00135868">
              <w:rPr>
                <w:b/>
              </w:rPr>
              <w:t>Grade 3-4</w:t>
            </w:r>
            <w:r w:rsidRPr="00135868">
              <w:rPr>
                <w:b/>
              </w:rPr>
              <w:br/>
              <w:t>%</w:t>
            </w:r>
            <w:r w:rsidRPr="00135868">
              <w:rPr>
                <w:vertAlign w:val="superscript"/>
              </w:rPr>
              <w:t>†</w:t>
            </w:r>
          </w:p>
        </w:tc>
      </w:tr>
      <w:tr w:rsidR="00135868" w:rsidRPr="00135868" w:rsidTr="00135868">
        <w:trPr>
          <w:cantSplit/>
          <w:jc w:val="center"/>
        </w:trPr>
        <w:tc>
          <w:tcPr>
            <w:tcW w:w="5000" w:type="pct"/>
            <w:gridSpan w:val="3"/>
            <w:tcBorders>
              <w:top w:val="nil"/>
              <w:left w:val="single" w:sz="4" w:space="0" w:color="000000"/>
              <w:bottom w:val="single" w:sz="4" w:space="0" w:color="000000"/>
              <w:right w:val="single" w:sz="4" w:space="0" w:color="000000"/>
            </w:tcBorders>
            <w:shd w:val="clear" w:color="auto" w:fill="FFFFFF"/>
          </w:tcPr>
          <w:p w:rsidR="00135868" w:rsidRPr="00135868" w:rsidRDefault="00135868" w:rsidP="00135868">
            <w:r w:rsidRPr="00135868">
              <w:rPr>
                <w:b/>
              </w:rPr>
              <w:t>Chemistry</w:t>
            </w:r>
          </w:p>
        </w:tc>
      </w:tr>
      <w:tr w:rsidR="00135868" w:rsidRPr="00135868" w:rsidTr="00135868">
        <w:trPr>
          <w:cantSplit/>
          <w:jc w:val="center"/>
        </w:trPr>
        <w:tc>
          <w:tcPr>
            <w:tcW w:w="2206" w:type="pct"/>
            <w:tcBorders>
              <w:top w:val="nil"/>
              <w:left w:val="single" w:sz="4" w:space="0" w:color="000000"/>
              <w:bottom w:val="single" w:sz="4" w:space="0" w:color="000000"/>
              <w:right w:val="nil"/>
            </w:tcBorders>
            <w:shd w:val="clear" w:color="auto" w:fill="FFFFFF"/>
          </w:tcPr>
          <w:p w:rsidR="00135868" w:rsidRPr="00135868" w:rsidRDefault="00135868" w:rsidP="00891578">
            <w:r w:rsidRPr="00135868">
              <w:t>Increased creatinine</w:t>
            </w:r>
          </w:p>
        </w:tc>
        <w:tc>
          <w:tcPr>
            <w:tcW w:w="1197" w:type="pct"/>
            <w:tcBorders>
              <w:top w:val="nil"/>
              <w:left w:val="single" w:sz="4" w:space="0" w:color="000000"/>
              <w:bottom w:val="single" w:sz="4" w:space="0" w:color="000000"/>
              <w:right w:val="nil"/>
            </w:tcBorders>
            <w:shd w:val="clear" w:color="auto" w:fill="FFFFFF"/>
          </w:tcPr>
          <w:p w:rsidR="00135868" w:rsidRPr="00135868" w:rsidRDefault="00135868" w:rsidP="00135868">
            <w:r w:rsidRPr="00135868">
              <w:t>80</w:t>
            </w:r>
          </w:p>
        </w:tc>
        <w:tc>
          <w:tcPr>
            <w:tcW w:w="1597" w:type="pct"/>
            <w:tcBorders>
              <w:top w:val="nil"/>
              <w:left w:val="single" w:sz="4" w:space="0" w:color="000000"/>
              <w:bottom w:val="single" w:sz="4" w:space="0" w:color="000000"/>
              <w:right w:val="single" w:sz="4" w:space="0" w:color="000000"/>
            </w:tcBorders>
            <w:shd w:val="clear" w:color="auto" w:fill="FFFFFF"/>
          </w:tcPr>
          <w:p w:rsidR="00135868" w:rsidRPr="00135868" w:rsidRDefault="00135868" w:rsidP="00135868">
            <w:r w:rsidRPr="00135868">
              <w:t>7</w:t>
            </w:r>
          </w:p>
        </w:tc>
      </w:tr>
      <w:tr w:rsidR="00135868" w:rsidRPr="00135868" w:rsidTr="00135868">
        <w:trPr>
          <w:cantSplit/>
          <w:jc w:val="center"/>
        </w:trPr>
        <w:tc>
          <w:tcPr>
            <w:tcW w:w="2206" w:type="pct"/>
            <w:tcBorders>
              <w:top w:val="nil"/>
              <w:left w:val="single" w:sz="4" w:space="0" w:color="000000"/>
              <w:bottom w:val="single" w:sz="4" w:space="0" w:color="000000"/>
              <w:right w:val="nil"/>
            </w:tcBorders>
            <w:shd w:val="clear" w:color="auto" w:fill="FFFFFF"/>
          </w:tcPr>
          <w:p w:rsidR="00135868" w:rsidRPr="00135868" w:rsidRDefault="00135868" w:rsidP="00891578">
            <w:r w:rsidRPr="00135868">
              <w:t>Hypertriglyceridemia</w:t>
            </w:r>
          </w:p>
        </w:tc>
        <w:tc>
          <w:tcPr>
            <w:tcW w:w="1197" w:type="pct"/>
            <w:tcBorders>
              <w:top w:val="nil"/>
              <w:left w:val="single" w:sz="4" w:space="0" w:color="000000"/>
              <w:bottom w:val="single" w:sz="4" w:space="0" w:color="000000"/>
              <w:right w:val="nil"/>
            </w:tcBorders>
            <w:shd w:val="clear" w:color="auto" w:fill="FFFFFF"/>
          </w:tcPr>
          <w:p w:rsidR="00135868" w:rsidRPr="00135868" w:rsidRDefault="00135868" w:rsidP="00135868">
            <w:r w:rsidRPr="00135868">
              <w:t>58</w:t>
            </w:r>
          </w:p>
        </w:tc>
        <w:tc>
          <w:tcPr>
            <w:tcW w:w="1597" w:type="pct"/>
            <w:tcBorders>
              <w:top w:val="nil"/>
              <w:left w:val="single" w:sz="4" w:space="0" w:color="000000"/>
              <w:bottom w:val="single" w:sz="4" w:space="0" w:color="000000"/>
              <w:right w:val="single" w:sz="4" w:space="0" w:color="000000"/>
            </w:tcBorders>
            <w:shd w:val="clear" w:color="auto" w:fill="FFFFFF"/>
          </w:tcPr>
          <w:p w:rsidR="00135868" w:rsidRPr="00135868" w:rsidRDefault="00135868" w:rsidP="00135868">
            <w:r w:rsidRPr="00135868">
              <w:t>4</w:t>
            </w:r>
          </w:p>
        </w:tc>
      </w:tr>
      <w:tr w:rsidR="00135868" w:rsidRPr="00135868" w:rsidTr="00135868">
        <w:trPr>
          <w:cantSplit/>
          <w:jc w:val="center"/>
        </w:trPr>
        <w:tc>
          <w:tcPr>
            <w:tcW w:w="2206" w:type="pct"/>
            <w:tcBorders>
              <w:top w:val="nil"/>
              <w:left w:val="single" w:sz="4" w:space="0" w:color="000000"/>
              <w:bottom w:val="single" w:sz="4" w:space="0" w:color="000000"/>
              <w:right w:val="nil"/>
            </w:tcBorders>
            <w:shd w:val="clear" w:color="auto" w:fill="FFFFFF"/>
          </w:tcPr>
          <w:p w:rsidR="00135868" w:rsidRPr="00135868" w:rsidRDefault="00135868" w:rsidP="00891578">
            <w:r w:rsidRPr="00135868">
              <w:t xml:space="preserve">Hyperglycaemia </w:t>
            </w:r>
          </w:p>
        </w:tc>
        <w:tc>
          <w:tcPr>
            <w:tcW w:w="1197" w:type="pct"/>
            <w:tcBorders>
              <w:top w:val="nil"/>
              <w:left w:val="single" w:sz="4" w:space="0" w:color="000000"/>
              <w:bottom w:val="single" w:sz="4" w:space="0" w:color="000000"/>
              <w:right w:val="nil"/>
            </w:tcBorders>
            <w:shd w:val="clear" w:color="auto" w:fill="FFFFFF"/>
          </w:tcPr>
          <w:p w:rsidR="00135868" w:rsidRPr="00135868" w:rsidRDefault="00135868" w:rsidP="00135868">
            <w:r w:rsidRPr="00135868">
              <w:t>53</w:t>
            </w:r>
          </w:p>
        </w:tc>
        <w:tc>
          <w:tcPr>
            <w:tcW w:w="1597" w:type="pct"/>
            <w:tcBorders>
              <w:top w:val="nil"/>
              <w:left w:val="single" w:sz="4" w:space="0" w:color="000000"/>
              <w:bottom w:val="single" w:sz="4" w:space="0" w:color="000000"/>
              <w:right w:val="single" w:sz="4" w:space="0" w:color="000000"/>
            </w:tcBorders>
            <w:shd w:val="clear" w:color="auto" w:fill="FFFFFF"/>
          </w:tcPr>
          <w:p w:rsidR="00135868" w:rsidRPr="00135868" w:rsidRDefault="00135868" w:rsidP="00135868">
            <w:r w:rsidRPr="00135868">
              <w:t>1</w:t>
            </w:r>
          </w:p>
        </w:tc>
      </w:tr>
      <w:tr w:rsidR="00135868" w:rsidRPr="00135868" w:rsidTr="00135868">
        <w:trPr>
          <w:cantSplit/>
          <w:jc w:val="center"/>
        </w:trPr>
        <w:tc>
          <w:tcPr>
            <w:tcW w:w="2206" w:type="pct"/>
            <w:tcBorders>
              <w:top w:val="nil"/>
              <w:left w:val="single" w:sz="4" w:space="0" w:color="000000"/>
              <w:bottom w:val="single" w:sz="4" w:space="0" w:color="000000"/>
              <w:right w:val="nil"/>
            </w:tcBorders>
            <w:shd w:val="clear" w:color="auto" w:fill="FFFFFF"/>
          </w:tcPr>
          <w:p w:rsidR="00135868" w:rsidRPr="00135868" w:rsidRDefault="00135868" w:rsidP="00891578">
            <w:proofErr w:type="spellStart"/>
            <w:r w:rsidRPr="00135868">
              <w:t>Hypercholesteremia</w:t>
            </w:r>
            <w:proofErr w:type="spellEnd"/>
          </w:p>
        </w:tc>
        <w:tc>
          <w:tcPr>
            <w:tcW w:w="1197" w:type="pct"/>
            <w:tcBorders>
              <w:top w:val="nil"/>
              <w:left w:val="single" w:sz="4" w:space="0" w:color="000000"/>
              <w:bottom w:val="single" w:sz="4" w:space="0" w:color="000000"/>
              <w:right w:val="nil"/>
            </w:tcBorders>
            <w:shd w:val="clear" w:color="auto" w:fill="FFFFFF"/>
          </w:tcPr>
          <w:p w:rsidR="00135868" w:rsidRPr="00135868" w:rsidRDefault="00135868" w:rsidP="00135868">
            <w:r w:rsidRPr="00135868">
              <w:t>49</w:t>
            </w:r>
          </w:p>
        </w:tc>
        <w:tc>
          <w:tcPr>
            <w:tcW w:w="1597" w:type="pct"/>
            <w:tcBorders>
              <w:top w:val="nil"/>
              <w:left w:val="single" w:sz="4" w:space="0" w:color="000000"/>
              <w:bottom w:val="single" w:sz="4" w:space="0" w:color="000000"/>
              <w:right w:val="single" w:sz="4" w:space="0" w:color="000000"/>
            </w:tcBorders>
            <w:shd w:val="clear" w:color="auto" w:fill="FFFFFF"/>
          </w:tcPr>
          <w:p w:rsidR="00135868" w:rsidRPr="00135868" w:rsidRDefault="00135868" w:rsidP="00135868">
            <w:r w:rsidRPr="00135868">
              <w:t>6</w:t>
            </w:r>
          </w:p>
        </w:tc>
      </w:tr>
      <w:tr w:rsidR="00135868" w:rsidRPr="00135868" w:rsidTr="00135868">
        <w:trPr>
          <w:cantSplit/>
          <w:jc w:val="center"/>
        </w:trPr>
        <w:tc>
          <w:tcPr>
            <w:tcW w:w="2206" w:type="pct"/>
            <w:tcBorders>
              <w:top w:val="nil"/>
              <w:left w:val="single" w:sz="4" w:space="0" w:color="000000"/>
              <w:bottom w:val="single" w:sz="4" w:space="0" w:color="000000"/>
              <w:right w:val="nil"/>
            </w:tcBorders>
            <w:shd w:val="clear" w:color="auto" w:fill="FFFFFF"/>
          </w:tcPr>
          <w:p w:rsidR="00135868" w:rsidRPr="00135868" w:rsidRDefault="00135868" w:rsidP="00891578">
            <w:r w:rsidRPr="00135868">
              <w:t>Hypoalbuminemia</w:t>
            </w:r>
          </w:p>
        </w:tc>
        <w:tc>
          <w:tcPr>
            <w:tcW w:w="1197" w:type="pct"/>
            <w:tcBorders>
              <w:top w:val="nil"/>
              <w:left w:val="single" w:sz="4" w:space="0" w:color="000000"/>
              <w:bottom w:val="single" w:sz="4" w:space="0" w:color="000000"/>
              <w:right w:val="nil"/>
            </w:tcBorders>
            <w:shd w:val="clear" w:color="auto" w:fill="FFFFFF"/>
          </w:tcPr>
          <w:p w:rsidR="00135868" w:rsidRPr="00135868" w:rsidRDefault="00135868" w:rsidP="00135868">
            <w:r w:rsidRPr="00135868">
              <w:t>48</w:t>
            </w:r>
          </w:p>
        </w:tc>
        <w:tc>
          <w:tcPr>
            <w:tcW w:w="1597" w:type="pct"/>
            <w:tcBorders>
              <w:top w:val="nil"/>
              <w:left w:val="single" w:sz="4" w:space="0" w:color="000000"/>
              <w:bottom w:val="single" w:sz="4" w:space="0" w:color="000000"/>
              <w:right w:val="single" w:sz="4" w:space="0" w:color="000000"/>
            </w:tcBorders>
            <w:shd w:val="clear" w:color="auto" w:fill="FFFFFF"/>
          </w:tcPr>
          <w:p w:rsidR="00135868" w:rsidRPr="00135868" w:rsidRDefault="00135868" w:rsidP="00135868">
            <w:r w:rsidRPr="00135868">
              <w:t>0</w:t>
            </w:r>
          </w:p>
        </w:tc>
      </w:tr>
      <w:tr w:rsidR="00135868" w:rsidRPr="00135868" w:rsidTr="00135868">
        <w:trPr>
          <w:cantSplit/>
          <w:jc w:val="center"/>
        </w:trPr>
        <w:tc>
          <w:tcPr>
            <w:tcW w:w="2206" w:type="pct"/>
            <w:tcBorders>
              <w:top w:val="nil"/>
              <w:left w:val="single" w:sz="4" w:space="0" w:color="000000"/>
              <w:bottom w:val="single" w:sz="4" w:space="0" w:color="000000"/>
              <w:right w:val="nil"/>
            </w:tcBorders>
            <w:shd w:val="clear" w:color="auto" w:fill="FFFFFF"/>
          </w:tcPr>
          <w:p w:rsidR="00135868" w:rsidRPr="00135868" w:rsidRDefault="00135868" w:rsidP="00891578">
            <w:r w:rsidRPr="00135868">
              <w:t>Hypomagnesemia</w:t>
            </w:r>
          </w:p>
        </w:tc>
        <w:tc>
          <w:tcPr>
            <w:tcW w:w="1197" w:type="pct"/>
            <w:tcBorders>
              <w:top w:val="nil"/>
              <w:left w:val="single" w:sz="4" w:space="0" w:color="000000"/>
              <w:bottom w:val="single" w:sz="4" w:space="0" w:color="000000"/>
              <w:right w:val="nil"/>
            </w:tcBorders>
            <w:shd w:val="clear" w:color="auto" w:fill="FFFFFF"/>
          </w:tcPr>
          <w:p w:rsidR="00135868" w:rsidRPr="00135868" w:rsidRDefault="00135868" w:rsidP="00135868">
            <w:r w:rsidRPr="00135868">
              <w:t>47</w:t>
            </w:r>
          </w:p>
        </w:tc>
        <w:tc>
          <w:tcPr>
            <w:tcW w:w="1597" w:type="pct"/>
            <w:tcBorders>
              <w:top w:val="nil"/>
              <w:left w:val="single" w:sz="4" w:space="0" w:color="000000"/>
              <w:bottom w:val="single" w:sz="4" w:space="0" w:color="000000"/>
              <w:right w:val="single" w:sz="4" w:space="0" w:color="000000"/>
            </w:tcBorders>
            <w:shd w:val="clear" w:color="auto" w:fill="FFFFFF"/>
          </w:tcPr>
          <w:p w:rsidR="00135868" w:rsidRPr="00135868" w:rsidRDefault="00135868" w:rsidP="00135868">
            <w:r w:rsidRPr="00135868">
              <w:t>2</w:t>
            </w:r>
          </w:p>
        </w:tc>
      </w:tr>
      <w:tr w:rsidR="00135868" w:rsidRPr="00135868" w:rsidTr="00135868">
        <w:trPr>
          <w:cantSplit/>
          <w:jc w:val="center"/>
        </w:trPr>
        <w:tc>
          <w:tcPr>
            <w:tcW w:w="2206" w:type="pct"/>
            <w:tcBorders>
              <w:top w:val="nil"/>
              <w:left w:val="single" w:sz="4" w:space="0" w:color="000000"/>
              <w:bottom w:val="single" w:sz="4" w:space="0" w:color="000000"/>
              <w:right w:val="nil"/>
            </w:tcBorders>
            <w:shd w:val="clear" w:color="auto" w:fill="FFFFFF"/>
          </w:tcPr>
          <w:p w:rsidR="00135868" w:rsidRPr="00135868" w:rsidRDefault="00135868" w:rsidP="00891578">
            <w:r w:rsidRPr="00135868">
              <w:t>Increased aspartate aminotransferase</w:t>
            </w:r>
          </w:p>
        </w:tc>
        <w:tc>
          <w:tcPr>
            <w:tcW w:w="1197" w:type="pct"/>
            <w:tcBorders>
              <w:top w:val="nil"/>
              <w:left w:val="single" w:sz="4" w:space="0" w:color="000000"/>
              <w:bottom w:val="single" w:sz="4" w:space="0" w:color="000000"/>
              <w:right w:val="nil"/>
            </w:tcBorders>
            <w:shd w:val="clear" w:color="auto" w:fill="FFFFFF"/>
          </w:tcPr>
          <w:p w:rsidR="00135868" w:rsidRPr="00135868" w:rsidRDefault="00135868" w:rsidP="00135868">
            <w:r w:rsidRPr="00135868">
              <w:t>43</w:t>
            </w:r>
          </w:p>
        </w:tc>
        <w:tc>
          <w:tcPr>
            <w:tcW w:w="1597" w:type="pct"/>
            <w:tcBorders>
              <w:top w:val="nil"/>
              <w:left w:val="single" w:sz="4" w:space="0" w:color="000000"/>
              <w:bottom w:val="single" w:sz="4" w:space="0" w:color="000000"/>
              <w:right w:val="single" w:sz="4" w:space="0" w:color="000000"/>
            </w:tcBorders>
            <w:shd w:val="clear" w:color="auto" w:fill="FFFFFF"/>
          </w:tcPr>
          <w:p w:rsidR="00135868" w:rsidRPr="00135868" w:rsidRDefault="00135868" w:rsidP="00135868">
            <w:r w:rsidRPr="00135868">
              <w:t>4</w:t>
            </w:r>
          </w:p>
        </w:tc>
      </w:tr>
      <w:tr w:rsidR="00135868" w:rsidRPr="00135868" w:rsidTr="00135868">
        <w:trPr>
          <w:cantSplit/>
          <w:jc w:val="center"/>
        </w:trPr>
        <w:tc>
          <w:tcPr>
            <w:tcW w:w="2206" w:type="pct"/>
            <w:tcBorders>
              <w:top w:val="nil"/>
              <w:left w:val="single" w:sz="4" w:space="0" w:color="000000"/>
              <w:bottom w:val="single" w:sz="4" w:space="0" w:color="000000"/>
              <w:right w:val="nil"/>
            </w:tcBorders>
            <w:shd w:val="clear" w:color="auto" w:fill="FFFFFF"/>
          </w:tcPr>
          <w:p w:rsidR="00135868" w:rsidRPr="00135868" w:rsidRDefault="00135868" w:rsidP="00891578">
            <w:r w:rsidRPr="00135868">
              <w:t>Hyponatremia</w:t>
            </w:r>
          </w:p>
        </w:tc>
        <w:tc>
          <w:tcPr>
            <w:tcW w:w="1197" w:type="pct"/>
            <w:tcBorders>
              <w:top w:val="nil"/>
              <w:left w:val="single" w:sz="4" w:space="0" w:color="000000"/>
              <w:bottom w:val="single" w:sz="4" w:space="0" w:color="000000"/>
              <w:right w:val="nil"/>
            </w:tcBorders>
            <w:shd w:val="clear" w:color="auto" w:fill="FFFFFF"/>
          </w:tcPr>
          <w:p w:rsidR="00135868" w:rsidRPr="00135868" w:rsidRDefault="00135868" w:rsidP="00135868">
            <w:r w:rsidRPr="00135868">
              <w:t>42</w:t>
            </w:r>
          </w:p>
        </w:tc>
        <w:tc>
          <w:tcPr>
            <w:tcW w:w="1597" w:type="pct"/>
            <w:tcBorders>
              <w:top w:val="nil"/>
              <w:left w:val="single" w:sz="4" w:space="0" w:color="000000"/>
              <w:bottom w:val="single" w:sz="4" w:space="0" w:color="000000"/>
              <w:right w:val="single" w:sz="4" w:space="0" w:color="000000"/>
            </w:tcBorders>
            <w:shd w:val="clear" w:color="auto" w:fill="FFFFFF"/>
          </w:tcPr>
          <w:p w:rsidR="00135868" w:rsidRPr="00135868" w:rsidRDefault="00135868" w:rsidP="00135868">
            <w:r w:rsidRPr="00135868">
              <w:t>13</w:t>
            </w:r>
          </w:p>
        </w:tc>
      </w:tr>
      <w:tr w:rsidR="00135868" w:rsidRPr="00135868" w:rsidTr="00135868">
        <w:trPr>
          <w:cantSplit/>
          <w:jc w:val="center"/>
        </w:trPr>
        <w:tc>
          <w:tcPr>
            <w:tcW w:w="2206" w:type="pct"/>
            <w:tcBorders>
              <w:top w:val="nil"/>
              <w:left w:val="single" w:sz="4" w:space="0" w:color="000000"/>
              <w:bottom w:val="single" w:sz="4" w:space="0" w:color="000000"/>
              <w:right w:val="nil"/>
            </w:tcBorders>
            <w:shd w:val="clear" w:color="auto" w:fill="FFFFFF"/>
          </w:tcPr>
          <w:p w:rsidR="00135868" w:rsidRPr="00135868" w:rsidRDefault="00135868" w:rsidP="00891578">
            <w:r w:rsidRPr="00135868">
              <w:t>Increased lipase</w:t>
            </w:r>
          </w:p>
        </w:tc>
        <w:tc>
          <w:tcPr>
            <w:tcW w:w="1197" w:type="pct"/>
            <w:tcBorders>
              <w:top w:val="nil"/>
              <w:left w:val="single" w:sz="4" w:space="0" w:color="000000"/>
              <w:bottom w:val="single" w:sz="4" w:space="0" w:color="000000"/>
              <w:right w:val="nil"/>
            </w:tcBorders>
            <w:shd w:val="clear" w:color="auto" w:fill="FFFFFF"/>
          </w:tcPr>
          <w:p w:rsidR="00135868" w:rsidRPr="00135868" w:rsidRDefault="00135868" w:rsidP="00135868">
            <w:r w:rsidRPr="00135868">
              <w:t>42</w:t>
            </w:r>
          </w:p>
        </w:tc>
        <w:tc>
          <w:tcPr>
            <w:tcW w:w="1597" w:type="pct"/>
            <w:tcBorders>
              <w:top w:val="nil"/>
              <w:left w:val="single" w:sz="4" w:space="0" w:color="000000"/>
              <w:bottom w:val="single" w:sz="4" w:space="0" w:color="000000"/>
              <w:right w:val="single" w:sz="4" w:space="0" w:color="000000"/>
            </w:tcBorders>
            <w:shd w:val="clear" w:color="auto" w:fill="FFFFFF"/>
          </w:tcPr>
          <w:p w:rsidR="00135868" w:rsidRPr="00135868" w:rsidRDefault="00135868" w:rsidP="00135868">
            <w:r w:rsidRPr="00135868">
              <w:t>18</w:t>
            </w:r>
          </w:p>
        </w:tc>
      </w:tr>
      <w:tr w:rsidR="00135868" w:rsidRPr="00135868" w:rsidTr="00135868">
        <w:trPr>
          <w:cantSplit/>
          <w:jc w:val="center"/>
        </w:trPr>
        <w:tc>
          <w:tcPr>
            <w:tcW w:w="2206" w:type="pct"/>
            <w:tcBorders>
              <w:top w:val="nil"/>
              <w:left w:val="single" w:sz="4" w:space="0" w:color="000000"/>
              <w:bottom w:val="single" w:sz="4" w:space="0" w:color="000000"/>
              <w:right w:val="nil"/>
            </w:tcBorders>
            <w:shd w:val="clear" w:color="auto" w:fill="FFFFFF"/>
          </w:tcPr>
          <w:p w:rsidR="00135868" w:rsidRPr="00135868" w:rsidRDefault="00135868" w:rsidP="00891578">
            <w:r w:rsidRPr="00135868">
              <w:t>Increased alanine aminotransferase</w:t>
            </w:r>
          </w:p>
        </w:tc>
        <w:tc>
          <w:tcPr>
            <w:tcW w:w="1197" w:type="pct"/>
            <w:tcBorders>
              <w:top w:val="nil"/>
              <w:left w:val="single" w:sz="4" w:space="0" w:color="000000"/>
              <w:bottom w:val="single" w:sz="4" w:space="0" w:color="000000"/>
              <w:right w:val="nil"/>
            </w:tcBorders>
            <w:shd w:val="clear" w:color="auto" w:fill="FFFFFF"/>
          </w:tcPr>
          <w:p w:rsidR="00135868" w:rsidRPr="00135868" w:rsidRDefault="00135868" w:rsidP="00135868">
            <w:r w:rsidRPr="00135868">
              <w:t>35</w:t>
            </w:r>
          </w:p>
        </w:tc>
        <w:tc>
          <w:tcPr>
            <w:tcW w:w="1597" w:type="pct"/>
            <w:tcBorders>
              <w:top w:val="nil"/>
              <w:left w:val="single" w:sz="4" w:space="0" w:color="000000"/>
              <w:bottom w:val="single" w:sz="4" w:space="0" w:color="000000"/>
              <w:right w:val="single" w:sz="4" w:space="0" w:color="000000"/>
            </w:tcBorders>
            <w:shd w:val="clear" w:color="auto" w:fill="FFFFFF"/>
          </w:tcPr>
          <w:p w:rsidR="00135868" w:rsidRPr="00135868" w:rsidRDefault="00135868" w:rsidP="00135868">
            <w:r w:rsidRPr="00135868">
              <w:t>3</w:t>
            </w:r>
          </w:p>
        </w:tc>
      </w:tr>
      <w:tr w:rsidR="00135868" w:rsidRPr="00135868" w:rsidTr="00135868">
        <w:trPr>
          <w:cantSplit/>
          <w:jc w:val="center"/>
        </w:trPr>
        <w:tc>
          <w:tcPr>
            <w:tcW w:w="2206" w:type="pct"/>
            <w:tcBorders>
              <w:top w:val="nil"/>
              <w:left w:val="single" w:sz="4" w:space="0" w:color="000000"/>
              <w:bottom w:val="single" w:sz="4" w:space="0" w:color="000000"/>
              <w:right w:val="nil"/>
            </w:tcBorders>
            <w:shd w:val="clear" w:color="auto" w:fill="FFFFFF"/>
          </w:tcPr>
          <w:p w:rsidR="00135868" w:rsidRPr="00135868" w:rsidRDefault="00135868" w:rsidP="00891578">
            <w:r w:rsidRPr="00135868">
              <w:t>Increased alkaline phosphatase</w:t>
            </w:r>
          </w:p>
        </w:tc>
        <w:tc>
          <w:tcPr>
            <w:tcW w:w="1197" w:type="pct"/>
            <w:tcBorders>
              <w:top w:val="nil"/>
              <w:left w:val="single" w:sz="4" w:space="0" w:color="000000"/>
              <w:bottom w:val="single" w:sz="4" w:space="0" w:color="000000"/>
              <w:right w:val="nil"/>
            </w:tcBorders>
            <w:shd w:val="clear" w:color="auto" w:fill="FFFFFF"/>
          </w:tcPr>
          <w:p w:rsidR="00135868" w:rsidRPr="00135868" w:rsidRDefault="00135868" w:rsidP="00135868">
            <w:r w:rsidRPr="00135868">
              <w:t>32</w:t>
            </w:r>
          </w:p>
        </w:tc>
        <w:tc>
          <w:tcPr>
            <w:tcW w:w="1597" w:type="pct"/>
            <w:tcBorders>
              <w:top w:val="nil"/>
              <w:left w:val="single" w:sz="4" w:space="0" w:color="000000"/>
              <w:bottom w:val="single" w:sz="4" w:space="0" w:color="000000"/>
              <w:right w:val="single" w:sz="4" w:space="0" w:color="000000"/>
            </w:tcBorders>
            <w:shd w:val="clear" w:color="auto" w:fill="FFFFFF"/>
          </w:tcPr>
          <w:p w:rsidR="00135868" w:rsidRPr="00135868" w:rsidRDefault="00135868" w:rsidP="00135868">
            <w:r w:rsidRPr="00135868">
              <w:t>1</w:t>
            </w:r>
          </w:p>
        </w:tc>
      </w:tr>
      <w:tr w:rsidR="00135868" w:rsidRPr="00135868" w:rsidTr="00135868">
        <w:trPr>
          <w:cantSplit/>
          <w:jc w:val="center"/>
        </w:trPr>
        <w:tc>
          <w:tcPr>
            <w:tcW w:w="2206" w:type="pct"/>
            <w:tcBorders>
              <w:top w:val="nil"/>
              <w:left w:val="single" w:sz="4" w:space="0" w:color="000000"/>
              <w:bottom w:val="single" w:sz="4" w:space="0" w:color="000000"/>
              <w:right w:val="nil"/>
            </w:tcBorders>
            <w:shd w:val="clear" w:color="auto" w:fill="FFFFFF"/>
          </w:tcPr>
          <w:p w:rsidR="00135868" w:rsidRPr="00135868" w:rsidRDefault="00135868" w:rsidP="00891578">
            <w:r w:rsidRPr="00135868">
              <w:t>Hypokalaemia</w:t>
            </w:r>
          </w:p>
        </w:tc>
        <w:tc>
          <w:tcPr>
            <w:tcW w:w="1197" w:type="pct"/>
            <w:tcBorders>
              <w:top w:val="nil"/>
              <w:left w:val="single" w:sz="4" w:space="0" w:color="000000"/>
              <w:bottom w:val="single" w:sz="4" w:space="0" w:color="000000"/>
              <w:right w:val="nil"/>
            </w:tcBorders>
            <w:shd w:val="clear" w:color="auto" w:fill="FFFFFF"/>
          </w:tcPr>
          <w:p w:rsidR="00135868" w:rsidRPr="00135868" w:rsidRDefault="00135868" w:rsidP="00135868">
            <w:r w:rsidRPr="00135868">
              <w:t>27</w:t>
            </w:r>
          </w:p>
        </w:tc>
        <w:tc>
          <w:tcPr>
            <w:tcW w:w="1597" w:type="pct"/>
            <w:tcBorders>
              <w:top w:val="nil"/>
              <w:left w:val="single" w:sz="4" w:space="0" w:color="000000"/>
              <w:bottom w:val="single" w:sz="4" w:space="0" w:color="000000"/>
              <w:right w:val="single" w:sz="4" w:space="0" w:color="000000"/>
            </w:tcBorders>
            <w:shd w:val="clear" w:color="auto" w:fill="FFFFFF"/>
          </w:tcPr>
          <w:p w:rsidR="00135868" w:rsidRPr="00135868" w:rsidRDefault="00135868" w:rsidP="00135868">
            <w:r w:rsidRPr="00135868">
              <w:t>5</w:t>
            </w:r>
          </w:p>
        </w:tc>
      </w:tr>
      <w:tr w:rsidR="00135868" w:rsidRPr="00135868" w:rsidTr="00135868">
        <w:trPr>
          <w:cantSplit/>
          <w:jc w:val="center"/>
        </w:trPr>
        <w:tc>
          <w:tcPr>
            <w:tcW w:w="2206" w:type="pct"/>
            <w:tcBorders>
              <w:top w:val="nil"/>
              <w:left w:val="single" w:sz="4" w:space="0" w:color="000000"/>
              <w:bottom w:val="single" w:sz="4" w:space="0" w:color="000000"/>
              <w:right w:val="nil"/>
            </w:tcBorders>
            <w:shd w:val="clear" w:color="auto" w:fill="FFFFFF"/>
          </w:tcPr>
          <w:p w:rsidR="00135868" w:rsidRPr="00135868" w:rsidRDefault="00135868" w:rsidP="00891578">
            <w:r w:rsidRPr="00135868">
              <w:t xml:space="preserve">Increased amylase </w:t>
            </w:r>
          </w:p>
        </w:tc>
        <w:tc>
          <w:tcPr>
            <w:tcW w:w="1197" w:type="pct"/>
            <w:tcBorders>
              <w:top w:val="nil"/>
              <w:left w:val="single" w:sz="4" w:space="0" w:color="000000"/>
              <w:bottom w:val="single" w:sz="4" w:space="0" w:color="000000"/>
              <w:right w:val="nil"/>
            </w:tcBorders>
            <w:shd w:val="clear" w:color="auto" w:fill="FFFFFF"/>
          </w:tcPr>
          <w:p w:rsidR="00135868" w:rsidRPr="00135868" w:rsidRDefault="00135868" w:rsidP="00135868">
            <w:r w:rsidRPr="00135868">
              <w:t>19</w:t>
            </w:r>
          </w:p>
        </w:tc>
        <w:tc>
          <w:tcPr>
            <w:tcW w:w="1597" w:type="pct"/>
            <w:tcBorders>
              <w:top w:val="nil"/>
              <w:left w:val="single" w:sz="4" w:space="0" w:color="000000"/>
              <w:bottom w:val="single" w:sz="4" w:space="0" w:color="000000"/>
              <w:right w:val="single" w:sz="4" w:space="0" w:color="000000"/>
            </w:tcBorders>
            <w:shd w:val="clear" w:color="auto" w:fill="FFFFFF"/>
          </w:tcPr>
          <w:p w:rsidR="00135868" w:rsidRPr="00135868" w:rsidRDefault="00135868" w:rsidP="00135868">
            <w:r w:rsidRPr="00135868">
              <w:t>6</w:t>
            </w:r>
          </w:p>
        </w:tc>
      </w:tr>
      <w:tr w:rsidR="00135868" w:rsidRPr="00135868" w:rsidTr="00135868">
        <w:trPr>
          <w:cantSplit/>
          <w:jc w:val="center"/>
        </w:trPr>
        <w:tc>
          <w:tcPr>
            <w:tcW w:w="2206" w:type="pct"/>
            <w:tcBorders>
              <w:top w:val="nil"/>
              <w:left w:val="single" w:sz="4" w:space="0" w:color="000000"/>
              <w:bottom w:val="single" w:sz="4" w:space="0" w:color="000000"/>
              <w:right w:val="nil"/>
            </w:tcBorders>
            <w:shd w:val="clear" w:color="auto" w:fill="FFFFFF"/>
          </w:tcPr>
          <w:p w:rsidR="00135868" w:rsidRPr="00135868" w:rsidRDefault="00135868" w:rsidP="00891578">
            <w:r w:rsidRPr="00135868">
              <w:lastRenderedPageBreak/>
              <w:t>Hypocalcaemia</w:t>
            </w:r>
          </w:p>
        </w:tc>
        <w:tc>
          <w:tcPr>
            <w:tcW w:w="1197" w:type="pct"/>
            <w:tcBorders>
              <w:top w:val="nil"/>
              <w:left w:val="single" w:sz="4" w:space="0" w:color="000000"/>
              <w:bottom w:val="single" w:sz="4" w:space="0" w:color="000000"/>
              <w:right w:val="nil"/>
            </w:tcBorders>
            <w:shd w:val="clear" w:color="auto" w:fill="FFFFFF"/>
          </w:tcPr>
          <w:p w:rsidR="00135868" w:rsidRPr="00135868" w:rsidRDefault="00135868" w:rsidP="00135868">
            <w:r w:rsidRPr="00135868">
              <w:t>14</w:t>
            </w:r>
          </w:p>
        </w:tc>
        <w:tc>
          <w:tcPr>
            <w:tcW w:w="1597" w:type="pct"/>
            <w:tcBorders>
              <w:top w:val="nil"/>
              <w:left w:val="single" w:sz="4" w:space="0" w:color="000000"/>
              <w:bottom w:val="single" w:sz="4" w:space="0" w:color="000000"/>
              <w:right w:val="single" w:sz="4" w:space="0" w:color="000000"/>
            </w:tcBorders>
            <w:shd w:val="clear" w:color="auto" w:fill="FFFFFF"/>
          </w:tcPr>
          <w:p w:rsidR="00135868" w:rsidRPr="00135868" w:rsidRDefault="00135868" w:rsidP="00135868">
            <w:r w:rsidRPr="00135868">
              <w:t>3</w:t>
            </w:r>
          </w:p>
        </w:tc>
      </w:tr>
      <w:tr w:rsidR="00135868" w:rsidRPr="00135868" w:rsidTr="00135868">
        <w:trPr>
          <w:cantSplit/>
          <w:jc w:val="center"/>
        </w:trPr>
        <w:tc>
          <w:tcPr>
            <w:tcW w:w="2206" w:type="pct"/>
            <w:tcBorders>
              <w:top w:val="nil"/>
              <w:left w:val="single" w:sz="4" w:space="0" w:color="000000"/>
              <w:bottom w:val="single" w:sz="4" w:space="0" w:color="000000"/>
              <w:right w:val="nil"/>
            </w:tcBorders>
            <w:shd w:val="clear" w:color="auto" w:fill="FFFFFF"/>
          </w:tcPr>
          <w:p w:rsidR="00135868" w:rsidRPr="00135868" w:rsidRDefault="00135868" w:rsidP="00891578">
            <w:proofErr w:type="spellStart"/>
            <w:r w:rsidRPr="00135868">
              <w:t>Hypermagnesemia</w:t>
            </w:r>
            <w:proofErr w:type="spellEnd"/>
          </w:p>
        </w:tc>
        <w:tc>
          <w:tcPr>
            <w:tcW w:w="1197" w:type="pct"/>
            <w:tcBorders>
              <w:top w:val="nil"/>
              <w:left w:val="single" w:sz="4" w:space="0" w:color="000000"/>
              <w:bottom w:val="single" w:sz="4" w:space="0" w:color="000000"/>
              <w:right w:val="nil"/>
            </w:tcBorders>
            <w:shd w:val="clear" w:color="auto" w:fill="FFFFFF"/>
          </w:tcPr>
          <w:p w:rsidR="00135868" w:rsidRPr="00135868" w:rsidRDefault="00135868" w:rsidP="00135868">
            <w:r w:rsidRPr="00135868">
              <w:t>4</w:t>
            </w:r>
          </w:p>
        </w:tc>
        <w:tc>
          <w:tcPr>
            <w:tcW w:w="1597" w:type="pct"/>
            <w:tcBorders>
              <w:top w:val="nil"/>
              <w:left w:val="single" w:sz="4" w:space="0" w:color="000000"/>
              <w:bottom w:val="single" w:sz="4" w:space="0" w:color="000000"/>
              <w:right w:val="single" w:sz="4" w:space="0" w:color="000000"/>
            </w:tcBorders>
            <w:shd w:val="clear" w:color="auto" w:fill="FFFFFF"/>
          </w:tcPr>
          <w:p w:rsidR="00135868" w:rsidRPr="00135868" w:rsidRDefault="00135868" w:rsidP="00135868">
            <w:r w:rsidRPr="00135868">
              <w:t>3</w:t>
            </w:r>
          </w:p>
        </w:tc>
      </w:tr>
      <w:tr w:rsidR="00135868" w:rsidRPr="00135868" w:rsidTr="00135868">
        <w:trPr>
          <w:cantSplit/>
          <w:jc w:val="center"/>
        </w:trPr>
        <w:tc>
          <w:tcPr>
            <w:tcW w:w="5000" w:type="pct"/>
            <w:gridSpan w:val="3"/>
            <w:tcBorders>
              <w:top w:val="nil"/>
              <w:left w:val="single" w:sz="4" w:space="0" w:color="000000"/>
              <w:bottom w:val="single" w:sz="4" w:space="0" w:color="000000"/>
              <w:right w:val="single" w:sz="4" w:space="0" w:color="000000"/>
            </w:tcBorders>
            <w:shd w:val="clear" w:color="auto" w:fill="FFFFFF"/>
          </w:tcPr>
          <w:p w:rsidR="00135868" w:rsidRPr="00135868" w:rsidRDefault="00135868" w:rsidP="00891578">
            <w:pPr>
              <w:rPr>
                <w:b/>
              </w:rPr>
            </w:pPr>
            <w:r w:rsidRPr="00135868">
              <w:rPr>
                <w:b/>
              </w:rPr>
              <w:t>Haematology</w:t>
            </w:r>
          </w:p>
        </w:tc>
      </w:tr>
      <w:tr w:rsidR="00135868" w:rsidRPr="00135868" w:rsidTr="00135868">
        <w:trPr>
          <w:cantSplit/>
          <w:jc w:val="center"/>
        </w:trPr>
        <w:tc>
          <w:tcPr>
            <w:tcW w:w="2206" w:type="pct"/>
            <w:tcBorders>
              <w:top w:val="nil"/>
              <w:left w:val="single" w:sz="4" w:space="0" w:color="000000"/>
              <w:bottom w:val="single" w:sz="4" w:space="0" w:color="000000"/>
              <w:right w:val="nil"/>
            </w:tcBorders>
            <w:shd w:val="clear" w:color="auto" w:fill="FFFFFF"/>
          </w:tcPr>
          <w:p w:rsidR="00135868" w:rsidRPr="00135868" w:rsidRDefault="00135868" w:rsidP="00891578">
            <w:r w:rsidRPr="00135868">
              <w:t>Thrombocytopenia</w:t>
            </w:r>
          </w:p>
        </w:tc>
        <w:tc>
          <w:tcPr>
            <w:tcW w:w="1197" w:type="pct"/>
            <w:tcBorders>
              <w:top w:val="nil"/>
              <w:left w:val="single" w:sz="4" w:space="0" w:color="000000"/>
              <w:bottom w:val="single" w:sz="4" w:space="0" w:color="000000"/>
              <w:right w:val="nil"/>
            </w:tcBorders>
            <w:shd w:val="clear" w:color="auto" w:fill="FFFFFF"/>
          </w:tcPr>
          <w:p w:rsidR="00135868" w:rsidRPr="00135868" w:rsidRDefault="00135868" w:rsidP="00135868">
            <w:r w:rsidRPr="00135868">
              <w:t>48</w:t>
            </w:r>
          </w:p>
        </w:tc>
        <w:tc>
          <w:tcPr>
            <w:tcW w:w="1597" w:type="pct"/>
            <w:tcBorders>
              <w:top w:val="nil"/>
              <w:left w:val="single" w:sz="4" w:space="0" w:color="000000"/>
              <w:bottom w:val="single" w:sz="4" w:space="0" w:color="000000"/>
              <w:right w:val="single" w:sz="4" w:space="0" w:color="000000"/>
            </w:tcBorders>
            <w:shd w:val="clear" w:color="auto" w:fill="FFFFFF"/>
          </w:tcPr>
          <w:p w:rsidR="00135868" w:rsidRPr="00135868" w:rsidRDefault="00135868" w:rsidP="00135868">
            <w:r w:rsidRPr="00135868">
              <w:t>0</w:t>
            </w:r>
          </w:p>
        </w:tc>
      </w:tr>
      <w:tr w:rsidR="00135868" w:rsidRPr="00135868" w:rsidTr="00135868">
        <w:trPr>
          <w:cantSplit/>
          <w:jc w:val="center"/>
        </w:trPr>
        <w:tc>
          <w:tcPr>
            <w:tcW w:w="2206" w:type="pct"/>
            <w:tcBorders>
              <w:top w:val="nil"/>
              <w:left w:val="single" w:sz="4" w:space="0" w:color="000000"/>
              <w:bottom w:val="single" w:sz="4" w:space="0" w:color="000000"/>
              <w:right w:val="nil"/>
            </w:tcBorders>
            <w:shd w:val="clear" w:color="auto" w:fill="FFFFFF"/>
          </w:tcPr>
          <w:p w:rsidR="00135868" w:rsidRPr="00135868" w:rsidRDefault="00135868" w:rsidP="00891578">
            <w:r w:rsidRPr="00135868">
              <w:t>Leukopenia</w:t>
            </w:r>
          </w:p>
        </w:tc>
        <w:tc>
          <w:tcPr>
            <w:tcW w:w="1197" w:type="pct"/>
            <w:tcBorders>
              <w:top w:val="nil"/>
              <w:left w:val="single" w:sz="4" w:space="0" w:color="000000"/>
              <w:bottom w:val="single" w:sz="4" w:space="0" w:color="000000"/>
              <w:right w:val="nil"/>
            </w:tcBorders>
            <w:shd w:val="clear" w:color="auto" w:fill="FFFFFF"/>
          </w:tcPr>
          <w:p w:rsidR="00135868" w:rsidRPr="00135868" w:rsidRDefault="00135868" w:rsidP="00135868">
            <w:r w:rsidRPr="00135868">
              <w:t>38</w:t>
            </w:r>
          </w:p>
        </w:tc>
        <w:tc>
          <w:tcPr>
            <w:tcW w:w="1597" w:type="pct"/>
            <w:tcBorders>
              <w:top w:val="nil"/>
              <w:left w:val="single" w:sz="4" w:space="0" w:color="000000"/>
              <w:bottom w:val="single" w:sz="4" w:space="0" w:color="000000"/>
              <w:right w:val="single" w:sz="4" w:space="0" w:color="000000"/>
            </w:tcBorders>
            <w:shd w:val="clear" w:color="auto" w:fill="FFFFFF"/>
          </w:tcPr>
          <w:p w:rsidR="00135868" w:rsidRPr="00135868" w:rsidRDefault="00135868" w:rsidP="00135868">
            <w:r w:rsidRPr="00135868">
              <w:t>2</w:t>
            </w:r>
          </w:p>
        </w:tc>
      </w:tr>
      <w:tr w:rsidR="00135868" w:rsidRPr="00135868" w:rsidTr="00135868">
        <w:trPr>
          <w:cantSplit/>
          <w:jc w:val="center"/>
        </w:trPr>
        <w:tc>
          <w:tcPr>
            <w:tcW w:w="2206" w:type="pct"/>
            <w:tcBorders>
              <w:top w:val="nil"/>
              <w:left w:val="single" w:sz="4" w:space="0" w:color="000000"/>
              <w:bottom w:val="single" w:sz="4" w:space="0" w:color="000000"/>
              <w:right w:val="nil"/>
            </w:tcBorders>
            <w:shd w:val="clear" w:color="auto" w:fill="FFFFFF"/>
          </w:tcPr>
          <w:p w:rsidR="00135868" w:rsidRPr="00135868" w:rsidRDefault="00135868" w:rsidP="00891578">
            <w:proofErr w:type="spellStart"/>
            <w:r w:rsidRPr="00135868">
              <w:t>Lymphopenia</w:t>
            </w:r>
            <w:proofErr w:type="spellEnd"/>
          </w:p>
        </w:tc>
        <w:tc>
          <w:tcPr>
            <w:tcW w:w="1197" w:type="pct"/>
            <w:tcBorders>
              <w:top w:val="nil"/>
              <w:left w:val="single" w:sz="4" w:space="0" w:color="000000"/>
              <w:bottom w:val="single" w:sz="4" w:space="0" w:color="000000"/>
              <w:right w:val="nil"/>
            </w:tcBorders>
            <w:shd w:val="clear" w:color="auto" w:fill="FFFFFF"/>
          </w:tcPr>
          <w:p w:rsidR="00135868" w:rsidRPr="00135868" w:rsidRDefault="00135868" w:rsidP="00135868">
            <w:r w:rsidRPr="00135868">
              <w:t>36</w:t>
            </w:r>
          </w:p>
        </w:tc>
        <w:tc>
          <w:tcPr>
            <w:tcW w:w="1597" w:type="pct"/>
            <w:tcBorders>
              <w:top w:val="nil"/>
              <w:left w:val="single" w:sz="4" w:space="0" w:color="000000"/>
              <w:bottom w:val="single" w:sz="4" w:space="0" w:color="000000"/>
              <w:right w:val="single" w:sz="4" w:space="0" w:color="000000"/>
            </w:tcBorders>
            <w:shd w:val="clear" w:color="auto" w:fill="FFFFFF"/>
          </w:tcPr>
          <w:p w:rsidR="00135868" w:rsidRPr="00135868" w:rsidRDefault="00135868" w:rsidP="00135868">
            <w:r w:rsidRPr="00135868">
              <w:t>7</w:t>
            </w:r>
          </w:p>
        </w:tc>
      </w:tr>
      <w:tr w:rsidR="00135868" w:rsidRPr="00135868" w:rsidTr="00135868">
        <w:trPr>
          <w:cantSplit/>
          <w:jc w:val="center"/>
        </w:trPr>
        <w:tc>
          <w:tcPr>
            <w:tcW w:w="2206" w:type="pct"/>
            <w:tcBorders>
              <w:top w:val="nil"/>
              <w:left w:val="single" w:sz="4" w:space="0" w:color="000000"/>
              <w:bottom w:val="single" w:sz="4" w:space="0" w:color="000000"/>
              <w:right w:val="nil"/>
            </w:tcBorders>
            <w:shd w:val="clear" w:color="auto" w:fill="FFFFFF"/>
          </w:tcPr>
          <w:p w:rsidR="00135868" w:rsidRPr="00135868" w:rsidRDefault="00135868" w:rsidP="00891578">
            <w:r w:rsidRPr="00135868">
              <w:t>Anaemia</w:t>
            </w:r>
          </w:p>
        </w:tc>
        <w:tc>
          <w:tcPr>
            <w:tcW w:w="1197" w:type="pct"/>
            <w:tcBorders>
              <w:top w:val="nil"/>
              <w:left w:val="single" w:sz="4" w:space="0" w:color="000000"/>
              <w:bottom w:val="single" w:sz="4" w:space="0" w:color="000000"/>
              <w:right w:val="nil"/>
            </w:tcBorders>
            <w:shd w:val="clear" w:color="auto" w:fill="FFFFFF"/>
          </w:tcPr>
          <w:p w:rsidR="00135868" w:rsidRPr="00135868" w:rsidRDefault="00135868" w:rsidP="00135868">
            <w:r w:rsidRPr="00135868">
              <w:t>35</w:t>
            </w:r>
          </w:p>
        </w:tc>
        <w:tc>
          <w:tcPr>
            <w:tcW w:w="1597" w:type="pct"/>
            <w:tcBorders>
              <w:top w:val="nil"/>
              <w:left w:val="single" w:sz="4" w:space="0" w:color="000000"/>
              <w:bottom w:val="single" w:sz="4" w:space="0" w:color="000000"/>
              <w:right w:val="single" w:sz="4" w:space="0" w:color="000000"/>
            </w:tcBorders>
            <w:shd w:val="clear" w:color="auto" w:fill="FFFFFF"/>
          </w:tcPr>
          <w:p w:rsidR="00135868" w:rsidRPr="00135868" w:rsidRDefault="00135868" w:rsidP="00135868">
            <w:r w:rsidRPr="00135868">
              <w:t>1</w:t>
            </w:r>
          </w:p>
        </w:tc>
      </w:tr>
      <w:tr w:rsidR="00135868" w:rsidRPr="00135868" w:rsidTr="00135868">
        <w:trPr>
          <w:cantSplit/>
          <w:jc w:val="center"/>
        </w:trPr>
        <w:tc>
          <w:tcPr>
            <w:tcW w:w="2206" w:type="pct"/>
            <w:tcBorders>
              <w:top w:val="nil"/>
              <w:left w:val="single" w:sz="4" w:space="0" w:color="000000"/>
              <w:bottom w:val="single" w:sz="4" w:space="0" w:color="000000"/>
              <w:right w:val="nil"/>
            </w:tcBorders>
            <w:shd w:val="clear" w:color="auto" w:fill="FFFFFF"/>
          </w:tcPr>
          <w:p w:rsidR="00135868" w:rsidRPr="00135868" w:rsidRDefault="00135868" w:rsidP="00891578">
            <w:r w:rsidRPr="00135868">
              <w:t xml:space="preserve">Increased INR </w:t>
            </w:r>
          </w:p>
        </w:tc>
        <w:tc>
          <w:tcPr>
            <w:tcW w:w="1197" w:type="pct"/>
            <w:tcBorders>
              <w:top w:val="nil"/>
              <w:left w:val="single" w:sz="4" w:space="0" w:color="000000"/>
              <w:bottom w:val="single" w:sz="4" w:space="0" w:color="000000"/>
              <w:right w:val="nil"/>
            </w:tcBorders>
            <w:shd w:val="clear" w:color="auto" w:fill="FFFFFF"/>
          </w:tcPr>
          <w:p w:rsidR="00135868" w:rsidRPr="00135868" w:rsidRDefault="00135868" w:rsidP="00135868">
            <w:r w:rsidRPr="00135868">
              <w:t>21</w:t>
            </w:r>
          </w:p>
        </w:tc>
        <w:tc>
          <w:tcPr>
            <w:tcW w:w="1597" w:type="pct"/>
            <w:tcBorders>
              <w:top w:val="nil"/>
              <w:left w:val="single" w:sz="4" w:space="0" w:color="000000"/>
              <w:bottom w:val="single" w:sz="4" w:space="0" w:color="000000"/>
              <w:right w:val="single" w:sz="4" w:space="0" w:color="000000"/>
            </w:tcBorders>
            <w:shd w:val="clear" w:color="auto" w:fill="FFFFFF"/>
          </w:tcPr>
          <w:p w:rsidR="00135868" w:rsidRPr="00135868" w:rsidRDefault="00135868" w:rsidP="00135868">
            <w:r w:rsidRPr="00135868">
              <w:t>3</w:t>
            </w:r>
          </w:p>
        </w:tc>
      </w:tr>
      <w:tr w:rsidR="00135868" w:rsidRPr="00135868" w:rsidTr="00135868">
        <w:trPr>
          <w:cantSplit/>
          <w:jc w:val="center"/>
        </w:trPr>
        <w:tc>
          <w:tcPr>
            <w:tcW w:w="2206" w:type="pct"/>
            <w:tcBorders>
              <w:top w:val="single" w:sz="4" w:space="0" w:color="000000"/>
              <w:left w:val="single" w:sz="4" w:space="0" w:color="000000"/>
              <w:bottom w:val="single" w:sz="4" w:space="0" w:color="auto"/>
              <w:right w:val="nil"/>
            </w:tcBorders>
            <w:shd w:val="clear" w:color="auto" w:fill="FFFFFF"/>
          </w:tcPr>
          <w:p w:rsidR="00135868" w:rsidRPr="00135868" w:rsidRDefault="00135868" w:rsidP="00891578">
            <w:r w:rsidRPr="00135868">
              <w:t>Neutropenia</w:t>
            </w:r>
          </w:p>
        </w:tc>
        <w:tc>
          <w:tcPr>
            <w:tcW w:w="1197" w:type="pct"/>
            <w:tcBorders>
              <w:top w:val="single" w:sz="4" w:space="0" w:color="000000"/>
              <w:left w:val="single" w:sz="4" w:space="0" w:color="000000"/>
              <w:bottom w:val="single" w:sz="4" w:space="0" w:color="auto"/>
              <w:right w:val="nil"/>
            </w:tcBorders>
            <w:shd w:val="clear" w:color="auto" w:fill="FFFFFF"/>
          </w:tcPr>
          <w:p w:rsidR="00135868" w:rsidRPr="00135868" w:rsidRDefault="00135868" w:rsidP="00135868">
            <w:r w:rsidRPr="00135868">
              <w:t>12</w:t>
            </w:r>
          </w:p>
        </w:tc>
        <w:tc>
          <w:tcPr>
            <w:tcW w:w="1597" w:type="pct"/>
            <w:tcBorders>
              <w:top w:val="single" w:sz="4" w:space="0" w:color="000000"/>
              <w:left w:val="single" w:sz="4" w:space="0" w:color="000000"/>
              <w:bottom w:val="single" w:sz="4" w:space="0" w:color="auto"/>
              <w:right w:val="single" w:sz="4" w:space="0" w:color="000000"/>
            </w:tcBorders>
            <w:shd w:val="clear" w:color="auto" w:fill="FFFFFF"/>
          </w:tcPr>
          <w:p w:rsidR="00135868" w:rsidRPr="00135868" w:rsidRDefault="00135868" w:rsidP="00135868">
            <w:r w:rsidRPr="00135868">
              <w:t>3</w:t>
            </w:r>
          </w:p>
        </w:tc>
      </w:tr>
      <w:tr w:rsidR="00135868" w:rsidRPr="00135868" w:rsidTr="00135868">
        <w:trPr>
          <w:cantSplit/>
          <w:jc w:val="center"/>
        </w:trPr>
        <w:tc>
          <w:tcPr>
            <w:tcW w:w="5000" w:type="pct"/>
            <w:gridSpan w:val="3"/>
            <w:tcBorders>
              <w:top w:val="single" w:sz="4" w:space="0" w:color="auto"/>
            </w:tcBorders>
            <w:shd w:val="clear" w:color="auto" w:fill="FFFFFF"/>
          </w:tcPr>
          <w:p w:rsidR="00135868" w:rsidRPr="00135868" w:rsidRDefault="00135868" w:rsidP="00891578">
            <w:pPr>
              <w:pStyle w:val="Tabledescription"/>
            </w:pPr>
            <w:r w:rsidRPr="00135868">
              <w:t>* With at least 1 grade increase from baseline</w:t>
            </w:r>
          </w:p>
          <w:p w:rsidR="00135868" w:rsidRPr="00135868" w:rsidRDefault="00135868" w:rsidP="00891578">
            <w:pPr>
              <w:pStyle w:val="Tabledescription"/>
            </w:pPr>
            <w:r w:rsidRPr="00135868">
              <w:t>† Laboratory abnormality percentage is based on the number of patients who had both baseline and at least one post-baseline laboratory measurement for each parameter (range: 71 to 92 patients).</w:t>
            </w:r>
          </w:p>
        </w:tc>
      </w:tr>
    </w:tbl>
    <w:p w:rsidR="00135868" w:rsidRPr="00891578" w:rsidRDefault="00135868" w:rsidP="00135868">
      <w:pPr>
        <w:rPr>
          <w:b/>
          <w:bCs/>
        </w:rPr>
      </w:pPr>
      <w:proofErr w:type="spellStart"/>
      <w:r w:rsidRPr="00891578">
        <w:rPr>
          <w:b/>
          <w:bCs/>
        </w:rPr>
        <w:t>Postmarketing</w:t>
      </w:r>
      <w:proofErr w:type="spellEnd"/>
      <w:r w:rsidRPr="00891578">
        <w:rPr>
          <w:b/>
          <w:bCs/>
        </w:rPr>
        <w:t xml:space="preserve"> Experience</w:t>
      </w:r>
    </w:p>
    <w:p w:rsidR="00135868" w:rsidRPr="00135868" w:rsidRDefault="00135868" w:rsidP="00135868">
      <w:r w:rsidRPr="00135868">
        <w:t>The following adverse reactions have been identified during post-approval use of KEYTRUDA. Because these reactions are reported voluntarily from a population of uncertain size, it is not always possible to reliably estimate their frequency or establish a causal relationship to drug exposure.</w:t>
      </w:r>
    </w:p>
    <w:p w:rsidR="00135868" w:rsidRPr="00135868" w:rsidRDefault="00135868" w:rsidP="00135868">
      <w:r w:rsidRPr="00135868">
        <w:rPr>
          <w:i/>
        </w:rPr>
        <w:t>Musculoskeletal and connective tissue disorders:</w:t>
      </w:r>
      <w:r w:rsidRPr="00135868">
        <w:t xml:space="preserve"> arthritis</w:t>
      </w:r>
    </w:p>
    <w:p w:rsidR="00135868" w:rsidRPr="00135868" w:rsidRDefault="00135868" w:rsidP="00135868">
      <w:r w:rsidRPr="00135868">
        <w:rPr>
          <w:i/>
        </w:rPr>
        <w:t>Eye disorders:</w:t>
      </w:r>
      <w:r w:rsidRPr="00135868">
        <w:t xml:space="preserve"> Vogt-</w:t>
      </w:r>
      <w:proofErr w:type="spellStart"/>
      <w:r w:rsidRPr="00135868">
        <w:t>Koyanagi</w:t>
      </w:r>
      <w:proofErr w:type="spellEnd"/>
      <w:r w:rsidRPr="00135868">
        <w:t>-Harada syndrome</w:t>
      </w:r>
    </w:p>
    <w:p w:rsidR="00135868" w:rsidRPr="00135868" w:rsidRDefault="00135868" w:rsidP="00135868">
      <w:r w:rsidRPr="00135868">
        <w:rPr>
          <w:i/>
        </w:rPr>
        <w:lastRenderedPageBreak/>
        <w:t>Immune system disorders:</w:t>
      </w:r>
      <w:r w:rsidRPr="00135868">
        <w:t xml:space="preserve"> </w:t>
      </w:r>
      <w:proofErr w:type="spellStart"/>
      <w:r w:rsidRPr="00135868">
        <w:t>haemophagocytic</w:t>
      </w:r>
      <w:proofErr w:type="spellEnd"/>
      <w:r w:rsidRPr="00135868">
        <w:t xml:space="preserve"> </w:t>
      </w:r>
      <w:proofErr w:type="spellStart"/>
      <w:r w:rsidRPr="00135868">
        <w:t>lymphohistiocytosis</w:t>
      </w:r>
      <w:proofErr w:type="spellEnd"/>
    </w:p>
    <w:p w:rsidR="00135868" w:rsidRPr="00891578" w:rsidRDefault="00135868" w:rsidP="00135868">
      <w:pPr>
        <w:rPr>
          <w:b/>
          <w:bCs/>
        </w:rPr>
      </w:pPr>
      <w:r w:rsidRPr="00891578">
        <w:rPr>
          <w:b/>
          <w:bCs/>
        </w:rPr>
        <w:t>Reporting suspected adverse effects</w:t>
      </w:r>
    </w:p>
    <w:p w:rsidR="00135868" w:rsidRPr="00135868" w:rsidRDefault="00135868" w:rsidP="00135868">
      <w:r w:rsidRPr="00135868">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r w:rsidRPr="00135868">
          <w:rPr>
            <w:rStyle w:val="Hyperlink"/>
          </w:rPr>
          <w:t>http://www.tga.gov.au/reporting-problems</w:t>
        </w:r>
      </w:hyperlink>
      <w:r w:rsidRPr="00135868">
        <w:t>.</w:t>
      </w:r>
    </w:p>
    <w:p w:rsidR="00135868" w:rsidRPr="00135868" w:rsidRDefault="00135868" w:rsidP="00ED7D43">
      <w:pPr>
        <w:pStyle w:val="Heading3"/>
      </w:pPr>
      <w:r w:rsidRPr="00135868">
        <w:t>4.9 OVERDOSE</w:t>
      </w:r>
    </w:p>
    <w:p w:rsidR="00135868" w:rsidRPr="00135868" w:rsidRDefault="00135868" w:rsidP="00135868">
      <w:r w:rsidRPr="00135868">
        <w:t xml:space="preserve">There is no information on </w:t>
      </w:r>
      <w:proofErr w:type="spellStart"/>
      <w:r w:rsidRPr="00135868">
        <w:t>overdosage</w:t>
      </w:r>
      <w:proofErr w:type="spellEnd"/>
      <w:r w:rsidRPr="00135868">
        <w:t xml:space="preserve"> with KEYTRUDA. The maximum tolerated dose of KEYTRUDA has not been determined. In clinical trials, patients received up to 10 mg/kg with a similar safety profile to that seen in patients receiving 2 mg/kg.</w:t>
      </w:r>
    </w:p>
    <w:p w:rsidR="00135868" w:rsidRPr="00135868" w:rsidRDefault="00135868" w:rsidP="00135868">
      <w:r w:rsidRPr="00135868">
        <w:t>In case of overdose, patients must be closely monitored for signs or symptoms of adverse reactions, and appropriate symptomatic treatment instituted.</w:t>
      </w:r>
    </w:p>
    <w:p w:rsidR="00135868" w:rsidRPr="00135868" w:rsidRDefault="00135868" w:rsidP="00135868">
      <w:r w:rsidRPr="00135868">
        <w:t>For information on the management of overdose, contact the Poison Information Centre on 131126 (Australia).</w:t>
      </w:r>
    </w:p>
    <w:p w:rsidR="00135868" w:rsidRPr="00135868" w:rsidRDefault="00135868" w:rsidP="00ED7D43">
      <w:pPr>
        <w:pStyle w:val="Heading2"/>
      </w:pPr>
      <w:r w:rsidRPr="00135868">
        <w:t>5 PHARMACOLOGICAL PROPERTIES</w:t>
      </w:r>
    </w:p>
    <w:p w:rsidR="00135868" w:rsidRPr="00135868" w:rsidRDefault="00135868" w:rsidP="00ED7D43">
      <w:pPr>
        <w:pStyle w:val="Heading3"/>
      </w:pPr>
      <w:r w:rsidRPr="00135868">
        <w:t>5.1 PHARMACODYNAMIC PROPERTIES</w:t>
      </w:r>
    </w:p>
    <w:p w:rsidR="00135868" w:rsidRPr="00135868" w:rsidRDefault="00135868" w:rsidP="00135868">
      <w:proofErr w:type="spellStart"/>
      <w:r w:rsidRPr="00135868">
        <w:t>Pharmacotherapeutic</w:t>
      </w:r>
      <w:proofErr w:type="spellEnd"/>
      <w:r w:rsidRPr="00135868">
        <w:t xml:space="preserve"> group: Antineoplastic agents, monoclonal antibodies</w:t>
      </w:r>
    </w:p>
    <w:p w:rsidR="00135868" w:rsidRPr="00135868" w:rsidRDefault="00135868" w:rsidP="00135868">
      <w:r w:rsidRPr="00135868">
        <w:t>ATC code: L01XC18.</w:t>
      </w:r>
    </w:p>
    <w:p w:rsidR="00135868" w:rsidRPr="00ED7D43" w:rsidRDefault="00135868" w:rsidP="00135868">
      <w:pPr>
        <w:rPr>
          <w:b/>
          <w:bCs/>
        </w:rPr>
      </w:pPr>
      <w:r w:rsidRPr="00ED7D43">
        <w:rPr>
          <w:b/>
          <w:bCs/>
        </w:rPr>
        <w:t>Mechanism of action</w:t>
      </w:r>
    </w:p>
    <w:p w:rsidR="00135868" w:rsidRPr="00135868" w:rsidRDefault="00135868" w:rsidP="00135868">
      <w:r w:rsidRPr="00135868">
        <w:t>PD-1 is an immune-checkpoint receptor that limits the activity of T lymphocytes in peripheral tissues. The PD-1 pathway is an immune control checkpoint that may be engaged by tumour cells to inhibit active T-cell immune surveillance. KEYTRUDA is a high affinity antibody against PD-1, which exerts ligand blockade of the PD-1 pathway, including PD-L1 and PD-L2, on antigen presenting or tumour cells. By inhibiting the PD-1 receptor from binding to its ligands, KEYTRUDA reactivates tumour-specific cytotoxic T lymphocytes in the tumour microenvironment and reactivates anti-tumour immunity.</w:t>
      </w:r>
    </w:p>
    <w:p w:rsidR="00135868" w:rsidRPr="00135868" w:rsidRDefault="00135868" w:rsidP="00135868">
      <w:r w:rsidRPr="00135868">
        <w:t>In peripheral blood of patients who received KEYTRUDA 2 mg/kg every 3 weeks or 10 mg/kg every 2 weeks or 3 weeks, an increased percentage of activated (i.e., HLA-DR+) CD4+ and CD8+ T-cells was observed after treatment at all doses and schedules without an increase in the circulating T-lymphocyte number.</w:t>
      </w:r>
    </w:p>
    <w:p w:rsidR="00135868" w:rsidRPr="00ED7D43" w:rsidRDefault="00135868" w:rsidP="00135868">
      <w:pPr>
        <w:rPr>
          <w:b/>
          <w:bCs/>
        </w:rPr>
      </w:pPr>
      <w:r w:rsidRPr="00ED7D43">
        <w:rPr>
          <w:b/>
          <w:bCs/>
        </w:rPr>
        <w:t>Clinical Trials</w:t>
      </w:r>
    </w:p>
    <w:p w:rsidR="00135868" w:rsidRPr="00135868" w:rsidRDefault="00135868" w:rsidP="00135868">
      <w:pPr>
        <w:rPr>
          <w:u w:val="single"/>
        </w:rPr>
      </w:pPr>
      <w:r w:rsidRPr="00135868">
        <w:rPr>
          <w:u w:val="single"/>
        </w:rPr>
        <w:t>Melanoma</w:t>
      </w:r>
    </w:p>
    <w:p w:rsidR="00135868" w:rsidRPr="00135868" w:rsidRDefault="00135868" w:rsidP="00135868">
      <w:pPr>
        <w:rPr>
          <w:i/>
        </w:rPr>
      </w:pPr>
      <w:r w:rsidRPr="00135868">
        <w:rPr>
          <w:i/>
        </w:rPr>
        <w:t>KEYNOTE-006: Controlled trial in melanoma patients naïve to treatment with ipilimumab</w:t>
      </w:r>
    </w:p>
    <w:p w:rsidR="00135868" w:rsidRPr="00183DD9" w:rsidRDefault="00135868" w:rsidP="00135868">
      <w:r w:rsidRPr="00135868">
        <w:lastRenderedPageBreak/>
        <w:t xml:space="preserve">The safety and efficacy of KEYTRUDA were investigated in KEYNOTE-006, a </w:t>
      </w:r>
      <w:proofErr w:type="spellStart"/>
      <w:r w:rsidRPr="00135868">
        <w:t>multicenter</w:t>
      </w:r>
      <w:proofErr w:type="spellEnd"/>
      <w:r w:rsidRPr="00135868">
        <w:t xml:space="preserve">, controlled, Phase III study for the treatment of </w:t>
      </w:r>
      <w:proofErr w:type="spellStart"/>
      <w:r w:rsidRPr="00135868">
        <w:t>unresectable</w:t>
      </w:r>
      <w:proofErr w:type="spellEnd"/>
      <w:r w:rsidRPr="00135868">
        <w:t xml:space="preserve"> or metastatic melanoma in patients who were naïve to ipilimumab and who received no or one prior systemic therapy. Patients were randomised (1:1:1) to receive KEYTRUDA at a dose of 10 mg/kg every 2 (n=279) or 3 weeks (n=277) or ipilimumab (n=278). Randomization was stratified by line of therapy, ECOG performance status, and PD-L1 expression status. The study excluded patients with autoimmune disease or those receiving immunosuppression; previous severe hypersensitivity to other monoclonal antibodies; and HIV, hepatitis B or hepatitis C infection.</w:t>
      </w:r>
    </w:p>
    <w:p w:rsidR="00ED7D43" w:rsidRPr="00ED7D43" w:rsidRDefault="00ED7D43" w:rsidP="00ED7D43">
      <w:r w:rsidRPr="00ED7D43">
        <w:t>Patients with BRAF V600E mutant melanoma were not required to have received prior BRAF inhibitor therapy.</w:t>
      </w:r>
    </w:p>
    <w:p w:rsidR="00ED7D43" w:rsidRPr="00ED7D43" w:rsidRDefault="00ED7D43" w:rsidP="00ED7D43">
      <w:r w:rsidRPr="00ED7D43">
        <w:t xml:space="preserve">Patients were treated with KEYTRUDA until disease progression or unacceptable toxicity. Clinically stable patients with initial evidence of disease progression were permitted to remain on treatment until disease progression was confirmed. Assessment of tumour status was performed at 12 weeks, then every 6 weeks through week 48, followed by every 12 weeks thereafter. </w:t>
      </w:r>
    </w:p>
    <w:p w:rsidR="00ED7D43" w:rsidRPr="00ED7D43" w:rsidRDefault="00ED7D43" w:rsidP="00ED7D43">
      <w:r w:rsidRPr="00ED7D43">
        <w:t>Of the 834 patients in KEYNOTE-006, 60% were male, 44% were ≥65 years (median age was 62 years [range 18-89]) and 98% were white. Sixty-six percent had no prior systemic therapies and thus received study therapy as first-line treatment whereas 34% had one prior therapy and thus received study therapy as second-line treatment. Thirty-one percent had an ECOG PS of 1 and 69% had an ECOG PS of 0. Eighty percent of patients were PD-L1 positive (PD-L1 membrane expression in ≥1% of tumour and associated immune cells as assessed prospectively by an immunohistochemistry assay with the 22C3 anti-PD-L1 antibody) and 18% were PD-L1 negative. Sixty-five percent of patients had M1c stage, 32% had elevated LDH and 9% had brain metastases. BRAF mutations were reported in 302 (36%) patients. Among patients with BRAF mutant tumours, 139 (46%) were previously treated with a BRAF inhibitor. Baseline characteristics were well-balanced across treatment arms.</w:t>
      </w:r>
    </w:p>
    <w:p w:rsidR="00ED7D43" w:rsidRPr="00ED7D43" w:rsidRDefault="00ED7D43" w:rsidP="00ED7D43">
      <w:r w:rsidRPr="00ED7D43">
        <w:t>The primary efficacy outcome measures were overall survival (OS) and progression free survival (PFS; as assessed by Integrated Radiology and Oncology Assessment [IRO] review using Response Evaluation Criteria in Solid Tumours [RECIST 1.1]). Secondary efficacy outcome measures were overall response rate (ORR) and response duration. Table 14 summarizes key efficacy measures.</w:t>
      </w:r>
    </w:p>
    <w:p w:rsidR="00ED7D43" w:rsidRPr="00ED7D43" w:rsidRDefault="00ED7D43" w:rsidP="00ED7D43">
      <w:pPr>
        <w:pStyle w:val="Tabletitle"/>
      </w:pPr>
      <w:r w:rsidRPr="00ED7D43">
        <w:t xml:space="preserve">Table 14: Response to KEYTRUDA 10 mg/kg every 2 or 3 weeks </w:t>
      </w:r>
      <w:r w:rsidRPr="00ED7D43">
        <w:br/>
        <w:t>in patients with ipilimumab-naïve advanced melanoma in KEYNOTE-006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7"/>
        <w:gridCol w:w="1941"/>
        <w:gridCol w:w="1941"/>
        <w:gridCol w:w="1981"/>
      </w:tblGrid>
      <w:tr w:rsidR="00ED7D43" w:rsidRPr="00ED7D43" w:rsidTr="00ED7D43">
        <w:trPr>
          <w:tblHeader/>
          <w:jc w:val="center"/>
        </w:trPr>
        <w:tc>
          <w:tcPr>
            <w:tcW w:w="1765" w:type="pct"/>
            <w:shd w:val="clear" w:color="auto" w:fill="auto"/>
          </w:tcPr>
          <w:p w:rsidR="00ED7D43" w:rsidRPr="00ED7D43" w:rsidRDefault="00ED7D43" w:rsidP="00ED7D43">
            <w:pPr>
              <w:rPr>
                <w:b/>
                <w:sz w:val="20"/>
                <w:szCs w:val="20"/>
              </w:rPr>
            </w:pPr>
            <w:r w:rsidRPr="00ED7D43">
              <w:rPr>
                <w:b/>
                <w:sz w:val="20"/>
                <w:szCs w:val="20"/>
              </w:rPr>
              <w:t>Endpoint</w:t>
            </w:r>
          </w:p>
        </w:tc>
        <w:tc>
          <w:tcPr>
            <w:tcW w:w="1071" w:type="pct"/>
          </w:tcPr>
          <w:p w:rsidR="00ED7D43" w:rsidRPr="00ED7D43" w:rsidRDefault="00ED7D43" w:rsidP="00ED7D43">
            <w:pPr>
              <w:rPr>
                <w:b/>
                <w:sz w:val="20"/>
                <w:szCs w:val="20"/>
              </w:rPr>
            </w:pPr>
            <w:r w:rsidRPr="00ED7D43">
              <w:rPr>
                <w:b/>
                <w:sz w:val="20"/>
                <w:szCs w:val="20"/>
              </w:rPr>
              <w:t>KEYTRUDA</w:t>
            </w:r>
          </w:p>
          <w:p w:rsidR="00ED7D43" w:rsidRPr="00ED7D43" w:rsidRDefault="00ED7D43" w:rsidP="00ED7D43">
            <w:pPr>
              <w:rPr>
                <w:b/>
                <w:sz w:val="20"/>
                <w:szCs w:val="20"/>
              </w:rPr>
            </w:pPr>
            <w:r w:rsidRPr="00ED7D43">
              <w:rPr>
                <w:b/>
                <w:sz w:val="20"/>
                <w:szCs w:val="20"/>
              </w:rPr>
              <w:t>10 mg/kg every 3 weeks n=277</w:t>
            </w:r>
          </w:p>
        </w:tc>
        <w:tc>
          <w:tcPr>
            <w:tcW w:w="1071" w:type="pct"/>
          </w:tcPr>
          <w:p w:rsidR="00ED7D43" w:rsidRPr="00ED7D43" w:rsidRDefault="00ED7D43" w:rsidP="00ED7D43">
            <w:pPr>
              <w:rPr>
                <w:b/>
                <w:sz w:val="20"/>
                <w:szCs w:val="20"/>
              </w:rPr>
            </w:pPr>
            <w:r w:rsidRPr="00ED7D43">
              <w:rPr>
                <w:b/>
                <w:sz w:val="20"/>
                <w:szCs w:val="20"/>
              </w:rPr>
              <w:t>KEYTRUDA</w:t>
            </w:r>
          </w:p>
          <w:p w:rsidR="00ED7D43" w:rsidRPr="00ED7D43" w:rsidRDefault="00ED7D43" w:rsidP="00ED7D43">
            <w:pPr>
              <w:rPr>
                <w:b/>
                <w:sz w:val="20"/>
                <w:szCs w:val="20"/>
              </w:rPr>
            </w:pPr>
            <w:r w:rsidRPr="00ED7D43">
              <w:rPr>
                <w:b/>
                <w:sz w:val="20"/>
                <w:szCs w:val="20"/>
              </w:rPr>
              <w:t>10 mg/kg every 2 weeks n=279</w:t>
            </w:r>
          </w:p>
        </w:tc>
        <w:tc>
          <w:tcPr>
            <w:tcW w:w="1093" w:type="pct"/>
          </w:tcPr>
          <w:p w:rsidR="00ED7D43" w:rsidRPr="00ED7D43" w:rsidRDefault="00ED7D43" w:rsidP="00ED7D43">
            <w:pPr>
              <w:rPr>
                <w:b/>
                <w:sz w:val="20"/>
                <w:szCs w:val="20"/>
              </w:rPr>
            </w:pPr>
            <w:r w:rsidRPr="00ED7D43">
              <w:rPr>
                <w:b/>
                <w:sz w:val="20"/>
                <w:szCs w:val="20"/>
              </w:rPr>
              <w:t>Ipilimumab</w:t>
            </w:r>
          </w:p>
          <w:p w:rsidR="00ED7D43" w:rsidRPr="00ED7D43" w:rsidRDefault="00ED7D43" w:rsidP="00ED7D43">
            <w:pPr>
              <w:rPr>
                <w:b/>
                <w:sz w:val="20"/>
                <w:szCs w:val="20"/>
              </w:rPr>
            </w:pPr>
            <w:r w:rsidRPr="00ED7D43">
              <w:rPr>
                <w:b/>
                <w:sz w:val="20"/>
                <w:szCs w:val="20"/>
              </w:rPr>
              <w:t>n=278</w:t>
            </w:r>
          </w:p>
        </w:tc>
      </w:tr>
      <w:tr w:rsidR="00ED7D43" w:rsidRPr="00ED7D43" w:rsidTr="00ED7D43">
        <w:trPr>
          <w:jc w:val="center"/>
        </w:trPr>
        <w:tc>
          <w:tcPr>
            <w:tcW w:w="1765" w:type="pct"/>
            <w:shd w:val="clear" w:color="auto" w:fill="auto"/>
          </w:tcPr>
          <w:p w:rsidR="00ED7D43" w:rsidRPr="00ED7D43" w:rsidRDefault="00ED7D43" w:rsidP="00ED7D43">
            <w:pPr>
              <w:rPr>
                <w:b/>
                <w:sz w:val="20"/>
                <w:szCs w:val="20"/>
              </w:rPr>
            </w:pPr>
            <w:r w:rsidRPr="00ED7D43">
              <w:rPr>
                <w:b/>
                <w:sz w:val="20"/>
                <w:szCs w:val="20"/>
              </w:rPr>
              <w:t>OS*</w:t>
            </w:r>
          </w:p>
        </w:tc>
        <w:tc>
          <w:tcPr>
            <w:tcW w:w="1071" w:type="pct"/>
          </w:tcPr>
          <w:p w:rsidR="00ED7D43" w:rsidRPr="00ED7D43" w:rsidRDefault="00ED7D43" w:rsidP="00ED7D43">
            <w:pPr>
              <w:rPr>
                <w:sz w:val="20"/>
                <w:szCs w:val="20"/>
              </w:rPr>
            </w:pPr>
          </w:p>
        </w:tc>
        <w:tc>
          <w:tcPr>
            <w:tcW w:w="1071" w:type="pct"/>
          </w:tcPr>
          <w:p w:rsidR="00ED7D43" w:rsidRPr="00ED7D43" w:rsidRDefault="00ED7D43" w:rsidP="00ED7D43">
            <w:pPr>
              <w:rPr>
                <w:sz w:val="20"/>
                <w:szCs w:val="20"/>
              </w:rPr>
            </w:pPr>
          </w:p>
        </w:tc>
        <w:tc>
          <w:tcPr>
            <w:tcW w:w="1093" w:type="pct"/>
          </w:tcPr>
          <w:p w:rsidR="00ED7D43" w:rsidRPr="00ED7D43" w:rsidRDefault="00ED7D43" w:rsidP="00ED7D43">
            <w:pPr>
              <w:rPr>
                <w:sz w:val="20"/>
                <w:szCs w:val="20"/>
              </w:rPr>
            </w:pPr>
          </w:p>
        </w:tc>
      </w:tr>
      <w:tr w:rsidR="00ED7D43" w:rsidRPr="00ED7D43" w:rsidTr="00ED7D43">
        <w:trPr>
          <w:jc w:val="center"/>
        </w:trPr>
        <w:tc>
          <w:tcPr>
            <w:tcW w:w="1765" w:type="pct"/>
            <w:shd w:val="clear" w:color="auto" w:fill="auto"/>
          </w:tcPr>
          <w:p w:rsidR="00ED7D43" w:rsidRPr="00ED7D43" w:rsidRDefault="00ED7D43" w:rsidP="00ED7D43">
            <w:pPr>
              <w:rPr>
                <w:sz w:val="20"/>
                <w:szCs w:val="20"/>
              </w:rPr>
            </w:pPr>
            <w:r w:rsidRPr="00ED7D43">
              <w:rPr>
                <w:sz w:val="20"/>
                <w:szCs w:val="20"/>
              </w:rPr>
              <w:t>Number (%) of patients with event</w:t>
            </w:r>
          </w:p>
        </w:tc>
        <w:tc>
          <w:tcPr>
            <w:tcW w:w="1071" w:type="pct"/>
          </w:tcPr>
          <w:p w:rsidR="00ED7D43" w:rsidRPr="00ED7D43" w:rsidRDefault="00ED7D43" w:rsidP="00ED7D43">
            <w:pPr>
              <w:rPr>
                <w:sz w:val="20"/>
                <w:szCs w:val="20"/>
              </w:rPr>
            </w:pPr>
            <w:r w:rsidRPr="00ED7D43">
              <w:rPr>
                <w:sz w:val="20"/>
                <w:szCs w:val="20"/>
              </w:rPr>
              <w:t>92 (33%)</w:t>
            </w:r>
          </w:p>
        </w:tc>
        <w:tc>
          <w:tcPr>
            <w:tcW w:w="1071" w:type="pct"/>
          </w:tcPr>
          <w:p w:rsidR="00ED7D43" w:rsidRPr="00ED7D43" w:rsidRDefault="00ED7D43" w:rsidP="00ED7D43">
            <w:pPr>
              <w:rPr>
                <w:sz w:val="20"/>
                <w:szCs w:val="20"/>
              </w:rPr>
            </w:pPr>
            <w:r w:rsidRPr="00ED7D43">
              <w:rPr>
                <w:sz w:val="20"/>
                <w:szCs w:val="20"/>
              </w:rPr>
              <w:t>85 (30%)</w:t>
            </w:r>
          </w:p>
        </w:tc>
        <w:tc>
          <w:tcPr>
            <w:tcW w:w="1093" w:type="pct"/>
          </w:tcPr>
          <w:p w:rsidR="00ED7D43" w:rsidRPr="00ED7D43" w:rsidRDefault="00ED7D43" w:rsidP="00ED7D43">
            <w:pPr>
              <w:rPr>
                <w:sz w:val="20"/>
                <w:szCs w:val="20"/>
              </w:rPr>
            </w:pPr>
            <w:r w:rsidRPr="00ED7D43">
              <w:rPr>
                <w:sz w:val="20"/>
                <w:szCs w:val="20"/>
              </w:rPr>
              <w:t>112 (40%)</w:t>
            </w:r>
          </w:p>
        </w:tc>
      </w:tr>
      <w:tr w:rsidR="00ED7D43" w:rsidRPr="00ED7D43" w:rsidTr="00ED7D43">
        <w:trPr>
          <w:jc w:val="center"/>
        </w:trPr>
        <w:tc>
          <w:tcPr>
            <w:tcW w:w="1765" w:type="pct"/>
            <w:shd w:val="clear" w:color="auto" w:fill="auto"/>
          </w:tcPr>
          <w:p w:rsidR="00ED7D43" w:rsidRPr="00ED7D43" w:rsidRDefault="00ED7D43" w:rsidP="00ED7D43">
            <w:pPr>
              <w:rPr>
                <w:sz w:val="20"/>
                <w:szCs w:val="20"/>
              </w:rPr>
            </w:pPr>
            <w:r w:rsidRPr="00ED7D43">
              <w:rPr>
                <w:sz w:val="20"/>
                <w:szCs w:val="20"/>
              </w:rPr>
              <w:lastRenderedPageBreak/>
              <w:t>Hazard ratio</w:t>
            </w:r>
            <w:r w:rsidRPr="00ED7D43">
              <w:rPr>
                <w:sz w:val="20"/>
                <w:szCs w:val="20"/>
                <w:vertAlign w:val="superscript"/>
              </w:rPr>
              <w:t>†</w:t>
            </w:r>
            <w:r w:rsidRPr="00ED7D43">
              <w:rPr>
                <w:sz w:val="20"/>
                <w:szCs w:val="20"/>
              </w:rPr>
              <w:t xml:space="preserve"> (95% CI)</w:t>
            </w:r>
            <w:r w:rsidRPr="00ED7D43">
              <w:rPr>
                <w:sz w:val="20"/>
                <w:szCs w:val="20"/>
                <w:vertAlign w:val="superscript"/>
              </w:rPr>
              <w:t xml:space="preserve"> </w:t>
            </w:r>
          </w:p>
        </w:tc>
        <w:tc>
          <w:tcPr>
            <w:tcW w:w="1071" w:type="pct"/>
          </w:tcPr>
          <w:p w:rsidR="00ED7D43" w:rsidRPr="00ED7D43" w:rsidRDefault="00ED7D43" w:rsidP="00ED7D43">
            <w:pPr>
              <w:rPr>
                <w:sz w:val="20"/>
                <w:szCs w:val="20"/>
              </w:rPr>
            </w:pPr>
            <w:r w:rsidRPr="00ED7D43">
              <w:rPr>
                <w:sz w:val="20"/>
                <w:szCs w:val="20"/>
              </w:rPr>
              <w:t>0.69 (0.52, 0.90)</w:t>
            </w:r>
          </w:p>
        </w:tc>
        <w:tc>
          <w:tcPr>
            <w:tcW w:w="1071" w:type="pct"/>
          </w:tcPr>
          <w:p w:rsidR="00ED7D43" w:rsidRPr="00ED7D43" w:rsidRDefault="00ED7D43" w:rsidP="00ED7D43">
            <w:pPr>
              <w:rPr>
                <w:sz w:val="20"/>
                <w:szCs w:val="20"/>
              </w:rPr>
            </w:pPr>
            <w:r w:rsidRPr="00ED7D43">
              <w:rPr>
                <w:sz w:val="20"/>
                <w:szCs w:val="20"/>
              </w:rPr>
              <w:t>0.63 (0.47, 0.83)</w:t>
            </w:r>
          </w:p>
        </w:tc>
        <w:tc>
          <w:tcPr>
            <w:tcW w:w="1093" w:type="pct"/>
          </w:tcPr>
          <w:p w:rsidR="00ED7D43" w:rsidRPr="00ED7D43" w:rsidRDefault="00ED7D43" w:rsidP="00ED7D43">
            <w:pPr>
              <w:rPr>
                <w:sz w:val="20"/>
                <w:szCs w:val="20"/>
              </w:rPr>
            </w:pPr>
            <w:r w:rsidRPr="00ED7D43">
              <w:rPr>
                <w:sz w:val="20"/>
                <w:szCs w:val="20"/>
              </w:rPr>
              <w:t>---</w:t>
            </w:r>
          </w:p>
        </w:tc>
      </w:tr>
      <w:tr w:rsidR="00ED7D43" w:rsidRPr="00ED7D43" w:rsidTr="00ED7D43">
        <w:trPr>
          <w:jc w:val="center"/>
        </w:trPr>
        <w:tc>
          <w:tcPr>
            <w:tcW w:w="1765" w:type="pct"/>
            <w:shd w:val="clear" w:color="auto" w:fill="auto"/>
          </w:tcPr>
          <w:p w:rsidR="00ED7D43" w:rsidRPr="00ED7D43" w:rsidRDefault="00ED7D43" w:rsidP="00ED7D43">
            <w:pPr>
              <w:rPr>
                <w:sz w:val="20"/>
                <w:szCs w:val="20"/>
              </w:rPr>
            </w:pPr>
            <w:r w:rsidRPr="00ED7D43">
              <w:rPr>
                <w:sz w:val="20"/>
                <w:szCs w:val="20"/>
              </w:rPr>
              <w:t>p-Value</w:t>
            </w:r>
            <w:r w:rsidRPr="00ED7D43">
              <w:rPr>
                <w:sz w:val="20"/>
                <w:szCs w:val="20"/>
                <w:vertAlign w:val="superscript"/>
              </w:rPr>
              <w:t>‡</w:t>
            </w:r>
          </w:p>
        </w:tc>
        <w:tc>
          <w:tcPr>
            <w:tcW w:w="1071" w:type="pct"/>
          </w:tcPr>
          <w:p w:rsidR="00ED7D43" w:rsidRPr="00ED7D43" w:rsidRDefault="00ED7D43" w:rsidP="00ED7D43">
            <w:pPr>
              <w:rPr>
                <w:sz w:val="20"/>
                <w:szCs w:val="20"/>
              </w:rPr>
            </w:pPr>
            <w:r w:rsidRPr="00ED7D43">
              <w:rPr>
                <w:sz w:val="20"/>
                <w:szCs w:val="20"/>
              </w:rPr>
              <w:t>0.00358</w:t>
            </w:r>
          </w:p>
        </w:tc>
        <w:tc>
          <w:tcPr>
            <w:tcW w:w="1071" w:type="pct"/>
          </w:tcPr>
          <w:p w:rsidR="00ED7D43" w:rsidRPr="00ED7D43" w:rsidRDefault="00ED7D43" w:rsidP="00ED7D43">
            <w:pPr>
              <w:rPr>
                <w:sz w:val="20"/>
                <w:szCs w:val="20"/>
              </w:rPr>
            </w:pPr>
            <w:r w:rsidRPr="00ED7D43">
              <w:rPr>
                <w:sz w:val="20"/>
                <w:szCs w:val="20"/>
              </w:rPr>
              <w:t>0.00052</w:t>
            </w:r>
          </w:p>
        </w:tc>
        <w:tc>
          <w:tcPr>
            <w:tcW w:w="1093" w:type="pct"/>
          </w:tcPr>
          <w:p w:rsidR="00ED7D43" w:rsidRPr="00ED7D43" w:rsidRDefault="00ED7D43" w:rsidP="00ED7D43">
            <w:pPr>
              <w:rPr>
                <w:sz w:val="20"/>
                <w:szCs w:val="20"/>
              </w:rPr>
            </w:pPr>
            <w:r w:rsidRPr="00ED7D43">
              <w:rPr>
                <w:sz w:val="20"/>
                <w:szCs w:val="20"/>
              </w:rPr>
              <w:t>---</w:t>
            </w:r>
          </w:p>
        </w:tc>
      </w:tr>
      <w:tr w:rsidR="00ED7D43" w:rsidRPr="00ED7D43" w:rsidTr="00ED7D43">
        <w:trPr>
          <w:jc w:val="center"/>
        </w:trPr>
        <w:tc>
          <w:tcPr>
            <w:tcW w:w="1765" w:type="pct"/>
            <w:shd w:val="clear" w:color="auto" w:fill="auto"/>
          </w:tcPr>
          <w:p w:rsidR="00ED7D43" w:rsidRPr="00ED7D43" w:rsidRDefault="00ED7D43" w:rsidP="00ED7D43">
            <w:pPr>
              <w:rPr>
                <w:sz w:val="20"/>
                <w:szCs w:val="20"/>
              </w:rPr>
            </w:pPr>
            <w:r w:rsidRPr="00ED7D43">
              <w:rPr>
                <w:sz w:val="20"/>
                <w:szCs w:val="20"/>
              </w:rPr>
              <w:t>Median in months (95% CI)</w:t>
            </w:r>
          </w:p>
        </w:tc>
        <w:tc>
          <w:tcPr>
            <w:tcW w:w="1071" w:type="pct"/>
          </w:tcPr>
          <w:p w:rsidR="00ED7D43" w:rsidRPr="00ED7D43" w:rsidRDefault="00ED7D43" w:rsidP="00ED7D43">
            <w:pPr>
              <w:rPr>
                <w:sz w:val="20"/>
                <w:szCs w:val="20"/>
              </w:rPr>
            </w:pPr>
            <w:r w:rsidRPr="00ED7D43">
              <w:rPr>
                <w:sz w:val="20"/>
                <w:szCs w:val="20"/>
              </w:rPr>
              <w:t>Not reached</w:t>
            </w:r>
          </w:p>
          <w:p w:rsidR="00ED7D43" w:rsidRPr="00ED7D43" w:rsidRDefault="00ED7D43" w:rsidP="00ED7D43">
            <w:pPr>
              <w:rPr>
                <w:sz w:val="20"/>
                <w:szCs w:val="20"/>
              </w:rPr>
            </w:pPr>
            <w:r w:rsidRPr="00ED7D43">
              <w:rPr>
                <w:sz w:val="20"/>
                <w:szCs w:val="20"/>
              </w:rPr>
              <w:t>(NA, NA)</w:t>
            </w:r>
          </w:p>
        </w:tc>
        <w:tc>
          <w:tcPr>
            <w:tcW w:w="1071" w:type="pct"/>
          </w:tcPr>
          <w:p w:rsidR="00ED7D43" w:rsidRPr="00ED7D43" w:rsidRDefault="00ED7D43" w:rsidP="00ED7D43">
            <w:pPr>
              <w:rPr>
                <w:sz w:val="20"/>
                <w:szCs w:val="20"/>
              </w:rPr>
            </w:pPr>
            <w:r w:rsidRPr="00ED7D43">
              <w:rPr>
                <w:sz w:val="20"/>
                <w:szCs w:val="20"/>
              </w:rPr>
              <w:t>Not reached</w:t>
            </w:r>
          </w:p>
          <w:p w:rsidR="00ED7D43" w:rsidRPr="00ED7D43" w:rsidRDefault="00ED7D43" w:rsidP="00ED7D43">
            <w:pPr>
              <w:rPr>
                <w:sz w:val="20"/>
                <w:szCs w:val="20"/>
              </w:rPr>
            </w:pPr>
            <w:r w:rsidRPr="00ED7D43">
              <w:rPr>
                <w:sz w:val="20"/>
                <w:szCs w:val="20"/>
              </w:rPr>
              <w:t>(NA, NA)</w:t>
            </w:r>
          </w:p>
        </w:tc>
        <w:tc>
          <w:tcPr>
            <w:tcW w:w="1093" w:type="pct"/>
          </w:tcPr>
          <w:p w:rsidR="00ED7D43" w:rsidRPr="00ED7D43" w:rsidRDefault="00ED7D43" w:rsidP="00ED7D43">
            <w:pPr>
              <w:rPr>
                <w:sz w:val="20"/>
                <w:szCs w:val="20"/>
              </w:rPr>
            </w:pPr>
            <w:r w:rsidRPr="00ED7D43">
              <w:rPr>
                <w:sz w:val="20"/>
                <w:szCs w:val="20"/>
              </w:rPr>
              <w:t>Not reached</w:t>
            </w:r>
          </w:p>
          <w:p w:rsidR="00ED7D43" w:rsidRPr="00ED7D43" w:rsidRDefault="00ED7D43" w:rsidP="00ED7D43">
            <w:pPr>
              <w:rPr>
                <w:sz w:val="20"/>
                <w:szCs w:val="20"/>
              </w:rPr>
            </w:pPr>
            <w:r w:rsidRPr="00ED7D43">
              <w:rPr>
                <w:sz w:val="20"/>
                <w:szCs w:val="20"/>
              </w:rPr>
              <w:t>(13, NA)</w:t>
            </w:r>
          </w:p>
        </w:tc>
      </w:tr>
      <w:tr w:rsidR="00ED7D43" w:rsidRPr="00ED7D43" w:rsidTr="00ED7D43">
        <w:trPr>
          <w:jc w:val="center"/>
        </w:trPr>
        <w:tc>
          <w:tcPr>
            <w:tcW w:w="1765" w:type="pct"/>
            <w:shd w:val="clear" w:color="auto" w:fill="auto"/>
          </w:tcPr>
          <w:p w:rsidR="00ED7D43" w:rsidRPr="00ED7D43" w:rsidRDefault="00ED7D43" w:rsidP="00ED7D43">
            <w:pPr>
              <w:rPr>
                <w:b/>
                <w:sz w:val="20"/>
                <w:szCs w:val="20"/>
              </w:rPr>
            </w:pPr>
            <w:r w:rsidRPr="00ED7D43">
              <w:rPr>
                <w:b/>
                <w:sz w:val="20"/>
                <w:szCs w:val="20"/>
              </w:rPr>
              <w:t>PFS</w:t>
            </w:r>
            <w:r w:rsidRPr="00ED7D43">
              <w:rPr>
                <w:b/>
                <w:bCs/>
                <w:sz w:val="20"/>
                <w:szCs w:val="20"/>
                <w:vertAlign w:val="superscript"/>
              </w:rPr>
              <w:t>§</w:t>
            </w:r>
            <w:r w:rsidRPr="00ED7D43">
              <w:rPr>
                <w:b/>
                <w:sz w:val="20"/>
                <w:szCs w:val="20"/>
              </w:rPr>
              <w:t xml:space="preserve"> by IRO</w:t>
            </w:r>
            <w:r w:rsidRPr="00ED7D43">
              <w:rPr>
                <w:b/>
                <w:bCs/>
                <w:sz w:val="20"/>
                <w:szCs w:val="20"/>
                <w:vertAlign w:val="superscript"/>
              </w:rPr>
              <w:t>¶</w:t>
            </w:r>
          </w:p>
        </w:tc>
        <w:tc>
          <w:tcPr>
            <w:tcW w:w="1071" w:type="pct"/>
          </w:tcPr>
          <w:p w:rsidR="00ED7D43" w:rsidRPr="00ED7D43" w:rsidRDefault="00ED7D43" w:rsidP="00ED7D43">
            <w:pPr>
              <w:rPr>
                <w:sz w:val="20"/>
                <w:szCs w:val="20"/>
              </w:rPr>
            </w:pPr>
          </w:p>
        </w:tc>
        <w:tc>
          <w:tcPr>
            <w:tcW w:w="1071" w:type="pct"/>
          </w:tcPr>
          <w:p w:rsidR="00ED7D43" w:rsidRPr="00ED7D43" w:rsidRDefault="00ED7D43" w:rsidP="00ED7D43">
            <w:pPr>
              <w:rPr>
                <w:sz w:val="20"/>
                <w:szCs w:val="20"/>
              </w:rPr>
            </w:pPr>
          </w:p>
        </w:tc>
        <w:tc>
          <w:tcPr>
            <w:tcW w:w="1093" w:type="pct"/>
          </w:tcPr>
          <w:p w:rsidR="00ED7D43" w:rsidRPr="00ED7D43" w:rsidRDefault="00ED7D43" w:rsidP="00ED7D43">
            <w:pPr>
              <w:rPr>
                <w:sz w:val="20"/>
                <w:szCs w:val="20"/>
              </w:rPr>
            </w:pPr>
          </w:p>
        </w:tc>
      </w:tr>
      <w:tr w:rsidR="00ED7D43" w:rsidRPr="00ED7D43" w:rsidTr="00ED7D43">
        <w:trPr>
          <w:jc w:val="center"/>
        </w:trPr>
        <w:tc>
          <w:tcPr>
            <w:tcW w:w="1765" w:type="pct"/>
            <w:shd w:val="clear" w:color="auto" w:fill="auto"/>
          </w:tcPr>
          <w:p w:rsidR="00ED7D43" w:rsidRPr="00ED7D43" w:rsidRDefault="00ED7D43" w:rsidP="00ED7D43">
            <w:pPr>
              <w:rPr>
                <w:sz w:val="20"/>
                <w:szCs w:val="20"/>
              </w:rPr>
            </w:pPr>
            <w:r w:rsidRPr="00ED7D43">
              <w:rPr>
                <w:sz w:val="20"/>
                <w:szCs w:val="20"/>
              </w:rPr>
              <w:t>Number (%) of patients with event</w:t>
            </w:r>
          </w:p>
        </w:tc>
        <w:tc>
          <w:tcPr>
            <w:tcW w:w="1071" w:type="pct"/>
          </w:tcPr>
          <w:p w:rsidR="00ED7D43" w:rsidRPr="00ED7D43" w:rsidRDefault="00ED7D43" w:rsidP="00ED7D43">
            <w:pPr>
              <w:rPr>
                <w:sz w:val="20"/>
                <w:szCs w:val="20"/>
              </w:rPr>
            </w:pPr>
            <w:r w:rsidRPr="00ED7D43">
              <w:rPr>
                <w:sz w:val="20"/>
                <w:szCs w:val="20"/>
              </w:rPr>
              <w:t>157 (57%)</w:t>
            </w:r>
          </w:p>
        </w:tc>
        <w:tc>
          <w:tcPr>
            <w:tcW w:w="1071" w:type="pct"/>
          </w:tcPr>
          <w:p w:rsidR="00ED7D43" w:rsidRPr="00ED7D43" w:rsidRDefault="00ED7D43" w:rsidP="00ED7D43">
            <w:pPr>
              <w:rPr>
                <w:sz w:val="20"/>
                <w:szCs w:val="20"/>
              </w:rPr>
            </w:pPr>
            <w:r w:rsidRPr="00ED7D43">
              <w:rPr>
                <w:sz w:val="20"/>
                <w:szCs w:val="20"/>
              </w:rPr>
              <w:t>157 (56%)</w:t>
            </w:r>
          </w:p>
        </w:tc>
        <w:tc>
          <w:tcPr>
            <w:tcW w:w="1093" w:type="pct"/>
          </w:tcPr>
          <w:p w:rsidR="00ED7D43" w:rsidRPr="00ED7D43" w:rsidRDefault="00ED7D43" w:rsidP="00ED7D43">
            <w:pPr>
              <w:rPr>
                <w:sz w:val="20"/>
                <w:szCs w:val="20"/>
              </w:rPr>
            </w:pPr>
            <w:r w:rsidRPr="00ED7D43">
              <w:rPr>
                <w:sz w:val="20"/>
                <w:szCs w:val="20"/>
              </w:rPr>
              <w:t>188 (68%)</w:t>
            </w:r>
          </w:p>
        </w:tc>
      </w:tr>
      <w:tr w:rsidR="00ED7D43" w:rsidRPr="00ED7D43" w:rsidTr="00ED7D43">
        <w:trPr>
          <w:jc w:val="center"/>
        </w:trPr>
        <w:tc>
          <w:tcPr>
            <w:tcW w:w="1765" w:type="pct"/>
            <w:shd w:val="clear" w:color="auto" w:fill="auto"/>
          </w:tcPr>
          <w:p w:rsidR="00ED7D43" w:rsidRPr="00ED7D43" w:rsidRDefault="00ED7D43" w:rsidP="00ED7D43">
            <w:pPr>
              <w:rPr>
                <w:sz w:val="20"/>
                <w:szCs w:val="20"/>
              </w:rPr>
            </w:pPr>
            <w:r w:rsidRPr="00ED7D43">
              <w:rPr>
                <w:sz w:val="20"/>
                <w:szCs w:val="20"/>
              </w:rPr>
              <w:t>Hazard ratio</w:t>
            </w:r>
            <w:r w:rsidRPr="00ED7D43">
              <w:rPr>
                <w:sz w:val="20"/>
                <w:szCs w:val="20"/>
                <w:vertAlign w:val="superscript"/>
              </w:rPr>
              <w:t>†</w:t>
            </w:r>
            <w:r w:rsidRPr="00ED7D43">
              <w:rPr>
                <w:sz w:val="20"/>
                <w:szCs w:val="20"/>
              </w:rPr>
              <w:t xml:space="preserve"> (95% CI)</w:t>
            </w:r>
            <w:r w:rsidRPr="00ED7D43">
              <w:rPr>
                <w:sz w:val="20"/>
                <w:szCs w:val="20"/>
                <w:vertAlign w:val="superscript"/>
              </w:rPr>
              <w:t xml:space="preserve"> </w:t>
            </w:r>
          </w:p>
        </w:tc>
        <w:tc>
          <w:tcPr>
            <w:tcW w:w="1071" w:type="pct"/>
          </w:tcPr>
          <w:p w:rsidR="00ED7D43" w:rsidRPr="00ED7D43" w:rsidRDefault="00ED7D43" w:rsidP="00ED7D43">
            <w:pPr>
              <w:rPr>
                <w:sz w:val="20"/>
                <w:szCs w:val="20"/>
              </w:rPr>
            </w:pPr>
            <w:r w:rsidRPr="00ED7D43">
              <w:rPr>
                <w:sz w:val="20"/>
                <w:szCs w:val="20"/>
              </w:rPr>
              <w:t>0.58 (0.47, 0.72)</w:t>
            </w:r>
          </w:p>
        </w:tc>
        <w:tc>
          <w:tcPr>
            <w:tcW w:w="1071" w:type="pct"/>
          </w:tcPr>
          <w:p w:rsidR="00ED7D43" w:rsidRPr="00ED7D43" w:rsidRDefault="00ED7D43" w:rsidP="00ED7D43">
            <w:pPr>
              <w:rPr>
                <w:sz w:val="20"/>
                <w:szCs w:val="20"/>
              </w:rPr>
            </w:pPr>
            <w:r w:rsidRPr="00ED7D43">
              <w:rPr>
                <w:sz w:val="20"/>
                <w:szCs w:val="20"/>
              </w:rPr>
              <w:t>0.58 (0.46, 0.72)</w:t>
            </w:r>
          </w:p>
        </w:tc>
        <w:tc>
          <w:tcPr>
            <w:tcW w:w="1093" w:type="pct"/>
          </w:tcPr>
          <w:p w:rsidR="00ED7D43" w:rsidRPr="00ED7D43" w:rsidRDefault="00ED7D43" w:rsidP="00ED7D43">
            <w:pPr>
              <w:rPr>
                <w:sz w:val="20"/>
                <w:szCs w:val="20"/>
              </w:rPr>
            </w:pPr>
            <w:r w:rsidRPr="00ED7D43">
              <w:rPr>
                <w:sz w:val="20"/>
                <w:szCs w:val="20"/>
              </w:rPr>
              <w:t>---</w:t>
            </w:r>
          </w:p>
        </w:tc>
      </w:tr>
      <w:tr w:rsidR="00ED7D43" w:rsidRPr="00ED7D43" w:rsidTr="00ED7D43">
        <w:trPr>
          <w:jc w:val="center"/>
        </w:trPr>
        <w:tc>
          <w:tcPr>
            <w:tcW w:w="1765" w:type="pct"/>
            <w:shd w:val="clear" w:color="auto" w:fill="auto"/>
          </w:tcPr>
          <w:p w:rsidR="00ED7D43" w:rsidRPr="00ED7D43" w:rsidRDefault="00ED7D43" w:rsidP="00ED7D43">
            <w:pPr>
              <w:rPr>
                <w:sz w:val="20"/>
                <w:szCs w:val="20"/>
              </w:rPr>
            </w:pPr>
            <w:r w:rsidRPr="00ED7D43">
              <w:rPr>
                <w:sz w:val="20"/>
                <w:szCs w:val="20"/>
              </w:rPr>
              <w:t>p-Value</w:t>
            </w:r>
            <w:r w:rsidRPr="00ED7D43">
              <w:rPr>
                <w:sz w:val="20"/>
                <w:szCs w:val="20"/>
                <w:vertAlign w:val="superscript"/>
              </w:rPr>
              <w:t>‡</w:t>
            </w:r>
          </w:p>
        </w:tc>
        <w:tc>
          <w:tcPr>
            <w:tcW w:w="1071" w:type="pct"/>
          </w:tcPr>
          <w:p w:rsidR="00ED7D43" w:rsidRPr="00ED7D43" w:rsidRDefault="00ED7D43" w:rsidP="00ED7D43">
            <w:pPr>
              <w:rPr>
                <w:sz w:val="20"/>
                <w:szCs w:val="20"/>
              </w:rPr>
            </w:pPr>
            <w:r w:rsidRPr="00ED7D43">
              <w:rPr>
                <w:sz w:val="20"/>
                <w:szCs w:val="20"/>
              </w:rPr>
              <w:t>&lt;0.00001</w:t>
            </w:r>
          </w:p>
        </w:tc>
        <w:tc>
          <w:tcPr>
            <w:tcW w:w="1071" w:type="pct"/>
          </w:tcPr>
          <w:p w:rsidR="00ED7D43" w:rsidRPr="00ED7D43" w:rsidRDefault="00ED7D43" w:rsidP="00ED7D43">
            <w:pPr>
              <w:rPr>
                <w:sz w:val="20"/>
                <w:szCs w:val="20"/>
              </w:rPr>
            </w:pPr>
            <w:r w:rsidRPr="00ED7D43">
              <w:rPr>
                <w:sz w:val="20"/>
                <w:szCs w:val="20"/>
              </w:rPr>
              <w:t>&lt;0.00001</w:t>
            </w:r>
          </w:p>
        </w:tc>
        <w:tc>
          <w:tcPr>
            <w:tcW w:w="1093" w:type="pct"/>
          </w:tcPr>
          <w:p w:rsidR="00ED7D43" w:rsidRPr="00ED7D43" w:rsidRDefault="00ED7D43" w:rsidP="00ED7D43">
            <w:pPr>
              <w:rPr>
                <w:sz w:val="20"/>
                <w:szCs w:val="20"/>
              </w:rPr>
            </w:pPr>
            <w:r w:rsidRPr="00ED7D43">
              <w:rPr>
                <w:sz w:val="20"/>
                <w:szCs w:val="20"/>
              </w:rPr>
              <w:t>---</w:t>
            </w:r>
          </w:p>
        </w:tc>
      </w:tr>
      <w:tr w:rsidR="00ED7D43" w:rsidRPr="00ED7D43" w:rsidTr="00ED7D43">
        <w:trPr>
          <w:jc w:val="center"/>
        </w:trPr>
        <w:tc>
          <w:tcPr>
            <w:tcW w:w="1765" w:type="pct"/>
            <w:shd w:val="clear" w:color="auto" w:fill="auto"/>
          </w:tcPr>
          <w:p w:rsidR="00ED7D43" w:rsidRPr="00ED7D43" w:rsidRDefault="00ED7D43" w:rsidP="00ED7D43">
            <w:pPr>
              <w:rPr>
                <w:sz w:val="20"/>
                <w:szCs w:val="20"/>
              </w:rPr>
            </w:pPr>
            <w:r w:rsidRPr="00ED7D43">
              <w:rPr>
                <w:sz w:val="20"/>
                <w:szCs w:val="20"/>
              </w:rPr>
              <w:t>Median in months (95% CI)</w:t>
            </w:r>
          </w:p>
        </w:tc>
        <w:tc>
          <w:tcPr>
            <w:tcW w:w="1071" w:type="pct"/>
          </w:tcPr>
          <w:p w:rsidR="00ED7D43" w:rsidRPr="00ED7D43" w:rsidRDefault="00ED7D43" w:rsidP="00ED7D43">
            <w:pPr>
              <w:rPr>
                <w:sz w:val="20"/>
                <w:szCs w:val="20"/>
              </w:rPr>
            </w:pPr>
            <w:r w:rsidRPr="00ED7D43">
              <w:rPr>
                <w:sz w:val="20"/>
                <w:szCs w:val="20"/>
              </w:rPr>
              <w:t>4.1 (2.9, 6.9)</w:t>
            </w:r>
          </w:p>
        </w:tc>
        <w:tc>
          <w:tcPr>
            <w:tcW w:w="1071" w:type="pct"/>
          </w:tcPr>
          <w:p w:rsidR="00ED7D43" w:rsidRPr="00ED7D43" w:rsidRDefault="00ED7D43" w:rsidP="00ED7D43">
            <w:pPr>
              <w:rPr>
                <w:sz w:val="20"/>
                <w:szCs w:val="20"/>
              </w:rPr>
            </w:pPr>
            <w:r w:rsidRPr="00ED7D43">
              <w:rPr>
                <w:sz w:val="20"/>
                <w:szCs w:val="20"/>
              </w:rPr>
              <w:t>5.5 (3.4, 6.9)</w:t>
            </w:r>
          </w:p>
        </w:tc>
        <w:tc>
          <w:tcPr>
            <w:tcW w:w="1093" w:type="pct"/>
          </w:tcPr>
          <w:p w:rsidR="00ED7D43" w:rsidRPr="00ED7D43" w:rsidRDefault="00ED7D43" w:rsidP="00ED7D43">
            <w:pPr>
              <w:rPr>
                <w:sz w:val="20"/>
                <w:szCs w:val="20"/>
              </w:rPr>
            </w:pPr>
            <w:r w:rsidRPr="00ED7D43">
              <w:rPr>
                <w:sz w:val="20"/>
                <w:szCs w:val="20"/>
              </w:rPr>
              <w:t>2.8 (2.8, 2.9)</w:t>
            </w:r>
          </w:p>
        </w:tc>
      </w:tr>
      <w:tr w:rsidR="00ED7D43" w:rsidRPr="00ED7D43" w:rsidTr="00ED7D43">
        <w:trPr>
          <w:jc w:val="center"/>
        </w:trPr>
        <w:tc>
          <w:tcPr>
            <w:tcW w:w="1765" w:type="pct"/>
            <w:shd w:val="clear" w:color="auto" w:fill="auto"/>
          </w:tcPr>
          <w:p w:rsidR="00ED7D43" w:rsidRPr="00ED7D43" w:rsidRDefault="00ED7D43" w:rsidP="00ED7D43">
            <w:pPr>
              <w:rPr>
                <w:b/>
                <w:sz w:val="20"/>
                <w:szCs w:val="20"/>
              </w:rPr>
            </w:pPr>
            <w:r w:rsidRPr="00ED7D43">
              <w:rPr>
                <w:b/>
                <w:sz w:val="20"/>
                <w:szCs w:val="20"/>
              </w:rPr>
              <w:t>Best overall response</w:t>
            </w:r>
            <w:r w:rsidRPr="00ED7D43">
              <w:rPr>
                <w:b/>
                <w:bCs/>
                <w:sz w:val="20"/>
                <w:szCs w:val="20"/>
                <w:vertAlign w:val="superscript"/>
              </w:rPr>
              <w:t>§</w:t>
            </w:r>
            <w:r w:rsidRPr="00ED7D43">
              <w:rPr>
                <w:b/>
                <w:sz w:val="20"/>
                <w:szCs w:val="20"/>
              </w:rPr>
              <w:t xml:space="preserve"> by IRO</w:t>
            </w:r>
            <w:r w:rsidRPr="00ED7D43">
              <w:rPr>
                <w:b/>
                <w:bCs/>
                <w:sz w:val="20"/>
                <w:szCs w:val="20"/>
                <w:vertAlign w:val="superscript"/>
              </w:rPr>
              <w:t>¶</w:t>
            </w:r>
          </w:p>
        </w:tc>
        <w:tc>
          <w:tcPr>
            <w:tcW w:w="1071" w:type="pct"/>
          </w:tcPr>
          <w:p w:rsidR="00ED7D43" w:rsidRPr="00ED7D43" w:rsidRDefault="00ED7D43" w:rsidP="00ED7D43">
            <w:pPr>
              <w:rPr>
                <w:sz w:val="20"/>
                <w:szCs w:val="20"/>
              </w:rPr>
            </w:pPr>
          </w:p>
        </w:tc>
        <w:tc>
          <w:tcPr>
            <w:tcW w:w="1071" w:type="pct"/>
          </w:tcPr>
          <w:p w:rsidR="00ED7D43" w:rsidRPr="00ED7D43" w:rsidRDefault="00ED7D43" w:rsidP="00ED7D43">
            <w:pPr>
              <w:rPr>
                <w:sz w:val="20"/>
                <w:szCs w:val="20"/>
              </w:rPr>
            </w:pPr>
          </w:p>
        </w:tc>
        <w:tc>
          <w:tcPr>
            <w:tcW w:w="1093" w:type="pct"/>
          </w:tcPr>
          <w:p w:rsidR="00ED7D43" w:rsidRPr="00ED7D43" w:rsidRDefault="00ED7D43" w:rsidP="00ED7D43">
            <w:pPr>
              <w:rPr>
                <w:sz w:val="20"/>
                <w:szCs w:val="20"/>
              </w:rPr>
            </w:pPr>
          </w:p>
        </w:tc>
      </w:tr>
      <w:tr w:rsidR="00ED7D43" w:rsidRPr="00ED7D43" w:rsidTr="00ED7D43">
        <w:trPr>
          <w:jc w:val="center"/>
        </w:trPr>
        <w:tc>
          <w:tcPr>
            <w:tcW w:w="1765" w:type="pct"/>
            <w:shd w:val="clear" w:color="auto" w:fill="auto"/>
          </w:tcPr>
          <w:p w:rsidR="00ED7D43" w:rsidRPr="00ED7D43" w:rsidRDefault="00ED7D43" w:rsidP="00ED7D43">
            <w:pPr>
              <w:rPr>
                <w:sz w:val="20"/>
                <w:szCs w:val="20"/>
              </w:rPr>
            </w:pPr>
            <w:r w:rsidRPr="00ED7D43">
              <w:rPr>
                <w:sz w:val="20"/>
                <w:szCs w:val="20"/>
              </w:rPr>
              <w:t>ORR % (95% CI)</w:t>
            </w:r>
          </w:p>
        </w:tc>
        <w:tc>
          <w:tcPr>
            <w:tcW w:w="1071" w:type="pct"/>
          </w:tcPr>
          <w:p w:rsidR="00ED7D43" w:rsidRPr="00ED7D43" w:rsidRDefault="00ED7D43" w:rsidP="00ED7D43">
            <w:pPr>
              <w:rPr>
                <w:sz w:val="20"/>
                <w:szCs w:val="20"/>
              </w:rPr>
            </w:pPr>
            <w:r w:rsidRPr="00ED7D43">
              <w:rPr>
                <w:sz w:val="20"/>
                <w:szCs w:val="20"/>
              </w:rPr>
              <w:t>33% (27, 39)</w:t>
            </w:r>
          </w:p>
        </w:tc>
        <w:tc>
          <w:tcPr>
            <w:tcW w:w="1071" w:type="pct"/>
          </w:tcPr>
          <w:p w:rsidR="00ED7D43" w:rsidRPr="00ED7D43" w:rsidRDefault="00ED7D43" w:rsidP="00ED7D43">
            <w:pPr>
              <w:rPr>
                <w:sz w:val="20"/>
                <w:szCs w:val="20"/>
              </w:rPr>
            </w:pPr>
            <w:r w:rsidRPr="00ED7D43">
              <w:rPr>
                <w:sz w:val="20"/>
                <w:szCs w:val="20"/>
              </w:rPr>
              <w:t>34% (28, 40)</w:t>
            </w:r>
          </w:p>
        </w:tc>
        <w:tc>
          <w:tcPr>
            <w:tcW w:w="1093" w:type="pct"/>
          </w:tcPr>
          <w:p w:rsidR="00ED7D43" w:rsidRPr="00ED7D43" w:rsidRDefault="00ED7D43" w:rsidP="00ED7D43">
            <w:pPr>
              <w:rPr>
                <w:sz w:val="20"/>
                <w:szCs w:val="20"/>
              </w:rPr>
            </w:pPr>
            <w:r w:rsidRPr="00ED7D43">
              <w:rPr>
                <w:sz w:val="20"/>
                <w:szCs w:val="20"/>
              </w:rPr>
              <w:t>12% (8, 16)</w:t>
            </w:r>
          </w:p>
        </w:tc>
      </w:tr>
      <w:tr w:rsidR="00ED7D43" w:rsidRPr="00ED7D43" w:rsidTr="00ED7D43">
        <w:trPr>
          <w:jc w:val="center"/>
        </w:trPr>
        <w:tc>
          <w:tcPr>
            <w:tcW w:w="1765" w:type="pct"/>
            <w:shd w:val="clear" w:color="auto" w:fill="auto"/>
          </w:tcPr>
          <w:p w:rsidR="00ED7D43" w:rsidRPr="00ED7D43" w:rsidRDefault="00ED7D43" w:rsidP="00ED7D43">
            <w:pPr>
              <w:rPr>
                <w:sz w:val="20"/>
                <w:szCs w:val="20"/>
              </w:rPr>
            </w:pPr>
            <w:r w:rsidRPr="00ED7D43">
              <w:rPr>
                <w:sz w:val="20"/>
                <w:szCs w:val="20"/>
              </w:rPr>
              <w:t>Complete response %</w:t>
            </w:r>
          </w:p>
        </w:tc>
        <w:tc>
          <w:tcPr>
            <w:tcW w:w="1071" w:type="pct"/>
          </w:tcPr>
          <w:p w:rsidR="00ED7D43" w:rsidRPr="00ED7D43" w:rsidRDefault="00ED7D43" w:rsidP="00ED7D43">
            <w:pPr>
              <w:rPr>
                <w:sz w:val="20"/>
                <w:szCs w:val="20"/>
              </w:rPr>
            </w:pPr>
            <w:r w:rsidRPr="00ED7D43">
              <w:rPr>
                <w:sz w:val="20"/>
                <w:szCs w:val="20"/>
              </w:rPr>
              <w:t>6%</w:t>
            </w:r>
          </w:p>
        </w:tc>
        <w:tc>
          <w:tcPr>
            <w:tcW w:w="1071" w:type="pct"/>
          </w:tcPr>
          <w:p w:rsidR="00ED7D43" w:rsidRPr="00ED7D43" w:rsidRDefault="00ED7D43" w:rsidP="00ED7D43">
            <w:pPr>
              <w:rPr>
                <w:sz w:val="20"/>
                <w:szCs w:val="20"/>
              </w:rPr>
            </w:pPr>
            <w:r w:rsidRPr="00ED7D43">
              <w:rPr>
                <w:sz w:val="20"/>
                <w:szCs w:val="20"/>
              </w:rPr>
              <w:t>5%</w:t>
            </w:r>
          </w:p>
        </w:tc>
        <w:tc>
          <w:tcPr>
            <w:tcW w:w="1093" w:type="pct"/>
          </w:tcPr>
          <w:p w:rsidR="00ED7D43" w:rsidRPr="00ED7D43" w:rsidRDefault="00ED7D43" w:rsidP="00ED7D43">
            <w:pPr>
              <w:rPr>
                <w:sz w:val="20"/>
                <w:szCs w:val="20"/>
              </w:rPr>
            </w:pPr>
            <w:r w:rsidRPr="00ED7D43">
              <w:rPr>
                <w:sz w:val="20"/>
                <w:szCs w:val="20"/>
              </w:rPr>
              <w:t>1%</w:t>
            </w:r>
          </w:p>
        </w:tc>
      </w:tr>
      <w:tr w:rsidR="00ED7D43" w:rsidRPr="00ED7D43" w:rsidTr="00ED7D43">
        <w:trPr>
          <w:jc w:val="center"/>
        </w:trPr>
        <w:tc>
          <w:tcPr>
            <w:tcW w:w="1765" w:type="pct"/>
            <w:shd w:val="clear" w:color="auto" w:fill="auto"/>
          </w:tcPr>
          <w:p w:rsidR="00ED7D43" w:rsidRPr="00ED7D43" w:rsidRDefault="00ED7D43" w:rsidP="00ED7D43">
            <w:pPr>
              <w:rPr>
                <w:sz w:val="20"/>
                <w:szCs w:val="20"/>
              </w:rPr>
            </w:pPr>
            <w:r w:rsidRPr="00ED7D43">
              <w:rPr>
                <w:sz w:val="20"/>
                <w:szCs w:val="20"/>
              </w:rPr>
              <w:t>Partial response %</w:t>
            </w:r>
          </w:p>
        </w:tc>
        <w:tc>
          <w:tcPr>
            <w:tcW w:w="1071" w:type="pct"/>
          </w:tcPr>
          <w:p w:rsidR="00ED7D43" w:rsidRPr="00ED7D43" w:rsidRDefault="00ED7D43" w:rsidP="00ED7D43">
            <w:pPr>
              <w:rPr>
                <w:sz w:val="20"/>
                <w:szCs w:val="20"/>
              </w:rPr>
            </w:pPr>
            <w:r w:rsidRPr="00ED7D43">
              <w:rPr>
                <w:sz w:val="20"/>
                <w:szCs w:val="20"/>
              </w:rPr>
              <w:t>27%</w:t>
            </w:r>
          </w:p>
        </w:tc>
        <w:tc>
          <w:tcPr>
            <w:tcW w:w="1071" w:type="pct"/>
          </w:tcPr>
          <w:p w:rsidR="00ED7D43" w:rsidRPr="00ED7D43" w:rsidRDefault="00ED7D43" w:rsidP="00ED7D43">
            <w:pPr>
              <w:rPr>
                <w:sz w:val="20"/>
                <w:szCs w:val="20"/>
              </w:rPr>
            </w:pPr>
            <w:r w:rsidRPr="00ED7D43">
              <w:rPr>
                <w:sz w:val="20"/>
                <w:szCs w:val="20"/>
              </w:rPr>
              <w:t>29%</w:t>
            </w:r>
          </w:p>
        </w:tc>
        <w:tc>
          <w:tcPr>
            <w:tcW w:w="1093" w:type="pct"/>
          </w:tcPr>
          <w:p w:rsidR="00ED7D43" w:rsidRPr="00ED7D43" w:rsidRDefault="00ED7D43" w:rsidP="00ED7D43">
            <w:pPr>
              <w:rPr>
                <w:sz w:val="20"/>
                <w:szCs w:val="20"/>
              </w:rPr>
            </w:pPr>
            <w:r w:rsidRPr="00ED7D43">
              <w:rPr>
                <w:sz w:val="20"/>
                <w:szCs w:val="20"/>
              </w:rPr>
              <w:t>10%</w:t>
            </w:r>
          </w:p>
        </w:tc>
      </w:tr>
      <w:tr w:rsidR="00ED7D43" w:rsidRPr="00ED7D43" w:rsidTr="00ED7D43">
        <w:trPr>
          <w:jc w:val="center"/>
        </w:trPr>
        <w:tc>
          <w:tcPr>
            <w:tcW w:w="1765" w:type="pct"/>
            <w:shd w:val="clear" w:color="auto" w:fill="auto"/>
          </w:tcPr>
          <w:p w:rsidR="00ED7D43" w:rsidRPr="00ED7D43" w:rsidRDefault="00ED7D43" w:rsidP="00ED7D43">
            <w:pPr>
              <w:rPr>
                <w:b/>
                <w:sz w:val="20"/>
                <w:szCs w:val="20"/>
              </w:rPr>
            </w:pPr>
            <w:r w:rsidRPr="00ED7D43">
              <w:rPr>
                <w:b/>
                <w:sz w:val="20"/>
                <w:szCs w:val="20"/>
              </w:rPr>
              <w:t>Response duration by IRO</w:t>
            </w:r>
            <w:r w:rsidRPr="00ED7D43">
              <w:rPr>
                <w:b/>
                <w:bCs/>
                <w:sz w:val="20"/>
                <w:szCs w:val="20"/>
                <w:vertAlign w:val="superscript"/>
              </w:rPr>
              <w:t>¶</w:t>
            </w:r>
          </w:p>
        </w:tc>
        <w:tc>
          <w:tcPr>
            <w:tcW w:w="1071" w:type="pct"/>
          </w:tcPr>
          <w:p w:rsidR="00ED7D43" w:rsidRPr="00ED7D43" w:rsidRDefault="00ED7D43" w:rsidP="00ED7D43">
            <w:pPr>
              <w:rPr>
                <w:sz w:val="20"/>
                <w:szCs w:val="20"/>
              </w:rPr>
            </w:pPr>
          </w:p>
        </w:tc>
        <w:tc>
          <w:tcPr>
            <w:tcW w:w="1071" w:type="pct"/>
          </w:tcPr>
          <w:p w:rsidR="00ED7D43" w:rsidRPr="00ED7D43" w:rsidRDefault="00ED7D43" w:rsidP="00ED7D43">
            <w:pPr>
              <w:rPr>
                <w:sz w:val="20"/>
                <w:szCs w:val="20"/>
              </w:rPr>
            </w:pPr>
          </w:p>
        </w:tc>
        <w:tc>
          <w:tcPr>
            <w:tcW w:w="1093" w:type="pct"/>
          </w:tcPr>
          <w:p w:rsidR="00ED7D43" w:rsidRPr="00ED7D43" w:rsidRDefault="00ED7D43" w:rsidP="00ED7D43">
            <w:pPr>
              <w:rPr>
                <w:sz w:val="20"/>
                <w:szCs w:val="20"/>
              </w:rPr>
            </w:pPr>
          </w:p>
        </w:tc>
      </w:tr>
      <w:tr w:rsidR="00ED7D43" w:rsidRPr="00ED7D43" w:rsidTr="00ED7D43">
        <w:trPr>
          <w:jc w:val="center"/>
        </w:trPr>
        <w:tc>
          <w:tcPr>
            <w:tcW w:w="1765" w:type="pct"/>
            <w:shd w:val="clear" w:color="auto" w:fill="auto"/>
          </w:tcPr>
          <w:p w:rsidR="00ED7D43" w:rsidRPr="00ED7D43" w:rsidRDefault="00ED7D43" w:rsidP="00ED7D43">
            <w:pPr>
              <w:rPr>
                <w:sz w:val="20"/>
                <w:szCs w:val="20"/>
              </w:rPr>
            </w:pPr>
            <w:r w:rsidRPr="00ED7D43">
              <w:rPr>
                <w:sz w:val="20"/>
                <w:szCs w:val="20"/>
              </w:rPr>
              <w:t>Median in months (range)</w:t>
            </w:r>
          </w:p>
        </w:tc>
        <w:tc>
          <w:tcPr>
            <w:tcW w:w="1071" w:type="pct"/>
          </w:tcPr>
          <w:p w:rsidR="00ED7D43" w:rsidRPr="00ED7D43" w:rsidRDefault="00ED7D43" w:rsidP="00ED7D43">
            <w:pPr>
              <w:rPr>
                <w:sz w:val="20"/>
                <w:szCs w:val="20"/>
              </w:rPr>
            </w:pPr>
            <w:r w:rsidRPr="00ED7D43">
              <w:rPr>
                <w:sz w:val="20"/>
                <w:szCs w:val="20"/>
              </w:rPr>
              <w:t>Not reached</w:t>
            </w:r>
          </w:p>
          <w:p w:rsidR="00ED7D43" w:rsidRPr="00ED7D43" w:rsidRDefault="00ED7D43" w:rsidP="00ED7D43">
            <w:pPr>
              <w:rPr>
                <w:sz w:val="20"/>
                <w:szCs w:val="20"/>
              </w:rPr>
            </w:pPr>
            <w:r w:rsidRPr="00ED7D43">
              <w:rPr>
                <w:sz w:val="20"/>
                <w:szCs w:val="20"/>
              </w:rPr>
              <w:t>(2.0+, 22.8+)</w:t>
            </w:r>
          </w:p>
        </w:tc>
        <w:tc>
          <w:tcPr>
            <w:tcW w:w="1071" w:type="pct"/>
          </w:tcPr>
          <w:p w:rsidR="00ED7D43" w:rsidRPr="00ED7D43" w:rsidRDefault="00ED7D43" w:rsidP="00ED7D43">
            <w:pPr>
              <w:rPr>
                <w:sz w:val="20"/>
                <w:szCs w:val="20"/>
              </w:rPr>
            </w:pPr>
            <w:r w:rsidRPr="00ED7D43">
              <w:rPr>
                <w:sz w:val="20"/>
                <w:szCs w:val="20"/>
              </w:rPr>
              <w:t>Not reached</w:t>
            </w:r>
          </w:p>
          <w:p w:rsidR="00ED7D43" w:rsidRPr="00ED7D43" w:rsidRDefault="00ED7D43" w:rsidP="00ED7D43">
            <w:pPr>
              <w:rPr>
                <w:bCs/>
                <w:sz w:val="20"/>
                <w:szCs w:val="20"/>
              </w:rPr>
            </w:pPr>
            <w:r w:rsidRPr="00ED7D43">
              <w:rPr>
                <w:sz w:val="20"/>
                <w:szCs w:val="20"/>
              </w:rPr>
              <w:t>(1.8+, 22.8)</w:t>
            </w:r>
          </w:p>
        </w:tc>
        <w:tc>
          <w:tcPr>
            <w:tcW w:w="1093" w:type="pct"/>
          </w:tcPr>
          <w:p w:rsidR="00ED7D43" w:rsidRPr="00ED7D43" w:rsidRDefault="00ED7D43" w:rsidP="00ED7D43">
            <w:pPr>
              <w:rPr>
                <w:sz w:val="20"/>
                <w:szCs w:val="20"/>
              </w:rPr>
            </w:pPr>
            <w:r w:rsidRPr="00ED7D43">
              <w:rPr>
                <w:sz w:val="20"/>
                <w:szCs w:val="20"/>
              </w:rPr>
              <w:t>Not reached</w:t>
            </w:r>
          </w:p>
          <w:p w:rsidR="00ED7D43" w:rsidRPr="00ED7D43" w:rsidRDefault="00ED7D43" w:rsidP="00ED7D43">
            <w:pPr>
              <w:rPr>
                <w:sz w:val="20"/>
                <w:szCs w:val="20"/>
              </w:rPr>
            </w:pPr>
            <w:r w:rsidRPr="00ED7D43">
              <w:rPr>
                <w:sz w:val="20"/>
                <w:szCs w:val="20"/>
              </w:rPr>
              <w:t>(1.1+, 23.8+)</w:t>
            </w:r>
          </w:p>
        </w:tc>
      </w:tr>
      <w:tr w:rsidR="00ED7D43" w:rsidRPr="00ED7D43" w:rsidTr="00ED7D43">
        <w:trPr>
          <w:jc w:val="center"/>
        </w:trPr>
        <w:tc>
          <w:tcPr>
            <w:tcW w:w="1765" w:type="pct"/>
            <w:shd w:val="clear" w:color="auto" w:fill="auto"/>
          </w:tcPr>
          <w:p w:rsidR="00ED7D43" w:rsidRPr="00ED7D43" w:rsidRDefault="00ED7D43" w:rsidP="00ED7D43">
            <w:pPr>
              <w:rPr>
                <w:sz w:val="20"/>
                <w:szCs w:val="20"/>
              </w:rPr>
            </w:pPr>
            <w:r w:rsidRPr="00ED7D43">
              <w:rPr>
                <w:sz w:val="20"/>
                <w:szCs w:val="20"/>
              </w:rPr>
              <w:t xml:space="preserve">% ongoing at 12 </w:t>
            </w:r>
            <w:proofErr w:type="spellStart"/>
            <w:r w:rsidRPr="00ED7D43">
              <w:rPr>
                <w:sz w:val="20"/>
                <w:szCs w:val="20"/>
              </w:rPr>
              <w:t>months</w:t>
            </w:r>
            <w:r w:rsidRPr="00ED7D43">
              <w:rPr>
                <w:sz w:val="20"/>
                <w:szCs w:val="20"/>
                <w:vertAlign w:val="superscript"/>
              </w:rPr>
              <w:t>Þ</w:t>
            </w:r>
            <w:proofErr w:type="spellEnd"/>
          </w:p>
        </w:tc>
        <w:tc>
          <w:tcPr>
            <w:tcW w:w="1071" w:type="pct"/>
          </w:tcPr>
          <w:p w:rsidR="00ED7D43" w:rsidRPr="00ED7D43" w:rsidRDefault="00ED7D43" w:rsidP="00ED7D43">
            <w:pPr>
              <w:rPr>
                <w:sz w:val="20"/>
                <w:szCs w:val="20"/>
              </w:rPr>
            </w:pPr>
            <w:r w:rsidRPr="00ED7D43">
              <w:rPr>
                <w:sz w:val="20"/>
                <w:szCs w:val="20"/>
              </w:rPr>
              <w:t>79%</w:t>
            </w:r>
          </w:p>
        </w:tc>
        <w:tc>
          <w:tcPr>
            <w:tcW w:w="1071" w:type="pct"/>
          </w:tcPr>
          <w:p w:rsidR="00ED7D43" w:rsidRPr="00ED7D43" w:rsidRDefault="00ED7D43" w:rsidP="00ED7D43">
            <w:pPr>
              <w:rPr>
                <w:sz w:val="20"/>
                <w:szCs w:val="20"/>
              </w:rPr>
            </w:pPr>
            <w:r w:rsidRPr="00ED7D43">
              <w:rPr>
                <w:sz w:val="20"/>
                <w:szCs w:val="20"/>
              </w:rPr>
              <w:t>75%</w:t>
            </w:r>
          </w:p>
        </w:tc>
        <w:tc>
          <w:tcPr>
            <w:tcW w:w="1093" w:type="pct"/>
          </w:tcPr>
          <w:p w:rsidR="00ED7D43" w:rsidRPr="00ED7D43" w:rsidRDefault="00ED7D43" w:rsidP="00ED7D43">
            <w:pPr>
              <w:rPr>
                <w:sz w:val="20"/>
                <w:szCs w:val="20"/>
              </w:rPr>
            </w:pPr>
            <w:r w:rsidRPr="00ED7D43">
              <w:rPr>
                <w:sz w:val="20"/>
                <w:szCs w:val="20"/>
              </w:rPr>
              <w:t>79%</w:t>
            </w:r>
          </w:p>
        </w:tc>
      </w:tr>
    </w:tbl>
    <w:p w:rsidR="00ED7D43" w:rsidRPr="00ED7D43" w:rsidRDefault="00ED7D43" w:rsidP="00ED7D43">
      <w:pPr>
        <w:pStyle w:val="Tabledescription"/>
      </w:pPr>
      <w:r w:rsidRPr="00ED7D43">
        <w:t>* Based on second interim analysis</w:t>
      </w:r>
    </w:p>
    <w:p w:rsidR="00ED7D43" w:rsidRPr="00ED7D43" w:rsidRDefault="00ED7D43" w:rsidP="00ED7D43">
      <w:pPr>
        <w:pStyle w:val="Tabledescription"/>
      </w:pPr>
      <w:r w:rsidRPr="00ED7D43">
        <w:t>† Hazard ratio (KEYTRUDA compared to ipilimumab) based on the stratified Cox proportional hazard model</w:t>
      </w:r>
    </w:p>
    <w:p w:rsidR="00ED7D43" w:rsidRPr="00ED7D43" w:rsidRDefault="00ED7D43" w:rsidP="00ED7D43">
      <w:pPr>
        <w:pStyle w:val="Tabledescription"/>
      </w:pPr>
      <w:r w:rsidRPr="00ED7D43">
        <w:lastRenderedPageBreak/>
        <w:t xml:space="preserve">‡ Based on stratified Log rank test </w:t>
      </w:r>
    </w:p>
    <w:p w:rsidR="00ED7D43" w:rsidRPr="00ED7D43" w:rsidRDefault="00ED7D43" w:rsidP="00ED7D43">
      <w:pPr>
        <w:pStyle w:val="Tabledescription"/>
      </w:pPr>
      <w:r w:rsidRPr="00ED7D43">
        <w:t>§ Based on first interim analysis</w:t>
      </w:r>
    </w:p>
    <w:p w:rsidR="00ED7D43" w:rsidRPr="00ED7D43" w:rsidRDefault="00ED7D43" w:rsidP="00ED7D43">
      <w:pPr>
        <w:pStyle w:val="Tabledescription"/>
      </w:pPr>
      <w:r w:rsidRPr="00ED7D43">
        <w:t>¶ IRO = Independent radiology plus oncologist review using RECIST 1.1</w:t>
      </w:r>
    </w:p>
    <w:p w:rsidR="00ED7D43" w:rsidRPr="00ED7D43" w:rsidRDefault="00ED7D43" w:rsidP="00ED7D43">
      <w:pPr>
        <w:pStyle w:val="Tabledescription"/>
      </w:pPr>
      <w:r w:rsidRPr="00ED7D43">
        <w:t># Based on patients with a best overall response as confirmed complete or partial response from the final analysis</w:t>
      </w:r>
    </w:p>
    <w:p w:rsidR="00ED7D43" w:rsidRPr="00ED7D43" w:rsidRDefault="00ED7D43" w:rsidP="00ED7D43">
      <w:pPr>
        <w:pStyle w:val="Tabledescription"/>
      </w:pPr>
      <w:r w:rsidRPr="00ED7D43">
        <w:t>Þ Based on Kaplan-Meier estimates</w:t>
      </w:r>
    </w:p>
    <w:p w:rsidR="00ED7D43" w:rsidRPr="00ED7D43" w:rsidRDefault="00ED7D43" w:rsidP="00ED7D43">
      <w:pPr>
        <w:pStyle w:val="Tabledescription"/>
      </w:pPr>
      <w:r w:rsidRPr="00ED7D43">
        <w:t>NA = not available</w:t>
      </w:r>
    </w:p>
    <w:p w:rsidR="00ED7D43" w:rsidRPr="00ED7D43" w:rsidRDefault="00ED7D43" w:rsidP="00ED7D43">
      <w:r w:rsidRPr="00ED7D43">
        <w:t>The final analysis was performed after all patients had at least 21 months of follow-up. The final OS analysis was performed after 383 patient events (119 for KEYTRUDA 10 mg/kg every 3 weeks, 122 for KEYTRUDA 10 mg/kg every 2 weeks and 142 for ipilimumab). The OS HRs vs. ipilimumab were 0.68 (95% CI: 0.53, 0.86; p&lt;0.001) for patients treated with KEYTRUDA 10 mg/kg every 3 weeks and 0.68 (95% CI: 0.53, 0.87; p&lt;0.001) for patients treated with KEYTRUDA 10 mg/kg every 2 weeks. The OS rate at 18 months and 24 months were 62% and 55% respectively for KEYTRUDA 10 mg/kg every 3 weeks, 60% and 55% respectively for KEYTRUDA 10 mg/kg every 2 weeks, and 47% and 43% respectively for ipilimumab. At the final analysis, a long-term PFS analysis was performed based on 566 patient events (183 for KEYTRUDA 10 mg/kg every 3 weeks, 181 for KEYTRUDA 10 mg/kg every 2 weeks and 202 for ipilimumab). The PFS HRs vs. ipilimumab were 0.61 (95% CI: 0.50, 0.75) for patients treated with KEYTRUDA 10 mg/kg every 3 weeks and 0.61 (95% CI: 0.50, 0.75) for patients treated with KEYTRUDA 10 mg/kg every 2 weeks. (See Figures 1 and 2). The percentage of responders with an ongoing response at 18 months was 68% for KEYTRUDA 10 mg/kg every 3 weeks, 71% for KEYTRUDA 10 mg/kg every 2 weeks and 70% for ipilimumab.</w:t>
      </w:r>
    </w:p>
    <w:p w:rsidR="00ED7D43" w:rsidRPr="00ED7D43" w:rsidRDefault="00ED7D43" w:rsidP="00ED7D43">
      <w:pPr>
        <w:pStyle w:val="Figuretitle"/>
      </w:pPr>
      <w:r w:rsidRPr="00ED7D43">
        <w:lastRenderedPageBreak/>
        <w:t>Figure 1: Kaplan-Meier curve for overall survival by treatment arm in</w:t>
      </w:r>
      <w:r>
        <w:t xml:space="preserve"> </w:t>
      </w:r>
      <w:r w:rsidRPr="00ED7D43">
        <w:t>KEYNOTE-006 (intent to treat population)</w:t>
      </w:r>
    </w:p>
    <w:p w:rsidR="00ED7D43" w:rsidRPr="00ED7D43" w:rsidRDefault="00ED7D43" w:rsidP="00ED7D43">
      <w:r w:rsidRPr="00ED7D43">
        <w:drawing>
          <wp:inline distT="0" distB="0" distL="0" distR="0" wp14:anchorId="6E944B17" wp14:editId="4A11AAD0">
            <wp:extent cx="5715000" cy="4411980"/>
            <wp:effectExtent l="0" t="0" r="0" b="7620"/>
            <wp:docPr id="392" name="Picture 392" descr="CCDS FA 006 OS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CDS FA 006 OS Fig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4411980"/>
                    </a:xfrm>
                    <a:prstGeom prst="rect">
                      <a:avLst/>
                    </a:prstGeom>
                    <a:noFill/>
                    <a:ln>
                      <a:noFill/>
                    </a:ln>
                  </pic:spPr>
                </pic:pic>
              </a:graphicData>
            </a:graphic>
          </wp:inline>
        </w:drawing>
      </w:r>
    </w:p>
    <w:p w:rsidR="00ED7D43" w:rsidRPr="00ED7D43" w:rsidRDefault="00ED7D43" w:rsidP="00ED7D43">
      <w:pPr>
        <w:pStyle w:val="Figuretitle"/>
      </w:pPr>
      <w:r w:rsidRPr="00ED7D43">
        <w:lastRenderedPageBreak/>
        <w:t>Figure 2: Kaplan-Meier curve for progression-free survival (based on IRO) by treatment arm in KEYNOTE-006 (intent to treat population)</w:t>
      </w:r>
    </w:p>
    <w:p w:rsidR="00ED7D43" w:rsidRPr="00ED7D43" w:rsidRDefault="00ED7D43" w:rsidP="00ED7D43">
      <w:r w:rsidRPr="00ED7D43">
        <w:drawing>
          <wp:inline distT="0" distB="0" distL="0" distR="0" wp14:anchorId="22D2D856" wp14:editId="0DC22EDE">
            <wp:extent cx="5734050" cy="3198996"/>
            <wp:effectExtent l="0" t="0" r="0" b="1905"/>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3198996"/>
                    </a:xfrm>
                    <a:prstGeom prst="rect">
                      <a:avLst/>
                    </a:prstGeom>
                    <a:noFill/>
                    <a:ln>
                      <a:noFill/>
                    </a:ln>
                  </pic:spPr>
                </pic:pic>
              </a:graphicData>
            </a:graphic>
          </wp:inline>
        </w:drawing>
      </w:r>
    </w:p>
    <w:p w:rsidR="00ED7D43" w:rsidRPr="00ED7D43" w:rsidRDefault="00ED7D43" w:rsidP="00ED7D43">
      <w:pPr>
        <w:rPr>
          <w:i/>
        </w:rPr>
      </w:pPr>
      <w:r w:rsidRPr="00ED7D43">
        <w:rPr>
          <w:i/>
        </w:rPr>
        <w:t>Sub-population analysis by BRAF mutation status</w:t>
      </w:r>
    </w:p>
    <w:p w:rsidR="00ED7D43" w:rsidRPr="00ED7D43" w:rsidRDefault="00ED7D43" w:rsidP="00ED7D43">
      <w:r w:rsidRPr="00ED7D43">
        <w:t xml:space="preserve">A subgroup analysis </w:t>
      </w:r>
      <w:r w:rsidRPr="00ED7D43">
        <w:rPr>
          <w:lang w:val="en-GB"/>
        </w:rPr>
        <w:t>was performed as part of the final analysis</w:t>
      </w:r>
      <w:r w:rsidRPr="00ED7D43">
        <w:t xml:space="preserve"> of KEYNOTE</w:t>
      </w:r>
      <w:r w:rsidRPr="00ED7D43">
        <w:noBreakHyphen/>
        <w:t>006 in patients who were BRAF wild type, BRAF mutant without prior BRAF treatment and BRAF mutant with prior BRAF treatment. The PFS hazard ratios (HRs) (pooled KEYTRUDA [10 mg/kg every 2 or 3 weeks] vs. ipilimumab) were 0.61 (95% CI: 0.49, 0.76) for BRAF wild type, 0.52 (95% CI: 0.35, 0.78) for BRAF mutant without prior BRAF treatment, and 0.76 (95% CI: 0.51, 1.14) for BRAF mutant with prior BRAF treatment. The OS HRs for pooled KEYTRUDA vs. ipilimumab were 0.68 (95% CI: 0.52, 0.88) for BRAF wild type, 0.70 (95% CI: 0.40, 1.22) for BRAF mutant without prior BRAF treatment, and 0.66 (95% CI: 0.41, 1.04) for BRAF mutant with prior BRAF treatment. ORR for pooled KEYTRUDA vs. ipilimumab was 38% vs. 14% for BRAF wild type, 41% vs. 15% for BRAF mutant without prior BRAF treatment, and 24% vs. 10% for BRAF mutant with prior BRAF treatment.</w:t>
      </w:r>
    </w:p>
    <w:p w:rsidR="00ED7D43" w:rsidRPr="00ED7D43" w:rsidRDefault="00ED7D43" w:rsidP="00ED7D43">
      <w:pPr>
        <w:rPr>
          <w:i/>
        </w:rPr>
      </w:pPr>
      <w:r w:rsidRPr="00ED7D43">
        <w:rPr>
          <w:i/>
        </w:rPr>
        <w:t>Sub-population analysis by PD-L1 status</w:t>
      </w:r>
    </w:p>
    <w:p w:rsidR="00ED7D43" w:rsidRPr="00ED7D43" w:rsidRDefault="00ED7D43" w:rsidP="00ED7D43">
      <w:r w:rsidRPr="00ED7D43">
        <w:t xml:space="preserve">A subgroup analysis </w:t>
      </w:r>
      <w:r w:rsidRPr="00ED7D43">
        <w:rPr>
          <w:lang w:val="en-GB"/>
        </w:rPr>
        <w:t xml:space="preserve">was performed as part of the final analysis </w:t>
      </w:r>
      <w:r w:rsidRPr="00ED7D43">
        <w:t>of KEYNOTE</w:t>
      </w:r>
      <w:r w:rsidRPr="00ED7D43">
        <w:noBreakHyphen/>
        <w:t>006 in patients who were PD</w:t>
      </w:r>
      <w:r w:rsidRPr="00ED7D43">
        <w:noBreakHyphen/>
        <w:t>L1 positive vs. PD</w:t>
      </w:r>
      <w:r w:rsidRPr="00ED7D43">
        <w:noBreakHyphen/>
        <w:t>L1 negative. The PFS HRs (pooled KEYTRUDA [10 mg/kg every 2 or 3 weeks] vs. ipilimumab) were 0.53 (95% CI: 0.44, 0.65) for PD</w:t>
      </w:r>
      <w:r w:rsidRPr="00ED7D43">
        <w:noBreakHyphen/>
        <w:t>L1 positive patients and 0.87 (95% CI: 0.58, 1.30) for PD</w:t>
      </w:r>
      <w:r w:rsidRPr="00ED7D43">
        <w:noBreakHyphen/>
        <w:t>L1 negative patients. The OS HRs for pooled KEYTRUDA vs. ipilimumab were 0.63 (95% CI: 0.50, 0.80) for PD</w:t>
      </w:r>
      <w:r w:rsidRPr="00ED7D43">
        <w:noBreakHyphen/>
        <w:t>L1 positive patients and 0.76 (95% CI: 0.48, 1.19) for PD</w:t>
      </w:r>
      <w:r w:rsidRPr="00ED7D43">
        <w:noBreakHyphen/>
        <w:t>L1 negative patients.</w:t>
      </w:r>
    </w:p>
    <w:p w:rsidR="00ED7D43" w:rsidRPr="00ED7D43" w:rsidRDefault="00ED7D43" w:rsidP="00ED7D43">
      <w:pPr>
        <w:rPr>
          <w:i/>
        </w:rPr>
      </w:pPr>
      <w:r w:rsidRPr="00ED7D43">
        <w:rPr>
          <w:i/>
        </w:rPr>
        <w:t>KEYNOTE-002: Controlled trial in melanoma patients previously treated with ipilimumab</w:t>
      </w:r>
    </w:p>
    <w:p w:rsidR="00ED7D43" w:rsidRPr="00ED7D43" w:rsidRDefault="00ED7D43" w:rsidP="00ED7D43">
      <w:r w:rsidRPr="00ED7D43">
        <w:t>The safety and efficacy of KEYTRUDA were investigated in KEYNOTE</w:t>
      </w:r>
      <w:r w:rsidRPr="00ED7D43">
        <w:noBreakHyphen/>
        <w:t xml:space="preserve">002, a </w:t>
      </w:r>
      <w:proofErr w:type="spellStart"/>
      <w:r w:rsidRPr="00ED7D43">
        <w:t>multicenter</w:t>
      </w:r>
      <w:proofErr w:type="spellEnd"/>
      <w:r w:rsidRPr="00ED7D43">
        <w:t xml:space="preserve">, controlled study for the treatment of </w:t>
      </w:r>
      <w:proofErr w:type="spellStart"/>
      <w:r w:rsidRPr="00ED7D43">
        <w:t>unresectable</w:t>
      </w:r>
      <w:proofErr w:type="spellEnd"/>
      <w:r w:rsidRPr="00ED7D43">
        <w:t xml:space="preserve"> or metastatic melanoma in patients </w:t>
      </w:r>
      <w:r w:rsidRPr="00ED7D43">
        <w:lastRenderedPageBreak/>
        <w:t>previously treated with ipilimumab and if BRAF V600 mutation-positive, a BRAF or MEK inhibitor. Patients were randomised (1:1:1) to receive KEYTRUDA</w:t>
      </w:r>
      <w:r w:rsidRPr="00ED7D43" w:rsidDel="00383700">
        <w:t xml:space="preserve"> </w:t>
      </w:r>
      <w:r w:rsidRPr="00ED7D43">
        <w:t xml:space="preserve">at a dose of 2 (n=180) or 10 mg/kg (n=181) every 3 weeks or chemotherapy (n=179; including </w:t>
      </w:r>
      <w:proofErr w:type="spellStart"/>
      <w:r w:rsidRPr="00ED7D43">
        <w:t>dacarbazine</w:t>
      </w:r>
      <w:proofErr w:type="spellEnd"/>
      <w:r w:rsidRPr="00ED7D43">
        <w:t xml:space="preserve">, </w:t>
      </w:r>
      <w:proofErr w:type="spellStart"/>
      <w:r w:rsidRPr="00ED7D43">
        <w:t>temozolomide</w:t>
      </w:r>
      <w:proofErr w:type="spellEnd"/>
      <w:r w:rsidRPr="00ED7D43">
        <w:t xml:space="preserve">, carboplatin, paclitaxel, or </w:t>
      </w:r>
      <w:proofErr w:type="spellStart"/>
      <w:r w:rsidRPr="00ED7D43">
        <w:t>carboplatin+paclitaxel</w:t>
      </w:r>
      <w:proofErr w:type="spellEnd"/>
      <w:r w:rsidRPr="00ED7D43">
        <w:t>). The study excluded patients with autoimmune disease or those receiving immunosuppression; a history of severe or life-threatening immune-mediated adverse reactions from treatment with ipilimumab, defined as any Grade 4 toxicity or Grade 3 toxicity requiring corticosteroid treatment (greater than 10 mg/day prednisone or equivalent dose) for greater than 12 weeks; previous severe hypersensitivity to other monoclonal antibodies; a history of pneumonitis or interstitial lung disease; HIV, Hepatitis B or Hepatitis C infection.</w:t>
      </w:r>
    </w:p>
    <w:p w:rsidR="00ED7D43" w:rsidRPr="00ED7D43" w:rsidRDefault="00ED7D43" w:rsidP="00ED7D43">
      <w:r w:rsidRPr="00ED7D43">
        <w:t>Patients were treated with KEYTRUDA</w:t>
      </w:r>
      <w:r w:rsidRPr="00ED7D43" w:rsidDel="00383700">
        <w:t xml:space="preserve"> </w:t>
      </w:r>
      <w:r w:rsidRPr="00ED7D43">
        <w:t>until disease progression or unacceptable toxicity. Clinically stable patients with initial evidence of disease progression were permitted to remain on treatment until disease progression was confirmed. Assessment of tumour status was performed at 12 weeks, then every 6 weeks through Week 48, followed by every 12 weeks thereafter. Patients on chemotherapy who experienced independently-verified progression of disease after the first scheduled disease assessment were able to crossover and receive 2 mg/kg or 10 mg/kg of KEYTRUDA every 3 weeks in a double-blind fashion.</w:t>
      </w:r>
    </w:p>
    <w:p w:rsidR="00ED7D43" w:rsidRPr="00ED7D43" w:rsidRDefault="00ED7D43" w:rsidP="00ED7D43">
      <w:r w:rsidRPr="00ED7D43">
        <w:t>Of the 540 patients in KEYNOTE</w:t>
      </w:r>
      <w:r w:rsidRPr="00ED7D43">
        <w:noBreakHyphen/>
        <w:t>002, 61% were male, 43% were ≥65 years (median age was 62 years [range 15-89]) and 98% were white. Eighty-two percent of patients had M1c stage, 73% had at least two and 32% had three or more prior systemic therapies for advanced melanoma. Forty-five percent had an ECOG PS of 1, 40% had elevated LDH and 23% had a BRAF mutated tumour. Baseline characteristics were well-balanced across treatment arms.</w:t>
      </w:r>
    </w:p>
    <w:p w:rsidR="00ED7D43" w:rsidRPr="00ED7D43" w:rsidRDefault="00ED7D43" w:rsidP="00ED7D43">
      <w:r w:rsidRPr="00ED7D43">
        <w:t>The primary efficacy outcome measures were PFS (as assessed by IRO review using RECIST 1.1) and overall survival (OS). Secondary efficacy outcome measures were PFS as assessed by Investigator using RECIST 1.1, ORR and response duration. Table 15 summarizes key efficacy measures in patients previously treated with ipilimumab, and the Kaplan-Meier curve for PFS is shown in Figure 3. There was no statistically significant difference between KEYTRUDA and chemotherapy in the final OS analysis that was not adjusted for the potentially confounding effects of crossover. Of the patients randomised to the chemotherapy arm, 55% crossed over and subsequently received treatment with KEYTRUDA.</w:t>
      </w:r>
    </w:p>
    <w:p w:rsidR="00ED7D43" w:rsidRPr="00ED7D43" w:rsidRDefault="00ED7D43" w:rsidP="00ED7D43">
      <w:pPr>
        <w:pStyle w:val="Tabletitle"/>
      </w:pPr>
      <w:r w:rsidRPr="00ED7D43">
        <w:t xml:space="preserve">Table 15: Response to KEYTRUDA 2 mg/kg or 10 mg/kg every 3 weeks in patients with </w:t>
      </w:r>
      <w:proofErr w:type="spellStart"/>
      <w:r w:rsidRPr="00ED7D43">
        <w:t>unresectable</w:t>
      </w:r>
      <w:proofErr w:type="spellEnd"/>
      <w:r w:rsidRPr="00ED7D43">
        <w:t xml:space="preserve"> or metastatic melanoma in KEYNOTE-002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0"/>
        <w:gridCol w:w="2039"/>
        <w:gridCol w:w="1975"/>
        <w:gridCol w:w="1846"/>
      </w:tblGrid>
      <w:tr w:rsidR="00ED7D43" w:rsidRPr="00ED7D43" w:rsidTr="00ED7D43">
        <w:trPr>
          <w:tblHeader/>
          <w:jc w:val="center"/>
        </w:trPr>
        <w:tc>
          <w:tcPr>
            <w:tcW w:w="1766" w:type="pct"/>
            <w:shd w:val="clear" w:color="auto" w:fill="auto"/>
          </w:tcPr>
          <w:p w:rsidR="00ED7D43" w:rsidRPr="00ED7D43" w:rsidRDefault="00ED7D43" w:rsidP="00ED7D43">
            <w:pPr>
              <w:rPr>
                <w:b/>
                <w:sz w:val="20"/>
                <w:szCs w:val="20"/>
                <w:lang w:val="en-GB"/>
              </w:rPr>
            </w:pPr>
            <w:r w:rsidRPr="00ED7D43">
              <w:rPr>
                <w:b/>
                <w:sz w:val="20"/>
                <w:szCs w:val="20"/>
                <w:lang w:val="en-GB"/>
              </w:rPr>
              <w:t>Endpoint</w:t>
            </w:r>
          </w:p>
        </w:tc>
        <w:tc>
          <w:tcPr>
            <w:tcW w:w="1125" w:type="pct"/>
          </w:tcPr>
          <w:p w:rsidR="00ED7D43" w:rsidRPr="00ED7D43" w:rsidRDefault="00ED7D43" w:rsidP="00ED7D43">
            <w:pPr>
              <w:rPr>
                <w:b/>
                <w:sz w:val="20"/>
                <w:szCs w:val="20"/>
                <w:lang w:val="en-GB"/>
              </w:rPr>
            </w:pPr>
            <w:r w:rsidRPr="00ED7D43">
              <w:rPr>
                <w:b/>
                <w:sz w:val="20"/>
                <w:szCs w:val="20"/>
                <w:lang w:val="en-GB"/>
              </w:rPr>
              <w:t>KEYTRUDA</w:t>
            </w:r>
          </w:p>
          <w:p w:rsidR="00ED7D43" w:rsidRPr="00ED7D43" w:rsidRDefault="00ED7D43" w:rsidP="00ED7D43">
            <w:pPr>
              <w:rPr>
                <w:b/>
                <w:sz w:val="20"/>
                <w:szCs w:val="20"/>
                <w:lang w:val="en-GB"/>
              </w:rPr>
            </w:pPr>
            <w:r w:rsidRPr="00ED7D43">
              <w:rPr>
                <w:b/>
                <w:sz w:val="20"/>
                <w:szCs w:val="20"/>
                <w:lang w:val="en-GB"/>
              </w:rPr>
              <w:t>2 mg/kg every 3 weeks</w:t>
            </w:r>
          </w:p>
          <w:p w:rsidR="00ED7D43" w:rsidRPr="00ED7D43" w:rsidRDefault="00ED7D43" w:rsidP="00ED7D43">
            <w:pPr>
              <w:rPr>
                <w:b/>
                <w:sz w:val="20"/>
                <w:szCs w:val="20"/>
                <w:lang w:val="en-GB"/>
              </w:rPr>
            </w:pPr>
            <w:r w:rsidRPr="00ED7D43">
              <w:rPr>
                <w:b/>
                <w:sz w:val="20"/>
                <w:szCs w:val="20"/>
                <w:lang w:val="en-GB"/>
              </w:rPr>
              <w:t>n=180</w:t>
            </w:r>
          </w:p>
        </w:tc>
        <w:tc>
          <w:tcPr>
            <w:tcW w:w="1090" w:type="pct"/>
          </w:tcPr>
          <w:p w:rsidR="00ED7D43" w:rsidRPr="00ED7D43" w:rsidRDefault="00ED7D43" w:rsidP="00ED7D43">
            <w:pPr>
              <w:rPr>
                <w:b/>
                <w:sz w:val="20"/>
                <w:szCs w:val="20"/>
                <w:lang w:val="en-GB"/>
              </w:rPr>
            </w:pPr>
            <w:r w:rsidRPr="00ED7D43">
              <w:rPr>
                <w:b/>
                <w:sz w:val="20"/>
                <w:szCs w:val="20"/>
                <w:lang w:val="en-GB"/>
              </w:rPr>
              <w:t>KEYTRUDA</w:t>
            </w:r>
          </w:p>
          <w:p w:rsidR="00ED7D43" w:rsidRPr="00ED7D43" w:rsidRDefault="00ED7D43" w:rsidP="00ED7D43">
            <w:pPr>
              <w:rPr>
                <w:b/>
                <w:sz w:val="20"/>
                <w:szCs w:val="20"/>
                <w:lang w:val="en-GB"/>
              </w:rPr>
            </w:pPr>
            <w:r w:rsidRPr="00ED7D43">
              <w:rPr>
                <w:b/>
                <w:sz w:val="20"/>
                <w:szCs w:val="20"/>
                <w:lang w:val="en-GB"/>
              </w:rPr>
              <w:t>10 mg/kg every 3 weeks</w:t>
            </w:r>
          </w:p>
          <w:p w:rsidR="00ED7D43" w:rsidRPr="00ED7D43" w:rsidRDefault="00ED7D43" w:rsidP="00ED7D43">
            <w:pPr>
              <w:rPr>
                <w:b/>
                <w:sz w:val="20"/>
                <w:szCs w:val="20"/>
                <w:lang w:val="en-GB"/>
              </w:rPr>
            </w:pPr>
            <w:r w:rsidRPr="00ED7D43">
              <w:rPr>
                <w:b/>
                <w:sz w:val="20"/>
                <w:szCs w:val="20"/>
                <w:lang w:val="en-GB"/>
              </w:rPr>
              <w:t>n=181</w:t>
            </w:r>
          </w:p>
        </w:tc>
        <w:tc>
          <w:tcPr>
            <w:tcW w:w="1019" w:type="pct"/>
          </w:tcPr>
          <w:p w:rsidR="00ED7D43" w:rsidRPr="00ED7D43" w:rsidRDefault="00ED7D43" w:rsidP="00ED7D43">
            <w:pPr>
              <w:rPr>
                <w:b/>
                <w:sz w:val="20"/>
                <w:szCs w:val="20"/>
                <w:lang w:val="en-GB"/>
              </w:rPr>
            </w:pPr>
            <w:r w:rsidRPr="00ED7D43">
              <w:rPr>
                <w:b/>
                <w:sz w:val="20"/>
                <w:szCs w:val="20"/>
                <w:lang w:val="en-GB"/>
              </w:rPr>
              <w:t>Chemotherapy</w:t>
            </w:r>
          </w:p>
          <w:p w:rsidR="00ED7D43" w:rsidRPr="00ED7D43" w:rsidRDefault="00ED7D43" w:rsidP="00ED7D43">
            <w:pPr>
              <w:rPr>
                <w:b/>
                <w:sz w:val="20"/>
                <w:szCs w:val="20"/>
                <w:lang w:val="en-GB"/>
              </w:rPr>
            </w:pPr>
          </w:p>
          <w:p w:rsidR="00ED7D43" w:rsidRPr="00ED7D43" w:rsidRDefault="00ED7D43" w:rsidP="00ED7D43">
            <w:pPr>
              <w:rPr>
                <w:b/>
                <w:sz w:val="20"/>
                <w:szCs w:val="20"/>
                <w:lang w:val="en-GB"/>
              </w:rPr>
            </w:pPr>
          </w:p>
          <w:p w:rsidR="00ED7D43" w:rsidRPr="00ED7D43" w:rsidRDefault="00ED7D43" w:rsidP="00ED7D43">
            <w:pPr>
              <w:rPr>
                <w:b/>
                <w:sz w:val="20"/>
                <w:szCs w:val="20"/>
                <w:lang w:val="en-GB"/>
              </w:rPr>
            </w:pPr>
            <w:r w:rsidRPr="00ED7D43">
              <w:rPr>
                <w:b/>
                <w:sz w:val="20"/>
                <w:szCs w:val="20"/>
                <w:lang w:val="en-GB"/>
              </w:rPr>
              <w:t>n=179</w:t>
            </w:r>
          </w:p>
        </w:tc>
      </w:tr>
      <w:tr w:rsidR="00ED7D43" w:rsidRPr="00ED7D43" w:rsidTr="00ED7D43">
        <w:trPr>
          <w:jc w:val="center"/>
        </w:trPr>
        <w:tc>
          <w:tcPr>
            <w:tcW w:w="1766" w:type="pct"/>
            <w:shd w:val="clear" w:color="auto" w:fill="auto"/>
          </w:tcPr>
          <w:p w:rsidR="00ED7D43" w:rsidRPr="00ED7D43" w:rsidRDefault="00ED7D43" w:rsidP="00ED7D43">
            <w:pPr>
              <w:rPr>
                <w:b/>
                <w:sz w:val="20"/>
                <w:szCs w:val="20"/>
                <w:lang w:val="en-GB"/>
              </w:rPr>
            </w:pPr>
            <w:r w:rsidRPr="00ED7D43">
              <w:rPr>
                <w:b/>
                <w:bCs/>
                <w:sz w:val="20"/>
                <w:szCs w:val="20"/>
                <w:lang w:val="en-GB"/>
              </w:rPr>
              <w:t>OS</w:t>
            </w:r>
            <w:r w:rsidRPr="00ED7D43">
              <w:rPr>
                <w:bCs/>
                <w:sz w:val="20"/>
                <w:szCs w:val="20"/>
                <w:lang w:val="en-GB"/>
              </w:rPr>
              <w:t>*</w:t>
            </w:r>
          </w:p>
        </w:tc>
        <w:tc>
          <w:tcPr>
            <w:tcW w:w="1125" w:type="pct"/>
          </w:tcPr>
          <w:p w:rsidR="00ED7D43" w:rsidRPr="00ED7D43" w:rsidRDefault="00ED7D43" w:rsidP="00ED7D43">
            <w:pPr>
              <w:rPr>
                <w:sz w:val="20"/>
                <w:szCs w:val="20"/>
                <w:lang w:val="en-GB"/>
              </w:rPr>
            </w:pPr>
          </w:p>
        </w:tc>
        <w:tc>
          <w:tcPr>
            <w:tcW w:w="1090" w:type="pct"/>
          </w:tcPr>
          <w:p w:rsidR="00ED7D43" w:rsidRPr="00ED7D43" w:rsidRDefault="00ED7D43" w:rsidP="00ED7D43">
            <w:pPr>
              <w:rPr>
                <w:sz w:val="20"/>
                <w:szCs w:val="20"/>
                <w:lang w:val="en-GB"/>
              </w:rPr>
            </w:pPr>
          </w:p>
        </w:tc>
        <w:tc>
          <w:tcPr>
            <w:tcW w:w="1019" w:type="pct"/>
          </w:tcPr>
          <w:p w:rsidR="00ED7D43" w:rsidRPr="00ED7D43" w:rsidRDefault="00ED7D43" w:rsidP="00ED7D43">
            <w:pPr>
              <w:rPr>
                <w:sz w:val="20"/>
                <w:szCs w:val="20"/>
                <w:lang w:val="en-GB"/>
              </w:rPr>
            </w:pPr>
          </w:p>
        </w:tc>
      </w:tr>
      <w:tr w:rsidR="00ED7D43" w:rsidRPr="00ED7D43" w:rsidTr="00ED7D43">
        <w:trPr>
          <w:jc w:val="center"/>
        </w:trPr>
        <w:tc>
          <w:tcPr>
            <w:tcW w:w="1766" w:type="pct"/>
            <w:shd w:val="clear" w:color="auto" w:fill="auto"/>
          </w:tcPr>
          <w:p w:rsidR="00ED7D43" w:rsidRPr="00ED7D43" w:rsidRDefault="00ED7D43" w:rsidP="00ED7D43">
            <w:pPr>
              <w:rPr>
                <w:b/>
                <w:sz w:val="20"/>
                <w:szCs w:val="20"/>
                <w:lang w:val="en-GB"/>
              </w:rPr>
            </w:pPr>
            <w:r w:rsidRPr="00ED7D43">
              <w:rPr>
                <w:bCs/>
                <w:sz w:val="20"/>
                <w:szCs w:val="20"/>
                <w:lang w:val="en-GB"/>
              </w:rPr>
              <w:t>Number (%) of patients with event</w:t>
            </w:r>
          </w:p>
        </w:tc>
        <w:tc>
          <w:tcPr>
            <w:tcW w:w="1125" w:type="pct"/>
          </w:tcPr>
          <w:p w:rsidR="00ED7D43" w:rsidRPr="00ED7D43" w:rsidRDefault="00ED7D43" w:rsidP="00ED7D43">
            <w:pPr>
              <w:rPr>
                <w:sz w:val="20"/>
                <w:szCs w:val="20"/>
                <w:lang w:val="en-GB"/>
              </w:rPr>
            </w:pPr>
            <w:r w:rsidRPr="00ED7D43">
              <w:rPr>
                <w:bCs/>
                <w:sz w:val="20"/>
                <w:szCs w:val="20"/>
                <w:lang w:val="en-GB"/>
              </w:rPr>
              <w:t>123 (68%)</w:t>
            </w:r>
          </w:p>
        </w:tc>
        <w:tc>
          <w:tcPr>
            <w:tcW w:w="1090" w:type="pct"/>
          </w:tcPr>
          <w:p w:rsidR="00ED7D43" w:rsidRPr="00ED7D43" w:rsidRDefault="00ED7D43" w:rsidP="00ED7D43">
            <w:pPr>
              <w:rPr>
                <w:sz w:val="20"/>
                <w:szCs w:val="20"/>
                <w:lang w:val="en-GB"/>
              </w:rPr>
            </w:pPr>
            <w:r w:rsidRPr="00ED7D43">
              <w:rPr>
                <w:bCs/>
                <w:sz w:val="20"/>
                <w:szCs w:val="20"/>
                <w:lang w:val="en-GB"/>
              </w:rPr>
              <w:t>117 (65%)</w:t>
            </w:r>
          </w:p>
        </w:tc>
        <w:tc>
          <w:tcPr>
            <w:tcW w:w="1019" w:type="pct"/>
          </w:tcPr>
          <w:p w:rsidR="00ED7D43" w:rsidRPr="00ED7D43" w:rsidRDefault="00ED7D43" w:rsidP="00ED7D43">
            <w:pPr>
              <w:rPr>
                <w:sz w:val="20"/>
                <w:szCs w:val="20"/>
                <w:lang w:val="en-GB"/>
              </w:rPr>
            </w:pPr>
            <w:r w:rsidRPr="00ED7D43">
              <w:rPr>
                <w:bCs/>
                <w:sz w:val="20"/>
                <w:szCs w:val="20"/>
                <w:lang w:val="en-GB"/>
              </w:rPr>
              <w:t>128 (72%)</w:t>
            </w:r>
          </w:p>
        </w:tc>
      </w:tr>
      <w:tr w:rsidR="00ED7D43" w:rsidRPr="00ED7D43" w:rsidTr="00ED7D43">
        <w:trPr>
          <w:jc w:val="center"/>
        </w:trPr>
        <w:tc>
          <w:tcPr>
            <w:tcW w:w="1766" w:type="pct"/>
            <w:shd w:val="clear" w:color="auto" w:fill="auto"/>
          </w:tcPr>
          <w:p w:rsidR="00ED7D43" w:rsidRPr="00ED7D43" w:rsidRDefault="00ED7D43" w:rsidP="00ED7D43">
            <w:pPr>
              <w:rPr>
                <w:b/>
                <w:sz w:val="20"/>
                <w:szCs w:val="20"/>
                <w:lang w:val="en-GB"/>
              </w:rPr>
            </w:pPr>
            <w:r w:rsidRPr="00ED7D43">
              <w:rPr>
                <w:bCs/>
                <w:sz w:val="20"/>
                <w:szCs w:val="20"/>
                <w:lang w:val="en-GB"/>
              </w:rPr>
              <w:lastRenderedPageBreak/>
              <w:t>Hazard ratio</w:t>
            </w:r>
            <w:r w:rsidRPr="00ED7D43">
              <w:rPr>
                <w:bCs/>
                <w:sz w:val="20"/>
                <w:szCs w:val="20"/>
                <w:vertAlign w:val="superscript"/>
                <w:lang w:val="en-GB"/>
              </w:rPr>
              <w:t>†</w:t>
            </w:r>
            <w:r w:rsidRPr="00ED7D43">
              <w:rPr>
                <w:bCs/>
                <w:sz w:val="20"/>
                <w:szCs w:val="20"/>
                <w:lang w:val="en-GB"/>
              </w:rPr>
              <w:t xml:space="preserve"> (95% CI)</w:t>
            </w:r>
            <w:r w:rsidRPr="00ED7D43">
              <w:rPr>
                <w:bCs/>
                <w:sz w:val="20"/>
                <w:szCs w:val="20"/>
                <w:vertAlign w:val="superscript"/>
                <w:lang w:val="en-GB"/>
              </w:rPr>
              <w:t xml:space="preserve"> </w:t>
            </w:r>
          </w:p>
        </w:tc>
        <w:tc>
          <w:tcPr>
            <w:tcW w:w="1125" w:type="pct"/>
          </w:tcPr>
          <w:p w:rsidR="00ED7D43" w:rsidRPr="00ED7D43" w:rsidRDefault="00ED7D43" w:rsidP="00ED7D43">
            <w:pPr>
              <w:rPr>
                <w:sz w:val="20"/>
                <w:szCs w:val="20"/>
                <w:lang w:val="en-GB"/>
              </w:rPr>
            </w:pPr>
            <w:r w:rsidRPr="00ED7D43">
              <w:rPr>
                <w:bCs/>
                <w:sz w:val="20"/>
                <w:szCs w:val="20"/>
                <w:lang w:val="en-GB"/>
              </w:rPr>
              <w:t>0.86 (0.67, 1.10)</w:t>
            </w:r>
          </w:p>
        </w:tc>
        <w:tc>
          <w:tcPr>
            <w:tcW w:w="1090" w:type="pct"/>
          </w:tcPr>
          <w:p w:rsidR="00ED7D43" w:rsidRPr="00ED7D43" w:rsidRDefault="00ED7D43" w:rsidP="00ED7D43">
            <w:pPr>
              <w:rPr>
                <w:sz w:val="20"/>
                <w:szCs w:val="20"/>
                <w:lang w:val="en-GB"/>
              </w:rPr>
            </w:pPr>
            <w:r w:rsidRPr="00ED7D43">
              <w:rPr>
                <w:bCs/>
                <w:sz w:val="20"/>
                <w:szCs w:val="20"/>
                <w:lang w:val="en-GB"/>
              </w:rPr>
              <w:t>0.74 (0.57, 0.96)</w:t>
            </w:r>
          </w:p>
        </w:tc>
        <w:tc>
          <w:tcPr>
            <w:tcW w:w="1019" w:type="pct"/>
          </w:tcPr>
          <w:p w:rsidR="00ED7D43" w:rsidRPr="00ED7D43" w:rsidRDefault="00ED7D43" w:rsidP="00ED7D43">
            <w:pPr>
              <w:rPr>
                <w:sz w:val="20"/>
                <w:szCs w:val="20"/>
                <w:lang w:val="en-GB"/>
              </w:rPr>
            </w:pPr>
            <w:r w:rsidRPr="00ED7D43">
              <w:rPr>
                <w:bCs/>
                <w:sz w:val="20"/>
                <w:szCs w:val="20"/>
                <w:lang w:val="en-GB"/>
              </w:rPr>
              <w:t>---</w:t>
            </w:r>
          </w:p>
        </w:tc>
      </w:tr>
      <w:tr w:rsidR="00ED7D43" w:rsidRPr="00ED7D43" w:rsidTr="00ED7D43">
        <w:trPr>
          <w:jc w:val="center"/>
        </w:trPr>
        <w:tc>
          <w:tcPr>
            <w:tcW w:w="1766" w:type="pct"/>
            <w:shd w:val="clear" w:color="auto" w:fill="auto"/>
          </w:tcPr>
          <w:p w:rsidR="00ED7D43" w:rsidRPr="00ED7D43" w:rsidRDefault="00ED7D43" w:rsidP="00ED7D43">
            <w:pPr>
              <w:rPr>
                <w:b/>
                <w:sz w:val="20"/>
                <w:szCs w:val="20"/>
                <w:lang w:val="en-GB"/>
              </w:rPr>
            </w:pPr>
            <w:r w:rsidRPr="00ED7D43">
              <w:rPr>
                <w:bCs/>
                <w:sz w:val="20"/>
                <w:szCs w:val="20"/>
                <w:lang w:val="en-GB"/>
              </w:rPr>
              <w:t>p-Value</w:t>
            </w:r>
            <w:r w:rsidRPr="00ED7D43">
              <w:rPr>
                <w:bCs/>
                <w:sz w:val="20"/>
                <w:szCs w:val="20"/>
                <w:vertAlign w:val="superscript"/>
                <w:lang w:val="en-GB"/>
              </w:rPr>
              <w:t>‡</w:t>
            </w:r>
          </w:p>
        </w:tc>
        <w:tc>
          <w:tcPr>
            <w:tcW w:w="1125" w:type="pct"/>
          </w:tcPr>
          <w:p w:rsidR="00ED7D43" w:rsidRPr="00ED7D43" w:rsidRDefault="00ED7D43" w:rsidP="00ED7D43">
            <w:pPr>
              <w:rPr>
                <w:sz w:val="20"/>
                <w:szCs w:val="20"/>
                <w:lang w:val="en-GB"/>
              </w:rPr>
            </w:pPr>
            <w:r w:rsidRPr="00ED7D43">
              <w:rPr>
                <w:bCs/>
                <w:sz w:val="20"/>
                <w:szCs w:val="20"/>
                <w:lang w:val="en-GB"/>
              </w:rPr>
              <w:t>0.117</w:t>
            </w:r>
          </w:p>
        </w:tc>
        <w:tc>
          <w:tcPr>
            <w:tcW w:w="1090" w:type="pct"/>
          </w:tcPr>
          <w:p w:rsidR="00ED7D43" w:rsidRPr="00ED7D43" w:rsidRDefault="00ED7D43" w:rsidP="00ED7D43">
            <w:pPr>
              <w:rPr>
                <w:sz w:val="20"/>
                <w:szCs w:val="20"/>
                <w:lang w:val="en-GB"/>
              </w:rPr>
            </w:pPr>
            <w:r w:rsidRPr="00ED7D43">
              <w:rPr>
                <w:bCs/>
                <w:sz w:val="20"/>
                <w:szCs w:val="20"/>
                <w:lang w:val="en-GB"/>
              </w:rPr>
              <w:t>0.011</w:t>
            </w:r>
            <w:r w:rsidRPr="00ED7D43">
              <w:rPr>
                <w:sz w:val="20"/>
                <w:szCs w:val="20"/>
                <w:vertAlign w:val="superscript"/>
              </w:rPr>
              <w:t>è</w:t>
            </w:r>
          </w:p>
        </w:tc>
        <w:tc>
          <w:tcPr>
            <w:tcW w:w="1019" w:type="pct"/>
          </w:tcPr>
          <w:p w:rsidR="00ED7D43" w:rsidRPr="00ED7D43" w:rsidRDefault="00ED7D43" w:rsidP="00ED7D43">
            <w:pPr>
              <w:rPr>
                <w:sz w:val="20"/>
                <w:szCs w:val="20"/>
                <w:lang w:val="en-GB"/>
              </w:rPr>
            </w:pPr>
            <w:r w:rsidRPr="00ED7D43">
              <w:rPr>
                <w:bCs/>
                <w:sz w:val="20"/>
                <w:szCs w:val="20"/>
                <w:lang w:val="en-GB"/>
              </w:rPr>
              <w:t>---</w:t>
            </w:r>
          </w:p>
        </w:tc>
      </w:tr>
      <w:tr w:rsidR="00ED7D43" w:rsidRPr="00ED7D43" w:rsidTr="00ED7D43">
        <w:trPr>
          <w:jc w:val="center"/>
        </w:trPr>
        <w:tc>
          <w:tcPr>
            <w:tcW w:w="1766" w:type="pct"/>
            <w:shd w:val="clear" w:color="auto" w:fill="auto"/>
          </w:tcPr>
          <w:p w:rsidR="00ED7D43" w:rsidRPr="00ED7D43" w:rsidRDefault="00ED7D43" w:rsidP="00ED7D43">
            <w:pPr>
              <w:rPr>
                <w:b/>
                <w:sz w:val="20"/>
                <w:szCs w:val="20"/>
                <w:lang w:val="en-GB"/>
              </w:rPr>
            </w:pPr>
            <w:r w:rsidRPr="00ED7D43">
              <w:rPr>
                <w:bCs/>
                <w:sz w:val="20"/>
                <w:szCs w:val="20"/>
                <w:lang w:val="en-GB"/>
              </w:rPr>
              <w:t>Median in months (95% CI)</w:t>
            </w:r>
          </w:p>
        </w:tc>
        <w:tc>
          <w:tcPr>
            <w:tcW w:w="1125" w:type="pct"/>
          </w:tcPr>
          <w:p w:rsidR="00ED7D43" w:rsidRPr="00ED7D43" w:rsidRDefault="00ED7D43" w:rsidP="00ED7D43">
            <w:pPr>
              <w:rPr>
                <w:sz w:val="20"/>
                <w:szCs w:val="20"/>
                <w:lang w:val="en-GB"/>
              </w:rPr>
            </w:pPr>
            <w:r w:rsidRPr="00ED7D43">
              <w:rPr>
                <w:bCs/>
                <w:sz w:val="20"/>
                <w:szCs w:val="20"/>
                <w:lang w:val="en-GB"/>
              </w:rPr>
              <w:t>13.4 (11.0, 16.4)</w:t>
            </w:r>
          </w:p>
        </w:tc>
        <w:tc>
          <w:tcPr>
            <w:tcW w:w="1090" w:type="pct"/>
          </w:tcPr>
          <w:p w:rsidR="00ED7D43" w:rsidRPr="00ED7D43" w:rsidRDefault="00ED7D43" w:rsidP="00ED7D43">
            <w:pPr>
              <w:rPr>
                <w:sz w:val="20"/>
                <w:szCs w:val="20"/>
                <w:lang w:val="en-GB"/>
              </w:rPr>
            </w:pPr>
            <w:r w:rsidRPr="00ED7D43">
              <w:rPr>
                <w:bCs/>
                <w:sz w:val="20"/>
                <w:szCs w:val="20"/>
                <w:lang w:val="en-GB"/>
              </w:rPr>
              <w:t>14.7 (11.3, 19.5)</w:t>
            </w:r>
          </w:p>
        </w:tc>
        <w:tc>
          <w:tcPr>
            <w:tcW w:w="1019" w:type="pct"/>
          </w:tcPr>
          <w:p w:rsidR="00ED7D43" w:rsidRPr="00ED7D43" w:rsidRDefault="00ED7D43" w:rsidP="00ED7D43">
            <w:pPr>
              <w:rPr>
                <w:sz w:val="20"/>
                <w:szCs w:val="20"/>
                <w:lang w:val="en-GB"/>
              </w:rPr>
            </w:pPr>
            <w:r w:rsidRPr="00ED7D43">
              <w:rPr>
                <w:bCs/>
                <w:sz w:val="20"/>
                <w:szCs w:val="20"/>
                <w:lang w:val="en-GB"/>
              </w:rPr>
              <w:t>11.0 (8.9, 13.8)</w:t>
            </w:r>
          </w:p>
        </w:tc>
      </w:tr>
      <w:tr w:rsidR="00ED7D43" w:rsidRPr="00ED7D43" w:rsidTr="00ED7D43">
        <w:trPr>
          <w:jc w:val="center"/>
        </w:trPr>
        <w:tc>
          <w:tcPr>
            <w:tcW w:w="1766" w:type="pct"/>
            <w:shd w:val="clear" w:color="auto" w:fill="auto"/>
          </w:tcPr>
          <w:p w:rsidR="00ED7D43" w:rsidRPr="00ED7D43" w:rsidRDefault="00ED7D43" w:rsidP="00ED7D43">
            <w:pPr>
              <w:rPr>
                <w:b/>
                <w:sz w:val="20"/>
                <w:szCs w:val="20"/>
                <w:lang w:val="en-GB"/>
              </w:rPr>
            </w:pPr>
            <w:r w:rsidRPr="00ED7D43">
              <w:rPr>
                <w:b/>
                <w:sz w:val="20"/>
                <w:szCs w:val="20"/>
                <w:lang w:val="en-GB"/>
              </w:rPr>
              <w:t>PFS</w:t>
            </w:r>
            <w:r w:rsidRPr="00ED7D43">
              <w:rPr>
                <w:sz w:val="20"/>
                <w:szCs w:val="20"/>
                <w:vertAlign w:val="superscript"/>
              </w:rPr>
              <w:t>§</w:t>
            </w:r>
            <w:r w:rsidRPr="00ED7D43">
              <w:rPr>
                <w:b/>
                <w:sz w:val="20"/>
                <w:szCs w:val="20"/>
                <w:lang w:val="en-GB"/>
              </w:rPr>
              <w:t xml:space="preserve"> by</w:t>
            </w:r>
            <w:r w:rsidRPr="00ED7D43">
              <w:rPr>
                <w:b/>
                <w:sz w:val="20"/>
                <w:szCs w:val="20"/>
                <w:vertAlign w:val="superscript"/>
                <w:lang w:val="en-GB"/>
              </w:rPr>
              <w:t xml:space="preserve"> </w:t>
            </w:r>
            <w:r w:rsidRPr="00ED7D43">
              <w:rPr>
                <w:b/>
                <w:sz w:val="20"/>
                <w:szCs w:val="20"/>
                <w:lang w:val="en-GB"/>
              </w:rPr>
              <w:t>IRO</w:t>
            </w:r>
            <w:r w:rsidRPr="00ED7D43">
              <w:rPr>
                <w:sz w:val="20"/>
                <w:szCs w:val="20"/>
                <w:vertAlign w:val="superscript"/>
              </w:rPr>
              <w:t>¶</w:t>
            </w:r>
          </w:p>
        </w:tc>
        <w:tc>
          <w:tcPr>
            <w:tcW w:w="1125" w:type="pct"/>
          </w:tcPr>
          <w:p w:rsidR="00ED7D43" w:rsidRPr="00ED7D43" w:rsidRDefault="00ED7D43" w:rsidP="00ED7D43">
            <w:pPr>
              <w:rPr>
                <w:sz w:val="20"/>
                <w:szCs w:val="20"/>
                <w:lang w:val="en-GB"/>
              </w:rPr>
            </w:pPr>
          </w:p>
        </w:tc>
        <w:tc>
          <w:tcPr>
            <w:tcW w:w="1090" w:type="pct"/>
          </w:tcPr>
          <w:p w:rsidR="00ED7D43" w:rsidRPr="00ED7D43" w:rsidRDefault="00ED7D43" w:rsidP="00ED7D43">
            <w:pPr>
              <w:rPr>
                <w:sz w:val="20"/>
                <w:szCs w:val="20"/>
                <w:lang w:val="en-GB"/>
              </w:rPr>
            </w:pPr>
          </w:p>
        </w:tc>
        <w:tc>
          <w:tcPr>
            <w:tcW w:w="1019" w:type="pct"/>
          </w:tcPr>
          <w:p w:rsidR="00ED7D43" w:rsidRPr="00ED7D43" w:rsidRDefault="00ED7D43" w:rsidP="00ED7D43">
            <w:pPr>
              <w:rPr>
                <w:sz w:val="20"/>
                <w:szCs w:val="20"/>
                <w:lang w:val="en-GB"/>
              </w:rPr>
            </w:pPr>
          </w:p>
        </w:tc>
      </w:tr>
      <w:tr w:rsidR="00ED7D43" w:rsidRPr="00ED7D43" w:rsidTr="00ED7D43">
        <w:trPr>
          <w:jc w:val="center"/>
        </w:trPr>
        <w:tc>
          <w:tcPr>
            <w:tcW w:w="1766" w:type="pct"/>
            <w:shd w:val="clear" w:color="auto" w:fill="auto"/>
          </w:tcPr>
          <w:p w:rsidR="00ED7D43" w:rsidRPr="00ED7D43" w:rsidRDefault="00ED7D43" w:rsidP="00ED7D43">
            <w:pPr>
              <w:rPr>
                <w:sz w:val="20"/>
                <w:szCs w:val="20"/>
                <w:lang w:val="en-GB"/>
              </w:rPr>
            </w:pPr>
            <w:r w:rsidRPr="00ED7D43">
              <w:rPr>
                <w:sz w:val="20"/>
                <w:szCs w:val="20"/>
                <w:lang w:val="en-GB"/>
              </w:rPr>
              <w:t>Number (%) of patients with event</w:t>
            </w:r>
          </w:p>
        </w:tc>
        <w:tc>
          <w:tcPr>
            <w:tcW w:w="1125" w:type="pct"/>
          </w:tcPr>
          <w:p w:rsidR="00ED7D43" w:rsidRPr="00ED7D43" w:rsidRDefault="00ED7D43" w:rsidP="00ED7D43">
            <w:pPr>
              <w:rPr>
                <w:sz w:val="20"/>
                <w:szCs w:val="20"/>
                <w:lang w:val="en-GB"/>
              </w:rPr>
            </w:pPr>
            <w:r w:rsidRPr="00ED7D43">
              <w:rPr>
                <w:sz w:val="20"/>
                <w:szCs w:val="20"/>
                <w:lang w:val="en-GB"/>
              </w:rPr>
              <w:t>129 (72%)</w:t>
            </w:r>
          </w:p>
        </w:tc>
        <w:tc>
          <w:tcPr>
            <w:tcW w:w="1090" w:type="pct"/>
          </w:tcPr>
          <w:p w:rsidR="00ED7D43" w:rsidRPr="00ED7D43" w:rsidRDefault="00ED7D43" w:rsidP="00ED7D43">
            <w:pPr>
              <w:rPr>
                <w:sz w:val="20"/>
                <w:szCs w:val="20"/>
                <w:lang w:val="en-GB"/>
              </w:rPr>
            </w:pPr>
            <w:r w:rsidRPr="00ED7D43">
              <w:rPr>
                <w:sz w:val="20"/>
                <w:szCs w:val="20"/>
                <w:lang w:val="en-GB"/>
              </w:rPr>
              <w:t>126 (70%)</w:t>
            </w:r>
          </w:p>
        </w:tc>
        <w:tc>
          <w:tcPr>
            <w:tcW w:w="1019" w:type="pct"/>
          </w:tcPr>
          <w:p w:rsidR="00ED7D43" w:rsidRPr="00ED7D43" w:rsidRDefault="00ED7D43" w:rsidP="00ED7D43">
            <w:pPr>
              <w:rPr>
                <w:sz w:val="20"/>
                <w:szCs w:val="20"/>
                <w:lang w:val="en-GB"/>
              </w:rPr>
            </w:pPr>
            <w:r w:rsidRPr="00ED7D43">
              <w:rPr>
                <w:sz w:val="20"/>
                <w:szCs w:val="20"/>
                <w:lang w:val="en-GB"/>
              </w:rPr>
              <w:t>155 (87%)</w:t>
            </w:r>
          </w:p>
        </w:tc>
      </w:tr>
      <w:tr w:rsidR="00ED7D43" w:rsidRPr="00ED7D43" w:rsidTr="00ED7D43">
        <w:trPr>
          <w:jc w:val="center"/>
        </w:trPr>
        <w:tc>
          <w:tcPr>
            <w:tcW w:w="1766" w:type="pct"/>
            <w:shd w:val="clear" w:color="auto" w:fill="auto"/>
          </w:tcPr>
          <w:p w:rsidR="00ED7D43" w:rsidRPr="00ED7D43" w:rsidRDefault="00ED7D43" w:rsidP="00ED7D43">
            <w:pPr>
              <w:rPr>
                <w:sz w:val="20"/>
                <w:szCs w:val="20"/>
                <w:lang w:val="en-GB"/>
              </w:rPr>
            </w:pPr>
            <w:r w:rsidRPr="00ED7D43">
              <w:rPr>
                <w:sz w:val="20"/>
                <w:szCs w:val="20"/>
                <w:lang w:val="en-GB"/>
              </w:rPr>
              <w:t>Hazard ratio</w:t>
            </w:r>
            <w:r w:rsidRPr="00ED7D43">
              <w:rPr>
                <w:sz w:val="20"/>
                <w:szCs w:val="20"/>
                <w:vertAlign w:val="superscript"/>
                <w:lang w:val="en-GB"/>
              </w:rPr>
              <w:t>†</w:t>
            </w:r>
            <w:r w:rsidRPr="00ED7D43">
              <w:rPr>
                <w:sz w:val="20"/>
                <w:szCs w:val="20"/>
                <w:lang w:val="en-GB"/>
              </w:rPr>
              <w:t xml:space="preserve"> (95% CI)</w:t>
            </w:r>
            <w:r w:rsidRPr="00ED7D43">
              <w:rPr>
                <w:sz w:val="20"/>
                <w:szCs w:val="20"/>
                <w:vertAlign w:val="superscript"/>
                <w:lang w:val="en-GB"/>
              </w:rPr>
              <w:t xml:space="preserve"> </w:t>
            </w:r>
          </w:p>
        </w:tc>
        <w:tc>
          <w:tcPr>
            <w:tcW w:w="1125" w:type="pct"/>
          </w:tcPr>
          <w:p w:rsidR="00ED7D43" w:rsidRPr="00ED7D43" w:rsidRDefault="00ED7D43" w:rsidP="00ED7D43">
            <w:pPr>
              <w:rPr>
                <w:sz w:val="20"/>
                <w:szCs w:val="20"/>
                <w:lang w:val="en-GB"/>
              </w:rPr>
            </w:pPr>
            <w:r w:rsidRPr="00ED7D43">
              <w:rPr>
                <w:sz w:val="20"/>
                <w:szCs w:val="20"/>
                <w:lang w:val="en-GB"/>
              </w:rPr>
              <w:t>0.57 (0.45, 0.73)</w:t>
            </w:r>
          </w:p>
        </w:tc>
        <w:tc>
          <w:tcPr>
            <w:tcW w:w="1090" w:type="pct"/>
          </w:tcPr>
          <w:p w:rsidR="00ED7D43" w:rsidRPr="00ED7D43" w:rsidRDefault="00ED7D43" w:rsidP="00ED7D43">
            <w:pPr>
              <w:rPr>
                <w:sz w:val="20"/>
                <w:szCs w:val="20"/>
                <w:lang w:val="en-GB"/>
              </w:rPr>
            </w:pPr>
            <w:r w:rsidRPr="00ED7D43">
              <w:rPr>
                <w:sz w:val="20"/>
                <w:szCs w:val="20"/>
                <w:lang w:val="en-GB"/>
              </w:rPr>
              <w:t>0.50 (0.39, 0.64)</w:t>
            </w:r>
          </w:p>
        </w:tc>
        <w:tc>
          <w:tcPr>
            <w:tcW w:w="1019" w:type="pct"/>
          </w:tcPr>
          <w:p w:rsidR="00ED7D43" w:rsidRPr="00ED7D43" w:rsidRDefault="00ED7D43" w:rsidP="00ED7D43">
            <w:pPr>
              <w:rPr>
                <w:sz w:val="20"/>
                <w:szCs w:val="20"/>
                <w:lang w:val="en-GB"/>
              </w:rPr>
            </w:pPr>
            <w:r w:rsidRPr="00ED7D43">
              <w:rPr>
                <w:sz w:val="20"/>
                <w:szCs w:val="20"/>
                <w:lang w:val="en-GB"/>
              </w:rPr>
              <w:t>---</w:t>
            </w:r>
          </w:p>
        </w:tc>
      </w:tr>
      <w:tr w:rsidR="00ED7D43" w:rsidRPr="00ED7D43" w:rsidTr="00ED7D43">
        <w:trPr>
          <w:jc w:val="center"/>
        </w:trPr>
        <w:tc>
          <w:tcPr>
            <w:tcW w:w="1766" w:type="pct"/>
            <w:shd w:val="clear" w:color="auto" w:fill="auto"/>
          </w:tcPr>
          <w:p w:rsidR="00ED7D43" w:rsidRPr="00ED7D43" w:rsidRDefault="00ED7D43" w:rsidP="00ED7D43">
            <w:pPr>
              <w:rPr>
                <w:sz w:val="20"/>
                <w:szCs w:val="20"/>
                <w:lang w:val="en-GB"/>
              </w:rPr>
            </w:pPr>
            <w:r w:rsidRPr="00ED7D43">
              <w:rPr>
                <w:sz w:val="20"/>
                <w:szCs w:val="20"/>
                <w:lang w:val="en-GB"/>
              </w:rPr>
              <w:t>p-Value</w:t>
            </w:r>
            <w:r w:rsidRPr="00ED7D43">
              <w:rPr>
                <w:sz w:val="20"/>
                <w:szCs w:val="20"/>
                <w:vertAlign w:val="superscript"/>
                <w:lang w:val="en-GB"/>
              </w:rPr>
              <w:t>‡</w:t>
            </w:r>
          </w:p>
        </w:tc>
        <w:tc>
          <w:tcPr>
            <w:tcW w:w="1125" w:type="pct"/>
          </w:tcPr>
          <w:p w:rsidR="00ED7D43" w:rsidRPr="00ED7D43" w:rsidRDefault="00ED7D43" w:rsidP="00ED7D43">
            <w:pPr>
              <w:rPr>
                <w:sz w:val="20"/>
                <w:szCs w:val="20"/>
                <w:lang w:val="en-GB"/>
              </w:rPr>
            </w:pPr>
            <w:r w:rsidRPr="00ED7D43">
              <w:rPr>
                <w:sz w:val="20"/>
                <w:szCs w:val="20"/>
                <w:lang w:val="en-GB"/>
              </w:rPr>
              <w:t>&lt;0.0001</w:t>
            </w:r>
          </w:p>
        </w:tc>
        <w:tc>
          <w:tcPr>
            <w:tcW w:w="1090" w:type="pct"/>
          </w:tcPr>
          <w:p w:rsidR="00ED7D43" w:rsidRPr="00ED7D43" w:rsidRDefault="00ED7D43" w:rsidP="00ED7D43">
            <w:pPr>
              <w:rPr>
                <w:sz w:val="20"/>
                <w:szCs w:val="20"/>
                <w:lang w:val="en-GB"/>
              </w:rPr>
            </w:pPr>
            <w:r w:rsidRPr="00ED7D43">
              <w:rPr>
                <w:sz w:val="20"/>
                <w:szCs w:val="20"/>
                <w:lang w:val="en-GB"/>
              </w:rPr>
              <w:t>&lt;0.0001</w:t>
            </w:r>
          </w:p>
        </w:tc>
        <w:tc>
          <w:tcPr>
            <w:tcW w:w="1019" w:type="pct"/>
          </w:tcPr>
          <w:p w:rsidR="00ED7D43" w:rsidRPr="00ED7D43" w:rsidRDefault="00ED7D43" w:rsidP="00ED7D43">
            <w:pPr>
              <w:rPr>
                <w:sz w:val="20"/>
                <w:szCs w:val="20"/>
                <w:lang w:val="en-GB"/>
              </w:rPr>
            </w:pPr>
            <w:r w:rsidRPr="00ED7D43">
              <w:rPr>
                <w:sz w:val="20"/>
                <w:szCs w:val="20"/>
                <w:lang w:val="en-GB"/>
              </w:rPr>
              <w:t>---</w:t>
            </w:r>
          </w:p>
        </w:tc>
      </w:tr>
      <w:tr w:rsidR="00ED7D43" w:rsidRPr="00ED7D43" w:rsidTr="00ED7D43">
        <w:trPr>
          <w:jc w:val="center"/>
        </w:trPr>
        <w:tc>
          <w:tcPr>
            <w:tcW w:w="1766" w:type="pct"/>
            <w:shd w:val="clear" w:color="auto" w:fill="auto"/>
          </w:tcPr>
          <w:p w:rsidR="00ED7D43" w:rsidRPr="00ED7D43" w:rsidRDefault="00ED7D43" w:rsidP="00ED7D43">
            <w:pPr>
              <w:rPr>
                <w:sz w:val="20"/>
                <w:szCs w:val="20"/>
                <w:lang w:val="en-GB"/>
              </w:rPr>
            </w:pPr>
            <w:r w:rsidRPr="00ED7D43">
              <w:rPr>
                <w:sz w:val="20"/>
                <w:szCs w:val="20"/>
                <w:lang w:val="en-GB"/>
              </w:rPr>
              <w:t>Median in months (95% CI)</w:t>
            </w:r>
          </w:p>
        </w:tc>
        <w:tc>
          <w:tcPr>
            <w:tcW w:w="1125" w:type="pct"/>
          </w:tcPr>
          <w:p w:rsidR="00ED7D43" w:rsidRPr="00ED7D43" w:rsidRDefault="00ED7D43" w:rsidP="00ED7D43">
            <w:pPr>
              <w:rPr>
                <w:sz w:val="20"/>
                <w:szCs w:val="20"/>
                <w:lang w:val="en-GB"/>
              </w:rPr>
            </w:pPr>
            <w:r w:rsidRPr="00ED7D43">
              <w:rPr>
                <w:sz w:val="20"/>
                <w:szCs w:val="20"/>
                <w:lang w:val="en-GB"/>
              </w:rPr>
              <w:t>2.9 (2.8, 3.8)</w:t>
            </w:r>
          </w:p>
        </w:tc>
        <w:tc>
          <w:tcPr>
            <w:tcW w:w="1090" w:type="pct"/>
          </w:tcPr>
          <w:p w:rsidR="00ED7D43" w:rsidRPr="00ED7D43" w:rsidRDefault="00ED7D43" w:rsidP="00ED7D43">
            <w:pPr>
              <w:rPr>
                <w:sz w:val="20"/>
                <w:szCs w:val="20"/>
                <w:lang w:val="en-GB"/>
              </w:rPr>
            </w:pPr>
            <w:r w:rsidRPr="00ED7D43">
              <w:rPr>
                <w:sz w:val="20"/>
                <w:szCs w:val="20"/>
                <w:lang w:val="en-GB"/>
              </w:rPr>
              <w:t>2.9 (2.8, 4.7)</w:t>
            </w:r>
          </w:p>
        </w:tc>
        <w:tc>
          <w:tcPr>
            <w:tcW w:w="1019" w:type="pct"/>
          </w:tcPr>
          <w:p w:rsidR="00ED7D43" w:rsidRPr="00ED7D43" w:rsidRDefault="00ED7D43" w:rsidP="00ED7D43">
            <w:pPr>
              <w:rPr>
                <w:sz w:val="20"/>
                <w:szCs w:val="20"/>
                <w:lang w:val="en-GB"/>
              </w:rPr>
            </w:pPr>
            <w:r w:rsidRPr="00ED7D43">
              <w:rPr>
                <w:sz w:val="20"/>
                <w:szCs w:val="20"/>
                <w:lang w:val="en-GB"/>
              </w:rPr>
              <w:t>2.7 (2.5, 2.8)</w:t>
            </w:r>
          </w:p>
        </w:tc>
      </w:tr>
      <w:tr w:rsidR="00ED7D43" w:rsidRPr="00ED7D43" w:rsidTr="00ED7D43">
        <w:trPr>
          <w:jc w:val="center"/>
        </w:trPr>
        <w:tc>
          <w:tcPr>
            <w:tcW w:w="1766" w:type="pct"/>
            <w:shd w:val="clear" w:color="auto" w:fill="auto"/>
          </w:tcPr>
          <w:p w:rsidR="00ED7D43" w:rsidRPr="00ED7D43" w:rsidRDefault="00ED7D43" w:rsidP="00ED7D43">
            <w:pPr>
              <w:rPr>
                <w:sz w:val="20"/>
                <w:szCs w:val="20"/>
                <w:lang w:val="en-GB"/>
              </w:rPr>
            </w:pPr>
            <w:r w:rsidRPr="00ED7D43">
              <w:rPr>
                <w:sz w:val="20"/>
                <w:szCs w:val="20"/>
                <w:lang w:val="en-GB"/>
              </w:rPr>
              <w:t>Mean in months (95% CI)</w:t>
            </w:r>
            <w:r w:rsidRPr="00ED7D43">
              <w:rPr>
                <w:sz w:val="20"/>
                <w:szCs w:val="20"/>
                <w:vertAlign w:val="superscript"/>
              </w:rPr>
              <w:t>#</w:t>
            </w:r>
          </w:p>
        </w:tc>
        <w:tc>
          <w:tcPr>
            <w:tcW w:w="1125" w:type="pct"/>
          </w:tcPr>
          <w:p w:rsidR="00ED7D43" w:rsidRPr="00ED7D43" w:rsidRDefault="00ED7D43" w:rsidP="00ED7D43">
            <w:pPr>
              <w:rPr>
                <w:sz w:val="20"/>
                <w:szCs w:val="20"/>
                <w:lang w:val="en-GB"/>
              </w:rPr>
            </w:pPr>
            <w:r w:rsidRPr="00ED7D43">
              <w:rPr>
                <w:sz w:val="20"/>
                <w:szCs w:val="20"/>
                <w:lang w:val="en-GB"/>
              </w:rPr>
              <w:t>5.4 (4.7, 6.0)</w:t>
            </w:r>
          </w:p>
        </w:tc>
        <w:tc>
          <w:tcPr>
            <w:tcW w:w="1090" w:type="pct"/>
          </w:tcPr>
          <w:p w:rsidR="00ED7D43" w:rsidRPr="00ED7D43" w:rsidRDefault="00ED7D43" w:rsidP="00ED7D43">
            <w:pPr>
              <w:rPr>
                <w:sz w:val="20"/>
                <w:szCs w:val="20"/>
                <w:lang w:val="en-GB"/>
              </w:rPr>
            </w:pPr>
            <w:r w:rsidRPr="00ED7D43">
              <w:rPr>
                <w:sz w:val="20"/>
                <w:szCs w:val="20"/>
                <w:lang w:val="en-GB"/>
              </w:rPr>
              <w:t>5.8 (5.1, 6.4)</w:t>
            </w:r>
          </w:p>
        </w:tc>
        <w:tc>
          <w:tcPr>
            <w:tcW w:w="1019" w:type="pct"/>
          </w:tcPr>
          <w:p w:rsidR="00ED7D43" w:rsidRPr="00ED7D43" w:rsidRDefault="00ED7D43" w:rsidP="00ED7D43">
            <w:pPr>
              <w:rPr>
                <w:sz w:val="20"/>
                <w:szCs w:val="20"/>
                <w:lang w:val="en-GB"/>
              </w:rPr>
            </w:pPr>
            <w:r w:rsidRPr="00ED7D43">
              <w:rPr>
                <w:sz w:val="20"/>
                <w:szCs w:val="20"/>
                <w:lang w:val="en-GB"/>
              </w:rPr>
              <w:t>3.6 (3.2, 4.1)</w:t>
            </w:r>
          </w:p>
        </w:tc>
      </w:tr>
      <w:tr w:rsidR="00ED7D43" w:rsidRPr="00ED7D43" w:rsidTr="00ED7D43">
        <w:trPr>
          <w:jc w:val="center"/>
        </w:trPr>
        <w:tc>
          <w:tcPr>
            <w:tcW w:w="1766" w:type="pct"/>
            <w:shd w:val="clear" w:color="auto" w:fill="auto"/>
          </w:tcPr>
          <w:p w:rsidR="00ED7D43" w:rsidRPr="00ED7D43" w:rsidRDefault="00ED7D43" w:rsidP="00ED7D43">
            <w:pPr>
              <w:rPr>
                <w:b/>
                <w:sz w:val="20"/>
                <w:szCs w:val="20"/>
                <w:lang w:val="en-GB"/>
              </w:rPr>
            </w:pPr>
            <w:r w:rsidRPr="00ED7D43">
              <w:rPr>
                <w:b/>
                <w:sz w:val="20"/>
                <w:szCs w:val="20"/>
                <w:lang w:val="en-GB"/>
              </w:rPr>
              <w:t>PFS</w:t>
            </w:r>
            <w:r w:rsidRPr="00ED7D43">
              <w:rPr>
                <w:sz w:val="20"/>
                <w:szCs w:val="20"/>
                <w:vertAlign w:val="superscript"/>
              </w:rPr>
              <w:t>§</w:t>
            </w:r>
            <w:r w:rsidRPr="00ED7D43">
              <w:rPr>
                <w:b/>
                <w:sz w:val="20"/>
                <w:szCs w:val="20"/>
                <w:vertAlign w:val="superscript"/>
                <w:lang w:val="en-GB"/>
              </w:rPr>
              <w:t xml:space="preserve"> </w:t>
            </w:r>
            <w:r w:rsidRPr="00ED7D43">
              <w:rPr>
                <w:b/>
                <w:sz w:val="20"/>
                <w:szCs w:val="20"/>
                <w:lang w:val="en-GB"/>
              </w:rPr>
              <w:t>by INV</w:t>
            </w:r>
            <w:r w:rsidRPr="00ED7D43">
              <w:rPr>
                <w:sz w:val="20"/>
                <w:szCs w:val="20"/>
                <w:vertAlign w:val="superscript"/>
              </w:rPr>
              <w:t>Þ</w:t>
            </w:r>
          </w:p>
        </w:tc>
        <w:tc>
          <w:tcPr>
            <w:tcW w:w="1125" w:type="pct"/>
          </w:tcPr>
          <w:p w:rsidR="00ED7D43" w:rsidRPr="00ED7D43" w:rsidRDefault="00ED7D43" w:rsidP="00ED7D43">
            <w:pPr>
              <w:rPr>
                <w:sz w:val="20"/>
                <w:szCs w:val="20"/>
                <w:lang w:val="en-GB"/>
              </w:rPr>
            </w:pPr>
          </w:p>
        </w:tc>
        <w:tc>
          <w:tcPr>
            <w:tcW w:w="1090" w:type="pct"/>
          </w:tcPr>
          <w:p w:rsidR="00ED7D43" w:rsidRPr="00ED7D43" w:rsidRDefault="00ED7D43" w:rsidP="00ED7D43">
            <w:pPr>
              <w:rPr>
                <w:sz w:val="20"/>
                <w:szCs w:val="20"/>
                <w:lang w:val="en-GB"/>
              </w:rPr>
            </w:pPr>
          </w:p>
        </w:tc>
        <w:tc>
          <w:tcPr>
            <w:tcW w:w="1019" w:type="pct"/>
          </w:tcPr>
          <w:p w:rsidR="00ED7D43" w:rsidRPr="00ED7D43" w:rsidRDefault="00ED7D43" w:rsidP="00ED7D43">
            <w:pPr>
              <w:rPr>
                <w:sz w:val="20"/>
                <w:szCs w:val="20"/>
                <w:lang w:val="en-GB"/>
              </w:rPr>
            </w:pPr>
          </w:p>
        </w:tc>
      </w:tr>
      <w:tr w:rsidR="00ED7D43" w:rsidRPr="00ED7D43" w:rsidTr="00ED7D43">
        <w:trPr>
          <w:jc w:val="center"/>
        </w:trPr>
        <w:tc>
          <w:tcPr>
            <w:tcW w:w="1766" w:type="pct"/>
            <w:shd w:val="clear" w:color="auto" w:fill="auto"/>
          </w:tcPr>
          <w:p w:rsidR="00ED7D43" w:rsidRPr="00ED7D43" w:rsidRDefault="00ED7D43" w:rsidP="00ED7D43">
            <w:pPr>
              <w:rPr>
                <w:sz w:val="20"/>
                <w:szCs w:val="20"/>
                <w:lang w:val="en-GB"/>
              </w:rPr>
            </w:pPr>
            <w:r w:rsidRPr="00ED7D43">
              <w:rPr>
                <w:sz w:val="20"/>
                <w:szCs w:val="20"/>
                <w:lang w:val="en-GB"/>
              </w:rPr>
              <w:t>Number (%) of patients with event</w:t>
            </w:r>
          </w:p>
        </w:tc>
        <w:tc>
          <w:tcPr>
            <w:tcW w:w="1125" w:type="pct"/>
          </w:tcPr>
          <w:p w:rsidR="00ED7D43" w:rsidRPr="00ED7D43" w:rsidRDefault="00ED7D43" w:rsidP="00ED7D43">
            <w:pPr>
              <w:rPr>
                <w:sz w:val="20"/>
                <w:szCs w:val="20"/>
                <w:lang w:val="en-GB"/>
              </w:rPr>
            </w:pPr>
            <w:r w:rsidRPr="00ED7D43">
              <w:rPr>
                <w:sz w:val="20"/>
                <w:szCs w:val="20"/>
                <w:lang w:val="en-GB"/>
              </w:rPr>
              <w:t>122 (68%)</w:t>
            </w:r>
          </w:p>
        </w:tc>
        <w:tc>
          <w:tcPr>
            <w:tcW w:w="1090" w:type="pct"/>
          </w:tcPr>
          <w:p w:rsidR="00ED7D43" w:rsidRPr="00ED7D43" w:rsidRDefault="00ED7D43" w:rsidP="00ED7D43">
            <w:pPr>
              <w:rPr>
                <w:sz w:val="20"/>
                <w:szCs w:val="20"/>
                <w:lang w:val="en-GB"/>
              </w:rPr>
            </w:pPr>
            <w:r w:rsidRPr="00ED7D43">
              <w:rPr>
                <w:sz w:val="20"/>
                <w:szCs w:val="20"/>
                <w:lang w:val="en-GB"/>
              </w:rPr>
              <w:t>112 (62%)</w:t>
            </w:r>
          </w:p>
        </w:tc>
        <w:tc>
          <w:tcPr>
            <w:tcW w:w="1019" w:type="pct"/>
          </w:tcPr>
          <w:p w:rsidR="00ED7D43" w:rsidRPr="00ED7D43" w:rsidRDefault="00ED7D43" w:rsidP="00ED7D43">
            <w:pPr>
              <w:rPr>
                <w:sz w:val="20"/>
                <w:szCs w:val="20"/>
                <w:lang w:val="en-GB"/>
              </w:rPr>
            </w:pPr>
            <w:r w:rsidRPr="00ED7D43">
              <w:rPr>
                <w:sz w:val="20"/>
                <w:szCs w:val="20"/>
                <w:lang w:val="en-GB"/>
              </w:rPr>
              <w:t>157 (88%)</w:t>
            </w:r>
          </w:p>
        </w:tc>
      </w:tr>
      <w:tr w:rsidR="00ED7D43" w:rsidRPr="00ED7D43" w:rsidTr="00ED7D43">
        <w:trPr>
          <w:jc w:val="center"/>
        </w:trPr>
        <w:tc>
          <w:tcPr>
            <w:tcW w:w="1766" w:type="pct"/>
            <w:shd w:val="clear" w:color="auto" w:fill="auto"/>
          </w:tcPr>
          <w:p w:rsidR="00ED7D43" w:rsidRPr="00ED7D43" w:rsidRDefault="00ED7D43" w:rsidP="00ED7D43">
            <w:pPr>
              <w:rPr>
                <w:sz w:val="20"/>
                <w:szCs w:val="20"/>
                <w:lang w:val="en-GB"/>
              </w:rPr>
            </w:pPr>
            <w:r w:rsidRPr="00ED7D43">
              <w:rPr>
                <w:sz w:val="20"/>
                <w:szCs w:val="20"/>
                <w:lang w:val="en-GB"/>
              </w:rPr>
              <w:t>Hazard ratio</w:t>
            </w:r>
            <w:r w:rsidRPr="00ED7D43">
              <w:rPr>
                <w:sz w:val="20"/>
                <w:szCs w:val="20"/>
                <w:vertAlign w:val="superscript"/>
                <w:lang w:val="en-GB"/>
              </w:rPr>
              <w:t>†</w:t>
            </w:r>
            <w:r w:rsidRPr="00ED7D43">
              <w:rPr>
                <w:sz w:val="20"/>
                <w:szCs w:val="20"/>
                <w:lang w:val="en-GB"/>
              </w:rPr>
              <w:t xml:space="preserve"> (95% CI)</w:t>
            </w:r>
            <w:r w:rsidRPr="00ED7D43">
              <w:rPr>
                <w:sz w:val="20"/>
                <w:szCs w:val="20"/>
                <w:vertAlign w:val="superscript"/>
                <w:lang w:val="en-GB"/>
              </w:rPr>
              <w:t xml:space="preserve"> </w:t>
            </w:r>
          </w:p>
        </w:tc>
        <w:tc>
          <w:tcPr>
            <w:tcW w:w="1125" w:type="pct"/>
          </w:tcPr>
          <w:p w:rsidR="00ED7D43" w:rsidRPr="00ED7D43" w:rsidRDefault="00ED7D43" w:rsidP="00ED7D43">
            <w:pPr>
              <w:rPr>
                <w:sz w:val="20"/>
                <w:szCs w:val="20"/>
                <w:lang w:val="en-GB"/>
              </w:rPr>
            </w:pPr>
            <w:r w:rsidRPr="00ED7D43">
              <w:rPr>
                <w:sz w:val="20"/>
                <w:szCs w:val="20"/>
                <w:lang w:val="en-GB"/>
              </w:rPr>
              <w:t>0.49 (0.38, 0.62)</w:t>
            </w:r>
          </w:p>
        </w:tc>
        <w:tc>
          <w:tcPr>
            <w:tcW w:w="1090" w:type="pct"/>
          </w:tcPr>
          <w:p w:rsidR="00ED7D43" w:rsidRPr="00ED7D43" w:rsidRDefault="00ED7D43" w:rsidP="00ED7D43">
            <w:pPr>
              <w:rPr>
                <w:sz w:val="20"/>
                <w:szCs w:val="20"/>
                <w:lang w:val="en-GB"/>
              </w:rPr>
            </w:pPr>
            <w:r w:rsidRPr="00ED7D43">
              <w:rPr>
                <w:sz w:val="20"/>
                <w:szCs w:val="20"/>
                <w:lang w:val="en-GB"/>
              </w:rPr>
              <w:t>0.41 (0.32, 0.52)</w:t>
            </w:r>
          </w:p>
        </w:tc>
        <w:tc>
          <w:tcPr>
            <w:tcW w:w="1019" w:type="pct"/>
          </w:tcPr>
          <w:p w:rsidR="00ED7D43" w:rsidRPr="00ED7D43" w:rsidRDefault="00ED7D43" w:rsidP="00ED7D43">
            <w:pPr>
              <w:rPr>
                <w:sz w:val="20"/>
                <w:szCs w:val="20"/>
                <w:lang w:val="en-GB"/>
              </w:rPr>
            </w:pPr>
            <w:r w:rsidRPr="00ED7D43">
              <w:rPr>
                <w:sz w:val="20"/>
                <w:szCs w:val="20"/>
                <w:lang w:val="en-GB"/>
              </w:rPr>
              <w:t>---</w:t>
            </w:r>
          </w:p>
        </w:tc>
      </w:tr>
      <w:tr w:rsidR="00ED7D43" w:rsidRPr="00ED7D43" w:rsidTr="00ED7D43">
        <w:trPr>
          <w:jc w:val="center"/>
        </w:trPr>
        <w:tc>
          <w:tcPr>
            <w:tcW w:w="1766" w:type="pct"/>
            <w:shd w:val="clear" w:color="auto" w:fill="auto"/>
          </w:tcPr>
          <w:p w:rsidR="00ED7D43" w:rsidRPr="00ED7D43" w:rsidRDefault="00ED7D43" w:rsidP="00ED7D43">
            <w:pPr>
              <w:rPr>
                <w:sz w:val="20"/>
                <w:szCs w:val="20"/>
                <w:lang w:val="en-GB"/>
              </w:rPr>
            </w:pPr>
            <w:r w:rsidRPr="00ED7D43">
              <w:rPr>
                <w:sz w:val="20"/>
                <w:szCs w:val="20"/>
                <w:lang w:val="en-GB"/>
              </w:rPr>
              <w:t>p-Value</w:t>
            </w:r>
            <w:r w:rsidRPr="00ED7D43">
              <w:rPr>
                <w:sz w:val="20"/>
                <w:szCs w:val="20"/>
                <w:vertAlign w:val="superscript"/>
                <w:lang w:val="en-GB"/>
              </w:rPr>
              <w:t>‡</w:t>
            </w:r>
          </w:p>
        </w:tc>
        <w:tc>
          <w:tcPr>
            <w:tcW w:w="1125" w:type="pct"/>
          </w:tcPr>
          <w:p w:rsidR="00ED7D43" w:rsidRPr="00ED7D43" w:rsidRDefault="00ED7D43" w:rsidP="00ED7D43">
            <w:pPr>
              <w:rPr>
                <w:sz w:val="20"/>
                <w:szCs w:val="20"/>
                <w:lang w:val="en-GB"/>
              </w:rPr>
            </w:pPr>
            <w:r w:rsidRPr="00ED7D43">
              <w:rPr>
                <w:sz w:val="20"/>
                <w:szCs w:val="20"/>
                <w:lang w:val="en-GB"/>
              </w:rPr>
              <w:t>&lt;0.0001</w:t>
            </w:r>
          </w:p>
        </w:tc>
        <w:tc>
          <w:tcPr>
            <w:tcW w:w="1090" w:type="pct"/>
          </w:tcPr>
          <w:p w:rsidR="00ED7D43" w:rsidRPr="00ED7D43" w:rsidRDefault="00ED7D43" w:rsidP="00ED7D43">
            <w:pPr>
              <w:rPr>
                <w:sz w:val="20"/>
                <w:szCs w:val="20"/>
                <w:lang w:val="en-GB"/>
              </w:rPr>
            </w:pPr>
            <w:r w:rsidRPr="00ED7D43">
              <w:rPr>
                <w:sz w:val="20"/>
                <w:szCs w:val="20"/>
                <w:lang w:val="en-GB"/>
              </w:rPr>
              <w:t>&lt;0.0001</w:t>
            </w:r>
          </w:p>
        </w:tc>
        <w:tc>
          <w:tcPr>
            <w:tcW w:w="1019" w:type="pct"/>
          </w:tcPr>
          <w:p w:rsidR="00ED7D43" w:rsidRPr="00ED7D43" w:rsidRDefault="00ED7D43" w:rsidP="00ED7D43">
            <w:pPr>
              <w:rPr>
                <w:sz w:val="20"/>
                <w:szCs w:val="20"/>
                <w:lang w:val="en-GB"/>
              </w:rPr>
            </w:pPr>
            <w:r w:rsidRPr="00ED7D43">
              <w:rPr>
                <w:sz w:val="20"/>
                <w:szCs w:val="20"/>
                <w:lang w:val="en-GB"/>
              </w:rPr>
              <w:t>---</w:t>
            </w:r>
          </w:p>
        </w:tc>
      </w:tr>
      <w:tr w:rsidR="00ED7D43" w:rsidRPr="00ED7D43" w:rsidTr="00ED7D43">
        <w:trPr>
          <w:jc w:val="center"/>
        </w:trPr>
        <w:tc>
          <w:tcPr>
            <w:tcW w:w="1766" w:type="pct"/>
            <w:shd w:val="clear" w:color="auto" w:fill="auto"/>
          </w:tcPr>
          <w:p w:rsidR="00ED7D43" w:rsidRPr="00ED7D43" w:rsidRDefault="00ED7D43" w:rsidP="00ED7D43">
            <w:pPr>
              <w:rPr>
                <w:sz w:val="20"/>
                <w:szCs w:val="20"/>
                <w:lang w:val="en-GB"/>
              </w:rPr>
            </w:pPr>
            <w:r w:rsidRPr="00ED7D43">
              <w:rPr>
                <w:sz w:val="20"/>
                <w:szCs w:val="20"/>
                <w:lang w:val="en-GB"/>
              </w:rPr>
              <w:t>Median in months (95% CI)</w:t>
            </w:r>
          </w:p>
        </w:tc>
        <w:tc>
          <w:tcPr>
            <w:tcW w:w="1125" w:type="pct"/>
          </w:tcPr>
          <w:p w:rsidR="00ED7D43" w:rsidRPr="00ED7D43" w:rsidRDefault="00ED7D43" w:rsidP="00ED7D43">
            <w:pPr>
              <w:rPr>
                <w:sz w:val="20"/>
                <w:szCs w:val="20"/>
                <w:lang w:val="en-GB"/>
              </w:rPr>
            </w:pPr>
            <w:r w:rsidRPr="00ED7D43">
              <w:rPr>
                <w:sz w:val="20"/>
                <w:szCs w:val="20"/>
                <w:lang w:val="en-GB"/>
              </w:rPr>
              <w:t>3.7 (2.9, 5.4)</w:t>
            </w:r>
          </w:p>
        </w:tc>
        <w:tc>
          <w:tcPr>
            <w:tcW w:w="1090" w:type="pct"/>
          </w:tcPr>
          <w:p w:rsidR="00ED7D43" w:rsidRPr="00ED7D43" w:rsidRDefault="00ED7D43" w:rsidP="00ED7D43">
            <w:pPr>
              <w:rPr>
                <w:sz w:val="20"/>
                <w:szCs w:val="20"/>
                <w:lang w:val="en-GB"/>
              </w:rPr>
            </w:pPr>
            <w:r w:rsidRPr="00ED7D43">
              <w:rPr>
                <w:sz w:val="20"/>
                <w:szCs w:val="20"/>
                <w:lang w:val="en-GB"/>
              </w:rPr>
              <w:t>5.4 (3.8, 6.8)</w:t>
            </w:r>
          </w:p>
        </w:tc>
        <w:tc>
          <w:tcPr>
            <w:tcW w:w="1019" w:type="pct"/>
          </w:tcPr>
          <w:p w:rsidR="00ED7D43" w:rsidRPr="00ED7D43" w:rsidRDefault="00ED7D43" w:rsidP="00ED7D43">
            <w:pPr>
              <w:rPr>
                <w:sz w:val="20"/>
                <w:szCs w:val="20"/>
                <w:lang w:val="en-GB"/>
              </w:rPr>
            </w:pPr>
            <w:r w:rsidRPr="00ED7D43">
              <w:rPr>
                <w:sz w:val="20"/>
                <w:szCs w:val="20"/>
                <w:lang w:val="en-GB"/>
              </w:rPr>
              <w:t>2.6 (2.4, 2.8)</w:t>
            </w:r>
          </w:p>
        </w:tc>
      </w:tr>
      <w:tr w:rsidR="00ED7D43" w:rsidRPr="00ED7D43" w:rsidTr="00ED7D43">
        <w:trPr>
          <w:jc w:val="center"/>
        </w:trPr>
        <w:tc>
          <w:tcPr>
            <w:tcW w:w="1766" w:type="pct"/>
            <w:shd w:val="clear" w:color="auto" w:fill="auto"/>
          </w:tcPr>
          <w:p w:rsidR="00ED7D43" w:rsidRPr="00ED7D43" w:rsidRDefault="00ED7D43" w:rsidP="00ED7D43">
            <w:pPr>
              <w:rPr>
                <w:sz w:val="20"/>
                <w:szCs w:val="20"/>
                <w:lang w:val="en-GB"/>
              </w:rPr>
            </w:pPr>
            <w:r w:rsidRPr="00ED7D43">
              <w:rPr>
                <w:sz w:val="20"/>
                <w:szCs w:val="20"/>
                <w:lang w:val="en-GB"/>
              </w:rPr>
              <w:t>Mean in months (95% CI)</w:t>
            </w:r>
            <w:r w:rsidRPr="00ED7D43">
              <w:rPr>
                <w:sz w:val="20"/>
                <w:szCs w:val="20"/>
                <w:vertAlign w:val="superscript"/>
              </w:rPr>
              <w:t xml:space="preserve"> #</w:t>
            </w:r>
          </w:p>
        </w:tc>
        <w:tc>
          <w:tcPr>
            <w:tcW w:w="1125" w:type="pct"/>
          </w:tcPr>
          <w:p w:rsidR="00ED7D43" w:rsidRPr="00ED7D43" w:rsidRDefault="00ED7D43" w:rsidP="00ED7D43">
            <w:pPr>
              <w:rPr>
                <w:sz w:val="20"/>
                <w:szCs w:val="20"/>
                <w:lang w:val="en-GB"/>
              </w:rPr>
            </w:pPr>
            <w:r w:rsidRPr="00ED7D43">
              <w:rPr>
                <w:sz w:val="20"/>
                <w:szCs w:val="20"/>
                <w:lang w:val="en-GB"/>
              </w:rPr>
              <w:t>5.8 (5.2, 6.4)</w:t>
            </w:r>
          </w:p>
        </w:tc>
        <w:tc>
          <w:tcPr>
            <w:tcW w:w="1090" w:type="pct"/>
          </w:tcPr>
          <w:p w:rsidR="00ED7D43" w:rsidRPr="00ED7D43" w:rsidRDefault="00ED7D43" w:rsidP="00ED7D43">
            <w:pPr>
              <w:rPr>
                <w:sz w:val="20"/>
                <w:szCs w:val="20"/>
                <w:lang w:val="en-GB"/>
              </w:rPr>
            </w:pPr>
            <w:r w:rsidRPr="00ED7D43">
              <w:rPr>
                <w:sz w:val="20"/>
                <w:szCs w:val="20"/>
                <w:lang w:val="en-GB"/>
              </w:rPr>
              <w:t>6.5 (5.8, 7.1)</w:t>
            </w:r>
          </w:p>
        </w:tc>
        <w:tc>
          <w:tcPr>
            <w:tcW w:w="1019" w:type="pct"/>
          </w:tcPr>
          <w:p w:rsidR="00ED7D43" w:rsidRPr="00ED7D43" w:rsidRDefault="00ED7D43" w:rsidP="00ED7D43">
            <w:pPr>
              <w:rPr>
                <w:sz w:val="20"/>
                <w:szCs w:val="20"/>
                <w:lang w:val="en-GB"/>
              </w:rPr>
            </w:pPr>
            <w:r w:rsidRPr="00ED7D43">
              <w:rPr>
                <w:sz w:val="20"/>
                <w:szCs w:val="20"/>
                <w:lang w:val="en-GB"/>
              </w:rPr>
              <w:t>3.7 (3.2, 4.1)</w:t>
            </w:r>
          </w:p>
        </w:tc>
      </w:tr>
      <w:tr w:rsidR="00ED7D43" w:rsidRPr="00ED7D43" w:rsidTr="00ED7D43">
        <w:trPr>
          <w:jc w:val="center"/>
        </w:trPr>
        <w:tc>
          <w:tcPr>
            <w:tcW w:w="1766" w:type="pct"/>
            <w:shd w:val="clear" w:color="auto" w:fill="auto"/>
          </w:tcPr>
          <w:p w:rsidR="00ED7D43" w:rsidRPr="00ED7D43" w:rsidRDefault="00ED7D43" w:rsidP="00ED7D43">
            <w:pPr>
              <w:rPr>
                <w:b/>
                <w:sz w:val="20"/>
                <w:szCs w:val="20"/>
                <w:lang w:val="en-GB"/>
              </w:rPr>
            </w:pPr>
            <w:r w:rsidRPr="00ED7D43">
              <w:rPr>
                <w:b/>
                <w:sz w:val="20"/>
                <w:szCs w:val="20"/>
                <w:lang w:val="en-GB"/>
              </w:rPr>
              <w:t>Best overall response</w:t>
            </w:r>
            <w:r w:rsidRPr="00ED7D43">
              <w:rPr>
                <w:sz w:val="20"/>
                <w:szCs w:val="20"/>
                <w:vertAlign w:val="superscript"/>
              </w:rPr>
              <w:t>§</w:t>
            </w:r>
            <w:r w:rsidRPr="00ED7D43">
              <w:rPr>
                <w:b/>
                <w:sz w:val="20"/>
                <w:szCs w:val="20"/>
                <w:lang w:val="en-GB"/>
              </w:rPr>
              <w:t xml:space="preserve"> by IRO</w:t>
            </w:r>
            <w:r w:rsidRPr="00ED7D43">
              <w:rPr>
                <w:sz w:val="20"/>
                <w:szCs w:val="20"/>
                <w:vertAlign w:val="superscript"/>
              </w:rPr>
              <w:t>¶</w:t>
            </w:r>
          </w:p>
        </w:tc>
        <w:tc>
          <w:tcPr>
            <w:tcW w:w="1125" w:type="pct"/>
          </w:tcPr>
          <w:p w:rsidR="00ED7D43" w:rsidRPr="00ED7D43" w:rsidRDefault="00ED7D43" w:rsidP="00ED7D43">
            <w:pPr>
              <w:rPr>
                <w:sz w:val="20"/>
                <w:szCs w:val="20"/>
                <w:lang w:val="en-GB"/>
              </w:rPr>
            </w:pPr>
          </w:p>
        </w:tc>
        <w:tc>
          <w:tcPr>
            <w:tcW w:w="1090" w:type="pct"/>
          </w:tcPr>
          <w:p w:rsidR="00ED7D43" w:rsidRPr="00ED7D43" w:rsidRDefault="00ED7D43" w:rsidP="00ED7D43">
            <w:pPr>
              <w:rPr>
                <w:sz w:val="20"/>
                <w:szCs w:val="20"/>
                <w:lang w:val="en-GB"/>
              </w:rPr>
            </w:pPr>
          </w:p>
        </w:tc>
        <w:tc>
          <w:tcPr>
            <w:tcW w:w="1019" w:type="pct"/>
          </w:tcPr>
          <w:p w:rsidR="00ED7D43" w:rsidRPr="00ED7D43" w:rsidRDefault="00ED7D43" w:rsidP="00ED7D43">
            <w:pPr>
              <w:rPr>
                <w:sz w:val="20"/>
                <w:szCs w:val="20"/>
                <w:lang w:val="en-GB"/>
              </w:rPr>
            </w:pPr>
          </w:p>
        </w:tc>
      </w:tr>
      <w:tr w:rsidR="00ED7D43" w:rsidRPr="00ED7D43" w:rsidTr="00ED7D43">
        <w:trPr>
          <w:jc w:val="center"/>
        </w:trPr>
        <w:tc>
          <w:tcPr>
            <w:tcW w:w="1766" w:type="pct"/>
            <w:shd w:val="clear" w:color="auto" w:fill="auto"/>
          </w:tcPr>
          <w:p w:rsidR="00ED7D43" w:rsidRPr="00ED7D43" w:rsidRDefault="00ED7D43" w:rsidP="00ED7D43">
            <w:pPr>
              <w:rPr>
                <w:sz w:val="20"/>
                <w:szCs w:val="20"/>
                <w:lang w:val="en-GB"/>
              </w:rPr>
            </w:pPr>
            <w:r w:rsidRPr="00ED7D43">
              <w:rPr>
                <w:sz w:val="20"/>
                <w:szCs w:val="20"/>
                <w:lang w:val="en-GB"/>
              </w:rPr>
              <w:t>ORR % (95% CI)</w:t>
            </w:r>
          </w:p>
        </w:tc>
        <w:tc>
          <w:tcPr>
            <w:tcW w:w="1125" w:type="pct"/>
          </w:tcPr>
          <w:p w:rsidR="00ED7D43" w:rsidRPr="00ED7D43" w:rsidRDefault="00ED7D43" w:rsidP="00ED7D43">
            <w:pPr>
              <w:rPr>
                <w:sz w:val="20"/>
                <w:szCs w:val="20"/>
                <w:lang w:val="en-GB"/>
              </w:rPr>
            </w:pPr>
            <w:r w:rsidRPr="00ED7D43">
              <w:rPr>
                <w:sz w:val="20"/>
                <w:szCs w:val="20"/>
                <w:lang w:val="en-GB"/>
              </w:rPr>
              <w:t>21% (15, 28)</w:t>
            </w:r>
          </w:p>
        </w:tc>
        <w:tc>
          <w:tcPr>
            <w:tcW w:w="1090" w:type="pct"/>
          </w:tcPr>
          <w:p w:rsidR="00ED7D43" w:rsidRPr="00ED7D43" w:rsidRDefault="00ED7D43" w:rsidP="00ED7D43">
            <w:pPr>
              <w:rPr>
                <w:sz w:val="20"/>
                <w:szCs w:val="20"/>
                <w:lang w:val="en-GB"/>
              </w:rPr>
            </w:pPr>
            <w:r w:rsidRPr="00ED7D43">
              <w:rPr>
                <w:sz w:val="20"/>
                <w:szCs w:val="20"/>
                <w:lang w:val="en-GB"/>
              </w:rPr>
              <w:t>25% (19, 32)</w:t>
            </w:r>
          </w:p>
        </w:tc>
        <w:tc>
          <w:tcPr>
            <w:tcW w:w="1019" w:type="pct"/>
          </w:tcPr>
          <w:p w:rsidR="00ED7D43" w:rsidRPr="00ED7D43" w:rsidRDefault="00ED7D43" w:rsidP="00ED7D43">
            <w:pPr>
              <w:rPr>
                <w:sz w:val="20"/>
                <w:szCs w:val="20"/>
                <w:lang w:val="en-GB"/>
              </w:rPr>
            </w:pPr>
            <w:r w:rsidRPr="00ED7D43">
              <w:rPr>
                <w:sz w:val="20"/>
                <w:szCs w:val="20"/>
                <w:lang w:val="en-GB"/>
              </w:rPr>
              <w:t>4% (2, 9)</w:t>
            </w:r>
          </w:p>
        </w:tc>
      </w:tr>
      <w:tr w:rsidR="00ED7D43" w:rsidRPr="00ED7D43" w:rsidTr="00ED7D43">
        <w:trPr>
          <w:jc w:val="center"/>
        </w:trPr>
        <w:tc>
          <w:tcPr>
            <w:tcW w:w="1766" w:type="pct"/>
            <w:shd w:val="clear" w:color="auto" w:fill="auto"/>
          </w:tcPr>
          <w:p w:rsidR="00ED7D43" w:rsidRPr="00ED7D43" w:rsidRDefault="00ED7D43" w:rsidP="00ED7D43">
            <w:pPr>
              <w:rPr>
                <w:sz w:val="20"/>
                <w:szCs w:val="20"/>
                <w:lang w:val="en-GB"/>
              </w:rPr>
            </w:pPr>
            <w:r w:rsidRPr="00ED7D43">
              <w:rPr>
                <w:sz w:val="20"/>
                <w:szCs w:val="20"/>
                <w:lang w:val="en-GB"/>
              </w:rPr>
              <w:lastRenderedPageBreak/>
              <w:t>Complete response %</w:t>
            </w:r>
          </w:p>
        </w:tc>
        <w:tc>
          <w:tcPr>
            <w:tcW w:w="1125" w:type="pct"/>
          </w:tcPr>
          <w:p w:rsidR="00ED7D43" w:rsidRPr="00ED7D43" w:rsidRDefault="00ED7D43" w:rsidP="00ED7D43">
            <w:pPr>
              <w:rPr>
                <w:sz w:val="20"/>
                <w:szCs w:val="20"/>
                <w:lang w:val="en-GB"/>
              </w:rPr>
            </w:pPr>
            <w:r w:rsidRPr="00ED7D43">
              <w:rPr>
                <w:sz w:val="20"/>
                <w:szCs w:val="20"/>
                <w:lang w:val="en-GB"/>
              </w:rPr>
              <w:t>2%</w:t>
            </w:r>
          </w:p>
        </w:tc>
        <w:tc>
          <w:tcPr>
            <w:tcW w:w="1090" w:type="pct"/>
          </w:tcPr>
          <w:p w:rsidR="00ED7D43" w:rsidRPr="00ED7D43" w:rsidRDefault="00ED7D43" w:rsidP="00ED7D43">
            <w:pPr>
              <w:rPr>
                <w:sz w:val="20"/>
                <w:szCs w:val="20"/>
                <w:lang w:val="en-GB"/>
              </w:rPr>
            </w:pPr>
            <w:r w:rsidRPr="00ED7D43">
              <w:rPr>
                <w:sz w:val="20"/>
                <w:szCs w:val="20"/>
                <w:lang w:val="en-GB"/>
              </w:rPr>
              <w:t>3%</w:t>
            </w:r>
          </w:p>
        </w:tc>
        <w:tc>
          <w:tcPr>
            <w:tcW w:w="1019" w:type="pct"/>
          </w:tcPr>
          <w:p w:rsidR="00ED7D43" w:rsidRPr="00ED7D43" w:rsidRDefault="00ED7D43" w:rsidP="00ED7D43">
            <w:pPr>
              <w:rPr>
                <w:sz w:val="20"/>
                <w:szCs w:val="20"/>
                <w:lang w:val="en-GB"/>
              </w:rPr>
            </w:pPr>
            <w:r w:rsidRPr="00ED7D43">
              <w:rPr>
                <w:sz w:val="20"/>
                <w:szCs w:val="20"/>
                <w:lang w:val="en-GB"/>
              </w:rPr>
              <w:t>0%</w:t>
            </w:r>
          </w:p>
        </w:tc>
      </w:tr>
      <w:tr w:rsidR="00ED7D43" w:rsidRPr="00ED7D43" w:rsidTr="00ED7D43">
        <w:trPr>
          <w:jc w:val="center"/>
        </w:trPr>
        <w:tc>
          <w:tcPr>
            <w:tcW w:w="1766" w:type="pct"/>
            <w:shd w:val="clear" w:color="auto" w:fill="auto"/>
          </w:tcPr>
          <w:p w:rsidR="00ED7D43" w:rsidRPr="00ED7D43" w:rsidRDefault="00ED7D43" w:rsidP="00ED7D43">
            <w:pPr>
              <w:rPr>
                <w:sz w:val="20"/>
                <w:szCs w:val="20"/>
                <w:lang w:val="en-GB"/>
              </w:rPr>
            </w:pPr>
            <w:r w:rsidRPr="00ED7D43">
              <w:rPr>
                <w:sz w:val="20"/>
                <w:szCs w:val="20"/>
                <w:lang w:val="en-GB"/>
              </w:rPr>
              <w:t>Partial response %</w:t>
            </w:r>
          </w:p>
        </w:tc>
        <w:tc>
          <w:tcPr>
            <w:tcW w:w="1125" w:type="pct"/>
          </w:tcPr>
          <w:p w:rsidR="00ED7D43" w:rsidRPr="00ED7D43" w:rsidRDefault="00ED7D43" w:rsidP="00ED7D43">
            <w:pPr>
              <w:rPr>
                <w:sz w:val="20"/>
                <w:szCs w:val="20"/>
                <w:lang w:val="en-GB"/>
              </w:rPr>
            </w:pPr>
            <w:r w:rsidRPr="00ED7D43">
              <w:rPr>
                <w:sz w:val="20"/>
                <w:szCs w:val="20"/>
                <w:lang w:val="en-GB"/>
              </w:rPr>
              <w:t>19%</w:t>
            </w:r>
          </w:p>
        </w:tc>
        <w:tc>
          <w:tcPr>
            <w:tcW w:w="1090" w:type="pct"/>
          </w:tcPr>
          <w:p w:rsidR="00ED7D43" w:rsidRPr="00ED7D43" w:rsidRDefault="00ED7D43" w:rsidP="00ED7D43">
            <w:pPr>
              <w:rPr>
                <w:sz w:val="20"/>
                <w:szCs w:val="20"/>
                <w:lang w:val="en-GB"/>
              </w:rPr>
            </w:pPr>
            <w:r w:rsidRPr="00ED7D43">
              <w:rPr>
                <w:sz w:val="20"/>
                <w:szCs w:val="20"/>
                <w:lang w:val="en-GB"/>
              </w:rPr>
              <w:t>23%</w:t>
            </w:r>
          </w:p>
        </w:tc>
        <w:tc>
          <w:tcPr>
            <w:tcW w:w="1019" w:type="pct"/>
          </w:tcPr>
          <w:p w:rsidR="00ED7D43" w:rsidRPr="00ED7D43" w:rsidRDefault="00ED7D43" w:rsidP="00ED7D43">
            <w:pPr>
              <w:rPr>
                <w:sz w:val="20"/>
                <w:szCs w:val="20"/>
                <w:lang w:val="en-GB"/>
              </w:rPr>
            </w:pPr>
            <w:r w:rsidRPr="00ED7D43">
              <w:rPr>
                <w:sz w:val="20"/>
                <w:szCs w:val="20"/>
                <w:lang w:val="en-GB"/>
              </w:rPr>
              <w:t>4%</w:t>
            </w:r>
          </w:p>
        </w:tc>
      </w:tr>
      <w:tr w:rsidR="00ED7D43" w:rsidRPr="00ED7D43" w:rsidTr="00ED7D43">
        <w:trPr>
          <w:jc w:val="center"/>
        </w:trPr>
        <w:tc>
          <w:tcPr>
            <w:tcW w:w="1766" w:type="pct"/>
            <w:shd w:val="clear" w:color="auto" w:fill="auto"/>
          </w:tcPr>
          <w:p w:rsidR="00ED7D43" w:rsidRPr="00ED7D43" w:rsidRDefault="00ED7D43" w:rsidP="00ED7D43">
            <w:pPr>
              <w:rPr>
                <w:b/>
                <w:sz w:val="20"/>
                <w:szCs w:val="20"/>
                <w:lang w:val="en-GB"/>
              </w:rPr>
            </w:pPr>
            <w:r w:rsidRPr="00ED7D43">
              <w:rPr>
                <w:b/>
                <w:sz w:val="20"/>
                <w:szCs w:val="20"/>
                <w:lang w:val="en-GB"/>
              </w:rPr>
              <w:t>Response duration</w:t>
            </w:r>
            <w:r w:rsidRPr="00ED7D43">
              <w:rPr>
                <w:b/>
                <w:sz w:val="20"/>
                <w:szCs w:val="20"/>
                <w:vertAlign w:val="superscript"/>
              </w:rPr>
              <w:t>ß</w:t>
            </w:r>
            <w:r w:rsidRPr="00ED7D43">
              <w:rPr>
                <w:b/>
                <w:sz w:val="20"/>
                <w:szCs w:val="20"/>
                <w:lang w:val="en-GB"/>
              </w:rPr>
              <w:t xml:space="preserve"> by IRO</w:t>
            </w:r>
            <w:r w:rsidRPr="00ED7D43">
              <w:rPr>
                <w:sz w:val="20"/>
                <w:szCs w:val="20"/>
                <w:vertAlign w:val="superscript"/>
              </w:rPr>
              <w:t>¶</w:t>
            </w:r>
          </w:p>
        </w:tc>
        <w:tc>
          <w:tcPr>
            <w:tcW w:w="1125" w:type="pct"/>
          </w:tcPr>
          <w:p w:rsidR="00ED7D43" w:rsidRPr="00ED7D43" w:rsidRDefault="00ED7D43" w:rsidP="00ED7D43">
            <w:pPr>
              <w:rPr>
                <w:sz w:val="20"/>
                <w:szCs w:val="20"/>
                <w:lang w:val="en-GB"/>
              </w:rPr>
            </w:pPr>
          </w:p>
        </w:tc>
        <w:tc>
          <w:tcPr>
            <w:tcW w:w="1090" w:type="pct"/>
          </w:tcPr>
          <w:p w:rsidR="00ED7D43" w:rsidRPr="00ED7D43" w:rsidRDefault="00ED7D43" w:rsidP="00ED7D43">
            <w:pPr>
              <w:rPr>
                <w:sz w:val="20"/>
                <w:szCs w:val="20"/>
                <w:lang w:val="en-GB"/>
              </w:rPr>
            </w:pPr>
          </w:p>
        </w:tc>
        <w:tc>
          <w:tcPr>
            <w:tcW w:w="1019" w:type="pct"/>
          </w:tcPr>
          <w:p w:rsidR="00ED7D43" w:rsidRPr="00ED7D43" w:rsidRDefault="00ED7D43" w:rsidP="00ED7D43">
            <w:pPr>
              <w:rPr>
                <w:sz w:val="20"/>
                <w:szCs w:val="20"/>
                <w:lang w:val="en-GB"/>
              </w:rPr>
            </w:pPr>
          </w:p>
        </w:tc>
      </w:tr>
      <w:tr w:rsidR="00ED7D43" w:rsidRPr="00ED7D43" w:rsidTr="00ED7D43">
        <w:trPr>
          <w:jc w:val="center"/>
        </w:trPr>
        <w:tc>
          <w:tcPr>
            <w:tcW w:w="1766" w:type="pct"/>
            <w:shd w:val="clear" w:color="auto" w:fill="auto"/>
          </w:tcPr>
          <w:p w:rsidR="00ED7D43" w:rsidRPr="00ED7D43" w:rsidRDefault="00ED7D43" w:rsidP="00ED7D43">
            <w:pPr>
              <w:rPr>
                <w:sz w:val="20"/>
                <w:szCs w:val="20"/>
                <w:lang w:val="en-GB"/>
              </w:rPr>
            </w:pPr>
            <w:r w:rsidRPr="00ED7D43">
              <w:rPr>
                <w:sz w:val="20"/>
                <w:szCs w:val="20"/>
                <w:lang w:val="en-GB"/>
              </w:rPr>
              <w:t>Median in months (range)</w:t>
            </w:r>
          </w:p>
        </w:tc>
        <w:tc>
          <w:tcPr>
            <w:tcW w:w="1125" w:type="pct"/>
          </w:tcPr>
          <w:p w:rsidR="00ED7D43" w:rsidRPr="00ED7D43" w:rsidRDefault="00ED7D43" w:rsidP="00ED7D43">
            <w:pPr>
              <w:rPr>
                <w:sz w:val="20"/>
                <w:szCs w:val="20"/>
                <w:lang w:val="en-GB"/>
              </w:rPr>
            </w:pPr>
            <w:r w:rsidRPr="00ED7D43">
              <w:rPr>
                <w:sz w:val="20"/>
                <w:szCs w:val="20"/>
                <w:lang w:val="en-GB"/>
              </w:rPr>
              <w:t>22.8</w:t>
            </w:r>
          </w:p>
          <w:p w:rsidR="00ED7D43" w:rsidRPr="00ED7D43" w:rsidRDefault="00ED7D43" w:rsidP="00ED7D43">
            <w:pPr>
              <w:rPr>
                <w:sz w:val="20"/>
                <w:szCs w:val="20"/>
                <w:lang w:val="en-GB"/>
              </w:rPr>
            </w:pPr>
            <w:r w:rsidRPr="00ED7D43">
              <w:rPr>
                <w:sz w:val="20"/>
                <w:szCs w:val="20"/>
                <w:lang w:val="en-GB"/>
              </w:rPr>
              <w:t>(1.4+, 25.3+)</w:t>
            </w:r>
          </w:p>
        </w:tc>
        <w:tc>
          <w:tcPr>
            <w:tcW w:w="1090" w:type="pct"/>
          </w:tcPr>
          <w:p w:rsidR="00ED7D43" w:rsidRPr="00ED7D43" w:rsidRDefault="00ED7D43" w:rsidP="00ED7D43">
            <w:pPr>
              <w:rPr>
                <w:sz w:val="20"/>
                <w:szCs w:val="20"/>
                <w:lang w:val="en-GB"/>
              </w:rPr>
            </w:pPr>
            <w:r w:rsidRPr="00ED7D43">
              <w:rPr>
                <w:sz w:val="20"/>
                <w:szCs w:val="20"/>
                <w:lang w:val="en-GB"/>
              </w:rPr>
              <w:t>Not reached</w:t>
            </w:r>
          </w:p>
          <w:p w:rsidR="00ED7D43" w:rsidRPr="00ED7D43" w:rsidRDefault="00ED7D43" w:rsidP="00ED7D43">
            <w:pPr>
              <w:rPr>
                <w:bCs/>
                <w:sz w:val="20"/>
                <w:szCs w:val="20"/>
                <w:lang w:val="en-GB"/>
              </w:rPr>
            </w:pPr>
            <w:r w:rsidRPr="00ED7D43">
              <w:rPr>
                <w:sz w:val="20"/>
                <w:szCs w:val="20"/>
                <w:lang w:val="en-GB"/>
              </w:rPr>
              <w:t>(1.1+, 28.3+)</w:t>
            </w:r>
          </w:p>
        </w:tc>
        <w:tc>
          <w:tcPr>
            <w:tcW w:w="1019" w:type="pct"/>
          </w:tcPr>
          <w:p w:rsidR="00ED7D43" w:rsidRPr="00ED7D43" w:rsidRDefault="00ED7D43" w:rsidP="00ED7D43">
            <w:pPr>
              <w:rPr>
                <w:sz w:val="20"/>
                <w:szCs w:val="20"/>
                <w:lang w:val="en-GB"/>
              </w:rPr>
            </w:pPr>
            <w:r w:rsidRPr="00ED7D43">
              <w:rPr>
                <w:sz w:val="20"/>
                <w:szCs w:val="20"/>
                <w:lang w:val="en-GB"/>
              </w:rPr>
              <w:t>6.8</w:t>
            </w:r>
          </w:p>
          <w:p w:rsidR="00ED7D43" w:rsidRPr="00ED7D43" w:rsidRDefault="00ED7D43" w:rsidP="00ED7D43">
            <w:pPr>
              <w:rPr>
                <w:sz w:val="20"/>
                <w:szCs w:val="20"/>
                <w:lang w:val="en-GB"/>
              </w:rPr>
            </w:pPr>
            <w:r w:rsidRPr="00ED7D43">
              <w:rPr>
                <w:sz w:val="20"/>
                <w:szCs w:val="20"/>
                <w:lang w:val="en-GB"/>
              </w:rPr>
              <w:t>(2.8, 11.3)</w:t>
            </w:r>
          </w:p>
        </w:tc>
      </w:tr>
      <w:tr w:rsidR="00ED7D43" w:rsidRPr="00ED7D43" w:rsidTr="00ED7D43">
        <w:trPr>
          <w:jc w:val="center"/>
        </w:trPr>
        <w:tc>
          <w:tcPr>
            <w:tcW w:w="1766" w:type="pct"/>
            <w:shd w:val="clear" w:color="auto" w:fill="auto"/>
          </w:tcPr>
          <w:p w:rsidR="00ED7D43" w:rsidRPr="00ED7D43" w:rsidRDefault="00ED7D43" w:rsidP="00ED7D43">
            <w:pPr>
              <w:rPr>
                <w:sz w:val="20"/>
                <w:szCs w:val="20"/>
                <w:lang w:val="en-GB"/>
              </w:rPr>
            </w:pPr>
            <w:r w:rsidRPr="00ED7D43">
              <w:rPr>
                <w:sz w:val="20"/>
                <w:szCs w:val="20"/>
                <w:lang w:val="en-GB"/>
              </w:rPr>
              <w:t>% ongoing</w:t>
            </w:r>
            <w:r w:rsidRPr="00ED7D43">
              <w:rPr>
                <w:bCs/>
                <w:sz w:val="20"/>
                <w:szCs w:val="20"/>
                <w:lang w:val="en-GB"/>
              </w:rPr>
              <w:t xml:space="preserve"> at 12 months</w:t>
            </w:r>
            <w:r w:rsidRPr="00ED7D43">
              <w:rPr>
                <w:sz w:val="20"/>
                <w:szCs w:val="20"/>
                <w:vertAlign w:val="superscript"/>
              </w:rPr>
              <w:t>à</w:t>
            </w:r>
          </w:p>
        </w:tc>
        <w:tc>
          <w:tcPr>
            <w:tcW w:w="1125" w:type="pct"/>
          </w:tcPr>
          <w:p w:rsidR="00ED7D43" w:rsidRPr="00ED7D43" w:rsidRDefault="00ED7D43" w:rsidP="00ED7D43">
            <w:pPr>
              <w:rPr>
                <w:sz w:val="20"/>
                <w:szCs w:val="20"/>
                <w:lang w:val="en-GB"/>
              </w:rPr>
            </w:pPr>
            <w:r w:rsidRPr="00ED7D43">
              <w:rPr>
                <w:sz w:val="20"/>
                <w:szCs w:val="20"/>
                <w:lang w:val="en-GB"/>
              </w:rPr>
              <w:t>73%</w:t>
            </w:r>
          </w:p>
        </w:tc>
        <w:tc>
          <w:tcPr>
            <w:tcW w:w="1090" w:type="pct"/>
          </w:tcPr>
          <w:p w:rsidR="00ED7D43" w:rsidRPr="00ED7D43" w:rsidRDefault="00ED7D43" w:rsidP="00ED7D43">
            <w:pPr>
              <w:rPr>
                <w:sz w:val="20"/>
                <w:szCs w:val="20"/>
                <w:lang w:val="en-GB"/>
              </w:rPr>
            </w:pPr>
            <w:r w:rsidRPr="00ED7D43">
              <w:rPr>
                <w:sz w:val="20"/>
                <w:szCs w:val="20"/>
                <w:lang w:val="en-GB"/>
              </w:rPr>
              <w:t>79%</w:t>
            </w:r>
          </w:p>
        </w:tc>
        <w:tc>
          <w:tcPr>
            <w:tcW w:w="1019" w:type="pct"/>
          </w:tcPr>
          <w:p w:rsidR="00ED7D43" w:rsidRPr="00ED7D43" w:rsidRDefault="00ED7D43" w:rsidP="00ED7D43">
            <w:pPr>
              <w:rPr>
                <w:sz w:val="20"/>
                <w:szCs w:val="20"/>
                <w:lang w:val="en-GB"/>
              </w:rPr>
            </w:pPr>
            <w:r w:rsidRPr="00ED7D43">
              <w:rPr>
                <w:bCs/>
                <w:sz w:val="20"/>
                <w:szCs w:val="20"/>
                <w:lang w:val="en-GB"/>
              </w:rPr>
              <w:t>Not reached</w:t>
            </w:r>
            <w:r w:rsidRPr="00ED7D43">
              <w:rPr>
                <w:sz w:val="20"/>
                <w:szCs w:val="20"/>
                <w:vertAlign w:val="superscript"/>
              </w:rPr>
              <w:t>ð</w:t>
            </w:r>
          </w:p>
        </w:tc>
      </w:tr>
    </w:tbl>
    <w:p w:rsidR="00ED7D43" w:rsidRPr="00ED7D43" w:rsidRDefault="00ED7D43" w:rsidP="00ED7D43">
      <w:pPr>
        <w:pStyle w:val="Tabledescription"/>
      </w:pPr>
      <w:r w:rsidRPr="00ED7D43">
        <w:t>* Based on final analysis</w:t>
      </w:r>
    </w:p>
    <w:p w:rsidR="00ED7D43" w:rsidRPr="00ED7D43" w:rsidRDefault="00ED7D43" w:rsidP="00ED7D43">
      <w:pPr>
        <w:pStyle w:val="Tabledescription"/>
      </w:pPr>
      <w:r w:rsidRPr="00ED7D43">
        <w:t>† Hazard ratio (KEYTRUDA compared to chemotherapy) based on the stratified Cox proportional hazard model</w:t>
      </w:r>
    </w:p>
    <w:p w:rsidR="00ED7D43" w:rsidRPr="00ED7D43" w:rsidRDefault="00ED7D43" w:rsidP="00ED7D43">
      <w:pPr>
        <w:pStyle w:val="Tabledescription"/>
      </w:pPr>
      <w:r w:rsidRPr="00ED7D43">
        <w:t xml:space="preserve">‡ Based on stratified Log rank test </w:t>
      </w:r>
    </w:p>
    <w:p w:rsidR="00ED7D43" w:rsidRPr="00ED7D43" w:rsidRDefault="00ED7D43" w:rsidP="00ED7D43">
      <w:pPr>
        <w:pStyle w:val="Tabledescription"/>
      </w:pPr>
      <w:r w:rsidRPr="00ED7D43">
        <w:t>§ Based on second interim analysis¶ IRO = Independent radiology plus oncologist review using RECIST 1.1</w:t>
      </w:r>
    </w:p>
    <w:p w:rsidR="00ED7D43" w:rsidRPr="00ED7D43" w:rsidRDefault="00ED7D43" w:rsidP="00ED7D43">
      <w:pPr>
        <w:pStyle w:val="Tabledescription"/>
      </w:pPr>
      <w:r w:rsidRPr="00ED7D43">
        <w:t># Restricted mean progression free survival time based on follow up of 12 months</w:t>
      </w:r>
    </w:p>
    <w:p w:rsidR="00ED7D43" w:rsidRPr="00ED7D43" w:rsidRDefault="00ED7D43" w:rsidP="00ED7D43">
      <w:pPr>
        <w:pStyle w:val="Tabledescription"/>
      </w:pPr>
      <w:r w:rsidRPr="00ED7D43">
        <w:t>Þ INV = Investigator assessment using RECIST 1.1</w:t>
      </w:r>
    </w:p>
    <w:p w:rsidR="00ED7D43" w:rsidRPr="00ED7D43" w:rsidRDefault="00ED7D43" w:rsidP="00ED7D43">
      <w:pPr>
        <w:pStyle w:val="Tabledescription"/>
      </w:pPr>
      <w:r w:rsidRPr="00ED7D43">
        <w:t>ß Based on patients with a best overall response as confirmed complete or partial response from the final analysis</w:t>
      </w:r>
    </w:p>
    <w:p w:rsidR="00ED7D43" w:rsidRPr="00ED7D43" w:rsidRDefault="00ED7D43" w:rsidP="00ED7D43">
      <w:pPr>
        <w:pStyle w:val="Tabledescription"/>
      </w:pPr>
      <w:r w:rsidRPr="00ED7D43">
        <w:t xml:space="preserve">à Based on Kaplan-Meier estimates </w:t>
      </w:r>
    </w:p>
    <w:p w:rsidR="00ED7D43" w:rsidRPr="00ED7D43" w:rsidRDefault="00ED7D43" w:rsidP="00ED7D43">
      <w:pPr>
        <w:pStyle w:val="Tabledescription"/>
      </w:pPr>
      <w:r w:rsidRPr="00ED7D43">
        <w:t>è Not statistically significant after adjustment for multiplicity</w:t>
      </w:r>
    </w:p>
    <w:p w:rsidR="00ED7D43" w:rsidRPr="00ED7D43" w:rsidRDefault="00ED7D43" w:rsidP="00ED7D43">
      <w:pPr>
        <w:pStyle w:val="Tabledescription"/>
      </w:pPr>
      <w:r w:rsidRPr="00ED7D43">
        <w:t>ð The maximum follow-up for ongoing patients in the chemotherapy arm is 11.3 months; patients continue to be followed</w:t>
      </w:r>
    </w:p>
    <w:p w:rsidR="00ED7D43" w:rsidRPr="00ED7D43" w:rsidRDefault="00ED7D43" w:rsidP="00ED7D43">
      <w:pPr>
        <w:rPr>
          <w:lang w:val="en-GB"/>
        </w:rPr>
      </w:pPr>
      <w:r w:rsidRPr="00ED7D43">
        <w:rPr>
          <w:lang w:val="en-GB"/>
        </w:rPr>
        <w:t>At the final analysis, a long-term PFS analysis was performed based on 466 PFS events (150 for KEYTRUDA 2 mg/kg every 3 weeks; 144 for KEYTRUDA 10 mg/kg every 3 weeks and 172 for chemotherapy). The PFS HRs vs. chemotherapy were 0.58 (95% CI: 0.46, 0.73) for patients treated with KEYTRUDA 2 mg/kg every 3 weeks and 0.47 (95% CI: 0.37, 0.60 for patients treated with KEYTRUDA 10 mg/kg every 3 weeks (Figure 3).</w:t>
      </w:r>
    </w:p>
    <w:p w:rsidR="00ED7D43" w:rsidRPr="00ED7D43" w:rsidRDefault="00ED7D43" w:rsidP="00ED7D43">
      <w:pPr>
        <w:pStyle w:val="Figuretitle"/>
      </w:pPr>
      <w:r w:rsidRPr="00ED7D43">
        <w:lastRenderedPageBreak/>
        <w:t>Figure 3: Kaplan-Meier curve for progression free survival (based on IRO) by treatment arm in KEYNOTE-002 (intent to treat population)</w:t>
      </w:r>
    </w:p>
    <w:p w:rsidR="00ED7D43" w:rsidRPr="00ED7D43" w:rsidRDefault="00ED7D43" w:rsidP="00ED7D43">
      <w:r w:rsidRPr="00ED7D43">
        <w:rPr>
          <w:b/>
        </w:rPr>
        <w:drawing>
          <wp:inline distT="0" distB="0" distL="0" distR="0" wp14:anchorId="6D8CA308" wp14:editId="47576670">
            <wp:extent cx="5305425" cy="4095750"/>
            <wp:effectExtent l="0" t="0" r="0" b="0"/>
            <wp:docPr id="394" name="Picture 394" descr="CCDS FA 002 PFS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DS FA 002 PFS Fig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5425" cy="4095750"/>
                    </a:xfrm>
                    <a:prstGeom prst="rect">
                      <a:avLst/>
                    </a:prstGeom>
                    <a:noFill/>
                    <a:ln>
                      <a:noFill/>
                    </a:ln>
                  </pic:spPr>
                </pic:pic>
              </a:graphicData>
            </a:graphic>
          </wp:inline>
        </w:drawing>
      </w:r>
    </w:p>
    <w:p w:rsidR="00ED7D43" w:rsidRPr="00ED7D43" w:rsidRDefault="00ED7D43" w:rsidP="00ED7D43">
      <w:pPr>
        <w:rPr>
          <w:i/>
        </w:rPr>
      </w:pPr>
      <w:r w:rsidRPr="00ED7D43">
        <w:rPr>
          <w:i/>
        </w:rPr>
        <w:t>KEYNOTE-001: Open label study in melanoma patients</w:t>
      </w:r>
    </w:p>
    <w:p w:rsidR="00ED7D43" w:rsidRPr="00ED7D43" w:rsidRDefault="00ED7D43" w:rsidP="00ED7D43">
      <w:r w:rsidRPr="00ED7D43">
        <w:t xml:space="preserve">The safety and efficacy of KEYTRUDA were also investigated in an uncontrolled, open-label study for the treatment of </w:t>
      </w:r>
      <w:proofErr w:type="spellStart"/>
      <w:r w:rsidRPr="00ED7D43">
        <w:t>unresectable</w:t>
      </w:r>
      <w:proofErr w:type="spellEnd"/>
      <w:r w:rsidRPr="00ED7D43">
        <w:t xml:space="preserve"> or metastatic melanoma. Efficacy was evaluated for 276 patients from two defined cohorts of KEYNOTE-001, one which included patients previously treated with ipilimumab (and if BRAF V600 mutation-positive, a BRAF or MEK inhibitor) and another with included patients naïve to treatment with ipilimumab. Patients were randomised to receive KEYTRUDA at a dose of 2 mg/kg every 3 weeks or 10 mg/kg every 3 weeks. The study excluded patients with autoimmune disease; medical conditions that required immunosuppression; a history of severe immune-mediated adverse reactions with ipilimumab, defined as any Grade 4 toxicity requiring treatment with corticosteroids or Grade 3 toxicity requiring corticosteroid treatment (greater than 10 mg/day prednisone or equivalent dose) for greater than 12 weeks; medical conditions that required systemic corticosteroids or other immunosuppressive medication; a history of pneumonitis or interstitial lung disease; or any active infection requiring therapy, including HIV, HBV or HCV. Patients were treated with KEYTRUDA until disease progression that was symptomatic, was rapidly progressive, required urgent intervention, or occurred with a decline in performance status, at the discretion of the investigator, based on clinical judgment. Patients were also discontinued if disease progression was confirmed at 4 to 6 weeks with repeat imaging or unacceptable toxicity. </w:t>
      </w:r>
    </w:p>
    <w:p w:rsidR="00ED7D43" w:rsidRPr="00ED7D43" w:rsidRDefault="00ED7D43" w:rsidP="00ED7D43">
      <w:r w:rsidRPr="00ED7D43">
        <w:lastRenderedPageBreak/>
        <w:t>Of the 89 patients receiving 2 mg/kg of KEYTRUDA who were previously treated with ipilimumab, 53% were male, 33% were ≥65 years of age and the median age was 59 years (range 18-88). All but two patients were white. Eighty-four percent of patients had M1c stage and 8% of patients had a history of brain metastases. Seventy-eight percent of patients had at least two and 35% of patients had three or more prior systemic therapies for advanced melanoma. BRAF mutations were reported in 13% of the study population.</w:t>
      </w:r>
    </w:p>
    <w:p w:rsidR="00ED7D43" w:rsidRPr="00ED7D43" w:rsidRDefault="00ED7D43" w:rsidP="00ED7D43">
      <w:r w:rsidRPr="00ED7D43">
        <w:t>Of the 51 patients receiving 2 mg/kg of KEYTRUDA who were naïve to treatment with ipilimumab, 63% were male, 35% were ≥65 years of age and the median age was 60 years (range 35-80). All but one patient was white. Sixty-three percent of patients had M1c stage and 2% had a history of brain metastases. Forty-five percent had no prior therapies for advanced melanoma. BRAF mutations were reported in 39% of the study population.</w:t>
      </w:r>
    </w:p>
    <w:p w:rsidR="00ED7D43" w:rsidRPr="00ED7D43" w:rsidRDefault="00ED7D43" w:rsidP="00ED7D43">
      <w:r w:rsidRPr="00ED7D43">
        <w:t>The primary efficacy outcome measure was ORR as assessed by independent review using confirmed responses and RECIST 1.1. Secondary efficacy outcome measures were disease control rate (DCR; including complete response, partial response and stable disease), response duration, PFS, and OS. Tumour response was assessed at 12-week intervals. Table 16 summarises key efficacy measures in patients previously treated or naïve to treatment with ipilimumab, receiving KEYTRUDA based on a minimum follow-up time of 30 months for all patients.</w:t>
      </w:r>
    </w:p>
    <w:p w:rsidR="00ED7D43" w:rsidRPr="00ED7D43" w:rsidRDefault="00ED7D43" w:rsidP="00ED7D43">
      <w:pPr>
        <w:pStyle w:val="Tabletitle"/>
      </w:pPr>
      <w:r w:rsidRPr="00ED7D43">
        <w:t xml:space="preserve">Table 16: Response to KEYTRUDA 2 mg/kg every 3 Weeks </w:t>
      </w:r>
      <w:r w:rsidRPr="00ED7D43">
        <w:br/>
        <w:t xml:space="preserve">in Patients with </w:t>
      </w:r>
      <w:proofErr w:type="spellStart"/>
      <w:r w:rsidRPr="00ED7D43">
        <w:t>Unresectable</w:t>
      </w:r>
      <w:proofErr w:type="spellEnd"/>
      <w:r w:rsidRPr="00ED7D43">
        <w:t xml:space="preserve"> or Metastatic Melanoma in KEYNOTE-001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7"/>
        <w:gridCol w:w="2798"/>
        <w:gridCol w:w="2905"/>
      </w:tblGrid>
      <w:tr w:rsidR="00ED7D43" w:rsidRPr="00ED7D43" w:rsidTr="00ED7D43">
        <w:trPr>
          <w:jc w:val="center"/>
        </w:trPr>
        <w:tc>
          <w:tcPr>
            <w:tcW w:w="1853" w:type="pct"/>
            <w:shd w:val="clear" w:color="auto" w:fill="auto"/>
          </w:tcPr>
          <w:p w:rsidR="00ED7D43" w:rsidRPr="00ED7D43" w:rsidRDefault="00ED7D43" w:rsidP="00ED7D43">
            <w:pPr>
              <w:rPr>
                <w:b/>
                <w:sz w:val="20"/>
                <w:szCs w:val="20"/>
              </w:rPr>
            </w:pPr>
            <w:r w:rsidRPr="00ED7D43">
              <w:rPr>
                <w:b/>
                <w:sz w:val="20"/>
                <w:szCs w:val="20"/>
              </w:rPr>
              <w:t>Endpoint</w:t>
            </w:r>
          </w:p>
        </w:tc>
        <w:tc>
          <w:tcPr>
            <w:tcW w:w="1544" w:type="pct"/>
          </w:tcPr>
          <w:p w:rsidR="00ED7D43" w:rsidRPr="00ED7D43" w:rsidRDefault="00ED7D43" w:rsidP="00ED7D43">
            <w:pPr>
              <w:rPr>
                <w:b/>
                <w:sz w:val="20"/>
                <w:szCs w:val="20"/>
              </w:rPr>
            </w:pPr>
            <w:r w:rsidRPr="00ED7D43">
              <w:rPr>
                <w:b/>
                <w:sz w:val="20"/>
                <w:szCs w:val="20"/>
              </w:rPr>
              <w:t>KEYTRUDA 2 mg/kg every 3 weeks in patients previously treated with ipilimumab</w:t>
            </w:r>
            <w:r>
              <w:rPr>
                <w:b/>
                <w:sz w:val="20"/>
                <w:szCs w:val="20"/>
              </w:rPr>
              <w:t xml:space="preserve"> </w:t>
            </w:r>
            <w:r>
              <w:rPr>
                <w:b/>
                <w:sz w:val="20"/>
                <w:szCs w:val="20"/>
              </w:rPr>
              <w:br/>
            </w:r>
            <w:r w:rsidRPr="00ED7D43">
              <w:rPr>
                <w:b/>
                <w:sz w:val="20"/>
                <w:szCs w:val="20"/>
              </w:rPr>
              <w:t>n=89</w:t>
            </w:r>
          </w:p>
        </w:tc>
        <w:tc>
          <w:tcPr>
            <w:tcW w:w="1603" w:type="pct"/>
          </w:tcPr>
          <w:p w:rsidR="00ED7D43" w:rsidRPr="00ED7D43" w:rsidRDefault="00ED7D43" w:rsidP="00ED7D43">
            <w:pPr>
              <w:rPr>
                <w:b/>
                <w:sz w:val="20"/>
                <w:szCs w:val="20"/>
              </w:rPr>
            </w:pPr>
            <w:r w:rsidRPr="00ED7D43">
              <w:rPr>
                <w:b/>
                <w:sz w:val="20"/>
                <w:szCs w:val="20"/>
              </w:rPr>
              <w:t>KEYTRUDA 2 mg/kg every 3 weeks in patients naïve to treatment with ipilimumab</w:t>
            </w:r>
            <w:r>
              <w:rPr>
                <w:b/>
                <w:sz w:val="20"/>
                <w:szCs w:val="20"/>
              </w:rPr>
              <w:t xml:space="preserve"> </w:t>
            </w:r>
            <w:r w:rsidRPr="00ED7D43">
              <w:rPr>
                <w:b/>
                <w:sz w:val="20"/>
                <w:szCs w:val="20"/>
              </w:rPr>
              <w:t>n=51</w:t>
            </w:r>
          </w:p>
        </w:tc>
      </w:tr>
      <w:tr w:rsidR="00ED7D43" w:rsidRPr="00ED7D43" w:rsidTr="00ED7D43">
        <w:trPr>
          <w:jc w:val="center"/>
        </w:trPr>
        <w:tc>
          <w:tcPr>
            <w:tcW w:w="1853" w:type="pct"/>
            <w:shd w:val="clear" w:color="auto" w:fill="auto"/>
          </w:tcPr>
          <w:p w:rsidR="00ED7D43" w:rsidRPr="00ED7D43" w:rsidRDefault="00ED7D43" w:rsidP="00ED7D43">
            <w:pPr>
              <w:rPr>
                <w:b/>
                <w:sz w:val="20"/>
                <w:szCs w:val="20"/>
              </w:rPr>
            </w:pPr>
            <w:r w:rsidRPr="00ED7D43">
              <w:rPr>
                <w:b/>
                <w:sz w:val="20"/>
                <w:szCs w:val="20"/>
              </w:rPr>
              <w:t>Best Overall Response* by IRO</w:t>
            </w:r>
            <w:r w:rsidRPr="00ED7D43">
              <w:rPr>
                <w:b/>
                <w:sz w:val="20"/>
                <w:szCs w:val="20"/>
                <w:vertAlign w:val="superscript"/>
              </w:rPr>
              <w:t>†</w:t>
            </w:r>
          </w:p>
        </w:tc>
        <w:tc>
          <w:tcPr>
            <w:tcW w:w="1544" w:type="pct"/>
          </w:tcPr>
          <w:p w:rsidR="00ED7D43" w:rsidRPr="00ED7D43" w:rsidRDefault="00ED7D43" w:rsidP="00ED7D43">
            <w:pPr>
              <w:rPr>
                <w:sz w:val="20"/>
                <w:szCs w:val="20"/>
              </w:rPr>
            </w:pPr>
          </w:p>
        </w:tc>
        <w:tc>
          <w:tcPr>
            <w:tcW w:w="1603" w:type="pct"/>
          </w:tcPr>
          <w:p w:rsidR="00ED7D43" w:rsidRPr="00ED7D43" w:rsidRDefault="00ED7D43" w:rsidP="00ED7D43">
            <w:pPr>
              <w:rPr>
                <w:sz w:val="20"/>
                <w:szCs w:val="20"/>
              </w:rPr>
            </w:pPr>
          </w:p>
        </w:tc>
      </w:tr>
      <w:tr w:rsidR="00ED7D43" w:rsidRPr="00ED7D43" w:rsidTr="00ED7D43">
        <w:trPr>
          <w:jc w:val="center"/>
        </w:trPr>
        <w:tc>
          <w:tcPr>
            <w:tcW w:w="1853" w:type="pct"/>
            <w:shd w:val="clear" w:color="auto" w:fill="auto"/>
          </w:tcPr>
          <w:p w:rsidR="00ED7D43" w:rsidRPr="00ED7D43" w:rsidRDefault="00ED7D43" w:rsidP="00ED7D43">
            <w:pPr>
              <w:rPr>
                <w:sz w:val="20"/>
                <w:szCs w:val="20"/>
              </w:rPr>
            </w:pPr>
            <w:r w:rsidRPr="00ED7D43">
              <w:rPr>
                <w:sz w:val="20"/>
                <w:szCs w:val="20"/>
              </w:rPr>
              <w:t>ORR %, (95% CI)</w:t>
            </w:r>
          </w:p>
        </w:tc>
        <w:tc>
          <w:tcPr>
            <w:tcW w:w="1544" w:type="pct"/>
          </w:tcPr>
          <w:p w:rsidR="00ED7D43" w:rsidRPr="00ED7D43" w:rsidRDefault="00ED7D43" w:rsidP="00ED7D43">
            <w:pPr>
              <w:rPr>
                <w:sz w:val="20"/>
                <w:szCs w:val="20"/>
              </w:rPr>
            </w:pPr>
            <w:r w:rsidRPr="00ED7D43">
              <w:rPr>
                <w:sz w:val="20"/>
                <w:szCs w:val="20"/>
              </w:rPr>
              <w:t>26% (17, 36)</w:t>
            </w:r>
          </w:p>
        </w:tc>
        <w:tc>
          <w:tcPr>
            <w:tcW w:w="1603" w:type="pct"/>
          </w:tcPr>
          <w:p w:rsidR="00ED7D43" w:rsidRPr="00ED7D43" w:rsidRDefault="00ED7D43" w:rsidP="00ED7D43">
            <w:pPr>
              <w:rPr>
                <w:sz w:val="20"/>
                <w:szCs w:val="20"/>
              </w:rPr>
            </w:pPr>
            <w:r w:rsidRPr="00ED7D43">
              <w:rPr>
                <w:sz w:val="20"/>
                <w:szCs w:val="20"/>
              </w:rPr>
              <w:t>35% (22, 50)</w:t>
            </w:r>
          </w:p>
        </w:tc>
      </w:tr>
      <w:tr w:rsidR="00ED7D43" w:rsidRPr="00ED7D43" w:rsidTr="00ED7D43">
        <w:trPr>
          <w:jc w:val="center"/>
        </w:trPr>
        <w:tc>
          <w:tcPr>
            <w:tcW w:w="1853" w:type="pct"/>
            <w:shd w:val="clear" w:color="auto" w:fill="auto"/>
          </w:tcPr>
          <w:p w:rsidR="00ED7D43" w:rsidRPr="00ED7D43" w:rsidRDefault="00ED7D43" w:rsidP="00ED7D43">
            <w:pPr>
              <w:rPr>
                <w:sz w:val="20"/>
                <w:szCs w:val="20"/>
              </w:rPr>
            </w:pPr>
            <w:r w:rsidRPr="00ED7D43">
              <w:rPr>
                <w:sz w:val="20"/>
                <w:szCs w:val="20"/>
              </w:rPr>
              <w:t>Disease Control Rate %</w:t>
            </w:r>
            <w:r w:rsidRPr="00ED7D43">
              <w:rPr>
                <w:sz w:val="20"/>
                <w:szCs w:val="20"/>
                <w:vertAlign w:val="superscript"/>
              </w:rPr>
              <w:t>‡</w:t>
            </w:r>
          </w:p>
        </w:tc>
        <w:tc>
          <w:tcPr>
            <w:tcW w:w="1544" w:type="pct"/>
          </w:tcPr>
          <w:p w:rsidR="00ED7D43" w:rsidRPr="00ED7D43" w:rsidRDefault="00ED7D43" w:rsidP="00ED7D43">
            <w:pPr>
              <w:rPr>
                <w:sz w:val="20"/>
                <w:szCs w:val="20"/>
              </w:rPr>
            </w:pPr>
            <w:r w:rsidRPr="00ED7D43">
              <w:rPr>
                <w:sz w:val="20"/>
                <w:szCs w:val="20"/>
              </w:rPr>
              <w:t>48%</w:t>
            </w:r>
          </w:p>
        </w:tc>
        <w:tc>
          <w:tcPr>
            <w:tcW w:w="1603" w:type="pct"/>
          </w:tcPr>
          <w:p w:rsidR="00ED7D43" w:rsidRPr="00ED7D43" w:rsidRDefault="00ED7D43" w:rsidP="00ED7D43">
            <w:pPr>
              <w:rPr>
                <w:sz w:val="20"/>
                <w:szCs w:val="20"/>
              </w:rPr>
            </w:pPr>
            <w:r w:rsidRPr="00ED7D43">
              <w:rPr>
                <w:sz w:val="20"/>
                <w:szCs w:val="20"/>
              </w:rPr>
              <w:t>49%</w:t>
            </w:r>
          </w:p>
        </w:tc>
      </w:tr>
      <w:tr w:rsidR="00ED7D43" w:rsidRPr="00ED7D43" w:rsidTr="00ED7D43">
        <w:trPr>
          <w:jc w:val="center"/>
        </w:trPr>
        <w:tc>
          <w:tcPr>
            <w:tcW w:w="1853" w:type="pct"/>
            <w:shd w:val="clear" w:color="auto" w:fill="auto"/>
          </w:tcPr>
          <w:p w:rsidR="00ED7D43" w:rsidRPr="00ED7D43" w:rsidRDefault="00ED7D43" w:rsidP="00ED7D43">
            <w:pPr>
              <w:rPr>
                <w:sz w:val="20"/>
                <w:szCs w:val="20"/>
              </w:rPr>
            </w:pPr>
            <w:r w:rsidRPr="00ED7D43">
              <w:rPr>
                <w:sz w:val="20"/>
                <w:szCs w:val="20"/>
              </w:rPr>
              <w:t>Complete response</w:t>
            </w:r>
          </w:p>
        </w:tc>
        <w:tc>
          <w:tcPr>
            <w:tcW w:w="1544" w:type="pct"/>
          </w:tcPr>
          <w:p w:rsidR="00ED7D43" w:rsidRPr="00ED7D43" w:rsidRDefault="00ED7D43" w:rsidP="00ED7D43">
            <w:pPr>
              <w:rPr>
                <w:sz w:val="20"/>
                <w:szCs w:val="20"/>
              </w:rPr>
            </w:pPr>
            <w:r w:rsidRPr="00ED7D43">
              <w:rPr>
                <w:sz w:val="20"/>
                <w:szCs w:val="20"/>
              </w:rPr>
              <w:t>7%</w:t>
            </w:r>
          </w:p>
        </w:tc>
        <w:tc>
          <w:tcPr>
            <w:tcW w:w="1603" w:type="pct"/>
          </w:tcPr>
          <w:p w:rsidR="00ED7D43" w:rsidRPr="00ED7D43" w:rsidRDefault="00ED7D43" w:rsidP="00ED7D43">
            <w:pPr>
              <w:rPr>
                <w:sz w:val="20"/>
                <w:szCs w:val="20"/>
              </w:rPr>
            </w:pPr>
            <w:r w:rsidRPr="00ED7D43">
              <w:rPr>
                <w:sz w:val="20"/>
                <w:szCs w:val="20"/>
              </w:rPr>
              <w:t>12%</w:t>
            </w:r>
          </w:p>
        </w:tc>
      </w:tr>
      <w:tr w:rsidR="00ED7D43" w:rsidRPr="00ED7D43" w:rsidTr="00ED7D43">
        <w:trPr>
          <w:jc w:val="center"/>
        </w:trPr>
        <w:tc>
          <w:tcPr>
            <w:tcW w:w="1853" w:type="pct"/>
            <w:shd w:val="clear" w:color="auto" w:fill="auto"/>
          </w:tcPr>
          <w:p w:rsidR="00ED7D43" w:rsidRPr="00ED7D43" w:rsidRDefault="00ED7D43" w:rsidP="00ED7D43">
            <w:pPr>
              <w:rPr>
                <w:sz w:val="20"/>
                <w:szCs w:val="20"/>
              </w:rPr>
            </w:pPr>
            <w:r w:rsidRPr="00ED7D43">
              <w:rPr>
                <w:sz w:val="20"/>
                <w:szCs w:val="20"/>
              </w:rPr>
              <w:t>Partial response</w:t>
            </w:r>
          </w:p>
        </w:tc>
        <w:tc>
          <w:tcPr>
            <w:tcW w:w="1544" w:type="pct"/>
          </w:tcPr>
          <w:p w:rsidR="00ED7D43" w:rsidRPr="00ED7D43" w:rsidRDefault="00ED7D43" w:rsidP="00ED7D43">
            <w:pPr>
              <w:rPr>
                <w:sz w:val="20"/>
                <w:szCs w:val="20"/>
              </w:rPr>
            </w:pPr>
            <w:r w:rsidRPr="00ED7D43">
              <w:rPr>
                <w:sz w:val="20"/>
                <w:szCs w:val="20"/>
              </w:rPr>
              <w:t>19%</w:t>
            </w:r>
          </w:p>
        </w:tc>
        <w:tc>
          <w:tcPr>
            <w:tcW w:w="1603" w:type="pct"/>
          </w:tcPr>
          <w:p w:rsidR="00ED7D43" w:rsidRPr="00ED7D43" w:rsidRDefault="00ED7D43" w:rsidP="00ED7D43">
            <w:pPr>
              <w:rPr>
                <w:sz w:val="20"/>
                <w:szCs w:val="20"/>
              </w:rPr>
            </w:pPr>
            <w:r w:rsidRPr="00ED7D43">
              <w:rPr>
                <w:sz w:val="20"/>
                <w:szCs w:val="20"/>
              </w:rPr>
              <w:t>24%</w:t>
            </w:r>
          </w:p>
        </w:tc>
      </w:tr>
      <w:tr w:rsidR="00ED7D43" w:rsidRPr="00ED7D43" w:rsidTr="00ED7D43">
        <w:trPr>
          <w:jc w:val="center"/>
        </w:trPr>
        <w:tc>
          <w:tcPr>
            <w:tcW w:w="1853" w:type="pct"/>
            <w:shd w:val="clear" w:color="auto" w:fill="auto"/>
          </w:tcPr>
          <w:p w:rsidR="00ED7D43" w:rsidRPr="00ED7D43" w:rsidRDefault="00ED7D43" w:rsidP="00ED7D43">
            <w:pPr>
              <w:rPr>
                <w:sz w:val="20"/>
                <w:szCs w:val="20"/>
              </w:rPr>
            </w:pPr>
            <w:r w:rsidRPr="00ED7D43">
              <w:rPr>
                <w:sz w:val="20"/>
                <w:szCs w:val="20"/>
              </w:rPr>
              <w:t>Stable disease</w:t>
            </w:r>
          </w:p>
        </w:tc>
        <w:tc>
          <w:tcPr>
            <w:tcW w:w="1544" w:type="pct"/>
          </w:tcPr>
          <w:p w:rsidR="00ED7D43" w:rsidRPr="00ED7D43" w:rsidRDefault="00ED7D43" w:rsidP="00ED7D43">
            <w:pPr>
              <w:rPr>
                <w:sz w:val="20"/>
                <w:szCs w:val="20"/>
              </w:rPr>
            </w:pPr>
            <w:r w:rsidRPr="00ED7D43">
              <w:rPr>
                <w:sz w:val="20"/>
                <w:szCs w:val="20"/>
              </w:rPr>
              <w:t>20%</w:t>
            </w:r>
          </w:p>
        </w:tc>
        <w:tc>
          <w:tcPr>
            <w:tcW w:w="1603" w:type="pct"/>
          </w:tcPr>
          <w:p w:rsidR="00ED7D43" w:rsidRPr="00ED7D43" w:rsidRDefault="00ED7D43" w:rsidP="00ED7D43">
            <w:pPr>
              <w:rPr>
                <w:sz w:val="20"/>
                <w:szCs w:val="20"/>
              </w:rPr>
            </w:pPr>
            <w:r w:rsidRPr="00ED7D43">
              <w:rPr>
                <w:sz w:val="20"/>
                <w:szCs w:val="20"/>
              </w:rPr>
              <w:t>14%</w:t>
            </w:r>
          </w:p>
        </w:tc>
      </w:tr>
      <w:tr w:rsidR="00ED7D43" w:rsidRPr="00ED7D43" w:rsidTr="00ED7D43">
        <w:trPr>
          <w:jc w:val="center"/>
        </w:trPr>
        <w:tc>
          <w:tcPr>
            <w:tcW w:w="1853" w:type="pct"/>
            <w:shd w:val="clear" w:color="auto" w:fill="auto"/>
          </w:tcPr>
          <w:p w:rsidR="00ED7D43" w:rsidRPr="00ED7D43" w:rsidRDefault="00ED7D43" w:rsidP="00ED7D43">
            <w:pPr>
              <w:rPr>
                <w:b/>
                <w:sz w:val="20"/>
                <w:szCs w:val="20"/>
              </w:rPr>
            </w:pPr>
            <w:r w:rsidRPr="00ED7D43">
              <w:rPr>
                <w:b/>
                <w:sz w:val="20"/>
                <w:szCs w:val="20"/>
              </w:rPr>
              <w:t>Response Duration</w:t>
            </w:r>
            <w:r w:rsidRPr="00ED7D43">
              <w:rPr>
                <w:b/>
                <w:sz w:val="20"/>
                <w:szCs w:val="20"/>
                <w:vertAlign w:val="superscript"/>
              </w:rPr>
              <w:t>§</w:t>
            </w:r>
          </w:p>
        </w:tc>
        <w:tc>
          <w:tcPr>
            <w:tcW w:w="1544" w:type="pct"/>
          </w:tcPr>
          <w:p w:rsidR="00ED7D43" w:rsidRPr="00ED7D43" w:rsidRDefault="00ED7D43" w:rsidP="00ED7D43">
            <w:pPr>
              <w:rPr>
                <w:sz w:val="20"/>
                <w:szCs w:val="20"/>
              </w:rPr>
            </w:pPr>
          </w:p>
        </w:tc>
        <w:tc>
          <w:tcPr>
            <w:tcW w:w="1603" w:type="pct"/>
          </w:tcPr>
          <w:p w:rsidR="00ED7D43" w:rsidRPr="00ED7D43" w:rsidRDefault="00ED7D43" w:rsidP="00ED7D43">
            <w:pPr>
              <w:rPr>
                <w:sz w:val="20"/>
                <w:szCs w:val="20"/>
              </w:rPr>
            </w:pPr>
          </w:p>
        </w:tc>
      </w:tr>
      <w:tr w:rsidR="00ED7D43" w:rsidRPr="00ED7D43" w:rsidTr="00ED7D43">
        <w:trPr>
          <w:jc w:val="center"/>
        </w:trPr>
        <w:tc>
          <w:tcPr>
            <w:tcW w:w="1853" w:type="pct"/>
            <w:shd w:val="clear" w:color="auto" w:fill="auto"/>
          </w:tcPr>
          <w:p w:rsidR="00ED7D43" w:rsidRPr="00ED7D43" w:rsidRDefault="00ED7D43" w:rsidP="00ED7D43">
            <w:pPr>
              <w:rPr>
                <w:sz w:val="20"/>
                <w:szCs w:val="20"/>
              </w:rPr>
            </w:pPr>
            <w:r w:rsidRPr="00ED7D43">
              <w:rPr>
                <w:sz w:val="20"/>
                <w:szCs w:val="20"/>
              </w:rPr>
              <w:t>Median in months (range)</w:t>
            </w:r>
          </w:p>
        </w:tc>
        <w:tc>
          <w:tcPr>
            <w:tcW w:w="1544" w:type="pct"/>
          </w:tcPr>
          <w:p w:rsidR="00ED7D43" w:rsidRPr="00ED7D43" w:rsidRDefault="00ED7D43" w:rsidP="00ED7D43">
            <w:pPr>
              <w:rPr>
                <w:sz w:val="20"/>
                <w:szCs w:val="20"/>
              </w:rPr>
            </w:pPr>
            <w:r w:rsidRPr="00ED7D43">
              <w:rPr>
                <w:sz w:val="20"/>
                <w:szCs w:val="20"/>
              </w:rPr>
              <w:t>30.5 (2.8+, 30.6+)</w:t>
            </w:r>
          </w:p>
        </w:tc>
        <w:tc>
          <w:tcPr>
            <w:tcW w:w="1603" w:type="pct"/>
          </w:tcPr>
          <w:p w:rsidR="00ED7D43" w:rsidRPr="00ED7D43" w:rsidRDefault="00ED7D43" w:rsidP="00ED7D43">
            <w:pPr>
              <w:rPr>
                <w:sz w:val="20"/>
                <w:szCs w:val="20"/>
              </w:rPr>
            </w:pPr>
            <w:r w:rsidRPr="00ED7D43">
              <w:rPr>
                <w:sz w:val="20"/>
                <w:szCs w:val="20"/>
              </w:rPr>
              <w:t>27.4 (1.6+, 31.8+)</w:t>
            </w:r>
          </w:p>
        </w:tc>
      </w:tr>
      <w:tr w:rsidR="00ED7D43" w:rsidRPr="00ED7D43" w:rsidTr="00ED7D43">
        <w:trPr>
          <w:jc w:val="center"/>
        </w:trPr>
        <w:tc>
          <w:tcPr>
            <w:tcW w:w="1853" w:type="pct"/>
            <w:shd w:val="clear" w:color="auto" w:fill="auto"/>
          </w:tcPr>
          <w:p w:rsidR="00ED7D43" w:rsidRPr="00ED7D43" w:rsidRDefault="00ED7D43" w:rsidP="00ED7D43">
            <w:pPr>
              <w:rPr>
                <w:sz w:val="20"/>
                <w:szCs w:val="20"/>
              </w:rPr>
            </w:pPr>
            <w:r w:rsidRPr="00ED7D43">
              <w:rPr>
                <w:sz w:val="20"/>
                <w:szCs w:val="20"/>
              </w:rPr>
              <w:lastRenderedPageBreak/>
              <w:t>% ongoing</w:t>
            </w:r>
            <w:r w:rsidRPr="00ED7D43">
              <w:rPr>
                <w:bCs/>
                <w:sz w:val="20"/>
                <w:szCs w:val="20"/>
              </w:rPr>
              <w:t xml:space="preserve"> at 24 months</w:t>
            </w:r>
            <w:r w:rsidRPr="00ED7D43">
              <w:rPr>
                <w:bCs/>
                <w:sz w:val="20"/>
                <w:szCs w:val="20"/>
                <w:vertAlign w:val="superscript"/>
              </w:rPr>
              <w:t>¶</w:t>
            </w:r>
          </w:p>
        </w:tc>
        <w:tc>
          <w:tcPr>
            <w:tcW w:w="1544" w:type="pct"/>
          </w:tcPr>
          <w:p w:rsidR="00ED7D43" w:rsidRPr="00ED7D43" w:rsidRDefault="00ED7D43" w:rsidP="00ED7D43">
            <w:pPr>
              <w:rPr>
                <w:sz w:val="20"/>
                <w:szCs w:val="20"/>
              </w:rPr>
            </w:pPr>
            <w:r w:rsidRPr="00ED7D43">
              <w:rPr>
                <w:sz w:val="20"/>
                <w:szCs w:val="20"/>
              </w:rPr>
              <w:t>75%</w:t>
            </w:r>
          </w:p>
        </w:tc>
        <w:tc>
          <w:tcPr>
            <w:tcW w:w="1603" w:type="pct"/>
          </w:tcPr>
          <w:p w:rsidR="00ED7D43" w:rsidRPr="00ED7D43" w:rsidRDefault="00ED7D43" w:rsidP="00ED7D43">
            <w:pPr>
              <w:rPr>
                <w:sz w:val="20"/>
                <w:szCs w:val="20"/>
              </w:rPr>
            </w:pPr>
            <w:r w:rsidRPr="00ED7D43">
              <w:rPr>
                <w:sz w:val="20"/>
                <w:szCs w:val="20"/>
              </w:rPr>
              <w:t>71%</w:t>
            </w:r>
          </w:p>
        </w:tc>
      </w:tr>
      <w:tr w:rsidR="00ED7D43" w:rsidRPr="00ED7D43" w:rsidTr="00ED7D43">
        <w:trPr>
          <w:jc w:val="center"/>
        </w:trPr>
        <w:tc>
          <w:tcPr>
            <w:tcW w:w="1853" w:type="pct"/>
            <w:shd w:val="clear" w:color="auto" w:fill="auto"/>
          </w:tcPr>
          <w:p w:rsidR="00ED7D43" w:rsidRPr="00ED7D43" w:rsidRDefault="00ED7D43" w:rsidP="00ED7D43">
            <w:pPr>
              <w:rPr>
                <w:b/>
                <w:sz w:val="20"/>
                <w:szCs w:val="20"/>
              </w:rPr>
            </w:pPr>
            <w:r w:rsidRPr="00ED7D43">
              <w:rPr>
                <w:b/>
                <w:sz w:val="20"/>
                <w:szCs w:val="20"/>
              </w:rPr>
              <w:t>PFS</w:t>
            </w:r>
          </w:p>
        </w:tc>
        <w:tc>
          <w:tcPr>
            <w:tcW w:w="1544" w:type="pct"/>
          </w:tcPr>
          <w:p w:rsidR="00ED7D43" w:rsidRPr="00ED7D43" w:rsidRDefault="00ED7D43" w:rsidP="00ED7D43">
            <w:pPr>
              <w:rPr>
                <w:sz w:val="20"/>
                <w:szCs w:val="20"/>
              </w:rPr>
            </w:pPr>
          </w:p>
        </w:tc>
        <w:tc>
          <w:tcPr>
            <w:tcW w:w="1603" w:type="pct"/>
          </w:tcPr>
          <w:p w:rsidR="00ED7D43" w:rsidRPr="00ED7D43" w:rsidRDefault="00ED7D43" w:rsidP="00ED7D43">
            <w:pPr>
              <w:rPr>
                <w:sz w:val="20"/>
                <w:szCs w:val="20"/>
              </w:rPr>
            </w:pPr>
          </w:p>
        </w:tc>
      </w:tr>
      <w:tr w:rsidR="00ED7D43" w:rsidRPr="00ED7D43" w:rsidTr="00ED7D43">
        <w:trPr>
          <w:jc w:val="center"/>
        </w:trPr>
        <w:tc>
          <w:tcPr>
            <w:tcW w:w="1853" w:type="pct"/>
            <w:shd w:val="clear" w:color="auto" w:fill="auto"/>
          </w:tcPr>
          <w:p w:rsidR="00ED7D43" w:rsidRPr="00ED7D43" w:rsidRDefault="00ED7D43" w:rsidP="00ED7D43">
            <w:pPr>
              <w:rPr>
                <w:sz w:val="20"/>
                <w:szCs w:val="20"/>
              </w:rPr>
            </w:pPr>
            <w:r w:rsidRPr="00ED7D43">
              <w:rPr>
                <w:sz w:val="20"/>
                <w:szCs w:val="20"/>
              </w:rPr>
              <w:t>Median in months (95% CI)</w:t>
            </w:r>
          </w:p>
        </w:tc>
        <w:tc>
          <w:tcPr>
            <w:tcW w:w="1544" w:type="pct"/>
          </w:tcPr>
          <w:p w:rsidR="00ED7D43" w:rsidRPr="00ED7D43" w:rsidRDefault="00ED7D43" w:rsidP="00ED7D43">
            <w:pPr>
              <w:rPr>
                <w:sz w:val="20"/>
                <w:szCs w:val="20"/>
              </w:rPr>
            </w:pPr>
            <w:r w:rsidRPr="00ED7D43">
              <w:rPr>
                <w:sz w:val="20"/>
                <w:szCs w:val="20"/>
              </w:rPr>
              <w:t>4.9 (2.8, 8.3)</w:t>
            </w:r>
          </w:p>
        </w:tc>
        <w:tc>
          <w:tcPr>
            <w:tcW w:w="1603" w:type="pct"/>
          </w:tcPr>
          <w:p w:rsidR="00ED7D43" w:rsidRPr="00ED7D43" w:rsidRDefault="00ED7D43" w:rsidP="00ED7D43">
            <w:pPr>
              <w:rPr>
                <w:sz w:val="20"/>
                <w:szCs w:val="20"/>
              </w:rPr>
            </w:pPr>
            <w:r w:rsidRPr="00ED7D43">
              <w:rPr>
                <w:sz w:val="20"/>
                <w:szCs w:val="20"/>
              </w:rPr>
              <w:t>4.7 (2.8, 13.8)</w:t>
            </w:r>
          </w:p>
        </w:tc>
      </w:tr>
      <w:tr w:rsidR="00ED7D43" w:rsidRPr="00ED7D43" w:rsidTr="00ED7D43">
        <w:trPr>
          <w:jc w:val="center"/>
        </w:trPr>
        <w:tc>
          <w:tcPr>
            <w:tcW w:w="1853" w:type="pct"/>
            <w:shd w:val="clear" w:color="auto" w:fill="auto"/>
          </w:tcPr>
          <w:p w:rsidR="00ED7D43" w:rsidRPr="00ED7D43" w:rsidRDefault="00ED7D43" w:rsidP="00ED7D43">
            <w:pPr>
              <w:rPr>
                <w:sz w:val="20"/>
                <w:szCs w:val="20"/>
              </w:rPr>
            </w:pPr>
            <w:r w:rsidRPr="00ED7D43">
              <w:rPr>
                <w:sz w:val="20"/>
                <w:szCs w:val="20"/>
              </w:rPr>
              <w:t>PFS rate at 12 months</w:t>
            </w:r>
          </w:p>
        </w:tc>
        <w:tc>
          <w:tcPr>
            <w:tcW w:w="1544" w:type="pct"/>
          </w:tcPr>
          <w:p w:rsidR="00ED7D43" w:rsidRPr="00ED7D43" w:rsidRDefault="00ED7D43" w:rsidP="00ED7D43">
            <w:pPr>
              <w:rPr>
                <w:sz w:val="20"/>
                <w:szCs w:val="20"/>
              </w:rPr>
            </w:pPr>
            <w:r w:rsidRPr="00ED7D43">
              <w:rPr>
                <w:sz w:val="20"/>
                <w:szCs w:val="20"/>
              </w:rPr>
              <w:t>34%</w:t>
            </w:r>
          </w:p>
        </w:tc>
        <w:tc>
          <w:tcPr>
            <w:tcW w:w="1603" w:type="pct"/>
          </w:tcPr>
          <w:p w:rsidR="00ED7D43" w:rsidRPr="00ED7D43" w:rsidRDefault="00ED7D43" w:rsidP="00ED7D43">
            <w:pPr>
              <w:rPr>
                <w:sz w:val="20"/>
                <w:szCs w:val="20"/>
              </w:rPr>
            </w:pPr>
            <w:r w:rsidRPr="00ED7D43">
              <w:rPr>
                <w:sz w:val="20"/>
                <w:szCs w:val="20"/>
              </w:rPr>
              <w:t>38%</w:t>
            </w:r>
          </w:p>
        </w:tc>
      </w:tr>
      <w:tr w:rsidR="00ED7D43" w:rsidRPr="00ED7D43" w:rsidTr="00ED7D43">
        <w:trPr>
          <w:jc w:val="center"/>
        </w:trPr>
        <w:tc>
          <w:tcPr>
            <w:tcW w:w="1853" w:type="pct"/>
            <w:shd w:val="clear" w:color="auto" w:fill="auto"/>
          </w:tcPr>
          <w:p w:rsidR="00ED7D43" w:rsidRPr="00ED7D43" w:rsidRDefault="00ED7D43" w:rsidP="00ED7D43">
            <w:pPr>
              <w:rPr>
                <w:b/>
                <w:sz w:val="20"/>
                <w:szCs w:val="20"/>
              </w:rPr>
            </w:pPr>
            <w:r w:rsidRPr="00ED7D43">
              <w:rPr>
                <w:b/>
                <w:sz w:val="20"/>
                <w:szCs w:val="20"/>
              </w:rPr>
              <w:t>OS</w:t>
            </w:r>
          </w:p>
        </w:tc>
        <w:tc>
          <w:tcPr>
            <w:tcW w:w="1544" w:type="pct"/>
          </w:tcPr>
          <w:p w:rsidR="00ED7D43" w:rsidRPr="00ED7D43" w:rsidRDefault="00ED7D43" w:rsidP="00ED7D43">
            <w:pPr>
              <w:rPr>
                <w:sz w:val="20"/>
                <w:szCs w:val="20"/>
              </w:rPr>
            </w:pPr>
          </w:p>
        </w:tc>
        <w:tc>
          <w:tcPr>
            <w:tcW w:w="1603" w:type="pct"/>
          </w:tcPr>
          <w:p w:rsidR="00ED7D43" w:rsidRPr="00ED7D43" w:rsidRDefault="00ED7D43" w:rsidP="00ED7D43">
            <w:pPr>
              <w:rPr>
                <w:sz w:val="20"/>
                <w:szCs w:val="20"/>
              </w:rPr>
            </w:pPr>
          </w:p>
        </w:tc>
      </w:tr>
      <w:tr w:rsidR="00ED7D43" w:rsidRPr="00ED7D43" w:rsidTr="00ED7D43">
        <w:trPr>
          <w:jc w:val="center"/>
        </w:trPr>
        <w:tc>
          <w:tcPr>
            <w:tcW w:w="1853" w:type="pct"/>
            <w:shd w:val="clear" w:color="auto" w:fill="auto"/>
          </w:tcPr>
          <w:p w:rsidR="00ED7D43" w:rsidRPr="00ED7D43" w:rsidRDefault="00ED7D43" w:rsidP="00ED7D43">
            <w:pPr>
              <w:rPr>
                <w:sz w:val="20"/>
                <w:szCs w:val="20"/>
              </w:rPr>
            </w:pPr>
            <w:r w:rsidRPr="00ED7D43">
              <w:rPr>
                <w:sz w:val="20"/>
                <w:szCs w:val="20"/>
              </w:rPr>
              <w:t>Median in months (95% CI)</w:t>
            </w:r>
          </w:p>
        </w:tc>
        <w:tc>
          <w:tcPr>
            <w:tcW w:w="1544" w:type="pct"/>
          </w:tcPr>
          <w:p w:rsidR="00ED7D43" w:rsidRPr="00ED7D43" w:rsidRDefault="00ED7D43" w:rsidP="00ED7D43">
            <w:pPr>
              <w:rPr>
                <w:sz w:val="20"/>
                <w:szCs w:val="20"/>
              </w:rPr>
            </w:pPr>
            <w:r w:rsidRPr="00ED7D43">
              <w:rPr>
                <w:sz w:val="20"/>
                <w:szCs w:val="20"/>
              </w:rPr>
              <w:t>18.9 (11, not available)</w:t>
            </w:r>
          </w:p>
        </w:tc>
        <w:tc>
          <w:tcPr>
            <w:tcW w:w="1603" w:type="pct"/>
          </w:tcPr>
          <w:p w:rsidR="00ED7D43" w:rsidRPr="00ED7D43" w:rsidRDefault="00ED7D43" w:rsidP="00ED7D43">
            <w:pPr>
              <w:rPr>
                <w:sz w:val="20"/>
                <w:szCs w:val="20"/>
              </w:rPr>
            </w:pPr>
            <w:r w:rsidRPr="00ED7D43">
              <w:rPr>
                <w:sz w:val="20"/>
                <w:szCs w:val="20"/>
              </w:rPr>
              <w:t>28.0 (14, not available)</w:t>
            </w:r>
          </w:p>
        </w:tc>
      </w:tr>
      <w:tr w:rsidR="00ED7D43" w:rsidRPr="00ED7D43" w:rsidTr="00ED7D43">
        <w:trPr>
          <w:jc w:val="center"/>
        </w:trPr>
        <w:tc>
          <w:tcPr>
            <w:tcW w:w="1853" w:type="pct"/>
            <w:shd w:val="clear" w:color="auto" w:fill="auto"/>
          </w:tcPr>
          <w:p w:rsidR="00ED7D43" w:rsidRPr="00ED7D43" w:rsidRDefault="00ED7D43" w:rsidP="00ED7D43">
            <w:pPr>
              <w:rPr>
                <w:sz w:val="20"/>
                <w:szCs w:val="20"/>
              </w:rPr>
            </w:pPr>
            <w:r w:rsidRPr="00ED7D43">
              <w:rPr>
                <w:sz w:val="20"/>
                <w:szCs w:val="20"/>
              </w:rPr>
              <w:t>OS rate at 24 months</w:t>
            </w:r>
          </w:p>
        </w:tc>
        <w:tc>
          <w:tcPr>
            <w:tcW w:w="1544" w:type="pct"/>
          </w:tcPr>
          <w:p w:rsidR="00ED7D43" w:rsidRPr="00ED7D43" w:rsidRDefault="00ED7D43" w:rsidP="00ED7D43">
            <w:pPr>
              <w:rPr>
                <w:sz w:val="20"/>
                <w:szCs w:val="20"/>
              </w:rPr>
            </w:pPr>
            <w:r w:rsidRPr="00ED7D43">
              <w:rPr>
                <w:sz w:val="20"/>
                <w:szCs w:val="20"/>
              </w:rPr>
              <w:t>44%</w:t>
            </w:r>
          </w:p>
        </w:tc>
        <w:tc>
          <w:tcPr>
            <w:tcW w:w="1603" w:type="pct"/>
          </w:tcPr>
          <w:p w:rsidR="00ED7D43" w:rsidRPr="00ED7D43" w:rsidRDefault="00ED7D43" w:rsidP="00ED7D43">
            <w:pPr>
              <w:rPr>
                <w:sz w:val="20"/>
                <w:szCs w:val="20"/>
              </w:rPr>
            </w:pPr>
            <w:r w:rsidRPr="00ED7D43">
              <w:rPr>
                <w:sz w:val="20"/>
                <w:szCs w:val="20"/>
              </w:rPr>
              <w:t>56%</w:t>
            </w:r>
          </w:p>
        </w:tc>
      </w:tr>
    </w:tbl>
    <w:p w:rsidR="00ED7D43" w:rsidRPr="00ED7D43" w:rsidRDefault="00ED7D43" w:rsidP="00ED7D43">
      <w:pPr>
        <w:pStyle w:val="Tabledescription"/>
      </w:pPr>
      <w:r w:rsidRPr="00ED7D43">
        <w:t>* Includes patients without measurable disease at baseline by independent radiology</w:t>
      </w:r>
    </w:p>
    <w:p w:rsidR="00ED7D43" w:rsidRPr="00ED7D43" w:rsidRDefault="00ED7D43" w:rsidP="00ED7D43">
      <w:pPr>
        <w:pStyle w:val="Tabledescription"/>
      </w:pPr>
      <w:r w:rsidRPr="00ED7D43">
        <w:t>† IRO = Independent radiology plus oncologist review using RECIST 1.1</w:t>
      </w:r>
    </w:p>
    <w:p w:rsidR="00ED7D43" w:rsidRPr="00ED7D43" w:rsidRDefault="00ED7D43" w:rsidP="00ED7D43">
      <w:pPr>
        <w:pStyle w:val="Tabledescription"/>
      </w:pPr>
      <w:r w:rsidRPr="00ED7D43">
        <w:t xml:space="preserve">‡ Based on best response of stable disease or better </w:t>
      </w:r>
    </w:p>
    <w:p w:rsidR="00ED7D43" w:rsidRPr="00ED7D43" w:rsidRDefault="00ED7D43" w:rsidP="00ED7D43">
      <w:pPr>
        <w:pStyle w:val="Tabledescription"/>
      </w:pPr>
      <w:r w:rsidRPr="00ED7D43">
        <w:t>§ Based on patients with a confirmed response by independent review, starting from the date the response was first recorded; n=23 for patients previously treated with ipilimumab; n=18 for patients naïve to treatment with ipilimumab</w:t>
      </w:r>
    </w:p>
    <w:p w:rsidR="00ED7D43" w:rsidRPr="00ED7D43" w:rsidRDefault="00ED7D43" w:rsidP="00ED7D43">
      <w:pPr>
        <w:pStyle w:val="Tabledescription"/>
      </w:pPr>
      <w:r w:rsidRPr="00ED7D43">
        <w:t>¶ Based on Kaplan-Meier estimation</w:t>
      </w:r>
    </w:p>
    <w:p w:rsidR="00ED7D43" w:rsidRPr="00ED7D43" w:rsidRDefault="00ED7D43" w:rsidP="00ED7D43">
      <w:r w:rsidRPr="00ED7D43">
        <w:t xml:space="preserve">Results for patients previously treated with ipilimumab (n=84) and naïve to treatment with ipilimumab (n=52) who received 10 mg/kg of KEYTRUDA every 3 weeks were similar to those seen in patients who received 2 mg/kg of KEYTRUDA every 3 weeks. </w:t>
      </w:r>
    </w:p>
    <w:p w:rsidR="00ED7D43" w:rsidRPr="00ED7D43" w:rsidRDefault="00ED7D43" w:rsidP="00ED7D43">
      <w:pPr>
        <w:rPr>
          <w:i/>
        </w:rPr>
      </w:pPr>
      <w:r w:rsidRPr="00ED7D43">
        <w:rPr>
          <w:i/>
        </w:rPr>
        <w:t>KEYNOTE-054: Placebo-controlled trial for the adjuvant treatment of patients with completely resected melanoma</w:t>
      </w:r>
    </w:p>
    <w:p w:rsidR="00ED7D43" w:rsidRPr="00ED7D43" w:rsidRDefault="00ED7D43" w:rsidP="00ED7D43">
      <w:r w:rsidRPr="00ED7D43">
        <w:t xml:space="preserve">The efficacy of KEYTRUDA was evaluated in KEYNOTE-054, a </w:t>
      </w:r>
      <w:proofErr w:type="spellStart"/>
      <w:r w:rsidRPr="00ED7D43">
        <w:t>multicenter</w:t>
      </w:r>
      <w:proofErr w:type="spellEnd"/>
      <w:r w:rsidRPr="00ED7D43">
        <w:t>, randomised double-blind, placebo-controlled trial in patients with completely resected stage IIIA (&gt; 1 mm lymph node metastasis), IIIB or IIIC melanoma. A total of 1019 patients were randomised (1:1) to receive KEYTRUDA 200 mg every three weeks (n=514) or placebo (n=505), for up to one year until disease recurrence or unacceptable toxicity. Randomisation was stratified by American Joint Committee on Cancer 7th edition (AJCC) stage (IIIA vs. IIIB vs. IIIC 1-3 positive lymph nodes vs. IIIC ≥4 positive lymph nodes) and geographical region (North America, European countries, Australia and other countries as designated). Patients must have undergone lymph node dissection and if indicated, radiotherapy within 13 weeks prior to starting treatment. Patients with active autoimmune disease or a medical condition that required immunosuppression or mucosal or ocular melanoma were ineligible. Patients underwent imaging every 12 weeks after the first dose of KEYTRUDA for the first two years, then every 6 months from year 3 to 5, and then annually.</w:t>
      </w:r>
    </w:p>
    <w:p w:rsidR="00ED7D43" w:rsidRPr="00ED7D43" w:rsidRDefault="00ED7D43" w:rsidP="00ED7D43">
      <w:r w:rsidRPr="00ED7D43">
        <w:lastRenderedPageBreak/>
        <w:t>Among the 1019 patients, the baseline characteristics were: median age of 54 years (25% age 65 or older); 62% male; ECOG PS of 0 (94%) and 1 (6%). Sixteen percent had stage IIIA; 46% had stage IIIB; 18% had stage IIIC (1-3 positive lymph nodes), and 20% had stage IIIC (≥4 positive lymph nodes); 50% were BRAF V600 mutation positive and 44% were BRAF wild-type; 84% had melanoma that was PD-L1 positive defined as a tumour proportion score (TPS) ≥1% according to an investigational use only assay.</w:t>
      </w:r>
    </w:p>
    <w:p w:rsidR="00ED7D43" w:rsidRPr="00ED7D43" w:rsidRDefault="00ED7D43" w:rsidP="00ED7D43">
      <w:r w:rsidRPr="00ED7D43">
        <w:t>The primary efficacy outcome measures were investigator-assessed recurrence free survival (RFS) in the whole population and RFS in the subgroup with PD-L1 positive tumours. RFS was defined as the time between the date of randomisation and the date of first recurrence (local, regional, or distant metastasis) or death, whichever occurred first. The trial demonstrated a statistically significant improvement in RFS for patients randomised to the KEYTRUDA arm compared with placebo. Efficacy results are summarised in Table 17 and Figure 4.</w:t>
      </w:r>
    </w:p>
    <w:p w:rsidR="00ED7D43" w:rsidRPr="00ED7D43" w:rsidRDefault="00ED7D43" w:rsidP="00ED7D43">
      <w:pPr>
        <w:pStyle w:val="Tabletitle"/>
      </w:pPr>
      <w:r w:rsidRPr="00ED7D43">
        <w:t>Table 17: Efficacy Results in KEYNOTE-054</w:t>
      </w:r>
    </w:p>
    <w:tbl>
      <w:tblPr>
        <w:tblW w:w="7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0"/>
        <w:gridCol w:w="1468"/>
        <w:gridCol w:w="1749"/>
      </w:tblGrid>
      <w:tr w:rsidR="00ED7D43" w:rsidRPr="00ED7D43" w:rsidTr="00ED7D43">
        <w:trPr>
          <w:trHeight w:val="20"/>
          <w:jc w:val="center"/>
        </w:trPr>
        <w:tc>
          <w:tcPr>
            <w:tcW w:w="4170"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
                <w:sz w:val="20"/>
                <w:szCs w:val="20"/>
                <w:lang w:val="en-GB"/>
              </w:rPr>
            </w:pPr>
            <w:r w:rsidRPr="00ED7D43">
              <w:rPr>
                <w:b/>
                <w:sz w:val="20"/>
                <w:szCs w:val="20"/>
                <w:lang w:val="en-GB"/>
              </w:rPr>
              <w:t>Endpoint</w:t>
            </w:r>
          </w:p>
        </w:tc>
        <w:tc>
          <w:tcPr>
            <w:tcW w:w="1468"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
                <w:sz w:val="20"/>
                <w:szCs w:val="20"/>
                <w:lang w:val="en-GB"/>
              </w:rPr>
            </w:pPr>
            <w:r w:rsidRPr="00ED7D43">
              <w:rPr>
                <w:b/>
                <w:sz w:val="20"/>
                <w:szCs w:val="20"/>
                <w:lang w:val="en-GB"/>
              </w:rPr>
              <w:t>KEYTRUDA</w:t>
            </w:r>
          </w:p>
          <w:p w:rsidR="00ED7D43" w:rsidRPr="00ED7D43" w:rsidRDefault="00ED7D43" w:rsidP="00ED7D43">
            <w:pPr>
              <w:rPr>
                <w:b/>
                <w:sz w:val="20"/>
                <w:szCs w:val="20"/>
                <w:lang w:val="en-GB"/>
              </w:rPr>
            </w:pPr>
            <w:r w:rsidRPr="00ED7D43">
              <w:rPr>
                <w:b/>
                <w:sz w:val="20"/>
                <w:szCs w:val="20"/>
                <w:lang w:val="en-GB"/>
              </w:rPr>
              <w:t>200 mg every 3 weeks</w:t>
            </w:r>
          </w:p>
          <w:p w:rsidR="00ED7D43" w:rsidRPr="00ED7D43" w:rsidRDefault="00ED7D43" w:rsidP="00ED7D43">
            <w:pPr>
              <w:rPr>
                <w:b/>
                <w:sz w:val="20"/>
                <w:szCs w:val="20"/>
                <w:lang w:val="en-GB"/>
              </w:rPr>
            </w:pPr>
            <w:r w:rsidRPr="00ED7D43">
              <w:rPr>
                <w:b/>
                <w:sz w:val="20"/>
                <w:szCs w:val="20"/>
                <w:lang w:val="en-GB"/>
              </w:rPr>
              <w:t>n=514</w:t>
            </w:r>
          </w:p>
        </w:tc>
        <w:tc>
          <w:tcPr>
            <w:tcW w:w="1749"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
                <w:sz w:val="20"/>
                <w:szCs w:val="20"/>
                <w:lang w:val="en-GB"/>
              </w:rPr>
            </w:pPr>
            <w:r w:rsidRPr="00ED7D43">
              <w:rPr>
                <w:b/>
                <w:sz w:val="20"/>
                <w:szCs w:val="20"/>
                <w:lang w:val="en-GB"/>
              </w:rPr>
              <w:t>Placebo</w:t>
            </w:r>
          </w:p>
          <w:p w:rsidR="00ED7D43" w:rsidRPr="00ED7D43" w:rsidRDefault="00ED7D43" w:rsidP="00ED7D43">
            <w:pPr>
              <w:rPr>
                <w:b/>
                <w:sz w:val="20"/>
                <w:szCs w:val="20"/>
                <w:lang w:val="en-GB"/>
              </w:rPr>
            </w:pPr>
          </w:p>
          <w:p w:rsidR="00ED7D43" w:rsidRPr="00ED7D43" w:rsidRDefault="00ED7D43" w:rsidP="00ED7D43">
            <w:pPr>
              <w:rPr>
                <w:b/>
                <w:sz w:val="20"/>
                <w:szCs w:val="20"/>
                <w:lang w:val="en-GB"/>
              </w:rPr>
            </w:pPr>
          </w:p>
          <w:p w:rsidR="00ED7D43" w:rsidRPr="00ED7D43" w:rsidRDefault="00ED7D43" w:rsidP="00ED7D43">
            <w:pPr>
              <w:rPr>
                <w:b/>
                <w:sz w:val="20"/>
                <w:szCs w:val="20"/>
                <w:lang w:val="en-GB"/>
              </w:rPr>
            </w:pPr>
            <w:r w:rsidRPr="00ED7D43">
              <w:rPr>
                <w:b/>
                <w:sz w:val="20"/>
                <w:szCs w:val="20"/>
                <w:lang w:val="en-GB"/>
              </w:rPr>
              <w:t>n=505</w:t>
            </w:r>
          </w:p>
        </w:tc>
      </w:tr>
      <w:tr w:rsidR="00ED7D43" w:rsidRPr="00ED7D43" w:rsidTr="00ED7D43">
        <w:trPr>
          <w:trHeight w:val="20"/>
          <w:jc w:val="center"/>
        </w:trPr>
        <w:tc>
          <w:tcPr>
            <w:tcW w:w="4170"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
                <w:bCs/>
                <w:sz w:val="20"/>
                <w:szCs w:val="20"/>
                <w:lang w:val="en-GB"/>
              </w:rPr>
            </w:pPr>
            <w:r w:rsidRPr="00ED7D43">
              <w:rPr>
                <w:b/>
                <w:sz w:val="20"/>
                <w:szCs w:val="20"/>
                <w:lang w:val="en-GB"/>
              </w:rPr>
              <w:t>RFS at 6 months</w:t>
            </w:r>
          </w:p>
        </w:tc>
        <w:tc>
          <w:tcPr>
            <w:tcW w:w="1468"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
                <w:bCs/>
                <w:sz w:val="20"/>
                <w:szCs w:val="20"/>
                <w:lang w:val="en-GB"/>
              </w:rPr>
            </w:pPr>
          </w:p>
        </w:tc>
        <w:tc>
          <w:tcPr>
            <w:tcW w:w="1749"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
                <w:bCs/>
                <w:sz w:val="20"/>
                <w:szCs w:val="20"/>
                <w:lang w:val="en-GB"/>
              </w:rPr>
            </w:pPr>
          </w:p>
        </w:tc>
      </w:tr>
      <w:tr w:rsidR="00ED7D43" w:rsidRPr="00ED7D43" w:rsidTr="00ED7D43">
        <w:trPr>
          <w:trHeight w:val="20"/>
          <w:jc w:val="center"/>
        </w:trPr>
        <w:tc>
          <w:tcPr>
            <w:tcW w:w="4170"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sz w:val="20"/>
                <w:szCs w:val="20"/>
                <w:lang w:val="en-GB"/>
              </w:rPr>
            </w:pPr>
            <w:r w:rsidRPr="00ED7D43">
              <w:rPr>
                <w:sz w:val="20"/>
                <w:szCs w:val="20"/>
                <w:lang w:val="en-GB"/>
              </w:rPr>
              <w:t xml:space="preserve">Number (%) of patients with event </w:t>
            </w:r>
          </w:p>
        </w:tc>
        <w:tc>
          <w:tcPr>
            <w:tcW w:w="1468"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sz w:val="20"/>
                <w:szCs w:val="20"/>
                <w:lang w:val="en-GB"/>
              </w:rPr>
            </w:pPr>
            <w:r w:rsidRPr="00ED7D43">
              <w:rPr>
                <w:sz w:val="20"/>
                <w:szCs w:val="20"/>
                <w:lang w:val="en-GB"/>
              </w:rPr>
              <w:t>135 (26%)</w:t>
            </w:r>
          </w:p>
        </w:tc>
        <w:tc>
          <w:tcPr>
            <w:tcW w:w="1749"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sz w:val="20"/>
                <w:szCs w:val="20"/>
                <w:lang w:val="en-GB"/>
              </w:rPr>
            </w:pPr>
            <w:r w:rsidRPr="00ED7D43">
              <w:rPr>
                <w:sz w:val="20"/>
                <w:szCs w:val="20"/>
                <w:lang w:val="en-GB"/>
              </w:rPr>
              <w:t>216 (43%)</w:t>
            </w:r>
          </w:p>
        </w:tc>
      </w:tr>
      <w:tr w:rsidR="00ED7D43" w:rsidRPr="00ED7D43" w:rsidTr="00ED7D43">
        <w:trPr>
          <w:trHeight w:val="20"/>
          <w:jc w:val="center"/>
        </w:trPr>
        <w:tc>
          <w:tcPr>
            <w:tcW w:w="4170"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sz w:val="20"/>
                <w:szCs w:val="20"/>
                <w:lang w:val="en-GB"/>
              </w:rPr>
            </w:pPr>
            <w:r w:rsidRPr="00ED7D43">
              <w:rPr>
                <w:sz w:val="20"/>
                <w:szCs w:val="20"/>
                <w:lang w:val="en-GB"/>
              </w:rPr>
              <w:t xml:space="preserve">RFS rate </w:t>
            </w:r>
          </w:p>
        </w:tc>
        <w:tc>
          <w:tcPr>
            <w:tcW w:w="1468"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sz w:val="20"/>
                <w:szCs w:val="20"/>
                <w:lang w:val="en-GB"/>
              </w:rPr>
            </w:pPr>
            <w:r w:rsidRPr="00ED7D43">
              <w:rPr>
                <w:sz w:val="20"/>
                <w:szCs w:val="20"/>
                <w:lang w:val="en-GB"/>
              </w:rPr>
              <w:t>82%</w:t>
            </w:r>
          </w:p>
        </w:tc>
        <w:tc>
          <w:tcPr>
            <w:tcW w:w="1749"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sz w:val="20"/>
                <w:szCs w:val="20"/>
                <w:lang w:val="en-GB"/>
              </w:rPr>
            </w:pPr>
            <w:r w:rsidRPr="00ED7D43">
              <w:rPr>
                <w:sz w:val="20"/>
                <w:szCs w:val="20"/>
                <w:lang w:val="en-GB"/>
              </w:rPr>
              <w:t>73%</w:t>
            </w:r>
          </w:p>
        </w:tc>
      </w:tr>
      <w:tr w:rsidR="00ED7D43" w:rsidRPr="00ED7D43" w:rsidTr="00ED7D43">
        <w:trPr>
          <w:trHeight w:val="20"/>
          <w:jc w:val="center"/>
        </w:trPr>
        <w:tc>
          <w:tcPr>
            <w:tcW w:w="4170"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sz w:val="20"/>
                <w:szCs w:val="20"/>
                <w:lang w:val="en-GB"/>
              </w:rPr>
            </w:pPr>
            <w:r w:rsidRPr="00ED7D43">
              <w:rPr>
                <w:sz w:val="20"/>
                <w:szCs w:val="20"/>
                <w:lang w:val="en-GB"/>
              </w:rPr>
              <w:t>Median in months (95% CI)</w:t>
            </w:r>
          </w:p>
        </w:tc>
        <w:tc>
          <w:tcPr>
            <w:tcW w:w="1468"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sz w:val="20"/>
                <w:szCs w:val="20"/>
                <w:lang w:val="en-GB"/>
              </w:rPr>
            </w:pPr>
            <w:r w:rsidRPr="00ED7D43">
              <w:rPr>
                <w:sz w:val="20"/>
                <w:szCs w:val="20"/>
                <w:lang w:val="en-GB"/>
              </w:rPr>
              <w:t>NR</w:t>
            </w:r>
          </w:p>
        </w:tc>
        <w:tc>
          <w:tcPr>
            <w:tcW w:w="1749"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sz w:val="20"/>
                <w:szCs w:val="20"/>
                <w:lang w:val="en-GB"/>
              </w:rPr>
            </w:pPr>
            <w:r w:rsidRPr="00ED7D43">
              <w:rPr>
                <w:sz w:val="20"/>
                <w:szCs w:val="20"/>
                <w:lang w:val="en-GB"/>
              </w:rPr>
              <w:t>20.4 (16.2, NR)</w:t>
            </w:r>
          </w:p>
        </w:tc>
      </w:tr>
      <w:tr w:rsidR="00ED7D43" w:rsidRPr="00ED7D43" w:rsidTr="00ED7D43">
        <w:trPr>
          <w:trHeight w:val="20"/>
          <w:jc w:val="center"/>
        </w:trPr>
        <w:tc>
          <w:tcPr>
            <w:tcW w:w="4170"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sz w:val="20"/>
                <w:szCs w:val="20"/>
                <w:lang w:val="en-GB"/>
              </w:rPr>
            </w:pPr>
            <w:r w:rsidRPr="00ED7D43">
              <w:rPr>
                <w:sz w:val="20"/>
                <w:szCs w:val="20"/>
                <w:lang w:val="en-GB"/>
              </w:rPr>
              <w:t>Hazard ratio (HR)* (98% CI)</w:t>
            </w:r>
          </w:p>
        </w:tc>
        <w:tc>
          <w:tcPr>
            <w:tcW w:w="3217" w:type="dxa"/>
            <w:gridSpan w:val="2"/>
            <w:tcBorders>
              <w:top w:val="single" w:sz="4" w:space="0" w:color="auto"/>
              <w:left w:val="single" w:sz="4" w:space="0" w:color="auto"/>
              <w:bottom w:val="single" w:sz="4" w:space="0" w:color="auto"/>
              <w:right w:val="single" w:sz="4" w:space="0" w:color="auto"/>
            </w:tcBorders>
          </w:tcPr>
          <w:p w:rsidR="00ED7D43" w:rsidRPr="00ED7D43" w:rsidRDefault="00ED7D43" w:rsidP="00ED7D43">
            <w:pPr>
              <w:rPr>
                <w:sz w:val="20"/>
                <w:szCs w:val="20"/>
                <w:lang w:val="en-GB"/>
              </w:rPr>
            </w:pPr>
            <w:r w:rsidRPr="00ED7D43">
              <w:rPr>
                <w:sz w:val="20"/>
                <w:szCs w:val="20"/>
                <w:lang w:val="en-GB"/>
              </w:rPr>
              <w:t>0.57 (0.43, 0.74)</w:t>
            </w:r>
          </w:p>
        </w:tc>
      </w:tr>
      <w:tr w:rsidR="00ED7D43" w:rsidRPr="00ED7D43" w:rsidTr="00ED7D43">
        <w:trPr>
          <w:trHeight w:val="20"/>
          <w:jc w:val="center"/>
        </w:trPr>
        <w:tc>
          <w:tcPr>
            <w:tcW w:w="4170"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sz w:val="20"/>
                <w:szCs w:val="20"/>
                <w:lang w:val="en-GB"/>
              </w:rPr>
            </w:pPr>
            <w:r w:rsidRPr="00ED7D43">
              <w:rPr>
                <w:sz w:val="20"/>
                <w:szCs w:val="20"/>
                <w:lang w:val="en-GB"/>
              </w:rPr>
              <w:t>p-value</w:t>
            </w:r>
            <w:r w:rsidRPr="00ED7D43">
              <w:rPr>
                <w:sz w:val="20"/>
                <w:szCs w:val="20"/>
                <w:vertAlign w:val="superscript"/>
                <w:lang w:val="en-GB"/>
              </w:rPr>
              <w:t xml:space="preserve"> </w:t>
            </w:r>
            <w:r w:rsidRPr="00ED7D43">
              <w:rPr>
                <w:bCs/>
                <w:sz w:val="20"/>
                <w:szCs w:val="20"/>
                <w:lang w:val="en-GB"/>
              </w:rPr>
              <w:t>(stratified log-rank)</w:t>
            </w:r>
          </w:p>
        </w:tc>
        <w:tc>
          <w:tcPr>
            <w:tcW w:w="3217" w:type="dxa"/>
            <w:gridSpan w:val="2"/>
            <w:tcBorders>
              <w:top w:val="single" w:sz="4" w:space="0" w:color="auto"/>
              <w:left w:val="single" w:sz="4" w:space="0" w:color="auto"/>
              <w:bottom w:val="single" w:sz="4" w:space="0" w:color="auto"/>
              <w:right w:val="single" w:sz="4" w:space="0" w:color="auto"/>
            </w:tcBorders>
            <w:vAlign w:val="bottom"/>
          </w:tcPr>
          <w:p w:rsidR="00ED7D43" w:rsidRPr="00ED7D43" w:rsidRDefault="00ED7D43" w:rsidP="00ED7D43">
            <w:pPr>
              <w:rPr>
                <w:sz w:val="20"/>
                <w:szCs w:val="20"/>
                <w:lang w:val="en-GB"/>
              </w:rPr>
            </w:pPr>
            <w:r w:rsidRPr="00ED7D43">
              <w:rPr>
                <w:sz w:val="20"/>
                <w:szCs w:val="20"/>
                <w:lang w:val="en-GB"/>
              </w:rPr>
              <w:t>&lt;0.0001</w:t>
            </w:r>
            <w:r w:rsidRPr="00ED7D43">
              <w:rPr>
                <w:bCs/>
                <w:sz w:val="20"/>
                <w:szCs w:val="20"/>
                <w:vertAlign w:val="superscript"/>
                <w:lang w:val="en-GB"/>
              </w:rPr>
              <w:t>†</w:t>
            </w:r>
          </w:p>
        </w:tc>
      </w:tr>
      <w:tr w:rsidR="00ED7D43" w:rsidRPr="00ED7D43" w:rsidTr="00ED7D43">
        <w:trPr>
          <w:trHeight w:val="20"/>
          <w:jc w:val="center"/>
        </w:trPr>
        <w:tc>
          <w:tcPr>
            <w:tcW w:w="4170"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sz w:val="20"/>
                <w:szCs w:val="20"/>
                <w:lang w:val="en-GB"/>
              </w:rPr>
            </w:pPr>
            <w:r w:rsidRPr="00ED7D43">
              <w:rPr>
                <w:b/>
                <w:sz w:val="20"/>
                <w:szCs w:val="20"/>
                <w:lang w:val="en-GB"/>
              </w:rPr>
              <w:t>RFS at 12 months</w:t>
            </w:r>
          </w:p>
        </w:tc>
        <w:tc>
          <w:tcPr>
            <w:tcW w:w="1468"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sz w:val="20"/>
                <w:szCs w:val="20"/>
                <w:lang w:val="en-GB"/>
              </w:rPr>
            </w:pPr>
          </w:p>
        </w:tc>
        <w:tc>
          <w:tcPr>
            <w:tcW w:w="1749"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sz w:val="20"/>
                <w:szCs w:val="20"/>
                <w:lang w:val="en-GB"/>
              </w:rPr>
            </w:pPr>
          </w:p>
        </w:tc>
      </w:tr>
      <w:tr w:rsidR="00ED7D43" w:rsidRPr="00ED7D43" w:rsidTr="00ED7D43">
        <w:trPr>
          <w:trHeight w:val="20"/>
          <w:jc w:val="center"/>
        </w:trPr>
        <w:tc>
          <w:tcPr>
            <w:tcW w:w="4170"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sz w:val="20"/>
                <w:szCs w:val="20"/>
                <w:lang w:val="en-GB"/>
              </w:rPr>
            </w:pPr>
            <w:r w:rsidRPr="00ED7D43">
              <w:rPr>
                <w:sz w:val="20"/>
                <w:szCs w:val="20"/>
                <w:lang w:val="en-GB"/>
              </w:rPr>
              <w:t>RFS rate</w:t>
            </w:r>
          </w:p>
        </w:tc>
        <w:tc>
          <w:tcPr>
            <w:tcW w:w="1468"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sz w:val="20"/>
                <w:szCs w:val="20"/>
                <w:lang w:val="en-GB"/>
              </w:rPr>
            </w:pPr>
            <w:r w:rsidRPr="00ED7D43">
              <w:rPr>
                <w:sz w:val="20"/>
                <w:szCs w:val="20"/>
                <w:lang w:val="en-GB"/>
              </w:rPr>
              <w:t>75%</w:t>
            </w:r>
          </w:p>
        </w:tc>
        <w:tc>
          <w:tcPr>
            <w:tcW w:w="1749"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sz w:val="20"/>
                <w:szCs w:val="20"/>
                <w:lang w:val="en-GB"/>
              </w:rPr>
            </w:pPr>
            <w:r w:rsidRPr="00ED7D43">
              <w:rPr>
                <w:sz w:val="20"/>
                <w:szCs w:val="20"/>
                <w:lang w:val="en-GB"/>
              </w:rPr>
              <w:t>61%</w:t>
            </w:r>
          </w:p>
        </w:tc>
      </w:tr>
      <w:tr w:rsidR="00ED7D43" w:rsidRPr="00ED7D43" w:rsidTr="00ED7D43">
        <w:trPr>
          <w:trHeight w:val="378"/>
          <w:jc w:val="center"/>
        </w:trPr>
        <w:tc>
          <w:tcPr>
            <w:tcW w:w="7387" w:type="dxa"/>
            <w:gridSpan w:val="3"/>
            <w:tcBorders>
              <w:top w:val="single" w:sz="4" w:space="0" w:color="auto"/>
              <w:left w:val="nil"/>
              <w:bottom w:val="nil"/>
              <w:right w:val="nil"/>
            </w:tcBorders>
          </w:tcPr>
          <w:p w:rsidR="00ED7D43" w:rsidRPr="00ED7D43" w:rsidRDefault="00ED7D43" w:rsidP="00D920A1">
            <w:pPr>
              <w:numPr>
                <w:ilvl w:val="0"/>
                <w:numId w:val="3"/>
              </w:numPr>
              <w:tabs>
                <w:tab w:val="num" w:pos="360"/>
              </w:tabs>
              <w:rPr>
                <w:sz w:val="20"/>
                <w:szCs w:val="20"/>
                <w:lang w:val="en-GB"/>
              </w:rPr>
            </w:pPr>
            <w:r w:rsidRPr="00ED7D43">
              <w:rPr>
                <w:sz w:val="20"/>
                <w:szCs w:val="20"/>
                <w:lang w:val="en-GB"/>
              </w:rPr>
              <w:t>* Based on the stratified Cox proportional hazard model</w:t>
            </w:r>
          </w:p>
          <w:p w:rsidR="00ED7D43" w:rsidRPr="00ED7D43" w:rsidRDefault="00ED7D43" w:rsidP="00D920A1">
            <w:pPr>
              <w:numPr>
                <w:ilvl w:val="0"/>
                <w:numId w:val="3"/>
              </w:numPr>
              <w:tabs>
                <w:tab w:val="num" w:pos="360"/>
              </w:tabs>
              <w:rPr>
                <w:sz w:val="20"/>
                <w:szCs w:val="20"/>
                <w:lang w:val="en-GB"/>
              </w:rPr>
            </w:pPr>
            <w:r w:rsidRPr="00ED7D43">
              <w:rPr>
                <w:sz w:val="20"/>
                <w:szCs w:val="20"/>
                <w:vertAlign w:val="superscript"/>
                <w:lang w:val="en-GB"/>
              </w:rPr>
              <w:t>†</w:t>
            </w:r>
            <w:r w:rsidRPr="00ED7D43">
              <w:rPr>
                <w:sz w:val="20"/>
                <w:szCs w:val="20"/>
                <w:lang w:val="en-GB"/>
              </w:rPr>
              <w:t xml:space="preserve"> </w:t>
            </w:r>
            <w:r w:rsidRPr="00ED7D43">
              <w:rPr>
                <w:sz w:val="20"/>
                <w:szCs w:val="20"/>
              </w:rPr>
              <w:t>The allocated alpha for this interim analysis was 0.008.</w:t>
            </w:r>
          </w:p>
          <w:p w:rsidR="00ED7D43" w:rsidRPr="00ED7D43" w:rsidRDefault="00ED7D43" w:rsidP="00D920A1">
            <w:pPr>
              <w:numPr>
                <w:ilvl w:val="0"/>
                <w:numId w:val="3"/>
              </w:numPr>
              <w:tabs>
                <w:tab w:val="num" w:pos="360"/>
              </w:tabs>
              <w:rPr>
                <w:sz w:val="20"/>
                <w:szCs w:val="20"/>
                <w:lang w:val="en-GB"/>
              </w:rPr>
            </w:pPr>
            <w:r w:rsidRPr="00ED7D43">
              <w:rPr>
                <w:sz w:val="20"/>
                <w:szCs w:val="20"/>
                <w:lang w:val="en-GB"/>
              </w:rPr>
              <w:t>NR = not reached</w:t>
            </w:r>
          </w:p>
        </w:tc>
      </w:tr>
    </w:tbl>
    <w:p w:rsidR="00ED7D43" w:rsidRPr="00ED7D43" w:rsidRDefault="00ED7D43" w:rsidP="00ED7D43">
      <w:r w:rsidRPr="00ED7D43">
        <w:lastRenderedPageBreak/>
        <w:t>For patients with PD-L1 positive tumours, the RFS rate at 6 months was 84% in the KEYTRUDA arm and 75% in the placebo arm (HR 0.54 (95% CI: 0.42, 0.69); p&lt;0.0001).  Predefined subgroup analyses indicated the RFS benefit with KEYTRUDA compared to placebo was also observed for patients whose tumours were PD-L1 negative (HR 0.47, 95% CI: 0.26, 0.85), BRAF mutation positive (HR 0.49, 95% CI: 0.36, 0.67) and BRAF mutation negative (HR 0.64, 95% CI: 0.47, 0.87).</w:t>
      </w:r>
    </w:p>
    <w:p w:rsidR="00ED7D43" w:rsidRPr="00ED7D43" w:rsidRDefault="00ED7D43" w:rsidP="00ED7D43">
      <w:pPr>
        <w:pStyle w:val="Figuretitle"/>
      </w:pPr>
      <w:r w:rsidRPr="00ED7D43">
        <w:t>Figure 4: Kaplan-Meier Curve for Recurrence-Free Survival in KEYNOTE</w:t>
      </w:r>
      <w:r w:rsidRPr="00ED7D43">
        <w:noBreakHyphen/>
        <w:t>054 (intent to treat population)</w:t>
      </w:r>
    </w:p>
    <w:p w:rsidR="00ED7D43" w:rsidRPr="00ED7D43" w:rsidRDefault="00ED7D43" w:rsidP="00ED7D43">
      <w:r w:rsidRPr="00ED7D43">
        <w:drawing>
          <wp:inline distT="0" distB="0" distL="0" distR="0" wp14:anchorId="7F01AC54" wp14:editId="7E3D03F4">
            <wp:extent cx="4233545" cy="35826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19455" t="1176" r="1273" b="12119"/>
                    <a:stretch>
                      <a:fillRect/>
                    </a:stretch>
                  </pic:blipFill>
                  <pic:spPr bwMode="auto">
                    <a:xfrm>
                      <a:off x="0" y="0"/>
                      <a:ext cx="4233545" cy="3582670"/>
                    </a:xfrm>
                    <a:prstGeom prst="rect">
                      <a:avLst/>
                    </a:prstGeom>
                    <a:noFill/>
                    <a:ln>
                      <a:noFill/>
                    </a:ln>
                  </pic:spPr>
                </pic:pic>
              </a:graphicData>
            </a:graphic>
          </wp:inline>
        </w:drawing>
      </w:r>
    </w:p>
    <w:p w:rsidR="00ED7D43" w:rsidRPr="00ED7D43" w:rsidRDefault="00ED7D43" w:rsidP="00ED7D43">
      <w:pPr>
        <w:rPr>
          <w:u w:val="single"/>
        </w:rPr>
      </w:pPr>
      <w:r w:rsidRPr="00ED7D43">
        <w:rPr>
          <w:u w:val="single"/>
        </w:rPr>
        <w:t>Non-Small Cell Lung Carcinoma (NSCLC)</w:t>
      </w:r>
    </w:p>
    <w:p w:rsidR="00ED7D43" w:rsidRPr="00ED7D43" w:rsidRDefault="00ED7D43" w:rsidP="00ED7D43">
      <w:pPr>
        <w:rPr>
          <w:i/>
        </w:rPr>
      </w:pPr>
      <w:r w:rsidRPr="00ED7D43">
        <w:rPr>
          <w:i/>
        </w:rPr>
        <w:t>KEYNOTE-189: Controlled trial of combination therapy in non-squamous NSCLC patients naïve to treatment</w:t>
      </w:r>
    </w:p>
    <w:p w:rsidR="00ED7D43" w:rsidRPr="00ED7D43" w:rsidRDefault="00ED7D43" w:rsidP="00ED7D43">
      <w:r w:rsidRPr="00ED7D43">
        <w:t xml:space="preserve">The efficacy of KEYTRUDA in combination with </w:t>
      </w:r>
      <w:proofErr w:type="spellStart"/>
      <w:r w:rsidRPr="00ED7D43">
        <w:t>pemetrexed</w:t>
      </w:r>
      <w:proofErr w:type="spellEnd"/>
      <w:r w:rsidRPr="00ED7D43">
        <w:t xml:space="preserve"> and platinum chemotherapy was investigated in a </w:t>
      </w:r>
      <w:proofErr w:type="spellStart"/>
      <w:r w:rsidRPr="00ED7D43">
        <w:t>multicenter</w:t>
      </w:r>
      <w:proofErr w:type="spellEnd"/>
      <w:r w:rsidRPr="00ED7D43">
        <w:t>, randomised, active-controlled, double-blind trial, KEYNOTE-189. Key eligibility criteria were metastatic non-squamous NSCLC, no prior systemic treatment for metastatic NSCLC, and no EGFR or ALK genomic tumour aberrations. Patients with autoimmune disease that required systemic therapy within 2 years of treatment; a medical condition that required immunosuppression; or who had received more than 30 </w:t>
      </w:r>
      <w:proofErr w:type="spellStart"/>
      <w:r w:rsidRPr="00ED7D43">
        <w:t>Gy</w:t>
      </w:r>
      <w:proofErr w:type="spellEnd"/>
      <w:r w:rsidRPr="00ED7D43">
        <w:t xml:space="preserve"> of thoracic radiation within the prior 26 weeks were ineligible. Patients were randomised (2:1) to receive one of the following regimens:</w:t>
      </w:r>
    </w:p>
    <w:p w:rsidR="00ED7D43" w:rsidRPr="00ED7D43" w:rsidRDefault="00ED7D43" w:rsidP="00ED7D43">
      <w:pPr>
        <w:pStyle w:val="ListBullet"/>
      </w:pPr>
      <w:r w:rsidRPr="00ED7D43">
        <w:t xml:space="preserve">KEYTRUDA 200 mg with </w:t>
      </w:r>
      <w:proofErr w:type="spellStart"/>
      <w:r w:rsidRPr="00ED7D43">
        <w:t>pemetrexed</w:t>
      </w:r>
      <w:proofErr w:type="spellEnd"/>
      <w:r w:rsidRPr="00ED7D43">
        <w:t xml:space="preserve"> 500 mg/m</w:t>
      </w:r>
      <w:r w:rsidRPr="00ED7D43">
        <w:rPr>
          <w:vertAlign w:val="superscript"/>
        </w:rPr>
        <w:t>2</w:t>
      </w:r>
      <w:r w:rsidRPr="00ED7D43">
        <w:t xml:space="preserve"> and investigator’s choice of cisplatin 75 mg/m</w:t>
      </w:r>
      <w:r w:rsidRPr="00ED7D43">
        <w:rPr>
          <w:vertAlign w:val="superscript"/>
        </w:rPr>
        <w:t xml:space="preserve">2 </w:t>
      </w:r>
      <w:r w:rsidRPr="00ED7D43">
        <w:t xml:space="preserve">or carboplatin AUC 5 mg/mL/min intravenously every 3 weeks for 4 cycles followed by KEYTRUDA 200 mg </w:t>
      </w:r>
      <w:r w:rsidRPr="00ED7D43">
        <w:rPr>
          <w:vertAlign w:val="superscript"/>
        </w:rPr>
        <w:t xml:space="preserve"> </w:t>
      </w:r>
      <w:r w:rsidRPr="00ED7D43">
        <w:t xml:space="preserve">and </w:t>
      </w:r>
      <w:proofErr w:type="spellStart"/>
      <w:r w:rsidRPr="00ED7D43">
        <w:t>pemetrexed</w:t>
      </w:r>
      <w:proofErr w:type="spellEnd"/>
      <w:r w:rsidRPr="00ED7D43">
        <w:t xml:space="preserve"> 500 mg/m</w:t>
      </w:r>
      <w:r w:rsidRPr="00ED7D43">
        <w:rPr>
          <w:vertAlign w:val="superscript"/>
        </w:rPr>
        <w:t xml:space="preserve">2 </w:t>
      </w:r>
      <w:r w:rsidRPr="00ED7D43">
        <w:t>intravenously every 3 weeks.</w:t>
      </w:r>
    </w:p>
    <w:p w:rsidR="00ED7D43" w:rsidRPr="00ED7D43" w:rsidRDefault="00ED7D43" w:rsidP="00ED7D43">
      <w:pPr>
        <w:pStyle w:val="ListBullet"/>
      </w:pPr>
      <w:r w:rsidRPr="00ED7D43">
        <w:lastRenderedPageBreak/>
        <w:t xml:space="preserve">Placebo with </w:t>
      </w:r>
      <w:proofErr w:type="spellStart"/>
      <w:r w:rsidRPr="00ED7D43">
        <w:t>pemetrexed</w:t>
      </w:r>
      <w:proofErr w:type="spellEnd"/>
      <w:r w:rsidRPr="00ED7D43">
        <w:t xml:space="preserve"> 500 mg/m</w:t>
      </w:r>
      <w:r w:rsidRPr="00ED7D43">
        <w:rPr>
          <w:vertAlign w:val="superscript"/>
        </w:rPr>
        <w:t>2</w:t>
      </w:r>
      <w:r w:rsidRPr="00ED7D43">
        <w:t xml:space="preserve"> and investigator’s choice of cisplatin 75 mg/m</w:t>
      </w:r>
      <w:r w:rsidRPr="00ED7D43">
        <w:rPr>
          <w:vertAlign w:val="superscript"/>
        </w:rPr>
        <w:t xml:space="preserve">2 </w:t>
      </w:r>
      <w:r w:rsidRPr="00ED7D43">
        <w:t xml:space="preserve">or carboplatin AUC 5 mg/mL/min intravenously every 3 weeks for 4 cycles followed by placebo and </w:t>
      </w:r>
      <w:proofErr w:type="spellStart"/>
      <w:r w:rsidRPr="00ED7D43">
        <w:t>pemetrexed</w:t>
      </w:r>
      <w:proofErr w:type="spellEnd"/>
      <w:r w:rsidRPr="00ED7D43">
        <w:t xml:space="preserve"> 500 mg/m </w:t>
      </w:r>
      <w:r w:rsidRPr="00ED7D43">
        <w:rPr>
          <w:vertAlign w:val="superscript"/>
        </w:rPr>
        <w:t>2</w:t>
      </w:r>
      <w:r w:rsidRPr="00ED7D43">
        <w:t xml:space="preserve"> intravenously every 3 weeks.</w:t>
      </w:r>
    </w:p>
    <w:p w:rsidR="00ED7D43" w:rsidRPr="00ED7D43" w:rsidRDefault="00ED7D43" w:rsidP="00ED7D43">
      <w:r w:rsidRPr="00ED7D43">
        <w:t xml:space="preserve">Treatment with KEYTRUDA continued until RECIST 1.1-defined progression of disease as determined by the investigator, unacceptable toxicity, or a maximum of 24 months. Administration of KEYTRUDA was permitted beyond RECIST-defined disease progression by BICR or beyond discontinuation of </w:t>
      </w:r>
      <w:proofErr w:type="spellStart"/>
      <w:r w:rsidRPr="00ED7D43">
        <w:t>pemetrexed</w:t>
      </w:r>
      <w:proofErr w:type="spellEnd"/>
      <w:r w:rsidRPr="00ED7D43">
        <w:t xml:space="preserve"> if the patient was clinically stable and deriving clinical benefit as determined by the investigator. For patients who completed 24 months of therapy or had a complete response, treatment with KEYTRUDA could be reinitiated for disease progression and administered for up to 1 additional year. Assessment of tumour status was performed at Week 6 and Week 12, followed by every 9 weeks thereafter. Patients receiving placebo plus chemotherapy who experienced independently-verified progression of disease were offered KEYTRUDA as monotherapy.</w:t>
      </w:r>
    </w:p>
    <w:p w:rsidR="00ED7D43" w:rsidRPr="00ED7D43" w:rsidRDefault="00ED7D43" w:rsidP="00ED7D43">
      <w:r w:rsidRPr="00ED7D43">
        <w:t xml:space="preserve">Among the 616 patients in KEYNOTE-189 (410 patients in the KEYTRUDA combination arm and 206 in the placebo plus chemotherapy arm), baseline characteristics were: median age of 64 years (49% age 65 or older); 59% male; 94% White and 3% Asian; 43% and 56% ECOG performance status of 0 or 1 respectively; 31% with PD-L1 TPS &lt;1% (using the PD-L1 IHC 22C3 </w:t>
      </w:r>
      <w:proofErr w:type="spellStart"/>
      <w:r w:rsidRPr="00ED7D43">
        <w:t>pharmDx</w:t>
      </w:r>
      <w:proofErr w:type="spellEnd"/>
      <w:r w:rsidRPr="00ED7D43">
        <w:t xml:space="preserve"> Kit); and 18% with treated or untreated brain metastases at baseline. A total of 67 patients in the placebo plus chemotherapy arm crossed over to receive monotherapy KEYTRUDA at the time of disease progression and 18 additional patients received a checkpoint inhibitor as subsequent therapy.</w:t>
      </w:r>
    </w:p>
    <w:p w:rsidR="00ED7D43" w:rsidRPr="00ED7D43" w:rsidRDefault="00ED7D43" w:rsidP="00ED7D43">
      <w:r w:rsidRPr="00ED7D43">
        <w:t>The primary efficacy outcome measures were OS and PFS (as assessed by BICR using RECIST 1.1). Secondary efficacy outcome measures were ORR and response duration, as assessed by BICR using RECIST 1.1. The median follow-up time was 10.5 months (range: 0.2 – 20.4 months). Table 18 summarizes key efficacy measures.</w:t>
      </w:r>
    </w:p>
    <w:p w:rsidR="00ED7D43" w:rsidRPr="00ED7D43" w:rsidRDefault="00ED7D43" w:rsidP="00ED7D43">
      <w:pPr>
        <w:pStyle w:val="Tabletitle"/>
      </w:pPr>
      <w:r w:rsidRPr="00ED7D43">
        <w:t xml:space="preserve">Table 18: Response to KEYTRUDA, </w:t>
      </w:r>
      <w:proofErr w:type="spellStart"/>
      <w:r w:rsidRPr="00ED7D43">
        <w:t>pemetrexed</w:t>
      </w:r>
      <w:proofErr w:type="spellEnd"/>
      <w:r w:rsidRPr="00ED7D43">
        <w:t>, and platinum chemotherapy in patients with non-squamous NSCLC in KEYNOTE-189</w:t>
      </w:r>
    </w:p>
    <w:tbl>
      <w:tblPr>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2126"/>
        <w:gridCol w:w="2183"/>
      </w:tblGrid>
      <w:tr w:rsidR="00ED7D43" w:rsidRPr="00ED7D43" w:rsidTr="00ED7D43">
        <w:trPr>
          <w:trHeight w:val="20"/>
          <w:jc w:val="center"/>
        </w:trPr>
        <w:tc>
          <w:tcPr>
            <w:tcW w:w="4111"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
                <w:lang w:val="en-GB"/>
              </w:rPr>
            </w:pPr>
            <w:r w:rsidRPr="00ED7D43">
              <w:rPr>
                <w:b/>
                <w:bCs/>
                <w:lang w:val="en-GB"/>
              </w:rPr>
              <w:t>Endpoint</w:t>
            </w:r>
          </w:p>
        </w:tc>
        <w:tc>
          <w:tcPr>
            <w:tcW w:w="2126"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numPr>
                <w:ilvl w:val="0"/>
                <w:numId w:val="6"/>
              </w:numPr>
              <w:rPr>
                <w:b/>
              </w:rPr>
            </w:pPr>
            <w:r w:rsidRPr="00ED7D43">
              <w:rPr>
                <w:b/>
              </w:rPr>
              <w:t xml:space="preserve">KEYTRUDA + </w:t>
            </w:r>
            <w:proofErr w:type="spellStart"/>
            <w:r w:rsidRPr="00ED7D43">
              <w:rPr>
                <w:b/>
              </w:rPr>
              <w:t>Pemetrexed</w:t>
            </w:r>
            <w:proofErr w:type="spellEnd"/>
            <w:r w:rsidRPr="00ED7D43">
              <w:rPr>
                <w:b/>
              </w:rPr>
              <w:t xml:space="preserve"> + Platinum Chemotherapy</w:t>
            </w:r>
          </w:p>
          <w:p w:rsidR="00ED7D43" w:rsidRPr="00ED7D43" w:rsidRDefault="00ED7D43" w:rsidP="00ED7D43">
            <w:pPr>
              <w:rPr>
                <w:b/>
                <w:lang w:val="en-GB"/>
              </w:rPr>
            </w:pPr>
            <w:r w:rsidRPr="00ED7D43">
              <w:rPr>
                <w:b/>
              </w:rPr>
              <w:t>n=410</w:t>
            </w:r>
          </w:p>
        </w:tc>
        <w:tc>
          <w:tcPr>
            <w:tcW w:w="2183" w:type="dxa"/>
            <w:tcBorders>
              <w:top w:val="single" w:sz="4" w:space="0" w:color="auto"/>
              <w:left w:val="single" w:sz="4" w:space="0" w:color="auto"/>
              <w:bottom w:val="single" w:sz="4" w:space="0" w:color="auto"/>
              <w:right w:val="single" w:sz="4" w:space="0" w:color="auto"/>
            </w:tcBorders>
          </w:tcPr>
          <w:p w:rsidR="00ED7D43" w:rsidRPr="00ED7D43" w:rsidRDefault="00ED7D43" w:rsidP="00D920A1">
            <w:pPr>
              <w:numPr>
                <w:ilvl w:val="0"/>
                <w:numId w:val="6"/>
              </w:numPr>
              <w:rPr>
                <w:b/>
              </w:rPr>
            </w:pPr>
            <w:r w:rsidRPr="00ED7D43">
              <w:rPr>
                <w:b/>
              </w:rPr>
              <w:t xml:space="preserve">Placebo + </w:t>
            </w:r>
            <w:proofErr w:type="spellStart"/>
            <w:r w:rsidRPr="00ED7D43">
              <w:rPr>
                <w:b/>
              </w:rPr>
              <w:t>Pemetrexed</w:t>
            </w:r>
            <w:proofErr w:type="spellEnd"/>
            <w:r w:rsidRPr="00ED7D43">
              <w:rPr>
                <w:b/>
              </w:rPr>
              <w:t xml:space="preserve"> + Platinum Chemotherapy</w:t>
            </w:r>
          </w:p>
          <w:p w:rsidR="00ED7D43" w:rsidRPr="00ED7D43" w:rsidRDefault="00ED7D43" w:rsidP="00ED7D43">
            <w:pPr>
              <w:rPr>
                <w:b/>
                <w:lang w:val="en-GB"/>
              </w:rPr>
            </w:pPr>
            <w:r w:rsidRPr="00ED7D43">
              <w:rPr>
                <w:b/>
              </w:rPr>
              <w:t>n=206</w:t>
            </w:r>
          </w:p>
        </w:tc>
      </w:tr>
      <w:tr w:rsidR="00ED7D43" w:rsidRPr="00ED7D43" w:rsidTr="00ED7D43">
        <w:trPr>
          <w:trHeight w:val="20"/>
          <w:jc w:val="center"/>
        </w:trPr>
        <w:tc>
          <w:tcPr>
            <w:tcW w:w="4111"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
                <w:bCs/>
                <w:lang w:val="en-GB"/>
              </w:rPr>
            </w:pPr>
            <w:r w:rsidRPr="00ED7D43">
              <w:rPr>
                <w:b/>
                <w:bCs/>
                <w:lang w:val="en-GB"/>
              </w:rPr>
              <w:t>OS</w:t>
            </w:r>
          </w:p>
        </w:tc>
        <w:tc>
          <w:tcPr>
            <w:tcW w:w="2126"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
                <w:bCs/>
                <w:lang w:val="en-GB"/>
              </w:rPr>
            </w:pPr>
          </w:p>
        </w:tc>
        <w:tc>
          <w:tcPr>
            <w:tcW w:w="2183"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
                <w:bCs/>
                <w:lang w:val="en-GB"/>
              </w:rPr>
            </w:pPr>
          </w:p>
        </w:tc>
      </w:tr>
      <w:tr w:rsidR="00ED7D43" w:rsidRPr="00ED7D43" w:rsidTr="00ED7D43">
        <w:trPr>
          <w:trHeight w:val="20"/>
          <w:jc w:val="center"/>
        </w:trPr>
        <w:tc>
          <w:tcPr>
            <w:tcW w:w="4111"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Number (%) of patients with event</w:t>
            </w:r>
          </w:p>
        </w:tc>
        <w:tc>
          <w:tcPr>
            <w:tcW w:w="2126"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127 (31%)</w:t>
            </w:r>
          </w:p>
        </w:tc>
        <w:tc>
          <w:tcPr>
            <w:tcW w:w="2183"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108 (52%)</w:t>
            </w:r>
          </w:p>
        </w:tc>
      </w:tr>
      <w:tr w:rsidR="00ED7D43" w:rsidRPr="00ED7D43" w:rsidTr="00ED7D43">
        <w:trPr>
          <w:trHeight w:val="20"/>
          <w:jc w:val="center"/>
        </w:trPr>
        <w:tc>
          <w:tcPr>
            <w:tcW w:w="4111"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 xml:space="preserve">Hazard ratio* (95% CI) </w:t>
            </w:r>
          </w:p>
        </w:tc>
        <w:tc>
          <w:tcPr>
            <w:tcW w:w="4309" w:type="dxa"/>
            <w:gridSpan w:val="2"/>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0.49 (0.38, 0.64)</w:t>
            </w:r>
          </w:p>
        </w:tc>
      </w:tr>
      <w:tr w:rsidR="00ED7D43" w:rsidRPr="00ED7D43" w:rsidTr="00ED7D43">
        <w:trPr>
          <w:trHeight w:val="20"/>
          <w:jc w:val="center"/>
        </w:trPr>
        <w:tc>
          <w:tcPr>
            <w:tcW w:w="4111"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Cs/>
                <w:lang w:val="en-GB"/>
              </w:rPr>
              <w:t>p-Value</w:t>
            </w:r>
            <w:r w:rsidRPr="00ED7D43">
              <w:rPr>
                <w:bCs/>
                <w:vertAlign w:val="superscript"/>
                <w:lang w:val="en-GB"/>
              </w:rPr>
              <w:t>†</w:t>
            </w:r>
            <w:r w:rsidRPr="00ED7D43">
              <w:rPr>
                <w:b/>
                <w:bCs/>
                <w:vertAlign w:val="superscript"/>
                <w:lang w:val="en-GB"/>
              </w:rPr>
              <w:t xml:space="preserve"> </w:t>
            </w:r>
          </w:p>
        </w:tc>
        <w:tc>
          <w:tcPr>
            <w:tcW w:w="4309" w:type="dxa"/>
            <w:gridSpan w:val="2"/>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Cs/>
                <w:lang w:val="en-GB"/>
              </w:rPr>
              <w:t>&lt;0.00001</w:t>
            </w:r>
          </w:p>
        </w:tc>
      </w:tr>
      <w:tr w:rsidR="00ED7D43" w:rsidRPr="00ED7D43" w:rsidTr="00ED7D43">
        <w:trPr>
          <w:trHeight w:val="20"/>
          <w:jc w:val="center"/>
        </w:trPr>
        <w:tc>
          <w:tcPr>
            <w:tcW w:w="4111"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lastRenderedPageBreak/>
              <w:t>Median in months (95% CI)</w:t>
            </w:r>
          </w:p>
        </w:tc>
        <w:tc>
          <w:tcPr>
            <w:tcW w:w="2126"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Not reached</w:t>
            </w:r>
          </w:p>
          <w:p w:rsidR="00ED7D43" w:rsidRPr="00ED7D43" w:rsidRDefault="00ED7D43" w:rsidP="00ED7D43">
            <w:pPr>
              <w:rPr>
                <w:bCs/>
                <w:lang w:val="en-GB"/>
              </w:rPr>
            </w:pPr>
            <w:r w:rsidRPr="00ED7D43">
              <w:rPr>
                <w:bCs/>
                <w:lang w:val="en-GB"/>
              </w:rPr>
              <w:t>(NA, NA)</w:t>
            </w:r>
          </w:p>
        </w:tc>
        <w:tc>
          <w:tcPr>
            <w:tcW w:w="2183"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11.3</w:t>
            </w:r>
          </w:p>
          <w:p w:rsidR="00ED7D43" w:rsidRPr="00ED7D43" w:rsidRDefault="00ED7D43" w:rsidP="00ED7D43">
            <w:pPr>
              <w:rPr>
                <w:bCs/>
                <w:lang w:val="en-GB"/>
              </w:rPr>
            </w:pPr>
            <w:r w:rsidRPr="00ED7D43">
              <w:rPr>
                <w:bCs/>
                <w:lang w:val="en-GB"/>
              </w:rPr>
              <w:t>(8.7, 15.1)</w:t>
            </w:r>
          </w:p>
        </w:tc>
      </w:tr>
      <w:tr w:rsidR="00ED7D43" w:rsidRPr="00ED7D43" w:rsidTr="00ED7D43">
        <w:trPr>
          <w:trHeight w:val="20"/>
          <w:jc w:val="center"/>
        </w:trPr>
        <w:tc>
          <w:tcPr>
            <w:tcW w:w="4111"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
                <w:bCs/>
                <w:lang w:val="en-GB"/>
              </w:rPr>
            </w:pPr>
            <w:r w:rsidRPr="00ED7D43">
              <w:rPr>
                <w:b/>
                <w:bCs/>
                <w:lang w:val="en-GB"/>
              </w:rPr>
              <w:t>PFS</w:t>
            </w:r>
          </w:p>
        </w:tc>
        <w:tc>
          <w:tcPr>
            <w:tcW w:w="2126"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
                <w:bCs/>
                <w:lang w:val="en-GB"/>
              </w:rPr>
            </w:pPr>
          </w:p>
        </w:tc>
        <w:tc>
          <w:tcPr>
            <w:tcW w:w="2183"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
                <w:bCs/>
                <w:lang w:val="en-GB"/>
              </w:rPr>
            </w:pPr>
          </w:p>
        </w:tc>
      </w:tr>
      <w:tr w:rsidR="00ED7D43" w:rsidRPr="00ED7D43" w:rsidTr="00ED7D43">
        <w:trPr>
          <w:trHeight w:val="20"/>
          <w:jc w:val="center"/>
        </w:trPr>
        <w:tc>
          <w:tcPr>
            <w:tcW w:w="4111"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Number (%) of patients with event</w:t>
            </w:r>
          </w:p>
        </w:tc>
        <w:tc>
          <w:tcPr>
            <w:tcW w:w="2126"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244 (60%)</w:t>
            </w:r>
          </w:p>
        </w:tc>
        <w:tc>
          <w:tcPr>
            <w:tcW w:w="2183"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166 (81%)</w:t>
            </w:r>
          </w:p>
        </w:tc>
      </w:tr>
      <w:tr w:rsidR="00ED7D43" w:rsidRPr="00ED7D43" w:rsidTr="00ED7D43">
        <w:trPr>
          <w:trHeight w:val="20"/>
          <w:jc w:val="center"/>
        </w:trPr>
        <w:tc>
          <w:tcPr>
            <w:tcW w:w="4111"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Hazard ratio* (95% CI)</w:t>
            </w:r>
          </w:p>
        </w:tc>
        <w:tc>
          <w:tcPr>
            <w:tcW w:w="4309" w:type="dxa"/>
            <w:gridSpan w:val="2"/>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0.52 (0.43, 0.64)</w:t>
            </w:r>
          </w:p>
        </w:tc>
      </w:tr>
      <w:tr w:rsidR="00ED7D43" w:rsidRPr="00ED7D43" w:rsidTr="00ED7D43">
        <w:trPr>
          <w:trHeight w:val="20"/>
          <w:jc w:val="center"/>
        </w:trPr>
        <w:tc>
          <w:tcPr>
            <w:tcW w:w="4111"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p-Value</w:t>
            </w:r>
            <w:r w:rsidRPr="00ED7D43">
              <w:rPr>
                <w:bCs/>
                <w:vertAlign w:val="superscript"/>
                <w:lang w:val="en-GB"/>
              </w:rPr>
              <w:t>†</w:t>
            </w:r>
          </w:p>
        </w:tc>
        <w:tc>
          <w:tcPr>
            <w:tcW w:w="4309" w:type="dxa"/>
            <w:gridSpan w:val="2"/>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&lt;0.00001</w:t>
            </w:r>
          </w:p>
        </w:tc>
      </w:tr>
      <w:tr w:rsidR="00ED7D43" w:rsidRPr="00ED7D43" w:rsidTr="00ED7D43">
        <w:trPr>
          <w:trHeight w:val="20"/>
          <w:jc w:val="center"/>
        </w:trPr>
        <w:tc>
          <w:tcPr>
            <w:tcW w:w="4111"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Median in months (95% CI)</w:t>
            </w:r>
          </w:p>
        </w:tc>
        <w:tc>
          <w:tcPr>
            <w:tcW w:w="2126"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8.8 (7.6, 9.2)</w:t>
            </w:r>
          </w:p>
        </w:tc>
        <w:tc>
          <w:tcPr>
            <w:tcW w:w="2183"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4.9 (4.7, 5.5)</w:t>
            </w:r>
          </w:p>
        </w:tc>
      </w:tr>
      <w:tr w:rsidR="00ED7D43" w:rsidRPr="00ED7D43" w:rsidTr="00ED7D43">
        <w:trPr>
          <w:trHeight w:val="20"/>
          <w:jc w:val="center"/>
        </w:trPr>
        <w:tc>
          <w:tcPr>
            <w:tcW w:w="4111"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lang w:val="en-GB"/>
              </w:rPr>
            </w:pPr>
            <w:r w:rsidRPr="00ED7D43">
              <w:rPr>
                <w:b/>
                <w:bCs/>
                <w:lang w:val="en-GB"/>
              </w:rPr>
              <w:t>Objective Response Rate</w:t>
            </w:r>
          </w:p>
        </w:tc>
        <w:tc>
          <w:tcPr>
            <w:tcW w:w="2126"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p>
        </w:tc>
        <w:tc>
          <w:tcPr>
            <w:tcW w:w="2183"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p>
        </w:tc>
      </w:tr>
      <w:tr w:rsidR="00ED7D43" w:rsidRPr="00ED7D43" w:rsidTr="00ED7D43">
        <w:trPr>
          <w:trHeight w:val="20"/>
          <w:jc w:val="center"/>
        </w:trPr>
        <w:tc>
          <w:tcPr>
            <w:tcW w:w="4111"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ORR</w:t>
            </w:r>
            <w:r w:rsidRPr="00ED7D43">
              <w:rPr>
                <w:bCs/>
                <w:vertAlign w:val="superscript"/>
                <w:lang w:val="en-GB"/>
              </w:rPr>
              <w:t>‡</w:t>
            </w:r>
            <w:r w:rsidRPr="00ED7D43">
              <w:rPr>
                <w:bCs/>
                <w:lang w:val="en-GB"/>
              </w:rPr>
              <w:t xml:space="preserve"> % (95% CI)</w:t>
            </w:r>
          </w:p>
        </w:tc>
        <w:tc>
          <w:tcPr>
            <w:tcW w:w="2126"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48% (43, 53)</w:t>
            </w:r>
          </w:p>
        </w:tc>
        <w:tc>
          <w:tcPr>
            <w:tcW w:w="2183"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19% (14, 25)</w:t>
            </w:r>
          </w:p>
        </w:tc>
      </w:tr>
      <w:tr w:rsidR="00ED7D43" w:rsidRPr="00ED7D43" w:rsidTr="00ED7D43">
        <w:trPr>
          <w:trHeight w:val="20"/>
          <w:jc w:val="center"/>
        </w:trPr>
        <w:tc>
          <w:tcPr>
            <w:tcW w:w="4111"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Cs/>
                <w:lang w:val="en-GB"/>
              </w:rPr>
              <w:t>Complete response %</w:t>
            </w:r>
          </w:p>
        </w:tc>
        <w:tc>
          <w:tcPr>
            <w:tcW w:w="2126"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Cs/>
                <w:lang w:val="en-GB"/>
              </w:rPr>
              <w:t>0.5%</w:t>
            </w:r>
          </w:p>
        </w:tc>
        <w:tc>
          <w:tcPr>
            <w:tcW w:w="2183"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Cs/>
                <w:lang w:val="en-GB"/>
              </w:rPr>
              <w:t>0.5%</w:t>
            </w:r>
          </w:p>
        </w:tc>
      </w:tr>
      <w:tr w:rsidR="00ED7D43" w:rsidRPr="00ED7D43" w:rsidTr="00ED7D43">
        <w:trPr>
          <w:trHeight w:val="20"/>
          <w:jc w:val="center"/>
        </w:trPr>
        <w:tc>
          <w:tcPr>
            <w:tcW w:w="4111"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Cs/>
                <w:lang w:val="en-GB"/>
              </w:rPr>
              <w:t>Partial response %</w:t>
            </w:r>
          </w:p>
        </w:tc>
        <w:tc>
          <w:tcPr>
            <w:tcW w:w="2126"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Cs/>
                <w:lang w:val="en-GB"/>
              </w:rPr>
              <w:t>47%</w:t>
            </w:r>
          </w:p>
        </w:tc>
        <w:tc>
          <w:tcPr>
            <w:tcW w:w="2183"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Cs/>
                <w:lang w:val="en-GB"/>
              </w:rPr>
              <w:t>18%</w:t>
            </w:r>
          </w:p>
        </w:tc>
      </w:tr>
      <w:tr w:rsidR="00ED7D43" w:rsidRPr="00ED7D43" w:rsidTr="00ED7D43">
        <w:trPr>
          <w:trHeight w:val="20"/>
          <w:jc w:val="center"/>
        </w:trPr>
        <w:tc>
          <w:tcPr>
            <w:tcW w:w="4111"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p-Value</w:t>
            </w:r>
            <w:r w:rsidRPr="00ED7D43">
              <w:rPr>
                <w:vertAlign w:val="superscript"/>
              </w:rPr>
              <w:t>§</w:t>
            </w:r>
          </w:p>
        </w:tc>
        <w:tc>
          <w:tcPr>
            <w:tcW w:w="4309" w:type="dxa"/>
            <w:gridSpan w:val="2"/>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&lt;0.0001</w:t>
            </w:r>
          </w:p>
        </w:tc>
      </w:tr>
      <w:tr w:rsidR="00ED7D43" w:rsidRPr="00ED7D43" w:rsidTr="00ED7D43">
        <w:trPr>
          <w:trHeight w:val="20"/>
          <w:jc w:val="center"/>
        </w:trPr>
        <w:tc>
          <w:tcPr>
            <w:tcW w:w="4111"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
                <w:bCs/>
                <w:lang w:val="en-GB"/>
              </w:rPr>
            </w:pPr>
            <w:r w:rsidRPr="00ED7D43">
              <w:rPr>
                <w:b/>
                <w:bCs/>
                <w:lang w:val="en-GB"/>
              </w:rPr>
              <w:t>Response duration</w:t>
            </w:r>
          </w:p>
        </w:tc>
        <w:tc>
          <w:tcPr>
            <w:tcW w:w="2126"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
                <w:bCs/>
                <w:lang w:val="en-GB"/>
              </w:rPr>
            </w:pPr>
          </w:p>
        </w:tc>
        <w:tc>
          <w:tcPr>
            <w:tcW w:w="2183"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
                <w:bCs/>
                <w:lang w:val="en-GB"/>
              </w:rPr>
            </w:pPr>
          </w:p>
        </w:tc>
      </w:tr>
      <w:tr w:rsidR="00ED7D43" w:rsidRPr="00ED7D43" w:rsidTr="00ED7D43">
        <w:trPr>
          <w:trHeight w:val="20"/>
          <w:jc w:val="center"/>
        </w:trPr>
        <w:tc>
          <w:tcPr>
            <w:tcW w:w="4111"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Cs/>
                <w:lang w:val="en-GB"/>
              </w:rPr>
              <w:t>Median in months (range)</w:t>
            </w:r>
          </w:p>
        </w:tc>
        <w:tc>
          <w:tcPr>
            <w:tcW w:w="2126"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Cs/>
                <w:lang w:val="en-GB"/>
              </w:rPr>
              <w:t>11.2</w:t>
            </w:r>
          </w:p>
          <w:p w:rsidR="00ED7D43" w:rsidRPr="00ED7D43" w:rsidRDefault="00ED7D43" w:rsidP="00ED7D43">
            <w:pPr>
              <w:rPr>
                <w:bCs/>
                <w:lang w:val="en-GB"/>
              </w:rPr>
            </w:pPr>
            <w:r w:rsidRPr="00ED7D43">
              <w:rPr>
                <w:bCs/>
                <w:lang w:val="en-GB"/>
              </w:rPr>
              <w:t>(1.1+, 18.0+)</w:t>
            </w:r>
          </w:p>
        </w:tc>
        <w:tc>
          <w:tcPr>
            <w:tcW w:w="2183"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Cs/>
                <w:lang w:val="en-GB"/>
              </w:rPr>
              <w:t>7.8</w:t>
            </w:r>
          </w:p>
          <w:p w:rsidR="00ED7D43" w:rsidRPr="00ED7D43" w:rsidRDefault="00ED7D43" w:rsidP="00ED7D43">
            <w:pPr>
              <w:rPr>
                <w:bCs/>
                <w:lang w:val="en-GB"/>
              </w:rPr>
            </w:pPr>
            <w:r w:rsidRPr="00ED7D43">
              <w:rPr>
                <w:bCs/>
                <w:lang w:val="en-GB"/>
              </w:rPr>
              <w:t>(2.1+, 16.4+)</w:t>
            </w:r>
          </w:p>
        </w:tc>
      </w:tr>
      <w:tr w:rsidR="00ED7D43" w:rsidRPr="00ED7D43" w:rsidTr="00ED7D43">
        <w:trPr>
          <w:trHeight w:val="242"/>
          <w:jc w:val="center"/>
        </w:trPr>
        <w:tc>
          <w:tcPr>
            <w:tcW w:w="4111"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Cs/>
              </w:rPr>
              <w:t>% with duration ≥6 months</w:t>
            </w:r>
            <w:r w:rsidRPr="00ED7D43">
              <w:rPr>
                <w:vertAlign w:val="superscript"/>
              </w:rPr>
              <w:t>¶</w:t>
            </w:r>
          </w:p>
        </w:tc>
        <w:tc>
          <w:tcPr>
            <w:tcW w:w="2126"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Cs/>
                <w:lang w:val="en-GB"/>
              </w:rPr>
              <w:t>81%</w:t>
            </w:r>
          </w:p>
        </w:tc>
        <w:tc>
          <w:tcPr>
            <w:tcW w:w="2183"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Cs/>
                <w:lang w:val="en-GB"/>
              </w:rPr>
              <w:t>63%</w:t>
            </w:r>
          </w:p>
        </w:tc>
      </w:tr>
      <w:tr w:rsidR="00ED7D43" w:rsidRPr="00ED7D43" w:rsidTr="00ED7D43">
        <w:trPr>
          <w:trHeight w:val="242"/>
          <w:jc w:val="center"/>
        </w:trPr>
        <w:tc>
          <w:tcPr>
            <w:tcW w:w="4111"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rPr>
            </w:pPr>
            <w:r w:rsidRPr="00ED7D43">
              <w:rPr>
                <w:bCs/>
              </w:rPr>
              <w:t>% with duration ≥9 months</w:t>
            </w:r>
            <w:r w:rsidRPr="00ED7D43">
              <w:rPr>
                <w:vertAlign w:val="superscript"/>
              </w:rPr>
              <w:t>¶</w:t>
            </w:r>
          </w:p>
        </w:tc>
        <w:tc>
          <w:tcPr>
            <w:tcW w:w="2126"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Cs/>
                <w:lang w:val="en-GB"/>
              </w:rPr>
              <w:t>60%</w:t>
            </w:r>
          </w:p>
        </w:tc>
        <w:tc>
          <w:tcPr>
            <w:tcW w:w="2183"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Cs/>
                <w:lang w:val="en-GB"/>
              </w:rPr>
              <w:t>44%</w:t>
            </w:r>
          </w:p>
        </w:tc>
      </w:tr>
      <w:tr w:rsidR="00ED7D43" w:rsidRPr="00ED7D43" w:rsidTr="00ED7D43">
        <w:trPr>
          <w:jc w:val="center"/>
        </w:trPr>
        <w:tc>
          <w:tcPr>
            <w:tcW w:w="8420" w:type="dxa"/>
            <w:gridSpan w:val="3"/>
            <w:tcBorders>
              <w:top w:val="single" w:sz="4" w:space="0" w:color="auto"/>
              <w:left w:val="nil"/>
              <w:bottom w:val="nil"/>
              <w:right w:val="nil"/>
            </w:tcBorders>
            <w:hideMark/>
          </w:tcPr>
          <w:p w:rsidR="00ED7D43" w:rsidRPr="00ED7D43" w:rsidRDefault="00ED7D43" w:rsidP="00ED7D43">
            <w:pPr>
              <w:pStyle w:val="Tabledescription"/>
              <w:rPr>
                <w:lang w:val="en-GB"/>
              </w:rPr>
            </w:pPr>
            <w:r w:rsidRPr="00ED7D43">
              <w:t>*</w:t>
            </w:r>
            <w:r>
              <w:rPr>
                <w:lang w:val="en-GB"/>
              </w:rPr>
              <w:t xml:space="preserve"> </w:t>
            </w:r>
            <w:r w:rsidRPr="00ED7D43">
              <w:rPr>
                <w:lang w:val="en-GB"/>
              </w:rPr>
              <w:t>Based on the stratified Cox proportional hazard model</w:t>
            </w:r>
            <w:r>
              <w:rPr>
                <w:lang w:val="en-GB"/>
              </w:rPr>
              <w:br/>
            </w:r>
            <w:r w:rsidRPr="00ED7D43">
              <w:rPr>
                <w:vertAlign w:val="superscript"/>
                <w:lang w:val="en-GB"/>
              </w:rPr>
              <w:t>†</w:t>
            </w:r>
            <w:r>
              <w:rPr>
                <w:vertAlign w:val="superscript"/>
                <w:lang w:val="en-GB"/>
              </w:rPr>
              <w:t xml:space="preserve"> </w:t>
            </w:r>
            <w:r w:rsidRPr="00ED7D43">
              <w:rPr>
                <w:lang w:val="en-GB"/>
              </w:rPr>
              <w:t>Based on stratified log-rank test</w:t>
            </w:r>
            <w:r>
              <w:rPr>
                <w:lang w:val="en-GB"/>
              </w:rPr>
              <w:br/>
            </w:r>
            <w:r w:rsidRPr="00ED7D43">
              <w:rPr>
                <w:vertAlign w:val="superscript"/>
                <w:lang w:val="en-GB"/>
              </w:rPr>
              <w:t>‡</w:t>
            </w:r>
            <w:r>
              <w:rPr>
                <w:vertAlign w:val="superscript"/>
                <w:lang w:val="en-GB"/>
              </w:rPr>
              <w:t xml:space="preserve"> </w:t>
            </w:r>
            <w:r w:rsidRPr="00ED7D43">
              <w:rPr>
                <w:lang w:val="en-GB"/>
              </w:rPr>
              <w:t xml:space="preserve">Based on patients with a best overall response as confirmed complete or partial response </w:t>
            </w:r>
            <w:r>
              <w:rPr>
                <w:lang w:val="en-GB"/>
              </w:rPr>
              <w:br/>
            </w:r>
            <w:r w:rsidRPr="00ED7D43">
              <w:rPr>
                <w:vertAlign w:val="superscript"/>
              </w:rPr>
              <w:t>§</w:t>
            </w:r>
            <w:r>
              <w:rPr>
                <w:vertAlign w:val="superscript"/>
              </w:rPr>
              <w:t xml:space="preserve"> </w:t>
            </w:r>
            <w:r w:rsidRPr="00ED7D43">
              <w:rPr>
                <w:lang w:val="en-GB"/>
              </w:rPr>
              <w:t xml:space="preserve">Based on </w:t>
            </w:r>
            <w:proofErr w:type="spellStart"/>
            <w:r w:rsidRPr="00ED7D43">
              <w:rPr>
                <w:lang w:val="en-GB"/>
              </w:rPr>
              <w:t>Miettinen</w:t>
            </w:r>
            <w:proofErr w:type="spellEnd"/>
            <w:r w:rsidRPr="00ED7D43">
              <w:rPr>
                <w:lang w:val="en-GB"/>
              </w:rPr>
              <w:t xml:space="preserve"> and </w:t>
            </w:r>
            <w:proofErr w:type="spellStart"/>
            <w:r w:rsidRPr="00ED7D43">
              <w:rPr>
                <w:lang w:val="en-GB"/>
              </w:rPr>
              <w:t>Nurminen</w:t>
            </w:r>
            <w:proofErr w:type="spellEnd"/>
            <w:r w:rsidRPr="00ED7D43">
              <w:rPr>
                <w:lang w:val="en-GB"/>
              </w:rPr>
              <w:t xml:space="preserve"> method stratified by PD-L1 status, platinum chemotherapy and smoking status </w:t>
            </w:r>
            <w:r>
              <w:rPr>
                <w:lang w:val="en-GB"/>
              </w:rPr>
              <w:br/>
            </w:r>
            <w:r w:rsidRPr="00ED7D43">
              <w:rPr>
                <w:lang w:val="en-GB"/>
              </w:rPr>
              <w:t>Based on Kaplan-Meier estimation</w:t>
            </w:r>
            <w:r>
              <w:rPr>
                <w:lang w:val="en-GB"/>
              </w:rPr>
              <w:br/>
            </w:r>
            <w:r w:rsidRPr="00ED7D43">
              <w:rPr>
                <w:lang w:val="en-GB"/>
              </w:rPr>
              <w:t>NA = not available</w:t>
            </w:r>
          </w:p>
        </w:tc>
      </w:tr>
    </w:tbl>
    <w:p w:rsidR="00ED7D43" w:rsidRPr="00ED7D43" w:rsidRDefault="00ED7D43" w:rsidP="00ED7D43">
      <w:pPr>
        <w:pStyle w:val="Figuretitle"/>
        <w:rPr>
          <w:lang w:val="en-GB"/>
        </w:rPr>
      </w:pPr>
      <w:r w:rsidRPr="00ED7D43">
        <w:rPr>
          <w:lang w:val="en-GB"/>
        </w:rPr>
        <w:lastRenderedPageBreak/>
        <w:t>Figure 5: Kaplan-Meier curve for overall survival by treatment arm in KEYNOTE-189 (intent to treat population)</w:t>
      </w:r>
    </w:p>
    <w:p w:rsidR="00ED7D43" w:rsidRDefault="00ED7D43" w:rsidP="00ED7D43">
      <w:r w:rsidRPr="00ED7D43">
        <w:drawing>
          <wp:inline distT="0" distB="0" distL="0" distR="0" wp14:anchorId="05CDA826" wp14:editId="3DB85AB3">
            <wp:extent cx="5236210" cy="44342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18718" t="1285" r="1154" b="11063"/>
                    <a:stretch>
                      <a:fillRect/>
                    </a:stretch>
                  </pic:blipFill>
                  <pic:spPr bwMode="auto">
                    <a:xfrm>
                      <a:off x="0" y="0"/>
                      <a:ext cx="5236210" cy="4434205"/>
                    </a:xfrm>
                    <a:prstGeom prst="rect">
                      <a:avLst/>
                    </a:prstGeom>
                    <a:noFill/>
                    <a:ln>
                      <a:noFill/>
                    </a:ln>
                  </pic:spPr>
                </pic:pic>
              </a:graphicData>
            </a:graphic>
          </wp:inline>
        </w:drawing>
      </w:r>
    </w:p>
    <w:p w:rsidR="00ED7D43" w:rsidRPr="00ED7D43" w:rsidRDefault="00ED7D43" w:rsidP="00ED7D43">
      <w:pPr>
        <w:pStyle w:val="Figuretitle"/>
        <w:rPr>
          <w:lang w:val="en-GB"/>
        </w:rPr>
      </w:pPr>
      <w:r w:rsidRPr="00ED7D43">
        <w:rPr>
          <w:lang w:val="en-GB"/>
        </w:rPr>
        <w:lastRenderedPageBreak/>
        <w:t>Figure 6: Kaplan-Meier curve for progression-free survival by treatment arm in KEYNOTE-189 (intent to treat population)</w:t>
      </w:r>
    </w:p>
    <w:p w:rsidR="00ED7D43" w:rsidRPr="00ED7D43" w:rsidRDefault="00ED7D43" w:rsidP="00ED7D43">
      <w:r w:rsidRPr="00ED7D43">
        <w:drawing>
          <wp:inline distT="0" distB="0" distL="0" distR="0" wp14:anchorId="2142EDC3" wp14:editId="1FA80445">
            <wp:extent cx="5158740" cy="43561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l="19615" t="1494" r="1666" b="12389"/>
                    <a:stretch>
                      <a:fillRect/>
                    </a:stretch>
                  </pic:blipFill>
                  <pic:spPr bwMode="auto">
                    <a:xfrm>
                      <a:off x="0" y="0"/>
                      <a:ext cx="5158740" cy="4356100"/>
                    </a:xfrm>
                    <a:prstGeom prst="rect">
                      <a:avLst/>
                    </a:prstGeom>
                    <a:noFill/>
                    <a:ln>
                      <a:noFill/>
                    </a:ln>
                  </pic:spPr>
                </pic:pic>
              </a:graphicData>
            </a:graphic>
          </wp:inline>
        </w:drawing>
      </w:r>
    </w:p>
    <w:p w:rsidR="00ED7D43" w:rsidRPr="00ED7D43" w:rsidRDefault="00ED7D43" w:rsidP="00ED7D43">
      <w:pPr>
        <w:rPr>
          <w:u w:val="single"/>
          <w:lang w:val="en-GB"/>
        </w:rPr>
      </w:pPr>
      <w:r w:rsidRPr="00ED7D43">
        <w:t>Patient-reported outcomes were assessed using the EORTC QLQ-C30 and EORTC QLQ-LC13. Exploratory analyses of patients receiving pembrolizumab combination therapy showed stable EORTC QLQ-C30 Global Health Status/</w:t>
      </w:r>
      <w:proofErr w:type="spellStart"/>
      <w:r w:rsidRPr="00ED7D43">
        <w:t>QoL</w:t>
      </w:r>
      <w:proofErr w:type="spellEnd"/>
      <w:r w:rsidRPr="00ED7D43">
        <w:t xml:space="preserve"> at Week 12 and Week 21 vs declines in patients receiving placebo plus chemotherapy. There was a trend toward a prolonged time to deterioration in the EORTC QLQ-LC13/QLQ-C30 endpoint of cough, </w:t>
      </w:r>
      <w:proofErr w:type="spellStart"/>
      <w:r w:rsidRPr="00ED7D43">
        <w:t>dyspnea</w:t>
      </w:r>
      <w:proofErr w:type="spellEnd"/>
      <w:r w:rsidRPr="00ED7D43">
        <w:t xml:space="preserve"> or chest pain observed for patients receiving pembrolizumab combination therapy.</w:t>
      </w:r>
    </w:p>
    <w:p w:rsidR="00ED7D43" w:rsidRPr="00ED7D43" w:rsidRDefault="00ED7D43" w:rsidP="00ED7D43">
      <w:pPr>
        <w:rPr>
          <w:i/>
          <w:u w:val="single"/>
          <w:lang w:val="en-GB"/>
        </w:rPr>
      </w:pPr>
      <w:r w:rsidRPr="00ED7D43">
        <w:rPr>
          <w:i/>
          <w:u w:val="single"/>
          <w:lang w:val="en-GB"/>
        </w:rPr>
        <w:t>KEYNOTE-407: Controlled trial of combination therapy in squamous NSCLC patients naïve to treatment</w:t>
      </w:r>
    </w:p>
    <w:p w:rsidR="00ED7D43" w:rsidRPr="00ED7D43" w:rsidRDefault="00ED7D43" w:rsidP="00ED7D43">
      <w:r w:rsidRPr="00ED7D43">
        <w:t>The efficacy of KEYTRUDA in combination with carboplatin and either paclitaxel or nab-paclitaxel was investigated in Study KEYNOTE</w:t>
      </w:r>
      <w:r w:rsidRPr="00ED7D43">
        <w:noBreakHyphen/>
        <w:t xml:space="preserve">407, a randomised, double-blind, </w:t>
      </w:r>
      <w:proofErr w:type="spellStart"/>
      <w:r w:rsidRPr="00ED7D43">
        <w:t>multicenter</w:t>
      </w:r>
      <w:proofErr w:type="spellEnd"/>
      <w:r w:rsidRPr="00ED7D43">
        <w:t>, placebo-controlled study. The key eligibility criteria for this study were metastatic squamous NSCLC, regardless of tumour PD-L1 expression status, and no prior systemic treatment for metastatic disease. Patients with autoimmune disease that required systemic therapy within 2 years of treatment; a medical condition that required immunosuppression; or who had received more than 30 </w:t>
      </w:r>
      <w:proofErr w:type="spellStart"/>
      <w:r w:rsidRPr="00ED7D43">
        <w:t>Gy</w:t>
      </w:r>
      <w:proofErr w:type="spellEnd"/>
      <w:r w:rsidRPr="00ED7D43">
        <w:t xml:space="preserve"> of thoracic radiation within the prior 26 weeks were ineligible. Randomization was stratified by tumour PD-L1 expression (TPS &lt;1% [negative] vs. TPS ≥1%), investigator’s choice of paclitaxel or nab-paclitaxel, and geographic region (East Asia vs. non-</w:t>
      </w:r>
      <w:r w:rsidRPr="00ED7D43">
        <w:lastRenderedPageBreak/>
        <w:t>East Asia). Patients were randomised (1:1) to one of the following treatment arms; all study medications were administered via intravenous infusion.</w:t>
      </w:r>
    </w:p>
    <w:p w:rsidR="00ED7D43" w:rsidRPr="00ED7D43" w:rsidRDefault="00ED7D43" w:rsidP="00ED7D43">
      <w:pPr>
        <w:pStyle w:val="ListBullet"/>
      </w:pPr>
      <w:r w:rsidRPr="00ED7D43">
        <w:t>KEYTRUDA 200 mg and carboplatin AUC 6 mg/mL/min on Day 1 of each 21</w:t>
      </w:r>
      <w:r w:rsidRPr="00ED7D43">
        <w:noBreakHyphen/>
        <w:t>day cycle for 4 cycles, and paclitaxel 200 mg/m</w:t>
      </w:r>
      <w:r w:rsidRPr="00ED7D43">
        <w:rPr>
          <w:vertAlign w:val="superscript"/>
        </w:rPr>
        <w:t>2</w:t>
      </w:r>
      <w:r w:rsidRPr="00ED7D43">
        <w:t xml:space="preserve"> on Day 1 of each 21</w:t>
      </w:r>
      <w:r w:rsidRPr="00ED7D43">
        <w:noBreakHyphen/>
        <w:t>day cycle for 4 cycles or nab-paclitaxel 100 mg/m</w:t>
      </w:r>
      <w:r w:rsidRPr="00ED7D43">
        <w:rPr>
          <w:vertAlign w:val="superscript"/>
        </w:rPr>
        <w:t>2</w:t>
      </w:r>
      <w:r w:rsidRPr="00ED7D43">
        <w:t xml:space="preserve"> on Days 1, 8 and 15 of each 21</w:t>
      </w:r>
      <w:r w:rsidRPr="00ED7D43">
        <w:noBreakHyphen/>
        <w:t>day cycle for 4 cycles, followed by KEYTRUDA 200 mg every 3 weeks. KEYTRUDA was administered prior to chemotherapy on Day 1.</w:t>
      </w:r>
    </w:p>
    <w:p w:rsidR="00ED7D43" w:rsidRPr="00ED7D43" w:rsidRDefault="00ED7D43" w:rsidP="00ED7D43">
      <w:pPr>
        <w:pStyle w:val="ListBullet"/>
      </w:pPr>
      <w:r w:rsidRPr="00ED7D43">
        <w:t>Placebo and carboplatin AUC 6 mg/mL/min on Day 1 of each 21</w:t>
      </w:r>
      <w:r w:rsidRPr="00ED7D43">
        <w:noBreakHyphen/>
        <w:t>day cycle for 4 cycles and paclitaxel 200 mg/m</w:t>
      </w:r>
      <w:r w:rsidRPr="00ED7D43">
        <w:rPr>
          <w:vertAlign w:val="superscript"/>
        </w:rPr>
        <w:t>2</w:t>
      </w:r>
      <w:r w:rsidRPr="00ED7D43">
        <w:t xml:space="preserve"> on Day 1 of each 21</w:t>
      </w:r>
      <w:r w:rsidRPr="00ED7D43">
        <w:noBreakHyphen/>
        <w:t>day cycle for 4 cycles or nab-paclitaxel 100 mg/m</w:t>
      </w:r>
      <w:r w:rsidRPr="00ED7D43">
        <w:rPr>
          <w:vertAlign w:val="superscript"/>
        </w:rPr>
        <w:t>2</w:t>
      </w:r>
      <w:r w:rsidRPr="00ED7D43">
        <w:t xml:space="preserve"> on Days 1, 8 and 15 of each 21</w:t>
      </w:r>
      <w:r w:rsidRPr="00ED7D43">
        <w:noBreakHyphen/>
        <w:t>day cycle for 4 cycles, followed by placebo every 3 weeks</w:t>
      </w:r>
      <w:r w:rsidRPr="00ED7D43">
        <w:rPr>
          <w:b/>
        </w:rPr>
        <w:t>.</w:t>
      </w:r>
    </w:p>
    <w:p w:rsidR="00ED7D43" w:rsidRPr="00ED7D43" w:rsidRDefault="00ED7D43" w:rsidP="00ED7D43">
      <w:r w:rsidRPr="00ED7D43">
        <w:t>Treatment with KEYTRUDA or placebo continued until RECIST 1.1-defined progression of disease as determined by blinded independent central review (BICR), unacceptable toxicity, or a maximum of 24 months. Administration of KEYTRUDA was permitted beyond RECIST-defined disease progression if the patient was clinically stable and deriving clinical benefit as determined by the investigator. Treatment with KEYTRUDA could be reinitiated for subsequent disease progression and administered for up to 1 additional year.</w:t>
      </w:r>
    </w:p>
    <w:p w:rsidR="00ED7D43" w:rsidRPr="00ED7D43" w:rsidRDefault="00ED7D43" w:rsidP="00ED7D43">
      <w:pPr>
        <w:rPr>
          <w:b/>
        </w:rPr>
      </w:pPr>
      <w:r w:rsidRPr="00ED7D43">
        <w:t>Patients in the placebo arm were offered KEYTRUDA as a single agent at the time of disease progression.</w:t>
      </w:r>
    </w:p>
    <w:p w:rsidR="00ED7D43" w:rsidRPr="00ED7D43" w:rsidRDefault="00ED7D43" w:rsidP="00ED7D43">
      <w:r w:rsidRPr="00ED7D43">
        <w:t xml:space="preserve">Assessment of tumour status was performed every 6 weeks through Week 18, every 9 weeks through Week 45 and every 12 weeks thereafter. </w:t>
      </w:r>
      <w:r w:rsidRPr="00ED7D43">
        <w:rPr>
          <w:lang w:val="en-GB"/>
        </w:rPr>
        <w:t>The major efficacy outcome measures were progression-free survival and objective response rate (ORR) as assessed by BICR</w:t>
      </w:r>
      <w:r w:rsidRPr="00ED7D43">
        <w:rPr>
          <w:bCs/>
          <w:lang w:val="en-GB"/>
        </w:rPr>
        <w:t xml:space="preserve"> using RECIST 1.1 and </w:t>
      </w:r>
      <w:r w:rsidRPr="00ED7D43">
        <w:rPr>
          <w:lang w:val="en-GB"/>
        </w:rPr>
        <w:t>overall survival</w:t>
      </w:r>
      <w:r w:rsidRPr="00ED7D43">
        <w:rPr>
          <w:bCs/>
          <w:lang w:val="en-GB"/>
        </w:rPr>
        <w:t xml:space="preserve">. An additional efficacy outcome measure was duration of response </w:t>
      </w:r>
      <w:r w:rsidRPr="00ED7D43">
        <w:rPr>
          <w:lang w:val="en-GB"/>
        </w:rPr>
        <w:t>as assessed by BICR</w:t>
      </w:r>
      <w:r w:rsidRPr="00ED7D43">
        <w:rPr>
          <w:bCs/>
          <w:lang w:val="en-GB"/>
        </w:rPr>
        <w:t xml:space="preserve"> using RECIST 1.1.</w:t>
      </w:r>
    </w:p>
    <w:p w:rsidR="00ED7D43" w:rsidRPr="00ED7D43" w:rsidRDefault="00ED7D43" w:rsidP="00ED7D43">
      <w:pPr>
        <w:rPr>
          <w:b/>
        </w:rPr>
      </w:pPr>
      <w:r w:rsidRPr="00ED7D43">
        <w:rPr>
          <w:lang w:val="en-GB"/>
        </w:rPr>
        <w:t xml:space="preserve">A total of 559 patients were randomised: 278 patients to the KEYTRUDA arm and 281 to the placebo arm. The study population </w:t>
      </w:r>
      <w:r w:rsidRPr="00ED7D43">
        <w:t>characteristics were: median age of 65 years (range: 29 to 88); 55% age 65 or older; 81% male; 77% White; ECOG performance status of 0 (29%) and 1 (71%); and 8% with brain metastases at baseline. Thirty-five percent had tumour PD-L1 expression TPS &lt;1% [negative]; 19% were from the East Asian region; and 60% received paclitaxel.</w:t>
      </w:r>
    </w:p>
    <w:p w:rsidR="00ED7D43" w:rsidRPr="00ED7D43" w:rsidRDefault="00ED7D43" w:rsidP="00ED7D43">
      <w:r w:rsidRPr="00ED7D43">
        <w:t>In KEYNOTE</w:t>
      </w:r>
      <w:r w:rsidRPr="00ED7D43">
        <w:noBreakHyphen/>
        <w:t>407, there was a statistically significant improvement in OS, PFS and ORR in patients randomised to KEYTRUDA in combination with carboplatin and either paclitaxel or nab-paclitaxel compared with patients randomised to placebo with carboplatin and either paclitaxel or nab-paclitaxel (see Table 19 and Figures 7 and 8).</w:t>
      </w:r>
    </w:p>
    <w:p w:rsidR="00ED7D43" w:rsidRPr="00ED7D43" w:rsidRDefault="00ED7D43" w:rsidP="00ED7D43">
      <w:pPr>
        <w:pStyle w:val="Tabletitle"/>
        <w:rPr>
          <w:lang w:val="en-GB"/>
        </w:rPr>
      </w:pPr>
      <w:r w:rsidRPr="00ED7D43">
        <w:rPr>
          <w:lang w:val="en-GB"/>
        </w:rPr>
        <w:t>Table 19: Efficacy Results in KEYNOTE</w:t>
      </w:r>
      <w:r w:rsidRPr="00ED7D43">
        <w:rPr>
          <w:lang w:val="en-GB"/>
        </w:rPr>
        <w:noBreakHyphen/>
        <w:t>407</w:t>
      </w:r>
    </w:p>
    <w:tbl>
      <w:tblPr>
        <w:tblW w:w="8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8"/>
        <w:gridCol w:w="2700"/>
        <w:gridCol w:w="2681"/>
      </w:tblGrid>
      <w:tr w:rsidR="00ED7D43" w:rsidRPr="00ED7D43" w:rsidTr="00ED7D43">
        <w:trPr>
          <w:trHeight w:val="20"/>
          <w:jc w:val="center"/>
        </w:trPr>
        <w:tc>
          <w:tcPr>
            <w:tcW w:w="3098" w:type="dxa"/>
            <w:shd w:val="clear" w:color="auto" w:fill="auto"/>
          </w:tcPr>
          <w:p w:rsidR="00ED7D43" w:rsidRPr="00ED7D43" w:rsidRDefault="00ED7D43" w:rsidP="00ED7D43">
            <w:pPr>
              <w:rPr>
                <w:b/>
                <w:lang w:val="en-GB"/>
              </w:rPr>
            </w:pPr>
            <w:r w:rsidRPr="00ED7D43">
              <w:rPr>
                <w:b/>
                <w:bCs/>
                <w:lang w:val="en-GB"/>
              </w:rPr>
              <w:t>Endpoint</w:t>
            </w:r>
          </w:p>
        </w:tc>
        <w:tc>
          <w:tcPr>
            <w:tcW w:w="2700" w:type="dxa"/>
          </w:tcPr>
          <w:p w:rsidR="00ED7D43" w:rsidRPr="00ED7D43" w:rsidRDefault="00ED7D43" w:rsidP="00D920A1">
            <w:pPr>
              <w:numPr>
                <w:ilvl w:val="0"/>
                <w:numId w:val="6"/>
              </w:numPr>
              <w:rPr>
                <w:b/>
              </w:rPr>
            </w:pPr>
            <w:r w:rsidRPr="00ED7D43">
              <w:rPr>
                <w:b/>
              </w:rPr>
              <w:t>KEYTRUDA</w:t>
            </w:r>
          </w:p>
          <w:p w:rsidR="00ED7D43" w:rsidRPr="00ED7D43" w:rsidRDefault="00ED7D43" w:rsidP="00D920A1">
            <w:pPr>
              <w:numPr>
                <w:ilvl w:val="0"/>
                <w:numId w:val="6"/>
              </w:numPr>
              <w:rPr>
                <w:b/>
              </w:rPr>
            </w:pPr>
            <w:r w:rsidRPr="00ED7D43">
              <w:rPr>
                <w:b/>
              </w:rPr>
              <w:t>Carboplatin</w:t>
            </w:r>
          </w:p>
          <w:p w:rsidR="00ED7D43" w:rsidRPr="00ED7D43" w:rsidRDefault="00ED7D43" w:rsidP="00D920A1">
            <w:pPr>
              <w:numPr>
                <w:ilvl w:val="0"/>
                <w:numId w:val="6"/>
              </w:numPr>
              <w:rPr>
                <w:b/>
              </w:rPr>
            </w:pPr>
            <w:r w:rsidRPr="00ED7D43">
              <w:rPr>
                <w:b/>
              </w:rPr>
              <w:t xml:space="preserve">Paclitaxel/Nab-paclitaxel </w:t>
            </w:r>
          </w:p>
          <w:p w:rsidR="00ED7D43" w:rsidRPr="00ED7D43" w:rsidRDefault="00ED7D43" w:rsidP="00ED7D43">
            <w:pPr>
              <w:rPr>
                <w:b/>
                <w:lang w:val="en-GB"/>
              </w:rPr>
            </w:pPr>
            <w:r w:rsidRPr="00ED7D43">
              <w:rPr>
                <w:b/>
              </w:rPr>
              <w:lastRenderedPageBreak/>
              <w:t>n=278</w:t>
            </w:r>
          </w:p>
        </w:tc>
        <w:tc>
          <w:tcPr>
            <w:tcW w:w="2681" w:type="dxa"/>
          </w:tcPr>
          <w:p w:rsidR="00ED7D43" w:rsidRPr="00ED7D43" w:rsidRDefault="00ED7D43" w:rsidP="00D920A1">
            <w:pPr>
              <w:numPr>
                <w:ilvl w:val="0"/>
                <w:numId w:val="6"/>
              </w:numPr>
              <w:rPr>
                <w:b/>
              </w:rPr>
            </w:pPr>
            <w:r w:rsidRPr="00ED7D43">
              <w:rPr>
                <w:b/>
              </w:rPr>
              <w:lastRenderedPageBreak/>
              <w:t>Placebo</w:t>
            </w:r>
          </w:p>
          <w:p w:rsidR="00ED7D43" w:rsidRPr="00ED7D43" w:rsidRDefault="00ED7D43" w:rsidP="00D920A1">
            <w:pPr>
              <w:numPr>
                <w:ilvl w:val="0"/>
                <w:numId w:val="6"/>
              </w:numPr>
              <w:rPr>
                <w:b/>
              </w:rPr>
            </w:pPr>
            <w:r w:rsidRPr="00ED7D43">
              <w:rPr>
                <w:b/>
              </w:rPr>
              <w:t>Carboplatin</w:t>
            </w:r>
          </w:p>
          <w:p w:rsidR="00ED7D43" w:rsidRPr="00ED7D43" w:rsidRDefault="00ED7D43" w:rsidP="00D920A1">
            <w:pPr>
              <w:numPr>
                <w:ilvl w:val="0"/>
                <w:numId w:val="6"/>
              </w:numPr>
              <w:rPr>
                <w:b/>
              </w:rPr>
            </w:pPr>
            <w:r w:rsidRPr="00ED7D43">
              <w:rPr>
                <w:b/>
              </w:rPr>
              <w:t xml:space="preserve">Paclitaxel/Nab-paclitaxel </w:t>
            </w:r>
          </w:p>
          <w:p w:rsidR="00ED7D43" w:rsidRPr="00ED7D43" w:rsidRDefault="00ED7D43" w:rsidP="00ED7D43">
            <w:pPr>
              <w:rPr>
                <w:b/>
                <w:lang w:val="en-GB"/>
              </w:rPr>
            </w:pPr>
            <w:r w:rsidRPr="00ED7D43">
              <w:rPr>
                <w:b/>
              </w:rPr>
              <w:lastRenderedPageBreak/>
              <w:t>n=281</w:t>
            </w:r>
          </w:p>
        </w:tc>
      </w:tr>
      <w:tr w:rsidR="00ED7D43" w:rsidRPr="00ED7D43" w:rsidTr="00ED7D43">
        <w:trPr>
          <w:trHeight w:val="20"/>
          <w:jc w:val="center"/>
        </w:trPr>
        <w:tc>
          <w:tcPr>
            <w:tcW w:w="3098" w:type="dxa"/>
            <w:shd w:val="clear" w:color="auto" w:fill="auto"/>
          </w:tcPr>
          <w:p w:rsidR="00ED7D43" w:rsidRPr="00ED7D43" w:rsidRDefault="00ED7D43" w:rsidP="00ED7D43">
            <w:pPr>
              <w:rPr>
                <w:lang w:val="en-GB"/>
              </w:rPr>
            </w:pPr>
            <w:r w:rsidRPr="00ED7D43">
              <w:rPr>
                <w:b/>
                <w:bCs/>
                <w:lang w:val="en-GB"/>
              </w:rPr>
              <w:lastRenderedPageBreak/>
              <w:t>OS</w:t>
            </w:r>
          </w:p>
        </w:tc>
        <w:tc>
          <w:tcPr>
            <w:tcW w:w="5381" w:type="dxa"/>
            <w:gridSpan w:val="2"/>
          </w:tcPr>
          <w:p w:rsidR="00ED7D43" w:rsidRPr="00ED7D43" w:rsidRDefault="00ED7D43" w:rsidP="00ED7D43">
            <w:pPr>
              <w:rPr>
                <w:bCs/>
                <w:lang w:val="en-GB"/>
              </w:rPr>
            </w:pPr>
          </w:p>
        </w:tc>
      </w:tr>
      <w:tr w:rsidR="00ED7D43" w:rsidRPr="00ED7D43" w:rsidTr="00ED7D43">
        <w:trPr>
          <w:trHeight w:val="20"/>
          <w:jc w:val="center"/>
        </w:trPr>
        <w:tc>
          <w:tcPr>
            <w:tcW w:w="3098" w:type="dxa"/>
            <w:shd w:val="clear" w:color="auto" w:fill="auto"/>
          </w:tcPr>
          <w:p w:rsidR="00ED7D43" w:rsidRPr="00ED7D43" w:rsidRDefault="00ED7D43" w:rsidP="00ED7D43">
            <w:pPr>
              <w:rPr>
                <w:bCs/>
                <w:lang w:val="en-GB"/>
              </w:rPr>
            </w:pPr>
            <w:r w:rsidRPr="00ED7D43">
              <w:rPr>
                <w:bCs/>
                <w:lang w:val="en-GB"/>
              </w:rPr>
              <w:t>Number of events (%)</w:t>
            </w:r>
          </w:p>
        </w:tc>
        <w:tc>
          <w:tcPr>
            <w:tcW w:w="2700" w:type="dxa"/>
          </w:tcPr>
          <w:p w:rsidR="00ED7D43" w:rsidRPr="00ED7D43" w:rsidRDefault="00ED7D43" w:rsidP="00ED7D43">
            <w:pPr>
              <w:rPr>
                <w:bCs/>
                <w:lang w:val="en-GB"/>
              </w:rPr>
            </w:pPr>
            <w:r w:rsidRPr="00ED7D43">
              <w:rPr>
                <w:bCs/>
                <w:lang w:val="en-GB"/>
              </w:rPr>
              <w:t>85 (31%)</w:t>
            </w:r>
          </w:p>
        </w:tc>
        <w:tc>
          <w:tcPr>
            <w:tcW w:w="2681" w:type="dxa"/>
          </w:tcPr>
          <w:p w:rsidR="00ED7D43" w:rsidRPr="00ED7D43" w:rsidRDefault="00ED7D43" w:rsidP="00ED7D43">
            <w:pPr>
              <w:rPr>
                <w:bCs/>
                <w:lang w:val="en-GB"/>
              </w:rPr>
            </w:pPr>
            <w:r w:rsidRPr="00ED7D43">
              <w:rPr>
                <w:bCs/>
                <w:lang w:val="en-GB"/>
              </w:rPr>
              <w:t>120 (43%)</w:t>
            </w:r>
          </w:p>
        </w:tc>
      </w:tr>
      <w:tr w:rsidR="00ED7D43" w:rsidRPr="00ED7D43" w:rsidTr="00ED7D43">
        <w:trPr>
          <w:trHeight w:val="20"/>
          <w:jc w:val="center"/>
        </w:trPr>
        <w:tc>
          <w:tcPr>
            <w:tcW w:w="3098" w:type="dxa"/>
            <w:shd w:val="clear" w:color="auto" w:fill="auto"/>
          </w:tcPr>
          <w:p w:rsidR="00ED7D43" w:rsidRPr="00ED7D43" w:rsidRDefault="00ED7D43" w:rsidP="00ED7D43">
            <w:pPr>
              <w:rPr>
                <w:bCs/>
                <w:lang w:val="en-GB"/>
              </w:rPr>
            </w:pPr>
            <w:r w:rsidRPr="00ED7D43">
              <w:rPr>
                <w:bCs/>
                <w:lang w:val="en-GB"/>
              </w:rPr>
              <w:t>Median in months (95% CI)</w:t>
            </w:r>
          </w:p>
        </w:tc>
        <w:tc>
          <w:tcPr>
            <w:tcW w:w="2700" w:type="dxa"/>
          </w:tcPr>
          <w:p w:rsidR="00ED7D43" w:rsidRPr="00ED7D43" w:rsidRDefault="00ED7D43" w:rsidP="00ED7D43">
            <w:pPr>
              <w:rPr>
                <w:bCs/>
                <w:lang w:val="en-GB"/>
              </w:rPr>
            </w:pPr>
            <w:r w:rsidRPr="00ED7D43">
              <w:rPr>
                <w:bCs/>
                <w:lang w:val="en-GB"/>
              </w:rPr>
              <w:t>15.9 (13.2, NA)</w:t>
            </w:r>
          </w:p>
        </w:tc>
        <w:tc>
          <w:tcPr>
            <w:tcW w:w="2681" w:type="dxa"/>
          </w:tcPr>
          <w:p w:rsidR="00ED7D43" w:rsidRPr="00ED7D43" w:rsidRDefault="00ED7D43" w:rsidP="00ED7D43">
            <w:pPr>
              <w:rPr>
                <w:bCs/>
                <w:lang w:val="en-GB"/>
              </w:rPr>
            </w:pPr>
            <w:r w:rsidRPr="00ED7D43">
              <w:rPr>
                <w:bCs/>
                <w:lang w:val="en-GB"/>
              </w:rPr>
              <w:t>11.3 (9.5, 14.8)</w:t>
            </w:r>
          </w:p>
        </w:tc>
      </w:tr>
      <w:tr w:rsidR="00ED7D43" w:rsidRPr="00ED7D43" w:rsidTr="00ED7D43">
        <w:trPr>
          <w:trHeight w:val="20"/>
          <w:jc w:val="center"/>
        </w:trPr>
        <w:tc>
          <w:tcPr>
            <w:tcW w:w="3098" w:type="dxa"/>
            <w:shd w:val="clear" w:color="auto" w:fill="auto"/>
          </w:tcPr>
          <w:p w:rsidR="00ED7D43" w:rsidRPr="00ED7D43" w:rsidRDefault="00ED7D43" w:rsidP="00ED7D43">
            <w:pPr>
              <w:rPr>
                <w:bCs/>
                <w:lang w:val="en-GB"/>
              </w:rPr>
            </w:pPr>
            <w:r w:rsidRPr="00ED7D43">
              <w:rPr>
                <w:bCs/>
                <w:lang w:val="en-GB"/>
              </w:rPr>
              <w:t xml:space="preserve">Hazard ratio* (95% CI) </w:t>
            </w:r>
          </w:p>
        </w:tc>
        <w:tc>
          <w:tcPr>
            <w:tcW w:w="5381" w:type="dxa"/>
            <w:gridSpan w:val="2"/>
          </w:tcPr>
          <w:p w:rsidR="00ED7D43" w:rsidRPr="00ED7D43" w:rsidRDefault="00ED7D43" w:rsidP="00ED7D43">
            <w:pPr>
              <w:rPr>
                <w:bCs/>
                <w:lang w:val="en-GB"/>
              </w:rPr>
            </w:pPr>
            <w:r w:rsidRPr="00ED7D43">
              <w:rPr>
                <w:bCs/>
                <w:lang w:val="en-GB"/>
              </w:rPr>
              <w:t>0.64 (0.49, 0.85)</w:t>
            </w:r>
          </w:p>
        </w:tc>
      </w:tr>
      <w:tr w:rsidR="00ED7D43" w:rsidRPr="00ED7D43" w:rsidTr="00ED7D43">
        <w:trPr>
          <w:trHeight w:val="20"/>
          <w:jc w:val="center"/>
        </w:trPr>
        <w:tc>
          <w:tcPr>
            <w:tcW w:w="3098" w:type="dxa"/>
            <w:shd w:val="clear" w:color="auto" w:fill="auto"/>
          </w:tcPr>
          <w:p w:rsidR="00ED7D43" w:rsidRPr="00ED7D43" w:rsidRDefault="00ED7D43" w:rsidP="00ED7D43">
            <w:pPr>
              <w:rPr>
                <w:bCs/>
                <w:lang w:val="en-GB"/>
              </w:rPr>
            </w:pPr>
            <w:r w:rsidRPr="00ED7D43">
              <w:rPr>
                <w:bCs/>
                <w:lang w:val="en-GB"/>
              </w:rPr>
              <w:t>p-Value</w:t>
            </w:r>
            <w:r w:rsidRPr="00ED7D43">
              <w:rPr>
                <w:bCs/>
                <w:vertAlign w:val="superscript"/>
                <w:lang w:val="en-GB"/>
              </w:rPr>
              <w:t xml:space="preserve"> </w:t>
            </w:r>
            <w:r w:rsidRPr="00ED7D43">
              <w:rPr>
                <w:bCs/>
                <w:lang w:val="en-GB"/>
              </w:rPr>
              <w:t>(stratified log rank)</w:t>
            </w:r>
          </w:p>
        </w:tc>
        <w:tc>
          <w:tcPr>
            <w:tcW w:w="5381" w:type="dxa"/>
            <w:gridSpan w:val="2"/>
          </w:tcPr>
          <w:p w:rsidR="00ED7D43" w:rsidRPr="00ED7D43" w:rsidRDefault="00ED7D43" w:rsidP="00ED7D43">
            <w:pPr>
              <w:rPr>
                <w:bCs/>
                <w:lang w:val="en-GB"/>
              </w:rPr>
            </w:pPr>
            <w:r w:rsidRPr="00ED7D43">
              <w:rPr>
                <w:bCs/>
                <w:lang w:val="en-GB"/>
              </w:rPr>
              <w:t>0.0008</w:t>
            </w:r>
          </w:p>
        </w:tc>
      </w:tr>
      <w:tr w:rsidR="00ED7D43" w:rsidRPr="00ED7D43" w:rsidTr="00ED7D43">
        <w:trPr>
          <w:trHeight w:val="20"/>
          <w:jc w:val="center"/>
        </w:trPr>
        <w:tc>
          <w:tcPr>
            <w:tcW w:w="3098" w:type="dxa"/>
            <w:shd w:val="clear" w:color="auto" w:fill="auto"/>
          </w:tcPr>
          <w:p w:rsidR="00ED7D43" w:rsidRPr="00ED7D43" w:rsidRDefault="00ED7D43" w:rsidP="00ED7D43">
            <w:pPr>
              <w:rPr>
                <w:lang w:val="en-GB"/>
              </w:rPr>
            </w:pPr>
            <w:r w:rsidRPr="00ED7D43">
              <w:rPr>
                <w:b/>
                <w:bCs/>
                <w:lang w:val="en-GB"/>
              </w:rPr>
              <w:t>PFS</w:t>
            </w:r>
          </w:p>
        </w:tc>
        <w:tc>
          <w:tcPr>
            <w:tcW w:w="5381" w:type="dxa"/>
            <w:gridSpan w:val="2"/>
          </w:tcPr>
          <w:p w:rsidR="00ED7D43" w:rsidRPr="00ED7D43" w:rsidRDefault="00ED7D43" w:rsidP="00ED7D43">
            <w:pPr>
              <w:rPr>
                <w:bCs/>
                <w:lang w:val="en-GB"/>
              </w:rPr>
            </w:pPr>
          </w:p>
        </w:tc>
      </w:tr>
      <w:tr w:rsidR="00ED7D43" w:rsidRPr="00ED7D43" w:rsidTr="00ED7D43">
        <w:trPr>
          <w:trHeight w:val="20"/>
          <w:jc w:val="center"/>
        </w:trPr>
        <w:tc>
          <w:tcPr>
            <w:tcW w:w="3098" w:type="dxa"/>
            <w:shd w:val="clear" w:color="auto" w:fill="auto"/>
          </w:tcPr>
          <w:p w:rsidR="00ED7D43" w:rsidRPr="00ED7D43" w:rsidRDefault="00ED7D43" w:rsidP="00ED7D43">
            <w:pPr>
              <w:rPr>
                <w:bCs/>
                <w:lang w:val="en-GB"/>
              </w:rPr>
            </w:pPr>
            <w:r w:rsidRPr="00ED7D43">
              <w:rPr>
                <w:bCs/>
                <w:lang w:val="en-GB"/>
              </w:rPr>
              <w:t>Number of events (%)</w:t>
            </w:r>
          </w:p>
        </w:tc>
        <w:tc>
          <w:tcPr>
            <w:tcW w:w="2700" w:type="dxa"/>
          </w:tcPr>
          <w:p w:rsidR="00ED7D43" w:rsidRPr="00ED7D43" w:rsidRDefault="00ED7D43" w:rsidP="00ED7D43">
            <w:pPr>
              <w:rPr>
                <w:bCs/>
                <w:lang w:val="en-GB"/>
              </w:rPr>
            </w:pPr>
            <w:r w:rsidRPr="00ED7D43">
              <w:rPr>
                <w:bCs/>
                <w:lang w:val="en-GB"/>
              </w:rPr>
              <w:t>152 (55%)</w:t>
            </w:r>
          </w:p>
        </w:tc>
        <w:tc>
          <w:tcPr>
            <w:tcW w:w="2681" w:type="dxa"/>
          </w:tcPr>
          <w:p w:rsidR="00ED7D43" w:rsidRPr="00ED7D43" w:rsidRDefault="00ED7D43" w:rsidP="00ED7D43">
            <w:pPr>
              <w:rPr>
                <w:bCs/>
                <w:lang w:val="en-GB"/>
              </w:rPr>
            </w:pPr>
            <w:r w:rsidRPr="00ED7D43">
              <w:rPr>
                <w:bCs/>
                <w:lang w:val="en-GB"/>
              </w:rPr>
              <w:t>197 (70%)</w:t>
            </w:r>
          </w:p>
        </w:tc>
      </w:tr>
      <w:tr w:rsidR="00ED7D43" w:rsidRPr="00ED7D43" w:rsidTr="00ED7D43">
        <w:trPr>
          <w:trHeight w:val="20"/>
          <w:jc w:val="center"/>
        </w:trPr>
        <w:tc>
          <w:tcPr>
            <w:tcW w:w="3098" w:type="dxa"/>
            <w:shd w:val="clear" w:color="auto" w:fill="auto"/>
          </w:tcPr>
          <w:p w:rsidR="00ED7D43" w:rsidRPr="00ED7D43" w:rsidRDefault="00ED7D43" w:rsidP="00ED7D43">
            <w:pPr>
              <w:rPr>
                <w:bCs/>
                <w:lang w:val="en-GB"/>
              </w:rPr>
            </w:pPr>
            <w:r w:rsidRPr="00ED7D43">
              <w:rPr>
                <w:bCs/>
                <w:lang w:val="en-GB"/>
              </w:rPr>
              <w:t>Median in months (95% CI)</w:t>
            </w:r>
          </w:p>
        </w:tc>
        <w:tc>
          <w:tcPr>
            <w:tcW w:w="2700" w:type="dxa"/>
          </w:tcPr>
          <w:p w:rsidR="00ED7D43" w:rsidRPr="00ED7D43" w:rsidRDefault="00ED7D43" w:rsidP="00ED7D43">
            <w:pPr>
              <w:rPr>
                <w:bCs/>
                <w:lang w:val="en-GB"/>
              </w:rPr>
            </w:pPr>
            <w:r w:rsidRPr="00ED7D43">
              <w:rPr>
                <w:bCs/>
                <w:lang w:val="en-GB"/>
              </w:rPr>
              <w:t>6.4 (6.2, 8.3)</w:t>
            </w:r>
          </w:p>
        </w:tc>
        <w:tc>
          <w:tcPr>
            <w:tcW w:w="2681" w:type="dxa"/>
          </w:tcPr>
          <w:p w:rsidR="00ED7D43" w:rsidRPr="00ED7D43" w:rsidRDefault="00ED7D43" w:rsidP="00ED7D43">
            <w:pPr>
              <w:rPr>
                <w:bCs/>
                <w:lang w:val="en-GB"/>
              </w:rPr>
            </w:pPr>
            <w:r w:rsidRPr="00ED7D43">
              <w:rPr>
                <w:bCs/>
                <w:lang w:val="en-GB"/>
              </w:rPr>
              <w:t>4.8 (4.3, 5.7)</w:t>
            </w:r>
          </w:p>
        </w:tc>
      </w:tr>
      <w:tr w:rsidR="00ED7D43" w:rsidRPr="00ED7D43" w:rsidTr="00ED7D43">
        <w:trPr>
          <w:trHeight w:val="20"/>
          <w:jc w:val="center"/>
        </w:trPr>
        <w:tc>
          <w:tcPr>
            <w:tcW w:w="3098" w:type="dxa"/>
            <w:shd w:val="clear" w:color="auto" w:fill="auto"/>
          </w:tcPr>
          <w:p w:rsidR="00ED7D43" w:rsidRPr="00ED7D43" w:rsidRDefault="00ED7D43" w:rsidP="00ED7D43">
            <w:pPr>
              <w:rPr>
                <w:bCs/>
                <w:lang w:val="en-GB"/>
              </w:rPr>
            </w:pPr>
            <w:r w:rsidRPr="00ED7D43">
              <w:rPr>
                <w:bCs/>
                <w:lang w:val="en-GB"/>
              </w:rPr>
              <w:t xml:space="preserve">Hazard ratio* (95% CI) </w:t>
            </w:r>
          </w:p>
        </w:tc>
        <w:tc>
          <w:tcPr>
            <w:tcW w:w="5381" w:type="dxa"/>
            <w:gridSpan w:val="2"/>
          </w:tcPr>
          <w:p w:rsidR="00ED7D43" w:rsidRPr="00ED7D43" w:rsidRDefault="00ED7D43" w:rsidP="00ED7D43">
            <w:pPr>
              <w:rPr>
                <w:bCs/>
                <w:lang w:val="en-GB"/>
              </w:rPr>
            </w:pPr>
            <w:r w:rsidRPr="00ED7D43">
              <w:rPr>
                <w:bCs/>
                <w:lang w:val="en-GB"/>
              </w:rPr>
              <w:t>0.56 (0.45, 0.70)</w:t>
            </w:r>
          </w:p>
        </w:tc>
      </w:tr>
      <w:tr w:rsidR="00ED7D43" w:rsidRPr="00ED7D43" w:rsidTr="00ED7D43">
        <w:trPr>
          <w:trHeight w:val="20"/>
          <w:jc w:val="center"/>
        </w:trPr>
        <w:tc>
          <w:tcPr>
            <w:tcW w:w="3098" w:type="dxa"/>
            <w:shd w:val="clear" w:color="auto" w:fill="auto"/>
          </w:tcPr>
          <w:p w:rsidR="00ED7D43" w:rsidRPr="00ED7D43" w:rsidRDefault="00ED7D43" w:rsidP="00ED7D43">
            <w:pPr>
              <w:rPr>
                <w:bCs/>
                <w:lang w:val="en-GB"/>
              </w:rPr>
            </w:pPr>
            <w:r w:rsidRPr="00ED7D43">
              <w:rPr>
                <w:bCs/>
                <w:lang w:val="en-GB"/>
              </w:rPr>
              <w:t>p-Value(stratified log rank)</w:t>
            </w:r>
          </w:p>
        </w:tc>
        <w:tc>
          <w:tcPr>
            <w:tcW w:w="5381" w:type="dxa"/>
            <w:gridSpan w:val="2"/>
          </w:tcPr>
          <w:p w:rsidR="00ED7D43" w:rsidRPr="00ED7D43" w:rsidRDefault="00ED7D43" w:rsidP="00ED7D43">
            <w:pPr>
              <w:rPr>
                <w:bCs/>
                <w:lang w:val="en-GB"/>
              </w:rPr>
            </w:pPr>
            <w:r w:rsidRPr="00ED7D43">
              <w:rPr>
                <w:bCs/>
                <w:lang w:val="en-GB"/>
              </w:rPr>
              <w:t>&lt;0.0001</w:t>
            </w:r>
          </w:p>
        </w:tc>
      </w:tr>
      <w:tr w:rsidR="00ED7D43" w:rsidRPr="00ED7D43" w:rsidTr="00ED7D43">
        <w:trPr>
          <w:trHeight w:val="20"/>
          <w:jc w:val="center"/>
        </w:trPr>
        <w:tc>
          <w:tcPr>
            <w:tcW w:w="3098" w:type="dxa"/>
            <w:shd w:val="clear" w:color="auto" w:fill="auto"/>
          </w:tcPr>
          <w:p w:rsidR="00ED7D43" w:rsidRPr="00ED7D43" w:rsidRDefault="00ED7D43" w:rsidP="00ED7D43">
            <w:pPr>
              <w:rPr>
                <w:lang w:val="en-GB"/>
              </w:rPr>
            </w:pPr>
            <w:r w:rsidRPr="00ED7D43">
              <w:rPr>
                <w:b/>
                <w:bCs/>
                <w:lang w:val="en-GB"/>
              </w:rPr>
              <w:t>Overall Response Rate</w:t>
            </w:r>
          </w:p>
        </w:tc>
        <w:tc>
          <w:tcPr>
            <w:tcW w:w="5381" w:type="dxa"/>
            <w:gridSpan w:val="2"/>
          </w:tcPr>
          <w:p w:rsidR="00ED7D43" w:rsidRPr="00ED7D43" w:rsidRDefault="00ED7D43" w:rsidP="00ED7D43">
            <w:pPr>
              <w:rPr>
                <w:bCs/>
                <w:lang w:val="en-GB"/>
              </w:rPr>
            </w:pPr>
          </w:p>
        </w:tc>
      </w:tr>
      <w:tr w:rsidR="00ED7D43" w:rsidRPr="00ED7D43" w:rsidTr="00ED7D43">
        <w:trPr>
          <w:trHeight w:val="20"/>
          <w:jc w:val="center"/>
        </w:trPr>
        <w:tc>
          <w:tcPr>
            <w:tcW w:w="3098" w:type="dxa"/>
            <w:shd w:val="clear" w:color="auto" w:fill="auto"/>
          </w:tcPr>
          <w:p w:rsidR="00ED7D43" w:rsidRPr="00ED7D43" w:rsidRDefault="00ED7D43" w:rsidP="00ED7D43">
            <w:pPr>
              <w:rPr>
                <w:bCs/>
                <w:lang w:val="en-GB"/>
              </w:rPr>
            </w:pPr>
            <w:r w:rsidRPr="00ED7D43">
              <w:rPr>
                <w:bCs/>
                <w:lang w:val="en-GB"/>
              </w:rPr>
              <w:t>Overall response rate</w:t>
            </w:r>
            <w:r w:rsidRPr="00ED7D43">
              <w:rPr>
                <w:bCs/>
                <w:vertAlign w:val="superscript"/>
                <w:lang w:val="en-GB"/>
              </w:rPr>
              <w:t>†</w:t>
            </w:r>
            <w:r w:rsidRPr="00ED7D43">
              <w:rPr>
                <w:bCs/>
                <w:lang w:val="en-GB"/>
              </w:rPr>
              <w:t xml:space="preserve"> </w:t>
            </w:r>
          </w:p>
        </w:tc>
        <w:tc>
          <w:tcPr>
            <w:tcW w:w="2700" w:type="dxa"/>
          </w:tcPr>
          <w:p w:rsidR="00ED7D43" w:rsidRPr="00ED7D43" w:rsidRDefault="00ED7D43" w:rsidP="00ED7D43">
            <w:pPr>
              <w:rPr>
                <w:bCs/>
                <w:lang w:val="en-GB"/>
              </w:rPr>
            </w:pPr>
            <w:r w:rsidRPr="00ED7D43">
              <w:rPr>
                <w:bCs/>
                <w:lang w:val="en-GB"/>
              </w:rPr>
              <w:t>58%</w:t>
            </w:r>
          </w:p>
        </w:tc>
        <w:tc>
          <w:tcPr>
            <w:tcW w:w="2681" w:type="dxa"/>
          </w:tcPr>
          <w:p w:rsidR="00ED7D43" w:rsidRPr="00ED7D43" w:rsidRDefault="00ED7D43" w:rsidP="00ED7D43">
            <w:pPr>
              <w:rPr>
                <w:bCs/>
                <w:lang w:val="en-GB"/>
              </w:rPr>
            </w:pPr>
            <w:r w:rsidRPr="00ED7D43">
              <w:rPr>
                <w:bCs/>
                <w:lang w:val="en-GB"/>
              </w:rPr>
              <w:t>38%</w:t>
            </w:r>
          </w:p>
        </w:tc>
      </w:tr>
      <w:tr w:rsidR="00ED7D43" w:rsidRPr="00ED7D43" w:rsidTr="00ED7D43">
        <w:trPr>
          <w:trHeight w:val="20"/>
          <w:jc w:val="center"/>
        </w:trPr>
        <w:tc>
          <w:tcPr>
            <w:tcW w:w="3098" w:type="dxa"/>
            <w:shd w:val="clear" w:color="auto" w:fill="auto"/>
          </w:tcPr>
          <w:p w:rsidR="00ED7D43" w:rsidRPr="00ED7D43" w:rsidRDefault="00ED7D43" w:rsidP="00ED7D43">
            <w:pPr>
              <w:rPr>
                <w:bCs/>
                <w:lang w:val="en-GB"/>
              </w:rPr>
            </w:pPr>
            <w:r w:rsidRPr="00ED7D43">
              <w:rPr>
                <w:bCs/>
                <w:lang w:val="en-GB"/>
              </w:rPr>
              <w:t>(95% CI)</w:t>
            </w:r>
          </w:p>
        </w:tc>
        <w:tc>
          <w:tcPr>
            <w:tcW w:w="2700" w:type="dxa"/>
          </w:tcPr>
          <w:p w:rsidR="00ED7D43" w:rsidRPr="00ED7D43" w:rsidRDefault="00ED7D43" w:rsidP="00ED7D43">
            <w:pPr>
              <w:rPr>
                <w:bCs/>
                <w:lang w:val="en-GB"/>
              </w:rPr>
            </w:pPr>
            <w:r w:rsidRPr="00ED7D43">
              <w:rPr>
                <w:bCs/>
                <w:lang w:val="en-GB"/>
              </w:rPr>
              <w:t>(52, 64)</w:t>
            </w:r>
          </w:p>
        </w:tc>
        <w:tc>
          <w:tcPr>
            <w:tcW w:w="2681" w:type="dxa"/>
          </w:tcPr>
          <w:p w:rsidR="00ED7D43" w:rsidRPr="00ED7D43" w:rsidRDefault="00ED7D43" w:rsidP="00ED7D43">
            <w:pPr>
              <w:rPr>
                <w:bCs/>
                <w:lang w:val="en-GB"/>
              </w:rPr>
            </w:pPr>
            <w:r w:rsidRPr="00ED7D43">
              <w:rPr>
                <w:bCs/>
                <w:lang w:val="en-GB"/>
              </w:rPr>
              <w:t>(33, 44)</w:t>
            </w:r>
          </w:p>
        </w:tc>
      </w:tr>
      <w:tr w:rsidR="00ED7D43" w:rsidRPr="00ED7D43" w:rsidTr="00ED7D43">
        <w:trPr>
          <w:trHeight w:val="20"/>
          <w:jc w:val="center"/>
        </w:trPr>
        <w:tc>
          <w:tcPr>
            <w:tcW w:w="3098" w:type="dxa"/>
            <w:shd w:val="clear" w:color="auto" w:fill="auto"/>
          </w:tcPr>
          <w:p w:rsidR="00ED7D43" w:rsidRPr="00ED7D43" w:rsidRDefault="00ED7D43" w:rsidP="00ED7D43">
            <w:pPr>
              <w:rPr>
                <w:b/>
                <w:bCs/>
                <w:lang w:val="en-GB"/>
              </w:rPr>
            </w:pPr>
            <w:r w:rsidRPr="00ED7D43">
              <w:rPr>
                <w:b/>
                <w:bCs/>
                <w:lang w:val="en-GB"/>
              </w:rPr>
              <w:t>Duration of Response</w:t>
            </w:r>
          </w:p>
        </w:tc>
        <w:tc>
          <w:tcPr>
            <w:tcW w:w="5381" w:type="dxa"/>
            <w:gridSpan w:val="2"/>
          </w:tcPr>
          <w:p w:rsidR="00ED7D43" w:rsidRPr="00ED7D43" w:rsidRDefault="00ED7D43" w:rsidP="00ED7D43"/>
        </w:tc>
      </w:tr>
      <w:tr w:rsidR="00ED7D43" w:rsidRPr="00ED7D43" w:rsidTr="00ED7D43">
        <w:trPr>
          <w:trHeight w:val="20"/>
          <w:jc w:val="center"/>
        </w:trPr>
        <w:tc>
          <w:tcPr>
            <w:tcW w:w="3098" w:type="dxa"/>
            <w:shd w:val="clear" w:color="auto" w:fill="auto"/>
          </w:tcPr>
          <w:p w:rsidR="00ED7D43" w:rsidRPr="00ED7D43" w:rsidRDefault="00ED7D43" w:rsidP="00ED7D43">
            <w:pPr>
              <w:rPr>
                <w:bCs/>
              </w:rPr>
            </w:pPr>
            <w:r w:rsidRPr="00ED7D43">
              <w:rPr>
                <w:lang w:val="en-GB"/>
              </w:rPr>
              <w:t>Median duration of response in months (range)</w:t>
            </w:r>
          </w:p>
        </w:tc>
        <w:tc>
          <w:tcPr>
            <w:tcW w:w="2700" w:type="dxa"/>
          </w:tcPr>
          <w:p w:rsidR="00ED7D43" w:rsidRPr="00ED7D43" w:rsidRDefault="00ED7D43" w:rsidP="00ED7D43">
            <w:pPr>
              <w:rPr>
                <w:bCs/>
                <w:lang w:val="en-GB"/>
              </w:rPr>
            </w:pPr>
            <w:r w:rsidRPr="00ED7D43">
              <w:rPr>
                <w:bCs/>
                <w:lang w:val="en-GB"/>
              </w:rPr>
              <w:t>7.7 (1.1+, 14.7+)</w:t>
            </w:r>
          </w:p>
        </w:tc>
        <w:tc>
          <w:tcPr>
            <w:tcW w:w="2681" w:type="dxa"/>
          </w:tcPr>
          <w:p w:rsidR="00ED7D43" w:rsidRPr="00ED7D43" w:rsidRDefault="00ED7D43" w:rsidP="00ED7D43">
            <w:pPr>
              <w:rPr>
                <w:bCs/>
                <w:lang w:val="en-GB"/>
              </w:rPr>
            </w:pPr>
            <w:r w:rsidRPr="00ED7D43">
              <w:rPr>
                <w:bCs/>
                <w:lang w:val="en-GB"/>
              </w:rPr>
              <w:t>4.8 (1.3+, 15.8+)</w:t>
            </w:r>
          </w:p>
        </w:tc>
      </w:tr>
      <w:tr w:rsidR="00ED7D43" w:rsidRPr="00ED7D43" w:rsidTr="00ED7D43">
        <w:trPr>
          <w:trHeight w:val="20"/>
          <w:jc w:val="center"/>
        </w:trPr>
        <w:tc>
          <w:tcPr>
            <w:tcW w:w="3098" w:type="dxa"/>
            <w:shd w:val="clear" w:color="auto" w:fill="auto"/>
          </w:tcPr>
          <w:p w:rsidR="00ED7D43" w:rsidRPr="00ED7D43" w:rsidRDefault="00ED7D43" w:rsidP="00ED7D43">
            <w:pPr>
              <w:rPr>
                <w:bCs/>
                <w:lang w:val="en-GB"/>
              </w:rPr>
            </w:pPr>
            <w:r w:rsidRPr="00ED7D43">
              <w:rPr>
                <w:bCs/>
              </w:rPr>
              <w:t>% with duration ≥ 6 months</w:t>
            </w:r>
            <w:r w:rsidRPr="00ED7D43">
              <w:rPr>
                <w:bCs/>
                <w:vertAlign w:val="superscript"/>
                <w:lang w:val="en-GB"/>
              </w:rPr>
              <w:t>‡</w:t>
            </w:r>
          </w:p>
        </w:tc>
        <w:tc>
          <w:tcPr>
            <w:tcW w:w="2700" w:type="dxa"/>
          </w:tcPr>
          <w:p w:rsidR="00ED7D43" w:rsidRPr="00ED7D43" w:rsidRDefault="00ED7D43" w:rsidP="00ED7D43">
            <w:pPr>
              <w:rPr>
                <w:bCs/>
                <w:lang w:val="en-GB"/>
              </w:rPr>
            </w:pPr>
            <w:r w:rsidRPr="00ED7D43">
              <w:rPr>
                <w:bCs/>
                <w:lang w:val="en-GB"/>
              </w:rPr>
              <w:t>62%</w:t>
            </w:r>
          </w:p>
        </w:tc>
        <w:tc>
          <w:tcPr>
            <w:tcW w:w="2681" w:type="dxa"/>
          </w:tcPr>
          <w:p w:rsidR="00ED7D43" w:rsidRPr="00ED7D43" w:rsidRDefault="00ED7D43" w:rsidP="00ED7D43">
            <w:pPr>
              <w:rPr>
                <w:bCs/>
                <w:lang w:val="en-GB"/>
              </w:rPr>
            </w:pPr>
            <w:r w:rsidRPr="00ED7D43">
              <w:rPr>
                <w:bCs/>
                <w:lang w:val="en-GB"/>
              </w:rPr>
              <w:t>40%</w:t>
            </w:r>
          </w:p>
        </w:tc>
      </w:tr>
      <w:tr w:rsidR="00ED7D43" w:rsidRPr="00ED7D43" w:rsidTr="00ED7D43">
        <w:trPr>
          <w:jc w:val="center"/>
        </w:trPr>
        <w:tc>
          <w:tcPr>
            <w:tcW w:w="8479" w:type="dxa"/>
            <w:gridSpan w:val="3"/>
            <w:tcBorders>
              <w:top w:val="single" w:sz="4" w:space="0" w:color="auto"/>
              <w:left w:val="nil"/>
              <w:bottom w:val="nil"/>
              <w:right w:val="nil"/>
            </w:tcBorders>
            <w:shd w:val="clear" w:color="auto" w:fill="auto"/>
          </w:tcPr>
          <w:p w:rsidR="00ED7D43" w:rsidRPr="00ED7D43" w:rsidRDefault="00ED7D43" w:rsidP="00D920A1">
            <w:pPr>
              <w:pStyle w:val="Tabledescription"/>
              <w:rPr>
                <w:lang w:val="en-GB"/>
              </w:rPr>
            </w:pPr>
            <w:r w:rsidRPr="00ED7D43">
              <w:rPr>
                <w:lang w:val="en-GB"/>
              </w:rPr>
              <w:t>*</w:t>
            </w:r>
            <w:r w:rsidRPr="00ED7D43">
              <w:rPr>
                <w:vertAlign w:val="superscript"/>
                <w:lang w:val="en-GB"/>
              </w:rPr>
              <w:tab/>
            </w:r>
            <w:r w:rsidRPr="00ED7D43">
              <w:rPr>
                <w:lang w:val="en-GB"/>
              </w:rPr>
              <w:t>Based on the stratified Cox proportional hazard model</w:t>
            </w:r>
            <w:r>
              <w:rPr>
                <w:lang w:val="en-GB"/>
              </w:rPr>
              <w:t xml:space="preserve"> </w:t>
            </w:r>
            <w:r>
              <w:rPr>
                <w:lang w:val="en-GB"/>
              </w:rPr>
              <w:br/>
            </w:r>
            <w:r w:rsidRPr="00ED7D43">
              <w:rPr>
                <w:vertAlign w:val="superscript"/>
                <w:lang w:val="en-GB"/>
              </w:rPr>
              <w:t>†</w:t>
            </w:r>
            <w:r w:rsidRPr="00ED7D43">
              <w:rPr>
                <w:vertAlign w:val="superscript"/>
                <w:lang w:val="en-GB"/>
              </w:rPr>
              <w:tab/>
            </w:r>
            <w:r w:rsidRPr="00ED7D43">
              <w:rPr>
                <w:lang w:val="en-GB"/>
              </w:rPr>
              <w:t>At the initial interim analysis (n=101 for KEYTRUDA combination therapy, n=102 for placebo), a statistically significant difference was observed; ORR was 58% [95% CI (48, 64)] and 35% [95% CI (26, 45)] for placebo, p=0.0004</w:t>
            </w:r>
            <w:r w:rsidR="00D920A1">
              <w:rPr>
                <w:lang w:val="en-GB"/>
              </w:rPr>
              <w:br/>
            </w:r>
            <w:r w:rsidRPr="00ED7D43">
              <w:rPr>
                <w:vertAlign w:val="superscript"/>
                <w:lang w:val="en-GB"/>
              </w:rPr>
              <w:t>‡</w:t>
            </w:r>
            <w:r w:rsidRPr="00ED7D43">
              <w:rPr>
                <w:lang w:val="en-GB"/>
              </w:rPr>
              <w:tab/>
              <w:t>Based on Kaplan-Meier estimation</w:t>
            </w:r>
            <w:r w:rsidR="00D920A1">
              <w:rPr>
                <w:lang w:val="en-GB"/>
              </w:rPr>
              <w:br/>
            </w:r>
            <w:r w:rsidRPr="00ED7D43">
              <w:rPr>
                <w:lang w:val="en-GB"/>
              </w:rPr>
              <w:t>NA = not available</w:t>
            </w:r>
          </w:p>
        </w:tc>
      </w:tr>
    </w:tbl>
    <w:p w:rsidR="00ED7D43" w:rsidRPr="00ED7D43" w:rsidRDefault="00ED7D43" w:rsidP="00D920A1">
      <w:pPr>
        <w:pStyle w:val="Figuretitle"/>
        <w:rPr>
          <w:bCs/>
        </w:rPr>
      </w:pPr>
      <w:r w:rsidRPr="00ED7D43">
        <w:lastRenderedPageBreak/>
        <w:t xml:space="preserve">Figure 7: Kaplan-Meier Curve for Overall Survival in </w:t>
      </w:r>
      <w:r w:rsidRPr="00ED7D43">
        <w:rPr>
          <w:bCs/>
        </w:rPr>
        <w:t>KEYNOTE</w:t>
      </w:r>
      <w:r w:rsidRPr="00ED7D43">
        <w:rPr>
          <w:bCs/>
        </w:rPr>
        <w:noBreakHyphen/>
        <w:t>407</w:t>
      </w:r>
    </w:p>
    <w:p w:rsidR="00ED7D43" w:rsidRPr="00ED7D43" w:rsidRDefault="00ED7D43" w:rsidP="00ED7D43">
      <w:r w:rsidRPr="00ED7D43">
        <w:drawing>
          <wp:inline distT="0" distB="0" distL="0" distR="0" wp14:anchorId="0BB887E9" wp14:editId="4142BC01">
            <wp:extent cx="5229860" cy="43586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l="18591" t="1328" r="1537" b="12390"/>
                    <a:stretch>
                      <a:fillRect/>
                    </a:stretch>
                  </pic:blipFill>
                  <pic:spPr bwMode="auto">
                    <a:xfrm>
                      <a:off x="0" y="0"/>
                      <a:ext cx="5229860" cy="4358640"/>
                    </a:xfrm>
                    <a:prstGeom prst="rect">
                      <a:avLst/>
                    </a:prstGeom>
                    <a:noFill/>
                    <a:ln>
                      <a:noFill/>
                    </a:ln>
                  </pic:spPr>
                </pic:pic>
              </a:graphicData>
            </a:graphic>
          </wp:inline>
        </w:drawing>
      </w:r>
    </w:p>
    <w:p w:rsidR="00ED7D43" w:rsidRPr="00ED7D43" w:rsidRDefault="00ED7D43" w:rsidP="00D920A1">
      <w:pPr>
        <w:pStyle w:val="Figuretitle"/>
        <w:rPr>
          <w:bCs/>
        </w:rPr>
      </w:pPr>
      <w:r w:rsidRPr="00ED7D43">
        <w:lastRenderedPageBreak/>
        <w:t xml:space="preserve">Figure 8: Kaplan-Meier Curve for Progression-Free Survival in </w:t>
      </w:r>
      <w:r w:rsidRPr="00ED7D43">
        <w:rPr>
          <w:bCs/>
        </w:rPr>
        <w:t>KEYNOTE</w:t>
      </w:r>
      <w:r w:rsidRPr="00ED7D43">
        <w:rPr>
          <w:bCs/>
        </w:rPr>
        <w:noBreakHyphen/>
        <w:t>407</w:t>
      </w:r>
    </w:p>
    <w:p w:rsidR="00ED7D43" w:rsidRPr="00ED7D43" w:rsidRDefault="00ED7D43" w:rsidP="00ED7D43">
      <w:r w:rsidRPr="00ED7D43">
        <w:drawing>
          <wp:inline distT="0" distB="0" distL="0" distR="0" wp14:anchorId="38333B58" wp14:editId="207875AA">
            <wp:extent cx="5375275" cy="4572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l="19743" t="1492" r="1923" b="12057"/>
                    <a:stretch>
                      <a:fillRect/>
                    </a:stretch>
                  </pic:blipFill>
                  <pic:spPr bwMode="auto">
                    <a:xfrm>
                      <a:off x="0" y="0"/>
                      <a:ext cx="5375275" cy="4572000"/>
                    </a:xfrm>
                    <a:prstGeom prst="rect">
                      <a:avLst/>
                    </a:prstGeom>
                    <a:noFill/>
                    <a:ln>
                      <a:noFill/>
                    </a:ln>
                  </pic:spPr>
                </pic:pic>
              </a:graphicData>
            </a:graphic>
          </wp:inline>
        </w:drawing>
      </w:r>
    </w:p>
    <w:p w:rsidR="00ED7D43" w:rsidRPr="00ED7D43" w:rsidRDefault="00ED7D43" w:rsidP="00ED7D43">
      <w:pPr>
        <w:rPr>
          <w:i/>
          <w:lang w:val="en-GB"/>
        </w:rPr>
      </w:pPr>
      <w:r w:rsidRPr="00ED7D43">
        <w:rPr>
          <w:i/>
          <w:lang w:val="en-GB"/>
        </w:rPr>
        <w:t xml:space="preserve">KEYNOTE-042: Controlled trial of NSCLC patients </w:t>
      </w:r>
      <w:r w:rsidRPr="00ED7D43">
        <w:rPr>
          <w:i/>
        </w:rPr>
        <w:t>naïve to treatment</w:t>
      </w:r>
    </w:p>
    <w:p w:rsidR="00ED7D43" w:rsidRPr="00ED7D43" w:rsidRDefault="00ED7D43" w:rsidP="00ED7D43">
      <w:r w:rsidRPr="00ED7D43">
        <w:t xml:space="preserve">The efficacy of KEYTRUDA was investigated in KEYNOTE-042, a </w:t>
      </w:r>
      <w:proofErr w:type="spellStart"/>
      <w:r w:rsidRPr="00ED7D43">
        <w:t>multicenter</w:t>
      </w:r>
      <w:proofErr w:type="spellEnd"/>
      <w:r w:rsidRPr="00ED7D43">
        <w:t xml:space="preserve">, randomized, controlled trial conducted in 1274 patients with stage III NSCLC who were not candidates for surgical resection or definitive </w:t>
      </w:r>
      <w:proofErr w:type="spellStart"/>
      <w:r w:rsidRPr="00ED7D43">
        <w:t>chemoradiation</w:t>
      </w:r>
      <w:proofErr w:type="spellEnd"/>
      <w:r w:rsidRPr="00ED7D43">
        <w:t xml:space="preserve">, or patients with metastatic NSCLC. Only patients whose tumours expressed PD-L1 (TPS ≥ 1%) by an immunohistochemistry assay using the PD-L1 IHC 22C3 </w:t>
      </w:r>
      <w:proofErr w:type="spellStart"/>
      <w:r w:rsidRPr="00ED7D43">
        <w:t>pharmDx</w:t>
      </w:r>
      <w:proofErr w:type="spellEnd"/>
      <w:r w:rsidRPr="00ED7D43">
        <w:t xml:space="preserve"> kit and who had not received prior systemic treatment for metastatic NSCLC were eligible. Patients with EGFR or ALK genomic tumour aberrations; autoimmune disease that required systemic therapy within 2 years of treatment; a medical condition that required immunosuppression; or who had received more than 30 </w:t>
      </w:r>
      <w:proofErr w:type="spellStart"/>
      <w:r w:rsidRPr="00ED7D43">
        <w:t>Gy</w:t>
      </w:r>
      <w:proofErr w:type="spellEnd"/>
      <w:r w:rsidRPr="00ED7D43">
        <w:t xml:space="preserve"> of thoracic radiation within the prior 26 weeks were ineligible. Patients were randomized (1:1) to receive KEYTRUDA 200 mg every 3 weeks (n=637) or investigator’s choice platinum-containing chemotherapy (n=637; including </w:t>
      </w:r>
      <w:proofErr w:type="spellStart"/>
      <w:r w:rsidRPr="00ED7D43">
        <w:t>pemetrexed+carboplatin</w:t>
      </w:r>
      <w:proofErr w:type="spellEnd"/>
      <w:r w:rsidRPr="00ED7D43">
        <w:t xml:space="preserve"> or </w:t>
      </w:r>
      <w:proofErr w:type="spellStart"/>
      <w:r w:rsidRPr="00ED7D43">
        <w:t>paclitaxel+carboplatin</w:t>
      </w:r>
      <w:proofErr w:type="spellEnd"/>
      <w:r w:rsidRPr="00ED7D43">
        <w:t xml:space="preserve">. Patients with non-squamous NSCLC could receive </w:t>
      </w:r>
      <w:proofErr w:type="spellStart"/>
      <w:r w:rsidRPr="00ED7D43">
        <w:t>pemetrexed</w:t>
      </w:r>
      <w:proofErr w:type="spellEnd"/>
      <w:r w:rsidRPr="00ED7D43">
        <w:t xml:space="preserve"> maintenance). Patients were treated with KEYTRUDA until unacceptable toxicity or disease progression. Treatment could continue beyond disease progression if the patient was clinically stable and was considered to be deriving clinical benefit by the investigator. Patients without disease progression could be treated for up to 24 months. Treatment with KEYTRUDA could be reinitiated for subsequent disease progression </w:t>
      </w:r>
      <w:r w:rsidRPr="00ED7D43">
        <w:lastRenderedPageBreak/>
        <w:t>and administered for up to 1 additional year. Assessment of tumour status was performed every 9 weeks.</w:t>
      </w:r>
    </w:p>
    <w:p w:rsidR="00ED7D43" w:rsidRPr="00ED7D43" w:rsidRDefault="00ED7D43" w:rsidP="00ED7D43">
      <w:r w:rsidRPr="00ED7D43">
        <w:rPr>
          <w:lang w:val="en-GB"/>
        </w:rPr>
        <w:t>Among the 1274 patients in KEYNOTE-042, baseline</w:t>
      </w:r>
      <w:r w:rsidRPr="00ED7D43">
        <w:t xml:space="preserve"> characteristics were: median age 63 years (45% age 65 or older); 71% male; 64% White and 30% Asian: 19% Hispanic or Latino; and 31% and 69% with an ECOG performance status 0 and 1, respectively. Disease characteristics were squamous (39%) and non-squamous (61%); M0 (13%), M1 (87%); and treated brain metastases (6%). Forty-seven percent of patients had TPS ≥50%, and 53% had TPS 1 to 49%.</w:t>
      </w:r>
    </w:p>
    <w:p w:rsidR="00ED7D43" w:rsidRPr="00ED7D43" w:rsidRDefault="00ED7D43" w:rsidP="00ED7D43">
      <w:pPr>
        <w:rPr>
          <w:b/>
          <w:lang w:val="en-GB"/>
        </w:rPr>
      </w:pPr>
      <w:r w:rsidRPr="00ED7D43">
        <w:rPr>
          <w:lang w:val="en-GB"/>
        </w:rPr>
        <w:t>The primary efficacy outcome measure was OS. Secondary efficacy outcome measures were PFS and ORR as assessed by blinded independent central review (BICR)</w:t>
      </w:r>
      <w:r w:rsidRPr="00ED7D43">
        <w:rPr>
          <w:bCs/>
          <w:lang w:val="en-GB"/>
        </w:rPr>
        <w:t xml:space="preserve"> using RECIST 1.1</w:t>
      </w:r>
      <w:r w:rsidRPr="00ED7D43">
        <w:rPr>
          <w:lang w:val="en-GB"/>
        </w:rPr>
        <w:t>. Table 20 summarizes key efficacy measures for the subgroup of patients with TPS ≥ 50% and the entire ITT population (TPS ≥ 1%).</w:t>
      </w:r>
    </w:p>
    <w:p w:rsidR="00ED7D43" w:rsidRPr="00ED7D43" w:rsidRDefault="00ED7D43" w:rsidP="00D920A1">
      <w:pPr>
        <w:pStyle w:val="Tabletitle"/>
        <w:rPr>
          <w:lang w:val="en-GB"/>
        </w:rPr>
      </w:pPr>
      <w:r w:rsidRPr="00ED7D43">
        <w:rPr>
          <w:lang w:val="en-GB"/>
        </w:rPr>
        <w:t xml:space="preserve">Table 20: </w:t>
      </w:r>
      <w:r w:rsidRPr="00ED7D43">
        <w:t xml:space="preserve">Efficacy results of All Randomised Patients (PD-L1 TPS </w:t>
      </w:r>
      <w:r w:rsidRPr="00ED7D43">
        <w:sym w:font="Symbol" w:char="F0B3"/>
      </w:r>
      <w:r w:rsidRPr="00ED7D43">
        <w:t xml:space="preserve">1% and TPS </w:t>
      </w:r>
      <w:r w:rsidRPr="00ED7D43">
        <w:sym w:font="Symbol" w:char="F0B3"/>
      </w:r>
      <w:r w:rsidRPr="00ED7D43">
        <w:t>50%) in KEYNOTE-042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5"/>
        <w:gridCol w:w="1546"/>
        <w:gridCol w:w="1715"/>
        <w:gridCol w:w="1546"/>
        <w:gridCol w:w="1708"/>
      </w:tblGrid>
      <w:tr w:rsidR="00ED7D43" w:rsidRPr="00ED7D43" w:rsidTr="00ED7D43">
        <w:trPr>
          <w:trHeight w:val="20"/>
        </w:trPr>
        <w:tc>
          <w:tcPr>
            <w:tcW w:w="1417" w:type="pct"/>
            <w:shd w:val="clear" w:color="auto" w:fill="auto"/>
          </w:tcPr>
          <w:p w:rsidR="00ED7D43" w:rsidRPr="00ED7D43" w:rsidRDefault="00ED7D43" w:rsidP="00ED7D43">
            <w:pPr>
              <w:rPr>
                <w:b/>
                <w:bCs/>
                <w:lang w:val="en-GB"/>
              </w:rPr>
            </w:pPr>
          </w:p>
        </w:tc>
        <w:tc>
          <w:tcPr>
            <w:tcW w:w="1825" w:type="pct"/>
            <w:gridSpan w:val="2"/>
          </w:tcPr>
          <w:p w:rsidR="00ED7D43" w:rsidRPr="00ED7D43" w:rsidRDefault="00ED7D43" w:rsidP="00ED7D43">
            <w:pPr>
              <w:rPr>
                <w:b/>
                <w:bCs/>
                <w:lang w:val="en-GB"/>
              </w:rPr>
            </w:pPr>
            <w:r w:rsidRPr="00ED7D43">
              <w:rPr>
                <w:b/>
                <w:lang w:val="en-GB"/>
              </w:rPr>
              <w:t>TPS ≥1%</w:t>
            </w:r>
          </w:p>
        </w:tc>
        <w:tc>
          <w:tcPr>
            <w:tcW w:w="1758" w:type="pct"/>
            <w:gridSpan w:val="2"/>
          </w:tcPr>
          <w:p w:rsidR="00ED7D43" w:rsidRPr="00ED7D43" w:rsidRDefault="00ED7D43" w:rsidP="00ED7D43">
            <w:pPr>
              <w:rPr>
                <w:b/>
                <w:bCs/>
                <w:lang w:val="en-GB"/>
              </w:rPr>
            </w:pPr>
            <w:r w:rsidRPr="00ED7D43">
              <w:rPr>
                <w:b/>
                <w:lang w:val="en-GB"/>
              </w:rPr>
              <w:t>TPS ≥50%</w:t>
            </w:r>
          </w:p>
        </w:tc>
      </w:tr>
      <w:tr w:rsidR="00ED7D43" w:rsidRPr="00ED7D43" w:rsidTr="00ED7D43">
        <w:trPr>
          <w:trHeight w:val="20"/>
        </w:trPr>
        <w:tc>
          <w:tcPr>
            <w:tcW w:w="1417" w:type="pct"/>
            <w:shd w:val="clear" w:color="auto" w:fill="auto"/>
          </w:tcPr>
          <w:p w:rsidR="00ED7D43" w:rsidRPr="00ED7D43" w:rsidRDefault="00ED7D43" w:rsidP="00ED7D43">
            <w:pPr>
              <w:rPr>
                <w:b/>
                <w:lang w:val="en-GB"/>
              </w:rPr>
            </w:pPr>
            <w:r w:rsidRPr="00ED7D43">
              <w:rPr>
                <w:b/>
                <w:bCs/>
                <w:lang w:val="en-GB"/>
              </w:rPr>
              <w:t>Endpoint</w:t>
            </w:r>
          </w:p>
        </w:tc>
        <w:tc>
          <w:tcPr>
            <w:tcW w:w="866" w:type="pct"/>
          </w:tcPr>
          <w:p w:rsidR="00ED7D43" w:rsidRPr="00ED7D43" w:rsidRDefault="00ED7D43" w:rsidP="00ED7D43">
            <w:pPr>
              <w:rPr>
                <w:b/>
                <w:lang w:val="en-GB"/>
              </w:rPr>
            </w:pPr>
            <w:r w:rsidRPr="00ED7D43">
              <w:rPr>
                <w:b/>
                <w:lang w:val="en-GB"/>
              </w:rPr>
              <w:t>KEYTRUDA</w:t>
            </w:r>
          </w:p>
          <w:p w:rsidR="00ED7D43" w:rsidRPr="00ED7D43" w:rsidRDefault="00ED7D43" w:rsidP="00ED7D43">
            <w:pPr>
              <w:rPr>
                <w:b/>
                <w:lang w:val="en-GB"/>
              </w:rPr>
            </w:pPr>
            <w:r w:rsidRPr="00ED7D43">
              <w:rPr>
                <w:b/>
                <w:lang w:val="en-GB"/>
              </w:rPr>
              <w:t>200 mg every 3 weeks</w:t>
            </w:r>
          </w:p>
          <w:p w:rsidR="00ED7D43" w:rsidRPr="00ED7D43" w:rsidRDefault="00ED7D43" w:rsidP="00ED7D43">
            <w:pPr>
              <w:rPr>
                <w:b/>
                <w:lang w:val="en-GB"/>
              </w:rPr>
            </w:pPr>
            <w:r w:rsidRPr="00ED7D43">
              <w:rPr>
                <w:b/>
                <w:lang w:val="en-GB"/>
              </w:rPr>
              <w:t>(n=637)</w:t>
            </w:r>
          </w:p>
        </w:tc>
        <w:tc>
          <w:tcPr>
            <w:tcW w:w="958" w:type="pct"/>
          </w:tcPr>
          <w:p w:rsidR="00ED7D43" w:rsidRPr="00ED7D43" w:rsidRDefault="00ED7D43" w:rsidP="00ED7D43">
            <w:pPr>
              <w:rPr>
                <w:b/>
                <w:bCs/>
                <w:lang w:val="en-GB"/>
              </w:rPr>
            </w:pPr>
            <w:r w:rsidRPr="00ED7D43">
              <w:rPr>
                <w:b/>
                <w:bCs/>
                <w:lang w:val="en-GB"/>
              </w:rPr>
              <w:t>Chemotherapy</w:t>
            </w:r>
          </w:p>
          <w:p w:rsidR="00ED7D43" w:rsidRPr="00ED7D43" w:rsidRDefault="00ED7D43" w:rsidP="00ED7D43">
            <w:pPr>
              <w:rPr>
                <w:b/>
                <w:bCs/>
                <w:lang w:val="en-GB"/>
              </w:rPr>
            </w:pPr>
          </w:p>
          <w:p w:rsidR="00ED7D43" w:rsidRPr="00ED7D43" w:rsidRDefault="00ED7D43" w:rsidP="00ED7D43">
            <w:pPr>
              <w:rPr>
                <w:b/>
                <w:bCs/>
                <w:lang w:val="en-GB"/>
              </w:rPr>
            </w:pPr>
          </w:p>
          <w:p w:rsidR="00ED7D43" w:rsidRPr="00ED7D43" w:rsidRDefault="00ED7D43" w:rsidP="00ED7D43">
            <w:pPr>
              <w:rPr>
                <w:b/>
                <w:bCs/>
                <w:lang w:val="en-GB"/>
              </w:rPr>
            </w:pPr>
          </w:p>
          <w:p w:rsidR="00ED7D43" w:rsidRPr="00ED7D43" w:rsidRDefault="00ED7D43" w:rsidP="00ED7D43">
            <w:pPr>
              <w:rPr>
                <w:b/>
                <w:lang w:val="en-GB"/>
              </w:rPr>
            </w:pPr>
            <w:r w:rsidRPr="00ED7D43">
              <w:rPr>
                <w:b/>
                <w:lang w:val="en-GB"/>
              </w:rPr>
              <w:t>(n=637)</w:t>
            </w:r>
          </w:p>
        </w:tc>
        <w:tc>
          <w:tcPr>
            <w:tcW w:w="866" w:type="pct"/>
          </w:tcPr>
          <w:p w:rsidR="00ED7D43" w:rsidRPr="00ED7D43" w:rsidRDefault="00ED7D43" w:rsidP="00ED7D43">
            <w:pPr>
              <w:rPr>
                <w:b/>
                <w:lang w:val="en-GB"/>
              </w:rPr>
            </w:pPr>
            <w:r w:rsidRPr="00ED7D43">
              <w:rPr>
                <w:b/>
                <w:lang w:val="en-GB"/>
              </w:rPr>
              <w:t>KEYTRUDA</w:t>
            </w:r>
          </w:p>
          <w:p w:rsidR="00ED7D43" w:rsidRPr="00ED7D43" w:rsidRDefault="00ED7D43" w:rsidP="00ED7D43">
            <w:pPr>
              <w:rPr>
                <w:b/>
                <w:lang w:val="en-GB"/>
              </w:rPr>
            </w:pPr>
            <w:r w:rsidRPr="00ED7D43">
              <w:rPr>
                <w:b/>
                <w:lang w:val="en-GB"/>
              </w:rPr>
              <w:t>200 mg every 3 weeks</w:t>
            </w:r>
          </w:p>
          <w:p w:rsidR="00ED7D43" w:rsidRPr="00ED7D43" w:rsidRDefault="00ED7D43" w:rsidP="00ED7D43">
            <w:pPr>
              <w:rPr>
                <w:b/>
                <w:bCs/>
                <w:lang w:val="en-GB"/>
              </w:rPr>
            </w:pPr>
            <w:r w:rsidRPr="00ED7D43">
              <w:rPr>
                <w:b/>
                <w:lang w:val="en-GB"/>
              </w:rPr>
              <w:t>(n=299)</w:t>
            </w:r>
          </w:p>
        </w:tc>
        <w:tc>
          <w:tcPr>
            <w:tcW w:w="892" w:type="pct"/>
          </w:tcPr>
          <w:p w:rsidR="00ED7D43" w:rsidRPr="00ED7D43" w:rsidRDefault="00ED7D43" w:rsidP="00ED7D43">
            <w:pPr>
              <w:rPr>
                <w:b/>
                <w:bCs/>
                <w:lang w:val="en-GB"/>
              </w:rPr>
            </w:pPr>
            <w:r w:rsidRPr="00ED7D43">
              <w:rPr>
                <w:b/>
                <w:bCs/>
                <w:lang w:val="en-GB"/>
              </w:rPr>
              <w:t>Chemotherapy</w:t>
            </w:r>
          </w:p>
          <w:p w:rsidR="00ED7D43" w:rsidRPr="00ED7D43" w:rsidRDefault="00ED7D43" w:rsidP="00ED7D43">
            <w:pPr>
              <w:rPr>
                <w:b/>
                <w:bCs/>
                <w:lang w:val="en-GB"/>
              </w:rPr>
            </w:pPr>
          </w:p>
          <w:p w:rsidR="00ED7D43" w:rsidRPr="00ED7D43" w:rsidRDefault="00ED7D43" w:rsidP="00ED7D43">
            <w:pPr>
              <w:rPr>
                <w:b/>
                <w:bCs/>
                <w:lang w:val="en-GB"/>
              </w:rPr>
            </w:pPr>
          </w:p>
          <w:p w:rsidR="00ED7D43" w:rsidRPr="00ED7D43" w:rsidRDefault="00ED7D43" w:rsidP="00ED7D43">
            <w:pPr>
              <w:rPr>
                <w:b/>
                <w:bCs/>
                <w:lang w:val="en-GB"/>
              </w:rPr>
            </w:pPr>
          </w:p>
          <w:p w:rsidR="00ED7D43" w:rsidRPr="00ED7D43" w:rsidRDefault="00ED7D43" w:rsidP="00ED7D43">
            <w:pPr>
              <w:rPr>
                <w:b/>
                <w:bCs/>
                <w:lang w:val="en-GB"/>
              </w:rPr>
            </w:pPr>
            <w:r w:rsidRPr="00ED7D43">
              <w:rPr>
                <w:b/>
                <w:lang w:val="en-GB"/>
              </w:rPr>
              <w:t>(n=300)</w:t>
            </w:r>
          </w:p>
        </w:tc>
      </w:tr>
      <w:tr w:rsidR="00ED7D43" w:rsidRPr="00ED7D43" w:rsidTr="00ED7D43">
        <w:trPr>
          <w:trHeight w:val="20"/>
        </w:trPr>
        <w:tc>
          <w:tcPr>
            <w:tcW w:w="3242" w:type="pct"/>
            <w:gridSpan w:val="3"/>
            <w:shd w:val="clear" w:color="auto" w:fill="auto"/>
          </w:tcPr>
          <w:p w:rsidR="00ED7D43" w:rsidRPr="00ED7D43" w:rsidRDefault="00ED7D43" w:rsidP="00ED7D43">
            <w:pPr>
              <w:rPr>
                <w:bCs/>
                <w:lang w:val="en-GB"/>
              </w:rPr>
            </w:pPr>
            <w:r w:rsidRPr="00ED7D43">
              <w:rPr>
                <w:b/>
                <w:bCs/>
                <w:lang w:val="en-GB"/>
              </w:rPr>
              <w:t>OS</w:t>
            </w:r>
          </w:p>
        </w:tc>
        <w:tc>
          <w:tcPr>
            <w:tcW w:w="866" w:type="pct"/>
          </w:tcPr>
          <w:p w:rsidR="00ED7D43" w:rsidRPr="00ED7D43" w:rsidRDefault="00ED7D43" w:rsidP="00ED7D43">
            <w:pPr>
              <w:rPr>
                <w:b/>
                <w:bCs/>
                <w:lang w:val="en-GB"/>
              </w:rPr>
            </w:pPr>
          </w:p>
        </w:tc>
        <w:tc>
          <w:tcPr>
            <w:tcW w:w="892" w:type="pct"/>
          </w:tcPr>
          <w:p w:rsidR="00ED7D43" w:rsidRPr="00ED7D43" w:rsidRDefault="00ED7D43" w:rsidP="00ED7D43">
            <w:pPr>
              <w:rPr>
                <w:b/>
                <w:bCs/>
                <w:lang w:val="en-GB"/>
              </w:rPr>
            </w:pPr>
          </w:p>
        </w:tc>
      </w:tr>
      <w:tr w:rsidR="00ED7D43" w:rsidRPr="00ED7D43" w:rsidTr="00ED7D43">
        <w:trPr>
          <w:trHeight w:val="20"/>
        </w:trPr>
        <w:tc>
          <w:tcPr>
            <w:tcW w:w="1417" w:type="pct"/>
            <w:shd w:val="clear" w:color="auto" w:fill="auto"/>
          </w:tcPr>
          <w:p w:rsidR="00ED7D43" w:rsidRPr="00ED7D43" w:rsidRDefault="00ED7D43" w:rsidP="00ED7D43">
            <w:pPr>
              <w:rPr>
                <w:b/>
                <w:bCs/>
                <w:lang w:val="en-GB"/>
              </w:rPr>
            </w:pPr>
            <w:r w:rsidRPr="00ED7D43">
              <w:rPr>
                <w:bCs/>
              </w:rPr>
              <w:t>Number (%) of patients with event</w:t>
            </w:r>
          </w:p>
        </w:tc>
        <w:tc>
          <w:tcPr>
            <w:tcW w:w="866" w:type="pct"/>
          </w:tcPr>
          <w:p w:rsidR="00ED7D43" w:rsidRPr="00ED7D43" w:rsidRDefault="00ED7D43" w:rsidP="00ED7D43">
            <w:pPr>
              <w:rPr>
                <w:b/>
                <w:bCs/>
                <w:lang w:val="en-GB"/>
              </w:rPr>
            </w:pPr>
            <w:r w:rsidRPr="00ED7D43">
              <w:rPr>
                <w:bCs/>
                <w:lang w:val="en-GB"/>
              </w:rPr>
              <w:t>371 (58%)</w:t>
            </w:r>
          </w:p>
        </w:tc>
        <w:tc>
          <w:tcPr>
            <w:tcW w:w="958" w:type="pct"/>
          </w:tcPr>
          <w:p w:rsidR="00ED7D43" w:rsidRPr="00ED7D43" w:rsidRDefault="00ED7D43" w:rsidP="00ED7D43">
            <w:pPr>
              <w:rPr>
                <w:b/>
                <w:bCs/>
                <w:lang w:val="en-GB"/>
              </w:rPr>
            </w:pPr>
            <w:r w:rsidRPr="00ED7D43">
              <w:rPr>
                <w:bCs/>
                <w:lang w:val="en-GB"/>
              </w:rPr>
              <w:t>438 (69%)</w:t>
            </w:r>
          </w:p>
        </w:tc>
        <w:tc>
          <w:tcPr>
            <w:tcW w:w="866" w:type="pct"/>
          </w:tcPr>
          <w:p w:rsidR="00ED7D43" w:rsidRPr="00ED7D43" w:rsidRDefault="00ED7D43" w:rsidP="00ED7D43">
            <w:pPr>
              <w:rPr>
                <w:bCs/>
                <w:lang w:val="en-GB"/>
              </w:rPr>
            </w:pPr>
            <w:r w:rsidRPr="00ED7D43">
              <w:rPr>
                <w:lang w:val="en-GB"/>
              </w:rPr>
              <w:t>157 (53%)</w:t>
            </w:r>
          </w:p>
        </w:tc>
        <w:tc>
          <w:tcPr>
            <w:tcW w:w="892" w:type="pct"/>
          </w:tcPr>
          <w:p w:rsidR="00ED7D43" w:rsidRPr="00ED7D43" w:rsidRDefault="00ED7D43" w:rsidP="00ED7D43">
            <w:pPr>
              <w:rPr>
                <w:bCs/>
                <w:lang w:val="en-GB"/>
              </w:rPr>
            </w:pPr>
            <w:r w:rsidRPr="00ED7D43">
              <w:rPr>
                <w:lang w:val="en-GB"/>
              </w:rPr>
              <w:t>199 (66%)</w:t>
            </w:r>
          </w:p>
        </w:tc>
      </w:tr>
      <w:tr w:rsidR="00ED7D43" w:rsidRPr="00ED7D43" w:rsidTr="00ED7D43">
        <w:trPr>
          <w:trHeight w:val="20"/>
        </w:trPr>
        <w:tc>
          <w:tcPr>
            <w:tcW w:w="1417" w:type="pct"/>
            <w:shd w:val="clear" w:color="auto" w:fill="auto"/>
          </w:tcPr>
          <w:p w:rsidR="00ED7D43" w:rsidRPr="00ED7D43" w:rsidRDefault="00ED7D43" w:rsidP="00ED7D43">
            <w:pPr>
              <w:rPr>
                <w:b/>
                <w:bCs/>
                <w:lang w:val="en-GB"/>
              </w:rPr>
            </w:pPr>
            <w:r w:rsidRPr="00ED7D43">
              <w:rPr>
                <w:bCs/>
                <w:lang w:val="en-GB"/>
              </w:rPr>
              <w:t xml:space="preserve">Hazard ratio* (95% CI) </w:t>
            </w:r>
          </w:p>
        </w:tc>
        <w:tc>
          <w:tcPr>
            <w:tcW w:w="1825" w:type="pct"/>
            <w:gridSpan w:val="2"/>
          </w:tcPr>
          <w:p w:rsidR="00ED7D43" w:rsidRPr="00ED7D43" w:rsidRDefault="00ED7D43" w:rsidP="00ED7D43">
            <w:pPr>
              <w:rPr>
                <w:bCs/>
                <w:lang w:val="en-GB"/>
              </w:rPr>
            </w:pPr>
            <w:r w:rsidRPr="00ED7D43">
              <w:rPr>
                <w:bCs/>
                <w:lang w:val="en-GB"/>
              </w:rPr>
              <w:t>0.81 (0.71, 0.93)</w:t>
            </w:r>
          </w:p>
        </w:tc>
        <w:tc>
          <w:tcPr>
            <w:tcW w:w="1758" w:type="pct"/>
            <w:gridSpan w:val="2"/>
          </w:tcPr>
          <w:p w:rsidR="00ED7D43" w:rsidRPr="00ED7D43" w:rsidRDefault="00ED7D43" w:rsidP="00ED7D43">
            <w:pPr>
              <w:rPr>
                <w:bCs/>
                <w:lang w:val="en-GB"/>
              </w:rPr>
            </w:pPr>
            <w:r w:rsidRPr="00ED7D43">
              <w:rPr>
                <w:lang w:val="en-GB"/>
              </w:rPr>
              <w:t>0.69 (0.56, 0.85)</w:t>
            </w:r>
          </w:p>
        </w:tc>
      </w:tr>
      <w:tr w:rsidR="00ED7D43" w:rsidRPr="00ED7D43" w:rsidTr="00ED7D43">
        <w:trPr>
          <w:trHeight w:val="20"/>
        </w:trPr>
        <w:tc>
          <w:tcPr>
            <w:tcW w:w="1417" w:type="pct"/>
            <w:shd w:val="clear" w:color="auto" w:fill="auto"/>
          </w:tcPr>
          <w:p w:rsidR="00ED7D43" w:rsidRPr="00ED7D43" w:rsidRDefault="00ED7D43" w:rsidP="00ED7D43">
            <w:pPr>
              <w:rPr>
                <w:bCs/>
                <w:lang w:val="en-GB"/>
              </w:rPr>
            </w:pPr>
            <w:r w:rsidRPr="00ED7D43">
              <w:rPr>
                <w:bCs/>
                <w:lang w:val="en-GB"/>
              </w:rPr>
              <w:t>p-Value</w:t>
            </w:r>
            <w:r w:rsidRPr="00ED7D43">
              <w:rPr>
                <w:bCs/>
                <w:vertAlign w:val="superscript"/>
                <w:lang w:val="en-GB"/>
              </w:rPr>
              <w:t>†</w:t>
            </w:r>
          </w:p>
        </w:tc>
        <w:tc>
          <w:tcPr>
            <w:tcW w:w="1825" w:type="pct"/>
            <w:gridSpan w:val="2"/>
          </w:tcPr>
          <w:p w:rsidR="00ED7D43" w:rsidRPr="00ED7D43" w:rsidRDefault="00ED7D43" w:rsidP="00ED7D43">
            <w:pPr>
              <w:rPr>
                <w:bCs/>
                <w:lang w:val="en-GB"/>
              </w:rPr>
            </w:pPr>
            <w:r w:rsidRPr="00ED7D43">
              <w:rPr>
                <w:bCs/>
                <w:lang w:val="en-GB"/>
              </w:rPr>
              <w:t>0.002</w:t>
            </w:r>
          </w:p>
        </w:tc>
        <w:tc>
          <w:tcPr>
            <w:tcW w:w="1758" w:type="pct"/>
            <w:gridSpan w:val="2"/>
          </w:tcPr>
          <w:p w:rsidR="00ED7D43" w:rsidRPr="00ED7D43" w:rsidRDefault="00ED7D43" w:rsidP="00ED7D43">
            <w:pPr>
              <w:rPr>
                <w:bCs/>
                <w:lang w:val="en-GB"/>
              </w:rPr>
            </w:pPr>
            <w:r w:rsidRPr="00ED7D43">
              <w:rPr>
                <w:bCs/>
                <w:lang w:val="en-GB"/>
              </w:rPr>
              <w:t>0.0003</w:t>
            </w:r>
          </w:p>
        </w:tc>
      </w:tr>
      <w:tr w:rsidR="00ED7D43" w:rsidRPr="00ED7D43" w:rsidTr="00ED7D43">
        <w:trPr>
          <w:trHeight w:val="20"/>
        </w:trPr>
        <w:tc>
          <w:tcPr>
            <w:tcW w:w="1417" w:type="pct"/>
            <w:shd w:val="clear" w:color="auto" w:fill="auto"/>
          </w:tcPr>
          <w:p w:rsidR="00ED7D43" w:rsidRPr="00ED7D43" w:rsidRDefault="00ED7D43" w:rsidP="00ED7D43">
            <w:pPr>
              <w:rPr>
                <w:bCs/>
                <w:lang w:val="en-GB"/>
              </w:rPr>
            </w:pPr>
            <w:r w:rsidRPr="00ED7D43">
              <w:rPr>
                <w:bCs/>
                <w:lang w:val="en-GB"/>
              </w:rPr>
              <w:t>Median in months (95% CI)</w:t>
            </w:r>
          </w:p>
        </w:tc>
        <w:tc>
          <w:tcPr>
            <w:tcW w:w="866" w:type="pct"/>
          </w:tcPr>
          <w:p w:rsidR="00ED7D43" w:rsidRPr="00ED7D43" w:rsidRDefault="00ED7D43" w:rsidP="00ED7D43">
            <w:pPr>
              <w:rPr>
                <w:bCs/>
                <w:lang w:val="en-GB"/>
              </w:rPr>
            </w:pPr>
            <w:r w:rsidRPr="00ED7D43">
              <w:rPr>
                <w:bCs/>
                <w:lang w:val="en-GB"/>
              </w:rPr>
              <w:t>16.7 (13.9, 19.7)</w:t>
            </w:r>
          </w:p>
        </w:tc>
        <w:tc>
          <w:tcPr>
            <w:tcW w:w="958" w:type="pct"/>
          </w:tcPr>
          <w:p w:rsidR="00ED7D43" w:rsidRPr="00ED7D43" w:rsidRDefault="00ED7D43" w:rsidP="00ED7D43">
            <w:pPr>
              <w:rPr>
                <w:bCs/>
                <w:lang w:val="en-GB"/>
              </w:rPr>
            </w:pPr>
            <w:r w:rsidRPr="00ED7D43">
              <w:rPr>
                <w:bCs/>
                <w:lang w:val="en-GB"/>
              </w:rPr>
              <w:t>12.1 (11.3, 13.3)</w:t>
            </w:r>
          </w:p>
        </w:tc>
        <w:tc>
          <w:tcPr>
            <w:tcW w:w="866" w:type="pct"/>
          </w:tcPr>
          <w:p w:rsidR="00ED7D43" w:rsidRPr="00ED7D43" w:rsidRDefault="00ED7D43" w:rsidP="00ED7D43">
            <w:pPr>
              <w:rPr>
                <w:bCs/>
                <w:lang w:val="en-GB"/>
              </w:rPr>
            </w:pPr>
            <w:r w:rsidRPr="00ED7D43">
              <w:rPr>
                <w:lang w:val="en-GB"/>
              </w:rPr>
              <w:t>20.0 (15.4, 24.9)</w:t>
            </w:r>
          </w:p>
        </w:tc>
        <w:tc>
          <w:tcPr>
            <w:tcW w:w="892" w:type="pct"/>
          </w:tcPr>
          <w:p w:rsidR="00ED7D43" w:rsidRPr="00ED7D43" w:rsidRDefault="00ED7D43" w:rsidP="00ED7D43">
            <w:pPr>
              <w:rPr>
                <w:bCs/>
                <w:lang w:val="en-GB"/>
              </w:rPr>
            </w:pPr>
            <w:r w:rsidRPr="00ED7D43">
              <w:rPr>
                <w:lang w:val="en-GB"/>
              </w:rPr>
              <w:t>12.2 (10.4, 14.2)</w:t>
            </w:r>
          </w:p>
        </w:tc>
      </w:tr>
      <w:tr w:rsidR="00ED7D43" w:rsidRPr="00ED7D43" w:rsidTr="00ED7D43">
        <w:trPr>
          <w:trHeight w:val="20"/>
        </w:trPr>
        <w:tc>
          <w:tcPr>
            <w:tcW w:w="3242" w:type="pct"/>
            <w:gridSpan w:val="3"/>
            <w:shd w:val="clear" w:color="auto" w:fill="auto"/>
          </w:tcPr>
          <w:p w:rsidR="00ED7D43" w:rsidRPr="00ED7D43" w:rsidRDefault="00ED7D43" w:rsidP="00ED7D43">
            <w:pPr>
              <w:rPr>
                <w:bCs/>
                <w:lang w:val="en-GB"/>
              </w:rPr>
            </w:pPr>
            <w:r w:rsidRPr="00ED7D43">
              <w:rPr>
                <w:b/>
                <w:bCs/>
                <w:lang w:val="en-GB"/>
              </w:rPr>
              <w:t>PFS</w:t>
            </w:r>
            <w:r w:rsidRPr="00ED7D43">
              <w:rPr>
                <w:bCs/>
                <w:vertAlign w:val="superscript"/>
                <w:lang w:val="en-GB"/>
              </w:rPr>
              <w:t>‡</w:t>
            </w:r>
          </w:p>
        </w:tc>
        <w:tc>
          <w:tcPr>
            <w:tcW w:w="1758" w:type="pct"/>
            <w:gridSpan w:val="2"/>
          </w:tcPr>
          <w:p w:rsidR="00ED7D43" w:rsidRPr="00ED7D43" w:rsidRDefault="00ED7D43" w:rsidP="00ED7D43">
            <w:pPr>
              <w:rPr>
                <w:b/>
                <w:bCs/>
                <w:lang w:val="en-GB"/>
              </w:rPr>
            </w:pPr>
          </w:p>
        </w:tc>
      </w:tr>
      <w:tr w:rsidR="00ED7D43" w:rsidRPr="00ED7D43" w:rsidTr="00ED7D43">
        <w:trPr>
          <w:trHeight w:val="20"/>
        </w:trPr>
        <w:tc>
          <w:tcPr>
            <w:tcW w:w="1417" w:type="pct"/>
            <w:shd w:val="clear" w:color="auto" w:fill="auto"/>
          </w:tcPr>
          <w:p w:rsidR="00ED7D43" w:rsidRPr="00ED7D43" w:rsidRDefault="00ED7D43" w:rsidP="00ED7D43">
            <w:pPr>
              <w:rPr>
                <w:bCs/>
                <w:lang w:val="en-GB"/>
              </w:rPr>
            </w:pPr>
            <w:r w:rsidRPr="00ED7D43">
              <w:rPr>
                <w:bCs/>
              </w:rPr>
              <w:t>Number (%) of patients with event</w:t>
            </w:r>
          </w:p>
        </w:tc>
        <w:tc>
          <w:tcPr>
            <w:tcW w:w="866" w:type="pct"/>
          </w:tcPr>
          <w:p w:rsidR="00ED7D43" w:rsidRPr="00ED7D43" w:rsidRDefault="00ED7D43" w:rsidP="00ED7D43">
            <w:pPr>
              <w:rPr>
                <w:bCs/>
                <w:lang w:val="en-GB"/>
              </w:rPr>
            </w:pPr>
            <w:r w:rsidRPr="00ED7D43">
              <w:rPr>
                <w:bCs/>
                <w:lang w:val="en-GB"/>
              </w:rPr>
              <w:t>507 (80%)</w:t>
            </w:r>
          </w:p>
        </w:tc>
        <w:tc>
          <w:tcPr>
            <w:tcW w:w="958" w:type="pct"/>
          </w:tcPr>
          <w:p w:rsidR="00ED7D43" w:rsidRPr="00ED7D43" w:rsidRDefault="00ED7D43" w:rsidP="00ED7D43">
            <w:pPr>
              <w:rPr>
                <w:bCs/>
                <w:lang w:val="en-GB"/>
              </w:rPr>
            </w:pPr>
            <w:r w:rsidRPr="00ED7D43">
              <w:rPr>
                <w:bCs/>
                <w:lang w:val="en-GB"/>
              </w:rPr>
              <w:t>506 (79%)</w:t>
            </w:r>
          </w:p>
        </w:tc>
        <w:tc>
          <w:tcPr>
            <w:tcW w:w="866" w:type="pct"/>
          </w:tcPr>
          <w:p w:rsidR="00ED7D43" w:rsidRPr="00ED7D43" w:rsidRDefault="00ED7D43" w:rsidP="00ED7D43">
            <w:pPr>
              <w:rPr>
                <w:bCs/>
                <w:lang w:val="en-GB"/>
              </w:rPr>
            </w:pPr>
            <w:r w:rsidRPr="00ED7D43">
              <w:rPr>
                <w:lang w:val="en-GB"/>
              </w:rPr>
              <w:t>221 (74%)</w:t>
            </w:r>
          </w:p>
        </w:tc>
        <w:tc>
          <w:tcPr>
            <w:tcW w:w="892" w:type="pct"/>
          </w:tcPr>
          <w:p w:rsidR="00ED7D43" w:rsidRPr="00ED7D43" w:rsidRDefault="00ED7D43" w:rsidP="00ED7D43">
            <w:pPr>
              <w:rPr>
                <w:bCs/>
                <w:lang w:val="en-GB"/>
              </w:rPr>
            </w:pPr>
            <w:r w:rsidRPr="00ED7D43">
              <w:rPr>
                <w:lang w:val="en-GB"/>
              </w:rPr>
              <w:t>233 (78%)</w:t>
            </w:r>
          </w:p>
        </w:tc>
      </w:tr>
      <w:tr w:rsidR="00ED7D43" w:rsidRPr="00ED7D43" w:rsidTr="00ED7D43">
        <w:trPr>
          <w:trHeight w:val="20"/>
        </w:trPr>
        <w:tc>
          <w:tcPr>
            <w:tcW w:w="1417" w:type="pct"/>
            <w:shd w:val="clear" w:color="auto" w:fill="auto"/>
          </w:tcPr>
          <w:p w:rsidR="00ED7D43" w:rsidRPr="00ED7D43" w:rsidRDefault="00ED7D43" w:rsidP="00ED7D43">
            <w:pPr>
              <w:rPr>
                <w:b/>
                <w:bCs/>
                <w:lang w:val="en-GB"/>
              </w:rPr>
            </w:pPr>
            <w:r w:rsidRPr="00ED7D43">
              <w:rPr>
                <w:bCs/>
                <w:lang w:val="en-GB"/>
              </w:rPr>
              <w:lastRenderedPageBreak/>
              <w:t>Hazard ratio*</w:t>
            </w:r>
            <w:r w:rsidRPr="00ED7D43">
              <w:rPr>
                <w:bCs/>
                <w:vertAlign w:val="superscript"/>
                <w:lang w:val="en-GB"/>
              </w:rPr>
              <w:t>,§</w:t>
            </w:r>
            <w:r w:rsidRPr="00ED7D43">
              <w:rPr>
                <w:bCs/>
                <w:lang w:val="en-GB"/>
              </w:rPr>
              <w:t xml:space="preserve"> (95% CI) </w:t>
            </w:r>
          </w:p>
        </w:tc>
        <w:tc>
          <w:tcPr>
            <w:tcW w:w="1825" w:type="pct"/>
            <w:gridSpan w:val="2"/>
          </w:tcPr>
          <w:p w:rsidR="00ED7D43" w:rsidRPr="00ED7D43" w:rsidRDefault="00ED7D43" w:rsidP="00ED7D43">
            <w:pPr>
              <w:rPr>
                <w:bCs/>
                <w:lang w:val="en-GB"/>
              </w:rPr>
            </w:pPr>
            <w:r w:rsidRPr="00ED7D43">
              <w:rPr>
                <w:bCs/>
                <w:lang w:val="en-GB"/>
              </w:rPr>
              <w:t>1.07 (0.94, 1.21)</w:t>
            </w:r>
          </w:p>
        </w:tc>
        <w:tc>
          <w:tcPr>
            <w:tcW w:w="1758" w:type="pct"/>
            <w:gridSpan w:val="2"/>
          </w:tcPr>
          <w:p w:rsidR="00ED7D43" w:rsidRPr="00ED7D43" w:rsidRDefault="00ED7D43" w:rsidP="00ED7D43">
            <w:pPr>
              <w:rPr>
                <w:lang w:val="en-GB"/>
              </w:rPr>
            </w:pPr>
            <w:r w:rsidRPr="00ED7D43">
              <w:rPr>
                <w:lang w:val="en-GB"/>
              </w:rPr>
              <w:t>0.81 (0.67, 0.99)</w:t>
            </w:r>
          </w:p>
        </w:tc>
      </w:tr>
      <w:tr w:rsidR="00ED7D43" w:rsidRPr="00ED7D43" w:rsidTr="00ED7D43">
        <w:trPr>
          <w:trHeight w:val="20"/>
        </w:trPr>
        <w:tc>
          <w:tcPr>
            <w:tcW w:w="1417" w:type="pct"/>
            <w:shd w:val="clear" w:color="auto" w:fill="auto"/>
          </w:tcPr>
          <w:p w:rsidR="00ED7D43" w:rsidRPr="00ED7D43" w:rsidRDefault="00ED7D43" w:rsidP="00ED7D43">
            <w:pPr>
              <w:rPr>
                <w:bCs/>
                <w:lang w:val="en-GB"/>
              </w:rPr>
            </w:pPr>
            <w:r w:rsidRPr="00ED7D43">
              <w:rPr>
                <w:bCs/>
                <w:lang w:val="en-GB"/>
              </w:rPr>
              <w:t>Median in months (95% CI)</w:t>
            </w:r>
          </w:p>
        </w:tc>
        <w:tc>
          <w:tcPr>
            <w:tcW w:w="866" w:type="pct"/>
          </w:tcPr>
          <w:p w:rsidR="00ED7D43" w:rsidRPr="00ED7D43" w:rsidRDefault="00ED7D43" w:rsidP="00ED7D43">
            <w:pPr>
              <w:rPr>
                <w:bCs/>
                <w:lang w:val="en-GB"/>
              </w:rPr>
            </w:pPr>
            <w:r w:rsidRPr="00ED7D43">
              <w:rPr>
                <w:bCs/>
                <w:lang w:val="en-GB"/>
              </w:rPr>
              <w:t>5.4 (4.3, 6.2)</w:t>
            </w:r>
          </w:p>
        </w:tc>
        <w:tc>
          <w:tcPr>
            <w:tcW w:w="958" w:type="pct"/>
          </w:tcPr>
          <w:p w:rsidR="00ED7D43" w:rsidRPr="00ED7D43" w:rsidRDefault="00ED7D43" w:rsidP="00ED7D43">
            <w:pPr>
              <w:rPr>
                <w:bCs/>
                <w:lang w:val="en-GB"/>
              </w:rPr>
            </w:pPr>
            <w:r w:rsidRPr="00ED7D43">
              <w:rPr>
                <w:bCs/>
                <w:lang w:val="en-GB"/>
              </w:rPr>
              <w:t>6.5 (6.3, 7.0)</w:t>
            </w:r>
          </w:p>
        </w:tc>
        <w:tc>
          <w:tcPr>
            <w:tcW w:w="866" w:type="pct"/>
          </w:tcPr>
          <w:p w:rsidR="00ED7D43" w:rsidRPr="00ED7D43" w:rsidRDefault="00ED7D43" w:rsidP="00ED7D43">
            <w:pPr>
              <w:rPr>
                <w:bCs/>
                <w:lang w:val="en-GB"/>
              </w:rPr>
            </w:pPr>
            <w:r w:rsidRPr="00ED7D43">
              <w:rPr>
                <w:lang w:val="en-GB"/>
              </w:rPr>
              <w:t>7.1 (5.9, 9.0)</w:t>
            </w:r>
          </w:p>
        </w:tc>
        <w:tc>
          <w:tcPr>
            <w:tcW w:w="892" w:type="pct"/>
          </w:tcPr>
          <w:p w:rsidR="00ED7D43" w:rsidRPr="00ED7D43" w:rsidRDefault="00ED7D43" w:rsidP="00ED7D43">
            <w:pPr>
              <w:rPr>
                <w:bCs/>
                <w:lang w:val="en-GB"/>
              </w:rPr>
            </w:pPr>
            <w:r w:rsidRPr="00ED7D43">
              <w:rPr>
                <w:lang w:val="en-GB"/>
              </w:rPr>
              <w:t>6.4 (6.1, 6.9)</w:t>
            </w:r>
          </w:p>
        </w:tc>
      </w:tr>
      <w:tr w:rsidR="00ED7D43" w:rsidRPr="00ED7D43" w:rsidTr="00ED7D43">
        <w:trPr>
          <w:trHeight w:val="20"/>
        </w:trPr>
        <w:tc>
          <w:tcPr>
            <w:tcW w:w="3242" w:type="pct"/>
            <w:gridSpan w:val="3"/>
            <w:shd w:val="clear" w:color="auto" w:fill="auto"/>
          </w:tcPr>
          <w:p w:rsidR="00ED7D43" w:rsidRPr="00ED7D43" w:rsidRDefault="00ED7D43" w:rsidP="00ED7D43">
            <w:pPr>
              <w:rPr>
                <w:bCs/>
                <w:lang w:val="en-GB"/>
              </w:rPr>
            </w:pPr>
            <w:r w:rsidRPr="00ED7D43">
              <w:rPr>
                <w:b/>
                <w:bCs/>
                <w:lang w:val="en-GB"/>
              </w:rPr>
              <w:t>Overall response rate</w:t>
            </w:r>
            <w:r w:rsidRPr="00ED7D43">
              <w:rPr>
                <w:bCs/>
                <w:vertAlign w:val="superscript"/>
                <w:lang w:val="en-GB"/>
              </w:rPr>
              <w:t>‡</w:t>
            </w:r>
          </w:p>
        </w:tc>
        <w:tc>
          <w:tcPr>
            <w:tcW w:w="1758" w:type="pct"/>
            <w:gridSpan w:val="2"/>
          </w:tcPr>
          <w:p w:rsidR="00ED7D43" w:rsidRPr="00ED7D43" w:rsidRDefault="00ED7D43" w:rsidP="00ED7D43">
            <w:pPr>
              <w:rPr>
                <w:b/>
                <w:bCs/>
                <w:lang w:val="en-GB"/>
              </w:rPr>
            </w:pPr>
          </w:p>
        </w:tc>
      </w:tr>
      <w:tr w:rsidR="00ED7D43" w:rsidRPr="00ED7D43" w:rsidTr="00ED7D43">
        <w:trPr>
          <w:trHeight w:val="20"/>
        </w:trPr>
        <w:tc>
          <w:tcPr>
            <w:tcW w:w="1417" w:type="pct"/>
            <w:shd w:val="clear" w:color="auto" w:fill="auto"/>
          </w:tcPr>
          <w:p w:rsidR="00ED7D43" w:rsidRPr="00ED7D43" w:rsidRDefault="00ED7D43" w:rsidP="00ED7D43">
            <w:pPr>
              <w:rPr>
                <w:bCs/>
                <w:lang w:val="en-GB"/>
              </w:rPr>
            </w:pPr>
            <w:r w:rsidRPr="00ED7D43">
              <w:rPr>
                <w:bCs/>
                <w:lang w:val="en-GB"/>
              </w:rPr>
              <w:t>ORR %</w:t>
            </w:r>
            <w:r w:rsidRPr="00ED7D43">
              <w:rPr>
                <w:bCs/>
                <w:vertAlign w:val="superscript"/>
                <w:lang w:val="en-GB"/>
              </w:rPr>
              <w:t>§</w:t>
            </w:r>
            <w:r w:rsidRPr="00ED7D43">
              <w:rPr>
                <w:bCs/>
                <w:lang w:val="en-GB"/>
              </w:rPr>
              <w:t xml:space="preserve"> (95% CI)</w:t>
            </w:r>
          </w:p>
        </w:tc>
        <w:tc>
          <w:tcPr>
            <w:tcW w:w="866" w:type="pct"/>
          </w:tcPr>
          <w:p w:rsidR="00ED7D43" w:rsidRPr="00ED7D43" w:rsidRDefault="00ED7D43" w:rsidP="00ED7D43">
            <w:pPr>
              <w:rPr>
                <w:bCs/>
                <w:lang w:val="en-GB"/>
              </w:rPr>
            </w:pPr>
            <w:r w:rsidRPr="00ED7D43">
              <w:rPr>
                <w:bCs/>
                <w:lang w:val="en-GB"/>
              </w:rPr>
              <w:t>27% (24, 31)</w:t>
            </w:r>
          </w:p>
        </w:tc>
        <w:tc>
          <w:tcPr>
            <w:tcW w:w="958" w:type="pct"/>
          </w:tcPr>
          <w:p w:rsidR="00ED7D43" w:rsidRPr="00ED7D43" w:rsidRDefault="00ED7D43" w:rsidP="00ED7D43">
            <w:pPr>
              <w:rPr>
                <w:bCs/>
                <w:lang w:val="en-GB"/>
              </w:rPr>
            </w:pPr>
            <w:r w:rsidRPr="00ED7D43">
              <w:rPr>
                <w:bCs/>
                <w:lang w:val="en-GB"/>
              </w:rPr>
              <w:t>27% (23, 30)</w:t>
            </w:r>
          </w:p>
        </w:tc>
        <w:tc>
          <w:tcPr>
            <w:tcW w:w="866" w:type="pct"/>
          </w:tcPr>
          <w:p w:rsidR="00ED7D43" w:rsidRPr="00ED7D43" w:rsidRDefault="00ED7D43" w:rsidP="00ED7D43">
            <w:pPr>
              <w:rPr>
                <w:bCs/>
                <w:lang w:val="en-GB"/>
              </w:rPr>
            </w:pPr>
            <w:r w:rsidRPr="00ED7D43">
              <w:rPr>
                <w:lang w:val="en-GB"/>
              </w:rPr>
              <w:t>39% (34, 45)</w:t>
            </w:r>
          </w:p>
        </w:tc>
        <w:tc>
          <w:tcPr>
            <w:tcW w:w="892" w:type="pct"/>
          </w:tcPr>
          <w:p w:rsidR="00ED7D43" w:rsidRPr="00ED7D43" w:rsidRDefault="00ED7D43" w:rsidP="00ED7D43">
            <w:pPr>
              <w:rPr>
                <w:bCs/>
                <w:lang w:val="en-GB"/>
              </w:rPr>
            </w:pPr>
            <w:r w:rsidRPr="00ED7D43">
              <w:rPr>
                <w:lang w:val="en-GB"/>
              </w:rPr>
              <w:t>32% (27, 38)</w:t>
            </w:r>
          </w:p>
        </w:tc>
      </w:tr>
      <w:tr w:rsidR="00ED7D43" w:rsidRPr="00ED7D43" w:rsidTr="00ED7D43">
        <w:trPr>
          <w:trHeight w:val="20"/>
        </w:trPr>
        <w:tc>
          <w:tcPr>
            <w:tcW w:w="1417" w:type="pct"/>
            <w:shd w:val="clear" w:color="auto" w:fill="auto"/>
          </w:tcPr>
          <w:p w:rsidR="00ED7D43" w:rsidRPr="00ED7D43" w:rsidRDefault="00ED7D43" w:rsidP="00ED7D43">
            <w:pPr>
              <w:rPr>
                <w:bCs/>
                <w:lang w:val="en-GB"/>
              </w:rPr>
            </w:pPr>
            <w:r w:rsidRPr="00ED7D43">
              <w:rPr>
                <w:bCs/>
                <w:lang w:val="en-GB"/>
              </w:rPr>
              <w:t>Complete response %</w:t>
            </w:r>
          </w:p>
        </w:tc>
        <w:tc>
          <w:tcPr>
            <w:tcW w:w="866" w:type="pct"/>
          </w:tcPr>
          <w:p w:rsidR="00ED7D43" w:rsidRPr="00ED7D43" w:rsidRDefault="00ED7D43" w:rsidP="00ED7D43">
            <w:pPr>
              <w:rPr>
                <w:bCs/>
                <w:lang w:val="en-GB"/>
              </w:rPr>
            </w:pPr>
            <w:r w:rsidRPr="00ED7D43">
              <w:rPr>
                <w:bCs/>
                <w:lang w:val="en-GB"/>
              </w:rPr>
              <w:t>1%</w:t>
            </w:r>
          </w:p>
        </w:tc>
        <w:tc>
          <w:tcPr>
            <w:tcW w:w="958" w:type="pct"/>
          </w:tcPr>
          <w:p w:rsidR="00ED7D43" w:rsidRPr="00ED7D43" w:rsidRDefault="00ED7D43" w:rsidP="00ED7D43">
            <w:pPr>
              <w:rPr>
                <w:bCs/>
                <w:lang w:val="en-GB"/>
              </w:rPr>
            </w:pPr>
            <w:r w:rsidRPr="00ED7D43">
              <w:rPr>
                <w:bCs/>
                <w:lang w:val="en-GB"/>
              </w:rPr>
              <w:t>1%</w:t>
            </w:r>
          </w:p>
        </w:tc>
        <w:tc>
          <w:tcPr>
            <w:tcW w:w="866" w:type="pct"/>
          </w:tcPr>
          <w:p w:rsidR="00ED7D43" w:rsidRPr="00ED7D43" w:rsidRDefault="00ED7D43" w:rsidP="00ED7D43">
            <w:pPr>
              <w:rPr>
                <w:bCs/>
                <w:lang w:val="en-GB"/>
              </w:rPr>
            </w:pPr>
            <w:r w:rsidRPr="00ED7D43">
              <w:rPr>
                <w:lang w:val="en-GB"/>
              </w:rPr>
              <w:t>1%</w:t>
            </w:r>
          </w:p>
        </w:tc>
        <w:tc>
          <w:tcPr>
            <w:tcW w:w="892" w:type="pct"/>
          </w:tcPr>
          <w:p w:rsidR="00ED7D43" w:rsidRPr="00ED7D43" w:rsidRDefault="00ED7D43" w:rsidP="00ED7D43">
            <w:pPr>
              <w:rPr>
                <w:bCs/>
                <w:lang w:val="en-GB"/>
              </w:rPr>
            </w:pPr>
            <w:r w:rsidRPr="00ED7D43">
              <w:rPr>
                <w:lang w:val="en-GB"/>
              </w:rPr>
              <w:t>0.3%</w:t>
            </w:r>
          </w:p>
        </w:tc>
      </w:tr>
      <w:tr w:rsidR="00ED7D43" w:rsidRPr="00ED7D43" w:rsidTr="00ED7D43">
        <w:trPr>
          <w:trHeight w:val="20"/>
        </w:trPr>
        <w:tc>
          <w:tcPr>
            <w:tcW w:w="1417" w:type="pct"/>
            <w:shd w:val="clear" w:color="auto" w:fill="auto"/>
          </w:tcPr>
          <w:p w:rsidR="00ED7D43" w:rsidRPr="00ED7D43" w:rsidRDefault="00ED7D43" w:rsidP="00ED7D43">
            <w:pPr>
              <w:rPr>
                <w:bCs/>
                <w:lang w:val="en-GB"/>
              </w:rPr>
            </w:pPr>
            <w:r w:rsidRPr="00ED7D43">
              <w:rPr>
                <w:bCs/>
                <w:lang w:val="en-GB"/>
              </w:rPr>
              <w:t>Partial response %</w:t>
            </w:r>
          </w:p>
        </w:tc>
        <w:tc>
          <w:tcPr>
            <w:tcW w:w="866" w:type="pct"/>
          </w:tcPr>
          <w:p w:rsidR="00ED7D43" w:rsidRPr="00ED7D43" w:rsidRDefault="00ED7D43" w:rsidP="00ED7D43">
            <w:pPr>
              <w:rPr>
                <w:bCs/>
                <w:lang w:val="en-GB"/>
              </w:rPr>
            </w:pPr>
            <w:r w:rsidRPr="00ED7D43">
              <w:rPr>
                <w:bCs/>
                <w:lang w:val="en-GB"/>
              </w:rPr>
              <w:t>27%</w:t>
            </w:r>
          </w:p>
        </w:tc>
        <w:tc>
          <w:tcPr>
            <w:tcW w:w="958" w:type="pct"/>
          </w:tcPr>
          <w:p w:rsidR="00ED7D43" w:rsidRPr="00ED7D43" w:rsidRDefault="00ED7D43" w:rsidP="00ED7D43">
            <w:pPr>
              <w:rPr>
                <w:bCs/>
                <w:lang w:val="en-GB"/>
              </w:rPr>
            </w:pPr>
            <w:r w:rsidRPr="00ED7D43">
              <w:rPr>
                <w:bCs/>
                <w:lang w:val="en-GB"/>
              </w:rPr>
              <w:t>26%</w:t>
            </w:r>
          </w:p>
        </w:tc>
        <w:tc>
          <w:tcPr>
            <w:tcW w:w="866" w:type="pct"/>
          </w:tcPr>
          <w:p w:rsidR="00ED7D43" w:rsidRPr="00ED7D43" w:rsidRDefault="00ED7D43" w:rsidP="00ED7D43">
            <w:pPr>
              <w:rPr>
                <w:bCs/>
                <w:lang w:val="en-GB"/>
              </w:rPr>
            </w:pPr>
            <w:r w:rsidRPr="00ED7D43">
              <w:rPr>
                <w:lang w:val="en-GB"/>
              </w:rPr>
              <w:t>39%</w:t>
            </w:r>
          </w:p>
        </w:tc>
        <w:tc>
          <w:tcPr>
            <w:tcW w:w="892" w:type="pct"/>
          </w:tcPr>
          <w:p w:rsidR="00ED7D43" w:rsidRPr="00ED7D43" w:rsidRDefault="00ED7D43" w:rsidP="00ED7D43">
            <w:pPr>
              <w:rPr>
                <w:bCs/>
                <w:lang w:val="en-GB"/>
              </w:rPr>
            </w:pPr>
            <w:r w:rsidRPr="00ED7D43">
              <w:rPr>
                <w:lang w:val="en-GB"/>
              </w:rPr>
              <w:t>32%</w:t>
            </w:r>
          </w:p>
        </w:tc>
      </w:tr>
      <w:tr w:rsidR="00ED7D43" w:rsidRPr="00ED7D43" w:rsidTr="00ED7D43">
        <w:trPr>
          <w:trHeight w:val="20"/>
        </w:trPr>
        <w:tc>
          <w:tcPr>
            <w:tcW w:w="3242" w:type="pct"/>
            <w:gridSpan w:val="3"/>
            <w:shd w:val="clear" w:color="auto" w:fill="auto"/>
          </w:tcPr>
          <w:p w:rsidR="00ED7D43" w:rsidRPr="00ED7D43" w:rsidRDefault="00ED7D43" w:rsidP="00ED7D43">
            <w:pPr>
              <w:rPr>
                <w:bCs/>
                <w:lang w:val="en-GB"/>
              </w:rPr>
            </w:pPr>
            <w:r w:rsidRPr="00ED7D43">
              <w:rPr>
                <w:b/>
                <w:bCs/>
                <w:lang w:val="en-GB"/>
              </w:rPr>
              <w:t>Response duration</w:t>
            </w:r>
            <w:r w:rsidRPr="00ED7D43">
              <w:rPr>
                <w:bCs/>
                <w:vertAlign w:val="superscript"/>
                <w:lang w:val="en-GB"/>
              </w:rPr>
              <w:t>‡,</w:t>
            </w:r>
            <w:r w:rsidRPr="00ED7D43">
              <w:rPr>
                <w:b/>
                <w:bCs/>
                <w:vertAlign w:val="superscript"/>
              </w:rPr>
              <w:t>¶</w:t>
            </w:r>
          </w:p>
        </w:tc>
        <w:tc>
          <w:tcPr>
            <w:tcW w:w="1758" w:type="pct"/>
            <w:gridSpan w:val="2"/>
          </w:tcPr>
          <w:p w:rsidR="00ED7D43" w:rsidRPr="00ED7D43" w:rsidRDefault="00ED7D43" w:rsidP="00ED7D43">
            <w:pPr>
              <w:rPr>
                <w:b/>
                <w:bCs/>
                <w:lang w:val="en-GB"/>
              </w:rPr>
            </w:pPr>
          </w:p>
        </w:tc>
      </w:tr>
      <w:tr w:rsidR="00ED7D43" w:rsidRPr="00ED7D43" w:rsidTr="00ED7D43">
        <w:trPr>
          <w:trHeight w:val="20"/>
        </w:trPr>
        <w:tc>
          <w:tcPr>
            <w:tcW w:w="1417" w:type="pct"/>
            <w:shd w:val="clear" w:color="auto" w:fill="auto"/>
          </w:tcPr>
          <w:p w:rsidR="00ED7D43" w:rsidRPr="00ED7D43" w:rsidRDefault="00ED7D43" w:rsidP="00ED7D43">
            <w:pPr>
              <w:rPr>
                <w:bCs/>
                <w:lang w:val="en-GB"/>
              </w:rPr>
            </w:pPr>
            <w:r w:rsidRPr="00ED7D43">
              <w:rPr>
                <w:bCs/>
                <w:lang w:val="en-GB"/>
              </w:rPr>
              <w:t>Median in months (range)</w:t>
            </w:r>
          </w:p>
        </w:tc>
        <w:tc>
          <w:tcPr>
            <w:tcW w:w="866" w:type="pct"/>
          </w:tcPr>
          <w:p w:rsidR="00ED7D43" w:rsidRPr="00ED7D43" w:rsidRDefault="00ED7D43" w:rsidP="00ED7D43">
            <w:pPr>
              <w:rPr>
                <w:bCs/>
                <w:lang w:val="en-GB"/>
              </w:rPr>
            </w:pPr>
            <w:r w:rsidRPr="00ED7D43">
              <w:rPr>
                <w:bCs/>
                <w:lang w:val="en-GB"/>
              </w:rPr>
              <w:t>20.2</w:t>
            </w:r>
          </w:p>
          <w:p w:rsidR="00ED7D43" w:rsidRPr="00ED7D43" w:rsidRDefault="00ED7D43" w:rsidP="00ED7D43">
            <w:pPr>
              <w:rPr>
                <w:bCs/>
                <w:lang w:val="en-GB"/>
              </w:rPr>
            </w:pPr>
            <w:r w:rsidRPr="00ED7D43">
              <w:rPr>
                <w:bCs/>
                <w:lang w:val="en-GB"/>
              </w:rPr>
              <w:t>(2.1+, 31.2+)</w:t>
            </w:r>
          </w:p>
        </w:tc>
        <w:tc>
          <w:tcPr>
            <w:tcW w:w="958" w:type="pct"/>
          </w:tcPr>
          <w:p w:rsidR="00ED7D43" w:rsidRPr="00ED7D43" w:rsidRDefault="00ED7D43" w:rsidP="00ED7D43">
            <w:pPr>
              <w:rPr>
                <w:bCs/>
                <w:lang w:val="en-GB"/>
              </w:rPr>
            </w:pPr>
            <w:r w:rsidRPr="00ED7D43">
              <w:rPr>
                <w:bCs/>
                <w:lang w:val="en-GB"/>
              </w:rPr>
              <w:t>8.3</w:t>
            </w:r>
          </w:p>
          <w:p w:rsidR="00ED7D43" w:rsidRPr="00ED7D43" w:rsidRDefault="00ED7D43" w:rsidP="00ED7D43">
            <w:pPr>
              <w:rPr>
                <w:bCs/>
                <w:lang w:val="en-GB"/>
              </w:rPr>
            </w:pPr>
            <w:r w:rsidRPr="00ED7D43">
              <w:rPr>
                <w:bCs/>
                <w:lang w:val="en-GB"/>
              </w:rPr>
              <w:t>(1.8+, 28.1)</w:t>
            </w:r>
          </w:p>
        </w:tc>
        <w:tc>
          <w:tcPr>
            <w:tcW w:w="866" w:type="pct"/>
          </w:tcPr>
          <w:p w:rsidR="00ED7D43" w:rsidRPr="00ED7D43" w:rsidRDefault="00ED7D43" w:rsidP="00ED7D43">
            <w:pPr>
              <w:rPr>
                <w:bCs/>
                <w:lang w:val="en-GB"/>
              </w:rPr>
            </w:pPr>
            <w:r w:rsidRPr="00ED7D43">
              <w:rPr>
                <w:bCs/>
                <w:lang w:val="en-GB"/>
              </w:rPr>
              <w:t>22.0</w:t>
            </w:r>
          </w:p>
          <w:p w:rsidR="00ED7D43" w:rsidRPr="00ED7D43" w:rsidRDefault="00ED7D43" w:rsidP="00ED7D43">
            <w:pPr>
              <w:rPr>
                <w:bCs/>
                <w:lang w:val="en-GB"/>
              </w:rPr>
            </w:pPr>
            <w:r w:rsidRPr="00ED7D43">
              <w:rPr>
                <w:bCs/>
                <w:lang w:val="en-GB"/>
              </w:rPr>
              <w:t>(2.1+, 36.5+)</w:t>
            </w:r>
          </w:p>
        </w:tc>
        <w:tc>
          <w:tcPr>
            <w:tcW w:w="892" w:type="pct"/>
          </w:tcPr>
          <w:p w:rsidR="00ED7D43" w:rsidRPr="00ED7D43" w:rsidRDefault="00ED7D43" w:rsidP="00ED7D43">
            <w:pPr>
              <w:rPr>
                <w:bCs/>
                <w:lang w:val="en-GB"/>
              </w:rPr>
            </w:pPr>
            <w:r w:rsidRPr="00ED7D43">
              <w:rPr>
                <w:bCs/>
                <w:lang w:val="en-GB"/>
              </w:rPr>
              <w:t>10.8</w:t>
            </w:r>
          </w:p>
          <w:p w:rsidR="00ED7D43" w:rsidRPr="00ED7D43" w:rsidRDefault="00ED7D43" w:rsidP="00ED7D43">
            <w:pPr>
              <w:rPr>
                <w:bCs/>
                <w:lang w:val="en-GB"/>
              </w:rPr>
            </w:pPr>
            <w:r w:rsidRPr="00ED7D43">
              <w:rPr>
                <w:bCs/>
                <w:lang w:val="en-GB"/>
              </w:rPr>
              <w:t>(1.8+, 30.4+)</w:t>
            </w:r>
          </w:p>
        </w:tc>
      </w:tr>
      <w:tr w:rsidR="00ED7D43" w:rsidRPr="00ED7D43" w:rsidTr="00ED7D43">
        <w:trPr>
          <w:trHeight w:val="20"/>
        </w:trPr>
        <w:tc>
          <w:tcPr>
            <w:tcW w:w="1417" w:type="pct"/>
            <w:tcBorders>
              <w:bottom w:val="single" w:sz="4" w:space="0" w:color="auto"/>
            </w:tcBorders>
            <w:shd w:val="clear" w:color="auto" w:fill="auto"/>
          </w:tcPr>
          <w:p w:rsidR="00ED7D43" w:rsidRPr="00ED7D43" w:rsidRDefault="00ED7D43" w:rsidP="00ED7D43">
            <w:pPr>
              <w:rPr>
                <w:bCs/>
                <w:lang w:val="en-GB"/>
              </w:rPr>
            </w:pPr>
            <w:r w:rsidRPr="00ED7D43">
              <w:rPr>
                <w:bCs/>
              </w:rPr>
              <w:t>% with duration ≥ 18 months</w:t>
            </w:r>
          </w:p>
        </w:tc>
        <w:tc>
          <w:tcPr>
            <w:tcW w:w="866" w:type="pct"/>
            <w:tcBorders>
              <w:bottom w:val="single" w:sz="4" w:space="0" w:color="auto"/>
            </w:tcBorders>
          </w:tcPr>
          <w:p w:rsidR="00ED7D43" w:rsidRPr="00ED7D43" w:rsidRDefault="00ED7D43" w:rsidP="00ED7D43">
            <w:pPr>
              <w:rPr>
                <w:bCs/>
                <w:lang w:val="en-GB"/>
              </w:rPr>
            </w:pPr>
            <w:r w:rsidRPr="00ED7D43">
              <w:rPr>
                <w:bCs/>
                <w:lang w:val="en-GB"/>
              </w:rPr>
              <w:t>53%</w:t>
            </w:r>
          </w:p>
        </w:tc>
        <w:tc>
          <w:tcPr>
            <w:tcW w:w="958" w:type="pct"/>
            <w:tcBorders>
              <w:bottom w:val="single" w:sz="4" w:space="0" w:color="auto"/>
            </w:tcBorders>
          </w:tcPr>
          <w:p w:rsidR="00ED7D43" w:rsidRPr="00ED7D43" w:rsidRDefault="00ED7D43" w:rsidP="00ED7D43">
            <w:pPr>
              <w:rPr>
                <w:bCs/>
                <w:lang w:val="en-GB"/>
              </w:rPr>
            </w:pPr>
            <w:r w:rsidRPr="00ED7D43">
              <w:rPr>
                <w:bCs/>
                <w:lang w:val="en-GB"/>
              </w:rPr>
              <w:t>30%</w:t>
            </w:r>
          </w:p>
        </w:tc>
        <w:tc>
          <w:tcPr>
            <w:tcW w:w="866" w:type="pct"/>
            <w:tcBorders>
              <w:bottom w:val="single" w:sz="4" w:space="0" w:color="auto"/>
            </w:tcBorders>
          </w:tcPr>
          <w:p w:rsidR="00ED7D43" w:rsidRPr="00ED7D43" w:rsidRDefault="00ED7D43" w:rsidP="00ED7D43">
            <w:pPr>
              <w:rPr>
                <w:bCs/>
                <w:lang w:val="en-GB"/>
              </w:rPr>
            </w:pPr>
            <w:r w:rsidRPr="00ED7D43">
              <w:rPr>
                <w:bCs/>
                <w:lang w:val="en-GB"/>
              </w:rPr>
              <w:t>57%</w:t>
            </w:r>
          </w:p>
        </w:tc>
        <w:tc>
          <w:tcPr>
            <w:tcW w:w="892" w:type="pct"/>
            <w:tcBorders>
              <w:bottom w:val="single" w:sz="4" w:space="0" w:color="auto"/>
            </w:tcBorders>
          </w:tcPr>
          <w:p w:rsidR="00ED7D43" w:rsidRPr="00ED7D43" w:rsidRDefault="00ED7D43" w:rsidP="00ED7D43">
            <w:pPr>
              <w:rPr>
                <w:bCs/>
                <w:lang w:val="en-GB"/>
              </w:rPr>
            </w:pPr>
            <w:r w:rsidRPr="00ED7D43">
              <w:rPr>
                <w:bCs/>
                <w:lang w:val="en-GB"/>
              </w:rPr>
              <w:t>34%</w:t>
            </w:r>
          </w:p>
        </w:tc>
      </w:tr>
      <w:tr w:rsidR="00ED7D43" w:rsidRPr="00ED7D43" w:rsidTr="00ED7D43">
        <w:trPr>
          <w:trHeight w:val="20"/>
        </w:trPr>
        <w:tc>
          <w:tcPr>
            <w:tcW w:w="5000" w:type="pct"/>
            <w:gridSpan w:val="5"/>
            <w:tcBorders>
              <w:bottom w:val="single" w:sz="4" w:space="0" w:color="auto"/>
            </w:tcBorders>
            <w:shd w:val="clear" w:color="auto" w:fill="auto"/>
          </w:tcPr>
          <w:p w:rsidR="00ED7D43" w:rsidRPr="00ED7D43" w:rsidRDefault="00ED7D43" w:rsidP="00ED7D43">
            <w:pPr>
              <w:rPr>
                <w:bCs/>
                <w:lang w:val="en-GB"/>
              </w:rPr>
            </w:pPr>
            <w:r w:rsidRPr="00ED7D43">
              <w:rPr>
                <w:bCs/>
                <w:lang w:val="en-GB"/>
              </w:rPr>
              <w:t>*</w:t>
            </w:r>
            <w:r w:rsidRPr="00ED7D43">
              <w:rPr>
                <w:bCs/>
                <w:lang w:val="en-GB"/>
              </w:rPr>
              <w:tab/>
              <w:t>Hazard ratio (KEYTRUDA compared to chemotherapy) based on the stratified Cox proportional hazard model</w:t>
            </w:r>
          </w:p>
          <w:p w:rsidR="00ED7D43" w:rsidRPr="00ED7D43" w:rsidRDefault="00ED7D43" w:rsidP="00ED7D43">
            <w:pPr>
              <w:rPr>
                <w:bCs/>
                <w:lang w:val="en-GB"/>
              </w:rPr>
            </w:pPr>
            <w:r w:rsidRPr="00ED7D43">
              <w:rPr>
                <w:bCs/>
                <w:vertAlign w:val="superscript"/>
                <w:lang w:val="en-GB"/>
              </w:rPr>
              <w:t>†</w:t>
            </w:r>
            <w:r w:rsidRPr="00ED7D43">
              <w:rPr>
                <w:bCs/>
                <w:lang w:val="en-GB"/>
              </w:rPr>
              <w:tab/>
              <w:t>Based on stratified Log rank test</w:t>
            </w:r>
          </w:p>
          <w:p w:rsidR="00ED7D43" w:rsidRPr="00ED7D43" w:rsidRDefault="00ED7D43" w:rsidP="00ED7D43">
            <w:pPr>
              <w:rPr>
                <w:bCs/>
                <w:lang w:val="en-GB"/>
              </w:rPr>
            </w:pPr>
            <w:r w:rsidRPr="00ED7D43">
              <w:rPr>
                <w:bCs/>
                <w:vertAlign w:val="superscript"/>
                <w:lang w:val="en-GB"/>
              </w:rPr>
              <w:t>‡</w:t>
            </w:r>
            <w:r w:rsidRPr="00ED7D43">
              <w:rPr>
                <w:bCs/>
                <w:lang w:val="en-GB"/>
              </w:rPr>
              <w:tab/>
              <w:t>Assessed by BICR using RECIST 1.1</w:t>
            </w:r>
          </w:p>
          <w:p w:rsidR="00ED7D43" w:rsidRPr="00ED7D43" w:rsidRDefault="00ED7D43" w:rsidP="00ED7D43">
            <w:r w:rsidRPr="00ED7D43">
              <w:rPr>
                <w:b/>
                <w:bCs/>
                <w:vertAlign w:val="superscript"/>
                <w:lang w:val="en-GB"/>
              </w:rPr>
              <w:t>§</w:t>
            </w:r>
            <w:r w:rsidRPr="00ED7D43">
              <w:rPr>
                <w:bCs/>
                <w:lang w:val="en-GB"/>
              </w:rPr>
              <w:tab/>
            </w:r>
            <w:r w:rsidRPr="00ED7D43">
              <w:t>Not evaluated for statistical significance as a result of the sequential testing procedure for the secondary endpoints.</w:t>
            </w:r>
          </w:p>
          <w:p w:rsidR="00ED7D43" w:rsidRPr="00ED7D43" w:rsidRDefault="00ED7D43" w:rsidP="00ED7D43">
            <w:pPr>
              <w:rPr>
                <w:lang w:val="en-GB"/>
              </w:rPr>
            </w:pPr>
            <w:r w:rsidRPr="00ED7D43">
              <w:rPr>
                <w:b/>
                <w:bCs/>
                <w:vertAlign w:val="superscript"/>
              </w:rPr>
              <w:t>¶</w:t>
            </w:r>
            <w:r w:rsidRPr="00ED7D43">
              <w:rPr>
                <w:lang w:val="en-GB"/>
              </w:rPr>
              <w:tab/>
              <w:t>Based on patients with a best overall response as confirmed complete or partial response; based on Kaplan-Meier estimates</w:t>
            </w:r>
          </w:p>
          <w:p w:rsidR="00ED7D43" w:rsidRPr="00ED7D43" w:rsidRDefault="00ED7D43" w:rsidP="00ED7D43">
            <w:pPr>
              <w:rPr>
                <w:bCs/>
                <w:lang w:val="en-GB"/>
              </w:rPr>
            </w:pPr>
          </w:p>
        </w:tc>
      </w:tr>
    </w:tbl>
    <w:p w:rsidR="00ED7D43" w:rsidRPr="00ED7D43" w:rsidRDefault="00ED7D43" w:rsidP="00ED7D43">
      <w:pPr>
        <w:rPr>
          <w:bCs/>
        </w:rPr>
      </w:pPr>
      <w:r w:rsidRPr="00ED7D43">
        <w:rPr>
          <w:bCs/>
        </w:rPr>
        <w:t>The results of all efficacy outcome measures in the subgroup of patients with PD-L1 TPS ≥20% NSCLC were intermediate between the results of those with PD-L1 TPS ≥1% and those with PD-L1 TPS ≥50%.</w:t>
      </w:r>
      <w:r w:rsidRPr="00ED7D43">
        <w:t xml:space="preserve"> In a pre-specified exploratory subgroup analysis for patients with TPS 1-49% NSCLC, the median OS was 13.4 months (95% CI: 10.7, 18.2) for the pembrolizumab group and 12.1 months (95% CI: 11.0, 14.0) in the chemotherapy group, with an HR of 0.92 (95% CI: 0.77, 1.11).</w:t>
      </w:r>
    </w:p>
    <w:p w:rsidR="00ED7D43" w:rsidRPr="00ED7D43" w:rsidRDefault="00ED7D43" w:rsidP="00ED7D43">
      <w:pPr>
        <w:rPr>
          <w:b/>
          <w:lang w:val="en-GB"/>
        </w:rPr>
      </w:pPr>
    </w:p>
    <w:p w:rsidR="00ED7D43" w:rsidRPr="00ED7D43" w:rsidRDefault="00ED7D43" w:rsidP="00D920A1">
      <w:pPr>
        <w:pStyle w:val="Figuretitle"/>
      </w:pPr>
      <w:r w:rsidRPr="00ED7D43">
        <w:lastRenderedPageBreak/>
        <w:t>Figure 9: Kaplan-Meier Curve for Overall Survival by Treatment Arm in KEYNOTE-042 (TPS ≥ 1%, Intent-to-Treat Population)</w:t>
      </w:r>
    </w:p>
    <w:p w:rsidR="00ED7D43" w:rsidRPr="00ED7D43" w:rsidRDefault="00ED7D43" w:rsidP="00ED7D43">
      <w:r w:rsidRPr="00ED7D43">
        <w:drawing>
          <wp:inline distT="0" distB="0" distL="0" distR="0" wp14:anchorId="4846B44D" wp14:editId="5B7FDAFE">
            <wp:extent cx="5303520" cy="44329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l="17693" t="1163" r="1282" b="11394"/>
                    <a:stretch>
                      <a:fillRect/>
                    </a:stretch>
                  </pic:blipFill>
                  <pic:spPr bwMode="auto">
                    <a:xfrm>
                      <a:off x="0" y="0"/>
                      <a:ext cx="5303520" cy="4432935"/>
                    </a:xfrm>
                    <a:prstGeom prst="rect">
                      <a:avLst/>
                    </a:prstGeom>
                    <a:noFill/>
                    <a:ln>
                      <a:noFill/>
                    </a:ln>
                  </pic:spPr>
                </pic:pic>
              </a:graphicData>
            </a:graphic>
          </wp:inline>
        </w:drawing>
      </w:r>
    </w:p>
    <w:p w:rsidR="00ED7D43" w:rsidRPr="00ED7D43" w:rsidRDefault="00ED7D43" w:rsidP="00ED7D43">
      <w:pPr>
        <w:rPr>
          <w:i/>
        </w:rPr>
      </w:pPr>
      <w:r w:rsidRPr="00ED7D43">
        <w:rPr>
          <w:i/>
        </w:rPr>
        <w:t>KEYNOTE-024: Controlled trial of NSCLC patients naïve to treatment</w:t>
      </w:r>
    </w:p>
    <w:p w:rsidR="00ED7D43" w:rsidRPr="00ED7D43" w:rsidRDefault="00ED7D43" w:rsidP="00ED7D43">
      <w:r w:rsidRPr="00ED7D43">
        <w:t xml:space="preserve">The efficacy of KEYTRUDA in previously untreated patients with NSCLC was also investigated in KEYNOTE-024, a </w:t>
      </w:r>
      <w:proofErr w:type="spellStart"/>
      <w:r w:rsidRPr="00ED7D43">
        <w:t>multicenter</w:t>
      </w:r>
      <w:proofErr w:type="spellEnd"/>
      <w:r w:rsidRPr="00ED7D43">
        <w:t xml:space="preserve">, randomised, controlled trial. The study design was similar to that of KEYNOTE-042, except that only patients with metastatic NSCLC whose tumours expressed PD-L1 with TPS of 50% or greater by an immunohistochemistry assay using the PD-L1 IHC 22C3 </w:t>
      </w:r>
      <w:proofErr w:type="spellStart"/>
      <w:r w:rsidRPr="00ED7D43">
        <w:t>pharmDx</w:t>
      </w:r>
      <w:proofErr w:type="spellEnd"/>
      <w:r w:rsidRPr="00ED7D43">
        <w:t xml:space="preserve"> Kit were eligible. Patients with treated brain metastases were eligible if neurologically returned to baseline prior to enrolment and off corticosteroids. Patients were randomised (1:1) to receive KEYTRUDA 200 mg every 3 weeks (n=154) or investigator’s choice platinum-containing chemotherapy (n=151; including </w:t>
      </w:r>
      <w:proofErr w:type="spellStart"/>
      <w:r w:rsidRPr="00ED7D43">
        <w:t>pemetrexed+carboplatin</w:t>
      </w:r>
      <w:proofErr w:type="spellEnd"/>
      <w:r w:rsidRPr="00ED7D43">
        <w:t xml:space="preserve">, </w:t>
      </w:r>
      <w:proofErr w:type="spellStart"/>
      <w:r w:rsidRPr="00ED7D43">
        <w:t>pemetrexed+cisplatin</w:t>
      </w:r>
      <w:proofErr w:type="spellEnd"/>
      <w:r w:rsidRPr="00ED7D43">
        <w:t xml:space="preserve">, </w:t>
      </w:r>
      <w:proofErr w:type="spellStart"/>
      <w:r w:rsidRPr="00ED7D43">
        <w:t>gemcitabine+cisplatin</w:t>
      </w:r>
      <w:proofErr w:type="spellEnd"/>
      <w:r w:rsidRPr="00ED7D43">
        <w:t xml:space="preserve">, </w:t>
      </w:r>
      <w:proofErr w:type="spellStart"/>
      <w:r w:rsidRPr="00ED7D43">
        <w:t>gemcitabine+carboplatin</w:t>
      </w:r>
      <w:proofErr w:type="spellEnd"/>
      <w:r w:rsidRPr="00ED7D43">
        <w:t xml:space="preserve">, or </w:t>
      </w:r>
      <w:proofErr w:type="spellStart"/>
      <w:r w:rsidRPr="00ED7D43">
        <w:t>paclitaxel+carboplatin</w:t>
      </w:r>
      <w:proofErr w:type="spellEnd"/>
      <w:r w:rsidRPr="00ED7D43">
        <w:t xml:space="preserve">. Patients with non-squamous NSCLC could receive </w:t>
      </w:r>
      <w:proofErr w:type="spellStart"/>
      <w:r w:rsidRPr="00ED7D43">
        <w:t>pemetrexed</w:t>
      </w:r>
      <w:proofErr w:type="spellEnd"/>
      <w:r w:rsidRPr="00ED7D43">
        <w:t xml:space="preserve"> maintenance). Patients on chemotherapy who experienced independently-verified progression of disease were able to crossover and receive KEYTRUDA.</w:t>
      </w:r>
    </w:p>
    <w:p w:rsidR="00ED7D43" w:rsidRPr="00ED7D43" w:rsidRDefault="00ED7D43" w:rsidP="00ED7D43">
      <w:r w:rsidRPr="00ED7D43">
        <w:t xml:space="preserve">Among the 305 patients in KEYNOTE-024, baseline characteristics were: median age 65 years (54% age 65 or older); 61% male; 82% White and 15% Asian; and 35% and 65% with an ECOG performance status 0 and 1, respectively. Subjects with ECOG performance status &gt; 1 and </w:t>
      </w:r>
      <w:r w:rsidRPr="00ED7D43">
        <w:lastRenderedPageBreak/>
        <w:t>subjects with significant organ dysfunction were ineligible. Disease characteristics were squamous (18%) and non</w:t>
      </w:r>
      <w:r w:rsidRPr="00ED7D43">
        <w:noBreakHyphen/>
        <w:t>squamous (82%); M1 (99%); and brain metastases (9%).</w:t>
      </w:r>
    </w:p>
    <w:p w:rsidR="00ED7D43" w:rsidRPr="00ED7D43" w:rsidRDefault="00ED7D43" w:rsidP="00ED7D43">
      <w:r w:rsidRPr="00ED7D43">
        <w:t>The primary efficacy outcome measure was PFS as assessed by blinded independent central review (BICR) using RECIST 1.1. Secondary efficacy outcome measures were OS and ORR (as assessed by BICR using RECIST 1.1). Table 21 summarizes key efficacy measures for the entire ITT population.</w:t>
      </w:r>
    </w:p>
    <w:p w:rsidR="00ED7D43" w:rsidRPr="00ED7D43" w:rsidRDefault="00ED7D43" w:rsidP="00D920A1">
      <w:pPr>
        <w:pStyle w:val="Tabletitle"/>
      </w:pPr>
      <w:r w:rsidRPr="00ED7D43">
        <w:t>Table 21: Efficacy Results in KEYNOTE-024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8"/>
        <w:gridCol w:w="2720"/>
        <w:gridCol w:w="2722"/>
      </w:tblGrid>
      <w:tr w:rsidR="00ED7D43" w:rsidRPr="00ED7D43" w:rsidTr="00ED7D43">
        <w:trPr>
          <w:jc w:val="center"/>
        </w:trPr>
        <w:tc>
          <w:tcPr>
            <w:tcW w:w="1997" w:type="pct"/>
            <w:shd w:val="clear" w:color="auto" w:fill="auto"/>
          </w:tcPr>
          <w:p w:rsidR="00ED7D43" w:rsidRPr="00ED7D43" w:rsidRDefault="00ED7D43" w:rsidP="00ED7D43">
            <w:pPr>
              <w:rPr>
                <w:b/>
              </w:rPr>
            </w:pPr>
            <w:r w:rsidRPr="00ED7D43">
              <w:rPr>
                <w:b/>
              </w:rPr>
              <w:t>Endpoint</w:t>
            </w:r>
          </w:p>
        </w:tc>
        <w:tc>
          <w:tcPr>
            <w:tcW w:w="1501" w:type="pct"/>
          </w:tcPr>
          <w:p w:rsidR="00ED7D43" w:rsidRPr="00ED7D43" w:rsidRDefault="00ED7D43" w:rsidP="00ED7D43">
            <w:pPr>
              <w:rPr>
                <w:b/>
              </w:rPr>
            </w:pPr>
            <w:r w:rsidRPr="00ED7D43">
              <w:rPr>
                <w:b/>
              </w:rPr>
              <w:t xml:space="preserve">KEYTRUDA </w:t>
            </w:r>
            <w:r w:rsidRPr="00ED7D43">
              <w:rPr>
                <w:b/>
              </w:rPr>
              <w:br/>
              <w:t>200 mg every 3 weeks</w:t>
            </w:r>
            <w:r w:rsidRPr="00ED7D43">
              <w:rPr>
                <w:b/>
              </w:rPr>
              <w:br/>
              <w:t>n=154</w:t>
            </w:r>
          </w:p>
        </w:tc>
        <w:tc>
          <w:tcPr>
            <w:tcW w:w="1502" w:type="pct"/>
          </w:tcPr>
          <w:p w:rsidR="00ED7D43" w:rsidRPr="00ED7D43" w:rsidRDefault="00ED7D43" w:rsidP="00ED7D43">
            <w:pPr>
              <w:rPr>
                <w:b/>
              </w:rPr>
            </w:pPr>
            <w:r w:rsidRPr="00ED7D43">
              <w:rPr>
                <w:b/>
              </w:rPr>
              <w:t>Chemotherapy</w:t>
            </w:r>
            <w:r w:rsidRPr="00ED7D43">
              <w:rPr>
                <w:b/>
              </w:rPr>
              <w:br/>
            </w:r>
            <w:r w:rsidRPr="00ED7D43">
              <w:rPr>
                <w:b/>
              </w:rPr>
              <w:br/>
              <w:t>n=151</w:t>
            </w:r>
          </w:p>
        </w:tc>
      </w:tr>
      <w:tr w:rsidR="00ED7D43" w:rsidRPr="00ED7D43" w:rsidTr="00ED7D43">
        <w:trPr>
          <w:jc w:val="center"/>
        </w:trPr>
        <w:tc>
          <w:tcPr>
            <w:tcW w:w="1997" w:type="pct"/>
            <w:shd w:val="clear" w:color="auto" w:fill="auto"/>
          </w:tcPr>
          <w:p w:rsidR="00ED7D43" w:rsidRPr="00ED7D43" w:rsidRDefault="00ED7D43" w:rsidP="00ED7D43">
            <w:pPr>
              <w:rPr>
                <w:b/>
              </w:rPr>
            </w:pPr>
            <w:r w:rsidRPr="00ED7D43">
              <w:rPr>
                <w:b/>
              </w:rPr>
              <w:t>PFS*</w:t>
            </w:r>
          </w:p>
        </w:tc>
        <w:tc>
          <w:tcPr>
            <w:tcW w:w="1501" w:type="pct"/>
          </w:tcPr>
          <w:p w:rsidR="00ED7D43" w:rsidRPr="00ED7D43" w:rsidRDefault="00ED7D43" w:rsidP="00ED7D43"/>
        </w:tc>
        <w:tc>
          <w:tcPr>
            <w:tcW w:w="1502" w:type="pct"/>
          </w:tcPr>
          <w:p w:rsidR="00ED7D43" w:rsidRPr="00ED7D43" w:rsidRDefault="00ED7D43" w:rsidP="00ED7D43"/>
        </w:tc>
      </w:tr>
      <w:tr w:rsidR="00ED7D43" w:rsidRPr="00ED7D43" w:rsidTr="00ED7D43">
        <w:trPr>
          <w:jc w:val="center"/>
        </w:trPr>
        <w:tc>
          <w:tcPr>
            <w:tcW w:w="1997" w:type="pct"/>
            <w:shd w:val="clear" w:color="auto" w:fill="auto"/>
          </w:tcPr>
          <w:p w:rsidR="00ED7D43" w:rsidRPr="00ED7D43" w:rsidRDefault="00ED7D43" w:rsidP="00ED7D43">
            <w:r w:rsidRPr="00ED7D43">
              <w:t xml:space="preserve">Number (%) of patients with event </w:t>
            </w:r>
          </w:p>
        </w:tc>
        <w:tc>
          <w:tcPr>
            <w:tcW w:w="1501" w:type="pct"/>
          </w:tcPr>
          <w:p w:rsidR="00ED7D43" w:rsidRPr="00ED7D43" w:rsidRDefault="00ED7D43" w:rsidP="00ED7D43">
            <w:pPr>
              <w:rPr>
                <w:bCs/>
              </w:rPr>
            </w:pPr>
            <w:r w:rsidRPr="00ED7D43">
              <w:t>73 (47%)</w:t>
            </w:r>
          </w:p>
        </w:tc>
        <w:tc>
          <w:tcPr>
            <w:tcW w:w="1502" w:type="pct"/>
          </w:tcPr>
          <w:p w:rsidR="00ED7D43" w:rsidRPr="00ED7D43" w:rsidRDefault="00ED7D43" w:rsidP="00ED7D43">
            <w:pPr>
              <w:rPr>
                <w:bCs/>
              </w:rPr>
            </w:pPr>
            <w:r w:rsidRPr="00ED7D43">
              <w:t>116 (77%)</w:t>
            </w:r>
          </w:p>
        </w:tc>
      </w:tr>
      <w:tr w:rsidR="00ED7D43" w:rsidRPr="00ED7D43" w:rsidTr="00ED7D43">
        <w:trPr>
          <w:jc w:val="center"/>
        </w:trPr>
        <w:tc>
          <w:tcPr>
            <w:tcW w:w="1997" w:type="pct"/>
            <w:shd w:val="clear" w:color="auto" w:fill="auto"/>
          </w:tcPr>
          <w:p w:rsidR="00ED7D43" w:rsidRPr="00ED7D43" w:rsidRDefault="00ED7D43" w:rsidP="00ED7D43">
            <w:r w:rsidRPr="00ED7D43">
              <w:t>Hazard ratio</w:t>
            </w:r>
            <w:r w:rsidRPr="00ED7D43">
              <w:rPr>
                <w:bCs/>
                <w:vertAlign w:val="superscript"/>
              </w:rPr>
              <w:t>†</w:t>
            </w:r>
            <w:r w:rsidRPr="00ED7D43">
              <w:t xml:space="preserve"> (95% CI)</w:t>
            </w:r>
          </w:p>
        </w:tc>
        <w:tc>
          <w:tcPr>
            <w:tcW w:w="1501" w:type="pct"/>
          </w:tcPr>
          <w:p w:rsidR="00ED7D43" w:rsidRPr="00ED7D43" w:rsidRDefault="00ED7D43" w:rsidP="00ED7D43">
            <w:pPr>
              <w:rPr>
                <w:bCs/>
              </w:rPr>
            </w:pPr>
            <w:r w:rsidRPr="00ED7D43">
              <w:t>0.50 (0.37, 0.68)</w:t>
            </w:r>
          </w:p>
        </w:tc>
        <w:tc>
          <w:tcPr>
            <w:tcW w:w="1502" w:type="pct"/>
          </w:tcPr>
          <w:p w:rsidR="00ED7D43" w:rsidRPr="00ED7D43" w:rsidRDefault="00ED7D43" w:rsidP="00ED7D43">
            <w:r w:rsidRPr="00ED7D43">
              <w:t>---</w:t>
            </w:r>
          </w:p>
        </w:tc>
      </w:tr>
      <w:tr w:rsidR="00ED7D43" w:rsidRPr="00ED7D43" w:rsidTr="00ED7D43">
        <w:trPr>
          <w:trHeight w:val="178"/>
          <w:jc w:val="center"/>
        </w:trPr>
        <w:tc>
          <w:tcPr>
            <w:tcW w:w="1997" w:type="pct"/>
            <w:shd w:val="clear" w:color="auto" w:fill="auto"/>
          </w:tcPr>
          <w:p w:rsidR="00ED7D43" w:rsidRPr="00ED7D43" w:rsidRDefault="00ED7D43" w:rsidP="00ED7D43">
            <w:r w:rsidRPr="00ED7D43">
              <w:t>p-Value</w:t>
            </w:r>
            <w:r w:rsidRPr="00ED7D43">
              <w:rPr>
                <w:vertAlign w:val="superscript"/>
              </w:rPr>
              <w:t>‡</w:t>
            </w:r>
          </w:p>
        </w:tc>
        <w:tc>
          <w:tcPr>
            <w:tcW w:w="1501" w:type="pct"/>
          </w:tcPr>
          <w:p w:rsidR="00ED7D43" w:rsidRPr="00ED7D43" w:rsidRDefault="00ED7D43" w:rsidP="00ED7D43">
            <w:r w:rsidRPr="00ED7D43">
              <w:t>&lt;0.001</w:t>
            </w:r>
          </w:p>
        </w:tc>
        <w:tc>
          <w:tcPr>
            <w:tcW w:w="1502" w:type="pct"/>
          </w:tcPr>
          <w:p w:rsidR="00ED7D43" w:rsidRPr="00ED7D43" w:rsidRDefault="00ED7D43" w:rsidP="00ED7D43">
            <w:r w:rsidRPr="00ED7D43">
              <w:t>---</w:t>
            </w:r>
          </w:p>
        </w:tc>
      </w:tr>
      <w:tr w:rsidR="00ED7D43" w:rsidRPr="00ED7D43" w:rsidTr="00ED7D43">
        <w:trPr>
          <w:jc w:val="center"/>
        </w:trPr>
        <w:tc>
          <w:tcPr>
            <w:tcW w:w="1997" w:type="pct"/>
            <w:shd w:val="clear" w:color="auto" w:fill="auto"/>
          </w:tcPr>
          <w:p w:rsidR="00ED7D43" w:rsidRPr="00ED7D43" w:rsidRDefault="00ED7D43" w:rsidP="00ED7D43">
            <w:r w:rsidRPr="00ED7D43">
              <w:t>Median in months (95% CI)</w:t>
            </w:r>
          </w:p>
        </w:tc>
        <w:tc>
          <w:tcPr>
            <w:tcW w:w="1501" w:type="pct"/>
          </w:tcPr>
          <w:p w:rsidR="00ED7D43" w:rsidRPr="00ED7D43" w:rsidRDefault="00ED7D43" w:rsidP="00ED7D43">
            <w:r w:rsidRPr="00ED7D43">
              <w:t>10.3 (6.7, NA)</w:t>
            </w:r>
          </w:p>
        </w:tc>
        <w:tc>
          <w:tcPr>
            <w:tcW w:w="1502" w:type="pct"/>
          </w:tcPr>
          <w:p w:rsidR="00ED7D43" w:rsidRPr="00ED7D43" w:rsidRDefault="00ED7D43" w:rsidP="00ED7D43">
            <w:r w:rsidRPr="00ED7D43">
              <w:t>6.0 (4.2, 6.2)</w:t>
            </w:r>
          </w:p>
        </w:tc>
      </w:tr>
      <w:tr w:rsidR="00ED7D43" w:rsidRPr="00ED7D43" w:rsidTr="00ED7D43">
        <w:trPr>
          <w:jc w:val="center"/>
        </w:trPr>
        <w:tc>
          <w:tcPr>
            <w:tcW w:w="1997" w:type="pct"/>
            <w:shd w:val="clear" w:color="auto" w:fill="auto"/>
          </w:tcPr>
          <w:p w:rsidR="00ED7D43" w:rsidRPr="00ED7D43" w:rsidRDefault="00ED7D43" w:rsidP="00ED7D43">
            <w:r w:rsidRPr="00ED7D43">
              <w:t>OS</w:t>
            </w:r>
          </w:p>
        </w:tc>
        <w:tc>
          <w:tcPr>
            <w:tcW w:w="1501" w:type="pct"/>
          </w:tcPr>
          <w:p w:rsidR="00ED7D43" w:rsidRPr="00ED7D43" w:rsidRDefault="00ED7D43" w:rsidP="00ED7D43"/>
        </w:tc>
        <w:tc>
          <w:tcPr>
            <w:tcW w:w="1502" w:type="pct"/>
          </w:tcPr>
          <w:p w:rsidR="00ED7D43" w:rsidRPr="00ED7D43" w:rsidRDefault="00ED7D43" w:rsidP="00ED7D43"/>
        </w:tc>
      </w:tr>
      <w:tr w:rsidR="00ED7D43" w:rsidRPr="00ED7D43" w:rsidTr="00ED7D43">
        <w:trPr>
          <w:jc w:val="center"/>
        </w:trPr>
        <w:tc>
          <w:tcPr>
            <w:tcW w:w="1997" w:type="pct"/>
            <w:shd w:val="clear" w:color="auto" w:fill="auto"/>
          </w:tcPr>
          <w:p w:rsidR="00ED7D43" w:rsidRPr="00ED7D43" w:rsidRDefault="00ED7D43" w:rsidP="00ED7D43">
            <w:r w:rsidRPr="00ED7D43">
              <w:t>Number (%) of patients with event</w:t>
            </w:r>
          </w:p>
        </w:tc>
        <w:tc>
          <w:tcPr>
            <w:tcW w:w="1501" w:type="pct"/>
          </w:tcPr>
          <w:p w:rsidR="00ED7D43" w:rsidRPr="00ED7D43" w:rsidRDefault="00ED7D43" w:rsidP="00ED7D43">
            <w:r w:rsidRPr="00ED7D43">
              <w:t>44 (29%)</w:t>
            </w:r>
          </w:p>
        </w:tc>
        <w:tc>
          <w:tcPr>
            <w:tcW w:w="1502" w:type="pct"/>
          </w:tcPr>
          <w:p w:rsidR="00ED7D43" w:rsidRPr="00ED7D43" w:rsidRDefault="00ED7D43" w:rsidP="00ED7D43">
            <w:r w:rsidRPr="00ED7D43">
              <w:t>64 (42%)</w:t>
            </w:r>
          </w:p>
        </w:tc>
      </w:tr>
      <w:tr w:rsidR="00ED7D43" w:rsidRPr="00ED7D43" w:rsidTr="00ED7D43">
        <w:trPr>
          <w:jc w:val="center"/>
        </w:trPr>
        <w:tc>
          <w:tcPr>
            <w:tcW w:w="1997" w:type="pct"/>
            <w:shd w:val="clear" w:color="auto" w:fill="auto"/>
          </w:tcPr>
          <w:p w:rsidR="00ED7D43" w:rsidRPr="00ED7D43" w:rsidRDefault="00ED7D43" w:rsidP="00ED7D43">
            <w:r w:rsidRPr="00ED7D43">
              <w:t>Hazard ratio</w:t>
            </w:r>
            <w:r w:rsidRPr="00ED7D43">
              <w:rPr>
                <w:vertAlign w:val="superscript"/>
              </w:rPr>
              <w:t>†</w:t>
            </w:r>
            <w:r w:rsidRPr="00ED7D43">
              <w:t xml:space="preserve"> (95% CI)</w:t>
            </w:r>
          </w:p>
        </w:tc>
        <w:tc>
          <w:tcPr>
            <w:tcW w:w="1501" w:type="pct"/>
          </w:tcPr>
          <w:p w:rsidR="00ED7D43" w:rsidRPr="00ED7D43" w:rsidRDefault="00ED7D43" w:rsidP="00ED7D43">
            <w:r w:rsidRPr="00ED7D43">
              <w:t>0.60 (0.41, 0.89)</w:t>
            </w:r>
          </w:p>
        </w:tc>
        <w:tc>
          <w:tcPr>
            <w:tcW w:w="1502" w:type="pct"/>
          </w:tcPr>
          <w:p w:rsidR="00ED7D43" w:rsidRPr="00ED7D43" w:rsidRDefault="00ED7D43" w:rsidP="00ED7D43"/>
        </w:tc>
      </w:tr>
      <w:tr w:rsidR="00ED7D43" w:rsidRPr="00ED7D43" w:rsidTr="00ED7D43">
        <w:trPr>
          <w:trHeight w:val="178"/>
          <w:jc w:val="center"/>
        </w:trPr>
        <w:tc>
          <w:tcPr>
            <w:tcW w:w="1997" w:type="pct"/>
            <w:shd w:val="clear" w:color="auto" w:fill="auto"/>
          </w:tcPr>
          <w:p w:rsidR="00ED7D43" w:rsidRPr="00ED7D43" w:rsidRDefault="00ED7D43" w:rsidP="00ED7D43">
            <w:r w:rsidRPr="00ED7D43">
              <w:t>p-Value</w:t>
            </w:r>
            <w:r w:rsidRPr="00ED7D43">
              <w:rPr>
                <w:vertAlign w:val="superscript"/>
              </w:rPr>
              <w:t>‡</w:t>
            </w:r>
          </w:p>
        </w:tc>
        <w:tc>
          <w:tcPr>
            <w:tcW w:w="1501" w:type="pct"/>
          </w:tcPr>
          <w:p w:rsidR="00ED7D43" w:rsidRPr="00ED7D43" w:rsidRDefault="00ED7D43" w:rsidP="00ED7D43">
            <w:r w:rsidRPr="00ED7D43">
              <w:t>0.005</w:t>
            </w:r>
          </w:p>
        </w:tc>
        <w:tc>
          <w:tcPr>
            <w:tcW w:w="1502" w:type="pct"/>
          </w:tcPr>
          <w:p w:rsidR="00ED7D43" w:rsidRPr="00ED7D43" w:rsidRDefault="00ED7D43" w:rsidP="00ED7D43"/>
        </w:tc>
      </w:tr>
      <w:tr w:rsidR="00ED7D43" w:rsidRPr="00ED7D43" w:rsidTr="00ED7D43">
        <w:trPr>
          <w:jc w:val="center"/>
        </w:trPr>
        <w:tc>
          <w:tcPr>
            <w:tcW w:w="1997" w:type="pct"/>
            <w:shd w:val="clear" w:color="auto" w:fill="auto"/>
          </w:tcPr>
          <w:p w:rsidR="00ED7D43" w:rsidRPr="00ED7D43" w:rsidRDefault="00ED7D43" w:rsidP="00ED7D43">
            <w:r w:rsidRPr="00ED7D43">
              <w:t>Median in months (95% CI)</w:t>
            </w:r>
          </w:p>
        </w:tc>
        <w:tc>
          <w:tcPr>
            <w:tcW w:w="1501" w:type="pct"/>
          </w:tcPr>
          <w:p w:rsidR="00ED7D43" w:rsidRPr="00ED7D43" w:rsidRDefault="00ED7D43" w:rsidP="00ED7D43">
            <w:r w:rsidRPr="00ED7D43">
              <w:t>Not reached</w:t>
            </w:r>
          </w:p>
          <w:p w:rsidR="00ED7D43" w:rsidRPr="00ED7D43" w:rsidRDefault="00ED7D43" w:rsidP="00ED7D43">
            <w:r w:rsidRPr="00ED7D43">
              <w:t>(NA, NA)</w:t>
            </w:r>
          </w:p>
        </w:tc>
        <w:tc>
          <w:tcPr>
            <w:tcW w:w="1502" w:type="pct"/>
          </w:tcPr>
          <w:p w:rsidR="00ED7D43" w:rsidRPr="00ED7D43" w:rsidRDefault="00ED7D43" w:rsidP="00ED7D43">
            <w:r w:rsidRPr="00ED7D43">
              <w:t>Not reached</w:t>
            </w:r>
          </w:p>
          <w:p w:rsidR="00ED7D43" w:rsidRPr="00ED7D43" w:rsidRDefault="00ED7D43" w:rsidP="00ED7D43">
            <w:r w:rsidRPr="00ED7D43">
              <w:t>(9.4, NA)</w:t>
            </w:r>
          </w:p>
        </w:tc>
      </w:tr>
      <w:tr w:rsidR="00ED7D43" w:rsidRPr="00ED7D43" w:rsidTr="00ED7D43">
        <w:trPr>
          <w:jc w:val="center"/>
        </w:trPr>
        <w:tc>
          <w:tcPr>
            <w:tcW w:w="1997" w:type="pct"/>
            <w:shd w:val="clear" w:color="auto" w:fill="auto"/>
          </w:tcPr>
          <w:p w:rsidR="00ED7D43" w:rsidRPr="00ED7D43" w:rsidRDefault="00ED7D43" w:rsidP="00ED7D43">
            <w:pPr>
              <w:rPr>
                <w:b/>
              </w:rPr>
            </w:pPr>
            <w:r w:rsidRPr="00ED7D43">
              <w:rPr>
                <w:b/>
              </w:rPr>
              <w:t>Objective response rate*</w:t>
            </w:r>
          </w:p>
        </w:tc>
        <w:tc>
          <w:tcPr>
            <w:tcW w:w="1501" w:type="pct"/>
          </w:tcPr>
          <w:p w:rsidR="00ED7D43" w:rsidRPr="00ED7D43" w:rsidRDefault="00ED7D43" w:rsidP="00ED7D43"/>
        </w:tc>
        <w:tc>
          <w:tcPr>
            <w:tcW w:w="1502" w:type="pct"/>
          </w:tcPr>
          <w:p w:rsidR="00ED7D43" w:rsidRPr="00ED7D43" w:rsidRDefault="00ED7D43" w:rsidP="00ED7D43"/>
        </w:tc>
      </w:tr>
      <w:tr w:rsidR="00ED7D43" w:rsidRPr="00ED7D43" w:rsidTr="00ED7D43">
        <w:trPr>
          <w:jc w:val="center"/>
        </w:trPr>
        <w:tc>
          <w:tcPr>
            <w:tcW w:w="1997" w:type="pct"/>
            <w:shd w:val="clear" w:color="auto" w:fill="auto"/>
          </w:tcPr>
          <w:p w:rsidR="00ED7D43" w:rsidRPr="00ED7D43" w:rsidRDefault="00ED7D43" w:rsidP="00ED7D43">
            <w:r w:rsidRPr="00ED7D43">
              <w:t>ORR % (95% CI)</w:t>
            </w:r>
          </w:p>
        </w:tc>
        <w:tc>
          <w:tcPr>
            <w:tcW w:w="1501" w:type="pct"/>
          </w:tcPr>
          <w:p w:rsidR="00ED7D43" w:rsidRPr="00ED7D43" w:rsidRDefault="00ED7D43" w:rsidP="00ED7D43">
            <w:r w:rsidRPr="00ED7D43">
              <w:t>45% (37, 53)</w:t>
            </w:r>
          </w:p>
        </w:tc>
        <w:tc>
          <w:tcPr>
            <w:tcW w:w="1502" w:type="pct"/>
          </w:tcPr>
          <w:p w:rsidR="00ED7D43" w:rsidRPr="00ED7D43" w:rsidRDefault="00ED7D43" w:rsidP="00ED7D43">
            <w:r w:rsidRPr="00ED7D43">
              <w:t>28% (21, 36)</w:t>
            </w:r>
          </w:p>
        </w:tc>
      </w:tr>
      <w:tr w:rsidR="00ED7D43" w:rsidRPr="00ED7D43" w:rsidTr="00ED7D43">
        <w:trPr>
          <w:jc w:val="center"/>
        </w:trPr>
        <w:tc>
          <w:tcPr>
            <w:tcW w:w="1997" w:type="pct"/>
            <w:shd w:val="clear" w:color="auto" w:fill="auto"/>
          </w:tcPr>
          <w:p w:rsidR="00ED7D43" w:rsidRPr="00ED7D43" w:rsidRDefault="00ED7D43" w:rsidP="00ED7D43">
            <w:r w:rsidRPr="00ED7D43">
              <w:t>Complete response %</w:t>
            </w:r>
          </w:p>
        </w:tc>
        <w:tc>
          <w:tcPr>
            <w:tcW w:w="1501" w:type="pct"/>
          </w:tcPr>
          <w:p w:rsidR="00ED7D43" w:rsidRPr="00ED7D43" w:rsidRDefault="00ED7D43" w:rsidP="00ED7D43">
            <w:r w:rsidRPr="00ED7D43">
              <w:t>4%</w:t>
            </w:r>
          </w:p>
        </w:tc>
        <w:tc>
          <w:tcPr>
            <w:tcW w:w="1502" w:type="pct"/>
          </w:tcPr>
          <w:p w:rsidR="00ED7D43" w:rsidRPr="00ED7D43" w:rsidRDefault="00ED7D43" w:rsidP="00ED7D43">
            <w:r w:rsidRPr="00ED7D43">
              <w:t>1%</w:t>
            </w:r>
          </w:p>
        </w:tc>
      </w:tr>
      <w:tr w:rsidR="00ED7D43" w:rsidRPr="00ED7D43" w:rsidTr="00ED7D43">
        <w:trPr>
          <w:jc w:val="center"/>
        </w:trPr>
        <w:tc>
          <w:tcPr>
            <w:tcW w:w="1997" w:type="pct"/>
            <w:shd w:val="clear" w:color="auto" w:fill="auto"/>
          </w:tcPr>
          <w:p w:rsidR="00ED7D43" w:rsidRPr="00ED7D43" w:rsidRDefault="00ED7D43" w:rsidP="00ED7D43">
            <w:r w:rsidRPr="00ED7D43">
              <w:lastRenderedPageBreak/>
              <w:t>Partial response %</w:t>
            </w:r>
          </w:p>
        </w:tc>
        <w:tc>
          <w:tcPr>
            <w:tcW w:w="1501" w:type="pct"/>
          </w:tcPr>
          <w:p w:rsidR="00ED7D43" w:rsidRPr="00ED7D43" w:rsidRDefault="00ED7D43" w:rsidP="00ED7D43">
            <w:r w:rsidRPr="00ED7D43">
              <w:t>41%</w:t>
            </w:r>
          </w:p>
        </w:tc>
        <w:tc>
          <w:tcPr>
            <w:tcW w:w="1502" w:type="pct"/>
          </w:tcPr>
          <w:p w:rsidR="00ED7D43" w:rsidRPr="00ED7D43" w:rsidRDefault="00ED7D43" w:rsidP="00ED7D43">
            <w:r w:rsidRPr="00ED7D43">
              <w:t>27%</w:t>
            </w:r>
          </w:p>
        </w:tc>
      </w:tr>
      <w:tr w:rsidR="00ED7D43" w:rsidRPr="00ED7D43" w:rsidTr="00ED7D43">
        <w:trPr>
          <w:jc w:val="center"/>
        </w:trPr>
        <w:tc>
          <w:tcPr>
            <w:tcW w:w="1997" w:type="pct"/>
            <w:shd w:val="clear" w:color="auto" w:fill="auto"/>
          </w:tcPr>
          <w:p w:rsidR="00ED7D43" w:rsidRPr="00ED7D43" w:rsidRDefault="00ED7D43" w:rsidP="00ED7D43">
            <w:r w:rsidRPr="00ED7D43">
              <w:t>Response Duration</w:t>
            </w:r>
            <w:r w:rsidRPr="00ED7D43">
              <w:rPr>
                <w:vertAlign w:val="superscript"/>
              </w:rPr>
              <w:t>§,¶</w:t>
            </w:r>
          </w:p>
        </w:tc>
        <w:tc>
          <w:tcPr>
            <w:tcW w:w="1501" w:type="pct"/>
          </w:tcPr>
          <w:p w:rsidR="00ED7D43" w:rsidRPr="00ED7D43" w:rsidRDefault="00ED7D43" w:rsidP="00ED7D43"/>
        </w:tc>
        <w:tc>
          <w:tcPr>
            <w:tcW w:w="1502" w:type="pct"/>
          </w:tcPr>
          <w:p w:rsidR="00ED7D43" w:rsidRPr="00ED7D43" w:rsidRDefault="00ED7D43" w:rsidP="00ED7D43"/>
        </w:tc>
      </w:tr>
      <w:tr w:rsidR="00ED7D43" w:rsidRPr="00ED7D43" w:rsidTr="00ED7D43">
        <w:trPr>
          <w:jc w:val="center"/>
        </w:trPr>
        <w:tc>
          <w:tcPr>
            <w:tcW w:w="1997" w:type="pct"/>
            <w:shd w:val="clear" w:color="auto" w:fill="auto"/>
          </w:tcPr>
          <w:p w:rsidR="00ED7D43" w:rsidRPr="00ED7D43" w:rsidRDefault="00ED7D43" w:rsidP="00ED7D43">
            <w:r w:rsidRPr="00ED7D43">
              <w:t>Median in months (range)</w:t>
            </w:r>
          </w:p>
        </w:tc>
        <w:tc>
          <w:tcPr>
            <w:tcW w:w="1501" w:type="pct"/>
          </w:tcPr>
          <w:p w:rsidR="00ED7D43" w:rsidRPr="00ED7D43" w:rsidRDefault="00ED7D43" w:rsidP="00ED7D43">
            <w:r w:rsidRPr="00ED7D43">
              <w:t>Not reached</w:t>
            </w:r>
          </w:p>
          <w:p w:rsidR="00ED7D43" w:rsidRPr="00ED7D43" w:rsidRDefault="00ED7D43" w:rsidP="00ED7D43">
            <w:r w:rsidRPr="00ED7D43">
              <w:t>(1.9+, 14.5+)</w:t>
            </w:r>
          </w:p>
        </w:tc>
        <w:tc>
          <w:tcPr>
            <w:tcW w:w="1502" w:type="pct"/>
          </w:tcPr>
          <w:p w:rsidR="00ED7D43" w:rsidRPr="00ED7D43" w:rsidRDefault="00ED7D43" w:rsidP="00ED7D43">
            <w:r w:rsidRPr="00ED7D43">
              <w:t>6.3</w:t>
            </w:r>
          </w:p>
          <w:p w:rsidR="00ED7D43" w:rsidRPr="00ED7D43" w:rsidRDefault="00ED7D43" w:rsidP="00ED7D43">
            <w:r w:rsidRPr="00ED7D43">
              <w:t>(2.1+, 12.6+)</w:t>
            </w:r>
          </w:p>
        </w:tc>
      </w:tr>
      <w:tr w:rsidR="00ED7D43" w:rsidRPr="00ED7D43" w:rsidTr="00ED7D43">
        <w:trPr>
          <w:jc w:val="center"/>
        </w:trPr>
        <w:tc>
          <w:tcPr>
            <w:tcW w:w="1997" w:type="pct"/>
            <w:shd w:val="clear" w:color="auto" w:fill="auto"/>
          </w:tcPr>
          <w:p w:rsidR="00ED7D43" w:rsidRPr="00ED7D43" w:rsidRDefault="00ED7D43" w:rsidP="00ED7D43">
            <w:r w:rsidRPr="00ED7D43">
              <w:t>% with duration ≥ 6 months</w:t>
            </w:r>
          </w:p>
        </w:tc>
        <w:tc>
          <w:tcPr>
            <w:tcW w:w="1501" w:type="pct"/>
          </w:tcPr>
          <w:p w:rsidR="00ED7D43" w:rsidRPr="00ED7D43" w:rsidRDefault="00ED7D43" w:rsidP="00ED7D43">
            <w:r w:rsidRPr="00ED7D43">
              <w:t>88%</w:t>
            </w:r>
          </w:p>
        </w:tc>
        <w:tc>
          <w:tcPr>
            <w:tcW w:w="1502" w:type="pct"/>
          </w:tcPr>
          <w:p w:rsidR="00ED7D43" w:rsidRPr="00ED7D43" w:rsidRDefault="00ED7D43" w:rsidP="00ED7D43">
            <w:r w:rsidRPr="00ED7D43">
              <w:t>59%</w:t>
            </w:r>
          </w:p>
        </w:tc>
      </w:tr>
    </w:tbl>
    <w:p w:rsidR="00ED7D43" w:rsidRPr="00ED7D43" w:rsidRDefault="00ED7D43" w:rsidP="00D920A1">
      <w:pPr>
        <w:pStyle w:val="Tabledescription"/>
      </w:pPr>
      <w:r w:rsidRPr="00ED7D43">
        <w:t>* Assessed by BICR using RECIST 1.1</w:t>
      </w:r>
    </w:p>
    <w:p w:rsidR="00ED7D43" w:rsidRPr="00ED7D43" w:rsidRDefault="00ED7D43" w:rsidP="00D920A1">
      <w:pPr>
        <w:pStyle w:val="Tabledescription"/>
      </w:pPr>
      <w:r w:rsidRPr="00ED7D43">
        <w:rPr>
          <w:vertAlign w:val="superscript"/>
        </w:rPr>
        <w:t>†</w:t>
      </w:r>
      <w:r w:rsidRPr="00ED7D43">
        <w:t xml:space="preserve"> Hazard ratio (KEYTRUDA compared to chemotherapy) based on the stratified Cox proportional hazard model</w:t>
      </w:r>
    </w:p>
    <w:p w:rsidR="00ED7D43" w:rsidRPr="00ED7D43" w:rsidRDefault="00ED7D43" w:rsidP="00D920A1">
      <w:pPr>
        <w:pStyle w:val="Tabledescription"/>
      </w:pPr>
      <w:r w:rsidRPr="00ED7D43">
        <w:rPr>
          <w:vertAlign w:val="superscript"/>
        </w:rPr>
        <w:t>‡</w:t>
      </w:r>
      <w:r w:rsidRPr="00ED7D43">
        <w:t xml:space="preserve"> Based on stratified Log rank test</w:t>
      </w:r>
    </w:p>
    <w:p w:rsidR="00ED7D43" w:rsidRPr="00ED7D43" w:rsidRDefault="00ED7D43" w:rsidP="00D920A1">
      <w:pPr>
        <w:pStyle w:val="Tabledescription"/>
      </w:pPr>
      <w:r w:rsidRPr="00ED7D43">
        <w:rPr>
          <w:vertAlign w:val="superscript"/>
        </w:rPr>
        <w:t>§</w:t>
      </w:r>
      <w:r w:rsidRPr="00ED7D43">
        <w:t xml:space="preserve"> Based on patients with a best overall response as confirmed complete or partial response</w:t>
      </w:r>
    </w:p>
    <w:p w:rsidR="00ED7D43" w:rsidRPr="00ED7D43" w:rsidRDefault="00ED7D43" w:rsidP="00D920A1">
      <w:pPr>
        <w:pStyle w:val="Tabledescription"/>
      </w:pPr>
      <w:r w:rsidRPr="00ED7D43">
        <w:rPr>
          <w:vertAlign w:val="superscript"/>
        </w:rPr>
        <w:t>¶</w:t>
      </w:r>
      <w:r w:rsidRPr="00ED7D43">
        <w:t xml:space="preserve"> Based on Kaplan-Meier estimates</w:t>
      </w:r>
    </w:p>
    <w:p w:rsidR="00ED7D43" w:rsidRPr="00ED7D43" w:rsidRDefault="00ED7D43" w:rsidP="00D920A1">
      <w:pPr>
        <w:pStyle w:val="Tabledescription"/>
      </w:pPr>
      <w:r w:rsidRPr="00ED7D43">
        <w:t>NA = not available</w:t>
      </w:r>
    </w:p>
    <w:p w:rsidR="00ED7D43" w:rsidRPr="00ED7D43" w:rsidRDefault="00ED7D43" w:rsidP="00ED7D43">
      <w:r w:rsidRPr="00ED7D43">
        <w:t>The final OS analysis was performed at a median follow-up of 25 months after 169 patient events (73 for KEYTRUDA and 96 for chemotherapy). Median OS was 30.0 months (95% CI: 18.3, NA) for KEYTRUDA and 14.2 months (95% CI: 9.8, 19.0) for chemotherapy. The OS HR was 0.63 (95% CI: 0.47, 0.86; p=0.002). See Figure 11.</w:t>
      </w:r>
    </w:p>
    <w:p w:rsidR="00ED7D43" w:rsidRPr="00ED7D43" w:rsidRDefault="00ED7D43" w:rsidP="00D920A1">
      <w:pPr>
        <w:pStyle w:val="Figuretitle"/>
      </w:pPr>
      <w:r w:rsidRPr="00ED7D43">
        <w:lastRenderedPageBreak/>
        <w:t>Figure 10: Kaplan-Meier Progression-Free Survival by Treatment Arm in KEYNOTE-024 (Intent to Treat Population)</w:t>
      </w:r>
    </w:p>
    <w:p w:rsidR="00ED7D43" w:rsidRPr="00ED7D43" w:rsidRDefault="00ED7D43" w:rsidP="00ED7D43">
      <w:r w:rsidRPr="00ED7D43">
        <w:drawing>
          <wp:inline distT="0" distB="0" distL="0" distR="0" wp14:anchorId="53012720" wp14:editId="6E46E332">
            <wp:extent cx="4606724" cy="3881202"/>
            <wp:effectExtent l="0" t="0" r="381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28503" cy="3899551"/>
                    </a:xfrm>
                    <a:prstGeom prst="rect">
                      <a:avLst/>
                    </a:prstGeom>
                    <a:noFill/>
                    <a:ln>
                      <a:noFill/>
                    </a:ln>
                  </pic:spPr>
                </pic:pic>
              </a:graphicData>
            </a:graphic>
          </wp:inline>
        </w:drawing>
      </w:r>
    </w:p>
    <w:p w:rsidR="00ED7D43" w:rsidRPr="00ED7D43" w:rsidRDefault="00ED7D43" w:rsidP="00D920A1">
      <w:pPr>
        <w:pStyle w:val="Figuretitle"/>
      </w:pPr>
      <w:r w:rsidRPr="00ED7D43">
        <w:lastRenderedPageBreak/>
        <w:t>Figure 11: Kaplan-Meier Curve for Overall Survival by Treatment Arm in KEYNOTE-024 (Intent to Treat Population)</w:t>
      </w:r>
    </w:p>
    <w:p w:rsidR="00ED7D43" w:rsidRPr="00ED7D43" w:rsidRDefault="00ED7D43" w:rsidP="00ED7D43">
      <w:pPr>
        <w:rPr>
          <w:b/>
        </w:rPr>
      </w:pPr>
      <w:r w:rsidRPr="00ED7D43">
        <w:rPr>
          <w:b/>
        </w:rPr>
        <w:drawing>
          <wp:inline distT="0" distB="0" distL="0" distR="0" wp14:anchorId="3086D692" wp14:editId="3FE27DF9">
            <wp:extent cx="4363720" cy="36302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l="17691" t="1328" r="1540" b="11726"/>
                    <a:stretch>
                      <a:fillRect/>
                    </a:stretch>
                  </pic:blipFill>
                  <pic:spPr bwMode="auto">
                    <a:xfrm>
                      <a:off x="0" y="0"/>
                      <a:ext cx="4363720" cy="3630295"/>
                    </a:xfrm>
                    <a:prstGeom prst="rect">
                      <a:avLst/>
                    </a:prstGeom>
                    <a:noFill/>
                    <a:ln>
                      <a:noFill/>
                    </a:ln>
                  </pic:spPr>
                </pic:pic>
              </a:graphicData>
            </a:graphic>
          </wp:inline>
        </w:drawing>
      </w:r>
    </w:p>
    <w:p w:rsidR="00ED7D43" w:rsidRPr="00ED7D43" w:rsidRDefault="00ED7D43" w:rsidP="00ED7D43">
      <w:r w:rsidRPr="00ED7D43">
        <w:t>The improved benefit as assessed by PFS, OS, ORR, and response duration for KEYTRUDA as compared to chemotherapy in the population studied was associated with improvements in health-related quality of life (</w:t>
      </w:r>
      <w:proofErr w:type="spellStart"/>
      <w:r w:rsidRPr="00ED7D43">
        <w:t>HRQoL</w:t>
      </w:r>
      <w:proofErr w:type="spellEnd"/>
      <w:r w:rsidRPr="00ED7D43">
        <w:t>). The change from baseline to Week 15 showed a meaningful improvement in the European Organization for Research and Treatment of Cancer Quality of Life Questionnaire (EORTC QLQ) C30 global health status/</w:t>
      </w:r>
      <w:proofErr w:type="spellStart"/>
      <w:r w:rsidRPr="00ED7D43">
        <w:t>QoL</w:t>
      </w:r>
      <w:proofErr w:type="spellEnd"/>
      <w:r w:rsidRPr="00ED7D43">
        <w:t xml:space="preserve"> score for patients receiving KEYTRUDA compared to chemotherapy (difference in LS means = 7.82; 95% CI: 2.85, 12.79; two-sided p=0.002). The time to deterioration in the EORTC QLQ-LC13 composite endpoint of cough, </w:t>
      </w:r>
      <w:proofErr w:type="spellStart"/>
      <w:r w:rsidRPr="00ED7D43">
        <w:t>dyspnea</w:t>
      </w:r>
      <w:proofErr w:type="spellEnd"/>
      <w:r w:rsidRPr="00ED7D43">
        <w:t>, and chest pain was prolonged for patients receiving KEYTRUDA compared to chemotherapy (HR = 0.66; 95% CI: 0.44, 0.97; two-sided p=0.029), where deterioration is defined as a confirmed 10-point or greater score decrease from baseline in any one of these three symptoms.</w:t>
      </w:r>
    </w:p>
    <w:p w:rsidR="00ED7D43" w:rsidRPr="00ED7D43" w:rsidRDefault="00ED7D43" w:rsidP="00ED7D43">
      <w:pPr>
        <w:rPr>
          <w:i/>
        </w:rPr>
      </w:pPr>
      <w:r w:rsidRPr="00ED7D43">
        <w:rPr>
          <w:i/>
        </w:rPr>
        <w:t>KEYNOTE-010: Controlled trial of NSCLC patients previously treated with chemotherapy</w:t>
      </w:r>
    </w:p>
    <w:p w:rsidR="00ED7D43" w:rsidRPr="00ED7D43" w:rsidRDefault="00ED7D43" w:rsidP="00ED7D43">
      <w:r w:rsidRPr="00ED7D43">
        <w:t xml:space="preserve">The efficacy of KEYTRUDA was investigated in KEYNOTE-010, a </w:t>
      </w:r>
      <w:proofErr w:type="spellStart"/>
      <w:r w:rsidRPr="00ED7D43">
        <w:t>multicenter</w:t>
      </w:r>
      <w:proofErr w:type="spellEnd"/>
      <w:r w:rsidRPr="00ED7D43">
        <w:t>, randomised, controlled trial. Key eligibility criteria were advanced NSCLC that had progressed following platinum-containing chemotherapy, and if appropriate, targeted therapy for ALK or EGFR mutations, and PD-L1 expression TPS of 1% or greater by a clinical trial assay version of the PD</w:t>
      </w:r>
      <w:r w:rsidRPr="00ED7D43">
        <w:noBreakHyphen/>
        <w:t xml:space="preserve">L1 IHC 22C3 </w:t>
      </w:r>
      <w:proofErr w:type="spellStart"/>
      <w:r w:rsidRPr="00ED7D43">
        <w:t>pharmDx</w:t>
      </w:r>
      <w:proofErr w:type="spellEnd"/>
      <w:r w:rsidRPr="00ED7D43">
        <w:t>™ kit. Patients with autoimmune disease; a medical condition that required immunosuppression; who had received more than 30 </w:t>
      </w:r>
      <w:proofErr w:type="spellStart"/>
      <w:r w:rsidRPr="00ED7D43">
        <w:t>Gy</w:t>
      </w:r>
      <w:proofErr w:type="spellEnd"/>
      <w:r w:rsidRPr="00ED7D43">
        <w:t xml:space="preserve"> of thoracic radiation within the prior 26 weeks; or with untreated brain metastases were ineligible. Patients with treated brain metastases were eligible if neurologically returned to baseline prior to enrolment and off corticosteroids. Patients were randomised (1:1:1) to receive 2 mg/kg (n=344) or 10 mg/kg </w:t>
      </w:r>
      <w:r w:rsidRPr="00ED7D43">
        <w:lastRenderedPageBreak/>
        <w:t xml:space="preserve">(n=346) of KEYTRUDA every 3 weeks or 75 mg/m2 of docetaxel every 3 weeks (n=343). Patients were treated with KEYTRUDA until unacceptable toxicity or disease progression, up to a maximum of 35 treatments (24 months). Assessment of tumour status was performed every 9 weeks. </w:t>
      </w:r>
    </w:p>
    <w:p w:rsidR="00ED7D43" w:rsidRPr="00ED7D43" w:rsidRDefault="00ED7D43" w:rsidP="00ED7D43">
      <w:r w:rsidRPr="00ED7D43">
        <w:t>Among the 1033 patients in KEYNOTE-010, baseline characteristics were: median age 63 years (42% age 65 or older); 61% male; 72% White and 21% Asian; and 34% and 66% with an ECOG performance status 0 and 1, respectively. Disease characteristics were squamous (21%) and non-squamous (70%); M1 (91%); brain metastases (15%); and the incidence of genomic aberrations was EGFR (8%) or ALK (1%). Prior therapy included platinum-doublet regimen (100%); patients received one (69%), or two or more (29%) prior therapies.</w:t>
      </w:r>
    </w:p>
    <w:p w:rsidR="00ED7D43" w:rsidRPr="00ED7D43" w:rsidRDefault="00ED7D43" w:rsidP="00ED7D43">
      <w:r w:rsidRPr="00ED7D43">
        <w:t xml:space="preserve">The primary efficacy outcome measures were OS and PFS as assessed by an independent review committee using RECIST 1.1. Secondary efficacy outcome measures were ORR and response duration. Table 22 summarizes key efficacy measures for the entire ITT population (TPS </w:t>
      </w:r>
      <w:r w:rsidRPr="00ED7D43">
        <w:sym w:font="Symbol" w:char="F0B3"/>
      </w:r>
      <w:r w:rsidRPr="00ED7D43">
        <w:t xml:space="preserve">1%) and for the subgroup of patients with TPS </w:t>
      </w:r>
      <w:r w:rsidRPr="00ED7D43">
        <w:sym w:font="Symbol" w:char="F0B3"/>
      </w:r>
      <w:r w:rsidRPr="00ED7D43">
        <w:t xml:space="preserve">50%. Kaplan-Meier curves for OS (TPS </w:t>
      </w:r>
      <w:r w:rsidRPr="00ED7D43">
        <w:sym w:font="Symbol" w:char="F0B3"/>
      </w:r>
      <w:r w:rsidRPr="00ED7D43">
        <w:t xml:space="preserve">1% and TPS </w:t>
      </w:r>
      <w:r w:rsidRPr="00ED7D43">
        <w:sym w:font="Symbol" w:char="F0B3"/>
      </w:r>
      <w:r w:rsidRPr="00ED7D43">
        <w:t xml:space="preserve">50%) are shown in Figures 12 and 13. </w:t>
      </w:r>
    </w:p>
    <w:p w:rsidR="00ED7D43" w:rsidRPr="00ED7D43" w:rsidRDefault="00ED7D43" w:rsidP="00D920A1">
      <w:pPr>
        <w:pStyle w:val="Tabletitle"/>
      </w:pPr>
      <w:r w:rsidRPr="00ED7D43">
        <w:t>Table 22: Response to KEYTRUDA 2 or 10 mg/kg every 3 Weeks in Previously Treated Patients with NSCLC in KEYNOTE-010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1"/>
        <w:gridCol w:w="1819"/>
        <w:gridCol w:w="1819"/>
        <w:gridCol w:w="1821"/>
      </w:tblGrid>
      <w:tr w:rsidR="00ED7D43" w:rsidRPr="00ED7D43" w:rsidTr="00ED7D43">
        <w:trPr>
          <w:trHeight w:val="20"/>
          <w:jc w:val="center"/>
        </w:trPr>
        <w:tc>
          <w:tcPr>
            <w:tcW w:w="1987" w:type="pct"/>
            <w:shd w:val="clear" w:color="auto" w:fill="auto"/>
          </w:tcPr>
          <w:p w:rsidR="00ED7D43" w:rsidRPr="00ED7D43" w:rsidRDefault="00ED7D43" w:rsidP="00ED7D43">
            <w:pPr>
              <w:rPr>
                <w:b/>
                <w:lang w:val="en-GB"/>
              </w:rPr>
            </w:pPr>
            <w:r w:rsidRPr="00ED7D43">
              <w:rPr>
                <w:b/>
                <w:lang w:val="en-GB"/>
              </w:rPr>
              <w:t>Endpoint</w:t>
            </w:r>
          </w:p>
        </w:tc>
        <w:tc>
          <w:tcPr>
            <w:tcW w:w="1004" w:type="pct"/>
          </w:tcPr>
          <w:p w:rsidR="00ED7D43" w:rsidRPr="00ED7D43" w:rsidRDefault="00ED7D43" w:rsidP="00ED7D43">
            <w:pPr>
              <w:rPr>
                <w:b/>
                <w:lang w:val="en-GB"/>
              </w:rPr>
            </w:pPr>
            <w:r w:rsidRPr="00ED7D43">
              <w:rPr>
                <w:b/>
                <w:lang w:val="en-GB"/>
              </w:rPr>
              <w:t>KEYTRUDA</w:t>
            </w:r>
          </w:p>
          <w:p w:rsidR="00ED7D43" w:rsidRPr="00ED7D43" w:rsidRDefault="00ED7D43" w:rsidP="00ED7D43">
            <w:pPr>
              <w:rPr>
                <w:b/>
                <w:lang w:val="en-GB"/>
              </w:rPr>
            </w:pPr>
            <w:r w:rsidRPr="00ED7D43">
              <w:rPr>
                <w:b/>
                <w:lang w:val="en-GB"/>
              </w:rPr>
              <w:t>2 mg/kg every 3 weeks</w:t>
            </w:r>
          </w:p>
        </w:tc>
        <w:tc>
          <w:tcPr>
            <w:tcW w:w="1004" w:type="pct"/>
          </w:tcPr>
          <w:p w:rsidR="00ED7D43" w:rsidRPr="00ED7D43" w:rsidRDefault="00ED7D43" w:rsidP="00ED7D43">
            <w:pPr>
              <w:rPr>
                <w:b/>
                <w:lang w:val="en-GB"/>
              </w:rPr>
            </w:pPr>
            <w:r w:rsidRPr="00ED7D43">
              <w:rPr>
                <w:b/>
                <w:lang w:val="en-GB"/>
              </w:rPr>
              <w:t>KEYTRUDA</w:t>
            </w:r>
          </w:p>
          <w:p w:rsidR="00ED7D43" w:rsidRPr="00ED7D43" w:rsidRDefault="00ED7D43" w:rsidP="00ED7D43">
            <w:pPr>
              <w:rPr>
                <w:b/>
                <w:lang w:val="en-GB"/>
              </w:rPr>
            </w:pPr>
            <w:r w:rsidRPr="00ED7D43">
              <w:rPr>
                <w:b/>
                <w:lang w:val="en-GB"/>
              </w:rPr>
              <w:t>10 mg/kg every 3 weeks</w:t>
            </w:r>
          </w:p>
        </w:tc>
        <w:tc>
          <w:tcPr>
            <w:tcW w:w="1005" w:type="pct"/>
          </w:tcPr>
          <w:p w:rsidR="00ED7D43" w:rsidRPr="00ED7D43" w:rsidRDefault="00ED7D43" w:rsidP="00ED7D43">
            <w:pPr>
              <w:rPr>
                <w:b/>
                <w:lang w:val="en-GB"/>
              </w:rPr>
            </w:pPr>
            <w:r w:rsidRPr="00ED7D43">
              <w:rPr>
                <w:b/>
                <w:lang w:val="en-GB"/>
              </w:rPr>
              <w:t>Docetaxel</w:t>
            </w:r>
          </w:p>
          <w:p w:rsidR="00ED7D43" w:rsidRPr="00ED7D43" w:rsidRDefault="00ED7D43" w:rsidP="00ED7D43">
            <w:pPr>
              <w:rPr>
                <w:b/>
                <w:lang w:val="en-GB"/>
              </w:rPr>
            </w:pPr>
            <w:r w:rsidRPr="00ED7D43">
              <w:rPr>
                <w:b/>
                <w:lang w:val="en-GB"/>
              </w:rPr>
              <w:t>75 mg/m</w:t>
            </w:r>
            <w:r w:rsidRPr="00ED7D43">
              <w:rPr>
                <w:b/>
                <w:vertAlign w:val="superscript"/>
                <w:lang w:val="en-GB"/>
              </w:rPr>
              <w:t>2</w:t>
            </w:r>
            <w:r w:rsidRPr="00ED7D43">
              <w:rPr>
                <w:b/>
                <w:lang w:val="en-GB"/>
              </w:rPr>
              <w:t xml:space="preserve"> every 3 weeks</w:t>
            </w:r>
          </w:p>
        </w:tc>
      </w:tr>
      <w:tr w:rsidR="00ED7D43" w:rsidRPr="00ED7D43" w:rsidTr="00ED7D43">
        <w:trPr>
          <w:trHeight w:val="288"/>
          <w:jc w:val="center"/>
        </w:trPr>
        <w:tc>
          <w:tcPr>
            <w:tcW w:w="1987" w:type="pct"/>
            <w:shd w:val="clear" w:color="auto" w:fill="auto"/>
            <w:vAlign w:val="center"/>
          </w:tcPr>
          <w:p w:rsidR="00ED7D43" w:rsidRPr="00ED7D43" w:rsidRDefault="00ED7D43" w:rsidP="00ED7D43">
            <w:pPr>
              <w:rPr>
                <w:b/>
                <w:lang w:val="en-GB"/>
              </w:rPr>
            </w:pPr>
            <w:r w:rsidRPr="00ED7D43">
              <w:rPr>
                <w:b/>
                <w:lang w:val="en-GB"/>
              </w:rPr>
              <w:t xml:space="preserve">TPS </w:t>
            </w:r>
            <w:r w:rsidRPr="00ED7D43">
              <w:rPr>
                <w:b/>
                <w:lang w:val="en-GB"/>
              </w:rPr>
              <w:sym w:font="Symbol" w:char="F0B3"/>
            </w:r>
            <w:r w:rsidRPr="00ED7D43">
              <w:rPr>
                <w:b/>
                <w:lang w:val="en-GB"/>
              </w:rPr>
              <w:t>1%</w:t>
            </w:r>
          </w:p>
        </w:tc>
        <w:tc>
          <w:tcPr>
            <w:tcW w:w="1004" w:type="pct"/>
            <w:vAlign w:val="center"/>
          </w:tcPr>
          <w:p w:rsidR="00ED7D43" w:rsidRPr="00ED7D43" w:rsidRDefault="00ED7D43" w:rsidP="00ED7D43">
            <w:pPr>
              <w:rPr>
                <w:lang w:val="en-GB"/>
              </w:rPr>
            </w:pPr>
          </w:p>
        </w:tc>
        <w:tc>
          <w:tcPr>
            <w:tcW w:w="1004" w:type="pct"/>
            <w:vAlign w:val="center"/>
          </w:tcPr>
          <w:p w:rsidR="00ED7D43" w:rsidRPr="00ED7D43" w:rsidRDefault="00ED7D43" w:rsidP="00ED7D43">
            <w:pPr>
              <w:rPr>
                <w:lang w:val="en-GB"/>
              </w:rPr>
            </w:pPr>
          </w:p>
        </w:tc>
        <w:tc>
          <w:tcPr>
            <w:tcW w:w="1005" w:type="pct"/>
            <w:vAlign w:val="center"/>
          </w:tcPr>
          <w:p w:rsidR="00ED7D43" w:rsidRPr="00ED7D43" w:rsidRDefault="00ED7D43" w:rsidP="00ED7D43">
            <w:pPr>
              <w:rPr>
                <w:lang w:val="en-GB"/>
              </w:rPr>
            </w:pPr>
          </w:p>
        </w:tc>
      </w:tr>
      <w:tr w:rsidR="00ED7D43" w:rsidRPr="00ED7D43" w:rsidTr="00ED7D43">
        <w:trPr>
          <w:trHeight w:val="20"/>
          <w:jc w:val="center"/>
        </w:trPr>
        <w:tc>
          <w:tcPr>
            <w:tcW w:w="1987" w:type="pct"/>
            <w:shd w:val="clear" w:color="auto" w:fill="auto"/>
          </w:tcPr>
          <w:p w:rsidR="00ED7D43" w:rsidRPr="00ED7D43" w:rsidRDefault="00ED7D43" w:rsidP="00ED7D43">
            <w:pPr>
              <w:rPr>
                <w:b/>
                <w:lang w:val="en-GB"/>
              </w:rPr>
            </w:pPr>
            <w:r w:rsidRPr="00ED7D43">
              <w:rPr>
                <w:lang w:val="en-GB"/>
              </w:rPr>
              <w:t>Number of patients</w:t>
            </w:r>
          </w:p>
        </w:tc>
        <w:tc>
          <w:tcPr>
            <w:tcW w:w="1004" w:type="pct"/>
          </w:tcPr>
          <w:p w:rsidR="00ED7D43" w:rsidRPr="00ED7D43" w:rsidRDefault="00ED7D43" w:rsidP="00ED7D43">
            <w:pPr>
              <w:rPr>
                <w:lang w:val="en-GB"/>
              </w:rPr>
            </w:pPr>
            <w:r w:rsidRPr="00ED7D43">
              <w:rPr>
                <w:lang w:val="en-GB"/>
              </w:rPr>
              <w:t>344</w:t>
            </w:r>
          </w:p>
        </w:tc>
        <w:tc>
          <w:tcPr>
            <w:tcW w:w="1004" w:type="pct"/>
          </w:tcPr>
          <w:p w:rsidR="00ED7D43" w:rsidRPr="00ED7D43" w:rsidRDefault="00ED7D43" w:rsidP="00ED7D43">
            <w:pPr>
              <w:rPr>
                <w:lang w:val="en-GB"/>
              </w:rPr>
            </w:pPr>
            <w:r w:rsidRPr="00ED7D43">
              <w:rPr>
                <w:lang w:val="en-GB"/>
              </w:rPr>
              <w:t>346</w:t>
            </w:r>
          </w:p>
        </w:tc>
        <w:tc>
          <w:tcPr>
            <w:tcW w:w="1005" w:type="pct"/>
          </w:tcPr>
          <w:p w:rsidR="00ED7D43" w:rsidRPr="00ED7D43" w:rsidRDefault="00ED7D43" w:rsidP="00ED7D43">
            <w:pPr>
              <w:rPr>
                <w:lang w:val="en-GB"/>
              </w:rPr>
            </w:pPr>
            <w:r w:rsidRPr="00ED7D43">
              <w:rPr>
                <w:lang w:val="en-GB"/>
              </w:rPr>
              <w:t>343</w:t>
            </w:r>
          </w:p>
        </w:tc>
      </w:tr>
      <w:tr w:rsidR="00ED7D43" w:rsidRPr="00ED7D43" w:rsidTr="00ED7D43">
        <w:trPr>
          <w:trHeight w:val="20"/>
          <w:jc w:val="center"/>
        </w:trPr>
        <w:tc>
          <w:tcPr>
            <w:tcW w:w="1987" w:type="pct"/>
            <w:shd w:val="clear" w:color="auto" w:fill="auto"/>
          </w:tcPr>
          <w:p w:rsidR="00ED7D43" w:rsidRPr="00ED7D43" w:rsidRDefault="00ED7D43" w:rsidP="00ED7D43">
            <w:pPr>
              <w:rPr>
                <w:b/>
                <w:lang w:val="en-GB"/>
              </w:rPr>
            </w:pPr>
            <w:r w:rsidRPr="00ED7D43">
              <w:rPr>
                <w:b/>
                <w:lang w:val="en-GB"/>
              </w:rPr>
              <w:t>OS</w:t>
            </w:r>
          </w:p>
        </w:tc>
        <w:tc>
          <w:tcPr>
            <w:tcW w:w="1004" w:type="pct"/>
          </w:tcPr>
          <w:p w:rsidR="00ED7D43" w:rsidRPr="00ED7D43" w:rsidRDefault="00ED7D43" w:rsidP="00ED7D43">
            <w:pPr>
              <w:rPr>
                <w:lang w:val="en-GB"/>
              </w:rPr>
            </w:pPr>
          </w:p>
        </w:tc>
        <w:tc>
          <w:tcPr>
            <w:tcW w:w="1004" w:type="pct"/>
          </w:tcPr>
          <w:p w:rsidR="00ED7D43" w:rsidRPr="00ED7D43" w:rsidRDefault="00ED7D43" w:rsidP="00ED7D43">
            <w:pPr>
              <w:rPr>
                <w:lang w:val="en-GB"/>
              </w:rPr>
            </w:pPr>
          </w:p>
        </w:tc>
        <w:tc>
          <w:tcPr>
            <w:tcW w:w="1005" w:type="pct"/>
          </w:tcPr>
          <w:p w:rsidR="00ED7D43" w:rsidRPr="00ED7D43" w:rsidRDefault="00ED7D43" w:rsidP="00ED7D43">
            <w:pPr>
              <w:rPr>
                <w:lang w:val="en-GB"/>
              </w:rPr>
            </w:pPr>
          </w:p>
        </w:tc>
      </w:tr>
      <w:tr w:rsidR="00ED7D43" w:rsidRPr="00ED7D43" w:rsidTr="00ED7D43">
        <w:trPr>
          <w:trHeight w:val="20"/>
          <w:jc w:val="center"/>
        </w:trPr>
        <w:tc>
          <w:tcPr>
            <w:tcW w:w="1987" w:type="pct"/>
            <w:shd w:val="clear" w:color="auto" w:fill="auto"/>
          </w:tcPr>
          <w:p w:rsidR="00ED7D43" w:rsidRPr="00ED7D43" w:rsidRDefault="00ED7D43" w:rsidP="00ED7D43">
            <w:pPr>
              <w:rPr>
                <w:b/>
                <w:lang w:val="en-GB"/>
              </w:rPr>
            </w:pPr>
            <w:r w:rsidRPr="00ED7D43">
              <w:t>Number (%) of patients with event</w:t>
            </w:r>
          </w:p>
        </w:tc>
        <w:tc>
          <w:tcPr>
            <w:tcW w:w="1004" w:type="pct"/>
          </w:tcPr>
          <w:p w:rsidR="00ED7D43" w:rsidRPr="00ED7D43" w:rsidRDefault="00ED7D43" w:rsidP="00ED7D43">
            <w:pPr>
              <w:rPr>
                <w:b/>
                <w:lang w:val="en-GB"/>
              </w:rPr>
            </w:pPr>
            <w:r w:rsidRPr="00ED7D43">
              <w:rPr>
                <w:lang w:val="en-GB"/>
              </w:rPr>
              <w:t>172 (50%)</w:t>
            </w:r>
          </w:p>
        </w:tc>
        <w:tc>
          <w:tcPr>
            <w:tcW w:w="1004" w:type="pct"/>
          </w:tcPr>
          <w:p w:rsidR="00ED7D43" w:rsidRPr="00ED7D43" w:rsidRDefault="00ED7D43" w:rsidP="00ED7D43">
            <w:pPr>
              <w:rPr>
                <w:b/>
                <w:lang w:val="en-GB"/>
              </w:rPr>
            </w:pPr>
            <w:r w:rsidRPr="00ED7D43">
              <w:rPr>
                <w:lang w:val="en-GB"/>
              </w:rPr>
              <w:t>156 (45%)</w:t>
            </w:r>
          </w:p>
        </w:tc>
        <w:tc>
          <w:tcPr>
            <w:tcW w:w="1005" w:type="pct"/>
          </w:tcPr>
          <w:p w:rsidR="00ED7D43" w:rsidRPr="00ED7D43" w:rsidRDefault="00ED7D43" w:rsidP="00ED7D43">
            <w:pPr>
              <w:rPr>
                <w:b/>
                <w:lang w:val="en-GB"/>
              </w:rPr>
            </w:pPr>
            <w:r w:rsidRPr="00ED7D43">
              <w:rPr>
                <w:lang w:val="en-GB"/>
              </w:rPr>
              <w:t>193 (56%)</w:t>
            </w:r>
          </w:p>
        </w:tc>
      </w:tr>
      <w:tr w:rsidR="00ED7D43" w:rsidRPr="00ED7D43" w:rsidTr="00ED7D43">
        <w:trPr>
          <w:trHeight w:val="20"/>
          <w:jc w:val="center"/>
        </w:trPr>
        <w:tc>
          <w:tcPr>
            <w:tcW w:w="1987" w:type="pct"/>
            <w:shd w:val="clear" w:color="auto" w:fill="auto"/>
          </w:tcPr>
          <w:p w:rsidR="00ED7D43" w:rsidRPr="00ED7D43" w:rsidRDefault="00ED7D43" w:rsidP="00ED7D43">
            <w:pPr>
              <w:rPr>
                <w:b/>
                <w:lang w:val="en-GB"/>
              </w:rPr>
            </w:pPr>
            <w:r w:rsidRPr="00ED7D43">
              <w:rPr>
                <w:lang w:val="en-GB"/>
              </w:rPr>
              <w:t xml:space="preserve">Hazard ratio* (95% CI) </w:t>
            </w:r>
          </w:p>
        </w:tc>
        <w:tc>
          <w:tcPr>
            <w:tcW w:w="1004" w:type="pct"/>
          </w:tcPr>
          <w:p w:rsidR="00ED7D43" w:rsidRPr="00ED7D43" w:rsidRDefault="00ED7D43" w:rsidP="00ED7D43">
            <w:pPr>
              <w:rPr>
                <w:lang w:val="en-GB"/>
              </w:rPr>
            </w:pPr>
            <w:r w:rsidRPr="00ED7D43">
              <w:rPr>
                <w:lang w:val="en-GB"/>
              </w:rPr>
              <w:t>0.71 (0.58, 0.88)</w:t>
            </w:r>
          </w:p>
        </w:tc>
        <w:tc>
          <w:tcPr>
            <w:tcW w:w="1004" w:type="pct"/>
          </w:tcPr>
          <w:p w:rsidR="00ED7D43" w:rsidRPr="00ED7D43" w:rsidRDefault="00ED7D43" w:rsidP="00ED7D43">
            <w:pPr>
              <w:rPr>
                <w:lang w:val="en-GB"/>
              </w:rPr>
            </w:pPr>
            <w:r w:rsidRPr="00ED7D43">
              <w:rPr>
                <w:lang w:val="en-GB"/>
              </w:rPr>
              <w:t>0.61 (0.49, 0.75)</w:t>
            </w:r>
          </w:p>
        </w:tc>
        <w:tc>
          <w:tcPr>
            <w:tcW w:w="1005" w:type="pct"/>
          </w:tcPr>
          <w:p w:rsidR="00ED7D43" w:rsidRPr="00ED7D43" w:rsidRDefault="00ED7D43" w:rsidP="00ED7D43">
            <w:pPr>
              <w:rPr>
                <w:lang w:val="en-GB"/>
              </w:rPr>
            </w:pPr>
            <w:r w:rsidRPr="00ED7D43">
              <w:rPr>
                <w:lang w:val="en-GB"/>
              </w:rPr>
              <w:t>---</w:t>
            </w:r>
          </w:p>
        </w:tc>
      </w:tr>
      <w:tr w:rsidR="00ED7D43" w:rsidRPr="00ED7D43" w:rsidTr="00ED7D43">
        <w:trPr>
          <w:trHeight w:val="20"/>
          <w:jc w:val="center"/>
        </w:trPr>
        <w:tc>
          <w:tcPr>
            <w:tcW w:w="1987" w:type="pct"/>
            <w:shd w:val="clear" w:color="auto" w:fill="auto"/>
          </w:tcPr>
          <w:p w:rsidR="00ED7D43" w:rsidRPr="00ED7D43" w:rsidRDefault="00ED7D43" w:rsidP="00ED7D43">
            <w:pPr>
              <w:rPr>
                <w:lang w:val="en-GB"/>
              </w:rPr>
            </w:pPr>
            <w:r w:rsidRPr="00ED7D43">
              <w:rPr>
                <w:lang w:val="en-GB"/>
              </w:rPr>
              <w:t>p-Value</w:t>
            </w:r>
            <w:r w:rsidRPr="00ED7D43">
              <w:rPr>
                <w:vertAlign w:val="superscript"/>
                <w:lang w:val="en-GB"/>
              </w:rPr>
              <w:t>†</w:t>
            </w:r>
          </w:p>
        </w:tc>
        <w:tc>
          <w:tcPr>
            <w:tcW w:w="1004" w:type="pct"/>
          </w:tcPr>
          <w:p w:rsidR="00ED7D43" w:rsidRPr="00ED7D43" w:rsidRDefault="00ED7D43" w:rsidP="00ED7D43">
            <w:pPr>
              <w:rPr>
                <w:lang w:val="en-GB"/>
              </w:rPr>
            </w:pPr>
            <w:r w:rsidRPr="00ED7D43">
              <w:rPr>
                <w:lang w:val="en-GB"/>
              </w:rPr>
              <w:t>&lt;0.001</w:t>
            </w:r>
          </w:p>
        </w:tc>
        <w:tc>
          <w:tcPr>
            <w:tcW w:w="1004" w:type="pct"/>
          </w:tcPr>
          <w:p w:rsidR="00ED7D43" w:rsidRPr="00ED7D43" w:rsidRDefault="00ED7D43" w:rsidP="00ED7D43">
            <w:pPr>
              <w:rPr>
                <w:lang w:val="en-GB"/>
              </w:rPr>
            </w:pPr>
            <w:r w:rsidRPr="00ED7D43">
              <w:rPr>
                <w:lang w:val="en-GB"/>
              </w:rPr>
              <w:t>&lt;0.001</w:t>
            </w:r>
          </w:p>
        </w:tc>
        <w:tc>
          <w:tcPr>
            <w:tcW w:w="1005" w:type="pct"/>
          </w:tcPr>
          <w:p w:rsidR="00ED7D43" w:rsidRPr="00ED7D43" w:rsidRDefault="00ED7D43" w:rsidP="00ED7D43">
            <w:pPr>
              <w:rPr>
                <w:lang w:val="en-GB"/>
              </w:rPr>
            </w:pPr>
            <w:r w:rsidRPr="00ED7D43">
              <w:rPr>
                <w:lang w:val="en-GB"/>
              </w:rPr>
              <w:t>---</w:t>
            </w:r>
          </w:p>
        </w:tc>
      </w:tr>
      <w:tr w:rsidR="00ED7D43" w:rsidRPr="00ED7D43" w:rsidTr="00ED7D43">
        <w:trPr>
          <w:trHeight w:val="20"/>
          <w:jc w:val="center"/>
        </w:trPr>
        <w:tc>
          <w:tcPr>
            <w:tcW w:w="1987" w:type="pct"/>
            <w:shd w:val="clear" w:color="auto" w:fill="auto"/>
          </w:tcPr>
          <w:p w:rsidR="00ED7D43" w:rsidRPr="00ED7D43" w:rsidRDefault="00ED7D43" w:rsidP="00ED7D43">
            <w:pPr>
              <w:rPr>
                <w:lang w:val="en-GB"/>
              </w:rPr>
            </w:pPr>
            <w:r w:rsidRPr="00ED7D43">
              <w:rPr>
                <w:lang w:val="en-GB"/>
              </w:rPr>
              <w:t>Median in months (95% CI)</w:t>
            </w:r>
          </w:p>
        </w:tc>
        <w:tc>
          <w:tcPr>
            <w:tcW w:w="1004" w:type="pct"/>
          </w:tcPr>
          <w:p w:rsidR="00ED7D43" w:rsidRPr="00ED7D43" w:rsidRDefault="00ED7D43" w:rsidP="00ED7D43">
            <w:pPr>
              <w:rPr>
                <w:lang w:val="en-GB"/>
              </w:rPr>
            </w:pPr>
            <w:r w:rsidRPr="00ED7D43">
              <w:rPr>
                <w:lang w:val="en-GB"/>
              </w:rPr>
              <w:t>10.4 (9.4, 11.9)</w:t>
            </w:r>
          </w:p>
        </w:tc>
        <w:tc>
          <w:tcPr>
            <w:tcW w:w="1004" w:type="pct"/>
          </w:tcPr>
          <w:p w:rsidR="00ED7D43" w:rsidRPr="00ED7D43" w:rsidRDefault="00ED7D43" w:rsidP="00ED7D43">
            <w:pPr>
              <w:rPr>
                <w:lang w:val="en-GB"/>
              </w:rPr>
            </w:pPr>
            <w:r w:rsidRPr="00ED7D43">
              <w:rPr>
                <w:lang w:val="en-GB"/>
              </w:rPr>
              <w:t>12.7 (10.0, 17.3)</w:t>
            </w:r>
          </w:p>
        </w:tc>
        <w:tc>
          <w:tcPr>
            <w:tcW w:w="1005" w:type="pct"/>
          </w:tcPr>
          <w:p w:rsidR="00ED7D43" w:rsidRPr="00ED7D43" w:rsidRDefault="00ED7D43" w:rsidP="00ED7D43">
            <w:pPr>
              <w:rPr>
                <w:lang w:val="en-GB"/>
              </w:rPr>
            </w:pPr>
            <w:r w:rsidRPr="00ED7D43">
              <w:rPr>
                <w:lang w:val="en-GB"/>
              </w:rPr>
              <w:t>8.5 (7.5, 9.8)</w:t>
            </w:r>
          </w:p>
        </w:tc>
      </w:tr>
      <w:tr w:rsidR="00ED7D43" w:rsidRPr="00ED7D43" w:rsidTr="00ED7D43">
        <w:trPr>
          <w:trHeight w:val="20"/>
          <w:jc w:val="center"/>
        </w:trPr>
        <w:tc>
          <w:tcPr>
            <w:tcW w:w="1987" w:type="pct"/>
            <w:shd w:val="clear" w:color="auto" w:fill="auto"/>
          </w:tcPr>
          <w:p w:rsidR="00ED7D43" w:rsidRPr="00ED7D43" w:rsidRDefault="00ED7D43" w:rsidP="00ED7D43">
            <w:pPr>
              <w:rPr>
                <w:b/>
                <w:lang w:val="en-GB"/>
              </w:rPr>
            </w:pPr>
            <w:r w:rsidRPr="00ED7D43">
              <w:rPr>
                <w:b/>
                <w:lang w:val="en-GB"/>
              </w:rPr>
              <w:t>PFS</w:t>
            </w:r>
            <w:r w:rsidRPr="00ED7D43">
              <w:rPr>
                <w:b/>
                <w:vertAlign w:val="superscript"/>
                <w:lang w:val="en-GB"/>
              </w:rPr>
              <w:t>‡</w:t>
            </w:r>
          </w:p>
        </w:tc>
        <w:tc>
          <w:tcPr>
            <w:tcW w:w="1004" w:type="pct"/>
          </w:tcPr>
          <w:p w:rsidR="00ED7D43" w:rsidRPr="00ED7D43" w:rsidRDefault="00ED7D43" w:rsidP="00ED7D43">
            <w:pPr>
              <w:rPr>
                <w:lang w:val="en-GB"/>
              </w:rPr>
            </w:pPr>
          </w:p>
        </w:tc>
        <w:tc>
          <w:tcPr>
            <w:tcW w:w="1004" w:type="pct"/>
          </w:tcPr>
          <w:p w:rsidR="00ED7D43" w:rsidRPr="00ED7D43" w:rsidRDefault="00ED7D43" w:rsidP="00ED7D43">
            <w:pPr>
              <w:rPr>
                <w:lang w:val="en-GB"/>
              </w:rPr>
            </w:pPr>
          </w:p>
        </w:tc>
        <w:tc>
          <w:tcPr>
            <w:tcW w:w="1005" w:type="pct"/>
          </w:tcPr>
          <w:p w:rsidR="00ED7D43" w:rsidRPr="00ED7D43" w:rsidRDefault="00ED7D43" w:rsidP="00ED7D43">
            <w:pPr>
              <w:rPr>
                <w:lang w:val="en-GB"/>
              </w:rPr>
            </w:pPr>
          </w:p>
        </w:tc>
      </w:tr>
      <w:tr w:rsidR="00ED7D43" w:rsidRPr="00ED7D43" w:rsidTr="00ED7D43">
        <w:trPr>
          <w:trHeight w:val="20"/>
          <w:jc w:val="center"/>
        </w:trPr>
        <w:tc>
          <w:tcPr>
            <w:tcW w:w="1987" w:type="pct"/>
            <w:shd w:val="clear" w:color="auto" w:fill="auto"/>
          </w:tcPr>
          <w:p w:rsidR="00ED7D43" w:rsidRPr="00ED7D43" w:rsidRDefault="00ED7D43" w:rsidP="00ED7D43">
            <w:pPr>
              <w:rPr>
                <w:lang w:val="en-GB"/>
              </w:rPr>
            </w:pPr>
            <w:r w:rsidRPr="00ED7D43">
              <w:t>Number (%) of patients with event</w:t>
            </w:r>
          </w:p>
        </w:tc>
        <w:tc>
          <w:tcPr>
            <w:tcW w:w="1004" w:type="pct"/>
          </w:tcPr>
          <w:p w:rsidR="00ED7D43" w:rsidRPr="00ED7D43" w:rsidRDefault="00ED7D43" w:rsidP="00ED7D43">
            <w:pPr>
              <w:rPr>
                <w:lang w:val="en-GB"/>
              </w:rPr>
            </w:pPr>
            <w:r w:rsidRPr="00ED7D43">
              <w:rPr>
                <w:lang w:val="en-GB"/>
              </w:rPr>
              <w:t>266 (77%)</w:t>
            </w:r>
          </w:p>
        </w:tc>
        <w:tc>
          <w:tcPr>
            <w:tcW w:w="1004" w:type="pct"/>
          </w:tcPr>
          <w:p w:rsidR="00ED7D43" w:rsidRPr="00ED7D43" w:rsidRDefault="00ED7D43" w:rsidP="00ED7D43">
            <w:pPr>
              <w:rPr>
                <w:lang w:val="en-GB"/>
              </w:rPr>
            </w:pPr>
            <w:r w:rsidRPr="00ED7D43">
              <w:rPr>
                <w:lang w:val="en-GB"/>
              </w:rPr>
              <w:t>255 (74%)</w:t>
            </w:r>
          </w:p>
        </w:tc>
        <w:tc>
          <w:tcPr>
            <w:tcW w:w="1005" w:type="pct"/>
          </w:tcPr>
          <w:p w:rsidR="00ED7D43" w:rsidRPr="00ED7D43" w:rsidRDefault="00ED7D43" w:rsidP="00ED7D43">
            <w:pPr>
              <w:rPr>
                <w:lang w:val="en-GB"/>
              </w:rPr>
            </w:pPr>
            <w:r w:rsidRPr="00ED7D43">
              <w:rPr>
                <w:lang w:val="en-GB"/>
              </w:rPr>
              <w:t>257 (75%)</w:t>
            </w:r>
          </w:p>
        </w:tc>
      </w:tr>
      <w:tr w:rsidR="00ED7D43" w:rsidRPr="00ED7D43" w:rsidTr="00ED7D43">
        <w:trPr>
          <w:trHeight w:val="20"/>
          <w:jc w:val="center"/>
        </w:trPr>
        <w:tc>
          <w:tcPr>
            <w:tcW w:w="1987" w:type="pct"/>
            <w:shd w:val="clear" w:color="auto" w:fill="auto"/>
          </w:tcPr>
          <w:p w:rsidR="00ED7D43" w:rsidRPr="00ED7D43" w:rsidRDefault="00ED7D43" w:rsidP="00ED7D43">
            <w:pPr>
              <w:rPr>
                <w:b/>
                <w:lang w:val="en-GB"/>
              </w:rPr>
            </w:pPr>
            <w:r w:rsidRPr="00ED7D43">
              <w:rPr>
                <w:lang w:val="en-GB"/>
              </w:rPr>
              <w:lastRenderedPageBreak/>
              <w:t xml:space="preserve">Hazard ratio* (95% CI) </w:t>
            </w:r>
          </w:p>
        </w:tc>
        <w:tc>
          <w:tcPr>
            <w:tcW w:w="1004" w:type="pct"/>
          </w:tcPr>
          <w:p w:rsidR="00ED7D43" w:rsidRPr="00ED7D43" w:rsidRDefault="00ED7D43" w:rsidP="00ED7D43">
            <w:pPr>
              <w:rPr>
                <w:lang w:val="en-GB"/>
              </w:rPr>
            </w:pPr>
            <w:r w:rsidRPr="00ED7D43">
              <w:rPr>
                <w:lang w:val="en-GB"/>
              </w:rPr>
              <w:t>0.88 (0.73, 1.04)</w:t>
            </w:r>
          </w:p>
        </w:tc>
        <w:tc>
          <w:tcPr>
            <w:tcW w:w="1004" w:type="pct"/>
          </w:tcPr>
          <w:p w:rsidR="00ED7D43" w:rsidRPr="00ED7D43" w:rsidRDefault="00ED7D43" w:rsidP="00ED7D43">
            <w:pPr>
              <w:rPr>
                <w:lang w:val="en-GB"/>
              </w:rPr>
            </w:pPr>
            <w:r w:rsidRPr="00ED7D43">
              <w:rPr>
                <w:lang w:val="en-GB"/>
              </w:rPr>
              <w:t>0.79 (0.66, 0.94)</w:t>
            </w:r>
          </w:p>
        </w:tc>
        <w:tc>
          <w:tcPr>
            <w:tcW w:w="1005" w:type="pct"/>
          </w:tcPr>
          <w:p w:rsidR="00ED7D43" w:rsidRPr="00ED7D43" w:rsidRDefault="00ED7D43" w:rsidP="00ED7D43">
            <w:pPr>
              <w:rPr>
                <w:lang w:val="en-GB"/>
              </w:rPr>
            </w:pPr>
            <w:r w:rsidRPr="00ED7D43">
              <w:rPr>
                <w:lang w:val="en-GB"/>
              </w:rPr>
              <w:t>---</w:t>
            </w:r>
          </w:p>
        </w:tc>
      </w:tr>
      <w:tr w:rsidR="00ED7D43" w:rsidRPr="00ED7D43" w:rsidTr="00ED7D43">
        <w:trPr>
          <w:trHeight w:val="20"/>
          <w:jc w:val="center"/>
        </w:trPr>
        <w:tc>
          <w:tcPr>
            <w:tcW w:w="1987" w:type="pct"/>
            <w:shd w:val="clear" w:color="auto" w:fill="auto"/>
          </w:tcPr>
          <w:p w:rsidR="00ED7D43" w:rsidRPr="00ED7D43" w:rsidRDefault="00ED7D43" w:rsidP="00ED7D43">
            <w:pPr>
              <w:rPr>
                <w:lang w:val="en-GB"/>
              </w:rPr>
            </w:pPr>
            <w:r w:rsidRPr="00ED7D43">
              <w:rPr>
                <w:lang w:val="en-GB"/>
              </w:rPr>
              <w:t>p-Value</w:t>
            </w:r>
            <w:r w:rsidRPr="00ED7D43">
              <w:rPr>
                <w:vertAlign w:val="superscript"/>
                <w:lang w:val="en-GB"/>
              </w:rPr>
              <w:t>†</w:t>
            </w:r>
          </w:p>
        </w:tc>
        <w:tc>
          <w:tcPr>
            <w:tcW w:w="1004" w:type="pct"/>
          </w:tcPr>
          <w:p w:rsidR="00ED7D43" w:rsidRPr="00ED7D43" w:rsidRDefault="00ED7D43" w:rsidP="00ED7D43">
            <w:pPr>
              <w:rPr>
                <w:lang w:val="en-GB"/>
              </w:rPr>
            </w:pPr>
            <w:r w:rsidRPr="00ED7D43">
              <w:rPr>
                <w:lang w:val="en-GB"/>
              </w:rPr>
              <w:t>0.068</w:t>
            </w:r>
          </w:p>
        </w:tc>
        <w:tc>
          <w:tcPr>
            <w:tcW w:w="1004" w:type="pct"/>
          </w:tcPr>
          <w:p w:rsidR="00ED7D43" w:rsidRPr="00ED7D43" w:rsidRDefault="00ED7D43" w:rsidP="00ED7D43">
            <w:pPr>
              <w:rPr>
                <w:lang w:val="en-GB"/>
              </w:rPr>
            </w:pPr>
            <w:r w:rsidRPr="00ED7D43">
              <w:rPr>
                <w:lang w:val="en-GB"/>
              </w:rPr>
              <w:t>0.005</w:t>
            </w:r>
          </w:p>
        </w:tc>
        <w:tc>
          <w:tcPr>
            <w:tcW w:w="1005" w:type="pct"/>
          </w:tcPr>
          <w:p w:rsidR="00ED7D43" w:rsidRPr="00ED7D43" w:rsidRDefault="00ED7D43" w:rsidP="00ED7D43">
            <w:pPr>
              <w:rPr>
                <w:lang w:val="en-GB"/>
              </w:rPr>
            </w:pPr>
            <w:r w:rsidRPr="00ED7D43">
              <w:rPr>
                <w:lang w:val="en-GB"/>
              </w:rPr>
              <w:t>---</w:t>
            </w:r>
          </w:p>
        </w:tc>
      </w:tr>
      <w:tr w:rsidR="00ED7D43" w:rsidRPr="00ED7D43" w:rsidTr="00ED7D43">
        <w:trPr>
          <w:trHeight w:val="20"/>
          <w:jc w:val="center"/>
        </w:trPr>
        <w:tc>
          <w:tcPr>
            <w:tcW w:w="1987" w:type="pct"/>
            <w:shd w:val="clear" w:color="auto" w:fill="auto"/>
          </w:tcPr>
          <w:p w:rsidR="00ED7D43" w:rsidRPr="00ED7D43" w:rsidRDefault="00ED7D43" w:rsidP="00ED7D43">
            <w:pPr>
              <w:rPr>
                <w:lang w:val="en-GB"/>
              </w:rPr>
            </w:pPr>
            <w:r w:rsidRPr="00ED7D43">
              <w:rPr>
                <w:lang w:val="en-GB"/>
              </w:rPr>
              <w:t>Median in months (95% CI)</w:t>
            </w:r>
          </w:p>
        </w:tc>
        <w:tc>
          <w:tcPr>
            <w:tcW w:w="1004" w:type="pct"/>
          </w:tcPr>
          <w:p w:rsidR="00ED7D43" w:rsidRPr="00ED7D43" w:rsidRDefault="00ED7D43" w:rsidP="00ED7D43">
            <w:pPr>
              <w:rPr>
                <w:lang w:val="en-GB"/>
              </w:rPr>
            </w:pPr>
            <w:r w:rsidRPr="00ED7D43">
              <w:rPr>
                <w:lang w:val="en-GB"/>
              </w:rPr>
              <w:t>3.9 (3.1, 4.1)</w:t>
            </w:r>
          </w:p>
        </w:tc>
        <w:tc>
          <w:tcPr>
            <w:tcW w:w="1004" w:type="pct"/>
          </w:tcPr>
          <w:p w:rsidR="00ED7D43" w:rsidRPr="00ED7D43" w:rsidRDefault="00ED7D43" w:rsidP="00ED7D43">
            <w:pPr>
              <w:rPr>
                <w:lang w:val="en-GB"/>
              </w:rPr>
            </w:pPr>
            <w:r w:rsidRPr="00ED7D43">
              <w:rPr>
                <w:lang w:val="en-GB"/>
              </w:rPr>
              <w:t>4.0 (2.6, 4.3)</w:t>
            </w:r>
          </w:p>
        </w:tc>
        <w:tc>
          <w:tcPr>
            <w:tcW w:w="1005" w:type="pct"/>
          </w:tcPr>
          <w:p w:rsidR="00ED7D43" w:rsidRPr="00ED7D43" w:rsidRDefault="00ED7D43" w:rsidP="00ED7D43">
            <w:pPr>
              <w:rPr>
                <w:lang w:val="en-GB"/>
              </w:rPr>
            </w:pPr>
            <w:r w:rsidRPr="00ED7D43">
              <w:rPr>
                <w:lang w:val="en-GB"/>
              </w:rPr>
              <w:t>4.0 (3.1, 4.2)</w:t>
            </w:r>
          </w:p>
        </w:tc>
      </w:tr>
      <w:tr w:rsidR="00ED7D43" w:rsidRPr="00ED7D43" w:rsidTr="00ED7D43">
        <w:trPr>
          <w:trHeight w:val="20"/>
          <w:jc w:val="center"/>
        </w:trPr>
        <w:tc>
          <w:tcPr>
            <w:tcW w:w="1987" w:type="pct"/>
            <w:shd w:val="clear" w:color="auto" w:fill="auto"/>
          </w:tcPr>
          <w:p w:rsidR="00ED7D43" w:rsidRPr="00ED7D43" w:rsidRDefault="00ED7D43" w:rsidP="00ED7D43">
            <w:pPr>
              <w:rPr>
                <w:b/>
                <w:lang w:val="en-GB"/>
              </w:rPr>
            </w:pPr>
            <w:r w:rsidRPr="00ED7D43">
              <w:rPr>
                <w:b/>
                <w:lang w:val="en-GB"/>
              </w:rPr>
              <w:t>Overall response rate</w:t>
            </w:r>
            <w:r w:rsidRPr="00ED7D43">
              <w:rPr>
                <w:b/>
                <w:vertAlign w:val="superscript"/>
                <w:lang w:val="en-GB"/>
              </w:rPr>
              <w:t>‡</w:t>
            </w:r>
          </w:p>
        </w:tc>
        <w:tc>
          <w:tcPr>
            <w:tcW w:w="1004" w:type="pct"/>
          </w:tcPr>
          <w:p w:rsidR="00ED7D43" w:rsidRPr="00ED7D43" w:rsidRDefault="00ED7D43" w:rsidP="00ED7D43">
            <w:pPr>
              <w:rPr>
                <w:lang w:val="en-GB"/>
              </w:rPr>
            </w:pPr>
          </w:p>
        </w:tc>
        <w:tc>
          <w:tcPr>
            <w:tcW w:w="1004" w:type="pct"/>
          </w:tcPr>
          <w:p w:rsidR="00ED7D43" w:rsidRPr="00ED7D43" w:rsidRDefault="00ED7D43" w:rsidP="00ED7D43">
            <w:pPr>
              <w:rPr>
                <w:lang w:val="en-GB"/>
              </w:rPr>
            </w:pPr>
          </w:p>
        </w:tc>
        <w:tc>
          <w:tcPr>
            <w:tcW w:w="1005" w:type="pct"/>
          </w:tcPr>
          <w:p w:rsidR="00ED7D43" w:rsidRPr="00ED7D43" w:rsidRDefault="00ED7D43" w:rsidP="00ED7D43">
            <w:pPr>
              <w:rPr>
                <w:lang w:val="en-GB"/>
              </w:rPr>
            </w:pPr>
          </w:p>
        </w:tc>
      </w:tr>
      <w:tr w:rsidR="00ED7D43" w:rsidRPr="00ED7D43" w:rsidTr="00ED7D43">
        <w:trPr>
          <w:trHeight w:val="20"/>
          <w:jc w:val="center"/>
        </w:trPr>
        <w:tc>
          <w:tcPr>
            <w:tcW w:w="1987" w:type="pct"/>
            <w:shd w:val="clear" w:color="auto" w:fill="auto"/>
          </w:tcPr>
          <w:p w:rsidR="00ED7D43" w:rsidRPr="00ED7D43" w:rsidRDefault="00ED7D43" w:rsidP="00ED7D43">
            <w:pPr>
              <w:rPr>
                <w:lang w:val="en-GB"/>
              </w:rPr>
            </w:pPr>
            <w:r w:rsidRPr="00ED7D43">
              <w:rPr>
                <w:lang w:val="en-GB"/>
              </w:rPr>
              <w:t>ORR %</w:t>
            </w:r>
            <w:r w:rsidRPr="00ED7D43">
              <w:rPr>
                <w:vertAlign w:val="superscript"/>
                <w:lang w:val="en-GB"/>
              </w:rPr>
              <w:t>§</w:t>
            </w:r>
            <w:r w:rsidRPr="00ED7D43">
              <w:rPr>
                <w:lang w:val="en-GB"/>
              </w:rPr>
              <w:t xml:space="preserve"> (95% CI)</w:t>
            </w:r>
          </w:p>
        </w:tc>
        <w:tc>
          <w:tcPr>
            <w:tcW w:w="1004" w:type="pct"/>
          </w:tcPr>
          <w:p w:rsidR="00ED7D43" w:rsidRPr="00ED7D43" w:rsidRDefault="00ED7D43" w:rsidP="00ED7D43">
            <w:pPr>
              <w:rPr>
                <w:lang w:val="en-GB"/>
              </w:rPr>
            </w:pPr>
            <w:r w:rsidRPr="00ED7D43">
              <w:rPr>
                <w:lang w:val="en-GB"/>
              </w:rPr>
              <w:t>18% (14, 23)</w:t>
            </w:r>
          </w:p>
        </w:tc>
        <w:tc>
          <w:tcPr>
            <w:tcW w:w="1004" w:type="pct"/>
          </w:tcPr>
          <w:p w:rsidR="00ED7D43" w:rsidRPr="00ED7D43" w:rsidRDefault="00ED7D43" w:rsidP="00ED7D43">
            <w:pPr>
              <w:rPr>
                <w:lang w:val="en-GB"/>
              </w:rPr>
            </w:pPr>
            <w:r w:rsidRPr="00ED7D43">
              <w:rPr>
                <w:lang w:val="en-GB"/>
              </w:rPr>
              <w:t>18% (15, 23)</w:t>
            </w:r>
          </w:p>
        </w:tc>
        <w:tc>
          <w:tcPr>
            <w:tcW w:w="1005" w:type="pct"/>
          </w:tcPr>
          <w:p w:rsidR="00ED7D43" w:rsidRPr="00ED7D43" w:rsidRDefault="00ED7D43" w:rsidP="00ED7D43">
            <w:pPr>
              <w:rPr>
                <w:lang w:val="en-GB"/>
              </w:rPr>
            </w:pPr>
            <w:r w:rsidRPr="00ED7D43">
              <w:rPr>
                <w:lang w:val="en-GB"/>
              </w:rPr>
              <w:t>9% (7, 13)</w:t>
            </w:r>
          </w:p>
        </w:tc>
      </w:tr>
      <w:tr w:rsidR="00ED7D43" w:rsidRPr="00ED7D43" w:rsidTr="00ED7D43">
        <w:trPr>
          <w:trHeight w:val="20"/>
          <w:jc w:val="center"/>
        </w:trPr>
        <w:tc>
          <w:tcPr>
            <w:tcW w:w="1987" w:type="pct"/>
            <w:shd w:val="clear" w:color="auto" w:fill="auto"/>
          </w:tcPr>
          <w:p w:rsidR="00ED7D43" w:rsidRPr="00ED7D43" w:rsidRDefault="00ED7D43" w:rsidP="00ED7D43">
            <w:pPr>
              <w:rPr>
                <w:b/>
                <w:lang w:val="en-GB"/>
              </w:rPr>
            </w:pPr>
            <w:r w:rsidRPr="00ED7D43">
              <w:rPr>
                <w:b/>
                <w:lang w:val="en-GB"/>
              </w:rPr>
              <w:t>Response duration</w:t>
            </w:r>
            <w:r w:rsidRPr="00ED7D43">
              <w:rPr>
                <w:b/>
                <w:vertAlign w:val="superscript"/>
                <w:lang w:val="en-GB"/>
              </w:rPr>
              <w:t>‡,</w:t>
            </w:r>
            <w:r w:rsidRPr="00ED7D43">
              <w:rPr>
                <w:b/>
                <w:vertAlign w:val="superscript"/>
              </w:rPr>
              <w:t>¶,#</w:t>
            </w:r>
          </w:p>
        </w:tc>
        <w:tc>
          <w:tcPr>
            <w:tcW w:w="1004" w:type="pct"/>
          </w:tcPr>
          <w:p w:rsidR="00ED7D43" w:rsidRPr="00ED7D43" w:rsidRDefault="00ED7D43" w:rsidP="00ED7D43">
            <w:pPr>
              <w:rPr>
                <w:lang w:val="en-GB"/>
              </w:rPr>
            </w:pPr>
          </w:p>
        </w:tc>
        <w:tc>
          <w:tcPr>
            <w:tcW w:w="1004" w:type="pct"/>
          </w:tcPr>
          <w:p w:rsidR="00ED7D43" w:rsidRPr="00ED7D43" w:rsidRDefault="00ED7D43" w:rsidP="00ED7D43">
            <w:pPr>
              <w:rPr>
                <w:lang w:val="en-GB"/>
              </w:rPr>
            </w:pPr>
          </w:p>
        </w:tc>
        <w:tc>
          <w:tcPr>
            <w:tcW w:w="1005" w:type="pct"/>
          </w:tcPr>
          <w:p w:rsidR="00ED7D43" w:rsidRPr="00ED7D43" w:rsidRDefault="00ED7D43" w:rsidP="00ED7D43">
            <w:pPr>
              <w:rPr>
                <w:lang w:val="en-GB"/>
              </w:rPr>
            </w:pPr>
          </w:p>
        </w:tc>
      </w:tr>
      <w:tr w:rsidR="00ED7D43" w:rsidRPr="00ED7D43" w:rsidTr="00ED7D43">
        <w:trPr>
          <w:trHeight w:val="20"/>
          <w:jc w:val="center"/>
        </w:trPr>
        <w:tc>
          <w:tcPr>
            <w:tcW w:w="1987" w:type="pct"/>
            <w:shd w:val="clear" w:color="auto" w:fill="auto"/>
          </w:tcPr>
          <w:p w:rsidR="00ED7D43" w:rsidRPr="00ED7D43" w:rsidRDefault="00ED7D43" w:rsidP="00ED7D43">
            <w:pPr>
              <w:rPr>
                <w:lang w:val="en-GB"/>
              </w:rPr>
            </w:pPr>
            <w:r w:rsidRPr="00ED7D43">
              <w:rPr>
                <w:lang w:val="en-GB"/>
              </w:rPr>
              <w:t>Median in months (range)</w:t>
            </w:r>
          </w:p>
        </w:tc>
        <w:tc>
          <w:tcPr>
            <w:tcW w:w="1004" w:type="pct"/>
          </w:tcPr>
          <w:p w:rsidR="00ED7D43" w:rsidRPr="00ED7D43" w:rsidRDefault="00ED7D43" w:rsidP="00ED7D43">
            <w:pPr>
              <w:rPr>
                <w:lang w:val="en-GB"/>
              </w:rPr>
            </w:pPr>
            <w:r w:rsidRPr="00ED7D43">
              <w:rPr>
                <w:lang w:val="en-GB"/>
              </w:rPr>
              <w:t>Not reached</w:t>
            </w:r>
          </w:p>
          <w:p w:rsidR="00ED7D43" w:rsidRPr="00ED7D43" w:rsidRDefault="00ED7D43" w:rsidP="00ED7D43">
            <w:pPr>
              <w:rPr>
                <w:lang w:val="en-GB"/>
              </w:rPr>
            </w:pPr>
            <w:r w:rsidRPr="00ED7D43">
              <w:rPr>
                <w:lang w:val="en-GB"/>
              </w:rPr>
              <w:t>(0.7+, 20.1+)</w:t>
            </w:r>
          </w:p>
        </w:tc>
        <w:tc>
          <w:tcPr>
            <w:tcW w:w="1004" w:type="pct"/>
          </w:tcPr>
          <w:p w:rsidR="00ED7D43" w:rsidRPr="00ED7D43" w:rsidRDefault="00ED7D43" w:rsidP="00ED7D43">
            <w:pPr>
              <w:rPr>
                <w:lang w:val="en-GB"/>
              </w:rPr>
            </w:pPr>
            <w:r w:rsidRPr="00ED7D43">
              <w:rPr>
                <w:lang w:val="en-GB"/>
              </w:rPr>
              <w:t>Not reached</w:t>
            </w:r>
          </w:p>
          <w:p w:rsidR="00ED7D43" w:rsidRPr="00ED7D43" w:rsidRDefault="00ED7D43" w:rsidP="00ED7D43">
            <w:pPr>
              <w:rPr>
                <w:bCs/>
                <w:lang w:val="en-GB"/>
              </w:rPr>
            </w:pPr>
            <w:r w:rsidRPr="00ED7D43">
              <w:rPr>
                <w:lang w:val="en-GB"/>
              </w:rPr>
              <w:t>(2.1+, 17.8+)</w:t>
            </w:r>
          </w:p>
        </w:tc>
        <w:tc>
          <w:tcPr>
            <w:tcW w:w="1005" w:type="pct"/>
          </w:tcPr>
          <w:p w:rsidR="00ED7D43" w:rsidRPr="00ED7D43" w:rsidRDefault="00ED7D43" w:rsidP="00ED7D43">
            <w:pPr>
              <w:rPr>
                <w:lang w:val="en-GB"/>
              </w:rPr>
            </w:pPr>
            <w:r w:rsidRPr="00ED7D43">
              <w:rPr>
                <w:lang w:val="en-GB"/>
              </w:rPr>
              <w:t>6.2</w:t>
            </w:r>
          </w:p>
          <w:p w:rsidR="00ED7D43" w:rsidRPr="00ED7D43" w:rsidRDefault="00ED7D43" w:rsidP="00ED7D43">
            <w:pPr>
              <w:rPr>
                <w:lang w:val="en-GB"/>
              </w:rPr>
            </w:pPr>
            <w:r w:rsidRPr="00ED7D43">
              <w:rPr>
                <w:lang w:val="en-GB"/>
              </w:rPr>
              <w:t>(1.4+, 8.8+)</w:t>
            </w:r>
          </w:p>
        </w:tc>
      </w:tr>
      <w:tr w:rsidR="00ED7D43" w:rsidRPr="00ED7D43" w:rsidTr="00ED7D43">
        <w:trPr>
          <w:trHeight w:val="20"/>
          <w:jc w:val="center"/>
        </w:trPr>
        <w:tc>
          <w:tcPr>
            <w:tcW w:w="1987" w:type="pct"/>
            <w:tcBorders>
              <w:bottom w:val="single" w:sz="4" w:space="0" w:color="auto"/>
            </w:tcBorders>
            <w:shd w:val="clear" w:color="auto" w:fill="auto"/>
          </w:tcPr>
          <w:p w:rsidR="00ED7D43" w:rsidRPr="00ED7D43" w:rsidRDefault="00ED7D43" w:rsidP="00ED7D43">
            <w:pPr>
              <w:rPr>
                <w:lang w:val="en-GB"/>
              </w:rPr>
            </w:pPr>
            <w:r w:rsidRPr="00ED7D43">
              <w:rPr>
                <w:lang w:val="en-GB"/>
              </w:rPr>
              <w:t>% ongoing</w:t>
            </w:r>
          </w:p>
        </w:tc>
        <w:tc>
          <w:tcPr>
            <w:tcW w:w="1004" w:type="pct"/>
            <w:tcBorders>
              <w:bottom w:val="single" w:sz="4" w:space="0" w:color="auto"/>
            </w:tcBorders>
          </w:tcPr>
          <w:p w:rsidR="00ED7D43" w:rsidRPr="00ED7D43" w:rsidRDefault="00ED7D43" w:rsidP="00ED7D43">
            <w:pPr>
              <w:rPr>
                <w:lang w:val="en-GB"/>
              </w:rPr>
            </w:pPr>
            <w:r w:rsidRPr="00ED7D43">
              <w:rPr>
                <w:lang w:val="en-GB"/>
              </w:rPr>
              <w:t>73%</w:t>
            </w:r>
          </w:p>
        </w:tc>
        <w:tc>
          <w:tcPr>
            <w:tcW w:w="1004" w:type="pct"/>
            <w:tcBorders>
              <w:bottom w:val="single" w:sz="4" w:space="0" w:color="auto"/>
            </w:tcBorders>
          </w:tcPr>
          <w:p w:rsidR="00ED7D43" w:rsidRPr="00ED7D43" w:rsidRDefault="00ED7D43" w:rsidP="00ED7D43">
            <w:pPr>
              <w:rPr>
                <w:lang w:val="en-GB"/>
              </w:rPr>
            </w:pPr>
            <w:r w:rsidRPr="00ED7D43">
              <w:rPr>
                <w:lang w:val="en-GB"/>
              </w:rPr>
              <w:t>72%</w:t>
            </w:r>
          </w:p>
        </w:tc>
        <w:tc>
          <w:tcPr>
            <w:tcW w:w="1005" w:type="pct"/>
            <w:tcBorders>
              <w:bottom w:val="single" w:sz="4" w:space="0" w:color="auto"/>
            </w:tcBorders>
          </w:tcPr>
          <w:p w:rsidR="00ED7D43" w:rsidRPr="00ED7D43" w:rsidRDefault="00ED7D43" w:rsidP="00ED7D43">
            <w:pPr>
              <w:rPr>
                <w:lang w:val="en-GB"/>
              </w:rPr>
            </w:pPr>
            <w:r w:rsidRPr="00ED7D43">
              <w:rPr>
                <w:lang w:val="en-GB"/>
              </w:rPr>
              <w:t>34%</w:t>
            </w:r>
          </w:p>
        </w:tc>
      </w:tr>
      <w:tr w:rsidR="00ED7D43" w:rsidRPr="00ED7D43" w:rsidTr="00ED7D43">
        <w:trPr>
          <w:trHeight w:val="288"/>
          <w:jc w:val="center"/>
        </w:trPr>
        <w:tc>
          <w:tcPr>
            <w:tcW w:w="1987" w:type="pct"/>
            <w:shd w:val="clear" w:color="auto" w:fill="auto"/>
            <w:vAlign w:val="center"/>
          </w:tcPr>
          <w:p w:rsidR="00ED7D43" w:rsidRPr="00ED7D43" w:rsidRDefault="00ED7D43" w:rsidP="00ED7D43">
            <w:pPr>
              <w:rPr>
                <w:b/>
                <w:lang w:val="en-GB"/>
              </w:rPr>
            </w:pPr>
            <w:r w:rsidRPr="00ED7D43">
              <w:rPr>
                <w:b/>
                <w:lang w:val="en-GB"/>
              </w:rPr>
              <w:t xml:space="preserve">TPS </w:t>
            </w:r>
            <w:r w:rsidRPr="00ED7D43">
              <w:rPr>
                <w:b/>
                <w:lang w:val="en-GB"/>
              </w:rPr>
              <w:sym w:font="Symbol" w:char="F0B3"/>
            </w:r>
            <w:r w:rsidRPr="00ED7D43">
              <w:rPr>
                <w:b/>
                <w:lang w:val="en-GB"/>
              </w:rPr>
              <w:t>50%</w:t>
            </w:r>
          </w:p>
        </w:tc>
        <w:tc>
          <w:tcPr>
            <w:tcW w:w="1004" w:type="pct"/>
            <w:vAlign w:val="center"/>
          </w:tcPr>
          <w:p w:rsidR="00ED7D43" w:rsidRPr="00ED7D43" w:rsidRDefault="00ED7D43" w:rsidP="00ED7D43">
            <w:pPr>
              <w:rPr>
                <w:lang w:val="en-GB"/>
              </w:rPr>
            </w:pPr>
          </w:p>
        </w:tc>
        <w:tc>
          <w:tcPr>
            <w:tcW w:w="1004" w:type="pct"/>
            <w:vAlign w:val="center"/>
          </w:tcPr>
          <w:p w:rsidR="00ED7D43" w:rsidRPr="00ED7D43" w:rsidRDefault="00ED7D43" w:rsidP="00ED7D43">
            <w:pPr>
              <w:rPr>
                <w:lang w:val="en-GB"/>
              </w:rPr>
            </w:pPr>
          </w:p>
        </w:tc>
        <w:tc>
          <w:tcPr>
            <w:tcW w:w="1005" w:type="pct"/>
            <w:vAlign w:val="center"/>
          </w:tcPr>
          <w:p w:rsidR="00ED7D43" w:rsidRPr="00ED7D43" w:rsidRDefault="00ED7D43" w:rsidP="00ED7D43">
            <w:pPr>
              <w:rPr>
                <w:lang w:val="en-GB"/>
              </w:rPr>
            </w:pPr>
          </w:p>
        </w:tc>
      </w:tr>
      <w:tr w:rsidR="00ED7D43" w:rsidRPr="00ED7D43" w:rsidTr="00ED7D43">
        <w:trPr>
          <w:trHeight w:val="20"/>
          <w:jc w:val="center"/>
        </w:trPr>
        <w:tc>
          <w:tcPr>
            <w:tcW w:w="1987" w:type="pct"/>
            <w:shd w:val="clear" w:color="auto" w:fill="auto"/>
          </w:tcPr>
          <w:p w:rsidR="00ED7D43" w:rsidRPr="00ED7D43" w:rsidRDefault="00ED7D43" w:rsidP="00ED7D43">
            <w:pPr>
              <w:rPr>
                <w:lang w:val="en-GB"/>
              </w:rPr>
            </w:pPr>
            <w:r w:rsidRPr="00ED7D43">
              <w:rPr>
                <w:lang w:val="en-GB"/>
              </w:rPr>
              <w:t>Number of patients</w:t>
            </w:r>
          </w:p>
        </w:tc>
        <w:tc>
          <w:tcPr>
            <w:tcW w:w="1004" w:type="pct"/>
          </w:tcPr>
          <w:p w:rsidR="00ED7D43" w:rsidRPr="00ED7D43" w:rsidRDefault="00ED7D43" w:rsidP="00ED7D43">
            <w:pPr>
              <w:rPr>
                <w:lang w:val="en-GB"/>
              </w:rPr>
            </w:pPr>
            <w:r w:rsidRPr="00ED7D43">
              <w:rPr>
                <w:lang w:val="en-GB"/>
              </w:rPr>
              <w:t>139</w:t>
            </w:r>
          </w:p>
        </w:tc>
        <w:tc>
          <w:tcPr>
            <w:tcW w:w="1004" w:type="pct"/>
          </w:tcPr>
          <w:p w:rsidR="00ED7D43" w:rsidRPr="00ED7D43" w:rsidRDefault="00ED7D43" w:rsidP="00ED7D43">
            <w:pPr>
              <w:rPr>
                <w:lang w:val="en-GB"/>
              </w:rPr>
            </w:pPr>
            <w:r w:rsidRPr="00ED7D43">
              <w:rPr>
                <w:lang w:val="en-GB"/>
              </w:rPr>
              <w:t>151</w:t>
            </w:r>
          </w:p>
        </w:tc>
        <w:tc>
          <w:tcPr>
            <w:tcW w:w="1005" w:type="pct"/>
          </w:tcPr>
          <w:p w:rsidR="00ED7D43" w:rsidRPr="00ED7D43" w:rsidRDefault="00ED7D43" w:rsidP="00ED7D43">
            <w:pPr>
              <w:rPr>
                <w:lang w:val="en-GB"/>
              </w:rPr>
            </w:pPr>
            <w:r w:rsidRPr="00ED7D43">
              <w:rPr>
                <w:lang w:val="en-GB"/>
              </w:rPr>
              <w:t>152</w:t>
            </w:r>
          </w:p>
        </w:tc>
      </w:tr>
      <w:tr w:rsidR="00ED7D43" w:rsidRPr="00ED7D43" w:rsidTr="00ED7D43">
        <w:trPr>
          <w:trHeight w:val="20"/>
          <w:jc w:val="center"/>
        </w:trPr>
        <w:tc>
          <w:tcPr>
            <w:tcW w:w="1987" w:type="pct"/>
            <w:shd w:val="clear" w:color="auto" w:fill="auto"/>
          </w:tcPr>
          <w:p w:rsidR="00ED7D43" w:rsidRPr="00ED7D43" w:rsidRDefault="00ED7D43" w:rsidP="00ED7D43">
            <w:pPr>
              <w:rPr>
                <w:b/>
                <w:lang w:val="en-GB"/>
              </w:rPr>
            </w:pPr>
            <w:r w:rsidRPr="00ED7D43">
              <w:rPr>
                <w:b/>
                <w:lang w:val="en-GB"/>
              </w:rPr>
              <w:t>OS</w:t>
            </w:r>
          </w:p>
        </w:tc>
        <w:tc>
          <w:tcPr>
            <w:tcW w:w="1004" w:type="pct"/>
          </w:tcPr>
          <w:p w:rsidR="00ED7D43" w:rsidRPr="00ED7D43" w:rsidRDefault="00ED7D43" w:rsidP="00ED7D43">
            <w:pPr>
              <w:rPr>
                <w:lang w:val="en-GB"/>
              </w:rPr>
            </w:pPr>
          </w:p>
        </w:tc>
        <w:tc>
          <w:tcPr>
            <w:tcW w:w="1004" w:type="pct"/>
          </w:tcPr>
          <w:p w:rsidR="00ED7D43" w:rsidRPr="00ED7D43" w:rsidRDefault="00ED7D43" w:rsidP="00ED7D43">
            <w:pPr>
              <w:rPr>
                <w:lang w:val="en-GB"/>
              </w:rPr>
            </w:pPr>
          </w:p>
        </w:tc>
        <w:tc>
          <w:tcPr>
            <w:tcW w:w="1005" w:type="pct"/>
          </w:tcPr>
          <w:p w:rsidR="00ED7D43" w:rsidRPr="00ED7D43" w:rsidRDefault="00ED7D43" w:rsidP="00ED7D43">
            <w:pPr>
              <w:rPr>
                <w:lang w:val="en-GB"/>
              </w:rPr>
            </w:pPr>
          </w:p>
        </w:tc>
      </w:tr>
      <w:tr w:rsidR="00ED7D43" w:rsidRPr="00ED7D43" w:rsidTr="00ED7D43">
        <w:trPr>
          <w:trHeight w:val="20"/>
          <w:jc w:val="center"/>
        </w:trPr>
        <w:tc>
          <w:tcPr>
            <w:tcW w:w="1987" w:type="pct"/>
            <w:shd w:val="clear" w:color="auto" w:fill="auto"/>
          </w:tcPr>
          <w:p w:rsidR="00ED7D43" w:rsidRPr="00ED7D43" w:rsidRDefault="00ED7D43" w:rsidP="00ED7D43">
            <w:pPr>
              <w:rPr>
                <w:lang w:val="en-GB"/>
              </w:rPr>
            </w:pPr>
            <w:r w:rsidRPr="00ED7D43">
              <w:t>Number (%) of patients with event</w:t>
            </w:r>
          </w:p>
        </w:tc>
        <w:tc>
          <w:tcPr>
            <w:tcW w:w="1004" w:type="pct"/>
          </w:tcPr>
          <w:p w:rsidR="00ED7D43" w:rsidRPr="00ED7D43" w:rsidRDefault="00ED7D43" w:rsidP="00ED7D43">
            <w:pPr>
              <w:rPr>
                <w:lang w:val="en-GB"/>
              </w:rPr>
            </w:pPr>
            <w:r w:rsidRPr="00ED7D43">
              <w:rPr>
                <w:lang w:val="en-GB"/>
              </w:rPr>
              <w:t>58 (42%)</w:t>
            </w:r>
          </w:p>
        </w:tc>
        <w:tc>
          <w:tcPr>
            <w:tcW w:w="1004" w:type="pct"/>
          </w:tcPr>
          <w:p w:rsidR="00ED7D43" w:rsidRPr="00ED7D43" w:rsidRDefault="00ED7D43" w:rsidP="00ED7D43">
            <w:pPr>
              <w:rPr>
                <w:lang w:val="en-GB"/>
              </w:rPr>
            </w:pPr>
            <w:r w:rsidRPr="00ED7D43">
              <w:rPr>
                <w:lang w:val="en-GB"/>
              </w:rPr>
              <w:t>60 (40%)</w:t>
            </w:r>
          </w:p>
        </w:tc>
        <w:tc>
          <w:tcPr>
            <w:tcW w:w="1005" w:type="pct"/>
          </w:tcPr>
          <w:p w:rsidR="00ED7D43" w:rsidRPr="00ED7D43" w:rsidRDefault="00ED7D43" w:rsidP="00ED7D43">
            <w:pPr>
              <w:rPr>
                <w:lang w:val="en-GB"/>
              </w:rPr>
            </w:pPr>
            <w:r w:rsidRPr="00ED7D43">
              <w:rPr>
                <w:lang w:val="en-GB"/>
              </w:rPr>
              <w:t>86 (57%)</w:t>
            </w:r>
          </w:p>
        </w:tc>
      </w:tr>
      <w:tr w:rsidR="00ED7D43" w:rsidRPr="00ED7D43" w:rsidTr="00ED7D43">
        <w:trPr>
          <w:trHeight w:val="20"/>
          <w:jc w:val="center"/>
        </w:trPr>
        <w:tc>
          <w:tcPr>
            <w:tcW w:w="1987" w:type="pct"/>
            <w:shd w:val="clear" w:color="auto" w:fill="auto"/>
          </w:tcPr>
          <w:p w:rsidR="00ED7D43" w:rsidRPr="00ED7D43" w:rsidRDefault="00ED7D43" w:rsidP="00ED7D43">
            <w:pPr>
              <w:rPr>
                <w:lang w:val="en-GB"/>
              </w:rPr>
            </w:pPr>
            <w:r w:rsidRPr="00ED7D43">
              <w:rPr>
                <w:lang w:val="en-GB"/>
              </w:rPr>
              <w:t xml:space="preserve">Hazard ratio* (95% CI) </w:t>
            </w:r>
          </w:p>
        </w:tc>
        <w:tc>
          <w:tcPr>
            <w:tcW w:w="1004" w:type="pct"/>
          </w:tcPr>
          <w:p w:rsidR="00ED7D43" w:rsidRPr="00ED7D43" w:rsidRDefault="00ED7D43" w:rsidP="00ED7D43">
            <w:pPr>
              <w:rPr>
                <w:lang w:val="en-GB"/>
              </w:rPr>
            </w:pPr>
            <w:r w:rsidRPr="00ED7D43">
              <w:rPr>
                <w:lang w:val="en-GB"/>
              </w:rPr>
              <w:t>0.54 (0.38, 0.77)</w:t>
            </w:r>
          </w:p>
        </w:tc>
        <w:tc>
          <w:tcPr>
            <w:tcW w:w="1004" w:type="pct"/>
          </w:tcPr>
          <w:p w:rsidR="00ED7D43" w:rsidRPr="00ED7D43" w:rsidRDefault="00ED7D43" w:rsidP="00ED7D43">
            <w:pPr>
              <w:rPr>
                <w:lang w:val="en-GB"/>
              </w:rPr>
            </w:pPr>
            <w:r w:rsidRPr="00ED7D43">
              <w:rPr>
                <w:lang w:val="en-GB"/>
              </w:rPr>
              <w:t>0.50 (0.36, 0.70)</w:t>
            </w:r>
          </w:p>
        </w:tc>
        <w:tc>
          <w:tcPr>
            <w:tcW w:w="1005" w:type="pct"/>
          </w:tcPr>
          <w:p w:rsidR="00ED7D43" w:rsidRPr="00ED7D43" w:rsidRDefault="00ED7D43" w:rsidP="00ED7D43">
            <w:pPr>
              <w:rPr>
                <w:lang w:val="en-GB"/>
              </w:rPr>
            </w:pPr>
            <w:r w:rsidRPr="00ED7D43">
              <w:rPr>
                <w:lang w:val="en-GB"/>
              </w:rPr>
              <w:t>---</w:t>
            </w:r>
          </w:p>
        </w:tc>
      </w:tr>
      <w:tr w:rsidR="00ED7D43" w:rsidRPr="00ED7D43" w:rsidTr="00ED7D43">
        <w:trPr>
          <w:trHeight w:val="20"/>
          <w:jc w:val="center"/>
        </w:trPr>
        <w:tc>
          <w:tcPr>
            <w:tcW w:w="1987" w:type="pct"/>
            <w:shd w:val="clear" w:color="auto" w:fill="auto"/>
          </w:tcPr>
          <w:p w:rsidR="00ED7D43" w:rsidRPr="00ED7D43" w:rsidRDefault="00ED7D43" w:rsidP="00ED7D43">
            <w:pPr>
              <w:rPr>
                <w:lang w:val="en-GB"/>
              </w:rPr>
            </w:pPr>
            <w:r w:rsidRPr="00ED7D43">
              <w:rPr>
                <w:lang w:val="en-GB"/>
              </w:rPr>
              <w:t>p-Value</w:t>
            </w:r>
            <w:r w:rsidRPr="00ED7D43">
              <w:rPr>
                <w:vertAlign w:val="superscript"/>
                <w:lang w:val="en-GB"/>
              </w:rPr>
              <w:t>†</w:t>
            </w:r>
          </w:p>
        </w:tc>
        <w:tc>
          <w:tcPr>
            <w:tcW w:w="1004" w:type="pct"/>
          </w:tcPr>
          <w:p w:rsidR="00ED7D43" w:rsidRPr="00ED7D43" w:rsidRDefault="00ED7D43" w:rsidP="00ED7D43">
            <w:pPr>
              <w:rPr>
                <w:lang w:val="en-GB"/>
              </w:rPr>
            </w:pPr>
            <w:r w:rsidRPr="00ED7D43">
              <w:rPr>
                <w:lang w:val="en-GB"/>
              </w:rPr>
              <w:t>&lt;0.001</w:t>
            </w:r>
          </w:p>
        </w:tc>
        <w:tc>
          <w:tcPr>
            <w:tcW w:w="1004" w:type="pct"/>
          </w:tcPr>
          <w:p w:rsidR="00ED7D43" w:rsidRPr="00ED7D43" w:rsidRDefault="00ED7D43" w:rsidP="00ED7D43">
            <w:pPr>
              <w:rPr>
                <w:lang w:val="en-GB"/>
              </w:rPr>
            </w:pPr>
            <w:r w:rsidRPr="00ED7D43">
              <w:rPr>
                <w:lang w:val="en-GB"/>
              </w:rPr>
              <w:t>&lt;0.001</w:t>
            </w:r>
          </w:p>
        </w:tc>
        <w:tc>
          <w:tcPr>
            <w:tcW w:w="1005" w:type="pct"/>
          </w:tcPr>
          <w:p w:rsidR="00ED7D43" w:rsidRPr="00ED7D43" w:rsidRDefault="00ED7D43" w:rsidP="00ED7D43">
            <w:pPr>
              <w:rPr>
                <w:lang w:val="en-GB"/>
              </w:rPr>
            </w:pPr>
            <w:r w:rsidRPr="00ED7D43">
              <w:rPr>
                <w:lang w:val="en-GB"/>
              </w:rPr>
              <w:t>---</w:t>
            </w:r>
          </w:p>
        </w:tc>
      </w:tr>
      <w:tr w:rsidR="00ED7D43" w:rsidRPr="00ED7D43" w:rsidTr="00ED7D43">
        <w:trPr>
          <w:trHeight w:val="20"/>
          <w:jc w:val="center"/>
        </w:trPr>
        <w:tc>
          <w:tcPr>
            <w:tcW w:w="1987" w:type="pct"/>
            <w:shd w:val="clear" w:color="auto" w:fill="auto"/>
          </w:tcPr>
          <w:p w:rsidR="00ED7D43" w:rsidRPr="00ED7D43" w:rsidRDefault="00ED7D43" w:rsidP="00ED7D43">
            <w:pPr>
              <w:rPr>
                <w:lang w:val="en-GB"/>
              </w:rPr>
            </w:pPr>
            <w:r w:rsidRPr="00ED7D43">
              <w:rPr>
                <w:lang w:val="en-GB"/>
              </w:rPr>
              <w:t>Median in months (95% CI)</w:t>
            </w:r>
          </w:p>
        </w:tc>
        <w:tc>
          <w:tcPr>
            <w:tcW w:w="1004" w:type="pct"/>
          </w:tcPr>
          <w:p w:rsidR="00ED7D43" w:rsidRPr="00ED7D43" w:rsidRDefault="00ED7D43" w:rsidP="00ED7D43">
            <w:pPr>
              <w:rPr>
                <w:lang w:val="en-GB"/>
              </w:rPr>
            </w:pPr>
            <w:r w:rsidRPr="00ED7D43">
              <w:rPr>
                <w:lang w:val="en-GB"/>
              </w:rPr>
              <w:t>14.9 (10.4, NA)</w:t>
            </w:r>
          </w:p>
        </w:tc>
        <w:tc>
          <w:tcPr>
            <w:tcW w:w="1004" w:type="pct"/>
          </w:tcPr>
          <w:p w:rsidR="00ED7D43" w:rsidRPr="00ED7D43" w:rsidRDefault="00ED7D43" w:rsidP="00ED7D43">
            <w:pPr>
              <w:rPr>
                <w:lang w:val="en-GB"/>
              </w:rPr>
            </w:pPr>
            <w:r w:rsidRPr="00ED7D43">
              <w:rPr>
                <w:lang w:val="en-GB"/>
              </w:rPr>
              <w:t>17.3 (11.8, NA)</w:t>
            </w:r>
          </w:p>
        </w:tc>
        <w:tc>
          <w:tcPr>
            <w:tcW w:w="1005" w:type="pct"/>
          </w:tcPr>
          <w:p w:rsidR="00ED7D43" w:rsidRPr="00ED7D43" w:rsidRDefault="00ED7D43" w:rsidP="00ED7D43">
            <w:pPr>
              <w:rPr>
                <w:lang w:val="en-GB"/>
              </w:rPr>
            </w:pPr>
            <w:r w:rsidRPr="00ED7D43">
              <w:rPr>
                <w:lang w:val="en-GB"/>
              </w:rPr>
              <w:t>8.2 (6.4, 10.7)</w:t>
            </w:r>
          </w:p>
        </w:tc>
      </w:tr>
      <w:tr w:rsidR="00ED7D43" w:rsidRPr="00ED7D43" w:rsidTr="00ED7D43">
        <w:trPr>
          <w:trHeight w:val="20"/>
          <w:jc w:val="center"/>
        </w:trPr>
        <w:tc>
          <w:tcPr>
            <w:tcW w:w="1987" w:type="pct"/>
            <w:shd w:val="clear" w:color="auto" w:fill="auto"/>
          </w:tcPr>
          <w:p w:rsidR="00ED7D43" w:rsidRPr="00ED7D43" w:rsidRDefault="00ED7D43" w:rsidP="00ED7D43">
            <w:pPr>
              <w:rPr>
                <w:b/>
                <w:lang w:val="en-GB"/>
              </w:rPr>
            </w:pPr>
            <w:r w:rsidRPr="00ED7D43">
              <w:rPr>
                <w:b/>
                <w:lang w:val="en-GB"/>
              </w:rPr>
              <w:t>PFS</w:t>
            </w:r>
            <w:r w:rsidRPr="00ED7D43">
              <w:rPr>
                <w:b/>
                <w:vertAlign w:val="superscript"/>
                <w:lang w:val="en-GB"/>
              </w:rPr>
              <w:t>‡</w:t>
            </w:r>
          </w:p>
        </w:tc>
        <w:tc>
          <w:tcPr>
            <w:tcW w:w="1004" w:type="pct"/>
          </w:tcPr>
          <w:p w:rsidR="00ED7D43" w:rsidRPr="00ED7D43" w:rsidRDefault="00ED7D43" w:rsidP="00ED7D43">
            <w:pPr>
              <w:rPr>
                <w:lang w:val="en-GB"/>
              </w:rPr>
            </w:pPr>
          </w:p>
        </w:tc>
        <w:tc>
          <w:tcPr>
            <w:tcW w:w="1004" w:type="pct"/>
          </w:tcPr>
          <w:p w:rsidR="00ED7D43" w:rsidRPr="00ED7D43" w:rsidRDefault="00ED7D43" w:rsidP="00ED7D43">
            <w:pPr>
              <w:rPr>
                <w:lang w:val="en-GB"/>
              </w:rPr>
            </w:pPr>
          </w:p>
        </w:tc>
        <w:tc>
          <w:tcPr>
            <w:tcW w:w="1005" w:type="pct"/>
          </w:tcPr>
          <w:p w:rsidR="00ED7D43" w:rsidRPr="00ED7D43" w:rsidRDefault="00ED7D43" w:rsidP="00ED7D43">
            <w:pPr>
              <w:rPr>
                <w:lang w:val="en-GB"/>
              </w:rPr>
            </w:pPr>
          </w:p>
        </w:tc>
      </w:tr>
      <w:tr w:rsidR="00ED7D43" w:rsidRPr="00ED7D43" w:rsidTr="00ED7D43">
        <w:trPr>
          <w:trHeight w:val="20"/>
          <w:jc w:val="center"/>
        </w:trPr>
        <w:tc>
          <w:tcPr>
            <w:tcW w:w="1987" w:type="pct"/>
            <w:shd w:val="clear" w:color="auto" w:fill="auto"/>
          </w:tcPr>
          <w:p w:rsidR="00ED7D43" w:rsidRPr="00ED7D43" w:rsidRDefault="00ED7D43" w:rsidP="00ED7D43">
            <w:pPr>
              <w:rPr>
                <w:lang w:val="en-GB"/>
              </w:rPr>
            </w:pPr>
            <w:r w:rsidRPr="00ED7D43">
              <w:t>Number (%) of patients with event</w:t>
            </w:r>
          </w:p>
        </w:tc>
        <w:tc>
          <w:tcPr>
            <w:tcW w:w="1004" w:type="pct"/>
          </w:tcPr>
          <w:p w:rsidR="00ED7D43" w:rsidRPr="00ED7D43" w:rsidRDefault="00ED7D43" w:rsidP="00ED7D43">
            <w:pPr>
              <w:rPr>
                <w:lang w:val="en-GB"/>
              </w:rPr>
            </w:pPr>
            <w:r w:rsidRPr="00ED7D43">
              <w:rPr>
                <w:lang w:val="en-GB"/>
              </w:rPr>
              <w:t>89 (64%)</w:t>
            </w:r>
          </w:p>
        </w:tc>
        <w:tc>
          <w:tcPr>
            <w:tcW w:w="1004" w:type="pct"/>
          </w:tcPr>
          <w:p w:rsidR="00ED7D43" w:rsidRPr="00ED7D43" w:rsidRDefault="00ED7D43" w:rsidP="00ED7D43">
            <w:pPr>
              <w:rPr>
                <w:lang w:val="en-GB"/>
              </w:rPr>
            </w:pPr>
            <w:r w:rsidRPr="00ED7D43">
              <w:rPr>
                <w:lang w:val="en-GB"/>
              </w:rPr>
              <w:t>97 (64%)</w:t>
            </w:r>
          </w:p>
        </w:tc>
        <w:tc>
          <w:tcPr>
            <w:tcW w:w="1005" w:type="pct"/>
          </w:tcPr>
          <w:p w:rsidR="00ED7D43" w:rsidRPr="00ED7D43" w:rsidRDefault="00ED7D43" w:rsidP="00ED7D43">
            <w:pPr>
              <w:rPr>
                <w:lang w:val="en-GB"/>
              </w:rPr>
            </w:pPr>
            <w:r w:rsidRPr="00ED7D43">
              <w:rPr>
                <w:lang w:val="en-GB"/>
              </w:rPr>
              <w:t>118 (78%)</w:t>
            </w:r>
          </w:p>
        </w:tc>
      </w:tr>
      <w:tr w:rsidR="00ED7D43" w:rsidRPr="00ED7D43" w:rsidTr="00ED7D43">
        <w:trPr>
          <w:trHeight w:val="20"/>
          <w:jc w:val="center"/>
        </w:trPr>
        <w:tc>
          <w:tcPr>
            <w:tcW w:w="1987" w:type="pct"/>
            <w:shd w:val="clear" w:color="auto" w:fill="auto"/>
          </w:tcPr>
          <w:p w:rsidR="00ED7D43" w:rsidRPr="00ED7D43" w:rsidRDefault="00ED7D43" w:rsidP="00ED7D43">
            <w:pPr>
              <w:rPr>
                <w:lang w:val="en-GB"/>
              </w:rPr>
            </w:pPr>
            <w:r w:rsidRPr="00ED7D43">
              <w:rPr>
                <w:lang w:val="en-GB"/>
              </w:rPr>
              <w:t xml:space="preserve">Hazard ratio* (95% CI) </w:t>
            </w:r>
          </w:p>
        </w:tc>
        <w:tc>
          <w:tcPr>
            <w:tcW w:w="1004" w:type="pct"/>
          </w:tcPr>
          <w:p w:rsidR="00ED7D43" w:rsidRPr="00ED7D43" w:rsidRDefault="00ED7D43" w:rsidP="00ED7D43">
            <w:pPr>
              <w:rPr>
                <w:lang w:val="en-GB"/>
              </w:rPr>
            </w:pPr>
            <w:r w:rsidRPr="00ED7D43">
              <w:rPr>
                <w:lang w:val="en-GB"/>
              </w:rPr>
              <w:t>0.58 (0.43, 0.77)</w:t>
            </w:r>
          </w:p>
        </w:tc>
        <w:tc>
          <w:tcPr>
            <w:tcW w:w="1004" w:type="pct"/>
          </w:tcPr>
          <w:p w:rsidR="00ED7D43" w:rsidRPr="00ED7D43" w:rsidRDefault="00ED7D43" w:rsidP="00ED7D43">
            <w:pPr>
              <w:rPr>
                <w:lang w:val="en-GB"/>
              </w:rPr>
            </w:pPr>
            <w:r w:rsidRPr="00ED7D43">
              <w:rPr>
                <w:lang w:val="en-GB"/>
              </w:rPr>
              <w:t>0.59 (0.45, 0.78)</w:t>
            </w:r>
          </w:p>
        </w:tc>
        <w:tc>
          <w:tcPr>
            <w:tcW w:w="1005" w:type="pct"/>
          </w:tcPr>
          <w:p w:rsidR="00ED7D43" w:rsidRPr="00ED7D43" w:rsidRDefault="00ED7D43" w:rsidP="00ED7D43">
            <w:pPr>
              <w:rPr>
                <w:lang w:val="en-GB"/>
              </w:rPr>
            </w:pPr>
            <w:r w:rsidRPr="00ED7D43">
              <w:rPr>
                <w:lang w:val="en-GB"/>
              </w:rPr>
              <w:t>---</w:t>
            </w:r>
          </w:p>
        </w:tc>
      </w:tr>
      <w:tr w:rsidR="00ED7D43" w:rsidRPr="00ED7D43" w:rsidTr="00ED7D43">
        <w:trPr>
          <w:trHeight w:val="20"/>
          <w:jc w:val="center"/>
        </w:trPr>
        <w:tc>
          <w:tcPr>
            <w:tcW w:w="1987" w:type="pct"/>
            <w:shd w:val="clear" w:color="auto" w:fill="auto"/>
          </w:tcPr>
          <w:p w:rsidR="00ED7D43" w:rsidRPr="00ED7D43" w:rsidRDefault="00ED7D43" w:rsidP="00ED7D43">
            <w:pPr>
              <w:rPr>
                <w:lang w:val="en-GB"/>
              </w:rPr>
            </w:pPr>
            <w:r w:rsidRPr="00ED7D43">
              <w:rPr>
                <w:lang w:val="en-GB"/>
              </w:rPr>
              <w:t>p-Value</w:t>
            </w:r>
            <w:r w:rsidRPr="00ED7D43">
              <w:rPr>
                <w:vertAlign w:val="superscript"/>
                <w:lang w:val="en-GB"/>
              </w:rPr>
              <w:t>†</w:t>
            </w:r>
          </w:p>
        </w:tc>
        <w:tc>
          <w:tcPr>
            <w:tcW w:w="1004" w:type="pct"/>
          </w:tcPr>
          <w:p w:rsidR="00ED7D43" w:rsidRPr="00ED7D43" w:rsidRDefault="00ED7D43" w:rsidP="00ED7D43">
            <w:pPr>
              <w:rPr>
                <w:lang w:val="en-GB"/>
              </w:rPr>
            </w:pPr>
            <w:r w:rsidRPr="00ED7D43">
              <w:rPr>
                <w:lang w:val="en-GB"/>
              </w:rPr>
              <w:t>&lt;0.001</w:t>
            </w:r>
          </w:p>
        </w:tc>
        <w:tc>
          <w:tcPr>
            <w:tcW w:w="1004" w:type="pct"/>
          </w:tcPr>
          <w:p w:rsidR="00ED7D43" w:rsidRPr="00ED7D43" w:rsidRDefault="00ED7D43" w:rsidP="00ED7D43">
            <w:pPr>
              <w:rPr>
                <w:lang w:val="en-GB"/>
              </w:rPr>
            </w:pPr>
            <w:r w:rsidRPr="00ED7D43">
              <w:rPr>
                <w:lang w:val="en-GB"/>
              </w:rPr>
              <w:t>&lt;0.001</w:t>
            </w:r>
          </w:p>
        </w:tc>
        <w:tc>
          <w:tcPr>
            <w:tcW w:w="1005" w:type="pct"/>
          </w:tcPr>
          <w:p w:rsidR="00ED7D43" w:rsidRPr="00ED7D43" w:rsidRDefault="00ED7D43" w:rsidP="00ED7D43">
            <w:pPr>
              <w:rPr>
                <w:lang w:val="en-GB"/>
              </w:rPr>
            </w:pPr>
            <w:r w:rsidRPr="00ED7D43">
              <w:rPr>
                <w:lang w:val="en-GB"/>
              </w:rPr>
              <w:t>---</w:t>
            </w:r>
          </w:p>
        </w:tc>
      </w:tr>
      <w:tr w:rsidR="00ED7D43" w:rsidRPr="00ED7D43" w:rsidTr="00ED7D43">
        <w:trPr>
          <w:trHeight w:val="20"/>
          <w:jc w:val="center"/>
        </w:trPr>
        <w:tc>
          <w:tcPr>
            <w:tcW w:w="1987" w:type="pct"/>
            <w:shd w:val="clear" w:color="auto" w:fill="auto"/>
          </w:tcPr>
          <w:p w:rsidR="00ED7D43" w:rsidRPr="00ED7D43" w:rsidRDefault="00ED7D43" w:rsidP="00ED7D43">
            <w:pPr>
              <w:rPr>
                <w:lang w:val="en-GB"/>
              </w:rPr>
            </w:pPr>
            <w:r w:rsidRPr="00ED7D43">
              <w:rPr>
                <w:lang w:val="en-GB"/>
              </w:rPr>
              <w:lastRenderedPageBreak/>
              <w:t>Median in months (95% CI)</w:t>
            </w:r>
          </w:p>
        </w:tc>
        <w:tc>
          <w:tcPr>
            <w:tcW w:w="1004" w:type="pct"/>
          </w:tcPr>
          <w:p w:rsidR="00ED7D43" w:rsidRPr="00ED7D43" w:rsidRDefault="00ED7D43" w:rsidP="00ED7D43">
            <w:pPr>
              <w:rPr>
                <w:lang w:val="en-GB"/>
              </w:rPr>
            </w:pPr>
            <w:r w:rsidRPr="00ED7D43">
              <w:rPr>
                <w:lang w:val="en-GB"/>
              </w:rPr>
              <w:t>5.2 (4.0, 6.5)</w:t>
            </w:r>
          </w:p>
        </w:tc>
        <w:tc>
          <w:tcPr>
            <w:tcW w:w="1004" w:type="pct"/>
          </w:tcPr>
          <w:p w:rsidR="00ED7D43" w:rsidRPr="00ED7D43" w:rsidRDefault="00ED7D43" w:rsidP="00ED7D43">
            <w:pPr>
              <w:rPr>
                <w:lang w:val="en-GB"/>
              </w:rPr>
            </w:pPr>
            <w:r w:rsidRPr="00ED7D43">
              <w:rPr>
                <w:lang w:val="en-GB"/>
              </w:rPr>
              <w:t>5.2 (4.1, 8.1)</w:t>
            </w:r>
          </w:p>
        </w:tc>
        <w:tc>
          <w:tcPr>
            <w:tcW w:w="1005" w:type="pct"/>
          </w:tcPr>
          <w:p w:rsidR="00ED7D43" w:rsidRPr="00ED7D43" w:rsidRDefault="00ED7D43" w:rsidP="00ED7D43">
            <w:pPr>
              <w:rPr>
                <w:lang w:val="en-GB"/>
              </w:rPr>
            </w:pPr>
            <w:r w:rsidRPr="00ED7D43">
              <w:rPr>
                <w:lang w:val="en-GB"/>
              </w:rPr>
              <w:t>4.1 (3.6, 4.3)</w:t>
            </w:r>
          </w:p>
        </w:tc>
      </w:tr>
      <w:tr w:rsidR="00ED7D43" w:rsidRPr="00ED7D43" w:rsidTr="00ED7D43">
        <w:trPr>
          <w:trHeight w:val="20"/>
          <w:jc w:val="center"/>
        </w:trPr>
        <w:tc>
          <w:tcPr>
            <w:tcW w:w="1987" w:type="pct"/>
            <w:shd w:val="clear" w:color="auto" w:fill="auto"/>
          </w:tcPr>
          <w:p w:rsidR="00ED7D43" w:rsidRPr="00ED7D43" w:rsidRDefault="00ED7D43" w:rsidP="00ED7D43">
            <w:pPr>
              <w:rPr>
                <w:b/>
                <w:lang w:val="en-GB"/>
              </w:rPr>
            </w:pPr>
            <w:r w:rsidRPr="00ED7D43">
              <w:rPr>
                <w:b/>
                <w:lang w:val="en-GB"/>
              </w:rPr>
              <w:t>Overall response rate</w:t>
            </w:r>
            <w:r w:rsidRPr="00ED7D43">
              <w:rPr>
                <w:b/>
                <w:vertAlign w:val="superscript"/>
                <w:lang w:val="en-GB"/>
              </w:rPr>
              <w:t>‡</w:t>
            </w:r>
          </w:p>
        </w:tc>
        <w:tc>
          <w:tcPr>
            <w:tcW w:w="1004" w:type="pct"/>
          </w:tcPr>
          <w:p w:rsidR="00ED7D43" w:rsidRPr="00ED7D43" w:rsidRDefault="00ED7D43" w:rsidP="00ED7D43">
            <w:pPr>
              <w:rPr>
                <w:lang w:val="en-GB"/>
              </w:rPr>
            </w:pPr>
          </w:p>
        </w:tc>
        <w:tc>
          <w:tcPr>
            <w:tcW w:w="1004" w:type="pct"/>
          </w:tcPr>
          <w:p w:rsidR="00ED7D43" w:rsidRPr="00ED7D43" w:rsidRDefault="00ED7D43" w:rsidP="00ED7D43">
            <w:pPr>
              <w:rPr>
                <w:lang w:val="en-GB"/>
              </w:rPr>
            </w:pPr>
          </w:p>
        </w:tc>
        <w:tc>
          <w:tcPr>
            <w:tcW w:w="1005" w:type="pct"/>
          </w:tcPr>
          <w:p w:rsidR="00ED7D43" w:rsidRPr="00ED7D43" w:rsidRDefault="00ED7D43" w:rsidP="00ED7D43">
            <w:pPr>
              <w:rPr>
                <w:lang w:val="en-GB"/>
              </w:rPr>
            </w:pPr>
          </w:p>
        </w:tc>
      </w:tr>
      <w:tr w:rsidR="00ED7D43" w:rsidRPr="00ED7D43" w:rsidTr="00ED7D43">
        <w:trPr>
          <w:trHeight w:val="20"/>
          <w:jc w:val="center"/>
        </w:trPr>
        <w:tc>
          <w:tcPr>
            <w:tcW w:w="1987" w:type="pct"/>
            <w:shd w:val="clear" w:color="auto" w:fill="auto"/>
          </w:tcPr>
          <w:p w:rsidR="00ED7D43" w:rsidRPr="00ED7D43" w:rsidRDefault="00ED7D43" w:rsidP="00ED7D43">
            <w:pPr>
              <w:rPr>
                <w:lang w:val="en-GB"/>
              </w:rPr>
            </w:pPr>
            <w:r w:rsidRPr="00ED7D43">
              <w:rPr>
                <w:lang w:val="en-GB"/>
              </w:rPr>
              <w:t>ORR %</w:t>
            </w:r>
            <w:r w:rsidRPr="00ED7D43">
              <w:rPr>
                <w:vertAlign w:val="superscript"/>
                <w:lang w:val="en-GB"/>
              </w:rPr>
              <w:t>§</w:t>
            </w:r>
            <w:r w:rsidRPr="00ED7D43">
              <w:rPr>
                <w:lang w:val="en-GB"/>
              </w:rPr>
              <w:t xml:space="preserve"> (95% CI)</w:t>
            </w:r>
          </w:p>
        </w:tc>
        <w:tc>
          <w:tcPr>
            <w:tcW w:w="1004" w:type="pct"/>
          </w:tcPr>
          <w:p w:rsidR="00ED7D43" w:rsidRPr="00ED7D43" w:rsidRDefault="00ED7D43" w:rsidP="00ED7D43">
            <w:pPr>
              <w:rPr>
                <w:lang w:val="en-GB"/>
              </w:rPr>
            </w:pPr>
            <w:r w:rsidRPr="00ED7D43">
              <w:rPr>
                <w:lang w:val="en-GB"/>
              </w:rPr>
              <w:t>30% (23, 39)</w:t>
            </w:r>
          </w:p>
        </w:tc>
        <w:tc>
          <w:tcPr>
            <w:tcW w:w="1004" w:type="pct"/>
          </w:tcPr>
          <w:p w:rsidR="00ED7D43" w:rsidRPr="00ED7D43" w:rsidRDefault="00ED7D43" w:rsidP="00ED7D43">
            <w:pPr>
              <w:rPr>
                <w:lang w:val="en-GB"/>
              </w:rPr>
            </w:pPr>
            <w:r w:rsidRPr="00ED7D43">
              <w:rPr>
                <w:lang w:val="en-GB"/>
              </w:rPr>
              <w:t>29% (22, 37)</w:t>
            </w:r>
          </w:p>
        </w:tc>
        <w:tc>
          <w:tcPr>
            <w:tcW w:w="1005" w:type="pct"/>
          </w:tcPr>
          <w:p w:rsidR="00ED7D43" w:rsidRPr="00ED7D43" w:rsidRDefault="00ED7D43" w:rsidP="00ED7D43">
            <w:pPr>
              <w:rPr>
                <w:lang w:val="en-GB"/>
              </w:rPr>
            </w:pPr>
            <w:r w:rsidRPr="00ED7D43">
              <w:rPr>
                <w:lang w:val="en-GB"/>
              </w:rPr>
              <w:t>8% (4, 13)</w:t>
            </w:r>
          </w:p>
        </w:tc>
      </w:tr>
      <w:tr w:rsidR="00ED7D43" w:rsidRPr="00ED7D43" w:rsidTr="00ED7D43">
        <w:trPr>
          <w:trHeight w:val="20"/>
          <w:jc w:val="center"/>
        </w:trPr>
        <w:tc>
          <w:tcPr>
            <w:tcW w:w="1987" w:type="pct"/>
            <w:shd w:val="clear" w:color="auto" w:fill="auto"/>
          </w:tcPr>
          <w:p w:rsidR="00ED7D43" w:rsidRPr="00ED7D43" w:rsidRDefault="00ED7D43" w:rsidP="00ED7D43">
            <w:pPr>
              <w:rPr>
                <w:b/>
                <w:lang w:val="en-GB"/>
              </w:rPr>
            </w:pPr>
            <w:r w:rsidRPr="00ED7D43">
              <w:rPr>
                <w:b/>
                <w:lang w:val="en-GB"/>
              </w:rPr>
              <w:t>Response duration</w:t>
            </w:r>
            <w:r w:rsidRPr="00ED7D43">
              <w:rPr>
                <w:b/>
                <w:vertAlign w:val="superscript"/>
                <w:lang w:val="en-GB"/>
              </w:rPr>
              <w:t>‡,</w:t>
            </w:r>
            <w:r w:rsidRPr="00ED7D43">
              <w:rPr>
                <w:b/>
                <w:vertAlign w:val="superscript"/>
              </w:rPr>
              <w:t>¶,Þ</w:t>
            </w:r>
          </w:p>
        </w:tc>
        <w:tc>
          <w:tcPr>
            <w:tcW w:w="1004" w:type="pct"/>
          </w:tcPr>
          <w:p w:rsidR="00ED7D43" w:rsidRPr="00ED7D43" w:rsidRDefault="00ED7D43" w:rsidP="00ED7D43">
            <w:pPr>
              <w:rPr>
                <w:lang w:val="en-GB"/>
              </w:rPr>
            </w:pPr>
          </w:p>
        </w:tc>
        <w:tc>
          <w:tcPr>
            <w:tcW w:w="1004" w:type="pct"/>
          </w:tcPr>
          <w:p w:rsidR="00ED7D43" w:rsidRPr="00ED7D43" w:rsidRDefault="00ED7D43" w:rsidP="00ED7D43">
            <w:pPr>
              <w:rPr>
                <w:lang w:val="en-GB"/>
              </w:rPr>
            </w:pPr>
          </w:p>
        </w:tc>
        <w:tc>
          <w:tcPr>
            <w:tcW w:w="1005" w:type="pct"/>
          </w:tcPr>
          <w:p w:rsidR="00ED7D43" w:rsidRPr="00ED7D43" w:rsidRDefault="00ED7D43" w:rsidP="00ED7D43">
            <w:pPr>
              <w:rPr>
                <w:lang w:val="en-GB"/>
              </w:rPr>
            </w:pPr>
          </w:p>
        </w:tc>
      </w:tr>
      <w:tr w:rsidR="00ED7D43" w:rsidRPr="00ED7D43" w:rsidTr="00ED7D43">
        <w:trPr>
          <w:trHeight w:val="20"/>
          <w:jc w:val="center"/>
        </w:trPr>
        <w:tc>
          <w:tcPr>
            <w:tcW w:w="1987" w:type="pct"/>
            <w:shd w:val="clear" w:color="auto" w:fill="auto"/>
          </w:tcPr>
          <w:p w:rsidR="00ED7D43" w:rsidRPr="00ED7D43" w:rsidRDefault="00ED7D43" w:rsidP="00ED7D43">
            <w:pPr>
              <w:rPr>
                <w:lang w:val="en-GB"/>
              </w:rPr>
            </w:pPr>
            <w:r w:rsidRPr="00ED7D43">
              <w:rPr>
                <w:lang w:val="en-GB"/>
              </w:rPr>
              <w:t>Median in months (range)</w:t>
            </w:r>
          </w:p>
        </w:tc>
        <w:tc>
          <w:tcPr>
            <w:tcW w:w="1004" w:type="pct"/>
          </w:tcPr>
          <w:p w:rsidR="00ED7D43" w:rsidRPr="00ED7D43" w:rsidRDefault="00ED7D43" w:rsidP="00ED7D43">
            <w:pPr>
              <w:rPr>
                <w:lang w:val="en-GB"/>
              </w:rPr>
            </w:pPr>
            <w:r w:rsidRPr="00ED7D43">
              <w:rPr>
                <w:lang w:val="en-GB"/>
              </w:rPr>
              <w:t>Not reached</w:t>
            </w:r>
          </w:p>
          <w:p w:rsidR="00ED7D43" w:rsidRPr="00ED7D43" w:rsidRDefault="00ED7D43" w:rsidP="00ED7D43">
            <w:pPr>
              <w:rPr>
                <w:lang w:val="en-GB"/>
              </w:rPr>
            </w:pPr>
            <w:r w:rsidRPr="00ED7D43">
              <w:rPr>
                <w:lang w:val="en-GB"/>
              </w:rPr>
              <w:t>(0.7+, 16.8+)</w:t>
            </w:r>
          </w:p>
        </w:tc>
        <w:tc>
          <w:tcPr>
            <w:tcW w:w="1004" w:type="pct"/>
          </w:tcPr>
          <w:p w:rsidR="00ED7D43" w:rsidRPr="00ED7D43" w:rsidRDefault="00ED7D43" w:rsidP="00ED7D43">
            <w:pPr>
              <w:rPr>
                <w:lang w:val="en-GB"/>
              </w:rPr>
            </w:pPr>
            <w:r w:rsidRPr="00ED7D43">
              <w:rPr>
                <w:lang w:val="en-GB"/>
              </w:rPr>
              <w:t>Not reached</w:t>
            </w:r>
          </w:p>
          <w:p w:rsidR="00ED7D43" w:rsidRPr="00ED7D43" w:rsidRDefault="00ED7D43" w:rsidP="00ED7D43">
            <w:pPr>
              <w:rPr>
                <w:bCs/>
                <w:lang w:val="en-GB"/>
              </w:rPr>
            </w:pPr>
            <w:r w:rsidRPr="00ED7D43">
              <w:rPr>
                <w:lang w:val="en-GB"/>
              </w:rPr>
              <w:t>(2.1+, 17.8+)</w:t>
            </w:r>
          </w:p>
        </w:tc>
        <w:tc>
          <w:tcPr>
            <w:tcW w:w="1005" w:type="pct"/>
          </w:tcPr>
          <w:p w:rsidR="00ED7D43" w:rsidRPr="00ED7D43" w:rsidRDefault="00ED7D43" w:rsidP="00ED7D43">
            <w:pPr>
              <w:rPr>
                <w:lang w:val="en-GB"/>
              </w:rPr>
            </w:pPr>
            <w:r w:rsidRPr="00ED7D43">
              <w:rPr>
                <w:lang w:val="en-GB"/>
              </w:rPr>
              <w:t>8.1</w:t>
            </w:r>
          </w:p>
          <w:p w:rsidR="00ED7D43" w:rsidRPr="00ED7D43" w:rsidRDefault="00ED7D43" w:rsidP="00ED7D43">
            <w:pPr>
              <w:rPr>
                <w:lang w:val="en-GB"/>
              </w:rPr>
            </w:pPr>
            <w:r w:rsidRPr="00ED7D43">
              <w:rPr>
                <w:lang w:val="en-GB"/>
              </w:rPr>
              <w:t>(2.1+, 8.8+)</w:t>
            </w:r>
          </w:p>
        </w:tc>
      </w:tr>
      <w:tr w:rsidR="00ED7D43" w:rsidRPr="00ED7D43" w:rsidTr="00ED7D43">
        <w:trPr>
          <w:trHeight w:val="20"/>
          <w:jc w:val="center"/>
        </w:trPr>
        <w:tc>
          <w:tcPr>
            <w:tcW w:w="1987" w:type="pct"/>
            <w:tcBorders>
              <w:bottom w:val="single" w:sz="4" w:space="0" w:color="auto"/>
            </w:tcBorders>
            <w:shd w:val="clear" w:color="auto" w:fill="auto"/>
          </w:tcPr>
          <w:p w:rsidR="00ED7D43" w:rsidRPr="00ED7D43" w:rsidRDefault="00ED7D43" w:rsidP="00ED7D43">
            <w:pPr>
              <w:rPr>
                <w:lang w:val="en-GB"/>
              </w:rPr>
            </w:pPr>
            <w:r w:rsidRPr="00ED7D43">
              <w:rPr>
                <w:lang w:val="en-GB"/>
              </w:rPr>
              <w:t>% ongoing</w:t>
            </w:r>
          </w:p>
        </w:tc>
        <w:tc>
          <w:tcPr>
            <w:tcW w:w="1004" w:type="pct"/>
            <w:tcBorders>
              <w:bottom w:val="single" w:sz="4" w:space="0" w:color="auto"/>
            </w:tcBorders>
          </w:tcPr>
          <w:p w:rsidR="00ED7D43" w:rsidRPr="00ED7D43" w:rsidRDefault="00ED7D43" w:rsidP="00ED7D43">
            <w:pPr>
              <w:rPr>
                <w:lang w:val="en-GB"/>
              </w:rPr>
            </w:pPr>
            <w:r w:rsidRPr="00ED7D43">
              <w:rPr>
                <w:lang w:val="en-GB"/>
              </w:rPr>
              <w:t>76%</w:t>
            </w:r>
          </w:p>
        </w:tc>
        <w:tc>
          <w:tcPr>
            <w:tcW w:w="1004" w:type="pct"/>
            <w:tcBorders>
              <w:bottom w:val="single" w:sz="4" w:space="0" w:color="auto"/>
            </w:tcBorders>
          </w:tcPr>
          <w:p w:rsidR="00ED7D43" w:rsidRPr="00ED7D43" w:rsidRDefault="00ED7D43" w:rsidP="00ED7D43">
            <w:pPr>
              <w:rPr>
                <w:lang w:val="en-GB"/>
              </w:rPr>
            </w:pPr>
            <w:r w:rsidRPr="00ED7D43">
              <w:rPr>
                <w:lang w:val="en-GB"/>
              </w:rPr>
              <w:t>75%</w:t>
            </w:r>
          </w:p>
        </w:tc>
        <w:tc>
          <w:tcPr>
            <w:tcW w:w="1005" w:type="pct"/>
            <w:tcBorders>
              <w:bottom w:val="single" w:sz="4" w:space="0" w:color="auto"/>
            </w:tcBorders>
          </w:tcPr>
          <w:p w:rsidR="00ED7D43" w:rsidRPr="00ED7D43" w:rsidRDefault="00ED7D43" w:rsidP="00ED7D43">
            <w:pPr>
              <w:rPr>
                <w:lang w:val="en-GB"/>
              </w:rPr>
            </w:pPr>
            <w:r w:rsidRPr="00ED7D43">
              <w:rPr>
                <w:lang w:val="en-GB"/>
              </w:rPr>
              <w:t>33%</w:t>
            </w:r>
          </w:p>
        </w:tc>
      </w:tr>
      <w:tr w:rsidR="00ED7D43" w:rsidRPr="00ED7D43" w:rsidTr="00ED7D43">
        <w:trPr>
          <w:jc w:val="center"/>
        </w:trPr>
        <w:tc>
          <w:tcPr>
            <w:tcW w:w="5000" w:type="pct"/>
            <w:gridSpan w:val="4"/>
            <w:tcBorders>
              <w:top w:val="single" w:sz="4" w:space="0" w:color="auto"/>
              <w:left w:val="nil"/>
              <w:bottom w:val="nil"/>
              <w:right w:val="nil"/>
            </w:tcBorders>
            <w:shd w:val="clear" w:color="auto" w:fill="auto"/>
          </w:tcPr>
          <w:p w:rsidR="00ED7D43" w:rsidRPr="00ED7D43" w:rsidRDefault="00ED7D43" w:rsidP="00D920A1">
            <w:pPr>
              <w:pStyle w:val="Tabledescription"/>
              <w:rPr>
                <w:lang w:val="en-GB"/>
              </w:rPr>
            </w:pPr>
            <w:r w:rsidRPr="00ED7D43">
              <w:rPr>
                <w:lang w:val="en-GB"/>
              </w:rPr>
              <w:t>* Hazard ratio (KEYTRUDA compared to docetaxel) based on the stratified Cox proportional hazard model</w:t>
            </w:r>
          </w:p>
          <w:p w:rsidR="00ED7D43" w:rsidRPr="00ED7D43" w:rsidRDefault="00ED7D43" w:rsidP="00D920A1">
            <w:pPr>
              <w:pStyle w:val="Tabledescription"/>
              <w:rPr>
                <w:lang w:val="en-GB"/>
              </w:rPr>
            </w:pPr>
            <w:r w:rsidRPr="00ED7D43">
              <w:rPr>
                <w:vertAlign w:val="superscript"/>
                <w:lang w:val="en-GB"/>
              </w:rPr>
              <w:t>†</w:t>
            </w:r>
            <w:r w:rsidRPr="00ED7D43">
              <w:rPr>
                <w:lang w:val="en-GB"/>
              </w:rPr>
              <w:t xml:space="preserve"> Based on stratified Log rank test</w:t>
            </w:r>
          </w:p>
          <w:p w:rsidR="00ED7D43" w:rsidRPr="00ED7D43" w:rsidRDefault="00ED7D43" w:rsidP="00D920A1">
            <w:pPr>
              <w:pStyle w:val="Tabledescription"/>
              <w:rPr>
                <w:lang w:val="en-GB"/>
              </w:rPr>
            </w:pPr>
            <w:r w:rsidRPr="00ED7D43">
              <w:rPr>
                <w:vertAlign w:val="superscript"/>
                <w:lang w:val="en-GB"/>
              </w:rPr>
              <w:t>‡</w:t>
            </w:r>
            <w:r w:rsidRPr="00ED7D43">
              <w:rPr>
                <w:lang w:val="en-GB"/>
              </w:rPr>
              <w:t xml:space="preserve"> Assessed by BICR using RECIST 1.1</w:t>
            </w:r>
          </w:p>
          <w:p w:rsidR="00ED7D43" w:rsidRPr="00ED7D43" w:rsidRDefault="00ED7D43" w:rsidP="00D920A1">
            <w:pPr>
              <w:pStyle w:val="Tabledescription"/>
              <w:rPr>
                <w:lang w:val="en-GB"/>
              </w:rPr>
            </w:pPr>
            <w:r w:rsidRPr="00ED7D43">
              <w:rPr>
                <w:b/>
                <w:vertAlign w:val="superscript"/>
                <w:lang w:val="en-GB"/>
              </w:rPr>
              <w:t>§</w:t>
            </w:r>
            <w:r w:rsidRPr="00ED7D43">
              <w:rPr>
                <w:lang w:val="en-GB"/>
              </w:rPr>
              <w:t xml:space="preserve"> All responses were partial responses</w:t>
            </w:r>
          </w:p>
          <w:p w:rsidR="00ED7D43" w:rsidRPr="00ED7D43" w:rsidRDefault="00ED7D43" w:rsidP="00D920A1">
            <w:pPr>
              <w:pStyle w:val="Tabledescription"/>
              <w:rPr>
                <w:lang w:val="en-GB"/>
              </w:rPr>
            </w:pPr>
            <w:r w:rsidRPr="00ED7D43">
              <w:rPr>
                <w:b/>
                <w:bCs/>
                <w:vertAlign w:val="superscript"/>
              </w:rPr>
              <w:t>¶</w:t>
            </w:r>
            <w:r w:rsidRPr="00ED7D43">
              <w:rPr>
                <w:lang w:val="en-GB"/>
              </w:rPr>
              <w:t xml:space="preserve"> Based on patients with a best overall response as confirmed complete or partial response</w:t>
            </w:r>
          </w:p>
          <w:p w:rsidR="00ED7D43" w:rsidRPr="00ED7D43" w:rsidRDefault="00ED7D43" w:rsidP="00D920A1">
            <w:pPr>
              <w:pStyle w:val="Tabledescription"/>
            </w:pPr>
            <w:r w:rsidRPr="00ED7D43">
              <w:rPr>
                <w:vertAlign w:val="superscript"/>
              </w:rPr>
              <w:t>#</w:t>
            </w:r>
            <w:r w:rsidRPr="00ED7D43">
              <w:t xml:space="preserve"> Includes 30, 31, and 2 patients with ongoing responses of 6 months or longer in the KEYTRUDA 2 mg/kg, KEYTRUDA 10 mg/kg, and docetaxel groups respectively</w:t>
            </w:r>
          </w:p>
          <w:p w:rsidR="00ED7D43" w:rsidRPr="00ED7D43" w:rsidRDefault="00ED7D43" w:rsidP="00D920A1">
            <w:pPr>
              <w:pStyle w:val="Tabledescription"/>
              <w:rPr>
                <w:vertAlign w:val="superscript"/>
                <w:lang w:val="en-GB"/>
              </w:rPr>
            </w:pPr>
            <w:r w:rsidRPr="00ED7D43">
              <w:rPr>
                <w:vertAlign w:val="superscript"/>
              </w:rPr>
              <w:t xml:space="preserve">Þ </w:t>
            </w:r>
            <w:r w:rsidRPr="00ED7D43">
              <w:t>Includes 22, 24, and 1 patients with ongoing responses of 6 months or longer in the KEYTRUDA 2 mg/kg, KEYTRUDA 10 mg/kg, and docetaxel groups respectively</w:t>
            </w:r>
          </w:p>
        </w:tc>
      </w:tr>
    </w:tbl>
    <w:p w:rsidR="00ED7D43" w:rsidRPr="00ED7D43" w:rsidRDefault="00ED7D43" w:rsidP="00D920A1">
      <w:pPr>
        <w:pStyle w:val="Figuretitle"/>
      </w:pPr>
      <w:r w:rsidRPr="00ED7D43">
        <w:lastRenderedPageBreak/>
        <w:t xml:space="preserve">Figure 12: Kaplan-Meier Curve for Overall Survival by Treatment Arm in KEYNOTE-010 (TPS </w:t>
      </w:r>
      <w:r w:rsidRPr="00ED7D43">
        <w:sym w:font="Symbol" w:char="F0B3"/>
      </w:r>
      <w:r w:rsidRPr="00ED7D43">
        <w:t xml:space="preserve"> 1%, Intent to Treat Population)</w:t>
      </w:r>
    </w:p>
    <w:p w:rsidR="00ED7D43" w:rsidRPr="00ED7D43" w:rsidRDefault="00ED7D43" w:rsidP="00ED7D43">
      <w:r w:rsidRPr="00ED7D43">
        <w:drawing>
          <wp:inline distT="0" distB="0" distL="0" distR="0" wp14:anchorId="6F07989D" wp14:editId="1176B31A">
            <wp:extent cx="5590856" cy="33173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l="14107" t="15561" r="1575" b="19710"/>
                    <a:stretch>
                      <a:fillRect/>
                    </a:stretch>
                  </pic:blipFill>
                  <pic:spPr bwMode="auto">
                    <a:xfrm>
                      <a:off x="0" y="0"/>
                      <a:ext cx="5596795" cy="3320882"/>
                    </a:xfrm>
                    <a:prstGeom prst="rect">
                      <a:avLst/>
                    </a:prstGeom>
                    <a:noFill/>
                    <a:ln>
                      <a:noFill/>
                    </a:ln>
                  </pic:spPr>
                </pic:pic>
              </a:graphicData>
            </a:graphic>
          </wp:inline>
        </w:drawing>
      </w:r>
    </w:p>
    <w:p w:rsidR="00ED7D43" w:rsidRPr="00ED7D43" w:rsidRDefault="00ED7D43" w:rsidP="00D920A1">
      <w:pPr>
        <w:pStyle w:val="Figuretitle"/>
      </w:pPr>
      <w:r w:rsidRPr="00ED7D43">
        <w:t xml:space="preserve">Figure 13: Kaplan-Meier Curve for Overall Survival by Treatment Arm in KEYNOTE-010 (TPS </w:t>
      </w:r>
      <w:r w:rsidRPr="00ED7D43">
        <w:sym w:font="Symbol" w:char="F0B3"/>
      </w:r>
      <w:r w:rsidRPr="00ED7D43">
        <w:t xml:space="preserve"> 50%, Intent to Treat Population)</w:t>
      </w:r>
    </w:p>
    <w:p w:rsidR="00ED7D43" w:rsidRPr="00ED7D43" w:rsidRDefault="00ED7D43" w:rsidP="00ED7D43">
      <w:r w:rsidRPr="00ED7D43">
        <w:drawing>
          <wp:inline distT="0" distB="0" distL="0" distR="0" wp14:anchorId="11C1ADDC" wp14:editId="4E379A5A">
            <wp:extent cx="5596218" cy="3313253"/>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l="13625" t="15561" r="1736" b="19502"/>
                    <a:stretch>
                      <a:fillRect/>
                    </a:stretch>
                  </pic:blipFill>
                  <pic:spPr bwMode="auto">
                    <a:xfrm>
                      <a:off x="0" y="0"/>
                      <a:ext cx="5604183" cy="3317968"/>
                    </a:xfrm>
                    <a:prstGeom prst="rect">
                      <a:avLst/>
                    </a:prstGeom>
                    <a:noFill/>
                    <a:ln>
                      <a:noFill/>
                    </a:ln>
                  </pic:spPr>
                </pic:pic>
              </a:graphicData>
            </a:graphic>
          </wp:inline>
        </w:drawing>
      </w:r>
    </w:p>
    <w:p w:rsidR="00ED7D43" w:rsidRPr="00ED7D43" w:rsidRDefault="00ED7D43" w:rsidP="00ED7D43"/>
    <w:p w:rsidR="00ED7D43" w:rsidRPr="00ED7D43" w:rsidRDefault="00ED7D43" w:rsidP="00ED7D43">
      <w:r w:rsidRPr="00ED7D43">
        <w:lastRenderedPageBreak/>
        <w:t>Efficacy results were similar for the 2 mg/kg and 10 mg/kg KEYTRUDA arms. Efficacy results for OS were consistent regardless of the age of tumour specimen (new versus archival).</w:t>
      </w:r>
    </w:p>
    <w:p w:rsidR="00ED7D43" w:rsidRPr="00ED7D43" w:rsidRDefault="00ED7D43" w:rsidP="00ED7D43">
      <w:pPr>
        <w:rPr>
          <w:i/>
        </w:rPr>
      </w:pPr>
      <w:r w:rsidRPr="00ED7D43">
        <w:rPr>
          <w:i/>
        </w:rPr>
        <w:t>Sub-population analysis of patients with 1% ≤ TPS ≤ 49% in KEYNOTE-010</w:t>
      </w:r>
    </w:p>
    <w:p w:rsidR="00ED7D43" w:rsidRPr="00ED7D43" w:rsidRDefault="00ED7D43" w:rsidP="00ED7D43">
      <w:r w:rsidRPr="00ED7D43">
        <w:t>A subgroup analysis of KEYNOTE 010 in patients with TPS 1-49% was performed. The OS HRs for KEYTRUDA vs. docetaxel were 0.79 (95% CI: 0.61,1.04) for patients treated with 2 mg/kg every three weeks and 0.71 (95% CI: 0.53, 0.94) for patients treated with 10 mg/kg every 3 weeks. The median OS was 9.4 months (95% CI: 8.7, 10.5), 10.8 months (95% CI: 8.9, 13.3) and 8.6 months (95% CI: 7.8, 9.9) for patients treated with KEYTRUDA 2 mg/kg every three weeks (n=205), 10 mg/kg every three weeks (n=195) and docetaxel (n=191) respectively. The PFS HRs (KEYTRUDA vs. docetaxel) were 1.07 (95% CI: 0.85, 1.34) for patients treated with 2 mg/kg every three weeks and 0.99 (95% CI: 0.78, 1.25) for patients treated with 10 mg/kg every 3 weeks. The median PFS was 3.1 months (95% CI: 2.1, 3.8), 2.3 months (95% CI: 2.1, 4.0) and 3.9 months (95% CI: 2.5, 4.3) for KEYTRUDA 2 mg/kg every three weeks, 10 mg/kg every three weeks and docetaxel respectively. The ORR was 10% (95% CI: 6, 15), 10% (95% CI: 6, 15) and 10% (95% CI: 7, 16) for KEYTRUDA 2 mg/kg every three weeks, 10 mg/kg every three weeks and docetaxel respectively. Furthermore, the median duration of response was 10.6 months (range: 2.1+, 20.1+), 10.4 months (range: 3.0+, 17.1+) and 6.0 months (range: 1.4+, 7.2) for KEYTRUDA 2 mg/kg every three weeks, 10 mg/kg every three weeks and docetaxel respectively.</w:t>
      </w:r>
    </w:p>
    <w:p w:rsidR="00ED7D43" w:rsidRPr="00ED7D43" w:rsidRDefault="00ED7D43" w:rsidP="00ED7D43">
      <w:pPr>
        <w:rPr>
          <w:u w:val="single"/>
        </w:rPr>
      </w:pPr>
      <w:r w:rsidRPr="00ED7D43">
        <w:rPr>
          <w:u w:val="single"/>
        </w:rPr>
        <w:t>Head and Neck Cancer</w:t>
      </w:r>
    </w:p>
    <w:p w:rsidR="00ED7D43" w:rsidRPr="00ED7D43" w:rsidRDefault="00ED7D43" w:rsidP="00ED7D43">
      <w:r w:rsidRPr="00ED7D43">
        <w:t>KEYTRUDA is approved based on overall response rate and duration of response from two single-arm, open label studies. The results of a randomised, active-controlled, ongoing, phase 3 study are awaited.</w:t>
      </w:r>
    </w:p>
    <w:p w:rsidR="00ED7D43" w:rsidRPr="00ED7D43" w:rsidRDefault="00ED7D43" w:rsidP="00ED7D43">
      <w:pPr>
        <w:rPr>
          <w:i/>
        </w:rPr>
      </w:pPr>
      <w:r w:rsidRPr="00ED7D43">
        <w:rPr>
          <w:i/>
        </w:rPr>
        <w:t>KEYNOTE-012: Open-label study in HNSCC patients previously treated with chemotherapy</w:t>
      </w:r>
    </w:p>
    <w:p w:rsidR="00ED7D43" w:rsidRPr="00ED7D43" w:rsidRDefault="00ED7D43" w:rsidP="00ED7D43">
      <w:r w:rsidRPr="00ED7D43">
        <w:t>The efficacy of KEYTRUDA was investigated in 192 patients with recurrent and/or metastatic HNSCC, regardless of tumour human papilloma virus (HPV) status (33% positive), enrolled in a multicentre, nonrandomised, open-label multi-cohort study (KEYNOTE-012). One cohort (n=132) was included regardless of PD-L1 tumour status. Efficacy is reported for 174 patients with recurrent and/or metastatic HNSCC that progressed on or after treatment with platinum-containing chemotherapy. Patients with active autoimmune disease or a medical condition that required immunosuppression were ineligible.</w:t>
      </w:r>
    </w:p>
    <w:p w:rsidR="00ED7D43" w:rsidRPr="00ED7D43" w:rsidRDefault="00ED7D43" w:rsidP="00ED7D43">
      <w:r w:rsidRPr="00ED7D43">
        <w:t>Patients received KEYTRUDA 10 mg/kg every 2 weeks (n=53), or 200 mg every 3 weeks (n=121) until disease progression or unacceptable toxicity. Assessment of tumour status was performed every 8 weeks. The major efficacy outcome measures were ORR according to RECIST 1.1, as assessed by blinded independent central review, and duration of response.</w:t>
      </w:r>
    </w:p>
    <w:p w:rsidR="00ED7D43" w:rsidRPr="00ED7D43" w:rsidRDefault="00ED7D43" w:rsidP="00ED7D43">
      <w:r w:rsidRPr="00ED7D43">
        <w:t xml:space="preserve">Among the 174 patients, the baseline characteristics were median age 60 years (32% age 65 or older); 82% male; 75% White, 16% Asian, and 6% Black; 87% had M1 disease; 33% had HPV positive tumours; 63% had prior </w:t>
      </w:r>
      <w:proofErr w:type="spellStart"/>
      <w:r w:rsidRPr="00ED7D43">
        <w:t>cetuximab</w:t>
      </w:r>
      <w:proofErr w:type="spellEnd"/>
      <w:r w:rsidRPr="00ED7D43">
        <w:t>; 29% had an ECOG PS of 0 and 71% had an ECOG PS of 1; and the median number of prior lines of therapy administered for the treatment of HNSCC was 2.</w:t>
      </w:r>
    </w:p>
    <w:p w:rsidR="00ED7D43" w:rsidRPr="00ED7D43" w:rsidRDefault="00ED7D43" w:rsidP="00ED7D43">
      <w:r w:rsidRPr="00ED7D43">
        <w:t xml:space="preserve">Efficacy results are summarized in Table 23. </w:t>
      </w:r>
    </w:p>
    <w:p w:rsidR="00ED7D43" w:rsidRPr="00ED7D43" w:rsidRDefault="00ED7D43" w:rsidP="00ED7D43"/>
    <w:p w:rsidR="00ED7D43" w:rsidRPr="00ED7D43" w:rsidRDefault="00ED7D43" w:rsidP="00D920A1">
      <w:pPr>
        <w:pStyle w:val="Tabletitle"/>
      </w:pPr>
      <w:r w:rsidRPr="00ED7D43">
        <w:lastRenderedPageBreak/>
        <w:t>Table 23 Efficacy Results in Patients with HNSCC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3099"/>
      </w:tblGrid>
      <w:tr w:rsidR="00ED7D43" w:rsidRPr="00ED7D43" w:rsidTr="00ED7D43">
        <w:trPr>
          <w:jc w:val="center"/>
        </w:trPr>
        <w:tc>
          <w:tcPr>
            <w:tcW w:w="3099" w:type="dxa"/>
            <w:shd w:val="clear" w:color="auto" w:fill="auto"/>
          </w:tcPr>
          <w:p w:rsidR="00ED7D43" w:rsidRPr="00ED7D43" w:rsidRDefault="00ED7D43" w:rsidP="00ED7D43"/>
        </w:tc>
        <w:tc>
          <w:tcPr>
            <w:tcW w:w="3099" w:type="dxa"/>
          </w:tcPr>
          <w:p w:rsidR="00ED7D43" w:rsidRPr="00ED7D43" w:rsidRDefault="00ED7D43" w:rsidP="00ED7D43">
            <w:pPr>
              <w:rPr>
                <w:b/>
              </w:rPr>
            </w:pPr>
            <w:r w:rsidRPr="00ED7D43">
              <w:rPr>
                <w:b/>
              </w:rPr>
              <w:t>Previously treated with platinum</w:t>
            </w:r>
          </w:p>
        </w:tc>
      </w:tr>
      <w:tr w:rsidR="00ED7D43" w:rsidRPr="00ED7D43" w:rsidTr="00ED7D43">
        <w:trPr>
          <w:jc w:val="center"/>
        </w:trPr>
        <w:tc>
          <w:tcPr>
            <w:tcW w:w="3099" w:type="dxa"/>
            <w:shd w:val="clear" w:color="auto" w:fill="auto"/>
          </w:tcPr>
          <w:p w:rsidR="00ED7D43" w:rsidRPr="00ED7D43" w:rsidRDefault="00ED7D43" w:rsidP="00ED7D43">
            <w:pPr>
              <w:rPr>
                <w:b/>
              </w:rPr>
            </w:pPr>
            <w:r w:rsidRPr="00ED7D43">
              <w:rPr>
                <w:b/>
              </w:rPr>
              <w:t>Endpoint</w:t>
            </w:r>
          </w:p>
        </w:tc>
        <w:tc>
          <w:tcPr>
            <w:tcW w:w="3099" w:type="dxa"/>
          </w:tcPr>
          <w:p w:rsidR="00ED7D43" w:rsidRPr="00ED7D43" w:rsidRDefault="00ED7D43" w:rsidP="00ED7D43">
            <w:r w:rsidRPr="00ED7D43">
              <w:t>n=174</w:t>
            </w:r>
          </w:p>
        </w:tc>
      </w:tr>
      <w:tr w:rsidR="00ED7D43" w:rsidRPr="00ED7D43" w:rsidTr="00ED7D43">
        <w:trPr>
          <w:jc w:val="center"/>
        </w:trPr>
        <w:tc>
          <w:tcPr>
            <w:tcW w:w="3099" w:type="dxa"/>
            <w:shd w:val="clear" w:color="auto" w:fill="auto"/>
          </w:tcPr>
          <w:p w:rsidR="00ED7D43" w:rsidRPr="00ED7D43" w:rsidRDefault="00ED7D43" w:rsidP="00ED7D43">
            <w:pPr>
              <w:rPr>
                <w:b/>
              </w:rPr>
            </w:pPr>
            <w:r w:rsidRPr="00ED7D43">
              <w:rPr>
                <w:b/>
              </w:rPr>
              <w:t>Objective Response Rate*</w:t>
            </w:r>
          </w:p>
        </w:tc>
        <w:tc>
          <w:tcPr>
            <w:tcW w:w="3099" w:type="dxa"/>
          </w:tcPr>
          <w:p w:rsidR="00ED7D43" w:rsidRPr="00ED7D43" w:rsidRDefault="00ED7D43" w:rsidP="00ED7D43"/>
        </w:tc>
      </w:tr>
      <w:tr w:rsidR="00ED7D43" w:rsidRPr="00ED7D43" w:rsidTr="00ED7D43">
        <w:trPr>
          <w:jc w:val="center"/>
        </w:trPr>
        <w:tc>
          <w:tcPr>
            <w:tcW w:w="3099" w:type="dxa"/>
            <w:shd w:val="clear" w:color="auto" w:fill="auto"/>
          </w:tcPr>
          <w:p w:rsidR="00ED7D43" w:rsidRPr="00ED7D43" w:rsidRDefault="00ED7D43" w:rsidP="00ED7D43">
            <w:r w:rsidRPr="00ED7D43">
              <w:t>ORR %, (95% CI)</w:t>
            </w:r>
          </w:p>
        </w:tc>
        <w:tc>
          <w:tcPr>
            <w:tcW w:w="3099" w:type="dxa"/>
          </w:tcPr>
          <w:p w:rsidR="00ED7D43" w:rsidRPr="00ED7D43" w:rsidRDefault="00ED7D43" w:rsidP="00ED7D43">
            <w:r w:rsidRPr="00ED7D43">
              <w:t>16.1% (11, 22.4)</w:t>
            </w:r>
          </w:p>
        </w:tc>
      </w:tr>
      <w:tr w:rsidR="00ED7D43" w:rsidRPr="00ED7D43" w:rsidTr="00ED7D43">
        <w:trPr>
          <w:jc w:val="center"/>
        </w:trPr>
        <w:tc>
          <w:tcPr>
            <w:tcW w:w="3099" w:type="dxa"/>
            <w:shd w:val="clear" w:color="auto" w:fill="auto"/>
          </w:tcPr>
          <w:p w:rsidR="00ED7D43" w:rsidRPr="00ED7D43" w:rsidRDefault="00ED7D43" w:rsidP="00ED7D43">
            <w:r w:rsidRPr="00ED7D43">
              <w:t>Complete Response</w:t>
            </w:r>
          </w:p>
        </w:tc>
        <w:tc>
          <w:tcPr>
            <w:tcW w:w="3099" w:type="dxa"/>
          </w:tcPr>
          <w:p w:rsidR="00ED7D43" w:rsidRPr="00ED7D43" w:rsidRDefault="00ED7D43" w:rsidP="00ED7D43">
            <w:r w:rsidRPr="00ED7D43">
              <w:t>4.6%</w:t>
            </w:r>
          </w:p>
        </w:tc>
      </w:tr>
      <w:tr w:rsidR="00ED7D43" w:rsidRPr="00ED7D43" w:rsidTr="00ED7D43">
        <w:trPr>
          <w:jc w:val="center"/>
        </w:trPr>
        <w:tc>
          <w:tcPr>
            <w:tcW w:w="3099" w:type="dxa"/>
            <w:shd w:val="clear" w:color="auto" w:fill="auto"/>
          </w:tcPr>
          <w:p w:rsidR="00ED7D43" w:rsidRPr="00ED7D43" w:rsidRDefault="00ED7D43" w:rsidP="00ED7D43">
            <w:r w:rsidRPr="00ED7D43">
              <w:t>Partial Response</w:t>
            </w:r>
          </w:p>
        </w:tc>
        <w:tc>
          <w:tcPr>
            <w:tcW w:w="3099" w:type="dxa"/>
          </w:tcPr>
          <w:p w:rsidR="00ED7D43" w:rsidRPr="00ED7D43" w:rsidRDefault="00ED7D43" w:rsidP="00ED7D43">
            <w:r w:rsidRPr="00ED7D43">
              <w:t>11.5%</w:t>
            </w:r>
          </w:p>
        </w:tc>
      </w:tr>
      <w:tr w:rsidR="00ED7D43" w:rsidRPr="00ED7D43" w:rsidTr="00ED7D43">
        <w:trPr>
          <w:jc w:val="center"/>
        </w:trPr>
        <w:tc>
          <w:tcPr>
            <w:tcW w:w="3099" w:type="dxa"/>
            <w:shd w:val="clear" w:color="auto" w:fill="auto"/>
          </w:tcPr>
          <w:p w:rsidR="00ED7D43" w:rsidRPr="00ED7D43" w:rsidRDefault="00ED7D43" w:rsidP="00ED7D43">
            <w:pPr>
              <w:rPr>
                <w:b/>
              </w:rPr>
            </w:pPr>
            <w:r w:rsidRPr="00ED7D43">
              <w:rPr>
                <w:b/>
              </w:rPr>
              <w:t>Response Duration</w:t>
            </w:r>
          </w:p>
        </w:tc>
        <w:tc>
          <w:tcPr>
            <w:tcW w:w="3099" w:type="dxa"/>
          </w:tcPr>
          <w:p w:rsidR="00ED7D43" w:rsidRPr="00ED7D43" w:rsidRDefault="00ED7D43" w:rsidP="00ED7D43"/>
        </w:tc>
      </w:tr>
      <w:tr w:rsidR="00ED7D43" w:rsidRPr="00ED7D43" w:rsidTr="00ED7D43">
        <w:trPr>
          <w:jc w:val="center"/>
        </w:trPr>
        <w:tc>
          <w:tcPr>
            <w:tcW w:w="3099" w:type="dxa"/>
            <w:shd w:val="clear" w:color="auto" w:fill="auto"/>
          </w:tcPr>
          <w:p w:rsidR="00ED7D43" w:rsidRPr="00ED7D43" w:rsidRDefault="00ED7D43" w:rsidP="00ED7D43">
            <w:r w:rsidRPr="00ED7D43">
              <w:t>Median in months (range)</w:t>
            </w:r>
          </w:p>
        </w:tc>
        <w:tc>
          <w:tcPr>
            <w:tcW w:w="3099" w:type="dxa"/>
          </w:tcPr>
          <w:p w:rsidR="00ED7D43" w:rsidRPr="00ED7D43" w:rsidRDefault="00ED7D43" w:rsidP="00ED7D43">
            <w:r w:rsidRPr="00ED7D43">
              <w:t>Not Reached (2.4+, 27.7+)</w:t>
            </w:r>
            <w:r w:rsidRPr="00ED7D43">
              <w:rPr>
                <w:vertAlign w:val="superscript"/>
              </w:rPr>
              <w:t>†</w:t>
            </w:r>
          </w:p>
        </w:tc>
      </w:tr>
      <w:tr w:rsidR="00ED7D43" w:rsidRPr="00ED7D43" w:rsidTr="00ED7D43">
        <w:trPr>
          <w:jc w:val="center"/>
        </w:trPr>
        <w:tc>
          <w:tcPr>
            <w:tcW w:w="3099" w:type="dxa"/>
            <w:shd w:val="clear" w:color="auto" w:fill="auto"/>
          </w:tcPr>
          <w:p w:rsidR="00ED7D43" w:rsidRPr="00ED7D43" w:rsidRDefault="00ED7D43" w:rsidP="00ED7D43">
            <w:r w:rsidRPr="00ED7D43">
              <w:t>% with duration ≥ 6-months</w:t>
            </w:r>
          </w:p>
        </w:tc>
        <w:tc>
          <w:tcPr>
            <w:tcW w:w="3099" w:type="dxa"/>
          </w:tcPr>
          <w:p w:rsidR="00ED7D43" w:rsidRPr="00ED7D43" w:rsidRDefault="00ED7D43" w:rsidP="00ED7D43">
            <w:r w:rsidRPr="00ED7D43">
              <w:t>85%</w:t>
            </w:r>
            <w:r w:rsidRPr="00ED7D43">
              <w:rPr>
                <w:vertAlign w:val="superscript"/>
              </w:rPr>
              <w:t>¶</w:t>
            </w:r>
          </w:p>
        </w:tc>
      </w:tr>
      <w:tr w:rsidR="00ED7D43" w:rsidRPr="00ED7D43" w:rsidTr="00ED7D43">
        <w:trPr>
          <w:jc w:val="center"/>
        </w:trPr>
        <w:tc>
          <w:tcPr>
            <w:tcW w:w="3099" w:type="dxa"/>
            <w:shd w:val="clear" w:color="auto" w:fill="auto"/>
          </w:tcPr>
          <w:p w:rsidR="00ED7D43" w:rsidRPr="00ED7D43" w:rsidRDefault="00ED7D43" w:rsidP="00ED7D43">
            <w:pPr>
              <w:rPr>
                <w:b/>
              </w:rPr>
            </w:pPr>
            <w:r w:rsidRPr="00ED7D43">
              <w:rPr>
                <w:b/>
              </w:rPr>
              <w:t>Time to Response</w:t>
            </w:r>
          </w:p>
        </w:tc>
        <w:tc>
          <w:tcPr>
            <w:tcW w:w="3099" w:type="dxa"/>
          </w:tcPr>
          <w:p w:rsidR="00ED7D43" w:rsidRPr="00ED7D43" w:rsidRDefault="00ED7D43" w:rsidP="00ED7D43"/>
        </w:tc>
      </w:tr>
      <w:tr w:rsidR="00ED7D43" w:rsidRPr="00ED7D43" w:rsidTr="00ED7D43">
        <w:trPr>
          <w:jc w:val="center"/>
        </w:trPr>
        <w:tc>
          <w:tcPr>
            <w:tcW w:w="3099" w:type="dxa"/>
            <w:shd w:val="clear" w:color="auto" w:fill="auto"/>
          </w:tcPr>
          <w:p w:rsidR="00ED7D43" w:rsidRPr="00ED7D43" w:rsidRDefault="00ED7D43" w:rsidP="00ED7D43">
            <w:r w:rsidRPr="00ED7D43">
              <w:t>Median in months (range)</w:t>
            </w:r>
          </w:p>
        </w:tc>
        <w:tc>
          <w:tcPr>
            <w:tcW w:w="3099" w:type="dxa"/>
          </w:tcPr>
          <w:p w:rsidR="00ED7D43" w:rsidRPr="00ED7D43" w:rsidRDefault="00ED7D43" w:rsidP="00ED7D43">
            <w:r w:rsidRPr="00ED7D43">
              <w:t>2.9 (1.6, 16.7)</w:t>
            </w:r>
            <w:r w:rsidRPr="00ED7D43">
              <w:rPr>
                <w:vertAlign w:val="superscript"/>
              </w:rPr>
              <w:t>†</w:t>
            </w:r>
          </w:p>
        </w:tc>
      </w:tr>
      <w:tr w:rsidR="00ED7D43" w:rsidRPr="00ED7D43" w:rsidTr="00ED7D43">
        <w:trPr>
          <w:jc w:val="center"/>
        </w:trPr>
        <w:tc>
          <w:tcPr>
            <w:tcW w:w="3099" w:type="dxa"/>
            <w:shd w:val="clear" w:color="auto" w:fill="auto"/>
          </w:tcPr>
          <w:p w:rsidR="00ED7D43" w:rsidRPr="00ED7D43" w:rsidRDefault="00ED7D43" w:rsidP="00ED7D43">
            <w:pPr>
              <w:rPr>
                <w:b/>
              </w:rPr>
            </w:pPr>
            <w:r w:rsidRPr="00ED7D43">
              <w:rPr>
                <w:b/>
              </w:rPr>
              <w:t>PFS*</w:t>
            </w:r>
          </w:p>
        </w:tc>
        <w:tc>
          <w:tcPr>
            <w:tcW w:w="3099" w:type="dxa"/>
          </w:tcPr>
          <w:p w:rsidR="00ED7D43" w:rsidRPr="00ED7D43" w:rsidRDefault="00ED7D43" w:rsidP="00ED7D43"/>
        </w:tc>
      </w:tr>
      <w:tr w:rsidR="00ED7D43" w:rsidRPr="00ED7D43" w:rsidTr="00ED7D43">
        <w:trPr>
          <w:jc w:val="center"/>
        </w:trPr>
        <w:tc>
          <w:tcPr>
            <w:tcW w:w="3099" w:type="dxa"/>
            <w:shd w:val="clear" w:color="auto" w:fill="auto"/>
          </w:tcPr>
          <w:p w:rsidR="00ED7D43" w:rsidRPr="00ED7D43" w:rsidRDefault="00ED7D43" w:rsidP="00ED7D43">
            <w:r w:rsidRPr="00ED7D43">
              <w:t>Median in months (95% CI)</w:t>
            </w:r>
          </w:p>
        </w:tc>
        <w:tc>
          <w:tcPr>
            <w:tcW w:w="3099" w:type="dxa"/>
          </w:tcPr>
          <w:p w:rsidR="00ED7D43" w:rsidRPr="00ED7D43" w:rsidRDefault="00ED7D43" w:rsidP="00ED7D43">
            <w:r w:rsidRPr="00ED7D43">
              <w:t>2 (1.9, 2.1)</w:t>
            </w:r>
          </w:p>
        </w:tc>
      </w:tr>
      <w:tr w:rsidR="00ED7D43" w:rsidRPr="00ED7D43" w:rsidTr="00ED7D43">
        <w:trPr>
          <w:jc w:val="center"/>
        </w:trPr>
        <w:tc>
          <w:tcPr>
            <w:tcW w:w="3099" w:type="dxa"/>
            <w:shd w:val="clear" w:color="auto" w:fill="auto"/>
          </w:tcPr>
          <w:p w:rsidR="00ED7D43" w:rsidRPr="00ED7D43" w:rsidRDefault="00ED7D43" w:rsidP="00ED7D43">
            <w:r w:rsidRPr="00ED7D43">
              <w:t>6-month PFS rate</w:t>
            </w:r>
          </w:p>
        </w:tc>
        <w:tc>
          <w:tcPr>
            <w:tcW w:w="3099" w:type="dxa"/>
          </w:tcPr>
          <w:p w:rsidR="00ED7D43" w:rsidRPr="00ED7D43" w:rsidRDefault="00ED7D43" w:rsidP="00ED7D43">
            <w:r w:rsidRPr="00ED7D43">
              <w:t>24.3%</w:t>
            </w:r>
          </w:p>
        </w:tc>
      </w:tr>
      <w:tr w:rsidR="00ED7D43" w:rsidRPr="00ED7D43" w:rsidTr="00ED7D43">
        <w:trPr>
          <w:jc w:val="center"/>
        </w:trPr>
        <w:tc>
          <w:tcPr>
            <w:tcW w:w="3099" w:type="dxa"/>
            <w:shd w:val="clear" w:color="auto" w:fill="auto"/>
          </w:tcPr>
          <w:p w:rsidR="00ED7D43" w:rsidRPr="00ED7D43" w:rsidRDefault="00ED7D43" w:rsidP="00ED7D43">
            <w:pPr>
              <w:rPr>
                <w:b/>
              </w:rPr>
            </w:pPr>
            <w:r w:rsidRPr="00ED7D43">
              <w:rPr>
                <w:b/>
              </w:rPr>
              <w:t>OS*</w:t>
            </w:r>
          </w:p>
        </w:tc>
        <w:tc>
          <w:tcPr>
            <w:tcW w:w="3099" w:type="dxa"/>
          </w:tcPr>
          <w:p w:rsidR="00ED7D43" w:rsidRPr="00ED7D43" w:rsidRDefault="00ED7D43" w:rsidP="00ED7D43"/>
        </w:tc>
      </w:tr>
      <w:tr w:rsidR="00ED7D43" w:rsidRPr="00ED7D43" w:rsidTr="00ED7D43">
        <w:trPr>
          <w:jc w:val="center"/>
        </w:trPr>
        <w:tc>
          <w:tcPr>
            <w:tcW w:w="3099" w:type="dxa"/>
            <w:shd w:val="clear" w:color="auto" w:fill="auto"/>
          </w:tcPr>
          <w:p w:rsidR="00ED7D43" w:rsidRPr="00ED7D43" w:rsidRDefault="00ED7D43" w:rsidP="00ED7D43">
            <w:r w:rsidRPr="00ED7D43">
              <w:t>Median in months (95% CI)</w:t>
            </w:r>
          </w:p>
        </w:tc>
        <w:tc>
          <w:tcPr>
            <w:tcW w:w="3099" w:type="dxa"/>
          </w:tcPr>
          <w:p w:rsidR="00ED7D43" w:rsidRPr="00ED7D43" w:rsidRDefault="00ED7D43" w:rsidP="00ED7D43">
            <w:r w:rsidRPr="00ED7D43">
              <w:t>8.5 (6.2, 10.2)</w:t>
            </w:r>
          </w:p>
        </w:tc>
      </w:tr>
      <w:tr w:rsidR="00ED7D43" w:rsidRPr="00ED7D43" w:rsidTr="00ED7D43">
        <w:trPr>
          <w:trHeight w:val="260"/>
          <w:jc w:val="center"/>
        </w:trPr>
        <w:tc>
          <w:tcPr>
            <w:tcW w:w="3099" w:type="dxa"/>
            <w:shd w:val="clear" w:color="auto" w:fill="auto"/>
          </w:tcPr>
          <w:p w:rsidR="00ED7D43" w:rsidRPr="00ED7D43" w:rsidRDefault="00ED7D43" w:rsidP="00ED7D43">
            <w:r w:rsidRPr="00ED7D43">
              <w:t>6-month OS rate</w:t>
            </w:r>
          </w:p>
        </w:tc>
        <w:tc>
          <w:tcPr>
            <w:tcW w:w="3099" w:type="dxa"/>
          </w:tcPr>
          <w:p w:rsidR="00ED7D43" w:rsidRPr="00ED7D43" w:rsidRDefault="00ED7D43" w:rsidP="00ED7D43">
            <w:r w:rsidRPr="00ED7D43">
              <w:t>58.7%</w:t>
            </w:r>
          </w:p>
        </w:tc>
      </w:tr>
      <w:tr w:rsidR="00ED7D43" w:rsidRPr="00ED7D43" w:rsidTr="00ED7D43">
        <w:trPr>
          <w:trHeight w:val="233"/>
          <w:jc w:val="center"/>
        </w:trPr>
        <w:tc>
          <w:tcPr>
            <w:tcW w:w="3099" w:type="dxa"/>
            <w:tcBorders>
              <w:bottom w:val="single" w:sz="4" w:space="0" w:color="auto"/>
            </w:tcBorders>
            <w:shd w:val="clear" w:color="auto" w:fill="auto"/>
          </w:tcPr>
          <w:p w:rsidR="00ED7D43" w:rsidRPr="00ED7D43" w:rsidRDefault="00ED7D43" w:rsidP="00ED7D43">
            <w:r w:rsidRPr="00ED7D43">
              <w:t>12-month OS rate</w:t>
            </w:r>
          </w:p>
        </w:tc>
        <w:tc>
          <w:tcPr>
            <w:tcW w:w="3099" w:type="dxa"/>
            <w:tcBorders>
              <w:bottom w:val="single" w:sz="4" w:space="0" w:color="auto"/>
            </w:tcBorders>
          </w:tcPr>
          <w:p w:rsidR="00ED7D43" w:rsidRPr="00ED7D43" w:rsidRDefault="00ED7D43" w:rsidP="00ED7D43">
            <w:r w:rsidRPr="00ED7D43">
              <w:t>38.3%</w:t>
            </w:r>
          </w:p>
        </w:tc>
      </w:tr>
      <w:tr w:rsidR="00ED7D43" w:rsidRPr="00ED7D43" w:rsidTr="00ED7D43">
        <w:trPr>
          <w:jc w:val="center"/>
        </w:trPr>
        <w:tc>
          <w:tcPr>
            <w:tcW w:w="6198" w:type="dxa"/>
            <w:gridSpan w:val="2"/>
            <w:tcBorders>
              <w:left w:val="nil"/>
              <w:bottom w:val="nil"/>
              <w:right w:val="nil"/>
            </w:tcBorders>
            <w:shd w:val="clear" w:color="auto" w:fill="auto"/>
          </w:tcPr>
          <w:p w:rsidR="00ED7D43" w:rsidRPr="00ED7D43" w:rsidRDefault="00ED7D43" w:rsidP="00D920A1">
            <w:pPr>
              <w:numPr>
                <w:ilvl w:val="0"/>
                <w:numId w:val="3"/>
              </w:numPr>
              <w:tabs>
                <w:tab w:val="num" w:pos="360"/>
              </w:tabs>
            </w:pPr>
            <w:r w:rsidRPr="00ED7D43">
              <w:lastRenderedPageBreak/>
              <w:t>* Assessed by blinded independent central review using RECIST 1.1</w:t>
            </w:r>
          </w:p>
          <w:p w:rsidR="00ED7D43" w:rsidRPr="00ED7D43" w:rsidRDefault="00ED7D43" w:rsidP="00D920A1">
            <w:pPr>
              <w:numPr>
                <w:ilvl w:val="0"/>
                <w:numId w:val="3"/>
              </w:numPr>
              <w:tabs>
                <w:tab w:val="num" w:pos="360"/>
              </w:tabs>
            </w:pPr>
            <w:r w:rsidRPr="00ED7D43">
              <w:rPr>
                <w:vertAlign w:val="superscript"/>
              </w:rPr>
              <w:t>†</w:t>
            </w:r>
            <w:r w:rsidRPr="00ED7D43">
              <w:t xml:space="preserve"> Based on patients (n=28) with a confirmed response by independent review </w:t>
            </w:r>
          </w:p>
          <w:p w:rsidR="00ED7D43" w:rsidRPr="00ED7D43" w:rsidRDefault="00ED7D43" w:rsidP="00D920A1">
            <w:pPr>
              <w:numPr>
                <w:ilvl w:val="0"/>
                <w:numId w:val="3"/>
              </w:numPr>
              <w:tabs>
                <w:tab w:val="num" w:pos="360"/>
              </w:tabs>
            </w:pPr>
            <w:r w:rsidRPr="00ED7D43">
              <w:rPr>
                <w:vertAlign w:val="superscript"/>
              </w:rPr>
              <w:t>¶</w:t>
            </w:r>
            <w:r w:rsidRPr="00ED7D43">
              <w:t xml:space="preserve"> Based on Kaplan-Meier estimates; includes 23 patients with responses of 6 months or longer including 14 patients with response of 12 months or longer.</w:t>
            </w:r>
          </w:p>
        </w:tc>
      </w:tr>
    </w:tbl>
    <w:p w:rsidR="00ED7D43" w:rsidRPr="00ED7D43" w:rsidRDefault="00ED7D43" w:rsidP="00ED7D43">
      <w:r w:rsidRPr="00ED7D43">
        <w:t>There were objective responses in patients regardless of HPV tumour status.</w:t>
      </w:r>
    </w:p>
    <w:p w:rsidR="00ED7D43" w:rsidRPr="00ED7D43" w:rsidRDefault="00ED7D43" w:rsidP="00ED7D43">
      <w:pPr>
        <w:rPr>
          <w:u w:val="single"/>
        </w:rPr>
      </w:pPr>
      <w:r w:rsidRPr="00ED7D43">
        <w:rPr>
          <w:u w:val="single"/>
        </w:rPr>
        <w:t>Classical Hodgkin Lymphoma</w:t>
      </w:r>
    </w:p>
    <w:p w:rsidR="00ED7D43" w:rsidRPr="00ED7D43" w:rsidRDefault="00ED7D43" w:rsidP="00ED7D43">
      <w:pPr>
        <w:rPr>
          <w:i/>
        </w:rPr>
      </w:pPr>
      <w:r w:rsidRPr="00ED7D43">
        <w:rPr>
          <w:i/>
        </w:rPr>
        <w:t>KEYNOTE-013 and KEYNOTE-087: Open-label studies in patients with refractory classical Hodgkin Lymphoma, or those who have relapsed after 3 or more prior lines of therapy</w:t>
      </w:r>
    </w:p>
    <w:p w:rsidR="00ED7D43" w:rsidRPr="00ED7D43" w:rsidRDefault="00ED7D43" w:rsidP="00ED7D43">
      <w:r w:rsidRPr="00ED7D43">
        <w:t xml:space="preserve">The efficacy of KEYTRUDA was investigated in 241 patients with refractory classical Hodgkin Lymphoma, or who have relapsed after 3 or more prior lines of therapy, enrolled in two </w:t>
      </w:r>
      <w:proofErr w:type="spellStart"/>
      <w:r w:rsidRPr="00ED7D43">
        <w:t>multicenter</w:t>
      </w:r>
      <w:proofErr w:type="spellEnd"/>
      <w:r w:rsidRPr="00ED7D43">
        <w:t>, nonrandomised, open-label studies (KEYNOTE-013 and KEYNOTE-087). Both studies included patients regardless of PD-L1 expression. Patients with active, non-infectious pneumonitis, an allogeneic hematopoietic stem cell transplant within the past 5 years (or greater than 5 years but with GVHD), active autoimmune disease or a medical condition that required immunosuppression were ineligible for either trial. Patients received KEYTRUDA 10 mg/kg every 2 weeks (n=31) or 200 mg every 3 weeks (n=210) until unacceptable toxicity or documented disease progression. Response was assessed using the revised lymphoma criteria by PET CT scans, with the first planned post-baseline assessment at week 12. The major efficacy outcome measures (ORR, CRR, and duration of response) were assessed by blinded independent central review according to the 2007 revised International Working Group (IWG) criteria. Secondary efficacy outcome measures were PFS and OS.</w:t>
      </w:r>
    </w:p>
    <w:p w:rsidR="00ED7D43" w:rsidRPr="00ED7D43" w:rsidRDefault="00ED7D43" w:rsidP="00ED7D43">
      <w:r w:rsidRPr="00ED7D43">
        <w:t xml:space="preserve">Among KEYNOTE-013 patients, the baseline characteristics were median age 32 years (6% age 65 or older), 58% male, 94% White; and 45% and 55% had an ECOG performance status 0 and 1, respectively. The median number of prior lines of therapy administered for the treatment of </w:t>
      </w:r>
      <w:proofErr w:type="spellStart"/>
      <w:r w:rsidRPr="00ED7D43">
        <w:t>cHL</w:t>
      </w:r>
      <w:proofErr w:type="spellEnd"/>
      <w:r w:rsidRPr="00ED7D43">
        <w:t xml:space="preserve"> was 5 (range 2 to 15). Eighty-seven percent were refractory to at least one prior therapy, including 39% who were refractory to first line therapy. Seventy-four percent of patients had received Auto-SCT, 26% were transplant ineligible; and 42% of patients had prior radiation therapy.</w:t>
      </w:r>
    </w:p>
    <w:p w:rsidR="00ED7D43" w:rsidRPr="00ED7D43" w:rsidRDefault="00ED7D43" w:rsidP="00ED7D43">
      <w:r w:rsidRPr="00ED7D43">
        <w:t xml:space="preserve">Among KEYNOTE-087 patients, the baseline characteristics were median age 35 years (9% age 65 or older); 54% male; 88% White; and 49% and 51% had an ECOG performance status 0 and 1, respectively. The median number of prior lines of therapy administered for the treatment of </w:t>
      </w:r>
      <w:proofErr w:type="spellStart"/>
      <w:r w:rsidRPr="00ED7D43">
        <w:t>cHL</w:t>
      </w:r>
      <w:proofErr w:type="spellEnd"/>
      <w:r w:rsidRPr="00ED7D43">
        <w:t xml:space="preserve"> was 4 (range 1 to 12). Eighty-one percent were refractory to at least one prior therapy, including 35% who were refractory to first line therapy. Sixty-one percent of patients had received Auto-SCT, 38% were transplant ineligible; 17% had no prior </w:t>
      </w:r>
      <w:proofErr w:type="spellStart"/>
      <w:r w:rsidRPr="00ED7D43">
        <w:t>brentuximab</w:t>
      </w:r>
      <w:proofErr w:type="spellEnd"/>
      <w:r w:rsidRPr="00ED7D43">
        <w:t xml:space="preserve"> </w:t>
      </w:r>
      <w:proofErr w:type="spellStart"/>
      <w:r w:rsidRPr="00ED7D43">
        <w:t>vedotin</w:t>
      </w:r>
      <w:proofErr w:type="spellEnd"/>
      <w:r w:rsidRPr="00ED7D43">
        <w:t xml:space="preserve"> use; and 36% of patients had prior radiation therapy.</w:t>
      </w:r>
    </w:p>
    <w:p w:rsidR="00ED7D43" w:rsidRPr="00ED7D43" w:rsidRDefault="00ED7D43" w:rsidP="00ED7D43">
      <w:r w:rsidRPr="00ED7D43">
        <w:t>Efficacy results are summarized in Table 24.</w:t>
      </w:r>
    </w:p>
    <w:p w:rsidR="00ED7D43" w:rsidRPr="00ED7D43" w:rsidRDefault="00ED7D43" w:rsidP="00D920A1">
      <w:pPr>
        <w:pStyle w:val="Tabletitle"/>
      </w:pPr>
      <w:r w:rsidRPr="00ED7D43">
        <w:lastRenderedPageBreak/>
        <w:t>Table 24: Efficacy Results in Patients with refractory or relapsed classical Hodgkin Lymphoma</w:t>
      </w:r>
    </w:p>
    <w:tbl>
      <w:tblPr>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632"/>
        <w:gridCol w:w="2501"/>
      </w:tblGrid>
      <w:tr w:rsidR="00ED7D43" w:rsidRPr="00ED7D43" w:rsidTr="00ED7D43">
        <w:trPr>
          <w:jc w:val="center"/>
        </w:trPr>
        <w:tc>
          <w:tcPr>
            <w:tcW w:w="1843" w:type="pct"/>
            <w:shd w:val="clear" w:color="auto" w:fill="auto"/>
          </w:tcPr>
          <w:p w:rsidR="00ED7D43" w:rsidRPr="00ED7D43" w:rsidRDefault="00ED7D43" w:rsidP="00ED7D43"/>
        </w:tc>
        <w:tc>
          <w:tcPr>
            <w:tcW w:w="1619" w:type="pct"/>
          </w:tcPr>
          <w:p w:rsidR="00ED7D43" w:rsidRPr="00ED7D43" w:rsidRDefault="00ED7D43" w:rsidP="00ED7D43">
            <w:pPr>
              <w:rPr>
                <w:b/>
              </w:rPr>
            </w:pPr>
            <w:r w:rsidRPr="00ED7D43">
              <w:rPr>
                <w:b/>
              </w:rPr>
              <w:t>KEYNOTE-013</w:t>
            </w:r>
            <w:r w:rsidRPr="00ED7D43">
              <w:rPr>
                <w:b/>
                <w:vertAlign w:val="superscript"/>
              </w:rPr>
              <w:t>a</w:t>
            </w:r>
          </w:p>
        </w:tc>
        <w:tc>
          <w:tcPr>
            <w:tcW w:w="1538" w:type="pct"/>
            <w:vAlign w:val="center"/>
          </w:tcPr>
          <w:p w:rsidR="00ED7D43" w:rsidRPr="00ED7D43" w:rsidRDefault="00ED7D43" w:rsidP="00ED7D43">
            <w:pPr>
              <w:rPr>
                <w:b/>
              </w:rPr>
            </w:pPr>
            <w:r w:rsidRPr="00ED7D43">
              <w:rPr>
                <w:b/>
              </w:rPr>
              <w:t>KEYNOTE-087</w:t>
            </w:r>
            <w:r w:rsidRPr="00ED7D43">
              <w:rPr>
                <w:b/>
                <w:vertAlign w:val="superscript"/>
              </w:rPr>
              <w:t>b</w:t>
            </w:r>
          </w:p>
        </w:tc>
      </w:tr>
      <w:tr w:rsidR="00ED7D43" w:rsidRPr="00ED7D43" w:rsidTr="00ED7D43">
        <w:trPr>
          <w:jc w:val="center"/>
        </w:trPr>
        <w:tc>
          <w:tcPr>
            <w:tcW w:w="1843" w:type="pct"/>
            <w:shd w:val="clear" w:color="auto" w:fill="auto"/>
          </w:tcPr>
          <w:p w:rsidR="00ED7D43" w:rsidRPr="00ED7D43" w:rsidRDefault="00ED7D43" w:rsidP="00ED7D43">
            <w:pPr>
              <w:rPr>
                <w:b/>
              </w:rPr>
            </w:pPr>
            <w:r w:rsidRPr="00ED7D43">
              <w:rPr>
                <w:b/>
              </w:rPr>
              <w:t>Endpoint</w:t>
            </w:r>
          </w:p>
        </w:tc>
        <w:tc>
          <w:tcPr>
            <w:tcW w:w="1619" w:type="pct"/>
            <w:vAlign w:val="center"/>
          </w:tcPr>
          <w:p w:rsidR="00ED7D43" w:rsidRPr="00ED7D43" w:rsidRDefault="00ED7D43" w:rsidP="00ED7D43">
            <w:r w:rsidRPr="00ED7D43">
              <w:t>n=31</w:t>
            </w:r>
          </w:p>
        </w:tc>
        <w:tc>
          <w:tcPr>
            <w:tcW w:w="1538" w:type="pct"/>
            <w:vAlign w:val="center"/>
          </w:tcPr>
          <w:p w:rsidR="00ED7D43" w:rsidRPr="00ED7D43" w:rsidRDefault="00ED7D43" w:rsidP="00ED7D43">
            <w:r w:rsidRPr="00ED7D43">
              <w:t>n=210</w:t>
            </w:r>
          </w:p>
        </w:tc>
      </w:tr>
      <w:tr w:rsidR="00ED7D43" w:rsidRPr="00ED7D43" w:rsidTr="00ED7D43">
        <w:trPr>
          <w:jc w:val="center"/>
        </w:trPr>
        <w:tc>
          <w:tcPr>
            <w:tcW w:w="1843" w:type="pct"/>
            <w:shd w:val="clear" w:color="auto" w:fill="auto"/>
          </w:tcPr>
          <w:p w:rsidR="00ED7D43" w:rsidRPr="00ED7D43" w:rsidRDefault="00ED7D43" w:rsidP="00ED7D43">
            <w:pPr>
              <w:rPr>
                <w:b/>
              </w:rPr>
            </w:pPr>
            <w:r w:rsidRPr="00ED7D43">
              <w:rPr>
                <w:b/>
              </w:rPr>
              <w:t>Objective Response Rate*</w:t>
            </w:r>
          </w:p>
        </w:tc>
        <w:tc>
          <w:tcPr>
            <w:tcW w:w="1619" w:type="pct"/>
            <w:vAlign w:val="center"/>
          </w:tcPr>
          <w:p w:rsidR="00ED7D43" w:rsidRPr="00ED7D43" w:rsidRDefault="00ED7D43" w:rsidP="00ED7D43"/>
        </w:tc>
        <w:tc>
          <w:tcPr>
            <w:tcW w:w="1538" w:type="pct"/>
            <w:vAlign w:val="center"/>
          </w:tcPr>
          <w:p w:rsidR="00ED7D43" w:rsidRPr="00ED7D43" w:rsidRDefault="00ED7D43" w:rsidP="00ED7D43"/>
        </w:tc>
      </w:tr>
      <w:tr w:rsidR="00ED7D43" w:rsidRPr="00ED7D43" w:rsidTr="00ED7D43">
        <w:trPr>
          <w:jc w:val="center"/>
        </w:trPr>
        <w:tc>
          <w:tcPr>
            <w:tcW w:w="1843" w:type="pct"/>
            <w:shd w:val="clear" w:color="auto" w:fill="auto"/>
          </w:tcPr>
          <w:p w:rsidR="00ED7D43" w:rsidRPr="00ED7D43" w:rsidRDefault="00ED7D43" w:rsidP="00ED7D43">
            <w:r w:rsidRPr="00ED7D43">
              <w:t>ORR %, (95% CI)</w:t>
            </w:r>
          </w:p>
        </w:tc>
        <w:tc>
          <w:tcPr>
            <w:tcW w:w="1619" w:type="pct"/>
          </w:tcPr>
          <w:p w:rsidR="00ED7D43" w:rsidRPr="00ED7D43" w:rsidRDefault="00ED7D43" w:rsidP="00ED7D43">
            <w:r w:rsidRPr="00ED7D43">
              <w:t>58% (39.1, 75.5)</w:t>
            </w:r>
          </w:p>
        </w:tc>
        <w:tc>
          <w:tcPr>
            <w:tcW w:w="1538" w:type="pct"/>
          </w:tcPr>
          <w:p w:rsidR="00ED7D43" w:rsidRPr="00ED7D43" w:rsidRDefault="00ED7D43" w:rsidP="00ED7D43">
            <w:r w:rsidRPr="00ED7D43">
              <w:t>69% (62.3, 75.2)</w:t>
            </w:r>
          </w:p>
        </w:tc>
      </w:tr>
      <w:tr w:rsidR="00ED7D43" w:rsidRPr="00ED7D43" w:rsidTr="00ED7D43">
        <w:trPr>
          <w:jc w:val="center"/>
        </w:trPr>
        <w:tc>
          <w:tcPr>
            <w:tcW w:w="1843" w:type="pct"/>
            <w:shd w:val="clear" w:color="auto" w:fill="auto"/>
          </w:tcPr>
          <w:p w:rsidR="00ED7D43" w:rsidRPr="00ED7D43" w:rsidRDefault="00ED7D43" w:rsidP="00ED7D43">
            <w:r w:rsidRPr="00ED7D43">
              <w:t>Complete Remission</w:t>
            </w:r>
          </w:p>
        </w:tc>
        <w:tc>
          <w:tcPr>
            <w:tcW w:w="1619" w:type="pct"/>
          </w:tcPr>
          <w:p w:rsidR="00ED7D43" w:rsidRPr="00ED7D43" w:rsidRDefault="00ED7D43" w:rsidP="00ED7D43">
            <w:r w:rsidRPr="00ED7D43">
              <w:t>19%</w:t>
            </w:r>
          </w:p>
        </w:tc>
        <w:tc>
          <w:tcPr>
            <w:tcW w:w="1538" w:type="pct"/>
          </w:tcPr>
          <w:p w:rsidR="00ED7D43" w:rsidRPr="00ED7D43" w:rsidRDefault="00ED7D43" w:rsidP="00ED7D43">
            <w:r w:rsidRPr="00ED7D43">
              <w:t>22%</w:t>
            </w:r>
          </w:p>
        </w:tc>
      </w:tr>
      <w:tr w:rsidR="00ED7D43" w:rsidRPr="00ED7D43" w:rsidTr="00ED7D43">
        <w:trPr>
          <w:jc w:val="center"/>
        </w:trPr>
        <w:tc>
          <w:tcPr>
            <w:tcW w:w="1843" w:type="pct"/>
            <w:shd w:val="clear" w:color="auto" w:fill="auto"/>
          </w:tcPr>
          <w:p w:rsidR="00ED7D43" w:rsidRPr="00ED7D43" w:rsidRDefault="00ED7D43" w:rsidP="00ED7D43">
            <w:r w:rsidRPr="00ED7D43">
              <w:t>Partial Remission</w:t>
            </w:r>
          </w:p>
        </w:tc>
        <w:tc>
          <w:tcPr>
            <w:tcW w:w="1619" w:type="pct"/>
          </w:tcPr>
          <w:p w:rsidR="00ED7D43" w:rsidRPr="00ED7D43" w:rsidRDefault="00ED7D43" w:rsidP="00ED7D43">
            <w:r w:rsidRPr="00ED7D43">
              <w:t>39%</w:t>
            </w:r>
          </w:p>
        </w:tc>
        <w:tc>
          <w:tcPr>
            <w:tcW w:w="1538" w:type="pct"/>
          </w:tcPr>
          <w:p w:rsidR="00ED7D43" w:rsidRPr="00ED7D43" w:rsidRDefault="00ED7D43" w:rsidP="00ED7D43">
            <w:r w:rsidRPr="00ED7D43">
              <w:t>47%</w:t>
            </w:r>
          </w:p>
        </w:tc>
      </w:tr>
      <w:tr w:rsidR="00ED7D43" w:rsidRPr="00ED7D43" w:rsidTr="00ED7D43">
        <w:trPr>
          <w:trHeight w:val="50"/>
          <w:jc w:val="center"/>
        </w:trPr>
        <w:tc>
          <w:tcPr>
            <w:tcW w:w="1843" w:type="pct"/>
            <w:shd w:val="clear" w:color="auto" w:fill="auto"/>
          </w:tcPr>
          <w:p w:rsidR="00ED7D43" w:rsidRPr="00ED7D43" w:rsidRDefault="00ED7D43" w:rsidP="00ED7D43">
            <w:pPr>
              <w:rPr>
                <w:b/>
              </w:rPr>
            </w:pPr>
            <w:r w:rsidRPr="00ED7D43">
              <w:rPr>
                <w:b/>
              </w:rPr>
              <w:t>Response Duration*</w:t>
            </w:r>
          </w:p>
        </w:tc>
        <w:tc>
          <w:tcPr>
            <w:tcW w:w="1619" w:type="pct"/>
            <w:vAlign w:val="center"/>
          </w:tcPr>
          <w:p w:rsidR="00ED7D43" w:rsidRPr="00ED7D43" w:rsidRDefault="00ED7D43" w:rsidP="00ED7D43"/>
        </w:tc>
        <w:tc>
          <w:tcPr>
            <w:tcW w:w="1538" w:type="pct"/>
            <w:vAlign w:val="center"/>
          </w:tcPr>
          <w:p w:rsidR="00ED7D43" w:rsidRPr="00ED7D43" w:rsidRDefault="00ED7D43" w:rsidP="00ED7D43"/>
        </w:tc>
      </w:tr>
      <w:tr w:rsidR="00ED7D43" w:rsidRPr="00ED7D43" w:rsidTr="00ED7D43">
        <w:trPr>
          <w:jc w:val="center"/>
        </w:trPr>
        <w:tc>
          <w:tcPr>
            <w:tcW w:w="1843" w:type="pct"/>
            <w:shd w:val="clear" w:color="auto" w:fill="auto"/>
          </w:tcPr>
          <w:p w:rsidR="00ED7D43" w:rsidRPr="00ED7D43" w:rsidRDefault="00ED7D43" w:rsidP="00ED7D43">
            <w:r w:rsidRPr="00ED7D43">
              <w:t>Median in months (range)</w:t>
            </w:r>
          </w:p>
        </w:tc>
        <w:tc>
          <w:tcPr>
            <w:tcW w:w="1619" w:type="pct"/>
          </w:tcPr>
          <w:p w:rsidR="00ED7D43" w:rsidRPr="00ED7D43" w:rsidRDefault="00ED7D43" w:rsidP="00ED7D43">
            <w:r w:rsidRPr="00ED7D43">
              <w:t>Not reached (0.0+, 26.1+)</w:t>
            </w:r>
            <w:r w:rsidRPr="00ED7D43">
              <w:rPr>
                <w:vertAlign w:val="superscript"/>
              </w:rPr>
              <w:t>†</w:t>
            </w:r>
          </w:p>
        </w:tc>
        <w:tc>
          <w:tcPr>
            <w:tcW w:w="1538" w:type="pct"/>
          </w:tcPr>
          <w:p w:rsidR="00ED7D43" w:rsidRPr="00ED7D43" w:rsidRDefault="00ED7D43" w:rsidP="00ED7D43">
            <w:r w:rsidRPr="00ED7D43">
              <w:t>11.1 (0.0+, 11.1)</w:t>
            </w:r>
            <w:r w:rsidRPr="00ED7D43">
              <w:rPr>
                <w:vertAlign w:val="superscript"/>
              </w:rPr>
              <w:t xml:space="preserve"> ‡</w:t>
            </w:r>
          </w:p>
        </w:tc>
      </w:tr>
      <w:tr w:rsidR="00ED7D43" w:rsidRPr="00ED7D43" w:rsidTr="00ED7D43">
        <w:trPr>
          <w:jc w:val="center"/>
        </w:trPr>
        <w:tc>
          <w:tcPr>
            <w:tcW w:w="1843" w:type="pct"/>
            <w:shd w:val="clear" w:color="auto" w:fill="auto"/>
          </w:tcPr>
          <w:p w:rsidR="00ED7D43" w:rsidRPr="00ED7D43" w:rsidRDefault="00ED7D43" w:rsidP="00ED7D43">
            <w:r w:rsidRPr="00ED7D43">
              <w:t>% with duration ≥ 6-months</w:t>
            </w:r>
          </w:p>
        </w:tc>
        <w:tc>
          <w:tcPr>
            <w:tcW w:w="1619" w:type="pct"/>
          </w:tcPr>
          <w:p w:rsidR="00ED7D43" w:rsidRPr="00ED7D43" w:rsidRDefault="00ED7D43" w:rsidP="00ED7D43">
            <w:r w:rsidRPr="00ED7D43">
              <w:t>80%</w:t>
            </w:r>
            <w:r w:rsidRPr="00ED7D43">
              <w:rPr>
                <w:vertAlign w:val="superscript"/>
              </w:rPr>
              <w:t>§</w:t>
            </w:r>
          </w:p>
        </w:tc>
        <w:tc>
          <w:tcPr>
            <w:tcW w:w="1538" w:type="pct"/>
          </w:tcPr>
          <w:p w:rsidR="00ED7D43" w:rsidRPr="00ED7D43" w:rsidRDefault="00ED7D43" w:rsidP="00ED7D43">
            <w:r w:rsidRPr="00ED7D43">
              <w:t>76%</w:t>
            </w:r>
            <w:r w:rsidRPr="00ED7D43">
              <w:rPr>
                <w:vertAlign w:val="superscript"/>
              </w:rPr>
              <w:t>¶</w:t>
            </w:r>
          </w:p>
        </w:tc>
      </w:tr>
      <w:tr w:rsidR="00ED7D43" w:rsidRPr="00ED7D43" w:rsidTr="00ED7D43">
        <w:trPr>
          <w:jc w:val="center"/>
        </w:trPr>
        <w:tc>
          <w:tcPr>
            <w:tcW w:w="1843" w:type="pct"/>
            <w:shd w:val="clear" w:color="auto" w:fill="auto"/>
          </w:tcPr>
          <w:p w:rsidR="00ED7D43" w:rsidRPr="00ED7D43" w:rsidRDefault="00ED7D43" w:rsidP="00ED7D43">
            <w:r w:rsidRPr="00ED7D43">
              <w:t>% with duration ≥ 12-months</w:t>
            </w:r>
          </w:p>
        </w:tc>
        <w:tc>
          <w:tcPr>
            <w:tcW w:w="1619" w:type="pct"/>
          </w:tcPr>
          <w:p w:rsidR="00ED7D43" w:rsidRPr="00ED7D43" w:rsidRDefault="00ED7D43" w:rsidP="00ED7D43">
            <w:r w:rsidRPr="00ED7D43">
              <w:t>70%</w:t>
            </w:r>
            <w:r w:rsidRPr="00ED7D43">
              <w:rPr>
                <w:vertAlign w:val="superscript"/>
              </w:rPr>
              <w:t>#</w:t>
            </w:r>
          </w:p>
        </w:tc>
        <w:tc>
          <w:tcPr>
            <w:tcW w:w="1538" w:type="pct"/>
          </w:tcPr>
          <w:p w:rsidR="00ED7D43" w:rsidRPr="00ED7D43" w:rsidRDefault="00ED7D43" w:rsidP="00ED7D43">
            <w:r w:rsidRPr="00ED7D43">
              <w:t>---</w:t>
            </w:r>
          </w:p>
        </w:tc>
      </w:tr>
      <w:tr w:rsidR="00ED7D43" w:rsidRPr="00ED7D43" w:rsidTr="00ED7D43">
        <w:trPr>
          <w:jc w:val="center"/>
        </w:trPr>
        <w:tc>
          <w:tcPr>
            <w:tcW w:w="1843" w:type="pct"/>
            <w:shd w:val="clear" w:color="auto" w:fill="auto"/>
          </w:tcPr>
          <w:p w:rsidR="00ED7D43" w:rsidRPr="00ED7D43" w:rsidRDefault="00ED7D43" w:rsidP="00ED7D43">
            <w:pPr>
              <w:rPr>
                <w:b/>
              </w:rPr>
            </w:pPr>
            <w:r w:rsidRPr="00ED7D43">
              <w:rPr>
                <w:b/>
              </w:rPr>
              <w:t>Time to Response</w:t>
            </w:r>
          </w:p>
        </w:tc>
        <w:tc>
          <w:tcPr>
            <w:tcW w:w="1619" w:type="pct"/>
            <w:vAlign w:val="center"/>
          </w:tcPr>
          <w:p w:rsidR="00ED7D43" w:rsidRPr="00ED7D43" w:rsidRDefault="00ED7D43" w:rsidP="00ED7D43"/>
        </w:tc>
        <w:tc>
          <w:tcPr>
            <w:tcW w:w="1538" w:type="pct"/>
            <w:vAlign w:val="center"/>
          </w:tcPr>
          <w:p w:rsidR="00ED7D43" w:rsidRPr="00ED7D43" w:rsidRDefault="00ED7D43" w:rsidP="00ED7D43"/>
        </w:tc>
      </w:tr>
      <w:tr w:rsidR="00ED7D43" w:rsidRPr="00ED7D43" w:rsidTr="00ED7D43">
        <w:trPr>
          <w:jc w:val="center"/>
        </w:trPr>
        <w:tc>
          <w:tcPr>
            <w:tcW w:w="1843" w:type="pct"/>
            <w:shd w:val="clear" w:color="auto" w:fill="auto"/>
          </w:tcPr>
          <w:p w:rsidR="00ED7D43" w:rsidRPr="00ED7D43" w:rsidRDefault="00ED7D43" w:rsidP="00ED7D43">
            <w:r w:rsidRPr="00ED7D43">
              <w:t>Median in months (range)</w:t>
            </w:r>
          </w:p>
        </w:tc>
        <w:tc>
          <w:tcPr>
            <w:tcW w:w="1619" w:type="pct"/>
          </w:tcPr>
          <w:p w:rsidR="00ED7D43" w:rsidRPr="00ED7D43" w:rsidRDefault="00ED7D43" w:rsidP="00ED7D43">
            <w:r w:rsidRPr="00ED7D43">
              <w:t>2.8 (2.4, 8.6)</w:t>
            </w:r>
            <w:r w:rsidRPr="00ED7D43">
              <w:rPr>
                <w:vertAlign w:val="superscript"/>
              </w:rPr>
              <w:t xml:space="preserve"> †</w:t>
            </w:r>
          </w:p>
        </w:tc>
        <w:tc>
          <w:tcPr>
            <w:tcW w:w="1538" w:type="pct"/>
          </w:tcPr>
          <w:p w:rsidR="00ED7D43" w:rsidRPr="00ED7D43" w:rsidRDefault="00ED7D43" w:rsidP="00ED7D43">
            <w:r w:rsidRPr="00ED7D43">
              <w:t>2.8 (2.1, 8.8)</w:t>
            </w:r>
            <w:r w:rsidRPr="00ED7D43">
              <w:rPr>
                <w:vertAlign w:val="superscript"/>
              </w:rPr>
              <w:t xml:space="preserve"> ‡</w:t>
            </w:r>
          </w:p>
        </w:tc>
      </w:tr>
      <w:tr w:rsidR="00ED7D43" w:rsidRPr="00ED7D43" w:rsidTr="00ED7D43">
        <w:trPr>
          <w:jc w:val="center"/>
        </w:trPr>
        <w:tc>
          <w:tcPr>
            <w:tcW w:w="1843" w:type="pct"/>
            <w:shd w:val="clear" w:color="auto" w:fill="auto"/>
          </w:tcPr>
          <w:p w:rsidR="00ED7D43" w:rsidRPr="00ED7D43" w:rsidRDefault="00ED7D43" w:rsidP="00ED7D43">
            <w:pPr>
              <w:rPr>
                <w:b/>
              </w:rPr>
            </w:pPr>
            <w:r w:rsidRPr="00ED7D43">
              <w:rPr>
                <w:b/>
              </w:rPr>
              <w:t>PFS*</w:t>
            </w:r>
          </w:p>
        </w:tc>
        <w:tc>
          <w:tcPr>
            <w:tcW w:w="1619" w:type="pct"/>
            <w:vAlign w:val="center"/>
          </w:tcPr>
          <w:p w:rsidR="00ED7D43" w:rsidRPr="00ED7D43" w:rsidRDefault="00ED7D43" w:rsidP="00ED7D43"/>
        </w:tc>
        <w:tc>
          <w:tcPr>
            <w:tcW w:w="1538" w:type="pct"/>
            <w:vAlign w:val="center"/>
          </w:tcPr>
          <w:p w:rsidR="00ED7D43" w:rsidRPr="00ED7D43" w:rsidRDefault="00ED7D43" w:rsidP="00ED7D43"/>
        </w:tc>
      </w:tr>
      <w:tr w:rsidR="00ED7D43" w:rsidRPr="00ED7D43" w:rsidTr="00ED7D43">
        <w:trPr>
          <w:jc w:val="center"/>
        </w:trPr>
        <w:tc>
          <w:tcPr>
            <w:tcW w:w="1843" w:type="pct"/>
            <w:shd w:val="clear" w:color="auto" w:fill="auto"/>
          </w:tcPr>
          <w:p w:rsidR="00ED7D43" w:rsidRPr="00ED7D43" w:rsidRDefault="00ED7D43" w:rsidP="00ED7D43">
            <w:r w:rsidRPr="00ED7D43">
              <w:t>Median in months (95% CI)</w:t>
            </w:r>
          </w:p>
        </w:tc>
        <w:tc>
          <w:tcPr>
            <w:tcW w:w="1619" w:type="pct"/>
          </w:tcPr>
          <w:p w:rsidR="00ED7D43" w:rsidRPr="00ED7D43" w:rsidRDefault="00ED7D43" w:rsidP="00ED7D43">
            <w:r w:rsidRPr="00ED7D43">
              <w:t>11.4 (4.9, 27.8)</w:t>
            </w:r>
          </w:p>
        </w:tc>
        <w:tc>
          <w:tcPr>
            <w:tcW w:w="1538" w:type="pct"/>
          </w:tcPr>
          <w:p w:rsidR="00ED7D43" w:rsidRPr="00ED7D43" w:rsidRDefault="00ED7D43" w:rsidP="00ED7D43">
            <w:r w:rsidRPr="00ED7D43">
              <w:t>11.3 (10.8, Not reached)</w:t>
            </w:r>
          </w:p>
        </w:tc>
      </w:tr>
      <w:tr w:rsidR="00ED7D43" w:rsidRPr="00ED7D43" w:rsidTr="00ED7D43">
        <w:trPr>
          <w:jc w:val="center"/>
        </w:trPr>
        <w:tc>
          <w:tcPr>
            <w:tcW w:w="1843" w:type="pct"/>
            <w:shd w:val="clear" w:color="auto" w:fill="auto"/>
          </w:tcPr>
          <w:p w:rsidR="00ED7D43" w:rsidRPr="00ED7D43" w:rsidRDefault="00ED7D43" w:rsidP="00ED7D43">
            <w:r w:rsidRPr="00ED7D43">
              <w:t>6-month PFS rate</w:t>
            </w:r>
          </w:p>
        </w:tc>
        <w:tc>
          <w:tcPr>
            <w:tcW w:w="1619" w:type="pct"/>
          </w:tcPr>
          <w:p w:rsidR="00ED7D43" w:rsidRPr="00ED7D43" w:rsidRDefault="00ED7D43" w:rsidP="00ED7D43">
            <w:r w:rsidRPr="00ED7D43">
              <w:t>66%</w:t>
            </w:r>
          </w:p>
        </w:tc>
        <w:tc>
          <w:tcPr>
            <w:tcW w:w="1538" w:type="pct"/>
          </w:tcPr>
          <w:p w:rsidR="00ED7D43" w:rsidRPr="00ED7D43" w:rsidRDefault="00ED7D43" w:rsidP="00ED7D43">
            <w:r w:rsidRPr="00ED7D43">
              <w:t>72%</w:t>
            </w:r>
          </w:p>
        </w:tc>
      </w:tr>
      <w:tr w:rsidR="00ED7D43" w:rsidRPr="00ED7D43" w:rsidTr="00ED7D43">
        <w:trPr>
          <w:jc w:val="center"/>
        </w:trPr>
        <w:tc>
          <w:tcPr>
            <w:tcW w:w="1843" w:type="pct"/>
            <w:shd w:val="clear" w:color="auto" w:fill="auto"/>
          </w:tcPr>
          <w:p w:rsidR="00ED7D43" w:rsidRPr="00ED7D43" w:rsidRDefault="00ED7D43" w:rsidP="00ED7D43">
            <w:r w:rsidRPr="00ED7D43">
              <w:t>9-month PFS rate</w:t>
            </w:r>
          </w:p>
        </w:tc>
        <w:tc>
          <w:tcPr>
            <w:tcW w:w="1619" w:type="pct"/>
          </w:tcPr>
          <w:p w:rsidR="00ED7D43" w:rsidRPr="00ED7D43" w:rsidRDefault="00ED7D43" w:rsidP="00ED7D43">
            <w:r w:rsidRPr="00ED7D43">
              <w:t>---</w:t>
            </w:r>
          </w:p>
        </w:tc>
        <w:tc>
          <w:tcPr>
            <w:tcW w:w="1538" w:type="pct"/>
          </w:tcPr>
          <w:p w:rsidR="00ED7D43" w:rsidRPr="00ED7D43" w:rsidRDefault="00ED7D43" w:rsidP="00ED7D43">
            <w:r w:rsidRPr="00ED7D43">
              <w:t>62%</w:t>
            </w:r>
          </w:p>
        </w:tc>
      </w:tr>
      <w:tr w:rsidR="00ED7D43" w:rsidRPr="00ED7D43" w:rsidTr="00ED7D43">
        <w:trPr>
          <w:jc w:val="center"/>
        </w:trPr>
        <w:tc>
          <w:tcPr>
            <w:tcW w:w="1843" w:type="pct"/>
            <w:shd w:val="clear" w:color="auto" w:fill="auto"/>
          </w:tcPr>
          <w:p w:rsidR="00ED7D43" w:rsidRPr="00ED7D43" w:rsidRDefault="00ED7D43" w:rsidP="00ED7D43">
            <w:r w:rsidRPr="00ED7D43">
              <w:t>12-month PFS rate</w:t>
            </w:r>
          </w:p>
        </w:tc>
        <w:tc>
          <w:tcPr>
            <w:tcW w:w="1619" w:type="pct"/>
          </w:tcPr>
          <w:p w:rsidR="00ED7D43" w:rsidRPr="00ED7D43" w:rsidRDefault="00ED7D43" w:rsidP="00ED7D43">
            <w:r w:rsidRPr="00ED7D43">
              <w:t>48%</w:t>
            </w:r>
          </w:p>
        </w:tc>
        <w:tc>
          <w:tcPr>
            <w:tcW w:w="1538" w:type="pct"/>
          </w:tcPr>
          <w:p w:rsidR="00ED7D43" w:rsidRPr="00ED7D43" w:rsidRDefault="00ED7D43" w:rsidP="00ED7D43">
            <w:r w:rsidRPr="00ED7D43">
              <w:t>---</w:t>
            </w:r>
          </w:p>
        </w:tc>
      </w:tr>
      <w:tr w:rsidR="00ED7D43" w:rsidRPr="00ED7D43" w:rsidTr="00ED7D43">
        <w:trPr>
          <w:jc w:val="center"/>
        </w:trPr>
        <w:tc>
          <w:tcPr>
            <w:tcW w:w="1843" w:type="pct"/>
            <w:shd w:val="clear" w:color="auto" w:fill="auto"/>
          </w:tcPr>
          <w:p w:rsidR="00ED7D43" w:rsidRPr="00ED7D43" w:rsidRDefault="00ED7D43" w:rsidP="00ED7D43">
            <w:pPr>
              <w:rPr>
                <w:b/>
              </w:rPr>
            </w:pPr>
            <w:r w:rsidRPr="00ED7D43">
              <w:rPr>
                <w:b/>
              </w:rPr>
              <w:lastRenderedPageBreak/>
              <w:t>OS</w:t>
            </w:r>
          </w:p>
        </w:tc>
        <w:tc>
          <w:tcPr>
            <w:tcW w:w="1619" w:type="pct"/>
            <w:vAlign w:val="center"/>
          </w:tcPr>
          <w:p w:rsidR="00ED7D43" w:rsidRPr="00ED7D43" w:rsidRDefault="00ED7D43" w:rsidP="00ED7D43"/>
        </w:tc>
        <w:tc>
          <w:tcPr>
            <w:tcW w:w="1538" w:type="pct"/>
            <w:vAlign w:val="center"/>
          </w:tcPr>
          <w:p w:rsidR="00ED7D43" w:rsidRPr="00ED7D43" w:rsidRDefault="00ED7D43" w:rsidP="00ED7D43"/>
        </w:tc>
      </w:tr>
      <w:tr w:rsidR="00ED7D43" w:rsidRPr="00ED7D43" w:rsidTr="00ED7D43">
        <w:trPr>
          <w:jc w:val="center"/>
        </w:trPr>
        <w:tc>
          <w:tcPr>
            <w:tcW w:w="1843" w:type="pct"/>
            <w:shd w:val="clear" w:color="auto" w:fill="auto"/>
          </w:tcPr>
          <w:p w:rsidR="00ED7D43" w:rsidRPr="00ED7D43" w:rsidRDefault="00ED7D43" w:rsidP="00ED7D43">
            <w:r w:rsidRPr="00ED7D43">
              <w:t>6-month OS rate</w:t>
            </w:r>
          </w:p>
        </w:tc>
        <w:tc>
          <w:tcPr>
            <w:tcW w:w="1619" w:type="pct"/>
          </w:tcPr>
          <w:p w:rsidR="00ED7D43" w:rsidRPr="00ED7D43" w:rsidRDefault="00ED7D43" w:rsidP="00ED7D43">
            <w:r w:rsidRPr="00ED7D43">
              <w:t>100%</w:t>
            </w:r>
          </w:p>
        </w:tc>
        <w:tc>
          <w:tcPr>
            <w:tcW w:w="1538" w:type="pct"/>
          </w:tcPr>
          <w:p w:rsidR="00ED7D43" w:rsidRPr="00ED7D43" w:rsidRDefault="00ED7D43" w:rsidP="00ED7D43">
            <w:r w:rsidRPr="00ED7D43">
              <w:t>99.5%</w:t>
            </w:r>
          </w:p>
        </w:tc>
      </w:tr>
      <w:tr w:rsidR="00ED7D43" w:rsidRPr="00ED7D43" w:rsidTr="00ED7D43">
        <w:trPr>
          <w:jc w:val="center"/>
        </w:trPr>
        <w:tc>
          <w:tcPr>
            <w:tcW w:w="1843" w:type="pct"/>
            <w:shd w:val="clear" w:color="auto" w:fill="auto"/>
          </w:tcPr>
          <w:p w:rsidR="00ED7D43" w:rsidRPr="00ED7D43" w:rsidRDefault="00ED7D43" w:rsidP="00ED7D43">
            <w:r w:rsidRPr="00ED7D43">
              <w:t>12-month OS rate</w:t>
            </w:r>
          </w:p>
        </w:tc>
        <w:tc>
          <w:tcPr>
            <w:tcW w:w="1619" w:type="pct"/>
          </w:tcPr>
          <w:p w:rsidR="00ED7D43" w:rsidRPr="00ED7D43" w:rsidRDefault="00ED7D43" w:rsidP="00ED7D43">
            <w:r w:rsidRPr="00ED7D43">
              <w:t>87.1%</w:t>
            </w:r>
          </w:p>
        </w:tc>
        <w:tc>
          <w:tcPr>
            <w:tcW w:w="1538" w:type="pct"/>
          </w:tcPr>
          <w:p w:rsidR="00ED7D43" w:rsidRPr="00ED7D43" w:rsidRDefault="00ED7D43" w:rsidP="00ED7D43">
            <w:r w:rsidRPr="00ED7D43">
              <w:t>97.6%</w:t>
            </w:r>
          </w:p>
        </w:tc>
      </w:tr>
    </w:tbl>
    <w:p w:rsidR="00ED7D43" w:rsidRPr="00ED7D43" w:rsidRDefault="00ED7D43" w:rsidP="00D920A1">
      <w:pPr>
        <w:pStyle w:val="Tabledescription"/>
      </w:pPr>
      <w:r w:rsidRPr="00ED7D43">
        <w:rPr>
          <w:vertAlign w:val="superscript"/>
        </w:rPr>
        <w:t>a</w:t>
      </w:r>
      <w:r w:rsidRPr="00ED7D43">
        <w:t xml:space="preserve">   Median follow-up time of 28.7 months</w:t>
      </w:r>
    </w:p>
    <w:p w:rsidR="00ED7D43" w:rsidRPr="00ED7D43" w:rsidRDefault="00ED7D43" w:rsidP="00D920A1">
      <w:pPr>
        <w:pStyle w:val="Tabledescription"/>
      </w:pPr>
      <w:r w:rsidRPr="00ED7D43">
        <w:rPr>
          <w:vertAlign w:val="superscript"/>
        </w:rPr>
        <w:t>b</w:t>
      </w:r>
      <w:r w:rsidRPr="00ED7D43">
        <w:t xml:space="preserve">   Median follow-up time of 10.1 months</w:t>
      </w:r>
    </w:p>
    <w:p w:rsidR="00ED7D43" w:rsidRPr="00ED7D43" w:rsidRDefault="00ED7D43" w:rsidP="00D920A1">
      <w:pPr>
        <w:pStyle w:val="Tabledescription"/>
      </w:pPr>
      <w:r w:rsidRPr="00ED7D43">
        <w:t>* Assessed by blinded independent central review according to the 2007 revised International Working Group (IWG) criteria</w:t>
      </w:r>
    </w:p>
    <w:p w:rsidR="00ED7D43" w:rsidRPr="00ED7D43" w:rsidRDefault="00ED7D43" w:rsidP="00D920A1">
      <w:pPr>
        <w:pStyle w:val="Tabledescription"/>
      </w:pPr>
      <w:r w:rsidRPr="00ED7D43">
        <w:t>† Based on patients (n=18) with a response by independent review.</w:t>
      </w:r>
    </w:p>
    <w:p w:rsidR="00ED7D43" w:rsidRPr="00ED7D43" w:rsidRDefault="00ED7D43" w:rsidP="00D920A1">
      <w:pPr>
        <w:pStyle w:val="Tabledescription"/>
      </w:pPr>
      <w:r w:rsidRPr="00ED7D43">
        <w:rPr>
          <w:vertAlign w:val="superscript"/>
        </w:rPr>
        <w:t>‡</w:t>
      </w:r>
      <w:r w:rsidRPr="00ED7D43">
        <w:t xml:space="preserve"> Based on patients (n=145) with a response by independent review.</w:t>
      </w:r>
    </w:p>
    <w:p w:rsidR="00ED7D43" w:rsidRPr="00ED7D43" w:rsidRDefault="00ED7D43" w:rsidP="00D920A1">
      <w:pPr>
        <w:pStyle w:val="Tabledescription"/>
      </w:pPr>
      <w:r w:rsidRPr="00ED7D43">
        <w:rPr>
          <w:vertAlign w:val="superscript"/>
        </w:rPr>
        <w:t>§</w:t>
      </w:r>
      <w:r w:rsidRPr="00ED7D43">
        <w:t xml:space="preserve"> Based on Kaplan-Meier estimation; includes 9 patients with responses of 6 months or longer.</w:t>
      </w:r>
    </w:p>
    <w:p w:rsidR="00ED7D43" w:rsidRPr="00ED7D43" w:rsidRDefault="00ED7D43" w:rsidP="00D920A1">
      <w:pPr>
        <w:pStyle w:val="Tabledescription"/>
      </w:pPr>
      <w:r w:rsidRPr="00ED7D43">
        <w:rPr>
          <w:vertAlign w:val="superscript"/>
        </w:rPr>
        <w:t>¶</w:t>
      </w:r>
      <w:r w:rsidRPr="00ED7D43">
        <w:t xml:space="preserve"> Based on Kaplan-Meier estimation; includes 31 patients with responses of 6 months or longer.</w:t>
      </w:r>
    </w:p>
    <w:p w:rsidR="00ED7D43" w:rsidRPr="00ED7D43" w:rsidRDefault="00ED7D43" w:rsidP="00D920A1">
      <w:pPr>
        <w:pStyle w:val="Tabledescription"/>
      </w:pPr>
      <w:r w:rsidRPr="00ED7D43">
        <w:rPr>
          <w:vertAlign w:val="superscript"/>
        </w:rPr>
        <w:t>#</w:t>
      </w:r>
      <w:r w:rsidRPr="00ED7D43">
        <w:t xml:space="preserve"> Based on Kaplan-Meier estimation; includes 7 patients with responses of 12 months or longer.</w:t>
      </w:r>
    </w:p>
    <w:p w:rsidR="00ED7D43" w:rsidRPr="00ED7D43" w:rsidRDefault="00ED7D43" w:rsidP="00ED7D43">
      <w:r w:rsidRPr="00ED7D43">
        <w:t>The improved benefit as assessed by ORR, CRR, and response duration in the KEYNOTE-087 population was accompanied by overall improvements in health-related quality of life (</w:t>
      </w:r>
      <w:proofErr w:type="spellStart"/>
      <w:r w:rsidRPr="00ED7D43">
        <w:t>HRQoL</w:t>
      </w:r>
      <w:proofErr w:type="spellEnd"/>
      <w:r w:rsidRPr="00ED7D43">
        <w:t>) as assessed using the European Organization for Research and Treatment of Cancer Quality of Life Questionnaire Core 30 (EORTC QLQ-C30) and the European Quality of Life Five Dimensions Questionnaire (EQ-5D). Relative to subjects with stable disease or progressive disease, subjects with a complete or partial response had the largest improvement and the highest proportion with a 10 point or greater increase in their EORTC QLQ-C30 global health status/</w:t>
      </w:r>
      <w:proofErr w:type="spellStart"/>
      <w:r w:rsidRPr="00ED7D43">
        <w:t>QoL</w:t>
      </w:r>
      <w:proofErr w:type="spellEnd"/>
      <w:r w:rsidRPr="00ED7D43">
        <w:t xml:space="preserve"> score, as well as, had the largest improvement in their EQ-5D utility and VAS scores from baseline to Week 12.</w:t>
      </w:r>
    </w:p>
    <w:p w:rsidR="00ED7D43" w:rsidRPr="00ED7D43" w:rsidRDefault="00ED7D43" w:rsidP="00ED7D43">
      <w:pPr>
        <w:rPr>
          <w:u w:val="single"/>
        </w:rPr>
      </w:pPr>
      <w:r w:rsidRPr="00ED7D43">
        <w:rPr>
          <w:u w:val="single"/>
        </w:rPr>
        <w:t>Primary Mediastinal B-Cell Lymphoma</w:t>
      </w:r>
    </w:p>
    <w:p w:rsidR="00ED7D43" w:rsidRPr="00ED7D43" w:rsidRDefault="00ED7D43" w:rsidP="00ED7D43">
      <w:pPr>
        <w:rPr>
          <w:i/>
          <w:lang w:val="en-GB"/>
        </w:rPr>
      </w:pPr>
      <w:r w:rsidRPr="00ED7D43">
        <w:rPr>
          <w:i/>
          <w:lang w:val="en-GB"/>
        </w:rPr>
        <w:t xml:space="preserve">KEYNOTE-170: Open-label study in patients with relapsed or refractory PMBCL </w:t>
      </w:r>
    </w:p>
    <w:p w:rsidR="00ED7D43" w:rsidRPr="00ED7D43" w:rsidRDefault="00ED7D43" w:rsidP="00ED7D43">
      <w:r w:rsidRPr="00ED7D43">
        <w:t>The efficacy of KEYTRUDA was investigated in KEYNOTE</w:t>
      </w:r>
      <w:r w:rsidRPr="00ED7D43">
        <w:noBreakHyphen/>
        <w:t>170</w:t>
      </w:r>
      <w:r w:rsidRPr="00ED7D43">
        <w:rPr>
          <w:lang w:val="en"/>
        </w:rPr>
        <w:t>,</w:t>
      </w:r>
      <w:r w:rsidRPr="00ED7D43">
        <w:t xml:space="preserve"> a </w:t>
      </w:r>
      <w:proofErr w:type="spellStart"/>
      <w:r w:rsidRPr="00ED7D43">
        <w:t>multicenter</w:t>
      </w:r>
      <w:proofErr w:type="spellEnd"/>
      <w:r w:rsidRPr="00ED7D43">
        <w:t>, open-label, single-arm trial in 53 patients with relapsed or refractory PMBCL. Patients with active, non-infectious pneumonitis, an allogeneic HSCT within the past 5 years (or greater than 5 years but with symptoms of GVHD), active autoimmune disease, a medical condition that required immunosuppression, or an active infection requiring systemic therapy were ineligible for the trial. Patients received KEYTRUDA 200 mg every 3 weeks until unacceptable toxicity or documented disease progression, or for up to 24 months in patients that did not progress. Disease assessment was performed every 12 weeks. The major efficacy outcome measures (ORR, CRR, PFS, and duration of response) were assessed by blinded independent central review according to the 2007 revised IWG criteria.</w:t>
      </w:r>
    </w:p>
    <w:p w:rsidR="00ED7D43" w:rsidRPr="00ED7D43" w:rsidRDefault="00ED7D43" w:rsidP="00ED7D43">
      <w:pPr>
        <w:rPr>
          <w:lang w:val="en-GB"/>
        </w:rPr>
      </w:pPr>
      <w:r w:rsidRPr="00ED7D43">
        <w:rPr>
          <w:lang w:val="en-GB"/>
        </w:rPr>
        <w:lastRenderedPageBreak/>
        <w:t>Among the 53 patients, the baseline characteristics were: median age 33 years (range: 20 to 61 years), 43% male; 92% White; 43% had an ECOG performance status (PS) of 0 and 57% had an ECOG PS of 1. The median number of prior lines of therapy administered for the treatment of PMBCL was 3 (range 2 to 8). Seventy-seven percent were refractory to the last prior therapy, 40% had primary refractory disease, and 89% had disease that was chemo-refractory to any prior regimen. Twenty-six percent of patients had undergone prior auto-HSCT, 74% did not receive prior transplant; and 32% of patients had prior radiation therapy.</w:t>
      </w:r>
    </w:p>
    <w:p w:rsidR="00ED7D43" w:rsidRPr="00ED7D43" w:rsidRDefault="00ED7D43" w:rsidP="00ED7D43">
      <w:r w:rsidRPr="00ED7D43">
        <w:t>Efficacy results for KEYNOTE-170 are summarised in Table 25.</w:t>
      </w:r>
    </w:p>
    <w:p w:rsidR="00ED7D43" w:rsidRPr="00ED7D43" w:rsidRDefault="00ED7D43" w:rsidP="00D920A1">
      <w:pPr>
        <w:pStyle w:val="Tabletitle"/>
      </w:pPr>
      <w:r w:rsidRPr="00ED7D43">
        <w:t>Table 25: Efficacy Results in Patients with refractory or relapsed PMBCL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3087"/>
      </w:tblGrid>
      <w:tr w:rsidR="00ED7D43" w:rsidRPr="00ED7D43" w:rsidTr="00ED7D43">
        <w:trPr>
          <w:jc w:val="center"/>
        </w:trPr>
        <w:tc>
          <w:tcPr>
            <w:tcW w:w="3345" w:type="dxa"/>
            <w:shd w:val="clear" w:color="auto" w:fill="auto"/>
          </w:tcPr>
          <w:p w:rsidR="00ED7D43" w:rsidRPr="00ED7D43" w:rsidRDefault="00ED7D43" w:rsidP="00ED7D43">
            <w:pPr>
              <w:rPr>
                <w:b/>
              </w:rPr>
            </w:pPr>
            <w:r w:rsidRPr="00ED7D43">
              <w:rPr>
                <w:b/>
              </w:rPr>
              <w:t>Endpoint</w:t>
            </w:r>
          </w:p>
        </w:tc>
        <w:tc>
          <w:tcPr>
            <w:tcW w:w="3087" w:type="dxa"/>
            <w:shd w:val="clear" w:color="auto" w:fill="auto"/>
            <w:vAlign w:val="center"/>
          </w:tcPr>
          <w:p w:rsidR="00ED7D43" w:rsidRPr="00ED7D43" w:rsidRDefault="00ED7D43" w:rsidP="00ED7D43">
            <w:pPr>
              <w:rPr>
                <w:b/>
                <w:lang w:val="en-GB"/>
              </w:rPr>
            </w:pPr>
            <w:r w:rsidRPr="00ED7D43">
              <w:rPr>
                <w:b/>
                <w:lang w:val="en-GB"/>
              </w:rPr>
              <w:t>KEYNOTE-170</w:t>
            </w:r>
          </w:p>
        </w:tc>
      </w:tr>
      <w:tr w:rsidR="00ED7D43" w:rsidRPr="00ED7D43" w:rsidTr="00ED7D43">
        <w:trPr>
          <w:jc w:val="center"/>
        </w:trPr>
        <w:tc>
          <w:tcPr>
            <w:tcW w:w="3345" w:type="dxa"/>
            <w:shd w:val="clear" w:color="auto" w:fill="auto"/>
          </w:tcPr>
          <w:p w:rsidR="00ED7D43" w:rsidRPr="00ED7D43" w:rsidRDefault="00ED7D43" w:rsidP="00ED7D43">
            <w:pPr>
              <w:rPr>
                <w:b/>
              </w:rPr>
            </w:pPr>
          </w:p>
        </w:tc>
        <w:tc>
          <w:tcPr>
            <w:tcW w:w="3087" w:type="dxa"/>
            <w:shd w:val="clear" w:color="auto" w:fill="auto"/>
            <w:vAlign w:val="center"/>
          </w:tcPr>
          <w:p w:rsidR="00ED7D43" w:rsidRPr="00ED7D43" w:rsidRDefault="00ED7D43" w:rsidP="00ED7D43">
            <w:r w:rsidRPr="00ED7D43">
              <w:t>n=53</w:t>
            </w:r>
          </w:p>
        </w:tc>
      </w:tr>
      <w:tr w:rsidR="00ED7D43" w:rsidRPr="00ED7D43" w:rsidTr="00ED7D43">
        <w:trPr>
          <w:jc w:val="center"/>
        </w:trPr>
        <w:tc>
          <w:tcPr>
            <w:tcW w:w="3345" w:type="dxa"/>
          </w:tcPr>
          <w:p w:rsidR="00ED7D43" w:rsidRPr="00ED7D43" w:rsidRDefault="00ED7D43" w:rsidP="00ED7D43">
            <w:pPr>
              <w:rPr>
                <w:b/>
                <w:bCs/>
              </w:rPr>
            </w:pPr>
            <w:r w:rsidRPr="00ED7D43">
              <w:rPr>
                <w:b/>
                <w:bCs/>
              </w:rPr>
              <w:t>Objective Response Rate*</w:t>
            </w:r>
          </w:p>
        </w:tc>
        <w:tc>
          <w:tcPr>
            <w:tcW w:w="3087" w:type="dxa"/>
            <w:shd w:val="clear" w:color="auto" w:fill="auto"/>
          </w:tcPr>
          <w:p w:rsidR="00ED7D43" w:rsidRPr="00ED7D43" w:rsidRDefault="00ED7D43" w:rsidP="00ED7D43"/>
        </w:tc>
      </w:tr>
      <w:tr w:rsidR="00ED7D43" w:rsidRPr="00ED7D43" w:rsidTr="00ED7D43">
        <w:trPr>
          <w:jc w:val="center"/>
        </w:trPr>
        <w:tc>
          <w:tcPr>
            <w:tcW w:w="3345" w:type="dxa"/>
            <w:shd w:val="clear" w:color="auto" w:fill="auto"/>
          </w:tcPr>
          <w:p w:rsidR="00ED7D43" w:rsidRPr="00ED7D43" w:rsidRDefault="00ED7D43" w:rsidP="00ED7D43">
            <w:r w:rsidRPr="00ED7D43">
              <w:rPr>
                <w:bCs/>
              </w:rPr>
              <w:t>ORR %, (95% CI)</w:t>
            </w:r>
          </w:p>
        </w:tc>
        <w:tc>
          <w:tcPr>
            <w:tcW w:w="3087" w:type="dxa"/>
          </w:tcPr>
          <w:p w:rsidR="00ED7D43" w:rsidRPr="00ED7D43" w:rsidRDefault="00ED7D43" w:rsidP="00ED7D43">
            <w:pPr>
              <w:rPr>
                <w:bCs/>
              </w:rPr>
            </w:pPr>
            <w:r w:rsidRPr="00ED7D43">
              <w:rPr>
                <w:bCs/>
              </w:rPr>
              <w:t>45% (32, 60)</w:t>
            </w:r>
          </w:p>
        </w:tc>
      </w:tr>
      <w:tr w:rsidR="00ED7D43" w:rsidRPr="00ED7D43" w:rsidTr="00ED7D43">
        <w:trPr>
          <w:jc w:val="center"/>
        </w:trPr>
        <w:tc>
          <w:tcPr>
            <w:tcW w:w="3345" w:type="dxa"/>
            <w:shd w:val="clear" w:color="auto" w:fill="auto"/>
          </w:tcPr>
          <w:p w:rsidR="00ED7D43" w:rsidRPr="00ED7D43" w:rsidRDefault="00ED7D43" w:rsidP="00ED7D43">
            <w:pPr>
              <w:rPr>
                <w:bCs/>
              </w:rPr>
            </w:pPr>
            <w:r w:rsidRPr="00ED7D43">
              <w:rPr>
                <w:bCs/>
              </w:rPr>
              <w:t>Complete Remission</w:t>
            </w:r>
          </w:p>
        </w:tc>
        <w:tc>
          <w:tcPr>
            <w:tcW w:w="3087" w:type="dxa"/>
          </w:tcPr>
          <w:p w:rsidR="00ED7D43" w:rsidRPr="00ED7D43" w:rsidRDefault="00ED7D43" w:rsidP="00ED7D43">
            <w:pPr>
              <w:rPr>
                <w:bCs/>
              </w:rPr>
            </w:pPr>
            <w:r w:rsidRPr="00ED7D43">
              <w:rPr>
                <w:bCs/>
              </w:rPr>
              <w:t>11%</w:t>
            </w:r>
          </w:p>
        </w:tc>
      </w:tr>
      <w:tr w:rsidR="00ED7D43" w:rsidRPr="00ED7D43" w:rsidTr="00ED7D43">
        <w:trPr>
          <w:jc w:val="center"/>
        </w:trPr>
        <w:tc>
          <w:tcPr>
            <w:tcW w:w="3345" w:type="dxa"/>
            <w:shd w:val="clear" w:color="auto" w:fill="auto"/>
          </w:tcPr>
          <w:p w:rsidR="00ED7D43" w:rsidRPr="00ED7D43" w:rsidRDefault="00ED7D43" w:rsidP="00ED7D43">
            <w:pPr>
              <w:rPr>
                <w:bCs/>
              </w:rPr>
            </w:pPr>
            <w:r w:rsidRPr="00ED7D43">
              <w:rPr>
                <w:bCs/>
              </w:rPr>
              <w:t>Partial Remission</w:t>
            </w:r>
          </w:p>
        </w:tc>
        <w:tc>
          <w:tcPr>
            <w:tcW w:w="3087" w:type="dxa"/>
          </w:tcPr>
          <w:p w:rsidR="00ED7D43" w:rsidRPr="00ED7D43" w:rsidRDefault="00ED7D43" w:rsidP="00ED7D43">
            <w:pPr>
              <w:rPr>
                <w:bCs/>
              </w:rPr>
            </w:pPr>
            <w:r w:rsidRPr="00ED7D43">
              <w:rPr>
                <w:bCs/>
              </w:rPr>
              <w:t>34%</w:t>
            </w:r>
          </w:p>
        </w:tc>
      </w:tr>
      <w:tr w:rsidR="00ED7D43" w:rsidRPr="00ED7D43" w:rsidTr="00ED7D43">
        <w:trPr>
          <w:jc w:val="center"/>
        </w:trPr>
        <w:tc>
          <w:tcPr>
            <w:tcW w:w="3345" w:type="dxa"/>
            <w:tcBorders>
              <w:bottom w:val="single" w:sz="4" w:space="0" w:color="auto"/>
            </w:tcBorders>
            <w:shd w:val="clear" w:color="auto" w:fill="auto"/>
          </w:tcPr>
          <w:p w:rsidR="00ED7D43" w:rsidRPr="00ED7D43" w:rsidRDefault="00ED7D43" w:rsidP="00ED7D43">
            <w:pPr>
              <w:rPr>
                <w:bCs/>
              </w:rPr>
            </w:pPr>
            <w:r w:rsidRPr="00ED7D43">
              <w:rPr>
                <w:b/>
                <w:bCs/>
              </w:rPr>
              <w:t>Response Duration*</w:t>
            </w:r>
          </w:p>
        </w:tc>
        <w:tc>
          <w:tcPr>
            <w:tcW w:w="3087" w:type="dxa"/>
            <w:tcBorders>
              <w:bottom w:val="single" w:sz="4" w:space="0" w:color="auto"/>
            </w:tcBorders>
          </w:tcPr>
          <w:p w:rsidR="00ED7D43" w:rsidRPr="00ED7D43" w:rsidDel="00106BEA" w:rsidRDefault="00ED7D43" w:rsidP="00ED7D43">
            <w:pPr>
              <w:rPr>
                <w:bCs/>
              </w:rPr>
            </w:pPr>
          </w:p>
        </w:tc>
      </w:tr>
      <w:tr w:rsidR="00ED7D43" w:rsidRPr="00ED7D43" w:rsidTr="00ED7D43">
        <w:trPr>
          <w:jc w:val="center"/>
        </w:trPr>
        <w:tc>
          <w:tcPr>
            <w:tcW w:w="3345" w:type="dxa"/>
            <w:tcBorders>
              <w:bottom w:val="single" w:sz="4" w:space="0" w:color="auto"/>
            </w:tcBorders>
            <w:shd w:val="clear" w:color="auto" w:fill="auto"/>
          </w:tcPr>
          <w:p w:rsidR="00ED7D43" w:rsidRPr="00ED7D43" w:rsidRDefault="00ED7D43" w:rsidP="00ED7D43">
            <w:pPr>
              <w:rPr>
                <w:bCs/>
              </w:rPr>
            </w:pPr>
            <w:r w:rsidRPr="00ED7D43">
              <w:rPr>
                <w:bCs/>
              </w:rPr>
              <w:t>Median in months (range)</w:t>
            </w:r>
          </w:p>
        </w:tc>
        <w:tc>
          <w:tcPr>
            <w:tcW w:w="3087" w:type="dxa"/>
            <w:tcBorders>
              <w:bottom w:val="single" w:sz="4" w:space="0" w:color="auto"/>
            </w:tcBorders>
          </w:tcPr>
          <w:p w:rsidR="00ED7D43" w:rsidRPr="00ED7D43" w:rsidDel="00106BEA" w:rsidRDefault="00ED7D43" w:rsidP="00ED7D43">
            <w:pPr>
              <w:rPr>
                <w:bCs/>
              </w:rPr>
            </w:pPr>
            <w:r w:rsidRPr="00ED7D43">
              <w:rPr>
                <w:bCs/>
              </w:rPr>
              <w:t>Not reached (1.1+,19.2+)</w:t>
            </w:r>
            <w:r w:rsidRPr="00ED7D43">
              <w:rPr>
                <w:bCs/>
                <w:vertAlign w:val="superscript"/>
                <w:lang w:val="en-GB"/>
              </w:rPr>
              <w:t>†</w:t>
            </w:r>
          </w:p>
        </w:tc>
      </w:tr>
      <w:tr w:rsidR="00ED7D43" w:rsidRPr="00ED7D43" w:rsidTr="00ED7D43">
        <w:trPr>
          <w:jc w:val="center"/>
        </w:trPr>
        <w:tc>
          <w:tcPr>
            <w:tcW w:w="3345" w:type="dxa"/>
            <w:tcBorders>
              <w:bottom w:val="single" w:sz="4" w:space="0" w:color="auto"/>
            </w:tcBorders>
            <w:shd w:val="clear" w:color="auto" w:fill="auto"/>
          </w:tcPr>
          <w:p w:rsidR="00ED7D43" w:rsidRPr="00ED7D43" w:rsidRDefault="00ED7D43" w:rsidP="00ED7D43">
            <w:pPr>
              <w:rPr>
                <w:bCs/>
              </w:rPr>
            </w:pPr>
            <w:r w:rsidRPr="00ED7D43">
              <w:rPr>
                <w:bCs/>
              </w:rPr>
              <w:t>% with duration ≥ 6-months</w:t>
            </w:r>
          </w:p>
        </w:tc>
        <w:tc>
          <w:tcPr>
            <w:tcW w:w="3087" w:type="dxa"/>
            <w:tcBorders>
              <w:bottom w:val="single" w:sz="4" w:space="0" w:color="auto"/>
            </w:tcBorders>
          </w:tcPr>
          <w:p w:rsidR="00ED7D43" w:rsidRPr="00ED7D43" w:rsidRDefault="00ED7D43" w:rsidP="00ED7D43">
            <w:pPr>
              <w:rPr>
                <w:bCs/>
              </w:rPr>
            </w:pPr>
            <w:r w:rsidRPr="00ED7D43">
              <w:rPr>
                <w:bCs/>
              </w:rPr>
              <w:t>85%</w:t>
            </w:r>
            <w:r w:rsidRPr="00ED7D43">
              <w:rPr>
                <w:bCs/>
                <w:vertAlign w:val="superscript"/>
                <w:lang w:val="en-GB"/>
              </w:rPr>
              <w:t>‡</w:t>
            </w:r>
          </w:p>
        </w:tc>
      </w:tr>
      <w:tr w:rsidR="00ED7D43" w:rsidRPr="00ED7D43" w:rsidTr="00ED7D43">
        <w:trPr>
          <w:jc w:val="center"/>
        </w:trPr>
        <w:tc>
          <w:tcPr>
            <w:tcW w:w="3345" w:type="dxa"/>
            <w:tcBorders>
              <w:bottom w:val="single" w:sz="4" w:space="0" w:color="auto"/>
            </w:tcBorders>
            <w:shd w:val="clear" w:color="auto" w:fill="auto"/>
          </w:tcPr>
          <w:p w:rsidR="00ED7D43" w:rsidRPr="00ED7D43" w:rsidRDefault="00ED7D43" w:rsidP="00ED7D43">
            <w:pPr>
              <w:rPr>
                <w:bCs/>
              </w:rPr>
            </w:pPr>
            <w:r w:rsidRPr="00ED7D43">
              <w:rPr>
                <w:b/>
                <w:bCs/>
              </w:rPr>
              <w:t>Time to Response</w:t>
            </w:r>
          </w:p>
        </w:tc>
        <w:tc>
          <w:tcPr>
            <w:tcW w:w="3087" w:type="dxa"/>
            <w:tcBorders>
              <w:bottom w:val="single" w:sz="4" w:space="0" w:color="auto"/>
            </w:tcBorders>
          </w:tcPr>
          <w:p w:rsidR="00ED7D43" w:rsidRPr="00ED7D43" w:rsidRDefault="00ED7D43" w:rsidP="00ED7D43">
            <w:pPr>
              <w:rPr>
                <w:bCs/>
              </w:rPr>
            </w:pPr>
          </w:p>
        </w:tc>
      </w:tr>
      <w:tr w:rsidR="00ED7D43" w:rsidRPr="00ED7D43" w:rsidTr="00ED7D43">
        <w:trPr>
          <w:jc w:val="center"/>
        </w:trPr>
        <w:tc>
          <w:tcPr>
            <w:tcW w:w="3345" w:type="dxa"/>
            <w:tcBorders>
              <w:bottom w:val="single" w:sz="4" w:space="0" w:color="auto"/>
            </w:tcBorders>
            <w:shd w:val="clear" w:color="auto" w:fill="auto"/>
          </w:tcPr>
          <w:p w:rsidR="00ED7D43" w:rsidRPr="00ED7D43" w:rsidRDefault="00ED7D43" w:rsidP="00ED7D43">
            <w:pPr>
              <w:rPr>
                <w:bCs/>
              </w:rPr>
            </w:pPr>
            <w:r w:rsidRPr="00ED7D43">
              <w:rPr>
                <w:bCs/>
              </w:rPr>
              <w:t>Median in months (range)</w:t>
            </w:r>
          </w:p>
        </w:tc>
        <w:tc>
          <w:tcPr>
            <w:tcW w:w="3087" w:type="dxa"/>
            <w:tcBorders>
              <w:bottom w:val="single" w:sz="4" w:space="0" w:color="auto"/>
            </w:tcBorders>
          </w:tcPr>
          <w:p w:rsidR="00ED7D43" w:rsidRPr="00ED7D43" w:rsidRDefault="00ED7D43" w:rsidP="00ED7D43">
            <w:pPr>
              <w:rPr>
                <w:bCs/>
              </w:rPr>
            </w:pPr>
            <w:r w:rsidRPr="00ED7D43">
              <w:rPr>
                <w:bCs/>
              </w:rPr>
              <w:t>2.8 (2.1-8.5)</w:t>
            </w:r>
            <w:r w:rsidRPr="00ED7D43">
              <w:rPr>
                <w:bCs/>
                <w:vertAlign w:val="superscript"/>
                <w:lang w:val="en-GB"/>
              </w:rPr>
              <w:t>†</w:t>
            </w:r>
          </w:p>
        </w:tc>
      </w:tr>
      <w:tr w:rsidR="00ED7D43" w:rsidRPr="00ED7D43" w:rsidTr="00ED7D43">
        <w:trPr>
          <w:jc w:val="center"/>
        </w:trPr>
        <w:tc>
          <w:tcPr>
            <w:tcW w:w="3345" w:type="dxa"/>
            <w:tcBorders>
              <w:bottom w:val="single" w:sz="4" w:space="0" w:color="auto"/>
            </w:tcBorders>
            <w:shd w:val="clear" w:color="auto" w:fill="auto"/>
          </w:tcPr>
          <w:p w:rsidR="00ED7D43" w:rsidRPr="00ED7D43" w:rsidRDefault="00ED7D43" w:rsidP="00ED7D43">
            <w:pPr>
              <w:rPr>
                <w:b/>
                <w:bCs/>
              </w:rPr>
            </w:pPr>
            <w:r w:rsidRPr="00ED7D43">
              <w:rPr>
                <w:b/>
                <w:bCs/>
              </w:rPr>
              <w:t>PFS*</w:t>
            </w:r>
          </w:p>
        </w:tc>
        <w:tc>
          <w:tcPr>
            <w:tcW w:w="3087" w:type="dxa"/>
            <w:tcBorders>
              <w:bottom w:val="single" w:sz="4" w:space="0" w:color="auto"/>
            </w:tcBorders>
          </w:tcPr>
          <w:p w:rsidR="00ED7D43" w:rsidRPr="00ED7D43" w:rsidRDefault="00ED7D43" w:rsidP="00ED7D43">
            <w:pPr>
              <w:rPr>
                <w:bCs/>
              </w:rPr>
            </w:pPr>
          </w:p>
        </w:tc>
      </w:tr>
      <w:tr w:rsidR="00ED7D43" w:rsidRPr="00ED7D43" w:rsidTr="00ED7D43">
        <w:trPr>
          <w:jc w:val="center"/>
        </w:trPr>
        <w:tc>
          <w:tcPr>
            <w:tcW w:w="3345" w:type="dxa"/>
            <w:tcBorders>
              <w:bottom w:val="single" w:sz="4" w:space="0" w:color="auto"/>
            </w:tcBorders>
            <w:shd w:val="clear" w:color="auto" w:fill="auto"/>
          </w:tcPr>
          <w:p w:rsidR="00ED7D43" w:rsidRPr="00ED7D43" w:rsidRDefault="00ED7D43" w:rsidP="00ED7D43">
            <w:pPr>
              <w:rPr>
                <w:bCs/>
              </w:rPr>
            </w:pPr>
            <w:r w:rsidRPr="00ED7D43">
              <w:rPr>
                <w:bCs/>
              </w:rPr>
              <w:t>Median in months (95% CI)</w:t>
            </w:r>
          </w:p>
        </w:tc>
        <w:tc>
          <w:tcPr>
            <w:tcW w:w="3087" w:type="dxa"/>
            <w:tcBorders>
              <w:bottom w:val="single" w:sz="4" w:space="0" w:color="auto"/>
            </w:tcBorders>
          </w:tcPr>
          <w:p w:rsidR="00ED7D43" w:rsidRPr="00ED7D43" w:rsidRDefault="00ED7D43" w:rsidP="00ED7D43">
            <w:pPr>
              <w:rPr>
                <w:bCs/>
              </w:rPr>
            </w:pPr>
            <w:r w:rsidRPr="00ED7D43">
              <w:rPr>
                <w:bCs/>
              </w:rPr>
              <w:t>4.7 (2.8, 11.0)</w:t>
            </w:r>
          </w:p>
        </w:tc>
      </w:tr>
      <w:tr w:rsidR="00ED7D43" w:rsidRPr="00ED7D43" w:rsidTr="00ED7D43">
        <w:trPr>
          <w:jc w:val="center"/>
        </w:trPr>
        <w:tc>
          <w:tcPr>
            <w:tcW w:w="3345" w:type="dxa"/>
            <w:tcBorders>
              <w:bottom w:val="single" w:sz="4" w:space="0" w:color="auto"/>
            </w:tcBorders>
            <w:shd w:val="clear" w:color="auto" w:fill="auto"/>
          </w:tcPr>
          <w:p w:rsidR="00ED7D43" w:rsidRPr="00ED7D43" w:rsidRDefault="00ED7D43" w:rsidP="00ED7D43">
            <w:pPr>
              <w:rPr>
                <w:bCs/>
              </w:rPr>
            </w:pPr>
            <w:r w:rsidRPr="00ED7D43">
              <w:rPr>
                <w:bCs/>
              </w:rPr>
              <w:t>6-month PFS rate</w:t>
            </w:r>
          </w:p>
        </w:tc>
        <w:tc>
          <w:tcPr>
            <w:tcW w:w="3087" w:type="dxa"/>
            <w:tcBorders>
              <w:bottom w:val="single" w:sz="4" w:space="0" w:color="auto"/>
            </w:tcBorders>
          </w:tcPr>
          <w:p w:rsidR="00ED7D43" w:rsidRPr="00ED7D43" w:rsidRDefault="00ED7D43" w:rsidP="00ED7D43">
            <w:pPr>
              <w:rPr>
                <w:bCs/>
              </w:rPr>
            </w:pPr>
            <w:r w:rsidRPr="00ED7D43">
              <w:rPr>
                <w:bCs/>
              </w:rPr>
              <w:t>45%</w:t>
            </w:r>
          </w:p>
        </w:tc>
      </w:tr>
      <w:tr w:rsidR="00ED7D43" w:rsidRPr="00ED7D43" w:rsidTr="00ED7D43">
        <w:trPr>
          <w:jc w:val="center"/>
        </w:trPr>
        <w:tc>
          <w:tcPr>
            <w:tcW w:w="3345" w:type="dxa"/>
            <w:tcBorders>
              <w:bottom w:val="single" w:sz="4" w:space="0" w:color="auto"/>
            </w:tcBorders>
            <w:shd w:val="clear" w:color="auto" w:fill="auto"/>
          </w:tcPr>
          <w:p w:rsidR="00ED7D43" w:rsidRPr="00ED7D43" w:rsidRDefault="00ED7D43" w:rsidP="00ED7D43">
            <w:pPr>
              <w:rPr>
                <w:bCs/>
              </w:rPr>
            </w:pPr>
            <w:r w:rsidRPr="00ED7D43">
              <w:rPr>
                <w:bCs/>
              </w:rPr>
              <w:t>12-month PFS rate</w:t>
            </w:r>
          </w:p>
        </w:tc>
        <w:tc>
          <w:tcPr>
            <w:tcW w:w="3087" w:type="dxa"/>
            <w:tcBorders>
              <w:bottom w:val="single" w:sz="4" w:space="0" w:color="auto"/>
            </w:tcBorders>
          </w:tcPr>
          <w:p w:rsidR="00ED7D43" w:rsidRPr="00ED7D43" w:rsidRDefault="00ED7D43" w:rsidP="00ED7D43">
            <w:pPr>
              <w:rPr>
                <w:bCs/>
              </w:rPr>
            </w:pPr>
            <w:r w:rsidRPr="00ED7D43">
              <w:rPr>
                <w:bCs/>
              </w:rPr>
              <w:t>34%</w:t>
            </w:r>
          </w:p>
        </w:tc>
      </w:tr>
      <w:tr w:rsidR="00ED7D43" w:rsidRPr="00ED7D43" w:rsidTr="00ED7D43">
        <w:trPr>
          <w:jc w:val="center"/>
        </w:trPr>
        <w:tc>
          <w:tcPr>
            <w:tcW w:w="3345" w:type="dxa"/>
            <w:tcBorders>
              <w:bottom w:val="single" w:sz="4" w:space="0" w:color="auto"/>
            </w:tcBorders>
            <w:shd w:val="clear" w:color="auto" w:fill="auto"/>
          </w:tcPr>
          <w:p w:rsidR="00ED7D43" w:rsidRPr="00ED7D43" w:rsidRDefault="00ED7D43" w:rsidP="00ED7D43">
            <w:pPr>
              <w:rPr>
                <w:bCs/>
              </w:rPr>
            </w:pPr>
            <w:r w:rsidRPr="00ED7D43">
              <w:rPr>
                <w:b/>
                <w:bCs/>
              </w:rPr>
              <w:lastRenderedPageBreak/>
              <w:t>OS</w:t>
            </w:r>
          </w:p>
        </w:tc>
        <w:tc>
          <w:tcPr>
            <w:tcW w:w="3087" w:type="dxa"/>
            <w:tcBorders>
              <w:bottom w:val="single" w:sz="4" w:space="0" w:color="auto"/>
            </w:tcBorders>
          </w:tcPr>
          <w:p w:rsidR="00ED7D43" w:rsidRPr="00ED7D43" w:rsidRDefault="00ED7D43" w:rsidP="00ED7D43">
            <w:pPr>
              <w:rPr>
                <w:bCs/>
              </w:rPr>
            </w:pPr>
          </w:p>
        </w:tc>
      </w:tr>
      <w:tr w:rsidR="00ED7D43" w:rsidRPr="00ED7D43" w:rsidTr="00ED7D43">
        <w:trPr>
          <w:jc w:val="center"/>
        </w:trPr>
        <w:tc>
          <w:tcPr>
            <w:tcW w:w="3345" w:type="dxa"/>
            <w:tcBorders>
              <w:bottom w:val="single" w:sz="4" w:space="0" w:color="auto"/>
            </w:tcBorders>
            <w:shd w:val="clear" w:color="auto" w:fill="auto"/>
          </w:tcPr>
          <w:p w:rsidR="00ED7D43" w:rsidRPr="00ED7D43" w:rsidRDefault="00ED7D43" w:rsidP="00ED7D43">
            <w:pPr>
              <w:rPr>
                <w:bCs/>
              </w:rPr>
            </w:pPr>
            <w:r w:rsidRPr="00ED7D43">
              <w:rPr>
                <w:bCs/>
              </w:rPr>
              <w:t>6-month OS rate</w:t>
            </w:r>
          </w:p>
        </w:tc>
        <w:tc>
          <w:tcPr>
            <w:tcW w:w="3087" w:type="dxa"/>
            <w:tcBorders>
              <w:bottom w:val="single" w:sz="4" w:space="0" w:color="auto"/>
            </w:tcBorders>
          </w:tcPr>
          <w:p w:rsidR="00ED7D43" w:rsidRPr="00ED7D43" w:rsidRDefault="00ED7D43" w:rsidP="00ED7D43">
            <w:pPr>
              <w:rPr>
                <w:bCs/>
              </w:rPr>
            </w:pPr>
            <w:r w:rsidRPr="00ED7D43">
              <w:rPr>
                <w:bCs/>
              </w:rPr>
              <w:t>70%</w:t>
            </w:r>
          </w:p>
        </w:tc>
      </w:tr>
      <w:tr w:rsidR="00ED7D43" w:rsidRPr="00ED7D43" w:rsidTr="00ED7D43">
        <w:trPr>
          <w:jc w:val="center"/>
        </w:trPr>
        <w:tc>
          <w:tcPr>
            <w:tcW w:w="3345" w:type="dxa"/>
            <w:tcBorders>
              <w:bottom w:val="single" w:sz="4" w:space="0" w:color="auto"/>
            </w:tcBorders>
            <w:shd w:val="clear" w:color="auto" w:fill="auto"/>
          </w:tcPr>
          <w:p w:rsidR="00ED7D43" w:rsidRPr="00ED7D43" w:rsidRDefault="00ED7D43" w:rsidP="00ED7D43">
            <w:pPr>
              <w:rPr>
                <w:bCs/>
              </w:rPr>
            </w:pPr>
            <w:r w:rsidRPr="00ED7D43">
              <w:rPr>
                <w:bCs/>
              </w:rPr>
              <w:t>12-month OS rate</w:t>
            </w:r>
          </w:p>
        </w:tc>
        <w:tc>
          <w:tcPr>
            <w:tcW w:w="3087" w:type="dxa"/>
            <w:tcBorders>
              <w:bottom w:val="single" w:sz="4" w:space="0" w:color="auto"/>
            </w:tcBorders>
          </w:tcPr>
          <w:p w:rsidR="00ED7D43" w:rsidRPr="00ED7D43" w:rsidRDefault="00ED7D43" w:rsidP="00ED7D43">
            <w:pPr>
              <w:rPr>
                <w:bCs/>
              </w:rPr>
            </w:pPr>
            <w:r w:rsidRPr="00ED7D43">
              <w:rPr>
                <w:bCs/>
              </w:rPr>
              <w:t>58%</w:t>
            </w:r>
          </w:p>
        </w:tc>
      </w:tr>
      <w:tr w:rsidR="00ED7D43" w:rsidRPr="00ED7D43" w:rsidTr="00ED7D43">
        <w:trPr>
          <w:jc w:val="center"/>
        </w:trPr>
        <w:tc>
          <w:tcPr>
            <w:tcW w:w="6432" w:type="dxa"/>
            <w:gridSpan w:val="2"/>
            <w:tcBorders>
              <w:top w:val="single" w:sz="4" w:space="0" w:color="auto"/>
              <w:left w:val="nil"/>
              <w:bottom w:val="nil"/>
              <w:right w:val="nil"/>
            </w:tcBorders>
            <w:shd w:val="clear" w:color="auto" w:fill="auto"/>
          </w:tcPr>
          <w:p w:rsidR="00ED7D43" w:rsidRPr="00ED7D43" w:rsidRDefault="00ED7D43" w:rsidP="00ED7D43">
            <w:pPr>
              <w:rPr>
                <w:bCs/>
                <w:lang w:val="en-GB"/>
              </w:rPr>
            </w:pPr>
            <w:r w:rsidRPr="00ED7D43">
              <w:rPr>
                <w:bCs/>
                <w:lang w:val="en-GB"/>
              </w:rPr>
              <w:t>*</w:t>
            </w:r>
            <w:r w:rsidRPr="00ED7D43">
              <w:rPr>
                <w:bCs/>
                <w:lang w:val="en-GB"/>
              </w:rPr>
              <w:tab/>
            </w:r>
            <w:r w:rsidRPr="00ED7D43">
              <w:rPr>
                <w:bCs/>
              </w:rPr>
              <w:t>Assessed by blinded independent central review according to the 2007 revised IWG criteria</w:t>
            </w:r>
          </w:p>
          <w:p w:rsidR="00ED7D43" w:rsidRPr="00ED7D43" w:rsidRDefault="00ED7D43" w:rsidP="00ED7D43">
            <w:pPr>
              <w:rPr>
                <w:bCs/>
                <w:lang w:val="en-GB"/>
              </w:rPr>
            </w:pPr>
            <w:r w:rsidRPr="00ED7D43">
              <w:rPr>
                <w:bCs/>
                <w:vertAlign w:val="superscript"/>
                <w:lang w:val="en-GB"/>
              </w:rPr>
              <w:t>†</w:t>
            </w:r>
            <w:r w:rsidRPr="00ED7D43">
              <w:rPr>
                <w:bCs/>
                <w:lang w:val="en-GB"/>
              </w:rPr>
              <w:tab/>
              <w:t>Based on patients (n=24) with a response by independent review</w:t>
            </w:r>
          </w:p>
          <w:p w:rsidR="00ED7D43" w:rsidRPr="00ED7D43" w:rsidRDefault="00ED7D43" w:rsidP="00ED7D43">
            <w:pPr>
              <w:rPr>
                <w:bCs/>
                <w:vertAlign w:val="superscript"/>
                <w:lang w:val="en-GB"/>
              </w:rPr>
            </w:pPr>
            <w:r w:rsidRPr="00ED7D43">
              <w:rPr>
                <w:bCs/>
                <w:vertAlign w:val="superscript"/>
                <w:lang w:val="en-GB"/>
              </w:rPr>
              <w:t>‡</w:t>
            </w:r>
            <w:r w:rsidRPr="00ED7D43">
              <w:rPr>
                <w:bCs/>
                <w:vertAlign w:val="superscript"/>
                <w:lang w:val="en-GB"/>
              </w:rPr>
              <w:tab/>
            </w:r>
            <w:r w:rsidRPr="00ED7D43">
              <w:rPr>
                <w:bCs/>
                <w:lang w:val="en-GB"/>
              </w:rPr>
              <w:t>Based on Kaplan-Meier estimation, includes 12 patients with response of 6 months or longer including 5 patients with a response of 12 months or longer.</w:t>
            </w:r>
          </w:p>
        </w:tc>
      </w:tr>
    </w:tbl>
    <w:p w:rsidR="00ED7D43" w:rsidRPr="00ED7D43" w:rsidRDefault="00ED7D43" w:rsidP="00ED7D43">
      <w:pPr>
        <w:rPr>
          <w:u w:val="single"/>
        </w:rPr>
      </w:pPr>
      <w:r w:rsidRPr="00ED7D43">
        <w:rPr>
          <w:u w:val="single"/>
        </w:rPr>
        <w:t>Clinical Studies in Advanced or Metastatic Urothelial Carcinoma</w:t>
      </w:r>
    </w:p>
    <w:p w:rsidR="00ED7D43" w:rsidRPr="00ED7D43" w:rsidRDefault="00ED7D43" w:rsidP="00ED7D43">
      <w:pPr>
        <w:rPr>
          <w:i/>
        </w:rPr>
      </w:pPr>
      <w:r w:rsidRPr="00ED7D43">
        <w:rPr>
          <w:i/>
        </w:rPr>
        <w:t>KEYNOTE-052: Open label trial in urothelial carcinoma patients ineligible for cisplatin-containing chemotherapy</w:t>
      </w:r>
    </w:p>
    <w:p w:rsidR="00ED7D43" w:rsidRPr="00ED7D43" w:rsidRDefault="00ED7D43" w:rsidP="00ED7D43">
      <w:r w:rsidRPr="00ED7D43">
        <w:t xml:space="preserve">The efficacy of KEYTRUDA was investigated in KEYNOTE-052, a </w:t>
      </w:r>
      <w:proofErr w:type="spellStart"/>
      <w:r w:rsidRPr="00ED7D43">
        <w:t>multicenter</w:t>
      </w:r>
      <w:proofErr w:type="spellEnd"/>
      <w:r w:rsidRPr="00ED7D43">
        <w:t xml:space="preserve">, open-label single-arm trial of patients with locally advanced or metastatic urothelial carcinoma who were not eligible for cisplatin-containing chemotherapy. Patients with creatinine clearance ≥30ml/min were eligible for treatment. Patients with autoimmune disease or a medical condition that required immunosuppression were ineligible for treatment. </w:t>
      </w:r>
    </w:p>
    <w:p w:rsidR="00ED7D43" w:rsidRPr="00ED7D43" w:rsidRDefault="00ED7D43" w:rsidP="00ED7D43">
      <w:r w:rsidRPr="00ED7D43">
        <w:t>Patients received KEYTRUDA 200 mg every 3 weeks until unacceptable toxicity or disease progression. Clinically stable patients with initial evidence of disease progression were permitted to remain on treatment until disease progression was confirmed. Patients without disease progression were treated for up to 24 months. Treatment with pembrolizumab could be reinitiated for subsequent disease progression and administered for up to 1 additional year. Assessment of tumour status was performed at 9 weeks after the first dose, then every 6 weeks through the first year, followed by every 12 weeks thereafter. The primary efficacy outcome measure was ORR according to RECIST 1.1 and a secondary efficacy outcome measure was duration of response. Efficacy is reported for patients who had the opportunity for at least 2 post-baseline scans representing at least 4 months of follow-up.</w:t>
      </w:r>
    </w:p>
    <w:p w:rsidR="00ED7D43" w:rsidRPr="00ED7D43" w:rsidRDefault="00ED7D43" w:rsidP="00ED7D43">
      <w:r w:rsidRPr="00ED7D43">
        <w:t xml:space="preserve">Among 370 patients with urothelial carcinoma who were not eligible for cisplatin-containing chemotherapy, baseline characteristics were: median age 74 years (82% age </w:t>
      </w:r>
    </w:p>
    <w:p w:rsidR="00ED7D43" w:rsidRPr="00ED7D43" w:rsidRDefault="00ED7D43" w:rsidP="00ED7D43">
      <w:r w:rsidRPr="00ED7D43">
        <w:t xml:space="preserve">65 or older); 77% male; and 89% White and 7% Asian. Eighty-eight percent had M1 disease, 12% had M0 disease. Eighty-five percent of patients had visceral metastases, including 21% with liver metastases. Reasons for cisplatin ineligibility included: baseline creatinine clearance of &lt;60 mL/min (50%), ECOG performance status of 2 (32%), ECOG performance status of 2 and baseline creatinine clearance of &lt;60 mL/min (9%), and other (Class III heart failure, Grade 2 or greater peripheral neuropathy, and Grade 2 or greater hearing loss; 9%). Ninety percent of patients were treatment naïve, and 10% received prior adjuvant or </w:t>
      </w:r>
      <w:proofErr w:type="spellStart"/>
      <w:r w:rsidRPr="00ED7D43">
        <w:t>neoadjuvant</w:t>
      </w:r>
      <w:proofErr w:type="spellEnd"/>
      <w:r w:rsidRPr="00ED7D43">
        <w:t xml:space="preserve"> platinum-based </w:t>
      </w:r>
      <w:r w:rsidRPr="00ED7D43">
        <w:lastRenderedPageBreak/>
        <w:t>chemotherapy. Eighty-one percent had a primary tumour in the lower tract, and 19% of patients had a primary tumour in the upper tract.</w:t>
      </w:r>
    </w:p>
    <w:p w:rsidR="00ED7D43" w:rsidRPr="00ED7D43" w:rsidRDefault="00ED7D43" w:rsidP="00ED7D43">
      <w:r w:rsidRPr="00ED7D43">
        <w:t xml:space="preserve">Among the 370 patients, 30% (n = 110) had tumours that expressed PD-L1 with a combined positive score (CPS) of greater than or equal to 10. PD-L1 status was determined using the PD-L1 IHC 22C3 </w:t>
      </w:r>
      <w:proofErr w:type="spellStart"/>
      <w:r w:rsidRPr="00ED7D43">
        <w:t>pharmDx</w:t>
      </w:r>
      <w:proofErr w:type="spellEnd"/>
      <w:r w:rsidRPr="00ED7D43">
        <w:t xml:space="preserve"> Kit. The baseline characteristics of these 110 patients were: median age 73 years, 68% male, and 87% White. Eighty-two percent had M1 disease, and 18% had M0 disease. Eighty-one percent had a primary tumour in the lower tract, and 18% of patients had a primary tumour in the upper tract. Seventy-six percent of patients had visceral metastases, including 11% with liver metastases. Reasons for cisplatin ineligibility included: 45% with baseline creatinine clearance of &lt;60 mL/min, 37% with ECOG performance status of 2, 10% with ECOG 2 and baseline creatinine clearance of &lt;60 mL/min, and 8% with other reasons (Class III heart failure, Grade 2 or greater peripheral neuropathy, and Grade 2 or greater hearing loss). Ninety percent of patients were treatment naïve, and 10% received prior adjuvant or </w:t>
      </w:r>
      <w:proofErr w:type="spellStart"/>
      <w:r w:rsidRPr="00ED7D43">
        <w:t>neoadjuvant</w:t>
      </w:r>
      <w:proofErr w:type="spellEnd"/>
      <w:r w:rsidRPr="00ED7D43">
        <w:t xml:space="preserve"> platinum-based chemotherapy.</w:t>
      </w:r>
    </w:p>
    <w:p w:rsidR="00ED7D43" w:rsidRPr="00ED7D43" w:rsidRDefault="00ED7D43" w:rsidP="00ED7D43">
      <w:r w:rsidRPr="00ED7D43">
        <w:t>The median follow-up time for 370 patients treated with KEYTRUDA was 11.5 months. Efficacy results are summarised in Table 26. The data presented for subjects with PD-L1 CPS ≥10 are based on a subgroup analysis.</w:t>
      </w:r>
    </w:p>
    <w:p w:rsidR="00ED7D43" w:rsidRPr="00ED7D43" w:rsidRDefault="00ED7D43" w:rsidP="00D920A1">
      <w:pPr>
        <w:pStyle w:val="Tabletitle"/>
      </w:pPr>
      <w:r w:rsidRPr="00ED7D43">
        <w:t>Table 26: Efficacy Results in Patients with Urothelial Carcinoma Ineligible for Cisplatin-Containing Chemotherapy</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75"/>
        <w:gridCol w:w="1898"/>
        <w:gridCol w:w="2122"/>
      </w:tblGrid>
      <w:tr w:rsidR="00ED7D43" w:rsidRPr="00ED7D43" w:rsidTr="00ED7D43">
        <w:trPr>
          <w:trHeight w:val="445"/>
          <w:jc w:val="center"/>
        </w:trPr>
        <w:tc>
          <w:tcPr>
            <w:tcW w:w="297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r w:rsidRPr="00ED7D43">
              <w:t>Endpoint</w:t>
            </w:r>
          </w:p>
        </w:tc>
        <w:tc>
          <w:tcPr>
            <w:tcW w:w="1975"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r w:rsidRPr="00ED7D43">
              <w:t>All Subjects</w:t>
            </w:r>
          </w:p>
          <w:p w:rsidR="00ED7D43" w:rsidRPr="00ED7D43" w:rsidRDefault="00ED7D43" w:rsidP="00D920A1">
            <w:r w:rsidRPr="00ED7D43">
              <w:t>n=370</w:t>
            </w:r>
          </w:p>
        </w:tc>
        <w:tc>
          <w:tcPr>
            <w:tcW w:w="1898"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r w:rsidRPr="00ED7D43">
              <w:t>PD-L1 CPS &lt; 10</w:t>
            </w:r>
          </w:p>
          <w:p w:rsidR="00ED7D43" w:rsidRPr="00ED7D43" w:rsidRDefault="00ED7D43" w:rsidP="00D920A1">
            <w:r w:rsidRPr="00ED7D43">
              <w:t>N=251</w:t>
            </w:r>
          </w:p>
        </w:tc>
        <w:tc>
          <w:tcPr>
            <w:tcW w:w="212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r w:rsidRPr="00ED7D43">
              <w:t>PD-L1 CPS ≥10</w:t>
            </w:r>
          </w:p>
          <w:p w:rsidR="00ED7D43" w:rsidRPr="00ED7D43" w:rsidRDefault="00ED7D43" w:rsidP="00D920A1">
            <w:r w:rsidRPr="00ED7D43">
              <w:t>N=110</w:t>
            </w:r>
          </w:p>
        </w:tc>
      </w:tr>
      <w:tr w:rsidR="00ED7D43" w:rsidRPr="00ED7D43" w:rsidTr="00ED7D43">
        <w:trPr>
          <w:trHeight w:val="249"/>
          <w:jc w:val="center"/>
        </w:trPr>
        <w:tc>
          <w:tcPr>
            <w:tcW w:w="2972" w:type="dxa"/>
            <w:tcBorders>
              <w:top w:val="single" w:sz="4" w:space="0" w:color="auto"/>
              <w:left w:val="single" w:sz="4" w:space="0" w:color="auto"/>
              <w:bottom w:val="single" w:sz="4" w:space="0" w:color="auto"/>
              <w:right w:val="single" w:sz="4" w:space="0" w:color="auto"/>
            </w:tcBorders>
            <w:hideMark/>
          </w:tcPr>
          <w:p w:rsidR="00ED7D43" w:rsidRPr="00D920A1" w:rsidRDefault="00ED7D43" w:rsidP="00D920A1">
            <w:pPr>
              <w:rPr>
                <w:b/>
              </w:rPr>
            </w:pPr>
            <w:r w:rsidRPr="00D920A1">
              <w:rPr>
                <w:b/>
                <w:bCs/>
              </w:rPr>
              <w:t>Objective Response Rate*</w:t>
            </w:r>
          </w:p>
        </w:tc>
        <w:tc>
          <w:tcPr>
            <w:tcW w:w="1975" w:type="dxa"/>
            <w:tcBorders>
              <w:top w:val="single" w:sz="4" w:space="0" w:color="auto"/>
              <w:left w:val="single" w:sz="4" w:space="0" w:color="auto"/>
              <w:bottom w:val="single" w:sz="4" w:space="0" w:color="auto"/>
              <w:right w:val="single" w:sz="4" w:space="0" w:color="auto"/>
            </w:tcBorders>
          </w:tcPr>
          <w:p w:rsidR="00ED7D43" w:rsidRPr="00ED7D43" w:rsidRDefault="00ED7D43" w:rsidP="00D920A1"/>
        </w:tc>
        <w:tc>
          <w:tcPr>
            <w:tcW w:w="1898" w:type="dxa"/>
            <w:tcBorders>
              <w:top w:val="single" w:sz="4" w:space="0" w:color="auto"/>
              <w:left w:val="single" w:sz="4" w:space="0" w:color="auto"/>
              <w:bottom w:val="single" w:sz="4" w:space="0" w:color="auto"/>
              <w:right w:val="single" w:sz="4" w:space="0" w:color="auto"/>
            </w:tcBorders>
          </w:tcPr>
          <w:p w:rsidR="00ED7D43" w:rsidRPr="00ED7D43" w:rsidRDefault="00ED7D43" w:rsidP="00D920A1"/>
        </w:tc>
        <w:tc>
          <w:tcPr>
            <w:tcW w:w="2122" w:type="dxa"/>
            <w:tcBorders>
              <w:top w:val="single" w:sz="4" w:space="0" w:color="auto"/>
              <w:left w:val="single" w:sz="4" w:space="0" w:color="auto"/>
              <w:bottom w:val="single" w:sz="4" w:space="0" w:color="auto"/>
              <w:right w:val="single" w:sz="4" w:space="0" w:color="auto"/>
            </w:tcBorders>
          </w:tcPr>
          <w:p w:rsidR="00ED7D43" w:rsidRPr="00ED7D43" w:rsidRDefault="00ED7D43" w:rsidP="00D920A1"/>
        </w:tc>
      </w:tr>
      <w:tr w:rsidR="00ED7D43" w:rsidRPr="00ED7D43" w:rsidTr="00ED7D43">
        <w:trPr>
          <w:trHeight w:val="267"/>
          <w:jc w:val="center"/>
        </w:trPr>
        <w:tc>
          <w:tcPr>
            <w:tcW w:w="297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r w:rsidRPr="00ED7D43">
              <w:rPr>
                <w:bCs/>
              </w:rPr>
              <w:t>ORR %, (95% CI)</w:t>
            </w:r>
          </w:p>
        </w:tc>
        <w:tc>
          <w:tcPr>
            <w:tcW w:w="1975"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r w:rsidRPr="00ED7D43">
              <w:rPr>
                <w:bCs/>
              </w:rPr>
              <w:t>29% (24, 34)</w:t>
            </w:r>
          </w:p>
        </w:tc>
        <w:tc>
          <w:tcPr>
            <w:tcW w:w="1898"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21% (16, 26)</w:t>
            </w:r>
          </w:p>
        </w:tc>
        <w:tc>
          <w:tcPr>
            <w:tcW w:w="212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47% (38, 57)</w:t>
            </w:r>
          </w:p>
        </w:tc>
      </w:tr>
      <w:tr w:rsidR="00ED7D43" w:rsidRPr="00ED7D43" w:rsidTr="00ED7D43">
        <w:trPr>
          <w:trHeight w:val="267"/>
          <w:jc w:val="center"/>
        </w:trPr>
        <w:tc>
          <w:tcPr>
            <w:tcW w:w="297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Disease Control Rate</w:t>
            </w:r>
            <w:r w:rsidRPr="00ED7D43">
              <w:rPr>
                <w:bCs/>
                <w:vertAlign w:val="superscript"/>
              </w:rPr>
              <w:t>†</w:t>
            </w:r>
          </w:p>
        </w:tc>
        <w:tc>
          <w:tcPr>
            <w:tcW w:w="1975"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47%</w:t>
            </w:r>
          </w:p>
        </w:tc>
        <w:tc>
          <w:tcPr>
            <w:tcW w:w="1898"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38%</w:t>
            </w:r>
          </w:p>
        </w:tc>
        <w:tc>
          <w:tcPr>
            <w:tcW w:w="212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67%</w:t>
            </w:r>
          </w:p>
        </w:tc>
      </w:tr>
      <w:tr w:rsidR="00ED7D43" w:rsidRPr="00ED7D43" w:rsidTr="00ED7D43">
        <w:trPr>
          <w:trHeight w:val="249"/>
          <w:jc w:val="center"/>
        </w:trPr>
        <w:tc>
          <w:tcPr>
            <w:tcW w:w="297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Complete Response</w:t>
            </w:r>
          </w:p>
        </w:tc>
        <w:tc>
          <w:tcPr>
            <w:tcW w:w="1975"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8%</w:t>
            </w:r>
          </w:p>
        </w:tc>
        <w:tc>
          <w:tcPr>
            <w:tcW w:w="1898"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3%</w:t>
            </w:r>
          </w:p>
        </w:tc>
        <w:tc>
          <w:tcPr>
            <w:tcW w:w="212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19%</w:t>
            </w:r>
          </w:p>
        </w:tc>
      </w:tr>
      <w:tr w:rsidR="00ED7D43" w:rsidRPr="00ED7D43" w:rsidTr="00ED7D43">
        <w:trPr>
          <w:trHeight w:val="267"/>
          <w:jc w:val="center"/>
        </w:trPr>
        <w:tc>
          <w:tcPr>
            <w:tcW w:w="297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Partial Response</w:t>
            </w:r>
          </w:p>
        </w:tc>
        <w:tc>
          <w:tcPr>
            <w:tcW w:w="1975"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21%</w:t>
            </w:r>
          </w:p>
        </w:tc>
        <w:tc>
          <w:tcPr>
            <w:tcW w:w="1898"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18%</w:t>
            </w:r>
          </w:p>
        </w:tc>
        <w:tc>
          <w:tcPr>
            <w:tcW w:w="212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28%</w:t>
            </w:r>
          </w:p>
        </w:tc>
      </w:tr>
      <w:tr w:rsidR="00ED7D43" w:rsidRPr="00ED7D43" w:rsidTr="00ED7D43">
        <w:trPr>
          <w:trHeight w:val="249"/>
          <w:jc w:val="center"/>
        </w:trPr>
        <w:tc>
          <w:tcPr>
            <w:tcW w:w="297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Stable Disease</w:t>
            </w:r>
          </w:p>
        </w:tc>
        <w:tc>
          <w:tcPr>
            <w:tcW w:w="1975"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18%</w:t>
            </w:r>
          </w:p>
        </w:tc>
        <w:tc>
          <w:tcPr>
            <w:tcW w:w="1898"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18%</w:t>
            </w:r>
          </w:p>
        </w:tc>
        <w:tc>
          <w:tcPr>
            <w:tcW w:w="212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20%</w:t>
            </w:r>
          </w:p>
        </w:tc>
      </w:tr>
      <w:tr w:rsidR="00ED7D43" w:rsidRPr="00ED7D43" w:rsidTr="00ED7D43">
        <w:trPr>
          <w:trHeight w:val="267"/>
          <w:jc w:val="center"/>
        </w:trPr>
        <w:tc>
          <w:tcPr>
            <w:tcW w:w="2972" w:type="dxa"/>
            <w:tcBorders>
              <w:top w:val="single" w:sz="4" w:space="0" w:color="auto"/>
              <w:left w:val="single" w:sz="4" w:space="0" w:color="auto"/>
              <w:bottom w:val="single" w:sz="4" w:space="0" w:color="auto"/>
              <w:right w:val="single" w:sz="4" w:space="0" w:color="auto"/>
            </w:tcBorders>
            <w:hideMark/>
          </w:tcPr>
          <w:p w:rsidR="00ED7D43" w:rsidRPr="00D920A1" w:rsidRDefault="00ED7D43" w:rsidP="00D920A1">
            <w:pPr>
              <w:rPr>
                <w:b/>
              </w:rPr>
            </w:pPr>
            <w:r w:rsidRPr="00D920A1">
              <w:rPr>
                <w:b/>
                <w:bCs/>
              </w:rPr>
              <w:t>Response Duration</w:t>
            </w:r>
          </w:p>
        </w:tc>
        <w:tc>
          <w:tcPr>
            <w:tcW w:w="1975" w:type="dxa"/>
            <w:tcBorders>
              <w:top w:val="single" w:sz="4" w:space="0" w:color="auto"/>
              <w:left w:val="single" w:sz="4" w:space="0" w:color="auto"/>
              <w:bottom w:val="single" w:sz="4" w:space="0" w:color="auto"/>
              <w:right w:val="single" w:sz="4" w:space="0" w:color="auto"/>
            </w:tcBorders>
          </w:tcPr>
          <w:p w:rsidR="00ED7D43" w:rsidRPr="00ED7D43" w:rsidRDefault="00ED7D43" w:rsidP="00D920A1"/>
        </w:tc>
        <w:tc>
          <w:tcPr>
            <w:tcW w:w="1898" w:type="dxa"/>
            <w:tcBorders>
              <w:top w:val="single" w:sz="4" w:space="0" w:color="auto"/>
              <w:left w:val="single" w:sz="4" w:space="0" w:color="auto"/>
              <w:bottom w:val="single" w:sz="4" w:space="0" w:color="auto"/>
              <w:right w:val="single" w:sz="4" w:space="0" w:color="auto"/>
            </w:tcBorders>
          </w:tcPr>
          <w:p w:rsidR="00ED7D43" w:rsidRPr="00ED7D43" w:rsidRDefault="00ED7D43" w:rsidP="00D920A1"/>
        </w:tc>
        <w:tc>
          <w:tcPr>
            <w:tcW w:w="2122" w:type="dxa"/>
            <w:tcBorders>
              <w:top w:val="single" w:sz="4" w:space="0" w:color="auto"/>
              <w:left w:val="single" w:sz="4" w:space="0" w:color="auto"/>
              <w:bottom w:val="single" w:sz="4" w:space="0" w:color="auto"/>
              <w:right w:val="single" w:sz="4" w:space="0" w:color="auto"/>
            </w:tcBorders>
          </w:tcPr>
          <w:p w:rsidR="00ED7D43" w:rsidRPr="00ED7D43" w:rsidRDefault="00ED7D43" w:rsidP="00D920A1"/>
        </w:tc>
      </w:tr>
      <w:tr w:rsidR="00ED7D43" w:rsidRPr="00ED7D43" w:rsidTr="00ED7D43">
        <w:trPr>
          <w:trHeight w:val="480"/>
          <w:jc w:val="center"/>
        </w:trPr>
        <w:tc>
          <w:tcPr>
            <w:tcW w:w="297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Median in months (range)</w:t>
            </w:r>
          </w:p>
        </w:tc>
        <w:tc>
          <w:tcPr>
            <w:tcW w:w="1975"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Not reached (1.4+, 27.9+)</w:t>
            </w:r>
          </w:p>
        </w:tc>
        <w:tc>
          <w:tcPr>
            <w:tcW w:w="1898"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Not reached (1.6+, 27.9+)</w:t>
            </w:r>
          </w:p>
        </w:tc>
        <w:tc>
          <w:tcPr>
            <w:tcW w:w="212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Not reached (1.4+, 26.5+)</w:t>
            </w:r>
          </w:p>
        </w:tc>
      </w:tr>
      <w:tr w:rsidR="00ED7D43" w:rsidRPr="00ED7D43" w:rsidTr="00ED7D43">
        <w:trPr>
          <w:trHeight w:val="480"/>
          <w:jc w:val="center"/>
        </w:trPr>
        <w:tc>
          <w:tcPr>
            <w:tcW w:w="297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lastRenderedPageBreak/>
              <w:t>% with duration ≥ 6-months</w:t>
            </w:r>
          </w:p>
        </w:tc>
        <w:tc>
          <w:tcPr>
            <w:tcW w:w="1975"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82%</w:t>
            </w:r>
            <w:r w:rsidRPr="00ED7D43">
              <w:rPr>
                <w:bCs/>
                <w:vertAlign w:val="superscript"/>
              </w:rPr>
              <w:t>‡</w:t>
            </w:r>
            <w:r w:rsidRPr="00ED7D43">
              <w:rPr>
                <w:bCs/>
              </w:rPr>
              <w:t xml:space="preserve"> </w:t>
            </w:r>
          </w:p>
        </w:tc>
        <w:tc>
          <w:tcPr>
            <w:tcW w:w="1898"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80%</w:t>
            </w:r>
            <w:r w:rsidRPr="00ED7D43">
              <w:rPr>
                <w:bCs/>
                <w:vertAlign w:val="superscript"/>
              </w:rPr>
              <w:t>§</w:t>
            </w:r>
          </w:p>
        </w:tc>
        <w:tc>
          <w:tcPr>
            <w:tcW w:w="212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82%</w:t>
            </w:r>
            <w:r w:rsidRPr="00ED7D43">
              <w:rPr>
                <w:bCs/>
                <w:vertAlign w:val="superscript"/>
              </w:rPr>
              <w:t>§</w:t>
            </w:r>
          </w:p>
        </w:tc>
      </w:tr>
      <w:tr w:rsidR="00ED7D43" w:rsidRPr="00ED7D43" w:rsidTr="00ED7D43">
        <w:trPr>
          <w:trHeight w:val="249"/>
          <w:jc w:val="center"/>
        </w:trPr>
        <w:tc>
          <w:tcPr>
            <w:tcW w:w="2972" w:type="dxa"/>
            <w:tcBorders>
              <w:top w:val="single" w:sz="4" w:space="0" w:color="auto"/>
              <w:left w:val="single" w:sz="4" w:space="0" w:color="auto"/>
              <w:bottom w:val="single" w:sz="4" w:space="0" w:color="auto"/>
              <w:right w:val="single" w:sz="4" w:space="0" w:color="auto"/>
            </w:tcBorders>
            <w:hideMark/>
          </w:tcPr>
          <w:p w:rsidR="00ED7D43" w:rsidRPr="00D920A1" w:rsidRDefault="00ED7D43" w:rsidP="00D920A1">
            <w:pPr>
              <w:rPr>
                <w:b/>
              </w:rPr>
            </w:pPr>
            <w:r w:rsidRPr="00D920A1">
              <w:rPr>
                <w:b/>
                <w:bCs/>
              </w:rPr>
              <w:t>Time to Response</w:t>
            </w:r>
          </w:p>
        </w:tc>
        <w:tc>
          <w:tcPr>
            <w:tcW w:w="1975" w:type="dxa"/>
            <w:tcBorders>
              <w:top w:val="single" w:sz="4" w:space="0" w:color="auto"/>
              <w:left w:val="single" w:sz="4" w:space="0" w:color="auto"/>
              <w:bottom w:val="single" w:sz="4" w:space="0" w:color="auto"/>
              <w:right w:val="single" w:sz="4" w:space="0" w:color="auto"/>
            </w:tcBorders>
          </w:tcPr>
          <w:p w:rsidR="00ED7D43" w:rsidRPr="00ED7D43" w:rsidRDefault="00ED7D43" w:rsidP="00D920A1"/>
        </w:tc>
        <w:tc>
          <w:tcPr>
            <w:tcW w:w="1898" w:type="dxa"/>
            <w:tcBorders>
              <w:top w:val="single" w:sz="4" w:space="0" w:color="auto"/>
              <w:left w:val="single" w:sz="4" w:space="0" w:color="auto"/>
              <w:bottom w:val="single" w:sz="4" w:space="0" w:color="auto"/>
              <w:right w:val="single" w:sz="4" w:space="0" w:color="auto"/>
            </w:tcBorders>
          </w:tcPr>
          <w:p w:rsidR="00ED7D43" w:rsidRPr="00ED7D43" w:rsidRDefault="00ED7D43" w:rsidP="00D920A1"/>
        </w:tc>
        <w:tc>
          <w:tcPr>
            <w:tcW w:w="2122" w:type="dxa"/>
            <w:tcBorders>
              <w:top w:val="single" w:sz="4" w:space="0" w:color="auto"/>
              <w:left w:val="single" w:sz="4" w:space="0" w:color="auto"/>
              <w:bottom w:val="single" w:sz="4" w:space="0" w:color="auto"/>
              <w:right w:val="single" w:sz="4" w:space="0" w:color="auto"/>
            </w:tcBorders>
          </w:tcPr>
          <w:p w:rsidR="00ED7D43" w:rsidRPr="00ED7D43" w:rsidRDefault="00ED7D43" w:rsidP="00D920A1"/>
        </w:tc>
      </w:tr>
      <w:tr w:rsidR="00ED7D43" w:rsidRPr="00ED7D43" w:rsidTr="00ED7D43">
        <w:trPr>
          <w:trHeight w:val="480"/>
          <w:jc w:val="center"/>
        </w:trPr>
        <w:tc>
          <w:tcPr>
            <w:tcW w:w="297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Median in months (range)</w:t>
            </w:r>
          </w:p>
        </w:tc>
        <w:tc>
          <w:tcPr>
            <w:tcW w:w="1975"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2.1 (1.3, 9.0)</w:t>
            </w:r>
          </w:p>
        </w:tc>
        <w:tc>
          <w:tcPr>
            <w:tcW w:w="1898"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2.1 (1.6, 9.0)</w:t>
            </w:r>
          </w:p>
        </w:tc>
        <w:tc>
          <w:tcPr>
            <w:tcW w:w="212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2.1 (1.3, 4.7)</w:t>
            </w:r>
          </w:p>
        </w:tc>
      </w:tr>
      <w:tr w:rsidR="00ED7D43" w:rsidRPr="00ED7D43" w:rsidTr="00ED7D43">
        <w:trPr>
          <w:trHeight w:val="267"/>
          <w:jc w:val="center"/>
        </w:trPr>
        <w:tc>
          <w:tcPr>
            <w:tcW w:w="2972" w:type="dxa"/>
            <w:tcBorders>
              <w:top w:val="single" w:sz="4" w:space="0" w:color="auto"/>
              <w:left w:val="single" w:sz="4" w:space="0" w:color="auto"/>
              <w:bottom w:val="single" w:sz="4" w:space="0" w:color="auto"/>
              <w:right w:val="single" w:sz="4" w:space="0" w:color="auto"/>
            </w:tcBorders>
            <w:hideMark/>
          </w:tcPr>
          <w:p w:rsidR="00ED7D43" w:rsidRPr="00D920A1" w:rsidRDefault="00ED7D43" w:rsidP="00D920A1">
            <w:pPr>
              <w:rPr>
                <w:b/>
              </w:rPr>
            </w:pPr>
            <w:r w:rsidRPr="00D920A1">
              <w:rPr>
                <w:b/>
                <w:bCs/>
              </w:rPr>
              <w:t>PFS</w:t>
            </w:r>
            <w:r w:rsidRPr="00D920A1">
              <w:rPr>
                <w:b/>
              </w:rPr>
              <w:t>*</w:t>
            </w:r>
          </w:p>
        </w:tc>
        <w:tc>
          <w:tcPr>
            <w:tcW w:w="1975" w:type="dxa"/>
            <w:tcBorders>
              <w:top w:val="single" w:sz="4" w:space="0" w:color="auto"/>
              <w:left w:val="single" w:sz="4" w:space="0" w:color="auto"/>
              <w:bottom w:val="single" w:sz="4" w:space="0" w:color="auto"/>
              <w:right w:val="single" w:sz="4" w:space="0" w:color="auto"/>
            </w:tcBorders>
          </w:tcPr>
          <w:p w:rsidR="00ED7D43" w:rsidRPr="00ED7D43" w:rsidRDefault="00ED7D43" w:rsidP="00D920A1"/>
        </w:tc>
        <w:tc>
          <w:tcPr>
            <w:tcW w:w="1898" w:type="dxa"/>
            <w:tcBorders>
              <w:top w:val="single" w:sz="4" w:space="0" w:color="auto"/>
              <w:left w:val="single" w:sz="4" w:space="0" w:color="auto"/>
              <w:bottom w:val="single" w:sz="4" w:space="0" w:color="auto"/>
              <w:right w:val="single" w:sz="4" w:space="0" w:color="auto"/>
            </w:tcBorders>
          </w:tcPr>
          <w:p w:rsidR="00ED7D43" w:rsidRPr="00ED7D43" w:rsidRDefault="00ED7D43" w:rsidP="00D920A1"/>
        </w:tc>
        <w:tc>
          <w:tcPr>
            <w:tcW w:w="2122" w:type="dxa"/>
            <w:tcBorders>
              <w:top w:val="single" w:sz="4" w:space="0" w:color="auto"/>
              <w:left w:val="single" w:sz="4" w:space="0" w:color="auto"/>
              <w:bottom w:val="single" w:sz="4" w:space="0" w:color="auto"/>
              <w:right w:val="single" w:sz="4" w:space="0" w:color="auto"/>
            </w:tcBorders>
          </w:tcPr>
          <w:p w:rsidR="00ED7D43" w:rsidRPr="00ED7D43" w:rsidRDefault="00ED7D43" w:rsidP="00D920A1"/>
        </w:tc>
      </w:tr>
      <w:tr w:rsidR="00ED7D43" w:rsidRPr="00ED7D43" w:rsidTr="00ED7D43">
        <w:trPr>
          <w:trHeight w:val="480"/>
          <w:jc w:val="center"/>
        </w:trPr>
        <w:tc>
          <w:tcPr>
            <w:tcW w:w="297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Median in months (95% CI)</w:t>
            </w:r>
          </w:p>
        </w:tc>
        <w:tc>
          <w:tcPr>
            <w:tcW w:w="1975"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2.3 (2.1, 3.4)</w:t>
            </w:r>
          </w:p>
        </w:tc>
        <w:tc>
          <w:tcPr>
            <w:tcW w:w="1898"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2.1 (2.0, 2.1)</w:t>
            </w:r>
          </w:p>
        </w:tc>
        <w:tc>
          <w:tcPr>
            <w:tcW w:w="212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4.9 (3.8, 10.8)</w:t>
            </w:r>
          </w:p>
        </w:tc>
      </w:tr>
      <w:tr w:rsidR="00ED7D43" w:rsidRPr="00ED7D43" w:rsidTr="00ED7D43">
        <w:trPr>
          <w:trHeight w:val="249"/>
          <w:jc w:val="center"/>
        </w:trPr>
        <w:tc>
          <w:tcPr>
            <w:tcW w:w="297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6-month PFS rate</w:t>
            </w:r>
          </w:p>
        </w:tc>
        <w:tc>
          <w:tcPr>
            <w:tcW w:w="1975"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34%</w:t>
            </w:r>
          </w:p>
        </w:tc>
        <w:tc>
          <w:tcPr>
            <w:tcW w:w="1898"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27%</w:t>
            </w:r>
          </w:p>
        </w:tc>
        <w:tc>
          <w:tcPr>
            <w:tcW w:w="212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49%</w:t>
            </w:r>
          </w:p>
        </w:tc>
      </w:tr>
      <w:tr w:rsidR="00ED7D43" w:rsidRPr="00ED7D43" w:rsidTr="00ED7D43">
        <w:trPr>
          <w:trHeight w:val="267"/>
          <w:jc w:val="center"/>
        </w:trPr>
        <w:tc>
          <w:tcPr>
            <w:tcW w:w="2972" w:type="dxa"/>
            <w:tcBorders>
              <w:top w:val="single" w:sz="4" w:space="0" w:color="auto"/>
              <w:left w:val="single" w:sz="4" w:space="0" w:color="auto"/>
              <w:bottom w:val="single" w:sz="4" w:space="0" w:color="auto"/>
              <w:right w:val="single" w:sz="4" w:space="0" w:color="auto"/>
            </w:tcBorders>
            <w:hideMark/>
          </w:tcPr>
          <w:p w:rsidR="00ED7D43" w:rsidRPr="00D920A1" w:rsidRDefault="00ED7D43" w:rsidP="00D920A1">
            <w:pPr>
              <w:rPr>
                <w:b/>
              </w:rPr>
            </w:pPr>
            <w:r w:rsidRPr="00D920A1">
              <w:rPr>
                <w:b/>
                <w:bCs/>
              </w:rPr>
              <w:t>OS</w:t>
            </w:r>
          </w:p>
        </w:tc>
        <w:tc>
          <w:tcPr>
            <w:tcW w:w="1975" w:type="dxa"/>
            <w:tcBorders>
              <w:top w:val="single" w:sz="4" w:space="0" w:color="auto"/>
              <w:left w:val="single" w:sz="4" w:space="0" w:color="auto"/>
              <w:bottom w:val="single" w:sz="4" w:space="0" w:color="auto"/>
              <w:right w:val="single" w:sz="4" w:space="0" w:color="auto"/>
            </w:tcBorders>
          </w:tcPr>
          <w:p w:rsidR="00ED7D43" w:rsidRPr="00ED7D43" w:rsidRDefault="00ED7D43" w:rsidP="00D920A1"/>
        </w:tc>
        <w:tc>
          <w:tcPr>
            <w:tcW w:w="1898" w:type="dxa"/>
            <w:tcBorders>
              <w:top w:val="single" w:sz="4" w:space="0" w:color="auto"/>
              <w:left w:val="single" w:sz="4" w:space="0" w:color="auto"/>
              <w:bottom w:val="single" w:sz="4" w:space="0" w:color="auto"/>
              <w:right w:val="single" w:sz="4" w:space="0" w:color="auto"/>
            </w:tcBorders>
          </w:tcPr>
          <w:p w:rsidR="00ED7D43" w:rsidRPr="00ED7D43" w:rsidRDefault="00ED7D43" w:rsidP="00D920A1"/>
        </w:tc>
        <w:tc>
          <w:tcPr>
            <w:tcW w:w="2122" w:type="dxa"/>
            <w:tcBorders>
              <w:top w:val="single" w:sz="4" w:space="0" w:color="auto"/>
              <w:left w:val="single" w:sz="4" w:space="0" w:color="auto"/>
              <w:bottom w:val="single" w:sz="4" w:space="0" w:color="auto"/>
              <w:right w:val="single" w:sz="4" w:space="0" w:color="auto"/>
            </w:tcBorders>
          </w:tcPr>
          <w:p w:rsidR="00ED7D43" w:rsidRPr="00ED7D43" w:rsidRDefault="00ED7D43" w:rsidP="00D920A1"/>
        </w:tc>
      </w:tr>
      <w:tr w:rsidR="00ED7D43" w:rsidRPr="00ED7D43" w:rsidTr="00ED7D43">
        <w:trPr>
          <w:trHeight w:val="308"/>
          <w:jc w:val="center"/>
        </w:trPr>
        <w:tc>
          <w:tcPr>
            <w:tcW w:w="297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Median in months (95% CI)</w:t>
            </w:r>
          </w:p>
        </w:tc>
        <w:tc>
          <w:tcPr>
            <w:tcW w:w="1975"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11.5 (10.0, 13.3)</w:t>
            </w:r>
          </w:p>
        </w:tc>
        <w:tc>
          <w:tcPr>
            <w:tcW w:w="1898"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10 (8, 12)</w:t>
            </w:r>
          </w:p>
        </w:tc>
        <w:tc>
          <w:tcPr>
            <w:tcW w:w="212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18.5 (12.2, NA</w:t>
            </w:r>
            <w:r w:rsidRPr="00ED7D43">
              <w:rPr>
                <w:vertAlign w:val="superscript"/>
              </w:rPr>
              <w:t>¶</w:t>
            </w:r>
            <w:r w:rsidRPr="00ED7D43">
              <w:rPr>
                <w:bCs/>
              </w:rPr>
              <w:t>)</w:t>
            </w:r>
          </w:p>
        </w:tc>
      </w:tr>
      <w:tr w:rsidR="00ED7D43" w:rsidRPr="00ED7D43" w:rsidTr="00ED7D43">
        <w:trPr>
          <w:trHeight w:val="308"/>
          <w:jc w:val="center"/>
        </w:trPr>
        <w:tc>
          <w:tcPr>
            <w:tcW w:w="297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6-month OS rate</w:t>
            </w:r>
          </w:p>
        </w:tc>
        <w:tc>
          <w:tcPr>
            <w:tcW w:w="1975"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67%</w:t>
            </w:r>
          </w:p>
        </w:tc>
        <w:tc>
          <w:tcPr>
            <w:tcW w:w="1898"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63%</w:t>
            </w:r>
          </w:p>
        </w:tc>
        <w:tc>
          <w:tcPr>
            <w:tcW w:w="212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76%</w:t>
            </w:r>
          </w:p>
        </w:tc>
      </w:tr>
      <w:tr w:rsidR="00ED7D43" w:rsidRPr="00ED7D43" w:rsidTr="00ED7D43">
        <w:trPr>
          <w:trHeight w:val="308"/>
          <w:jc w:val="center"/>
        </w:trPr>
        <w:tc>
          <w:tcPr>
            <w:tcW w:w="297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12-month OS rate</w:t>
            </w:r>
          </w:p>
        </w:tc>
        <w:tc>
          <w:tcPr>
            <w:tcW w:w="1975"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48%</w:t>
            </w:r>
          </w:p>
        </w:tc>
        <w:tc>
          <w:tcPr>
            <w:tcW w:w="1898"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42%</w:t>
            </w:r>
          </w:p>
        </w:tc>
        <w:tc>
          <w:tcPr>
            <w:tcW w:w="212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D920A1">
            <w:pPr>
              <w:rPr>
                <w:bCs/>
              </w:rPr>
            </w:pPr>
            <w:r w:rsidRPr="00ED7D43">
              <w:rPr>
                <w:bCs/>
              </w:rPr>
              <w:t>61%</w:t>
            </w:r>
          </w:p>
        </w:tc>
      </w:tr>
      <w:tr w:rsidR="00ED7D43" w:rsidRPr="00ED7D43" w:rsidTr="00ED7D43">
        <w:trPr>
          <w:trHeight w:val="308"/>
          <w:jc w:val="center"/>
        </w:trPr>
        <w:tc>
          <w:tcPr>
            <w:tcW w:w="8967" w:type="dxa"/>
            <w:gridSpan w:val="4"/>
            <w:tcBorders>
              <w:top w:val="single" w:sz="4" w:space="0" w:color="auto"/>
              <w:left w:val="nil"/>
              <w:bottom w:val="nil"/>
              <w:right w:val="nil"/>
            </w:tcBorders>
          </w:tcPr>
          <w:p w:rsidR="00ED7D43" w:rsidRPr="00ED7D43" w:rsidRDefault="00ED7D43" w:rsidP="00D920A1">
            <w:pPr>
              <w:pStyle w:val="Tabledescription"/>
            </w:pPr>
            <w:r w:rsidRPr="00ED7D43">
              <w:t>**</w:t>
            </w:r>
            <w:r w:rsidRPr="00ED7D43">
              <w:tab/>
              <w:t>Assessed by BICR using RECIST 1.1</w:t>
            </w:r>
          </w:p>
          <w:p w:rsidR="00ED7D43" w:rsidRPr="00ED7D43" w:rsidRDefault="00ED7D43" w:rsidP="00D920A1">
            <w:pPr>
              <w:pStyle w:val="Tabledescription"/>
            </w:pPr>
            <w:r w:rsidRPr="00ED7D43">
              <w:rPr>
                <w:vertAlign w:val="superscript"/>
              </w:rPr>
              <w:t>†</w:t>
            </w:r>
            <w:r w:rsidRPr="00ED7D43">
              <w:tab/>
              <w:t xml:space="preserve">Based on best response of stable disease or better </w:t>
            </w:r>
          </w:p>
          <w:p w:rsidR="00ED7D43" w:rsidRPr="00ED7D43" w:rsidRDefault="00ED7D43" w:rsidP="00D920A1">
            <w:pPr>
              <w:pStyle w:val="Tabledescription"/>
            </w:pPr>
            <w:r w:rsidRPr="00ED7D43">
              <w:rPr>
                <w:vertAlign w:val="superscript"/>
              </w:rPr>
              <w:t>‡</w:t>
            </w:r>
            <w:r w:rsidRPr="00ED7D43">
              <w:tab/>
              <w:t>Based on Kaplan-Meier estimates; includes 85 patients with responses of 6 months or longer</w:t>
            </w:r>
          </w:p>
          <w:p w:rsidR="00ED7D43" w:rsidRPr="00ED7D43" w:rsidRDefault="00ED7D43" w:rsidP="00D920A1">
            <w:pPr>
              <w:pStyle w:val="Tabledescription"/>
            </w:pPr>
            <w:r w:rsidRPr="00ED7D43">
              <w:rPr>
                <w:vertAlign w:val="superscript"/>
              </w:rPr>
              <w:t>§</w:t>
            </w:r>
            <w:r w:rsidRPr="00ED7D43">
              <w:tab/>
              <w:t>Based on Kaplan-Meier estimates; includes 41 patients with responses of 6 months or longer</w:t>
            </w:r>
          </w:p>
          <w:p w:rsidR="00ED7D43" w:rsidRPr="00ED7D43" w:rsidRDefault="00ED7D43" w:rsidP="00D920A1">
            <w:pPr>
              <w:pStyle w:val="Tabledescription"/>
              <w:rPr>
                <w:bCs/>
              </w:rPr>
            </w:pPr>
            <w:r w:rsidRPr="00ED7D43">
              <w:rPr>
                <w:vertAlign w:val="superscript"/>
              </w:rPr>
              <w:t>¶</w:t>
            </w:r>
            <w:r w:rsidRPr="00ED7D43">
              <w:tab/>
              <w:t>Not available</w:t>
            </w:r>
          </w:p>
        </w:tc>
      </w:tr>
    </w:tbl>
    <w:p w:rsidR="00ED7D43" w:rsidRPr="00ED7D43" w:rsidRDefault="00ED7D43" w:rsidP="00ED7D43">
      <w:pPr>
        <w:rPr>
          <w:u w:val="single"/>
        </w:rPr>
      </w:pPr>
      <w:bookmarkStart w:id="1" w:name="_Hlk7614509"/>
      <w:r w:rsidRPr="00ED7D43">
        <w:rPr>
          <w:u w:val="single"/>
        </w:rPr>
        <w:t>Previously Untreated Urothelial Carcinoma</w:t>
      </w:r>
    </w:p>
    <w:p w:rsidR="00ED7D43" w:rsidRPr="00ED7D43" w:rsidRDefault="00ED7D43" w:rsidP="00ED7D43">
      <w:r w:rsidRPr="00ED7D43">
        <w:t xml:space="preserve">KEYNOTE-361 (NCT02853305) is an ongoing, </w:t>
      </w:r>
      <w:proofErr w:type="spellStart"/>
      <w:r w:rsidRPr="00ED7D43">
        <w:t>multicenter</w:t>
      </w:r>
      <w:proofErr w:type="spellEnd"/>
      <w:r w:rsidRPr="00ED7D43">
        <w:t>, randomized study in previously untreated patients with metastatic urothelial carcinoma who are eligible for platinum containing chemotherapy. The study compares KEYTRUDA with or without platinum-based chemotherapy (i.e., cisplatin or carboplatin with gemcitabine) to platinum-based chemotherapy alone. The trial also enrolled a third arm of monotherapy with KEYTRUDA to compare to platinum-based chemotherapy alone. The independent Data Monitoring Committee (</w:t>
      </w:r>
      <w:proofErr w:type="spellStart"/>
      <w:r w:rsidRPr="00ED7D43">
        <w:t>iDMC</w:t>
      </w:r>
      <w:proofErr w:type="spellEnd"/>
      <w:r w:rsidRPr="00ED7D43">
        <w:t xml:space="preserve">) for the study conducted a review of early data and found that in patients classified as having low PD-L1 expression (CPS &lt;10), those treated with KEYTRUDA monotherapy had decreased survival compared to those who received platinum-based chemotherapy. The </w:t>
      </w:r>
      <w:proofErr w:type="spellStart"/>
      <w:r w:rsidRPr="00ED7D43">
        <w:t>iDMC</w:t>
      </w:r>
      <w:proofErr w:type="spellEnd"/>
      <w:r w:rsidRPr="00ED7D43">
        <w:t xml:space="preserve"> recommended to stop further accrual of patients with low PD-L1 expression in the monotherapy arm, however, no other changes were recommended, including any change of therapy for patients who had already been randomized to and were receiving treatment in the monotherapy arm.</w:t>
      </w:r>
      <w:bookmarkEnd w:id="1"/>
    </w:p>
    <w:p w:rsidR="00ED7D43" w:rsidRPr="00ED7D43" w:rsidRDefault="00ED7D43" w:rsidP="00ED7D43">
      <w:pPr>
        <w:rPr>
          <w:i/>
        </w:rPr>
      </w:pPr>
      <w:r w:rsidRPr="00ED7D43">
        <w:rPr>
          <w:i/>
        </w:rPr>
        <w:lastRenderedPageBreak/>
        <w:t>KEYNOTE-045: Controlled trial in urothelial carcinoma patients previously treated with platinum-containing chemotherapy</w:t>
      </w:r>
    </w:p>
    <w:p w:rsidR="00ED7D43" w:rsidRPr="00ED7D43" w:rsidRDefault="00ED7D43" w:rsidP="00ED7D43">
      <w:r w:rsidRPr="00ED7D43">
        <w:t xml:space="preserve">The efficacy of KEYTRUDA was evaluated in KEYNOTE-045, a </w:t>
      </w:r>
      <w:proofErr w:type="spellStart"/>
      <w:r w:rsidRPr="00ED7D43">
        <w:t>multicenter</w:t>
      </w:r>
      <w:proofErr w:type="spellEnd"/>
      <w:r w:rsidRPr="00ED7D43">
        <w:t xml:space="preserve">, randomised (1:1), active-controlled trial in patients with locally advanced or metastatic urothelial carcinoma with disease progression on or after platinum-containing chemotherapy. Patients with creatinine clearance ≥30ml/min were eligible for treatment. Patients with autoimmune disease or a medical condition that required immunosuppression were ineligible for treatment. </w:t>
      </w:r>
    </w:p>
    <w:p w:rsidR="00ED7D43" w:rsidRPr="00ED7D43" w:rsidRDefault="00ED7D43" w:rsidP="00ED7D43">
      <w:r w:rsidRPr="00ED7D43">
        <w:t xml:space="preserve">Patients were randomised to receive either KEYTRUDA 200 mg every 3 weeks (n=270) or investigator’s choice of any of the following chemotherapy regimens all given intravenously every 3 weeks (n=272): paclitaxel 175 mg/m2 (n=84), docetaxel 75 mg/m2 (n=84), or </w:t>
      </w:r>
      <w:proofErr w:type="spellStart"/>
      <w:r w:rsidRPr="00ED7D43">
        <w:t>vinflunine</w:t>
      </w:r>
      <w:proofErr w:type="spellEnd"/>
      <w:r w:rsidRPr="00ED7D43">
        <w:t xml:space="preserve"> 320 mg/m2 (n=87). Patients received KEYTRUDA until unacceptable toxicity or disease progression. Clinically stable patients with initial evidence of disease progression were permitted to remain on treatment until disease progression was confirmed. Patients without disease progression were treated for up to 24 months. While this trial permitted re-initiation of treatment with pembrolizumab for subsequent disease progression and administration for up to 1 additional year, due to limited data at the time of data </w:t>
      </w:r>
      <w:proofErr w:type="spellStart"/>
      <w:r w:rsidRPr="00ED7D43">
        <w:t>cutoff</w:t>
      </w:r>
      <w:proofErr w:type="spellEnd"/>
      <w:r w:rsidRPr="00ED7D43">
        <w:t xml:space="preserve"> any benefit remains unknown. Assessment of tumour status was performed at 9 weeks after randomization, then every 6 weeks through the first year, followed by every 12 weeks thereafter. The primary efficacy outcomes were OS and PFS as assessed by BICR per RECIST v1.1. Secondary efficacy outcome measures were ORR as assessed by BICR per RECIST v1.1 and duration of response.</w:t>
      </w:r>
    </w:p>
    <w:p w:rsidR="00ED7D43" w:rsidRPr="00ED7D43" w:rsidRDefault="00ED7D43" w:rsidP="00ED7D43">
      <w:r w:rsidRPr="00ED7D43">
        <w:t xml:space="preserve">Among the 542 randomised patients, the study population characteristics were: median age 66 years (range: 26 to 88), 58% age 65 or older; 74% male; 72% White and 23% Asian; 42% ECOG PS of 0, 56% ECOG PS of 1, &lt;2% of patients were ECOG PS of 2 with no patients ECOG PS &gt; 2; and 96% M1 disease and 4% M0 disease. Eighty-seven percent of patients had visceral metastases, including 34% with liver metastases. Eighty-six percent had a primary tumour in the lower tract and 14% had a primary tumour in the upper tract. Fifteen percent of patients had disease progression following prior platinum-containing </w:t>
      </w:r>
      <w:proofErr w:type="spellStart"/>
      <w:r w:rsidRPr="00ED7D43">
        <w:t>neoadjuvant</w:t>
      </w:r>
      <w:proofErr w:type="spellEnd"/>
      <w:r w:rsidRPr="00ED7D43">
        <w:t xml:space="preserve"> or adjuvant chemotherapy as the most recent line of therapy. Twenty-one percent had received 2 or more prior systemic regimens in the metastatic setting. Seventy-six percent of patients received prior cisplatin, 23% had prior carboplatin, and 1% were treated with other platinum-based regimens. </w:t>
      </w:r>
    </w:p>
    <w:p w:rsidR="00ED7D43" w:rsidRPr="00ED7D43" w:rsidRDefault="00ED7D43" w:rsidP="00ED7D43">
      <w:r w:rsidRPr="00ED7D43">
        <w:t>At a pre-specified interim analysis, the median follow-up time for 270 patients treated with KEYTRUDA was 10.3 months. The study demonstrated statistically significant improvements in OS and ORR for patients randomised to KEYTRUDA as compared to chemotherapy where the ORR for patients on KEYTRUDA was approximately two-fold greater than those on chemotherapy alone (21% versus 11%, p=0.001)</w:t>
      </w:r>
      <w:r w:rsidRPr="00ED7D43" w:rsidDel="00C00476">
        <w:t xml:space="preserve"> </w:t>
      </w:r>
      <w:r w:rsidRPr="00ED7D43">
        <w:t>(Table 27 and Figure 14). There was no statistically significant difference between KEYTRUDA and chemotherapy with respect to PFS. Efficacy results are summarised in Table 27.</w:t>
      </w:r>
    </w:p>
    <w:p w:rsidR="00ED7D43" w:rsidRPr="00ED7D43" w:rsidRDefault="00ED7D43" w:rsidP="00D920A1">
      <w:pPr>
        <w:pStyle w:val="Tabletitle"/>
        <w:pageBreakBefore/>
      </w:pPr>
      <w:r w:rsidRPr="00ED7D43">
        <w:lastRenderedPageBreak/>
        <w:t>Table 27: Efficacy Results in Patients with Urothelial Carcinoma Previously Treated with Chemotherapy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4"/>
        <w:gridCol w:w="2120"/>
        <w:gridCol w:w="2656"/>
      </w:tblGrid>
      <w:tr w:rsidR="00ED7D43" w:rsidRPr="00ED7D43" w:rsidTr="00ED7D43">
        <w:trPr>
          <w:trHeight w:val="20"/>
          <w:jc w:val="center"/>
        </w:trPr>
        <w:tc>
          <w:tcPr>
            <w:tcW w:w="2364" w:type="pct"/>
            <w:shd w:val="clear" w:color="auto" w:fill="auto"/>
          </w:tcPr>
          <w:p w:rsidR="00ED7D43" w:rsidRPr="00ED7D43" w:rsidRDefault="00ED7D43" w:rsidP="00ED7D43">
            <w:pPr>
              <w:rPr>
                <w:b/>
                <w:lang w:val="en-GB"/>
              </w:rPr>
            </w:pPr>
            <w:r w:rsidRPr="00ED7D43">
              <w:rPr>
                <w:b/>
                <w:lang w:val="en-GB"/>
              </w:rPr>
              <w:t>Endpoint</w:t>
            </w:r>
          </w:p>
        </w:tc>
        <w:tc>
          <w:tcPr>
            <w:tcW w:w="1170" w:type="pct"/>
          </w:tcPr>
          <w:p w:rsidR="00ED7D43" w:rsidRPr="00ED7D43" w:rsidRDefault="00ED7D43" w:rsidP="00ED7D43">
            <w:pPr>
              <w:rPr>
                <w:b/>
                <w:lang w:val="en-GB"/>
              </w:rPr>
            </w:pPr>
            <w:r w:rsidRPr="00ED7D43">
              <w:rPr>
                <w:b/>
                <w:lang w:val="en-GB"/>
              </w:rPr>
              <w:t>KEYTRUDA</w:t>
            </w:r>
          </w:p>
          <w:p w:rsidR="00ED7D43" w:rsidRPr="00ED7D43" w:rsidRDefault="00ED7D43" w:rsidP="00ED7D43">
            <w:pPr>
              <w:rPr>
                <w:b/>
                <w:lang w:val="en-GB"/>
              </w:rPr>
            </w:pPr>
            <w:r w:rsidRPr="00ED7D43">
              <w:rPr>
                <w:b/>
                <w:lang w:val="en-GB"/>
              </w:rPr>
              <w:t>200 mg every 3 weeks</w:t>
            </w:r>
          </w:p>
          <w:p w:rsidR="00ED7D43" w:rsidRPr="00ED7D43" w:rsidRDefault="00ED7D43" w:rsidP="00ED7D43">
            <w:pPr>
              <w:rPr>
                <w:b/>
                <w:lang w:val="en-GB"/>
              </w:rPr>
            </w:pPr>
            <w:r w:rsidRPr="00ED7D43">
              <w:rPr>
                <w:b/>
                <w:lang w:val="en-GB"/>
              </w:rPr>
              <w:t>n=270</w:t>
            </w:r>
          </w:p>
        </w:tc>
        <w:tc>
          <w:tcPr>
            <w:tcW w:w="1466" w:type="pct"/>
          </w:tcPr>
          <w:p w:rsidR="00ED7D43" w:rsidRPr="00ED7D43" w:rsidRDefault="00ED7D43" w:rsidP="00ED7D43">
            <w:pPr>
              <w:rPr>
                <w:b/>
                <w:lang w:val="en-GB"/>
              </w:rPr>
            </w:pPr>
            <w:r w:rsidRPr="00ED7D43">
              <w:rPr>
                <w:b/>
                <w:lang w:val="en-GB"/>
              </w:rPr>
              <w:t>Chemotherapy</w:t>
            </w:r>
          </w:p>
          <w:p w:rsidR="00ED7D43" w:rsidRPr="00ED7D43" w:rsidRDefault="00ED7D43" w:rsidP="00ED7D43">
            <w:pPr>
              <w:rPr>
                <w:b/>
                <w:lang w:val="en-GB"/>
              </w:rPr>
            </w:pPr>
          </w:p>
          <w:p w:rsidR="00ED7D43" w:rsidRPr="00ED7D43" w:rsidRDefault="00ED7D43" w:rsidP="00ED7D43">
            <w:pPr>
              <w:rPr>
                <w:b/>
                <w:lang w:val="en-GB"/>
              </w:rPr>
            </w:pPr>
            <w:r w:rsidRPr="00ED7D43">
              <w:rPr>
                <w:b/>
                <w:lang w:val="en-GB"/>
              </w:rPr>
              <w:t>n=272</w:t>
            </w:r>
          </w:p>
        </w:tc>
      </w:tr>
      <w:tr w:rsidR="00ED7D43" w:rsidRPr="00ED7D43" w:rsidTr="00ED7D43">
        <w:trPr>
          <w:trHeight w:val="20"/>
          <w:jc w:val="center"/>
        </w:trPr>
        <w:tc>
          <w:tcPr>
            <w:tcW w:w="5000" w:type="pct"/>
            <w:gridSpan w:val="3"/>
            <w:shd w:val="clear" w:color="auto" w:fill="auto"/>
          </w:tcPr>
          <w:p w:rsidR="00ED7D43" w:rsidRPr="00ED7D43" w:rsidRDefault="00ED7D43" w:rsidP="00ED7D43">
            <w:pPr>
              <w:rPr>
                <w:b/>
                <w:lang w:val="en-GB"/>
              </w:rPr>
            </w:pPr>
            <w:r w:rsidRPr="00ED7D43">
              <w:rPr>
                <w:b/>
                <w:lang w:val="en-GB"/>
              </w:rPr>
              <w:t>OS</w:t>
            </w:r>
          </w:p>
        </w:tc>
      </w:tr>
      <w:tr w:rsidR="00ED7D43" w:rsidRPr="00ED7D43" w:rsidTr="00ED7D43">
        <w:trPr>
          <w:trHeight w:val="189"/>
          <w:jc w:val="center"/>
        </w:trPr>
        <w:tc>
          <w:tcPr>
            <w:tcW w:w="2364" w:type="pct"/>
            <w:shd w:val="clear" w:color="auto" w:fill="auto"/>
          </w:tcPr>
          <w:p w:rsidR="00ED7D43" w:rsidRPr="00ED7D43" w:rsidRDefault="00ED7D43" w:rsidP="00ED7D43">
            <w:pPr>
              <w:rPr>
                <w:b/>
                <w:lang w:val="en-GB"/>
              </w:rPr>
            </w:pPr>
            <w:r w:rsidRPr="00ED7D43">
              <w:t>Number (%) of patients with event</w:t>
            </w:r>
          </w:p>
        </w:tc>
        <w:tc>
          <w:tcPr>
            <w:tcW w:w="1170" w:type="pct"/>
          </w:tcPr>
          <w:p w:rsidR="00ED7D43" w:rsidRPr="00ED7D43" w:rsidRDefault="00ED7D43" w:rsidP="00ED7D43">
            <w:pPr>
              <w:rPr>
                <w:lang w:val="en-GB"/>
              </w:rPr>
            </w:pPr>
            <w:r w:rsidRPr="00ED7D43">
              <w:rPr>
                <w:lang w:val="en-GB"/>
              </w:rPr>
              <w:t>155 (57%)</w:t>
            </w:r>
          </w:p>
        </w:tc>
        <w:tc>
          <w:tcPr>
            <w:tcW w:w="1466" w:type="pct"/>
          </w:tcPr>
          <w:p w:rsidR="00ED7D43" w:rsidRPr="00ED7D43" w:rsidRDefault="00ED7D43" w:rsidP="00ED7D43">
            <w:pPr>
              <w:rPr>
                <w:b/>
                <w:lang w:val="en-GB"/>
              </w:rPr>
            </w:pPr>
            <w:r w:rsidRPr="00ED7D43">
              <w:rPr>
                <w:lang w:val="en-GB"/>
              </w:rPr>
              <w:t>179 (66%)</w:t>
            </w:r>
          </w:p>
        </w:tc>
      </w:tr>
      <w:tr w:rsidR="00ED7D43" w:rsidRPr="00ED7D43" w:rsidTr="00ED7D43">
        <w:trPr>
          <w:trHeight w:val="189"/>
          <w:jc w:val="center"/>
        </w:trPr>
        <w:tc>
          <w:tcPr>
            <w:tcW w:w="2364" w:type="pct"/>
            <w:shd w:val="clear" w:color="auto" w:fill="auto"/>
          </w:tcPr>
          <w:p w:rsidR="00ED7D43" w:rsidRPr="00ED7D43" w:rsidRDefault="00ED7D43" w:rsidP="00ED7D43">
            <w:pPr>
              <w:rPr>
                <w:b/>
                <w:lang w:val="en-GB"/>
              </w:rPr>
            </w:pPr>
            <w:r w:rsidRPr="00ED7D43">
              <w:rPr>
                <w:lang w:val="en-GB"/>
              </w:rPr>
              <w:t xml:space="preserve">Hazard ratio* (95% CI) </w:t>
            </w:r>
          </w:p>
        </w:tc>
        <w:tc>
          <w:tcPr>
            <w:tcW w:w="2636" w:type="pct"/>
            <w:gridSpan w:val="2"/>
          </w:tcPr>
          <w:p w:rsidR="00ED7D43" w:rsidRPr="00ED7D43" w:rsidRDefault="00ED7D43" w:rsidP="00ED7D43">
            <w:pPr>
              <w:rPr>
                <w:lang w:val="en-GB"/>
              </w:rPr>
            </w:pPr>
            <w:r w:rsidRPr="00ED7D43">
              <w:rPr>
                <w:lang w:val="en-GB"/>
              </w:rPr>
              <w:t>0.73 (0.59, 0.91)</w:t>
            </w:r>
          </w:p>
        </w:tc>
      </w:tr>
      <w:tr w:rsidR="00ED7D43" w:rsidRPr="00ED7D43" w:rsidTr="00ED7D43">
        <w:trPr>
          <w:trHeight w:val="189"/>
          <w:jc w:val="center"/>
        </w:trPr>
        <w:tc>
          <w:tcPr>
            <w:tcW w:w="2364" w:type="pct"/>
            <w:shd w:val="clear" w:color="auto" w:fill="auto"/>
          </w:tcPr>
          <w:p w:rsidR="00ED7D43" w:rsidRPr="00ED7D43" w:rsidRDefault="00ED7D43" w:rsidP="00ED7D43">
            <w:pPr>
              <w:rPr>
                <w:lang w:val="en-GB"/>
              </w:rPr>
            </w:pPr>
            <w:r w:rsidRPr="00ED7D43">
              <w:rPr>
                <w:lang w:val="en-GB"/>
              </w:rPr>
              <w:t>p-Value</w:t>
            </w:r>
            <w:r w:rsidRPr="00ED7D43">
              <w:rPr>
                <w:vertAlign w:val="superscript"/>
                <w:lang w:val="en-GB"/>
              </w:rPr>
              <w:t>†</w:t>
            </w:r>
          </w:p>
        </w:tc>
        <w:tc>
          <w:tcPr>
            <w:tcW w:w="2636" w:type="pct"/>
            <w:gridSpan w:val="2"/>
          </w:tcPr>
          <w:p w:rsidR="00ED7D43" w:rsidRPr="00ED7D43" w:rsidRDefault="00ED7D43" w:rsidP="00ED7D43">
            <w:pPr>
              <w:rPr>
                <w:lang w:val="en-GB"/>
              </w:rPr>
            </w:pPr>
            <w:r w:rsidRPr="00ED7D43">
              <w:rPr>
                <w:lang w:val="en-GB"/>
              </w:rPr>
              <w:t>0.002</w:t>
            </w:r>
          </w:p>
        </w:tc>
      </w:tr>
      <w:tr w:rsidR="00ED7D43" w:rsidRPr="00ED7D43" w:rsidTr="00ED7D43">
        <w:trPr>
          <w:trHeight w:val="189"/>
          <w:jc w:val="center"/>
        </w:trPr>
        <w:tc>
          <w:tcPr>
            <w:tcW w:w="2364" w:type="pct"/>
            <w:shd w:val="clear" w:color="auto" w:fill="auto"/>
          </w:tcPr>
          <w:p w:rsidR="00ED7D43" w:rsidRPr="00ED7D43" w:rsidRDefault="00ED7D43" w:rsidP="00ED7D43">
            <w:pPr>
              <w:rPr>
                <w:lang w:val="en-GB"/>
              </w:rPr>
            </w:pPr>
            <w:r w:rsidRPr="00ED7D43">
              <w:rPr>
                <w:lang w:val="en-GB"/>
              </w:rPr>
              <w:t>Median in months (95% CI)</w:t>
            </w:r>
          </w:p>
        </w:tc>
        <w:tc>
          <w:tcPr>
            <w:tcW w:w="1170" w:type="pct"/>
          </w:tcPr>
          <w:p w:rsidR="00ED7D43" w:rsidRPr="00ED7D43" w:rsidRDefault="00ED7D43" w:rsidP="00ED7D43">
            <w:pPr>
              <w:rPr>
                <w:lang w:val="en-GB"/>
              </w:rPr>
            </w:pPr>
            <w:r w:rsidRPr="00ED7D43">
              <w:rPr>
                <w:lang w:val="en-GB"/>
              </w:rPr>
              <w:t>10.3 (8.0, 11.8)</w:t>
            </w:r>
          </w:p>
        </w:tc>
        <w:tc>
          <w:tcPr>
            <w:tcW w:w="1466" w:type="pct"/>
          </w:tcPr>
          <w:p w:rsidR="00ED7D43" w:rsidRPr="00ED7D43" w:rsidRDefault="00ED7D43" w:rsidP="00ED7D43">
            <w:pPr>
              <w:rPr>
                <w:lang w:val="en-GB"/>
              </w:rPr>
            </w:pPr>
            <w:r w:rsidRPr="00ED7D43">
              <w:rPr>
                <w:lang w:val="en-GB"/>
              </w:rPr>
              <w:t>7.4 (6.1, 8.3)</w:t>
            </w:r>
          </w:p>
        </w:tc>
      </w:tr>
      <w:tr w:rsidR="00ED7D43" w:rsidRPr="00ED7D43" w:rsidTr="00ED7D43">
        <w:trPr>
          <w:trHeight w:val="189"/>
          <w:jc w:val="center"/>
        </w:trPr>
        <w:tc>
          <w:tcPr>
            <w:tcW w:w="5000" w:type="pct"/>
            <w:gridSpan w:val="3"/>
            <w:shd w:val="clear" w:color="auto" w:fill="auto"/>
          </w:tcPr>
          <w:p w:rsidR="00ED7D43" w:rsidRPr="00ED7D43" w:rsidRDefault="00ED7D43" w:rsidP="00ED7D43">
            <w:pPr>
              <w:rPr>
                <w:b/>
                <w:lang w:val="en-GB"/>
              </w:rPr>
            </w:pPr>
            <w:r w:rsidRPr="00ED7D43">
              <w:rPr>
                <w:b/>
                <w:lang w:val="en-GB"/>
              </w:rPr>
              <w:t>PFS</w:t>
            </w:r>
            <w:r w:rsidRPr="00ED7D43">
              <w:rPr>
                <w:b/>
                <w:vertAlign w:val="superscript"/>
                <w:lang w:val="en-GB"/>
              </w:rPr>
              <w:t>‡</w:t>
            </w:r>
          </w:p>
        </w:tc>
      </w:tr>
      <w:tr w:rsidR="00ED7D43" w:rsidRPr="00ED7D43" w:rsidTr="00ED7D43">
        <w:trPr>
          <w:trHeight w:val="189"/>
          <w:jc w:val="center"/>
        </w:trPr>
        <w:tc>
          <w:tcPr>
            <w:tcW w:w="2364" w:type="pct"/>
            <w:shd w:val="clear" w:color="auto" w:fill="auto"/>
          </w:tcPr>
          <w:p w:rsidR="00ED7D43" w:rsidRPr="00ED7D43" w:rsidRDefault="00ED7D43" w:rsidP="00ED7D43">
            <w:pPr>
              <w:rPr>
                <w:lang w:val="en-GB"/>
              </w:rPr>
            </w:pPr>
            <w:r w:rsidRPr="00ED7D43">
              <w:t>Number (%) of patients with event</w:t>
            </w:r>
          </w:p>
        </w:tc>
        <w:tc>
          <w:tcPr>
            <w:tcW w:w="1170" w:type="pct"/>
          </w:tcPr>
          <w:p w:rsidR="00ED7D43" w:rsidRPr="00ED7D43" w:rsidRDefault="00ED7D43" w:rsidP="00ED7D43">
            <w:pPr>
              <w:rPr>
                <w:lang w:val="en-GB"/>
              </w:rPr>
            </w:pPr>
            <w:r w:rsidRPr="00ED7D43">
              <w:rPr>
                <w:lang w:val="en-GB"/>
              </w:rPr>
              <w:t>218 (81%)</w:t>
            </w:r>
          </w:p>
        </w:tc>
        <w:tc>
          <w:tcPr>
            <w:tcW w:w="1466" w:type="pct"/>
          </w:tcPr>
          <w:p w:rsidR="00ED7D43" w:rsidRPr="00ED7D43" w:rsidRDefault="00ED7D43" w:rsidP="00ED7D43">
            <w:pPr>
              <w:rPr>
                <w:lang w:val="en-GB"/>
              </w:rPr>
            </w:pPr>
            <w:r w:rsidRPr="00ED7D43">
              <w:rPr>
                <w:lang w:val="en-GB"/>
              </w:rPr>
              <w:t>219 (81%)</w:t>
            </w:r>
          </w:p>
        </w:tc>
      </w:tr>
      <w:tr w:rsidR="00ED7D43" w:rsidRPr="00ED7D43" w:rsidTr="00ED7D43">
        <w:trPr>
          <w:trHeight w:val="189"/>
          <w:jc w:val="center"/>
        </w:trPr>
        <w:tc>
          <w:tcPr>
            <w:tcW w:w="2364" w:type="pct"/>
            <w:shd w:val="clear" w:color="auto" w:fill="auto"/>
          </w:tcPr>
          <w:p w:rsidR="00ED7D43" w:rsidRPr="00ED7D43" w:rsidRDefault="00ED7D43" w:rsidP="00ED7D43">
            <w:pPr>
              <w:rPr>
                <w:b/>
                <w:lang w:val="en-GB"/>
              </w:rPr>
            </w:pPr>
            <w:r w:rsidRPr="00ED7D43">
              <w:rPr>
                <w:lang w:val="en-GB"/>
              </w:rPr>
              <w:t xml:space="preserve">Hazard ratio* (95% CI) </w:t>
            </w:r>
          </w:p>
        </w:tc>
        <w:tc>
          <w:tcPr>
            <w:tcW w:w="2636" w:type="pct"/>
            <w:gridSpan w:val="2"/>
          </w:tcPr>
          <w:p w:rsidR="00ED7D43" w:rsidRPr="00ED7D43" w:rsidRDefault="00ED7D43" w:rsidP="00ED7D43">
            <w:pPr>
              <w:rPr>
                <w:lang w:val="en-GB"/>
              </w:rPr>
            </w:pPr>
            <w:r w:rsidRPr="00ED7D43">
              <w:rPr>
                <w:lang w:val="en-GB"/>
              </w:rPr>
              <w:t>0.98 (0.81, 1.19)</w:t>
            </w:r>
          </w:p>
        </w:tc>
      </w:tr>
      <w:tr w:rsidR="00ED7D43" w:rsidRPr="00ED7D43" w:rsidTr="00ED7D43">
        <w:trPr>
          <w:trHeight w:val="189"/>
          <w:jc w:val="center"/>
        </w:trPr>
        <w:tc>
          <w:tcPr>
            <w:tcW w:w="2364" w:type="pct"/>
            <w:shd w:val="clear" w:color="auto" w:fill="auto"/>
          </w:tcPr>
          <w:p w:rsidR="00ED7D43" w:rsidRPr="00ED7D43" w:rsidRDefault="00ED7D43" w:rsidP="00ED7D43">
            <w:pPr>
              <w:rPr>
                <w:lang w:val="en-GB"/>
              </w:rPr>
            </w:pPr>
            <w:r w:rsidRPr="00ED7D43">
              <w:rPr>
                <w:lang w:val="en-GB"/>
              </w:rPr>
              <w:t>p-Value</w:t>
            </w:r>
            <w:r w:rsidRPr="00ED7D43">
              <w:rPr>
                <w:vertAlign w:val="superscript"/>
                <w:lang w:val="en-GB"/>
              </w:rPr>
              <w:t>†</w:t>
            </w:r>
          </w:p>
        </w:tc>
        <w:tc>
          <w:tcPr>
            <w:tcW w:w="2636" w:type="pct"/>
            <w:gridSpan w:val="2"/>
          </w:tcPr>
          <w:p w:rsidR="00ED7D43" w:rsidRPr="00ED7D43" w:rsidRDefault="00ED7D43" w:rsidP="00ED7D43">
            <w:pPr>
              <w:rPr>
                <w:lang w:val="en-GB"/>
              </w:rPr>
            </w:pPr>
            <w:r w:rsidRPr="00ED7D43">
              <w:rPr>
                <w:lang w:val="en-GB"/>
              </w:rPr>
              <w:t>0.416</w:t>
            </w:r>
          </w:p>
        </w:tc>
      </w:tr>
      <w:tr w:rsidR="00ED7D43" w:rsidRPr="00ED7D43" w:rsidTr="00ED7D43">
        <w:trPr>
          <w:trHeight w:val="189"/>
          <w:jc w:val="center"/>
        </w:trPr>
        <w:tc>
          <w:tcPr>
            <w:tcW w:w="2364" w:type="pct"/>
            <w:shd w:val="clear" w:color="auto" w:fill="auto"/>
          </w:tcPr>
          <w:p w:rsidR="00ED7D43" w:rsidRPr="00ED7D43" w:rsidRDefault="00ED7D43" w:rsidP="00ED7D43">
            <w:pPr>
              <w:rPr>
                <w:lang w:val="en-GB"/>
              </w:rPr>
            </w:pPr>
            <w:r w:rsidRPr="00ED7D43">
              <w:rPr>
                <w:lang w:val="en-GB"/>
              </w:rPr>
              <w:t>Median in months (95% CI)</w:t>
            </w:r>
          </w:p>
        </w:tc>
        <w:tc>
          <w:tcPr>
            <w:tcW w:w="1170" w:type="pct"/>
          </w:tcPr>
          <w:p w:rsidR="00ED7D43" w:rsidRPr="00ED7D43" w:rsidRDefault="00ED7D43" w:rsidP="00ED7D43">
            <w:pPr>
              <w:rPr>
                <w:lang w:val="en-GB"/>
              </w:rPr>
            </w:pPr>
            <w:r w:rsidRPr="00ED7D43">
              <w:rPr>
                <w:lang w:val="en-GB"/>
              </w:rPr>
              <w:t>2.1 (2.0, 2.2)</w:t>
            </w:r>
          </w:p>
        </w:tc>
        <w:tc>
          <w:tcPr>
            <w:tcW w:w="1466" w:type="pct"/>
          </w:tcPr>
          <w:p w:rsidR="00ED7D43" w:rsidRPr="00ED7D43" w:rsidRDefault="00ED7D43" w:rsidP="00ED7D43">
            <w:pPr>
              <w:rPr>
                <w:lang w:val="en-GB"/>
              </w:rPr>
            </w:pPr>
            <w:r w:rsidRPr="00ED7D43">
              <w:rPr>
                <w:lang w:val="en-GB"/>
              </w:rPr>
              <w:t>3.3 (2.3, 3.5)</w:t>
            </w:r>
          </w:p>
        </w:tc>
      </w:tr>
      <w:tr w:rsidR="00ED7D43" w:rsidRPr="00ED7D43" w:rsidTr="00ED7D43">
        <w:trPr>
          <w:trHeight w:val="189"/>
          <w:jc w:val="center"/>
        </w:trPr>
        <w:tc>
          <w:tcPr>
            <w:tcW w:w="5000" w:type="pct"/>
            <w:gridSpan w:val="3"/>
            <w:shd w:val="clear" w:color="auto" w:fill="auto"/>
          </w:tcPr>
          <w:p w:rsidR="00ED7D43" w:rsidRPr="00ED7D43" w:rsidRDefault="00ED7D43" w:rsidP="00ED7D43">
            <w:pPr>
              <w:rPr>
                <w:b/>
                <w:lang w:val="en-GB"/>
              </w:rPr>
            </w:pPr>
            <w:r w:rsidRPr="00ED7D43">
              <w:rPr>
                <w:b/>
                <w:lang w:val="en-GB"/>
              </w:rPr>
              <w:t>Objective Response Rate</w:t>
            </w:r>
            <w:r w:rsidRPr="00ED7D43">
              <w:rPr>
                <w:b/>
                <w:vertAlign w:val="superscript"/>
                <w:lang w:val="en-GB"/>
              </w:rPr>
              <w:t>‡</w:t>
            </w:r>
          </w:p>
        </w:tc>
      </w:tr>
      <w:tr w:rsidR="00ED7D43" w:rsidRPr="00ED7D43" w:rsidTr="00ED7D43">
        <w:trPr>
          <w:trHeight w:val="189"/>
          <w:jc w:val="center"/>
        </w:trPr>
        <w:tc>
          <w:tcPr>
            <w:tcW w:w="2364" w:type="pct"/>
            <w:shd w:val="clear" w:color="auto" w:fill="auto"/>
          </w:tcPr>
          <w:p w:rsidR="00ED7D43" w:rsidRPr="00ED7D43" w:rsidRDefault="00ED7D43" w:rsidP="00ED7D43">
            <w:pPr>
              <w:rPr>
                <w:lang w:val="en-GB"/>
              </w:rPr>
            </w:pPr>
            <w:r w:rsidRPr="00ED7D43">
              <w:rPr>
                <w:lang w:val="en-GB"/>
              </w:rPr>
              <w:t>ORR % (95% CI)</w:t>
            </w:r>
          </w:p>
        </w:tc>
        <w:tc>
          <w:tcPr>
            <w:tcW w:w="1170" w:type="pct"/>
          </w:tcPr>
          <w:p w:rsidR="00ED7D43" w:rsidRPr="00ED7D43" w:rsidRDefault="00ED7D43" w:rsidP="00ED7D43">
            <w:pPr>
              <w:rPr>
                <w:lang w:val="en-GB"/>
              </w:rPr>
            </w:pPr>
            <w:r w:rsidRPr="00ED7D43">
              <w:rPr>
                <w:lang w:val="en-GB"/>
              </w:rPr>
              <w:t>21% (16, 27)</w:t>
            </w:r>
          </w:p>
        </w:tc>
        <w:tc>
          <w:tcPr>
            <w:tcW w:w="1466" w:type="pct"/>
          </w:tcPr>
          <w:p w:rsidR="00ED7D43" w:rsidRPr="00ED7D43" w:rsidRDefault="00ED7D43" w:rsidP="00ED7D43">
            <w:pPr>
              <w:rPr>
                <w:lang w:val="en-GB"/>
              </w:rPr>
            </w:pPr>
            <w:r w:rsidRPr="00ED7D43">
              <w:rPr>
                <w:lang w:val="en-GB"/>
              </w:rPr>
              <w:t>11% (8, 16)</w:t>
            </w:r>
          </w:p>
        </w:tc>
      </w:tr>
      <w:tr w:rsidR="00ED7D43" w:rsidRPr="00ED7D43" w:rsidTr="00ED7D43">
        <w:trPr>
          <w:trHeight w:val="189"/>
          <w:jc w:val="center"/>
        </w:trPr>
        <w:tc>
          <w:tcPr>
            <w:tcW w:w="2364" w:type="pct"/>
            <w:shd w:val="clear" w:color="auto" w:fill="auto"/>
          </w:tcPr>
          <w:p w:rsidR="00ED7D43" w:rsidRPr="00ED7D43" w:rsidRDefault="00ED7D43" w:rsidP="00ED7D43">
            <w:pPr>
              <w:rPr>
                <w:lang w:val="en-GB"/>
              </w:rPr>
            </w:pPr>
            <w:r w:rsidRPr="00ED7D43">
              <w:rPr>
                <w:lang w:val="en-GB"/>
              </w:rPr>
              <w:t>Complete Response</w:t>
            </w:r>
          </w:p>
        </w:tc>
        <w:tc>
          <w:tcPr>
            <w:tcW w:w="1170" w:type="pct"/>
          </w:tcPr>
          <w:p w:rsidR="00ED7D43" w:rsidRPr="00ED7D43" w:rsidRDefault="00ED7D43" w:rsidP="00ED7D43">
            <w:pPr>
              <w:rPr>
                <w:lang w:val="en-GB"/>
              </w:rPr>
            </w:pPr>
            <w:r w:rsidRPr="00ED7D43">
              <w:rPr>
                <w:lang w:val="en-GB"/>
              </w:rPr>
              <w:t>7%</w:t>
            </w:r>
          </w:p>
        </w:tc>
        <w:tc>
          <w:tcPr>
            <w:tcW w:w="1466" w:type="pct"/>
          </w:tcPr>
          <w:p w:rsidR="00ED7D43" w:rsidRPr="00ED7D43" w:rsidRDefault="00ED7D43" w:rsidP="00ED7D43">
            <w:pPr>
              <w:rPr>
                <w:lang w:val="en-GB"/>
              </w:rPr>
            </w:pPr>
            <w:r w:rsidRPr="00ED7D43">
              <w:rPr>
                <w:lang w:val="en-GB"/>
              </w:rPr>
              <w:t>3%</w:t>
            </w:r>
          </w:p>
        </w:tc>
      </w:tr>
      <w:tr w:rsidR="00ED7D43" w:rsidRPr="00ED7D43" w:rsidTr="00ED7D43">
        <w:trPr>
          <w:trHeight w:val="189"/>
          <w:jc w:val="center"/>
        </w:trPr>
        <w:tc>
          <w:tcPr>
            <w:tcW w:w="2364" w:type="pct"/>
            <w:shd w:val="clear" w:color="auto" w:fill="auto"/>
          </w:tcPr>
          <w:p w:rsidR="00ED7D43" w:rsidRPr="00ED7D43" w:rsidRDefault="00ED7D43" w:rsidP="00ED7D43">
            <w:pPr>
              <w:rPr>
                <w:lang w:val="en-GB"/>
              </w:rPr>
            </w:pPr>
            <w:r w:rsidRPr="00ED7D43">
              <w:rPr>
                <w:lang w:val="en-GB"/>
              </w:rPr>
              <w:t>Partial Response</w:t>
            </w:r>
          </w:p>
        </w:tc>
        <w:tc>
          <w:tcPr>
            <w:tcW w:w="1170" w:type="pct"/>
          </w:tcPr>
          <w:p w:rsidR="00ED7D43" w:rsidRPr="00ED7D43" w:rsidRDefault="00ED7D43" w:rsidP="00ED7D43">
            <w:pPr>
              <w:rPr>
                <w:lang w:val="en-GB"/>
              </w:rPr>
            </w:pPr>
            <w:r w:rsidRPr="00ED7D43">
              <w:rPr>
                <w:lang w:val="en-GB"/>
              </w:rPr>
              <w:t>14%</w:t>
            </w:r>
          </w:p>
        </w:tc>
        <w:tc>
          <w:tcPr>
            <w:tcW w:w="1466" w:type="pct"/>
          </w:tcPr>
          <w:p w:rsidR="00ED7D43" w:rsidRPr="00ED7D43" w:rsidRDefault="00ED7D43" w:rsidP="00ED7D43">
            <w:pPr>
              <w:rPr>
                <w:lang w:val="en-GB"/>
              </w:rPr>
            </w:pPr>
            <w:r w:rsidRPr="00ED7D43">
              <w:rPr>
                <w:lang w:val="en-GB"/>
              </w:rPr>
              <w:t>8%</w:t>
            </w:r>
          </w:p>
        </w:tc>
      </w:tr>
      <w:tr w:rsidR="00ED7D43" w:rsidRPr="00ED7D43" w:rsidTr="00ED7D43">
        <w:trPr>
          <w:trHeight w:val="189"/>
          <w:jc w:val="center"/>
        </w:trPr>
        <w:tc>
          <w:tcPr>
            <w:tcW w:w="2364" w:type="pct"/>
            <w:shd w:val="clear" w:color="auto" w:fill="auto"/>
          </w:tcPr>
          <w:p w:rsidR="00ED7D43" w:rsidRPr="00ED7D43" w:rsidRDefault="00ED7D43" w:rsidP="00ED7D43">
            <w:pPr>
              <w:rPr>
                <w:lang w:val="en-GB"/>
              </w:rPr>
            </w:pPr>
            <w:r w:rsidRPr="00ED7D43">
              <w:rPr>
                <w:lang w:val="en-GB"/>
              </w:rPr>
              <w:t>p-Value</w:t>
            </w:r>
            <w:r w:rsidRPr="00ED7D43">
              <w:rPr>
                <w:vertAlign w:val="superscript"/>
                <w:lang w:val="en-GB"/>
              </w:rPr>
              <w:t>§,</w:t>
            </w:r>
          </w:p>
        </w:tc>
        <w:tc>
          <w:tcPr>
            <w:tcW w:w="2636" w:type="pct"/>
            <w:gridSpan w:val="2"/>
          </w:tcPr>
          <w:p w:rsidR="00ED7D43" w:rsidRPr="00ED7D43" w:rsidRDefault="00ED7D43" w:rsidP="00ED7D43">
            <w:pPr>
              <w:rPr>
                <w:lang w:val="en-GB"/>
              </w:rPr>
            </w:pPr>
            <w:r w:rsidRPr="00ED7D43">
              <w:rPr>
                <w:lang w:val="en-GB"/>
              </w:rPr>
              <w:t>0.001</w:t>
            </w:r>
          </w:p>
        </w:tc>
      </w:tr>
      <w:tr w:rsidR="00ED7D43" w:rsidRPr="00ED7D43" w:rsidTr="00ED7D43">
        <w:trPr>
          <w:jc w:val="center"/>
        </w:trPr>
        <w:tc>
          <w:tcPr>
            <w:tcW w:w="5000" w:type="pct"/>
            <w:gridSpan w:val="3"/>
            <w:tcBorders>
              <w:top w:val="single" w:sz="4" w:space="0" w:color="auto"/>
              <w:left w:val="nil"/>
              <w:bottom w:val="nil"/>
              <w:right w:val="nil"/>
            </w:tcBorders>
            <w:shd w:val="clear" w:color="auto" w:fill="auto"/>
          </w:tcPr>
          <w:p w:rsidR="00ED7D43" w:rsidRPr="00ED7D43" w:rsidRDefault="00ED7D43" w:rsidP="00D920A1">
            <w:pPr>
              <w:pStyle w:val="Tabledescription"/>
              <w:rPr>
                <w:lang w:val="en-GB"/>
              </w:rPr>
            </w:pPr>
            <w:r w:rsidRPr="00ED7D43">
              <w:rPr>
                <w:lang w:val="en-GB"/>
              </w:rPr>
              <w:lastRenderedPageBreak/>
              <w:t>* Hazard ratio (KEYTRUDA compared to chemotherapy) based on the stratified Cox proportional hazard model</w:t>
            </w:r>
          </w:p>
          <w:p w:rsidR="00ED7D43" w:rsidRPr="00ED7D43" w:rsidRDefault="00ED7D43" w:rsidP="00D920A1">
            <w:pPr>
              <w:pStyle w:val="Tabledescription"/>
              <w:rPr>
                <w:lang w:val="en-GB"/>
              </w:rPr>
            </w:pPr>
            <w:r w:rsidRPr="00ED7D43">
              <w:rPr>
                <w:vertAlign w:val="superscript"/>
                <w:lang w:val="en-GB"/>
              </w:rPr>
              <w:t>†</w:t>
            </w:r>
            <w:r w:rsidRPr="00ED7D43">
              <w:rPr>
                <w:lang w:val="en-GB"/>
              </w:rPr>
              <w:t xml:space="preserve"> Based on stratified Log rank test</w:t>
            </w:r>
          </w:p>
          <w:p w:rsidR="00ED7D43" w:rsidRPr="00ED7D43" w:rsidRDefault="00ED7D43" w:rsidP="00D920A1">
            <w:pPr>
              <w:pStyle w:val="Tabledescription"/>
              <w:rPr>
                <w:lang w:val="en-GB"/>
              </w:rPr>
            </w:pPr>
            <w:r w:rsidRPr="00ED7D43">
              <w:rPr>
                <w:vertAlign w:val="superscript"/>
                <w:lang w:val="en-GB"/>
              </w:rPr>
              <w:t>‡</w:t>
            </w:r>
            <w:r w:rsidRPr="00ED7D43">
              <w:rPr>
                <w:lang w:val="en-GB"/>
              </w:rPr>
              <w:t xml:space="preserve"> Assessed by BICR using RECIST 1.1</w:t>
            </w:r>
          </w:p>
          <w:p w:rsidR="00ED7D43" w:rsidRPr="00ED7D43" w:rsidRDefault="00ED7D43" w:rsidP="00D920A1">
            <w:pPr>
              <w:pStyle w:val="Tabledescription"/>
              <w:rPr>
                <w:lang w:val="en-GB"/>
              </w:rPr>
            </w:pPr>
            <w:r w:rsidRPr="00ED7D43">
              <w:rPr>
                <w:b/>
                <w:vertAlign w:val="superscript"/>
                <w:lang w:val="en-GB"/>
              </w:rPr>
              <w:t>§</w:t>
            </w:r>
            <w:r w:rsidRPr="00ED7D43">
              <w:rPr>
                <w:lang w:val="en-GB"/>
              </w:rPr>
              <w:t xml:space="preserve"> Based on method by </w:t>
            </w:r>
            <w:proofErr w:type="spellStart"/>
            <w:r w:rsidRPr="00ED7D43">
              <w:rPr>
                <w:lang w:val="en-GB"/>
              </w:rPr>
              <w:t>Miettinen</w:t>
            </w:r>
            <w:proofErr w:type="spellEnd"/>
            <w:r w:rsidRPr="00ED7D43">
              <w:rPr>
                <w:lang w:val="en-GB"/>
              </w:rPr>
              <w:t xml:space="preserve"> and </w:t>
            </w:r>
            <w:proofErr w:type="spellStart"/>
            <w:r w:rsidRPr="00ED7D43">
              <w:rPr>
                <w:lang w:val="en-GB"/>
              </w:rPr>
              <w:t>Nurminen</w:t>
            </w:r>
            <w:proofErr w:type="spellEnd"/>
          </w:p>
          <w:p w:rsidR="00ED7D43" w:rsidRPr="00ED7D43" w:rsidRDefault="00ED7D43" w:rsidP="00D920A1">
            <w:pPr>
              <w:pStyle w:val="Tabledescription"/>
              <w:rPr>
                <w:lang w:val="en-GB"/>
              </w:rPr>
            </w:pPr>
            <w:r w:rsidRPr="00ED7D43">
              <w:rPr>
                <w:vertAlign w:val="superscript"/>
              </w:rPr>
              <w:t>¶</w:t>
            </w:r>
            <w:r w:rsidRPr="00ED7D43">
              <w:rPr>
                <w:bCs/>
                <w:lang w:val="en-GB"/>
              </w:rPr>
              <w:t xml:space="preserve"> </w:t>
            </w:r>
            <w:r w:rsidRPr="00ED7D43">
              <w:rPr>
                <w:lang w:val="en-GB"/>
              </w:rPr>
              <w:t>Based on patients with a best overall response as confirmed complete or partial response</w:t>
            </w:r>
          </w:p>
          <w:p w:rsidR="00ED7D43" w:rsidRPr="00ED7D43" w:rsidRDefault="00ED7D43" w:rsidP="00D920A1">
            <w:pPr>
              <w:pStyle w:val="Tabledescription"/>
              <w:rPr>
                <w:lang w:val="en-GB"/>
              </w:rPr>
            </w:pPr>
            <w:r w:rsidRPr="00ED7D43">
              <w:rPr>
                <w:vertAlign w:val="superscript"/>
                <w:lang w:val="en-GB"/>
              </w:rPr>
              <w:t xml:space="preserve"># </w:t>
            </w:r>
            <w:r w:rsidRPr="00ED7D43">
              <w:rPr>
                <w:lang w:val="en-GB"/>
              </w:rPr>
              <w:t>Based on Kaplan-Meier estimation</w:t>
            </w:r>
          </w:p>
        </w:tc>
      </w:tr>
    </w:tbl>
    <w:p w:rsidR="00ED7D43" w:rsidRPr="00ED7D43" w:rsidRDefault="00ED7D43" w:rsidP="00ED7D43">
      <w:r w:rsidRPr="00ED7D43">
        <w:t>At the interim analysis, median duration of response was not reached in the KEYTRUDA arm (range 1.6+ to 15.6+ months) and was 4.3 months (range: 1.4+ to 15.4+ months) in the chemotherapy arm. At the time of the analysis, responses were ongoing in 41 and 14 patients at 6 and 12 months respectively, in the KEYTRUDA arm, and 7 and 3 patients at 6 and 12 months respectively, in the chemotherapy arm.</w:t>
      </w:r>
    </w:p>
    <w:p w:rsidR="00ED7D43" w:rsidRPr="00ED7D43" w:rsidRDefault="00ED7D43" w:rsidP="00ED7D43">
      <w:r w:rsidRPr="00ED7D43">
        <w:t>The final OS analysis was performed 13.6 months after the interim analysis with 419 patient events (200 for KEYTRUDA and 219 for chemotherapy). Median OS was 10.1 months (95% CI: 8.0, 12.3) for KEYTRUDA and 7.3 months (95% CI: 6.1, 8.1) for chemotherapy. The OS HR was 0.70 (95% CI: 0.57, 0.85; p&lt;0.001). See Figure 14. In the final analysis there was no statistically significant difference between KEYTRUDA and chemotherapy with respect to PFS.</w:t>
      </w:r>
    </w:p>
    <w:p w:rsidR="00ED7D43" w:rsidRPr="00ED7D43" w:rsidRDefault="00ED7D43" w:rsidP="00ED7D43">
      <w:r w:rsidRPr="00ED7D43">
        <w:t>At the final analysis, among the 57 responding patients who received KEYTRUDA vs. 30 responding patients who received chemotherapy, the median response duration was not reached (range 1.6+ to 30.0+ months) in patients who received KEYTRUDA, vs. 4.4 months (range 1.4+ to 29.9+ months) in patients who received chemotherapy. In patients who received KEYTRUDA, 84% had responses of 6 months or longer and 68% had responses of 12 months or longer (based on Kaplan-Meier estimation) vs. 47% who had responses of 6 months or longer and 35% who had responses of 12 months or longer (based on Kaplan-Meier estimation) in patients who received chemotherapy. The complete and partial response rates were 9% and 12%, respectively in patients who received KEYTRUDA vs. 3% and 8%, respectively in patients who received chemotherapy.</w:t>
      </w:r>
    </w:p>
    <w:p w:rsidR="00ED7D43" w:rsidRPr="00ED7D43" w:rsidRDefault="00ED7D43" w:rsidP="00D920A1">
      <w:pPr>
        <w:pStyle w:val="Figuretitle"/>
      </w:pPr>
      <w:r w:rsidRPr="00ED7D43">
        <w:lastRenderedPageBreak/>
        <w:t>Figure 14: Kaplan-Meier Curve for Overall Survival by Treatment Arm in KEYNOTE-045 (Intent to Treat Population)</w:t>
      </w:r>
    </w:p>
    <w:p w:rsidR="00ED7D43" w:rsidRPr="00ED7D43" w:rsidRDefault="00ED7D43" w:rsidP="00ED7D43">
      <w:pPr>
        <w:rPr>
          <w:b/>
        </w:rPr>
      </w:pPr>
      <w:r w:rsidRPr="00ED7D43">
        <w:rPr>
          <w:b/>
        </w:rPr>
        <w:drawing>
          <wp:inline distT="0" distB="0" distL="0" distR="0" wp14:anchorId="462948D6" wp14:editId="38DC00ED">
            <wp:extent cx="5709285" cy="4592955"/>
            <wp:effectExtent l="0" t="0" r="5715"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23" cstate="print">
                      <a:extLst>
                        <a:ext uri="{28A0092B-C50C-407E-A947-70E740481C1C}">
                          <a14:useLocalDpi xmlns:a14="http://schemas.microsoft.com/office/drawing/2010/main" val="0"/>
                        </a:ext>
                      </a:extLst>
                    </a:blip>
                    <a:srcRect l="17308" t="1494" r="1539" b="12389"/>
                    <a:stretch/>
                  </pic:blipFill>
                  <pic:spPr bwMode="auto">
                    <a:xfrm>
                      <a:off x="0" y="0"/>
                      <a:ext cx="5709285" cy="4592955"/>
                    </a:xfrm>
                    <a:prstGeom prst="rect">
                      <a:avLst/>
                    </a:prstGeom>
                    <a:ln>
                      <a:noFill/>
                    </a:ln>
                    <a:extLst>
                      <a:ext uri="{53640926-AAD7-44D8-BBD7-CCE9431645EC}">
                        <a14:shadowObscured xmlns:a14="http://schemas.microsoft.com/office/drawing/2010/main"/>
                      </a:ext>
                    </a:extLst>
                  </pic:spPr>
                </pic:pic>
              </a:graphicData>
            </a:graphic>
          </wp:inline>
        </w:drawing>
      </w:r>
    </w:p>
    <w:p w:rsidR="00ED7D43" w:rsidRPr="00ED7D43" w:rsidRDefault="00ED7D43" w:rsidP="00ED7D43">
      <w:r w:rsidRPr="00ED7D43">
        <w:t>Patient-reported outcomes (PROs) were assessed using EORTC QLQ-C30. A prolonged time to deterioration in EORTC QLQ-C30 global health status/</w:t>
      </w:r>
      <w:proofErr w:type="spellStart"/>
      <w:r w:rsidRPr="00ED7D43">
        <w:t>QoL</w:t>
      </w:r>
      <w:proofErr w:type="spellEnd"/>
      <w:r w:rsidRPr="00ED7D43">
        <w:t xml:space="preserve"> was observed for patients treated with pembrolizumab compared to investigator’s choice chemotherapy (HR 0.70; 95% CI 0.55-0.90). Over 15 weeks of follow-up, patients treated with pembrolizumab had stable global health status/</w:t>
      </w:r>
      <w:proofErr w:type="spellStart"/>
      <w:r w:rsidRPr="00ED7D43">
        <w:t>QoL</w:t>
      </w:r>
      <w:proofErr w:type="spellEnd"/>
      <w:r w:rsidRPr="00ED7D43">
        <w:t>, while those treated with investigator’s choice chemotherapy had a decline in global health status/</w:t>
      </w:r>
      <w:proofErr w:type="spellStart"/>
      <w:r w:rsidRPr="00ED7D43">
        <w:t>QoL</w:t>
      </w:r>
      <w:proofErr w:type="spellEnd"/>
      <w:r w:rsidRPr="00ED7D43">
        <w:t>. These results should be interpreted in the context of the open-label study design and therefore taken cautiously.</w:t>
      </w:r>
    </w:p>
    <w:p w:rsidR="00ED7D43" w:rsidRPr="00ED7D43" w:rsidRDefault="00ED7D43" w:rsidP="00ED7D43">
      <w:pPr>
        <w:rPr>
          <w:u w:val="single"/>
        </w:rPr>
      </w:pPr>
      <w:r w:rsidRPr="00ED7D43">
        <w:rPr>
          <w:u w:val="single"/>
        </w:rPr>
        <w:t>Microsatellite Instability-High Cancer</w:t>
      </w:r>
    </w:p>
    <w:p w:rsidR="00ED7D43" w:rsidRPr="00ED7D43" w:rsidRDefault="00ED7D43" w:rsidP="00ED7D43">
      <w:pPr>
        <w:rPr>
          <w:i/>
        </w:rPr>
      </w:pPr>
      <w:r w:rsidRPr="00ED7D43">
        <w:rPr>
          <w:i/>
        </w:rPr>
        <w:t>KEYNOTE-164 and KEYNOTE-158 Open-label studies in patients with MSI-H, including mismatch repair deficient (</w:t>
      </w:r>
      <w:proofErr w:type="spellStart"/>
      <w:r w:rsidRPr="00ED7D43">
        <w:rPr>
          <w:i/>
        </w:rPr>
        <w:t>dMMR</w:t>
      </w:r>
      <w:proofErr w:type="spellEnd"/>
      <w:r w:rsidRPr="00ED7D43">
        <w:rPr>
          <w:i/>
        </w:rPr>
        <w:t>), cancer who have received prior therapy</w:t>
      </w:r>
    </w:p>
    <w:p w:rsidR="00ED7D43" w:rsidRPr="00ED7D43" w:rsidRDefault="00ED7D43" w:rsidP="00ED7D43">
      <w:r w:rsidRPr="00ED7D43">
        <w:t xml:space="preserve">The efficacy of KEYTRUDA was investigated in 155 patients with MSI-H or </w:t>
      </w:r>
      <w:proofErr w:type="spellStart"/>
      <w:r w:rsidRPr="00ED7D43">
        <w:t>dMMR</w:t>
      </w:r>
      <w:proofErr w:type="spellEnd"/>
      <w:r w:rsidRPr="00ED7D43">
        <w:t xml:space="preserve"> cancer enrolled in two </w:t>
      </w:r>
      <w:proofErr w:type="spellStart"/>
      <w:r w:rsidRPr="00ED7D43">
        <w:t>multicenter</w:t>
      </w:r>
      <w:proofErr w:type="spellEnd"/>
      <w:r w:rsidRPr="00ED7D43">
        <w:t xml:space="preserve">, nonrandomized, open-label, multi-cohort, single-arm, Phase II studies (KEYNOTE-164 and KEYNOTE-158). Regardless of histology, MSI or MMR tumour status was determined using polymerase chain reaction (PCR) or immunohistochemistry (IHC), </w:t>
      </w:r>
      <w:r w:rsidRPr="00ED7D43">
        <w:lastRenderedPageBreak/>
        <w:t xml:space="preserve">respectively. Efficacy was evaluated in 61 patients enrolled in KEYNOTE-164 with advanced MSI-H or </w:t>
      </w:r>
      <w:proofErr w:type="spellStart"/>
      <w:r w:rsidRPr="00ED7D43">
        <w:t>dMMR</w:t>
      </w:r>
      <w:proofErr w:type="spellEnd"/>
      <w:r w:rsidRPr="00ED7D43">
        <w:t xml:space="preserve"> colorectal cancer (CRC) that progressed following treatment with a </w:t>
      </w:r>
      <w:proofErr w:type="spellStart"/>
      <w:r w:rsidRPr="00ED7D43">
        <w:t>fluoropyrimidine</w:t>
      </w:r>
      <w:proofErr w:type="spellEnd"/>
      <w:r w:rsidRPr="00ED7D43">
        <w:t xml:space="preserve">, </w:t>
      </w:r>
      <w:proofErr w:type="spellStart"/>
      <w:r w:rsidRPr="00ED7D43">
        <w:t>oxaliplatin</w:t>
      </w:r>
      <w:proofErr w:type="spellEnd"/>
      <w:r w:rsidRPr="00ED7D43">
        <w:t xml:space="preserve">, and </w:t>
      </w:r>
      <w:proofErr w:type="spellStart"/>
      <w:r w:rsidRPr="00ED7D43">
        <w:t>irinotecan</w:t>
      </w:r>
      <w:proofErr w:type="spellEnd"/>
      <w:r w:rsidRPr="00ED7D43">
        <w:t xml:space="preserve">. Efficacy was also evaluated in 94 patients enrolled in KEYNOTE-158 with advanced MSI-H or </w:t>
      </w:r>
      <w:proofErr w:type="spellStart"/>
      <w:r w:rsidRPr="00ED7D43">
        <w:t>dMMR</w:t>
      </w:r>
      <w:proofErr w:type="spellEnd"/>
      <w:r w:rsidRPr="00ED7D43">
        <w:t xml:space="preserve"> non-colorectal cancer (non-CRC) who had disease progression following prior therapy. Patients with autoimmune disease or a medical condition that required immunosuppression were ineligible for either trial. Enrolled patients were required to have an ECOG PS of 0 or 1.</w:t>
      </w:r>
    </w:p>
    <w:p w:rsidR="00ED7D43" w:rsidRPr="00ED7D43" w:rsidRDefault="00ED7D43" w:rsidP="00ED7D43">
      <w:r w:rsidRPr="00ED7D43">
        <w:t xml:space="preserve">Patients received KEYTRUDA 200 mg every 3 weeks until unacceptable toxicity or disease progression. Clinically stable patients with initial evidence of disease progression were permitted to remain on treatment until disease progression was confirmed. Patients without disease progression were treated for up to 24 months. Treatment with pembrolizumab could be reinitiated for subsequent disease progression and administered for up to 1 additional year. Assessment of tumour status in KEYNOTE-164 was performed every 9 weeks and in KEYNOTE-158 every 9 weeks through the first year, then every 12 weeks thereafter. The major efficacy outcome measures were ORR and duration of response according to RECIST 1.1. </w:t>
      </w:r>
    </w:p>
    <w:p w:rsidR="00ED7D43" w:rsidRPr="00ED7D43" w:rsidRDefault="00ED7D43" w:rsidP="00ED7D43">
      <w:r w:rsidRPr="00ED7D43">
        <w:t>Among the 155 patients with MSI-H cancer, the baseline characteristics were: median age 60 years (40% age 65 or older); 55% male; 78% White, 20% Asian; and ECOG PS 0 (49%) and 1 (51%). Ninety-three percent of patients had M1 disease and 6% had M0 disease. Ninety percent of patients with CRC and 51% of patients with non-CRC received two or more prior lines of therapy.</w:t>
      </w:r>
    </w:p>
    <w:p w:rsidR="00ED7D43" w:rsidRPr="00ED7D43" w:rsidRDefault="00ED7D43" w:rsidP="00ED7D43">
      <w:r w:rsidRPr="00ED7D43">
        <w:t>The median follow-up time for 155 patients treated with KEYTRUDA was 9.7 months. Efficacy results are summarized in Table 28 and Table 29.</w:t>
      </w:r>
    </w:p>
    <w:p w:rsidR="00ED7D43" w:rsidRPr="00ED7D43" w:rsidRDefault="00ED7D43" w:rsidP="00D920A1">
      <w:pPr>
        <w:pStyle w:val="Tabletitle"/>
      </w:pPr>
      <w:r w:rsidRPr="00ED7D43">
        <w:t>Table 28: Efficacy Results for Patients with MSI-H/</w:t>
      </w:r>
      <w:proofErr w:type="spellStart"/>
      <w:r w:rsidRPr="00ED7D43">
        <w:t>dMMR</w:t>
      </w:r>
      <w:proofErr w:type="spellEnd"/>
      <w:r w:rsidRPr="00ED7D43">
        <w:t xml:space="preserve"> Cancer</w:t>
      </w:r>
    </w:p>
    <w:tbl>
      <w:tblPr>
        <w:tblStyle w:val="TableGrid"/>
        <w:tblW w:w="5000" w:type="pct"/>
        <w:tblLook w:val="04A0" w:firstRow="1" w:lastRow="0" w:firstColumn="1" w:lastColumn="0" w:noHBand="0" w:noVBand="1"/>
      </w:tblPr>
      <w:tblGrid>
        <w:gridCol w:w="4715"/>
        <w:gridCol w:w="4345"/>
      </w:tblGrid>
      <w:tr w:rsidR="00ED7D43" w:rsidRPr="00D920A1" w:rsidTr="00D920A1">
        <w:trPr>
          <w:trHeight w:val="466"/>
        </w:trPr>
        <w:tc>
          <w:tcPr>
            <w:tcW w:w="2602" w:type="pct"/>
          </w:tcPr>
          <w:p w:rsidR="00ED7D43" w:rsidRPr="00D920A1" w:rsidRDefault="00ED7D43" w:rsidP="00D920A1">
            <w:pPr>
              <w:rPr>
                <w:b/>
                <w:sz w:val="20"/>
                <w:szCs w:val="20"/>
              </w:rPr>
            </w:pPr>
            <w:r w:rsidRPr="00D920A1">
              <w:rPr>
                <w:b/>
                <w:sz w:val="20"/>
                <w:szCs w:val="20"/>
              </w:rPr>
              <w:t>Endpoint</w:t>
            </w:r>
          </w:p>
        </w:tc>
        <w:tc>
          <w:tcPr>
            <w:tcW w:w="2398" w:type="pct"/>
          </w:tcPr>
          <w:p w:rsidR="00ED7D43" w:rsidRPr="00D920A1" w:rsidRDefault="00ED7D43" w:rsidP="00D920A1">
            <w:pPr>
              <w:rPr>
                <w:sz w:val="20"/>
                <w:szCs w:val="20"/>
              </w:rPr>
            </w:pPr>
            <w:r w:rsidRPr="00D920A1">
              <w:rPr>
                <w:sz w:val="20"/>
                <w:szCs w:val="20"/>
              </w:rPr>
              <w:t>n=155</w:t>
            </w:r>
          </w:p>
        </w:tc>
      </w:tr>
      <w:tr w:rsidR="00ED7D43" w:rsidRPr="00D920A1" w:rsidTr="00ED7D43">
        <w:tc>
          <w:tcPr>
            <w:tcW w:w="2602" w:type="pct"/>
          </w:tcPr>
          <w:p w:rsidR="00ED7D43" w:rsidRPr="00D920A1" w:rsidRDefault="00ED7D43" w:rsidP="00D920A1">
            <w:pPr>
              <w:rPr>
                <w:b/>
                <w:sz w:val="20"/>
                <w:szCs w:val="20"/>
              </w:rPr>
            </w:pPr>
            <w:r w:rsidRPr="00D920A1">
              <w:rPr>
                <w:b/>
                <w:sz w:val="20"/>
                <w:szCs w:val="20"/>
              </w:rPr>
              <w:t>Objective Response Rate*</w:t>
            </w:r>
          </w:p>
        </w:tc>
        <w:tc>
          <w:tcPr>
            <w:tcW w:w="2398" w:type="pct"/>
          </w:tcPr>
          <w:p w:rsidR="00ED7D43" w:rsidRPr="00D920A1" w:rsidRDefault="00ED7D43" w:rsidP="00D920A1">
            <w:pPr>
              <w:rPr>
                <w:sz w:val="20"/>
                <w:szCs w:val="20"/>
              </w:rPr>
            </w:pPr>
          </w:p>
        </w:tc>
      </w:tr>
      <w:tr w:rsidR="00ED7D43" w:rsidRPr="00D920A1" w:rsidTr="00D920A1">
        <w:trPr>
          <w:trHeight w:val="525"/>
        </w:trPr>
        <w:tc>
          <w:tcPr>
            <w:tcW w:w="2602" w:type="pct"/>
          </w:tcPr>
          <w:p w:rsidR="00ED7D43" w:rsidRPr="00D920A1" w:rsidRDefault="00ED7D43" w:rsidP="00D920A1">
            <w:pPr>
              <w:rPr>
                <w:sz w:val="20"/>
                <w:szCs w:val="20"/>
              </w:rPr>
            </w:pPr>
            <w:r w:rsidRPr="00D920A1">
              <w:rPr>
                <w:sz w:val="20"/>
                <w:szCs w:val="20"/>
              </w:rPr>
              <w:tab/>
              <w:t>ORR %, (95% CI)</w:t>
            </w:r>
          </w:p>
        </w:tc>
        <w:tc>
          <w:tcPr>
            <w:tcW w:w="2398" w:type="pct"/>
          </w:tcPr>
          <w:p w:rsidR="00ED7D43" w:rsidRPr="00D920A1" w:rsidRDefault="00ED7D43" w:rsidP="00D920A1">
            <w:pPr>
              <w:rPr>
                <w:sz w:val="20"/>
                <w:szCs w:val="20"/>
              </w:rPr>
            </w:pPr>
            <w:r w:rsidRPr="00D920A1">
              <w:rPr>
                <w:sz w:val="20"/>
                <w:szCs w:val="20"/>
              </w:rPr>
              <w:t>34% (26, 42)</w:t>
            </w:r>
          </w:p>
        </w:tc>
      </w:tr>
      <w:tr w:rsidR="00ED7D43" w:rsidRPr="00D920A1" w:rsidTr="00ED7D43">
        <w:tc>
          <w:tcPr>
            <w:tcW w:w="2602" w:type="pct"/>
          </w:tcPr>
          <w:p w:rsidR="00ED7D43" w:rsidRPr="00D920A1" w:rsidRDefault="00ED7D43" w:rsidP="00D920A1">
            <w:pPr>
              <w:rPr>
                <w:sz w:val="20"/>
                <w:szCs w:val="20"/>
              </w:rPr>
            </w:pPr>
            <w:r w:rsidRPr="00D920A1">
              <w:rPr>
                <w:sz w:val="20"/>
                <w:szCs w:val="20"/>
              </w:rPr>
              <w:tab/>
            </w:r>
            <w:r w:rsidRPr="00D920A1">
              <w:rPr>
                <w:sz w:val="20"/>
                <w:szCs w:val="20"/>
              </w:rPr>
              <w:tab/>
              <w:t>Complete Response</w:t>
            </w:r>
          </w:p>
        </w:tc>
        <w:tc>
          <w:tcPr>
            <w:tcW w:w="2398" w:type="pct"/>
          </w:tcPr>
          <w:p w:rsidR="00ED7D43" w:rsidRPr="00D920A1" w:rsidRDefault="00ED7D43" w:rsidP="00D920A1">
            <w:pPr>
              <w:rPr>
                <w:sz w:val="20"/>
                <w:szCs w:val="20"/>
              </w:rPr>
            </w:pPr>
            <w:r w:rsidRPr="00D920A1">
              <w:rPr>
                <w:sz w:val="20"/>
                <w:szCs w:val="20"/>
              </w:rPr>
              <w:t>3%</w:t>
            </w:r>
          </w:p>
        </w:tc>
      </w:tr>
      <w:tr w:rsidR="00ED7D43" w:rsidRPr="00D920A1" w:rsidTr="00ED7D43">
        <w:tc>
          <w:tcPr>
            <w:tcW w:w="2602" w:type="pct"/>
          </w:tcPr>
          <w:p w:rsidR="00ED7D43" w:rsidRPr="00D920A1" w:rsidRDefault="00ED7D43" w:rsidP="00D920A1">
            <w:pPr>
              <w:rPr>
                <w:sz w:val="20"/>
                <w:szCs w:val="20"/>
              </w:rPr>
            </w:pPr>
            <w:r w:rsidRPr="00D920A1">
              <w:rPr>
                <w:sz w:val="20"/>
                <w:szCs w:val="20"/>
              </w:rPr>
              <w:tab/>
            </w:r>
            <w:r w:rsidRPr="00D920A1">
              <w:rPr>
                <w:sz w:val="20"/>
                <w:szCs w:val="20"/>
              </w:rPr>
              <w:tab/>
              <w:t>Partial Response</w:t>
            </w:r>
          </w:p>
        </w:tc>
        <w:tc>
          <w:tcPr>
            <w:tcW w:w="2398" w:type="pct"/>
          </w:tcPr>
          <w:p w:rsidR="00ED7D43" w:rsidRPr="00D920A1" w:rsidRDefault="00ED7D43" w:rsidP="00D920A1">
            <w:pPr>
              <w:rPr>
                <w:sz w:val="20"/>
                <w:szCs w:val="20"/>
              </w:rPr>
            </w:pPr>
            <w:r w:rsidRPr="00D920A1">
              <w:rPr>
                <w:sz w:val="20"/>
                <w:szCs w:val="20"/>
              </w:rPr>
              <w:t>31%</w:t>
            </w:r>
          </w:p>
        </w:tc>
      </w:tr>
      <w:tr w:rsidR="00ED7D43" w:rsidRPr="00D920A1" w:rsidTr="00ED7D43">
        <w:tc>
          <w:tcPr>
            <w:tcW w:w="2602" w:type="pct"/>
          </w:tcPr>
          <w:p w:rsidR="00ED7D43" w:rsidRPr="00D920A1" w:rsidRDefault="00ED7D43" w:rsidP="00D920A1">
            <w:pPr>
              <w:rPr>
                <w:b/>
                <w:sz w:val="20"/>
                <w:szCs w:val="20"/>
              </w:rPr>
            </w:pPr>
            <w:r w:rsidRPr="00D920A1">
              <w:rPr>
                <w:b/>
                <w:sz w:val="20"/>
                <w:szCs w:val="20"/>
              </w:rPr>
              <w:t>Response Duration*</w:t>
            </w:r>
          </w:p>
        </w:tc>
        <w:tc>
          <w:tcPr>
            <w:tcW w:w="2398" w:type="pct"/>
          </w:tcPr>
          <w:p w:rsidR="00ED7D43" w:rsidRPr="00D920A1" w:rsidRDefault="00ED7D43" w:rsidP="00D920A1">
            <w:pPr>
              <w:rPr>
                <w:sz w:val="20"/>
                <w:szCs w:val="20"/>
              </w:rPr>
            </w:pPr>
          </w:p>
        </w:tc>
      </w:tr>
      <w:tr w:rsidR="00ED7D43" w:rsidRPr="00D920A1" w:rsidTr="00ED7D43">
        <w:tc>
          <w:tcPr>
            <w:tcW w:w="2602" w:type="pct"/>
          </w:tcPr>
          <w:p w:rsidR="00ED7D43" w:rsidRPr="00D920A1" w:rsidRDefault="00ED7D43" w:rsidP="00D920A1">
            <w:pPr>
              <w:rPr>
                <w:sz w:val="20"/>
                <w:szCs w:val="20"/>
              </w:rPr>
            </w:pPr>
            <w:r w:rsidRPr="00D920A1">
              <w:rPr>
                <w:sz w:val="20"/>
                <w:szCs w:val="20"/>
              </w:rPr>
              <w:tab/>
            </w:r>
            <w:r w:rsidRPr="00D920A1">
              <w:rPr>
                <w:sz w:val="20"/>
                <w:szCs w:val="20"/>
              </w:rPr>
              <w:tab/>
              <w:t>Median in months (range)</w:t>
            </w:r>
          </w:p>
        </w:tc>
        <w:tc>
          <w:tcPr>
            <w:tcW w:w="2398" w:type="pct"/>
          </w:tcPr>
          <w:p w:rsidR="00ED7D43" w:rsidRPr="00D920A1" w:rsidRDefault="00ED7D43" w:rsidP="00D920A1">
            <w:pPr>
              <w:rPr>
                <w:sz w:val="20"/>
                <w:szCs w:val="20"/>
              </w:rPr>
            </w:pPr>
            <w:r w:rsidRPr="00D920A1">
              <w:rPr>
                <w:sz w:val="20"/>
                <w:szCs w:val="20"/>
              </w:rPr>
              <w:t>Not reached (2.1+, 12.5+)</w:t>
            </w:r>
          </w:p>
        </w:tc>
      </w:tr>
      <w:tr w:rsidR="00ED7D43" w:rsidRPr="00D920A1" w:rsidTr="00ED7D43">
        <w:tc>
          <w:tcPr>
            <w:tcW w:w="2602" w:type="pct"/>
          </w:tcPr>
          <w:p w:rsidR="00ED7D43" w:rsidRPr="00D920A1" w:rsidRDefault="00ED7D43" w:rsidP="00D920A1">
            <w:pPr>
              <w:rPr>
                <w:sz w:val="20"/>
                <w:szCs w:val="20"/>
              </w:rPr>
            </w:pPr>
            <w:r w:rsidRPr="00D920A1">
              <w:rPr>
                <w:sz w:val="20"/>
                <w:szCs w:val="20"/>
              </w:rPr>
              <w:tab/>
            </w:r>
            <w:r w:rsidRPr="00D920A1">
              <w:rPr>
                <w:sz w:val="20"/>
                <w:szCs w:val="20"/>
              </w:rPr>
              <w:tab/>
              <w:t>% with duration ≥ 6-months</w:t>
            </w:r>
          </w:p>
        </w:tc>
        <w:tc>
          <w:tcPr>
            <w:tcW w:w="2398" w:type="pct"/>
          </w:tcPr>
          <w:p w:rsidR="00ED7D43" w:rsidRPr="00D920A1" w:rsidRDefault="00ED7D43" w:rsidP="00D920A1">
            <w:pPr>
              <w:rPr>
                <w:sz w:val="20"/>
                <w:szCs w:val="20"/>
              </w:rPr>
            </w:pPr>
            <w:r w:rsidRPr="00D920A1">
              <w:rPr>
                <w:sz w:val="20"/>
                <w:szCs w:val="20"/>
              </w:rPr>
              <w:t>98%</w:t>
            </w:r>
            <w:r w:rsidRPr="00D920A1">
              <w:rPr>
                <w:sz w:val="20"/>
                <w:szCs w:val="20"/>
                <w:vertAlign w:val="superscript"/>
              </w:rPr>
              <w:t>†</w:t>
            </w:r>
          </w:p>
        </w:tc>
      </w:tr>
      <w:tr w:rsidR="00ED7D43" w:rsidRPr="00D920A1" w:rsidTr="00ED7D43">
        <w:tc>
          <w:tcPr>
            <w:tcW w:w="5000" w:type="pct"/>
            <w:gridSpan w:val="2"/>
            <w:tcBorders>
              <w:left w:val="nil"/>
              <w:bottom w:val="nil"/>
              <w:right w:val="nil"/>
            </w:tcBorders>
          </w:tcPr>
          <w:p w:rsidR="00ED7D43" w:rsidRPr="00D920A1" w:rsidRDefault="00ED7D43" w:rsidP="00D920A1">
            <w:pPr>
              <w:pStyle w:val="Tabledescription"/>
              <w:rPr>
                <w:sz w:val="20"/>
                <w:szCs w:val="20"/>
              </w:rPr>
            </w:pPr>
            <w:r w:rsidRPr="00D920A1">
              <w:rPr>
                <w:sz w:val="20"/>
                <w:szCs w:val="20"/>
              </w:rPr>
              <w:t>*Assessed by BICR using RECIST 1.1</w:t>
            </w:r>
          </w:p>
          <w:p w:rsidR="00ED7D43" w:rsidRPr="00D920A1" w:rsidRDefault="00ED7D43" w:rsidP="00D920A1">
            <w:pPr>
              <w:pStyle w:val="Tabledescription"/>
              <w:rPr>
                <w:sz w:val="20"/>
                <w:szCs w:val="20"/>
              </w:rPr>
            </w:pPr>
            <w:r w:rsidRPr="00D920A1">
              <w:rPr>
                <w:sz w:val="20"/>
                <w:szCs w:val="20"/>
                <w:vertAlign w:val="superscript"/>
              </w:rPr>
              <w:lastRenderedPageBreak/>
              <w:t xml:space="preserve">† </w:t>
            </w:r>
            <w:r w:rsidRPr="00D920A1">
              <w:rPr>
                <w:sz w:val="20"/>
                <w:szCs w:val="20"/>
              </w:rPr>
              <w:t>Based on Kaplan-Meier estimates, includes 32 patients with response of 6 months or longer</w:t>
            </w:r>
          </w:p>
          <w:p w:rsidR="00ED7D43" w:rsidRPr="00D920A1" w:rsidRDefault="00ED7D43" w:rsidP="00D920A1">
            <w:pPr>
              <w:rPr>
                <w:sz w:val="20"/>
                <w:szCs w:val="20"/>
              </w:rPr>
            </w:pPr>
          </w:p>
        </w:tc>
      </w:tr>
    </w:tbl>
    <w:p w:rsidR="00ED7D43" w:rsidRPr="00ED7D43" w:rsidRDefault="00ED7D43" w:rsidP="00D920A1">
      <w:pPr>
        <w:pStyle w:val="Tabletitle"/>
      </w:pPr>
      <w:r w:rsidRPr="00ED7D43">
        <w:lastRenderedPageBreak/>
        <w:t>Table 29: Response by Tumour Type</w:t>
      </w:r>
    </w:p>
    <w:tbl>
      <w:tblPr>
        <w:tblW w:w="5000" w:type="pct"/>
        <w:tblCellMar>
          <w:left w:w="115" w:type="dxa"/>
          <w:right w:w="115" w:type="dxa"/>
        </w:tblCellMar>
        <w:tblLook w:val="00A0" w:firstRow="1" w:lastRow="0" w:firstColumn="1" w:lastColumn="0" w:noHBand="0" w:noVBand="0"/>
      </w:tblPr>
      <w:tblGrid>
        <w:gridCol w:w="2158"/>
        <w:gridCol w:w="1122"/>
        <w:gridCol w:w="2055"/>
        <w:gridCol w:w="1696"/>
        <w:gridCol w:w="2029"/>
      </w:tblGrid>
      <w:tr w:rsidR="00ED7D43" w:rsidRPr="00ED7D43" w:rsidTr="00ED7D43">
        <w:trPr>
          <w:trHeight w:val="115"/>
        </w:trPr>
        <w:tc>
          <w:tcPr>
            <w:tcW w:w="1191" w:type="pct"/>
            <w:vMerge w:val="restart"/>
            <w:tcBorders>
              <w:top w:val="single" w:sz="4" w:space="0" w:color="auto"/>
              <w:left w:val="single" w:sz="4" w:space="0" w:color="auto"/>
              <w:right w:val="single" w:sz="4" w:space="0" w:color="auto"/>
            </w:tcBorders>
            <w:shd w:val="clear" w:color="auto" w:fill="auto"/>
            <w:noWrap/>
            <w:vAlign w:val="bottom"/>
          </w:tcPr>
          <w:p w:rsidR="00ED7D43" w:rsidRPr="00ED7D43" w:rsidRDefault="00ED7D43" w:rsidP="00ED7D43">
            <w:pPr>
              <w:rPr>
                <w:b/>
                <w:bCs/>
              </w:rPr>
            </w:pPr>
          </w:p>
        </w:tc>
        <w:tc>
          <w:tcPr>
            <w:tcW w:w="619" w:type="pct"/>
            <w:tcBorders>
              <w:top w:val="single" w:sz="4" w:space="0" w:color="auto"/>
              <w:left w:val="nil"/>
              <w:right w:val="single" w:sz="4" w:space="0" w:color="auto"/>
            </w:tcBorders>
            <w:shd w:val="clear" w:color="auto" w:fill="auto"/>
            <w:noWrap/>
            <w:vAlign w:val="bottom"/>
          </w:tcPr>
          <w:p w:rsidR="00ED7D43" w:rsidRPr="00ED7D43" w:rsidRDefault="00ED7D43" w:rsidP="00ED7D43">
            <w:pPr>
              <w:rPr>
                <w:b/>
                <w:bCs/>
              </w:rPr>
            </w:pPr>
          </w:p>
        </w:tc>
        <w:tc>
          <w:tcPr>
            <w:tcW w:w="2070" w:type="pct"/>
            <w:gridSpan w:val="2"/>
            <w:tcBorders>
              <w:top w:val="single" w:sz="4" w:space="0" w:color="auto"/>
              <w:left w:val="single" w:sz="4" w:space="0" w:color="auto"/>
              <w:right w:val="single" w:sz="4" w:space="0" w:color="auto"/>
            </w:tcBorders>
            <w:shd w:val="clear" w:color="auto" w:fill="auto"/>
            <w:noWrap/>
            <w:vAlign w:val="bottom"/>
          </w:tcPr>
          <w:p w:rsidR="00ED7D43" w:rsidRPr="00ED7D43" w:rsidRDefault="00ED7D43" w:rsidP="00ED7D43">
            <w:pPr>
              <w:rPr>
                <w:b/>
                <w:bCs/>
              </w:rPr>
            </w:pPr>
            <w:r w:rsidRPr="00ED7D43">
              <w:rPr>
                <w:b/>
                <w:bCs/>
              </w:rPr>
              <w:t>Objective response rate</w:t>
            </w:r>
          </w:p>
        </w:tc>
        <w:tc>
          <w:tcPr>
            <w:tcW w:w="1120" w:type="pct"/>
            <w:tcBorders>
              <w:top w:val="single" w:sz="4" w:space="0" w:color="auto"/>
              <w:left w:val="single" w:sz="4" w:space="0" w:color="auto"/>
              <w:right w:val="single" w:sz="4" w:space="0" w:color="auto"/>
            </w:tcBorders>
            <w:shd w:val="clear" w:color="auto" w:fill="auto"/>
            <w:noWrap/>
            <w:vAlign w:val="bottom"/>
          </w:tcPr>
          <w:p w:rsidR="00ED7D43" w:rsidRPr="00ED7D43" w:rsidRDefault="00ED7D43" w:rsidP="00ED7D43">
            <w:pPr>
              <w:rPr>
                <w:b/>
                <w:bCs/>
              </w:rPr>
            </w:pPr>
            <w:r w:rsidRPr="00ED7D43">
              <w:rPr>
                <w:b/>
                <w:bCs/>
              </w:rPr>
              <w:t>DOR range</w:t>
            </w:r>
          </w:p>
        </w:tc>
      </w:tr>
      <w:tr w:rsidR="00ED7D43" w:rsidRPr="00ED7D43" w:rsidTr="00ED7D43">
        <w:trPr>
          <w:trHeight w:val="20"/>
        </w:trPr>
        <w:tc>
          <w:tcPr>
            <w:tcW w:w="1191" w:type="pct"/>
            <w:vMerge/>
            <w:tcBorders>
              <w:left w:val="single" w:sz="4" w:space="0" w:color="auto"/>
              <w:bottom w:val="single" w:sz="4" w:space="0" w:color="auto"/>
              <w:right w:val="single" w:sz="4" w:space="0" w:color="auto"/>
            </w:tcBorders>
            <w:shd w:val="clear" w:color="auto" w:fill="auto"/>
            <w:noWrap/>
            <w:vAlign w:val="bottom"/>
            <w:hideMark/>
          </w:tcPr>
          <w:p w:rsidR="00ED7D43" w:rsidRPr="00ED7D43" w:rsidRDefault="00ED7D43" w:rsidP="00ED7D43">
            <w:pPr>
              <w:rPr>
                <w:b/>
                <w:bCs/>
              </w:rPr>
            </w:pPr>
          </w:p>
        </w:tc>
        <w:tc>
          <w:tcPr>
            <w:tcW w:w="619" w:type="pct"/>
            <w:tcBorders>
              <w:left w:val="single" w:sz="4" w:space="0" w:color="auto"/>
              <w:bottom w:val="single" w:sz="4" w:space="0" w:color="auto"/>
              <w:right w:val="single" w:sz="4" w:space="0" w:color="auto"/>
            </w:tcBorders>
            <w:shd w:val="clear" w:color="auto" w:fill="auto"/>
            <w:noWrap/>
            <w:vAlign w:val="bottom"/>
            <w:hideMark/>
          </w:tcPr>
          <w:p w:rsidR="00ED7D43" w:rsidRPr="00ED7D43" w:rsidRDefault="00ED7D43" w:rsidP="00ED7D43">
            <w:r w:rsidRPr="00ED7D43">
              <w:rPr>
                <w:b/>
                <w:bCs/>
              </w:rPr>
              <w:t>N</w:t>
            </w:r>
          </w:p>
        </w:tc>
        <w:tc>
          <w:tcPr>
            <w:tcW w:w="1134" w:type="pct"/>
            <w:tcBorders>
              <w:left w:val="single" w:sz="4" w:space="0" w:color="auto"/>
              <w:bottom w:val="single" w:sz="4" w:space="0" w:color="auto"/>
            </w:tcBorders>
            <w:shd w:val="clear" w:color="auto" w:fill="auto"/>
            <w:noWrap/>
            <w:vAlign w:val="bottom"/>
            <w:hideMark/>
          </w:tcPr>
          <w:p w:rsidR="00ED7D43" w:rsidRPr="00ED7D43" w:rsidRDefault="00ED7D43" w:rsidP="00ED7D43">
            <w:r w:rsidRPr="00ED7D43">
              <w:rPr>
                <w:b/>
                <w:bCs/>
              </w:rPr>
              <w:t>n (%)</w:t>
            </w:r>
          </w:p>
        </w:tc>
        <w:tc>
          <w:tcPr>
            <w:tcW w:w="936" w:type="pct"/>
            <w:tcBorders>
              <w:left w:val="nil"/>
              <w:bottom w:val="single" w:sz="4" w:space="0" w:color="auto"/>
              <w:right w:val="single" w:sz="4" w:space="0" w:color="auto"/>
            </w:tcBorders>
            <w:shd w:val="clear" w:color="auto" w:fill="auto"/>
            <w:noWrap/>
            <w:vAlign w:val="bottom"/>
            <w:hideMark/>
          </w:tcPr>
          <w:p w:rsidR="00ED7D43" w:rsidRPr="00ED7D43" w:rsidRDefault="00ED7D43" w:rsidP="00ED7D43">
            <w:r w:rsidRPr="00ED7D43">
              <w:rPr>
                <w:b/>
                <w:bCs/>
              </w:rPr>
              <w:t>95% CI</w:t>
            </w:r>
          </w:p>
        </w:tc>
        <w:tc>
          <w:tcPr>
            <w:tcW w:w="1120" w:type="pct"/>
            <w:tcBorders>
              <w:left w:val="single" w:sz="4" w:space="0" w:color="auto"/>
              <w:bottom w:val="single" w:sz="4" w:space="0" w:color="auto"/>
              <w:right w:val="single" w:sz="4" w:space="0" w:color="auto"/>
            </w:tcBorders>
            <w:shd w:val="clear" w:color="auto" w:fill="auto"/>
            <w:noWrap/>
            <w:vAlign w:val="bottom"/>
            <w:hideMark/>
          </w:tcPr>
          <w:p w:rsidR="00ED7D43" w:rsidRPr="00ED7D43" w:rsidRDefault="00ED7D43" w:rsidP="00ED7D43">
            <w:r w:rsidRPr="00ED7D43">
              <w:t>(months)</w:t>
            </w:r>
          </w:p>
        </w:tc>
      </w:tr>
      <w:tr w:rsidR="00ED7D43" w:rsidRPr="00ED7D43" w:rsidTr="00ED7D43">
        <w:trPr>
          <w:trHeight w:val="20"/>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D43" w:rsidRPr="00ED7D43" w:rsidRDefault="00ED7D43" w:rsidP="00ED7D43">
            <w:pPr>
              <w:rPr>
                <w:b/>
              </w:rPr>
            </w:pPr>
            <w:r w:rsidRPr="00ED7D43">
              <w:rPr>
                <w:b/>
              </w:rPr>
              <w:t>CRC</w:t>
            </w:r>
          </w:p>
        </w:tc>
        <w:tc>
          <w:tcPr>
            <w:tcW w:w="619" w:type="pct"/>
            <w:tcBorders>
              <w:top w:val="single" w:sz="4" w:space="0" w:color="auto"/>
              <w:left w:val="single" w:sz="4" w:space="0" w:color="auto"/>
              <w:bottom w:val="single" w:sz="4" w:space="0" w:color="auto"/>
              <w:right w:val="single" w:sz="4" w:space="0" w:color="auto"/>
            </w:tcBorders>
            <w:shd w:val="clear" w:color="auto" w:fill="auto"/>
            <w:noWrap/>
            <w:hideMark/>
          </w:tcPr>
          <w:p w:rsidR="00ED7D43" w:rsidRPr="00ED7D43" w:rsidRDefault="00ED7D43" w:rsidP="00ED7D43">
            <w:r w:rsidRPr="00ED7D43">
              <w:t>61</w:t>
            </w:r>
          </w:p>
        </w:tc>
        <w:tc>
          <w:tcPr>
            <w:tcW w:w="1134" w:type="pct"/>
            <w:tcBorders>
              <w:top w:val="single" w:sz="4" w:space="0" w:color="auto"/>
              <w:left w:val="single" w:sz="4" w:space="0" w:color="auto"/>
              <w:bottom w:val="single" w:sz="4" w:space="0" w:color="auto"/>
            </w:tcBorders>
            <w:shd w:val="clear" w:color="auto" w:fill="auto"/>
            <w:noWrap/>
          </w:tcPr>
          <w:p w:rsidR="00ED7D43" w:rsidRPr="00ED7D43" w:rsidRDefault="00ED7D43" w:rsidP="00ED7D43">
            <w:r w:rsidRPr="00ED7D43">
              <w:t>17 (28%)</w:t>
            </w:r>
          </w:p>
        </w:tc>
        <w:tc>
          <w:tcPr>
            <w:tcW w:w="936" w:type="pct"/>
            <w:tcBorders>
              <w:top w:val="single" w:sz="4" w:space="0" w:color="auto"/>
              <w:left w:val="nil"/>
              <w:bottom w:val="single" w:sz="4" w:space="0" w:color="auto"/>
              <w:right w:val="single" w:sz="4" w:space="0" w:color="auto"/>
            </w:tcBorders>
            <w:shd w:val="clear" w:color="auto" w:fill="auto"/>
            <w:noWrap/>
          </w:tcPr>
          <w:p w:rsidR="00ED7D43" w:rsidRPr="00ED7D43" w:rsidRDefault="00ED7D43" w:rsidP="00ED7D43">
            <w:r w:rsidRPr="00ED7D43">
              <w:t>(17%, 41%)</w:t>
            </w:r>
          </w:p>
        </w:tc>
        <w:tc>
          <w:tcPr>
            <w:tcW w:w="1120"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2.9+ - 12.5+</w:t>
            </w:r>
          </w:p>
        </w:tc>
      </w:tr>
      <w:tr w:rsidR="00ED7D43" w:rsidRPr="00ED7D43" w:rsidTr="00ED7D43">
        <w:trPr>
          <w:trHeight w:val="20"/>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ED7D43" w:rsidRPr="00ED7D43" w:rsidRDefault="00ED7D43" w:rsidP="00ED7D43">
            <w:pPr>
              <w:rPr>
                <w:b/>
              </w:rPr>
            </w:pPr>
            <w:r w:rsidRPr="00ED7D43">
              <w:rPr>
                <w:b/>
              </w:rPr>
              <w:t>Non-CRC</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94</w:t>
            </w:r>
          </w:p>
        </w:tc>
        <w:tc>
          <w:tcPr>
            <w:tcW w:w="1134" w:type="pct"/>
            <w:tcBorders>
              <w:top w:val="single" w:sz="4" w:space="0" w:color="auto"/>
              <w:left w:val="single" w:sz="4" w:space="0" w:color="auto"/>
              <w:bottom w:val="single" w:sz="4" w:space="0" w:color="auto"/>
            </w:tcBorders>
            <w:shd w:val="clear" w:color="auto" w:fill="auto"/>
            <w:noWrap/>
          </w:tcPr>
          <w:p w:rsidR="00ED7D43" w:rsidRPr="00ED7D43" w:rsidDel="005363D4" w:rsidRDefault="00ED7D43" w:rsidP="00ED7D43">
            <w:r w:rsidRPr="00ED7D43">
              <w:t>35 (37%)</w:t>
            </w:r>
          </w:p>
        </w:tc>
        <w:tc>
          <w:tcPr>
            <w:tcW w:w="936" w:type="pct"/>
            <w:tcBorders>
              <w:top w:val="single" w:sz="4" w:space="0" w:color="auto"/>
              <w:left w:val="nil"/>
              <w:bottom w:val="single" w:sz="4" w:space="0" w:color="auto"/>
              <w:right w:val="single" w:sz="4" w:space="0" w:color="auto"/>
            </w:tcBorders>
            <w:shd w:val="clear" w:color="auto" w:fill="auto"/>
            <w:noWrap/>
          </w:tcPr>
          <w:p w:rsidR="00ED7D43" w:rsidRPr="00ED7D43" w:rsidRDefault="00ED7D43" w:rsidP="00ED7D43">
            <w:r w:rsidRPr="00ED7D43">
              <w:t>(28%, 48%)</w:t>
            </w:r>
          </w:p>
        </w:tc>
        <w:tc>
          <w:tcPr>
            <w:tcW w:w="1120"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2.1+ - 10.7+</w:t>
            </w:r>
          </w:p>
        </w:tc>
      </w:tr>
      <w:tr w:rsidR="00ED7D43" w:rsidRPr="00ED7D43" w:rsidTr="00ED7D43">
        <w:trPr>
          <w:trHeight w:val="20"/>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D43" w:rsidRPr="00ED7D43" w:rsidRDefault="00ED7D43" w:rsidP="00ED7D43">
            <w:r w:rsidRPr="00ED7D43">
              <w:t>Endometrial</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24</w:t>
            </w:r>
          </w:p>
        </w:tc>
        <w:tc>
          <w:tcPr>
            <w:tcW w:w="1134" w:type="pct"/>
            <w:tcBorders>
              <w:top w:val="single" w:sz="4" w:space="0" w:color="auto"/>
              <w:left w:val="single" w:sz="4" w:space="0" w:color="auto"/>
              <w:bottom w:val="single" w:sz="4" w:space="0" w:color="auto"/>
            </w:tcBorders>
            <w:shd w:val="clear" w:color="auto" w:fill="auto"/>
            <w:noWrap/>
          </w:tcPr>
          <w:p w:rsidR="00ED7D43" w:rsidRPr="00ED7D43" w:rsidRDefault="00ED7D43" w:rsidP="00ED7D43">
            <w:r w:rsidRPr="00ED7D43">
              <w:t>13 (54%)</w:t>
            </w:r>
          </w:p>
        </w:tc>
        <w:tc>
          <w:tcPr>
            <w:tcW w:w="936" w:type="pct"/>
            <w:tcBorders>
              <w:top w:val="single" w:sz="4" w:space="0" w:color="auto"/>
              <w:left w:val="nil"/>
              <w:bottom w:val="single" w:sz="4" w:space="0" w:color="auto"/>
              <w:right w:val="single" w:sz="4" w:space="0" w:color="auto"/>
            </w:tcBorders>
            <w:shd w:val="clear" w:color="auto" w:fill="auto"/>
            <w:noWrap/>
          </w:tcPr>
          <w:p w:rsidR="00ED7D43" w:rsidRPr="00ED7D43" w:rsidRDefault="00ED7D43" w:rsidP="00ED7D43">
            <w:r w:rsidRPr="00ED7D43">
              <w:t>(33%, 74%)</w:t>
            </w:r>
          </w:p>
        </w:tc>
        <w:tc>
          <w:tcPr>
            <w:tcW w:w="1120"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2.1+ - 8.4+</w:t>
            </w:r>
          </w:p>
        </w:tc>
      </w:tr>
      <w:tr w:rsidR="00ED7D43" w:rsidRPr="00ED7D43" w:rsidTr="00ED7D43">
        <w:trPr>
          <w:trHeight w:val="20"/>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ED7D43" w:rsidRPr="00ED7D43" w:rsidRDefault="00ED7D43" w:rsidP="00ED7D43">
            <w:r w:rsidRPr="00ED7D43">
              <w:t>Gastric</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13</w:t>
            </w:r>
          </w:p>
        </w:tc>
        <w:tc>
          <w:tcPr>
            <w:tcW w:w="1134" w:type="pct"/>
            <w:tcBorders>
              <w:top w:val="single" w:sz="4" w:space="0" w:color="auto"/>
              <w:left w:val="single" w:sz="4" w:space="0" w:color="auto"/>
              <w:bottom w:val="single" w:sz="4" w:space="0" w:color="auto"/>
            </w:tcBorders>
            <w:shd w:val="clear" w:color="auto" w:fill="auto"/>
            <w:noWrap/>
          </w:tcPr>
          <w:p w:rsidR="00ED7D43" w:rsidRPr="00ED7D43" w:rsidRDefault="00ED7D43" w:rsidP="00ED7D43">
            <w:r w:rsidRPr="00ED7D43">
              <w:t>6 (46%)</w:t>
            </w:r>
          </w:p>
        </w:tc>
        <w:tc>
          <w:tcPr>
            <w:tcW w:w="936" w:type="pct"/>
            <w:tcBorders>
              <w:top w:val="single" w:sz="4" w:space="0" w:color="auto"/>
              <w:left w:val="nil"/>
              <w:bottom w:val="single" w:sz="4" w:space="0" w:color="auto"/>
              <w:right w:val="single" w:sz="4" w:space="0" w:color="auto"/>
            </w:tcBorders>
            <w:shd w:val="clear" w:color="auto" w:fill="auto"/>
            <w:noWrap/>
          </w:tcPr>
          <w:p w:rsidR="00ED7D43" w:rsidRPr="00ED7D43" w:rsidRDefault="00ED7D43" w:rsidP="00ED7D43">
            <w:r w:rsidRPr="00ED7D43">
              <w:t>(19%, 75%)</w:t>
            </w:r>
          </w:p>
        </w:tc>
        <w:tc>
          <w:tcPr>
            <w:tcW w:w="1120"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4.0+ - 8.6+</w:t>
            </w:r>
          </w:p>
        </w:tc>
      </w:tr>
      <w:tr w:rsidR="00ED7D43" w:rsidRPr="00ED7D43" w:rsidTr="00ED7D43">
        <w:trPr>
          <w:trHeight w:val="20"/>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ED7D43" w:rsidRPr="00ED7D43" w:rsidRDefault="00ED7D43" w:rsidP="00ED7D43">
            <w:r w:rsidRPr="00ED7D43">
              <w:t>Small intestinal</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13</w:t>
            </w:r>
          </w:p>
        </w:tc>
        <w:tc>
          <w:tcPr>
            <w:tcW w:w="1134" w:type="pct"/>
            <w:tcBorders>
              <w:top w:val="single" w:sz="4" w:space="0" w:color="auto"/>
              <w:left w:val="single" w:sz="4" w:space="0" w:color="auto"/>
              <w:bottom w:val="single" w:sz="4" w:space="0" w:color="auto"/>
            </w:tcBorders>
            <w:shd w:val="clear" w:color="auto" w:fill="auto"/>
            <w:noWrap/>
          </w:tcPr>
          <w:p w:rsidR="00ED7D43" w:rsidRPr="00ED7D43" w:rsidRDefault="00ED7D43" w:rsidP="00ED7D43">
            <w:r w:rsidRPr="00ED7D43">
              <w:t>4 (31%)</w:t>
            </w:r>
          </w:p>
        </w:tc>
        <w:tc>
          <w:tcPr>
            <w:tcW w:w="936" w:type="pct"/>
            <w:tcBorders>
              <w:top w:val="single" w:sz="4" w:space="0" w:color="auto"/>
              <w:left w:val="nil"/>
              <w:bottom w:val="single" w:sz="4" w:space="0" w:color="auto"/>
              <w:right w:val="single" w:sz="4" w:space="0" w:color="auto"/>
            </w:tcBorders>
            <w:shd w:val="clear" w:color="auto" w:fill="auto"/>
            <w:noWrap/>
          </w:tcPr>
          <w:p w:rsidR="00ED7D43" w:rsidRPr="00ED7D43" w:rsidRDefault="00ED7D43" w:rsidP="00ED7D43">
            <w:r w:rsidRPr="00ED7D43">
              <w:t>(9%, 61%)</w:t>
            </w:r>
          </w:p>
        </w:tc>
        <w:tc>
          <w:tcPr>
            <w:tcW w:w="1120"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2.2+ - 10.4+</w:t>
            </w:r>
          </w:p>
        </w:tc>
      </w:tr>
      <w:tr w:rsidR="00ED7D43" w:rsidRPr="00ED7D43" w:rsidTr="00ED7D43">
        <w:trPr>
          <w:trHeight w:val="20"/>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D43" w:rsidRPr="00ED7D43" w:rsidRDefault="00ED7D43" w:rsidP="00ED7D43">
            <w:r w:rsidRPr="00ED7D43">
              <w:t>Pancreatic</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10</w:t>
            </w:r>
          </w:p>
        </w:tc>
        <w:tc>
          <w:tcPr>
            <w:tcW w:w="1134" w:type="pct"/>
            <w:tcBorders>
              <w:top w:val="single" w:sz="4" w:space="0" w:color="auto"/>
              <w:left w:val="single" w:sz="4" w:space="0" w:color="auto"/>
              <w:bottom w:val="single" w:sz="4" w:space="0" w:color="auto"/>
            </w:tcBorders>
            <w:shd w:val="clear" w:color="auto" w:fill="auto"/>
            <w:noWrap/>
          </w:tcPr>
          <w:p w:rsidR="00ED7D43" w:rsidRPr="00ED7D43" w:rsidRDefault="00ED7D43" w:rsidP="00ED7D43">
            <w:r w:rsidRPr="00ED7D43">
              <w:t>1 (10%)</w:t>
            </w:r>
          </w:p>
        </w:tc>
        <w:tc>
          <w:tcPr>
            <w:tcW w:w="936" w:type="pct"/>
            <w:tcBorders>
              <w:top w:val="single" w:sz="4" w:space="0" w:color="auto"/>
              <w:left w:val="nil"/>
              <w:bottom w:val="single" w:sz="4" w:space="0" w:color="auto"/>
              <w:right w:val="single" w:sz="4" w:space="0" w:color="auto"/>
            </w:tcBorders>
            <w:shd w:val="clear" w:color="auto" w:fill="auto"/>
            <w:noWrap/>
          </w:tcPr>
          <w:p w:rsidR="00ED7D43" w:rsidRPr="00ED7D43" w:rsidRDefault="00ED7D43" w:rsidP="00ED7D43">
            <w:r w:rsidRPr="00ED7D43">
              <w:t>(0.3%, 45%)</w:t>
            </w:r>
          </w:p>
        </w:tc>
        <w:tc>
          <w:tcPr>
            <w:tcW w:w="1120"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8.1</w:t>
            </w:r>
          </w:p>
        </w:tc>
      </w:tr>
      <w:tr w:rsidR="00ED7D43" w:rsidRPr="00ED7D43" w:rsidTr="00ED7D43">
        <w:trPr>
          <w:trHeight w:val="20"/>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ED7D43" w:rsidRPr="00ED7D43" w:rsidRDefault="00ED7D43" w:rsidP="00ED7D43">
            <w:proofErr w:type="spellStart"/>
            <w:r w:rsidRPr="00ED7D43">
              <w:t>Cholangiocarcinoma</w:t>
            </w:r>
            <w:proofErr w:type="spellEnd"/>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9</w:t>
            </w:r>
          </w:p>
        </w:tc>
        <w:tc>
          <w:tcPr>
            <w:tcW w:w="1134" w:type="pct"/>
            <w:tcBorders>
              <w:top w:val="single" w:sz="4" w:space="0" w:color="auto"/>
              <w:left w:val="single" w:sz="4" w:space="0" w:color="auto"/>
              <w:bottom w:val="single" w:sz="4" w:space="0" w:color="auto"/>
            </w:tcBorders>
            <w:shd w:val="clear" w:color="auto" w:fill="auto"/>
            <w:noWrap/>
          </w:tcPr>
          <w:p w:rsidR="00ED7D43" w:rsidRPr="00ED7D43" w:rsidRDefault="00ED7D43" w:rsidP="00ED7D43">
            <w:r w:rsidRPr="00ED7D43">
              <w:t>2 (22%)</w:t>
            </w:r>
          </w:p>
        </w:tc>
        <w:tc>
          <w:tcPr>
            <w:tcW w:w="936" w:type="pct"/>
            <w:tcBorders>
              <w:top w:val="single" w:sz="4" w:space="0" w:color="auto"/>
              <w:left w:val="nil"/>
              <w:bottom w:val="single" w:sz="4" w:space="0" w:color="auto"/>
              <w:right w:val="single" w:sz="4" w:space="0" w:color="auto"/>
            </w:tcBorders>
            <w:shd w:val="clear" w:color="auto" w:fill="auto"/>
            <w:noWrap/>
          </w:tcPr>
          <w:p w:rsidR="00ED7D43" w:rsidRPr="00ED7D43" w:rsidRDefault="00ED7D43" w:rsidP="00ED7D43">
            <w:r w:rsidRPr="00ED7D43">
              <w:t>(3%, 60%)</w:t>
            </w:r>
          </w:p>
        </w:tc>
        <w:tc>
          <w:tcPr>
            <w:tcW w:w="1120"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4.2+ - 6.5+</w:t>
            </w:r>
          </w:p>
        </w:tc>
      </w:tr>
      <w:tr w:rsidR="00ED7D43" w:rsidRPr="00ED7D43" w:rsidTr="00ED7D43">
        <w:trPr>
          <w:trHeight w:val="20"/>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ED7D43" w:rsidRPr="00ED7D43" w:rsidRDefault="00ED7D43" w:rsidP="00ED7D43">
            <w:r w:rsidRPr="00ED7D43">
              <w:t>Adrenocortical</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3</w:t>
            </w:r>
          </w:p>
        </w:tc>
        <w:tc>
          <w:tcPr>
            <w:tcW w:w="1134" w:type="pct"/>
            <w:tcBorders>
              <w:top w:val="single" w:sz="4" w:space="0" w:color="auto"/>
              <w:left w:val="single" w:sz="4" w:space="0" w:color="auto"/>
              <w:bottom w:val="single" w:sz="4" w:space="0" w:color="auto"/>
            </w:tcBorders>
            <w:shd w:val="clear" w:color="auto" w:fill="auto"/>
            <w:noWrap/>
          </w:tcPr>
          <w:p w:rsidR="00ED7D43" w:rsidRPr="00ED7D43" w:rsidRDefault="00ED7D43" w:rsidP="00ED7D43">
            <w:r w:rsidRPr="00ED7D43">
              <w:t>1 (33%)</w:t>
            </w:r>
          </w:p>
        </w:tc>
        <w:tc>
          <w:tcPr>
            <w:tcW w:w="936" w:type="pct"/>
            <w:tcBorders>
              <w:top w:val="single" w:sz="4" w:space="0" w:color="auto"/>
              <w:left w:val="nil"/>
              <w:bottom w:val="single" w:sz="4" w:space="0" w:color="auto"/>
              <w:right w:val="single" w:sz="4" w:space="0" w:color="auto"/>
            </w:tcBorders>
            <w:shd w:val="clear" w:color="auto" w:fill="auto"/>
            <w:noWrap/>
          </w:tcPr>
          <w:p w:rsidR="00ED7D43" w:rsidRPr="00ED7D43" w:rsidRDefault="00ED7D43" w:rsidP="00ED7D43">
            <w:r w:rsidRPr="00ED7D43">
              <w:t>(0.8%, 91%)</w:t>
            </w:r>
          </w:p>
        </w:tc>
        <w:tc>
          <w:tcPr>
            <w:tcW w:w="1120"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2.1+</w:t>
            </w:r>
          </w:p>
        </w:tc>
      </w:tr>
      <w:tr w:rsidR="00ED7D43" w:rsidRPr="00ED7D43" w:rsidTr="00ED7D43">
        <w:trPr>
          <w:trHeight w:val="20"/>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ED7D43" w:rsidRPr="00ED7D43" w:rsidRDefault="00ED7D43" w:rsidP="00ED7D43">
            <w:r w:rsidRPr="00ED7D43">
              <w:t>Mesothelioma</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3</w:t>
            </w:r>
          </w:p>
        </w:tc>
        <w:tc>
          <w:tcPr>
            <w:tcW w:w="1134" w:type="pct"/>
            <w:tcBorders>
              <w:top w:val="single" w:sz="4" w:space="0" w:color="auto"/>
              <w:left w:val="single" w:sz="4" w:space="0" w:color="auto"/>
              <w:bottom w:val="single" w:sz="4" w:space="0" w:color="auto"/>
            </w:tcBorders>
            <w:shd w:val="clear" w:color="auto" w:fill="auto"/>
            <w:noWrap/>
          </w:tcPr>
          <w:p w:rsidR="00ED7D43" w:rsidRPr="00ED7D43" w:rsidRDefault="00ED7D43" w:rsidP="00ED7D43">
            <w:r w:rsidRPr="00ED7D43">
              <w:t>SD, PD, PD</w:t>
            </w:r>
          </w:p>
        </w:tc>
        <w:tc>
          <w:tcPr>
            <w:tcW w:w="936" w:type="pct"/>
            <w:tcBorders>
              <w:top w:val="single" w:sz="4" w:space="0" w:color="auto"/>
              <w:left w:val="nil"/>
              <w:bottom w:val="single" w:sz="4" w:space="0" w:color="auto"/>
              <w:right w:val="single" w:sz="4" w:space="0" w:color="auto"/>
            </w:tcBorders>
            <w:shd w:val="clear" w:color="auto" w:fill="auto"/>
            <w:noWrap/>
          </w:tcPr>
          <w:p w:rsidR="00ED7D43" w:rsidRPr="00ED7D43" w:rsidRDefault="00ED7D43" w:rsidP="00ED7D43"/>
        </w:tc>
        <w:tc>
          <w:tcPr>
            <w:tcW w:w="1120"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tc>
      </w:tr>
      <w:tr w:rsidR="00ED7D43" w:rsidRPr="00ED7D43" w:rsidTr="00ED7D43">
        <w:trPr>
          <w:trHeight w:val="20"/>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ED7D43" w:rsidRPr="00ED7D43" w:rsidRDefault="00ED7D43" w:rsidP="00ED7D43">
            <w:r w:rsidRPr="00ED7D43">
              <w:t>Small cell lung</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3</w:t>
            </w:r>
          </w:p>
        </w:tc>
        <w:tc>
          <w:tcPr>
            <w:tcW w:w="1134" w:type="pct"/>
            <w:tcBorders>
              <w:top w:val="single" w:sz="4" w:space="0" w:color="auto"/>
              <w:left w:val="single" w:sz="4" w:space="0" w:color="auto"/>
              <w:bottom w:val="single" w:sz="4" w:space="0" w:color="auto"/>
            </w:tcBorders>
            <w:shd w:val="clear" w:color="auto" w:fill="auto"/>
            <w:noWrap/>
          </w:tcPr>
          <w:p w:rsidR="00ED7D43" w:rsidRPr="00ED7D43" w:rsidRDefault="00ED7D43" w:rsidP="00ED7D43">
            <w:r w:rsidRPr="00ED7D43">
              <w:t>2 (67%)</w:t>
            </w:r>
          </w:p>
        </w:tc>
        <w:tc>
          <w:tcPr>
            <w:tcW w:w="936" w:type="pct"/>
            <w:tcBorders>
              <w:top w:val="single" w:sz="4" w:space="0" w:color="auto"/>
              <w:left w:val="nil"/>
              <w:bottom w:val="single" w:sz="4" w:space="0" w:color="auto"/>
              <w:right w:val="single" w:sz="4" w:space="0" w:color="auto"/>
            </w:tcBorders>
            <w:shd w:val="clear" w:color="auto" w:fill="auto"/>
            <w:noWrap/>
          </w:tcPr>
          <w:p w:rsidR="00ED7D43" w:rsidRPr="00ED7D43" w:rsidRDefault="00ED7D43" w:rsidP="00ED7D43">
            <w:r w:rsidRPr="00ED7D43">
              <w:t>(9%, 99%)</w:t>
            </w:r>
          </w:p>
        </w:tc>
        <w:tc>
          <w:tcPr>
            <w:tcW w:w="1120"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6.7+ - 10.7+</w:t>
            </w:r>
          </w:p>
        </w:tc>
      </w:tr>
      <w:tr w:rsidR="00ED7D43" w:rsidRPr="00ED7D43" w:rsidTr="00ED7D43">
        <w:trPr>
          <w:trHeight w:val="20"/>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ED7D43" w:rsidRPr="00ED7D43" w:rsidRDefault="00ED7D43" w:rsidP="00ED7D43">
            <w:r w:rsidRPr="00ED7D43">
              <w:t xml:space="preserve">Cervical </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2</w:t>
            </w:r>
          </w:p>
        </w:tc>
        <w:tc>
          <w:tcPr>
            <w:tcW w:w="1134" w:type="pct"/>
            <w:tcBorders>
              <w:top w:val="single" w:sz="4" w:space="0" w:color="auto"/>
              <w:left w:val="single" w:sz="4" w:space="0" w:color="auto"/>
              <w:bottom w:val="single" w:sz="4" w:space="0" w:color="auto"/>
            </w:tcBorders>
            <w:shd w:val="clear" w:color="auto" w:fill="auto"/>
            <w:noWrap/>
          </w:tcPr>
          <w:p w:rsidR="00ED7D43" w:rsidRPr="00ED7D43" w:rsidRDefault="00ED7D43" w:rsidP="00ED7D43">
            <w:r w:rsidRPr="00ED7D43">
              <w:t>PR, PD</w:t>
            </w:r>
          </w:p>
        </w:tc>
        <w:tc>
          <w:tcPr>
            <w:tcW w:w="936" w:type="pct"/>
            <w:tcBorders>
              <w:top w:val="single" w:sz="4" w:space="0" w:color="auto"/>
              <w:left w:val="nil"/>
              <w:bottom w:val="single" w:sz="4" w:space="0" w:color="auto"/>
              <w:right w:val="single" w:sz="4" w:space="0" w:color="auto"/>
            </w:tcBorders>
            <w:shd w:val="clear" w:color="auto" w:fill="auto"/>
            <w:noWrap/>
          </w:tcPr>
          <w:p w:rsidR="00ED7D43" w:rsidRPr="00ED7D43" w:rsidRDefault="00ED7D43" w:rsidP="00ED7D43"/>
        </w:tc>
        <w:tc>
          <w:tcPr>
            <w:tcW w:w="1120"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6.9+</w:t>
            </w:r>
          </w:p>
        </w:tc>
      </w:tr>
      <w:tr w:rsidR="00ED7D43" w:rsidRPr="00ED7D43" w:rsidTr="00ED7D43">
        <w:trPr>
          <w:trHeight w:val="20"/>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ED7D43" w:rsidRPr="00ED7D43" w:rsidRDefault="00ED7D43" w:rsidP="00ED7D43">
            <w:r w:rsidRPr="00ED7D43">
              <w:t>Neuroendocrine</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2</w:t>
            </w:r>
          </w:p>
        </w:tc>
        <w:tc>
          <w:tcPr>
            <w:tcW w:w="1134" w:type="pct"/>
            <w:tcBorders>
              <w:top w:val="single" w:sz="4" w:space="0" w:color="auto"/>
              <w:left w:val="single" w:sz="4" w:space="0" w:color="auto"/>
              <w:bottom w:val="single" w:sz="4" w:space="0" w:color="auto"/>
            </w:tcBorders>
            <w:shd w:val="clear" w:color="auto" w:fill="auto"/>
            <w:noWrap/>
          </w:tcPr>
          <w:p w:rsidR="00ED7D43" w:rsidRPr="00ED7D43" w:rsidRDefault="00ED7D43" w:rsidP="00ED7D43">
            <w:r w:rsidRPr="00ED7D43">
              <w:t>SD, PD</w:t>
            </w:r>
          </w:p>
        </w:tc>
        <w:tc>
          <w:tcPr>
            <w:tcW w:w="936" w:type="pct"/>
            <w:tcBorders>
              <w:top w:val="single" w:sz="4" w:space="0" w:color="auto"/>
              <w:left w:val="nil"/>
              <w:bottom w:val="single" w:sz="4" w:space="0" w:color="auto"/>
              <w:right w:val="single" w:sz="4" w:space="0" w:color="auto"/>
            </w:tcBorders>
            <w:shd w:val="clear" w:color="auto" w:fill="auto"/>
            <w:noWrap/>
          </w:tcPr>
          <w:p w:rsidR="00ED7D43" w:rsidRPr="00ED7D43" w:rsidRDefault="00ED7D43" w:rsidP="00ED7D43"/>
        </w:tc>
        <w:tc>
          <w:tcPr>
            <w:tcW w:w="1120"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tc>
      </w:tr>
      <w:tr w:rsidR="00ED7D43" w:rsidRPr="00ED7D43" w:rsidTr="00ED7D43">
        <w:trPr>
          <w:trHeight w:val="20"/>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ED7D43" w:rsidRPr="00ED7D43" w:rsidRDefault="00ED7D43" w:rsidP="00ED7D43">
            <w:r w:rsidRPr="00ED7D43">
              <w:t>Thyroid</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2</w:t>
            </w:r>
          </w:p>
        </w:tc>
        <w:tc>
          <w:tcPr>
            <w:tcW w:w="1134" w:type="pct"/>
            <w:tcBorders>
              <w:top w:val="single" w:sz="4" w:space="0" w:color="auto"/>
              <w:left w:val="single" w:sz="4" w:space="0" w:color="auto"/>
              <w:bottom w:val="single" w:sz="4" w:space="0" w:color="auto"/>
            </w:tcBorders>
            <w:shd w:val="clear" w:color="auto" w:fill="auto"/>
            <w:noWrap/>
          </w:tcPr>
          <w:p w:rsidR="00ED7D43" w:rsidRPr="00ED7D43" w:rsidRDefault="00ED7D43" w:rsidP="00ED7D43">
            <w:r w:rsidRPr="00ED7D43">
              <w:t>SD, PD</w:t>
            </w:r>
          </w:p>
        </w:tc>
        <w:tc>
          <w:tcPr>
            <w:tcW w:w="936" w:type="pct"/>
            <w:tcBorders>
              <w:top w:val="single" w:sz="4" w:space="0" w:color="auto"/>
              <w:left w:val="nil"/>
              <w:bottom w:val="single" w:sz="4" w:space="0" w:color="auto"/>
              <w:right w:val="single" w:sz="4" w:space="0" w:color="auto"/>
            </w:tcBorders>
            <w:shd w:val="clear" w:color="auto" w:fill="auto"/>
            <w:noWrap/>
          </w:tcPr>
          <w:p w:rsidR="00ED7D43" w:rsidRPr="00ED7D43" w:rsidRDefault="00ED7D43" w:rsidP="00ED7D43"/>
        </w:tc>
        <w:tc>
          <w:tcPr>
            <w:tcW w:w="1120"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tc>
      </w:tr>
      <w:tr w:rsidR="00ED7D43" w:rsidRPr="00ED7D43" w:rsidTr="00ED7D43">
        <w:trPr>
          <w:trHeight w:val="20"/>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ED7D43" w:rsidRPr="00ED7D43" w:rsidRDefault="00ED7D43" w:rsidP="00ED7D43">
            <w:r w:rsidRPr="00ED7D43">
              <w:t>Urothelial</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2</w:t>
            </w:r>
          </w:p>
        </w:tc>
        <w:tc>
          <w:tcPr>
            <w:tcW w:w="1134" w:type="pct"/>
            <w:tcBorders>
              <w:top w:val="single" w:sz="4" w:space="0" w:color="auto"/>
              <w:left w:val="single" w:sz="4" w:space="0" w:color="auto"/>
              <w:bottom w:val="single" w:sz="4" w:space="0" w:color="auto"/>
            </w:tcBorders>
            <w:shd w:val="clear" w:color="auto" w:fill="auto"/>
            <w:noWrap/>
          </w:tcPr>
          <w:p w:rsidR="00ED7D43" w:rsidRPr="00ED7D43" w:rsidRDefault="00ED7D43" w:rsidP="00ED7D43">
            <w:r w:rsidRPr="00ED7D43">
              <w:t>PR, PD</w:t>
            </w:r>
          </w:p>
        </w:tc>
        <w:tc>
          <w:tcPr>
            <w:tcW w:w="936" w:type="pct"/>
            <w:tcBorders>
              <w:top w:val="single" w:sz="4" w:space="0" w:color="auto"/>
              <w:left w:val="nil"/>
              <w:bottom w:val="single" w:sz="4" w:space="0" w:color="auto"/>
              <w:right w:val="single" w:sz="4" w:space="0" w:color="auto"/>
            </w:tcBorders>
            <w:shd w:val="clear" w:color="auto" w:fill="auto"/>
            <w:noWrap/>
          </w:tcPr>
          <w:p w:rsidR="00ED7D43" w:rsidRPr="00ED7D43" w:rsidRDefault="00ED7D43" w:rsidP="00ED7D43"/>
        </w:tc>
        <w:tc>
          <w:tcPr>
            <w:tcW w:w="1120"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8.3+</w:t>
            </w:r>
          </w:p>
        </w:tc>
      </w:tr>
      <w:tr w:rsidR="00ED7D43" w:rsidRPr="00ED7D43" w:rsidTr="00ED7D43">
        <w:trPr>
          <w:trHeight w:val="20"/>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ED7D43" w:rsidRPr="00ED7D43" w:rsidRDefault="00ED7D43" w:rsidP="00ED7D43">
            <w:r w:rsidRPr="00ED7D43">
              <w:t>Brain</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1</w:t>
            </w:r>
          </w:p>
        </w:tc>
        <w:tc>
          <w:tcPr>
            <w:tcW w:w="1134" w:type="pct"/>
            <w:tcBorders>
              <w:top w:val="single" w:sz="4" w:space="0" w:color="auto"/>
              <w:left w:val="single" w:sz="4" w:space="0" w:color="auto"/>
              <w:bottom w:val="single" w:sz="4" w:space="0" w:color="auto"/>
            </w:tcBorders>
            <w:shd w:val="clear" w:color="auto" w:fill="auto"/>
            <w:noWrap/>
          </w:tcPr>
          <w:p w:rsidR="00ED7D43" w:rsidRPr="00ED7D43" w:rsidRDefault="00ED7D43" w:rsidP="00ED7D43">
            <w:r w:rsidRPr="00ED7D43">
              <w:t>PD</w:t>
            </w:r>
          </w:p>
        </w:tc>
        <w:tc>
          <w:tcPr>
            <w:tcW w:w="936" w:type="pct"/>
            <w:tcBorders>
              <w:top w:val="single" w:sz="4" w:space="0" w:color="auto"/>
              <w:left w:val="nil"/>
              <w:bottom w:val="single" w:sz="4" w:space="0" w:color="auto"/>
              <w:right w:val="single" w:sz="4" w:space="0" w:color="auto"/>
            </w:tcBorders>
            <w:shd w:val="clear" w:color="auto" w:fill="auto"/>
            <w:noWrap/>
          </w:tcPr>
          <w:p w:rsidR="00ED7D43" w:rsidRPr="00ED7D43" w:rsidRDefault="00ED7D43" w:rsidP="00ED7D43"/>
        </w:tc>
        <w:tc>
          <w:tcPr>
            <w:tcW w:w="1120"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tc>
      </w:tr>
      <w:tr w:rsidR="00ED7D43" w:rsidRPr="00ED7D43" w:rsidTr="00ED7D43">
        <w:trPr>
          <w:trHeight w:val="20"/>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ED7D43" w:rsidRPr="00ED7D43" w:rsidRDefault="00ED7D43" w:rsidP="00ED7D43">
            <w:r w:rsidRPr="00ED7D43">
              <w:lastRenderedPageBreak/>
              <w:t>Ovarian</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1</w:t>
            </w:r>
          </w:p>
        </w:tc>
        <w:tc>
          <w:tcPr>
            <w:tcW w:w="1134" w:type="pct"/>
            <w:tcBorders>
              <w:top w:val="single" w:sz="4" w:space="0" w:color="auto"/>
              <w:left w:val="single" w:sz="4" w:space="0" w:color="auto"/>
              <w:bottom w:val="single" w:sz="4" w:space="0" w:color="auto"/>
            </w:tcBorders>
            <w:shd w:val="clear" w:color="auto" w:fill="auto"/>
            <w:noWrap/>
          </w:tcPr>
          <w:p w:rsidR="00ED7D43" w:rsidRPr="00ED7D43" w:rsidRDefault="00ED7D43" w:rsidP="00ED7D43">
            <w:r w:rsidRPr="00ED7D43">
              <w:t>PD</w:t>
            </w:r>
          </w:p>
        </w:tc>
        <w:tc>
          <w:tcPr>
            <w:tcW w:w="936" w:type="pct"/>
            <w:tcBorders>
              <w:top w:val="single" w:sz="4" w:space="0" w:color="auto"/>
              <w:left w:val="nil"/>
              <w:bottom w:val="single" w:sz="4" w:space="0" w:color="auto"/>
              <w:right w:val="single" w:sz="4" w:space="0" w:color="auto"/>
            </w:tcBorders>
            <w:shd w:val="clear" w:color="auto" w:fill="auto"/>
            <w:noWrap/>
          </w:tcPr>
          <w:p w:rsidR="00ED7D43" w:rsidRPr="00ED7D43" w:rsidRDefault="00ED7D43" w:rsidP="00ED7D43"/>
        </w:tc>
        <w:tc>
          <w:tcPr>
            <w:tcW w:w="1120"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tc>
      </w:tr>
      <w:tr w:rsidR="00ED7D43" w:rsidRPr="00ED7D43" w:rsidTr="00ED7D43">
        <w:trPr>
          <w:trHeight w:val="20"/>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ED7D43" w:rsidRPr="00ED7D43" w:rsidRDefault="00ED7D43" w:rsidP="00ED7D43">
            <w:r w:rsidRPr="00ED7D43">
              <w:t>Prostate cancer</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1</w:t>
            </w:r>
          </w:p>
        </w:tc>
        <w:tc>
          <w:tcPr>
            <w:tcW w:w="1134" w:type="pct"/>
            <w:tcBorders>
              <w:top w:val="single" w:sz="4" w:space="0" w:color="auto"/>
              <w:left w:val="single" w:sz="4" w:space="0" w:color="auto"/>
              <w:bottom w:val="single" w:sz="4" w:space="0" w:color="auto"/>
            </w:tcBorders>
            <w:shd w:val="clear" w:color="auto" w:fill="auto"/>
            <w:noWrap/>
          </w:tcPr>
          <w:p w:rsidR="00ED7D43" w:rsidRPr="00ED7D43" w:rsidRDefault="00ED7D43" w:rsidP="00ED7D43">
            <w:r w:rsidRPr="00ED7D43">
              <w:t>SD</w:t>
            </w:r>
          </w:p>
        </w:tc>
        <w:tc>
          <w:tcPr>
            <w:tcW w:w="936" w:type="pct"/>
            <w:tcBorders>
              <w:top w:val="single" w:sz="4" w:space="0" w:color="auto"/>
              <w:left w:val="nil"/>
              <w:bottom w:val="single" w:sz="4" w:space="0" w:color="auto"/>
              <w:right w:val="single" w:sz="4" w:space="0" w:color="auto"/>
            </w:tcBorders>
            <w:shd w:val="clear" w:color="auto" w:fill="auto"/>
            <w:noWrap/>
          </w:tcPr>
          <w:p w:rsidR="00ED7D43" w:rsidRPr="00ED7D43" w:rsidRDefault="00ED7D43" w:rsidP="00ED7D43"/>
        </w:tc>
        <w:tc>
          <w:tcPr>
            <w:tcW w:w="1120"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tc>
      </w:tr>
      <w:tr w:rsidR="00ED7D43" w:rsidRPr="00ED7D43" w:rsidTr="00ED7D43">
        <w:trPr>
          <w:trHeight w:val="20"/>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ED7D43" w:rsidRPr="00ED7D43" w:rsidRDefault="00ED7D43" w:rsidP="00ED7D43">
            <w:r w:rsidRPr="00ED7D43">
              <w:t>Retroperitoneal</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1</w:t>
            </w:r>
          </w:p>
        </w:tc>
        <w:tc>
          <w:tcPr>
            <w:tcW w:w="1134" w:type="pct"/>
            <w:tcBorders>
              <w:top w:val="single" w:sz="4" w:space="0" w:color="auto"/>
              <w:left w:val="single" w:sz="4" w:space="0" w:color="auto"/>
              <w:bottom w:val="single" w:sz="4" w:space="0" w:color="auto"/>
            </w:tcBorders>
            <w:shd w:val="clear" w:color="auto" w:fill="auto"/>
            <w:noWrap/>
          </w:tcPr>
          <w:p w:rsidR="00ED7D43" w:rsidRPr="00ED7D43" w:rsidRDefault="00ED7D43" w:rsidP="00ED7D43">
            <w:r w:rsidRPr="00ED7D43">
              <w:t>PR</w:t>
            </w:r>
          </w:p>
        </w:tc>
        <w:tc>
          <w:tcPr>
            <w:tcW w:w="936" w:type="pct"/>
            <w:tcBorders>
              <w:top w:val="single" w:sz="4" w:space="0" w:color="auto"/>
              <w:left w:val="nil"/>
              <w:bottom w:val="single" w:sz="4" w:space="0" w:color="auto"/>
              <w:right w:val="single" w:sz="4" w:space="0" w:color="auto"/>
            </w:tcBorders>
            <w:shd w:val="clear" w:color="auto" w:fill="auto"/>
            <w:noWrap/>
          </w:tcPr>
          <w:p w:rsidR="00ED7D43" w:rsidRPr="00ED7D43" w:rsidRDefault="00ED7D43" w:rsidP="00ED7D43"/>
        </w:tc>
        <w:tc>
          <w:tcPr>
            <w:tcW w:w="1120"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6.2+</w:t>
            </w:r>
          </w:p>
        </w:tc>
      </w:tr>
      <w:tr w:rsidR="00ED7D43" w:rsidRPr="00ED7D43" w:rsidTr="00ED7D43">
        <w:trPr>
          <w:trHeight w:val="20"/>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ED7D43" w:rsidRPr="00ED7D43" w:rsidRDefault="00ED7D43" w:rsidP="00ED7D43">
            <w:r w:rsidRPr="00ED7D43">
              <w:t>Salivary</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1</w:t>
            </w:r>
          </w:p>
        </w:tc>
        <w:tc>
          <w:tcPr>
            <w:tcW w:w="1134" w:type="pct"/>
            <w:tcBorders>
              <w:top w:val="single" w:sz="4" w:space="0" w:color="auto"/>
              <w:left w:val="single" w:sz="4" w:space="0" w:color="auto"/>
              <w:bottom w:val="single" w:sz="4" w:space="0" w:color="auto"/>
            </w:tcBorders>
            <w:shd w:val="clear" w:color="auto" w:fill="auto"/>
            <w:noWrap/>
          </w:tcPr>
          <w:p w:rsidR="00ED7D43" w:rsidRPr="00ED7D43" w:rsidRDefault="00ED7D43" w:rsidP="00ED7D43">
            <w:r w:rsidRPr="00ED7D43">
              <w:t>PR</w:t>
            </w:r>
          </w:p>
        </w:tc>
        <w:tc>
          <w:tcPr>
            <w:tcW w:w="936" w:type="pct"/>
            <w:tcBorders>
              <w:top w:val="single" w:sz="4" w:space="0" w:color="auto"/>
              <w:left w:val="nil"/>
              <w:bottom w:val="single" w:sz="4" w:space="0" w:color="auto"/>
              <w:right w:val="single" w:sz="4" w:space="0" w:color="auto"/>
            </w:tcBorders>
            <w:shd w:val="clear" w:color="auto" w:fill="auto"/>
            <w:noWrap/>
          </w:tcPr>
          <w:p w:rsidR="00ED7D43" w:rsidRPr="00ED7D43" w:rsidRDefault="00ED7D43" w:rsidP="00ED7D43"/>
        </w:tc>
        <w:tc>
          <w:tcPr>
            <w:tcW w:w="1120"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10.7+</w:t>
            </w:r>
          </w:p>
        </w:tc>
      </w:tr>
      <w:tr w:rsidR="00ED7D43" w:rsidRPr="00ED7D43" w:rsidTr="00ED7D43">
        <w:trPr>
          <w:trHeight w:val="20"/>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ED7D43" w:rsidRPr="00ED7D43" w:rsidRDefault="00ED7D43" w:rsidP="00ED7D43">
            <w:r w:rsidRPr="00ED7D43">
              <w:t>Sarcoma</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1</w:t>
            </w:r>
          </w:p>
        </w:tc>
        <w:tc>
          <w:tcPr>
            <w:tcW w:w="1134" w:type="pct"/>
            <w:tcBorders>
              <w:top w:val="single" w:sz="4" w:space="0" w:color="auto"/>
              <w:left w:val="single" w:sz="4" w:space="0" w:color="auto"/>
              <w:bottom w:val="single" w:sz="4" w:space="0" w:color="auto"/>
            </w:tcBorders>
            <w:shd w:val="clear" w:color="auto" w:fill="auto"/>
            <w:noWrap/>
          </w:tcPr>
          <w:p w:rsidR="00ED7D43" w:rsidRPr="00ED7D43" w:rsidRDefault="00ED7D43" w:rsidP="00ED7D43">
            <w:r w:rsidRPr="00ED7D43">
              <w:t>PR</w:t>
            </w:r>
          </w:p>
        </w:tc>
        <w:tc>
          <w:tcPr>
            <w:tcW w:w="936" w:type="pct"/>
            <w:tcBorders>
              <w:top w:val="single" w:sz="4" w:space="0" w:color="auto"/>
              <w:left w:val="nil"/>
              <w:bottom w:val="single" w:sz="4" w:space="0" w:color="auto"/>
              <w:right w:val="single" w:sz="4" w:space="0" w:color="auto"/>
            </w:tcBorders>
            <w:shd w:val="clear" w:color="auto" w:fill="auto"/>
            <w:noWrap/>
          </w:tcPr>
          <w:p w:rsidR="00ED7D43" w:rsidRPr="00ED7D43" w:rsidRDefault="00ED7D43" w:rsidP="00ED7D43"/>
        </w:tc>
        <w:tc>
          <w:tcPr>
            <w:tcW w:w="1120"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4.2</w:t>
            </w:r>
          </w:p>
        </w:tc>
      </w:tr>
      <w:tr w:rsidR="00ED7D43" w:rsidRPr="00ED7D43" w:rsidTr="00ED7D43">
        <w:trPr>
          <w:trHeight w:val="20"/>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ED7D43" w:rsidRPr="00ED7D43" w:rsidRDefault="00ED7D43" w:rsidP="00ED7D43">
            <w:r w:rsidRPr="00ED7D43">
              <w:t>Testicular</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1</w:t>
            </w:r>
          </w:p>
        </w:tc>
        <w:tc>
          <w:tcPr>
            <w:tcW w:w="1134" w:type="pct"/>
            <w:tcBorders>
              <w:top w:val="single" w:sz="4" w:space="0" w:color="auto"/>
              <w:left w:val="single" w:sz="4" w:space="0" w:color="auto"/>
              <w:bottom w:val="single" w:sz="4" w:space="0" w:color="auto"/>
            </w:tcBorders>
            <w:shd w:val="clear" w:color="auto" w:fill="auto"/>
            <w:noWrap/>
          </w:tcPr>
          <w:p w:rsidR="00ED7D43" w:rsidRPr="00ED7D43" w:rsidRDefault="00ED7D43" w:rsidP="00ED7D43">
            <w:r w:rsidRPr="00ED7D43">
              <w:t>PD</w:t>
            </w:r>
          </w:p>
        </w:tc>
        <w:tc>
          <w:tcPr>
            <w:tcW w:w="936" w:type="pct"/>
            <w:tcBorders>
              <w:top w:val="single" w:sz="4" w:space="0" w:color="auto"/>
              <w:left w:val="nil"/>
              <w:bottom w:val="single" w:sz="4" w:space="0" w:color="auto"/>
              <w:right w:val="single" w:sz="4" w:space="0" w:color="auto"/>
            </w:tcBorders>
            <w:shd w:val="clear" w:color="auto" w:fill="auto"/>
            <w:noWrap/>
          </w:tcPr>
          <w:p w:rsidR="00ED7D43" w:rsidRPr="00ED7D43" w:rsidRDefault="00ED7D43" w:rsidP="00ED7D43"/>
        </w:tc>
        <w:tc>
          <w:tcPr>
            <w:tcW w:w="1120"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tc>
      </w:tr>
      <w:tr w:rsidR="00ED7D43" w:rsidRPr="00ED7D43" w:rsidTr="00ED7D43">
        <w:trPr>
          <w:trHeight w:val="20"/>
        </w:trPr>
        <w:tc>
          <w:tcPr>
            <w:tcW w:w="11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ED7D43" w:rsidRPr="00ED7D43" w:rsidRDefault="00ED7D43" w:rsidP="00ED7D43">
            <w:r w:rsidRPr="00ED7D43">
              <w:t>Tonsillar</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1</w:t>
            </w:r>
          </w:p>
        </w:tc>
        <w:tc>
          <w:tcPr>
            <w:tcW w:w="1134" w:type="pct"/>
            <w:tcBorders>
              <w:top w:val="single" w:sz="4" w:space="0" w:color="auto"/>
              <w:left w:val="single" w:sz="4" w:space="0" w:color="auto"/>
              <w:bottom w:val="single" w:sz="4" w:space="0" w:color="auto"/>
            </w:tcBorders>
            <w:shd w:val="clear" w:color="auto" w:fill="auto"/>
            <w:noWrap/>
          </w:tcPr>
          <w:p w:rsidR="00ED7D43" w:rsidRPr="00ED7D43" w:rsidRDefault="00ED7D43" w:rsidP="00ED7D43">
            <w:r w:rsidRPr="00ED7D43">
              <w:t>PR</w:t>
            </w:r>
          </w:p>
        </w:tc>
        <w:tc>
          <w:tcPr>
            <w:tcW w:w="936" w:type="pct"/>
            <w:tcBorders>
              <w:top w:val="single" w:sz="4" w:space="0" w:color="auto"/>
              <w:left w:val="nil"/>
              <w:bottom w:val="single" w:sz="4" w:space="0" w:color="auto"/>
              <w:right w:val="single" w:sz="4" w:space="0" w:color="auto"/>
            </w:tcBorders>
            <w:shd w:val="clear" w:color="auto" w:fill="auto"/>
            <w:noWrap/>
          </w:tcPr>
          <w:p w:rsidR="00ED7D43" w:rsidRPr="00ED7D43" w:rsidRDefault="00ED7D43" w:rsidP="00ED7D43"/>
        </w:tc>
        <w:tc>
          <w:tcPr>
            <w:tcW w:w="1120" w:type="pct"/>
            <w:tcBorders>
              <w:top w:val="single" w:sz="4" w:space="0" w:color="auto"/>
              <w:left w:val="single" w:sz="4" w:space="0" w:color="auto"/>
              <w:bottom w:val="single" w:sz="4" w:space="0" w:color="auto"/>
              <w:right w:val="single" w:sz="4" w:space="0" w:color="auto"/>
            </w:tcBorders>
            <w:shd w:val="clear" w:color="auto" w:fill="auto"/>
            <w:noWrap/>
          </w:tcPr>
          <w:p w:rsidR="00ED7D43" w:rsidRPr="00ED7D43" w:rsidRDefault="00ED7D43" w:rsidP="00ED7D43">
            <w:r w:rsidRPr="00ED7D43">
              <w:tab/>
              <w:t>4.2+</w:t>
            </w:r>
            <w:r w:rsidRPr="00ED7D43">
              <w:tab/>
            </w:r>
          </w:p>
        </w:tc>
      </w:tr>
      <w:tr w:rsidR="00ED7D43" w:rsidRPr="00ED7D43" w:rsidTr="00ED7D43">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D7D43" w:rsidRPr="00ED7D43" w:rsidRDefault="00ED7D43" w:rsidP="00D920A1">
            <w:pPr>
              <w:numPr>
                <w:ilvl w:val="0"/>
                <w:numId w:val="3"/>
              </w:numPr>
              <w:tabs>
                <w:tab w:val="num" w:pos="360"/>
              </w:tabs>
            </w:pPr>
            <w:r w:rsidRPr="00ED7D43">
              <w:t>CR = complete response</w:t>
            </w:r>
          </w:p>
          <w:p w:rsidR="00ED7D43" w:rsidRPr="00ED7D43" w:rsidRDefault="00ED7D43" w:rsidP="00D920A1">
            <w:pPr>
              <w:numPr>
                <w:ilvl w:val="0"/>
                <w:numId w:val="3"/>
              </w:numPr>
              <w:tabs>
                <w:tab w:val="num" w:pos="360"/>
              </w:tabs>
            </w:pPr>
            <w:r w:rsidRPr="00ED7D43">
              <w:t>PR = partial response</w:t>
            </w:r>
          </w:p>
          <w:p w:rsidR="00ED7D43" w:rsidRPr="00ED7D43" w:rsidRDefault="00ED7D43" w:rsidP="00D920A1">
            <w:pPr>
              <w:numPr>
                <w:ilvl w:val="0"/>
                <w:numId w:val="3"/>
              </w:numPr>
              <w:tabs>
                <w:tab w:val="num" w:pos="360"/>
              </w:tabs>
            </w:pPr>
            <w:r w:rsidRPr="00ED7D43">
              <w:t>SD = stable disease</w:t>
            </w:r>
          </w:p>
          <w:p w:rsidR="00ED7D43" w:rsidRPr="00ED7D43" w:rsidRDefault="00ED7D43" w:rsidP="00D920A1">
            <w:pPr>
              <w:numPr>
                <w:ilvl w:val="0"/>
                <w:numId w:val="3"/>
              </w:numPr>
              <w:tabs>
                <w:tab w:val="num" w:pos="360"/>
              </w:tabs>
            </w:pPr>
            <w:r w:rsidRPr="00ED7D43">
              <w:t>PD = progressive disease</w:t>
            </w:r>
          </w:p>
        </w:tc>
      </w:tr>
    </w:tbl>
    <w:p w:rsidR="00ED7D43" w:rsidRPr="00ED7D43" w:rsidRDefault="00ED7D43" w:rsidP="00ED7D43">
      <w:pPr>
        <w:rPr>
          <w:u w:val="single"/>
        </w:rPr>
      </w:pPr>
      <w:r w:rsidRPr="00ED7D43">
        <w:rPr>
          <w:u w:val="single"/>
        </w:rPr>
        <w:t>Endometrial Carcinoma</w:t>
      </w:r>
    </w:p>
    <w:p w:rsidR="00ED7D43" w:rsidRPr="00ED7D43" w:rsidRDefault="00ED7D43" w:rsidP="00ED7D43">
      <w:pPr>
        <w:rPr>
          <w:i/>
        </w:rPr>
      </w:pPr>
      <w:r w:rsidRPr="00ED7D43">
        <w:rPr>
          <w:i/>
        </w:rPr>
        <w:t>KEYNOTE-146: an open-label, multi-cohort trial in patients with endometrial carcinoma that had progressed following at least one prior systemic therapy</w:t>
      </w:r>
    </w:p>
    <w:p w:rsidR="00ED7D43" w:rsidRPr="00ED7D43" w:rsidRDefault="00ED7D43" w:rsidP="00ED7D43">
      <w:r w:rsidRPr="00ED7D43">
        <w:t>The efficacy of KEYTRUDA in combination with lenvatinib was investigated in KEYNOTE</w:t>
      </w:r>
      <w:r w:rsidRPr="00ED7D43">
        <w:noBreakHyphen/>
        <w:t>146</w:t>
      </w:r>
      <w:r w:rsidRPr="00ED7D43">
        <w:rPr>
          <w:lang w:val="en-GB"/>
        </w:rPr>
        <w:t xml:space="preserve">, a single-arm, multicentre, open-label, multi-cohort trial that enrolled 108 patients with metastatic endometrial carcinoma that had progressed following at least one prior systemic therapy in any setting. Patients with active autoimmune disease or a medical condition that required immunosuppression were ineligible. </w:t>
      </w:r>
      <w:r w:rsidRPr="00ED7D43">
        <w:t>Patients were treated with KEYTRUDA 200 mg intravenously every 3 weeks in combination with lenvatinib 20 mg orally once daily until unacceptable toxicity or disease progression as determined by the investigator.</w:t>
      </w:r>
      <w:r w:rsidRPr="00ED7D43">
        <w:rPr>
          <w:lang w:val="en-GB"/>
        </w:rPr>
        <w:t xml:space="preserve"> The major efficacy outcome measures were ORR and DOR by independent radiologic review committee (IRC) using RECIST v1.1.</w:t>
      </w:r>
    </w:p>
    <w:p w:rsidR="00ED7D43" w:rsidRPr="00ED7D43" w:rsidRDefault="00ED7D43" w:rsidP="00ED7D43">
      <w:pPr>
        <w:rPr>
          <w:lang w:val="en-GB"/>
        </w:rPr>
      </w:pPr>
      <w:r w:rsidRPr="00ED7D43">
        <w:rPr>
          <w:lang w:val="en-GB"/>
        </w:rPr>
        <w:t>Administration of KEYTRUDA and</w:t>
      </w:r>
      <w:r w:rsidRPr="00ED7D43">
        <w:t xml:space="preserve"> lenvatinib</w:t>
      </w:r>
      <w:r w:rsidRPr="00ED7D43">
        <w:rPr>
          <w:lang w:val="en-GB"/>
        </w:rPr>
        <w:t xml:space="preserve"> was permitted beyond RECIST-defined disease progression if the patient was clinically stable and considered by the investigator to be deriving clinical benefit. KEYTRUDA dosing was continued for a maximum of 24 months; however, treatment with </w:t>
      </w:r>
      <w:r w:rsidRPr="00ED7D43">
        <w:t>lenvatinib</w:t>
      </w:r>
      <w:r w:rsidRPr="00ED7D43">
        <w:rPr>
          <w:lang w:val="en-GB"/>
        </w:rPr>
        <w:t xml:space="preserve"> could be continued beyond 24 months.</w:t>
      </w:r>
      <w:r w:rsidRPr="00ED7D43">
        <w:t xml:space="preserve"> </w:t>
      </w:r>
      <w:r w:rsidRPr="00ED7D43">
        <w:rPr>
          <w:lang w:val="en-GB"/>
        </w:rPr>
        <w:t>Assessment of tumour status was performed at baseline and then every 6 weeks until week 24, followed by every 9 weeks thereafter.</w:t>
      </w:r>
    </w:p>
    <w:p w:rsidR="00ED7D43" w:rsidRPr="00ED7D43" w:rsidRDefault="00ED7D43" w:rsidP="00ED7D43">
      <w:pPr>
        <w:rPr>
          <w:lang w:val="en-GB"/>
        </w:rPr>
      </w:pPr>
      <w:r w:rsidRPr="00ED7D43">
        <w:rPr>
          <w:lang w:val="en-GB"/>
        </w:rPr>
        <w:t xml:space="preserve">Among the 108 patients, 87% (n=94) had tumours that were not MSI-H or </w:t>
      </w:r>
      <w:proofErr w:type="spellStart"/>
      <w:r w:rsidRPr="00ED7D43">
        <w:rPr>
          <w:lang w:val="en-GB"/>
        </w:rPr>
        <w:t>dMMR</w:t>
      </w:r>
      <w:proofErr w:type="spellEnd"/>
      <w:r w:rsidRPr="00ED7D43">
        <w:rPr>
          <w:lang w:val="en-GB"/>
        </w:rPr>
        <w:t xml:space="preserve">, 10% (n=11) had tumours that were MSI-H or </w:t>
      </w:r>
      <w:proofErr w:type="spellStart"/>
      <w:r w:rsidRPr="00ED7D43">
        <w:rPr>
          <w:lang w:val="en-GB"/>
        </w:rPr>
        <w:t>dMMR</w:t>
      </w:r>
      <w:proofErr w:type="spellEnd"/>
      <w:r w:rsidRPr="00ED7D43">
        <w:rPr>
          <w:lang w:val="en-GB"/>
        </w:rPr>
        <w:t xml:space="preserve">, and in 3% (n=3) the status was not known. Tumour MSI </w:t>
      </w:r>
      <w:r w:rsidRPr="00ED7D43">
        <w:rPr>
          <w:lang w:val="en-GB"/>
        </w:rPr>
        <w:lastRenderedPageBreak/>
        <w:t xml:space="preserve">status was determined using a polymerase chain reaction (PCR) test. Tumour MMR status was determined using an immunohistochemistry (IHC) test. The baseline characteristics of the 94 patients with tumours that were not MSI-H or </w:t>
      </w:r>
      <w:proofErr w:type="spellStart"/>
      <w:r w:rsidRPr="00ED7D43">
        <w:rPr>
          <w:lang w:val="en-GB"/>
        </w:rPr>
        <w:t>dMMR</w:t>
      </w:r>
      <w:proofErr w:type="spellEnd"/>
      <w:r w:rsidRPr="00ED7D43">
        <w:rPr>
          <w:lang w:val="en-GB"/>
        </w:rPr>
        <w:t xml:space="preserve"> were: median age of 66 years with 62% age 65 or older; and 86% White, 6% Black, 4% Asian, 3% other races; and ECOG PS of 0 (52%) or 1 (48%). All 94 of these patients received prior systemic therapy for endometrial carcinoma: 51% had one, 38% had two, and 11% had three or more prior systemic therapies.</w:t>
      </w:r>
    </w:p>
    <w:p w:rsidR="00ED7D43" w:rsidRPr="00ED7D43" w:rsidRDefault="00ED7D43" w:rsidP="00ED7D43">
      <w:r w:rsidRPr="00ED7D43">
        <w:t>Efficacy results are summarised in Table 30.</w:t>
      </w:r>
    </w:p>
    <w:p w:rsidR="00ED7D43" w:rsidRPr="00ED7D43" w:rsidRDefault="00ED7D43" w:rsidP="00D920A1">
      <w:pPr>
        <w:pStyle w:val="Tabletitle"/>
      </w:pPr>
      <w:r w:rsidRPr="00ED7D43">
        <w:t>Table 30: Efficacy results in KEYNOTE-146</w:t>
      </w:r>
    </w:p>
    <w:tbl>
      <w:tblPr>
        <w:tblW w:w="6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2"/>
        <w:gridCol w:w="2119"/>
      </w:tblGrid>
      <w:tr w:rsidR="00ED7D43" w:rsidRPr="00ED7D43" w:rsidTr="00ED7D43">
        <w:trPr>
          <w:trHeight w:val="115"/>
          <w:jc w:val="center"/>
        </w:trPr>
        <w:tc>
          <w:tcPr>
            <w:tcW w:w="4132" w:type="dxa"/>
            <w:tcBorders>
              <w:top w:val="single" w:sz="4" w:space="0" w:color="auto"/>
              <w:left w:val="single" w:sz="4" w:space="0" w:color="auto"/>
              <w:bottom w:val="single" w:sz="4" w:space="0" w:color="auto"/>
              <w:right w:val="single" w:sz="4" w:space="0" w:color="auto"/>
            </w:tcBorders>
            <w:vAlign w:val="center"/>
            <w:hideMark/>
          </w:tcPr>
          <w:p w:rsidR="00ED7D43" w:rsidRPr="00ED7D43" w:rsidRDefault="00ED7D43" w:rsidP="00ED7D43">
            <w:pPr>
              <w:rPr>
                <w:b/>
                <w:lang w:val="en-GB"/>
              </w:rPr>
            </w:pPr>
            <w:r w:rsidRPr="00ED7D43">
              <w:rPr>
                <w:b/>
                <w:lang w:val="en-GB"/>
              </w:rPr>
              <w:t>Endpoint</w:t>
            </w:r>
          </w:p>
        </w:tc>
        <w:tc>
          <w:tcPr>
            <w:tcW w:w="2119"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
              </w:rPr>
            </w:pPr>
            <w:r w:rsidRPr="00ED7D43">
              <w:rPr>
                <w:b/>
              </w:rPr>
              <w:t>KEYTRUDA</w:t>
            </w:r>
          </w:p>
          <w:p w:rsidR="00ED7D43" w:rsidRPr="00ED7D43" w:rsidRDefault="00ED7D43" w:rsidP="00ED7D43">
            <w:pPr>
              <w:rPr>
                <w:b/>
                <w:lang w:val="en-GB"/>
              </w:rPr>
            </w:pPr>
            <w:r w:rsidRPr="00ED7D43">
              <w:rPr>
                <w:b/>
              </w:rPr>
              <w:t>with lenvatinib</w:t>
            </w:r>
          </w:p>
          <w:p w:rsidR="00ED7D43" w:rsidRPr="00ED7D43" w:rsidRDefault="00ED7D43" w:rsidP="00ED7D43">
            <w:pPr>
              <w:rPr>
                <w:b/>
                <w:lang w:val="en-GB"/>
              </w:rPr>
            </w:pPr>
            <w:r w:rsidRPr="00ED7D43">
              <w:rPr>
                <w:b/>
                <w:lang w:val="en-GB"/>
              </w:rPr>
              <w:t>n=94*</w:t>
            </w:r>
          </w:p>
        </w:tc>
      </w:tr>
      <w:tr w:rsidR="00ED7D43" w:rsidRPr="00ED7D43" w:rsidTr="00ED7D43">
        <w:trPr>
          <w:trHeight w:val="115"/>
          <w:jc w:val="center"/>
        </w:trPr>
        <w:tc>
          <w:tcPr>
            <w:tcW w:w="413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lang w:val="en-GB"/>
              </w:rPr>
            </w:pPr>
            <w:r w:rsidRPr="00ED7D43">
              <w:rPr>
                <w:b/>
                <w:bCs/>
                <w:lang w:val="en-GB"/>
              </w:rPr>
              <w:t>Objective Response Rate</w:t>
            </w:r>
          </w:p>
        </w:tc>
        <w:tc>
          <w:tcPr>
            <w:tcW w:w="2119"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p>
        </w:tc>
      </w:tr>
      <w:tr w:rsidR="00ED7D43" w:rsidRPr="00ED7D43" w:rsidTr="00ED7D43">
        <w:trPr>
          <w:trHeight w:val="115"/>
          <w:jc w:val="center"/>
        </w:trPr>
        <w:tc>
          <w:tcPr>
            <w:tcW w:w="413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lang w:val="en-GB"/>
              </w:rPr>
            </w:pPr>
            <w:r w:rsidRPr="00ED7D43">
              <w:rPr>
                <w:bCs/>
                <w:lang w:val="en-GB"/>
              </w:rPr>
              <w:t xml:space="preserve">  ORR (95% CI)</w:t>
            </w:r>
          </w:p>
        </w:tc>
        <w:tc>
          <w:tcPr>
            <w:tcW w:w="2119"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Cs/>
                <w:lang w:val="en-GB"/>
              </w:rPr>
              <w:t>38.3% (29, 49)</w:t>
            </w:r>
          </w:p>
        </w:tc>
      </w:tr>
      <w:tr w:rsidR="00ED7D43" w:rsidRPr="00ED7D43" w:rsidTr="00ED7D43">
        <w:trPr>
          <w:trHeight w:val="115"/>
          <w:jc w:val="center"/>
        </w:trPr>
        <w:tc>
          <w:tcPr>
            <w:tcW w:w="413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 xml:space="preserve">    Complete response rate</w:t>
            </w:r>
          </w:p>
        </w:tc>
        <w:tc>
          <w:tcPr>
            <w:tcW w:w="2119"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Cs/>
                <w:lang w:val="en-GB"/>
              </w:rPr>
              <w:t>10.6%</w:t>
            </w:r>
          </w:p>
        </w:tc>
      </w:tr>
      <w:tr w:rsidR="00ED7D43" w:rsidRPr="00ED7D43" w:rsidTr="00ED7D43">
        <w:trPr>
          <w:trHeight w:val="115"/>
          <w:jc w:val="center"/>
        </w:trPr>
        <w:tc>
          <w:tcPr>
            <w:tcW w:w="4132" w:type="dxa"/>
            <w:tcBorders>
              <w:top w:val="single" w:sz="4" w:space="0" w:color="auto"/>
              <w:left w:val="single" w:sz="4" w:space="0" w:color="auto"/>
              <w:bottom w:val="single" w:sz="4" w:space="0" w:color="auto"/>
              <w:right w:val="single" w:sz="4" w:space="0" w:color="auto"/>
            </w:tcBorders>
            <w:hideMark/>
          </w:tcPr>
          <w:p w:rsidR="00ED7D43" w:rsidRPr="00ED7D43" w:rsidRDefault="00ED7D43" w:rsidP="00ED7D43">
            <w:pPr>
              <w:rPr>
                <w:bCs/>
                <w:lang w:val="en-GB"/>
              </w:rPr>
            </w:pPr>
            <w:r w:rsidRPr="00ED7D43">
              <w:rPr>
                <w:bCs/>
                <w:lang w:val="en-GB"/>
              </w:rPr>
              <w:t xml:space="preserve">    Partial response rate</w:t>
            </w:r>
          </w:p>
        </w:tc>
        <w:tc>
          <w:tcPr>
            <w:tcW w:w="2119"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Cs/>
                <w:lang w:val="en-GB"/>
              </w:rPr>
              <w:t>27.7%</w:t>
            </w:r>
          </w:p>
        </w:tc>
      </w:tr>
      <w:tr w:rsidR="00ED7D43" w:rsidRPr="00ED7D43" w:rsidTr="00ED7D43">
        <w:trPr>
          <w:trHeight w:val="115"/>
          <w:jc w:val="center"/>
        </w:trPr>
        <w:tc>
          <w:tcPr>
            <w:tcW w:w="4132"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
                <w:bCs/>
                <w:lang w:val="en-GB"/>
              </w:rPr>
              <w:t>Response duration</w:t>
            </w:r>
          </w:p>
        </w:tc>
        <w:tc>
          <w:tcPr>
            <w:tcW w:w="2119"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p>
        </w:tc>
      </w:tr>
      <w:tr w:rsidR="00ED7D43" w:rsidRPr="00ED7D43" w:rsidTr="00ED7D43">
        <w:trPr>
          <w:trHeight w:val="115"/>
          <w:jc w:val="center"/>
        </w:trPr>
        <w:tc>
          <w:tcPr>
            <w:tcW w:w="4132"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Cs/>
                <w:lang w:val="en-GB"/>
              </w:rPr>
              <w:t xml:space="preserve">  Median in months (range)</w:t>
            </w:r>
          </w:p>
        </w:tc>
        <w:tc>
          <w:tcPr>
            <w:tcW w:w="2119"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Cs/>
                <w:lang w:val="en-GB"/>
              </w:rPr>
              <w:t>NR (1.2+, 33.1+)</w:t>
            </w:r>
            <w:r w:rsidRPr="00ED7D43">
              <w:rPr>
                <w:bCs/>
                <w:vertAlign w:val="superscript"/>
                <w:lang w:val="en-GB"/>
              </w:rPr>
              <w:t>†</w:t>
            </w:r>
          </w:p>
        </w:tc>
      </w:tr>
      <w:tr w:rsidR="00ED7D43" w:rsidRPr="00ED7D43" w:rsidTr="00ED7D43">
        <w:trPr>
          <w:trHeight w:val="115"/>
          <w:jc w:val="center"/>
        </w:trPr>
        <w:tc>
          <w:tcPr>
            <w:tcW w:w="4132"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Cs/>
                <w:lang w:val="en-GB"/>
              </w:rPr>
              <w:t xml:space="preserve">  % with duration ≥6 months</w:t>
            </w:r>
          </w:p>
        </w:tc>
        <w:tc>
          <w:tcPr>
            <w:tcW w:w="2119" w:type="dxa"/>
            <w:tcBorders>
              <w:top w:val="single" w:sz="4" w:space="0" w:color="auto"/>
              <w:left w:val="single" w:sz="4" w:space="0" w:color="auto"/>
              <w:bottom w:val="single" w:sz="4" w:space="0" w:color="auto"/>
              <w:right w:val="single" w:sz="4" w:space="0" w:color="auto"/>
            </w:tcBorders>
          </w:tcPr>
          <w:p w:rsidR="00ED7D43" w:rsidRPr="00ED7D43" w:rsidRDefault="00ED7D43" w:rsidP="00ED7D43">
            <w:pPr>
              <w:rPr>
                <w:bCs/>
                <w:lang w:val="en-GB"/>
              </w:rPr>
            </w:pPr>
            <w:r w:rsidRPr="00ED7D43">
              <w:rPr>
                <w:bCs/>
                <w:lang w:val="en-GB"/>
              </w:rPr>
              <w:t>69%</w:t>
            </w:r>
          </w:p>
        </w:tc>
      </w:tr>
      <w:tr w:rsidR="00ED7D43" w:rsidRPr="00ED7D43" w:rsidTr="00ED7D43">
        <w:trPr>
          <w:trHeight w:val="115"/>
          <w:jc w:val="center"/>
        </w:trPr>
        <w:tc>
          <w:tcPr>
            <w:tcW w:w="6251" w:type="dxa"/>
            <w:gridSpan w:val="2"/>
            <w:tcBorders>
              <w:top w:val="single" w:sz="4" w:space="0" w:color="auto"/>
              <w:left w:val="nil"/>
              <w:bottom w:val="nil"/>
              <w:right w:val="nil"/>
            </w:tcBorders>
          </w:tcPr>
          <w:p w:rsidR="00ED7D43" w:rsidRPr="00ED7D43" w:rsidRDefault="00ED7D43" w:rsidP="00ED7D43">
            <w:pPr>
              <w:rPr>
                <w:bCs/>
                <w:lang w:val="en-GB"/>
              </w:rPr>
            </w:pPr>
            <w:r w:rsidRPr="00ED7D43">
              <w:rPr>
                <w:bCs/>
                <w:lang w:val="en-GB"/>
              </w:rPr>
              <w:t>* Median follow-up time of 18.7 months</w:t>
            </w:r>
          </w:p>
          <w:p w:rsidR="00ED7D43" w:rsidRPr="00ED7D43" w:rsidRDefault="00ED7D43" w:rsidP="00ED7D43">
            <w:pPr>
              <w:rPr>
                <w:bCs/>
                <w:lang w:val="en-GB"/>
              </w:rPr>
            </w:pPr>
            <w:r w:rsidRPr="00ED7D43">
              <w:rPr>
                <w:bCs/>
                <w:vertAlign w:val="superscript"/>
                <w:lang w:val="en-GB"/>
              </w:rPr>
              <w:t xml:space="preserve">† </w:t>
            </w:r>
            <w:r w:rsidRPr="00ED7D43">
              <w:rPr>
                <w:bCs/>
                <w:lang w:val="en-GB"/>
              </w:rPr>
              <w:t>Based on patients (n=36) with a response by independent review</w:t>
            </w:r>
          </w:p>
          <w:p w:rsidR="00ED7D43" w:rsidRPr="00ED7D43" w:rsidRDefault="00ED7D43" w:rsidP="00ED7D43">
            <w:pPr>
              <w:rPr>
                <w:bCs/>
                <w:lang w:val="en-GB"/>
              </w:rPr>
            </w:pPr>
            <w:r w:rsidRPr="00ED7D43">
              <w:rPr>
                <w:bCs/>
                <w:lang w:val="en-GB"/>
              </w:rPr>
              <w:t>+ Denotes ongoing</w:t>
            </w:r>
          </w:p>
          <w:p w:rsidR="00ED7D43" w:rsidRPr="00ED7D43" w:rsidRDefault="00ED7D43" w:rsidP="00ED7D43">
            <w:pPr>
              <w:rPr>
                <w:bCs/>
                <w:lang w:val="en-GB"/>
              </w:rPr>
            </w:pPr>
            <w:r w:rsidRPr="00ED7D43">
              <w:rPr>
                <w:bCs/>
                <w:lang w:val="en-GB"/>
              </w:rPr>
              <w:t>NR = not reached</w:t>
            </w:r>
          </w:p>
        </w:tc>
      </w:tr>
    </w:tbl>
    <w:p w:rsidR="00ED7D43" w:rsidRPr="00D920A1" w:rsidRDefault="00ED7D43" w:rsidP="00ED7D43">
      <w:pPr>
        <w:rPr>
          <w:b/>
          <w:bCs/>
        </w:rPr>
      </w:pPr>
      <w:r w:rsidRPr="00D920A1">
        <w:rPr>
          <w:b/>
          <w:bCs/>
        </w:rPr>
        <w:t>Immunogenicity</w:t>
      </w:r>
    </w:p>
    <w:p w:rsidR="00ED7D43" w:rsidRPr="00ED7D43" w:rsidRDefault="00ED7D43" w:rsidP="00ED7D43">
      <w:r w:rsidRPr="00ED7D43">
        <w:t xml:space="preserve">In clinical studies in patients treated with pembrolizumab at a dose of 2 mg/kg every 3 weeks, 200 mg every 3 weeks or 10 mg/kg every 2 or 3 weeks, 36 (1.8%) of 2034 evaluable patients tested positive for treatment-emergent antibodies against pembrolizumab of which 9 (0.4%) patients had neutralizing antibodies against pembrolizumab. There was no evidence of an </w:t>
      </w:r>
      <w:r w:rsidRPr="00ED7D43">
        <w:lastRenderedPageBreak/>
        <w:t xml:space="preserve">altered pharmacokinetic or safety profile with anti-pembrolizumab binding antibody development. </w:t>
      </w:r>
    </w:p>
    <w:p w:rsidR="00ED7D43" w:rsidRPr="00ED7D43" w:rsidRDefault="00ED7D43" w:rsidP="00D920A1">
      <w:pPr>
        <w:pStyle w:val="Heading3"/>
      </w:pPr>
      <w:r w:rsidRPr="00ED7D43">
        <w:t>5.2 PHARMACOKINETIC PROPERTIES</w:t>
      </w:r>
    </w:p>
    <w:p w:rsidR="00ED7D43" w:rsidRPr="00ED7D43" w:rsidRDefault="00ED7D43" w:rsidP="00ED7D43">
      <w:r w:rsidRPr="00ED7D43">
        <w:t>The pharmacokinetics of pembrolizumab was studied in 2993 patients with various cancers who received doses in the range of 1 to 10 mg/kg every 2 weeks, 2 to 10 mg/kg every 3 weeks, or 200 mg every 3 weeks. There are no clinically meaningful differences in pharmacokinetics of pembrolizumab across indications.</w:t>
      </w:r>
    </w:p>
    <w:p w:rsidR="00ED7D43" w:rsidRPr="00D920A1" w:rsidRDefault="00ED7D43" w:rsidP="00ED7D43">
      <w:pPr>
        <w:rPr>
          <w:b/>
          <w:bCs/>
        </w:rPr>
      </w:pPr>
      <w:r w:rsidRPr="00D920A1">
        <w:rPr>
          <w:b/>
          <w:bCs/>
        </w:rPr>
        <w:t>Absorption</w:t>
      </w:r>
    </w:p>
    <w:p w:rsidR="00ED7D43" w:rsidRPr="00ED7D43" w:rsidRDefault="00ED7D43" w:rsidP="00ED7D43">
      <w:r w:rsidRPr="00ED7D43">
        <w:t>KEYTRUDA is dosed via the IV route and therefore is immediately and completely bioavailable.</w:t>
      </w:r>
    </w:p>
    <w:p w:rsidR="00ED7D43" w:rsidRPr="00D920A1" w:rsidRDefault="00ED7D43" w:rsidP="00ED7D43">
      <w:pPr>
        <w:rPr>
          <w:b/>
          <w:bCs/>
        </w:rPr>
      </w:pPr>
      <w:r w:rsidRPr="00D920A1">
        <w:rPr>
          <w:b/>
          <w:bCs/>
        </w:rPr>
        <w:t>Distribution</w:t>
      </w:r>
    </w:p>
    <w:p w:rsidR="00ED7D43" w:rsidRPr="00ED7D43" w:rsidRDefault="00ED7D43" w:rsidP="00ED7D43">
      <w:r w:rsidRPr="00ED7D43">
        <w:t>Consistent with a limited extravascular distribution, the volume of distribution of pembrolizumab at steady state is small (6.0L; coefficient of variation [CV]: 20%). As expected for an antibody, pembrolizumab does not bind to plasma proteins in a specific manner.</w:t>
      </w:r>
    </w:p>
    <w:p w:rsidR="00ED7D43" w:rsidRPr="00D920A1" w:rsidRDefault="00ED7D43" w:rsidP="00ED7D43">
      <w:pPr>
        <w:rPr>
          <w:b/>
          <w:bCs/>
        </w:rPr>
      </w:pPr>
      <w:r w:rsidRPr="00D920A1">
        <w:rPr>
          <w:b/>
          <w:bCs/>
        </w:rPr>
        <w:t>Metabolism</w:t>
      </w:r>
    </w:p>
    <w:p w:rsidR="00ED7D43" w:rsidRPr="00ED7D43" w:rsidRDefault="00ED7D43" w:rsidP="00ED7D43">
      <w:r w:rsidRPr="00ED7D43">
        <w:t>Pembrolizumab is catabolised through non-specific pathways; metabolism does not contribute to its clearance.</w:t>
      </w:r>
    </w:p>
    <w:p w:rsidR="00ED7D43" w:rsidRPr="00D920A1" w:rsidRDefault="00ED7D43" w:rsidP="00ED7D43">
      <w:pPr>
        <w:rPr>
          <w:b/>
          <w:bCs/>
        </w:rPr>
      </w:pPr>
      <w:r w:rsidRPr="00D920A1">
        <w:rPr>
          <w:b/>
          <w:bCs/>
        </w:rPr>
        <w:t>Excretion</w:t>
      </w:r>
    </w:p>
    <w:p w:rsidR="00ED7D43" w:rsidRPr="00ED7D43" w:rsidRDefault="00ED7D43" w:rsidP="00ED7D43">
      <w:r w:rsidRPr="00ED7D43">
        <w:t>Pembrolizumab clearance (CV%) is approximately 23% lower [geometric mean, 195 mL/day (40%)] after achieving maximal change at steady state compared with the first dose (252 mL/day [CV%: 37%]); this decrease in clearance with time is not considered clinically important. The geometric mean value (CV%) for the terminal half-life (t½) is 22 days (32%).</w:t>
      </w:r>
    </w:p>
    <w:p w:rsidR="00ED7D43" w:rsidRPr="00ED7D43" w:rsidRDefault="00ED7D43" w:rsidP="00ED7D43">
      <w:r w:rsidRPr="00ED7D43">
        <w:t>Steady-state concentrations of pembrolizumab were reached by 16 weeks of repeated dosing with an every 3 week regimen and the systemic accumulation was 2.1 fold. The peak concentration (</w:t>
      </w:r>
      <w:proofErr w:type="spellStart"/>
      <w:r w:rsidRPr="00ED7D43">
        <w:t>C</w:t>
      </w:r>
      <w:r w:rsidRPr="00ED7D43">
        <w:rPr>
          <w:vertAlign w:val="subscript"/>
        </w:rPr>
        <w:t>max</w:t>
      </w:r>
      <w:proofErr w:type="spellEnd"/>
      <w:r w:rsidRPr="00ED7D43">
        <w:t>), trough concentration (</w:t>
      </w:r>
      <w:proofErr w:type="spellStart"/>
      <w:r w:rsidRPr="00ED7D43">
        <w:t>C</w:t>
      </w:r>
      <w:r w:rsidRPr="00ED7D43">
        <w:rPr>
          <w:vertAlign w:val="subscript"/>
        </w:rPr>
        <w:t>min</w:t>
      </w:r>
      <w:proofErr w:type="spellEnd"/>
      <w:r w:rsidRPr="00ED7D43">
        <w:t>), and area under the plasma concentration versus time curve at steady state (</w:t>
      </w:r>
      <w:proofErr w:type="spellStart"/>
      <w:r w:rsidRPr="00ED7D43">
        <w:t>AUC</w:t>
      </w:r>
      <w:r w:rsidRPr="00ED7D43">
        <w:rPr>
          <w:vertAlign w:val="subscript"/>
        </w:rPr>
        <w:t>ss</w:t>
      </w:r>
      <w:proofErr w:type="spellEnd"/>
      <w:r w:rsidRPr="00ED7D43">
        <w:t>) of pembrolizumab increased dose proportionally in the dose range of 2 to 10 mg/kg every 3 weeks.</w:t>
      </w:r>
    </w:p>
    <w:p w:rsidR="00ED7D43" w:rsidRPr="00ED7D43" w:rsidRDefault="00ED7D43" w:rsidP="00ED7D43">
      <w:r w:rsidRPr="00ED7D43">
        <w:t xml:space="preserve">Following administration of pembrolizumab 200 mg every 3 weeks in patients with </w:t>
      </w:r>
      <w:proofErr w:type="spellStart"/>
      <w:r w:rsidRPr="00ED7D43">
        <w:t>cHL</w:t>
      </w:r>
      <w:proofErr w:type="spellEnd"/>
      <w:r w:rsidRPr="00ED7D43">
        <w:t xml:space="preserve">, the observed median </w:t>
      </w:r>
      <w:proofErr w:type="spellStart"/>
      <w:r w:rsidRPr="00ED7D43">
        <w:t>C</w:t>
      </w:r>
      <w:r w:rsidRPr="00ED7D43">
        <w:rPr>
          <w:vertAlign w:val="subscript"/>
        </w:rPr>
        <w:t>min</w:t>
      </w:r>
      <w:proofErr w:type="spellEnd"/>
      <w:r w:rsidRPr="00ED7D43">
        <w:t xml:space="preserve"> at steady-state was up to 40% higher than that in other tumour types treated with the same dosage; however, the range of trough concentrations is similar. There are no notable differences in the median </w:t>
      </w:r>
      <w:proofErr w:type="spellStart"/>
      <w:r w:rsidRPr="00ED7D43">
        <w:t>C</w:t>
      </w:r>
      <w:r w:rsidRPr="00ED7D43">
        <w:rPr>
          <w:vertAlign w:val="subscript"/>
        </w:rPr>
        <w:t>max</w:t>
      </w:r>
      <w:proofErr w:type="spellEnd"/>
      <w:r w:rsidRPr="00ED7D43">
        <w:t xml:space="preserve"> between </w:t>
      </w:r>
      <w:proofErr w:type="spellStart"/>
      <w:r w:rsidRPr="00ED7D43">
        <w:t>cHL</w:t>
      </w:r>
      <w:proofErr w:type="spellEnd"/>
      <w:r w:rsidRPr="00ED7D43">
        <w:t xml:space="preserve"> and other tumour types. Based on available safety data in </w:t>
      </w:r>
      <w:proofErr w:type="spellStart"/>
      <w:r w:rsidRPr="00ED7D43">
        <w:t>cHL</w:t>
      </w:r>
      <w:proofErr w:type="spellEnd"/>
      <w:r w:rsidRPr="00ED7D43">
        <w:t xml:space="preserve"> and other tumour types, these differences are not considered clinically meaningful.</w:t>
      </w:r>
    </w:p>
    <w:p w:rsidR="00ED7D43" w:rsidRPr="00D920A1" w:rsidRDefault="00ED7D43" w:rsidP="00ED7D43">
      <w:pPr>
        <w:rPr>
          <w:b/>
          <w:bCs/>
        </w:rPr>
      </w:pPr>
      <w:r w:rsidRPr="00D920A1">
        <w:rPr>
          <w:b/>
          <w:bCs/>
        </w:rPr>
        <w:t>Special populations</w:t>
      </w:r>
    </w:p>
    <w:p w:rsidR="00ED7D43" w:rsidRPr="00ED7D43" w:rsidRDefault="00ED7D43" w:rsidP="00ED7D43">
      <w:r w:rsidRPr="00ED7D43">
        <w:t xml:space="preserve">The effects of various covariates on the pharmacokinetics of pembrolizumab were assessed in population pharmacokinetic analyses. The following factors had no clinically important effect on the clearance of pembrolizumab: age (range 15-94 years), gender, race, mild or moderate renal impairment, mild hepatic impairment, and tumour burden. The relationship between body </w:t>
      </w:r>
      <w:r w:rsidRPr="00ED7D43">
        <w:lastRenderedPageBreak/>
        <w:t>weight and clearance supports the use of either fixed dose or body weight-based dosing to provide adequate and similar control of exposure. Pembrolizumab concentrations with weight-based dosing at 2 mg/kg every 3 weeks in paediatric patients (6 to 17 years) are comparable to those of adults at the same dose.  For patients aged &lt; 2 years, systemic exposure is predicted to be approximately 120% greater than in adults; this should be interpreted with caution as it is based on PK extrapolation.</w:t>
      </w:r>
    </w:p>
    <w:p w:rsidR="00ED7D43" w:rsidRPr="00ED7D43" w:rsidRDefault="00ED7D43" w:rsidP="00ED7D43">
      <w:pPr>
        <w:rPr>
          <w:u w:val="single"/>
        </w:rPr>
      </w:pPr>
      <w:r w:rsidRPr="00ED7D43">
        <w:rPr>
          <w:u w:val="single"/>
        </w:rPr>
        <w:t>Renal Impairment</w:t>
      </w:r>
    </w:p>
    <w:p w:rsidR="00ED7D43" w:rsidRPr="00ED7D43" w:rsidRDefault="00ED7D43" w:rsidP="00ED7D43">
      <w:r w:rsidRPr="00ED7D43">
        <w:t>The effect of renal impairment on the clearance of pembrolizumab was evaluated by population pharmacokinetic analysis in patients with mild (GFR &lt;90 and ≥60 mL/min/1.73 m2) or moderate (GFR &lt;60 and ≥30 mL/min/1.73 m2) renal impairment compared to patients with normal (GFR ≥90 mL/min/1.73 m2) renal function. No clinically important differences in the clearance of pembrolizumab were found between patients with mild or moderate renal impairment and patients with normal renal function. KEYTRUDA has not been studied in patients with severe (GFR &lt;30 and ≥15 mL/min/1.73 m2) renal impairment [See Section 4.2 DOSE AND METHOD OF ADMINISTRATION].</w:t>
      </w:r>
      <w:r w:rsidRPr="00ED7D43">
        <w:tab/>
      </w:r>
    </w:p>
    <w:p w:rsidR="00ED7D43" w:rsidRPr="00ED7D43" w:rsidRDefault="00ED7D43" w:rsidP="00ED7D43">
      <w:pPr>
        <w:rPr>
          <w:u w:val="single"/>
        </w:rPr>
      </w:pPr>
      <w:r w:rsidRPr="00ED7D43">
        <w:rPr>
          <w:u w:val="single"/>
        </w:rPr>
        <w:t>Hepatic Impairment</w:t>
      </w:r>
    </w:p>
    <w:p w:rsidR="00ED7D43" w:rsidRPr="00ED7D43" w:rsidRDefault="00ED7D43" w:rsidP="00ED7D43">
      <w:r w:rsidRPr="00ED7D43">
        <w:t>The effect of hepatic impairment on the clearance of pembrolizumab was evaluated by population pharmacokinetic analysis in patients with mild hepatic impairment (total bilirubin (TB) 1.0 to 1.5 x ULN or AST &gt;ULN as defined using the National Cancer Institute criteria of hepatic dysfunction) compared to patients with normal hepatic function (TB and AST ≤ULN). No clinically important differences in the clearance of pembrolizumab were found between patients with mild hepatic impairment and normal hepatic function. KEYTRUDA has not been studied in patients with moderate (TB &gt;1.5 to 3 x ULN and any AST) or severe (TB &gt;3 x ULN and any AST) hepatic impairment [See Section 4.2 DOSE AND METHOD OF ADMINISTRATION].</w:t>
      </w:r>
    </w:p>
    <w:p w:rsidR="00ED7D43" w:rsidRPr="00ED7D43" w:rsidRDefault="00ED7D43" w:rsidP="00D920A1">
      <w:pPr>
        <w:pStyle w:val="Heading3"/>
      </w:pPr>
      <w:r w:rsidRPr="00ED7D43">
        <w:t>5.3 PRECLINICAL SAFETY DATA</w:t>
      </w:r>
    </w:p>
    <w:p w:rsidR="00ED7D43" w:rsidRPr="00D920A1" w:rsidRDefault="00ED7D43" w:rsidP="00ED7D43">
      <w:pPr>
        <w:rPr>
          <w:b/>
          <w:bCs/>
        </w:rPr>
      </w:pPr>
      <w:proofErr w:type="spellStart"/>
      <w:r w:rsidRPr="00D920A1">
        <w:rPr>
          <w:b/>
          <w:bCs/>
        </w:rPr>
        <w:t>Genotoxicity</w:t>
      </w:r>
      <w:proofErr w:type="spellEnd"/>
    </w:p>
    <w:p w:rsidR="00ED7D43" w:rsidRPr="00ED7D43" w:rsidRDefault="00ED7D43" w:rsidP="00ED7D43">
      <w:r w:rsidRPr="00ED7D43">
        <w:t>The genotoxic potential of pembrolizumab has not been evaluated. As a large protein molecule, pembrolizumab is not expected to interact directly with DNA or other chromosomal material.</w:t>
      </w:r>
    </w:p>
    <w:p w:rsidR="00ED7D43" w:rsidRPr="00D920A1" w:rsidRDefault="00ED7D43" w:rsidP="00ED7D43">
      <w:pPr>
        <w:rPr>
          <w:b/>
          <w:bCs/>
        </w:rPr>
      </w:pPr>
      <w:r w:rsidRPr="00D920A1">
        <w:rPr>
          <w:b/>
          <w:bCs/>
        </w:rPr>
        <w:t>Carcinogenicity</w:t>
      </w:r>
    </w:p>
    <w:p w:rsidR="00ED7D43" w:rsidRPr="00ED7D43" w:rsidRDefault="00ED7D43" w:rsidP="00ED7D43">
      <w:r w:rsidRPr="00ED7D43">
        <w:t>The carcinogenic potential of pembrolizumab has not been evaluated in long-term animal studies.</w:t>
      </w:r>
    </w:p>
    <w:p w:rsidR="00ED7D43" w:rsidRPr="00ED7D43" w:rsidRDefault="00ED7D43" w:rsidP="00D920A1">
      <w:pPr>
        <w:pStyle w:val="Heading2"/>
      </w:pPr>
      <w:r w:rsidRPr="00ED7D43">
        <w:t>6 PHARMACEUTICAL PARTICULARS</w:t>
      </w:r>
    </w:p>
    <w:p w:rsidR="00ED7D43" w:rsidRPr="00ED7D43" w:rsidRDefault="00ED7D43" w:rsidP="00D920A1">
      <w:pPr>
        <w:pStyle w:val="Heading3"/>
      </w:pPr>
      <w:r w:rsidRPr="00ED7D43">
        <w:t>6.1 LIST OF EXCIPIENTS</w:t>
      </w:r>
    </w:p>
    <w:p w:rsidR="00ED7D43" w:rsidRPr="00ED7D43" w:rsidRDefault="00ED7D43" w:rsidP="00ED7D43">
      <w:r w:rsidRPr="00ED7D43">
        <w:t>Histidine</w:t>
      </w:r>
    </w:p>
    <w:p w:rsidR="00ED7D43" w:rsidRPr="00ED7D43" w:rsidRDefault="00ED7D43" w:rsidP="00ED7D43">
      <w:r w:rsidRPr="00ED7D43">
        <w:t>Histidine hydrochloride monohydrate</w:t>
      </w:r>
    </w:p>
    <w:p w:rsidR="00ED7D43" w:rsidRPr="00ED7D43" w:rsidRDefault="00ED7D43" w:rsidP="00ED7D43">
      <w:r w:rsidRPr="00ED7D43">
        <w:lastRenderedPageBreak/>
        <w:t>Sucrose</w:t>
      </w:r>
    </w:p>
    <w:p w:rsidR="00ED7D43" w:rsidRPr="00ED7D43" w:rsidRDefault="00ED7D43" w:rsidP="00ED7D43">
      <w:r w:rsidRPr="00ED7D43">
        <w:t>Polysorbate-80</w:t>
      </w:r>
    </w:p>
    <w:p w:rsidR="00ED7D43" w:rsidRPr="00ED7D43" w:rsidRDefault="00ED7D43" w:rsidP="00ED7D43">
      <w:r w:rsidRPr="00ED7D43">
        <w:t>Water for Injections</w:t>
      </w:r>
    </w:p>
    <w:p w:rsidR="00ED7D43" w:rsidRPr="00ED7D43" w:rsidRDefault="00ED7D43" w:rsidP="00D920A1">
      <w:pPr>
        <w:pStyle w:val="Heading3"/>
      </w:pPr>
      <w:r w:rsidRPr="00ED7D43">
        <w:t>6.2 INCOMPATIBILITIES</w:t>
      </w:r>
    </w:p>
    <w:p w:rsidR="00ED7D43" w:rsidRPr="00ED7D43" w:rsidRDefault="00ED7D43" w:rsidP="00ED7D43">
      <w:r w:rsidRPr="00ED7D43">
        <w:t>In the absence of compatibility studies, this medicinal product must not be mixed with other medicinal products except those mentioned in section 4.2 DOSE AND METHOD OF ADMINISTRATION.</w:t>
      </w:r>
    </w:p>
    <w:p w:rsidR="00ED7D43" w:rsidRPr="00ED7D43" w:rsidRDefault="00ED7D43" w:rsidP="00D920A1">
      <w:pPr>
        <w:pStyle w:val="Heading3"/>
      </w:pPr>
      <w:r w:rsidRPr="00ED7D43">
        <w:t>6.3 SHELF LIFE</w:t>
      </w:r>
    </w:p>
    <w:p w:rsidR="00ED7D43" w:rsidRPr="00ED7D43" w:rsidRDefault="00ED7D43" w:rsidP="00ED7D43">
      <w:r w:rsidRPr="00ED7D43">
        <w:t>In Australia, information on the shelf life can be found on the public summary of the Australian Register of Therapeutic Goods (ARTG). The expiry date can be found on the packaging.</w:t>
      </w:r>
    </w:p>
    <w:p w:rsidR="00ED7D43" w:rsidRPr="00ED7D43" w:rsidRDefault="00ED7D43" w:rsidP="00D920A1">
      <w:pPr>
        <w:pStyle w:val="Heading3"/>
      </w:pPr>
      <w:r w:rsidRPr="00ED7D43">
        <w:t>6.4 SPECIAL PRECAUTIONS FOR STORAGE</w:t>
      </w:r>
    </w:p>
    <w:p w:rsidR="00ED7D43" w:rsidRPr="00ED7D43" w:rsidRDefault="00ED7D43" w:rsidP="00ED7D43">
      <w:r w:rsidRPr="00ED7D43">
        <w:t>Store in a refrigerator (2°C to 8°C).</w:t>
      </w:r>
    </w:p>
    <w:p w:rsidR="00ED7D43" w:rsidRPr="00ED7D43" w:rsidRDefault="00ED7D43" w:rsidP="00ED7D43">
      <w:r w:rsidRPr="00ED7D43">
        <w:t>Protect from light. Do not freeze. Do not shake.</w:t>
      </w:r>
    </w:p>
    <w:p w:rsidR="00ED7D43" w:rsidRPr="00ED7D43" w:rsidRDefault="00ED7D43" w:rsidP="00ED7D43">
      <w:r w:rsidRPr="00ED7D43">
        <w:t>For storage conditions after reconstitution or dilution of the medicinal product, see Section 4.2 DOSE AND METHOD OF ADMINISTRATION.</w:t>
      </w:r>
    </w:p>
    <w:p w:rsidR="00ED7D43" w:rsidRPr="00ED7D43" w:rsidRDefault="00ED7D43" w:rsidP="00D920A1">
      <w:pPr>
        <w:pStyle w:val="Heading3"/>
      </w:pPr>
      <w:r w:rsidRPr="00ED7D43">
        <w:t>6.5 NATURE AND CONTENTS OF CONTAINER</w:t>
      </w:r>
    </w:p>
    <w:p w:rsidR="00ED7D43" w:rsidRPr="00ED7D43" w:rsidRDefault="00ED7D43" w:rsidP="00ED7D43">
      <w:r w:rsidRPr="00ED7D43">
        <w:t>Carton of one 50 mg powder for injection or one 100 mg/4 mL concentrated injection single-use vial.</w:t>
      </w:r>
    </w:p>
    <w:p w:rsidR="00ED7D43" w:rsidRPr="00ED7D43" w:rsidRDefault="00ED7D43" w:rsidP="00D920A1">
      <w:pPr>
        <w:pStyle w:val="Heading3"/>
      </w:pPr>
      <w:r w:rsidRPr="00ED7D43">
        <w:t>6.6 SPECIAL PRECAUTIONS FOR DISPOSAL</w:t>
      </w:r>
    </w:p>
    <w:p w:rsidR="00ED7D43" w:rsidRPr="00ED7D43" w:rsidRDefault="00ED7D43" w:rsidP="00ED7D43">
      <w:r w:rsidRPr="00ED7D43">
        <w:t>In Australia, any unused medicine or waste material should be disposed of by taking to your local pharmacy.</w:t>
      </w:r>
    </w:p>
    <w:p w:rsidR="00ED7D43" w:rsidRPr="00ED7D43" w:rsidRDefault="00ED7D43" w:rsidP="00ED7D43">
      <w:pPr>
        <w:rPr>
          <w:b/>
          <w:bCs/>
        </w:rPr>
      </w:pPr>
      <w:r w:rsidRPr="00ED7D43">
        <w:rPr>
          <w:b/>
          <w:bCs/>
        </w:rPr>
        <w:t>6.7 PHYSICOCHEMICAL PROPERTIES</w:t>
      </w:r>
    </w:p>
    <w:p w:rsidR="00ED7D43" w:rsidRPr="00D920A1" w:rsidRDefault="00ED7D43" w:rsidP="00ED7D43">
      <w:pPr>
        <w:rPr>
          <w:b/>
          <w:bCs/>
        </w:rPr>
      </w:pPr>
      <w:r w:rsidRPr="00D920A1">
        <w:rPr>
          <w:b/>
          <w:bCs/>
        </w:rPr>
        <w:t>Chemical structure</w:t>
      </w:r>
    </w:p>
    <w:p w:rsidR="00ED7D43" w:rsidRPr="00ED7D43" w:rsidRDefault="00ED7D43" w:rsidP="00ED7D43">
      <w:r w:rsidRPr="00ED7D43">
        <w:t xml:space="preserve">KEYTRUDA (pembrolizumab) is a selective humanised monoclonal antibody designed to block the interaction between PD-1 and its ligands, PD-L1 and PD-L2. Pembrolizumab is an IgG4 kappa immunoglobulin with an approximate molecular weight of 149 </w:t>
      </w:r>
      <w:proofErr w:type="spellStart"/>
      <w:r w:rsidRPr="00ED7D43">
        <w:t>kDa</w:t>
      </w:r>
      <w:proofErr w:type="spellEnd"/>
      <w:r w:rsidRPr="00ED7D43">
        <w:t>. Pembrolizumab is produced in Chinese hamster ovary cells by recombinant DNA technology.</w:t>
      </w:r>
    </w:p>
    <w:p w:rsidR="00ED7D43" w:rsidRPr="00D920A1" w:rsidRDefault="00ED7D43" w:rsidP="00ED7D43">
      <w:pPr>
        <w:rPr>
          <w:b/>
          <w:bCs/>
        </w:rPr>
      </w:pPr>
      <w:r w:rsidRPr="00D920A1">
        <w:rPr>
          <w:b/>
          <w:bCs/>
        </w:rPr>
        <w:t>CAS number</w:t>
      </w:r>
    </w:p>
    <w:p w:rsidR="00ED7D43" w:rsidRPr="00ED7D43" w:rsidRDefault="00ED7D43" w:rsidP="00ED7D43">
      <w:r w:rsidRPr="00ED7D43">
        <w:t>1374853-91-4</w:t>
      </w:r>
    </w:p>
    <w:p w:rsidR="00ED7D43" w:rsidRPr="00ED7D43" w:rsidRDefault="00ED7D43" w:rsidP="00D920A1">
      <w:pPr>
        <w:pStyle w:val="Heading2"/>
      </w:pPr>
      <w:r w:rsidRPr="00ED7D43">
        <w:lastRenderedPageBreak/>
        <w:t>7 MEDICINE SCHEDULE (POISONS STANDARD)</w:t>
      </w:r>
    </w:p>
    <w:p w:rsidR="00ED7D43" w:rsidRPr="00ED7D43" w:rsidRDefault="00ED7D43" w:rsidP="00ED7D43">
      <w:r w:rsidRPr="00ED7D43">
        <w:t>Prescription only medicine (Schedule 4)</w:t>
      </w:r>
    </w:p>
    <w:p w:rsidR="00ED7D43" w:rsidRPr="00ED7D43" w:rsidRDefault="00ED7D43" w:rsidP="00D920A1">
      <w:pPr>
        <w:pStyle w:val="Heading2"/>
      </w:pPr>
      <w:r w:rsidRPr="00ED7D43">
        <w:t>8 SPONSOR</w:t>
      </w:r>
    </w:p>
    <w:p w:rsidR="00ED7D43" w:rsidRPr="00ED7D43" w:rsidRDefault="00ED7D43" w:rsidP="00ED7D43">
      <w:r w:rsidRPr="00ED7D43">
        <w:t xml:space="preserve">Merck Sharp &amp; </w:t>
      </w:r>
      <w:proofErr w:type="spellStart"/>
      <w:r w:rsidRPr="00ED7D43">
        <w:t>Dohme</w:t>
      </w:r>
      <w:proofErr w:type="spellEnd"/>
      <w:r w:rsidRPr="00ED7D43">
        <w:t xml:space="preserve"> (Australia) Pty Limited</w:t>
      </w:r>
    </w:p>
    <w:p w:rsidR="00ED7D43" w:rsidRPr="00ED7D43" w:rsidRDefault="00ED7D43" w:rsidP="00ED7D43">
      <w:r w:rsidRPr="00ED7D43">
        <w:t>Level 1, Building A, 26 Talavera Road</w:t>
      </w:r>
    </w:p>
    <w:p w:rsidR="00ED7D43" w:rsidRPr="00ED7D43" w:rsidRDefault="00ED7D43" w:rsidP="00ED7D43">
      <w:r w:rsidRPr="00ED7D43">
        <w:t>Macquarie Park, NSW 2113, Australia</w:t>
      </w:r>
    </w:p>
    <w:p w:rsidR="00ED7D43" w:rsidRPr="00ED7D43" w:rsidRDefault="00ED7D43" w:rsidP="00ED7D43">
      <w:hyperlink r:id="rId24" w:history="1">
        <w:r w:rsidRPr="00ED7D43">
          <w:rPr>
            <w:rStyle w:val="Hyperlink"/>
          </w:rPr>
          <w:t>http://www.msd-australia.com.au</w:t>
        </w:r>
      </w:hyperlink>
    </w:p>
    <w:p w:rsidR="00ED7D43" w:rsidRPr="00ED7D43" w:rsidRDefault="00ED7D43" w:rsidP="00ED7D43">
      <w:r w:rsidRPr="00ED7D43">
        <w:t>Tel (61) 02 8988 8000</w:t>
      </w:r>
    </w:p>
    <w:p w:rsidR="00ED7D43" w:rsidRPr="00ED7D43" w:rsidRDefault="00ED7D43" w:rsidP="00ED7D43">
      <w:pPr>
        <w:rPr>
          <w:b/>
          <w:bCs/>
        </w:rPr>
      </w:pPr>
      <w:r w:rsidRPr="00ED7D43">
        <w:rPr>
          <w:b/>
          <w:bCs/>
        </w:rPr>
        <w:t>9 DATE OF FIRST APPROVAL</w:t>
      </w:r>
    </w:p>
    <w:p w:rsidR="00ED7D43" w:rsidRPr="00ED7D43" w:rsidRDefault="00ED7D43" w:rsidP="00ED7D43">
      <w:r w:rsidRPr="00ED7D43">
        <w:t>16 April 2015</w:t>
      </w:r>
    </w:p>
    <w:p w:rsidR="00ED7D43" w:rsidRPr="00ED7D43" w:rsidRDefault="00ED7D43" w:rsidP="00ED7D43">
      <w:pPr>
        <w:rPr>
          <w:b/>
          <w:bCs/>
        </w:rPr>
      </w:pPr>
      <w:r w:rsidRPr="00ED7D43">
        <w:rPr>
          <w:b/>
          <w:bCs/>
        </w:rPr>
        <w:t>10 DATE OF REVISION</w:t>
      </w:r>
    </w:p>
    <w:p w:rsidR="00ED7D43" w:rsidRPr="00ED7D43" w:rsidRDefault="00ED7D43" w:rsidP="00ED7D43">
      <w:r w:rsidRPr="00ED7D43">
        <w:t>17 September 2019</w:t>
      </w:r>
    </w:p>
    <w:p w:rsidR="00ED7D43" w:rsidRPr="00ED7D43" w:rsidRDefault="00ED7D43" w:rsidP="00ED7D43">
      <w:pPr>
        <w:rPr>
          <w:b/>
          <w:bCs/>
        </w:rPr>
      </w:pPr>
      <w:r w:rsidRPr="00ED7D43">
        <w:rPr>
          <w:b/>
          <w:bCs/>
        </w:rPr>
        <w:t>Summary table of changes</w:t>
      </w:r>
    </w:p>
    <w:tbl>
      <w:tblPr>
        <w:tblW w:w="494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277"/>
        <w:gridCol w:w="7689"/>
      </w:tblGrid>
      <w:tr w:rsidR="00ED7D43" w:rsidRPr="00ED7D43" w:rsidTr="00ED7D43">
        <w:trPr>
          <w:trHeight w:hRule="exact" w:val="740"/>
        </w:trPr>
        <w:tc>
          <w:tcPr>
            <w:tcW w:w="712" w:type="pct"/>
          </w:tcPr>
          <w:p w:rsidR="00ED7D43" w:rsidRPr="00ED7D43" w:rsidRDefault="00ED7D43" w:rsidP="00ED7D43">
            <w:pPr>
              <w:rPr>
                <w:b/>
              </w:rPr>
            </w:pPr>
            <w:r w:rsidRPr="00ED7D43">
              <w:rPr>
                <w:b/>
              </w:rPr>
              <w:t>Section changed</w:t>
            </w:r>
          </w:p>
        </w:tc>
        <w:tc>
          <w:tcPr>
            <w:tcW w:w="4288" w:type="pct"/>
          </w:tcPr>
          <w:p w:rsidR="00ED7D43" w:rsidRPr="00ED7D43" w:rsidRDefault="00ED7D43" w:rsidP="00ED7D43">
            <w:pPr>
              <w:rPr>
                <w:b/>
              </w:rPr>
            </w:pPr>
            <w:r w:rsidRPr="00ED7D43">
              <w:rPr>
                <w:b/>
              </w:rPr>
              <w:t>Summary of new information</w:t>
            </w:r>
          </w:p>
        </w:tc>
      </w:tr>
      <w:tr w:rsidR="00ED7D43" w:rsidRPr="00ED7D43" w:rsidTr="00ED7D43">
        <w:trPr>
          <w:trHeight w:hRule="exact" w:val="740"/>
        </w:trPr>
        <w:tc>
          <w:tcPr>
            <w:tcW w:w="712" w:type="pct"/>
          </w:tcPr>
          <w:p w:rsidR="00ED7D43" w:rsidRPr="00ED7D43" w:rsidRDefault="00ED7D43" w:rsidP="00ED7D43">
            <w:r w:rsidRPr="00ED7D43">
              <w:t>4.1</w:t>
            </w:r>
          </w:p>
        </w:tc>
        <w:tc>
          <w:tcPr>
            <w:tcW w:w="4288" w:type="pct"/>
          </w:tcPr>
          <w:p w:rsidR="00ED7D43" w:rsidRPr="00ED7D43" w:rsidRDefault="00ED7D43" w:rsidP="00ED7D43">
            <w:r w:rsidRPr="00ED7D43">
              <w:t xml:space="preserve">Added indication for KEYTRUDA in combination with lenvatinib for endometrial carcinoma that is not MSI-H or </w:t>
            </w:r>
            <w:proofErr w:type="spellStart"/>
            <w:r w:rsidRPr="00ED7D43">
              <w:t>dMMR</w:t>
            </w:r>
            <w:proofErr w:type="spellEnd"/>
          </w:p>
        </w:tc>
      </w:tr>
      <w:tr w:rsidR="00ED7D43" w:rsidRPr="00ED7D43" w:rsidTr="00ED7D43">
        <w:trPr>
          <w:trHeight w:hRule="exact" w:val="740"/>
        </w:trPr>
        <w:tc>
          <w:tcPr>
            <w:tcW w:w="712" w:type="pct"/>
          </w:tcPr>
          <w:p w:rsidR="00ED7D43" w:rsidRPr="00ED7D43" w:rsidRDefault="00ED7D43" w:rsidP="00ED7D43">
            <w:r w:rsidRPr="00ED7D43">
              <w:t>4.2</w:t>
            </w:r>
          </w:p>
        </w:tc>
        <w:tc>
          <w:tcPr>
            <w:tcW w:w="4288" w:type="pct"/>
          </w:tcPr>
          <w:p w:rsidR="00ED7D43" w:rsidRPr="00ED7D43" w:rsidRDefault="00ED7D43" w:rsidP="00ED7D43">
            <w:r w:rsidRPr="00ED7D43">
              <w:t>Updated dose recommendations for combination with lenvatinib</w:t>
            </w:r>
          </w:p>
        </w:tc>
      </w:tr>
      <w:tr w:rsidR="00ED7D43" w:rsidRPr="00ED7D43" w:rsidTr="00ED7D43">
        <w:trPr>
          <w:trHeight w:hRule="exact" w:val="740"/>
        </w:trPr>
        <w:tc>
          <w:tcPr>
            <w:tcW w:w="712" w:type="pct"/>
          </w:tcPr>
          <w:p w:rsidR="00ED7D43" w:rsidRPr="00ED7D43" w:rsidRDefault="00ED7D43" w:rsidP="00ED7D43">
            <w:r w:rsidRPr="00ED7D43">
              <w:t>4.8</w:t>
            </w:r>
          </w:p>
        </w:tc>
        <w:tc>
          <w:tcPr>
            <w:tcW w:w="4288" w:type="pct"/>
          </w:tcPr>
          <w:p w:rsidR="00ED7D43" w:rsidRPr="00ED7D43" w:rsidRDefault="00ED7D43" w:rsidP="00ED7D43">
            <w:r w:rsidRPr="00ED7D43">
              <w:t>Added safety outcomes for KEYNOTE-146</w:t>
            </w:r>
          </w:p>
        </w:tc>
      </w:tr>
      <w:tr w:rsidR="00ED7D43" w:rsidRPr="00ED7D43" w:rsidTr="00ED7D43">
        <w:trPr>
          <w:trHeight w:hRule="exact" w:val="740"/>
        </w:trPr>
        <w:tc>
          <w:tcPr>
            <w:tcW w:w="712" w:type="pct"/>
          </w:tcPr>
          <w:p w:rsidR="00ED7D43" w:rsidRPr="00ED7D43" w:rsidRDefault="00ED7D43" w:rsidP="00ED7D43">
            <w:r w:rsidRPr="00ED7D43">
              <w:t>5.1</w:t>
            </w:r>
          </w:p>
        </w:tc>
        <w:tc>
          <w:tcPr>
            <w:tcW w:w="4288" w:type="pct"/>
          </w:tcPr>
          <w:p w:rsidR="00ED7D43" w:rsidRPr="00ED7D43" w:rsidRDefault="00ED7D43" w:rsidP="00ED7D43">
            <w:r w:rsidRPr="00ED7D43">
              <w:t>Added efficacy outcomes for KEYNOTE-146</w:t>
            </w:r>
          </w:p>
        </w:tc>
      </w:tr>
    </w:tbl>
    <w:p w:rsidR="00ED7D43" w:rsidRPr="00ED7D43" w:rsidRDefault="00ED7D43" w:rsidP="00D920A1">
      <w:bookmarkStart w:id="2" w:name="_GoBack"/>
      <w:bookmarkEnd w:id="2"/>
    </w:p>
    <w:sectPr w:rsidR="00ED7D43" w:rsidRPr="00ED7D43" w:rsidSect="00891578">
      <w:headerReference w:type="even" r:id="rId25"/>
      <w:headerReference w:type="default" r:id="rId26"/>
      <w:footerReference w:type="even" r:id="rId27"/>
      <w:footerReference w:type="default" r:id="rId28"/>
      <w:headerReference w:type="first" r:id="rId29"/>
      <w:footerReference w:type="first" r:id="rId30"/>
      <w:type w:val="continuous"/>
      <w:pgSz w:w="11906" w:h="16838" w:code="9"/>
      <w:pgMar w:top="1134" w:right="1418" w:bottom="993" w:left="1418" w:header="107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D43" w:rsidRDefault="00ED7D43" w:rsidP="00C40A36">
      <w:r>
        <w:separator/>
      </w:r>
    </w:p>
  </w:endnote>
  <w:endnote w:type="continuationSeparator" w:id="0">
    <w:p w:rsidR="00ED7D43" w:rsidRDefault="00ED7D43"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D43" w:rsidRDefault="00ED7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010726"/>
      <w:docPartObj>
        <w:docPartGallery w:val="Page Numbers (Bottom of Page)"/>
        <w:docPartUnique/>
      </w:docPartObj>
    </w:sdtPr>
    <w:sdtContent>
      <w:sdt>
        <w:sdtPr>
          <w:id w:val="-1897117813"/>
          <w:docPartObj>
            <w:docPartGallery w:val="Page Numbers (Top of Page)"/>
            <w:docPartUnique/>
          </w:docPartObj>
        </w:sdtPr>
        <w:sdtContent>
          <w:p w:rsidR="00ED7D43" w:rsidRDefault="00ED7D43" w:rsidP="00161489">
            <w:pPr>
              <w:pStyle w:val="Footer"/>
              <w:pBdr>
                <w:top w:val="single" w:sz="4" w:space="1" w:color="auto"/>
              </w:pBd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920A1">
              <w:rPr>
                <w:b/>
                <w:bCs/>
                <w:noProof/>
              </w:rPr>
              <w:t>89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920A1">
              <w:rPr>
                <w:b/>
                <w:bCs/>
                <w:noProof/>
              </w:rPr>
              <w:t>89</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48873"/>
      <w:docPartObj>
        <w:docPartGallery w:val="Page Numbers (Bottom of Page)"/>
        <w:docPartUnique/>
      </w:docPartObj>
    </w:sdtPr>
    <w:sdtContent>
      <w:sdt>
        <w:sdtPr>
          <w:id w:val="-1769616900"/>
          <w:docPartObj>
            <w:docPartGallery w:val="Page Numbers (Top of Page)"/>
            <w:docPartUnique/>
          </w:docPartObj>
        </w:sdtPr>
        <w:sdtContent>
          <w:p w:rsidR="00ED7D43" w:rsidRDefault="00ED7D43" w:rsidP="001614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D43" w:rsidRDefault="00ED7D43" w:rsidP="00C40A36">
      <w:r>
        <w:separator/>
      </w:r>
    </w:p>
  </w:footnote>
  <w:footnote w:type="continuationSeparator" w:id="0">
    <w:p w:rsidR="00ED7D43" w:rsidRDefault="00ED7D43"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D43" w:rsidRDefault="00ED7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ED7D43" w:rsidRPr="000B2145" w:rsidTr="00135868">
      <w:trPr>
        <w:trHeight w:val="590"/>
      </w:trPr>
      <w:tc>
        <w:tcPr>
          <w:tcW w:w="8720" w:type="dxa"/>
          <w:shd w:val="clear" w:color="auto" w:fill="E4F2E0"/>
        </w:tcPr>
        <w:p w:rsidR="00ED7D43" w:rsidRPr="000B2145" w:rsidRDefault="00ED7D43" w:rsidP="002C3651">
          <w:pPr>
            <w:pStyle w:val="Footer"/>
            <w:rPr>
              <w:b/>
              <w:sz w:val="18"/>
              <w:szCs w:val="18"/>
            </w:rPr>
          </w:pPr>
          <w:r w:rsidRPr="000B2145">
            <w:rPr>
              <w:b/>
              <w:sz w:val="18"/>
              <w:szCs w:val="18"/>
            </w:rPr>
            <w:t xml:space="preserve">Attachment </w:t>
          </w:r>
          <w:r w:rsidRPr="000B2145">
            <w:rPr>
              <w:b/>
            </w:rPr>
            <w:t xml:space="preserve">AusPAR - KEYTRUDA - pembrolizumab - Merck Sharp &amp; </w:t>
          </w:r>
          <w:proofErr w:type="spellStart"/>
          <w:r w:rsidRPr="000B2145">
            <w:rPr>
              <w:b/>
            </w:rPr>
            <w:t>Dohme</w:t>
          </w:r>
          <w:proofErr w:type="spellEnd"/>
          <w:r w:rsidRPr="000B2145">
            <w:rPr>
              <w:b/>
            </w:rPr>
            <w:t xml:space="preserve"> (Australia) Pty Limited - PM-2019-02526-1-4 FINAL 5 May 2020</w:t>
          </w:r>
          <w:r w:rsidRPr="000B2145">
            <w:rPr>
              <w:b/>
              <w:sz w:val="18"/>
              <w:szCs w:val="18"/>
            </w:rPr>
            <w:t>. 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rsidR="00ED7D43" w:rsidRDefault="00ED7D43" w:rsidP="00891578">
    <w:pPr>
      <w:pStyle w:val="Headernoline"/>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D43" w:rsidRDefault="00ED7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72AAF"/>
    <w:multiLevelType w:val="singleLevel"/>
    <w:tmpl w:val="22F45636"/>
    <w:lvl w:ilvl="0">
      <w:start w:val="1"/>
      <w:numFmt w:val="lowerLetter"/>
      <w:pStyle w:val="TableFootnote"/>
      <w:lvlText w:val="%1"/>
      <w:lvlJc w:val="left"/>
      <w:pPr>
        <w:ind w:left="360" w:hanging="360"/>
      </w:pPr>
      <w:rPr>
        <w:rFonts w:ascii="Times New Roman" w:hAnsi="Times New Roman" w:cs="Times New Roman" w:hint="default"/>
        <w:b w:val="0"/>
        <w:i w:val="0"/>
        <w:caps w:val="0"/>
        <w:sz w:val="20"/>
        <w:u w:val="none"/>
        <w:vertAlign w:val="baseline"/>
      </w:rPr>
    </w:lvl>
  </w:abstractNum>
  <w:abstractNum w:abstractNumId="1" w15:restartNumberingAfterBreak="0">
    <w:nsid w:val="10053F11"/>
    <w:multiLevelType w:val="multilevel"/>
    <w:tmpl w:val="3B0493D8"/>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68F13E9"/>
    <w:multiLevelType w:val="multilevel"/>
    <w:tmpl w:val="5950BF9A"/>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475833A3"/>
    <w:multiLevelType w:val="hybridMultilevel"/>
    <w:tmpl w:val="1090C766"/>
    <w:lvl w:ilvl="0" w:tplc="539E3452">
      <w:start w:val="1"/>
      <w:numFmt w:val="bullet"/>
      <w:pStyle w:val="ListBullet3"/>
      <w:lvlText w:val="▪"/>
      <w:lvlJc w:val="left"/>
      <w:pPr>
        <w:ind w:left="1571" w:hanging="360"/>
      </w:pPr>
      <w:rPr>
        <w:rFonts w:ascii="Arial"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760F7947"/>
    <w:multiLevelType w:val="hybridMultilevel"/>
    <w:tmpl w:val="CD941D36"/>
    <w:lvl w:ilvl="0" w:tplc="E214A0AC">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2"/>
  </w:num>
  <w:num w:numId="4">
    <w:abstractNumId w:val="3"/>
  </w:num>
  <w:num w:numId="5">
    <w:abstractNumId w:val="1"/>
  </w:num>
  <w:num w:numId="6">
    <w:abstractNumId w:val="4"/>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851"/>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91C"/>
    <w:rsid w:val="00002031"/>
    <w:rsid w:val="00004734"/>
    <w:rsid w:val="00006B22"/>
    <w:rsid w:val="0001276A"/>
    <w:rsid w:val="00016C59"/>
    <w:rsid w:val="000239C6"/>
    <w:rsid w:val="000246AE"/>
    <w:rsid w:val="00025C67"/>
    <w:rsid w:val="000336B5"/>
    <w:rsid w:val="00034904"/>
    <w:rsid w:val="0005559E"/>
    <w:rsid w:val="00055B86"/>
    <w:rsid w:val="000570A5"/>
    <w:rsid w:val="00064C94"/>
    <w:rsid w:val="00065657"/>
    <w:rsid w:val="0007394C"/>
    <w:rsid w:val="00077775"/>
    <w:rsid w:val="00082A10"/>
    <w:rsid w:val="000872AA"/>
    <w:rsid w:val="00090471"/>
    <w:rsid w:val="000A1474"/>
    <w:rsid w:val="000A1F98"/>
    <w:rsid w:val="000A20BF"/>
    <w:rsid w:val="000A4A74"/>
    <w:rsid w:val="000B1EBF"/>
    <w:rsid w:val="000B3532"/>
    <w:rsid w:val="000B3A75"/>
    <w:rsid w:val="000B543C"/>
    <w:rsid w:val="000B7084"/>
    <w:rsid w:val="000C4728"/>
    <w:rsid w:val="000D283A"/>
    <w:rsid w:val="000D391B"/>
    <w:rsid w:val="000D3D6D"/>
    <w:rsid w:val="000D4FC7"/>
    <w:rsid w:val="000D579F"/>
    <w:rsid w:val="000D68D1"/>
    <w:rsid w:val="000E2AE8"/>
    <w:rsid w:val="000F16BC"/>
    <w:rsid w:val="000F28BA"/>
    <w:rsid w:val="000F4869"/>
    <w:rsid w:val="000F5B42"/>
    <w:rsid w:val="000F6E6F"/>
    <w:rsid w:val="001003F2"/>
    <w:rsid w:val="0010601F"/>
    <w:rsid w:val="0010704F"/>
    <w:rsid w:val="00110EA5"/>
    <w:rsid w:val="0011266E"/>
    <w:rsid w:val="00115240"/>
    <w:rsid w:val="00125318"/>
    <w:rsid w:val="00126A14"/>
    <w:rsid w:val="001305A2"/>
    <w:rsid w:val="00131476"/>
    <w:rsid w:val="00133238"/>
    <w:rsid w:val="00133E11"/>
    <w:rsid w:val="00135868"/>
    <w:rsid w:val="0014197B"/>
    <w:rsid w:val="00141B46"/>
    <w:rsid w:val="001434DF"/>
    <w:rsid w:val="001447CD"/>
    <w:rsid w:val="00144C49"/>
    <w:rsid w:val="0014503C"/>
    <w:rsid w:val="001467B9"/>
    <w:rsid w:val="001516B1"/>
    <w:rsid w:val="0015177A"/>
    <w:rsid w:val="00156316"/>
    <w:rsid w:val="00156653"/>
    <w:rsid w:val="00160FA8"/>
    <w:rsid w:val="00161489"/>
    <w:rsid w:val="00163E7C"/>
    <w:rsid w:val="00165389"/>
    <w:rsid w:val="0016554A"/>
    <w:rsid w:val="00175BDB"/>
    <w:rsid w:val="0017693F"/>
    <w:rsid w:val="0018110E"/>
    <w:rsid w:val="00181684"/>
    <w:rsid w:val="001843C6"/>
    <w:rsid w:val="001850E0"/>
    <w:rsid w:val="001867C1"/>
    <w:rsid w:val="001A1B90"/>
    <w:rsid w:val="001A525F"/>
    <w:rsid w:val="001B05F9"/>
    <w:rsid w:val="001B07F8"/>
    <w:rsid w:val="001B09F9"/>
    <w:rsid w:val="001B63A4"/>
    <w:rsid w:val="001B6448"/>
    <w:rsid w:val="001C4FEB"/>
    <w:rsid w:val="001D0748"/>
    <w:rsid w:val="001D1664"/>
    <w:rsid w:val="001E07CF"/>
    <w:rsid w:val="001E104C"/>
    <w:rsid w:val="001E425B"/>
    <w:rsid w:val="001E4AC7"/>
    <w:rsid w:val="001E59F1"/>
    <w:rsid w:val="001E7CA3"/>
    <w:rsid w:val="001F49EB"/>
    <w:rsid w:val="001F6CBA"/>
    <w:rsid w:val="00201D4E"/>
    <w:rsid w:val="0020571C"/>
    <w:rsid w:val="0021402A"/>
    <w:rsid w:val="002152BD"/>
    <w:rsid w:val="00217D05"/>
    <w:rsid w:val="00220B8A"/>
    <w:rsid w:val="0022530A"/>
    <w:rsid w:val="002257F3"/>
    <w:rsid w:val="0022716B"/>
    <w:rsid w:val="00227CF4"/>
    <w:rsid w:val="0023048E"/>
    <w:rsid w:val="00232D87"/>
    <w:rsid w:val="00233456"/>
    <w:rsid w:val="002339A5"/>
    <w:rsid w:val="002346E6"/>
    <w:rsid w:val="0024231E"/>
    <w:rsid w:val="00242725"/>
    <w:rsid w:val="00245DCE"/>
    <w:rsid w:val="002461C0"/>
    <w:rsid w:val="0024739A"/>
    <w:rsid w:val="002501BF"/>
    <w:rsid w:val="00251F86"/>
    <w:rsid w:val="00257848"/>
    <w:rsid w:val="00257AA5"/>
    <w:rsid w:val="0027084A"/>
    <w:rsid w:val="00274112"/>
    <w:rsid w:val="00286434"/>
    <w:rsid w:val="00286C59"/>
    <w:rsid w:val="002942D1"/>
    <w:rsid w:val="002A0556"/>
    <w:rsid w:val="002B1218"/>
    <w:rsid w:val="002B1638"/>
    <w:rsid w:val="002B6AE5"/>
    <w:rsid w:val="002B7FE9"/>
    <w:rsid w:val="002C2A01"/>
    <w:rsid w:val="002C3651"/>
    <w:rsid w:val="002D371E"/>
    <w:rsid w:val="002D3D18"/>
    <w:rsid w:val="002D676D"/>
    <w:rsid w:val="002D7BA2"/>
    <w:rsid w:val="002E4C9A"/>
    <w:rsid w:val="002F11F8"/>
    <w:rsid w:val="002F2FC3"/>
    <w:rsid w:val="002F32B3"/>
    <w:rsid w:val="002F3F56"/>
    <w:rsid w:val="002F44B5"/>
    <w:rsid w:val="002F61FC"/>
    <w:rsid w:val="003002A9"/>
    <w:rsid w:val="00300C37"/>
    <w:rsid w:val="00302933"/>
    <w:rsid w:val="0030787D"/>
    <w:rsid w:val="00311446"/>
    <w:rsid w:val="00311AC0"/>
    <w:rsid w:val="003127F5"/>
    <w:rsid w:val="003246C8"/>
    <w:rsid w:val="0033260A"/>
    <w:rsid w:val="003507A6"/>
    <w:rsid w:val="003521E8"/>
    <w:rsid w:val="0035403E"/>
    <w:rsid w:val="0036150F"/>
    <w:rsid w:val="003664BF"/>
    <w:rsid w:val="00366CA7"/>
    <w:rsid w:val="00367882"/>
    <w:rsid w:val="00372416"/>
    <w:rsid w:val="003728F3"/>
    <w:rsid w:val="00373880"/>
    <w:rsid w:val="003779FA"/>
    <w:rsid w:val="00390900"/>
    <w:rsid w:val="003A52B2"/>
    <w:rsid w:val="003B7E39"/>
    <w:rsid w:val="003C19A8"/>
    <w:rsid w:val="003C33BE"/>
    <w:rsid w:val="003C58DC"/>
    <w:rsid w:val="003D1170"/>
    <w:rsid w:val="003D6C66"/>
    <w:rsid w:val="003E1985"/>
    <w:rsid w:val="003E3208"/>
    <w:rsid w:val="003E4C13"/>
    <w:rsid w:val="003E74D1"/>
    <w:rsid w:val="003F0B04"/>
    <w:rsid w:val="003F129A"/>
    <w:rsid w:val="003F1B0F"/>
    <w:rsid w:val="003F612D"/>
    <w:rsid w:val="0040134E"/>
    <w:rsid w:val="004024D7"/>
    <w:rsid w:val="0040373F"/>
    <w:rsid w:val="0040377F"/>
    <w:rsid w:val="00410EAC"/>
    <w:rsid w:val="00411777"/>
    <w:rsid w:val="00411E88"/>
    <w:rsid w:val="00415D8D"/>
    <w:rsid w:val="004169B7"/>
    <w:rsid w:val="00416EAC"/>
    <w:rsid w:val="00417BBA"/>
    <w:rsid w:val="004267E8"/>
    <w:rsid w:val="004269D1"/>
    <w:rsid w:val="004360FB"/>
    <w:rsid w:val="00440A2D"/>
    <w:rsid w:val="00440DAF"/>
    <w:rsid w:val="004564A7"/>
    <w:rsid w:val="004617BF"/>
    <w:rsid w:val="004662EA"/>
    <w:rsid w:val="00481784"/>
    <w:rsid w:val="00491760"/>
    <w:rsid w:val="004923FF"/>
    <w:rsid w:val="00494E60"/>
    <w:rsid w:val="004A38EE"/>
    <w:rsid w:val="004A4795"/>
    <w:rsid w:val="004B23A0"/>
    <w:rsid w:val="004B7B76"/>
    <w:rsid w:val="004C08EC"/>
    <w:rsid w:val="004C2568"/>
    <w:rsid w:val="004C2BF6"/>
    <w:rsid w:val="004C51FB"/>
    <w:rsid w:val="004E3641"/>
    <w:rsid w:val="004F0F38"/>
    <w:rsid w:val="004F2D9F"/>
    <w:rsid w:val="004F3E7C"/>
    <w:rsid w:val="004F3F5C"/>
    <w:rsid w:val="00501921"/>
    <w:rsid w:val="005076E8"/>
    <w:rsid w:val="00515DA6"/>
    <w:rsid w:val="005200EB"/>
    <w:rsid w:val="00521AE6"/>
    <w:rsid w:val="00530354"/>
    <w:rsid w:val="00536E30"/>
    <w:rsid w:val="005434C6"/>
    <w:rsid w:val="00543B39"/>
    <w:rsid w:val="0054427D"/>
    <w:rsid w:val="00545F70"/>
    <w:rsid w:val="00545F7B"/>
    <w:rsid w:val="00550096"/>
    <w:rsid w:val="00554BA0"/>
    <w:rsid w:val="00557FF9"/>
    <w:rsid w:val="005614D2"/>
    <w:rsid w:val="0057001C"/>
    <w:rsid w:val="00571115"/>
    <w:rsid w:val="00576378"/>
    <w:rsid w:val="00577E38"/>
    <w:rsid w:val="00585140"/>
    <w:rsid w:val="00585322"/>
    <w:rsid w:val="00593AD1"/>
    <w:rsid w:val="0059775C"/>
    <w:rsid w:val="005A1131"/>
    <w:rsid w:val="005A449F"/>
    <w:rsid w:val="005A7FAD"/>
    <w:rsid w:val="005B7014"/>
    <w:rsid w:val="005C5570"/>
    <w:rsid w:val="005C79A4"/>
    <w:rsid w:val="005D5442"/>
    <w:rsid w:val="006065C2"/>
    <w:rsid w:val="00613396"/>
    <w:rsid w:val="0063073C"/>
    <w:rsid w:val="00635ECF"/>
    <w:rsid w:val="00640FC3"/>
    <w:rsid w:val="00642020"/>
    <w:rsid w:val="0065337B"/>
    <w:rsid w:val="0065419D"/>
    <w:rsid w:val="006604D8"/>
    <w:rsid w:val="006615AE"/>
    <w:rsid w:val="00662F53"/>
    <w:rsid w:val="00664A5B"/>
    <w:rsid w:val="00667942"/>
    <w:rsid w:val="00674474"/>
    <w:rsid w:val="00677790"/>
    <w:rsid w:val="00680C08"/>
    <w:rsid w:val="0068284F"/>
    <w:rsid w:val="006842BE"/>
    <w:rsid w:val="0068741A"/>
    <w:rsid w:val="006931B1"/>
    <w:rsid w:val="006A01D9"/>
    <w:rsid w:val="006A15C0"/>
    <w:rsid w:val="006A399C"/>
    <w:rsid w:val="006A7B7F"/>
    <w:rsid w:val="006C1F3B"/>
    <w:rsid w:val="006C3E2A"/>
    <w:rsid w:val="006C642F"/>
    <w:rsid w:val="006D03E5"/>
    <w:rsid w:val="006D3540"/>
    <w:rsid w:val="006D4FC3"/>
    <w:rsid w:val="006D5D3E"/>
    <w:rsid w:val="006D7E9D"/>
    <w:rsid w:val="006E08B3"/>
    <w:rsid w:val="006E1980"/>
    <w:rsid w:val="006E73F3"/>
    <w:rsid w:val="006F02AC"/>
    <w:rsid w:val="006F13B5"/>
    <w:rsid w:val="006F572E"/>
    <w:rsid w:val="007046D6"/>
    <w:rsid w:val="00705DB0"/>
    <w:rsid w:val="00706AFE"/>
    <w:rsid w:val="00710B19"/>
    <w:rsid w:val="00712EE4"/>
    <w:rsid w:val="00714FB5"/>
    <w:rsid w:val="00715E43"/>
    <w:rsid w:val="007302FA"/>
    <w:rsid w:val="0073664D"/>
    <w:rsid w:val="0074253D"/>
    <w:rsid w:val="00743CBF"/>
    <w:rsid w:val="0074429B"/>
    <w:rsid w:val="00745D5F"/>
    <w:rsid w:val="00746136"/>
    <w:rsid w:val="007477F8"/>
    <w:rsid w:val="00751D4C"/>
    <w:rsid w:val="00753301"/>
    <w:rsid w:val="007549FB"/>
    <w:rsid w:val="007565AE"/>
    <w:rsid w:val="007615BC"/>
    <w:rsid w:val="00762F05"/>
    <w:rsid w:val="007652FF"/>
    <w:rsid w:val="00770C88"/>
    <w:rsid w:val="00771329"/>
    <w:rsid w:val="00772CEF"/>
    <w:rsid w:val="00773EF7"/>
    <w:rsid w:val="00774E1D"/>
    <w:rsid w:val="0077675A"/>
    <w:rsid w:val="007770A4"/>
    <w:rsid w:val="00780355"/>
    <w:rsid w:val="00781735"/>
    <w:rsid w:val="00785721"/>
    <w:rsid w:val="00791678"/>
    <w:rsid w:val="007919EA"/>
    <w:rsid w:val="00792F09"/>
    <w:rsid w:val="00793A59"/>
    <w:rsid w:val="007A2162"/>
    <w:rsid w:val="007B7865"/>
    <w:rsid w:val="007C0F3D"/>
    <w:rsid w:val="007C1AF7"/>
    <w:rsid w:val="007C44CB"/>
    <w:rsid w:val="007C4790"/>
    <w:rsid w:val="007D118C"/>
    <w:rsid w:val="007E1D03"/>
    <w:rsid w:val="007E39A9"/>
    <w:rsid w:val="007E462A"/>
    <w:rsid w:val="007E78FC"/>
    <w:rsid w:val="007F34F8"/>
    <w:rsid w:val="008100B6"/>
    <w:rsid w:val="00814CE3"/>
    <w:rsid w:val="00821776"/>
    <w:rsid w:val="00826007"/>
    <w:rsid w:val="00827F41"/>
    <w:rsid w:val="008321F5"/>
    <w:rsid w:val="00832369"/>
    <w:rsid w:val="00832C11"/>
    <w:rsid w:val="00833FE8"/>
    <w:rsid w:val="00834660"/>
    <w:rsid w:val="00834D93"/>
    <w:rsid w:val="00834E8D"/>
    <w:rsid w:val="0083644E"/>
    <w:rsid w:val="00836BC2"/>
    <w:rsid w:val="00842585"/>
    <w:rsid w:val="0084642D"/>
    <w:rsid w:val="00846C99"/>
    <w:rsid w:val="00856296"/>
    <w:rsid w:val="0085641B"/>
    <w:rsid w:val="00857136"/>
    <w:rsid w:val="00863B1D"/>
    <w:rsid w:val="00877066"/>
    <w:rsid w:val="00881E2B"/>
    <w:rsid w:val="00885930"/>
    <w:rsid w:val="008872A9"/>
    <w:rsid w:val="00887365"/>
    <w:rsid w:val="00887D37"/>
    <w:rsid w:val="00890E8F"/>
    <w:rsid w:val="00891578"/>
    <w:rsid w:val="00895A07"/>
    <w:rsid w:val="00896018"/>
    <w:rsid w:val="008A2B9D"/>
    <w:rsid w:val="008A5E0B"/>
    <w:rsid w:val="008A628A"/>
    <w:rsid w:val="008A6D59"/>
    <w:rsid w:val="008A7F9B"/>
    <w:rsid w:val="008B3E49"/>
    <w:rsid w:val="008B4B03"/>
    <w:rsid w:val="008B596F"/>
    <w:rsid w:val="008C159F"/>
    <w:rsid w:val="008C1623"/>
    <w:rsid w:val="008C1BE2"/>
    <w:rsid w:val="008C3A45"/>
    <w:rsid w:val="008C4E34"/>
    <w:rsid w:val="008C51A9"/>
    <w:rsid w:val="008C6267"/>
    <w:rsid w:val="008D2816"/>
    <w:rsid w:val="008D50AE"/>
    <w:rsid w:val="008D687D"/>
    <w:rsid w:val="008D6F95"/>
    <w:rsid w:val="008E6F53"/>
    <w:rsid w:val="008E7524"/>
    <w:rsid w:val="008F1CCC"/>
    <w:rsid w:val="008F2967"/>
    <w:rsid w:val="008F580A"/>
    <w:rsid w:val="009177CC"/>
    <w:rsid w:val="00920330"/>
    <w:rsid w:val="009219D7"/>
    <w:rsid w:val="00922D53"/>
    <w:rsid w:val="00923B70"/>
    <w:rsid w:val="0092424D"/>
    <w:rsid w:val="0092600B"/>
    <w:rsid w:val="00930237"/>
    <w:rsid w:val="00940103"/>
    <w:rsid w:val="009453CE"/>
    <w:rsid w:val="009522A9"/>
    <w:rsid w:val="009527F4"/>
    <w:rsid w:val="00956D21"/>
    <w:rsid w:val="00961CE1"/>
    <w:rsid w:val="00963C08"/>
    <w:rsid w:val="009749DF"/>
    <w:rsid w:val="0098068F"/>
    <w:rsid w:val="00982678"/>
    <w:rsid w:val="00983655"/>
    <w:rsid w:val="00997E98"/>
    <w:rsid w:val="009A1D75"/>
    <w:rsid w:val="009A4CED"/>
    <w:rsid w:val="009A6616"/>
    <w:rsid w:val="009A6CAF"/>
    <w:rsid w:val="009B15E8"/>
    <w:rsid w:val="009B1D12"/>
    <w:rsid w:val="009B3399"/>
    <w:rsid w:val="009B416B"/>
    <w:rsid w:val="009B5930"/>
    <w:rsid w:val="009B6EC1"/>
    <w:rsid w:val="009C24B7"/>
    <w:rsid w:val="009C2A54"/>
    <w:rsid w:val="009C4BD5"/>
    <w:rsid w:val="009C65A4"/>
    <w:rsid w:val="009D145F"/>
    <w:rsid w:val="009D170D"/>
    <w:rsid w:val="009D54C0"/>
    <w:rsid w:val="009D7B77"/>
    <w:rsid w:val="009E0BB0"/>
    <w:rsid w:val="009E0F17"/>
    <w:rsid w:val="009E16D0"/>
    <w:rsid w:val="009E3FBB"/>
    <w:rsid w:val="009E43EE"/>
    <w:rsid w:val="009F5F9B"/>
    <w:rsid w:val="009F7867"/>
    <w:rsid w:val="00A04B48"/>
    <w:rsid w:val="00A056A0"/>
    <w:rsid w:val="00A111DD"/>
    <w:rsid w:val="00A1470B"/>
    <w:rsid w:val="00A14DF7"/>
    <w:rsid w:val="00A169DA"/>
    <w:rsid w:val="00A23851"/>
    <w:rsid w:val="00A26D59"/>
    <w:rsid w:val="00A27E43"/>
    <w:rsid w:val="00A3246D"/>
    <w:rsid w:val="00A35E34"/>
    <w:rsid w:val="00A36FA7"/>
    <w:rsid w:val="00A4383E"/>
    <w:rsid w:val="00A475B7"/>
    <w:rsid w:val="00A47AF7"/>
    <w:rsid w:val="00A47C3E"/>
    <w:rsid w:val="00A50226"/>
    <w:rsid w:val="00A57BE7"/>
    <w:rsid w:val="00A606D5"/>
    <w:rsid w:val="00A60BAD"/>
    <w:rsid w:val="00A61B30"/>
    <w:rsid w:val="00A61D1D"/>
    <w:rsid w:val="00A63407"/>
    <w:rsid w:val="00A73A8D"/>
    <w:rsid w:val="00A75755"/>
    <w:rsid w:val="00A77137"/>
    <w:rsid w:val="00A77BD3"/>
    <w:rsid w:val="00A87E87"/>
    <w:rsid w:val="00A95096"/>
    <w:rsid w:val="00AA0718"/>
    <w:rsid w:val="00AA49A2"/>
    <w:rsid w:val="00AA77AF"/>
    <w:rsid w:val="00AB5E44"/>
    <w:rsid w:val="00AC1D58"/>
    <w:rsid w:val="00AC2B40"/>
    <w:rsid w:val="00AC2BB2"/>
    <w:rsid w:val="00AC2C3C"/>
    <w:rsid w:val="00AC37AF"/>
    <w:rsid w:val="00AC49E1"/>
    <w:rsid w:val="00AC5EFA"/>
    <w:rsid w:val="00AD38E1"/>
    <w:rsid w:val="00AE1619"/>
    <w:rsid w:val="00AE32A9"/>
    <w:rsid w:val="00AE32F3"/>
    <w:rsid w:val="00AE65EB"/>
    <w:rsid w:val="00AF1D94"/>
    <w:rsid w:val="00AF4FB1"/>
    <w:rsid w:val="00AF60C5"/>
    <w:rsid w:val="00B009C6"/>
    <w:rsid w:val="00B01548"/>
    <w:rsid w:val="00B067F8"/>
    <w:rsid w:val="00B132DE"/>
    <w:rsid w:val="00B13F56"/>
    <w:rsid w:val="00B14C99"/>
    <w:rsid w:val="00B15E5C"/>
    <w:rsid w:val="00B17E8D"/>
    <w:rsid w:val="00B21D29"/>
    <w:rsid w:val="00B25034"/>
    <w:rsid w:val="00B27FCE"/>
    <w:rsid w:val="00B33863"/>
    <w:rsid w:val="00B34026"/>
    <w:rsid w:val="00B37812"/>
    <w:rsid w:val="00B37898"/>
    <w:rsid w:val="00B37D17"/>
    <w:rsid w:val="00B4175E"/>
    <w:rsid w:val="00B43E03"/>
    <w:rsid w:val="00B54C25"/>
    <w:rsid w:val="00B56277"/>
    <w:rsid w:val="00B73D47"/>
    <w:rsid w:val="00B76B91"/>
    <w:rsid w:val="00B8519C"/>
    <w:rsid w:val="00B85B79"/>
    <w:rsid w:val="00B93853"/>
    <w:rsid w:val="00B96878"/>
    <w:rsid w:val="00BA5BB9"/>
    <w:rsid w:val="00BB7F63"/>
    <w:rsid w:val="00BC4DA2"/>
    <w:rsid w:val="00BC622A"/>
    <w:rsid w:val="00BD0659"/>
    <w:rsid w:val="00BD2959"/>
    <w:rsid w:val="00BD41D3"/>
    <w:rsid w:val="00BD6C0C"/>
    <w:rsid w:val="00BE0A78"/>
    <w:rsid w:val="00BE673D"/>
    <w:rsid w:val="00BE79F0"/>
    <w:rsid w:val="00BF046D"/>
    <w:rsid w:val="00BF5D04"/>
    <w:rsid w:val="00C06A51"/>
    <w:rsid w:val="00C11E87"/>
    <w:rsid w:val="00C13563"/>
    <w:rsid w:val="00C16F1C"/>
    <w:rsid w:val="00C17FD8"/>
    <w:rsid w:val="00C20595"/>
    <w:rsid w:val="00C34A54"/>
    <w:rsid w:val="00C36EC5"/>
    <w:rsid w:val="00C37AD0"/>
    <w:rsid w:val="00C404A6"/>
    <w:rsid w:val="00C40A36"/>
    <w:rsid w:val="00C44419"/>
    <w:rsid w:val="00C45E7B"/>
    <w:rsid w:val="00C471B1"/>
    <w:rsid w:val="00C53564"/>
    <w:rsid w:val="00C53D7B"/>
    <w:rsid w:val="00C54E0F"/>
    <w:rsid w:val="00C61587"/>
    <w:rsid w:val="00C627C3"/>
    <w:rsid w:val="00C6316B"/>
    <w:rsid w:val="00C634A9"/>
    <w:rsid w:val="00C661EE"/>
    <w:rsid w:val="00C72261"/>
    <w:rsid w:val="00C772FF"/>
    <w:rsid w:val="00C801AF"/>
    <w:rsid w:val="00C80256"/>
    <w:rsid w:val="00C8061B"/>
    <w:rsid w:val="00C83154"/>
    <w:rsid w:val="00C912E5"/>
    <w:rsid w:val="00C9150D"/>
    <w:rsid w:val="00C92F9C"/>
    <w:rsid w:val="00C964DE"/>
    <w:rsid w:val="00C96F84"/>
    <w:rsid w:val="00CA3BC1"/>
    <w:rsid w:val="00CA4F54"/>
    <w:rsid w:val="00CB1FC2"/>
    <w:rsid w:val="00CB62DB"/>
    <w:rsid w:val="00CB6BC0"/>
    <w:rsid w:val="00CC1B7C"/>
    <w:rsid w:val="00CC25EB"/>
    <w:rsid w:val="00CC5A2E"/>
    <w:rsid w:val="00CC727F"/>
    <w:rsid w:val="00CE460C"/>
    <w:rsid w:val="00CE5BB0"/>
    <w:rsid w:val="00CE62C3"/>
    <w:rsid w:val="00CF15C3"/>
    <w:rsid w:val="00CF2B6F"/>
    <w:rsid w:val="00CF7F5A"/>
    <w:rsid w:val="00D017ED"/>
    <w:rsid w:val="00D02479"/>
    <w:rsid w:val="00D04F1E"/>
    <w:rsid w:val="00D0673D"/>
    <w:rsid w:val="00D1358D"/>
    <w:rsid w:val="00D153B1"/>
    <w:rsid w:val="00D224FE"/>
    <w:rsid w:val="00D242AC"/>
    <w:rsid w:val="00D2591C"/>
    <w:rsid w:val="00D329DB"/>
    <w:rsid w:val="00D41E18"/>
    <w:rsid w:val="00D44CFD"/>
    <w:rsid w:val="00D46335"/>
    <w:rsid w:val="00D53B8F"/>
    <w:rsid w:val="00D54785"/>
    <w:rsid w:val="00D54C36"/>
    <w:rsid w:val="00D6493E"/>
    <w:rsid w:val="00D73E47"/>
    <w:rsid w:val="00D742B0"/>
    <w:rsid w:val="00D85F12"/>
    <w:rsid w:val="00D86B2C"/>
    <w:rsid w:val="00D920A1"/>
    <w:rsid w:val="00D92D8D"/>
    <w:rsid w:val="00DA1124"/>
    <w:rsid w:val="00DA1AFE"/>
    <w:rsid w:val="00DA2A4A"/>
    <w:rsid w:val="00DA720C"/>
    <w:rsid w:val="00DA747D"/>
    <w:rsid w:val="00DB3186"/>
    <w:rsid w:val="00DC133D"/>
    <w:rsid w:val="00DC64B4"/>
    <w:rsid w:val="00DC6B47"/>
    <w:rsid w:val="00DC6F0A"/>
    <w:rsid w:val="00DD05EF"/>
    <w:rsid w:val="00DD1285"/>
    <w:rsid w:val="00DD2605"/>
    <w:rsid w:val="00DD75A3"/>
    <w:rsid w:val="00DE02AE"/>
    <w:rsid w:val="00DE12A0"/>
    <w:rsid w:val="00DE1760"/>
    <w:rsid w:val="00DE6A0C"/>
    <w:rsid w:val="00DF1D7F"/>
    <w:rsid w:val="00DF6680"/>
    <w:rsid w:val="00E02FB4"/>
    <w:rsid w:val="00E1743A"/>
    <w:rsid w:val="00E20571"/>
    <w:rsid w:val="00E21651"/>
    <w:rsid w:val="00E233DD"/>
    <w:rsid w:val="00E235F7"/>
    <w:rsid w:val="00E239D4"/>
    <w:rsid w:val="00E40B22"/>
    <w:rsid w:val="00E40F33"/>
    <w:rsid w:val="00E4411A"/>
    <w:rsid w:val="00E4588F"/>
    <w:rsid w:val="00E45EA5"/>
    <w:rsid w:val="00E46DA3"/>
    <w:rsid w:val="00E47673"/>
    <w:rsid w:val="00E52D58"/>
    <w:rsid w:val="00E53B10"/>
    <w:rsid w:val="00E912A2"/>
    <w:rsid w:val="00E955F5"/>
    <w:rsid w:val="00EA18AA"/>
    <w:rsid w:val="00EA406B"/>
    <w:rsid w:val="00EA7BFB"/>
    <w:rsid w:val="00EB0084"/>
    <w:rsid w:val="00EB0798"/>
    <w:rsid w:val="00EB0A24"/>
    <w:rsid w:val="00EB4071"/>
    <w:rsid w:val="00EB40AD"/>
    <w:rsid w:val="00EB586E"/>
    <w:rsid w:val="00EB5FC8"/>
    <w:rsid w:val="00EC5C76"/>
    <w:rsid w:val="00ED2502"/>
    <w:rsid w:val="00ED5A41"/>
    <w:rsid w:val="00ED7D43"/>
    <w:rsid w:val="00EE0EEA"/>
    <w:rsid w:val="00EE3694"/>
    <w:rsid w:val="00EF0773"/>
    <w:rsid w:val="00EF1770"/>
    <w:rsid w:val="00EF3598"/>
    <w:rsid w:val="00EF578B"/>
    <w:rsid w:val="00F033EC"/>
    <w:rsid w:val="00F04624"/>
    <w:rsid w:val="00F04F68"/>
    <w:rsid w:val="00F06EE0"/>
    <w:rsid w:val="00F12670"/>
    <w:rsid w:val="00F12D55"/>
    <w:rsid w:val="00F14B27"/>
    <w:rsid w:val="00F20808"/>
    <w:rsid w:val="00F3148D"/>
    <w:rsid w:val="00F35298"/>
    <w:rsid w:val="00F35E35"/>
    <w:rsid w:val="00F47E37"/>
    <w:rsid w:val="00F565FA"/>
    <w:rsid w:val="00F640B6"/>
    <w:rsid w:val="00F643F4"/>
    <w:rsid w:val="00F712AC"/>
    <w:rsid w:val="00F73214"/>
    <w:rsid w:val="00F737B6"/>
    <w:rsid w:val="00F80E40"/>
    <w:rsid w:val="00F87A4D"/>
    <w:rsid w:val="00F91A5D"/>
    <w:rsid w:val="00F93D68"/>
    <w:rsid w:val="00FA0A98"/>
    <w:rsid w:val="00FA5B82"/>
    <w:rsid w:val="00FA639E"/>
    <w:rsid w:val="00FC25E4"/>
    <w:rsid w:val="00FC2B32"/>
    <w:rsid w:val="00FC4EF7"/>
    <w:rsid w:val="00FC6D35"/>
    <w:rsid w:val="00FD4FA3"/>
    <w:rsid w:val="00FE1DEE"/>
    <w:rsid w:val="00FE25DF"/>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A5675"/>
  <w15:docId w15:val="{920091EC-0ACA-464E-BE2F-C6D92BB0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mbria"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uiPriority="0"/>
    <w:lsdException w:name="footer" w:uiPriority="0"/>
    <w:lsdException w:name="index heading" w:semiHidden="1" w:unhideWhenUsed="1"/>
    <w:lsdException w:name="caption" w:semiHidden="1"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B7014"/>
    <w:pPr>
      <w:spacing w:before="180" w:after="180" w:line="240" w:lineRule="atLeast"/>
    </w:pPr>
    <w:rPr>
      <w:rFonts w:ascii="Cambria" w:hAnsi="Cambria"/>
    </w:rPr>
  </w:style>
  <w:style w:type="paragraph" w:styleId="Heading1">
    <w:name w:val="heading 1"/>
    <w:basedOn w:val="Normal"/>
    <w:next w:val="Normal"/>
    <w:link w:val="Heading1Char"/>
    <w:qFormat/>
    <w:rsid w:val="005B7014"/>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2C3651"/>
    <w:pPr>
      <w:keepNext/>
      <w:keepLines/>
      <w:spacing w:before="480" w:after="120"/>
      <w:outlineLvl w:val="1"/>
    </w:pPr>
    <w:rPr>
      <w:rFonts w:ascii="Arial" w:eastAsia="Times New Roman" w:hAnsi="Arial"/>
      <w:b/>
      <w:bCs/>
      <w:sz w:val="28"/>
      <w:szCs w:val="38"/>
    </w:rPr>
  </w:style>
  <w:style w:type="paragraph" w:styleId="Heading3">
    <w:name w:val="heading 3"/>
    <w:basedOn w:val="Normal"/>
    <w:next w:val="Normal"/>
    <w:link w:val="Heading3Char"/>
    <w:qFormat/>
    <w:rsid w:val="002C3651"/>
    <w:pPr>
      <w:keepNext/>
      <w:keepLines/>
      <w:spacing w:before="480" w:after="120"/>
      <w:outlineLvl w:val="2"/>
    </w:pPr>
    <w:rPr>
      <w:rFonts w:ascii="Arial" w:eastAsia="Times New Roman" w:hAnsi="Arial"/>
      <w:b/>
      <w:bCs/>
      <w:sz w:val="24"/>
      <w:szCs w:val="32"/>
    </w:rPr>
  </w:style>
  <w:style w:type="paragraph" w:styleId="Heading4">
    <w:name w:val="heading 4"/>
    <w:basedOn w:val="Normal"/>
    <w:next w:val="Normal"/>
    <w:link w:val="Heading4Char"/>
    <w:qFormat/>
    <w:rsid w:val="002C3651"/>
    <w:pPr>
      <w:keepNext/>
      <w:keepLines/>
      <w:spacing w:before="360" w:after="120"/>
      <w:outlineLvl w:val="3"/>
    </w:pPr>
    <w:rPr>
      <w:rFonts w:ascii="Arial" w:hAnsi="Arial"/>
      <w:b/>
      <w:bCs/>
      <w:szCs w:val="26"/>
    </w:rPr>
  </w:style>
  <w:style w:type="paragraph" w:styleId="Heading5">
    <w:name w:val="heading 5"/>
    <w:basedOn w:val="Normal"/>
    <w:next w:val="Normal"/>
    <w:link w:val="Heading5Char"/>
    <w:uiPriority w:val="9"/>
    <w:rsid w:val="002F2FC3"/>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2F2FC3"/>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2F2FC3"/>
    <w:pPr>
      <w:keepNext/>
      <w:keepLines/>
      <w:spacing w:before="240" w:after="60" w:line="180" w:lineRule="atLeast"/>
      <w:outlineLvl w:val="6"/>
    </w:pPr>
    <w:rPr>
      <w:rFonts w:eastAsia="Times New Roman"/>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7014"/>
    <w:rPr>
      <w:rFonts w:ascii="Arial" w:eastAsia="Times New Roman" w:hAnsi="Arial"/>
      <w:b/>
      <w:bCs/>
      <w:sz w:val="48"/>
      <w:szCs w:val="48"/>
    </w:rPr>
  </w:style>
  <w:style w:type="character" w:customStyle="1" w:styleId="Heading2Char">
    <w:name w:val="Heading 2 Char"/>
    <w:basedOn w:val="DefaultParagraphFont"/>
    <w:link w:val="Heading2"/>
    <w:rsid w:val="002C3651"/>
    <w:rPr>
      <w:rFonts w:ascii="Arial" w:eastAsia="Times New Roman" w:hAnsi="Arial"/>
      <w:b/>
      <w:bCs/>
      <w:sz w:val="28"/>
      <w:szCs w:val="38"/>
    </w:rPr>
  </w:style>
  <w:style w:type="character" w:customStyle="1" w:styleId="Heading3Char">
    <w:name w:val="Heading 3 Char"/>
    <w:basedOn w:val="DefaultParagraphFont"/>
    <w:link w:val="Heading3"/>
    <w:uiPriority w:val="9"/>
    <w:rsid w:val="002C3651"/>
    <w:rPr>
      <w:rFonts w:ascii="Arial" w:eastAsia="Times New Roman" w:hAnsi="Arial"/>
      <w:b/>
      <w:bCs/>
      <w:sz w:val="24"/>
      <w:szCs w:val="32"/>
    </w:rPr>
  </w:style>
  <w:style w:type="paragraph" w:styleId="BalloonText">
    <w:name w:val="Balloon Text"/>
    <w:basedOn w:val="Normal"/>
    <w:link w:val="BalloonTextChar"/>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description">
    <w:name w:val="Figure description"/>
    <w:basedOn w:val="Normal"/>
    <w:next w:val="Normal"/>
    <w:rsid w:val="00A95096"/>
    <w:pPr>
      <w:spacing w:after="240" w:line="180" w:lineRule="atLeast"/>
    </w:pPr>
    <w:rPr>
      <w:sz w:val="18"/>
    </w:rPr>
  </w:style>
  <w:style w:type="paragraph" w:customStyle="1" w:styleId="Figuretitle">
    <w:name w:val="Figure title"/>
    <w:basedOn w:val="Normal"/>
    <w:next w:val="Normal"/>
    <w:rsid w:val="00ED7D43"/>
    <w:pPr>
      <w:keepNext/>
      <w:keepLines/>
      <w:outlineLvl w:val="4"/>
    </w:pPr>
    <w:rPr>
      <w:b/>
    </w:rPr>
  </w:style>
  <w:style w:type="character" w:customStyle="1" w:styleId="Heading4Char">
    <w:name w:val="Heading 4 Char"/>
    <w:basedOn w:val="DefaultParagraphFont"/>
    <w:link w:val="Heading4"/>
    <w:rsid w:val="002C3651"/>
    <w:rPr>
      <w:rFonts w:ascii="Arial" w:hAnsi="Arial"/>
      <w:b/>
      <w:bCs/>
      <w:szCs w:val="26"/>
    </w:rPr>
  </w:style>
  <w:style w:type="character" w:styleId="FollowedHyperlink">
    <w:name w:val="FollowedHyperlink"/>
    <w:basedOn w:val="DefaultParagraphFont"/>
    <w:semiHidden/>
    <w:unhideWhenUsed/>
    <w:rsid w:val="006A399C"/>
    <w:rPr>
      <w:color w:val="800080"/>
      <w:u w:val="single"/>
    </w:rPr>
  </w:style>
  <w:style w:type="paragraph" w:styleId="Footer">
    <w:name w:val="footer"/>
    <w:basedOn w:val="Normal"/>
    <w:link w:val="FooterChar"/>
    <w:rsid w:val="009527F4"/>
    <w:pPr>
      <w:tabs>
        <w:tab w:val="center" w:pos="4513"/>
        <w:tab w:val="right" w:pos="9026"/>
      </w:tabs>
      <w:spacing w:line="240" w:lineRule="auto"/>
    </w:pPr>
    <w:rPr>
      <w:sz w:val="17"/>
    </w:rPr>
  </w:style>
  <w:style w:type="character" w:customStyle="1" w:styleId="FooterChar">
    <w:name w:val="Footer Char"/>
    <w:basedOn w:val="DefaultParagraphFont"/>
    <w:link w:val="Footer"/>
    <w:rsid w:val="009527F4"/>
    <w:rPr>
      <w:rFonts w:ascii="Cambria" w:hAnsi="Cambria"/>
      <w:sz w:val="17"/>
    </w:rPr>
  </w:style>
  <w:style w:type="paragraph" w:styleId="Header">
    <w:name w:val="header"/>
    <w:basedOn w:val="Normal"/>
    <w:link w:val="HeaderChar"/>
    <w:rsid w:val="009527F4"/>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rsid w:val="009527F4"/>
    <w:rPr>
      <w:rFonts w:ascii="Cambria" w:hAnsi="Cambria"/>
      <w:sz w:val="17"/>
    </w:rPr>
  </w:style>
  <w:style w:type="paragraph" w:customStyle="1" w:styleId="Headernoline">
    <w:name w:val="Header no line"/>
    <w:basedOn w:val="Header"/>
    <w:rsid w:val="009527F4"/>
    <w:pPr>
      <w:pBdr>
        <w:bottom w:val="none" w:sz="0" w:space="0" w:color="auto"/>
      </w:pBdr>
      <w:spacing w:line="240" w:lineRule="atLeast"/>
    </w:pPr>
  </w:style>
  <w:style w:type="character" w:customStyle="1" w:styleId="Heading5Char">
    <w:name w:val="Heading 5 Char"/>
    <w:basedOn w:val="DefaultParagraphFont"/>
    <w:link w:val="Heading5"/>
    <w:uiPriority w:val="9"/>
    <w:rsid w:val="002F2FC3"/>
    <w:rPr>
      <w:rFonts w:ascii="Cambria" w:eastAsia="Times New Roman" w:hAnsi="Cambria"/>
      <w:b/>
      <w:bCs/>
      <w:color w:val="001523"/>
      <w:sz w:val="26"/>
      <w:szCs w:val="26"/>
    </w:rPr>
  </w:style>
  <w:style w:type="character" w:customStyle="1" w:styleId="Heading6Char">
    <w:name w:val="Heading 6 Char"/>
    <w:basedOn w:val="DefaultParagraphFont"/>
    <w:link w:val="Heading6"/>
    <w:uiPriority w:val="9"/>
    <w:rsid w:val="002F2FC3"/>
    <w:rPr>
      <w:rFonts w:ascii="Cambria" w:eastAsia="Times New Roman" w:hAnsi="Cambria"/>
      <w:b/>
      <w:bCs/>
      <w:i/>
      <w:sz w:val="22"/>
      <w:szCs w:val="21"/>
    </w:rPr>
  </w:style>
  <w:style w:type="character" w:customStyle="1" w:styleId="Heading7Char">
    <w:name w:val="Heading 7 Char"/>
    <w:basedOn w:val="DefaultParagraphFont"/>
    <w:link w:val="Heading7"/>
    <w:uiPriority w:val="9"/>
    <w:rsid w:val="002F2FC3"/>
    <w:rPr>
      <w:rFonts w:ascii="Cambria" w:eastAsia="Times New Roman" w:hAnsi="Cambria"/>
      <w:bCs/>
      <w:i/>
      <w:sz w:val="22"/>
      <w:szCs w:val="22"/>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semiHidden/>
    <w:unhideWhenUsed/>
    <w:rsid w:val="00F3148D"/>
  </w:style>
  <w:style w:type="paragraph" w:customStyle="1" w:styleId="LegalSubheading">
    <w:name w:val="Legal Subheading"/>
    <w:basedOn w:val="Footer"/>
    <w:semiHidden/>
    <w:unhideWhenUsed/>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5B7014"/>
    <w:pPr>
      <w:numPr>
        <w:numId w:val="3"/>
      </w:numPr>
    </w:pPr>
  </w:style>
  <w:style w:type="paragraph" w:styleId="ListBullet2">
    <w:name w:val="List Bullet 2"/>
    <w:basedOn w:val="Normal"/>
    <w:uiPriority w:val="2"/>
    <w:qFormat/>
    <w:rsid w:val="005B7014"/>
    <w:pPr>
      <w:numPr>
        <w:ilvl w:val="1"/>
        <w:numId w:val="3"/>
      </w:numPr>
    </w:pPr>
  </w:style>
  <w:style w:type="paragraph" w:styleId="ListBullet3">
    <w:name w:val="List Bullet 3"/>
    <w:basedOn w:val="Normal"/>
    <w:uiPriority w:val="2"/>
    <w:qFormat/>
    <w:rsid w:val="005B7014"/>
    <w:pPr>
      <w:numPr>
        <w:numId w:val="4"/>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E4411A"/>
    <w:pPr>
      <w:keepNext/>
      <w:keepLines/>
      <w:spacing w:before="360"/>
      <w:outlineLvl w:val="1"/>
    </w:pPr>
    <w:rPr>
      <w:rFonts w:ascii="Arial" w:hAnsi="Arial"/>
      <w:b/>
      <w:sz w:val="38"/>
    </w:rPr>
  </w:style>
  <w:style w:type="paragraph" w:customStyle="1" w:styleId="Notes">
    <w:name w:val="Notes"/>
    <w:basedOn w:val="Normal"/>
    <w:semiHidden/>
    <w:locked/>
    <w:rsid w:val="00F3148D"/>
    <w:pPr>
      <w:spacing w:line="240" w:lineRule="auto"/>
    </w:pPr>
    <w:rPr>
      <w:rFonts w:ascii="Arial" w:hAnsi="Arial"/>
      <w:sz w:val="16"/>
    </w:rPr>
  </w:style>
  <w:style w:type="paragraph" w:customStyle="1" w:styleId="Numberbullet0">
    <w:name w:val="Number bullet"/>
    <w:basedOn w:val="ListBullet"/>
    <w:uiPriority w:val="3"/>
    <w:qFormat/>
    <w:rsid w:val="005B7014"/>
    <w:pPr>
      <w:numPr>
        <w:numId w:val="5"/>
      </w:numPr>
    </w:pPr>
  </w:style>
  <w:style w:type="paragraph" w:customStyle="1" w:styleId="Numberbullet2">
    <w:name w:val="Number bullet 2"/>
    <w:basedOn w:val="ListBullet2"/>
    <w:uiPriority w:val="3"/>
    <w:qFormat/>
    <w:rsid w:val="005B7014"/>
    <w:pPr>
      <w:numPr>
        <w:numId w:val="5"/>
      </w:numPr>
    </w:pPr>
  </w:style>
  <w:style w:type="paragraph" w:customStyle="1" w:styleId="Numberbullet3">
    <w:name w:val="Number bullet 3"/>
    <w:basedOn w:val="ListBullet3"/>
    <w:uiPriority w:val="3"/>
    <w:qFormat/>
    <w:rsid w:val="005B7014"/>
    <w:pPr>
      <w:numPr>
        <w:numId w:val="0"/>
      </w:numPr>
      <w:ind w:left="425" w:hanging="425"/>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9527F4"/>
    <w:pPr>
      <w:spacing w:before="40"/>
      <w:ind w:left="170" w:hanging="170"/>
    </w:pPr>
    <w:rPr>
      <w:sz w:val="19"/>
    </w:rPr>
  </w:style>
  <w:style w:type="paragraph" w:customStyle="1" w:styleId="Tabledescription">
    <w:name w:val="Table description"/>
    <w:basedOn w:val="Figuredescription"/>
    <w:next w:val="Normal"/>
    <w:rsid w:val="00A95096"/>
  </w:style>
  <w:style w:type="table" w:customStyle="1" w:styleId="TableTGAblue">
    <w:name w:val="Table TGA blue"/>
    <w:basedOn w:val="TableNormal"/>
    <w:uiPriority w:val="99"/>
    <w:qFormat/>
    <w:rsid w:val="00BD0659"/>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BD0659"/>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rsid w:val="00F643F4"/>
    <w:pPr>
      <w:keepNext/>
      <w:outlineLvl w:val="4"/>
    </w:pPr>
    <w:rPr>
      <w:b/>
    </w:rPr>
  </w:style>
  <w:style w:type="paragraph" w:styleId="TOC1">
    <w:name w:val="toc 1"/>
    <w:basedOn w:val="Normal"/>
    <w:next w:val="Normal"/>
    <w:uiPriority w:val="39"/>
    <w:unhideWhenUsed/>
    <w:rsid w:val="00B067F8"/>
    <w:pPr>
      <w:keepNext/>
      <w:keepLines/>
      <w:tabs>
        <w:tab w:val="right" w:leader="underscore" w:pos="9072"/>
      </w:tabs>
      <w:spacing w:after="200"/>
    </w:pPr>
    <w:rPr>
      <w:rFonts w:ascii="Arial" w:hAnsi="Arial"/>
      <w:b/>
      <w:sz w:val="26"/>
    </w:rPr>
  </w:style>
  <w:style w:type="paragraph" w:styleId="TOC2">
    <w:name w:val="toc 2"/>
    <w:basedOn w:val="Normal"/>
    <w:next w:val="Normal"/>
    <w:uiPriority w:val="39"/>
    <w:unhideWhenUsed/>
    <w:rsid w:val="00B067F8"/>
    <w:pPr>
      <w:keepLines/>
      <w:tabs>
        <w:tab w:val="right" w:leader="underscore" w:pos="9072"/>
      </w:tabs>
      <w:spacing w:after="100"/>
      <w:ind w:left="425"/>
    </w:pPr>
    <w:rPr>
      <w:sz w:val="25"/>
    </w:rPr>
  </w:style>
  <w:style w:type="paragraph" w:styleId="TOC3">
    <w:name w:val="toc 3"/>
    <w:basedOn w:val="Normal"/>
    <w:next w:val="Normal"/>
    <w:uiPriority w:val="39"/>
    <w:unhideWhenUsed/>
    <w:rsid w:val="00B067F8"/>
    <w:pPr>
      <w:keepLines/>
      <w:tabs>
        <w:tab w:val="right" w:leader="underscore" w:pos="9072"/>
      </w:tabs>
      <w:spacing w:after="100"/>
      <w:ind w:left="851"/>
    </w:pPr>
  </w:style>
  <w:style w:type="paragraph" w:styleId="TOCHeading">
    <w:name w:val="TOC Heading"/>
    <w:basedOn w:val="Heading1"/>
    <w:next w:val="Normal"/>
    <w:uiPriority w:val="39"/>
    <w:semiHidden/>
    <w:unhideWhenUsed/>
    <w:qFormat/>
    <w:rsid w:val="005B7014"/>
    <w:pPr>
      <w:spacing w:before="480" w:after="0" w:line="276" w:lineRule="auto"/>
      <w:outlineLvl w:val="9"/>
    </w:pPr>
    <w:rPr>
      <w:bCs w:val="0"/>
      <w:color w:val="002035"/>
      <w:sz w:val="28"/>
      <w:lang w:val="en-US"/>
    </w:rPr>
  </w:style>
  <w:style w:type="paragraph" w:customStyle="1" w:styleId="Subject">
    <w:name w:val="Subject"/>
    <w:basedOn w:val="Normal"/>
    <w:rsid w:val="00055B86"/>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styleId="Caption">
    <w:name w:val="caption"/>
    <w:basedOn w:val="Tabletitle"/>
    <w:next w:val="Normal"/>
    <w:uiPriority w:val="35"/>
    <w:semiHidden/>
    <w:rsid w:val="0033260A"/>
  </w:style>
  <w:style w:type="paragraph" w:styleId="FootnoteText">
    <w:name w:val="footnote text"/>
    <w:basedOn w:val="Normal"/>
    <w:link w:val="FootnoteTextChar"/>
    <w:rsid w:val="009527F4"/>
    <w:pPr>
      <w:keepLines/>
    </w:pPr>
    <w:rPr>
      <w:sz w:val="20"/>
    </w:rPr>
  </w:style>
  <w:style w:type="character" w:customStyle="1" w:styleId="FootnoteTextChar">
    <w:name w:val="Footnote Text Char"/>
    <w:basedOn w:val="DefaultParagraphFont"/>
    <w:link w:val="FootnoteText"/>
    <w:rsid w:val="009527F4"/>
    <w:rPr>
      <w:rFonts w:ascii="Cambria" w:hAnsi="Cambria"/>
    </w:rPr>
  </w:style>
  <w:style w:type="paragraph" w:styleId="Subtitle">
    <w:name w:val="Subtitle"/>
    <w:basedOn w:val="Normal"/>
    <w:next w:val="Normal"/>
    <w:link w:val="SubtitleChar"/>
    <w:uiPriority w:val="11"/>
    <w:semiHidden/>
    <w:unhideWhenUsed/>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semiHidden/>
    <w:rsid w:val="009A1D75"/>
    <w:rPr>
      <w:rFonts w:ascii="Arial" w:eastAsia="Times New Roman" w:hAnsi="Arial"/>
      <w:bCs/>
      <w:iCs/>
      <w:sz w:val="40"/>
      <w:szCs w:val="24"/>
    </w:rPr>
  </w:style>
  <w:style w:type="paragraph" w:styleId="Title">
    <w:name w:val="Title"/>
    <w:next w:val="Normal"/>
    <w:link w:val="TitleChar"/>
    <w:uiPriority w:val="10"/>
    <w:semiHidden/>
    <w:unhideWhenUsed/>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semiHidden/>
    <w:rsid w:val="009A1D75"/>
    <w:rPr>
      <w:rFonts w:ascii="Arial" w:eastAsia="Times New Roman" w:hAnsi="Arial"/>
      <w:spacing w:val="5"/>
      <w:kern w:val="28"/>
      <w:sz w:val="52"/>
      <w:szCs w:val="52"/>
    </w:rPr>
  </w:style>
  <w:style w:type="paragraph" w:customStyle="1" w:styleId="FlowChartWhiteText">
    <w:name w:val="Flow Chart White Text"/>
    <w:basedOn w:val="Normal"/>
    <w:semiHidden/>
    <w:unhideWhenUsed/>
    <w:rsid w:val="007E78FC"/>
    <w:pPr>
      <w:jc w:val="center"/>
    </w:pPr>
    <w:rPr>
      <w:rFonts w:ascii="Arial" w:hAnsi="Arial"/>
      <w:color w:val="FFFFFF"/>
    </w:rPr>
  </w:style>
  <w:style w:type="paragraph" w:customStyle="1" w:styleId="FlowchartText">
    <w:name w:val="Flowchart Text"/>
    <w:basedOn w:val="Normal"/>
    <w:semiHidden/>
    <w:unhideWhenUsed/>
    <w:rsid w:val="007E78FC"/>
    <w:pPr>
      <w:jc w:val="center"/>
    </w:pPr>
    <w:rPr>
      <w:rFonts w:ascii="Arial" w:hAnsi="Arial"/>
    </w:rPr>
  </w:style>
  <w:style w:type="paragraph" w:customStyle="1" w:styleId="Quotation">
    <w:name w:val="Quotation"/>
    <w:basedOn w:val="Normal"/>
    <w:next w:val="Normal"/>
    <w:uiPriority w:val="4"/>
    <w:qFormat/>
    <w:rsid w:val="005B7014"/>
    <w:pPr>
      <w:ind w:left="425"/>
    </w:pPr>
    <w:rPr>
      <w:sz w:val="20"/>
    </w:rPr>
  </w:style>
  <w:style w:type="character" w:styleId="FootnoteReference">
    <w:name w:val="footnote reference"/>
    <w:basedOn w:val="DefaultParagraphFont"/>
    <w:uiPriority w:val="99"/>
    <w:semiHidden/>
    <w:unhideWhenUsed/>
    <w:rsid w:val="009527F4"/>
    <w:rPr>
      <w:vertAlign w:val="superscript"/>
    </w:rPr>
  </w:style>
  <w:style w:type="paragraph" w:styleId="TOC4">
    <w:name w:val="toc 4"/>
    <w:basedOn w:val="Normal"/>
    <w:next w:val="Normal"/>
    <w:autoRedefine/>
    <w:uiPriority w:val="39"/>
    <w:unhideWhenUsed/>
    <w:rsid w:val="00B067F8"/>
    <w:pPr>
      <w:keepLines/>
      <w:tabs>
        <w:tab w:val="right" w:leader="underscore" w:pos="9072"/>
      </w:tabs>
      <w:spacing w:after="100"/>
      <w:ind w:left="1276"/>
    </w:pPr>
  </w:style>
  <w:style w:type="paragraph" w:styleId="TOC5">
    <w:name w:val="toc 5"/>
    <w:basedOn w:val="Normal"/>
    <w:next w:val="Normal"/>
    <w:autoRedefine/>
    <w:uiPriority w:val="39"/>
    <w:unhideWhenUsed/>
    <w:rsid w:val="00B067F8"/>
    <w:pPr>
      <w:keepLines/>
      <w:tabs>
        <w:tab w:val="left" w:leader="underscore" w:pos="9072"/>
      </w:tabs>
      <w:spacing w:after="100"/>
      <w:ind w:left="1701"/>
    </w:pPr>
    <w:rPr>
      <w:noProof/>
    </w:rPr>
  </w:style>
  <w:style w:type="paragraph" w:styleId="TOC6">
    <w:name w:val="toc 6"/>
    <w:basedOn w:val="Normal"/>
    <w:next w:val="Normal"/>
    <w:autoRedefine/>
    <w:uiPriority w:val="39"/>
    <w:semiHidden/>
    <w:unhideWhenUsed/>
    <w:rsid w:val="00B067F8"/>
    <w:pPr>
      <w:tabs>
        <w:tab w:val="right" w:pos="8505"/>
      </w:tabs>
      <w:spacing w:after="100"/>
      <w:ind w:left="2126"/>
    </w:pPr>
  </w:style>
  <w:style w:type="paragraph" w:styleId="TOC7">
    <w:name w:val="toc 7"/>
    <w:basedOn w:val="Normal"/>
    <w:next w:val="Normal"/>
    <w:autoRedefine/>
    <w:uiPriority w:val="39"/>
    <w:semiHidden/>
    <w:unhideWhenUsed/>
    <w:rsid w:val="00B067F8"/>
    <w:pPr>
      <w:spacing w:after="100"/>
      <w:ind w:left="2211"/>
    </w:pPr>
  </w:style>
  <w:style w:type="paragraph" w:styleId="EndnoteText">
    <w:name w:val="endnote text"/>
    <w:basedOn w:val="FootnoteText"/>
    <w:link w:val="EndnoteTextChar"/>
    <w:semiHidden/>
    <w:unhideWhenUsed/>
    <w:rsid w:val="0033260A"/>
  </w:style>
  <w:style w:type="character" w:customStyle="1" w:styleId="EndnoteTextChar">
    <w:name w:val="Endnote Text Char"/>
    <w:basedOn w:val="DefaultParagraphFont"/>
    <w:link w:val="EndnoteText"/>
    <w:semiHidden/>
    <w:rsid w:val="0033260A"/>
    <w:rPr>
      <w:rFonts w:ascii="Cambria" w:hAnsi="Cambria"/>
    </w:rPr>
  </w:style>
  <w:style w:type="character" w:styleId="EndnoteReference">
    <w:name w:val="endnote reference"/>
    <w:basedOn w:val="DefaultParagraphFont"/>
    <w:uiPriority w:val="99"/>
    <w:semiHidden/>
    <w:unhideWhenUsed/>
    <w:rsid w:val="0033260A"/>
    <w:rPr>
      <w:vertAlign w:val="superscript"/>
    </w:rPr>
  </w:style>
  <w:style w:type="paragraph" w:styleId="TableofFigures">
    <w:name w:val="table of figures"/>
    <w:basedOn w:val="Normal"/>
    <w:next w:val="Normal"/>
    <w:uiPriority w:val="99"/>
    <w:semiHidden/>
    <w:unhideWhenUsed/>
    <w:rsid w:val="006A7B7F"/>
  </w:style>
  <w:style w:type="paragraph" w:styleId="ListParagraph">
    <w:name w:val="List Paragraph"/>
    <w:basedOn w:val="Normal"/>
    <w:uiPriority w:val="34"/>
    <w:qFormat/>
    <w:locked/>
    <w:rsid w:val="002C3651"/>
    <w:pPr>
      <w:widowControl w:val="0"/>
      <w:numPr>
        <w:numId w:val="6"/>
      </w:numPr>
      <w:spacing w:before="120" w:after="0" w:line="240" w:lineRule="auto"/>
      <w:contextualSpacing/>
      <w:jc w:val="both"/>
    </w:pPr>
    <w:rPr>
      <w:rFonts w:ascii="Arial" w:hAnsi="Arial"/>
      <w:szCs w:val="19"/>
    </w:rPr>
  </w:style>
  <w:style w:type="paragraph" w:customStyle="1" w:styleId="TableParagraph">
    <w:name w:val="Table Paragraph"/>
    <w:basedOn w:val="Normal"/>
    <w:uiPriority w:val="1"/>
    <w:qFormat/>
    <w:rsid w:val="00135868"/>
    <w:pPr>
      <w:widowControl w:val="0"/>
      <w:spacing w:before="0" w:after="0" w:line="240" w:lineRule="auto"/>
      <w:contextualSpacing/>
    </w:pPr>
    <w:rPr>
      <w:rFonts w:ascii="Arial" w:hAnsi="Arial"/>
      <w:sz w:val="20"/>
      <w:szCs w:val="19"/>
    </w:rPr>
  </w:style>
  <w:style w:type="paragraph" w:customStyle="1" w:styleId="TableHeading">
    <w:name w:val="Table Heading"/>
    <w:basedOn w:val="Normal"/>
    <w:link w:val="TableHeadingChar"/>
    <w:uiPriority w:val="1"/>
    <w:qFormat/>
    <w:rsid w:val="00135868"/>
    <w:pPr>
      <w:keepNext/>
      <w:widowControl w:val="0"/>
      <w:spacing w:before="120" w:after="0" w:line="240" w:lineRule="auto"/>
      <w:contextualSpacing/>
      <w:jc w:val="center"/>
    </w:pPr>
    <w:rPr>
      <w:rFonts w:ascii="Arial" w:hAnsi="Arial"/>
      <w:b/>
      <w:szCs w:val="19"/>
    </w:rPr>
  </w:style>
  <w:style w:type="character" w:customStyle="1" w:styleId="TableHeadingChar">
    <w:name w:val="Table Heading Char"/>
    <w:basedOn w:val="DefaultParagraphFont"/>
    <w:link w:val="TableHeading"/>
    <w:uiPriority w:val="1"/>
    <w:rsid w:val="00135868"/>
    <w:rPr>
      <w:rFonts w:ascii="Arial" w:hAnsi="Arial"/>
      <w:b/>
      <w:szCs w:val="19"/>
    </w:rPr>
  </w:style>
  <w:style w:type="paragraph" w:customStyle="1" w:styleId="TableFooter">
    <w:name w:val="Table Footer"/>
    <w:basedOn w:val="Normal"/>
    <w:link w:val="TableFooterChar"/>
    <w:uiPriority w:val="1"/>
    <w:qFormat/>
    <w:rsid w:val="00135868"/>
    <w:pPr>
      <w:widowControl w:val="0"/>
      <w:spacing w:before="120" w:after="0" w:line="240" w:lineRule="auto"/>
      <w:contextualSpacing/>
      <w:jc w:val="both"/>
    </w:pPr>
    <w:rPr>
      <w:rFonts w:ascii="Arial" w:hAnsi="Arial"/>
      <w:sz w:val="18"/>
      <w:szCs w:val="18"/>
    </w:rPr>
  </w:style>
  <w:style w:type="character" w:customStyle="1" w:styleId="TableFooterChar">
    <w:name w:val="Table Footer Char"/>
    <w:basedOn w:val="DefaultParagraphFont"/>
    <w:link w:val="TableFooter"/>
    <w:uiPriority w:val="1"/>
    <w:rsid w:val="00135868"/>
    <w:rPr>
      <w:rFonts w:ascii="Arial" w:hAnsi="Arial"/>
      <w:sz w:val="18"/>
      <w:szCs w:val="18"/>
    </w:rPr>
  </w:style>
  <w:style w:type="paragraph" w:styleId="CommentText">
    <w:name w:val="annotation text"/>
    <w:basedOn w:val="Normal"/>
    <w:link w:val="CommentTextChar"/>
    <w:semiHidden/>
    <w:rsid w:val="00135868"/>
    <w:pPr>
      <w:keepLines/>
      <w:tabs>
        <w:tab w:val="left" w:pos="-720"/>
        <w:tab w:val="center" w:pos="4513"/>
        <w:tab w:val="right" w:pos="10348"/>
      </w:tabs>
      <w:suppressAutoHyphens/>
      <w:spacing w:before="120" w:after="0" w:line="240" w:lineRule="auto"/>
      <w:contextualSpacing/>
      <w:jc w:val="both"/>
    </w:pPr>
    <w:rPr>
      <w:rFonts w:ascii="Arial" w:eastAsia="Times New Roman" w:hAnsi="Arial" w:cs="Times New Roman"/>
      <w:sz w:val="20"/>
      <w:szCs w:val="20"/>
      <w:lang w:eastAsia="en-AU"/>
    </w:rPr>
  </w:style>
  <w:style w:type="character" w:customStyle="1" w:styleId="CommentTextChar">
    <w:name w:val="Comment Text Char"/>
    <w:basedOn w:val="DefaultParagraphFont"/>
    <w:link w:val="CommentText"/>
    <w:semiHidden/>
    <w:rsid w:val="00135868"/>
    <w:rPr>
      <w:rFonts w:ascii="Arial" w:eastAsia="Times New Roman" w:hAnsi="Arial" w:cs="Times New Roman"/>
      <w:sz w:val="20"/>
      <w:szCs w:val="20"/>
      <w:lang w:eastAsia="en-AU"/>
    </w:rPr>
  </w:style>
  <w:style w:type="character" w:customStyle="1" w:styleId="CommentSubjectChar">
    <w:name w:val="Comment Subject Char"/>
    <w:basedOn w:val="CommentTextChar"/>
    <w:link w:val="CommentSubject"/>
    <w:semiHidden/>
    <w:rsid w:val="00135868"/>
    <w:rPr>
      <w:rFonts w:ascii="Arial" w:eastAsia="Times New Roman" w:hAnsi="Arial" w:cs="Times New Roman"/>
      <w:b/>
      <w:bCs/>
      <w:sz w:val="20"/>
      <w:szCs w:val="20"/>
      <w:lang w:eastAsia="en-AU"/>
    </w:rPr>
  </w:style>
  <w:style w:type="paragraph" w:styleId="CommentSubject">
    <w:name w:val="annotation subject"/>
    <w:basedOn w:val="CommentText"/>
    <w:next w:val="CommentText"/>
    <w:link w:val="CommentSubjectChar"/>
    <w:semiHidden/>
    <w:rsid w:val="00135868"/>
    <w:rPr>
      <w:b/>
      <w:bCs/>
    </w:rPr>
  </w:style>
  <w:style w:type="character" w:customStyle="1" w:styleId="CommentSubjectChar1">
    <w:name w:val="Comment Subject Char1"/>
    <w:basedOn w:val="CommentTextChar"/>
    <w:uiPriority w:val="99"/>
    <w:semiHidden/>
    <w:rsid w:val="00135868"/>
    <w:rPr>
      <w:rFonts w:ascii="Arial" w:eastAsia="Times New Roman" w:hAnsi="Arial" w:cs="Times New Roman"/>
      <w:b/>
      <w:bCs/>
      <w:sz w:val="20"/>
      <w:szCs w:val="20"/>
      <w:lang w:eastAsia="en-AU"/>
    </w:rPr>
  </w:style>
  <w:style w:type="paragraph" w:styleId="NoSpacing">
    <w:name w:val="No Spacing"/>
    <w:uiPriority w:val="1"/>
    <w:qFormat/>
    <w:rsid w:val="00135868"/>
    <w:pPr>
      <w:spacing w:after="0" w:line="240" w:lineRule="auto"/>
    </w:pPr>
    <w:rPr>
      <w:rFonts w:eastAsiaTheme="minorHAnsi"/>
    </w:rPr>
  </w:style>
  <w:style w:type="character" w:styleId="CommentReference">
    <w:name w:val="annotation reference"/>
    <w:basedOn w:val="DefaultParagraphFont"/>
    <w:semiHidden/>
    <w:unhideWhenUsed/>
    <w:rsid w:val="00135868"/>
    <w:rPr>
      <w:sz w:val="16"/>
      <w:szCs w:val="16"/>
    </w:rPr>
  </w:style>
  <w:style w:type="paragraph" w:customStyle="1" w:styleId="BodyText1">
    <w:name w:val="BodyText1"/>
    <w:basedOn w:val="Normal"/>
    <w:uiPriority w:val="99"/>
    <w:rsid w:val="00135868"/>
    <w:pPr>
      <w:spacing w:before="4" w:after="0" w:line="240" w:lineRule="auto"/>
      <w:ind w:firstLine="317"/>
    </w:pPr>
    <w:rPr>
      <w:rFonts w:ascii="Helvetica" w:eastAsia="Times New Roman" w:hAnsi="Helvetica" w:cs="Times New Roman"/>
      <w:sz w:val="16"/>
      <w:szCs w:val="24"/>
    </w:rPr>
  </w:style>
  <w:style w:type="paragraph" w:customStyle="1" w:styleId="Body">
    <w:name w:val="Body"/>
    <w:basedOn w:val="Normal"/>
    <w:link w:val="BodyChar"/>
    <w:rsid w:val="00135868"/>
    <w:pPr>
      <w:spacing w:before="0" w:after="0" w:line="240" w:lineRule="auto"/>
      <w:ind w:firstLine="288"/>
    </w:pPr>
    <w:rPr>
      <w:rFonts w:ascii="Arial" w:eastAsia="MS Mincho" w:hAnsi="Arial" w:cs="Times New Roman"/>
      <w:sz w:val="20"/>
      <w:szCs w:val="20"/>
      <w:lang w:eastAsia="ja-JP"/>
    </w:rPr>
  </w:style>
  <w:style w:type="character" w:customStyle="1" w:styleId="BodyChar">
    <w:name w:val="Body Char"/>
    <w:link w:val="Body"/>
    <w:rsid w:val="00135868"/>
    <w:rPr>
      <w:rFonts w:ascii="Arial" w:eastAsia="MS Mincho" w:hAnsi="Arial" w:cs="Times New Roman"/>
      <w:sz w:val="20"/>
      <w:szCs w:val="20"/>
      <w:lang w:eastAsia="ja-JP"/>
    </w:rPr>
  </w:style>
  <w:style w:type="paragraph" w:styleId="Revision">
    <w:name w:val="Revision"/>
    <w:hidden/>
    <w:uiPriority w:val="99"/>
    <w:semiHidden/>
    <w:rsid w:val="00135868"/>
    <w:pPr>
      <w:spacing w:after="0" w:line="240" w:lineRule="auto"/>
    </w:pPr>
    <w:rPr>
      <w:rFonts w:ascii="Arial" w:hAnsi="Arial"/>
      <w:szCs w:val="19"/>
      <w:lang w:val="en-US"/>
    </w:rPr>
  </w:style>
  <w:style w:type="paragraph" w:customStyle="1" w:styleId="mine">
    <w:name w:val="mine"/>
    <w:basedOn w:val="Normal"/>
    <w:qFormat/>
    <w:rsid w:val="00135868"/>
    <w:pPr>
      <w:widowControl w:val="0"/>
      <w:adjustRightInd w:val="0"/>
      <w:snapToGrid w:val="0"/>
      <w:spacing w:before="0" w:after="0" w:line="240" w:lineRule="auto"/>
      <w:contextualSpacing/>
    </w:pPr>
    <w:rPr>
      <w:rFonts w:ascii="Times New Roman" w:eastAsia="MS Mincho" w:hAnsi="Times New Roman" w:cstheme="majorHAnsi"/>
      <w:sz w:val="24"/>
      <w:szCs w:val="21"/>
      <w:lang w:eastAsia="en-AU"/>
    </w:rPr>
  </w:style>
  <w:style w:type="paragraph" w:customStyle="1" w:styleId="Default">
    <w:name w:val="Default"/>
    <w:rsid w:val="00135868"/>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UnresolvedMention1">
    <w:name w:val="Unresolved Mention1"/>
    <w:basedOn w:val="DefaultParagraphFont"/>
    <w:uiPriority w:val="99"/>
    <w:semiHidden/>
    <w:unhideWhenUsed/>
    <w:rsid w:val="00135868"/>
    <w:rPr>
      <w:color w:val="605E5C"/>
      <w:shd w:val="clear" w:color="auto" w:fill="E1DFDD"/>
    </w:rPr>
  </w:style>
  <w:style w:type="character" w:customStyle="1" w:styleId="UnresolvedMention2">
    <w:name w:val="Unresolved Mention2"/>
    <w:basedOn w:val="DefaultParagraphFont"/>
    <w:uiPriority w:val="99"/>
    <w:semiHidden/>
    <w:unhideWhenUsed/>
    <w:rsid w:val="00135868"/>
    <w:rPr>
      <w:color w:val="605E5C"/>
      <w:shd w:val="clear" w:color="auto" w:fill="E1DFDD"/>
    </w:rPr>
  </w:style>
  <w:style w:type="character" w:customStyle="1" w:styleId="ParagraphChar">
    <w:name w:val="Paragraph Char"/>
    <w:link w:val="Paragraph"/>
    <w:rsid w:val="00135868"/>
    <w:rPr>
      <w:rFonts w:ascii="Arial" w:eastAsia="MS Gothic" w:hAnsi="Arial"/>
      <w:sz w:val="24"/>
      <w:szCs w:val="24"/>
    </w:rPr>
  </w:style>
  <w:style w:type="paragraph" w:customStyle="1" w:styleId="Paragraph">
    <w:name w:val="Paragraph"/>
    <w:link w:val="ParagraphChar"/>
    <w:qFormat/>
    <w:rsid w:val="00135868"/>
    <w:pPr>
      <w:spacing w:before="60" w:after="240" w:line="240" w:lineRule="auto"/>
    </w:pPr>
    <w:rPr>
      <w:rFonts w:ascii="Arial" w:eastAsia="MS Gothic" w:hAnsi="Arial"/>
      <w:sz w:val="24"/>
      <w:szCs w:val="24"/>
    </w:rPr>
  </w:style>
  <w:style w:type="paragraph" w:customStyle="1" w:styleId="TableFootnote">
    <w:name w:val="Table Footnote"/>
    <w:basedOn w:val="Normal"/>
    <w:rsid w:val="00135868"/>
    <w:pPr>
      <w:numPr>
        <w:numId w:val="7"/>
      </w:numPr>
      <w:spacing w:before="60" w:after="6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msd-australia.com.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10.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ga.gov.au/reporting-problems" TargetMode="Externa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Documents\Custom%20Office%20Templates\TGA-Normal.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1252A-10C7-4967-BE19-EA48232C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TGA-Normal</Template>
  <TotalTime>51</TotalTime>
  <Pages>89</Pages>
  <Words>22259</Words>
  <Characters>125102</Characters>
  <Application>Microsoft Office Word</Application>
  <DocSecurity>0</DocSecurity>
  <Lines>4170</Lines>
  <Paragraphs>2631</Paragraphs>
  <ScaleCrop>false</ScaleCrop>
  <HeadingPairs>
    <vt:vector size="2" baseType="variant">
      <vt:variant>
        <vt:lpstr>Title</vt:lpstr>
      </vt:variant>
      <vt:variant>
        <vt:i4>1</vt:i4>
      </vt:variant>
    </vt:vector>
  </HeadingPairs>
  <TitlesOfParts>
    <vt:vector size="1" baseType="lpstr">
      <vt:lpstr>Attachment: Product Information for Pembrolizumab (rch)</vt:lpstr>
    </vt:vector>
  </TitlesOfParts>
  <Company>Merk</Company>
  <LinksUpToDate>false</LinksUpToDate>
  <CharactersWithSpaces>144730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Pembrolizumab (rch)</dc:title>
  <dc:creator>MSD</dc:creator>
  <cp:lastPrinted>2013-07-26T02:02:00Z</cp:lastPrinted>
  <dcterms:created xsi:type="dcterms:W3CDTF">2020-05-14T01:11:00Z</dcterms:created>
  <dcterms:modified xsi:type="dcterms:W3CDTF">2020-05-14T02:08:00Z</dcterms:modified>
</cp:coreProperties>
</file>