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3D1724" w:rsidP="00777C71">
            <w:pPr>
              <w:rPr>
                <w:rFonts w:ascii="Arial" w:hAnsi="Arial" w:cs="Arial"/>
                <w:b/>
                <w:color w:val="002C47"/>
                <w:sz w:val="36"/>
                <w:szCs w:val="36"/>
              </w:rPr>
            </w:pPr>
            <w:bookmarkStart w:id="0" w:name="_GoBack"/>
            <w:bookmarkEnd w:id="0"/>
            <w:r>
              <w:rPr>
                <w:rFonts w:ascii="Arial" w:hAnsi="Arial" w:cs="Arial"/>
                <w:b/>
                <w:color w:val="002C47"/>
                <w:sz w:val="36"/>
                <w:szCs w:val="36"/>
              </w:rPr>
              <w:t>Octo</w:t>
            </w:r>
            <w:r w:rsidR="00FC4BAC">
              <w:rPr>
                <w:rFonts w:ascii="Arial" w:hAnsi="Arial" w:cs="Arial"/>
                <w:b/>
                <w:color w:val="002C47"/>
                <w:sz w:val="36"/>
                <w:szCs w:val="36"/>
              </w:rPr>
              <w:t>ber</w:t>
            </w:r>
            <w:r w:rsidR="002F22C7">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77C71">
            <w:pPr>
              <w:pStyle w:val="Title"/>
              <w:rPr>
                <w:color w:val="FFFFFF" w:themeColor="background1"/>
              </w:rPr>
            </w:pPr>
            <w:r w:rsidRPr="00A964D1">
              <w:rPr>
                <w:color w:val="FFFFFF" w:themeColor="background1"/>
              </w:rPr>
              <w:t xml:space="preserve">Australian Public Assessment Report for </w:t>
            </w:r>
            <w:proofErr w:type="spellStart"/>
            <w:r w:rsidR="00777C71">
              <w:rPr>
                <w:color w:val="FFFFFF" w:themeColor="background1"/>
              </w:rPr>
              <w:t>Pembrolizumab</w:t>
            </w:r>
            <w:proofErr w:type="spellEnd"/>
            <w:r w:rsidR="00EA34B8">
              <w:rPr>
                <w:color w:val="FFFFFF" w:themeColor="background1"/>
              </w:rPr>
              <w:t xml:space="preserve"> (</w:t>
            </w:r>
            <w:proofErr w:type="spellStart"/>
            <w:r w:rsidR="00EA34B8">
              <w:rPr>
                <w:color w:val="FFFFFF" w:themeColor="background1"/>
              </w:rPr>
              <w:t>rch</w:t>
            </w:r>
            <w:proofErr w:type="spellEnd"/>
            <w:r w:rsidR="00EA34B8">
              <w:rPr>
                <w:color w:val="FFFFFF" w:themeColor="background1"/>
              </w:rPr>
              <w:t>)</w:t>
            </w:r>
          </w:p>
        </w:tc>
      </w:tr>
      <w:tr w:rsidR="0032583B" w:rsidRPr="00B64760" w:rsidTr="0032583B">
        <w:tc>
          <w:tcPr>
            <w:tcW w:w="9079" w:type="dxa"/>
          </w:tcPr>
          <w:p w:rsidR="0032583B" w:rsidRPr="008E7846" w:rsidRDefault="0032583B" w:rsidP="00777C71">
            <w:pPr>
              <w:pStyle w:val="Subtitle"/>
              <w:rPr>
                <w:color w:val="FFFFFF" w:themeColor="background1"/>
              </w:rPr>
            </w:pPr>
            <w:r w:rsidRPr="008E7846">
              <w:rPr>
                <w:color w:val="FFFFFF" w:themeColor="background1"/>
              </w:rPr>
              <w:t xml:space="preserve">Proprietary Product Name: </w:t>
            </w:r>
            <w:r w:rsidR="00987E81">
              <w:rPr>
                <w:color w:val="FFFFFF" w:themeColor="background1"/>
              </w:rPr>
              <w:t>Keytruda</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777C71" w:rsidP="0032583B">
            <w:pPr>
              <w:pStyle w:val="Subtitle"/>
              <w:rPr>
                <w:color w:val="FFFFFF" w:themeColor="background1"/>
              </w:rPr>
            </w:pPr>
            <w:r>
              <w:rPr>
                <w:color w:val="FFFFFF" w:themeColor="background1"/>
              </w:rPr>
              <w:t>Sponsor: Merck Sharp &amp; Dohme (Australia) Pty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E219E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219E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E219E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219E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E219E5">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E219E5">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E219E5">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E219E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219E5">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E219E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C5AE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4544993" w:history="1">
            <w:r w:rsidR="000C5AE4" w:rsidRPr="003F1C19">
              <w:rPr>
                <w:rStyle w:val="Hyperlink"/>
                <w:noProof/>
              </w:rPr>
              <w:t>Common abbreviations</w:t>
            </w:r>
            <w:r w:rsidR="000C5AE4">
              <w:rPr>
                <w:noProof/>
                <w:webHidden/>
              </w:rPr>
              <w:tab/>
            </w:r>
            <w:r w:rsidR="000C5AE4">
              <w:rPr>
                <w:noProof/>
                <w:webHidden/>
              </w:rPr>
              <w:fldChar w:fldCharType="begin"/>
            </w:r>
            <w:r w:rsidR="000C5AE4">
              <w:rPr>
                <w:noProof/>
                <w:webHidden/>
              </w:rPr>
              <w:instrText xml:space="preserve"> PAGEREF _Toc464544993 \h </w:instrText>
            </w:r>
            <w:r w:rsidR="000C5AE4">
              <w:rPr>
                <w:noProof/>
                <w:webHidden/>
              </w:rPr>
            </w:r>
            <w:r w:rsidR="000C5AE4">
              <w:rPr>
                <w:noProof/>
                <w:webHidden/>
              </w:rPr>
              <w:fldChar w:fldCharType="separate"/>
            </w:r>
            <w:r w:rsidR="000C5AE4">
              <w:rPr>
                <w:noProof/>
                <w:webHidden/>
              </w:rPr>
              <w:t>5</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4994" w:history="1">
            <w:r w:rsidR="000C5AE4" w:rsidRPr="003F1C19">
              <w:rPr>
                <w:rStyle w:val="Hyperlink"/>
                <w:noProof/>
              </w:rPr>
              <w:t>I. Introduction to product submission</w:t>
            </w:r>
            <w:r w:rsidR="000C5AE4">
              <w:rPr>
                <w:noProof/>
                <w:webHidden/>
              </w:rPr>
              <w:tab/>
            </w:r>
            <w:r w:rsidR="000C5AE4">
              <w:rPr>
                <w:noProof/>
                <w:webHidden/>
              </w:rPr>
              <w:fldChar w:fldCharType="begin"/>
            </w:r>
            <w:r w:rsidR="000C5AE4">
              <w:rPr>
                <w:noProof/>
                <w:webHidden/>
              </w:rPr>
              <w:instrText xml:space="preserve"> PAGEREF _Toc464544994 \h </w:instrText>
            </w:r>
            <w:r w:rsidR="000C5AE4">
              <w:rPr>
                <w:noProof/>
                <w:webHidden/>
              </w:rPr>
            </w:r>
            <w:r w:rsidR="000C5AE4">
              <w:rPr>
                <w:noProof/>
                <w:webHidden/>
              </w:rPr>
              <w:fldChar w:fldCharType="separate"/>
            </w:r>
            <w:r w:rsidR="000C5AE4">
              <w:rPr>
                <w:noProof/>
                <w:webHidden/>
              </w:rPr>
              <w:t>9</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4995" w:history="1">
            <w:r w:rsidR="000C5AE4" w:rsidRPr="003F1C19">
              <w:rPr>
                <w:rStyle w:val="Hyperlink"/>
                <w:noProof/>
                <w:lang w:eastAsia="en-AU"/>
              </w:rPr>
              <w:t>Submission details</w:t>
            </w:r>
            <w:r w:rsidR="000C5AE4">
              <w:rPr>
                <w:noProof/>
                <w:webHidden/>
              </w:rPr>
              <w:tab/>
            </w:r>
            <w:r w:rsidR="000C5AE4">
              <w:rPr>
                <w:noProof/>
                <w:webHidden/>
              </w:rPr>
              <w:fldChar w:fldCharType="begin"/>
            </w:r>
            <w:r w:rsidR="000C5AE4">
              <w:rPr>
                <w:noProof/>
                <w:webHidden/>
              </w:rPr>
              <w:instrText xml:space="preserve"> PAGEREF _Toc464544995 \h </w:instrText>
            </w:r>
            <w:r w:rsidR="000C5AE4">
              <w:rPr>
                <w:noProof/>
                <w:webHidden/>
              </w:rPr>
            </w:r>
            <w:r w:rsidR="000C5AE4">
              <w:rPr>
                <w:noProof/>
                <w:webHidden/>
              </w:rPr>
              <w:fldChar w:fldCharType="separate"/>
            </w:r>
            <w:r w:rsidR="000C5AE4">
              <w:rPr>
                <w:noProof/>
                <w:webHidden/>
              </w:rPr>
              <w:t>9</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4996" w:history="1">
            <w:r w:rsidR="000C5AE4" w:rsidRPr="003F1C19">
              <w:rPr>
                <w:rStyle w:val="Hyperlink"/>
                <w:noProof/>
              </w:rPr>
              <w:t>Product background</w:t>
            </w:r>
            <w:r w:rsidR="000C5AE4">
              <w:rPr>
                <w:noProof/>
                <w:webHidden/>
              </w:rPr>
              <w:tab/>
            </w:r>
            <w:r w:rsidR="000C5AE4">
              <w:rPr>
                <w:noProof/>
                <w:webHidden/>
              </w:rPr>
              <w:fldChar w:fldCharType="begin"/>
            </w:r>
            <w:r w:rsidR="000C5AE4">
              <w:rPr>
                <w:noProof/>
                <w:webHidden/>
              </w:rPr>
              <w:instrText xml:space="preserve"> PAGEREF _Toc464544996 \h </w:instrText>
            </w:r>
            <w:r w:rsidR="000C5AE4">
              <w:rPr>
                <w:noProof/>
                <w:webHidden/>
              </w:rPr>
            </w:r>
            <w:r w:rsidR="000C5AE4">
              <w:rPr>
                <w:noProof/>
                <w:webHidden/>
              </w:rPr>
              <w:fldChar w:fldCharType="separate"/>
            </w:r>
            <w:r w:rsidR="000C5AE4">
              <w:rPr>
                <w:noProof/>
                <w:webHidden/>
              </w:rPr>
              <w:t>9</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4997" w:history="1">
            <w:r w:rsidR="000C5AE4" w:rsidRPr="003F1C19">
              <w:rPr>
                <w:rStyle w:val="Hyperlink"/>
                <w:noProof/>
              </w:rPr>
              <w:t>Regulatory status</w:t>
            </w:r>
            <w:r w:rsidR="000C5AE4">
              <w:rPr>
                <w:noProof/>
                <w:webHidden/>
              </w:rPr>
              <w:tab/>
            </w:r>
            <w:r w:rsidR="000C5AE4">
              <w:rPr>
                <w:noProof/>
                <w:webHidden/>
              </w:rPr>
              <w:fldChar w:fldCharType="begin"/>
            </w:r>
            <w:r w:rsidR="000C5AE4">
              <w:rPr>
                <w:noProof/>
                <w:webHidden/>
              </w:rPr>
              <w:instrText xml:space="preserve"> PAGEREF _Toc464544997 \h </w:instrText>
            </w:r>
            <w:r w:rsidR="000C5AE4">
              <w:rPr>
                <w:noProof/>
                <w:webHidden/>
              </w:rPr>
            </w:r>
            <w:r w:rsidR="000C5AE4">
              <w:rPr>
                <w:noProof/>
                <w:webHidden/>
              </w:rPr>
              <w:fldChar w:fldCharType="separate"/>
            </w:r>
            <w:r w:rsidR="000C5AE4">
              <w:rPr>
                <w:noProof/>
                <w:webHidden/>
              </w:rPr>
              <w:t>10</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4998" w:history="1">
            <w:r w:rsidR="000C5AE4" w:rsidRPr="003F1C19">
              <w:rPr>
                <w:rStyle w:val="Hyperlink"/>
                <w:noProof/>
              </w:rPr>
              <w:t>Product information</w:t>
            </w:r>
            <w:r w:rsidR="000C5AE4">
              <w:rPr>
                <w:noProof/>
                <w:webHidden/>
              </w:rPr>
              <w:tab/>
            </w:r>
            <w:r w:rsidR="000C5AE4">
              <w:rPr>
                <w:noProof/>
                <w:webHidden/>
              </w:rPr>
              <w:fldChar w:fldCharType="begin"/>
            </w:r>
            <w:r w:rsidR="000C5AE4">
              <w:rPr>
                <w:noProof/>
                <w:webHidden/>
              </w:rPr>
              <w:instrText xml:space="preserve"> PAGEREF _Toc464544998 \h </w:instrText>
            </w:r>
            <w:r w:rsidR="000C5AE4">
              <w:rPr>
                <w:noProof/>
                <w:webHidden/>
              </w:rPr>
            </w:r>
            <w:r w:rsidR="000C5AE4">
              <w:rPr>
                <w:noProof/>
                <w:webHidden/>
              </w:rPr>
              <w:fldChar w:fldCharType="separate"/>
            </w:r>
            <w:r w:rsidR="000C5AE4">
              <w:rPr>
                <w:noProof/>
                <w:webHidden/>
              </w:rPr>
              <w:t>12</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4999" w:history="1">
            <w:r w:rsidR="000C5AE4" w:rsidRPr="003F1C19">
              <w:rPr>
                <w:rStyle w:val="Hyperlink"/>
                <w:noProof/>
              </w:rPr>
              <w:t>II. Quality findings</w:t>
            </w:r>
            <w:r w:rsidR="000C5AE4">
              <w:rPr>
                <w:noProof/>
                <w:webHidden/>
              </w:rPr>
              <w:tab/>
            </w:r>
            <w:r w:rsidR="000C5AE4">
              <w:rPr>
                <w:noProof/>
                <w:webHidden/>
              </w:rPr>
              <w:fldChar w:fldCharType="begin"/>
            </w:r>
            <w:r w:rsidR="000C5AE4">
              <w:rPr>
                <w:noProof/>
                <w:webHidden/>
              </w:rPr>
              <w:instrText xml:space="preserve"> PAGEREF _Toc464544999 \h </w:instrText>
            </w:r>
            <w:r w:rsidR="000C5AE4">
              <w:rPr>
                <w:noProof/>
                <w:webHidden/>
              </w:rPr>
            </w:r>
            <w:r w:rsidR="000C5AE4">
              <w:rPr>
                <w:noProof/>
                <w:webHidden/>
              </w:rPr>
              <w:fldChar w:fldCharType="separate"/>
            </w:r>
            <w:r w:rsidR="000C5AE4">
              <w:rPr>
                <w:noProof/>
                <w:webHidden/>
              </w:rPr>
              <w:t>12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0" w:history="1">
            <w:r w:rsidR="000C5AE4" w:rsidRPr="003F1C19">
              <w:rPr>
                <w:rStyle w:val="Hyperlink"/>
                <w:noProof/>
              </w:rPr>
              <w:t>Structure</w:t>
            </w:r>
            <w:r w:rsidR="000C5AE4">
              <w:rPr>
                <w:noProof/>
                <w:webHidden/>
              </w:rPr>
              <w:tab/>
            </w:r>
            <w:r w:rsidR="000C5AE4">
              <w:rPr>
                <w:noProof/>
                <w:webHidden/>
              </w:rPr>
              <w:fldChar w:fldCharType="begin"/>
            </w:r>
            <w:r w:rsidR="000C5AE4">
              <w:rPr>
                <w:noProof/>
                <w:webHidden/>
              </w:rPr>
              <w:instrText xml:space="preserve"> PAGEREF _Toc464545000 \h </w:instrText>
            </w:r>
            <w:r w:rsidR="000C5AE4">
              <w:rPr>
                <w:noProof/>
                <w:webHidden/>
              </w:rPr>
            </w:r>
            <w:r w:rsidR="000C5AE4">
              <w:rPr>
                <w:noProof/>
                <w:webHidden/>
              </w:rPr>
              <w:fldChar w:fldCharType="separate"/>
            </w:r>
            <w:r w:rsidR="000C5AE4">
              <w:rPr>
                <w:noProof/>
                <w:webHidden/>
              </w:rPr>
              <w:t>12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1" w:history="1">
            <w:r w:rsidR="000C5AE4" w:rsidRPr="003F1C19">
              <w:rPr>
                <w:rStyle w:val="Hyperlink"/>
                <w:noProof/>
              </w:rPr>
              <w:t>Drug substance (active ingredient)</w:t>
            </w:r>
            <w:r w:rsidR="000C5AE4">
              <w:rPr>
                <w:noProof/>
                <w:webHidden/>
              </w:rPr>
              <w:tab/>
            </w:r>
            <w:r w:rsidR="000C5AE4">
              <w:rPr>
                <w:noProof/>
                <w:webHidden/>
              </w:rPr>
              <w:fldChar w:fldCharType="begin"/>
            </w:r>
            <w:r w:rsidR="000C5AE4">
              <w:rPr>
                <w:noProof/>
                <w:webHidden/>
              </w:rPr>
              <w:instrText xml:space="preserve"> PAGEREF _Toc464545001 \h </w:instrText>
            </w:r>
            <w:r w:rsidR="000C5AE4">
              <w:rPr>
                <w:noProof/>
                <w:webHidden/>
              </w:rPr>
            </w:r>
            <w:r w:rsidR="000C5AE4">
              <w:rPr>
                <w:noProof/>
                <w:webHidden/>
              </w:rPr>
              <w:fldChar w:fldCharType="separate"/>
            </w:r>
            <w:r w:rsidR="000C5AE4">
              <w:rPr>
                <w:noProof/>
                <w:webHidden/>
              </w:rPr>
              <w:t>12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2" w:history="1">
            <w:r w:rsidR="000C5AE4" w:rsidRPr="003F1C19">
              <w:rPr>
                <w:rStyle w:val="Hyperlink"/>
                <w:noProof/>
              </w:rPr>
              <w:t>Drug product</w:t>
            </w:r>
            <w:r w:rsidR="000C5AE4">
              <w:rPr>
                <w:noProof/>
                <w:webHidden/>
              </w:rPr>
              <w:tab/>
            </w:r>
            <w:r w:rsidR="000C5AE4">
              <w:rPr>
                <w:noProof/>
                <w:webHidden/>
              </w:rPr>
              <w:fldChar w:fldCharType="begin"/>
            </w:r>
            <w:r w:rsidR="000C5AE4">
              <w:rPr>
                <w:noProof/>
                <w:webHidden/>
              </w:rPr>
              <w:instrText xml:space="preserve"> PAGEREF _Toc464545002 \h </w:instrText>
            </w:r>
            <w:r w:rsidR="000C5AE4">
              <w:rPr>
                <w:noProof/>
                <w:webHidden/>
              </w:rPr>
            </w:r>
            <w:r w:rsidR="000C5AE4">
              <w:rPr>
                <w:noProof/>
                <w:webHidden/>
              </w:rPr>
              <w:fldChar w:fldCharType="separate"/>
            </w:r>
            <w:r w:rsidR="000C5AE4">
              <w:rPr>
                <w:noProof/>
                <w:webHidden/>
              </w:rPr>
              <w:t>13</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3" w:history="1">
            <w:r w:rsidR="000C5AE4" w:rsidRPr="003F1C19">
              <w:rPr>
                <w:rStyle w:val="Hyperlink"/>
                <w:noProof/>
              </w:rPr>
              <w:t>Advisory committee considerations</w:t>
            </w:r>
            <w:r w:rsidR="000C5AE4">
              <w:rPr>
                <w:noProof/>
                <w:webHidden/>
              </w:rPr>
              <w:tab/>
            </w:r>
            <w:r w:rsidR="000C5AE4">
              <w:rPr>
                <w:noProof/>
                <w:webHidden/>
              </w:rPr>
              <w:fldChar w:fldCharType="begin"/>
            </w:r>
            <w:r w:rsidR="000C5AE4">
              <w:rPr>
                <w:noProof/>
                <w:webHidden/>
              </w:rPr>
              <w:instrText xml:space="preserve"> PAGEREF _Toc464545003 \h </w:instrText>
            </w:r>
            <w:r w:rsidR="000C5AE4">
              <w:rPr>
                <w:noProof/>
                <w:webHidden/>
              </w:rPr>
            </w:r>
            <w:r w:rsidR="000C5AE4">
              <w:rPr>
                <w:noProof/>
                <w:webHidden/>
              </w:rPr>
              <w:fldChar w:fldCharType="separate"/>
            </w:r>
            <w:r w:rsidR="000C5AE4">
              <w:rPr>
                <w:noProof/>
                <w:webHidden/>
              </w:rPr>
              <w:t>14</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4" w:history="1">
            <w:r w:rsidR="000C5AE4" w:rsidRPr="003F1C19">
              <w:rPr>
                <w:rStyle w:val="Hyperlink"/>
                <w:noProof/>
              </w:rPr>
              <w:t>Quality summary and conclusions</w:t>
            </w:r>
            <w:r w:rsidR="000C5AE4">
              <w:rPr>
                <w:noProof/>
                <w:webHidden/>
              </w:rPr>
              <w:tab/>
            </w:r>
            <w:r w:rsidR="000C5AE4">
              <w:rPr>
                <w:noProof/>
                <w:webHidden/>
              </w:rPr>
              <w:fldChar w:fldCharType="begin"/>
            </w:r>
            <w:r w:rsidR="000C5AE4">
              <w:rPr>
                <w:noProof/>
                <w:webHidden/>
              </w:rPr>
              <w:instrText xml:space="preserve"> PAGEREF _Toc464545004 \h </w:instrText>
            </w:r>
            <w:r w:rsidR="000C5AE4">
              <w:rPr>
                <w:noProof/>
                <w:webHidden/>
              </w:rPr>
            </w:r>
            <w:r w:rsidR="000C5AE4">
              <w:rPr>
                <w:noProof/>
                <w:webHidden/>
              </w:rPr>
              <w:fldChar w:fldCharType="separate"/>
            </w:r>
            <w:r w:rsidR="000C5AE4">
              <w:rPr>
                <w:noProof/>
                <w:webHidden/>
              </w:rPr>
              <w:t>15</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05" w:history="1">
            <w:r w:rsidR="000C5AE4" w:rsidRPr="003F1C19">
              <w:rPr>
                <w:rStyle w:val="Hyperlink"/>
                <w:noProof/>
              </w:rPr>
              <w:t>III. Nonclinical findings</w:t>
            </w:r>
            <w:r w:rsidR="000C5AE4">
              <w:rPr>
                <w:noProof/>
                <w:webHidden/>
              </w:rPr>
              <w:tab/>
            </w:r>
            <w:r w:rsidR="000C5AE4">
              <w:rPr>
                <w:noProof/>
                <w:webHidden/>
              </w:rPr>
              <w:fldChar w:fldCharType="begin"/>
            </w:r>
            <w:r w:rsidR="000C5AE4">
              <w:rPr>
                <w:noProof/>
                <w:webHidden/>
              </w:rPr>
              <w:instrText xml:space="preserve"> PAGEREF _Toc464545005 \h </w:instrText>
            </w:r>
            <w:r w:rsidR="000C5AE4">
              <w:rPr>
                <w:noProof/>
                <w:webHidden/>
              </w:rPr>
            </w:r>
            <w:r w:rsidR="000C5AE4">
              <w:rPr>
                <w:noProof/>
                <w:webHidden/>
              </w:rPr>
              <w:fldChar w:fldCharType="separate"/>
            </w:r>
            <w:r w:rsidR="000C5AE4">
              <w:rPr>
                <w:noProof/>
                <w:webHidden/>
              </w:rPr>
              <w:t>15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6" w:history="1">
            <w:r w:rsidR="000C5AE4" w:rsidRPr="003F1C19">
              <w:rPr>
                <w:rStyle w:val="Hyperlink"/>
                <w:noProof/>
              </w:rPr>
              <w:t>Introduction</w:t>
            </w:r>
            <w:r w:rsidR="000C5AE4">
              <w:rPr>
                <w:noProof/>
                <w:webHidden/>
              </w:rPr>
              <w:tab/>
            </w:r>
            <w:r w:rsidR="000C5AE4">
              <w:rPr>
                <w:noProof/>
                <w:webHidden/>
              </w:rPr>
              <w:fldChar w:fldCharType="begin"/>
            </w:r>
            <w:r w:rsidR="000C5AE4">
              <w:rPr>
                <w:noProof/>
                <w:webHidden/>
              </w:rPr>
              <w:instrText xml:space="preserve"> PAGEREF _Toc464545006 \h </w:instrText>
            </w:r>
            <w:r w:rsidR="000C5AE4">
              <w:rPr>
                <w:noProof/>
                <w:webHidden/>
              </w:rPr>
            </w:r>
            <w:r w:rsidR="000C5AE4">
              <w:rPr>
                <w:noProof/>
                <w:webHidden/>
              </w:rPr>
              <w:fldChar w:fldCharType="separate"/>
            </w:r>
            <w:r w:rsidR="000C5AE4">
              <w:rPr>
                <w:noProof/>
                <w:webHidden/>
              </w:rPr>
              <w:t>15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7" w:history="1">
            <w:r w:rsidR="000C5AE4" w:rsidRPr="003F1C19">
              <w:rPr>
                <w:rStyle w:val="Hyperlink"/>
                <w:noProof/>
              </w:rPr>
              <w:t>Pharmacology</w:t>
            </w:r>
            <w:r w:rsidR="000C5AE4">
              <w:rPr>
                <w:noProof/>
                <w:webHidden/>
              </w:rPr>
              <w:tab/>
            </w:r>
            <w:r w:rsidR="000C5AE4">
              <w:rPr>
                <w:noProof/>
                <w:webHidden/>
              </w:rPr>
              <w:fldChar w:fldCharType="begin"/>
            </w:r>
            <w:r w:rsidR="000C5AE4">
              <w:rPr>
                <w:noProof/>
                <w:webHidden/>
              </w:rPr>
              <w:instrText xml:space="preserve"> PAGEREF _Toc464545007 \h </w:instrText>
            </w:r>
            <w:r w:rsidR="000C5AE4">
              <w:rPr>
                <w:noProof/>
                <w:webHidden/>
              </w:rPr>
            </w:r>
            <w:r w:rsidR="000C5AE4">
              <w:rPr>
                <w:noProof/>
                <w:webHidden/>
              </w:rPr>
              <w:fldChar w:fldCharType="separate"/>
            </w:r>
            <w:r w:rsidR="000C5AE4">
              <w:rPr>
                <w:noProof/>
                <w:webHidden/>
              </w:rPr>
              <w:t>15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8" w:history="1">
            <w:r w:rsidR="000C5AE4" w:rsidRPr="003F1C19">
              <w:rPr>
                <w:rStyle w:val="Hyperlink"/>
                <w:noProof/>
              </w:rPr>
              <w:t>Pharmacokinetics</w:t>
            </w:r>
            <w:r w:rsidR="000C5AE4">
              <w:rPr>
                <w:noProof/>
                <w:webHidden/>
              </w:rPr>
              <w:tab/>
            </w:r>
            <w:r w:rsidR="000C5AE4">
              <w:rPr>
                <w:noProof/>
                <w:webHidden/>
              </w:rPr>
              <w:fldChar w:fldCharType="begin"/>
            </w:r>
            <w:r w:rsidR="000C5AE4">
              <w:rPr>
                <w:noProof/>
                <w:webHidden/>
              </w:rPr>
              <w:instrText xml:space="preserve"> PAGEREF _Toc464545008 \h </w:instrText>
            </w:r>
            <w:r w:rsidR="000C5AE4">
              <w:rPr>
                <w:noProof/>
                <w:webHidden/>
              </w:rPr>
            </w:r>
            <w:r w:rsidR="000C5AE4">
              <w:rPr>
                <w:noProof/>
                <w:webHidden/>
              </w:rPr>
              <w:fldChar w:fldCharType="separate"/>
            </w:r>
            <w:r w:rsidR="000C5AE4">
              <w:rPr>
                <w:noProof/>
                <w:webHidden/>
              </w:rPr>
              <w:t>16</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09" w:history="1">
            <w:r w:rsidR="000C5AE4" w:rsidRPr="003F1C19">
              <w:rPr>
                <w:rStyle w:val="Hyperlink"/>
                <w:noProof/>
              </w:rPr>
              <w:t>Toxicology</w:t>
            </w:r>
            <w:r w:rsidR="000C5AE4">
              <w:rPr>
                <w:noProof/>
                <w:webHidden/>
              </w:rPr>
              <w:tab/>
            </w:r>
            <w:r w:rsidR="000C5AE4">
              <w:rPr>
                <w:noProof/>
                <w:webHidden/>
              </w:rPr>
              <w:fldChar w:fldCharType="begin"/>
            </w:r>
            <w:r w:rsidR="000C5AE4">
              <w:rPr>
                <w:noProof/>
                <w:webHidden/>
              </w:rPr>
              <w:instrText xml:space="preserve"> PAGEREF _Toc464545009 \h </w:instrText>
            </w:r>
            <w:r w:rsidR="000C5AE4">
              <w:rPr>
                <w:noProof/>
                <w:webHidden/>
              </w:rPr>
            </w:r>
            <w:r w:rsidR="000C5AE4">
              <w:rPr>
                <w:noProof/>
                <w:webHidden/>
              </w:rPr>
              <w:fldChar w:fldCharType="separate"/>
            </w:r>
            <w:r w:rsidR="000C5AE4">
              <w:rPr>
                <w:noProof/>
                <w:webHidden/>
              </w:rPr>
              <w:t>16</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0" w:history="1">
            <w:r w:rsidR="000C5AE4" w:rsidRPr="003F1C19">
              <w:rPr>
                <w:rStyle w:val="Hyperlink"/>
                <w:noProof/>
              </w:rPr>
              <w:t>Nonclinical summary and conclusions</w:t>
            </w:r>
            <w:r w:rsidR="000C5AE4">
              <w:rPr>
                <w:noProof/>
                <w:webHidden/>
              </w:rPr>
              <w:tab/>
            </w:r>
            <w:r w:rsidR="000C5AE4">
              <w:rPr>
                <w:noProof/>
                <w:webHidden/>
              </w:rPr>
              <w:fldChar w:fldCharType="begin"/>
            </w:r>
            <w:r w:rsidR="000C5AE4">
              <w:rPr>
                <w:noProof/>
                <w:webHidden/>
              </w:rPr>
              <w:instrText xml:space="preserve"> PAGEREF _Toc464545010 \h </w:instrText>
            </w:r>
            <w:r w:rsidR="000C5AE4">
              <w:rPr>
                <w:noProof/>
                <w:webHidden/>
              </w:rPr>
            </w:r>
            <w:r w:rsidR="000C5AE4">
              <w:rPr>
                <w:noProof/>
                <w:webHidden/>
              </w:rPr>
              <w:fldChar w:fldCharType="separate"/>
            </w:r>
            <w:r w:rsidR="000C5AE4">
              <w:rPr>
                <w:noProof/>
                <w:webHidden/>
              </w:rPr>
              <w:t>19</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11" w:history="1">
            <w:r w:rsidR="000C5AE4" w:rsidRPr="003F1C19">
              <w:rPr>
                <w:rStyle w:val="Hyperlink"/>
                <w:noProof/>
              </w:rPr>
              <w:t>IV. Clinical findings</w:t>
            </w:r>
            <w:r w:rsidR="000C5AE4">
              <w:rPr>
                <w:noProof/>
                <w:webHidden/>
              </w:rPr>
              <w:tab/>
            </w:r>
            <w:r w:rsidR="000C5AE4">
              <w:rPr>
                <w:noProof/>
                <w:webHidden/>
              </w:rPr>
              <w:fldChar w:fldCharType="begin"/>
            </w:r>
            <w:r w:rsidR="000C5AE4">
              <w:rPr>
                <w:noProof/>
                <w:webHidden/>
              </w:rPr>
              <w:instrText xml:space="preserve"> PAGEREF _Toc464545011 \h </w:instrText>
            </w:r>
            <w:r w:rsidR="000C5AE4">
              <w:rPr>
                <w:noProof/>
                <w:webHidden/>
              </w:rPr>
            </w:r>
            <w:r w:rsidR="000C5AE4">
              <w:rPr>
                <w:noProof/>
                <w:webHidden/>
              </w:rPr>
              <w:fldChar w:fldCharType="separate"/>
            </w:r>
            <w:r w:rsidR="000C5AE4">
              <w:rPr>
                <w:noProof/>
                <w:webHidden/>
              </w:rPr>
              <w:t>20</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2" w:history="1">
            <w:r w:rsidR="000C5AE4" w:rsidRPr="003F1C19">
              <w:rPr>
                <w:rStyle w:val="Hyperlink"/>
                <w:noProof/>
              </w:rPr>
              <w:t>Introduction</w:t>
            </w:r>
            <w:r w:rsidR="000C5AE4">
              <w:rPr>
                <w:noProof/>
                <w:webHidden/>
              </w:rPr>
              <w:tab/>
            </w:r>
            <w:r w:rsidR="000C5AE4">
              <w:rPr>
                <w:noProof/>
                <w:webHidden/>
              </w:rPr>
              <w:fldChar w:fldCharType="begin"/>
            </w:r>
            <w:r w:rsidR="000C5AE4">
              <w:rPr>
                <w:noProof/>
                <w:webHidden/>
              </w:rPr>
              <w:instrText xml:space="preserve"> PAGEREF _Toc464545012 \h </w:instrText>
            </w:r>
            <w:r w:rsidR="000C5AE4">
              <w:rPr>
                <w:noProof/>
                <w:webHidden/>
              </w:rPr>
            </w:r>
            <w:r w:rsidR="000C5AE4">
              <w:rPr>
                <w:noProof/>
                <w:webHidden/>
              </w:rPr>
              <w:fldChar w:fldCharType="separate"/>
            </w:r>
            <w:r w:rsidR="000C5AE4">
              <w:rPr>
                <w:noProof/>
                <w:webHidden/>
              </w:rPr>
              <w:t>20</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3" w:history="1">
            <w:r w:rsidR="000C5AE4" w:rsidRPr="003F1C19">
              <w:rPr>
                <w:rStyle w:val="Hyperlink"/>
                <w:noProof/>
              </w:rPr>
              <w:t>Pharmacokinetics</w:t>
            </w:r>
            <w:r w:rsidR="000C5AE4">
              <w:rPr>
                <w:noProof/>
                <w:webHidden/>
              </w:rPr>
              <w:tab/>
            </w:r>
            <w:r w:rsidR="000C5AE4">
              <w:rPr>
                <w:noProof/>
                <w:webHidden/>
              </w:rPr>
              <w:fldChar w:fldCharType="begin"/>
            </w:r>
            <w:r w:rsidR="000C5AE4">
              <w:rPr>
                <w:noProof/>
                <w:webHidden/>
              </w:rPr>
              <w:instrText xml:space="preserve"> PAGEREF _Toc464545013 \h </w:instrText>
            </w:r>
            <w:r w:rsidR="000C5AE4">
              <w:rPr>
                <w:noProof/>
                <w:webHidden/>
              </w:rPr>
            </w:r>
            <w:r w:rsidR="000C5AE4">
              <w:rPr>
                <w:noProof/>
                <w:webHidden/>
              </w:rPr>
              <w:fldChar w:fldCharType="separate"/>
            </w:r>
            <w:r w:rsidR="000C5AE4">
              <w:rPr>
                <w:noProof/>
                <w:webHidden/>
              </w:rPr>
              <w:t>23</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4" w:history="1">
            <w:r w:rsidR="000C5AE4" w:rsidRPr="003F1C19">
              <w:rPr>
                <w:rStyle w:val="Hyperlink"/>
                <w:noProof/>
              </w:rPr>
              <w:t>Population Pharmacokinetics</w:t>
            </w:r>
            <w:r w:rsidR="000C5AE4">
              <w:rPr>
                <w:noProof/>
                <w:webHidden/>
              </w:rPr>
              <w:tab/>
            </w:r>
            <w:r w:rsidR="000C5AE4">
              <w:rPr>
                <w:noProof/>
                <w:webHidden/>
              </w:rPr>
              <w:fldChar w:fldCharType="begin"/>
            </w:r>
            <w:r w:rsidR="000C5AE4">
              <w:rPr>
                <w:noProof/>
                <w:webHidden/>
              </w:rPr>
              <w:instrText xml:space="preserve"> PAGEREF _Toc464545014 \h </w:instrText>
            </w:r>
            <w:r w:rsidR="000C5AE4">
              <w:rPr>
                <w:noProof/>
                <w:webHidden/>
              </w:rPr>
            </w:r>
            <w:r w:rsidR="000C5AE4">
              <w:rPr>
                <w:noProof/>
                <w:webHidden/>
              </w:rPr>
              <w:fldChar w:fldCharType="separate"/>
            </w:r>
            <w:r w:rsidR="000C5AE4">
              <w:rPr>
                <w:noProof/>
                <w:webHidden/>
              </w:rPr>
              <w:t>23</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5" w:history="1">
            <w:r w:rsidR="000C5AE4" w:rsidRPr="003F1C19">
              <w:rPr>
                <w:rStyle w:val="Hyperlink"/>
                <w:noProof/>
              </w:rPr>
              <w:t>Pharmacodynamics</w:t>
            </w:r>
            <w:r w:rsidR="000C5AE4">
              <w:rPr>
                <w:noProof/>
                <w:webHidden/>
              </w:rPr>
              <w:tab/>
            </w:r>
            <w:r w:rsidR="000C5AE4">
              <w:rPr>
                <w:noProof/>
                <w:webHidden/>
              </w:rPr>
              <w:fldChar w:fldCharType="begin"/>
            </w:r>
            <w:r w:rsidR="000C5AE4">
              <w:rPr>
                <w:noProof/>
                <w:webHidden/>
              </w:rPr>
              <w:instrText xml:space="preserve"> PAGEREF _Toc464545015 \h </w:instrText>
            </w:r>
            <w:r w:rsidR="000C5AE4">
              <w:rPr>
                <w:noProof/>
                <w:webHidden/>
              </w:rPr>
            </w:r>
            <w:r w:rsidR="000C5AE4">
              <w:rPr>
                <w:noProof/>
                <w:webHidden/>
              </w:rPr>
              <w:fldChar w:fldCharType="separate"/>
            </w:r>
            <w:r w:rsidR="000C5AE4">
              <w:rPr>
                <w:noProof/>
                <w:webHidden/>
              </w:rPr>
              <w:t>25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6" w:history="1">
            <w:r w:rsidR="000C5AE4" w:rsidRPr="003F1C19">
              <w:rPr>
                <w:rStyle w:val="Hyperlink"/>
                <w:noProof/>
              </w:rPr>
              <w:t>Dosage selection for the pivotal studies</w:t>
            </w:r>
            <w:r w:rsidR="000C5AE4">
              <w:rPr>
                <w:noProof/>
                <w:webHidden/>
              </w:rPr>
              <w:tab/>
            </w:r>
            <w:r w:rsidR="000C5AE4">
              <w:rPr>
                <w:noProof/>
                <w:webHidden/>
              </w:rPr>
              <w:fldChar w:fldCharType="begin"/>
            </w:r>
            <w:r w:rsidR="000C5AE4">
              <w:rPr>
                <w:noProof/>
                <w:webHidden/>
              </w:rPr>
              <w:instrText xml:space="preserve"> PAGEREF _Toc464545016 \h </w:instrText>
            </w:r>
            <w:r w:rsidR="000C5AE4">
              <w:rPr>
                <w:noProof/>
                <w:webHidden/>
              </w:rPr>
            </w:r>
            <w:r w:rsidR="000C5AE4">
              <w:rPr>
                <w:noProof/>
                <w:webHidden/>
              </w:rPr>
              <w:fldChar w:fldCharType="separate"/>
            </w:r>
            <w:r w:rsidR="000C5AE4">
              <w:rPr>
                <w:noProof/>
                <w:webHidden/>
              </w:rPr>
              <w:t>25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7" w:history="1">
            <w:r w:rsidR="000C5AE4" w:rsidRPr="003F1C19">
              <w:rPr>
                <w:rStyle w:val="Hyperlink"/>
                <w:noProof/>
              </w:rPr>
              <w:t>Efficacy</w:t>
            </w:r>
            <w:r w:rsidR="000C5AE4">
              <w:rPr>
                <w:noProof/>
                <w:webHidden/>
              </w:rPr>
              <w:tab/>
            </w:r>
            <w:r w:rsidR="000C5AE4">
              <w:rPr>
                <w:noProof/>
                <w:webHidden/>
              </w:rPr>
              <w:fldChar w:fldCharType="begin"/>
            </w:r>
            <w:r w:rsidR="000C5AE4">
              <w:rPr>
                <w:noProof/>
                <w:webHidden/>
              </w:rPr>
              <w:instrText xml:space="preserve"> PAGEREF _Toc464545017 \h </w:instrText>
            </w:r>
            <w:r w:rsidR="000C5AE4">
              <w:rPr>
                <w:noProof/>
                <w:webHidden/>
              </w:rPr>
            </w:r>
            <w:r w:rsidR="000C5AE4">
              <w:rPr>
                <w:noProof/>
                <w:webHidden/>
              </w:rPr>
              <w:fldChar w:fldCharType="separate"/>
            </w:r>
            <w:r w:rsidR="000C5AE4">
              <w:rPr>
                <w:noProof/>
                <w:webHidden/>
              </w:rPr>
              <w:t>26</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8" w:history="1">
            <w:r w:rsidR="000C5AE4" w:rsidRPr="003F1C19">
              <w:rPr>
                <w:rStyle w:val="Hyperlink"/>
                <w:noProof/>
              </w:rPr>
              <w:t>Safety</w:t>
            </w:r>
            <w:r w:rsidR="000C5AE4">
              <w:rPr>
                <w:noProof/>
                <w:webHidden/>
              </w:rPr>
              <w:tab/>
            </w:r>
            <w:r w:rsidR="000C5AE4">
              <w:rPr>
                <w:noProof/>
                <w:webHidden/>
              </w:rPr>
              <w:fldChar w:fldCharType="begin"/>
            </w:r>
            <w:r w:rsidR="000C5AE4">
              <w:rPr>
                <w:noProof/>
                <w:webHidden/>
              </w:rPr>
              <w:instrText xml:space="preserve"> PAGEREF _Toc464545018 \h </w:instrText>
            </w:r>
            <w:r w:rsidR="000C5AE4">
              <w:rPr>
                <w:noProof/>
                <w:webHidden/>
              </w:rPr>
            </w:r>
            <w:r w:rsidR="000C5AE4">
              <w:rPr>
                <w:noProof/>
                <w:webHidden/>
              </w:rPr>
              <w:fldChar w:fldCharType="separate"/>
            </w:r>
            <w:r w:rsidR="000C5AE4">
              <w:rPr>
                <w:noProof/>
                <w:webHidden/>
              </w:rPr>
              <w:t>29</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19" w:history="1">
            <w:r w:rsidR="000C5AE4" w:rsidRPr="003F1C19">
              <w:rPr>
                <w:rStyle w:val="Hyperlink"/>
                <w:noProof/>
              </w:rPr>
              <w:t>First round benefit-risk assessment</w:t>
            </w:r>
            <w:r w:rsidR="000C5AE4">
              <w:rPr>
                <w:noProof/>
                <w:webHidden/>
              </w:rPr>
              <w:tab/>
            </w:r>
            <w:r w:rsidR="000C5AE4">
              <w:rPr>
                <w:noProof/>
                <w:webHidden/>
              </w:rPr>
              <w:fldChar w:fldCharType="begin"/>
            </w:r>
            <w:r w:rsidR="000C5AE4">
              <w:rPr>
                <w:noProof/>
                <w:webHidden/>
              </w:rPr>
              <w:instrText xml:space="preserve"> PAGEREF _Toc464545019 \h </w:instrText>
            </w:r>
            <w:r w:rsidR="000C5AE4">
              <w:rPr>
                <w:noProof/>
                <w:webHidden/>
              </w:rPr>
            </w:r>
            <w:r w:rsidR="000C5AE4">
              <w:rPr>
                <w:noProof/>
                <w:webHidden/>
              </w:rPr>
              <w:fldChar w:fldCharType="separate"/>
            </w:r>
            <w:r w:rsidR="000C5AE4">
              <w:rPr>
                <w:noProof/>
                <w:webHidden/>
              </w:rPr>
              <w:t>31</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0" w:history="1">
            <w:r w:rsidR="000C5AE4" w:rsidRPr="003F1C19">
              <w:rPr>
                <w:rStyle w:val="Hyperlink"/>
                <w:noProof/>
              </w:rPr>
              <w:t>First round recommendation regarding authorisation</w:t>
            </w:r>
            <w:r w:rsidR="000C5AE4">
              <w:rPr>
                <w:noProof/>
                <w:webHidden/>
              </w:rPr>
              <w:tab/>
            </w:r>
            <w:r w:rsidR="000C5AE4">
              <w:rPr>
                <w:noProof/>
                <w:webHidden/>
              </w:rPr>
              <w:fldChar w:fldCharType="begin"/>
            </w:r>
            <w:r w:rsidR="000C5AE4">
              <w:rPr>
                <w:noProof/>
                <w:webHidden/>
              </w:rPr>
              <w:instrText xml:space="preserve"> PAGEREF _Toc464545020 \h </w:instrText>
            </w:r>
            <w:r w:rsidR="000C5AE4">
              <w:rPr>
                <w:noProof/>
                <w:webHidden/>
              </w:rPr>
            </w:r>
            <w:r w:rsidR="000C5AE4">
              <w:rPr>
                <w:noProof/>
                <w:webHidden/>
              </w:rPr>
              <w:fldChar w:fldCharType="separate"/>
            </w:r>
            <w:r w:rsidR="000C5AE4">
              <w:rPr>
                <w:noProof/>
                <w:webHidden/>
              </w:rPr>
              <w:t>32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1" w:history="1">
            <w:r w:rsidR="000C5AE4" w:rsidRPr="003F1C19">
              <w:rPr>
                <w:rStyle w:val="Hyperlink"/>
                <w:noProof/>
              </w:rPr>
              <w:t>Clinical questions</w:t>
            </w:r>
            <w:r w:rsidR="000C5AE4">
              <w:rPr>
                <w:noProof/>
                <w:webHidden/>
              </w:rPr>
              <w:tab/>
            </w:r>
            <w:r w:rsidR="000C5AE4">
              <w:rPr>
                <w:noProof/>
                <w:webHidden/>
              </w:rPr>
              <w:fldChar w:fldCharType="begin"/>
            </w:r>
            <w:r w:rsidR="000C5AE4">
              <w:rPr>
                <w:noProof/>
                <w:webHidden/>
              </w:rPr>
              <w:instrText xml:space="preserve"> PAGEREF _Toc464545021 \h </w:instrText>
            </w:r>
            <w:r w:rsidR="000C5AE4">
              <w:rPr>
                <w:noProof/>
                <w:webHidden/>
              </w:rPr>
            </w:r>
            <w:r w:rsidR="000C5AE4">
              <w:rPr>
                <w:noProof/>
                <w:webHidden/>
              </w:rPr>
              <w:fldChar w:fldCharType="separate"/>
            </w:r>
            <w:r w:rsidR="000C5AE4">
              <w:rPr>
                <w:noProof/>
                <w:webHidden/>
              </w:rPr>
              <w:t>33</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2" w:history="1">
            <w:r w:rsidR="000C5AE4" w:rsidRPr="003F1C19">
              <w:rPr>
                <w:rStyle w:val="Hyperlink"/>
                <w:noProof/>
              </w:rPr>
              <w:t>Second round evaluation of clinical data submitted in response to questions</w:t>
            </w:r>
            <w:r w:rsidR="000C5AE4">
              <w:rPr>
                <w:noProof/>
                <w:webHidden/>
              </w:rPr>
              <w:tab/>
            </w:r>
            <w:r w:rsidR="000C5AE4">
              <w:rPr>
                <w:noProof/>
                <w:webHidden/>
              </w:rPr>
              <w:fldChar w:fldCharType="begin"/>
            </w:r>
            <w:r w:rsidR="000C5AE4">
              <w:rPr>
                <w:noProof/>
                <w:webHidden/>
              </w:rPr>
              <w:instrText xml:space="preserve"> PAGEREF _Toc464545022 \h </w:instrText>
            </w:r>
            <w:r w:rsidR="000C5AE4">
              <w:rPr>
                <w:noProof/>
                <w:webHidden/>
              </w:rPr>
            </w:r>
            <w:r w:rsidR="000C5AE4">
              <w:rPr>
                <w:noProof/>
                <w:webHidden/>
              </w:rPr>
              <w:fldChar w:fldCharType="separate"/>
            </w:r>
            <w:r w:rsidR="000C5AE4">
              <w:rPr>
                <w:noProof/>
                <w:webHidden/>
              </w:rPr>
              <w:t>33</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23" w:history="1">
            <w:r w:rsidR="000C5AE4" w:rsidRPr="003F1C19">
              <w:rPr>
                <w:rStyle w:val="Hyperlink"/>
                <w:noProof/>
              </w:rPr>
              <w:t>V. Pharmacovigilance findings</w:t>
            </w:r>
            <w:r w:rsidR="000C5AE4">
              <w:rPr>
                <w:noProof/>
                <w:webHidden/>
              </w:rPr>
              <w:tab/>
            </w:r>
            <w:r w:rsidR="000C5AE4">
              <w:rPr>
                <w:noProof/>
                <w:webHidden/>
              </w:rPr>
              <w:fldChar w:fldCharType="begin"/>
            </w:r>
            <w:r w:rsidR="000C5AE4">
              <w:rPr>
                <w:noProof/>
                <w:webHidden/>
              </w:rPr>
              <w:instrText xml:space="preserve"> PAGEREF _Toc464545023 \h </w:instrText>
            </w:r>
            <w:r w:rsidR="000C5AE4">
              <w:rPr>
                <w:noProof/>
                <w:webHidden/>
              </w:rPr>
            </w:r>
            <w:r w:rsidR="000C5AE4">
              <w:rPr>
                <w:noProof/>
                <w:webHidden/>
              </w:rPr>
              <w:fldChar w:fldCharType="separate"/>
            </w:r>
            <w:r w:rsidR="000C5AE4">
              <w:rPr>
                <w:noProof/>
                <w:webHidden/>
              </w:rPr>
              <w:t>33</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4" w:history="1">
            <w:r w:rsidR="000C5AE4" w:rsidRPr="003F1C19">
              <w:rPr>
                <w:rStyle w:val="Hyperlink"/>
                <w:noProof/>
                <w:lang w:eastAsia="en-AU"/>
              </w:rPr>
              <w:t>Risk management plan</w:t>
            </w:r>
            <w:r w:rsidR="000C5AE4">
              <w:rPr>
                <w:noProof/>
                <w:webHidden/>
              </w:rPr>
              <w:tab/>
            </w:r>
            <w:r w:rsidR="000C5AE4">
              <w:rPr>
                <w:noProof/>
                <w:webHidden/>
              </w:rPr>
              <w:fldChar w:fldCharType="begin"/>
            </w:r>
            <w:r w:rsidR="000C5AE4">
              <w:rPr>
                <w:noProof/>
                <w:webHidden/>
              </w:rPr>
              <w:instrText xml:space="preserve"> PAGEREF _Toc464545024 \h </w:instrText>
            </w:r>
            <w:r w:rsidR="000C5AE4">
              <w:rPr>
                <w:noProof/>
                <w:webHidden/>
              </w:rPr>
            </w:r>
            <w:r w:rsidR="000C5AE4">
              <w:rPr>
                <w:noProof/>
                <w:webHidden/>
              </w:rPr>
              <w:fldChar w:fldCharType="separate"/>
            </w:r>
            <w:r w:rsidR="000C5AE4">
              <w:rPr>
                <w:noProof/>
                <w:webHidden/>
              </w:rPr>
              <w:t>33</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25" w:history="1">
            <w:r w:rsidR="000C5AE4" w:rsidRPr="003F1C19">
              <w:rPr>
                <w:rStyle w:val="Hyperlink"/>
                <w:noProof/>
              </w:rPr>
              <w:t>VI. Overall conclusion and risk/benefit assessment</w:t>
            </w:r>
            <w:r w:rsidR="000C5AE4">
              <w:rPr>
                <w:noProof/>
                <w:webHidden/>
              </w:rPr>
              <w:tab/>
            </w:r>
            <w:r w:rsidR="000C5AE4">
              <w:rPr>
                <w:noProof/>
                <w:webHidden/>
              </w:rPr>
              <w:fldChar w:fldCharType="begin"/>
            </w:r>
            <w:r w:rsidR="000C5AE4">
              <w:rPr>
                <w:noProof/>
                <w:webHidden/>
              </w:rPr>
              <w:instrText xml:space="preserve"> PAGEREF _Toc464545025 \h </w:instrText>
            </w:r>
            <w:r w:rsidR="000C5AE4">
              <w:rPr>
                <w:noProof/>
                <w:webHidden/>
              </w:rPr>
            </w:r>
            <w:r w:rsidR="000C5AE4">
              <w:rPr>
                <w:noProof/>
                <w:webHidden/>
              </w:rPr>
              <w:fldChar w:fldCharType="separate"/>
            </w:r>
            <w:r w:rsidR="000C5AE4">
              <w:rPr>
                <w:noProof/>
                <w:webHidden/>
              </w:rPr>
              <w:t>47</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6" w:history="1">
            <w:r w:rsidR="000C5AE4" w:rsidRPr="003F1C19">
              <w:rPr>
                <w:rStyle w:val="Hyperlink"/>
                <w:noProof/>
              </w:rPr>
              <w:t>Introduction</w:t>
            </w:r>
            <w:r w:rsidR="000C5AE4">
              <w:rPr>
                <w:noProof/>
                <w:webHidden/>
              </w:rPr>
              <w:tab/>
            </w:r>
            <w:r w:rsidR="000C5AE4">
              <w:rPr>
                <w:noProof/>
                <w:webHidden/>
              </w:rPr>
              <w:fldChar w:fldCharType="begin"/>
            </w:r>
            <w:r w:rsidR="000C5AE4">
              <w:rPr>
                <w:noProof/>
                <w:webHidden/>
              </w:rPr>
              <w:instrText xml:space="preserve"> PAGEREF _Toc464545026 \h </w:instrText>
            </w:r>
            <w:r w:rsidR="000C5AE4">
              <w:rPr>
                <w:noProof/>
                <w:webHidden/>
              </w:rPr>
            </w:r>
            <w:r w:rsidR="000C5AE4">
              <w:rPr>
                <w:noProof/>
                <w:webHidden/>
              </w:rPr>
              <w:fldChar w:fldCharType="separate"/>
            </w:r>
            <w:r w:rsidR="000C5AE4">
              <w:rPr>
                <w:noProof/>
                <w:webHidden/>
              </w:rPr>
              <w:t>47</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7" w:history="1">
            <w:r w:rsidR="000C5AE4" w:rsidRPr="003F1C19">
              <w:rPr>
                <w:rStyle w:val="Hyperlink"/>
                <w:noProof/>
              </w:rPr>
              <w:t>Quality</w:t>
            </w:r>
            <w:r w:rsidR="000C5AE4">
              <w:rPr>
                <w:noProof/>
                <w:webHidden/>
              </w:rPr>
              <w:tab/>
            </w:r>
            <w:r w:rsidR="000C5AE4">
              <w:rPr>
                <w:noProof/>
                <w:webHidden/>
              </w:rPr>
              <w:fldChar w:fldCharType="begin"/>
            </w:r>
            <w:r w:rsidR="000C5AE4">
              <w:rPr>
                <w:noProof/>
                <w:webHidden/>
              </w:rPr>
              <w:instrText xml:space="preserve"> PAGEREF _Toc464545027 \h </w:instrText>
            </w:r>
            <w:r w:rsidR="000C5AE4">
              <w:rPr>
                <w:noProof/>
                <w:webHidden/>
              </w:rPr>
            </w:r>
            <w:r w:rsidR="000C5AE4">
              <w:rPr>
                <w:noProof/>
                <w:webHidden/>
              </w:rPr>
              <w:fldChar w:fldCharType="separate"/>
            </w:r>
            <w:r w:rsidR="000C5AE4">
              <w:rPr>
                <w:noProof/>
                <w:webHidden/>
              </w:rPr>
              <w:t>62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8" w:history="1">
            <w:r w:rsidR="000C5AE4" w:rsidRPr="003F1C19">
              <w:rPr>
                <w:rStyle w:val="Hyperlink"/>
                <w:noProof/>
              </w:rPr>
              <w:t>Nonclinical</w:t>
            </w:r>
            <w:r w:rsidR="000C5AE4">
              <w:rPr>
                <w:noProof/>
                <w:webHidden/>
              </w:rPr>
              <w:tab/>
            </w:r>
            <w:r w:rsidR="000C5AE4">
              <w:rPr>
                <w:noProof/>
                <w:webHidden/>
              </w:rPr>
              <w:fldChar w:fldCharType="begin"/>
            </w:r>
            <w:r w:rsidR="000C5AE4">
              <w:rPr>
                <w:noProof/>
                <w:webHidden/>
              </w:rPr>
              <w:instrText xml:space="preserve"> PAGEREF _Toc464545028 \h </w:instrText>
            </w:r>
            <w:r w:rsidR="000C5AE4">
              <w:rPr>
                <w:noProof/>
                <w:webHidden/>
              </w:rPr>
            </w:r>
            <w:r w:rsidR="000C5AE4">
              <w:rPr>
                <w:noProof/>
                <w:webHidden/>
              </w:rPr>
              <w:fldChar w:fldCharType="separate"/>
            </w:r>
            <w:r w:rsidR="000C5AE4">
              <w:rPr>
                <w:noProof/>
                <w:webHidden/>
              </w:rPr>
              <w:t>62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29" w:history="1">
            <w:r w:rsidR="000C5AE4" w:rsidRPr="003F1C19">
              <w:rPr>
                <w:rStyle w:val="Hyperlink"/>
                <w:noProof/>
              </w:rPr>
              <w:t>Clinical</w:t>
            </w:r>
            <w:r w:rsidR="000C5AE4">
              <w:rPr>
                <w:noProof/>
                <w:webHidden/>
              </w:rPr>
              <w:tab/>
            </w:r>
            <w:r w:rsidR="000C5AE4">
              <w:rPr>
                <w:noProof/>
                <w:webHidden/>
              </w:rPr>
              <w:fldChar w:fldCharType="begin"/>
            </w:r>
            <w:r w:rsidR="000C5AE4">
              <w:rPr>
                <w:noProof/>
                <w:webHidden/>
              </w:rPr>
              <w:instrText xml:space="preserve"> PAGEREF _Toc464545029 \h </w:instrText>
            </w:r>
            <w:r w:rsidR="000C5AE4">
              <w:rPr>
                <w:noProof/>
                <w:webHidden/>
              </w:rPr>
            </w:r>
            <w:r w:rsidR="000C5AE4">
              <w:rPr>
                <w:noProof/>
                <w:webHidden/>
              </w:rPr>
              <w:fldChar w:fldCharType="separate"/>
            </w:r>
            <w:r w:rsidR="000C5AE4">
              <w:rPr>
                <w:noProof/>
                <w:webHidden/>
              </w:rPr>
              <w:t>62</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30" w:history="1">
            <w:r w:rsidR="000C5AE4" w:rsidRPr="003F1C19">
              <w:rPr>
                <w:rStyle w:val="Hyperlink"/>
                <w:noProof/>
                <w:lang w:eastAsia="en-AU"/>
              </w:rPr>
              <w:t>Risk management plan</w:t>
            </w:r>
            <w:r w:rsidR="000C5AE4">
              <w:rPr>
                <w:noProof/>
                <w:webHidden/>
              </w:rPr>
              <w:tab/>
            </w:r>
            <w:r w:rsidR="000C5AE4">
              <w:rPr>
                <w:noProof/>
                <w:webHidden/>
              </w:rPr>
              <w:fldChar w:fldCharType="begin"/>
            </w:r>
            <w:r w:rsidR="000C5AE4">
              <w:rPr>
                <w:noProof/>
                <w:webHidden/>
              </w:rPr>
              <w:instrText xml:space="preserve"> PAGEREF _Toc464545030 \h </w:instrText>
            </w:r>
            <w:r w:rsidR="000C5AE4">
              <w:rPr>
                <w:noProof/>
                <w:webHidden/>
              </w:rPr>
            </w:r>
            <w:r w:rsidR="000C5AE4">
              <w:rPr>
                <w:noProof/>
                <w:webHidden/>
              </w:rPr>
              <w:fldChar w:fldCharType="separate"/>
            </w:r>
            <w:r w:rsidR="000C5AE4">
              <w:rPr>
                <w:noProof/>
                <w:webHidden/>
              </w:rPr>
              <w:t>115</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31" w:history="1">
            <w:r w:rsidR="000C5AE4" w:rsidRPr="003F1C19">
              <w:rPr>
                <w:rStyle w:val="Hyperlink"/>
                <w:noProof/>
              </w:rPr>
              <w:t>Risk-benefit analysis</w:t>
            </w:r>
            <w:r w:rsidR="000C5AE4">
              <w:rPr>
                <w:noProof/>
                <w:webHidden/>
              </w:rPr>
              <w:tab/>
            </w:r>
            <w:r w:rsidR="000C5AE4">
              <w:rPr>
                <w:noProof/>
                <w:webHidden/>
              </w:rPr>
              <w:fldChar w:fldCharType="begin"/>
            </w:r>
            <w:r w:rsidR="000C5AE4">
              <w:rPr>
                <w:noProof/>
                <w:webHidden/>
              </w:rPr>
              <w:instrText xml:space="preserve"> PAGEREF _Toc464545031 \h </w:instrText>
            </w:r>
            <w:r w:rsidR="000C5AE4">
              <w:rPr>
                <w:noProof/>
                <w:webHidden/>
              </w:rPr>
            </w:r>
            <w:r w:rsidR="000C5AE4">
              <w:rPr>
                <w:noProof/>
                <w:webHidden/>
              </w:rPr>
              <w:fldChar w:fldCharType="separate"/>
            </w:r>
            <w:r w:rsidR="000C5AE4">
              <w:rPr>
                <w:noProof/>
                <w:webHidden/>
              </w:rPr>
              <w:t>116</w:t>
            </w:r>
            <w:r w:rsidR="000C5AE4">
              <w:rPr>
                <w:noProof/>
                <w:webHidden/>
              </w:rPr>
              <w:fldChar w:fldCharType="end"/>
            </w:r>
          </w:hyperlink>
        </w:p>
        <w:p w:rsidR="000C5AE4" w:rsidRDefault="003926AA">
          <w:pPr>
            <w:pStyle w:val="TOC3"/>
            <w:rPr>
              <w:rFonts w:asciiTheme="minorHAnsi" w:eastAsiaTheme="minorEastAsia" w:hAnsiTheme="minorHAnsi" w:cstheme="minorBidi"/>
              <w:noProof/>
              <w:lang w:eastAsia="en-AU"/>
            </w:rPr>
          </w:pPr>
          <w:hyperlink w:anchor="_Toc464545032" w:history="1">
            <w:r w:rsidR="000C5AE4" w:rsidRPr="003F1C19">
              <w:rPr>
                <w:rStyle w:val="Hyperlink"/>
                <w:noProof/>
              </w:rPr>
              <w:t>Outcome</w:t>
            </w:r>
            <w:r w:rsidR="000C5AE4">
              <w:rPr>
                <w:noProof/>
                <w:webHidden/>
              </w:rPr>
              <w:tab/>
            </w:r>
            <w:r w:rsidR="000C5AE4">
              <w:rPr>
                <w:noProof/>
                <w:webHidden/>
              </w:rPr>
              <w:fldChar w:fldCharType="begin"/>
            </w:r>
            <w:r w:rsidR="000C5AE4">
              <w:rPr>
                <w:noProof/>
                <w:webHidden/>
              </w:rPr>
              <w:instrText xml:space="preserve"> PAGEREF _Toc464545032 \h </w:instrText>
            </w:r>
            <w:r w:rsidR="000C5AE4">
              <w:rPr>
                <w:noProof/>
                <w:webHidden/>
              </w:rPr>
            </w:r>
            <w:r w:rsidR="000C5AE4">
              <w:rPr>
                <w:noProof/>
                <w:webHidden/>
              </w:rPr>
              <w:fldChar w:fldCharType="separate"/>
            </w:r>
            <w:r w:rsidR="000C5AE4">
              <w:rPr>
                <w:noProof/>
                <w:webHidden/>
              </w:rPr>
              <w:t>128</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33" w:history="1">
            <w:r w:rsidR="000C5AE4" w:rsidRPr="003F1C19">
              <w:rPr>
                <w:rStyle w:val="Hyperlink"/>
                <w:noProof/>
              </w:rPr>
              <w:t>Attachment 1. Product Information</w:t>
            </w:r>
            <w:r w:rsidR="000C5AE4">
              <w:rPr>
                <w:noProof/>
                <w:webHidden/>
              </w:rPr>
              <w:tab/>
            </w:r>
            <w:r w:rsidR="000C5AE4">
              <w:rPr>
                <w:noProof/>
                <w:webHidden/>
              </w:rPr>
              <w:fldChar w:fldCharType="begin"/>
            </w:r>
            <w:r w:rsidR="000C5AE4">
              <w:rPr>
                <w:noProof/>
                <w:webHidden/>
              </w:rPr>
              <w:instrText xml:space="preserve"> PAGEREF _Toc464545033 \h </w:instrText>
            </w:r>
            <w:r w:rsidR="000C5AE4">
              <w:rPr>
                <w:noProof/>
                <w:webHidden/>
              </w:rPr>
            </w:r>
            <w:r w:rsidR="000C5AE4">
              <w:rPr>
                <w:noProof/>
                <w:webHidden/>
              </w:rPr>
              <w:fldChar w:fldCharType="separate"/>
            </w:r>
            <w:r w:rsidR="000C5AE4">
              <w:rPr>
                <w:noProof/>
                <w:webHidden/>
              </w:rPr>
              <w:t>128</w:t>
            </w:r>
            <w:r w:rsidR="000C5AE4">
              <w:rPr>
                <w:noProof/>
                <w:webHidden/>
              </w:rPr>
              <w:fldChar w:fldCharType="end"/>
            </w:r>
          </w:hyperlink>
        </w:p>
        <w:p w:rsidR="000C5AE4" w:rsidRDefault="003926AA">
          <w:pPr>
            <w:pStyle w:val="TOC2"/>
            <w:rPr>
              <w:rFonts w:asciiTheme="minorHAnsi" w:eastAsiaTheme="minorEastAsia" w:hAnsiTheme="minorHAnsi" w:cstheme="minorBidi"/>
              <w:b w:val="0"/>
              <w:noProof/>
              <w:sz w:val="22"/>
              <w:lang w:eastAsia="en-AU"/>
            </w:rPr>
          </w:pPr>
          <w:hyperlink w:anchor="_Toc464545034" w:history="1">
            <w:r w:rsidR="000C5AE4" w:rsidRPr="003F1C19">
              <w:rPr>
                <w:rStyle w:val="Hyperlink"/>
                <w:noProof/>
                <w:lang w:eastAsia="en-AU"/>
              </w:rPr>
              <w:t>Attachment 2. Extract from the Clinical Evaluation Report</w:t>
            </w:r>
            <w:r w:rsidR="000C5AE4">
              <w:rPr>
                <w:noProof/>
                <w:webHidden/>
              </w:rPr>
              <w:tab/>
            </w:r>
            <w:r w:rsidR="000C5AE4">
              <w:rPr>
                <w:noProof/>
                <w:webHidden/>
              </w:rPr>
              <w:fldChar w:fldCharType="begin"/>
            </w:r>
            <w:r w:rsidR="000C5AE4">
              <w:rPr>
                <w:noProof/>
                <w:webHidden/>
              </w:rPr>
              <w:instrText xml:space="preserve"> PAGEREF _Toc464545034 \h </w:instrText>
            </w:r>
            <w:r w:rsidR="000C5AE4">
              <w:rPr>
                <w:noProof/>
                <w:webHidden/>
              </w:rPr>
            </w:r>
            <w:r w:rsidR="000C5AE4">
              <w:rPr>
                <w:noProof/>
                <w:webHidden/>
              </w:rPr>
              <w:fldChar w:fldCharType="separate"/>
            </w:r>
            <w:r w:rsidR="000C5AE4">
              <w:rPr>
                <w:noProof/>
                <w:webHidden/>
              </w:rPr>
              <w:t>128</w:t>
            </w:r>
            <w:r w:rsidR="000C5AE4">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64544993"/>
      <w:r>
        <w:lastRenderedPageBreak/>
        <w:t>Common</w:t>
      </w:r>
      <w:r w:rsidR="00FD119B" w:rsidRPr="00FD119B">
        <w:t xml:space="preserve"> abbreviations</w:t>
      </w:r>
      <w:bookmarkEnd w:id="4"/>
      <w:bookmarkEnd w:id="5"/>
      <w:bookmarkEnd w:id="6"/>
      <w:bookmarkEnd w:id="7"/>
      <w:bookmarkEnd w:id="8"/>
    </w:p>
    <w:tbl>
      <w:tblPr>
        <w:tblStyle w:val="TableTGAblue"/>
        <w:tblW w:w="8801" w:type="dxa"/>
        <w:tblLook w:val="04A0" w:firstRow="1" w:lastRow="0" w:firstColumn="1" w:lastColumn="0" w:noHBand="0" w:noVBand="1"/>
      </w:tblPr>
      <w:tblGrid>
        <w:gridCol w:w="1890"/>
        <w:gridCol w:w="6911"/>
      </w:tblGrid>
      <w:tr w:rsidR="00777C71" w:rsidTr="00777C71">
        <w:trPr>
          <w:cnfStyle w:val="100000000000" w:firstRow="1" w:lastRow="0" w:firstColumn="0" w:lastColumn="0" w:oddVBand="0" w:evenVBand="0" w:oddHBand="0" w:evenHBand="0" w:firstRowFirstColumn="0" w:firstRowLastColumn="0" w:lastRowFirstColumn="0" w:lastRowLastColumn="0"/>
        </w:trPr>
        <w:tc>
          <w:tcPr>
            <w:tcW w:w="1890" w:type="dxa"/>
          </w:tcPr>
          <w:p w:rsidR="00777C71" w:rsidRDefault="00777C71" w:rsidP="00777C71">
            <w:r>
              <w:t>Abbreviation</w:t>
            </w:r>
          </w:p>
        </w:tc>
        <w:tc>
          <w:tcPr>
            <w:tcW w:w="6911" w:type="dxa"/>
          </w:tcPr>
          <w:p w:rsidR="00777C71" w:rsidRDefault="00777C71" w:rsidP="00777C71">
            <w:r>
              <w:t>Meaning</w:t>
            </w:r>
          </w:p>
        </w:tc>
      </w:tr>
      <w:tr w:rsidR="00F236AD" w:rsidTr="00777C71">
        <w:tc>
          <w:tcPr>
            <w:tcW w:w="1890" w:type="dxa"/>
            <w:vAlign w:val="center"/>
          </w:tcPr>
          <w:p w:rsidR="00F236AD" w:rsidRPr="00F236AD" w:rsidRDefault="00F236AD" w:rsidP="00777C71">
            <w:r>
              <w:t>ACPM</w:t>
            </w:r>
          </w:p>
        </w:tc>
        <w:tc>
          <w:tcPr>
            <w:tcW w:w="6911" w:type="dxa"/>
            <w:vAlign w:val="center"/>
          </w:tcPr>
          <w:p w:rsidR="00F236AD" w:rsidRDefault="00F236AD" w:rsidP="001958CB">
            <w:r>
              <w:t>Advisory Committee for Prescription Medicines</w:t>
            </w:r>
          </w:p>
        </w:tc>
      </w:tr>
      <w:tr w:rsidR="00095811" w:rsidTr="00777C71">
        <w:tc>
          <w:tcPr>
            <w:tcW w:w="1890" w:type="dxa"/>
            <w:vAlign w:val="center"/>
          </w:tcPr>
          <w:p w:rsidR="00095811" w:rsidRPr="00F236AD" w:rsidRDefault="00095811" w:rsidP="00777C71">
            <w:pPr>
              <w:rPr>
                <w:szCs w:val="22"/>
              </w:rPr>
            </w:pPr>
            <w:r w:rsidRPr="00F236AD">
              <w:rPr>
                <w:szCs w:val="22"/>
              </w:rPr>
              <w:t>ACSOM</w:t>
            </w:r>
          </w:p>
        </w:tc>
        <w:tc>
          <w:tcPr>
            <w:tcW w:w="6911" w:type="dxa"/>
            <w:vAlign w:val="center"/>
          </w:tcPr>
          <w:p w:rsidR="00095811" w:rsidRDefault="00095811" w:rsidP="001958CB">
            <w:r>
              <w:t>Advisory Committee for the Safety of Medicines</w:t>
            </w:r>
          </w:p>
        </w:tc>
      </w:tr>
      <w:tr w:rsidR="001958CB" w:rsidTr="00777C71">
        <w:tc>
          <w:tcPr>
            <w:tcW w:w="1890" w:type="dxa"/>
            <w:vAlign w:val="center"/>
          </w:tcPr>
          <w:p w:rsidR="001958CB" w:rsidRPr="00892D30" w:rsidRDefault="001958CB" w:rsidP="00777C71">
            <w:r w:rsidRPr="00146F09">
              <w:t>ADA</w:t>
            </w:r>
          </w:p>
        </w:tc>
        <w:tc>
          <w:tcPr>
            <w:tcW w:w="6911" w:type="dxa"/>
            <w:vAlign w:val="center"/>
          </w:tcPr>
          <w:p w:rsidR="001958CB" w:rsidRPr="00892D30" w:rsidRDefault="001958CB" w:rsidP="001958CB">
            <w:r>
              <w:t>anti-drug antibodies</w:t>
            </w:r>
          </w:p>
        </w:tc>
      </w:tr>
      <w:tr w:rsidR="00777C71" w:rsidTr="00777C71">
        <w:tc>
          <w:tcPr>
            <w:tcW w:w="1890" w:type="dxa"/>
            <w:vAlign w:val="center"/>
          </w:tcPr>
          <w:p w:rsidR="00777C71" w:rsidRPr="00892D30" w:rsidRDefault="00777C71" w:rsidP="00777C71">
            <w:r w:rsidRPr="00892D30">
              <w:t>AE</w:t>
            </w:r>
          </w:p>
        </w:tc>
        <w:tc>
          <w:tcPr>
            <w:tcW w:w="6911" w:type="dxa"/>
            <w:vAlign w:val="center"/>
          </w:tcPr>
          <w:p w:rsidR="00777C71" w:rsidRPr="00892D30" w:rsidRDefault="00777C71" w:rsidP="00777C71">
            <w:r w:rsidRPr="00892D30">
              <w:t>Adverse Event</w:t>
            </w:r>
          </w:p>
        </w:tc>
      </w:tr>
      <w:tr w:rsidR="00777C71" w:rsidTr="00777C71">
        <w:tc>
          <w:tcPr>
            <w:tcW w:w="1890" w:type="dxa"/>
            <w:vAlign w:val="center"/>
          </w:tcPr>
          <w:p w:rsidR="00777C71" w:rsidRPr="00892D30" w:rsidRDefault="00777C71" w:rsidP="00777C71">
            <w:r w:rsidRPr="00892D30">
              <w:t>AEOSI</w:t>
            </w:r>
          </w:p>
        </w:tc>
        <w:tc>
          <w:tcPr>
            <w:tcW w:w="6911" w:type="dxa"/>
            <w:vAlign w:val="center"/>
          </w:tcPr>
          <w:p w:rsidR="00777C71" w:rsidRPr="00892D30" w:rsidRDefault="00777C71" w:rsidP="00777C71">
            <w:r w:rsidRPr="00892D30">
              <w:t>Adverse event of special interest</w:t>
            </w:r>
          </w:p>
        </w:tc>
      </w:tr>
      <w:tr w:rsidR="00777C71" w:rsidTr="00777C71">
        <w:tc>
          <w:tcPr>
            <w:tcW w:w="1890" w:type="dxa"/>
            <w:vAlign w:val="center"/>
          </w:tcPr>
          <w:p w:rsidR="00777C71" w:rsidRPr="00892D30" w:rsidRDefault="00777C71" w:rsidP="00777C71">
            <w:r w:rsidRPr="00892D30">
              <w:t>ALT</w:t>
            </w:r>
          </w:p>
        </w:tc>
        <w:tc>
          <w:tcPr>
            <w:tcW w:w="6911" w:type="dxa"/>
            <w:vAlign w:val="center"/>
          </w:tcPr>
          <w:p w:rsidR="00777C71" w:rsidRPr="00892D30" w:rsidRDefault="00777C71" w:rsidP="00777C71">
            <w:r w:rsidRPr="00892D30">
              <w:t>Alanine Transaminase</w:t>
            </w:r>
          </w:p>
        </w:tc>
      </w:tr>
      <w:tr w:rsidR="00777C71" w:rsidTr="00777C71">
        <w:tc>
          <w:tcPr>
            <w:tcW w:w="1890" w:type="dxa"/>
            <w:vAlign w:val="center"/>
          </w:tcPr>
          <w:p w:rsidR="00777C71" w:rsidRPr="00892D30" w:rsidRDefault="00777C71" w:rsidP="00777C71">
            <w:proofErr w:type="spellStart"/>
            <w:r w:rsidRPr="00892D30">
              <w:t>APaT</w:t>
            </w:r>
            <w:proofErr w:type="spellEnd"/>
          </w:p>
        </w:tc>
        <w:tc>
          <w:tcPr>
            <w:tcW w:w="6911" w:type="dxa"/>
            <w:vAlign w:val="center"/>
          </w:tcPr>
          <w:p w:rsidR="00777C71" w:rsidRPr="00892D30" w:rsidRDefault="00777C71" w:rsidP="00777C71">
            <w:r w:rsidRPr="00892D30">
              <w:t>All patients as treated</w:t>
            </w:r>
          </w:p>
        </w:tc>
      </w:tr>
      <w:tr w:rsidR="00777C71" w:rsidTr="00777C71">
        <w:tc>
          <w:tcPr>
            <w:tcW w:w="1890" w:type="dxa"/>
            <w:vAlign w:val="center"/>
          </w:tcPr>
          <w:p w:rsidR="00777C71" w:rsidRPr="00892D30" w:rsidRDefault="00777C71" w:rsidP="00777C71">
            <w:r w:rsidRPr="00892D30">
              <w:t>ARTG</w:t>
            </w:r>
          </w:p>
        </w:tc>
        <w:tc>
          <w:tcPr>
            <w:tcW w:w="6911" w:type="dxa"/>
            <w:vAlign w:val="center"/>
          </w:tcPr>
          <w:p w:rsidR="00777C71" w:rsidRPr="00892D30" w:rsidRDefault="00777C71" w:rsidP="00777C71">
            <w:r w:rsidRPr="00892D30">
              <w:t>Australian Register of Therapeutic Goods</w:t>
            </w:r>
          </w:p>
        </w:tc>
      </w:tr>
      <w:tr w:rsidR="000B5D4F" w:rsidTr="00777C71">
        <w:tc>
          <w:tcPr>
            <w:tcW w:w="1890" w:type="dxa"/>
            <w:vAlign w:val="center"/>
          </w:tcPr>
          <w:p w:rsidR="000B5D4F" w:rsidRPr="00892D30" w:rsidRDefault="000B5D4F" w:rsidP="00777C71">
            <w:r w:rsidRPr="00D453FA">
              <w:t>ASA</w:t>
            </w:r>
          </w:p>
        </w:tc>
        <w:tc>
          <w:tcPr>
            <w:tcW w:w="6911" w:type="dxa"/>
            <w:vAlign w:val="center"/>
          </w:tcPr>
          <w:p w:rsidR="000B5D4F" w:rsidRPr="00892D30" w:rsidRDefault="000B5D4F" w:rsidP="000B5D4F">
            <w:r>
              <w:t>Australian Specific Annex (of the RMP)</w:t>
            </w:r>
          </w:p>
        </w:tc>
      </w:tr>
      <w:tr w:rsidR="00777C71" w:rsidTr="00777C71">
        <w:tc>
          <w:tcPr>
            <w:tcW w:w="1890" w:type="dxa"/>
            <w:vAlign w:val="center"/>
          </w:tcPr>
          <w:p w:rsidR="00777C71" w:rsidRPr="00892D30" w:rsidRDefault="00777C71" w:rsidP="00777C71">
            <w:r w:rsidRPr="00892D30">
              <w:t>AST</w:t>
            </w:r>
          </w:p>
        </w:tc>
        <w:tc>
          <w:tcPr>
            <w:tcW w:w="6911" w:type="dxa"/>
            <w:vAlign w:val="center"/>
          </w:tcPr>
          <w:p w:rsidR="00777C71" w:rsidRPr="00892D30" w:rsidRDefault="00777C71" w:rsidP="00777C71">
            <w:r w:rsidRPr="00892D30">
              <w:t>Aspartate Transaminase</w:t>
            </w:r>
          </w:p>
        </w:tc>
      </w:tr>
      <w:tr w:rsidR="00777C71" w:rsidTr="00777C71">
        <w:tc>
          <w:tcPr>
            <w:tcW w:w="1890" w:type="dxa"/>
            <w:vAlign w:val="center"/>
          </w:tcPr>
          <w:p w:rsidR="00777C71" w:rsidRPr="00892D30" w:rsidRDefault="00777C71" w:rsidP="00777C71">
            <w:r w:rsidRPr="00892D30">
              <w:t>AUC</w:t>
            </w:r>
          </w:p>
        </w:tc>
        <w:tc>
          <w:tcPr>
            <w:tcW w:w="6911" w:type="dxa"/>
            <w:vAlign w:val="center"/>
          </w:tcPr>
          <w:p w:rsidR="00777C71" w:rsidRPr="00892D30" w:rsidRDefault="00777C71" w:rsidP="00777C71">
            <w:r w:rsidRPr="00892D30">
              <w:t>Area under the curve</w:t>
            </w:r>
          </w:p>
        </w:tc>
      </w:tr>
      <w:tr w:rsidR="00F236AD" w:rsidTr="00777C71">
        <w:tc>
          <w:tcPr>
            <w:tcW w:w="1890" w:type="dxa"/>
            <w:vAlign w:val="center"/>
          </w:tcPr>
          <w:p w:rsidR="00F236AD" w:rsidRPr="00892D30" w:rsidRDefault="00F236AD" w:rsidP="00777C71">
            <w:proofErr w:type="spellStart"/>
            <w:r>
              <w:t>AUS</w:t>
            </w:r>
            <w:r w:rsidRPr="00F236AD">
              <w:rPr>
                <w:vertAlign w:val="subscript"/>
              </w:rPr>
              <w:t>ss</w:t>
            </w:r>
            <w:proofErr w:type="spellEnd"/>
          </w:p>
        </w:tc>
        <w:tc>
          <w:tcPr>
            <w:tcW w:w="6911" w:type="dxa"/>
            <w:vAlign w:val="center"/>
          </w:tcPr>
          <w:p w:rsidR="00F236AD" w:rsidRPr="00892D30" w:rsidRDefault="00F236AD" w:rsidP="00777C71">
            <w:r w:rsidRPr="00892D30">
              <w:t>Area under the curve</w:t>
            </w:r>
            <w:r>
              <w:t xml:space="preserve"> at steady state</w:t>
            </w:r>
          </w:p>
        </w:tc>
      </w:tr>
      <w:tr w:rsidR="007B720C" w:rsidTr="00777C71">
        <w:tc>
          <w:tcPr>
            <w:tcW w:w="1890" w:type="dxa"/>
            <w:vAlign w:val="center"/>
          </w:tcPr>
          <w:p w:rsidR="007B720C" w:rsidRDefault="007B720C" w:rsidP="00777C71">
            <w:r w:rsidRPr="00555B76">
              <w:t>BTLA</w:t>
            </w:r>
          </w:p>
        </w:tc>
        <w:tc>
          <w:tcPr>
            <w:tcW w:w="6911" w:type="dxa"/>
            <w:vAlign w:val="center"/>
          </w:tcPr>
          <w:p w:rsidR="007B720C" w:rsidRPr="00892D30" w:rsidRDefault="00555B76" w:rsidP="00777C71">
            <w:r>
              <w:t>B and T lymphocyte attenuator</w:t>
            </w:r>
          </w:p>
        </w:tc>
      </w:tr>
      <w:tr w:rsidR="00C21724" w:rsidTr="00777C71">
        <w:tc>
          <w:tcPr>
            <w:tcW w:w="1890" w:type="dxa"/>
            <w:vAlign w:val="center"/>
          </w:tcPr>
          <w:p w:rsidR="00C21724" w:rsidRPr="00892D30" w:rsidRDefault="00C21724" w:rsidP="00777C71">
            <w:r w:rsidRPr="00C64A78">
              <w:t>C1q</w:t>
            </w:r>
          </w:p>
        </w:tc>
        <w:tc>
          <w:tcPr>
            <w:tcW w:w="6911" w:type="dxa"/>
            <w:vAlign w:val="center"/>
          </w:tcPr>
          <w:p w:rsidR="00C21724" w:rsidRPr="00892D30" w:rsidRDefault="00DC6A0D" w:rsidP="00777C71">
            <w:r>
              <w:t>the first subcomponent of the C1 complex of the classical pathway of complement activation</w:t>
            </w:r>
          </w:p>
        </w:tc>
      </w:tr>
      <w:tr w:rsidR="00777C71" w:rsidTr="00777C71">
        <w:tc>
          <w:tcPr>
            <w:tcW w:w="1890" w:type="dxa"/>
            <w:vAlign w:val="center"/>
          </w:tcPr>
          <w:p w:rsidR="00777C71" w:rsidRPr="00892D30" w:rsidRDefault="00777C71" w:rsidP="00777C71">
            <w:r>
              <w:t>CI</w:t>
            </w:r>
          </w:p>
        </w:tc>
        <w:tc>
          <w:tcPr>
            <w:tcW w:w="6911" w:type="dxa"/>
            <w:vAlign w:val="center"/>
          </w:tcPr>
          <w:p w:rsidR="00777C71" w:rsidRPr="00892D30" w:rsidRDefault="00777C71" w:rsidP="00777C71">
            <w:r w:rsidRPr="00892D30">
              <w:t>Confidence interval</w:t>
            </w:r>
          </w:p>
        </w:tc>
      </w:tr>
      <w:tr w:rsidR="00777C71" w:rsidTr="00777C71">
        <w:tc>
          <w:tcPr>
            <w:tcW w:w="1890" w:type="dxa"/>
            <w:vAlign w:val="center"/>
          </w:tcPr>
          <w:p w:rsidR="00777C71" w:rsidRPr="00892D30" w:rsidRDefault="00777C71" w:rsidP="00777C71">
            <w:proofErr w:type="spellStart"/>
            <w:r w:rsidRPr="004F33BA">
              <w:t>C</w:t>
            </w:r>
            <w:r w:rsidRPr="008F35E1">
              <w:rPr>
                <w:vertAlign w:val="subscript"/>
              </w:rPr>
              <w:t>max</w:t>
            </w:r>
            <w:proofErr w:type="spellEnd"/>
          </w:p>
        </w:tc>
        <w:tc>
          <w:tcPr>
            <w:tcW w:w="6911" w:type="dxa"/>
            <w:vAlign w:val="center"/>
          </w:tcPr>
          <w:p w:rsidR="00777C71" w:rsidRPr="00892D30" w:rsidRDefault="00777C71" w:rsidP="00777C71">
            <w:r w:rsidRPr="00892D30">
              <w:t>Maximum concentration</w:t>
            </w:r>
          </w:p>
        </w:tc>
      </w:tr>
      <w:tr w:rsidR="00777C71" w:rsidTr="00777C71">
        <w:tc>
          <w:tcPr>
            <w:tcW w:w="1890" w:type="dxa"/>
            <w:vAlign w:val="center"/>
          </w:tcPr>
          <w:p w:rsidR="00777C71" w:rsidRPr="00892D30" w:rsidRDefault="00777C71" w:rsidP="00777C71">
            <w:r w:rsidRPr="00892D30">
              <w:t>CMI</w:t>
            </w:r>
          </w:p>
        </w:tc>
        <w:tc>
          <w:tcPr>
            <w:tcW w:w="6911" w:type="dxa"/>
            <w:vAlign w:val="center"/>
          </w:tcPr>
          <w:p w:rsidR="00777C71" w:rsidRPr="00892D30" w:rsidRDefault="00777C71" w:rsidP="00777C71">
            <w:r w:rsidRPr="00892D30">
              <w:t>Consumer Medicines Information</w:t>
            </w:r>
          </w:p>
        </w:tc>
      </w:tr>
      <w:tr w:rsidR="001A622E" w:rsidTr="00777C71">
        <w:tc>
          <w:tcPr>
            <w:tcW w:w="1890" w:type="dxa"/>
            <w:vAlign w:val="center"/>
          </w:tcPr>
          <w:p w:rsidR="001A622E" w:rsidRPr="00892D30" w:rsidRDefault="001A622E" w:rsidP="00777C71">
            <w:r w:rsidRPr="00C3330B">
              <w:t>CNS</w:t>
            </w:r>
          </w:p>
        </w:tc>
        <w:tc>
          <w:tcPr>
            <w:tcW w:w="6911" w:type="dxa"/>
            <w:vAlign w:val="center"/>
          </w:tcPr>
          <w:p w:rsidR="001A622E" w:rsidRPr="00892D30" w:rsidRDefault="001A622E" w:rsidP="00777C71">
            <w:r>
              <w:t>Central nervous system</w:t>
            </w:r>
          </w:p>
        </w:tc>
      </w:tr>
      <w:tr w:rsidR="00777C71" w:rsidTr="00777C71">
        <w:tc>
          <w:tcPr>
            <w:tcW w:w="1890" w:type="dxa"/>
            <w:vAlign w:val="center"/>
          </w:tcPr>
          <w:p w:rsidR="00777C71" w:rsidRPr="00892D30" w:rsidRDefault="00777C71" w:rsidP="00777C71">
            <w:r w:rsidRPr="00892D30">
              <w:t>CR</w:t>
            </w:r>
          </w:p>
        </w:tc>
        <w:tc>
          <w:tcPr>
            <w:tcW w:w="6911" w:type="dxa"/>
            <w:vAlign w:val="center"/>
          </w:tcPr>
          <w:p w:rsidR="00777C71" w:rsidRPr="00892D30" w:rsidRDefault="00777C71" w:rsidP="00777C71">
            <w:r w:rsidRPr="00892D30">
              <w:t>Complete Response</w:t>
            </w:r>
          </w:p>
        </w:tc>
      </w:tr>
      <w:tr w:rsidR="00881CA7" w:rsidTr="00777C71">
        <w:tc>
          <w:tcPr>
            <w:tcW w:w="1890" w:type="dxa"/>
            <w:vAlign w:val="center"/>
          </w:tcPr>
          <w:p w:rsidR="00881CA7" w:rsidRPr="00892D30" w:rsidRDefault="00881CA7" w:rsidP="00777C71">
            <w:r>
              <w:t>CSR</w:t>
            </w:r>
          </w:p>
        </w:tc>
        <w:tc>
          <w:tcPr>
            <w:tcW w:w="6911" w:type="dxa"/>
            <w:vAlign w:val="center"/>
          </w:tcPr>
          <w:p w:rsidR="00881CA7" w:rsidRPr="00892D30" w:rsidRDefault="00881CA7" w:rsidP="00777C71">
            <w:r>
              <w:t>Clinical Study Report</w:t>
            </w:r>
          </w:p>
        </w:tc>
      </w:tr>
      <w:tr w:rsidR="00777C71" w:rsidTr="00777C71">
        <w:tc>
          <w:tcPr>
            <w:tcW w:w="1890" w:type="dxa"/>
            <w:vAlign w:val="center"/>
          </w:tcPr>
          <w:p w:rsidR="00777C71" w:rsidRPr="00892D30" w:rsidRDefault="00777C71" w:rsidP="00777C71">
            <w:r w:rsidRPr="00892D30">
              <w:t>CT</w:t>
            </w:r>
          </w:p>
        </w:tc>
        <w:tc>
          <w:tcPr>
            <w:tcW w:w="6911" w:type="dxa"/>
            <w:vAlign w:val="center"/>
          </w:tcPr>
          <w:p w:rsidR="00777C71" w:rsidRPr="00892D30" w:rsidRDefault="00777C71" w:rsidP="00777C71">
            <w:r w:rsidRPr="00892D30">
              <w:t>X-Ray Computed Tomography</w:t>
            </w:r>
          </w:p>
        </w:tc>
      </w:tr>
      <w:tr w:rsidR="00C1422A" w:rsidTr="00777C71">
        <w:tc>
          <w:tcPr>
            <w:tcW w:w="1890" w:type="dxa"/>
            <w:vAlign w:val="center"/>
          </w:tcPr>
          <w:p w:rsidR="00C1422A" w:rsidRPr="00892D30" w:rsidRDefault="00C1422A" w:rsidP="00777C71">
            <w:r w:rsidRPr="00100E03">
              <w:t>CTLA-4</w:t>
            </w:r>
          </w:p>
        </w:tc>
        <w:tc>
          <w:tcPr>
            <w:tcW w:w="6911" w:type="dxa"/>
            <w:vAlign w:val="center"/>
          </w:tcPr>
          <w:p w:rsidR="00C1422A" w:rsidRPr="0061009C" w:rsidRDefault="0061009C" w:rsidP="0061009C">
            <w:r w:rsidRPr="0061009C">
              <w:t>CTLA4 or CTLA-4, also known as CD152, is a protein receptor that, functioning as an immune checkpoint, down</w:t>
            </w:r>
            <w:r>
              <w:t xml:space="preserve"> </w:t>
            </w:r>
            <w:r w:rsidRPr="0061009C">
              <w:t xml:space="preserve">regulates immune responses. CTLA4 is constitutively expressed in </w:t>
            </w:r>
            <w:proofErr w:type="spellStart"/>
            <w:r w:rsidRPr="0061009C">
              <w:t>Tregs</w:t>
            </w:r>
            <w:proofErr w:type="spellEnd"/>
            <w:r w:rsidRPr="0061009C">
              <w:t xml:space="preserve"> but only up</w:t>
            </w:r>
            <w:r>
              <w:t xml:space="preserve"> </w:t>
            </w:r>
            <w:r w:rsidRPr="0061009C">
              <w:t>regulated in conventional T cells after activation</w:t>
            </w:r>
          </w:p>
        </w:tc>
      </w:tr>
      <w:tr w:rsidR="00777C71" w:rsidTr="00777C71">
        <w:tc>
          <w:tcPr>
            <w:tcW w:w="1890" w:type="dxa"/>
            <w:vAlign w:val="center"/>
          </w:tcPr>
          <w:p w:rsidR="00777C71" w:rsidRPr="00892D30" w:rsidRDefault="00777C71" w:rsidP="00777C71">
            <w:proofErr w:type="spellStart"/>
            <w:r w:rsidRPr="00892D30">
              <w:t>DoR</w:t>
            </w:r>
            <w:proofErr w:type="spellEnd"/>
          </w:p>
        </w:tc>
        <w:tc>
          <w:tcPr>
            <w:tcW w:w="6911" w:type="dxa"/>
            <w:vAlign w:val="center"/>
          </w:tcPr>
          <w:p w:rsidR="00777C71" w:rsidRPr="00892D30" w:rsidRDefault="00777C71" w:rsidP="00777C71">
            <w:r w:rsidRPr="00892D30">
              <w:t>Duration of Response</w:t>
            </w:r>
          </w:p>
        </w:tc>
      </w:tr>
      <w:tr w:rsidR="00703C92" w:rsidTr="00777C71">
        <w:tc>
          <w:tcPr>
            <w:tcW w:w="1890" w:type="dxa"/>
            <w:vAlign w:val="center"/>
          </w:tcPr>
          <w:p w:rsidR="00703C92" w:rsidRPr="00892D30" w:rsidRDefault="00703C92" w:rsidP="00777C71">
            <w:r>
              <w:lastRenderedPageBreak/>
              <w:t>ECOG</w:t>
            </w:r>
          </w:p>
        </w:tc>
        <w:tc>
          <w:tcPr>
            <w:tcW w:w="6911" w:type="dxa"/>
            <w:vAlign w:val="center"/>
          </w:tcPr>
          <w:p w:rsidR="00703C92" w:rsidRPr="001A622E" w:rsidRDefault="001A622E" w:rsidP="001A622E">
            <w:r w:rsidRPr="001A622E">
              <w:t>Eastern Cooperative Oncology Group</w:t>
            </w:r>
            <w:r>
              <w:t xml:space="preserve"> (performance status)</w:t>
            </w:r>
          </w:p>
        </w:tc>
      </w:tr>
      <w:tr w:rsidR="00777C71" w:rsidTr="00777C71">
        <w:tc>
          <w:tcPr>
            <w:tcW w:w="1890" w:type="dxa"/>
            <w:vAlign w:val="center"/>
          </w:tcPr>
          <w:p w:rsidR="00777C71" w:rsidRPr="00892D30" w:rsidRDefault="00777C71" w:rsidP="00777C71">
            <w:r w:rsidRPr="00892D30">
              <w:t>EMA</w:t>
            </w:r>
          </w:p>
        </w:tc>
        <w:tc>
          <w:tcPr>
            <w:tcW w:w="6911" w:type="dxa"/>
            <w:vAlign w:val="center"/>
          </w:tcPr>
          <w:p w:rsidR="00777C71" w:rsidRPr="00892D30" w:rsidRDefault="00777C71" w:rsidP="00777C71">
            <w:r w:rsidRPr="00892D30">
              <w:t>European Medicines Agency</w:t>
            </w:r>
          </w:p>
        </w:tc>
      </w:tr>
      <w:tr w:rsidR="00095811" w:rsidTr="00777C71">
        <w:tc>
          <w:tcPr>
            <w:tcW w:w="1890" w:type="dxa"/>
            <w:vAlign w:val="center"/>
          </w:tcPr>
          <w:p w:rsidR="00095811" w:rsidRPr="00892D30" w:rsidRDefault="00095811" w:rsidP="00777C71">
            <w:r w:rsidRPr="00320007">
              <w:t>FAQ</w:t>
            </w:r>
          </w:p>
        </w:tc>
        <w:tc>
          <w:tcPr>
            <w:tcW w:w="6911" w:type="dxa"/>
            <w:vAlign w:val="center"/>
          </w:tcPr>
          <w:p w:rsidR="00095811" w:rsidRPr="00892D30" w:rsidRDefault="00095811" w:rsidP="00777C71">
            <w:r>
              <w:t>Frequently asked questions</w:t>
            </w:r>
          </w:p>
        </w:tc>
      </w:tr>
      <w:tr w:rsidR="00777C71" w:rsidTr="00777C71">
        <w:tc>
          <w:tcPr>
            <w:tcW w:w="1890" w:type="dxa"/>
            <w:vAlign w:val="center"/>
          </w:tcPr>
          <w:p w:rsidR="00777C71" w:rsidRPr="00892D30" w:rsidRDefault="00777C71" w:rsidP="00777C71">
            <w:r w:rsidRPr="00892D30">
              <w:t>FAS</w:t>
            </w:r>
          </w:p>
        </w:tc>
        <w:tc>
          <w:tcPr>
            <w:tcW w:w="6911" w:type="dxa"/>
            <w:vAlign w:val="center"/>
          </w:tcPr>
          <w:p w:rsidR="00777C71" w:rsidRPr="00892D30" w:rsidRDefault="00777C71" w:rsidP="00777C71">
            <w:r w:rsidRPr="00892D30">
              <w:t>Full analysis set</w:t>
            </w:r>
          </w:p>
        </w:tc>
      </w:tr>
      <w:tr w:rsidR="00777C71" w:rsidTr="00777C71">
        <w:tc>
          <w:tcPr>
            <w:tcW w:w="1890" w:type="dxa"/>
            <w:vAlign w:val="center"/>
          </w:tcPr>
          <w:p w:rsidR="00777C71" w:rsidRPr="00892D30" w:rsidRDefault="00777C71" w:rsidP="00777C71">
            <w:r w:rsidRPr="00892D30">
              <w:t>FDA</w:t>
            </w:r>
          </w:p>
        </w:tc>
        <w:tc>
          <w:tcPr>
            <w:tcW w:w="6911" w:type="dxa"/>
            <w:vAlign w:val="center"/>
          </w:tcPr>
          <w:p w:rsidR="00777C71" w:rsidRPr="00892D30" w:rsidRDefault="00777C71" w:rsidP="00777C71">
            <w:r w:rsidRPr="00892D30">
              <w:t>Food and Drug Administration</w:t>
            </w:r>
            <w:r w:rsidR="007B720C">
              <w:t xml:space="preserve"> (USA)</w:t>
            </w:r>
          </w:p>
        </w:tc>
      </w:tr>
      <w:tr w:rsidR="00C21724" w:rsidTr="00777C71">
        <w:tc>
          <w:tcPr>
            <w:tcW w:w="1890" w:type="dxa"/>
            <w:vAlign w:val="center"/>
          </w:tcPr>
          <w:p w:rsidR="00C21724" w:rsidRPr="00892D30" w:rsidRDefault="00C21724" w:rsidP="00777C71">
            <w:r w:rsidRPr="00C64A78">
              <w:t>GLP</w:t>
            </w:r>
          </w:p>
        </w:tc>
        <w:tc>
          <w:tcPr>
            <w:tcW w:w="6911" w:type="dxa"/>
            <w:vAlign w:val="center"/>
          </w:tcPr>
          <w:p w:rsidR="00C21724" w:rsidRPr="00892D30" w:rsidRDefault="00C21724" w:rsidP="00C21724">
            <w:r>
              <w:t>good laboratory practice</w:t>
            </w:r>
          </w:p>
        </w:tc>
      </w:tr>
      <w:tr w:rsidR="00741C27" w:rsidTr="00777C71">
        <w:tc>
          <w:tcPr>
            <w:tcW w:w="1890" w:type="dxa"/>
            <w:vAlign w:val="center"/>
          </w:tcPr>
          <w:p w:rsidR="00741C27" w:rsidRPr="00C64A78" w:rsidRDefault="00741C27" w:rsidP="00777C71">
            <w:r w:rsidRPr="00C57D2B">
              <w:t>HBV</w:t>
            </w:r>
          </w:p>
        </w:tc>
        <w:tc>
          <w:tcPr>
            <w:tcW w:w="6911" w:type="dxa"/>
            <w:vAlign w:val="center"/>
          </w:tcPr>
          <w:p w:rsidR="00741C27" w:rsidRDefault="00741C27" w:rsidP="00741C27">
            <w:r>
              <w:t>hepatitis B virus</w:t>
            </w:r>
          </w:p>
        </w:tc>
      </w:tr>
      <w:tr w:rsidR="007B720C" w:rsidTr="00777C71">
        <w:tc>
          <w:tcPr>
            <w:tcW w:w="1890" w:type="dxa"/>
            <w:vAlign w:val="center"/>
          </w:tcPr>
          <w:p w:rsidR="007B720C" w:rsidRPr="00C57D2B" w:rsidRDefault="007B720C" w:rsidP="00777C71">
            <w:r>
              <w:t>HCV</w:t>
            </w:r>
          </w:p>
        </w:tc>
        <w:tc>
          <w:tcPr>
            <w:tcW w:w="6911" w:type="dxa"/>
            <w:vAlign w:val="center"/>
          </w:tcPr>
          <w:p w:rsidR="007B720C" w:rsidRDefault="007B720C" w:rsidP="00741C27">
            <w:r>
              <w:t>hepatitis C virus</w:t>
            </w:r>
          </w:p>
        </w:tc>
      </w:tr>
      <w:tr w:rsidR="00777C71" w:rsidTr="00777C71">
        <w:tc>
          <w:tcPr>
            <w:tcW w:w="1890" w:type="dxa"/>
            <w:vAlign w:val="center"/>
          </w:tcPr>
          <w:p w:rsidR="00777C71" w:rsidRPr="00892D30" w:rsidRDefault="00777C71" w:rsidP="00777C71">
            <w:r w:rsidRPr="00892D30">
              <w:t>ICH</w:t>
            </w:r>
          </w:p>
        </w:tc>
        <w:tc>
          <w:tcPr>
            <w:tcW w:w="6911" w:type="dxa"/>
            <w:vAlign w:val="center"/>
          </w:tcPr>
          <w:p w:rsidR="00777C71" w:rsidRPr="00892D30" w:rsidRDefault="00777C71" w:rsidP="00777C71">
            <w:r w:rsidRPr="00892D30">
              <w:t>International Conference on Harmonisation</w:t>
            </w:r>
          </w:p>
        </w:tc>
      </w:tr>
      <w:tr w:rsidR="00B85B18" w:rsidTr="00777C71">
        <w:tc>
          <w:tcPr>
            <w:tcW w:w="1890" w:type="dxa"/>
            <w:vAlign w:val="center"/>
          </w:tcPr>
          <w:p w:rsidR="00B85B18" w:rsidRPr="00892D30" w:rsidRDefault="00B85B18" w:rsidP="00777C71">
            <w:r w:rsidRPr="00D643D4">
              <w:t>ICOS</w:t>
            </w:r>
          </w:p>
        </w:tc>
        <w:tc>
          <w:tcPr>
            <w:tcW w:w="6911" w:type="dxa"/>
            <w:vAlign w:val="center"/>
          </w:tcPr>
          <w:p w:rsidR="00B85B18" w:rsidRPr="00892D30" w:rsidRDefault="007B720C" w:rsidP="00777C71">
            <w:r>
              <w:t>Inducible costimulatory molecule</w:t>
            </w:r>
          </w:p>
        </w:tc>
      </w:tr>
      <w:tr w:rsidR="00C21724" w:rsidTr="00777C71">
        <w:tc>
          <w:tcPr>
            <w:tcW w:w="1890" w:type="dxa"/>
            <w:vAlign w:val="center"/>
          </w:tcPr>
          <w:p w:rsidR="00C21724" w:rsidRPr="00892D30" w:rsidRDefault="00C21724" w:rsidP="00777C71">
            <w:proofErr w:type="spellStart"/>
            <w:r w:rsidRPr="00C64A78">
              <w:t>IFN</w:t>
            </w:r>
            <w:r>
              <w:t>γ</w:t>
            </w:r>
            <w:proofErr w:type="spellEnd"/>
          </w:p>
        </w:tc>
        <w:tc>
          <w:tcPr>
            <w:tcW w:w="6911" w:type="dxa"/>
            <w:vAlign w:val="center"/>
          </w:tcPr>
          <w:p w:rsidR="00C21724" w:rsidRPr="00892D30" w:rsidRDefault="00C21724" w:rsidP="00777C71">
            <w:r>
              <w:t>Gamma interferon</w:t>
            </w:r>
          </w:p>
        </w:tc>
      </w:tr>
      <w:tr w:rsidR="00777C71" w:rsidTr="00777C71">
        <w:tc>
          <w:tcPr>
            <w:tcW w:w="1890" w:type="dxa"/>
            <w:vAlign w:val="center"/>
          </w:tcPr>
          <w:p w:rsidR="00777C71" w:rsidRPr="00892D30" w:rsidRDefault="00777C71" w:rsidP="00777C71">
            <w:r w:rsidRPr="00892D30">
              <w:t>IgG</w:t>
            </w:r>
          </w:p>
        </w:tc>
        <w:tc>
          <w:tcPr>
            <w:tcW w:w="6911" w:type="dxa"/>
            <w:vAlign w:val="center"/>
          </w:tcPr>
          <w:p w:rsidR="00777C71" w:rsidRPr="00892D30" w:rsidRDefault="00777C71" w:rsidP="00777C71">
            <w:r w:rsidRPr="00892D30">
              <w:t>Immunoglobulin G</w:t>
            </w:r>
          </w:p>
        </w:tc>
      </w:tr>
      <w:tr w:rsidR="00555B76" w:rsidTr="00777C71">
        <w:tc>
          <w:tcPr>
            <w:tcW w:w="1890" w:type="dxa"/>
            <w:vAlign w:val="center"/>
          </w:tcPr>
          <w:p w:rsidR="00555B76" w:rsidRPr="00892D30" w:rsidRDefault="00555B76" w:rsidP="00777C71">
            <w:r w:rsidRPr="00555B76">
              <w:t>IgG</w:t>
            </w:r>
            <w:r>
              <w:t>4</w:t>
            </w:r>
          </w:p>
        </w:tc>
        <w:tc>
          <w:tcPr>
            <w:tcW w:w="6911" w:type="dxa"/>
            <w:vAlign w:val="center"/>
          </w:tcPr>
          <w:p w:rsidR="00555B76" w:rsidRPr="00892D30" w:rsidRDefault="00555B76" w:rsidP="00777C71">
            <w:r>
              <w:t>Subclass 4 of IgG</w:t>
            </w:r>
          </w:p>
        </w:tc>
      </w:tr>
      <w:tr w:rsidR="00777C71" w:rsidTr="00777C71">
        <w:tc>
          <w:tcPr>
            <w:tcW w:w="1890" w:type="dxa"/>
            <w:vAlign w:val="center"/>
          </w:tcPr>
          <w:p w:rsidR="00777C71" w:rsidRPr="00892D30" w:rsidRDefault="00777C71" w:rsidP="00777C71">
            <w:r>
              <w:t>IHC</w:t>
            </w:r>
          </w:p>
        </w:tc>
        <w:tc>
          <w:tcPr>
            <w:tcW w:w="6911" w:type="dxa"/>
            <w:vAlign w:val="center"/>
          </w:tcPr>
          <w:p w:rsidR="00777C71" w:rsidRPr="00892D30" w:rsidRDefault="00777C71" w:rsidP="00777C71">
            <w:r>
              <w:t>Immunohistochemistry</w:t>
            </w:r>
          </w:p>
        </w:tc>
      </w:tr>
      <w:tr w:rsidR="00777C71" w:rsidTr="00777C71">
        <w:tc>
          <w:tcPr>
            <w:tcW w:w="1890" w:type="dxa"/>
            <w:vAlign w:val="center"/>
          </w:tcPr>
          <w:p w:rsidR="00777C71" w:rsidRPr="00892D30" w:rsidRDefault="00777C71" w:rsidP="00777C71">
            <w:r w:rsidRPr="00892D30">
              <w:t>IL-2</w:t>
            </w:r>
          </w:p>
        </w:tc>
        <w:tc>
          <w:tcPr>
            <w:tcW w:w="6911" w:type="dxa"/>
            <w:vAlign w:val="center"/>
          </w:tcPr>
          <w:p w:rsidR="00777C71" w:rsidRPr="00892D30" w:rsidRDefault="00777C71" w:rsidP="00777C71">
            <w:r w:rsidRPr="00892D30">
              <w:t>Interleukin 2</w:t>
            </w:r>
          </w:p>
        </w:tc>
      </w:tr>
      <w:tr w:rsidR="001958CB" w:rsidTr="00777C71">
        <w:tc>
          <w:tcPr>
            <w:tcW w:w="1890" w:type="dxa"/>
            <w:vAlign w:val="center"/>
          </w:tcPr>
          <w:p w:rsidR="001958CB" w:rsidRPr="00892D30" w:rsidRDefault="001958CB" w:rsidP="00777C71">
            <w:r w:rsidRPr="00687EA0">
              <w:t>ILD</w:t>
            </w:r>
          </w:p>
        </w:tc>
        <w:tc>
          <w:tcPr>
            <w:tcW w:w="6911" w:type="dxa"/>
            <w:vAlign w:val="center"/>
          </w:tcPr>
          <w:p w:rsidR="001958CB" w:rsidRPr="00892D30" w:rsidRDefault="001958CB" w:rsidP="001958CB">
            <w:r>
              <w:t>interstitial lung disease</w:t>
            </w:r>
          </w:p>
        </w:tc>
      </w:tr>
      <w:tr w:rsidR="00777C71" w:rsidTr="00777C71">
        <w:tc>
          <w:tcPr>
            <w:tcW w:w="1890" w:type="dxa"/>
            <w:vAlign w:val="center"/>
          </w:tcPr>
          <w:p w:rsidR="00777C71" w:rsidRPr="00892D30" w:rsidRDefault="00777C71" w:rsidP="00777C71">
            <w:r w:rsidRPr="00892D30">
              <w:t>IPI</w:t>
            </w:r>
          </w:p>
        </w:tc>
        <w:tc>
          <w:tcPr>
            <w:tcW w:w="6911" w:type="dxa"/>
            <w:vAlign w:val="center"/>
          </w:tcPr>
          <w:p w:rsidR="00777C71" w:rsidRPr="00892D30" w:rsidRDefault="00777C71" w:rsidP="00777C71">
            <w:r w:rsidRPr="00892D30">
              <w:t>Ipilimumab</w:t>
            </w:r>
          </w:p>
        </w:tc>
      </w:tr>
      <w:tr w:rsidR="00777C71" w:rsidTr="00777C71">
        <w:tc>
          <w:tcPr>
            <w:tcW w:w="1890" w:type="dxa"/>
            <w:vAlign w:val="center"/>
          </w:tcPr>
          <w:p w:rsidR="00777C71" w:rsidRPr="00892D30" w:rsidRDefault="00777C71" w:rsidP="00777C71">
            <w:proofErr w:type="spellStart"/>
            <w:r w:rsidRPr="00892D30">
              <w:t>irAE</w:t>
            </w:r>
            <w:proofErr w:type="spellEnd"/>
          </w:p>
        </w:tc>
        <w:tc>
          <w:tcPr>
            <w:tcW w:w="6911" w:type="dxa"/>
            <w:vAlign w:val="center"/>
          </w:tcPr>
          <w:p w:rsidR="00777C71" w:rsidRPr="00892D30" w:rsidRDefault="00987E81" w:rsidP="00777C71">
            <w:r>
              <w:t>Immune related</w:t>
            </w:r>
            <w:r w:rsidR="00777C71" w:rsidRPr="00892D30">
              <w:t xml:space="preserve"> adverse event</w:t>
            </w:r>
          </w:p>
        </w:tc>
      </w:tr>
      <w:tr w:rsidR="00777C71" w:rsidTr="00777C71">
        <w:tc>
          <w:tcPr>
            <w:tcW w:w="1890" w:type="dxa"/>
            <w:vAlign w:val="center"/>
          </w:tcPr>
          <w:p w:rsidR="00777C71" w:rsidRPr="00892D30" w:rsidRDefault="00777C71" w:rsidP="00777C71">
            <w:proofErr w:type="spellStart"/>
            <w:r w:rsidRPr="00892D30">
              <w:t>irRC</w:t>
            </w:r>
            <w:proofErr w:type="spellEnd"/>
          </w:p>
        </w:tc>
        <w:tc>
          <w:tcPr>
            <w:tcW w:w="6911" w:type="dxa"/>
            <w:vAlign w:val="center"/>
          </w:tcPr>
          <w:p w:rsidR="00777C71" w:rsidRPr="00892D30" w:rsidRDefault="00987E81" w:rsidP="00777C71">
            <w:r>
              <w:t>Immune related</w:t>
            </w:r>
            <w:r w:rsidR="00777C71" w:rsidRPr="00892D30">
              <w:t xml:space="preserve"> response criteria</w:t>
            </w:r>
          </w:p>
        </w:tc>
      </w:tr>
      <w:tr w:rsidR="00A636CF" w:rsidTr="00777C71">
        <w:tc>
          <w:tcPr>
            <w:tcW w:w="1890" w:type="dxa"/>
            <w:vAlign w:val="center"/>
          </w:tcPr>
          <w:p w:rsidR="00A636CF" w:rsidRPr="00892D30" w:rsidRDefault="00A636CF" w:rsidP="00777C71">
            <w:r w:rsidRPr="002A3A8E">
              <w:t>IRO</w:t>
            </w:r>
          </w:p>
        </w:tc>
        <w:tc>
          <w:tcPr>
            <w:tcW w:w="6911" w:type="dxa"/>
            <w:vAlign w:val="center"/>
          </w:tcPr>
          <w:p w:rsidR="00A636CF" w:rsidRDefault="00A636CF" w:rsidP="00777C71">
            <w:r w:rsidRPr="002A3A8E">
              <w:t>independent ra</w:t>
            </w:r>
            <w:r>
              <w:t>diology and oncology review</w:t>
            </w:r>
          </w:p>
        </w:tc>
      </w:tr>
      <w:tr w:rsidR="00777C71" w:rsidTr="00777C71">
        <w:tc>
          <w:tcPr>
            <w:tcW w:w="1890" w:type="dxa"/>
            <w:vAlign w:val="center"/>
          </w:tcPr>
          <w:p w:rsidR="00777C71" w:rsidRPr="00892D30" w:rsidRDefault="00777C71" w:rsidP="00777C71">
            <w:r>
              <w:t>IV</w:t>
            </w:r>
          </w:p>
        </w:tc>
        <w:tc>
          <w:tcPr>
            <w:tcW w:w="6911" w:type="dxa"/>
            <w:vAlign w:val="center"/>
          </w:tcPr>
          <w:p w:rsidR="00777C71" w:rsidRPr="00892D30" w:rsidRDefault="00777C71" w:rsidP="00777C71">
            <w:r w:rsidRPr="00892D30">
              <w:t>Intravenous</w:t>
            </w:r>
          </w:p>
        </w:tc>
      </w:tr>
      <w:tr w:rsidR="00C21724" w:rsidTr="00777C71">
        <w:tc>
          <w:tcPr>
            <w:tcW w:w="1890" w:type="dxa"/>
            <w:vAlign w:val="center"/>
          </w:tcPr>
          <w:p w:rsidR="00C21724" w:rsidRDefault="00C21724" w:rsidP="00777C71">
            <w:proofErr w:type="spellStart"/>
            <w:r w:rsidRPr="00C64A78">
              <w:t>Kd</w:t>
            </w:r>
            <w:proofErr w:type="spellEnd"/>
          </w:p>
        </w:tc>
        <w:tc>
          <w:tcPr>
            <w:tcW w:w="6911" w:type="dxa"/>
            <w:vAlign w:val="center"/>
          </w:tcPr>
          <w:p w:rsidR="00C21724" w:rsidRPr="00892D30" w:rsidRDefault="00F92586" w:rsidP="00777C71">
            <w:r>
              <w:t xml:space="preserve">Dissociation </w:t>
            </w:r>
            <w:proofErr w:type="spellStart"/>
            <w:r>
              <w:t>contsant</w:t>
            </w:r>
            <w:proofErr w:type="spellEnd"/>
          </w:p>
        </w:tc>
      </w:tr>
      <w:tr w:rsidR="00777C71" w:rsidTr="00777C71">
        <w:tc>
          <w:tcPr>
            <w:tcW w:w="1890" w:type="dxa"/>
            <w:vAlign w:val="center"/>
          </w:tcPr>
          <w:p w:rsidR="00777C71" w:rsidRPr="00892D30" w:rsidRDefault="00777C71" w:rsidP="00777C71">
            <w:r w:rsidRPr="00892D30">
              <w:t>L</w:t>
            </w:r>
          </w:p>
        </w:tc>
        <w:tc>
          <w:tcPr>
            <w:tcW w:w="6911" w:type="dxa"/>
            <w:vAlign w:val="center"/>
          </w:tcPr>
          <w:p w:rsidR="00777C71" w:rsidRPr="00892D30" w:rsidRDefault="00777C71" w:rsidP="00777C71">
            <w:r w:rsidRPr="00892D30">
              <w:t>Litre(s)</w:t>
            </w:r>
          </w:p>
        </w:tc>
      </w:tr>
      <w:tr w:rsidR="00777C71" w:rsidTr="00777C71">
        <w:tc>
          <w:tcPr>
            <w:tcW w:w="1890" w:type="dxa"/>
            <w:vAlign w:val="center"/>
          </w:tcPr>
          <w:p w:rsidR="00777C71" w:rsidRPr="00892D30" w:rsidRDefault="00777C71" w:rsidP="00777C71">
            <w:r w:rsidRPr="00892D30">
              <w:t>LDH</w:t>
            </w:r>
          </w:p>
        </w:tc>
        <w:tc>
          <w:tcPr>
            <w:tcW w:w="6911" w:type="dxa"/>
            <w:vAlign w:val="center"/>
          </w:tcPr>
          <w:p w:rsidR="00777C71" w:rsidRPr="00892D30" w:rsidRDefault="00F92586" w:rsidP="00777C71">
            <w:r w:rsidRPr="00892D30">
              <w:t>lactate dehydrogenase</w:t>
            </w:r>
          </w:p>
        </w:tc>
      </w:tr>
      <w:tr w:rsidR="00987E81" w:rsidTr="00777C71">
        <w:tc>
          <w:tcPr>
            <w:tcW w:w="1890" w:type="dxa"/>
            <w:vAlign w:val="center"/>
          </w:tcPr>
          <w:p w:rsidR="00987E81" w:rsidRPr="00892D30" w:rsidRDefault="00987E81" w:rsidP="00777C71">
            <w:proofErr w:type="spellStart"/>
            <w:r w:rsidRPr="0004095A">
              <w:t>mAbs</w:t>
            </w:r>
            <w:proofErr w:type="spellEnd"/>
          </w:p>
        </w:tc>
        <w:tc>
          <w:tcPr>
            <w:tcW w:w="6911" w:type="dxa"/>
            <w:vAlign w:val="center"/>
          </w:tcPr>
          <w:p w:rsidR="00987E81" w:rsidRPr="00892D30" w:rsidRDefault="00987E81" w:rsidP="00777C71">
            <w:r>
              <w:t>Monoclonal antibodies</w:t>
            </w:r>
          </w:p>
        </w:tc>
      </w:tr>
      <w:tr w:rsidR="00B700E1" w:rsidTr="00777C71">
        <w:tc>
          <w:tcPr>
            <w:tcW w:w="1890" w:type="dxa"/>
            <w:vAlign w:val="center"/>
          </w:tcPr>
          <w:p w:rsidR="00B700E1" w:rsidRPr="00892D30" w:rsidRDefault="00B700E1" w:rsidP="00777C71">
            <w:r w:rsidRPr="00D643D4">
              <w:t>MHC</w:t>
            </w:r>
          </w:p>
        </w:tc>
        <w:tc>
          <w:tcPr>
            <w:tcW w:w="6911" w:type="dxa"/>
            <w:vAlign w:val="center"/>
          </w:tcPr>
          <w:p w:rsidR="00B700E1" w:rsidRPr="00892D30" w:rsidRDefault="008402A2" w:rsidP="00777C71">
            <w:r>
              <w:t>Major histocompatibility complex</w:t>
            </w:r>
          </w:p>
        </w:tc>
      </w:tr>
      <w:tr w:rsidR="00777C71" w:rsidTr="00777C71">
        <w:tc>
          <w:tcPr>
            <w:tcW w:w="1890" w:type="dxa"/>
            <w:vAlign w:val="center"/>
          </w:tcPr>
          <w:p w:rsidR="00777C71" w:rsidRPr="00892D30" w:rsidRDefault="00777C71" w:rsidP="00777C71">
            <w:r w:rsidRPr="00892D30">
              <w:lastRenderedPageBreak/>
              <w:t>MRI</w:t>
            </w:r>
          </w:p>
        </w:tc>
        <w:tc>
          <w:tcPr>
            <w:tcW w:w="6911" w:type="dxa"/>
            <w:vAlign w:val="center"/>
          </w:tcPr>
          <w:p w:rsidR="00777C71" w:rsidRPr="00892D30" w:rsidRDefault="00777C71" w:rsidP="00777C71">
            <w:r w:rsidRPr="00892D30">
              <w:t>Magnetic Resonance Imaging</w:t>
            </w:r>
          </w:p>
        </w:tc>
      </w:tr>
      <w:tr w:rsidR="00987E81" w:rsidTr="00777C71">
        <w:tc>
          <w:tcPr>
            <w:tcW w:w="1890" w:type="dxa"/>
            <w:vAlign w:val="center"/>
          </w:tcPr>
          <w:p w:rsidR="00987E81" w:rsidRPr="00892D30" w:rsidRDefault="00987E81" w:rsidP="00777C71">
            <w:r w:rsidRPr="006207A9">
              <w:t>MSD</w:t>
            </w:r>
          </w:p>
        </w:tc>
        <w:tc>
          <w:tcPr>
            <w:tcW w:w="6911" w:type="dxa"/>
            <w:vAlign w:val="center"/>
          </w:tcPr>
          <w:p w:rsidR="00987E81" w:rsidRPr="00892D30" w:rsidRDefault="00987E81" w:rsidP="00777C71">
            <w:r>
              <w:t>Merck Sharp and Dohme</w:t>
            </w:r>
          </w:p>
        </w:tc>
      </w:tr>
      <w:tr w:rsidR="007E1B99" w:rsidTr="00777C71">
        <w:tc>
          <w:tcPr>
            <w:tcW w:w="1890" w:type="dxa"/>
            <w:vAlign w:val="center"/>
          </w:tcPr>
          <w:p w:rsidR="007E1B99" w:rsidRPr="006207A9" w:rsidRDefault="007E1B99" w:rsidP="00777C71">
            <w:r>
              <w:t>NCCN</w:t>
            </w:r>
          </w:p>
        </w:tc>
        <w:tc>
          <w:tcPr>
            <w:tcW w:w="6911" w:type="dxa"/>
            <w:vAlign w:val="center"/>
          </w:tcPr>
          <w:p w:rsidR="007E1B99" w:rsidRDefault="007E1B99" w:rsidP="00777C71">
            <w:r>
              <w:t>National Comprehensive Cancer Network</w:t>
            </w:r>
          </w:p>
        </w:tc>
      </w:tr>
      <w:tr w:rsidR="00F965EC" w:rsidTr="00777C71">
        <w:tc>
          <w:tcPr>
            <w:tcW w:w="1890" w:type="dxa"/>
            <w:vAlign w:val="center"/>
          </w:tcPr>
          <w:p w:rsidR="00F965EC" w:rsidRPr="00892D30" w:rsidRDefault="00F965EC" w:rsidP="00777C71">
            <w:r w:rsidRPr="00C64A78">
              <w:t>NOAEL</w:t>
            </w:r>
          </w:p>
        </w:tc>
        <w:tc>
          <w:tcPr>
            <w:tcW w:w="6911" w:type="dxa"/>
            <w:vAlign w:val="center"/>
          </w:tcPr>
          <w:p w:rsidR="00F965EC" w:rsidRPr="00892D30" w:rsidRDefault="00F965EC" w:rsidP="00777C71">
            <w:r>
              <w:t>no observable adverse effect level</w:t>
            </w:r>
          </w:p>
        </w:tc>
      </w:tr>
      <w:tr w:rsidR="00777C71" w:rsidTr="00777C71">
        <w:tc>
          <w:tcPr>
            <w:tcW w:w="1890" w:type="dxa"/>
            <w:vAlign w:val="center"/>
          </w:tcPr>
          <w:p w:rsidR="00777C71" w:rsidRPr="00892D30" w:rsidRDefault="00777C71" w:rsidP="00777C71">
            <w:r w:rsidRPr="00892D30">
              <w:t>NSCLC</w:t>
            </w:r>
          </w:p>
        </w:tc>
        <w:tc>
          <w:tcPr>
            <w:tcW w:w="6911" w:type="dxa"/>
            <w:vAlign w:val="center"/>
          </w:tcPr>
          <w:p w:rsidR="00777C71" w:rsidRPr="00892D30" w:rsidRDefault="00777C71" w:rsidP="00777C71">
            <w:r w:rsidRPr="00892D30">
              <w:t>Non-Small Cell Lung Cancer</w:t>
            </w:r>
          </w:p>
        </w:tc>
      </w:tr>
      <w:tr w:rsidR="00777C71" w:rsidTr="00777C71">
        <w:tc>
          <w:tcPr>
            <w:tcW w:w="1890" w:type="dxa"/>
            <w:vAlign w:val="center"/>
          </w:tcPr>
          <w:p w:rsidR="00777C71" w:rsidRPr="00892D30" w:rsidRDefault="00777C71" w:rsidP="00777C71">
            <w:r w:rsidRPr="00892D30">
              <w:t>ORR</w:t>
            </w:r>
          </w:p>
        </w:tc>
        <w:tc>
          <w:tcPr>
            <w:tcW w:w="6911" w:type="dxa"/>
            <w:vAlign w:val="center"/>
          </w:tcPr>
          <w:p w:rsidR="00777C71" w:rsidRPr="00892D30" w:rsidRDefault="00AE3746" w:rsidP="00777C71">
            <w:r>
              <w:t>objective response rate</w:t>
            </w:r>
          </w:p>
        </w:tc>
      </w:tr>
      <w:tr w:rsidR="003C39BE" w:rsidTr="00777C71">
        <w:tc>
          <w:tcPr>
            <w:tcW w:w="1890" w:type="dxa"/>
            <w:vAlign w:val="center"/>
          </w:tcPr>
          <w:p w:rsidR="003C39BE" w:rsidRPr="00892D30" w:rsidRDefault="003C39BE" w:rsidP="00777C71">
            <w:r w:rsidRPr="006207A9">
              <w:t>ODAC</w:t>
            </w:r>
          </w:p>
        </w:tc>
        <w:tc>
          <w:tcPr>
            <w:tcW w:w="6911" w:type="dxa"/>
            <w:vAlign w:val="center"/>
          </w:tcPr>
          <w:p w:rsidR="003C39BE" w:rsidRPr="00892D30" w:rsidRDefault="003C39BE" w:rsidP="00777C71">
            <w:r>
              <w:t>oncologic drugs advisory committee</w:t>
            </w:r>
          </w:p>
        </w:tc>
      </w:tr>
      <w:tr w:rsidR="00777C71" w:rsidTr="00777C71">
        <w:tc>
          <w:tcPr>
            <w:tcW w:w="1890" w:type="dxa"/>
            <w:vAlign w:val="center"/>
          </w:tcPr>
          <w:p w:rsidR="00777C71" w:rsidRPr="00095811" w:rsidRDefault="00777C71" w:rsidP="00095811">
            <w:r w:rsidRPr="00095811">
              <w:t>OS</w:t>
            </w:r>
          </w:p>
        </w:tc>
        <w:tc>
          <w:tcPr>
            <w:tcW w:w="6911" w:type="dxa"/>
            <w:vAlign w:val="center"/>
          </w:tcPr>
          <w:p w:rsidR="00777C71" w:rsidRPr="00892D30" w:rsidRDefault="00777C71" w:rsidP="00777C71">
            <w:r w:rsidRPr="00892D30">
              <w:t>Overall Survival</w:t>
            </w:r>
          </w:p>
        </w:tc>
      </w:tr>
      <w:tr w:rsidR="00095811" w:rsidTr="00777C71">
        <w:tc>
          <w:tcPr>
            <w:tcW w:w="1890" w:type="dxa"/>
            <w:vAlign w:val="center"/>
          </w:tcPr>
          <w:p w:rsidR="00095811" w:rsidRPr="00095811" w:rsidRDefault="00095811" w:rsidP="00095811">
            <w:r w:rsidRPr="00095811">
              <w:t>PASS</w:t>
            </w:r>
          </w:p>
        </w:tc>
        <w:tc>
          <w:tcPr>
            <w:tcW w:w="6911" w:type="dxa"/>
            <w:vAlign w:val="center"/>
          </w:tcPr>
          <w:p w:rsidR="00095811" w:rsidRPr="00095811" w:rsidRDefault="00095811" w:rsidP="00095811">
            <w:r w:rsidRPr="00095811">
              <w:t>P</w:t>
            </w:r>
            <w:r>
              <w:t>ost Authorisation Safety Study</w:t>
            </w:r>
          </w:p>
        </w:tc>
      </w:tr>
      <w:tr w:rsidR="00927B0E" w:rsidTr="00777C71">
        <w:tc>
          <w:tcPr>
            <w:tcW w:w="1890" w:type="dxa"/>
            <w:vAlign w:val="center"/>
          </w:tcPr>
          <w:p w:rsidR="00927B0E" w:rsidRPr="00095811" w:rsidRDefault="00927B0E" w:rsidP="00095811">
            <w:r w:rsidRPr="002A3A8E">
              <w:t>PBS</w:t>
            </w:r>
          </w:p>
        </w:tc>
        <w:tc>
          <w:tcPr>
            <w:tcW w:w="6911" w:type="dxa"/>
            <w:vAlign w:val="center"/>
          </w:tcPr>
          <w:p w:rsidR="00927B0E" w:rsidRPr="00095811" w:rsidRDefault="00927B0E" w:rsidP="00095811">
            <w:r w:rsidRPr="002A3A8E">
              <w:t>Pha</w:t>
            </w:r>
            <w:r>
              <w:t>rmaceutical Benefits Scheme</w:t>
            </w:r>
          </w:p>
        </w:tc>
      </w:tr>
      <w:tr w:rsidR="00777C71" w:rsidTr="00777C71">
        <w:tc>
          <w:tcPr>
            <w:tcW w:w="1890" w:type="dxa"/>
            <w:vAlign w:val="center"/>
          </w:tcPr>
          <w:p w:rsidR="00777C71" w:rsidRPr="00892D30" w:rsidRDefault="00777C71" w:rsidP="00777C71">
            <w:r>
              <w:t>PD</w:t>
            </w:r>
          </w:p>
        </w:tc>
        <w:tc>
          <w:tcPr>
            <w:tcW w:w="6911" w:type="dxa"/>
            <w:vAlign w:val="center"/>
          </w:tcPr>
          <w:p w:rsidR="00777C71" w:rsidRPr="00892D30" w:rsidRDefault="00777C71" w:rsidP="00777C71">
            <w:r w:rsidRPr="00892D30">
              <w:t>Pharmacodynamics</w:t>
            </w:r>
          </w:p>
        </w:tc>
      </w:tr>
      <w:tr w:rsidR="00777C71" w:rsidTr="00777C71">
        <w:tc>
          <w:tcPr>
            <w:tcW w:w="1890" w:type="dxa"/>
            <w:vAlign w:val="center"/>
          </w:tcPr>
          <w:p w:rsidR="00777C71" w:rsidRPr="00892D30" w:rsidRDefault="00777C71" w:rsidP="00777C71">
            <w:r w:rsidRPr="00892D30">
              <w:t>PD-1</w:t>
            </w:r>
          </w:p>
        </w:tc>
        <w:tc>
          <w:tcPr>
            <w:tcW w:w="6911" w:type="dxa"/>
            <w:vAlign w:val="center"/>
          </w:tcPr>
          <w:p w:rsidR="00777C71" w:rsidRPr="00892D30" w:rsidRDefault="00777C71" w:rsidP="004C1A99">
            <w:r w:rsidRPr="00892D30">
              <w:t>Programmed cell death receptor -1</w:t>
            </w:r>
          </w:p>
        </w:tc>
      </w:tr>
      <w:tr w:rsidR="00777C71" w:rsidTr="00777C71">
        <w:tc>
          <w:tcPr>
            <w:tcW w:w="1890" w:type="dxa"/>
            <w:vAlign w:val="center"/>
          </w:tcPr>
          <w:p w:rsidR="00777C71" w:rsidRPr="00892D30" w:rsidRDefault="00BD2F06" w:rsidP="00BD2F06">
            <w:r>
              <w:t>PD-L1</w:t>
            </w:r>
          </w:p>
        </w:tc>
        <w:tc>
          <w:tcPr>
            <w:tcW w:w="6911" w:type="dxa"/>
            <w:vAlign w:val="center"/>
          </w:tcPr>
          <w:p w:rsidR="00777C71" w:rsidRPr="00892D30" w:rsidRDefault="00BD2F06" w:rsidP="00777C71">
            <w:r>
              <w:t>Programmed death ligand 1 (also known as B7-H1 and CD274)</w:t>
            </w:r>
          </w:p>
        </w:tc>
      </w:tr>
      <w:tr w:rsidR="00BD2F06" w:rsidTr="00777C71">
        <w:tc>
          <w:tcPr>
            <w:tcW w:w="1890" w:type="dxa"/>
            <w:vAlign w:val="center"/>
          </w:tcPr>
          <w:p w:rsidR="00BD2F06" w:rsidRDefault="00BD2F06" w:rsidP="00BD2F06">
            <w:r>
              <w:t>PD-L2</w:t>
            </w:r>
          </w:p>
        </w:tc>
        <w:tc>
          <w:tcPr>
            <w:tcW w:w="6911" w:type="dxa"/>
            <w:vAlign w:val="center"/>
          </w:tcPr>
          <w:p w:rsidR="00BD2F06" w:rsidRDefault="00BD2F06" w:rsidP="00777C71">
            <w:r>
              <w:t>Programmed death ligand 2 (also known as B7-DC)</w:t>
            </w:r>
          </w:p>
        </w:tc>
      </w:tr>
      <w:tr w:rsidR="00777C71" w:rsidTr="00777C71">
        <w:tc>
          <w:tcPr>
            <w:tcW w:w="1890" w:type="dxa"/>
            <w:vAlign w:val="center"/>
          </w:tcPr>
          <w:p w:rsidR="00777C71" w:rsidRPr="00892D30" w:rsidRDefault="00777C71" w:rsidP="00777C71">
            <w:r w:rsidRPr="00892D30">
              <w:t>PFS</w:t>
            </w:r>
          </w:p>
        </w:tc>
        <w:tc>
          <w:tcPr>
            <w:tcW w:w="6911" w:type="dxa"/>
            <w:vAlign w:val="center"/>
          </w:tcPr>
          <w:p w:rsidR="00777C71" w:rsidRPr="00892D30" w:rsidRDefault="00777C71" w:rsidP="00777C71">
            <w:r w:rsidRPr="00892D30">
              <w:t>Progression free survival</w:t>
            </w:r>
          </w:p>
        </w:tc>
      </w:tr>
      <w:tr w:rsidR="00777C71" w:rsidTr="00777C71">
        <w:tc>
          <w:tcPr>
            <w:tcW w:w="1890" w:type="dxa"/>
            <w:vAlign w:val="center"/>
          </w:tcPr>
          <w:p w:rsidR="00777C71" w:rsidRPr="00892D30" w:rsidRDefault="00777C71" w:rsidP="00777C71">
            <w:r w:rsidRPr="00892D30">
              <w:t>PI</w:t>
            </w:r>
          </w:p>
        </w:tc>
        <w:tc>
          <w:tcPr>
            <w:tcW w:w="6911" w:type="dxa"/>
            <w:vAlign w:val="center"/>
          </w:tcPr>
          <w:p w:rsidR="00777C71" w:rsidRPr="00892D30" w:rsidRDefault="00777C71" w:rsidP="00777C71">
            <w:r w:rsidRPr="00892D30">
              <w:t>Product Information</w:t>
            </w:r>
          </w:p>
        </w:tc>
      </w:tr>
      <w:tr w:rsidR="00777C71" w:rsidTr="00777C71">
        <w:tc>
          <w:tcPr>
            <w:tcW w:w="1890" w:type="dxa"/>
            <w:vAlign w:val="center"/>
          </w:tcPr>
          <w:p w:rsidR="00777C71" w:rsidRPr="00892D30" w:rsidRDefault="00777C71" w:rsidP="00777C71">
            <w:r w:rsidRPr="00892D30">
              <w:t>PK</w:t>
            </w:r>
          </w:p>
        </w:tc>
        <w:tc>
          <w:tcPr>
            <w:tcW w:w="6911" w:type="dxa"/>
            <w:vAlign w:val="center"/>
          </w:tcPr>
          <w:p w:rsidR="00777C71" w:rsidRPr="00892D30" w:rsidRDefault="00777C71" w:rsidP="00777C71">
            <w:r w:rsidRPr="00892D30">
              <w:t>Pharmacokinetics</w:t>
            </w:r>
          </w:p>
        </w:tc>
      </w:tr>
      <w:tr w:rsidR="001D4BB8" w:rsidTr="00777C71">
        <w:tc>
          <w:tcPr>
            <w:tcW w:w="1890" w:type="dxa"/>
            <w:vAlign w:val="center"/>
          </w:tcPr>
          <w:p w:rsidR="001D4BB8" w:rsidRPr="00892D30" w:rsidRDefault="001D4BB8" w:rsidP="00777C71">
            <w:r>
              <w:t>Pop PK</w:t>
            </w:r>
          </w:p>
        </w:tc>
        <w:tc>
          <w:tcPr>
            <w:tcW w:w="6911" w:type="dxa"/>
            <w:vAlign w:val="center"/>
          </w:tcPr>
          <w:p w:rsidR="001D4BB8" w:rsidRPr="00892D30" w:rsidRDefault="001D4BB8" w:rsidP="001D4BB8">
            <w:r w:rsidRPr="00100E03">
              <w:t>popu</w:t>
            </w:r>
            <w:r>
              <w:t>lation pharmacokinetics</w:t>
            </w:r>
          </w:p>
        </w:tc>
      </w:tr>
      <w:tr w:rsidR="00777C71" w:rsidTr="00777C71">
        <w:tc>
          <w:tcPr>
            <w:tcW w:w="1890" w:type="dxa"/>
            <w:vAlign w:val="center"/>
          </w:tcPr>
          <w:p w:rsidR="00777C71" w:rsidRPr="00892D30" w:rsidRDefault="00777C71" w:rsidP="00777C71">
            <w:r w:rsidRPr="00892D30">
              <w:t>PR</w:t>
            </w:r>
          </w:p>
        </w:tc>
        <w:tc>
          <w:tcPr>
            <w:tcW w:w="6911" w:type="dxa"/>
            <w:vAlign w:val="center"/>
          </w:tcPr>
          <w:p w:rsidR="00777C71" w:rsidRPr="00892D30" w:rsidRDefault="00777C71" w:rsidP="00777C71">
            <w:r w:rsidRPr="00892D30">
              <w:t>Partial Response</w:t>
            </w:r>
          </w:p>
        </w:tc>
      </w:tr>
      <w:tr w:rsidR="00F236AD" w:rsidTr="00777C71">
        <w:tc>
          <w:tcPr>
            <w:tcW w:w="1890" w:type="dxa"/>
            <w:vAlign w:val="center"/>
          </w:tcPr>
          <w:p w:rsidR="00F236AD" w:rsidRPr="00892D30" w:rsidRDefault="00F236AD" w:rsidP="00777C71">
            <w:r>
              <w:t>PSC</w:t>
            </w:r>
          </w:p>
        </w:tc>
        <w:tc>
          <w:tcPr>
            <w:tcW w:w="6911" w:type="dxa"/>
            <w:vAlign w:val="center"/>
          </w:tcPr>
          <w:p w:rsidR="00F236AD" w:rsidRPr="00892D30" w:rsidRDefault="00F236AD" w:rsidP="00777C71">
            <w:r>
              <w:t>Pharmaceutical Sub Committee (of ACPM)</w:t>
            </w:r>
          </w:p>
        </w:tc>
      </w:tr>
      <w:tr w:rsidR="00095811" w:rsidTr="00777C71">
        <w:tc>
          <w:tcPr>
            <w:tcW w:w="1890" w:type="dxa"/>
            <w:vAlign w:val="center"/>
          </w:tcPr>
          <w:p w:rsidR="00095811" w:rsidRPr="00892D30" w:rsidRDefault="00095811" w:rsidP="00777C71">
            <w:r w:rsidRPr="00095811">
              <w:t>PSUR</w:t>
            </w:r>
          </w:p>
        </w:tc>
        <w:tc>
          <w:tcPr>
            <w:tcW w:w="6911" w:type="dxa"/>
            <w:vAlign w:val="center"/>
          </w:tcPr>
          <w:p w:rsidR="00095811" w:rsidRPr="00095811" w:rsidRDefault="00095811" w:rsidP="00095811">
            <w:r w:rsidRPr="00095811">
              <w:t>Periodic Safety</w:t>
            </w:r>
            <w:r>
              <w:t xml:space="preserve"> Update Reports</w:t>
            </w:r>
          </w:p>
        </w:tc>
      </w:tr>
      <w:tr w:rsidR="00BE46C6" w:rsidTr="00777C71">
        <w:tc>
          <w:tcPr>
            <w:tcW w:w="1890" w:type="dxa"/>
            <w:vAlign w:val="center"/>
          </w:tcPr>
          <w:p w:rsidR="00BE46C6" w:rsidRPr="00892D30" w:rsidRDefault="0003098E" w:rsidP="00777C71">
            <w:r>
              <w:t>Q2W</w:t>
            </w:r>
          </w:p>
        </w:tc>
        <w:tc>
          <w:tcPr>
            <w:tcW w:w="6911" w:type="dxa"/>
            <w:vAlign w:val="center"/>
          </w:tcPr>
          <w:p w:rsidR="00BE46C6" w:rsidRPr="00892D30" w:rsidRDefault="00BE46C6" w:rsidP="00777C71">
            <w:r>
              <w:t>Once every 2 weeks</w:t>
            </w:r>
          </w:p>
        </w:tc>
      </w:tr>
      <w:tr w:rsidR="00BE46C6" w:rsidTr="00777C71">
        <w:tc>
          <w:tcPr>
            <w:tcW w:w="1890" w:type="dxa"/>
            <w:vAlign w:val="center"/>
          </w:tcPr>
          <w:p w:rsidR="00BE46C6" w:rsidRPr="00892D30" w:rsidRDefault="0003098E" w:rsidP="00777C71">
            <w:r>
              <w:t>Q3W</w:t>
            </w:r>
          </w:p>
        </w:tc>
        <w:tc>
          <w:tcPr>
            <w:tcW w:w="6911" w:type="dxa"/>
            <w:vAlign w:val="center"/>
          </w:tcPr>
          <w:p w:rsidR="00BE46C6" w:rsidRPr="00892D30" w:rsidRDefault="00BE46C6" w:rsidP="00777C71">
            <w:r>
              <w:t>Once every 3 weeks</w:t>
            </w:r>
          </w:p>
        </w:tc>
      </w:tr>
      <w:tr w:rsidR="001E1CF4" w:rsidTr="00777C71">
        <w:tc>
          <w:tcPr>
            <w:tcW w:w="1890" w:type="dxa"/>
            <w:vAlign w:val="center"/>
          </w:tcPr>
          <w:p w:rsidR="001E1CF4" w:rsidRDefault="001E1CF4" w:rsidP="00777C71">
            <w:proofErr w:type="spellStart"/>
            <w:r w:rsidRPr="002A3A8E">
              <w:t>QoL</w:t>
            </w:r>
            <w:proofErr w:type="spellEnd"/>
          </w:p>
        </w:tc>
        <w:tc>
          <w:tcPr>
            <w:tcW w:w="6911" w:type="dxa"/>
            <w:vAlign w:val="center"/>
          </w:tcPr>
          <w:p w:rsidR="001E1CF4" w:rsidRDefault="001E1CF4" w:rsidP="001E1CF4">
            <w:r w:rsidRPr="002A3A8E">
              <w:t xml:space="preserve">although </w:t>
            </w:r>
            <w:r>
              <w:t>quality of life</w:t>
            </w:r>
          </w:p>
        </w:tc>
      </w:tr>
      <w:tr w:rsidR="00777C71" w:rsidTr="00777C71">
        <w:tc>
          <w:tcPr>
            <w:tcW w:w="1890" w:type="dxa"/>
            <w:vAlign w:val="center"/>
          </w:tcPr>
          <w:p w:rsidR="00777C71" w:rsidRPr="00892D30" w:rsidRDefault="00777C71" w:rsidP="00777C71">
            <w:r w:rsidRPr="00892D30">
              <w:t>RECIST</w:t>
            </w:r>
          </w:p>
        </w:tc>
        <w:tc>
          <w:tcPr>
            <w:tcW w:w="6911" w:type="dxa"/>
            <w:vAlign w:val="center"/>
          </w:tcPr>
          <w:p w:rsidR="00777C71" w:rsidRPr="00892D30" w:rsidRDefault="00777C71" w:rsidP="00777C71">
            <w:r w:rsidRPr="00892D30">
              <w:t>Response evaluation criteria in solid tumours</w:t>
            </w:r>
          </w:p>
        </w:tc>
      </w:tr>
      <w:tr w:rsidR="007E34E3" w:rsidTr="00777C71">
        <w:tc>
          <w:tcPr>
            <w:tcW w:w="1890" w:type="dxa"/>
            <w:vAlign w:val="center"/>
          </w:tcPr>
          <w:p w:rsidR="007E34E3" w:rsidRPr="00892D30" w:rsidRDefault="007E34E3" w:rsidP="00777C71">
            <w:r w:rsidRPr="00D05348">
              <w:t>RPSFT</w:t>
            </w:r>
          </w:p>
        </w:tc>
        <w:tc>
          <w:tcPr>
            <w:tcW w:w="6911" w:type="dxa"/>
            <w:vAlign w:val="center"/>
          </w:tcPr>
          <w:p w:rsidR="007E34E3" w:rsidRPr="00892D30" w:rsidRDefault="007E34E3" w:rsidP="007E34E3">
            <w:r>
              <w:t xml:space="preserve">rank </w:t>
            </w:r>
            <w:r w:rsidRPr="00D05348">
              <w:t>pres</w:t>
            </w:r>
            <w:r>
              <w:t>erving structural failure time</w:t>
            </w:r>
          </w:p>
        </w:tc>
      </w:tr>
      <w:tr w:rsidR="00777C71" w:rsidTr="00777C71">
        <w:tc>
          <w:tcPr>
            <w:tcW w:w="1890" w:type="dxa"/>
            <w:vAlign w:val="center"/>
          </w:tcPr>
          <w:p w:rsidR="00777C71" w:rsidRPr="00892D30" w:rsidRDefault="00777C71" w:rsidP="00777C71">
            <w:r w:rsidRPr="00892D30">
              <w:lastRenderedPageBreak/>
              <w:t>SAE</w:t>
            </w:r>
          </w:p>
        </w:tc>
        <w:tc>
          <w:tcPr>
            <w:tcW w:w="6911" w:type="dxa"/>
            <w:vAlign w:val="center"/>
          </w:tcPr>
          <w:p w:rsidR="00777C71" w:rsidRPr="00892D30" w:rsidRDefault="002F5E51" w:rsidP="00777C71">
            <w:r w:rsidRPr="00892D30">
              <w:t>serious adverse event</w:t>
            </w:r>
          </w:p>
        </w:tc>
      </w:tr>
      <w:tr w:rsidR="004B4A67" w:rsidTr="00777C71">
        <w:tc>
          <w:tcPr>
            <w:tcW w:w="1890" w:type="dxa"/>
            <w:vAlign w:val="center"/>
          </w:tcPr>
          <w:p w:rsidR="004B4A67" w:rsidRPr="00892D30" w:rsidRDefault="004B4A67" w:rsidP="00777C71">
            <w:r w:rsidRPr="00146F09">
              <w:t>SJS</w:t>
            </w:r>
          </w:p>
        </w:tc>
        <w:tc>
          <w:tcPr>
            <w:tcW w:w="6911" w:type="dxa"/>
            <w:vAlign w:val="center"/>
          </w:tcPr>
          <w:p w:rsidR="004B4A67" w:rsidRPr="00892D30" w:rsidRDefault="004B4A67" w:rsidP="004B4A67">
            <w:r>
              <w:t>Stevens-Johnson syndrome</w:t>
            </w:r>
          </w:p>
        </w:tc>
      </w:tr>
      <w:tr w:rsidR="001E1CF4" w:rsidTr="00777C71">
        <w:tc>
          <w:tcPr>
            <w:tcW w:w="1890" w:type="dxa"/>
            <w:vAlign w:val="center"/>
          </w:tcPr>
          <w:p w:rsidR="001E1CF4" w:rsidRPr="00146F09" w:rsidRDefault="001E1CF4" w:rsidP="00777C71">
            <w:r>
              <w:t>TDZ</w:t>
            </w:r>
          </w:p>
        </w:tc>
        <w:tc>
          <w:tcPr>
            <w:tcW w:w="6911" w:type="dxa"/>
            <w:vAlign w:val="center"/>
          </w:tcPr>
          <w:p w:rsidR="001E1CF4" w:rsidRDefault="001E1CF4" w:rsidP="001E1CF4">
            <w:proofErr w:type="spellStart"/>
            <w:r>
              <w:t>temozolomide</w:t>
            </w:r>
            <w:proofErr w:type="spellEnd"/>
          </w:p>
        </w:tc>
      </w:tr>
      <w:tr w:rsidR="004B4A67" w:rsidTr="00777C71">
        <w:tc>
          <w:tcPr>
            <w:tcW w:w="1890" w:type="dxa"/>
            <w:vAlign w:val="center"/>
          </w:tcPr>
          <w:p w:rsidR="004B4A67" w:rsidRPr="00146F09" w:rsidRDefault="004B4A67" w:rsidP="00777C71">
            <w:r w:rsidRPr="00146F09">
              <w:t>TEN</w:t>
            </w:r>
          </w:p>
        </w:tc>
        <w:tc>
          <w:tcPr>
            <w:tcW w:w="6911" w:type="dxa"/>
            <w:vAlign w:val="center"/>
          </w:tcPr>
          <w:p w:rsidR="004B4A67" w:rsidRDefault="004B4A67" w:rsidP="004B4A67">
            <w:r>
              <w:t>toxic epidermal necrolysis</w:t>
            </w:r>
          </w:p>
        </w:tc>
      </w:tr>
      <w:tr w:rsidR="00741C27" w:rsidTr="00777C71">
        <w:tc>
          <w:tcPr>
            <w:tcW w:w="1890" w:type="dxa"/>
            <w:vAlign w:val="center"/>
          </w:tcPr>
          <w:p w:rsidR="00741C27" w:rsidRPr="00146F09" w:rsidRDefault="00741C27" w:rsidP="00777C71">
            <w:r w:rsidRPr="00C57D2B">
              <w:t>TFH</w:t>
            </w:r>
          </w:p>
        </w:tc>
        <w:tc>
          <w:tcPr>
            <w:tcW w:w="6911" w:type="dxa"/>
            <w:vAlign w:val="center"/>
          </w:tcPr>
          <w:p w:rsidR="00741C27" w:rsidRDefault="00741C27" w:rsidP="00741C27">
            <w:r>
              <w:t>T follicular helper</w:t>
            </w:r>
          </w:p>
        </w:tc>
      </w:tr>
      <w:tr w:rsidR="00741C27" w:rsidTr="00777C71">
        <w:tc>
          <w:tcPr>
            <w:tcW w:w="1890" w:type="dxa"/>
            <w:vAlign w:val="center"/>
          </w:tcPr>
          <w:p w:rsidR="00741C27" w:rsidRPr="00146F09" w:rsidRDefault="00741C27" w:rsidP="00777C71">
            <w:r w:rsidRPr="00C57D2B">
              <w:t>TFR</w:t>
            </w:r>
          </w:p>
        </w:tc>
        <w:tc>
          <w:tcPr>
            <w:tcW w:w="6911" w:type="dxa"/>
            <w:vAlign w:val="center"/>
          </w:tcPr>
          <w:p w:rsidR="00741C27" w:rsidRDefault="00741C27" w:rsidP="00741C27">
            <w:r>
              <w:t>T follicular regulatory</w:t>
            </w:r>
          </w:p>
        </w:tc>
      </w:tr>
      <w:tr w:rsidR="00777C71" w:rsidTr="00777C71">
        <w:tc>
          <w:tcPr>
            <w:tcW w:w="1890" w:type="dxa"/>
            <w:vAlign w:val="center"/>
          </w:tcPr>
          <w:p w:rsidR="00777C71" w:rsidRPr="00892D30" w:rsidRDefault="00777C71" w:rsidP="00777C71">
            <w:r>
              <w:t>TGA</w:t>
            </w:r>
          </w:p>
        </w:tc>
        <w:tc>
          <w:tcPr>
            <w:tcW w:w="6911" w:type="dxa"/>
            <w:vAlign w:val="center"/>
          </w:tcPr>
          <w:p w:rsidR="00777C71" w:rsidRPr="00892D30" w:rsidRDefault="00777C71" w:rsidP="00777C71">
            <w:r w:rsidRPr="00892D30">
              <w:t>Therapeutic Goods Administration</w:t>
            </w:r>
          </w:p>
        </w:tc>
      </w:tr>
      <w:tr w:rsidR="00777C71" w:rsidTr="00777C71">
        <w:tc>
          <w:tcPr>
            <w:tcW w:w="1890" w:type="dxa"/>
            <w:vAlign w:val="center"/>
          </w:tcPr>
          <w:p w:rsidR="00777C71" w:rsidRPr="00892D30" w:rsidRDefault="00777C71" w:rsidP="00777C71">
            <w:proofErr w:type="spellStart"/>
            <w:r w:rsidRPr="00892D30">
              <w:t>T</w:t>
            </w:r>
            <w:r w:rsidRPr="00BE46C6">
              <w:rPr>
                <w:vertAlign w:val="subscript"/>
              </w:rPr>
              <w:t>max</w:t>
            </w:r>
            <w:proofErr w:type="spellEnd"/>
          </w:p>
        </w:tc>
        <w:tc>
          <w:tcPr>
            <w:tcW w:w="6911" w:type="dxa"/>
            <w:vAlign w:val="center"/>
          </w:tcPr>
          <w:p w:rsidR="00777C71" w:rsidRPr="00892D30" w:rsidRDefault="00777C71" w:rsidP="00777C71">
            <w:r w:rsidRPr="00892D30">
              <w:t>Time of maximum concentration</w:t>
            </w:r>
          </w:p>
        </w:tc>
      </w:tr>
      <w:tr w:rsidR="00777C71" w:rsidTr="00777C71">
        <w:tc>
          <w:tcPr>
            <w:tcW w:w="1890" w:type="dxa"/>
            <w:vAlign w:val="center"/>
          </w:tcPr>
          <w:p w:rsidR="00777C71" w:rsidRPr="00892D30" w:rsidRDefault="00777C71" w:rsidP="00777C71">
            <w:r w:rsidRPr="00892D30">
              <w:t>TTP</w:t>
            </w:r>
          </w:p>
        </w:tc>
        <w:tc>
          <w:tcPr>
            <w:tcW w:w="6911" w:type="dxa"/>
            <w:vAlign w:val="center"/>
          </w:tcPr>
          <w:p w:rsidR="00777C71" w:rsidRPr="00892D30" w:rsidRDefault="00777C71" w:rsidP="00777C71">
            <w:r w:rsidRPr="00892D30">
              <w:t>Time to Progression</w:t>
            </w:r>
          </w:p>
        </w:tc>
      </w:tr>
      <w:tr w:rsidR="001D4BB8" w:rsidTr="00777C71">
        <w:tc>
          <w:tcPr>
            <w:tcW w:w="1890" w:type="dxa"/>
            <w:vAlign w:val="center"/>
          </w:tcPr>
          <w:p w:rsidR="001D4BB8" w:rsidRPr="00892D30" w:rsidRDefault="001D4BB8" w:rsidP="00777C71">
            <w:proofErr w:type="spellStart"/>
            <w:r w:rsidRPr="00F26CC1">
              <w:t>Vc</w:t>
            </w:r>
            <w:proofErr w:type="spellEnd"/>
          </w:p>
        </w:tc>
        <w:tc>
          <w:tcPr>
            <w:tcW w:w="6911" w:type="dxa"/>
            <w:vAlign w:val="center"/>
          </w:tcPr>
          <w:p w:rsidR="001D4BB8" w:rsidRPr="00892D30" w:rsidRDefault="002F5E51" w:rsidP="00777C71">
            <w:r>
              <w:t>Central volume of distribution</w:t>
            </w:r>
          </w:p>
        </w:tc>
      </w:tr>
      <w:tr w:rsidR="001D4BB8" w:rsidTr="00777C71">
        <w:tc>
          <w:tcPr>
            <w:tcW w:w="1890" w:type="dxa"/>
            <w:vAlign w:val="center"/>
          </w:tcPr>
          <w:p w:rsidR="001D4BB8" w:rsidRPr="00F26CC1" w:rsidRDefault="001D4BB8" w:rsidP="00777C71">
            <w:proofErr w:type="spellStart"/>
            <w:r>
              <w:t>Vp</w:t>
            </w:r>
            <w:proofErr w:type="spellEnd"/>
          </w:p>
        </w:tc>
        <w:tc>
          <w:tcPr>
            <w:tcW w:w="6911" w:type="dxa"/>
            <w:vAlign w:val="center"/>
          </w:tcPr>
          <w:p w:rsidR="001D4BB8" w:rsidRPr="00892D30" w:rsidRDefault="002F5E51" w:rsidP="00777C71">
            <w:r>
              <w:t>Peripheral volume of distribution</w:t>
            </w:r>
          </w:p>
        </w:tc>
      </w:tr>
      <w:tr w:rsidR="0085409C" w:rsidTr="00777C71">
        <w:tc>
          <w:tcPr>
            <w:tcW w:w="1890" w:type="dxa"/>
            <w:vAlign w:val="center"/>
          </w:tcPr>
          <w:p w:rsidR="0085409C" w:rsidRDefault="0085409C" w:rsidP="00777C71">
            <w:r>
              <w:t>VPC</w:t>
            </w:r>
          </w:p>
        </w:tc>
        <w:tc>
          <w:tcPr>
            <w:tcW w:w="6911" w:type="dxa"/>
            <w:vAlign w:val="center"/>
          </w:tcPr>
          <w:p w:rsidR="0085409C" w:rsidRDefault="0085409C" w:rsidP="00777C71">
            <w:r>
              <w:t>Visual predictive check</w:t>
            </w:r>
          </w:p>
        </w:tc>
      </w:tr>
      <w:tr w:rsidR="00777C71" w:rsidTr="00777C71">
        <w:tc>
          <w:tcPr>
            <w:tcW w:w="1890" w:type="dxa"/>
            <w:vAlign w:val="center"/>
          </w:tcPr>
          <w:p w:rsidR="00777C71" w:rsidRPr="00892D30" w:rsidRDefault="00777C71" w:rsidP="00777C71">
            <w:proofErr w:type="spellStart"/>
            <w:r w:rsidRPr="00892D30">
              <w:t>Vss</w:t>
            </w:r>
            <w:proofErr w:type="spellEnd"/>
          </w:p>
        </w:tc>
        <w:tc>
          <w:tcPr>
            <w:tcW w:w="6911" w:type="dxa"/>
            <w:vAlign w:val="center"/>
          </w:tcPr>
          <w:p w:rsidR="00777C71" w:rsidRPr="00892D30" w:rsidRDefault="00777C71" w:rsidP="00777C71">
            <w:r w:rsidRPr="00892D30">
              <w:t>Volume of distribution at steady state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64544994"/>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6454499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735A18">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086F23">
            <w:r w:rsidRPr="003D1E62">
              <w:t xml:space="preserve">New </w:t>
            </w:r>
            <w:r w:rsidR="00777C71">
              <w:t xml:space="preserve">biological </w:t>
            </w:r>
            <w:r w:rsidR="001B5C90">
              <w:t>c</w:t>
            </w:r>
            <w:r w:rsidRPr="003D1E62">
              <w:t xml:space="preserve">hemical </w:t>
            </w:r>
            <w:r w:rsidR="001B5C90">
              <w:t>e</w:t>
            </w:r>
            <w:r w:rsidR="004D14CC">
              <w:t>ntity</w:t>
            </w:r>
          </w:p>
        </w:tc>
      </w:tr>
      <w:tr w:rsidR="008E7846" w:rsidRPr="003D1E62" w:rsidTr="00735A18">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4D14CC" w:rsidP="00086F23">
            <w:r>
              <w:t>Approved</w:t>
            </w:r>
          </w:p>
        </w:tc>
      </w:tr>
      <w:tr w:rsidR="008E7846" w:rsidRPr="003D1E62" w:rsidTr="00735A18">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086F23" w:rsidP="001B5C90">
            <w:r>
              <w:t>15 April 2015</w:t>
            </w:r>
          </w:p>
        </w:tc>
      </w:tr>
      <w:tr w:rsidR="00ED2922" w:rsidRPr="003D1E62" w:rsidTr="00735A18">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086F23" w:rsidP="00EC463D">
            <w:pPr>
              <w:rPr>
                <w:i/>
              </w:rPr>
            </w:pPr>
            <w:r>
              <w:t>16 April 2016</w:t>
            </w:r>
          </w:p>
        </w:tc>
      </w:tr>
      <w:tr w:rsidR="008E7846" w:rsidRPr="00487162" w:rsidTr="00735A18">
        <w:tc>
          <w:tcPr>
            <w:tcW w:w="2907" w:type="dxa"/>
          </w:tcPr>
          <w:p w:rsidR="008E7846" w:rsidRPr="00487162" w:rsidRDefault="00086F23" w:rsidP="00E45619">
            <w:pPr>
              <w:rPr>
                <w:i/>
              </w:rPr>
            </w:pPr>
            <w:r>
              <w:rPr>
                <w:i/>
              </w:rPr>
              <w:t>Active ingredient</w:t>
            </w:r>
            <w:r w:rsidR="001B5C90">
              <w:rPr>
                <w:i/>
              </w:rPr>
              <w:t>:</w:t>
            </w:r>
          </w:p>
        </w:tc>
        <w:tc>
          <w:tcPr>
            <w:tcW w:w="6307" w:type="dxa"/>
          </w:tcPr>
          <w:p w:rsidR="008E7846" w:rsidRPr="00487162" w:rsidRDefault="004D14CC" w:rsidP="00E45619">
            <w:proofErr w:type="spellStart"/>
            <w:r>
              <w:t>p</w:t>
            </w:r>
            <w:r w:rsidR="00086F23">
              <w:t>embrolizumab</w:t>
            </w:r>
            <w:proofErr w:type="spellEnd"/>
            <w:r>
              <w:t xml:space="preserve"> (</w:t>
            </w:r>
            <w:proofErr w:type="spellStart"/>
            <w:r>
              <w:t>rch</w:t>
            </w:r>
            <w:proofErr w:type="spellEnd"/>
            <w:r>
              <w:t>)</w:t>
            </w:r>
          </w:p>
        </w:tc>
      </w:tr>
      <w:tr w:rsidR="008E7846" w:rsidRPr="00487162" w:rsidTr="00735A18">
        <w:tc>
          <w:tcPr>
            <w:tcW w:w="2907" w:type="dxa"/>
          </w:tcPr>
          <w:p w:rsidR="008E7846" w:rsidRPr="00487162" w:rsidRDefault="008E7846" w:rsidP="001B5C90">
            <w:pPr>
              <w:rPr>
                <w:i/>
              </w:rPr>
            </w:pPr>
            <w:r w:rsidRPr="00487162">
              <w:rPr>
                <w:i/>
              </w:rPr>
              <w:t>Product</w:t>
            </w:r>
            <w:r w:rsidR="004D14CC">
              <w:rPr>
                <w:i/>
              </w:rPr>
              <w:t xml:space="preserve"> name</w:t>
            </w:r>
            <w:r w:rsidR="001B5C90">
              <w:rPr>
                <w:i/>
              </w:rPr>
              <w:t>:</w:t>
            </w:r>
          </w:p>
        </w:tc>
        <w:tc>
          <w:tcPr>
            <w:tcW w:w="6307" w:type="dxa"/>
          </w:tcPr>
          <w:p w:rsidR="008E7846" w:rsidRPr="00487162" w:rsidRDefault="00987E81" w:rsidP="00E45619">
            <w:r>
              <w:t>Keytruda</w:t>
            </w:r>
          </w:p>
        </w:tc>
      </w:tr>
      <w:tr w:rsidR="008E7846" w:rsidRPr="00487162" w:rsidTr="00735A18">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4D14CC" w:rsidP="00E45619">
            <w:r>
              <w:t>Merck Sharp and Dohme (Australia ) Pty Ltd</w:t>
            </w:r>
          </w:p>
          <w:p w:rsidR="004D14CC" w:rsidRDefault="004D14CC" w:rsidP="00E45619">
            <w:r>
              <w:t>North Ryde Business Centre</w:t>
            </w:r>
          </w:p>
          <w:p w:rsidR="004D14CC" w:rsidRDefault="004D14CC" w:rsidP="00E45619">
            <w:r>
              <w:t>Locked Bag 2234</w:t>
            </w:r>
          </w:p>
          <w:p w:rsidR="004D14CC" w:rsidRPr="00487162" w:rsidRDefault="004D14CC" w:rsidP="00E45619">
            <w:r>
              <w:t>North Ryde BC NSW 1670</w:t>
            </w:r>
          </w:p>
        </w:tc>
      </w:tr>
      <w:tr w:rsidR="008E7846" w:rsidRPr="00487162" w:rsidTr="00735A18">
        <w:tc>
          <w:tcPr>
            <w:tcW w:w="2907" w:type="dxa"/>
          </w:tcPr>
          <w:p w:rsidR="008E7846" w:rsidRPr="00487162" w:rsidRDefault="00D16E45" w:rsidP="00E45619">
            <w:pPr>
              <w:rPr>
                <w:i/>
              </w:rPr>
            </w:pPr>
            <w:r>
              <w:rPr>
                <w:i/>
              </w:rPr>
              <w:t>Dose form</w:t>
            </w:r>
            <w:r w:rsidR="001B5C90">
              <w:rPr>
                <w:i/>
              </w:rPr>
              <w:t>:</w:t>
            </w:r>
          </w:p>
        </w:tc>
        <w:tc>
          <w:tcPr>
            <w:tcW w:w="6307" w:type="dxa"/>
          </w:tcPr>
          <w:p w:rsidR="008E7846" w:rsidRPr="00487162" w:rsidRDefault="004D14CC" w:rsidP="00E45619">
            <w:r>
              <w:t>Powder for injection</w:t>
            </w:r>
          </w:p>
        </w:tc>
      </w:tr>
      <w:tr w:rsidR="008E7846" w:rsidRPr="00487162" w:rsidTr="00735A18">
        <w:tc>
          <w:tcPr>
            <w:tcW w:w="2907" w:type="dxa"/>
          </w:tcPr>
          <w:p w:rsidR="008E7846" w:rsidRPr="00487162" w:rsidRDefault="00D16E45" w:rsidP="00E45619">
            <w:pPr>
              <w:rPr>
                <w:i/>
              </w:rPr>
            </w:pPr>
            <w:r>
              <w:rPr>
                <w:i/>
              </w:rPr>
              <w:t>Strength:</w:t>
            </w:r>
          </w:p>
        </w:tc>
        <w:tc>
          <w:tcPr>
            <w:tcW w:w="6307" w:type="dxa"/>
          </w:tcPr>
          <w:p w:rsidR="008E7846" w:rsidRPr="00487162" w:rsidRDefault="00D16E45" w:rsidP="00E45619">
            <w:r>
              <w:t>50 mg</w:t>
            </w:r>
          </w:p>
        </w:tc>
      </w:tr>
      <w:tr w:rsidR="008E7846" w:rsidRPr="00487162" w:rsidTr="00735A18">
        <w:tc>
          <w:tcPr>
            <w:tcW w:w="2907" w:type="dxa"/>
          </w:tcPr>
          <w:p w:rsidR="008E7846" w:rsidRPr="00487162" w:rsidRDefault="00D16E45" w:rsidP="00E45619">
            <w:pPr>
              <w:rPr>
                <w:i/>
              </w:rPr>
            </w:pPr>
            <w:r>
              <w:rPr>
                <w:i/>
              </w:rPr>
              <w:t>Container</w:t>
            </w:r>
            <w:r w:rsidR="008E7846" w:rsidRPr="00487162">
              <w:rPr>
                <w:i/>
              </w:rPr>
              <w:t>:</w:t>
            </w:r>
          </w:p>
        </w:tc>
        <w:tc>
          <w:tcPr>
            <w:tcW w:w="6307" w:type="dxa"/>
          </w:tcPr>
          <w:p w:rsidR="008E7846" w:rsidRPr="00487162" w:rsidRDefault="00D16E45" w:rsidP="00E45619">
            <w:r>
              <w:t>vial</w:t>
            </w:r>
          </w:p>
        </w:tc>
      </w:tr>
      <w:tr w:rsidR="008E7846" w:rsidRPr="00487162" w:rsidTr="00735A18">
        <w:tc>
          <w:tcPr>
            <w:tcW w:w="2907" w:type="dxa"/>
          </w:tcPr>
          <w:p w:rsidR="008E7846" w:rsidRPr="00487162" w:rsidRDefault="00D16E45" w:rsidP="00E45619">
            <w:pPr>
              <w:rPr>
                <w:i/>
              </w:rPr>
            </w:pPr>
            <w:r>
              <w:rPr>
                <w:i/>
              </w:rPr>
              <w:t>Pack size</w:t>
            </w:r>
            <w:r w:rsidR="008E7846" w:rsidRPr="00487162">
              <w:rPr>
                <w:i/>
              </w:rPr>
              <w:t>:</w:t>
            </w:r>
          </w:p>
        </w:tc>
        <w:tc>
          <w:tcPr>
            <w:tcW w:w="6307" w:type="dxa"/>
          </w:tcPr>
          <w:p w:rsidR="008E7846" w:rsidRPr="00487162" w:rsidRDefault="00D16E45" w:rsidP="00E45619">
            <w:r>
              <w:t>1</w:t>
            </w:r>
          </w:p>
        </w:tc>
      </w:tr>
      <w:tr w:rsidR="008E7846" w:rsidRPr="00487162" w:rsidTr="00735A18">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100E03" w:rsidRDefault="00987E81" w:rsidP="00E45619">
            <w:pPr>
              <w:rPr>
                <w:rFonts w:eastAsia="MS Mincho"/>
                <w:i/>
                <w:lang w:eastAsia="ja-JP"/>
              </w:rPr>
            </w:pPr>
            <w:r>
              <w:rPr>
                <w:i/>
              </w:rPr>
              <w:t>Keytruda</w:t>
            </w:r>
            <w:r w:rsidR="00D16E45" w:rsidRPr="00100E03">
              <w:rPr>
                <w:i/>
              </w:rPr>
              <w:t xml:space="preserve"> is indicated as monotherapy for the treatment of unresectable or metastatic melanoma in adults</w:t>
            </w:r>
          </w:p>
        </w:tc>
      </w:tr>
      <w:tr w:rsidR="008E7846" w:rsidRPr="00487162" w:rsidTr="00735A18">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D16E45" w:rsidP="00E45619">
            <w:r>
              <w:t>Intravenous infusion</w:t>
            </w:r>
          </w:p>
        </w:tc>
      </w:tr>
      <w:tr w:rsidR="008E7846" w:rsidRPr="00487162" w:rsidTr="00735A18">
        <w:tc>
          <w:tcPr>
            <w:tcW w:w="2907" w:type="dxa"/>
          </w:tcPr>
          <w:p w:rsidR="008E7846" w:rsidRPr="00487162" w:rsidRDefault="008E7846" w:rsidP="00E45619">
            <w:pPr>
              <w:rPr>
                <w:i/>
              </w:rPr>
            </w:pPr>
            <w:r w:rsidRPr="00487162">
              <w:rPr>
                <w:i/>
              </w:rPr>
              <w:t>Dosage:</w:t>
            </w:r>
          </w:p>
        </w:tc>
        <w:tc>
          <w:tcPr>
            <w:tcW w:w="6307" w:type="dxa"/>
          </w:tcPr>
          <w:p w:rsidR="008E7846" w:rsidRPr="00D16E45" w:rsidRDefault="00D16E45" w:rsidP="00D16E45">
            <w:r w:rsidRPr="00D16E45">
              <w:t>2 mg/kg administered intravenously over 30 minutes every 3 weeks (</w:t>
            </w:r>
            <w:r w:rsidR="00987E81">
              <w:t>‘</w:t>
            </w:r>
            <w:r w:rsidRPr="00D16E45">
              <w:t>Q3W</w:t>
            </w:r>
            <w:r w:rsidR="00987E81">
              <w:t>’</w:t>
            </w:r>
            <w:r w:rsidRPr="00D16E45">
              <w:t>)</w:t>
            </w:r>
            <w:r>
              <w:t xml:space="preserve">. </w:t>
            </w:r>
            <w:r w:rsidRPr="00D16E45">
              <w:t>Infusion requires a sterile, non-pyrogenic, low protein binding 0.2 to 5 µm in-line or add-on filter.</w:t>
            </w:r>
          </w:p>
        </w:tc>
      </w:tr>
      <w:tr w:rsidR="008E7846" w:rsidRPr="00487162" w:rsidTr="00735A18">
        <w:tc>
          <w:tcPr>
            <w:tcW w:w="2907" w:type="dxa"/>
          </w:tcPr>
          <w:p w:rsidR="008E7846" w:rsidRPr="00487162" w:rsidRDefault="008E7846" w:rsidP="001B5C90">
            <w:pPr>
              <w:rPr>
                <w:i/>
              </w:rPr>
            </w:pPr>
            <w:r w:rsidRPr="00487162">
              <w:rPr>
                <w:i/>
              </w:rPr>
              <w:t xml:space="preserve">ARTG </w:t>
            </w:r>
            <w:r w:rsidR="001B5C90">
              <w:rPr>
                <w:i/>
              </w:rPr>
              <w:t>n</w:t>
            </w:r>
            <w:r w:rsidR="00D16E45">
              <w:rPr>
                <w:i/>
              </w:rPr>
              <w:t>umber</w:t>
            </w:r>
            <w:r w:rsidR="001B5C90">
              <w:rPr>
                <w:i/>
              </w:rPr>
              <w:t>:</w:t>
            </w:r>
          </w:p>
        </w:tc>
        <w:tc>
          <w:tcPr>
            <w:tcW w:w="6307" w:type="dxa"/>
          </w:tcPr>
          <w:p w:rsidR="008E7846" w:rsidRPr="00487162" w:rsidRDefault="00D16E45" w:rsidP="00E45619">
            <w:r>
              <w:t>226597</w:t>
            </w:r>
          </w:p>
        </w:tc>
      </w:tr>
    </w:tbl>
    <w:p w:rsidR="008E7846" w:rsidRDefault="008E7846" w:rsidP="008E7846">
      <w:pPr>
        <w:pStyle w:val="Heading3"/>
      </w:pPr>
      <w:bookmarkStart w:id="13" w:name="_Toc247691503"/>
      <w:bookmarkStart w:id="14" w:name="_Toc314842484"/>
      <w:bookmarkStart w:id="15" w:name="_Toc464544996"/>
      <w:r>
        <w:t>Product background</w:t>
      </w:r>
      <w:bookmarkEnd w:id="13"/>
      <w:bookmarkEnd w:id="14"/>
      <w:bookmarkEnd w:id="15"/>
    </w:p>
    <w:p w:rsidR="008E7846" w:rsidRDefault="00940A89" w:rsidP="00940A89">
      <w:r w:rsidRPr="00940A89">
        <w:t xml:space="preserve">This AusPAR describes the application by </w:t>
      </w:r>
      <w:r w:rsidR="00EA34B8">
        <w:t>Merck Sharp and Dohme (</w:t>
      </w:r>
      <w:r w:rsidR="002E5229">
        <w:t>Australia)</w:t>
      </w:r>
      <w:r w:rsidR="00EA34B8">
        <w:t xml:space="preserve"> Pty Ltd</w:t>
      </w:r>
      <w:r w:rsidR="00EA34B8" w:rsidRPr="00940A89">
        <w:t xml:space="preserve"> </w:t>
      </w:r>
      <w:r w:rsidR="00EA34B8">
        <w:t>(</w:t>
      </w:r>
      <w:r w:rsidRPr="00940A89">
        <w:t>the sponsor</w:t>
      </w:r>
      <w:r w:rsidR="00EA34B8">
        <w:t>)</w:t>
      </w:r>
      <w:r w:rsidRPr="00940A89">
        <w:t xml:space="preserve"> to register </w:t>
      </w:r>
      <w:proofErr w:type="spellStart"/>
      <w:r w:rsidR="00987E81">
        <w:t>Keytruda</w:t>
      </w:r>
      <w:proofErr w:type="spellEnd"/>
      <w:r w:rsidR="00D16E45">
        <w:t xml:space="preserve"> </w:t>
      </w:r>
      <w:proofErr w:type="spellStart"/>
      <w:r w:rsidR="00D16E45">
        <w:t>pembrolizumab</w:t>
      </w:r>
      <w:proofErr w:type="spellEnd"/>
      <w:r w:rsidR="00D16E45">
        <w:t xml:space="preserve"> (</w:t>
      </w:r>
      <w:proofErr w:type="spellStart"/>
      <w:r w:rsidR="00D16E45">
        <w:t>rch</w:t>
      </w:r>
      <w:proofErr w:type="spellEnd"/>
      <w:r w:rsidR="00D16E45">
        <w:t>) 50mg powder for injection vial</w:t>
      </w:r>
      <w:r w:rsidRPr="00940A89">
        <w:t xml:space="preserve"> f</w:t>
      </w:r>
      <w:r w:rsidR="00EA34B8">
        <w:t>or the following indication;</w:t>
      </w:r>
    </w:p>
    <w:p w:rsidR="00EA34B8" w:rsidRPr="00EA34B8" w:rsidRDefault="00987E81" w:rsidP="00EA34B8">
      <w:pPr>
        <w:ind w:left="720"/>
        <w:rPr>
          <w:i/>
        </w:rPr>
      </w:pPr>
      <w:proofErr w:type="spellStart"/>
      <w:r>
        <w:rPr>
          <w:i/>
        </w:rPr>
        <w:t>Keytruda</w:t>
      </w:r>
      <w:proofErr w:type="spellEnd"/>
      <w:r w:rsidR="00EA34B8" w:rsidRPr="00EA34B8">
        <w:rPr>
          <w:i/>
        </w:rPr>
        <w:t xml:space="preserve"> </w:t>
      </w:r>
      <w:proofErr w:type="spellStart"/>
      <w:r w:rsidR="00EA34B8" w:rsidRPr="00EA34B8">
        <w:rPr>
          <w:i/>
        </w:rPr>
        <w:t>pembrolizumab</w:t>
      </w:r>
      <w:proofErr w:type="spellEnd"/>
      <w:r w:rsidR="00EA34B8" w:rsidRPr="00EA34B8">
        <w:rPr>
          <w:i/>
        </w:rPr>
        <w:t xml:space="preserve"> (</w:t>
      </w:r>
      <w:proofErr w:type="spellStart"/>
      <w:r w:rsidR="00EA34B8" w:rsidRPr="00EA34B8">
        <w:rPr>
          <w:i/>
        </w:rPr>
        <w:t>rch</w:t>
      </w:r>
      <w:proofErr w:type="spellEnd"/>
      <w:r w:rsidR="00EA34B8" w:rsidRPr="00EA34B8">
        <w:rPr>
          <w:i/>
        </w:rPr>
        <w:t>) is indicated for the treatment of unresectable or metastatic melanoma in adults</w:t>
      </w:r>
      <w:r w:rsidR="00EA34B8">
        <w:rPr>
          <w:i/>
        </w:rPr>
        <w:t>.</w:t>
      </w:r>
    </w:p>
    <w:p w:rsidR="00D16E45" w:rsidRDefault="0004095A" w:rsidP="00735A18">
      <w:pPr>
        <w:pageBreakBefore/>
      </w:pPr>
      <w:proofErr w:type="spellStart"/>
      <w:r w:rsidRPr="0004095A">
        <w:lastRenderedPageBreak/>
        <w:t>Pembrolizumab</w:t>
      </w:r>
      <w:proofErr w:type="spellEnd"/>
      <w:r w:rsidR="004C1A99">
        <w:t xml:space="preserve"> (</w:t>
      </w:r>
      <w:proofErr w:type="spellStart"/>
      <w:r w:rsidR="004C1A99">
        <w:t>rch</w:t>
      </w:r>
      <w:proofErr w:type="spellEnd"/>
      <w:r w:rsidR="004C1A99">
        <w:t>)</w:t>
      </w:r>
      <w:r w:rsidR="004C1A99" w:rsidRPr="00987E81">
        <w:rPr>
          <w:vertAlign w:val="superscript"/>
        </w:rPr>
        <w:footnoteReference w:id="1"/>
      </w:r>
      <w:r w:rsidRPr="0004095A">
        <w:t xml:space="preserve"> is a human</w:t>
      </w:r>
      <w:r w:rsidR="00987E81">
        <w:t>ise</w:t>
      </w:r>
      <w:r w:rsidRPr="0004095A">
        <w:t>d monoclonal antibody</w:t>
      </w:r>
      <w:r w:rsidRPr="00987E81">
        <w:rPr>
          <w:vertAlign w:val="superscript"/>
        </w:rPr>
        <w:footnoteReference w:id="2"/>
      </w:r>
      <w:r w:rsidRPr="0004095A">
        <w:t xml:space="preserve"> against the </w:t>
      </w:r>
      <w:r w:rsidR="004C1A99">
        <w:t>programmed cell death receptor -1 (</w:t>
      </w:r>
      <w:r w:rsidRPr="0004095A">
        <w:t>PD-1</w:t>
      </w:r>
      <w:r w:rsidR="004C1A99">
        <w:t>)</w:t>
      </w:r>
      <w:r w:rsidRPr="0004095A">
        <w:t>.</w:t>
      </w:r>
      <w:r w:rsidR="00635167">
        <w:t xml:space="preserve"> </w:t>
      </w:r>
      <w:r w:rsidR="00987E81">
        <w:t>Pembrolizumab inhibits PD-1 to</w:t>
      </w:r>
      <w:r w:rsidRPr="0004095A">
        <w:t xml:space="preserve"> </w:t>
      </w:r>
      <w:r w:rsidR="00BD2F06">
        <w:t>(programmed death ligand) PD</w:t>
      </w:r>
      <w:r w:rsidR="00BD2F06">
        <w:noBreakHyphen/>
      </w:r>
      <w:r w:rsidRPr="0004095A">
        <w:t>L signalling</w:t>
      </w:r>
      <w:r w:rsidR="004C1A99">
        <w:t>.</w:t>
      </w:r>
      <w:r>
        <w:t xml:space="preserve"> </w:t>
      </w:r>
      <w:r w:rsidRPr="0004095A">
        <w:t xml:space="preserve">PD-1’s </w:t>
      </w:r>
      <w:r w:rsidR="00987E81">
        <w:t xml:space="preserve">role is </w:t>
      </w:r>
      <w:r w:rsidRPr="0004095A">
        <w:t>to limit the activity of T cells in tissues at the time of an inflammatory response to infection and to limit autoimmunity.</w:t>
      </w:r>
      <w:r w:rsidR="00BD2F06">
        <w:rPr>
          <w:rStyle w:val="FootnoteReference"/>
        </w:rPr>
        <w:footnoteReference w:id="3"/>
      </w:r>
    </w:p>
    <w:p w:rsidR="003C39BE" w:rsidRPr="003C39BE" w:rsidRDefault="00485A77" w:rsidP="0004095A">
      <w:r>
        <w:t>The PD-</w:t>
      </w:r>
      <w:r w:rsidRPr="00C64A78">
        <w:t xml:space="preserve">1 pathway, normally involved in promoting peripheral tolerance, may be usurped </w:t>
      </w:r>
      <w:r>
        <w:t xml:space="preserve">in tumours to overcome active T </w:t>
      </w:r>
      <w:r w:rsidRPr="00C64A78">
        <w:t xml:space="preserve">cell immune surveillance. As </w:t>
      </w:r>
      <w:r>
        <w:t>an antibody directed against PD-</w:t>
      </w:r>
      <w:r w:rsidRPr="00C64A78">
        <w:t>1, pembrolizumab is designed to block</w:t>
      </w:r>
      <w:r>
        <w:t xml:space="preserve"> the interaction between the PD-1 receptor and its ligands, PD-L1 and </w:t>
      </w:r>
      <w:r w:rsidR="00BD2F06">
        <w:t>programmed death ligand-2 (</w:t>
      </w:r>
      <w:r>
        <w:t>PD-L2</w:t>
      </w:r>
      <w:r w:rsidR="00BD2F06">
        <w:t>)</w:t>
      </w:r>
      <w:r>
        <w:t>. PD-</w:t>
      </w:r>
      <w:r w:rsidRPr="00C64A78">
        <w:t xml:space="preserve">L1 has been found to be abundantly expressed by human melanomas and </w:t>
      </w:r>
      <w:r>
        <w:t>other cancers,</w:t>
      </w:r>
      <w:r>
        <w:rPr>
          <w:rStyle w:val="FootnoteReference"/>
        </w:rPr>
        <w:footnoteReference w:id="4"/>
      </w:r>
      <w:r w:rsidRPr="00C64A78">
        <w:t xml:space="preserve"> with high expression correlated with poor prognosis a</w:t>
      </w:r>
      <w:r>
        <w:t>nd survival. Blockade of the PD-</w:t>
      </w:r>
      <w:r w:rsidRPr="00C64A78">
        <w:t>1 pathway by pembrolizumab is envisaged to enhance th</w:t>
      </w:r>
      <w:r>
        <w:t xml:space="preserve">e functional activity of tumour </w:t>
      </w:r>
      <w:r w:rsidRPr="00C64A78">
        <w:t>infiltrating lymphocyt</w:t>
      </w:r>
      <w:r w:rsidR="004C1A99">
        <w:t>es to induce tumour regression.</w:t>
      </w:r>
      <w:r w:rsidR="00BD2F06">
        <w:t xml:space="preserve"> I</w:t>
      </w:r>
      <w:r w:rsidR="0004095A" w:rsidRPr="0004095A">
        <w:t xml:space="preserve">n melanoma </w:t>
      </w:r>
      <w:r w:rsidR="00BD2F06">
        <w:t>th</w:t>
      </w:r>
      <w:r w:rsidR="0004095A" w:rsidRPr="0004095A">
        <w:t xml:space="preserve">is </w:t>
      </w:r>
      <w:r w:rsidR="00BD2F06">
        <w:t>is to</w:t>
      </w:r>
      <w:r w:rsidR="0004095A" w:rsidRPr="0004095A">
        <w:t xml:space="preserve"> allow the immune system to engage</w:t>
      </w:r>
      <w:r w:rsidR="00B9682F">
        <w:t xml:space="preserve"> with and ‘reject’ the melanoma</w:t>
      </w:r>
      <w:r w:rsidR="0004095A" w:rsidRPr="0004095A">
        <w:t>.</w:t>
      </w:r>
      <w:r w:rsidR="00635167">
        <w:t xml:space="preserve"> </w:t>
      </w:r>
      <w:r w:rsidR="00BD2F06">
        <w:t>A</w:t>
      </w:r>
      <w:r w:rsidR="0004095A" w:rsidRPr="0004095A">
        <w:t xml:space="preserve"> recent synopsis</w:t>
      </w:r>
      <w:bookmarkStart w:id="16" w:name="_Ref458610959"/>
      <w:r w:rsidR="004C1A99">
        <w:t xml:space="preserve"> </w:t>
      </w:r>
      <w:r w:rsidR="00BD2F06">
        <w:t xml:space="preserve">has been </w:t>
      </w:r>
      <w:r w:rsidR="004C1A99">
        <w:t>published.</w:t>
      </w:r>
      <w:r w:rsidR="00987E81">
        <w:rPr>
          <w:rStyle w:val="FootnoteReference"/>
        </w:rPr>
        <w:footnoteReference w:id="5"/>
      </w:r>
      <w:bookmarkEnd w:id="16"/>
    </w:p>
    <w:p w:rsidR="0004095A" w:rsidRPr="0004095A" w:rsidRDefault="0004095A" w:rsidP="0004095A">
      <w:r w:rsidRPr="0004095A">
        <w:t>Treatment of advanced melanoma has changed with recent availability of ipilimumab (anti-CTLA-4 antibody), vemurafenib (BRAF inhibitor), dabrafenib (BRAF inhibitor) and trametinib (MEK inhibitor)</w:t>
      </w:r>
      <w:bookmarkStart w:id="17" w:name="_Ref458518258"/>
      <w:r w:rsidR="00987E81">
        <w:rPr>
          <w:rStyle w:val="FootnoteReference"/>
        </w:rPr>
        <w:footnoteReference w:id="6"/>
      </w:r>
      <w:bookmarkEnd w:id="17"/>
      <w:r w:rsidRPr="0004095A">
        <w:t>.</w:t>
      </w:r>
      <w:r w:rsidR="00635167">
        <w:t xml:space="preserve"> </w:t>
      </w:r>
      <w:r w:rsidRPr="0004095A">
        <w:t>In the USA, pembrolizumab and nivolumab (PD-1 inhibitors) became available in 2014.</w:t>
      </w:r>
    </w:p>
    <w:p w:rsidR="00D16E45" w:rsidRPr="0004095A" w:rsidRDefault="00D16E45" w:rsidP="0004095A">
      <w:r w:rsidRPr="0004095A">
        <w:t>The sponsor has applied for an indication in unresectable or metastatic melanoma.</w:t>
      </w:r>
    </w:p>
    <w:p w:rsidR="008E7846" w:rsidRPr="003F31A2" w:rsidRDefault="00386150" w:rsidP="008E7846">
      <w:pPr>
        <w:pStyle w:val="Heading3"/>
      </w:pPr>
      <w:bookmarkStart w:id="18" w:name="_Toc314842485"/>
      <w:bookmarkStart w:id="19" w:name="_Toc247691504"/>
      <w:bookmarkStart w:id="20" w:name="_Toc464544997"/>
      <w:r>
        <w:t>Regulatory s</w:t>
      </w:r>
      <w:r w:rsidR="008E7846">
        <w:t>tatus</w:t>
      </w:r>
      <w:bookmarkEnd w:id="18"/>
      <w:bookmarkEnd w:id="19"/>
      <w:bookmarkEnd w:id="20"/>
    </w:p>
    <w:p w:rsidR="00940A89" w:rsidRPr="00940A89" w:rsidRDefault="00940A89" w:rsidP="00735A18">
      <w:bookmarkStart w:id="21" w:name="_Toc247691505"/>
      <w:bookmarkStart w:id="22" w:name="_Toc314842486"/>
      <w:r w:rsidRPr="00940A89">
        <w:t>The product received initial registration on the Australian Register</w:t>
      </w:r>
      <w:r w:rsidR="0004095A">
        <w:t xml:space="preserve"> of Therapeutic Goods (ARTG) on 16 April 2015.</w:t>
      </w:r>
    </w:p>
    <w:p w:rsidR="0004095A" w:rsidRDefault="00940A89" w:rsidP="00940A89">
      <w:r w:rsidRPr="00940A89">
        <w:t xml:space="preserve">At the time the TGA considered this application, a similar application had been approved </w:t>
      </w:r>
      <w:r w:rsidR="0004095A">
        <w:t>in USA (approved 4 September 2014</w:t>
      </w:r>
      <w:r w:rsidRPr="00940A89">
        <w:t>) was under co</w:t>
      </w:r>
      <w:r w:rsidR="0004095A">
        <w:t>nsideration in; EU/EMEA Centralised procedure (submitted June 2014) and Canada</w:t>
      </w:r>
      <w:r>
        <w:t xml:space="preserve"> </w:t>
      </w:r>
      <w:r w:rsidR="0004095A">
        <w:t>(submitted June 2014</w:t>
      </w:r>
      <w:r w:rsidR="00262D2D">
        <w:t>).</w:t>
      </w:r>
    </w:p>
    <w:p w:rsidR="006207A9" w:rsidRPr="006207A9" w:rsidRDefault="006207A9" w:rsidP="006207A9">
      <w:pPr>
        <w:pStyle w:val="Heading4"/>
      </w:pPr>
      <w:r w:rsidRPr="006207A9">
        <w:t>Overseas status</w:t>
      </w:r>
    </w:p>
    <w:p w:rsidR="006207A9" w:rsidRPr="006207A9" w:rsidRDefault="00FC4BAC" w:rsidP="006207A9">
      <w:pPr>
        <w:pStyle w:val="Heading5"/>
      </w:pPr>
      <w:r>
        <w:t>USA;</w:t>
      </w:r>
      <w:r w:rsidR="006207A9" w:rsidRPr="006207A9">
        <w:t xml:space="preserve"> </w:t>
      </w:r>
      <w:r w:rsidR="007B720C">
        <w:t xml:space="preserve">Food and </w:t>
      </w:r>
      <w:r w:rsidR="00735A18">
        <w:t>Drug Administration</w:t>
      </w:r>
    </w:p>
    <w:p w:rsidR="006207A9" w:rsidRPr="006207A9" w:rsidRDefault="006207A9" w:rsidP="006207A9">
      <w:r w:rsidRPr="006207A9">
        <w:t xml:space="preserve">The product was approved by the </w:t>
      </w:r>
      <w:r w:rsidR="007B720C">
        <w:t>Food and Drug Administration</w:t>
      </w:r>
      <w:r w:rsidR="007B720C" w:rsidRPr="006207A9">
        <w:t xml:space="preserve"> </w:t>
      </w:r>
      <w:r w:rsidR="007B720C">
        <w:t>(</w:t>
      </w:r>
      <w:r w:rsidRPr="006207A9">
        <w:t>FDA</w:t>
      </w:r>
      <w:r w:rsidR="007B720C">
        <w:t>)</w:t>
      </w:r>
      <w:r w:rsidRPr="006207A9">
        <w:t xml:space="preserve"> on 9 April 2014 with the following indication:</w:t>
      </w:r>
    </w:p>
    <w:p w:rsidR="006207A9" w:rsidRPr="006207A9" w:rsidRDefault="00987E81" w:rsidP="006207A9">
      <w:pPr>
        <w:ind w:left="720"/>
        <w:rPr>
          <w:i/>
        </w:rPr>
      </w:pPr>
      <w:r>
        <w:rPr>
          <w:i/>
        </w:rPr>
        <w:t>Keytruda</w:t>
      </w:r>
      <w:r w:rsidR="006207A9" w:rsidRPr="006207A9">
        <w:rPr>
          <w:i/>
        </w:rPr>
        <w:t xml:space="preserve"> (pembrolizumab) is indicated for the treatment of patients with unresectable or metastatic melanoma and disease progression following ipilimumab and, if BRAF V600 mutation positive, a BRAF inhibitor.</w:t>
      </w:r>
    </w:p>
    <w:p w:rsidR="006207A9" w:rsidRPr="006207A9" w:rsidRDefault="006207A9" w:rsidP="006207A9">
      <w:pPr>
        <w:ind w:left="720"/>
        <w:rPr>
          <w:i/>
        </w:rPr>
      </w:pPr>
      <w:r w:rsidRPr="006207A9">
        <w:rPr>
          <w:i/>
        </w:rPr>
        <w:t xml:space="preserve">This indication is approved under accelerated approval based on </w:t>
      </w:r>
      <w:r w:rsidR="00987E81" w:rsidRPr="006207A9">
        <w:rPr>
          <w:i/>
        </w:rPr>
        <w:t>tumour</w:t>
      </w:r>
      <w:r w:rsidRPr="006207A9">
        <w:rPr>
          <w:i/>
        </w:rPr>
        <w:t xml:space="preserve"> response rate and durability of response.</w:t>
      </w:r>
      <w:r w:rsidR="00987E81">
        <w:rPr>
          <w:i/>
        </w:rPr>
        <w:t xml:space="preserve"> </w:t>
      </w:r>
      <w:r w:rsidRPr="006207A9">
        <w:rPr>
          <w:i/>
        </w:rPr>
        <w:t>An improvement in survival or disease-related symptoms has not yet been established.</w:t>
      </w:r>
      <w:r w:rsidR="00987E81">
        <w:rPr>
          <w:i/>
        </w:rPr>
        <w:t xml:space="preserve"> </w:t>
      </w:r>
      <w:r w:rsidRPr="006207A9">
        <w:rPr>
          <w:i/>
        </w:rPr>
        <w:t xml:space="preserve">Continued approval for this indication may </w:t>
      </w:r>
      <w:r w:rsidRPr="006207A9">
        <w:rPr>
          <w:i/>
        </w:rPr>
        <w:lastRenderedPageBreak/>
        <w:t>be contingent upon verification and description of clinical benefit in the confirmatory trials.</w:t>
      </w:r>
    </w:p>
    <w:p w:rsidR="006207A9" w:rsidRPr="006207A9" w:rsidRDefault="006207A9" w:rsidP="006207A9">
      <w:r w:rsidRPr="006207A9">
        <w:t>MSD sought an indication in patients previously treated with ip</w:t>
      </w:r>
      <w:r w:rsidR="00987E81">
        <w:t>ilimumab; but the FDA required; in addition</w:t>
      </w:r>
      <w:r w:rsidRPr="006207A9">
        <w:t xml:space="preserve"> disease progression following BRAF inhibition in patients with </w:t>
      </w:r>
      <w:r w:rsidR="00987E81">
        <w:t xml:space="preserve">BRAF mutant </w:t>
      </w:r>
      <w:r w:rsidRPr="006207A9">
        <w:t>tumours.</w:t>
      </w:r>
      <w:r w:rsidR="00987E81">
        <w:t xml:space="preserve"> </w:t>
      </w:r>
      <w:r w:rsidRPr="006207A9">
        <w:t xml:space="preserve">The FDA had access to a dataset with an efficacy </w:t>
      </w:r>
      <w:r w:rsidR="00735A18">
        <w:t>cut-off</w:t>
      </w:r>
      <w:r w:rsidRPr="006207A9">
        <w:t xml:space="preserve"> date 13 October 2013, but did not have access to sub-group analysis by PD-L1 status.</w:t>
      </w:r>
    </w:p>
    <w:p w:rsidR="006207A9" w:rsidRPr="006207A9" w:rsidRDefault="006207A9" w:rsidP="006207A9">
      <w:r w:rsidRPr="006207A9">
        <w:t xml:space="preserve">The application was approved under accelerated approval regulations, as emphasised within the US indication, so that </w:t>
      </w:r>
      <w:r w:rsidR="00987E81">
        <w:t>‘</w:t>
      </w:r>
      <w:r w:rsidRPr="006207A9">
        <w:t xml:space="preserve">further adequate and </w:t>
      </w:r>
      <w:r w:rsidR="00987E81">
        <w:t>well controlled studies /</w:t>
      </w:r>
      <w:r w:rsidRPr="006207A9">
        <w:t>clinical trials to verify and describe clinical benefit</w:t>
      </w:r>
      <w:r w:rsidR="00987E81">
        <w:t>’</w:t>
      </w:r>
      <w:r w:rsidRPr="006207A9">
        <w:t xml:space="preserve"> are required.</w:t>
      </w:r>
      <w:r w:rsidR="00987E81">
        <w:t xml:space="preserve"> </w:t>
      </w:r>
      <w:r w:rsidRPr="006207A9">
        <w:t>The following requirement was included in the approval letter.</w:t>
      </w:r>
    </w:p>
    <w:p w:rsidR="006207A9" w:rsidRPr="006207A9" w:rsidRDefault="006207A9" w:rsidP="006207A9">
      <w:pPr>
        <w:ind w:left="720"/>
      </w:pPr>
      <w:r w:rsidRPr="006207A9">
        <w:t>2770-1 (trial completion March 2016; report submission January 2017)</w:t>
      </w:r>
    </w:p>
    <w:p w:rsidR="006207A9" w:rsidRPr="006207A9" w:rsidRDefault="006207A9" w:rsidP="006207A9">
      <w:pPr>
        <w:ind w:left="720"/>
      </w:pPr>
      <w:r w:rsidRPr="006207A9">
        <w:t xml:space="preserve">Conduct and submit the results of a </w:t>
      </w:r>
      <w:r w:rsidR="00987E81" w:rsidRPr="006207A9">
        <w:t>multicentre</w:t>
      </w:r>
      <w:r w:rsidRPr="006207A9">
        <w:t>, random</w:t>
      </w:r>
      <w:r w:rsidR="00987E81">
        <w:t>ise</w:t>
      </w:r>
      <w:r w:rsidRPr="006207A9">
        <w:t>d trial or trials establishing the superiority of pembrolizumab over standard therapy in adult patients with unresectable or metastatic melanoma who are refractory to ipilimumab or who have not been previously treated with ipilimumab.</w:t>
      </w:r>
    </w:p>
    <w:p w:rsidR="006207A9" w:rsidRPr="006207A9" w:rsidRDefault="006207A9" w:rsidP="006207A9">
      <w:r w:rsidRPr="006207A9">
        <w:t>Studies P002 and P006 are such trials.</w:t>
      </w:r>
    </w:p>
    <w:p w:rsidR="006207A9" w:rsidRPr="006207A9" w:rsidRDefault="006207A9" w:rsidP="006207A9">
      <w:r w:rsidRPr="006207A9">
        <w:t xml:space="preserve">No Risk Evaluation and Mitigation Strategy (REMS) </w:t>
      </w:r>
      <w:proofErr w:type="gramStart"/>
      <w:r w:rsidRPr="006207A9">
        <w:t>was</w:t>
      </w:r>
      <w:proofErr w:type="gramEnd"/>
      <w:r w:rsidRPr="006207A9">
        <w:t xml:space="preserve"> required by the FDA.</w:t>
      </w:r>
      <w:r w:rsidR="00987E81">
        <w:t xml:space="preserve"> </w:t>
      </w:r>
      <w:r w:rsidRPr="006207A9">
        <w:t xml:space="preserve">There is </w:t>
      </w:r>
      <w:proofErr w:type="gramStart"/>
      <w:r w:rsidRPr="006207A9">
        <w:t>a REMS</w:t>
      </w:r>
      <w:proofErr w:type="gramEnd"/>
      <w:r w:rsidRPr="006207A9">
        <w:t xml:space="preserve"> in place for ipilimumab.</w:t>
      </w:r>
    </w:p>
    <w:p w:rsidR="006207A9" w:rsidRPr="006207A9" w:rsidRDefault="006207A9" w:rsidP="006207A9">
      <w:r w:rsidRPr="006207A9">
        <w:t>The application was not considered by the relevant FDA advisory committee (</w:t>
      </w:r>
      <w:r w:rsidR="003C39BE">
        <w:t>oncologic drugs advisory committee</w:t>
      </w:r>
      <w:r w:rsidR="003C39BE" w:rsidRPr="006207A9">
        <w:t xml:space="preserve"> </w:t>
      </w:r>
      <w:r w:rsidR="003C39BE">
        <w:t>(</w:t>
      </w:r>
      <w:r w:rsidRPr="006207A9">
        <w:t>ODAC</w:t>
      </w:r>
      <w:r w:rsidR="003C39BE">
        <w:t>))</w:t>
      </w:r>
      <w:r w:rsidRPr="006207A9">
        <w:t xml:space="preserve"> for the following reasons (given in the approval letter</w:t>
      </w:r>
      <w:r w:rsidRPr="00987E81">
        <w:rPr>
          <w:vertAlign w:val="superscript"/>
        </w:rPr>
        <w:footnoteReference w:id="7"/>
      </w:r>
      <w:r w:rsidRPr="006207A9">
        <w:t>):</w:t>
      </w:r>
    </w:p>
    <w:p w:rsidR="006207A9" w:rsidRPr="006207A9" w:rsidRDefault="006207A9" w:rsidP="006207A9">
      <w:pPr>
        <w:ind w:left="720"/>
      </w:pPr>
      <w:r w:rsidRPr="006207A9">
        <w:t xml:space="preserve">…the safety profile is acceptable for the treatment of patients with unresectable or metastatic melanoma whose disease has progressed following treatment with ipilimumab, and, if BRAF V600 mutation positive, received treatment with a BRAF inhibitor. The application did not raise significant public health questions on the role of </w:t>
      </w:r>
      <w:r w:rsidR="00987E81">
        <w:t>Keytruda</w:t>
      </w:r>
      <w:r w:rsidRPr="006207A9">
        <w:t xml:space="preserve"> for this indication and outside expertise was not necessary as there were no controversial issues that would benefit from an advisory committee discussion.</w:t>
      </w:r>
    </w:p>
    <w:p w:rsidR="006207A9" w:rsidRPr="006207A9" w:rsidRDefault="006207A9" w:rsidP="006207A9">
      <w:r w:rsidRPr="006207A9">
        <w:t xml:space="preserve">Since FDA approval, one safety issue has emerged, namely </w:t>
      </w:r>
      <w:r w:rsidR="00987E81">
        <w:t>‘</w:t>
      </w:r>
      <w:r w:rsidRPr="006207A9">
        <w:t xml:space="preserve">reports of fatal outcome of adverse events related to </w:t>
      </w:r>
      <w:r w:rsidR="003C39BE" w:rsidRPr="006207A9">
        <w:t xml:space="preserve">interstitial lung disease </w:t>
      </w:r>
      <w:r w:rsidRPr="006207A9">
        <w:t>(ILD) that may be possibly related to pembrolizumab treatment</w:t>
      </w:r>
      <w:r w:rsidR="00987E81">
        <w:t>.’</w:t>
      </w:r>
      <w:r w:rsidRPr="00987E81">
        <w:rPr>
          <w:vertAlign w:val="superscript"/>
        </w:rPr>
        <w:footnoteReference w:id="8"/>
      </w:r>
    </w:p>
    <w:p w:rsidR="006207A9" w:rsidRPr="006207A9" w:rsidRDefault="00FC4BAC" w:rsidP="006207A9">
      <w:pPr>
        <w:pStyle w:val="Heading5"/>
      </w:pPr>
      <w:r>
        <w:t>EU;</w:t>
      </w:r>
      <w:r w:rsidR="006207A9" w:rsidRPr="006207A9">
        <w:t xml:space="preserve"> </w:t>
      </w:r>
      <w:r w:rsidR="007B720C">
        <w:t>European Medicines Agency (EMA)</w:t>
      </w:r>
    </w:p>
    <w:p w:rsidR="006207A9" w:rsidRPr="006207A9" w:rsidRDefault="006207A9" w:rsidP="006207A9">
      <w:r w:rsidRPr="006207A9">
        <w:t>An application has been received by the EMA for marketing authorisation.</w:t>
      </w:r>
      <w:r w:rsidR="00987E81">
        <w:t xml:space="preserve"> </w:t>
      </w:r>
      <w:r w:rsidRPr="006207A9">
        <w:t>The sought indication is:</w:t>
      </w:r>
    </w:p>
    <w:p w:rsidR="006207A9" w:rsidRPr="006207A9" w:rsidRDefault="00987E81" w:rsidP="006207A9">
      <w:pPr>
        <w:ind w:left="720"/>
        <w:rPr>
          <w:i/>
        </w:rPr>
      </w:pPr>
      <w:r>
        <w:rPr>
          <w:i/>
        </w:rPr>
        <w:t>Keytruda</w:t>
      </w:r>
      <w:r w:rsidR="006207A9" w:rsidRPr="006207A9">
        <w:rPr>
          <w:i/>
        </w:rPr>
        <w:t xml:space="preserve"> is indicated for the treatment of unresectable or metastatic melanoma in adults.</w:t>
      </w:r>
    </w:p>
    <w:p w:rsidR="006207A9" w:rsidRPr="006207A9" w:rsidRDefault="006207A9" w:rsidP="006207A9">
      <w:r w:rsidRPr="006207A9">
        <w:t>Pembrolizumab was not approved for a</w:t>
      </w:r>
      <w:r w:rsidR="00987E81">
        <w:t xml:space="preserve">ny use by the EMA as of 22 January </w:t>
      </w:r>
      <w:r w:rsidRPr="006207A9">
        <w:t>2015.</w:t>
      </w:r>
    </w:p>
    <w:p w:rsidR="006207A9" w:rsidRPr="006207A9" w:rsidRDefault="006207A9" w:rsidP="006207A9">
      <w:pPr>
        <w:pStyle w:val="Heading5"/>
      </w:pPr>
      <w:r w:rsidRPr="006207A9">
        <w:t>Other</w:t>
      </w:r>
    </w:p>
    <w:p w:rsidR="006207A9" w:rsidRDefault="006207A9" w:rsidP="00940A89">
      <w:proofErr w:type="spellStart"/>
      <w:r w:rsidRPr="006207A9">
        <w:t>Nivolumab</w:t>
      </w:r>
      <w:proofErr w:type="spellEnd"/>
      <w:r w:rsidRPr="006207A9">
        <w:t xml:space="preserve">, another anti-PD-1 </w:t>
      </w:r>
      <w:proofErr w:type="spellStart"/>
      <w:r w:rsidRPr="006207A9">
        <w:t>mAb</w:t>
      </w:r>
      <w:proofErr w:type="spellEnd"/>
      <w:r w:rsidRPr="006207A9">
        <w:t>, has been approved by PMDA in Japan for use in melanoma, and in the USA with an indication identical to that of pembrolizumab.</w:t>
      </w:r>
    </w:p>
    <w:p w:rsidR="008E7846" w:rsidRDefault="008E7846" w:rsidP="00940A89">
      <w:pPr>
        <w:pStyle w:val="Heading3"/>
      </w:pPr>
      <w:bookmarkStart w:id="23" w:name="_Toc464544998"/>
      <w:r>
        <w:lastRenderedPageBreak/>
        <w:t xml:space="preserve">Product </w:t>
      </w:r>
      <w:r w:rsidR="00735A18">
        <w:t>i</w:t>
      </w:r>
      <w:r>
        <w:t>nformation</w:t>
      </w:r>
      <w:bookmarkEnd w:id="21"/>
      <w:bookmarkEnd w:id="22"/>
      <w:bookmarkEnd w:id="23"/>
    </w:p>
    <w:p w:rsidR="00777C71" w:rsidRDefault="00777C71" w:rsidP="00777C71">
      <w:pPr>
        <w:rPr>
          <w:b/>
          <w:bCs/>
        </w:rPr>
      </w:pPr>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8E7846" w:rsidRPr="003602A9" w:rsidRDefault="008E7846" w:rsidP="008E7846">
      <w:pPr>
        <w:pStyle w:val="Heading2"/>
        <w:ind w:left="-11"/>
      </w:pPr>
      <w:bookmarkStart w:id="26" w:name="_Toc464544999"/>
      <w:r>
        <w:t>II. Quality</w:t>
      </w:r>
      <w:bookmarkEnd w:id="2"/>
      <w:r>
        <w:t xml:space="preserve"> findings</w:t>
      </w:r>
      <w:bookmarkEnd w:id="24"/>
      <w:bookmarkEnd w:id="25"/>
      <w:bookmarkEnd w:id="26"/>
    </w:p>
    <w:p w:rsidR="00B50FFC" w:rsidRPr="00B50FFC" w:rsidRDefault="00B50FFC" w:rsidP="00262D2D">
      <w:pPr>
        <w:pStyle w:val="Heading3"/>
      </w:pPr>
      <w:bookmarkStart w:id="27" w:name="_Toc464545000"/>
      <w:bookmarkStart w:id="28" w:name="_Toc247691507"/>
      <w:bookmarkStart w:id="29" w:name="_Toc314842488"/>
      <w:r w:rsidRPr="00B50FFC">
        <w:t>Structure</w:t>
      </w:r>
      <w:bookmarkEnd w:id="27"/>
    </w:p>
    <w:p w:rsidR="003E4369" w:rsidRPr="003E4369" w:rsidRDefault="00987E81" w:rsidP="003E4369">
      <w:proofErr w:type="spellStart"/>
      <w:r>
        <w:t>P</w:t>
      </w:r>
      <w:r w:rsidRPr="006207A9">
        <w:t>embrolizumab</w:t>
      </w:r>
      <w:proofErr w:type="spellEnd"/>
      <w:r>
        <w:t xml:space="preserve"> (</w:t>
      </w:r>
      <w:proofErr w:type="spellStart"/>
      <w:r>
        <w:t>rch</w:t>
      </w:r>
      <w:proofErr w:type="spellEnd"/>
      <w:r>
        <w:t>)</w:t>
      </w:r>
      <w:r w:rsidRPr="00B50FFC">
        <w:t xml:space="preserve"> </w:t>
      </w:r>
      <w:r w:rsidR="00B50FFC" w:rsidRPr="00B50FFC">
        <w:t xml:space="preserve">is a humanised </w:t>
      </w:r>
      <w:r w:rsidR="00555B76">
        <w:t>Immunoglobulin G</w:t>
      </w:r>
      <w:r w:rsidR="00555B76" w:rsidRPr="00B50FFC">
        <w:t xml:space="preserve"> </w:t>
      </w:r>
      <w:r w:rsidR="00555B76">
        <w:t xml:space="preserve">(IgG) </w:t>
      </w:r>
      <w:r w:rsidR="00B50FFC" w:rsidRPr="00B50FFC">
        <w:t>IgG4/kappa monoclonal antibody with specificity for PD-1. The Fc domain has a single mutation of Ser228Pro engineered into the molecule to increase hinge region stability. Other aspects of the molecule ar</w:t>
      </w:r>
      <w:r>
        <w:t>e typical for an IgG4 antibody. The description of the structure is ‘</w:t>
      </w:r>
      <w:r w:rsidR="00B50FFC" w:rsidRPr="00B50FFC">
        <w:t xml:space="preserve">Anti-(human protein PDCD1 (programmed cell death 1)) immunoglobulin G4 (human-Mus </w:t>
      </w:r>
      <w:proofErr w:type="spellStart"/>
      <w:r w:rsidR="00B50FFC" w:rsidRPr="00B50FFC">
        <w:t>musculus</w:t>
      </w:r>
      <w:proofErr w:type="spellEnd"/>
      <w:r w:rsidR="00B50FFC" w:rsidRPr="00B50FFC">
        <w:t xml:space="preserve"> monoclonal heavy chain) </w:t>
      </w:r>
      <w:proofErr w:type="spellStart"/>
      <w:r w:rsidR="00B50FFC" w:rsidRPr="00B50FFC">
        <w:t>disulfide</w:t>
      </w:r>
      <w:proofErr w:type="spellEnd"/>
      <w:r w:rsidR="00B50FFC" w:rsidRPr="00B50FFC">
        <w:t xml:space="preserve"> with human-Mus </w:t>
      </w:r>
      <w:proofErr w:type="spellStart"/>
      <w:r w:rsidR="00B50FFC" w:rsidRPr="00B50FFC">
        <w:t>musculus</w:t>
      </w:r>
      <w:proofErr w:type="spellEnd"/>
      <w:r w:rsidR="00B50FFC" w:rsidRPr="00B50FFC">
        <w:t xml:space="preserve"> monoclonal light chain, dimer</w:t>
      </w:r>
      <w:r>
        <w:t>’.</w:t>
      </w:r>
    </w:p>
    <w:p w:rsidR="008E7846" w:rsidRDefault="008E7846" w:rsidP="00940A89">
      <w:pPr>
        <w:pStyle w:val="Heading3"/>
      </w:pPr>
      <w:bookmarkStart w:id="30" w:name="_Toc464545001"/>
      <w:r w:rsidRPr="008751DC">
        <w:t xml:space="preserve">Drug </w:t>
      </w:r>
      <w:r>
        <w:t>s</w:t>
      </w:r>
      <w:r w:rsidRPr="008751DC">
        <w:t>ubstance</w:t>
      </w:r>
      <w:r>
        <w:t xml:space="preserve"> (active ingredient)</w:t>
      </w:r>
      <w:bookmarkEnd w:id="28"/>
      <w:bookmarkEnd w:id="29"/>
      <w:bookmarkEnd w:id="30"/>
    </w:p>
    <w:p w:rsidR="00B50FFC" w:rsidRPr="00B50FFC" w:rsidRDefault="00B50FFC" w:rsidP="00262D2D">
      <w:r w:rsidRPr="00B50FFC">
        <w:t xml:space="preserve">This substance is manufactured by recombinant </w:t>
      </w:r>
      <w:r w:rsidR="000510CB" w:rsidRPr="00B50FFC">
        <w:t>Chinese</w:t>
      </w:r>
      <w:r w:rsidRPr="00B50FFC">
        <w:t xml:space="preserve"> hamster ovary (CHO) cells in </w:t>
      </w:r>
      <w:r w:rsidR="00262D2D">
        <w:t>a</w:t>
      </w:r>
      <w:r w:rsidRPr="00B50FFC">
        <w:t xml:space="preserve"> fermentation process utilising typical cell expansion processes to reach the production volume. Purification of the drug substance </w:t>
      </w:r>
      <w:r w:rsidR="00262D2D">
        <w:t>uses steps including chromatography, filtration and viral inactivation.</w:t>
      </w:r>
    </w:p>
    <w:p w:rsidR="00B50FFC" w:rsidRPr="00B50FFC" w:rsidRDefault="00B50FFC" w:rsidP="00B50FFC">
      <w:r w:rsidRPr="00B50FFC">
        <w:t xml:space="preserve">This process consists of steps typical for monoclonal antibody biopharmaceutical and is in line with other registered antibody products. The process has a range of control processes and testing points. </w:t>
      </w:r>
      <w:proofErr w:type="gramStart"/>
      <w:r w:rsidRPr="00B50FFC">
        <w:t xml:space="preserve">This </w:t>
      </w:r>
      <w:r w:rsidR="003D1724">
        <w:t xml:space="preserve">process </w:t>
      </w:r>
      <w:r w:rsidRPr="00B50FFC">
        <w:t>in combination with the</w:t>
      </w:r>
      <w:r w:rsidR="00260892">
        <w:t xml:space="preserve"> drug substance release testing</w:t>
      </w:r>
      <w:r w:rsidRPr="00B50FFC">
        <w:t xml:space="preserve"> make up an appropriate control strategy for manufacturing product comparable to tha</w:t>
      </w:r>
      <w:r w:rsidR="00260892">
        <w:t>t used in the clinical studies.</w:t>
      </w:r>
      <w:proofErr w:type="gramEnd"/>
      <w:r w:rsidR="00260892">
        <w:t xml:space="preserve"> </w:t>
      </w:r>
      <w:r w:rsidRPr="00B50FFC">
        <w:t xml:space="preserve">The manufacturing process has been transferred </w:t>
      </w:r>
      <w:r w:rsidR="00260892">
        <w:t>and c</w:t>
      </w:r>
      <w:r w:rsidRPr="00B50FFC">
        <w:t xml:space="preserve">omparability of material throughout the process development has been demonstrated </w:t>
      </w:r>
      <w:r w:rsidR="00260892">
        <w:t>through batch analysis testing.</w:t>
      </w:r>
    </w:p>
    <w:p w:rsidR="00B50FFC" w:rsidRPr="00B50FFC" w:rsidRDefault="00B50FFC" w:rsidP="00B50FFC">
      <w:r w:rsidRPr="00B50FFC">
        <w:t xml:space="preserve">Cell banking processes have been fully described and characterised in </w:t>
      </w:r>
      <w:r w:rsidR="00260892">
        <w:t xml:space="preserve">line with adopted </w:t>
      </w:r>
      <w:r w:rsidR="007B720C">
        <w:t>International Conference on Harmonisation (</w:t>
      </w:r>
      <w:r w:rsidR="00260892">
        <w:t>ICH</w:t>
      </w:r>
      <w:r w:rsidR="007B720C">
        <w:t>)</w:t>
      </w:r>
      <w:r w:rsidR="00260892">
        <w:t xml:space="preserve"> guidance.</w:t>
      </w:r>
    </w:p>
    <w:p w:rsidR="00B50FFC" w:rsidRPr="00B50FFC" w:rsidRDefault="00B50FFC" w:rsidP="00B50FFC">
      <w:r w:rsidRPr="00B50FFC">
        <w:t>Adventitious agent issues have been addressed. Other than the</w:t>
      </w:r>
      <w:r w:rsidR="00987E81">
        <w:t xml:space="preserve"> cell line, there are no animal</w:t>
      </w:r>
      <w:r w:rsidRPr="00B50FFC">
        <w:t xml:space="preserve"> or </w:t>
      </w:r>
      <w:r w:rsidR="00987E81">
        <w:t xml:space="preserve">human </w:t>
      </w:r>
      <w:r w:rsidRPr="00B50FFC">
        <w:t>derived raw materials used in the manufacturing pr</w:t>
      </w:r>
      <w:r w:rsidR="00987E81">
        <w:t>ocess</w:t>
      </w:r>
      <w:r w:rsidR="00260892">
        <w:t xml:space="preserve">. </w:t>
      </w:r>
      <w:r w:rsidRPr="00B50FFC">
        <w:t>Any animal derived material used during early development process was considered to be of appropriate quality with respect to adventitious agents.</w:t>
      </w:r>
    </w:p>
    <w:p w:rsidR="00B50FFC" w:rsidRPr="00B50FFC" w:rsidRDefault="00B50FFC" w:rsidP="00B50FFC">
      <w:pPr>
        <w:pStyle w:val="Heading4"/>
      </w:pPr>
      <w:r w:rsidRPr="00B50FFC">
        <w:t xml:space="preserve">Physical and </w:t>
      </w:r>
      <w:r w:rsidR="00735A18" w:rsidRPr="00B50FFC">
        <w:t>chemical properties</w:t>
      </w:r>
    </w:p>
    <w:p w:rsidR="00B50FFC" w:rsidRPr="00B50FFC" w:rsidRDefault="00B50FFC" w:rsidP="00B50FFC">
      <w:r w:rsidRPr="00B50FFC">
        <w:t xml:space="preserve">The characterisation has confirmed the expected primary, secondary and tertiary structure of the IgG4/kappa </w:t>
      </w:r>
      <w:r w:rsidR="00987E81">
        <w:t>with hinge modification (S228P)</w:t>
      </w:r>
      <w:r w:rsidRPr="00B50FFC">
        <w:t>. Molecular weights were within the expected range for a glycosylated IgG molecule. The post-translational modifications seen include:</w:t>
      </w:r>
    </w:p>
    <w:p w:rsidR="00B50FFC" w:rsidRPr="00B50FFC" w:rsidRDefault="00B50FFC" w:rsidP="00987E81">
      <w:pPr>
        <w:pStyle w:val="ListBullet"/>
      </w:pPr>
      <w:r w:rsidRPr="00B50FFC">
        <w:t>heavy-chain amino-terminal cyclization (heavy ch</w:t>
      </w:r>
      <w:r w:rsidR="00987E81">
        <w:t xml:space="preserve">ain: </w:t>
      </w:r>
      <w:proofErr w:type="spellStart"/>
      <w:r w:rsidR="00987E81">
        <w:t>Gln</w:t>
      </w:r>
      <w:proofErr w:type="spellEnd"/>
      <w:r w:rsidR="00987E81">
        <w:t xml:space="preserve"> 1 → </w:t>
      </w:r>
      <w:proofErr w:type="spellStart"/>
      <w:r w:rsidR="00987E81">
        <w:t>pyroglutamic</w:t>
      </w:r>
      <w:proofErr w:type="spellEnd"/>
      <w:r w:rsidR="00987E81">
        <w:t xml:space="preserve"> acid)</w:t>
      </w:r>
    </w:p>
    <w:p w:rsidR="00B50FFC" w:rsidRPr="00B50FFC" w:rsidRDefault="00B50FFC" w:rsidP="00987E81">
      <w:pPr>
        <w:pStyle w:val="ListBullet"/>
      </w:pPr>
      <w:proofErr w:type="spellStart"/>
      <w:r w:rsidRPr="00B50FFC">
        <w:t>carboxy</w:t>
      </w:r>
      <w:proofErr w:type="spellEnd"/>
      <w:r w:rsidRPr="00B50FFC">
        <w:t>-terminal proce</w:t>
      </w:r>
      <w:r w:rsidR="00987E81">
        <w:t>ssing (heavy chain:des-Lys449)</w:t>
      </w:r>
    </w:p>
    <w:p w:rsidR="00B50FFC" w:rsidRPr="00B50FFC" w:rsidRDefault="00B50FFC" w:rsidP="00987E81">
      <w:pPr>
        <w:pStyle w:val="ListBullet"/>
      </w:pPr>
      <w:r w:rsidRPr="00B50FFC">
        <w:t>glyc</w:t>
      </w:r>
      <w:r w:rsidR="00987E81">
        <w:t>osylation (heavy chain: Asn297)</w:t>
      </w:r>
    </w:p>
    <w:p w:rsidR="00B50FFC" w:rsidRPr="00B50FFC" w:rsidRDefault="00B50FFC" w:rsidP="00987E81">
      <w:pPr>
        <w:pStyle w:val="ListBullet"/>
      </w:pPr>
      <w:r w:rsidRPr="00B50FFC">
        <w:t>oxidation (heavy chain: Met105, Met252, Met358 and Met428)</w:t>
      </w:r>
    </w:p>
    <w:p w:rsidR="00B50FFC" w:rsidRPr="00B50FFC" w:rsidRDefault="00B50FFC" w:rsidP="00987E81">
      <w:pPr>
        <w:pStyle w:val="ListBullet"/>
      </w:pPr>
      <w:proofErr w:type="spellStart"/>
      <w:proofErr w:type="gramStart"/>
      <w:r w:rsidRPr="00B50FFC">
        <w:lastRenderedPageBreak/>
        <w:t>deamidation</w:t>
      </w:r>
      <w:proofErr w:type="spellEnd"/>
      <w:proofErr w:type="gramEnd"/>
      <w:r w:rsidRPr="00B50FFC">
        <w:t xml:space="preserve"> (heavy chain: Asn55, Asn384, Asn389)</w:t>
      </w:r>
      <w:r w:rsidR="00987E81">
        <w:t>.</w:t>
      </w:r>
    </w:p>
    <w:p w:rsidR="00B50FFC" w:rsidRPr="00B50FFC" w:rsidRDefault="00B50FFC" w:rsidP="00735A18">
      <w:r w:rsidRPr="00B50FFC">
        <w:t>Most of these modifications are common to other therapeutic monoclonal antibodies. Of note are the modifications to residues contained with the CDR domain of the molecule responsible for ligands binding.</w:t>
      </w:r>
    </w:p>
    <w:p w:rsidR="00735A18" w:rsidRDefault="00B50FFC" w:rsidP="00B50FFC">
      <w:r w:rsidRPr="00B50FFC">
        <w:t>The biological properties of MK3475 were determined using 2 in</w:t>
      </w:r>
      <w:r w:rsidR="00987E81">
        <w:t xml:space="preserve"> </w:t>
      </w:r>
      <w:r w:rsidRPr="00B50FFC">
        <w:t>vitro surrogate cell based assays to demonstrate blocking of PD1 and an ELISA based binding assay. The kinetics of binding of MK-3475 to PD-1 has also been determined using surface Plasmon resonance</w:t>
      </w:r>
    </w:p>
    <w:p w:rsidR="00B50FFC" w:rsidRPr="00B50FFC" w:rsidRDefault="00B50FFC" w:rsidP="00B50FFC">
      <w:r w:rsidRPr="00B50FFC">
        <w:t xml:space="preserve">The Fc binding properties of MK-3475 to various Fc receptors (C1q and </w:t>
      </w:r>
      <w:proofErr w:type="spellStart"/>
      <w:r w:rsidRPr="00B50FFC">
        <w:t>Fc</w:t>
      </w:r>
      <w:r w:rsidR="00987E81">
        <w:t>γ</w:t>
      </w:r>
      <w:proofErr w:type="spellEnd"/>
      <w:r w:rsidRPr="00B50FFC">
        <w:t>) was also characterised using</w:t>
      </w:r>
      <w:r w:rsidR="00BD2F06">
        <w:t xml:space="preserve"> surface </w:t>
      </w:r>
      <w:proofErr w:type="spellStart"/>
      <w:r w:rsidR="00BD2F06">
        <w:t>plasmon</w:t>
      </w:r>
      <w:proofErr w:type="spellEnd"/>
      <w:r w:rsidR="00BD2F06">
        <w:t xml:space="preserve"> resonance</w:t>
      </w:r>
      <w:r w:rsidRPr="00B50FFC">
        <w:t xml:space="preserve">. The results were as expected for an IgG4 molecule with binding lower affinity than for the control IgG1 molecule. As the mechanism of action for MK-3475 is independent of the recruitment of other molecules through the Fc domain the characteristics and control of this domain is not critical </w:t>
      </w:r>
      <w:r w:rsidR="00987E81">
        <w:t>to the efficacy of the product.</w:t>
      </w:r>
    </w:p>
    <w:p w:rsidR="00B50FFC" w:rsidRPr="00B50FFC" w:rsidRDefault="00B50FFC" w:rsidP="00B50FFC">
      <w:pPr>
        <w:pStyle w:val="Heading4"/>
      </w:pPr>
      <w:r w:rsidRPr="00B50FFC">
        <w:t>Specifications</w:t>
      </w:r>
    </w:p>
    <w:p w:rsidR="00B50FFC" w:rsidRPr="00B50FFC" w:rsidRDefault="00B50FFC" w:rsidP="00B50FFC">
      <w:r w:rsidRPr="00B50FFC">
        <w:t>The proposed specifications, which measure identity, content, potency, purity and other biological and physical properties of the drug substance. These specifications form a critical part of the drug substances control strategy. The potency assay for the product is based on binding to the target PD-1 only and does not include any other interaction of the molecule. This has been considered acceptable given the mode of action of the product and justified in the validation data supporting the analytical methods.</w:t>
      </w:r>
    </w:p>
    <w:p w:rsidR="00B50FFC" w:rsidRPr="00B50FFC" w:rsidRDefault="00B50FFC" w:rsidP="00B50FFC">
      <w:r w:rsidRPr="00B50FFC">
        <w:t xml:space="preserve">Appropriate validation data have been submitted in </w:t>
      </w:r>
      <w:r w:rsidR="0033271B">
        <w:t>support of the test procedures.</w:t>
      </w:r>
    </w:p>
    <w:p w:rsidR="00B50FFC" w:rsidRPr="00B50FFC" w:rsidRDefault="008E7846" w:rsidP="0033271B">
      <w:pPr>
        <w:pStyle w:val="Heading3"/>
      </w:pPr>
      <w:bookmarkStart w:id="31" w:name="_Toc247691508"/>
      <w:bookmarkStart w:id="32" w:name="_Toc314842490"/>
      <w:bookmarkStart w:id="33" w:name="_Toc464545002"/>
      <w:r w:rsidRPr="008751DC">
        <w:t xml:space="preserve">Drug </w:t>
      </w:r>
      <w:r>
        <w:t>p</w:t>
      </w:r>
      <w:r w:rsidRPr="008751DC">
        <w:t>roduct</w:t>
      </w:r>
      <w:bookmarkEnd w:id="31"/>
      <w:bookmarkEnd w:id="32"/>
      <w:bookmarkEnd w:id="33"/>
    </w:p>
    <w:p w:rsidR="00B50FFC" w:rsidRPr="00B50FFC" w:rsidRDefault="0033271B" w:rsidP="00B50FFC">
      <w:r>
        <w:t xml:space="preserve">Pembrolizumab </w:t>
      </w:r>
      <w:r w:rsidR="00B50FFC" w:rsidRPr="00B50FFC">
        <w:t>is lyophil</w:t>
      </w:r>
      <w:r w:rsidR="00987E81">
        <w:t>ise</w:t>
      </w:r>
      <w:r w:rsidR="00B50FFC" w:rsidRPr="00B50FFC">
        <w:t xml:space="preserve">d powder for </w:t>
      </w:r>
      <w:r>
        <w:t>single use</w:t>
      </w:r>
      <w:r w:rsidR="00B50FFC" w:rsidRPr="00B50FFC">
        <w:t xml:space="preserve"> that is reconstituted with sterile water for injection and further diluted with normal saline (0.9% sodium chl</w:t>
      </w:r>
      <w:r>
        <w:t>oride injection) or 5% dextrose</w:t>
      </w:r>
      <w:r w:rsidR="00B50FFC" w:rsidRPr="00B50FFC">
        <w:t xml:space="preserve"> prior to intravenous (IV) administration. A single strength is proposed in</w:t>
      </w:r>
      <w:r>
        <w:t xml:space="preserve"> a single pack size.</w:t>
      </w:r>
    </w:p>
    <w:p w:rsidR="00B50FFC" w:rsidRPr="00B50FFC" w:rsidRDefault="00B50FFC" w:rsidP="00B50FFC">
      <w:pPr>
        <w:pStyle w:val="Heading4"/>
      </w:pPr>
      <w:r w:rsidRPr="00B50FFC">
        <w:t>Manufacture</w:t>
      </w:r>
    </w:p>
    <w:p w:rsidR="00940A89" w:rsidRDefault="00B50FFC" w:rsidP="00940A89">
      <w:r w:rsidRPr="00B50FFC">
        <w:t>The drug product manufacturing method utilises processes similar to many registered biological medicines. The product is fully formulated at the drug substance stage and undergoes, sterile filtration, filling, lyophilisation, capping and storage. The control strategy for the drug product has addressed ongoing control of critical quality attributes. Validation of the process has demonstra</w:t>
      </w:r>
      <w:r w:rsidR="0033271B">
        <w:t>ted consistency in manufacture.</w:t>
      </w:r>
    </w:p>
    <w:p w:rsidR="001145D3" w:rsidRDefault="001145D3" w:rsidP="001145D3">
      <w:pPr>
        <w:pStyle w:val="Heading4"/>
      </w:pPr>
      <w:r>
        <w:t>Stability</w:t>
      </w:r>
    </w:p>
    <w:p w:rsidR="00735A18" w:rsidRDefault="001145D3" w:rsidP="00787FD6">
      <w:r w:rsidRPr="001145D3">
        <w:t xml:space="preserve">An initial shelf life of 12 </w:t>
      </w:r>
      <w:r w:rsidRPr="00787FD6">
        <w:t xml:space="preserve">months </w:t>
      </w:r>
      <w:r w:rsidR="00787FD6" w:rsidRPr="00787FD6">
        <w:t>at 2 to 8</w:t>
      </w:r>
      <w:r w:rsidR="00787FD6">
        <w:t xml:space="preserve"> </w:t>
      </w:r>
      <w:r w:rsidR="00787FD6" w:rsidRPr="00787FD6">
        <w:t xml:space="preserve">°C </w:t>
      </w:r>
      <w:r w:rsidRPr="00787FD6">
        <w:t xml:space="preserve">is proposed. </w:t>
      </w:r>
      <w:r w:rsidR="00787FD6">
        <w:t xml:space="preserve">Additional </w:t>
      </w:r>
      <w:r w:rsidRPr="001145D3">
        <w:t xml:space="preserve">real-time stability data of the primary batches </w:t>
      </w:r>
      <w:r w:rsidR="00787FD6">
        <w:t xml:space="preserve">provided during the submission supports a shelf life of 18 months. </w:t>
      </w:r>
      <w:r w:rsidR="00787FD6" w:rsidRPr="00787FD6">
        <w:t>The stability data also supports the instructions that the reconstituted drug product solutions may be stored at room temperature for a cumulative time of up to 8 hours</w:t>
      </w:r>
    </w:p>
    <w:p w:rsidR="001145D3" w:rsidRPr="001145D3" w:rsidRDefault="00787FD6" w:rsidP="001145D3">
      <w:r>
        <w:t xml:space="preserve">The container closure </w:t>
      </w:r>
      <w:r w:rsidRPr="00787FD6">
        <w:t>assessment has determined the impact of</w:t>
      </w:r>
      <w:r w:rsidR="003D1724">
        <w:t xml:space="preserve"> all leachable and extractable materials</w:t>
      </w:r>
      <w:r w:rsidRPr="00787FD6">
        <w:t xml:space="preserve"> to be minimal.</w:t>
      </w:r>
    </w:p>
    <w:p w:rsidR="008E7846" w:rsidRDefault="008E7846" w:rsidP="008E7846">
      <w:pPr>
        <w:pStyle w:val="Heading3"/>
      </w:pPr>
      <w:bookmarkStart w:id="34" w:name="_Toc314842492"/>
      <w:bookmarkStart w:id="35" w:name="_Toc464545003"/>
      <w:r>
        <w:lastRenderedPageBreak/>
        <w:t>Advisory committee considerations</w:t>
      </w:r>
      <w:bookmarkEnd w:id="34"/>
      <w:bookmarkEnd w:id="35"/>
    </w:p>
    <w:p w:rsidR="00735A18" w:rsidRDefault="0033271B" w:rsidP="0033271B">
      <w:bookmarkStart w:id="36" w:name="_Toc247691509"/>
      <w:bookmarkStart w:id="37" w:name="_Toc314842493"/>
      <w:r w:rsidRPr="0033271B">
        <w:t xml:space="preserve">The </w:t>
      </w:r>
      <w:r w:rsidR="002F5E51">
        <w:t>Pharmaceutical Sub Committee (of ACPM) (</w:t>
      </w:r>
      <w:r w:rsidRPr="0033271B">
        <w:t>PSC</w:t>
      </w:r>
      <w:r w:rsidR="002F5E51">
        <w:t>)</w:t>
      </w:r>
      <w:r w:rsidRPr="0033271B">
        <w:t xml:space="preserve"> considered the referral for advice from the TGA in relation to the submission from Merck Sharp &amp; Dohme Australia Pty Ltd to enter on the </w:t>
      </w:r>
      <w:r w:rsidR="00C21724">
        <w:t>ARTG</w:t>
      </w:r>
      <w:r w:rsidRPr="0033271B">
        <w:t xml:space="preserve"> the product:</w:t>
      </w:r>
    </w:p>
    <w:p w:rsidR="00E219E5" w:rsidRPr="00E219E5" w:rsidRDefault="00BD2F06" w:rsidP="00E219E5">
      <w:r>
        <w:t>The D</w:t>
      </w:r>
      <w:r w:rsidR="00E219E5" w:rsidRPr="00E219E5">
        <w:t>elegate requested advice on the following issues:</w:t>
      </w:r>
    </w:p>
    <w:p w:rsidR="00E219E5" w:rsidRPr="00E219E5" w:rsidRDefault="00E219E5" w:rsidP="00E219E5">
      <w:pPr>
        <w:pStyle w:val="ListBullet"/>
      </w:pPr>
      <w:r w:rsidRPr="00E219E5">
        <w:t>Whether PSC agrees with the conclusions of the evaluation of the population pharmacokinetic</w:t>
      </w:r>
      <w:r w:rsidR="005E57DC">
        <w:t xml:space="preserve"> (</w:t>
      </w:r>
      <w:r w:rsidR="002F5E51">
        <w:t>Pop PK</w:t>
      </w:r>
      <w:r w:rsidR="005E57DC">
        <w:t>)</w:t>
      </w:r>
      <w:r w:rsidRPr="00E219E5">
        <w:t xml:space="preserve"> study</w:t>
      </w:r>
      <w:r w:rsidR="00C21724">
        <w:t xml:space="preserve"> (for the conclusions of the </w:t>
      </w:r>
      <w:r w:rsidR="00BD2F06">
        <w:t>Pop PK</w:t>
      </w:r>
      <w:r w:rsidR="00C21724">
        <w:t xml:space="preserve"> evaluator </w:t>
      </w:r>
      <w:r w:rsidR="00BD2F06">
        <w:t>please see below in Section IV;</w:t>
      </w:r>
      <w:r w:rsidR="00C21724">
        <w:t xml:space="preserve"> pharmacokinetics)</w:t>
      </w:r>
    </w:p>
    <w:p w:rsidR="00E219E5" w:rsidRPr="00E219E5" w:rsidRDefault="00E219E5" w:rsidP="00E219E5">
      <w:pPr>
        <w:pStyle w:val="ListBullet"/>
      </w:pPr>
      <w:r w:rsidRPr="00E219E5">
        <w:t xml:space="preserve">Whether the results of the evaluation of the </w:t>
      </w:r>
      <w:r w:rsidR="002F5E51">
        <w:t>Pop PK</w:t>
      </w:r>
      <w:r w:rsidR="00BD2F06">
        <w:t xml:space="preserve"> </w:t>
      </w:r>
      <w:r w:rsidRPr="00E219E5">
        <w:t xml:space="preserve">study demand any modifications to the draft </w:t>
      </w:r>
      <w:r w:rsidR="00C21724">
        <w:t>PI</w:t>
      </w:r>
      <w:r w:rsidRPr="00E219E5">
        <w:t xml:space="preserve"> or </w:t>
      </w:r>
      <w:r w:rsidR="00F236AD">
        <w:t>Consumer Medicines Information (</w:t>
      </w:r>
      <w:r w:rsidR="00C21724">
        <w:t>CMI</w:t>
      </w:r>
      <w:r w:rsidR="00F236AD">
        <w:t>)</w:t>
      </w:r>
      <w:r w:rsidRPr="00E219E5">
        <w:t>?</w:t>
      </w:r>
    </w:p>
    <w:p w:rsidR="00E219E5" w:rsidRPr="00E219E5" w:rsidRDefault="00E219E5" w:rsidP="00E219E5">
      <w:r w:rsidRPr="00E219E5">
        <w:t>The PSC reviewed the documentation provid</w:t>
      </w:r>
      <w:r w:rsidR="00C21724">
        <w:t>ed and advised the following:</w:t>
      </w:r>
    </w:p>
    <w:p w:rsidR="00E219E5" w:rsidRPr="00E219E5" w:rsidRDefault="00E219E5" w:rsidP="00E219E5">
      <w:pPr>
        <w:pStyle w:val="Heading4"/>
      </w:pPr>
      <w:r w:rsidRPr="00E219E5">
        <w:t xml:space="preserve">Population </w:t>
      </w:r>
      <w:r w:rsidR="00735A18">
        <w:t>p</w:t>
      </w:r>
      <w:r w:rsidRPr="00E219E5">
        <w:t>harmacokinetics</w:t>
      </w:r>
    </w:p>
    <w:p w:rsidR="00E219E5" w:rsidRPr="00E219E5" w:rsidRDefault="00E219E5" w:rsidP="00E219E5">
      <w:r w:rsidRPr="00E219E5">
        <w:t xml:space="preserve">The PSC noted the </w:t>
      </w:r>
      <w:r w:rsidR="002F5E51">
        <w:t>Pop PK</w:t>
      </w:r>
      <w:r w:rsidRPr="00E219E5">
        <w:t xml:space="preserve"> evaluator’s overall conclusions as follows:</w:t>
      </w:r>
    </w:p>
    <w:p w:rsidR="00E219E5" w:rsidRPr="00E219E5" w:rsidRDefault="00E219E5" w:rsidP="00E219E5">
      <w:pPr>
        <w:pStyle w:val="ListBullet"/>
      </w:pPr>
      <w:r w:rsidRPr="00E219E5">
        <w:t xml:space="preserve">Overall, both the </w:t>
      </w:r>
      <w:r w:rsidR="001D4BB8">
        <w:t>sponsor</w:t>
      </w:r>
      <w:r w:rsidRPr="00E219E5">
        <w:t xml:space="preserve">’s modelling study and the external validation process are in agreement with the information on pharmacokinetics provided in the </w:t>
      </w:r>
      <w:r w:rsidR="001D4BB8">
        <w:t>sponsor</w:t>
      </w:r>
      <w:r w:rsidRPr="00E219E5">
        <w:t xml:space="preserve">’s </w:t>
      </w:r>
      <w:r w:rsidR="005E57DC">
        <w:t>PI</w:t>
      </w:r>
      <w:r w:rsidR="00BD2F06">
        <w:t xml:space="preserve"> document</w:t>
      </w:r>
    </w:p>
    <w:p w:rsidR="00E219E5" w:rsidRPr="00E219E5" w:rsidRDefault="00E219E5" w:rsidP="00E219E5">
      <w:pPr>
        <w:pStyle w:val="ListBullet"/>
      </w:pPr>
      <w:r w:rsidRPr="00E219E5">
        <w:t xml:space="preserve">The </w:t>
      </w:r>
      <w:r w:rsidR="005E57DC">
        <w:t>e</w:t>
      </w:r>
      <w:r w:rsidRPr="00E219E5">
        <w:t xml:space="preserve">valuator does not have any questions for the sponsor in regard to the </w:t>
      </w:r>
      <w:r w:rsidR="002F5E51">
        <w:t>Pop PK</w:t>
      </w:r>
      <w:r w:rsidRPr="00E219E5">
        <w:t xml:space="preserve"> data.</w:t>
      </w:r>
    </w:p>
    <w:p w:rsidR="00E219E5" w:rsidRPr="00E219E5" w:rsidRDefault="00E219E5" w:rsidP="00E219E5">
      <w:pPr>
        <w:pStyle w:val="Heading4"/>
      </w:pPr>
      <w:r w:rsidRPr="00E219E5">
        <w:t xml:space="preserve">Specific </w:t>
      </w:r>
      <w:r w:rsidR="00735A18">
        <w:t>a</w:t>
      </w:r>
      <w:r w:rsidRPr="00E219E5">
        <w:t>dvice</w:t>
      </w:r>
    </w:p>
    <w:p w:rsidR="00E219E5" w:rsidRPr="00E219E5" w:rsidRDefault="007C77C8" w:rsidP="00E219E5">
      <w:r>
        <w:t>The D</w:t>
      </w:r>
      <w:r w:rsidR="00E219E5" w:rsidRPr="00E219E5">
        <w:t>elegate requested advice on the following issues:</w:t>
      </w:r>
    </w:p>
    <w:p w:rsidR="00E219E5" w:rsidRPr="00E219E5" w:rsidRDefault="00E219E5" w:rsidP="00E219E5">
      <w:pPr>
        <w:pStyle w:val="ListBullet"/>
      </w:pPr>
      <w:r w:rsidRPr="00E219E5">
        <w:t xml:space="preserve">Whether PSC agrees with the conclusions of the evaluation of the </w:t>
      </w:r>
      <w:r w:rsidR="002F5E51">
        <w:t>Pop PK</w:t>
      </w:r>
      <w:r w:rsidRPr="00E219E5">
        <w:t xml:space="preserve"> study.</w:t>
      </w:r>
    </w:p>
    <w:p w:rsidR="00E219E5" w:rsidRPr="00E219E5" w:rsidRDefault="00E219E5" w:rsidP="00E219E5">
      <w:r w:rsidRPr="00E219E5">
        <w:t>The PSC noted that the external evaluator had rebuilt the model and was satisfied that the model was in agreement with the external validation process.</w:t>
      </w:r>
    </w:p>
    <w:p w:rsidR="00E219E5" w:rsidRPr="00E219E5" w:rsidRDefault="00E219E5" w:rsidP="00E219E5">
      <w:r w:rsidRPr="00E219E5">
        <w:t>The PSC questioned whether the model supported the statement in the PI that the clearance of pembrolizumab increased with increasing age, as this was hard to explain physiologically. The PSC noted the model was highly statistical but the statement did no</w:t>
      </w:r>
      <w:r w:rsidR="00BD2F06">
        <w:t>t have biological plausibility.</w:t>
      </w:r>
    </w:p>
    <w:p w:rsidR="00E219E5" w:rsidRPr="00E219E5" w:rsidRDefault="00E219E5" w:rsidP="00E219E5">
      <w:r w:rsidRPr="00E219E5">
        <w:t>The PSC also noted that there were 411 patients, a sample of the population. The PSC noted that using a sample of patients was not the usual standard approach to ascertain a uniform distribution of patients.</w:t>
      </w:r>
    </w:p>
    <w:p w:rsidR="00E219E5" w:rsidRPr="00E219E5" w:rsidRDefault="00E219E5" w:rsidP="00E219E5">
      <w:r w:rsidRPr="00E219E5">
        <w:t xml:space="preserve">The PSC resolved to recommend to the </w:t>
      </w:r>
      <w:r w:rsidR="00F236AD">
        <w:t>Advisory Committee for Prescription Medicines (</w:t>
      </w:r>
      <w:r w:rsidR="00C21724">
        <w:t>ACPM</w:t>
      </w:r>
      <w:r w:rsidR="00F236AD">
        <w:t>)</w:t>
      </w:r>
      <w:r w:rsidRPr="00E219E5">
        <w:t xml:space="preserve"> and the TGA that:</w:t>
      </w:r>
    </w:p>
    <w:p w:rsidR="00E219E5" w:rsidRPr="00E219E5" w:rsidRDefault="00E219E5" w:rsidP="00E219E5">
      <w:r w:rsidRPr="00E219E5">
        <w:t>The PSC considered the application submitted from Merck Sharp &amp; Dohme Australia Pty Ltd to register K</w:t>
      </w:r>
      <w:r w:rsidR="00C21724" w:rsidRPr="00E219E5">
        <w:t>eytruda</w:t>
      </w:r>
      <w:r w:rsidRPr="00E219E5">
        <w:t>, powder for injection vial containing 50 mg of a new chemical entity, pembrolizumab.</w:t>
      </w:r>
    </w:p>
    <w:p w:rsidR="00E219E5" w:rsidRPr="00E219E5" w:rsidRDefault="00E219E5" w:rsidP="00E219E5">
      <w:r w:rsidRPr="00E219E5">
        <w:t>The PSC advised that clarity should be sought on whether clearance of pembrolizumab is affected by age.</w:t>
      </w:r>
    </w:p>
    <w:p w:rsidR="00E219E5" w:rsidRPr="00E219E5" w:rsidRDefault="00E219E5" w:rsidP="00E219E5">
      <w:r w:rsidRPr="00E219E5">
        <w:t>The PI should be amended to reflect t</w:t>
      </w:r>
      <w:r w:rsidR="00C21724">
        <w:t>he recommendations of the PSC.</w:t>
      </w:r>
    </w:p>
    <w:p w:rsidR="008E7846" w:rsidRPr="008751DC" w:rsidRDefault="008E7846" w:rsidP="008E7846">
      <w:pPr>
        <w:pStyle w:val="Heading3"/>
      </w:pPr>
      <w:bookmarkStart w:id="38" w:name="_Toc464545004"/>
      <w:r>
        <w:lastRenderedPageBreak/>
        <w:t>Quality s</w:t>
      </w:r>
      <w:r w:rsidRPr="008751DC">
        <w:t>ummary</w:t>
      </w:r>
      <w:r>
        <w:t xml:space="preserve"> and conclusions</w:t>
      </w:r>
      <w:bookmarkEnd w:id="36"/>
      <w:bookmarkEnd w:id="37"/>
      <w:bookmarkEnd w:id="38"/>
    </w:p>
    <w:p w:rsidR="008E7846" w:rsidRPr="00787FD6" w:rsidRDefault="00787FD6" w:rsidP="00787FD6">
      <w:r w:rsidRPr="00787FD6">
        <w:t xml:space="preserve">The </w:t>
      </w:r>
      <w:r>
        <w:t>quality evaluator</w:t>
      </w:r>
      <w:r w:rsidRPr="00787FD6">
        <w:t xml:space="preserve"> concluded that there are no objections on quality grounds to the registration of </w:t>
      </w:r>
      <w:proofErr w:type="spellStart"/>
      <w:r w:rsidRPr="00787FD6">
        <w:t>Keytruda</w:t>
      </w:r>
      <w:proofErr w:type="spellEnd"/>
      <w:r w:rsidRPr="00787FD6">
        <w:t xml:space="preserve"> </w:t>
      </w:r>
      <w:proofErr w:type="spellStart"/>
      <w:r w:rsidRPr="00787FD6">
        <w:t>pembrolizumab</w:t>
      </w:r>
      <w:proofErr w:type="spellEnd"/>
      <w:r w:rsidRPr="00787FD6">
        <w:t xml:space="preserve"> (</w:t>
      </w:r>
      <w:proofErr w:type="spellStart"/>
      <w:r w:rsidRPr="00787FD6">
        <w:t>rch</w:t>
      </w:r>
      <w:proofErr w:type="spellEnd"/>
      <w:r w:rsidRPr="00787FD6">
        <w:t>).</w:t>
      </w:r>
    </w:p>
    <w:p w:rsidR="008E7846" w:rsidRDefault="008E7846" w:rsidP="008E7846">
      <w:pPr>
        <w:pStyle w:val="Heading2"/>
      </w:pPr>
      <w:bookmarkStart w:id="39" w:name="_Toc196046439"/>
      <w:bookmarkStart w:id="40" w:name="_Toc247691510"/>
      <w:bookmarkStart w:id="41" w:name="_Toc314842494"/>
      <w:bookmarkStart w:id="42" w:name="_Toc464545005"/>
      <w:r>
        <w:t>III.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64545006"/>
      <w:r>
        <w:t>Introduction</w:t>
      </w:r>
      <w:bookmarkEnd w:id="43"/>
      <w:bookmarkEnd w:id="44"/>
      <w:bookmarkEnd w:id="45"/>
    </w:p>
    <w:p w:rsidR="00C64A78" w:rsidRPr="00C64A78" w:rsidRDefault="00260892" w:rsidP="00C64A78">
      <w:proofErr w:type="spellStart"/>
      <w:r>
        <w:t>P</w:t>
      </w:r>
      <w:r w:rsidR="00C64A78" w:rsidRPr="00C64A78">
        <w:t>embrolizumab</w:t>
      </w:r>
      <w:proofErr w:type="spellEnd"/>
      <w:r w:rsidR="004C1A99">
        <w:t xml:space="preserve"> (</w:t>
      </w:r>
      <w:proofErr w:type="spellStart"/>
      <w:r w:rsidR="004C1A99">
        <w:t>rch</w:t>
      </w:r>
      <w:proofErr w:type="spellEnd"/>
      <w:r w:rsidR="004C1A99">
        <w:t>)</w:t>
      </w:r>
      <w:r w:rsidR="00C64A78" w:rsidRPr="00C64A78">
        <w:t xml:space="preserve"> (</w:t>
      </w:r>
      <w:proofErr w:type="spellStart"/>
      <w:r w:rsidR="00987E81">
        <w:t>Keytruda</w:t>
      </w:r>
      <w:proofErr w:type="spellEnd"/>
      <w:r w:rsidR="004C1A99">
        <w:t xml:space="preserve">) is </w:t>
      </w:r>
      <w:r w:rsidR="00C64A78" w:rsidRPr="00C64A78">
        <w:t>a new biological entity for the treatment of unresectable or metastatic melanoma in adults. The proposed dosing regimen involves IV administration at 2 mg/kg every 3 weeks until disease progression or unacceptable toxicity.</w:t>
      </w:r>
    </w:p>
    <w:p w:rsidR="004334C7" w:rsidRPr="004334C7" w:rsidRDefault="00C64A78" w:rsidP="004334C7">
      <w:r w:rsidRPr="00C64A78">
        <w:t xml:space="preserve">The nonclinical dossier was of high quality and comprised studies on primary </w:t>
      </w:r>
      <w:r w:rsidR="00260892">
        <w:t>pharmacology, pharmacokinetics,</w:t>
      </w:r>
      <w:r w:rsidR="00260892" w:rsidRPr="00C64A78">
        <w:t xml:space="preserve"> </w:t>
      </w:r>
      <w:proofErr w:type="gramStart"/>
      <w:r w:rsidR="00BD2F06" w:rsidRPr="00C64A78">
        <w:t>general</w:t>
      </w:r>
      <w:proofErr w:type="gramEnd"/>
      <w:r w:rsidRPr="00C64A78">
        <w:t xml:space="preserve"> </w:t>
      </w:r>
      <w:r w:rsidR="00C21724">
        <w:t>repeat dose</w:t>
      </w:r>
      <w:r w:rsidRPr="00C64A78">
        <w:t xml:space="preserve"> toxicity and on tissue </w:t>
      </w:r>
      <w:r w:rsidR="00C21724">
        <w:t>cross reactivity</w:t>
      </w:r>
      <w:r w:rsidRPr="00C64A78">
        <w:t>. The scope of studies w</w:t>
      </w:r>
      <w:r w:rsidR="00260892">
        <w:t xml:space="preserve">as consistent with relevant TGA </w:t>
      </w:r>
      <w:r w:rsidRPr="00C64A78">
        <w:t>adopt</w:t>
      </w:r>
      <w:r w:rsidR="00260892">
        <w:t xml:space="preserve">ed guidelines for biotechnology </w:t>
      </w:r>
      <w:r w:rsidRPr="00C64A78">
        <w:t>derived pharmaceuticals</w:t>
      </w:r>
      <w:bookmarkStart w:id="46" w:name="_Ref456885634"/>
      <w:r w:rsidR="00260892">
        <w:rPr>
          <w:rStyle w:val="FootnoteReference"/>
        </w:rPr>
        <w:footnoteReference w:id="9"/>
      </w:r>
      <w:bookmarkEnd w:id="46"/>
      <w:r w:rsidRPr="00C64A78">
        <w:t xml:space="preserve"> and anticancer pharmaceuticals</w:t>
      </w:r>
      <w:r w:rsidR="00260892">
        <w:t>.</w:t>
      </w:r>
      <w:bookmarkStart w:id="47" w:name="_Ref456885637"/>
      <w:r w:rsidR="00260892">
        <w:rPr>
          <w:rStyle w:val="FootnoteReference"/>
        </w:rPr>
        <w:footnoteReference w:id="10"/>
      </w:r>
      <w:bookmarkEnd w:id="47"/>
      <w:r w:rsidRPr="00C64A78">
        <w:t xml:space="preserve"> All of the toxicity studies were performed according to </w:t>
      </w:r>
      <w:r w:rsidR="00C21724">
        <w:t>good laboratory practice (</w:t>
      </w:r>
      <w:r w:rsidRPr="00C64A78">
        <w:t>GLP</w:t>
      </w:r>
      <w:r w:rsidR="00C21724">
        <w:t>)</w:t>
      </w:r>
      <w:r w:rsidRPr="00C64A78">
        <w:t>.</w:t>
      </w:r>
    </w:p>
    <w:p w:rsidR="008E7846" w:rsidRDefault="008E7846" w:rsidP="008E7846">
      <w:pPr>
        <w:pStyle w:val="Heading3"/>
      </w:pPr>
      <w:bookmarkStart w:id="48" w:name="_Toc247691512"/>
      <w:bookmarkStart w:id="49" w:name="_Toc314842496"/>
      <w:bookmarkStart w:id="50" w:name="_Toc464545007"/>
      <w:r w:rsidRPr="00020030">
        <w:t>Pharmacology</w:t>
      </w:r>
      <w:bookmarkEnd w:id="48"/>
      <w:bookmarkEnd w:id="49"/>
      <w:bookmarkEnd w:id="50"/>
    </w:p>
    <w:p w:rsidR="00C64A78" w:rsidRPr="00C64A78" w:rsidRDefault="00C64A78" w:rsidP="00C64A78">
      <w:pPr>
        <w:pStyle w:val="Heading4"/>
      </w:pPr>
      <w:r w:rsidRPr="00C64A78">
        <w:t>Primary pharmacology</w:t>
      </w:r>
    </w:p>
    <w:p w:rsidR="00C64A78" w:rsidRPr="00C64A78" w:rsidRDefault="00C21724" w:rsidP="00C64A78">
      <w:r>
        <w:t>The PD-</w:t>
      </w:r>
      <w:r w:rsidR="00C64A78" w:rsidRPr="00C64A78">
        <w:t xml:space="preserve">1 pathway, normally involved in promoting peripheral tolerance, may be usurped </w:t>
      </w:r>
      <w:r>
        <w:t xml:space="preserve">in tumours to overcome active T </w:t>
      </w:r>
      <w:r w:rsidR="00C64A78" w:rsidRPr="00C64A78">
        <w:t xml:space="preserve">cell immune surveillance. As </w:t>
      </w:r>
      <w:r>
        <w:t>an antibody directed against PD-</w:t>
      </w:r>
      <w:r w:rsidR="00C64A78" w:rsidRPr="00C64A78">
        <w:t>1, pembrolizumab is designed to block</w:t>
      </w:r>
      <w:r>
        <w:t xml:space="preserve"> the interaction between the PD-1 receptor and its ligands, PD-L1 and PD-L2. PD-</w:t>
      </w:r>
      <w:r w:rsidR="00C64A78" w:rsidRPr="00C64A78">
        <w:t xml:space="preserve">L1 has been found to be abundantly expressed by human melanomas and </w:t>
      </w:r>
      <w:r w:rsidR="00260892">
        <w:t>other cancers,</w:t>
      </w:r>
      <w:r w:rsidR="00260892">
        <w:rPr>
          <w:rStyle w:val="FootnoteReference"/>
        </w:rPr>
        <w:footnoteReference w:id="11"/>
      </w:r>
      <w:r w:rsidR="00C64A78" w:rsidRPr="00C64A78">
        <w:t xml:space="preserve"> with high expression correlated with poor prognosis a</w:t>
      </w:r>
      <w:r>
        <w:t>nd survival. Blockade of the PD-</w:t>
      </w:r>
      <w:r w:rsidR="00C64A78" w:rsidRPr="00C64A78">
        <w:t>1 pathway by pembrolizumab is envisaged to enhance th</w:t>
      </w:r>
      <w:r w:rsidR="003C39BE">
        <w:t xml:space="preserve">e functional activity of tumour </w:t>
      </w:r>
      <w:r w:rsidR="00C64A78" w:rsidRPr="00C64A78">
        <w:t>infiltrating lymphocytes to induce tumour regression.</w:t>
      </w:r>
    </w:p>
    <w:p w:rsidR="00C64A78" w:rsidRPr="00C64A78" w:rsidRDefault="00C64A78" w:rsidP="00C64A78">
      <w:r w:rsidRPr="00C64A78">
        <w:t xml:space="preserve">In vitro studies demonstrated that </w:t>
      </w:r>
      <w:r w:rsidR="00C21724">
        <w:t>pembrolizumab binds to human PD-</w:t>
      </w:r>
      <w:r w:rsidRPr="00C64A78">
        <w:t>1 with high affinity (</w:t>
      </w:r>
      <w:proofErr w:type="spellStart"/>
      <w:proofErr w:type="gramStart"/>
      <w:r w:rsidRPr="00C64A78">
        <w:t>Kd</w:t>
      </w:r>
      <w:proofErr w:type="spellEnd"/>
      <w:proofErr w:type="gramEnd"/>
      <w:r w:rsidRPr="00C64A78">
        <w:t>,</w:t>
      </w:r>
      <w:r w:rsidR="00735A18" w:rsidRPr="00C64A78">
        <w:t xml:space="preserve"> </w:t>
      </w:r>
      <w:r w:rsidR="00735A18">
        <w:t xml:space="preserve">29 </w:t>
      </w:r>
      <w:proofErr w:type="spellStart"/>
      <w:r w:rsidRPr="00C64A78">
        <w:t>pM</w:t>
      </w:r>
      <w:proofErr w:type="spellEnd"/>
      <w:r w:rsidRPr="00C64A78">
        <w:t>) and acts t</w:t>
      </w:r>
      <w:r w:rsidR="00C21724">
        <w:t>o inhibit the binding of the PD-L1 and PD-L2 ligands to the PD-</w:t>
      </w:r>
      <w:r w:rsidRPr="00C64A78">
        <w:t>1 receptor. Comparable affinity for</w:t>
      </w:r>
      <w:r w:rsidR="00C21724">
        <w:t xml:space="preserve"> human and Cynomolgus monkey PD-</w:t>
      </w:r>
      <w:r w:rsidRPr="00C64A78">
        <w:t>1 was shown, consistent with the high degree of homol</w:t>
      </w:r>
      <w:r w:rsidR="00C21724">
        <w:t>ogy between human and monkey PD-</w:t>
      </w:r>
      <w:r w:rsidRPr="00C64A78">
        <w:t xml:space="preserve">1 (96% identical amino acid sequence), while pembrolizumab did not </w:t>
      </w:r>
      <w:r w:rsidR="00C21724">
        <w:t>recognise mouse, rat of dog PD-</w:t>
      </w:r>
      <w:r w:rsidRPr="00C64A78">
        <w:t>1</w:t>
      </w:r>
      <w:r w:rsidR="00C21724">
        <w:t xml:space="preserve"> (which display 62 to </w:t>
      </w:r>
      <w:r w:rsidRPr="00C64A78">
        <w:t>72% identity with the human form). Pembr</w:t>
      </w:r>
      <w:r w:rsidR="00260892">
        <w:t xml:space="preserve">olizumab was shown to enhance T </w:t>
      </w:r>
      <w:r w:rsidRPr="00C64A78">
        <w:t xml:space="preserve">cell immune responses, measured </w:t>
      </w:r>
      <w:r w:rsidR="00C21724">
        <w:t xml:space="preserve">as production of </w:t>
      </w:r>
      <w:r w:rsidR="00562005">
        <w:t>Interleukin 2 (IL</w:t>
      </w:r>
      <w:r w:rsidR="00562005">
        <w:noBreakHyphen/>
      </w:r>
      <w:r w:rsidRPr="00C64A78">
        <w:t>2</w:t>
      </w:r>
      <w:r w:rsidR="00562005">
        <w:t>)</w:t>
      </w:r>
      <w:r w:rsidRPr="00C64A78">
        <w:t xml:space="preserve"> and other cytokines following activation by Staphylococcus enterotoxin B in cultured blood cells from healthy human donors, cancer patients and Cynomolgus monkeys, and as </w:t>
      </w:r>
      <w:r w:rsidR="00555B76">
        <w:t>gamma interferon</w:t>
      </w:r>
      <w:r w:rsidR="00555B76" w:rsidRPr="00C64A78">
        <w:t xml:space="preserve"> </w:t>
      </w:r>
      <w:r w:rsidR="00555B76">
        <w:t>(</w:t>
      </w:r>
      <w:proofErr w:type="spellStart"/>
      <w:r w:rsidRPr="00C64A78">
        <w:t>IFN</w:t>
      </w:r>
      <w:r w:rsidR="00C21724">
        <w:t>γ</w:t>
      </w:r>
      <w:proofErr w:type="spellEnd"/>
      <w:r w:rsidR="00555B76">
        <w:t>)</w:t>
      </w:r>
      <w:r w:rsidRPr="00C64A78">
        <w:t xml:space="preserve"> produc</w:t>
      </w:r>
      <w:r w:rsidR="00260892">
        <w:t xml:space="preserve">tion from pre-existing memory T </w:t>
      </w:r>
      <w:r w:rsidRPr="00C64A78">
        <w:t xml:space="preserve">cells in the peripheral blood of healthy human donors following stimulation with tetanus toxoid. Pembrolizumab was demonstrated </w:t>
      </w:r>
      <w:r w:rsidR="00260892">
        <w:t xml:space="preserve">to not spontaneously activate T </w:t>
      </w:r>
      <w:r w:rsidRPr="00C64A78">
        <w:t>cells</w:t>
      </w:r>
      <w:r w:rsidR="00260892">
        <w:t xml:space="preserve"> in the absence of concurrent T </w:t>
      </w:r>
      <w:r w:rsidRPr="00C64A78">
        <w:t>cell receptor signalling. In vivo studies, conducted in mice bearing syngeneic tumours (colon adenocarcinoma), revealed significant a</w:t>
      </w:r>
      <w:r w:rsidR="00C21724">
        <w:t>nti</w:t>
      </w:r>
      <w:r w:rsidR="004C1A99">
        <w:t>-tumour activity for an anti PD</w:t>
      </w:r>
      <w:r w:rsidR="004C1A99">
        <w:noBreakHyphen/>
      </w:r>
      <w:r w:rsidRPr="00C64A78">
        <w:t>1 antibody (</w:t>
      </w:r>
      <w:r w:rsidR="00C21724">
        <w:t>mouse specific</w:t>
      </w:r>
      <w:r w:rsidRPr="00C64A78">
        <w:t xml:space="preserve"> surrogate), including instances of complete tumour </w:t>
      </w:r>
      <w:r w:rsidRPr="00C64A78">
        <w:lastRenderedPageBreak/>
        <w:t>regression and substantially prolonged animal survival. Combination treatment with either gemcitabine or 5</w:t>
      </w:r>
      <w:r w:rsidRPr="00C64A78">
        <w:noBreakHyphen/>
        <w:t xml:space="preserve">fluorouracil enhanced the </w:t>
      </w:r>
      <w:r w:rsidR="00AF4DF5" w:rsidRPr="00C64A78">
        <w:t>a</w:t>
      </w:r>
      <w:r w:rsidR="00AF4DF5">
        <w:t>ntitumor</w:t>
      </w:r>
      <w:r w:rsidR="00C21724">
        <w:t xml:space="preserve"> activity of the anti PD-</w:t>
      </w:r>
      <w:r w:rsidRPr="00C64A78">
        <w:t>1 ant</w:t>
      </w:r>
      <w:r w:rsidR="00260892">
        <w:t>ibody in a synergistic fashion.</w:t>
      </w:r>
    </w:p>
    <w:p w:rsidR="00C64A78" w:rsidRPr="00C64A78" w:rsidRDefault="00C64A78" w:rsidP="00C64A78">
      <w:pPr>
        <w:pStyle w:val="Heading4"/>
      </w:pPr>
      <w:r w:rsidRPr="00C64A78">
        <w:t>Secondary pharmacodynamics</w:t>
      </w:r>
    </w:p>
    <w:p w:rsidR="00C64A78" w:rsidRPr="00C64A78" w:rsidRDefault="00C64A78" w:rsidP="00C64A78">
      <w:r w:rsidRPr="00C64A78">
        <w:t>Pembrolizumab contains an IgG4 Fc portion. The drug showed limited potential for effector function, consistent with expectations for the isotype, based on the results of assays for C1q, CD64 (</w:t>
      </w:r>
      <w:proofErr w:type="spellStart"/>
      <w:r w:rsidRPr="00C64A78">
        <w:t>FcγRI</w:t>
      </w:r>
      <w:proofErr w:type="spellEnd"/>
      <w:r w:rsidRPr="00C64A78">
        <w:t>) and CD16a (</w:t>
      </w:r>
      <w:proofErr w:type="spellStart"/>
      <w:r w:rsidRPr="00C64A78">
        <w:t>FcγRIIIa</w:t>
      </w:r>
      <w:proofErr w:type="spellEnd"/>
      <w:r w:rsidRPr="00C64A78">
        <w:t>) binding affinity.</w:t>
      </w:r>
    </w:p>
    <w:p w:rsidR="00C64A78" w:rsidRPr="00C64A78" w:rsidRDefault="00C64A78" w:rsidP="00C64A78">
      <w:r w:rsidRPr="00C64A78">
        <w:t xml:space="preserve">Immunohistochemical </w:t>
      </w:r>
      <w:r w:rsidR="00C21724">
        <w:t>cross reactivity</w:t>
      </w:r>
      <w:r w:rsidRPr="00C64A78">
        <w:t xml:space="preserve"> studies with pembrolizumab, conducted against a panel of normal human and Cynomolgus monkey tissues, demonstrated positive staining of mononuclear leukocyte membranes in both sp</w:t>
      </w:r>
      <w:r w:rsidR="00DC6A0D">
        <w:t xml:space="preserve">ecies, consistent with known PD-1 expression. Off </w:t>
      </w:r>
      <w:r w:rsidRPr="00C64A78">
        <w:t>target binding was observed, but was principally cytoplasmic in nature (of dubious relevance given that the cytoplasm is not expected to be accessible to the drug in vivo) and was not associated with toxicity (see </w:t>
      </w:r>
      <w:r w:rsidR="00DC6A0D">
        <w:t>r</w:t>
      </w:r>
      <w:r w:rsidR="00C21724">
        <w:t>epeat dose</w:t>
      </w:r>
      <w:r w:rsidRPr="00C64A78">
        <w:t xml:space="preserve"> toxicity).</w:t>
      </w:r>
    </w:p>
    <w:p w:rsidR="00C64A78" w:rsidRPr="00C64A78" w:rsidRDefault="00C64A78" w:rsidP="00C64A78">
      <w:pPr>
        <w:pStyle w:val="Heading4"/>
      </w:pPr>
      <w:bookmarkStart w:id="51" w:name="_Toc247691513"/>
      <w:bookmarkStart w:id="52" w:name="_Toc314842497"/>
      <w:r w:rsidRPr="00C64A78">
        <w:t>Safety pharmacology</w:t>
      </w:r>
    </w:p>
    <w:p w:rsidR="00C64A78" w:rsidRPr="00C64A78" w:rsidRDefault="00C64A78" w:rsidP="00C64A78">
      <w:r w:rsidRPr="00C64A78">
        <w:t xml:space="preserve">No specialised safety pharmacology studies were conducted, in accordance with </w:t>
      </w:r>
      <w:r w:rsidR="00260892">
        <w:t>the guidelines</w:t>
      </w:r>
      <w:r w:rsidR="00260892" w:rsidRPr="00F965EC">
        <w:t>.</w:t>
      </w:r>
      <w:r w:rsidR="00DC6A0D" w:rsidRPr="00F965EC">
        <w:rPr>
          <w:vertAlign w:val="superscript"/>
        </w:rPr>
        <w:fldChar w:fldCharType="begin"/>
      </w:r>
      <w:r w:rsidR="00DC6A0D" w:rsidRPr="00F965EC">
        <w:rPr>
          <w:vertAlign w:val="superscript"/>
        </w:rPr>
        <w:instrText xml:space="preserve"> NOTEREF _Ref456885634 \h  \* MERGEFORMAT </w:instrText>
      </w:r>
      <w:r w:rsidR="00DC6A0D" w:rsidRPr="00F965EC">
        <w:rPr>
          <w:vertAlign w:val="superscript"/>
        </w:rPr>
      </w:r>
      <w:r w:rsidR="00DC6A0D" w:rsidRPr="00F965EC">
        <w:rPr>
          <w:vertAlign w:val="superscript"/>
        </w:rPr>
        <w:fldChar w:fldCharType="separate"/>
      </w:r>
      <w:r w:rsidR="005E57DC">
        <w:rPr>
          <w:vertAlign w:val="superscript"/>
        </w:rPr>
        <w:t>9</w:t>
      </w:r>
      <w:r w:rsidR="00DC6A0D" w:rsidRPr="00F965EC">
        <w:rPr>
          <w:vertAlign w:val="superscript"/>
        </w:rPr>
        <w:fldChar w:fldCharType="end"/>
      </w:r>
      <w:r w:rsidR="00DC6A0D" w:rsidRPr="00F965EC">
        <w:rPr>
          <w:vertAlign w:val="superscript"/>
        </w:rPr>
        <w:t xml:space="preserve">, </w:t>
      </w:r>
      <w:r w:rsidR="00DC6A0D" w:rsidRPr="00F965EC">
        <w:rPr>
          <w:vertAlign w:val="superscript"/>
        </w:rPr>
        <w:fldChar w:fldCharType="begin"/>
      </w:r>
      <w:r w:rsidR="00DC6A0D" w:rsidRPr="00F965EC">
        <w:rPr>
          <w:vertAlign w:val="superscript"/>
        </w:rPr>
        <w:instrText xml:space="preserve"> NOTEREF _Ref456885637 \h </w:instrText>
      </w:r>
      <w:r w:rsidR="00F965EC">
        <w:rPr>
          <w:vertAlign w:val="superscript"/>
        </w:rPr>
        <w:instrText xml:space="preserve"> \* MERGEFORMAT </w:instrText>
      </w:r>
      <w:r w:rsidR="00DC6A0D" w:rsidRPr="00F965EC">
        <w:rPr>
          <w:vertAlign w:val="superscript"/>
        </w:rPr>
      </w:r>
      <w:r w:rsidR="00DC6A0D" w:rsidRPr="00F965EC">
        <w:rPr>
          <w:vertAlign w:val="superscript"/>
        </w:rPr>
        <w:fldChar w:fldCharType="separate"/>
      </w:r>
      <w:r w:rsidR="005E57DC">
        <w:rPr>
          <w:vertAlign w:val="superscript"/>
        </w:rPr>
        <w:t>10</w:t>
      </w:r>
      <w:r w:rsidR="00DC6A0D" w:rsidRPr="00F965EC">
        <w:rPr>
          <w:vertAlign w:val="superscript"/>
        </w:rPr>
        <w:fldChar w:fldCharType="end"/>
      </w:r>
      <w:r w:rsidR="00260892">
        <w:t xml:space="preserve"> </w:t>
      </w:r>
      <w:proofErr w:type="gramStart"/>
      <w:r w:rsidR="00260892">
        <w:t>Both</w:t>
      </w:r>
      <w:proofErr w:type="gramEnd"/>
      <w:r w:rsidR="00260892">
        <w:t xml:space="preserve"> of the general repeat </w:t>
      </w:r>
      <w:r w:rsidRPr="00C64A78">
        <w:t>dose toxicity studies conducted in monkeys included ECG examinations, and blood pressure was measured in one</w:t>
      </w:r>
      <w:r w:rsidR="00260892">
        <w:t xml:space="preserve"> study. There were no treatment </w:t>
      </w:r>
      <w:r w:rsidRPr="00C64A78">
        <w:t>related effects on these parameters, and no other general observations made in the studies that would indicate adverse effects of pembrolizumab on cardiovascular, respiratory, renal or nervous system function. The peak serum concentration of pembrolizumab achieved in animals at the high-dose level (200 mg/kg IV) in these studies is more than two orders of magnitude higher than that expected in patients at the recommended clinical dose (2 mg/kg IV).</w:t>
      </w:r>
    </w:p>
    <w:p w:rsidR="008E7846" w:rsidRDefault="008E7846" w:rsidP="008E7846">
      <w:pPr>
        <w:pStyle w:val="Heading3"/>
      </w:pPr>
      <w:bookmarkStart w:id="53" w:name="_Toc464545008"/>
      <w:r>
        <w:t>Pharmacokinetics</w:t>
      </w:r>
      <w:bookmarkEnd w:id="51"/>
      <w:bookmarkEnd w:id="52"/>
      <w:bookmarkEnd w:id="53"/>
    </w:p>
    <w:p w:rsidR="00C64A78" w:rsidRPr="00C64A78" w:rsidRDefault="00C64A78" w:rsidP="00C64A78">
      <w:bookmarkStart w:id="54" w:name="_Toc247691514"/>
      <w:bookmarkStart w:id="55" w:name="_Toc314842498"/>
      <w:r w:rsidRPr="00C64A78">
        <w:t>Exposure to pembrolizumab a</w:t>
      </w:r>
      <w:r w:rsidR="00260892">
        <w:t xml:space="preserve">fter IV administration was dose </w:t>
      </w:r>
      <w:r w:rsidRPr="00C64A78">
        <w:t>proportional or sligh</w:t>
      </w:r>
      <w:r w:rsidR="00260892">
        <w:t xml:space="preserve">tly greater than dose </w:t>
      </w:r>
      <w:r w:rsidRPr="00C64A78">
        <w:t>proportional in Cynom</w:t>
      </w:r>
      <w:r w:rsidR="00260892">
        <w:t xml:space="preserve">olgus monkeys (studied over 0.3 to 200 mg/kg) and dose </w:t>
      </w:r>
      <w:r w:rsidRPr="00C64A78">
        <w:t>proportional in h</w:t>
      </w:r>
      <w:r w:rsidR="00260892">
        <w:t xml:space="preserve">umans (studied over the range 2 to </w:t>
      </w:r>
      <w:r w:rsidRPr="00C64A78">
        <w:t>10 mg/kg). Terminal half-life was long in both species (</w:t>
      </w:r>
      <w:r w:rsidR="00987E81">
        <w:t xml:space="preserve">approximately </w:t>
      </w:r>
      <w:r w:rsidRPr="00C64A78">
        <w:t xml:space="preserve">22 days in monkeys and </w:t>
      </w:r>
      <w:r w:rsidR="00987E81">
        <w:t xml:space="preserve">approximately </w:t>
      </w:r>
      <w:r w:rsidR="00F965EC">
        <w:t>26 </w:t>
      </w:r>
      <w:r w:rsidRPr="00C64A78">
        <w:t>days in humans) and volume of distribution was low (as expected for an antibody).</w:t>
      </w:r>
    </w:p>
    <w:p w:rsidR="00C64A78" w:rsidRPr="00C64A78" w:rsidRDefault="00C64A78" w:rsidP="00C64A78">
      <w:r w:rsidRPr="00C64A78">
        <w:t xml:space="preserve">No distribution, traditional metabolism, excretion or pharmacokinetic interaction studies were submitted (in accordance with </w:t>
      </w:r>
      <w:r w:rsidR="00260892">
        <w:t>the guideline</w:t>
      </w:r>
      <w:r w:rsidR="00F965EC" w:rsidRPr="00F965EC">
        <w:rPr>
          <w:vertAlign w:val="superscript"/>
        </w:rPr>
        <w:fldChar w:fldCharType="begin"/>
      </w:r>
      <w:r w:rsidR="00F965EC" w:rsidRPr="00F965EC">
        <w:rPr>
          <w:vertAlign w:val="superscript"/>
        </w:rPr>
        <w:instrText xml:space="preserve"> NOTEREF _Ref456885634 \h  \* MERGEFORMAT </w:instrText>
      </w:r>
      <w:r w:rsidR="00F965EC" w:rsidRPr="00F965EC">
        <w:rPr>
          <w:vertAlign w:val="superscript"/>
        </w:rPr>
      </w:r>
      <w:r w:rsidR="00F965EC" w:rsidRPr="00F965EC">
        <w:rPr>
          <w:vertAlign w:val="superscript"/>
        </w:rPr>
        <w:fldChar w:fldCharType="separate"/>
      </w:r>
      <w:r w:rsidR="005E57DC">
        <w:rPr>
          <w:vertAlign w:val="superscript"/>
        </w:rPr>
        <w:t>9</w:t>
      </w:r>
      <w:r w:rsidR="00F965EC" w:rsidRPr="00F965EC">
        <w:rPr>
          <w:vertAlign w:val="superscript"/>
        </w:rPr>
        <w:fldChar w:fldCharType="end"/>
      </w:r>
      <w:r w:rsidRPr="00C64A78">
        <w:t>). Pembrolizumab was shown</w:t>
      </w:r>
      <w:r w:rsidR="00485A77">
        <w:t xml:space="preserve"> not to engage in Fab-arm (half </w:t>
      </w:r>
      <w:r w:rsidRPr="00C64A78">
        <w:t>molecule) excha</w:t>
      </w:r>
      <w:r w:rsidR="00F965EC">
        <w:t>nge with other IgG4 antibody</w:t>
      </w:r>
      <w:r w:rsidR="00260892">
        <w:t>;</w:t>
      </w:r>
      <w:r w:rsidRPr="00C64A78">
        <w:t xml:space="preserve"> a structural rearrangement that res</w:t>
      </w:r>
      <w:r w:rsidR="00260892">
        <w:t>ults in bi</w:t>
      </w:r>
      <w:r w:rsidR="00260892">
        <w:noBreakHyphen/>
        <w:t>specific antibodies;</w:t>
      </w:r>
      <w:r w:rsidRPr="00C64A78">
        <w:t xml:space="preserve"> either in vitro (in </w:t>
      </w:r>
      <w:r w:rsidR="00DE2828">
        <w:t>phosphate buffered saline</w:t>
      </w:r>
      <w:r w:rsidRPr="00C64A78">
        <w:t xml:space="preserve"> or human serum) or in vivo (in mice) by virtue of a mutation (serine to proline at position 228) engineered into the hinge region of the molecule. Pembrolizumab will be eliminated by normal protein degradation pathways for IgG molecules, and, as a protein, is not expected to cause or be subject to pharmaco</w:t>
      </w:r>
      <w:r w:rsidR="00260892">
        <w:t>kinetic drug-drug interactions.</w:t>
      </w:r>
    </w:p>
    <w:p w:rsidR="001B5C90" w:rsidRDefault="008E7846" w:rsidP="001B5C90">
      <w:pPr>
        <w:pStyle w:val="Heading3"/>
      </w:pPr>
      <w:bookmarkStart w:id="56" w:name="_Toc464545009"/>
      <w:r>
        <w:t>Toxicology</w:t>
      </w:r>
      <w:bookmarkEnd w:id="54"/>
      <w:bookmarkEnd w:id="55"/>
      <w:bookmarkEnd w:id="56"/>
    </w:p>
    <w:p w:rsidR="00C64A78" w:rsidRPr="00C64A78" w:rsidRDefault="00C64A78" w:rsidP="00C64A78">
      <w:pPr>
        <w:pStyle w:val="Heading4"/>
      </w:pPr>
      <w:r w:rsidRPr="00C64A78">
        <w:t>Single-dose toxicity</w:t>
      </w:r>
    </w:p>
    <w:p w:rsidR="00C64A78" w:rsidRPr="00C64A78" w:rsidRDefault="00C64A78" w:rsidP="00C64A78">
      <w:r w:rsidRPr="00C64A78">
        <w:t>No singl</w:t>
      </w:r>
      <w:r w:rsidR="00260892">
        <w:t xml:space="preserve">e </w:t>
      </w:r>
      <w:r w:rsidRPr="00C64A78">
        <w:t>dose toxicity studies were submitted. This is acceptable, with relevant information on acute toxicity obtainable from other studies. A low order of acute toxicity was apparent for pembr</w:t>
      </w:r>
      <w:r w:rsidR="00260892">
        <w:t>olizumab in Cynomolgus monkeys.</w:t>
      </w:r>
    </w:p>
    <w:p w:rsidR="00C64A78" w:rsidRPr="00C64A78" w:rsidRDefault="00260892" w:rsidP="00C64A78">
      <w:pPr>
        <w:pStyle w:val="Heading4"/>
      </w:pPr>
      <w:bookmarkStart w:id="57" w:name="_Toc294861728"/>
      <w:r>
        <w:lastRenderedPageBreak/>
        <w:t xml:space="preserve">Repeat </w:t>
      </w:r>
      <w:r w:rsidR="00C64A78" w:rsidRPr="00C64A78">
        <w:t>dose toxicity</w:t>
      </w:r>
      <w:bookmarkEnd w:id="57"/>
    </w:p>
    <w:p w:rsidR="00C64A78" w:rsidRPr="00C64A78" w:rsidRDefault="00260892" w:rsidP="00C64A78">
      <w:r>
        <w:t xml:space="preserve">The repeat </w:t>
      </w:r>
      <w:r w:rsidR="00C64A78" w:rsidRPr="00C64A78">
        <w:t>dose toxicity of pembrolizumab was investigated in studies in Cynomolgus monkeys of 1 and 6 months duration. Administration was by the clinical route (IV), with dosing more frequent than proposed f</w:t>
      </w:r>
      <w:r>
        <w:t xml:space="preserve">or humans (once weekly in the 1 </w:t>
      </w:r>
      <w:r w:rsidR="00C64A78" w:rsidRPr="00C64A78">
        <w:t xml:space="preserve">month study and once every two </w:t>
      </w:r>
      <w:r>
        <w:t>weeks in the pivotal 6 month study compared with</w:t>
      </w:r>
      <w:r w:rsidR="00C64A78" w:rsidRPr="00C64A78">
        <w:t xml:space="preserve"> once every three weeks for patients under the recommended regimen). Animals of both sexes were used; group sizes and the duration of the pivotal study were appropriate. The use of a single species is acceptable given the absence of a pharmacodynamically responsive rodent species. Both studies included recovery</w:t>
      </w:r>
      <w:r>
        <w:t xml:space="preserve"> groups (allowed a subsequent 4 month treatment </w:t>
      </w:r>
      <w:r w:rsidR="00C64A78" w:rsidRPr="00C64A78">
        <w:t>free period) to examine reversibil</w:t>
      </w:r>
      <w:r>
        <w:t>ity/potential delayed toxicity.</w:t>
      </w:r>
    </w:p>
    <w:p w:rsidR="00C64A78" w:rsidRPr="00C64A78" w:rsidRDefault="00C64A78" w:rsidP="00C64A78">
      <w:pPr>
        <w:pStyle w:val="Heading5"/>
      </w:pPr>
      <w:r w:rsidRPr="00C64A78">
        <w:t>Relative exposure</w:t>
      </w:r>
    </w:p>
    <w:p w:rsidR="00C64A78" w:rsidRDefault="00C64A78" w:rsidP="00C64A78">
      <w:r w:rsidRPr="00C64A78">
        <w:t>Exposure ratios have been calculated in the table below based on animal:</w:t>
      </w:r>
      <w:r w:rsidR="00260892">
        <w:t xml:space="preserve"> </w:t>
      </w:r>
      <w:r w:rsidRPr="00C64A78">
        <w:t xml:space="preserve">human serum </w:t>
      </w:r>
      <w:r w:rsidR="00F236AD">
        <w:t>area under the curve</w:t>
      </w:r>
      <w:r w:rsidR="00F236AD" w:rsidRPr="00C64A78">
        <w:t xml:space="preserve"> </w:t>
      </w:r>
      <w:r w:rsidR="00F236AD">
        <w:t>(</w:t>
      </w:r>
      <w:r w:rsidRPr="00C64A78">
        <w:t>AUC</w:t>
      </w:r>
      <w:r w:rsidR="00F236AD">
        <w:t>)</w:t>
      </w:r>
      <w:r w:rsidRPr="00C64A78">
        <w:t xml:space="preserve"> values for pembrolizumab following adjustment to reflect the higher dosing frequency in animals. The human reference AUC value is for the maximum recommended clinical dose (2 mg/kg every 3 weeks) at steady state, obtained in population PK modelling (</w:t>
      </w:r>
      <w:r w:rsidR="00F965EC">
        <w:t>c</w:t>
      </w:r>
      <w:r w:rsidRPr="00C64A78">
        <w:t>linical Study 03TLC8). AUC values for animals are calculated after exclusion of serum concentrations measured in animals positive for anti-drug antibodies. Very high exposure multiples were achieved in animals at the upper dose levels used in the studies.</w:t>
      </w:r>
    </w:p>
    <w:p w:rsidR="00C64A78" w:rsidRPr="00C64A78" w:rsidRDefault="00260892" w:rsidP="00C64A78">
      <w:pPr>
        <w:pStyle w:val="TableTitle"/>
      </w:pPr>
      <w:proofErr w:type="gramStart"/>
      <w:r>
        <w:t>Table 1.</w:t>
      </w:r>
      <w:proofErr w:type="gramEnd"/>
      <w:r>
        <w:t xml:space="preserve"> </w:t>
      </w:r>
      <w:r w:rsidR="00C64A78" w:rsidRPr="00C64A78">
        <w:t xml:space="preserve">Relative exposure in </w:t>
      </w:r>
      <w:r w:rsidR="00C21724">
        <w:t>repeat dose</w:t>
      </w:r>
      <w:r w:rsidR="00C64A78" w:rsidRPr="00C64A78">
        <w:t xml:space="preserve"> toxicity studies</w:t>
      </w:r>
    </w:p>
    <w:tbl>
      <w:tblPr>
        <w:tblStyle w:val="TableTGAblue"/>
        <w:tblW w:w="8336" w:type="dxa"/>
        <w:tblLayout w:type="fixed"/>
        <w:tblLook w:val="01E0" w:firstRow="1" w:lastRow="1" w:firstColumn="1" w:lastColumn="1" w:noHBand="0" w:noVBand="0"/>
      </w:tblPr>
      <w:tblGrid>
        <w:gridCol w:w="1260"/>
        <w:gridCol w:w="1259"/>
        <w:gridCol w:w="1209"/>
        <w:gridCol w:w="1342"/>
        <w:gridCol w:w="1134"/>
        <w:gridCol w:w="850"/>
        <w:gridCol w:w="1282"/>
      </w:tblGrid>
      <w:tr w:rsidR="00C64A78" w:rsidRPr="00735A18" w:rsidTr="00735A18">
        <w:trPr>
          <w:cnfStyle w:val="100000000000" w:firstRow="1" w:lastRow="0" w:firstColumn="0" w:lastColumn="0" w:oddVBand="0" w:evenVBand="0" w:oddHBand="0" w:evenHBand="0" w:firstRowFirstColumn="0" w:firstRowLastColumn="0" w:lastRowFirstColumn="0" w:lastRowLastColumn="0"/>
          <w:trHeight w:val="703"/>
        </w:trPr>
        <w:tc>
          <w:tcPr>
            <w:tcW w:w="1260" w:type="dxa"/>
          </w:tcPr>
          <w:p w:rsidR="00C64A78" w:rsidRPr="00735A18" w:rsidRDefault="00C64A78" w:rsidP="00735A18">
            <w:pPr>
              <w:ind w:left="0"/>
              <w:rPr>
                <w:sz w:val="20"/>
                <w:szCs w:val="20"/>
              </w:rPr>
            </w:pPr>
            <w:r w:rsidRPr="00735A18">
              <w:rPr>
                <w:sz w:val="20"/>
                <w:szCs w:val="20"/>
              </w:rPr>
              <w:t>Species</w:t>
            </w:r>
          </w:p>
        </w:tc>
        <w:tc>
          <w:tcPr>
            <w:tcW w:w="1259" w:type="dxa"/>
          </w:tcPr>
          <w:p w:rsidR="00C64A78" w:rsidRPr="00735A18" w:rsidRDefault="00C64A78" w:rsidP="00735A18">
            <w:pPr>
              <w:ind w:left="16"/>
              <w:rPr>
                <w:sz w:val="20"/>
                <w:szCs w:val="20"/>
              </w:rPr>
            </w:pPr>
            <w:r w:rsidRPr="00735A18">
              <w:rPr>
                <w:sz w:val="20"/>
                <w:szCs w:val="20"/>
              </w:rPr>
              <w:t>Study</w:t>
            </w:r>
          </w:p>
        </w:tc>
        <w:tc>
          <w:tcPr>
            <w:tcW w:w="1209" w:type="dxa"/>
          </w:tcPr>
          <w:p w:rsidR="00C64A78" w:rsidRPr="00735A18" w:rsidRDefault="00C64A78" w:rsidP="00735A18">
            <w:pPr>
              <w:ind w:left="0"/>
              <w:rPr>
                <w:sz w:val="20"/>
                <w:szCs w:val="20"/>
              </w:rPr>
            </w:pPr>
            <w:r w:rsidRPr="00735A18">
              <w:rPr>
                <w:sz w:val="20"/>
                <w:szCs w:val="20"/>
              </w:rPr>
              <w:t>Frequency</w:t>
            </w:r>
          </w:p>
        </w:tc>
        <w:tc>
          <w:tcPr>
            <w:tcW w:w="1342" w:type="dxa"/>
          </w:tcPr>
          <w:p w:rsidR="00C64A78" w:rsidRPr="00735A18" w:rsidRDefault="00260892" w:rsidP="00735A18">
            <w:pPr>
              <w:ind w:left="0"/>
              <w:rPr>
                <w:sz w:val="20"/>
                <w:szCs w:val="20"/>
              </w:rPr>
            </w:pPr>
            <w:r w:rsidRPr="00735A18">
              <w:rPr>
                <w:sz w:val="20"/>
                <w:szCs w:val="20"/>
              </w:rPr>
              <w:t xml:space="preserve">Dose </w:t>
            </w:r>
            <w:r w:rsidR="00C64A78" w:rsidRPr="00735A18">
              <w:rPr>
                <w:sz w:val="20"/>
                <w:szCs w:val="20"/>
              </w:rPr>
              <w:t>(mg/kg); IV</w:t>
            </w:r>
          </w:p>
        </w:tc>
        <w:tc>
          <w:tcPr>
            <w:tcW w:w="1984" w:type="dxa"/>
            <w:gridSpan w:val="2"/>
          </w:tcPr>
          <w:p w:rsidR="00C64A78" w:rsidRPr="00735A18" w:rsidRDefault="00260892" w:rsidP="00735A18">
            <w:pPr>
              <w:ind w:left="38"/>
              <w:rPr>
                <w:sz w:val="20"/>
                <w:szCs w:val="20"/>
              </w:rPr>
            </w:pPr>
            <w:r w:rsidRPr="00735A18">
              <w:rPr>
                <w:sz w:val="20"/>
                <w:szCs w:val="20"/>
              </w:rPr>
              <w:t>AUC</w:t>
            </w:r>
            <w:r w:rsidRPr="00735A18">
              <w:rPr>
                <w:sz w:val="20"/>
                <w:szCs w:val="20"/>
                <w:vertAlign w:val="subscript"/>
              </w:rPr>
              <w:t>0–t</w:t>
            </w:r>
            <w:r w:rsidR="00C64A78" w:rsidRPr="00735A18">
              <w:rPr>
                <w:sz w:val="20"/>
                <w:szCs w:val="20"/>
              </w:rPr>
              <w:t>(µ</w:t>
            </w:r>
            <w:proofErr w:type="spellStart"/>
            <w:r w:rsidR="00C64A78" w:rsidRPr="00735A18">
              <w:rPr>
                <w:sz w:val="20"/>
                <w:szCs w:val="20"/>
              </w:rPr>
              <w:t>g∙day</w:t>
            </w:r>
            <w:proofErr w:type="spellEnd"/>
            <w:r w:rsidR="00C64A78" w:rsidRPr="00735A18">
              <w:rPr>
                <w:sz w:val="20"/>
                <w:szCs w:val="20"/>
              </w:rPr>
              <w:t>/mL)</w:t>
            </w:r>
          </w:p>
        </w:tc>
        <w:tc>
          <w:tcPr>
            <w:tcW w:w="1282" w:type="dxa"/>
          </w:tcPr>
          <w:p w:rsidR="00C64A78" w:rsidRPr="00735A18" w:rsidRDefault="00260892" w:rsidP="00735A18">
            <w:pPr>
              <w:ind w:left="0"/>
              <w:rPr>
                <w:sz w:val="20"/>
                <w:szCs w:val="20"/>
              </w:rPr>
            </w:pPr>
            <w:r w:rsidRPr="00735A18">
              <w:rPr>
                <w:sz w:val="20"/>
                <w:szCs w:val="20"/>
              </w:rPr>
              <w:t xml:space="preserve">Exposure </w:t>
            </w:r>
            <w:r w:rsidR="00C64A78" w:rsidRPr="00735A18">
              <w:rPr>
                <w:sz w:val="20"/>
                <w:szCs w:val="20"/>
              </w:rPr>
              <w:t>ratio#</w:t>
            </w:r>
          </w:p>
        </w:tc>
      </w:tr>
      <w:tr w:rsidR="00C64A78" w:rsidRPr="00735A18" w:rsidTr="00735A18">
        <w:trPr>
          <w:trHeight w:val="224"/>
        </w:trPr>
        <w:tc>
          <w:tcPr>
            <w:tcW w:w="1260" w:type="dxa"/>
            <w:vMerge w:val="restart"/>
          </w:tcPr>
          <w:p w:rsidR="00C64A78" w:rsidRPr="00735A18" w:rsidRDefault="00260892" w:rsidP="00735A18">
            <w:pPr>
              <w:ind w:left="0"/>
              <w:rPr>
                <w:sz w:val="20"/>
                <w:szCs w:val="20"/>
              </w:rPr>
            </w:pPr>
            <w:r w:rsidRPr="00735A18">
              <w:rPr>
                <w:sz w:val="20"/>
                <w:szCs w:val="20"/>
              </w:rPr>
              <w:t>Monkey; Cynomolgus</w:t>
            </w:r>
          </w:p>
        </w:tc>
        <w:tc>
          <w:tcPr>
            <w:tcW w:w="1259" w:type="dxa"/>
            <w:vMerge w:val="restart"/>
          </w:tcPr>
          <w:p w:rsidR="00C64A78" w:rsidRPr="00735A18" w:rsidRDefault="00C64A78" w:rsidP="00735A18">
            <w:pPr>
              <w:ind w:left="16"/>
              <w:rPr>
                <w:sz w:val="20"/>
                <w:szCs w:val="20"/>
              </w:rPr>
            </w:pPr>
            <w:r w:rsidRPr="00735A18">
              <w:rPr>
                <w:sz w:val="20"/>
                <w:szCs w:val="20"/>
              </w:rPr>
              <w:t>1 month</w:t>
            </w:r>
          </w:p>
        </w:tc>
        <w:tc>
          <w:tcPr>
            <w:tcW w:w="1209" w:type="dxa"/>
            <w:vMerge w:val="restart"/>
          </w:tcPr>
          <w:p w:rsidR="00C64A78" w:rsidRPr="00735A18" w:rsidRDefault="00260892" w:rsidP="00735A18">
            <w:pPr>
              <w:ind w:left="0"/>
              <w:rPr>
                <w:sz w:val="20"/>
                <w:szCs w:val="20"/>
              </w:rPr>
            </w:pPr>
            <w:r w:rsidRPr="00735A18">
              <w:rPr>
                <w:sz w:val="20"/>
                <w:szCs w:val="20"/>
              </w:rPr>
              <w:t xml:space="preserve">Once </w:t>
            </w:r>
            <w:r w:rsidR="00C64A78" w:rsidRPr="00735A18">
              <w:rPr>
                <w:sz w:val="20"/>
                <w:szCs w:val="20"/>
              </w:rPr>
              <w:t>weekly</w:t>
            </w:r>
          </w:p>
        </w:tc>
        <w:tc>
          <w:tcPr>
            <w:tcW w:w="1342" w:type="dxa"/>
          </w:tcPr>
          <w:p w:rsidR="00C64A78" w:rsidRPr="00735A18" w:rsidRDefault="00C64A78" w:rsidP="00735A18">
            <w:pPr>
              <w:ind w:left="0"/>
              <w:rPr>
                <w:sz w:val="20"/>
                <w:szCs w:val="20"/>
              </w:rPr>
            </w:pPr>
            <w:r w:rsidRPr="00735A18">
              <w:rPr>
                <w:sz w:val="20"/>
                <w:szCs w:val="20"/>
              </w:rPr>
              <w:t>6</w:t>
            </w:r>
          </w:p>
        </w:tc>
        <w:tc>
          <w:tcPr>
            <w:tcW w:w="1134" w:type="dxa"/>
          </w:tcPr>
          <w:p w:rsidR="00C64A78" w:rsidRPr="00735A18" w:rsidRDefault="00C64A78" w:rsidP="00735A18">
            <w:pPr>
              <w:ind w:left="38"/>
              <w:rPr>
                <w:sz w:val="20"/>
                <w:szCs w:val="20"/>
              </w:rPr>
            </w:pPr>
            <w:r w:rsidRPr="00735A18">
              <w:rPr>
                <w:sz w:val="20"/>
                <w:szCs w:val="20"/>
              </w:rPr>
              <w:t>1</w:t>
            </w:r>
            <w:r w:rsidR="00260892" w:rsidRPr="00735A18">
              <w:rPr>
                <w:sz w:val="20"/>
                <w:szCs w:val="20"/>
              </w:rPr>
              <w:t>,</w:t>
            </w:r>
            <w:r w:rsidRPr="00735A18">
              <w:rPr>
                <w:sz w:val="20"/>
                <w:szCs w:val="20"/>
              </w:rPr>
              <w:t>790</w:t>
            </w:r>
          </w:p>
        </w:tc>
        <w:tc>
          <w:tcPr>
            <w:tcW w:w="850" w:type="dxa"/>
            <w:vMerge w:val="restart"/>
          </w:tcPr>
          <w:p w:rsidR="00C64A78" w:rsidRPr="00735A18" w:rsidRDefault="00260892" w:rsidP="00735A18">
            <w:pPr>
              <w:ind w:left="38"/>
              <w:rPr>
                <w:sz w:val="20"/>
                <w:szCs w:val="20"/>
              </w:rPr>
            </w:pPr>
            <w:r w:rsidRPr="00735A18">
              <w:rPr>
                <w:sz w:val="20"/>
                <w:szCs w:val="20"/>
              </w:rPr>
              <w:t xml:space="preserve">t = </w:t>
            </w:r>
            <w:r w:rsidR="00C64A78" w:rsidRPr="00735A18">
              <w:rPr>
                <w:sz w:val="20"/>
                <w:szCs w:val="20"/>
              </w:rPr>
              <w:t>1 </w:t>
            </w:r>
            <w:proofErr w:type="spellStart"/>
            <w:r w:rsidR="00C64A78" w:rsidRPr="00735A18">
              <w:rPr>
                <w:sz w:val="20"/>
                <w:szCs w:val="20"/>
              </w:rPr>
              <w:t>wk</w:t>
            </w:r>
            <w:proofErr w:type="spellEnd"/>
          </w:p>
        </w:tc>
        <w:tc>
          <w:tcPr>
            <w:tcW w:w="1282" w:type="dxa"/>
          </w:tcPr>
          <w:p w:rsidR="00C64A78" w:rsidRPr="00735A18" w:rsidRDefault="00C64A78" w:rsidP="00735A18">
            <w:pPr>
              <w:ind w:left="0"/>
              <w:rPr>
                <w:sz w:val="20"/>
                <w:szCs w:val="20"/>
              </w:rPr>
            </w:pPr>
            <w:r w:rsidRPr="00735A18">
              <w:rPr>
                <w:sz w:val="20"/>
                <w:szCs w:val="20"/>
              </w:rPr>
              <w:t>7.6</w:t>
            </w:r>
          </w:p>
        </w:tc>
      </w:tr>
      <w:tr w:rsidR="00C64A78" w:rsidRPr="00735A18" w:rsidTr="00735A18">
        <w:trPr>
          <w:trHeight w:val="224"/>
        </w:trPr>
        <w:tc>
          <w:tcPr>
            <w:tcW w:w="1260" w:type="dxa"/>
            <w:vMerge/>
          </w:tcPr>
          <w:p w:rsidR="00C64A78" w:rsidRPr="00735A18" w:rsidRDefault="00C64A78" w:rsidP="00735A18">
            <w:pPr>
              <w:ind w:left="0"/>
              <w:rPr>
                <w:sz w:val="20"/>
                <w:szCs w:val="20"/>
              </w:rPr>
            </w:pPr>
          </w:p>
        </w:tc>
        <w:tc>
          <w:tcPr>
            <w:tcW w:w="1259" w:type="dxa"/>
            <w:vMerge/>
          </w:tcPr>
          <w:p w:rsidR="00C64A78" w:rsidRPr="00735A18" w:rsidRDefault="00C64A78" w:rsidP="00735A18">
            <w:pPr>
              <w:ind w:left="16"/>
              <w:rPr>
                <w:sz w:val="20"/>
                <w:szCs w:val="20"/>
              </w:rPr>
            </w:pPr>
          </w:p>
        </w:tc>
        <w:tc>
          <w:tcPr>
            <w:tcW w:w="1209" w:type="dxa"/>
            <w:vMerge/>
          </w:tcPr>
          <w:p w:rsidR="00C64A78" w:rsidRPr="00735A18" w:rsidRDefault="00C64A78" w:rsidP="00735A18">
            <w:pPr>
              <w:ind w:left="0"/>
              <w:rPr>
                <w:sz w:val="20"/>
                <w:szCs w:val="20"/>
              </w:rPr>
            </w:pPr>
          </w:p>
        </w:tc>
        <w:tc>
          <w:tcPr>
            <w:tcW w:w="1342" w:type="dxa"/>
          </w:tcPr>
          <w:p w:rsidR="00C64A78" w:rsidRPr="00735A18" w:rsidRDefault="00C64A78" w:rsidP="00735A18">
            <w:pPr>
              <w:ind w:left="0"/>
              <w:rPr>
                <w:sz w:val="20"/>
                <w:szCs w:val="20"/>
              </w:rPr>
            </w:pPr>
            <w:r w:rsidRPr="00735A18">
              <w:rPr>
                <w:sz w:val="20"/>
                <w:szCs w:val="20"/>
              </w:rPr>
              <w:t>40</w:t>
            </w:r>
          </w:p>
        </w:tc>
        <w:tc>
          <w:tcPr>
            <w:tcW w:w="1134" w:type="dxa"/>
          </w:tcPr>
          <w:p w:rsidR="00C64A78" w:rsidRPr="00735A18" w:rsidRDefault="00C64A78" w:rsidP="00735A18">
            <w:pPr>
              <w:ind w:left="38"/>
              <w:rPr>
                <w:sz w:val="20"/>
                <w:szCs w:val="20"/>
              </w:rPr>
            </w:pPr>
            <w:r w:rsidRPr="00735A18">
              <w:rPr>
                <w:sz w:val="20"/>
                <w:szCs w:val="20"/>
              </w:rPr>
              <w:t>24</w:t>
            </w:r>
            <w:r w:rsidR="00260892" w:rsidRPr="00735A18">
              <w:rPr>
                <w:sz w:val="20"/>
                <w:szCs w:val="20"/>
              </w:rPr>
              <w:t>,</w:t>
            </w:r>
            <w:r w:rsidRPr="00735A18">
              <w:rPr>
                <w:sz w:val="20"/>
                <w:szCs w:val="20"/>
              </w:rPr>
              <w:t>100</w:t>
            </w:r>
          </w:p>
        </w:tc>
        <w:tc>
          <w:tcPr>
            <w:tcW w:w="850" w:type="dxa"/>
            <w:vMerge/>
          </w:tcPr>
          <w:p w:rsidR="00C64A78" w:rsidRPr="00735A18" w:rsidRDefault="00C64A78" w:rsidP="00735A18">
            <w:pPr>
              <w:ind w:left="38"/>
              <w:rPr>
                <w:sz w:val="20"/>
                <w:szCs w:val="20"/>
              </w:rPr>
            </w:pPr>
          </w:p>
        </w:tc>
        <w:tc>
          <w:tcPr>
            <w:tcW w:w="1282" w:type="dxa"/>
          </w:tcPr>
          <w:p w:rsidR="00C64A78" w:rsidRPr="00735A18" w:rsidRDefault="00C64A78" w:rsidP="00735A18">
            <w:pPr>
              <w:ind w:left="0"/>
              <w:rPr>
                <w:sz w:val="20"/>
                <w:szCs w:val="20"/>
              </w:rPr>
            </w:pPr>
            <w:r w:rsidRPr="00735A18">
              <w:rPr>
                <w:sz w:val="20"/>
                <w:szCs w:val="20"/>
              </w:rPr>
              <w:t>103</w:t>
            </w:r>
          </w:p>
        </w:tc>
      </w:tr>
      <w:tr w:rsidR="00C64A78" w:rsidRPr="00735A18" w:rsidTr="00735A18">
        <w:trPr>
          <w:trHeight w:val="224"/>
        </w:trPr>
        <w:tc>
          <w:tcPr>
            <w:tcW w:w="1260" w:type="dxa"/>
            <w:vMerge/>
          </w:tcPr>
          <w:p w:rsidR="00C64A78" w:rsidRPr="00735A18" w:rsidRDefault="00C64A78" w:rsidP="00735A18">
            <w:pPr>
              <w:ind w:left="0"/>
              <w:rPr>
                <w:sz w:val="20"/>
                <w:szCs w:val="20"/>
              </w:rPr>
            </w:pPr>
          </w:p>
        </w:tc>
        <w:tc>
          <w:tcPr>
            <w:tcW w:w="1259" w:type="dxa"/>
            <w:vMerge/>
          </w:tcPr>
          <w:p w:rsidR="00C64A78" w:rsidRPr="00735A18" w:rsidRDefault="00C64A78" w:rsidP="00735A18">
            <w:pPr>
              <w:ind w:left="16"/>
              <w:rPr>
                <w:sz w:val="20"/>
                <w:szCs w:val="20"/>
              </w:rPr>
            </w:pPr>
          </w:p>
        </w:tc>
        <w:tc>
          <w:tcPr>
            <w:tcW w:w="1209" w:type="dxa"/>
            <w:vMerge/>
          </w:tcPr>
          <w:p w:rsidR="00C64A78" w:rsidRPr="00735A18" w:rsidRDefault="00C64A78" w:rsidP="00735A18">
            <w:pPr>
              <w:ind w:left="0"/>
              <w:rPr>
                <w:sz w:val="20"/>
                <w:szCs w:val="20"/>
              </w:rPr>
            </w:pPr>
          </w:p>
        </w:tc>
        <w:tc>
          <w:tcPr>
            <w:tcW w:w="1342" w:type="dxa"/>
          </w:tcPr>
          <w:p w:rsidR="00C64A78" w:rsidRPr="00735A18" w:rsidRDefault="00C64A78" w:rsidP="00735A18">
            <w:pPr>
              <w:ind w:left="0"/>
              <w:rPr>
                <w:sz w:val="20"/>
                <w:szCs w:val="20"/>
              </w:rPr>
            </w:pPr>
            <w:r w:rsidRPr="00735A18">
              <w:rPr>
                <w:sz w:val="20"/>
                <w:szCs w:val="20"/>
              </w:rPr>
              <w:t>200</w:t>
            </w:r>
          </w:p>
        </w:tc>
        <w:tc>
          <w:tcPr>
            <w:tcW w:w="1134" w:type="dxa"/>
          </w:tcPr>
          <w:p w:rsidR="00C64A78" w:rsidRPr="00735A18" w:rsidRDefault="00C64A78" w:rsidP="00735A18">
            <w:pPr>
              <w:ind w:left="38"/>
              <w:rPr>
                <w:sz w:val="20"/>
                <w:szCs w:val="20"/>
              </w:rPr>
            </w:pPr>
            <w:r w:rsidRPr="00735A18">
              <w:rPr>
                <w:sz w:val="20"/>
                <w:szCs w:val="20"/>
              </w:rPr>
              <w:t>170</w:t>
            </w:r>
            <w:r w:rsidR="00260892" w:rsidRPr="00735A18">
              <w:rPr>
                <w:sz w:val="20"/>
                <w:szCs w:val="20"/>
              </w:rPr>
              <w:t>,</w:t>
            </w:r>
            <w:r w:rsidRPr="00735A18">
              <w:rPr>
                <w:sz w:val="20"/>
                <w:szCs w:val="20"/>
              </w:rPr>
              <w:t>000</w:t>
            </w:r>
          </w:p>
        </w:tc>
        <w:tc>
          <w:tcPr>
            <w:tcW w:w="850" w:type="dxa"/>
            <w:vMerge/>
          </w:tcPr>
          <w:p w:rsidR="00C64A78" w:rsidRPr="00735A18" w:rsidRDefault="00C64A78" w:rsidP="00735A18">
            <w:pPr>
              <w:ind w:left="38"/>
              <w:rPr>
                <w:sz w:val="20"/>
                <w:szCs w:val="20"/>
              </w:rPr>
            </w:pPr>
          </w:p>
        </w:tc>
        <w:tc>
          <w:tcPr>
            <w:tcW w:w="1282" w:type="dxa"/>
          </w:tcPr>
          <w:p w:rsidR="00C64A78" w:rsidRPr="00735A18" w:rsidRDefault="00C64A78" w:rsidP="00735A18">
            <w:pPr>
              <w:ind w:left="0"/>
              <w:rPr>
                <w:sz w:val="20"/>
                <w:szCs w:val="20"/>
              </w:rPr>
            </w:pPr>
            <w:r w:rsidRPr="00735A18">
              <w:rPr>
                <w:sz w:val="20"/>
                <w:szCs w:val="20"/>
              </w:rPr>
              <w:t>724</w:t>
            </w:r>
          </w:p>
        </w:tc>
      </w:tr>
      <w:tr w:rsidR="00C64A78" w:rsidRPr="00735A18" w:rsidTr="00735A18">
        <w:trPr>
          <w:trHeight w:val="224"/>
        </w:trPr>
        <w:tc>
          <w:tcPr>
            <w:tcW w:w="1260" w:type="dxa"/>
            <w:vMerge/>
          </w:tcPr>
          <w:p w:rsidR="00C64A78" w:rsidRPr="00735A18" w:rsidRDefault="00C64A78" w:rsidP="00735A18">
            <w:pPr>
              <w:ind w:left="0"/>
              <w:rPr>
                <w:sz w:val="20"/>
                <w:szCs w:val="20"/>
              </w:rPr>
            </w:pPr>
          </w:p>
        </w:tc>
        <w:tc>
          <w:tcPr>
            <w:tcW w:w="1259" w:type="dxa"/>
            <w:vMerge w:val="restart"/>
          </w:tcPr>
          <w:p w:rsidR="00C64A78" w:rsidRPr="00735A18" w:rsidRDefault="00C64A78" w:rsidP="00735A18">
            <w:pPr>
              <w:ind w:left="16"/>
              <w:rPr>
                <w:sz w:val="20"/>
                <w:szCs w:val="20"/>
              </w:rPr>
            </w:pPr>
            <w:r w:rsidRPr="00735A18">
              <w:rPr>
                <w:sz w:val="20"/>
                <w:szCs w:val="20"/>
              </w:rPr>
              <w:t>6 months</w:t>
            </w:r>
          </w:p>
        </w:tc>
        <w:tc>
          <w:tcPr>
            <w:tcW w:w="1209" w:type="dxa"/>
            <w:vMerge w:val="restart"/>
          </w:tcPr>
          <w:p w:rsidR="00C64A78" w:rsidRPr="00735A18" w:rsidRDefault="00C64A78" w:rsidP="00735A18">
            <w:pPr>
              <w:ind w:left="0"/>
              <w:rPr>
                <w:sz w:val="20"/>
                <w:szCs w:val="20"/>
              </w:rPr>
            </w:pPr>
            <w:r w:rsidRPr="00735A18">
              <w:rPr>
                <w:sz w:val="20"/>
                <w:szCs w:val="20"/>
              </w:rPr>
              <w:t>once every 2 weeks</w:t>
            </w:r>
          </w:p>
        </w:tc>
        <w:tc>
          <w:tcPr>
            <w:tcW w:w="1342" w:type="dxa"/>
          </w:tcPr>
          <w:p w:rsidR="00C64A78" w:rsidRPr="00735A18" w:rsidRDefault="00C64A78" w:rsidP="00735A18">
            <w:pPr>
              <w:ind w:left="0"/>
              <w:rPr>
                <w:sz w:val="20"/>
                <w:szCs w:val="20"/>
              </w:rPr>
            </w:pPr>
            <w:r w:rsidRPr="00735A18">
              <w:rPr>
                <w:sz w:val="20"/>
                <w:szCs w:val="20"/>
              </w:rPr>
              <w:t>6</w:t>
            </w:r>
          </w:p>
        </w:tc>
        <w:tc>
          <w:tcPr>
            <w:tcW w:w="1134" w:type="dxa"/>
          </w:tcPr>
          <w:p w:rsidR="00C64A78" w:rsidRPr="00735A18" w:rsidRDefault="00C64A78" w:rsidP="00735A18">
            <w:pPr>
              <w:ind w:left="38"/>
              <w:rPr>
                <w:sz w:val="20"/>
                <w:szCs w:val="20"/>
              </w:rPr>
            </w:pPr>
            <w:r w:rsidRPr="00735A18">
              <w:rPr>
                <w:sz w:val="20"/>
                <w:szCs w:val="20"/>
              </w:rPr>
              <w:t>2</w:t>
            </w:r>
            <w:r w:rsidR="00260892" w:rsidRPr="00735A18">
              <w:rPr>
                <w:sz w:val="20"/>
                <w:szCs w:val="20"/>
              </w:rPr>
              <w:t>,</w:t>
            </w:r>
            <w:r w:rsidRPr="00735A18">
              <w:rPr>
                <w:sz w:val="20"/>
                <w:szCs w:val="20"/>
              </w:rPr>
              <w:t>463</w:t>
            </w:r>
          </w:p>
        </w:tc>
        <w:tc>
          <w:tcPr>
            <w:tcW w:w="850" w:type="dxa"/>
            <w:vMerge w:val="restart"/>
          </w:tcPr>
          <w:p w:rsidR="00C64A78" w:rsidRPr="00735A18" w:rsidRDefault="00260892" w:rsidP="00735A18">
            <w:pPr>
              <w:ind w:left="38"/>
              <w:rPr>
                <w:sz w:val="20"/>
                <w:szCs w:val="20"/>
              </w:rPr>
            </w:pPr>
            <w:r w:rsidRPr="00735A18">
              <w:rPr>
                <w:sz w:val="20"/>
                <w:szCs w:val="20"/>
              </w:rPr>
              <w:t xml:space="preserve">t = </w:t>
            </w:r>
            <w:r w:rsidR="00C64A78" w:rsidRPr="00735A18">
              <w:rPr>
                <w:sz w:val="20"/>
                <w:szCs w:val="20"/>
              </w:rPr>
              <w:t>2 </w:t>
            </w:r>
            <w:proofErr w:type="spellStart"/>
            <w:r w:rsidR="00C64A78" w:rsidRPr="00735A18">
              <w:rPr>
                <w:sz w:val="20"/>
                <w:szCs w:val="20"/>
              </w:rPr>
              <w:t>wks</w:t>
            </w:r>
            <w:proofErr w:type="spellEnd"/>
          </w:p>
        </w:tc>
        <w:tc>
          <w:tcPr>
            <w:tcW w:w="1282" w:type="dxa"/>
          </w:tcPr>
          <w:p w:rsidR="00C64A78" w:rsidRPr="00735A18" w:rsidRDefault="00C64A78" w:rsidP="00735A18">
            <w:pPr>
              <w:ind w:left="0"/>
              <w:rPr>
                <w:sz w:val="20"/>
                <w:szCs w:val="20"/>
              </w:rPr>
            </w:pPr>
            <w:r w:rsidRPr="00735A18">
              <w:rPr>
                <w:sz w:val="20"/>
                <w:szCs w:val="20"/>
              </w:rPr>
              <w:t>5.2</w:t>
            </w:r>
          </w:p>
        </w:tc>
      </w:tr>
      <w:tr w:rsidR="00C64A78" w:rsidRPr="00735A18" w:rsidTr="00735A18">
        <w:trPr>
          <w:trHeight w:val="224"/>
        </w:trPr>
        <w:tc>
          <w:tcPr>
            <w:tcW w:w="1260" w:type="dxa"/>
            <w:vMerge/>
          </w:tcPr>
          <w:p w:rsidR="00C64A78" w:rsidRPr="00735A18" w:rsidRDefault="00C64A78" w:rsidP="00735A18">
            <w:pPr>
              <w:ind w:left="0"/>
              <w:rPr>
                <w:sz w:val="20"/>
                <w:szCs w:val="20"/>
              </w:rPr>
            </w:pPr>
          </w:p>
        </w:tc>
        <w:tc>
          <w:tcPr>
            <w:tcW w:w="1259" w:type="dxa"/>
            <w:vMerge/>
          </w:tcPr>
          <w:p w:rsidR="00C64A78" w:rsidRPr="00735A18" w:rsidRDefault="00C64A78" w:rsidP="00735A18">
            <w:pPr>
              <w:ind w:left="16"/>
              <w:rPr>
                <w:sz w:val="20"/>
                <w:szCs w:val="20"/>
              </w:rPr>
            </w:pPr>
          </w:p>
        </w:tc>
        <w:tc>
          <w:tcPr>
            <w:tcW w:w="1209" w:type="dxa"/>
            <w:vMerge/>
          </w:tcPr>
          <w:p w:rsidR="00C64A78" w:rsidRPr="00735A18" w:rsidRDefault="00C64A78" w:rsidP="00735A18">
            <w:pPr>
              <w:ind w:left="0"/>
              <w:rPr>
                <w:sz w:val="20"/>
                <w:szCs w:val="20"/>
              </w:rPr>
            </w:pPr>
          </w:p>
        </w:tc>
        <w:tc>
          <w:tcPr>
            <w:tcW w:w="1342" w:type="dxa"/>
          </w:tcPr>
          <w:p w:rsidR="00C64A78" w:rsidRPr="00735A18" w:rsidRDefault="00C64A78" w:rsidP="00735A18">
            <w:pPr>
              <w:ind w:left="0"/>
              <w:rPr>
                <w:sz w:val="20"/>
                <w:szCs w:val="20"/>
              </w:rPr>
            </w:pPr>
            <w:r w:rsidRPr="00735A18">
              <w:rPr>
                <w:sz w:val="20"/>
                <w:szCs w:val="20"/>
              </w:rPr>
              <w:t>40</w:t>
            </w:r>
          </w:p>
        </w:tc>
        <w:tc>
          <w:tcPr>
            <w:tcW w:w="1134" w:type="dxa"/>
          </w:tcPr>
          <w:p w:rsidR="00C64A78" w:rsidRPr="00735A18" w:rsidRDefault="00C64A78" w:rsidP="00735A18">
            <w:pPr>
              <w:ind w:left="38"/>
              <w:rPr>
                <w:sz w:val="20"/>
                <w:szCs w:val="20"/>
              </w:rPr>
            </w:pPr>
            <w:r w:rsidRPr="00735A18">
              <w:rPr>
                <w:sz w:val="20"/>
                <w:szCs w:val="20"/>
              </w:rPr>
              <w:t>13</w:t>
            </w:r>
            <w:r w:rsidR="00260892" w:rsidRPr="00735A18">
              <w:rPr>
                <w:sz w:val="20"/>
                <w:szCs w:val="20"/>
              </w:rPr>
              <w:t>,</w:t>
            </w:r>
            <w:r w:rsidRPr="00735A18">
              <w:rPr>
                <w:sz w:val="20"/>
                <w:szCs w:val="20"/>
              </w:rPr>
              <w:t>417</w:t>
            </w:r>
          </w:p>
        </w:tc>
        <w:tc>
          <w:tcPr>
            <w:tcW w:w="850" w:type="dxa"/>
            <w:vMerge/>
          </w:tcPr>
          <w:p w:rsidR="00C64A78" w:rsidRPr="00735A18" w:rsidRDefault="00C64A78" w:rsidP="00735A18">
            <w:pPr>
              <w:ind w:left="38"/>
              <w:rPr>
                <w:sz w:val="20"/>
                <w:szCs w:val="20"/>
              </w:rPr>
            </w:pPr>
          </w:p>
        </w:tc>
        <w:tc>
          <w:tcPr>
            <w:tcW w:w="1282" w:type="dxa"/>
          </w:tcPr>
          <w:p w:rsidR="00C64A78" w:rsidRPr="00735A18" w:rsidRDefault="00C64A78" w:rsidP="00735A18">
            <w:pPr>
              <w:ind w:left="0"/>
              <w:rPr>
                <w:sz w:val="20"/>
                <w:szCs w:val="20"/>
              </w:rPr>
            </w:pPr>
            <w:r w:rsidRPr="00735A18">
              <w:rPr>
                <w:sz w:val="20"/>
                <w:szCs w:val="20"/>
              </w:rPr>
              <w:t>29</w:t>
            </w:r>
          </w:p>
        </w:tc>
      </w:tr>
      <w:tr w:rsidR="00C64A78" w:rsidRPr="00735A18" w:rsidTr="00735A18">
        <w:trPr>
          <w:trHeight w:val="224"/>
        </w:trPr>
        <w:tc>
          <w:tcPr>
            <w:tcW w:w="1260" w:type="dxa"/>
            <w:vMerge/>
          </w:tcPr>
          <w:p w:rsidR="00C64A78" w:rsidRPr="00735A18" w:rsidRDefault="00C64A78" w:rsidP="00735A18">
            <w:pPr>
              <w:ind w:left="0"/>
              <w:rPr>
                <w:sz w:val="20"/>
                <w:szCs w:val="20"/>
              </w:rPr>
            </w:pPr>
          </w:p>
        </w:tc>
        <w:tc>
          <w:tcPr>
            <w:tcW w:w="1259" w:type="dxa"/>
            <w:vMerge/>
          </w:tcPr>
          <w:p w:rsidR="00C64A78" w:rsidRPr="00735A18" w:rsidRDefault="00C64A78" w:rsidP="00735A18">
            <w:pPr>
              <w:ind w:left="16"/>
              <w:rPr>
                <w:sz w:val="20"/>
                <w:szCs w:val="20"/>
              </w:rPr>
            </w:pPr>
          </w:p>
        </w:tc>
        <w:tc>
          <w:tcPr>
            <w:tcW w:w="1209" w:type="dxa"/>
            <w:vMerge/>
          </w:tcPr>
          <w:p w:rsidR="00C64A78" w:rsidRPr="00735A18" w:rsidRDefault="00C64A78" w:rsidP="00735A18">
            <w:pPr>
              <w:ind w:left="0"/>
              <w:rPr>
                <w:sz w:val="20"/>
                <w:szCs w:val="20"/>
              </w:rPr>
            </w:pPr>
          </w:p>
        </w:tc>
        <w:tc>
          <w:tcPr>
            <w:tcW w:w="1342" w:type="dxa"/>
          </w:tcPr>
          <w:p w:rsidR="00C64A78" w:rsidRPr="00735A18" w:rsidRDefault="00C64A78" w:rsidP="00735A18">
            <w:pPr>
              <w:ind w:left="0"/>
              <w:rPr>
                <w:sz w:val="20"/>
                <w:szCs w:val="20"/>
              </w:rPr>
            </w:pPr>
            <w:r w:rsidRPr="00735A18">
              <w:rPr>
                <w:sz w:val="20"/>
                <w:szCs w:val="20"/>
              </w:rPr>
              <w:t>200</w:t>
            </w:r>
          </w:p>
        </w:tc>
        <w:tc>
          <w:tcPr>
            <w:tcW w:w="1134" w:type="dxa"/>
          </w:tcPr>
          <w:p w:rsidR="00C64A78" w:rsidRPr="00735A18" w:rsidRDefault="00C64A78" w:rsidP="00735A18">
            <w:pPr>
              <w:ind w:left="38"/>
              <w:rPr>
                <w:sz w:val="20"/>
                <w:szCs w:val="20"/>
              </w:rPr>
            </w:pPr>
            <w:r w:rsidRPr="00735A18">
              <w:rPr>
                <w:sz w:val="20"/>
                <w:szCs w:val="20"/>
              </w:rPr>
              <w:t>67</w:t>
            </w:r>
            <w:r w:rsidR="00260892" w:rsidRPr="00735A18">
              <w:rPr>
                <w:sz w:val="20"/>
                <w:szCs w:val="20"/>
              </w:rPr>
              <w:t>,</w:t>
            </w:r>
            <w:r w:rsidRPr="00735A18">
              <w:rPr>
                <w:sz w:val="20"/>
                <w:szCs w:val="20"/>
              </w:rPr>
              <w:t>500</w:t>
            </w:r>
          </w:p>
        </w:tc>
        <w:tc>
          <w:tcPr>
            <w:tcW w:w="850" w:type="dxa"/>
            <w:vMerge/>
          </w:tcPr>
          <w:p w:rsidR="00C64A78" w:rsidRPr="00735A18" w:rsidRDefault="00C64A78" w:rsidP="00735A18">
            <w:pPr>
              <w:ind w:left="38"/>
              <w:rPr>
                <w:sz w:val="20"/>
                <w:szCs w:val="20"/>
              </w:rPr>
            </w:pPr>
          </w:p>
        </w:tc>
        <w:tc>
          <w:tcPr>
            <w:tcW w:w="1282" w:type="dxa"/>
          </w:tcPr>
          <w:p w:rsidR="00C64A78" w:rsidRPr="00735A18" w:rsidRDefault="00C64A78" w:rsidP="00735A18">
            <w:pPr>
              <w:ind w:left="0"/>
              <w:rPr>
                <w:sz w:val="20"/>
                <w:szCs w:val="20"/>
              </w:rPr>
            </w:pPr>
            <w:r w:rsidRPr="00735A18">
              <w:rPr>
                <w:sz w:val="20"/>
                <w:szCs w:val="20"/>
              </w:rPr>
              <w:t>144</w:t>
            </w:r>
          </w:p>
        </w:tc>
      </w:tr>
      <w:tr w:rsidR="00C64A78" w:rsidRPr="00735A18" w:rsidTr="00735A18">
        <w:trPr>
          <w:trHeight w:val="280"/>
        </w:trPr>
        <w:tc>
          <w:tcPr>
            <w:tcW w:w="1260" w:type="dxa"/>
          </w:tcPr>
          <w:p w:rsidR="00C64A78" w:rsidRPr="00735A18" w:rsidRDefault="00260892" w:rsidP="00735A18">
            <w:pPr>
              <w:ind w:left="0"/>
              <w:rPr>
                <w:sz w:val="20"/>
                <w:szCs w:val="20"/>
              </w:rPr>
            </w:pPr>
            <w:r w:rsidRPr="00735A18">
              <w:rPr>
                <w:sz w:val="20"/>
                <w:szCs w:val="20"/>
              </w:rPr>
              <w:t xml:space="preserve">Human </w:t>
            </w:r>
            <w:r w:rsidR="00C64A78" w:rsidRPr="00735A18">
              <w:rPr>
                <w:sz w:val="20"/>
                <w:szCs w:val="20"/>
              </w:rPr>
              <w:t>(melanoma patients)</w:t>
            </w:r>
          </w:p>
        </w:tc>
        <w:tc>
          <w:tcPr>
            <w:tcW w:w="1259" w:type="dxa"/>
          </w:tcPr>
          <w:p w:rsidR="00C64A78" w:rsidRPr="00735A18" w:rsidRDefault="003D1724" w:rsidP="00735A18">
            <w:pPr>
              <w:ind w:left="16"/>
              <w:rPr>
                <w:sz w:val="20"/>
                <w:szCs w:val="20"/>
              </w:rPr>
            </w:pPr>
            <w:r w:rsidRPr="00735A18">
              <w:rPr>
                <w:sz w:val="20"/>
                <w:szCs w:val="20"/>
              </w:rPr>
              <w:t xml:space="preserve">Population PK </w:t>
            </w:r>
            <w:r w:rsidR="00C64A78" w:rsidRPr="00735A18">
              <w:rPr>
                <w:sz w:val="20"/>
                <w:szCs w:val="20"/>
              </w:rPr>
              <w:t>modelling</w:t>
            </w:r>
          </w:p>
        </w:tc>
        <w:tc>
          <w:tcPr>
            <w:tcW w:w="1209" w:type="dxa"/>
          </w:tcPr>
          <w:p w:rsidR="00C64A78" w:rsidRPr="00735A18" w:rsidRDefault="00C64A78" w:rsidP="00735A18">
            <w:pPr>
              <w:ind w:left="0"/>
              <w:rPr>
                <w:sz w:val="20"/>
                <w:szCs w:val="20"/>
              </w:rPr>
            </w:pPr>
            <w:r w:rsidRPr="00735A18">
              <w:rPr>
                <w:sz w:val="20"/>
                <w:szCs w:val="20"/>
              </w:rPr>
              <w:t>once every 3 weeks</w:t>
            </w:r>
          </w:p>
        </w:tc>
        <w:tc>
          <w:tcPr>
            <w:tcW w:w="1342" w:type="dxa"/>
          </w:tcPr>
          <w:p w:rsidR="00C64A78" w:rsidRPr="00735A18" w:rsidRDefault="00C64A78" w:rsidP="00735A18">
            <w:pPr>
              <w:ind w:left="0"/>
              <w:rPr>
                <w:sz w:val="20"/>
                <w:szCs w:val="20"/>
              </w:rPr>
            </w:pPr>
            <w:r w:rsidRPr="00735A18">
              <w:rPr>
                <w:sz w:val="20"/>
                <w:szCs w:val="20"/>
              </w:rPr>
              <w:t>2</w:t>
            </w:r>
          </w:p>
        </w:tc>
        <w:tc>
          <w:tcPr>
            <w:tcW w:w="1134" w:type="dxa"/>
          </w:tcPr>
          <w:p w:rsidR="00C64A78" w:rsidRPr="00735A18" w:rsidRDefault="00C64A78" w:rsidP="00735A18">
            <w:pPr>
              <w:ind w:left="38"/>
              <w:rPr>
                <w:sz w:val="20"/>
                <w:szCs w:val="20"/>
              </w:rPr>
            </w:pPr>
            <w:r w:rsidRPr="00735A18">
              <w:rPr>
                <w:sz w:val="20"/>
                <w:szCs w:val="20"/>
              </w:rPr>
              <w:t>704</w:t>
            </w:r>
          </w:p>
        </w:tc>
        <w:tc>
          <w:tcPr>
            <w:tcW w:w="850" w:type="dxa"/>
          </w:tcPr>
          <w:p w:rsidR="00C64A78" w:rsidRPr="00735A18" w:rsidRDefault="00260892" w:rsidP="00735A18">
            <w:pPr>
              <w:ind w:left="38"/>
              <w:rPr>
                <w:sz w:val="20"/>
                <w:szCs w:val="20"/>
              </w:rPr>
            </w:pPr>
            <w:r w:rsidRPr="00735A18">
              <w:rPr>
                <w:sz w:val="20"/>
                <w:szCs w:val="20"/>
              </w:rPr>
              <w:t xml:space="preserve">t = </w:t>
            </w:r>
            <w:r w:rsidR="00C64A78" w:rsidRPr="00735A18">
              <w:rPr>
                <w:sz w:val="20"/>
                <w:szCs w:val="20"/>
              </w:rPr>
              <w:t>3 </w:t>
            </w:r>
            <w:proofErr w:type="spellStart"/>
            <w:r w:rsidR="00C64A78" w:rsidRPr="00735A18">
              <w:rPr>
                <w:sz w:val="20"/>
                <w:szCs w:val="20"/>
              </w:rPr>
              <w:t>wks</w:t>
            </w:r>
            <w:proofErr w:type="spellEnd"/>
          </w:p>
        </w:tc>
        <w:tc>
          <w:tcPr>
            <w:tcW w:w="1282" w:type="dxa"/>
          </w:tcPr>
          <w:p w:rsidR="00C64A78" w:rsidRPr="00735A18" w:rsidRDefault="00C64A78" w:rsidP="00735A18">
            <w:pPr>
              <w:ind w:left="0"/>
              <w:rPr>
                <w:sz w:val="20"/>
                <w:szCs w:val="20"/>
              </w:rPr>
            </w:pPr>
            <w:r w:rsidRPr="00735A18">
              <w:rPr>
                <w:sz w:val="20"/>
                <w:szCs w:val="20"/>
              </w:rPr>
              <w:t>–</w:t>
            </w:r>
          </w:p>
        </w:tc>
      </w:tr>
    </w:tbl>
    <w:p w:rsidR="00C64A78" w:rsidRPr="00C64A78" w:rsidRDefault="00C64A78" w:rsidP="00260892">
      <w:pPr>
        <w:pStyle w:val="TableDescription"/>
      </w:pPr>
      <w:r w:rsidRPr="003D0637">
        <w:rPr>
          <w:vertAlign w:val="superscript"/>
        </w:rPr>
        <w:t>#</w:t>
      </w:r>
      <w:r w:rsidRPr="003D0637">
        <w:t xml:space="preserve"> = animal</w:t>
      </w:r>
      <w:r>
        <w:t>:</w:t>
      </w:r>
      <w:r w:rsidR="00485A77">
        <w:t xml:space="preserve"> </w:t>
      </w:r>
      <w:r>
        <w:t xml:space="preserve">human serum AUC </w:t>
      </w:r>
      <w:r w:rsidR="00BA2CAC">
        <w:rPr>
          <w:rFonts w:asciiTheme="minorHAnsi" w:hAnsiTheme="minorHAnsi"/>
        </w:rPr>
        <w:t>x</w:t>
      </w:r>
      <w:r>
        <w:t xml:space="preserve"> animal:</w:t>
      </w:r>
      <w:r w:rsidR="00485A77">
        <w:t xml:space="preserve"> </w:t>
      </w:r>
      <w:r>
        <w:t>human dosing frequency</w:t>
      </w:r>
      <w:r w:rsidR="00260892">
        <w:t xml:space="preserve">; </w:t>
      </w:r>
      <w:proofErr w:type="spellStart"/>
      <w:r w:rsidR="00260892">
        <w:t>wk</w:t>
      </w:r>
      <w:proofErr w:type="spellEnd"/>
      <w:r w:rsidR="00260892">
        <w:t>(s)</w:t>
      </w:r>
      <w:r w:rsidR="00485EE2">
        <w:t xml:space="preserve"> </w:t>
      </w:r>
      <w:r w:rsidR="00260892">
        <w:t>= week(s)</w:t>
      </w:r>
    </w:p>
    <w:p w:rsidR="00C64A78" w:rsidRPr="00C64A78" w:rsidRDefault="00C64A78" w:rsidP="00C64A78">
      <w:pPr>
        <w:pStyle w:val="Heading5"/>
      </w:pPr>
      <w:r w:rsidRPr="00C64A78">
        <w:t>Major findings</w:t>
      </w:r>
    </w:p>
    <w:p w:rsidR="00C64A78" w:rsidRPr="00C64A78" w:rsidRDefault="00C64A78" w:rsidP="00C64A78">
      <w:r w:rsidRPr="00C64A78">
        <w:t xml:space="preserve">Treatment with pembrolizumab was well tolerated in monkeys, with no deaths or </w:t>
      </w:r>
      <w:r w:rsidR="00260892">
        <w:t>treatment related</w:t>
      </w:r>
      <w:r w:rsidRPr="00C64A78">
        <w:t xml:space="preserve"> histopathological findings observed. Notable </w:t>
      </w:r>
      <w:r w:rsidR="00260892">
        <w:t>treatment related</w:t>
      </w:r>
      <w:r w:rsidRPr="00C64A78">
        <w:t xml:space="preserve"> findings were limited to an increased incidence of inguinal swelling and increased spleen weight in male monkeys tre</w:t>
      </w:r>
      <w:r w:rsidR="00260892">
        <w:t xml:space="preserve">ated at 200 mg/kg/week in the 1 </w:t>
      </w:r>
      <w:r w:rsidRPr="00C64A78">
        <w:t xml:space="preserve">month study. These findings were not </w:t>
      </w:r>
      <w:r w:rsidR="00BA2CAC">
        <w:t xml:space="preserve">apparent in female animals, and </w:t>
      </w:r>
      <w:r w:rsidRPr="00C64A78">
        <w:t xml:space="preserve">were without histopathological correlate. Reversibility of the increase in spleen weight after withdrawal of treatment was demonstrated. There were no </w:t>
      </w:r>
      <w:r w:rsidR="00260892">
        <w:t xml:space="preserve">treatment related findings in the pivotal 6 </w:t>
      </w:r>
      <w:r w:rsidRPr="00C64A78">
        <w:t xml:space="preserve">month study, and a </w:t>
      </w:r>
      <w:r w:rsidR="00F965EC">
        <w:t>no observable adverse effect level</w:t>
      </w:r>
      <w:r w:rsidR="00F965EC" w:rsidRPr="00C64A78">
        <w:t xml:space="preserve"> </w:t>
      </w:r>
      <w:r w:rsidR="00F965EC">
        <w:t>(</w:t>
      </w:r>
      <w:r w:rsidRPr="00C64A78">
        <w:t>NOAEL</w:t>
      </w:r>
      <w:r w:rsidR="00F965EC">
        <w:t>)</w:t>
      </w:r>
      <w:r w:rsidRPr="00C64A78">
        <w:t xml:space="preserve"> of 200 mg/kg every 2 weeks is established (yielding 144 times the serum exposure expected in patients treated at the maximum recommended </w:t>
      </w:r>
      <w:r w:rsidRPr="00C64A78">
        <w:lastRenderedPageBreak/>
        <w:t>clinical dose of 2 </w:t>
      </w:r>
      <w:r w:rsidR="00F965EC">
        <w:t xml:space="preserve">mg/kg once every 3 weeks). Anti </w:t>
      </w:r>
      <w:r w:rsidRPr="00C64A78">
        <w:t>pembrolizumab antibodies devel</w:t>
      </w:r>
      <w:r w:rsidR="00F965EC">
        <w:t xml:space="preserve">oped in some low </w:t>
      </w:r>
      <w:r w:rsidRPr="00C64A78">
        <w:t>dose animals during the treatment period in both studies. This led to a marked reduction in exposure in the affected animals, although a full pharmacodynamic effect was maintained in almost all cases. Th</w:t>
      </w:r>
      <w:r w:rsidR="00BA2CAC">
        <w:t>e development of anti-</w:t>
      </w:r>
      <w:r w:rsidRPr="00C64A78">
        <w:t>drug antibodies did not affect the validity of the studies.</w:t>
      </w:r>
    </w:p>
    <w:p w:rsidR="00C64A78" w:rsidRPr="00C64A78" w:rsidRDefault="00C64A78" w:rsidP="00C64A78">
      <w:pPr>
        <w:pStyle w:val="Heading4"/>
      </w:pPr>
      <w:r w:rsidRPr="00C64A78">
        <w:t>Genotoxicity</w:t>
      </w:r>
    </w:p>
    <w:p w:rsidR="00C64A78" w:rsidRPr="00C64A78" w:rsidRDefault="00C64A78" w:rsidP="00C64A78">
      <w:r w:rsidRPr="00C64A78">
        <w:t xml:space="preserve">No genotoxicity studies have been conducted, in accordance </w:t>
      </w:r>
      <w:r w:rsidR="00260892">
        <w:t xml:space="preserve">with the </w:t>
      </w:r>
      <w:r w:rsidR="00260892" w:rsidRPr="00F965EC">
        <w:t>guideline.</w:t>
      </w:r>
      <w:r w:rsidR="00F965EC" w:rsidRPr="00F965EC">
        <w:rPr>
          <w:vertAlign w:val="superscript"/>
        </w:rPr>
        <w:fldChar w:fldCharType="begin"/>
      </w:r>
      <w:r w:rsidR="00F965EC" w:rsidRPr="00F965EC">
        <w:rPr>
          <w:vertAlign w:val="superscript"/>
        </w:rPr>
        <w:instrText xml:space="preserve"> NOTEREF _Ref456885634 \h  \* MERGEFORMAT </w:instrText>
      </w:r>
      <w:r w:rsidR="00F965EC" w:rsidRPr="00F965EC">
        <w:rPr>
          <w:vertAlign w:val="superscript"/>
        </w:rPr>
      </w:r>
      <w:r w:rsidR="00F965EC" w:rsidRPr="00F965EC">
        <w:rPr>
          <w:vertAlign w:val="superscript"/>
        </w:rPr>
        <w:fldChar w:fldCharType="separate"/>
      </w:r>
      <w:r w:rsidR="005E57DC">
        <w:rPr>
          <w:vertAlign w:val="superscript"/>
        </w:rPr>
        <w:t>9</w:t>
      </w:r>
      <w:r w:rsidR="00F965EC" w:rsidRPr="00F965EC">
        <w:rPr>
          <w:vertAlign w:val="superscript"/>
        </w:rPr>
        <w:fldChar w:fldCharType="end"/>
      </w:r>
      <w:r w:rsidRPr="00F965EC">
        <w:rPr>
          <w:vertAlign w:val="superscript"/>
        </w:rPr>
        <w:t xml:space="preserve"> </w:t>
      </w:r>
      <w:r w:rsidRPr="00C64A78">
        <w:t>As a high molecular weight protein, pembrolizumab is not expected to interact directly with DNA or other chromosomal material.</w:t>
      </w:r>
    </w:p>
    <w:p w:rsidR="00C64A78" w:rsidRPr="00C64A78" w:rsidRDefault="00C64A78" w:rsidP="00C64A78">
      <w:pPr>
        <w:pStyle w:val="Heading4"/>
      </w:pPr>
      <w:r w:rsidRPr="00C64A78">
        <w:t>Carcinogenicity</w:t>
      </w:r>
    </w:p>
    <w:p w:rsidR="00C64A78" w:rsidRPr="00C64A78" w:rsidRDefault="00C64A78" w:rsidP="00C64A78">
      <w:r w:rsidRPr="00C64A78">
        <w:t>No carcinogenicity studies have been conducted, in a</w:t>
      </w:r>
      <w:r w:rsidR="00260892">
        <w:t xml:space="preserve">ccordance with TGA </w:t>
      </w:r>
      <w:r w:rsidRPr="00C64A78">
        <w:t>adopt</w:t>
      </w:r>
      <w:r w:rsidR="00260892">
        <w:t xml:space="preserve">ed guidelines for biotechnology </w:t>
      </w:r>
      <w:r w:rsidRPr="00C64A78">
        <w:t>derived products</w:t>
      </w:r>
      <w:r w:rsidR="00260892" w:rsidRPr="00260892">
        <w:rPr>
          <w:vertAlign w:val="superscript"/>
        </w:rPr>
        <w:fldChar w:fldCharType="begin"/>
      </w:r>
      <w:r w:rsidR="00260892" w:rsidRPr="00260892">
        <w:rPr>
          <w:vertAlign w:val="superscript"/>
        </w:rPr>
        <w:instrText xml:space="preserve"> NOTEREF _Ref456885634 \h </w:instrText>
      </w:r>
      <w:r w:rsidR="00260892">
        <w:rPr>
          <w:vertAlign w:val="superscript"/>
        </w:rPr>
        <w:instrText xml:space="preserve"> \* MERGEFORMAT </w:instrText>
      </w:r>
      <w:r w:rsidR="00260892" w:rsidRPr="00260892">
        <w:rPr>
          <w:vertAlign w:val="superscript"/>
        </w:rPr>
      </w:r>
      <w:r w:rsidR="00260892" w:rsidRPr="00260892">
        <w:rPr>
          <w:vertAlign w:val="superscript"/>
        </w:rPr>
        <w:fldChar w:fldCharType="separate"/>
      </w:r>
      <w:r w:rsidR="005E57DC">
        <w:rPr>
          <w:vertAlign w:val="superscript"/>
        </w:rPr>
        <w:t>9</w:t>
      </w:r>
      <w:r w:rsidR="00260892" w:rsidRPr="00260892">
        <w:rPr>
          <w:vertAlign w:val="superscript"/>
        </w:rPr>
        <w:fldChar w:fldCharType="end"/>
      </w:r>
      <w:r w:rsidRPr="00C64A78">
        <w:t xml:space="preserve"> and for therapeutics intended to treat patients with advanced cancer</w:t>
      </w:r>
      <w:r w:rsidR="00260892">
        <w:t>.</w:t>
      </w:r>
      <w:r w:rsidR="00F965EC" w:rsidRPr="00F965EC">
        <w:rPr>
          <w:highlight w:val="yellow"/>
          <w:vertAlign w:val="superscript"/>
        </w:rPr>
        <w:fldChar w:fldCharType="begin"/>
      </w:r>
      <w:r w:rsidR="00F965EC" w:rsidRPr="00F965EC">
        <w:rPr>
          <w:vertAlign w:val="superscript"/>
        </w:rPr>
        <w:instrText xml:space="preserve"> NOTEREF _Ref456885637 \h </w:instrText>
      </w:r>
      <w:r w:rsidR="00F965EC" w:rsidRPr="00F965EC">
        <w:rPr>
          <w:highlight w:val="yellow"/>
          <w:vertAlign w:val="superscript"/>
        </w:rPr>
        <w:instrText xml:space="preserve"> \* MERGEFORMAT </w:instrText>
      </w:r>
      <w:r w:rsidR="00F965EC" w:rsidRPr="00F965EC">
        <w:rPr>
          <w:highlight w:val="yellow"/>
          <w:vertAlign w:val="superscript"/>
        </w:rPr>
      </w:r>
      <w:r w:rsidR="00F965EC" w:rsidRPr="00F965EC">
        <w:rPr>
          <w:highlight w:val="yellow"/>
          <w:vertAlign w:val="superscript"/>
        </w:rPr>
        <w:fldChar w:fldCharType="separate"/>
      </w:r>
      <w:r w:rsidR="005E57DC">
        <w:rPr>
          <w:vertAlign w:val="superscript"/>
        </w:rPr>
        <w:t>10</w:t>
      </w:r>
      <w:r w:rsidR="00F965EC" w:rsidRPr="00F965EC">
        <w:rPr>
          <w:highlight w:val="yellow"/>
          <w:vertAlign w:val="superscript"/>
        </w:rPr>
        <w:fldChar w:fldCharType="end"/>
      </w:r>
    </w:p>
    <w:p w:rsidR="00C64A78" w:rsidRPr="00C64A78" w:rsidRDefault="00C64A78" w:rsidP="00C64A78">
      <w:pPr>
        <w:pStyle w:val="Heading4"/>
      </w:pPr>
      <w:r w:rsidRPr="00C64A78">
        <w:t>Reproductive and developmental toxicity</w:t>
      </w:r>
    </w:p>
    <w:p w:rsidR="00C64A78" w:rsidRPr="00C64A78" w:rsidRDefault="00C64A78" w:rsidP="00C64A78">
      <w:r w:rsidRPr="00C64A78">
        <w:t xml:space="preserve">No reproductive or developmental toxicity studies have been conducted for pembrolizumab. The sponsor has considered the potential for adverse effects on </w:t>
      </w:r>
      <w:proofErr w:type="spellStart"/>
      <w:r w:rsidRPr="00C64A78">
        <w:t>embryofetal</w:t>
      </w:r>
      <w:proofErr w:type="spellEnd"/>
      <w:r w:rsidRPr="00C64A78">
        <w:t xml:space="preserve"> development with the drug based on publis</w:t>
      </w:r>
      <w:r w:rsidR="00F965EC">
        <w:t>hed literature regarding the PD-</w:t>
      </w:r>
      <w:r w:rsidRPr="00C64A78">
        <w:t xml:space="preserve">1 pathway; this is acceptable according to </w:t>
      </w:r>
      <w:r w:rsidR="00260892">
        <w:t>the guideline</w:t>
      </w:r>
      <w:r w:rsidR="00260892" w:rsidRPr="00F965EC">
        <w:t>.</w:t>
      </w:r>
      <w:r w:rsidR="00F965EC" w:rsidRPr="00F965EC">
        <w:rPr>
          <w:vertAlign w:val="superscript"/>
        </w:rPr>
        <w:fldChar w:fldCharType="begin"/>
      </w:r>
      <w:r w:rsidR="00F965EC" w:rsidRPr="00F965EC">
        <w:rPr>
          <w:vertAlign w:val="superscript"/>
        </w:rPr>
        <w:instrText xml:space="preserve"> NOTEREF _Ref456885637 \h  \* MERGEFORMAT </w:instrText>
      </w:r>
      <w:r w:rsidR="00F965EC" w:rsidRPr="00F965EC">
        <w:rPr>
          <w:vertAlign w:val="superscript"/>
        </w:rPr>
      </w:r>
      <w:r w:rsidR="00F965EC" w:rsidRPr="00F965EC">
        <w:rPr>
          <w:vertAlign w:val="superscript"/>
        </w:rPr>
        <w:fldChar w:fldCharType="separate"/>
      </w:r>
      <w:r w:rsidR="005E57DC">
        <w:rPr>
          <w:vertAlign w:val="superscript"/>
        </w:rPr>
        <w:t>10</w:t>
      </w:r>
      <w:r w:rsidR="00F965EC" w:rsidRPr="00F965EC">
        <w:rPr>
          <w:vertAlign w:val="superscript"/>
        </w:rPr>
        <w:fldChar w:fldCharType="end"/>
      </w:r>
      <w:r w:rsidR="00260892" w:rsidRPr="00F965EC">
        <w:rPr>
          <w:vertAlign w:val="superscript"/>
        </w:rPr>
        <w:t xml:space="preserve"> </w:t>
      </w:r>
      <w:r w:rsidRPr="00F965EC">
        <w:t>The</w:t>
      </w:r>
      <w:r w:rsidRPr="00C64A78">
        <w:t xml:space="preserve"> absence of studies on fertility and early embryonic development and on pre</w:t>
      </w:r>
      <w:r w:rsidRPr="00C64A78">
        <w:noBreakHyphen/>
        <w:t xml:space="preserve">/postnatal development is also consistent with that guideline. With regard to potential effects on fertility, although no actual functional studies have been performed, it can be noted that male and female reproductive tissues were not identified as targets for pembrolizumab toxicity in the general </w:t>
      </w:r>
      <w:r w:rsidR="00C21724">
        <w:t>repeat dose</w:t>
      </w:r>
      <w:r w:rsidRPr="00C64A78">
        <w:t xml:space="preserve"> toxicity studies in monkeys.</w:t>
      </w:r>
    </w:p>
    <w:p w:rsidR="00C64A78" w:rsidRPr="00C64A78" w:rsidRDefault="00C64A78" w:rsidP="00C64A78">
      <w:r w:rsidRPr="00C64A78">
        <w:t>Numerous literatu</w:t>
      </w:r>
      <w:r w:rsidR="00F965EC">
        <w:t>re publications identify the PD-</w:t>
      </w:r>
      <w:r w:rsidRPr="00C64A78">
        <w:t>1 pathway as having a fundamental role in maintaining immune tolerance</w:t>
      </w:r>
      <w:r w:rsidR="00F965EC">
        <w:t xml:space="preserve"> to the fetal allograft. The PD-</w:t>
      </w:r>
      <w:r w:rsidRPr="00C64A78">
        <w:t xml:space="preserve">L1 molecule is expressed at the </w:t>
      </w:r>
      <w:proofErr w:type="spellStart"/>
      <w:r w:rsidRPr="00C64A78">
        <w:t>uteroplacental</w:t>
      </w:r>
      <w:proofErr w:type="spellEnd"/>
      <w:r w:rsidRPr="00C64A78">
        <w:t xml:space="preserve"> interface and protec</w:t>
      </w:r>
      <w:r w:rsidR="00260892">
        <w:t>ts the concepti</w:t>
      </w:r>
      <w:r w:rsidR="003D1724">
        <w:t>on</w:t>
      </w:r>
      <w:r w:rsidR="00260892">
        <w:t xml:space="preserve"> from maternal T cell </w:t>
      </w:r>
      <w:r w:rsidRPr="00C64A78">
        <w:t>mediated immunity</w:t>
      </w:r>
      <w:r w:rsidR="00260892">
        <w:t>.</w:t>
      </w:r>
      <w:bookmarkStart w:id="58" w:name="_Ref456886574"/>
      <w:r w:rsidR="00260892">
        <w:rPr>
          <w:rStyle w:val="FootnoteReference"/>
        </w:rPr>
        <w:footnoteReference w:id="12"/>
      </w:r>
      <w:bookmarkEnd w:id="58"/>
      <w:r w:rsidR="00F965EC">
        <w:t xml:space="preserve"> Blockade of PD-</w:t>
      </w:r>
      <w:r w:rsidRPr="00C64A78">
        <w:t>L1 signalling in mice has been shown to abrogate f</w:t>
      </w:r>
      <w:r w:rsidR="003D1724">
        <w:t>o</w:t>
      </w:r>
      <w:r w:rsidRPr="00C64A78">
        <w:t>etomaternal tolerance, res</w:t>
      </w:r>
      <w:r w:rsidR="00D5310B">
        <w:t xml:space="preserve">ulting in increased </w:t>
      </w:r>
      <w:proofErr w:type="spellStart"/>
      <w:r w:rsidR="00D5310B">
        <w:t>fetal</w:t>
      </w:r>
      <w:proofErr w:type="spellEnd"/>
      <w:r w:rsidR="00D5310B">
        <w:t xml:space="preserve"> </w:t>
      </w:r>
      <w:proofErr w:type="spellStart"/>
      <w:r w:rsidR="00D5310B">
        <w:t>resorb</w:t>
      </w:r>
      <w:r w:rsidRPr="00C64A78">
        <w:t>tion</w:t>
      </w:r>
      <w:proofErr w:type="spellEnd"/>
      <w:r w:rsidRPr="00C64A78">
        <w:t xml:space="preserve"> </w:t>
      </w:r>
      <w:r w:rsidRPr="00F965EC">
        <w:t>and abortion</w:t>
      </w:r>
      <w:r w:rsidR="00260892" w:rsidRPr="00F965EC">
        <w:t>.</w:t>
      </w:r>
      <w:r w:rsidR="00F965EC" w:rsidRPr="00F965EC">
        <w:rPr>
          <w:vertAlign w:val="superscript"/>
        </w:rPr>
        <w:fldChar w:fldCharType="begin"/>
      </w:r>
      <w:r w:rsidR="00F965EC" w:rsidRPr="00F965EC">
        <w:rPr>
          <w:vertAlign w:val="superscript"/>
        </w:rPr>
        <w:instrText xml:space="preserve"> NOTEREF _Ref456886574 \h  \* MERGEFORMAT </w:instrText>
      </w:r>
      <w:r w:rsidR="00F965EC" w:rsidRPr="00F965EC">
        <w:rPr>
          <w:vertAlign w:val="superscript"/>
        </w:rPr>
      </w:r>
      <w:r w:rsidR="00F965EC" w:rsidRPr="00F965EC">
        <w:rPr>
          <w:vertAlign w:val="superscript"/>
        </w:rPr>
        <w:fldChar w:fldCharType="separate"/>
      </w:r>
      <w:r w:rsidR="005E57DC">
        <w:rPr>
          <w:vertAlign w:val="superscript"/>
        </w:rPr>
        <w:t>12</w:t>
      </w:r>
      <w:r w:rsidR="00F965EC" w:rsidRPr="00F965EC">
        <w:rPr>
          <w:vertAlign w:val="superscript"/>
        </w:rPr>
        <w:fldChar w:fldCharType="end"/>
      </w:r>
      <w:r w:rsidR="00260892" w:rsidRPr="00F965EC">
        <w:rPr>
          <w:rStyle w:val="FootnoteReference"/>
        </w:rPr>
        <w:t>,</w:t>
      </w:r>
      <w:bookmarkStart w:id="59" w:name="_Ref456964801"/>
      <w:r w:rsidR="00260892" w:rsidRPr="00F965EC">
        <w:rPr>
          <w:rStyle w:val="FootnoteReference"/>
        </w:rPr>
        <w:footnoteReference w:id="13"/>
      </w:r>
      <w:bookmarkEnd w:id="59"/>
      <w:r w:rsidRPr="00F965EC">
        <w:t xml:space="preserve"> In a</w:t>
      </w:r>
      <w:r w:rsidRPr="00C64A78">
        <w:t xml:space="preserve"> murine model of allogeneic pregnancy </w:t>
      </w:r>
      <w:r w:rsidRPr="00F965EC">
        <w:t xml:space="preserve">(CBA </w:t>
      </w:r>
      <w:r w:rsidR="00F965EC" w:rsidRPr="00F965EC">
        <w:t>x</w:t>
      </w:r>
      <w:r w:rsidRPr="00F965EC">
        <w:t xml:space="preserve"> B6 s</w:t>
      </w:r>
      <w:r w:rsidRPr="00C64A78">
        <w:t xml:space="preserve">trains mated), </w:t>
      </w:r>
      <w:r w:rsidR="00F965EC">
        <w:t>maternal treatment with an anti PD-</w:t>
      </w:r>
      <w:r w:rsidRPr="00C64A78">
        <w:t xml:space="preserve">L1 antibody (doses administered from shortly after implantation up to approximately halfway through the period of organogenesis) increased the incidence of fetal </w:t>
      </w:r>
      <w:r w:rsidR="00D5310B" w:rsidRPr="00C64A78">
        <w:t>resorbtion</w:t>
      </w:r>
      <w:r w:rsidRPr="00C64A78">
        <w:t xml:space="preserve"> from a spontaneous rate of 18% to 86%</w:t>
      </w:r>
      <w:r w:rsidR="00260892">
        <w:t>.</w:t>
      </w:r>
      <w:r w:rsidR="00F965EC" w:rsidRPr="00F965EC">
        <w:rPr>
          <w:vertAlign w:val="superscript"/>
        </w:rPr>
        <w:fldChar w:fldCharType="begin"/>
      </w:r>
      <w:r w:rsidR="00F965EC" w:rsidRPr="00F965EC">
        <w:rPr>
          <w:vertAlign w:val="superscript"/>
        </w:rPr>
        <w:instrText xml:space="preserve"> NOTEREF _Ref456886574 \h  \* MERGEFORMAT </w:instrText>
      </w:r>
      <w:r w:rsidR="00F965EC" w:rsidRPr="00F965EC">
        <w:rPr>
          <w:vertAlign w:val="superscript"/>
        </w:rPr>
      </w:r>
      <w:r w:rsidR="00F965EC" w:rsidRPr="00F965EC">
        <w:rPr>
          <w:vertAlign w:val="superscript"/>
        </w:rPr>
        <w:fldChar w:fldCharType="separate"/>
      </w:r>
      <w:r w:rsidR="005E57DC">
        <w:rPr>
          <w:vertAlign w:val="superscript"/>
        </w:rPr>
        <w:t>12</w:t>
      </w:r>
      <w:r w:rsidR="00F965EC" w:rsidRPr="00F965EC">
        <w:rPr>
          <w:vertAlign w:val="superscript"/>
        </w:rPr>
        <w:fldChar w:fldCharType="end"/>
      </w:r>
      <w:r w:rsidRPr="00C64A78">
        <w:t xml:space="preserve"> In further e</w:t>
      </w:r>
      <w:r w:rsidR="00260892">
        <w:t xml:space="preserve">xperiments involving pregnant B </w:t>
      </w:r>
      <w:r w:rsidRPr="00C64A78">
        <w:t>cell deficient mice (conducted to confirm the role of T cells in mediating these effects), blockade of</w:t>
      </w:r>
      <w:r w:rsidR="00F965EC">
        <w:t xml:space="preserve"> the PD-1 pathway by an anti-PD-</w:t>
      </w:r>
      <w:r w:rsidRPr="00C64A78">
        <w:t>L1 antibody caused fetal rejection in 100% of animals. Accordingly, pembrolizumab can be reasonably expected to cause embryof</w:t>
      </w:r>
      <w:r w:rsidR="003D1724">
        <w:t>o</w:t>
      </w:r>
      <w:r w:rsidRPr="00C64A78">
        <w:t>etal lethality in pregnant patients.</w:t>
      </w:r>
    </w:p>
    <w:p w:rsidR="00C64A78" w:rsidRPr="00C64A78" w:rsidRDefault="00C64A78" w:rsidP="00C64A78">
      <w:pPr>
        <w:pStyle w:val="Heading5"/>
      </w:pPr>
      <w:r w:rsidRPr="00C64A78">
        <w:t>Pregnancy category</w:t>
      </w:r>
    </w:p>
    <w:p w:rsidR="00C64A78" w:rsidRPr="00C64A78" w:rsidRDefault="00C64A78" w:rsidP="00C64A78">
      <w:r w:rsidRPr="00C64A78">
        <w:t>The sponsor has proposed Pregnancy Category C</w:t>
      </w:r>
      <w:bookmarkStart w:id="60" w:name="_Ref458524515"/>
      <w:r w:rsidR="00260892">
        <w:rPr>
          <w:rStyle w:val="FootnoteReference"/>
        </w:rPr>
        <w:footnoteReference w:id="14"/>
      </w:r>
      <w:bookmarkEnd w:id="60"/>
      <w:r w:rsidRPr="00C64A78">
        <w:t>. Although they are pharmacologically mediated, given the extreme nature of the adverse effects predicted (</w:t>
      </w:r>
      <w:r w:rsidR="00260892">
        <w:t>that is</w:t>
      </w:r>
      <w:r w:rsidRPr="00C64A78">
        <w:t>, embryof</w:t>
      </w:r>
      <w:r w:rsidR="003D1724">
        <w:t>o</w:t>
      </w:r>
      <w:r w:rsidRPr="00C64A78">
        <w:t xml:space="preserve">etal </w:t>
      </w:r>
      <w:r w:rsidRPr="00C64A78">
        <w:lastRenderedPageBreak/>
        <w:t>lethality), the proposed pregnancy category is considered inappropriate. The product should be assigned Pregnancy Category D</w:t>
      </w:r>
      <w:bookmarkStart w:id="61" w:name="_Ref458524527"/>
      <w:r w:rsidR="00260892">
        <w:rPr>
          <w:rStyle w:val="FootnoteReference"/>
        </w:rPr>
        <w:footnoteReference w:id="15"/>
      </w:r>
      <w:bookmarkEnd w:id="61"/>
      <w:r w:rsidRPr="00C64A78">
        <w:t xml:space="preserve"> instead.</w:t>
      </w:r>
    </w:p>
    <w:p w:rsidR="00C64A78" w:rsidRPr="00C64A78" w:rsidRDefault="00C64A78" w:rsidP="00C64A78">
      <w:pPr>
        <w:pStyle w:val="Heading4"/>
      </w:pPr>
      <w:r w:rsidRPr="00C64A78">
        <w:t>Local tolerance</w:t>
      </w:r>
    </w:p>
    <w:p w:rsidR="00C64A78" w:rsidRPr="00C64A78" w:rsidRDefault="00C64A78" w:rsidP="00C64A78">
      <w:r w:rsidRPr="00C64A78">
        <w:t xml:space="preserve">Local tolerance was investigated as part of the general </w:t>
      </w:r>
      <w:r w:rsidR="00C21724">
        <w:t>repeat dose</w:t>
      </w:r>
      <w:r w:rsidRPr="00C64A78">
        <w:t xml:space="preserve"> toxicity studies in monkeys, based on observations of clinical signs and on gross and microscopic examination of injection sites. There were no </w:t>
      </w:r>
      <w:r w:rsidR="00260892">
        <w:t>treatment related</w:t>
      </w:r>
      <w:r w:rsidRPr="00C64A78">
        <w:t xml:space="preserve"> injection site findings. The animals were</w:t>
      </w:r>
      <w:r w:rsidR="0085409C">
        <w:t xml:space="preserve"> administered pembrolizumab at</w:t>
      </w:r>
      <w:r w:rsidRPr="00C64A78">
        <w:t xml:space="preserve"> strength of 25 mg/mL, 2.5 times higher than the maximum strength recommended for administration to patients in the draft </w:t>
      </w:r>
      <w:r w:rsidR="00126B2F">
        <w:t>PI</w:t>
      </w:r>
      <w:r w:rsidRPr="00C64A78">
        <w:t xml:space="preserve">. The excipient profile of the formulation tested in animals was as for </w:t>
      </w:r>
      <w:r w:rsidR="00987E81">
        <w:t>Keytruda</w:t>
      </w:r>
      <w:r w:rsidRPr="00C64A78">
        <w:t>.</w:t>
      </w:r>
    </w:p>
    <w:p w:rsidR="00C64A78" w:rsidRPr="00C64A78" w:rsidRDefault="00C64A78" w:rsidP="00C64A78">
      <w:pPr>
        <w:pStyle w:val="Heading4"/>
      </w:pPr>
      <w:r w:rsidRPr="00C64A78">
        <w:t>Impurities</w:t>
      </w:r>
    </w:p>
    <w:p w:rsidR="00C64A78" w:rsidRPr="00C64A78" w:rsidRDefault="00C64A78" w:rsidP="00C64A78">
      <w:r w:rsidRPr="00C64A78">
        <w:t>No specialised impurity studies in ani</w:t>
      </w:r>
      <w:r w:rsidR="00126B2F">
        <w:t xml:space="preserve">mals were conducted. The repeat </w:t>
      </w:r>
      <w:r w:rsidRPr="00C64A78">
        <w:t xml:space="preserve">dose toxicity studies in monkeys did not identify any toxicity attributable to the presence </w:t>
      </w:r>
      <w:r w:rsidR="001A0421">
        <w:t xml:space="preserve">of impurities, but these used a </w:t>
      </w:r>
      <w:r w:rsidRPr="00C64A78">
        <w:t>drug lot containing levels of impurities lower than the maximum levels proposed in the drug substance and drug product specifications so that potential maximum human exposure was not achieved. The acceptability of the impurity specification w</w:t>
      </w:r>
      <w:r w:rsidR="00126B2F">
        <w:t>ill need to be based on quality</w:t>
      </w:r>
      <w:r w:rsidRPr="00C64A78">
        <w:t xml:space="preserve"> and/or clinical assessment.</w:t>
      </w:r>
    </w:p>
    <w:p w:rsidR="00C64A78" w:rsidRPr="00C64A78" w:rsidRDefault="00C64A78" w:rsidP="00C64A78">
      <w:pPr>
        <w:pStyle w:val="Heading4"/>
      </w:pPr>
      <w:r w:rsidRPr="00C64A78">
        <w:t>Paediatric use</w:t>
      </w:r>
    </w:p>
    <w:p w:rsidR="00C64A78" w:rsidRPr="00C64A78" w:rsidRDefault="00987E81" w:rsidP="00C64A78">
      <w:r>
        <w:t>Keytruda</w:t>
      </w:r>
      <w:r w:rsidR="00C64A78" w:rsidRPr="00C64A78">
        <w:t xml:space="preserve"> is not proposed for paediatric use. No studies in juvenile animals were submitted.</w:t>
      </w:r>
    </w:p>
    <w:p w:rsidR="00B50FFC" w:rsidRPr="00B50FFC" w:rsidRDefault="00B50FFC" w:rsidP="00B50FFC">
      <w:pPr>
        <w:pStyle w:val="Heading4"/>
      </w:pPr>
      <w:bookmarkStart w:id="62" w:name="_Toc404851922"/>
      <w:r w:rsidRPr="00B50FFC">
        <w:t xml:space="preserve">Comments on the </w:t>
      </w:r>
      <w:r w:rsidR="00735A18" w:rsidRPr="00B50FFC">
        <w:t>safety specification of the risk management plan</w:t>
      </w:r>
      <w:bookmarkEnd w:id="62"/>
    </w:p>
    <w:p w:rsidR="00C64A78" w:rsidRPr="00C64A78" w:rsidRDefault="00B50FFC" w:rsidP="00C64A78">
      <w:r w:rsidRPr="00B50FFC">
        <w:t>Results and conclusions drawn from the nonclinical program for pembrolizumab detailed in the sponsor’s draft Risk Management Plan</w:t>
      </w:r>
      <w:r w:rsidR="00126B2F">
        <w:t xml:space="preserve"> (RMP)</w:t>
      </w:r>
      <w:r w:rsidRPr="00B50FFC">
        <w:t xml:space="preserve"> are in general</w:t>
      </w:r>
      <w:r w:rsidR="00126B2F">
        <w:t xml:space="preserve"> concordance with those of the n</w:t>
      </w:r>
      <w:r w:rsidRPr="00B50FFC">
        <w:t xml:space="preserve">onclinical </w:t>
      </w:r>
      <w:r w:rsidR="00126B2F">
        <w:t>e</w:t>
      </w:r>
      <w:r w:rsidRPr="00B50FFC">
        <w:t>valuator. Of note, animal:</w:t>
      </w:r>
      <w:r w:rsidR="00D453FA">
        <w:t xml:space="preserve"> </w:t>
      </w:r>
      <w:r w:rsidRPr="00B50FFC">
        <w:t xml:space="preserve">human exposure comparisons made in the RMP differ to those reported here. The sponsor cites a lower margin, reflecting a comparison made to a reference human dose of 10 mg/kg every 2 weeks (as the highest dose employed in clinical trials) rather than the maximum recommended dose specified in the </w:t>
      </w:r>
      <w:r w:rsidR="00126B2F">
        <w:t>PI</w:t>
      </w:r>
      <w:r w:rsidRPr="00B50FFC">
        <w:t xml:space="preserve"> (2 mg/kg every 3 weeks), and the absence of adjustment to account for more frequent dosing in animals </w:t>
      </w:r>
      <w:r w:rsidR="00126B2F">
        <w:t xml:space="preserve">(every 2 weeks in the pivotal 6 </w:t>
      </w:r>
      <w:r w:rsidRPr="00B50FFC">
        <w:t xml:space="preserve">month monkey study) </w:t>
      </w:r>
      <w:r w:rsidR="00126B2F">
        <w:t>compared to</w:t>
      </w:r>
      <w:r w:rsidRPr="00B50FFC">
        <w:t xml:space="preserve"> patients treated according to the recommended dosing regimen.</w:t>
      </w:r>
    </w:p>
    <w:p w:rsidR="008E7846" w:rsidRDefault="008E7846" w:rsidP="008E7846">
      <w:pPr>
        <w:pStyle w:val="Heading3"/>
      </w:pPr>
      <w:bookmarkStart w:id="63" w:name="_Toc247691515"/>
      <w:bookmarkStart w:id="64" w:name="_Toc314842499"/>
      <w:bookmarkStart w:id="65" w:name="_Toc464545010"/>
      <w:r>
        <w:t>Nonclinical summary and conclusions</w:t>
      </w:r>
      <w:bookmarkEnd w:id="63"/>
      <w:bookmarkEnd w:id="64"/>
      <w:bookmarkEnd w:id="65"/>
    </w:p>
    <w:p w:rsidR="00C64A78" w:rsidRPr="00C64A78" w:rsidRDefault="00126B2F" w:rsidP="00C64A78">
      <w:pPr>
        <w:pStyle w:val="ListBullet"/>
      </w:pPr>
      <w:r>
        <w:t>The nonclinical dossier</w:t>
      </w:r>
      <w:r w:rsidR="00C64A78" w:rsidRPr="00C64A78">
        <w:t xml:space="preserve"> contained an adequate set of studies investigating pharmacology, pharmacokinetics and toxicity. The scope of nonclinical studies was in accordance wi</w:t>
      </w:r>
      <w:r>
        <w:t xml:space="preserve">th TGA </w:t>
      </w:r>
      <w:r w:rsidR="00C64A78" w:rsidRPr="00C64A78">
        <w:t>adopted ICH guideli</w:t>
      </w:r>
      <w:r>
        <w:t xml:space="preserve">nes applicable to biotechnology </w:t>
      </w:r>
      <w:r w:rsidR="00C64A78" w:rsidRPr="00C64A78">
        <w:t>derived pharmaceuticals and to anticancer pharmaceuticals. All o</w:t>
      </w:r>
      <w:r>
        <w:t xml:space="preserve">f the toxicity studies were GLP </w:t>
      </w:r>
      <w:r w:rsidR="00C64A78" w:rsidRPr="00C64A78">
        <w:t>compliant.</w:t>
      </w:r>
    </w:p>
    <w:p w:rsidR="00C64A78" w:rsidRPr="00C64A78" w:rsidRDefault="00C64A78" w:rsidP="00C64A78">
      <w:pPr>
        <w:pStyle w:val="ListBullet"/>
      </w:pPr>
      <w:r w:rsidRPr="00C64A78">
        <w:t xml:space="preserve">In vitro studies established that </w:t>
      </w:r>
      <w:r w:rsidR="00F965EC">
        <w:t>pembrolizumab binds to human PD-</w:t>
      </w:r>
      <w:r w:rsidRPr="00C64A78">
        <w:t xml:space="preserve">1 with </w:t>
      </w:r>
      <w:proofErr w:type="spellStart"/>
      <w:r w:rsidRPr="00C64A78">
        <w:t>picomolar</w:t>
      </w:r>
      <w:proofErr w:type="spellEnd"/>
      <w:r w:rsidRPr="00C64A78">
        <w:t xml:space="preserve"> affinity, i</w:t>
      </w:r>
      <w:r w:rsidR="001A0421">
        <w:t xml:space="preserve">s </w:t>
      </w:r>
      <w:r w:rsidRPr="00C64A78">
        <w:t>able</w:t>
      </w:r>
      <w:r w:rsidR="00F965EC">
        <w:t xml:space="preserve"> to block the binding of the PD-</w:t>
      </w:r>
      <w:r w:rsidRPr="00C64A78">
        <w:t>1 receptor’s endogenous ligands (P</w:t>
      </w:r>
      <w:r w:rsidR="00F965EC">
        <w:t>D-L1 and PD-</w:t>
      </w:r>
      <w:r w:rsidR="00126B2F">
        <w:t xml:space="preserve">L2), and enhances T </w:t>
      </w:r>
      <w:r w:rsidRPr="00C64A78">
        <w:t>cell immune responses. The antibod</w:t>
      </w:r>
      <w:r w:rsidR="00F965EC">
        <w:t>y binds to Cynomolgus monkey PD-</w:t>
      </w:r>
      <w:r w:rsidRPr="00C64A78">
        <w:t xml:space="preserve">1 with comparable affinity </w:t>
      </w:r>
      <w:r w:rsidR="00126B2F">
        <w:t>compared to</w:t>
      </w:r>
      <w:r w:rsidRPr="00C64A78">
        <w:t xml:space="preserve"> the human </w:t>
      </w:r>
      <w:r w:rsidR="00F965EC">
        <w:t xml:space="preserve">form, but </w:t>
      </w:r>
      <w:r w:rsidR="00F965EC">
        <w:lastRenderedPageBreak/>
        <w:t>does not recognise PD-</w:t>
      </w:r>
      <w:r w:rsidRPr="00C64A78">
        <w:t>1 from other common laboratory animal species tested (mouse, rat and dog). In vivo studies, conducte</w:t>
      </w:r>
      <w:r w:rsidR="00F965EC">
        <w:t>d in mice with a surrogate anti PD-</w:t>
      </w:r>
      <w:r w:rsidRPr="00C64A78">
        <w:t>1 antibody, showed significant anti-tumour activity (evident as instances of complete tumour regression and substantially prolonged animal survival) for the drug, which was synergistically enhanced when combined with conventional anticancer agents (gemcitabine or 5</w:t>
      </w:r>
      <w:r w:rsidRPr="00C64A78">
        <w:noBreakHyphen/>
        <w:t xml:space="preserve">fluoruracil). Coupled with evidence </w:t>
      </w:r>
      <w:r w:rsidR="00F965EC">
        <w:t>of the PD-</w:t>
      </w:r>
      <w:r w:rsidRPr="00C64A78">
        <w:t xml:space="preserve">1 pathway being usurped by </w:t>
      </w:r>
      <w:r w:rsidR="00126B2F">
        <w:t xml:space="preserve">melanomas (to overcome active T </w:t>
      </w:r>
      <w:r w:rsidRPr="00C64A78">
        <w:t>cell immune surveillance), the submitted pharmacology studies offer support for efficacy in the proposed patient population.</w:t>
      </w:r>
    </w:p>
    <w:p w:rsidR="00C64A78" w:rsidRPr="00C64A78" w:rsidRDefault="00C64A78" w:rsidP="00C64A78">
      <w:pPr>
        <w:pStyle w:val="ListBullet"/>
      </w:pPr>
      <w:r w:rsidRPr="00C64A78">
        <w:t>Investigations pertaining to antibody specificity, effector function and on safety pharmacology endpoints identified no relevant concerns.</w:t>
      </w:r>
    </w:p>
    <w:p w:rsidR="00C64A78" w:rsidRPr="00C64A78" w:rsidRDefault="00C64A78" w:rsidP="00C64A78">
      <w:pPr>
        <w:pStyle w:val="ListBullet"/>
      </w:pPr>
      <w:r w:rsidRPr="00C64A78">
        <w:t>Pharmacokinetic studies revealed similarly long serum half-life and low volume of distribution in Cynomolgus monkeys (the animal species used in toxicity studies) and humans. Pembrolizumab has been engineered</w:t>
      </w:r>
      <w:r w:rsidR="001A0421">
        <w:t xml:space="preserve"> to not engage in Fab-arm (half </w:t>
      </w:r>
      <w:r w:rsidRPr="00C64A78">
        <w:t>molecule exchange) with other IgG4 antibodies.</w:t>
      </w:r>
    </w:p>
    <w:p w:rsidR="00C64A78" w:rsidRPr="00C64A78" w:rsidRDefault="00126B2F" w:rsidP="00C64A78">
      <w:pPr>
        <w:pStyle w:val="ListBullet"/>
      </w:pPr>
      <w:r>
        <w:t xml:space="preserve">Repeat </w:t>
      </w:r>
      <w:r w:rsidR="00C64A78" w:rsidRPr="00C64A78">
        <w:t>dose toxicity studies of up to 6 months duration were conducted with pembrolizumab in Cynomolgus monkeys, and showed that the drug was very well tolerated (both systemically and locally). Supporting safety, systemic exposure in animals at the NOAEL established in the pivotal study (200 mg/kg IV every 2 weeks) is a very high multiple of the serum AUC achieved in patients at the</w:t>
      </w:r>
      <w:r>
        <w:t xml:space="preserve"> recommended clinical dose (that is, 144 times).</w:t>
      </w:r>
    </w:p>
    <w:p w:rsidR="00C64A78" w:rsidRPr="00C64A78" w:rsidRDefault="00C64A78" w:rsidP="00C64A78">
      <w:pPr>
        <w:pStyle w:val="ListBullet"/>
      </w:pPr>
      <w:r w:rsidRPr="00C64A78">
        <w:t>Consistent with relevant ICH guidelines, no genotoxicity, carcinogenicity or reproductive/ developmental toxicity studies were conducted with pembrolizumab. Published literature identi</w:t>
      </w:r>
      <w:r w:rsidR="00F965EC">
        <w:t>fies a critical role for the PD-</w:t>
      </w:r>
      <w:r w:rsidRPr="00C64A78">
        <w:t>1 pathway in maternof</w:t>
      </w:r>
      <w:r w:rsidR="003D1724">
        <w:t>o</w:t>
      </w:r>
      <w:r w:rsidRPr="00C64A78">
        <w:t xml:space="preserve">etal tolerance, and the drug can be reasonably expected to cause </w:t>
      </w:r>
      <w:r w:rsidR="003D1724" w:rsidRPr="00C64A78">
        <w:t>embryofoetal</w:t>
      </w:r>
      <w:r w:rsidRPr="00C64A78">
        <w:t xml:space="preserve"> lethality in pregnant patients.</w:t>
      </w:r>
    </w:p>
    <w:p w:rsidR="00126B2F" w:rsidRDefault="00C64A78" w:rsidP="00C64A78">
      <w:pPr>
        <w:pStyle w:val="ListBullet"/>
      </w:pPr>
      <w:r w:rsidRPr="00C64A78">
        <w:t xml:space="preserve">There are no nonclinical objections </w:t>
      </w:r>
      <w:r w:rsidR="00126B2F">
        <w:t xml:space="preserve">to the registration of </w:t>
      </w:r>
      <w:r w:rsidR="00987E81">
        <w:t>Keytruda</w:t>
      </w:r>
      <w:r w:rsidRPr="00C64A78">
        <w:t xml:space="preserve"> for the proposed indication.</w:t>
      </w:r>
    </w:p>
    <w:p w:rsidR="00C64A78" w:rsidRPr="00C64A78" w:rsidRDefault="00126B2F" w:rsidP="00C64A78">
      <w:pPr>
        <w:pStyle w:val="ListBullet"/>
      </w:pPr>
      <w:r>
        <w:t xml:space="preserve">The nonclinical evaluator has recommended the </w:t>
      </w:r>
      <w:r w:rsidRPr="00C64A78">
        <w:t>assignment of Pregnancy Category D (rather than C as the sponsor has proposed).</w:t>
      </w:r>
    </w:p>
    <w:p w:rsidR="00C64A78" w:rsidRPr="00C64A78" w:rsidRDefault="00C64A78" w:rsidP="00C64A78">
      <w:r w:rsidRPr="00C64A78">
        <w:t xml:space="preserve">The </w:t>
      </w:r>
      <w:r w:rsidR="00126B2F">
        <w:t>nonclinical evaluator made recommendations regarding the PI but these are beyond the scope of the AusPAR</w:t>
      </w:r>
      <w:r w:rsidR="00AF4DF5">
        <w:t>.</w:t>
      </w:r>
    </w:p>
    <w:p w:rsidR="008E7846" w:rsidRPr="00254787" w:rsidRDefault="008E7846" w:rsidP="008E7846">
      <w:pPr>
        <w:pStyle w:val="Heading2"/>
      </w:pPr>
      <w:bookmarkStart w:id="66" w:name="_Toc196046462"/>
      <w:bookmarkStart w:id="67" w:name="_Toc247691516"/>
      <w:bookmarkStart w:id="68" w:name="_Toc314842500"/>
      <w:bookmarkStart w:id="69" w:name="_Toc464545011"/>
      <w:bookmarkStart w:id="70" w:name="_Toc163441353"/>
      <w:bookmarkStart w:id="71" w:name="_Toc163441348"/>
      <w:r>
        <w:t xml:space="preserve">IV. </w:t>
      </w:r>
      <w:r w:rsidRPr="00254787">
        <w:t>Clinical</w:t>
      </w:r>
      <w:bookmarkEnd w:id="66"/>
      <w:r>
        <w:t xml:space="preserve"> </w:t>
      </w:r>
      <w:r w:rsidR="003A7F6C">
        <w:t>f</w:t>
      </w:r>
      <w:r>
        <w:t>indings</w:t>
      </w:r>
      <w:bookmarkEnd w:id="67"/>
      <w:bookmarkEnd w:id="68"/>
      <w:bookmarkEnd w:id="69"/>
    </w:p>
    <w:p w:rsidR="00C80137" w:rsidRDefault="00C80137" w:rsidP="00D425BB">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3" w:name="_Toc247691517"/>
      <w:bookmarkStart w:id="74" w:name="_Toc314842501"/>
      <w:bookmarkStart w:id="75" w:name="_Toc464545012"/>
      <w:r w:rsidRPr="00254787">
        <w:t>Introduction</w:t>
      </w:r>
      <w:bookmarkEnd w:id="72"/>
      <w:bookmarkEnd w:id="73"/>
      <w:bookmarkEnd w:id="74"/>
      <w:bookmarkEnd w:id="75"/>
    </w:p>
    <w:p w:rsidR="00100E03" w:rsidRPr="00100E03" w:rsidRDefault="00100E03" w:rsidP="00100E03">
      <w:proofErr w:type="spellStart"/>
      <w:r w:rsidRPr="00100E03">
        <w:t>Pembrolizumab</w:t>
      </w:r>
      <w:proofErr w:type="spellEnd"/>
      <w:r w:rsidRPr="00100E03">
        <w:t xml:space="preserve"> (</w:t>
      </w:r>
      <w:proofErr w:type="spellStart"/>
      <w:r w:rsidRPr="00100E03">
        <w:t>rch</w:t>
      </w:r>
      <w:proofErr w:type="spellEnd"/>
      <w:r w:rsidRPr="00100E03">
        <w:t xml:space="preserve">) is a monoclonal antibody, which targets the </w:t>
      </w:r>
      <w:r w:rsidR="004C1A99">
        <w:t>PD-1</w:t>
      </w:r>
      <w:r w:rsidRPr="00100E03">
        <w:t xml:space="preserve"> receptor on activated T-lymphocytes. There are currently no agents in this class registered in Australia.</w:t>
      </w:r>
    </w:p>
    <w:p w:rsidR="00100E03" w:rsidRPr="00100E03" w:rsidRDefault="00100E03" w:rsidP="00100E03">
      <w:r w:rsidRPr="00100E03">
        <w:t>The proposed indication is:</w:t>
      </w:r>
    </w:p>
    <w:p w:rsidR="00100E03" w:rsidRPr="00100E03" w:rsidRDefault="00100E03" w:rsidP="00100E03">
      <w:pPr>
        <w:ind w:left="720"/>
        <w:rPr>
          <w:i/>
        </w:rPr>
      </w:pPr>
      <w:proofErr w:type="gramStart"/>
      <w:r w:rsidRPr="00100E03">
        <w:rPr>
          <w:i/>
        </w:rPr>
        <w:t>for</w:t>
      </w:r>
      <w:proofErr w:type="gramEnd"/>
      <w:r w:rsidRPr="00100E03">
        <w:rPr>
          <w:i/>
        </w:rPr>
        <w:t xml:space="preserve"> the treatment of unresectable or metastatic melanoma in adults.</w:t>
      </w:r>
    </w:p>
    <w:p w:rsidR="00100E03" w:rsidRPr="00100E03" w:rsidRDefault="00100E03" w:rsidP="00100E03">
      <w:r w:rsidRPr="00100E03">
        <w:t>The submission proposes registration of the drug as a powder for injection, in vials containing 50 mg. The powder is to be reconstituted with sterile water for injection (2.3 mL) and then added to normal saline or 5% dextrose prior to infusion.</w:t>
      </w:r>
    </w:p>
    <w:p w:rsidR="00100E03" w:rsidRPr="00100E03" w:rsidRDefault="00100E03" w:rsidP="00100E03">
      <w:r w:rsidRPr="00100E03">
        <w:lastRenderedPageBreak/>
        <w:t xml:space="preserve">The proposed dosage regimen is 2 mg/kg by IV infusion (over 30 minutes) </w:t>
      </w:r>
      <w:r w:rsidR="00AF4DF5">
        <w:t>once every 3 weeks (</w:t>
      </w:r>
      <w:r w:rsidR="0085409C">
        <w:t>Q3W</w:t>
      </w:r>
      <w:r w:rsidR="00AF4DF5">
        <w:t>)</w:t>
      </w:r>
      <w:r w:rsidRPr="00100E03">
        <w:t>. Treatment is continued until progressive disease or unacceptable toxicity occurs.</w:t>
      </w:r>
    </w:p>
    <w:p w:rsidR="00605AD4" w:rsidRDefault="00605AD4" w:rsidP="00605AD4">
      <w:pPr>
        <w:pStyle w:val="Heading4"/>
      </w:pPr>
      <w:bookmarkStart w:id="76" w:name="_Toc196046464"/>
      <w:bookmarkStart w:id="77" w:name="_Toc247691518"/>
      <w:bookmarkStart w:id="78" w:name="_Toc314842502"/>
      <w:r w:rsidRPr="00605AD4">
        <w:t xml:space="preserve">Clinical </w:t>
      </w:r>
      <w:r w:rsidR="00EF59DC">
        <w:t>r</w:t>
      </w:r>
      <w:r w:rsidRPr="00605AD4">
        <w:t>ationale</w:t>
      </w:r>
    </w:p>
    <w:p w:rsidR="00100E03" w:rsidRPr="00100E03" w:rsidRDefault="00100E03" w:rsidP="00100E03">
      <w:r w:rsidRPr="00100E03">
        <w:t>According to Cancer Council Australia</w:t>
      </w:r>
      <w:r w:rsidRPr="00C1422A">
        <w:rPr>
          <w:vertAlign w:val="superscript"/>
        </w:rPr>
        <w:footnoteReference w:id="16"/>
      </w:r>
      <w:r w:rsidRPr="00C1422A">
        <w:rPr>
          <w:vertAlign w:val="superscript"/>
        </w:rPr>
        <w:t>,</w:t>
      </w:r>
      <w:r w:rsidRPr="00100E03">
        <w:t xml:space="preserve"> there were 11,405 new cases of melanoma diagnosed in Australia in 2010, and 1,544 people died from the disease in 2011.</w:t>
      </w:r>
    </w:p>
    <w:p w:rsidR="00100E03" w:rsidRPr="00100E03" w:rsidRDefault="00100E03" w:rsidP="00100E03">
      <w:r w:rsidRPr="00100E03">
        <w:t xml:space="preserve">Until recently there were limited options available for the treatment of subjects who developed unresectable or metastatic disease. The cytotoxic agent dacarbazine was the most commonly used agent for many years. Other cytotoxic agents registered in Australia for advanced melanoma are </w:t>
      </w:r>
      <w:proofErr w:type="spellStart"/>
      <w:r w:rsidRPr="00100E03">
        <w:t>temozolomide</w:t>
      </w:r>
      <w:proofErr w:type="spellEnd"/>
      <w:r w:rsidRPr="00100E03">
        <w:t xml:space="preserve"> and </w:t>
      </w:r>
      <w:proofErr w:type="spellStart"/>
      <w:r w:rsidRPr="00100E03">
        <w:t>fotemustine</w:t>
      </w:r>
      <w:proofErr w:type="spellEnd"/>
      <w:r w:rsidRPr="00100E03">
        <w:t>. Despite use of these agents the prognosis was poor, with median overall survival typically being 6 to 9 months</w:t>
      </w:r>
      <w:r w:rsidR="00C1422A">
        <w:t>.</w:t>
      </w:r>
      <w:r w:rsidRPr="00C1422A">
        <w:rPr>
          <w:vertAlign w:val="superscript"/>
        </w:rPr>
        <w:footnoteReference w:id="17"/>
      </w:r>
    </w:p>
    <w:p w:rsidR="00100E03" w:rsidRPr="00100E03" w:rsidRDefault="00100E03" w:rsidP="00100E03">
      <w:r w:rsidRPr="00100E03">
        <w:t xml:space="preserve">In recent years a number of new agents have been registered for the treatment of advanced melanoma. These agents include the BRAF inhibitors vemurafenib and dabrafenib, which are effective in subjects with melanoma positive for a BRAF V600 mutation. The MEK inhibitor trametinib has also been registered for use in combination with dabrafenib, or </w:t>
      </w:r>
      <w:r w:rsidR="00C1422A">
        <w:t xml:space="preserve">as monotherapy in BRAF mutation </w:t>
      </w:r>
      <w:r w:rsidRPr="00100E03">
        <w:t>positive subjects in whom BRAF inhibitors cannot be used.</w:t>
      </w:r>
    </w:p>
    <w:p w:rsidR="00100E03" w:rsidRPr="00100E03" w:rsidRDefault="00100E03" w:rsidP="00100E03">
      <w:r w:rsidRPr="00100E03">
        <w:t>Another monoclonal antibody, ipilimumab (IPI), has also been registered as second-line therapy. This agent blocks the CTLA-4 receptor on activated T lymphocytes. Stimulation of the CTLA-4 receptor produces an inhibitory signal to the lymphocyte, and therefore blockage by ipilimumab results in enhanced T cell mediated anti-tumour effects.</w:t>
      </w:r>
    </w:p>
    <w:p w:rsidR="00100E03" w:rsidRPr="00100E03" w:rsidRDefault="00100E03" w:rsidP="00100E03">
      <w:r w:rsidRPr="00100E03">
        <w:t>Pembrolizumab is a monoclonal antibody that inhibits the PD-1 receptor (also known as CD279), which is expressed on activated T-lymphocytes. Similar to the CTLA-4 receptor, stimulation of PD-1 results in an inhibitory effect on T cell function. The normal function of the PD-1 receptor is to limit or ‘check’ overstimulation of immune responses. There are two known normal ligands for PD-1: PD-L1 (also known as CD274 or B7-H1) and PD-L2 (also known as CD273 or B7-DC). Multiple normal tissues express PD-L1, whereas PD-L2 is expressed primarily on haematopoietic cells</w:t>
      </w:r>
      <w:r w:rsidR="00AF4DF5">
        <w:t>.</w:t>
      </w:r>
      <w:r w:rsidRPr="001D4BB8">
        <w:rPr>
          <w:vertAlign w:val="superscript"/>
        </w:rPr>
        <w:t>.</w:t>
      </w:r>
      <w:r w:rsidRPr="001D4BB8">
        <w:rPr>
          <w:vertAlign w:val="superscript"/>
        </w:rPr>
        <w:footnoteReference w:id="18"/>
      </w:r>
      <w:proofErr w:type="gramStart"/>
      <w:r w:rsidRPr="001D4BB8">
        <w:rPr>
          <w:vertAlign w:val="superscript"/>
        </w:rPr>
        <w:t xml:space="preserve">, </w:t>
      </w:r>
      <w:proofErr w:type="gramEnd"/>
      <w:r w:rsidRPr="001D4BB8">
        <w:rPr>
          <w:vertAlign w:val="superscript"/>
        </w:rPr>
        <w:footnoteReference w:id="19"/>
      </w:r>
      <w:r w:rsidRPr="001D4BB8">
        <w:rPr>
          <w:vertAlign w:val="superscript"/>
        </w:rPr>
        <w:t xml:space="preserve">, </w:t>
      </w:r>
      <w:bookmarkStart w:id="79" w:name="_Ref454358423"/>
      <w:r w:rsidRPr="001D4BB8">
        <w:rPr>
          <w:vertAlign w:val="superscript"/>
        </w:rPr>
        <w:footnoteReference w:id="20"/>
      </w:r>
      <w:bookmarkEnd w:id="79"/>
    </w:p>
    <w:p w:rsidR="00100E03" w:rsidRPr="00100E03" w:rsidRDefault="00100E03" w:rsidP="00100E03">
      <w:r w:rsidRPr="00100E03">
        <w:t>Several different tumours, including melanoma, express PD-L1.</w:t>
      </w:r>
      <w:r w:rsidR="001D4BB8" w:rsidRPr="001D4BB8">
        <w:rPr>
          <w:vertAlign w:val="superscript"/>
        </w:rPr>
        <w:fldChar w:fldCharType="begin"/>
      </w:r>
      <w:r w:rsidR="001D4BB8" w:rsidRPr="001D4BB8">
        <w:rPr>
          <w:vertAlign w:val="superscript"/>
        </w:rPr>
        <w:instrText xml:space="preserve"> NOTEREF _Ref454358423 \h </w:instrText>
      </w:r>
      <w:r w:rsidR="001D4BB8">
        <w:rPr>
          <w:vertAlign w:val="superscript"/>
        </w:rPr>
        <w:instrText xml:space="preserve"> \* MERGEFORMAT </w:instrText>
      </w:r>
      <w:r w:rsidR="001D4BB8" w:rsidRPr="001D4BB8">
        <w:rPr>
          <w:vertAlign w:val="superscript"/>
        </w:rPr>
      </w:r>
      <w:r w:rsidR="001D4BB8" w:rsidRPr="001D4BB8">
        <w:rPr>
          <w:vertAlign w:val="superscript"/>
        </w:rPr>
        <w:fldChar w:fldCharType="separate"/>
      </w:r>
      <w:r w:rsidR="005E57DC">
        <w:rPr>
          <w:vertAlign w:val="superscript"/>
        </w:rPr>
        <w:t>20</w:t>
      </w:r>
      <w:r w:rsidR="001D4BB8" w:rsidRPr="001D4BB8">
        <w:rPr>
          <w:vertAlign w:val="superscript"/>
        </w:rPr>
        <w:fldChar w:fldCharType="end"/>
      </w:r>
      <w:r w:rsidR="001D4BB8">
        <w:t xml:space="preserve"> </w:t>
      </w:r>
      <w:r w:rsidRPr="00100E03">
        <w:t xml:space="preserve">Tumour expression of PD-L1 may result in inhibition of T cell mediated </w:t>
      </w:r>
      <w:r w:rsidR="0085409C" w:rsidRPr="00100E03">
        <w:t>antitumor</w:t>
      </w:r>
      <w:r w:rsidRPr="00100E03">
        <w:t xml:space="preserve"> effects. The clinical rationale for PD-1 receptor blockade with pembrolizumab is to remove such inhibition.</w:t>
      </w:r>
    </w:p>
    <w:p w:rsidR="00100E03" w:rsidRPr="00100E03" w:rsidRDefault="00100E03" w:rsidP="00100E03">
      <w:r w:rsidRPr="00100E03">
        <w:t>Various inhibitors of PD-1 or PD-L1 are currently under development. One of these, nivolumab, has been approved for the treatment of unresectable melanoma in Japan.</w:t>
      </w:r>
    </w:p>
    <w:p w:rsidR="00605AD4" w:rsidRDefault="00605AD4" w:rsidP="00735A18">
      <w:pPr>
        <w:pStyle w:val="Heading4"/>
        <w:pageBreakBefore/>
      </w:pPr>
      <w:r w:rsidRPr="00605AD4">
        <w:lastRenderedPageBreak/>
        <w:t>Guidance</w:t>
      </w:r>
    </w:p>
    <w:p w:rsidR="00100E03" w:rsidRPr="00100E03" w:rsidRDefault="00100E03" w:rsidP="00100E03">
      <w:r w:rsidRPr="00100E03">
        <w:t>The following EMA guidelines, which have been adopted by the TGA, are considered relevant to the current submission:</w:t>
      </w:r>
    </w:p>
    <w:p w:rsidR="00100E03" w:rsidRPr="00100E03" w:rsidRDefault="00100E03" w:rsidP="00100E03">
      <w:pPr>
        <w:pStyle w:val="ListBullet"/>
      </w:pPr>
      <w:r w:rsidRPr="00100E03">
        <w:t>Guideline on the evaluation of anticancer medicinal products.</w:t>
      </w:r>
      <w:r w:rsidRPr="001D4BB8">
        <w:rPr>
          <w:vertAlign w:val="superscript"/>
        </w:rPr>
        <w:footnoteReference w:id="21"/>
      </w:r>
    </w:p>
    <w:p w:rsidR="00100E03" w:rsidRPr="00100E03" w:rsidRDefault="00100E03" w:rsidP="00100E03">
      <w:pPr>
        <w:pStyle w:val="ListBullet"/>
      </w:pPr>
      <w:r w:rsidRPr="00100E03">
        <w:t>Guideline on the investigation of pharmacokinetics of therapeutic proteins.</w:t>
      </w:r>
      <w:r w:rsidRPr="001D4BB8">
        <w:rPr>
          <w:vertAlign w:val="superscript"/>
        </w:rPr>
        <w:footnoteReference w:id="22"/>
      </w:r>
    </w:p>
    <w:p w:rsidR="00100E03" w:rsidRPr="00100E03" w:rsidRDefault="00100E03" w:rsidP="00100E03">
      <w:r w:rsidRPr="00100E03">
        <w:t>Compliance with these guidelines is considered in the relevant sections of this report.</w:t>
      </w:r>
    </w:p>
    <w:p w:rsidR="00100E03" w:rsidRPr="00100E03" w:rsidRDefault="00100E03" w:rsidP="00100E03">
      <w:r w:rsidRPr="00100E03">
        <w:t xml:space="preserve">The clinical data in the submission came from a single </w:t>
      </w:r>
      <w:r w:rsidR="0085409C">
        <w:t>clinical trial (P001)</w:t>
      </w:r>
      <w:r w:rsidRPr="00100E03">
        <w:t xml:space="preserve"> and the TGA has adopted an EMA guideline on submissions that are based on </w:t>
      </w:r>
      <w:r w:rsidR="0085409C">
        <w:t>a single pivotal study. However</w:t>
      </w:r>
      <w:r w:rsidRPr="00100E03">
        <w:t xml:space="preserve"> this guideline is not considered applicable to the current application. Study P001 commenced </w:t>
      </w:r>
      <w:r w:rsidR="0085409C">
        <w:t>as a conventional Phase I trial</w:t>
      </w:r>
      <w:r w:rsidRPr="00100E03">
        <w:t xml:space="preserve"> but was subsequently amended on multiple occasions by the addition of Phase II type cohorts. The study currently includes four separate cohorts of melanoma subjects (Cohorts B1, B2, B3 and D).</w:t>
      </w:r>
    </w:p>
    <w:p w:rsidR="00605AD4" w:rsidRDefault="00605AD4" w:rsidP="00605AD4">
      <w:pPr>
        <w:pStyle w:val="Heading4"/>
      </w:pPr>
      <w:r w:rsidRPr="00605AD4">
        <w:t>Contents of the clinical dossier</w:t>
      </w:r>
    </w:p>
    <w:p w:rsidR="00100E03" w:rsidRPr="00100E03" w:rsidRDefault="00100E03" w:rsidP="00100E03">
      <w:r w:rsidRPr="00100E03">
        <w:t>The submission contained the following clinical information:</w:t>
      </w:r>
    </w:p>
    <w:p w:rsidR="00100E03" w:rsidRPr="00100E03" w:rsidRDefault="00100E03" w:rsidP="00100E03">
      <w:pPr>
        <w:pStyle w:val="ListBullet"/>
      </w:pPr>
      <w:r w:rsidRPr="00100E03">
        <w:t xml:space="preserve">A study report for a single clinical trial (P001), which examined </w:t>
      </w:r>
      <w:r w:rsidR="004C1A99">
        <w:t>pharmacokinetics (</w:t>
      </w:r>
      <w:r w:rsidR="001D4BB8">
        <w:t>PK</w:t>
      </w:r>
      <w:r w:rsidR="004C1A99">
        <w:t>)</w:t>
      </w:r>
      <w:r w:rsidR="001D4BB8">
        <w:t xml:space="preserve">, </w:t>
      </w:r>
      <w:r w:rsidR="004C1A99">
        <w:t>pharmacodynamics (</w:t>
      </w:r>
      <w:r w:rsidR="001D4BB8">
        <w:t>PD</w:t>
      </w:r>
      <w:r w:rsidR="004C1A99">
        <w:t>)</w:t>
      </w:r>
      <w:r w:rsidRPr="00100E03">
        <w:t>, efficacy and safety, primarily in subjects with melanoma and non-small cell lung cancer (NSCLC). The study included multiple separate cohorts of patients as follows:</w:t>
      </w:r>
    </w:p>
    <w:p w:rsidR="00100E03" w:rsidRPr="00100E03" w:rsidRDefault="00100E03" w:rsidP="00100E03">
      <w:pPr>
        <w:pStyle w:val="ListBullet2"/>
      </w:pPr>
      <w:r w:rsidRPr="00100E03">
        <w:t>Cohorts A, A1 and A2: Subjects with</w:t>
      </w:r>
      <w:r w:rsidR="001D4BB8">
        <w:t xml:space="preserve"> various advanced solid tumours</w:t>
      </w:r>
    </w:p>
    <w:p w:rsidR="00100E03" w:rsidRPr="00100E03" w:rsidRDefault="00100E03" w:rsidP="00100E03">
      <w:pPr>
        <w:pStyle w:val="ListBullet2"/>
      </w:pPr>
      <w:r w:rsidRPr="00100E03">
        <w:t>Cohorts B1, B2, B3 and D:</w:t>
      </w:r>
      <w:r w:rsidR="001D4BB8">
        <w:t xml:space="preserve"> Subjects with advance melanoma</w:t>
      </w:r>
    </w:p>
    <w:p w:rsidR="00100E03" w:rsidRPr="00100E03" w:rsidRDefault="00100E03" w:rsidP="00100E03">
      <w:pPr>
        <w:pStyle w:val="ListBullet2"/>
      </w:pPr>
      <w:r w:rsidRPr="00100E03">
        <w:t xml:space="preserve">Cohorts C and </w:t>
      </w:r>
      <w:r w:rsidR="001D4BB8">
        <w:t>F: Subjects with advanced NSCLC</w:t>
      </w:r>
    </w:p>
    <w:p w:rsidR="00100E03" w:rsidRPr="00100E03" w:rsidRDefault="00100E03" w:rsidP="00100E03">
      <w:pPr>
        <w:pStyle w:val="ListBullet"/>
      </w:pPr>
      <w:r w:rsidRPr="00100E03">
        <w:t>The various cohorts are described further below i</w:t>
      </w:r>
      <w:r w:rsidR="001D4BB8">
        <w:t>n the clinical efficacy section</w:t>
      </w:r>
    </w:p>
    <w:p w:rsidR="00100E03" w:rsidRPr="00100E03" w:rsidRDefault="00100E03" w:rsidP="00100E03">
      <w:pPr>
        <w:pStyle w:val="ListBullet"/>
      </w:pPr>
      <w:r w:rsidRPr="00100E03">
        <w:t>1 popu</w:t>
      </w:r>
      <w:r w:rsidR="001D4BB8">
        <w:t>lation pharmacokinetic (Pop PK) analysis</w:t>
      </w:r>
    </w:p>
    <w:p w:rsidR="00100E03" w:rsidRPr="00100E03" w:rsidRDefault="00100E03" w:rsidP="00100E03">
      <w:pPr>
        <w:pStyle w:val="ListBullet"/>
      </w:pPr>
      <w:r w:rsidRPr="00100E03">
        <w:t>A series of other analyses which examined relationships between pembrolizumab PK and various PD,</w:t>
      </w:r>
      <w:r w:rsidR="001D4BB8">
        <w:t xml:space="preserve"> efficacy and safety parameters</w:t>
      </w:r>
    </w:p>
    <w:p w:rsidR="00100E03" w:rsidRPr="00100E03" w:rsidRDefault="00100E03" w:rsidP="00100E03">
      <w:pPr>
        <w:pStyle w:val="ListBullet"/>
      </w:pPr>
      <w:r w:rsidRPr="00100E03">
        <w:t>Literature references.</w:t>
      </w:r>
    </w:p>
    <w:p w:rsidR="00100E03" w:rsidRPr="00100E03" w:rsidRDefault="00100E03" w:rsidP="00100E03">
      <w:r w:rsidRPr="00100E03">
        <w:t xml:space="preserve">The submission also contained </w:t>
      </w:r>
      <w:r w:rsidR="001D4BB8" w:rsidRPr="00100E03">
        <w:t>a clinical overview, summary of biopharmaceutic studies, summary of clinical pharmacology, summary of clinical efficacy and summary of clinical safety</w:t>
      </w:r>
      <w:r w:rsidRPr="00100E03">
        <w:t>.</w:t>
      </w:r>
    </w:p>
    <w:p w:rsidR="00605AD4" w:rsidRDefault="00605AD4" w:rsidP="00605AD4">
      <w:pPr>
        <w:pStyle w:val="Heading4"/>
      </w:pPr>
      <w:r w:rsidRPr="00605AD4">
        <w:t>Paediatric data</w:t>
      </w:r>
    </w:p>
    <w:p w:rsidR="00100E03" w:rsidRPr="00100E03" w:rsidRDefault="00100E03" w:rsidP="00100E03">
      <w:r w:rsidRPr="00100E03">
        <w:t>The submission did not include any paediatric data. From documents included in the submission it appears that the sponsor has obtained a waiver from the FDA from the need for paediatric studies on the grounds that the drug is an orphan drug in the USA. In Europe, it appears that a waiver has been granted for subjects under the age of 6 months, but that a study is being planned for subjects aged 6 months to 18 years. The study is not due to be completed until 2019.</w:t>
      </w:r>
    </w:p>
    <w:p w:rsidR="00605AD4" w:rsidRDefault="00605AD4" w:rsidP="00605AD4">
      <w:pPr>
        <w:pStyle w:val="Heading4"/>
      </w:pPr>
      <w:r w:rsidRPr="00605AD4">
        <w:lastRenderedPageBreak/>
        <w:t>Good clinical practice</w:t>
      </w:r>
    </w:p>
    <w:p w:rsidR="00100E03" w:rsidRPr="00100E03" w:rsidRDefault="00100E03" w:rsidP="00100E03">
      <w:bookmarkStart w:id="80" w:name="_Toc241374282"/>
      <w:r w:rsidRPr="00100E03">
        <w:t xml:space="preserve">The report for study P001 included an assurance that the trial </w:t>
      </w:r>
      <w:bookmarkEnd w:id="80"/>
      <w:r w:rsidRPr="00100E03">
        <w:t>‘was conducted in conformance with Good Clinical Practice standards and applicable country and/or local statutes and regulations regarding ethical committee review, informed consent, and the protection of human patients participating in biomedical research’.</w:t>
      </w:r>
    </w:p>
    <w:p w:rsidR="008E7846" w:rsidRDefault="008E7846" w:rsidP="00605AD4">
      <w:pPr>
        <w:pStyle w:val="Heading3"/>
      </w:pPr>
      <w:bookmarkStart w:id="81" w:name="_Toc464545013"/>
      <w:r w:rsidRPr="00254787">
        <w:t>Pharmacokinetics</w:t>
      </w:r>
      <w:bookmarkEnd w:id="70"/>
      <w:bookmarkEnd w:id="76"/>
      <w:bookmarkEnd w:id="77"/>
      <w:bookmarkEnd w:id="78"/>
      <w:bookmarkEnd w:id="81"/>
    </w:p>
    <w:p w:rsidR="00605AD4" w:rsidRDefault="00605AD4" w:rsidP="00605AD4">
      <w:pPr>
        <w:pStyle w:val="Heading4"/>
      </w:pPr>
      <w:r>
        <w:t>Studies</w:t>
      </w:r>
      <w:r w:rsidR="00100E03">
        <w:t xml:space="preserve"> providing pharmacokinetic data</w:t>
      </w:r>
    </w:p>
    <w:p w:rsidR="00100E03" w:rsidRPr="003D30C5" w:rsidRDefault="001D4BB8" w:rsidP="003D30C5">
      <w:r>
        <w:t xml:space="preserve">Table 2 </w:t>
      </w:r>
      <w:r w:rsidR="00100E03" w:rsidRPr="003D30C5">
        <w:t>shows the studies relating to each pharmacokinetic topic.</w:t>
      </w:r>
    </w:p>
    <w:p w:rsidR="00100E03" w:rsidRPr="003D30C5" w:rsidRDefault="00100E03" w:rsidP="003D30C5">
      <w:r w:rsidRPr="003D30C5">
        <w:t>PK sampling was included for all cohorts in Study P001. In Cohorts A, A1 and A2, intensive sampling was conducted after the first 1 or 2 doses. In the remaining cohorts sparse sampling (at peak and trough) was performed. Most of the information on the PK of pembrolizumab comes from a population PK analysis (Report 03TLC8) performed with PK data from all cohorts.</w:t>
      </w:r>
    </w:p>
    <w:p w:rsidR="003D30C5" w:rsidRPr="003D30C5" w:rsidRDefault="003D30C5" w:rsidP="003D30C5">
      <w:pPr>
        <w:pStyle w:val="TableTitle"/>
      </w:pPr>
      <w:bookmarkStart w:id="82" w:name="_Ref272426277"/>
      <w:bookmarkStart w:id="83" w:name="_Toc278695631"/>
      <w:proofErr w:type="gramStart"/>
      <w:r w:rsidRPr="003D30C5">
        <w:t>Table</w:t>
      </w:r>
      <w:bookmarkEnd w:id="82"/>
      <w:r w:rsidR="0034465F">
        <w:t xml:space="preserve"> 2</w:t>
      </w:r>
      <w:r w:rsidRPr="003D30C5">
        <w:t>.</w:t>
      </w:r>
      <w:proofErr w:type="gramEnd"/>
      <w:r w:rsidRPr="003D30C5">
        <w:t xml:space="preserve"> Submitted pharmacokinetic studies</w:t>
      </w:r>
      <w:bookmarkEnd w:id="83"/>
    </w:p>
    <w:tbl>
      <w:tblPr>
        <w:tblStyle w:val="TableTGAblue"/>
        <w:tblW w:w="7479" w:type="dxa"/>
        <w:tblLayout w:type="fixed"/>
        <w:tblLook w:val="00A0" w:firstRow="1" w:lastRow="0" w:firstColumn="1" w:lastColumn="0" w:noHBand="0" w:noVBand="0"/>
      </w:tblPr>
      <w:tblGrid>
        <w:gridCol w:w="1668"/>
        <w:gridCol w:w="3685"/>
        <w:gridCol w:w="2126"/>
      </w:tblGrid>
      <w:tr w:rsidR="003D30C5" w:rsidRPr="004803D0" w:rsidTr="004121E8">
        <w:trPr>
          <w:cnfStyle w:val="100000000000" w:firstRow="1" w:lastRow="0" w:firstColumn="0" w:lastColumn="0" w:oddVBand="0" w:evenVBand="0" w:oddHBand="0" w:evenHBand="0" w:firstRowFirstColumn="0" w:firstRowLastColumn="0" w:lastRowFirstColumn="0" w:lastRowLastColumn="0"/>
        </w:trPr>
        <w:tc>
          <w:tcPr>
            <w:tcW w:w="1668" w:type="dxa"/>
          </w:tcPr>
          <w:p w:rsidR="003D30C5" w:rsidRPr="004803D0" w:rsidRDefault="003D30C5" w:rsidP="00735A18">
            <w:pPr>
              <w:ind w:left="0"/>
            </w:pPr>
            <w:r w:rsidRPr="004803D0">
              <w:t>PK topic</w:t>
            </w:r>
          </w:p>
        </w:tc>
        <w:tc>
          <w:tcPr>
            <w:tcW w:w="3685" w:type="dxa"/>
          </w:tcPr>
          <w:p w:rsidR="003D30C5" w:rsidRPr="004803D0" w:rsidRDefault="003D30C5" w:rsidP="00735A18">
            <w:pPr>
              <w:ind w:left="33"/>
            </w:pPr>
            <w:r w:rsidRPr="004803D0">
              <w:t>Subtopic</w:t>
            </w:r>
          </w:p>
        </w:tc>
        <w:tc>
          <w:tcPr>
            <w:tcW w:w="2126" w:type="dxa"/>
          </w:tcPr>
          <w:p w:rsidR="003D30C5" w:rsidRPr="004803D0" w:rsidRDefault="003D30C5" w:rsidP="00735A18">
            <w:pPr>
              <w:ind w:left="34"/>
            </w:pPr>
            <w:r w:rsidRPr="004803D0">
              <w:t>Study ID</w:t>
            </w:r>
          </w:p>
        </w:tc>
      </w:tr>
      <w:tr w:rsidR="003D30C5" w:rsidRPr="004803D0" w:rsidTr="004121E8">
        <w:tc>
          <w:tcPr>
            <w:tcW w:w="1668" w:type="dxa"/>
          </w:tcPr>
          <w:p w:rsidR="003D30C5" w:rsidRPr="004803D0" w:rsidRDefault="003D30C5" w:rsidP="00735A18">
            <w:pPr>
              <w:ind w:left="0"/>
            </w:pPr>
            <w:r>
              <w:t>PK in special populations</w:t>
            </w:r>
          </w:p>
        </w:tc>
        <w:tc>
          <w:tcPr>
            <w:tcW w:w="3685" w:type="dxa"/>
          </w:tcPr>
          <w:p w:rsidR="003D30C5" w:rsidRPr="004803D0" w:rsidRDefault="003D30C5" w:rsidP="00735A18">
            <w:pPr>
              <w:ind w:left="33"/>
            </w:pPr>
            <w:r>
              <w:t>Subjects with advanced cancer</w:t>
            </w:r>
          </w:p>
          <w:p w:rsidR="003D30C5" w:rsidRPr="004803D0" w:rsidRDefault="003D30C5" w:rsidP="00735A18">
            <w:pPr>
              <w:ind w:left="33"/>
            </w:pPr>
            <w:r w:rsidRPr="004803D0">
              <w:t>- Single and multiple dose</w:t>
            </w:r>
          </w:p>
          <w:p w:rsidR="003D30C5" w:rsidRPr="004803D0" w:rsidRDefault="003D30C5" w:rsidP="00735A18">
            <w:pPr>
              <w:ind w:left="33"/>
            </w:pPr>
            <w:r w:rsidRPr="004803D0">
              <w:t>- Single and multiple dose</w:t>
            </w:r>
          </w:p>
          <w:p w:rsidR="003D30C5" w:rsidRPr="004803D0" w:rsidRDefault="003D30C5" w:rsidP="00735A18">
            <w:pPr>
              <w:ind w:left="33"/>
            </w:pPr>
            <w:r w:rsidRPr="004803D0">
              <w:t>- Single and multiple dose</w:t>
            </w:r>
          </w:p>
          <w:p w:rsidR="003D30C5" w:rsidRPr="004803D0" w:rsidRDefault="003D30C5" w:rsidP="00735A18">
            <w:pPr>
              <w:ind w:left="33"/>
            </w:pPr>
          </w:p>
          <w:p w:rsidR="003D30C5" w:rsidRPr="004803D0" w:rsidRDefault="003D30C5" w:rsidP="00735A18">
            <w:pPr>
              <w:ind w:left="33"/>
            </w:pPr>
            <w:r w:rsidRPr="004803D0">
              <w:t>Subjects with advanced melanoma §</w:t>
            </w:r>
          </w:p>
          <w:p w:rsidR="003D30C5" w:rsidRPr="004803D0" w:rsidRDefault="003D30C5" w:rsidP="00735A18">
            <w:pPr>
              <w:ind w:left="33"/>
            </w:pPr>
            <w:r w:rsidRPr="004803D0">
              <w:t>- Single and multiple dose</w:t>
            </w:r>
          </w:p>
          <w:p w:rsidR="003D30C5" w:rsidRPr="004803D0" w:rsidRDefault="003D30C5" w:rsidP="00735A18">
            <w:pPr>
              <w:ind w:left="33"/>
            </w:pPr>
            <w:r w:rsidRPr="004803D0">
              <w:t>- Single and multiple dose</w:t>
            </w:r>
          </w:p>
        </w:tc>
        <w:tc>
          <w:tcPr>
            <w:tcW w:w="2126" w:type="dxa"/>
          </w:tcPr>
          <w:p w:rsidR="003D30C5" w:rsidRPr="004803D0" w:rsidRDefault="003D30C5" w:rsidP="00735A18">
            <w:pPr>
              <w:ind w:left="34"/>
            </w:pPr>
          </w:p>
          <w:p w:rsidR="003D30C5" w:rsidRPr="004803D0" w:rsidRDefault="003D30C5" w:rsidP="00735A18">
            <w:pPr>
              <w:ind w:left="34"/>
            </w:pPr>
            <w:r w:rsidRPr="004803D0">
              <w:t>Cohorts A and A1</w:t>
            </w:r>
          </w:p>
          <w:p w:rsidR="003D30C5" w:rsidRPr="004803D0" w:rsidRDefault="003D30C5" w:rsidP="00735A18">
            <w:pPr>
              <w:ind w:left="34"/>
            </w:pPr>
            <w:r w:rsidRPr="004803D0">
              <w:t>Cohort A2</w:t>
            </w:r>
          </w:p>
          <w:p w:rsidR="003D30C5" w:rsidRPr="004803D0" w:rsidRDefault="003D30C5" w:rsidP="00735A18">
            <w:pPr>
              <w:ind w:left="34"/>
            </w:pPr>
            <w:r w:rsidRPr="004803D0">
              <w:t>Cohort C</w:t>
            </w:r>
          </w:p>
          <w:p w:rsidR="003D30C5" w:rsidRPr="004803D0" w:rsidRDefault="003D30C5" w:rsidP="00735A18">
            <w:pPr>
              <w:ind w:left="34"/>
            </w:pPr>
          </w:p>
          <w:p w:rsidR="003D30C5" w:rsidRPr="004803D0" w:rsidRDefault="003D30C5" w:rsidP="00735A18">
            <w:pPr>
              <w:ind w:left="34"/>
            </w:pPr>
          </w:p>
          <w:p w:rsidR="003D30C5" w:rsidRPr="004803D0" w:rsidRDefault="003D30C5" w:rsidP="00735A18">
            <w:pPr>
              <w:ind w:left="34"/>
            </w:pPr>
            <w:r w:rsidRPr="004803D0">
              <w:t>Cohorts B1 and B2</w:t>
            </w:r>
          </w:p>
          <w:p w:rsidR="003D30C5" w:rsidRPr="004803D0" w:rsidRDefault="003D30C5" w:rsidP="00735A18">
            <w:pPr>
              <w:ind w:left="34"/>
            </w:pPr>
            <w:r w:rsidRPr="004803D0">
              <w:t>Cohort D</w:t>
            </w:r>
          </w:p>
        </w:tc>
      </w:tr>
      <w:tr w:rsidR="003D30C5" w:rsidRPr="004803D0" w:rsidTr="004121E8">
        <w:tc>
          <w:tcPr>
            <w:tcW w:w="1668" w:type="dxa"/>
          </w:tcPr>
          <w:p w:rsidR="003D30C5" w:rsidRPr="004803D0" w:rsidRDefault="003D30C5" w:rsidP="00735A18">
            <w:pPr>
              <w:ind w:left="0"/>
            </w:pPr>
            <w:r w:rsidRPr="004803D0">
              <w:t>Population PK analyses</w:t>
            </w:r>
          </w:p>
        </w:tc>
        <w:tc>
          <w:tcPr>
            <w:tcW w:w="3685" w:type="dxa"/>
          </w:tcPr>
          <w:p w:rsidR="003D30C5" w:rsidRPr="004803D0" w:rsidRDefault="003D30C5" w:rsidP="00735A18">
            <w:pPr>
              <w:ind w:left="33"/>
            </w:pPr>
            <w:r w:rsidRPr="004803D0">
              <w:t>Population PK in subjects with advanced cancer/melanoma</w:t>
            </w:r>
          </w:p>
        </w:tc>
        <w:tc>
          <w:tcPr>
            <w:tcW w:w="2126" w:type="dxa"/>
          </w:tcPr>
          <w:p w:rsidR="003D30C5" w:rsidRPr="004803D0" w:rsidRDefault="003D30C5" w:rsidP="00735A18">
            <w:pPr>
              <w:ind w:left="34"/>
            </w:pPr>
            <w:r w:rsidRPr="004803D0">
              <w:t>03TLC8</w:t>
            </w:r>
          </w:p>
        </w:tc>
      </w:tr>
    </w:tbl>
    <w:p w:rsidR="003D30C5" w:rsidRPr="008F35E1" w:rsidRDefault="003D30C5" w:rsidP="003D30C5">
      <w:pPr>
        <w:pStyle w:val="TableDescription"/>
      </w:pPr>
      <w:r w:rsidRPr="008F35E1">
        <w:t>§ Subjects who would be eligible to receive the drug if approved for the proposed indication.</w:t>
      </w:r>
    </w:p>
    <w:p w:rsidR="00100E03" w:rsidRPr="00100E03" w:rsidRDefault="003D30C5" w:rsidP="00100E03">
      <w:r w:rsidRPr="004F33BA">
        <w:t>None of the pharmacokinetic studies had deficiencies that excluded their results from consideration. An early population PK analysis (based on PK data from cohorts A and A2 only) is not reviewed in this report, as it w</w:t>
      </w:r>
      <w:r>
        <w:t>as superseded by Report 03TLC8.</w:t>
      </w:r>
    </w:p>
    <w:p w:rsidR="00605AD4" w:rsidRDefault="00605AD4" w:rsidP="00605AD4">
      <w:pPr>
        <w:pStyle w:val="Heading4"/>
      </w:pPr>
      <w:r>
        <w:t>Evaluator’s conclusions on pharmacokinetics</w:t>
      </w:r>
    </w:p>
    <w:p w:rsidR="003D30C5" w:rsidRDefault="003D30C5" w:rsidP="003D30C5">
      <w:r w:rsidRPr="003D30C5">
        <w:t>The PK profile of pembrolizumab has been adequately investigated. It has similar PK to other monoclonal antibodies, with a small volume of distribution, slow clearance and a half-life of approximately 26 days.</w:t>
      </w:r>
    </w:p>
    <w:p w:rsidR="008A45BF" w:rsidRDefault="008A45BF" w:rsidP="008A45BF">
      <w:pPr>
        <w:pStyle w:val="Heading3"/>
      </w:pPr>
      <w:bookmarkStart w:id="84" w:name="_Toc464545014"/>
      <w:r>
        <w:t>Population Pharmacokinetics</w:t>
      </w:r>
      <w:bookmarkEnd w:id="84"/>
    </w:p>
    <w:p w:rsidR="008A45BF" w:rsidRDefault="001D4BB8" w:rsidP="008A45BF">
      <w:r>
        <w:t xml:space="preserve">A separate Pop PK </w:t>
      </w:r>
      <w:r w:rsidR="008A45BF">
        <w:t>report w</w:t>
      </w:r>
      <w:r w:rsidR="00AF4DF5">
        <w:t>as prepared for the assessment o</w:t>
      </w:r>
      <w:r w:rsidR="008A45BF">
        <w:t xml:space="preserve">f this </w:t>
      </w:r>
      <w:r>
        <w:t>submission and an extract from it is presented in this section.</w:t>
      </w:r>
    </w:p>
    <w:p w:rsidR="00F26CC1" w:rsidRPr="00F26CC1" w:rsidRDefault="0034465F" w:rsidP="0085409C">
      <w:pPr>
        <w:pStyle w:val="Tabletitle0"/>
      </w:pPr>
      <w:bookmarkStart w:id="85" w:name="_Ref271017296"/>
      <w:bookmarkStart w:id="86" w:name="_Ref271018924"/>
      <w:bookmarkStart w:id="87" w:name="_Ref271018934"/>
      <w:bookmarkStart w:id="88" w:name="_Toc272414614"/>
      <w:bookmarkStart w:id="89" w:name="_Toc290846238"/>
      <w:bookmarkStart w:id="90" w:name="_Toc330714138"/>
      <w:bookmarkStart w:id="91" w:name="_Toc336189940"/>
      <w:proofErr w:type="gramStart"/>
      <w:r>
        <w:lastRenderedPageBreak/>
        <w:t>Table 3.</w:t>
      </w:r>
      <w:proofErr w:type="gramEnd"/>
      <w:r>
        <w:t xml:space="preserve"> </w:t>
      </w:r>
      <w:r w:rsidR="00F26CC1" w:rsidRPr="00F26CC1">
        <w:t>Studies</w:t>
      </w:r>
      <w:bookmarkEnd w:id="85"/>
      <w:bookmarkEnd w:id="86"/>
      <w:bookmarkEnd w:id="87"/>
      <w:r w:rsidR="00F26CC1" w:rsidRPr="00F26CC1">
        <w:t xml:space="preserve"> providing PK and PK/PD data</w:t>
      </w:r>
      <w:bookmarkEnd w:id="88"/>
      <w:bookmarkEnd w:id="89"/>
      <w:bookmarkEnd w:id="90"/>
      <w:bookmarkEnd w:id="91"/>
    </w:p>
    <w:tbl>
      <w:tblPr>
        <w:tblStyle w:val="TableTGAblue"/>
        <w:tblW w:w="0" w:type="auto"/>
        <w:tblLook w:val="01E0" w:firstRow="1" w:lastRow="1" w:firstColumn="1" w:lastColumn="1" w:noHBand="0" w:noVBand="0"/>
      </w:tblPr>
      <w:tblGrid>
        <w:gridCol w:w="2597"/>
        <w:gridCol w:w="2148"/>
        <w:gridCol w:w="2576"/>
        <w:gridCol w:w="1399"/>
      </w:tblGrid>
      <w:tr w:rsidR="00F26CC1" w:rsidRPr="00F26CC1" w:rsidTr="00F26CC1">
        <w:trPr>
          <w:cnfStyle w:val="100000000000" w:firstRow="1" w:lastRow="0" w:firstColumn="0" w:lastColumn="0" w:oddVBand="0" w:evenVBand="0" w:oddHBand="0" w:evenHBand="0" w:firstRowFirstColumn="0" w:firstRowLastColumn="0" w:lastRowFirstColumn="0" w:lastRowLastColumn="0"/>
        </w:trPr>
        <w:tc>
          <w:tcPr>
            <w:tcW w:w="2637" w:type="dxa"/>
          </w:tcPr>
          <w:p w:rsidR="00F26CC1" w:rsidRPr="00F26CC1" w:rsidRDefault="00F26CC1" w:rsidP="00735A18">
            <w:r w:rsidRPr="00F26CC1">
              <w:t>Population PKPD Study</w:t>
            </w:r>
          </w:p>
        </w:tc>
        <w:tc>
          <w:tcPr>
            <w:tcW w:w="2162" w:type="dxa"/>
          </w:tcPr>
          <w:p w:rsidR="00F26CC1" w:rsidRPr="00F26CC1" w:rsidRDefault="00F26CC1" w:rsidP="00735A18">
            <w:r w:rsidRPr="00F26CC1">
              <w:t>Studies contributing Data</w:t>
            </w:r>
          </w:p>
        </w:tc>
        <w:tc>
          <w:tcPr>
            <w:tcW w:w="2616" w:type="dxa"/>
          </w:tcPr>
          <w:p w:rsidR="00F26CC1" w:rsidRPr="00F26CC1" w:rsidRDefault="00F26CC1" w:rsidP="00735A18">
            <w:r w:rsidRPr="00F26CC1">
              <w:t>Study Population</w:t>
            </w:r>
          </w:p>
        </w:tc>
        <w:tc>
          <w:tcPr>
            <w:tcW w:w="1305" w:type="dxa"/>
          </w:tcPr>
          <w:p w:rsidR="00F26CC1" w:rsidRPr="00F26CC1" w:rsidRDefault="00F26CC1" w:rsidP="00735A18">
            <w:r w:rsidRPr="00F26CC1">
              <w:t>Number of Subjects</w:t>
            </w:r>
          </w:p>
        </w:tc>
      </w:tr>
      <w:tr w:rsidR="00F26CC1" w:rsidRPr="00F26CC1" w:rsidTr="00F26CC1">
        <w:trPr>
          <w:trHeight w:val="1154"/>
        </w:trPr>
        <w:tc>
          <w:tcPr>
            <w:tcW w:w="2637" w:type="dxa"/>
          </w:tcPr>
          <w:p w:rsidR="00F26CC1" w:rsidRPr="00F26CC1" w:rsidRDefault="00F26CC1" w:rsidP="00735A18">
            <w:r w:rsidRPr="00F26CC1">
              <w:t>Modelling and Simulation Report of Population PK of MK-3475</w:t>
            </w:r>
          </w:p>
        </w:tc>
        <w:tc>
          <w:tcPr>
            <w:tcW w:w="2162" w:type="dxa"/>
          </w:tcPr>
          <w:p w:rsidR="00F26CC1" w:rsidRPr="00F26CC1" w:rsidRDefault="00F26CC1" w:rsidP="00735A18">
            <w:r w:rsidRPr="00F26CC1">
              <w:t>Study P001V01</w:t>
            </w:r>
          </w:p>
        </w:tc>
        <w:tc>
          <w:tcPr>
            <w:tcW w:w="2616" w:type="dxa"/>
          </w:tcPr>
          <w:p w:rsidR="00F26CC1" w:rsidRPr="00F26CC1" w:rsidRDefault="00F26CC1" w:rsidP="00735A18">
            <w:r w:rsidRPr="00F26CC1">
              <w:t>Subjects with progressive locally advanced or metastatic melanoma, or non-small cell lung cancer</w:t>
            </w:r>
          </w:p>
        </w:tc>
        <w:tc>
          <w:tcPr>
            <w:tcW w:w="1305" w:type="dxa"/>
          </w:tcPr>
          <w:p w:rsidR="00F26CC1" w:rsidRPr="00F26CC1" w:rsidRDefault="00F26CC1" w:rsidP="00735A18">
            <w:r w:rsidRPr="00F26CC1">
              <w:t>476</w:t>
            </w:r>
          </w:p>
        </w:tc>
      </w:tr>
    </w:tbl>
    <w:p w:rsidR="00F26CC1" w:rsidRPr="00F26CC1" w:rsidRDefault="00F26CC1" w:rsidP="00F26CC1">
      <w:pPr>
        <w:pStyle w:val="Heading5"/>
      </w:pPr>
      <w:bookmarkStart w:id="92" w:name="_Toc330714140"/>
      <w:bookmarkStart w:id="93" w:name="_Toc336189942"/>
      <w:r w:rsidRPr="00F26CC1">
        <w:t xml:space="preserve">Study </w:t>
      </w:r>
      <w:bookmarkEnd w:id="92"/>
      <w:bookmarkEnd w:id="93"/>
      <w:r w:rsidRPr="00F26CC1">
        <w:rPr>
          <w:sz w:val="20"/>
          <w:szCs w:val="20"/>
        </w:rPr>
        <w:t>P001V01</w:t>
      </w:r>
    </w:p>
    <w:p w:rsidR="00F26CC1" w:rsidRPr="00F26CC1" w:rsidRDefault="00F26CC1" w:rsidP="00F26CC1">
      <w:pPr>
        <w:pStyle w:val="Heading6"/>
      </w:pPr>
      <w:bookmarkStart w:id="94" w:name="_Toc330714141"/>
      <w:bookmarkStart w:id="95" w:name="_Toc336189943"/>
      <w:r w:rsidRPr="00F26CC1">
        <w:t>Objective of the analysis</w:t>
      </w:r>
      <w:bookmarkEnd w:id="94"/>
      <w:bookmarkEnd w:id="95"/>
    </w:p>
    <w:p w:rsidR="00F26CC1" w:rsidRPr="00F26CC1" w:rsidRDefault="00F26CC1" w:rsidP="00F26CC1">
      <w:pPr>
        <w:pStyle w:val="ListBullet"/>
      </w:pPr>
      <w:r w:rsidRPr="00F26CC1">
        <w:t>To develop a population PK model that characterizes the MK-3475 serum concentration profile over time</w:t>
      </w:r>
    </w:p>
    <w:p w:rsidR="00F26CC1" w:rsidRPr="00F26CC1" w:rsidRDefault="00F26CC1" w:rsidP="00F26CC1">
      <w:pPr>
        <w:pStyle w:val="ListBullet"/>
      </w:pPr>
      <w:r w:rsidRPr="00F26CC1">
        <w:t>To generate exposure predictions to support exposure-response analysis for clinical efficacy and safety</w:t>
      </w:r>
    </w:p>
    <w:p w:rsidR="00F26CC1" w:rsidRPr="00F26CC1" w:rsidRDefault="00F26CC1" w:rsidP="00F26CC1">
      <w:pPr>
        <w:pStyle w:val="ListBullet"/>
      </w:pPr>
      <w:r w:rsidRPr="00F26CC1">
        <w:t>To investigate the effects of potential covariates on pertinent PK parameters</w:t>
      </w:r>
    </w:p>
    <w:p w:rsidR="00F26CC1" w:rsidRPr="00F26CC1" w:rsidRDefault="00F26CC1" w:rsidP="00F26CC1">
      <w:pPr>
        <w:pStyle w:val="ListBullet"/>
      </w:pPr>
      <w:r w:rsidRPr="00F26CC1">
        <w:t>To evaluate the impact of selected covariates on exposure to support dose recommendations in special populations as required</w:t>
      </w:r>
      <w:r w:rsidR="001142E0">
        <w:t>.</w:t>
      </w:r>
    </w:p>
    <w:p w:rsidR="00F26CC1" w:rsidRPr="00F26CC1" w:rsidRDefault="00F26CC1" w:rsidP="00F26CC1">
      <w:pPr>
        <w:pStyle w:val="Heading4"/>
      </w:pPr>
      <w:bookmarkStart w:id="96" w:name="_Toc330714170"/>
      <w:bookmarkStart w:id="97" w:name="_Toc336189947"/>
      <w:r>
        <w:t xml:space="preserve">Population </w:t>
      </w:r>
      <w:r w:rsidR="00735A18">
        <w:t>pharmacokinetics evaluator’s</w:t>
      </w:r>
      <w:r w:rsidR="00735A18" w:rsidRPr="00F26CC1">
        <w:t xml:space="preserve"> </w:t>
      </w:r>
      <w:r w:rsidRPr="00F26CC1">
        <w:t xml:space="preserve">conclusions on the </w:t>
      </w:r>
      <w:bookmarkEnd w:id="96"/>
      <w:r w:rsidR="00735A18">
        <w:t>p</w:t>
      </w:r>
      <w:r w:rsidR="001D4BB8">
        <w:t>op PK</w:t>
      </w:r>
      <w:r w:rsidRPr="00F26CC1">
        <w:t xml:space="preserve"> analysis</w:t>
      </w:r>
      <w:bookmarkEnd w:id="97"/>
    </w:p>
    <w:p w:rsidR="00F26CC1" w:rsidRPr="00F26CC1" w:rsidRDefault="00F26CC1" w:rsidP="00F26CC1">
      <w:r w:rsidRPr="00F26CC1">
        <w:t>The modelling process was conducted and reported in acco</w:t>
      </w:r>
      <w:r w:rsidR="001D4BB8">
        <w:t>rdance with the g</w:t>
      </w:r>
      <w:r w:rsidRPr="00F26CC1">
        <w:t>uideline</w:t>
      </w:r>
      <w:r w:rsidR="001D4BB8">
        <w:t>.</w:t>
      </w:r>
      <w:r w:rsidR="001D4BB8">
        <w:rPr>
          <w:rStyle w:val="FootnoteReference"/>
        </w:rPr>
        <w:footnoteReference w:id="23"/>
      </w:r>
    </w:p>
    <w:p w:rsidR="00F26CC1" w:rsidRPr="00F26CC1" w:rsidRDefault="00F26CC1" w:rsidP="00F26CC1">
      <w:r w:rsidRPr="00F26CC1">
        <w:t xml:space="preserve">The approach taken by the </w:t>
      </w:r>
      <w:r w:rsidR="001D4BB8">
        <w:t>sponsor</w:t>
      </w:r>
      <w:r w:rsidRPr="00F26CC1">
        <w:t xml:space="preserve"> was hypothesis testing, rather than exploratory.</w:t>
      </w:r>
      <w:r w:rsidR="00C21724">
        <w:t xml:space="preserve"> </w:t>
      </w:r>
      <w:r w:rsidRPr="00F26CC1">
        <w:t xml:space="preserve">The </w:t>
      </w:r>
      <w:r w:rsidR="001D4BB8">
        <w:t>sponsor</w:t>
      </w:r>
      <w:r w:rsidRPr="00F26CC1">
        <w:t xml:space="preserve"> scaled the parameters for the effects of weight in the base model (rather than exploring these effects) and then tested for the effects of renal function and hepatic function.</w:t>
      </w:r>
      <w:r w:rsidR="00C21724">
        <w:t xml:space="preserve"> </w:t>
      </w:r>
      <w:r w:rsidR="001D4BB8">
        <w:t>In the opinion of the e</w:t>
      </w:r>
      <w:r w:rsidRPr="00F26CC1">
        <w:t>valuator, this approach is justified because the effects of interest to clinicians (</w:t>
      </w:r>
      <w:r w:rsidR="001D4BB8">
        <w:t>that is</w:t>
      </w:r>
      <w:r w:rsidRPr="00F26CC1">
        <w:t xml:space="preserve"> effects of hepatic impairment or renal impairment) are the ones tested by the models.</w:t>
      </w:r>
    </w:p>
    <w:p w:rsidR="00F26CC1" w:rsidRPr="00F26CC1" w:rsidRDefault="00F26CC1" w:rsidP="00F26CC1">
      <w:r w:rsidRPr="00F26CC1">
        <w:t>The base structural model and error model were developed using appropriate criteria and were confirmed by the external validation.</w:t>
      </w:r>
      <w:r w:rsidR="00C21724">
        <w:t xml:space="preserve"> </w:t>
      </w:r>
      <w:r w:rsidRPr="00F26CC1">
        <w:t>The goodness of fit plots w</w:t>
      </w:r>
      <w:r w:rsidR="003D1724">
        <w:t>as</w:t>
      </w:r>
      <w:r w:rsidRPr="00F26CC1">
        <w:t xml:space="preserve"> acceptable.</w:t>
      </w:r>
      <w:r w:rsidR="00C21724">
        <w:t xml:space="preserve"> </w:t>
      </w:r>
      <w:r w:rsidRPr="00F26CC1">
        <w:t>The covariate model was developed using all the available covariate data.</w:t>
      </w:r>
      <w:r w:rsidR="00C21724">
        <w:t xml:space="preserve"> </w:t>
      </w:r>
      <w:r w:rsidRPr="00F26CC1">
        <w:t>The covariate model building process was rigorous.</w:t>
      </w:r>
      <w:r w:rsidR="00C21724">
        <w:t xml:space="preserve"> </w:t>
      </w:r>
      <w:r w:rsidRPr="00F26CC1">
        <w:t xml:space="preserve">The final model was supported by the goodness of fit plots and the </w:t>
      </w:r>
      <w:r w:rsidR="0085409C">
        <w:t xml:space="preserve">visual predictive </w:t>
      </w:r>
      <w:r w:rsidR="0085409C" w:rsidRPr="0085409C">
        <w:t>check (</w:t>
      </w:r>
      <w:r w:rsidRPr="0085409C">
        <w:t>VPC</w:t>
      </w:r>
      <w:r w:rsidR="0085409C" w:rsidRPr="0085409C">
        <w:t>)</w:t>
      </w:r>
      <w:r w:rsidRPr="0085409C">
        <w:t>.</w:t>
      </w:r>
    </w:p>
    <w:p w:rsidR="00F26CC1" w:rsidRPr="00F26CC1" w:rsidRDefault="00F26CC1" w:rsidP="00F26CC1">
      <w:r w:rsidRPr="00F26CC1">
        <w:t xml:space="preserve">Simulations of alternative dosing regimens were not performed in the </w:t>
      </w:r>
      <w:r w:rsidR="002F5E51">
        <w:t>Pop PK</w:t>
      </w:r>
      <w:r w:rsidRPr="00F26CC1">
        <w:t xml:space="preserve"> study but the model is suitable for performing such simulations within the dose ranges included in the data.</w:t>
      </w:r>
    </w:p>
    <w:p w:rsidR="00F26CC1" w:rsidRPr="00F26CC1" w:rsidRDefault="00F26CC1" w:rsidP="00F26CC1">
      <w:r w:rsidRPr="00F26CC1">
        <w:t>The modelling and simulation process supports the pro</w:t>
      </w:r>
      <w:r>
        <w:t>posed dosing regimen.</w:t>
      </w:r>
    </w:p>
    <w:p w:rsidR="00F26CC1" w:rsidRPr="00F26CC1" w:rsidRDefault="00F26CC1" w:rsidP="00F26CC1">
      <w:r w:rsidRPr="00F26CC1">
        <w:t>There were sufficient subjects with moderate and mild renal impairment to explore these effects, but insufficient subjects with severe renal impairment.</w:t>
      </w:r>
      <w:r w:rsidR="00C21724">
        <w:t xml:space="preserve"> </w:t>
      </w:r>
      <w:r w:rsidRPr="00F26CC1">
        <w:t>There were sufficient subjects with mild hepatic impairment to explore this effect, but insufficient subjects with severe or moderate hepatic impairment.</w:t>
      </w:r>
    </w:p>
    <w:p w:rsidR="00F26CC1" w:rsidRPr="00F26CC1" w:rsidRDefault="00F26CC1" w:rsidP="00F26CC1">
      <w:r w:rsidRPr="00F26CC1">
        <w:lastRenderedPageBreak/>
        <w:t>The sampling strategy was not suitable for estimating the parameters for a multi-compartmental model.</w:t>
      </w:r>
      <w:r w:rsidR="00C21724">
        <w:t xml:space="preserve"> </w:t>
      </w:r>
      <w:r w:rsidRPr="00F26CC1">
        <w:t xml:space="preserve">Despite this, the </w:t>
      </w:r>
      <w:r w:rsidR="001D4BB8">
        <w:t>sponsor</w:t>
      </w:r>
      <w:r w:rsidRPr="00F26CC1">
        <w:t>’s model has produced plausible estimates for the PK parameters of a two compartment model.</w:t>
      </w:r>
      <w:r w:rsidR="00C21724">
        <w:t xml:space="preserve"> </w:t>
      </w:r>
      <w:r w:rsidRPr="00F26CC1">
        <w:t xml:space="preserve">The </w:t>
      </w:r>
      <w:r w:rsidR="001D4BB8">
        <w:t>sponsor</w:t>
      </w:r>
      <w:r w:rsidRPr="00F26CC1">
        <w:t xml:space="preserve"> has provided overall volume of distribution information in the </w:t>
      </w:r>
      <w:r w:rsidR="001D4BB8">
        <w:t>PI</w:t>
      </w:r>
      <w:r w:rsidRPr="00F26CC1">
        <w:t xml:space="preserve"> document rather than information for </w:t>
      </w:r>
      <w:r w:rsidR="002F5E51">
        <w:t>central distribution (</w:t>
      </w:r>
      <w:proofErr w:type="spellStart"/>
      <w:proofErr w:type="gramStart"/>
      <w:r w:rsidRPr="002F5E51">
        <w:t>Vc</w:t>
      </w:r>
      <w:proofErr w:type="spellEnd"/>
      <w:proofErr w:type="gramEnd"/>
      <w:r w:rsidR="002F5E51" w:rsidRPr="002F5E51">
        <w:t>)</w:t>
      </w:r>
      <w:r w:rsidRPr="00F26CC1">
        <w:t xml:space="preserve"> and </w:t>
      </w:r>
      <w:r w:rsidR="002F5E51">
        <w:t xml:space="preserve">peripheral distribution </w:t>
      </w:r>
      <w:r w:rsidR="002F5E51" w:rsidRPr="002F5E51">
        <w:t>(</w:t>
      </w:r>
      <w:proofErr w:type="spellStart"/>
      <w:r w:rsidRPr="002F5E51">
        <w:t>Vp</w:t>
      </w:r>
      <w:proofErr w:type="spellEnd"/>
      <w:r w:rsidR="002F5E51" w:rsidRPr="002F5E51">
        <w:t>)</w:t>
      </w:r>
      <w:r w:rsidRPr="002F5E51">
        <w:t xml:space="preserve"> separately</w:t>
      </w:r>
      <w:r w:rsidRPr="00F26CC1">
        <w:t xml:space="preserve">, and the </w:t>
      </w:r>
      <w:r w:rsidR="001D4BB8">
        <w:t>e</w:t>
      </w:r>
      <w:r w:rsidRPr="00F26CC1">
        <w:t>valuator considers this to be appropriate.</w:t>
      </w:r>
    </w:p>
    <w:p w:rsidR="00F26CC1" w:rsidRDefault="00F26CC1" w:rsidP="008A45BF">
      <w:r w:rsidRPr="00F26CC1">
        <w:t xml:space="preserve">Overall, both the </w:t>
      </w:r>
      <w:r w:rsidR="001D4BB8">
        <w:t>sponsor</w:t>
      </w:r>
      <w:r w:rsidRPr="00F26CC1">
        <w:t xml:space="preserve">’s modelling study and the external validation process are in agreement with the information on pharmacokinetics provided in the </w:t>
      </w:r>
      <w:r w:rsidR="001D4BB8">
        <w:t>sponsor</w:t>
      </w:r>
      <w:r w:rsidRPr="00F26CC1">
        <w:t>’s P</w:t>
      </w:r>
      <w:r w:rsidR="001D4BB8">
        <w:t>I</w:t>
      </w:r>
      <w:r w:rsidRPr="00F26CC1">
        <w:t xml:space="preserve"> document.</w:t>
      </w:r>
    </w:p>
    <w:p w:rsidR="001142E0" w:rsidRPr="001142E0" w:rsidRDefault="001D4BB8" w:rsidP="001142E0">
      <w:r>
        <w:t xml:space="preserve">The </w:t>
      </w:r>
      <w:r w:rsidR="00AF4DF5">
        <w:t xml:space="preserve">Pop PK </w:t>
      </w:r>
      <w:r>
        <w:t>e</w:t>
      </w:r>
      <w:r w:rsidR="001142E0" w:rsidRPr="001142E0">
        <w:t>valuator has no objection to the authorisation of pembrolizumab for the proposed indication based on the analy</w:t>
      </w:r>
      <w:r>
        <w:t xml:space="preserve">sis of the </w:t>
      </w:r>
      <w:r w:rsidR="002F5E51">
        <w:t>Pop PK</w:t>
      </w:r>
      <w:r w:rsidR="001142E0" w:rsidRPr="001142E0">
        <w:t xml:space="preserve"> data.</w:t>
      </w:r>
    </w:p>
    <w:p w:rsidR="008E7846" w:rsidRDefault="008E7846" w:rsidP="008E7846">
      <w:pPr>
        <w:pStyle w:val="Heading3"/>
      </w:pPr>
      <w:bookmarkStart w:id="98" w:name="_Toc196046481"/>
      <w:bookmarkStart w:id="99" w:name="_Toc247691520"/>
      <w:bookmarkStart w:id="100" w:name="_Toc314842503"/>
      <w:bookmarkStart w:id="101" w:name="_Toc464545015"/>
      <w:r w:rsidRPr="00254787">
        <w:t>Pharmacodynamics</w:t>
      </w:r>
      <w:bookmarkEnd w:id="71"/>
      <w:bookmarkEnd w:id="98"/>
      <w:bookmarkEnd w:id="99"/>
      <w:bookmarkEnd w:id="100"/>
      <w:bookmarkEnd w:id="101"/>
    </w:p>
    <w:p w:rsidR="00605AD4" w:rsidRDefault="00605AD4" w:rsidP="00605AD4">
      <w:pPr>
        <w:pStyle w:val="Heading4"/>
      </w:pPr>
      <w:r>
        <w:t>Studies providing pharmacodynamic data</w:t>
      </w:r>
    </w:p>
    <w:p w:rsidR="003D30C5" w:rsidRPr="003D30C5" w:rsidRDefault="004C1A99" w:rsidP="003D30C5">
      <w:r>
        <w:t>Summaries of the PD</w:t>
      </w:r>
      <w:r w:rsidR="003D30C5" w:rsidRPr="003D30C5">
        <w:t xml:space="preserve"> studies were provided. Table </w:t>
      </w:r>
      <w:r w:rsidR="001D4BB8">
        <w:t>4</w:t>
      </w:r>
      <w:r w:rsidR="003D30C5" w:rsidRPr="003D30C5">
        <w:t xml:space="preserve"> shows the studies relati</w:t>
      </w:r>
      <w:r w:rsidR="001D4BB8">
        <w:t>ng to each PD topic</w:t>
      </w:r>
      <w:r w:rsidR="003D30C5" w:rsidRPr="003D30C5">
        <w:t>.</w:t>
      </w:r>
    </w:p>
    <w:p w:rsidR="003D30C5" w:rsidRPr="003D30C5" w:rsidRDefault="003D30C5" w:rsidP="003D30C5">
      <w:pPr>
        <w:pStyle w:val="Tabletitle0"/>
      </w:pPr>
      <w:bookmarkStart w:id="102" w:name="_Ref269985397"/>
      <w:bookmarkStart w:id="103" w:name="_Toc278695632"/>
      <w:proofErr w:type="gramStart"/>
      <w:r w:rsidRPr="003D30C5">
        <w:t xml:space="preserve">Table </w:t>
      </w:r>
      <w:bookmarkEnd w:id="102"/>
      <w:r w:rsidR="0034465F">
        <w:t>4</w:t>
      </w:r>
      <w:r w:rsidRPr="003D30C5">
        <w:t>.</w:t>
      </w:r>
      <w:proofErr w:type="gramEnd"/>
      <w:r w:rsidRPr="003D30C5">
        <w:t xml:space="preserve"> Submitted pharmacodynamic studies</w:t>
      </w:r>
      <w:bookmarkEnd w:id="103"/>
    </w:p>
    <w:tbl>
      <w:tblPr>
        <w:tblStyle w:val="TableTGAblue"/>
        <w:tblW w:w="7469" w:type="dxa"/>
        <w:tblLayout w:type="fixed"/>
        <w:tblLook w:val="00A0" w:firstRow="1" w:lastRow="0" w:firstColumn="1" w:lastColumn="0" w:noHBand="0" w:noVBand="0"/>
      </w:tblPr>
      <w:tblGrid>
        <w:gridCol w:w="2275"/>
        <w:gridCol w:w="3462"/>
        <w:gridCol w:w="1732"/>
      </w:tblGrid>
      <w:tr w:rsidR="003D30C5" w:rsidRPr="008F35E1" w:rsidTr="004121E8">
        <w:trPr>
          <w:cnfStyle w:val="100000000000" w:firstRow="1" w:lastRow="0" w:firstColumn="0" w:lastColumn="0" w:oddVBand="0" w:evenVBand="0" w:oddHBand="0" w:evenHBand="0" w:firstRowFirstColumn="0" w:firstRowLastColumn="0" w:lastRowFirstColumn="0" w:lastRowLastColumn="0"/>
          <w:trHeight w:val="487"/>
        </w:trPr>
        <w:tc>
          <w:tcPr>
            <w:tcW w:w="2275" w:type="dxa"/>
          </w:tcPr>
          <w:p w:rsidR="003D30C5" w:rsidRPr="008F35E1" w:rsidRDefault="003D30C5" w:rsidP="00735A18">
            <w:r w:rsidRPr="008F35E1">
              <w:t>PD Topic</w:t>
            </w:r>
          </w:p>
        </w:tc>
        <w:tc>
          <w:tcPr>
            <w:tcW w:w="3462" w:type="dxa"/>
          </w:tcPr>
          <w:p w:rsidR="003D30C5" w:rsidRPr="008F35E1" w:rsidRDefault="003D30C5" w:rsidP="00735A18">
            <w:r w:rsidRPr="008F35E1">
              <w:t>Subtopic</w:t>
            </w:r>
          </w:p>
        </w:tc>
        <w:tc>
          <w:tcPr>
            <w:tcW w:w="1732" w:type="dxa"/>
          </w:tcPr>
          <w:p w:rsidR="003D30C5" w:rsidRPr="008F35E1" w:rsidRDefault="003D30C5" w:rsidP="00735A18">
            <w:r w:rsidRPr="008F35E1">
              <w:t>Study ID</w:t>
            </w:r>
          </w:p>
        </w:tc>
      </w:tr>
      <w:tr w:rsidR="003D30C5" w:rsidRPr="008F35E1" w:rsidTr="004121E8">
        <w:trPr>
          <w:trHeight w:val="510"/>
        </w:trPr>
        <w:tc>
          <w:tcPr>
            <w:tcW w:w="2275" w:type="dxa"/>
          </w:tcPr>
          <w:p w:rsidR="003D30C5" w:rsidRPr="008F35E1" w:rsidRDefault="003D30C5" w:rsidP="00735A18">
            <w:r w:rsidRPr="008F35E1">
              <w:t>Primary Pharmacology</w:t>
            </w:r>
          </w:p>
        </w:tc>
        <w:tc>
          <w:tcPr>
            <w:tcW w:w="3462" w:type="dxa"/>
          </w:tcPr>
          <w:p w:rsidR="003D30C5" w:rsidRPr="008F35E1" w:rsidRDefault="003D30C5" w:rsidP="00735A18">
            <w:r w:rsidRPr="008F35E1">
              <w:t>Effect on interleukin-2 secretion</w:t>
            </w:r>
            <w:r w:rsidR="00735A18">
              <w:t xml:space="preserve"> </w:t>
            </w:r>
            <w:r w:rsidRPr="008F35E1">
              <w:t>(Population PK/PD analysis)</w:t>
            </w:r>
          </w:p>
        </w:tc>
        <w:tc>
          <w:tcPr>
            <w:tcW w:w="1732" w:type="dxa"/>
          </w:tcPr>
          <w:p w:rsidR="003D30C5" w:rsidRPr="008F35E1" w:rsidRDefault="003D30C5" w:rsidP="00735A18">
            <w:r w:rsidRPr="008F35E1">
              <w:t>03TLC9</w:t>
            </w:r>
          </w:p>
        </w:tc>
      </w:tr>
      <w:tr w:rsidR="003D30C5" w:rsidRPr="008F35E1" w:rsidTr="004121E8">
        <w:trPr>
          <w:trHeight w:val="149"/>
        </w:trPr>
        <w:tc>
          <w:tcPr>
            <w:tcW w:w="2275" w:type="dxa"/>
          </w:tcPr>
          <w:p w:rsidR="003D30C5" w:rsidRPr="008F35E1" w:rsidRDefault="003D30C5" w:rsidP="00735A18">
            <w:r w:rsidRPr="008F35E1">
              <w:t>Secondary Pharmacology</w:t>
            </w:r>
          </w:p>
        </w:tc>
        <w:tc>
          <w:tcPr>
            <w:tcW w:w="3462" w:type="dxa"/>
          </w:tcPr>
          <w:p w:rsidR="003D30C5" w:rsidRPr="008F35E1" w:rsidRDefault="003D30C5" w:rsidP="00735A18">
            <w:r w:rsidRPr="008F35E1">
              <w:t>Effect on QT interval</w:t>
            </w:r>
          </w:p>
        </w:tc>
        <w:tc>
          <w:tcPr>
            <w:tcW w:w="1732" w:type="dxa"/>
          </w:tcPr>
          <w:p w:rsidR="003D30C5" w:rsidRPr="008F35E1" w:rsidRDefault="003D30C5" w:rsidP="00735A18">
            <w:r w:rsidRPr="008F35E1">
              <w:t>03TLCF</w:t>
            </w:r>
          </w:p>
        </w:tc>
      </w:tr>
    </w:tbl>
    <w:p w:rsidR="003D30C5" w:rsidRPr="003D30C5" w:rsidRDefault="003D30C5" w:rsidP="003D30C5">
      <w:r>
        <w:t>For details of the evaluation of the PD data please see Attachment 2.</w:t>
      </w:r>
    </w:p>
    <w:p w:rsidR="00605AD4" w:rsidRDefault="00605AD4" w:rsidP="00605AD4">
      <w:pPr>
        <w:pStyle w:val="Heading4"/>
      </w:pPr>
      <w:r>
        <w:t>Evaluator’s conclusions on pharmacodynamics</w:t>
      </w:r>
    </w:p>
    <w:p w:rsidR="003D30C5" w:rsidRPr="003D30C5" w:rsidRDefault="003D30C5" w:rsidP="003D30C5">
      <w:r w:rsidRPr="003D30C5">
        <w:t>Only limited clinical PD data were included in the submission. The submitted studies were acceptable.</w:t>
      </w:r>
    </w:p>
    <w:p w:rsidR="008E7846" w:rsidRDefault="00605AD4" w:rsidP="00605AD4">
      <w:pPr>
        <w:pStyle w:val="Heading3"/>
      </w:pPr>
      <w:bookmarkStart w:id="104" w:name="_Toc464545016"/>
      <w:r>
        <w:t>Dosage selection for the pivotal studies</w:t>
      </w:r>
      <w:bookmarkEnd w:id="104"/>
    </w:p>
    <w:p w:rsidR="003D30C5" w:rsidRPr="003D30C5" w:rsidRDefault="003D30C5" w:rsidP="003D30C5">
      <w:r w:rsidRPr="003D30C5">
        <w:t>The lowest dose chosen for testing in advanced melanoma subjects was 2 mg/kg every 3 weeks</w:t>
      </w:r>
      <w:r w:rsidR="001D4BB8">
        <w:t xml:space="preserve"> (</w:t>
      </w:r>
      <w:r w:rsidR="0003098E">
        <w:t>Q3W</w:t>
      </w:r>
      <w:r w:rsidR="001D4BB8">
        <w:t>)</w:t>
      </w:r>
      <w:r w:rsidRPr="003D30C5">
        <w:t>. This dose was chosen on the basis of:</w:t>
      </w:r>
    </w:p>
    <w:p w:rsidR="003D30C5" w:rsidRPr="003D30C5" w:rsidRDefault="003D30C5" w:rsidP="003D30C5">
      <w:pPr>
        <w:pStyle w:val="ListBullet"/>
      </w:pPr>
      <w:r w:rsidRPr="003D30C5">
        <w:t>Pop PK/PD data (levels of IL-2 secretion) which suggested that maximum PD-1 receptor saturation was likely to occur at doses of ≥ 0.8 mg/kg; and</w:t>
      </w:r>
    </w:p>
    <w:p w:rsidR="003D30C5" w:rsidRPr="003D30C5" w:rsidRDefault="003D30C5" w:rsidP="003D30C5">
      <w:pPr>
        <w:pStyle w:val="ListBullet"/>
      </w:pPr>
      <w:r w:rsidRPr="003D30C5">
        <w:t xml:space="preserve">PK/PD modelling which suggested that the dose of 2 mg/kg </w:t>
      </w:r>
      <w:r w:rsidR="0003098E">
        <w:t>Q3W</w:t>
      </w:r>
      <w:r w:rsidRPr="003D30C5">
        <w:t xml:space="preserve"> gave a high probability of achiev</w:t>
      </w:r>
      <w:r w:rsidR="00BE46C6">
        <w:t>ing a partial response (Figure 1</w:t>
      </w:r>
      <w:r w:rsidRPr="003D30C5">
        <w:t>).</w:t>
      </w:r>
    </w:p>
    <w:p w:rsidR="003D30C5" w:rsidRPr="003D30C5" w:rsidRDefault="0034465F" w:rsidP="003D30C5">
      <w:pPr>
        <w:pStyle w:val="FigureTitle"/>
      </w:pPr>
      <w:proofErr w:type="gramStart"/>
      <w:r>
        <w:lastRenderedPageBreak/>
        <w:t>Figure 1</w:t>
      </w:r>
      <w:r w:rsidR="003D30C5" w:rsidRPr="003D30C5">
        <w:t>.</w:t>
      </w:r>
      <w:proofErr w:type="gramEnd"/>
      <w:r w:rsidR="003D30C5" w:rsidRPr="003D30C5">
        <w:t xml:space="preserve"> Estimated MK-3475 </w:t>
      </w:r>
      <w:r w:rsidRPr="003D30C5">
        <w:t xml:space="preserve">dose-response for probability of anti-tumour efficacy using translational </w:t>
      </w:r>
      <w:r w:rsidR="003D30C5" w:rsidRPr="003D30C5">
        <w:t xml:space="preserve">PK-PD </w:t>
      </w:r>
      <w:r>
        <w:t xml:space="preserve">indicates near </w:t>
      </w:r>
      <w:r w:rsidRPr="003D30C5">
        <w:t xml:space="preserve">maximal </w:t>
      </w:r>
      <w:r w:rsidR="003D30C5" w:rsidRPr="003D30C5">
        <w:t xml:space="preserve">(&gt; 90% </w:t>
      </w:r>
      <w:r w:rsidRPr="003D30C5">
        <w:t xml:space="preserve">probability of partial and major) responses starting at dose regimens </w:t>
      </w:r>
      <w:r w:rsidR="003D30C5" w:rsidRPr="003D30C5">
        <w:t xml:space="preserve">of 1 or 2 mg/kg </w:t>
      </w:r>
      <w:r w:rsidR="0003098E">
        <w:t>Q3W</w:t>
      </w:r>
    </w:p>
    <w:p w:rsidR="003D30C5" w:rsidRDefault="003D30C5" w:rsidP="00735A18">
      <w:r>
        <w:rPr>
          <w:noProof/>
          <w:lang w:eastAsia="en-AU"/>
        </w:rPr>
        <w:drawing>
          <wp:inline distT="0" distB="0" distL="0" distR="0" wp14:anchorId="42C643FB" wp14:editId="4B2AD94D">
            <wp:extent cx="4476902" cy="2980297"/>
            <wp:effectExtent l="0" t="0" r="0" b="0"/>
            <wp:docPr id="35" name="Picture 35" descr="Figure 1. Estimated MK-3475 Dose-Response for Probability of Anti-Tumour Efficacy Using Translational PK-PD Indicates Near-Maximal (&gt; 90% Probability of Partial and Major) Responses Starting at Dose Regimens of 1 or 2 mg/kg q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0729" cy="2982845"/>
                    </a:xfrm>
                    <a:prstGeom prst="rect">
                      <a:avLst/>
                    </a:prstGeom>
                  </pic:spPr>
                </pic:pic>
              </a:graphicData>
            </a:graphic>
          </wp:inline>
        </w:drawing>
      </w:r>
    </w:p>
    <w:p w:rsidR="003D30C5" w:rsidRPr="003D30C5" w:rsidRDefault="003D30C5" w:rsidP="003D30C5">
      <w:pPr>
        <w:pStyle w:val="TableDescription"/>
      </w:pPr>
      <w:r w:rsidRPr="003D30C5">
        <w:t>Probability predictions were derived under various scenarios for plausible human melanoma growth (fast, slow and intermediate) and tumour kill rate scaling (according to growth rate or blood flow), and took into account model parameter uncertainty for the fitted model components. The boundaries between different probability categories are defined as: Progressive: &gt;</w:t>
      </w:r>
      <w:r w:rsidR="00BE46C6">
        <w:t xml:space="preserve"> </w:t>
      </w:r>
      <w:r w:rsidRPr="003D30C5">
        <w:t>20% increase tumour size; Stable: between 20% increase and 1</w:t>
      </w:r>
      <w:r w:rsidR="00BE46C6">
        <w:t>0% decrease; Intermediate: 10% to</w:t>
      </w:r>
      <w:r w:rsidRPr="003D30C5">
        <w:t xml:space="preserve"> 30% tumou</w:t>
      </w:r>
      <w:r w:rsidR="00BE46C6">
        <w:t>r size reduction; Partial: 30% to</w:t>
      </w:r>
      <w:r w:rsidRPr="003D30C5">
        <w:t xml:space="preserve"> 50% tumour size reduction; Major: &gt;</w:t>
      </w:r>
      <w:r w:rsidR="00BE46C6">
        <w:t xml:space="preserve"> </w:t>
      </w:r>
      <w:r w:rsidRPr="003D30C5">
        <w:t>50% tumour size reduction.</w:t>
      </w:r>
    </w:p>
    <w:p w:rsidR="003D30C5" w:rsidRPr="003D30C5" w:rsidRDefault="003D30C5" w:rsidP="003D1724">
      <w:pPr>
        <w:pStyle w:val="Comment"/>
        <w:ind w:left="1134" w:hanging="1134"/>
      </w:pPr>
      <w:r w:rsidRPr="003D30C5">
        <w:rPr>
          <w:b/>
        </w:rPr>
        <w:t>Comment:</w:t>
      </w:r>
      <w:r w:rsidRPr="003D30C5">
        <w:t xml:space="preserve"> The rationale for the higher doses tested in the melanoma cohorts (10 mg/kg </w:t>
      </w:r>
      <w:r w:rsidR="0003098E">
        <w:t>Q3W</w:t>
      </w:r>
      <w:r w:rsidRPr="003D30C5">
        <w:t xml:space="preserve"> or </w:t>
      </w:r>
      <w:r w:rsidR="002F5E51">
        <w:t>once every 2 weeks (</w:t>
      </w:r>
      <w:r w:rsidR="0003098E">
        <w:t>Q2W</w:t>
      </w:r>
      <w:r w:rsidR="002F5E51">
        <w:t>)</w:t>
      </w:r>
      <w:r w:rsidRPr="003D30C5">
        <w:t>), was not discussed in the study report.</w:t>
      </w:r>
    </w:p>
    <w:p w:rsidR="008E7846" w:rsidRPr="00254787" w:rsidRDefault="008E7846" w:rsidP="008E7846">
      <w:pPr>
        <w:pStyle w:val="Heading3"/>
      </w:pPr>
      <w:bookmarkStart w:id="105" w:name="_Toc163441372"/>
      <w:bookmarkStart w:id="106" w:name="_Toc196046485"/>
      <w:bookmarkStart w:id="107" w:name="_Toc247691521"/>
      <w:bookmarkStart w:id="108" w:name="_Toc314842504"/>
      <w:bookmarkStart w:id="109" w:name="_Toc464545017"/>
      <w:r w:rsidRPr="00254787">
        <w:t>Efficacy</w:t>
      </w:r>
      <w:bookmarkEnd w:id="105"/>
      <w:bookmarkEnd w:id="106"/>
      <w:bookmarkEnd w:id="107"/>
      <w:bookmarkEnd w:id="108"/>
      <w:bookmarkEnd w:id="109"/>
    </w:p>
    <w:p w:rsidR="00605AD4" w:rsidRDefault="00605AD4" w:rsidP="00605AD4">
      <w:pPr>
        <w:pStyle w:val="Heading4"/>
      </w:pPr>
      <w:bookmarkStart w:id="110" w:name="_Toc184439992"/>
      <w:bookmarkStart w:id="111" w:name="_Toc184440279"/>
      <w:bookmarkStart w:id="112" w:name="_Toc184444657"/>
      <w:bookmarkStart w:id="113" w:name="_Toc196046487"/>
      <w:r>
        <w:t>Studies providing efficacy data</w:t>
      </w:r>
    </w:p>
    <w:p w:rsidR="003D30C5" w:rsidRPr="003D30C5" w:rsidRDefault="003D30C5" w:rsidP="003D30C5">
      <w:pPr>
        <w:pStyle w:val="Heading5"/>
      </w:pPr>
      <w:bookmarkStart w:id="114" w:name="_Ref271037274"/>
      <w:bookmarkStart w:id="115" w:name="_Toc272414652"/>
      <w:bookmarkStart w:id="116" w:name="_Toc290846274"/>
      <w:bookmarkStart w:id="117" w:name="_Ref277592171"/>
      <w:bookmarkStart w:id="118" w:name="_Toc278695546"/>
      <w:bookmarkStart w:id="119" w:name="_Toc457306983"/>
      <w:r w:rsidRPr="003D30C5">
        <w:t>Pivotal efficacy stud</w:t>
      </w:r>
      <w:bookmarkEnd w:id="114"/>
      <w:bookmarkEnd w:id="115"/>
      <w:bookmarkEnd w:id="116"/>
      <w:r w:rsidRPr="003D30C5">
        <w:t>y - Study P001</w:t>
      </w:r>
      <w:bookmarkEnd w:id="117"/>
      <w:bookmarkEnd w:id="118"/>
      <w:bookmarkEnd w:id="119"/>
    </w:p>
    <w:p w:rsidR="003D30C5" w:rsidRPr="003D30C5" w:rsidRDefault="003D30C5" w:rsidP="003D30C5">
      <w:r w:rsidRPr="003D30C5">
        <w:t>Study P001 is an open label, Phase I trial with multiple parts and cohorts, as follows:</w:t>
      </w:r>
    </w:p>
    <w:p w:rsidR="003D30C5" w:rsidRPr="003D30C5" w:rsidRDefault="003D30C5" w:rsidP="003D30C5">
      <w:pPr>
        <w:pStyle w:val="ListBullet"/>
      </w:pPr>
      <w:r w:rsidRPr="003D30C5">
        <w:t>Part A was conducted in subjects with solid tumours and consisted of three cohorts:</w:t>
      </w:r>
    </w:p>
    <w:p w:rsidR="003D30C5" w:rsidRPr="003D30C5" w:rsidRDefault="003D30C5" w:rsidP="003D30C5">
      <w:pPr>
        <w:pStyle w:val="ListBullet2"/>
      </w:pPr>
      <w:r w:rsidRPr="003D30C5">
        <w:t>Cohort A was a dose escalation study using a conventional 3</w:t>
      </w:r>
      <w:r w:rsidR="00BE46C6">
        <w:t xml:space="preserve"> </w:t>
      </w:r>
      <w:r w:rsidRPr="003D30C5">
        <w:t>+</w:t>
      </w:r>
      <w:r w:rsidR="00BE46C6">
        <w:t xml:space="preserve"> </w:t>
      </w:r>
      <w:r w:rsidRPr="003D30C5">
        <w:t xml:space="preserve">3 design. Sequential groups of patients received doses of </w:t>
      </w:r>
      <w:r w:rsidR="00BE46C6">
        <w:t>1, 3 and 10 mg/kg every 2 weeks</w:t>
      </w:r>
    </w:p>
    <w:p w:rsidR="003D30C5" w:rsidRPr="003D30C5" w:rsidRDefault="003D30C5" w:rsidP="003D30C5">
      <w:pPr>
        <w:pStyle w:val="ListBullet2"/>
      </w:pPr>
      <w:r w:rsidRPr="003D30C5">
        <w:t xml:space="preserve">Cohort A1 was a dose confirmation study in which all subjects received the maximum dose tolerated in Cohort A (which was 10 mg/kg </w:t>
      </w:r>
      <w:r w:rsidR="0003098E">
        <w:t>Q2W</w:t>
      </w:r>
      <w:r w:rsidRPr="003D30C5">
        <w:t>). Cohort A1 commenc</w:t>
      </w:r>
      <w:r w:rsidR="00BE46C6">
        <w:t>ed after completion of Cohort A</w:t>
      </w:r>
    </w:p>
    <w:p w:rsidR="00BE46C6" w:rsidRDefault="003D30C5" w:rsidP="003D30C5">
      <w:pPr>
        <w:pStyle w:val="ListBullet2"/>
      </w:pPr>
      <w:r w:rsidRPr="003D30C5">
        <w:t xml:space="preserve">Cohort A2 explored the use of a </w:t>
      </w:r>
      <w:r w:rsidR="00BE46C6">
        <w:t>3 weekly</w:t>
      </w:r>
      <w:r w:rsidRPr="003D30C5">
        <w:t xml:space="preserve"> dosage interval. Subjects in Cohort A2 were randomised to one of three cohorts, and received the dosage regimens summarised in Table </w:t>
      </w:r>
      <w:r w:rsidR="00BE46C6">
        <w:t>5</w:t>
      </w:r>
      <w:r w:rsidRPr="003D30C5">
        <w:t xml:space="preserve">. In this cohort, doses below 1 mg/kg were used during the first cycle to explore the relationship between pembrolizumab PK and </w:t>
      </w:r>
      <w:r w:rsidR="00BE46C6">
        <w:t>PD</w:t>
      </w:r>
    </w:p>
    <w:p w:rsidR="003D30C5" w:rsidRPr="003D30C5" w:rsidRDefault="003D30C5" w:rsidP="003D30C5">
      <w:pPr>
        <w:pStyle w:val="ListBullet2"/>
      </w:pPr>
      <w:r w:rsidRPr="003D30C5">
        <w:t>Enrolment in Cohort A2 commenced following completion of enrolment in Cohort A1.</w:t>
      </w:r>
    </w:p>
    <w:p w:rsidR="00F72F09" w:rsidRPr="00F72F09" w:rsidRDefault="00F72F09" w:rsidP="00F72F09">
      <w:pPr>
        <w:pStyle w:val="Tabletitle0"/>
      </w:pPr>
      <w:bookmarkStart w:id="120" w:name="_Ref275272521"/>
      <w:bookmarkStart w:id="121" w:name="_Toc278695643"/>
      <w:proofErr w:type="gramStart"/>
      <w:r w:rsidRPr="00F72F09">
        <w:lastRenderedPageBreak/>
        <w:t xml:space="preserve">Table </w:t>
      </w:r>
      <w:bookmarkEnd w:id="120"/>
      <w:r w:rsidR="0034465F">
        <w:t>5</w:t>
      </w:r>
      <w:r w:rsidRPr="00F72F09">
        <w:t>.</w:t>
      </w:r>
      <w:proofErr w:type="gramEnd"/>
      <w:r w:rsidRPr="00F72F09">
        <w:t xml:space="preserve"> S</w:t>
      </w:r>
      <w:r w:rsidR="00BE46C6">
        <w:t xml:space="preserve">tudy P001 Part </w:t>
      </w:r>
      <w:proofErr w:type="gramStart"/>
      <w:r w:rsidR="00BE46C6">
        <w:t>A</w:t>
      </w:r>
      <w:proofErr w:type="gramEnd"/>
      <w:r w:rsidR="00BE46C6">
        <w:t xml:space="preserve"> Cohort A2;</w:t>
      </w:r>
      <w:r w:rsidRPr="00F72F09">
        <w:t xml:space="preserve"> dosage regimens</w:t>
      </w:r>
      <w:bookmarkEnd w:id="121"/>
    </w:p>
    <w:p w:rsidR="003D30C5" w:rsidRDefault="00F72F09" w:rsidP="00735A18">
      <w:r>
        <w:rPr>
          <w:noProof/>
          <w:lang w:eastAsia="en-AU"/>
        </w:rPr>
        <w:drawing>
          <wp:inline distT="0" distB="0" distL="0" distR="0" wp14:anchorId="3D6A4D2E" wp14:editId="321FB0BC">
            <wp:extent cx="5223053" cy="1437456"/>
            <wp:effectExtent l="0" t="0" r="0" b="0"/>
            <wp:docPr id="36" name="Picture 36" descr="Table 5. Study P001 – Part A - Cohort A2 – dosag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27200" cy="1438597"/>
                    </a:xfrm>
                    <a:prstGeom prst="rect">
                      <a:avLst/>
                    </a:prstGeom>
                  </pic:spPr>
                </pic:pic>
              </a:graphicData>
            </a:graphic>
          </wp:inline>
        </w:drawing>
      </w:r>
    </w:p>
    <w:p w:rsidR="00F72F09" w:rsidRPr="00F72F09" w:rsidRDefault="00F72F09" w:rsidP="00F72F09">
      <w:pPr>
        <w:pStyle w:val="ListBullet"/>
      </w:pPr>
      <w:r w:rsidRPr="00F72F09">
        <w:t>Part B is being conducted in subjects with advanced melanoma and also consisted of three cohorts:</w:t>
      </w:r>
    </w:p>
    <w:p w:rsidR="00F72F09" w:rsidRPr="00F72F09" w:rsidRDefault="00F72F09" w:rsidP="00F72F09">
      <w:pPr>
        <w:pStyle w:val="ListBullet2"/>
      </w:pPr>
      <w:r w:rsidRPr="00F72F09">
        <w:t>Cohort B1 enrolled subjects who were either ipilimumab (IPI)-naïve or IPI treated. Subjects were enrolled in one of three dosage</w:t>
      </w:r>
      <w:r w:rsidR="0003098E">
        <w:t xml:space="preserve"> cohorts: 10 mg/kg Q2W, 2 mg/kg Q3W</w:t>
      </w:r>
      <w:r w:rsidRPr="00F72F09">
        <w:t xml:space="preserve"> or 10 mg/kg </w:t>
      </w:r>
      <w:r w:rsidR="0003098E">
        <w:t>Q3W</w:t>
      </w:r>
      <w:r w:rsidRPr="00F72F09">
        <w:t>. Enrolment in these cohorts was in a seq</w:t>
      </w:r>
      <w:r w:rsidR="0003098E">
        <w:t>uential, non-randomised fashion</w:t>
      </w:r>
    </w:p>
    <w:p w:rsidR="00F72F09" w:rsidRPr="00F72F09" w:rsidRDefault="00F72F09" w:rsidP="00F72F09">
      <w:pPr>
        <w:pStyle w:val="ListBullet2"/>
      </w:pPr>
      <w:r w:rsidRPr="00F72F09">
        <w:t>Cohort B2 enrolled subjects who were IPI refractory. They were randomised to receive treatment with either 2 m</w:t>
      </w:r>
      <w:r w:rsidR="0003098E">
        <w:t>g/kg Q3W or 10 mg/kg Q3W</w:t>
      </w:r>
    </w:p>
    <w:p w:rsidR="00F72F09" w:rsidRPr="00F72F09" w:rsidRDefault="00F72F09" w:rsidP="00F72F09">
      <w:pPr>
        <w:pStyle w:val="ListBullet2"/>
      </w:pPr>
      <w:r w:rsidRPr="00F72F09">
        <w:t xml:space="preserve">Cohort B3 enrolled subjects who were IPI naïve, IPI treated or IPI refractory. Subjects were randomised to receive 10 mg/kg </w:t>
      </w:r>
      <w:r w:rsidR="0003098E">
        <w:t>Q2W</w:t>
      </w:r>
      <w:r w:rsidRPr="00F72F09">
        <w:t xml:space="preserve"> or 10 mg/kg </w:t>
      </w:r>
      <w:r w:rsidR="0003098E">
        <w:t>Q3W</w:t>
      </w:r>
      <w:r w:rsidRPr="00F72F09">
        <w:t>. The results for this cohort were not included in the study report as the data were premature, and h</w:t>
      </w:r>
      <w:r w:rsidR="0003098E">
        <w:t>ence no further review of this c</w:t>
      </w:r>
      <w:r w:rsidRPr="00F72F09">
        <w:t>ohort will be included in this evaluation.</w:t>
      </w:r>
    </w:p>
    <w:p w:rsidR="00F72F09" w:rsidRPr="00F72F09" w:rsidRDefault="00F72F09" w:rsidP="00F72F09">
      <w:pPr>
        <w:pStyle w:val="ListBullet"/>
      </w:pPr>
      <w:r w:rsidRPr="00F72F09">
        <w:t xml:space="preserve">Part C is being conducted in subjects with advanced </w:t>
      </w:r>
      <w:r w:rsidR="00F92586">
        <w:t>NSCLC</w:t>
      </w:r>
      <w:r w:rsidRPr="00F72F09">
        <w:t xml:space="preserve">. All subjects were treated with 10 mg/kg </w:t>
      </w:r>
      <w:r w:rsidR="0003098E">
        <w:t>Q3W</w:t>
      </w:r>
      <w:r w:rsidRPr="00F72F09">
        <w:t>.</w:t>
      </w:r>
    </w:p>
    <w:p w:rsidR="00F72F09" w:rsidRPr="00F72F09" w:rsidRDefault="00F72F09" w:rsidP="00F72F09">
      <w:pPr>
        <w:pStyle w:val="ListBullet"/>
      </w:pPr>
      <w:r w:rsidRPr="00F72F09">
        <w:t xml:space="preserve">Part D is being conducted in subjects with advanced melanoma who were IPI naïve. Subjects were randomised to receive either 2 mg/kg </w:t>
      </w:r>
      <w:r w:rsidR="0003098E">
        <w:t>Q3W</w:t>
      </w:r>
      <w:r w:rsidRPr="00F72F09">
        <w:t xml:space="preserve"> or 10 mg/kg </w:t>
      </w:r>
      <w:r w:rsidR="0003098E">
        <w:t>Q3W</w:t>
      </w:r>
      <w:r w:rsidRPr="00F72F09">
        <w:t>.</w:t>
      </w:r>
    </w:p>
    <w:p w:rsidR="00F72F09" w:rsidRPr="00F72F09" w:rsidRDefault="00F72F09" w:rsidP="00F72F09">
      <w:pPr>
        <w:pStyle w:val="ListBullet"/>
      </w:pPr>
      <w:r w:rsidRPr="00F72F09">
        <w:t>Part F is being conducted in subjects with NSCLC and consisted of two cohorts. The results from this Part were not included in the study report, and hence no further review of this Part will be included in this evaluation.</w:t>
      </w:r>
    </w:p>
    <w:p w:rsidR="00F72F09" w:rsidRPr="00F72F09" w:rsidRDefault="00F72F09" w:rsidP="00F72F09">
      <w:pPr>
        <w:pStyle w:val="ListBullet2"/>
      </w:pPr>
      <w:r w:rsidRPr="00F72F09">
        <w:t>Cohort F1 enrolled subjects with previously untreated disease, whose tumours expressed PD-L1. Subjects were randomised to r</w:t>
      </w:r>
      <w:r w:rsidR="0003098E">
        <w:t>eceive 10 mg/kg Q2W or 10 mg/kg Q3W</w:t>
      </w:r>
      <w:r w:rsidRPr="00F72F09">
        <w:t>.</w:t>
      </w:r>
    </w:p>
    <w:p w:rsidR="00F72F09" w:rsidRPr="00F72F09" w:rsidRDefault="00F72F09" w:rsidP="00F72F09">
      <w:pPr>
        <w:pStyle w:val="ListBullet2"/>
      </w:pPr>
      <w:r w:rsidRPr="00F72F09">
        <w:t xml:space="preserve">Cohort F2 enrolled subjects with previously treated disease, with or without PD-L1 expression. Subjects were randomised to receive 10 mg/kg </w:t>
      </w:r>
      <w:r w:rsidR="0003098E">
        <w:t>Q2W</w:t>
      </w:r>
      <w:r w:rsidRPr="00F72F09">
        <w:t xml:space="preserve"> or 10 mg/kg </w:t>
      </w:r>
      <w:r w:rsidR="0003098E">
        <w:t>Q3W</w:t>
      </w:r>
      <w:r w:rsidRPr="00F72F09">
        <w:t>.</w:t>
      </w:r>
    </w:p>
    <w:p w:rsidR="00F72F09" w:rsidRPr="00F72F09" w:rsidRDefault="00F72F09" w:rsidP="00F72F09">
      <w:r w:rsidRPr="00F72F09">
        <w:t xml:space="preserve">A summary of the various parts </w:t>
      </w:r>
      <w:r w:rsidR="0003098E">
        <w:t>of the study is shown in Table 6</w:t>
      </w:r>
      <w:r w:rsidRPr="00F72F09">
        <w:t>.</w:t>
      </w:r>
    </w:p>
    <w:p w:rsidR="00F72F09" w:rsidRDefault="0034465F" w:rsidP="00F72F09">
      <w:pPr>
        <w:pStyle w:val="Tabletitle0"/>
      </w:pPr>
      <w:proofErr w:type="gramStart"/>
      <w:r>
        <w:lastRenderedPageBreak/>
        <w:t>Table 6</w:t>
      </w:r>
      <w:r w:rsidR="00F72F09">
        <w:t>.</w:t>
      </w:r>
      <w:proofErr w:type="gramEnd"/>
      <w:r w:rsidR="00F72F09">
        <w:t xml:space="preserve"> </w:t>
      </w:r>
      <w:proofErr w:type="gramStart"/>
      <w:r w:rsidR="00F72F09">
        <w:t>Summary of study parts.</w:t>
      </w:r>
      <w:proofErr w:type="gramEnd"/>
      <w:r w:rsidR="00F72F09">
        <w:t xml:space="preserve"> Study P001</w:t>
      </w:r>
    </w:p>
    <w:p w:rsidR="00F72F09" w:rsidRDefault="00F72F09" w:rsidP="00F72F09">
      <w:r>
        <w:rPr>
          <w:noProof/>
          <w:lang w:eastAsia="en-AU"/>
        </w:rPr>
        <w:drawing>
          <wp:inline distT="0" distB="0" distL="0" distR="0" wp14:anchorId="0FEE4174" wp14:editId="4251B11E">
            <wp:extent cx="5400040" cy="2237901"/>
            <wp:effectExtent l="0" t="0" r="0" b="0"/>
            <wp:docPr id="37" name="Picture 37" descr="Table 6. Summary of study parts. Study 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237901"/>
                    </a:xfrm>
                    <a:prstGeom prst="rect">
                      <a:avLst/>
                    </a:prstGeom>
                  </pic:spPr>
                </pic:pic>
              </a:graphicData>
            </a:graphic>
          </wp:inline>
        </w:drawing>
      </w:r>
    </w:p>
    <w:p w:rsidR="00F72F09" w:rsidRPr="00F72F09" w:rsidRDefault="00F72F09" w:rsidP="00F72F09">
      <w:pPr>
        <w:pStyle w:val="TableDescription"/>
      </w:pPr>
      <w:r w:rsidRPr="00F72F09">
        <w:t xml:space="preserve">1 A2; three cohorts with separate Cycle 1 dose titration, followed by either 2 or 10 mg/kg Q3W starting with Cycle 2; 2 Total N as of 18 Oct 2013; 3 Not included in this interim </w:t>
      </w:r>
      <w:r w:rsidR="00F236AD">
        <w:t>Clinical Study Report</w:t>
      </w:r>
      <w:r w:rsidR="00F236AD" w:rsidRPr="00F72F09">
        <w:t xml:space="preserve"> </w:t>
      </w:r>
      <w:r w:rsidR="00F236AD">
        <w:t>(</w:t>
      </w:r>
      <w:r w:rsidRPr="00F72F09">
        <w:t>CSR</w:t>
      </w:r>
      <w:r w:rsidR="00F236AD">
        <w:t>)</w:t>
      </w:r>
      <w:r w:rsidRPr="00F72F09">
        <w:t>; IPI = ipilimumab; NSCLC = non-small cell lung cancer; Q2W = every 2 weeks; Q3W = every 3 weeks; NA = not applicable</w:t>
      </w:r>
    </w:p>
    <w:p w:rsidR="00F72F09" w:rsidRPr="00F72F09" w:rsidRDefault="00F72F09" w:rsidP="00505E6C">
      <w:pPr>
        <w:pStyle w:val="Comment"/>
        <w:ind w:left="1134" w:hanging="1134"/>
      </w:pPr>
      <w:r w:rsidRPr="00F72F09">
        <w:rPr>
          <w:b/>
        </w:rPr>
        <w:t>Comment</w:t>
      </w:r>
      <w:r w:rsidRPr="00F72F09">
        <w:t xml:space="preserve">: In terms of establishing the efficacy of pembrolizumab for the proposed indication of advanced melanoma, the relevant Parts of the study are Part B (Cohorts B1 and B2) and Part D. In these Parts, at least a proportion of the subjects received the proposed dosage regimen of 2 mg/kg </w:t>
      </w:r>
      <w:r w:rsidR="0003098E">
        <w:t>Q3W</w:t>
      </w:r>
      <w:r w:rsidRPr="00F72F09">
        <w:t>. Review of efficacy data in this report will focus on these study Parts.</w:t>
      </w:r>
    </w:p>
    <w:p w:rsidR="00F72F09" w:rsidRPr="00F72F09" w:rsidRDefault="00F72F09" w:rsidP="00505E6C">
      <w:pPr>
        <w:ind w:left="1134"/>
      </w:pPr>
      <w:r w:rsidRPr="00F72F09">
        <w:t>At one stage the study also included a Part E, to be conducted in NSCLC patients. This Part was subsequently removed from the protocol, apparently without any patients having been enrolled.</w:t>
      </w:r>
    </w:p>
    <w:p w:rsidR="00F72F09" w:rsidRPr="00F72F09" w:rsidRDefault="00F72F09" w:rsidP="00F72F09">
      <w:r>
        <w:t>For a full description and evaluation of the study please see Attachment 2.</w:t>
      </w:r>
    </w:p>
    <w:p w:rsidR="008E7846" w:rsidRDefault="00605AD4" w:rsidP="00605AD4">
      <w:pPr>
        <w:pStyle w:val="Heading4"/>
      </w:pPr>
      <w:r>
        <w:t>Evaluator’s conclusions on efficacy</w:t>
      </w:r>
    </w:p>
    <w:p w:rsidR="00146F09" w:rsidRPr="00146F09" w:rsidRDefault="00146F09" w:rsidP="00146F09">
      <w:r w:rsidRPr="00146F09">
        <w:t>The results of study P001 indicate that pembrolizumab produces objective responses in a substantial proportion of patients with advanced melanoma (approximately 33% overall). Meaningful response rates were also observed in the subgroup of subjects who had received 2 or more prior systemic therapies. These responses appear to be long lasting.</w:t>
      </w:r>
    </w:p>
    <w:p w:rsidR="00146F09" w:rsidRPr="00146F09" w:rsidRDefault="00146F09" w:rsidP="00146F09">
      <w:r w:rsidRPr="00146F09">
        <w:t xml:space="preserve">Median </w:t>
      </w:r>
      <w:r w:rsidR="005E57DC">
        <w:t>progression free survival</w:t>
      </w:r>
      <w:r w:rsidR="005E57DC" w:rsidRPr="00146F09">
        <w:t xml:space="preserve"> </w:t>
      </w:r>
      <w:r w:rsidR="005E57DC">
        <w:t>(</w:t>
      </w:r>
      <w:r w:rsidRPr="00146F09">
        <w:t>PFS</w:t>
      </w:r>
      <w:r w:rsidR="005E57DC">
        <w:t>)</w:t>
      </w:r>
      <w:r w:rsidRPr="00146F09">
        <w:t xml:space="preserve"> was 23.7 weeks (approximately 5.5 months). Overall survival data were not mature. No quality of life data were collected in the study.</w:t>
      </w:r>
    </w:p>
    <w:p w:rsidR="00146F09" w:rsidRPr="00146F09" w:rsidRDefault="00146F09" w:rsidP="00146F09">
      <w:r w:rsidRPr="00146F09">
        <w:t>The efficacy results observed compare favourably with those obtained with other agents registered for the treatment of advanced melanoma. For example, in the pivotal study that led to the approval of ipilimumab,</w:t>
      </w:r>
      <w:bookmarkStart w:id="122" w:name="_Ref459027282"/>
      <w:r w:rsidRPr="0003098E">
        <w:rPr>
          <w:vertAlign w:val="superscript"/>
        </w:rPr>
        <w:footnoteReference w:id="24"/>
      </w:r>
      <w:bookmarkEnd w:id="122"/>
      <w:r w:rsidRPr="00146F09">
        <w:t xml:space="preserve"> the observed response rate was 10.9% (95%</w:t>
      </w:r>
      <w:r w:rsidR="00F236AD" w:rsidRPr="00F236AD">
        <w:t xml:space="preserve"> </w:t>
      </w:r>
      <w:r w:rsidR="00F236AD">
        <w:t>confidence interval</w:t>
      </w:r>
      <w:r w:rsidR="00F236AD" w:rsidRPr="00146F09">
        <w:t xml:space="preserve"> </w:t>
      </w:r>
      <w:r w:rsidR="00F236AD">
        <w:t>(</w:t>
      </w:r>
      <w:r w:rsidRPr="00146F09">
        <w:t>CI</w:t>
      </w:r>
      <w:r w:rsidR="00F236AD">
        <w:t>)</w:t>
      </w:r>
      <w:r w:rsidRPr="00146F09">
        <w:t>: 6.3 to 17.4) and median PFS was only 2.86 months (95%CI: 2.76 to 3.02).</w:t>
      </w:r>
    </w:p>
    <w:p w:rsidR="00146F09" w:rsidRPr="00146F09" w:rsidRDefault="00146F09" w:rsidP="00146F09">
      <w:r w:rsidRPr="00146F09">
        <w:t xml:space="preserve">Doses greater than 2 mg/kg </w:t>
      </w:r>
      <w:r w:rsidR="0003098E">
        <w:t>Q3W</w:t>
      </w:r>
      <w:r w:rsidRPr="00146F09">
        <w:t xml:space="preserve"> were not associated with improved efficacy.</w:t>
      </w:r>
    </w:p>
    <w:p w:rsidR="00146F09" w:rsidRPr="00146F09" w:rsidRDefault="00146F09" w:rsidP="00146F09">
      <w:r w:rsidRPr="00146F09">
        <w:t>The data are limited in that pembrolizumab has not been compared with a registered agent in a randomised controlled trial. Its place in the therapy of advanced melanoma is therefore uncertain. However the data clearly indicate that the drug has clinically significant activity in this disease.</w:t>
      </w:r>
    </w:p>
    <w:p w:rsidR="00146F09" w:rsidRPr="00146F09" w:rsidRDefault="00146F09" w:rsidP="00146F09">
      <w:r w:rsidRPr="00146F09">
        <w:lastRenderedPageBreak/>
        <w:t>Efficacy is clearly superior in subjects with PD-L1 positive disease. Responses are achieved in only a small percentage of subjects with PD-L1 negative disease and data on the durability of such responses are limited.</w:t>
      </w:r>
    </w:p>
    <w:p w:rsidR="008E7846" w:rsidRPr="002E238E" w:rsidRDefault="008E7846" w:rsidP="008E7846">
      <w:pPr>
        <w:pStyle w:val="Heading3"/>
      </w:pPr>
      <w:bookmarkStart w:id="123" w:name="_Toc163441378"/>
      <w:bookmarkStart w:id="124" w:name="_Toc196046495"/>
      <w:bookmarkStart w:id="125" w:name="_Toc247691522"/>
      <w:bookmarkStart w:id="126" w:name="_Toc314842505"/>
      <w:bookmarkStart w:id="127" w:name="_Toc464545018"/>
      <w:bookmarkEnd w:id="110"/>
      <w:bookmarkEnd w:id="111"/>
      <w:bookmarkEnd w:id="112"/>
      <w:bookmarkEnd w:id="113"/>
      <w:r w:rsidRPr="002E238E">
        <w:t>Safety</w:t>
      </w:r>
      <w:bookmarkEnd w:id="123"/>
      <w:bookmarkEnd w:id="124"/>
      <w:bookmarkEnd w:id="125"/>
      <w:bookmarkEnd w:id="126"/>
      <w:bookmarkEnd w:id="127"/>
    </w:p>
    <w:p w:rsidR="00605AD4" w:rsidRDefault="00605AD4" w:rsidP="00605AD4">
      <w:pPr>
        <w:pStyle w:val="Heading4"/>
      </w:pPr>
      <w:bookmarkStart w:id="128" w:name="_Toc247691524"/>
      <w:bookmarkStart w:id="129" w:name="_Toc314842508"/>
      <w:bookmarkStart w:id="130" w:name="_Toc196046504"/>
      <w:bookmarkStart w:id="131" w:name="_Toc163441390"/>
      <w:r w:rsidRPr="00605AD4">
        <w:t>Studies providing safety data</w:t>
      </w:r>
    </w:p>
    <w:p w:rsidR="00146F09" w:rsidRPr="00146F09" w:rsidRDefault="00146F09" w:rsidP="00146F09">
      <w:r w:rsidRPr="00146F09">
        <w:t>The main safety data included in the submission were those generated in study P001.</w:t>
      </w:r>
    </w:p>
    <w:p w:rsidR="00146F09" w:rsidRPr="00146F09" w:rsidRDefault="00146F09" w:rsidP="00146F09">
      <w:r w:rsidRPr="00146F09">
        <w:t>Cohorts A, A1 and A2 enrolled small numbers of patients with various malignancies. The safety data from these cohorts</w:t>
      </w:r>
      <w:r w:rsidR="0003098E">
        <w:t xml:space="preserve"> has been reviewed briefly (see Attachment 2).</w:t>
      </w:r>
    </w:p>
    <w:p w:rsidR="00146F09" w:rsidRPr="00146F09" w:rsidRDefault="00146F09" w:rsidP="00146F09">
      <w:r w:rsidRPr="00146F09">
        <w:t>Cohorts B1, B2 and D enrolled subjects with advanced melanoma (n = 411). These subjects are considered to be the main population of interest and will be the focus of</w:t>
      </w:r>
      <w:r w:rsidR="0003098E">
        <w:t xml:space="preserve"> the following review of safety.</w:t>
      </w:r>
    </w:p>
    <w:p w:rsidR="00146F09" w:rsidRPr="00146F09" w:rsidRDefault="00146F09" w:rsidP="00146F09">
      <w:r w:rsidRPr="00146F09">
        <w:t>Cohort C enrolled a population of subjects with NSCLC (n = 38). Data from these subjects will be presented separately.</w:t>
      </w:r>
    </w:p>
    <w:p w:rsidR="00146F09" w:rsidRPr="00146F09" w:rsidRDefault="00146F09" w:rsidP="00146F09">
      <w:r w:rsidRPr="00146F09">
        <w:t>The submission also included limited data on serious adverse events (SAEs) from other ongoing studies.</w:t>
      </w:r>
    </w:p>
    <w:p w:rsidR="00605AD4" w:rsidRDefault="00605AD4" w:rsidP="00605AD4">
      <w:pPr>
        <w:pStyle w:val="Heading4"/>
      </w:pPr>
      <w:r w:rsidRPr="00605AD4">
        <w:t>Patient exposure</w:t>
      </w:r>
    </w:p>
    <w:p w:rsidR="00146F09" w:rsidRPr="00146F09" w:rsidRDefault="00146F09" w:rsidP="00146F09">
      <w:r w:rsidRPr="00146F09">
        <w:t xml:space="preserve">Exposure to pembrolizumab in the pooled melanoma cohorts is summarised in Table </w:t>
      </w:r>
      <w:r w:rsidR="004B4A67">
        <w:t>7</w:t>
      </w:r>
      <w:r w:rsidRPr="00146F09">
        <w:t>. For all dosage regimens combined, the mean number of days on therapy was 238.9 (34 weeks). The median number of administrations was 10.0. Of the 411 subjects, 212 had received at least 6 months treatment and 115 had received at least 12 months treatment.</w:t>
      </w:r>
    </w:p>
    <w:p w:rsidR="00146F09" w:rsidRPr="00146F09" w:rsidRDefault="0034465F" w:rsidP="00146F09">
      <w:pPr>
        <w:pStyle w:val="Tabletitle0"/>
      </w:pPr>
      <w:proofErr w:type="gramStart"/>
      <w:r>
        <w:t>Table 7</w:t>
      </w:r>
      <w:r w:rsidR="00146F09" w:rsidRPr="00146F09">
        <w:t>.</w:t>
      </w:r>
      <w:proofErr w:type="gramEnd"/>
      <w:r w:rsidR="00146F09" w:rsidRPr="00146F09">
        <w:t xml:space="preserve"> Poole</w:t>
      </w:r>
      <w:r>
        <w:t>d melanoma cohorts (B1+B2+D); s</w:t>
      </w:r>
      <w:r w:rsidR="00146F09" w:rsidRPr="00146F09">
        <w:t>ummary of drug exposure</w:t>
      </w:r>
    </w:p>
    <w:p w:rsidR="00146F09" w:rsidRPr="00146F09" w:rsidRDefault="00146F09" w:rsidP="00146F09">
      <w:r>
        <w:rPr>
          <w:noProof/>
          <w:lang w:eastAsia="en-AU"/>
        </w:rPr>
        <w:drawing>
          <wp:inline distT="0" distB="0" distL="0" distR="0" wp14:anchorId="5304ABA8" wp14:editId="753A2B1D">
            <wp:extent cx="5400040" cy="1305587"/>
            <wp:effectExtent l="0" t="0" r="0" b="8890"/>
            <wp:docPr id="38" name="Picture 38" descr="Table 7. Pooled melanoma cohorts (B1+B2+D); summary of dru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305587"/>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146F09" w:rsidRPr="00146F09" w:rsidRDefault="00146F09" w:rsidP="00146F09">
      <w:pPr>
        <w:pStyle w:val="Heading5"/>
      </w:pPr>
      <w:bookmarkStart w:id="132" w:name="_Toc272414681"/>
      <w:bookmarkStart w:id="133" w:name="_Toc290846319"/>
      <w:bookmarkStart w:id="134" w:name="_Toc278695600"/>
      <w:r w:rsidRPr="00146F09">
        <w:t>Liver toxicity</w:t>
      </w:r>
      <w:bookmarkEnd w:id="132"/>
      <w:bookmarkEnd w:id="133"/>
      <w:bookmarkEnd w:id="134"/>
    </w:p>
    <w:p w:rsidR="00146F09" w:rsidRPr="00146F09" w:rsidRDefault="00146F09" w:rsidP="00146F09">
      <w:r>
        <w:t>T</w:t>
      </w:r>
      <w:r w:rsidRPr="00146F09">
        <w:t>here were no cases suggestive of a potential for pembrolizumab to cause severe drug-induced liver injury.</w:t>
      </w:r>
    </w:p>
    <w:p w:rsidR="00146F09" w:rsidRPr="00146F09" w:rsidRDefault="00146F09" w:rsidP="00146F09">
      <w:pPr>
        <w:pStyle w:val="Heading5"/>
      </w:pPr>
      <w:bookmarkStart w:id="135" w:name="_Toc272414682"/>
      <w:bookmarkStart w:id="136" w:name="_Toc290846320"/>
      <w:bookmarkStart w:id="137" w:name="_Toc278695601"/>
      <w:r w:rsidRPr="00146F09">
        <w:t>Haematological toxicity</w:t>
      </w:r>
      <w:bookmarkEnd w:id="135"/>
      <w:bookmarkEnd w:id="136"/>
      <w:bookmarkEnd w:id="137"/>
    </w:p>
    <w:p w:rsidR="00146F09" w:rsidRPr="00146F09" w:rsidRDefault="00146F09" w:rsidP="00146F09">
      <w:r w:rsidRPr="00146F09">
        <w:t xml:space="preserve">One case of </w:t>
      </w:r>
      <w:proofErr w:type="spellStart"/>
      <w:r w:rsidRPr="00146F09">
        <w:t>pancytopaenia</w:t>
      </w:r>
      <w:proofErr w:type="spellEnd"/>
      <w:r w:rsidRPr="00146F09">
        <w:t xml:space="preserve"> (grade 3) was reported in study P001. It resolved after treatment with steroids.</w:t>
      </w:r>
    </w:p>
    <w:p w:rsidR="00146F09" w:rsidRPr="00146F09" w:rsidRDefault="00146F09" w:rsidP="00146F09">
      <w:pPr>
        <w:pStyle w:val="Heading5"/>
      </w:pPr>
      <w:bookmarkStart w:id="138" w:name="_Toc272414683"/>
      <w:bookmarkStart w:id="139" w:name="_Toc290846321"/>
      <w:bookmarkStart w:id="140" w:name="_Toc278695602"/>
      <w:r w:rsidRPr="00146F09">
        <w:t>Serious skin reactions</w:t>
      </w:r>
      <w:bookmarkEnd w:id="138"/>
      <w:bookmarkEnd w:id="139"/>
      <w:bookmarkEnd w:id="140"/>
    </w:p>
    <w:p w:rsidR="00146F09" w:rsidRPr="00146F09" w:rsidRDefault="00146F09" w:rsidP="00146F09">
      <w:r w:rsidRPr="00146F09">
        <w:t>No cases of Stevens-Johnson syndrome (SJS) or toxic epidermal necrolysis (TEN) were reported in study P001. However one case of SJS was reported in another ongoing study (Study 002). The investigator considered the case to be related to pembrolizumab.</w:t>
      </w:r>
    </w:p>
    <w:p w:rsidR="00146F09" w:rsidRPr="00146F09" w:rsidRDefault="00146F09" w:rsidP="00146F09">
      <w:pPr>
        <w:pStyle w:val="Heading5"/>
      </w:pPr>
      <w:bookmarkStart w:id="141" w:name="_Toc272414684"/>
      <w:bookmarkStart w:id="142" w:name="_Toc290846322"/>
      <w:bookmarkStart w:id="143" w:name="_Toc278695603"/>
      <w:r w:rsidRPr="00146F09">
        <w:lastRenderedPageBreak/>
        <w:t>Cardiovascular safety</w:t>
      </w:r>
      <w:bookmarkEnd w:id="141"/>
      <w:bookmarkEnd w:id="142"/>
      <w:bookmarkEnd w:id="143"/>
    </w:p>
    <w:p w:rsidR="00146F09" w:rsidRPr="00146F09" w:rsidRDefault="00146F09" w:rsidP="00146F09">
      <w:r w:rsidRPr="00146F09">
        <w:t xml:space="preserve">Cardiovascular adverse events were not a prominent feature in the pooled melanoma cohorts. As of the October </w:t>
      </w:r>
      <w:r w:rsidR="00C22866">
        <w:t>cut off</w:t>
      </w:r>
      <w:r w:rsidRPr="00146F09">
        <w:t xml:space="preserve">, 39 out of 411 subjects (9.5%) had experience at least one </w:t>
      </w:r>
      <w:r w:rsidR="00F236AD" w:rsidRPr="00146F09">
        <w:t xml:space="preserve">cardiac </w:t>
      </w:r>
      <w:r w:rsidR="00F236AD">
        <w:t>adverse event</w:t>
      </w:r>
      <w:r w:rsidR="00F236AD" w:rsidRPr="00146F09">
        <w:t xml:space="preserve"> </w:t>
      </w:r>
      <w:r w:rsidR="00F236AD">
        <w:t>(</w:t>
      </w:r>
      <w:r w:rsidRPr="00146F09">
        <w:t>AE</w:t>
      </w:r>
      <w:r w:rsidR="00F236AD">
        <w:t>)</w:t>
      </w:r>
      <w:r w:rsidRPr="00146F09">
        <w:t>, and 67 out of 411 subjects (16.3%) had experienced at least one vascular AE. The AEs reported were provided.</w:t>
      </w:r>
    </w:p>
    <w:p w:rsidR="00146F09" w:rsidRPr="00146F09" w:rsidRDefault="00146F09" w:rsidP="00146F09">
      <w:r w:rsidRPr="00146F09">
        <w:t>The incidence of the more significant cardiovascular AEs was low:</w:t>
      </w:r>
    </w:p>
    <w:p w:rsidR="00146F09" w:rsidRPr="00146F09" w:rsidRDefault="00146F09" w:rsidP="00146F09">
      <w:pPr>
        <w:pStyle w:val="ListBullet"/>
      </w:pPr>
      <w:r w:rsidRPr="00146F09">
        <w:t xml:space="preserve">Grade </w:t>
      </w:r>
      <w:r w:rsidR="0085409C">
        <w:t>3 to 5</w:t>
      </w:r>
      <w:r w:rsidRPr="00146F09">
        <w:t xml:space="preserve"> AEs 2.4% (cardiac) and 2.4% (vascular)</w:t>
      </w:r>
    </w:p>
    <w:p w:rsidR="00146F09" w:rsidRPr="00146F09" w:rsidRDefault="00146F09" w:rsidP="00146F09">
      <w:pPr>
        <w:pStyle w:val="ListBullet"/>
      </w:pPr>
      <w:r w:rsidRPr="00146F09">
        <w:t>Serious AEs 2.9% (cardiac) and 2.2% (vascular)</w:t>
      </w:r>
    </w:p>
    <w:p w:rsidR="00146F09" w:rsidRPr="00146F09" w:rsidRDefault="00146F09" w:rsidP="00146F09">
      <w:pPr>
        <w:pStyle w:val="ListBullet"/>
      </w:pPr>
      <w:r w:rsidRPr="00146F09">
        <w:t>Discontinuations due to AEs 0.2% (cardiac) and 0% (vascular).</w:t>
      </w:r>
    </w:p>
    <w:p w:rsidR="00146F09" w:rsidRPr="00146F09" w:rsidRDefault="00146F09" w:rsidP="00146F09">
      <w:pPr>
        <w:pStyle w:val="Heading5"/>
      </w:pPr>
      <w:bookmarkStart w:id="144" w:name="_Toc241374323"/>
      <w:bookmarkStart w:id="145" w:name="_Toc272414685"/>
      <w:bookmarkStart w:id="146" w:name="_Toc290846323"/>
      <w:bookmarkStart w:id="147" w:name="_Toc278695604"/>
      <w:r w:rsidRPr="00146F09">
        <w:t>Unwanted immunological events</w:t>
      </w:r>
      <w:bookmarkEnd w:id="144"/>
      <w:bookmarkEnd w:id="145"/>
      <w:bookmarkEnd w:id="146"/>
      <w:bookmarkEnd w:id="147"/>
    </w:p>
    <w:p w:rsidR="00146F09" w:rsidRPr="00146F09" w:rsidRDefault="001958CB" w:rsidP="00146F09">
      <w:r>
        <w:t xml:space="preserve">Autoimmune </w:t>
      </w:r>
      <w:r w:rsidR="00146F09" w:rsidRPr="00146F09">
        <w:t>type events were a notable feature of pembrolizumab.</w:t>
      </w:r>
    </w:p>
    <w:p w:rsidR="00146F09" w:rsidRPr="00146F09" w:rsidRDefault="00146F09" w:rsidP="00146F09">
      <w:pPr>
        <w:pStyle w:val="Heading6"/>
      </w:pPr>
      <w:r w:rsidRPr="00146F09">
        <w:t>Immunogenicity</w:t>
      </w:r>
    </w:p>
    <w:p w:rsidR="00146F09" w:rsidRPr="00146F09" w:rsidRDefault="00146F09" w:rsidP="00146F09">
      <w:r w:rsidRPr="00146F09">
        <w:t>The submission included a report on immunogenicity testing conducted during study P001 (Report No 03VXM4). Subject</w:t>
      </w:r>
      <w:r w:rsidR="001958CB">
        <w:t xml:space="preserve">s enrolled in the trial had pre and post </w:t>
      </w:r>
      <w:r w:rsidRPr="00146F09">
        <w:t>baseline serum samples collected for measurement of anti-drug antibodies (ADA). A total of 449 subjects had a baseline and at least one post-baseline sample available. The presence of circulating pembrolizumab can interfere in the analytical detection of ADA. For 129 out of the 449 patients (29%), pembrolizumab concentrations were sufficiently low in the last post-dose sample to confirm a negative immunogenicity status.</w:t>
      </w:r>
    </w:p>
    <w:p w:rsidR="00146F09" w:rsidRPr="00146F09" w:rsidRDefault="00146F09" w:rsidP="00146F09">
      <w:r w:rsidRPr="00146F09">
        <w:t>Two subjects tested positive for ADA (after both screening and confirmatory assays). One of these subjects was found to have a positive test on the baseline sample. Therefore only one subject was classified as having a treatment emergent positive test. This subject had negative testing at baseline and Day 22, a positive test at Day 83, and inconclusive testing on Days 169 and 254. Therefore th</w:t>
      </w:r>
      <w:r w:rsidR="001958CB">
        <w:t xml:space="preserve">e overall positivity rate was 1 out of </w:t>
      </w:r>
      <w:r w:rsidRPr="00146F09">
        <w:t>(129</w:t>
      </w:r>
      <w:r w:rsidR="001958CB">
        <w:t xml:space="preserve"> </w:t>
      </w:r>
      <w:r w:rsidRPr="00146F09">
        <w:t>+</w:t>
      </w:r>
      <w:r w:rsidR="001958CB">
        <w:t xml:space="preserve"> </w:t>
      </w:r>
      <w:r w:rsidRPr="00146F09">
        <w:t>1)</w:t>
      </w:r>
      <w:r w:rsidR="001958CB">
        <w:t xml:space="preserve"> </w:t>
      </w:r>
      <w:r w:rsidRPr="00146F09">
        <w:t>=</w:t>
      </w:r>
      <w:r w:rsidR="001958CB">
        <w:t xml:space="preserve"> </w:t>
      </w:r>
      <w:r w:rsidRPr="00146F09">
        <w:t>0.77%.</w:t>
      </w:r>
    </w:p>
    <w:p w:rsidR="00146F09" w:rsidRPr="00146F09" w:rsidRDefault="00146F09" w:rsidP="00146F09">
      <w:r w:rsidRPr="00146F09">
        <w:t>The PK of pembrolizumab in the two patients who had positive tests was similar to the PK of other subjects. The patient who developed a treatment emergent test achieved stable disease as a best response and had n</w:t>
      </w:r>
      <w:r w:rsidR="00687EA0">
        <w:t>o evidence of hypersensitivity.</w:t>
      </w:r>
    </w:p>
    <w:p w:rsidR="00687EA0" w:rsidRPr="00687EA0" w:rsidRDefault="00687EA0" w:rsidP="00687EA0">
      <w:pPr>
        <w:pStyle w:val="Heading4"/>
      </w:pPr>
      <w:r w:rsidRPr="00687EA0">
        <w:t>S</w:t>
      </w:r>
      <w:bookmarkStart w:id="148" w:name="_Ref278023846"/>
      <w:bookmarkStart w:id="149" w:name="_Toc278695608"/>
      <w:r w:rsidRPr="00687EA0">
        <w:t>afety data from other ongoing studies</w:t>
      </w:r>
      <w:bookmarkEnd w:id="148"/>
      <w:bookmarkEnd w:id="149"/>
    </w:p>
    <w:p w:rsidR="00687EA0" w:rsidRPr="00687EA0" w:rsidRDefault="00687EA0" w:rsidP="00687EA0">
      <w:r w:rsidRPr="00687EA0">
        <w:t xml:space="preserve">The submission included tabulations of ‘notable’ SAEs that had occurred in other ongoing cohorts of P001 (Cohorts B3 and F) and other ongoing studies (P002, P006, P010 and P012). Many were consistent with an immune aetiology (pneumonitis, colitis/diarrhoea, hyperthyroidism, </w:t>
      </w:r>
      <w:r w:rsidR="001958CB" w:rsidRPr="00687EA0">
        <w:t>thrombocytopenia</w:t>
      </w:r>
      <w:r w:rsidRPr="00687EA0">
        <w:t xml:space="preserve"> etcetera). There was one additional fatal AE.</w:t>
      </w:r>
    </w:p>
    <w:p w:rsidR="00687EA0" w:rsidRPr="00687EA0" w:rsidRDefault="00687EA0" w:rsidP="00687EA0">
      <w:pPr>
        <w:pStyle w:val="Heading4"/>
      </w:pPr>
      <w:bookmarkStart w:id="150" w:name="_Toc278695609"/>
      <w:r w:rsidRPr="00687EA0">
        <w:t>La</w:t>
      </w:r>
      <w:r w:rsidR="001958CB">
        <w:t xml:space="preserve">te </w:t>
      </w:r>
      <w:r w:rsidRPr="00687EA0">
        <w:t>breaking safety information</w:t>
      </w:r>
      <w:bookmarkEnd w:id="150"/>
    </w:p>
    <w:p w:rsidR="00687EA0" w:rsidRDefault="00687EA0" w:rsidP="00687EA0">
      <w:r w:rsidRPr="00687EA0">
        <w:t xml:space="preserve">In October 2014 the sponsor distributed a ‘Dear Physician’ letter to doctors prescribing pembrolizumab in clinical trials or under the Special Access Scheme. The letter concerned pneumonitis/interstitial lung disease (ILD), and the fact that fatal cases had now been reported. A sponsor review of reported ILD events apparently indicated an incidence of 2.8% overall, 1.3% for grade </w:t>
      </w:r>
      <w:r w:rsidR="0085409C">
        <w:t>3 to 5</w:t>
      </w:r>
      <w:r w:rsidRPr="00687EA0">
        <w:t xml:space="preserve"> events and 0.15% for fatal events. A copy of the review was not provided. The letter emphas</w:t>
      </w:r>
      <w:r w:rsidR="00987E81">
        <w:t>ise</w:t>
      </w:r>
      <w:r w:rsidRPr="00687EA0">
        <w:t>d the importance or early treatment with steroids.</w:t>
      </w:r>
    </w:p>
    <w:p w:rsidR="00687EA0" w:rsidRPr="00687EA0" w:rsidRDefault="00687EA0" w:rsidP="00687EA0">
      <w:r>
        <w:t>For further detail of evaluation of safety please see Attachment 2.</w:t>
      </w:r>
    </w:p>
    <w:p w:rsidR="00605AD4" w:rsidRPr="00605AD4" w:rsidRDefault="00605AD4" w:rsidP="00605AD4">
      <w:pPr>
        <w:pStyle w:val="Heading4"/>
      </w:pPr>
      <w:r w:rsidRPr="00605AD4">
        <w:t>Evaluator’s conclusions on safety</w:t>
      </w:r>
    </w:p>
    <w:p w:rsidR="00687EA0" w:rsidRPr="00687EA0" w:rsidRDefault="00687EA0" w:rsidP="00687EA0">
      <w:r w:rsidRPr="00687EA0">
        <w:t xml:space="preserve">All subjects enrolled in P001 received pembrolizumab. The absence of any control arm makes interpretation of the safety data difficult, in that many of the reported AEs may </w:t>
      </w:r>
      <w:r w:rsidRPr="00687EA0">
        <w:lastRenderedPageBreak/>
        <w:t>have been due to the disease under study rather than the drug. Patients with advanced melanoma would be expected to experience a variety of AEs as a result of their disease.</w:t>
      </w:r>
    </w:p>
    <w:p w:rsidR="00687EA0" w:rsidRPr="00687EA0" w:rsidRDefault="00687EA0" w:rsidP="00687EA0">
      <w:r w:rsidRPr="00687EA0">
        <w:t xml:space="preserve">Given the mechanism of action of pembrolizumab, autoimmune type toxicity might be expected. Such effects are a feature of ipilimumab, a drug with a similar mode of action to that of pembrolizumab. A variety of such effects were observed in study P001 (and the other ongoing trials). The overall incidence of events that met the criteria for </w:t>
      </w:r>
      <w:r w:rsidR="001958CB">
        <w:t>adverse event of special interest</w:t>
      </w:r>
      <w:r w:rsidR="001958CB" w:rsidRPr="00687EA0">
        <w:t xml:space="preserve"> </w:t>
      </w:r>
      <w:r w:rsidR="001958CB">
        <w:t>(</w:t>
      </w:r>
      <w:r w:rsidRPr="00687EA0">
        <w:t>AEOSI</w:t>
      </w:r>
      <w:r w:rsidR="001958CB">
        <w:t>)</w:t>
      </w:r>
      <w:r w:rsidRPr="00687EA0">
        <w:t xml:space="preserve"> was 12.4%. About half of these events were rated as serious AEs or grade </w:t>
      </w:r>
      <w:r w:rsidR="0085409C">
        <w:t>3 to 5</w:t>
      </w:r>
      <w:r w:rsidRPr="00687EA0">
        <w:t xml:space="preserve"> in severity. The sponsor’s recent safety warning indicates that fatal events of pneumonitis/ILD have occurred. Other events observed included colitis, thyroid disorders, autoimmune hepatitis, </w:t>
      </w:r>
      <w:proofErr w:type="spellStart"/>
      <w:r w:rsidRPr="00687EA0">
        <w:t>hypophysitis</w:t>
      </w:r>
      <w:proofErr w:type="spellEnd"/>
      <w:r w:rsidRPr="00687EA0">
        <w:t xml:space="preserve"> and uveitis.</w:t>
      </w:r>
    </w:p>
    <w:p w:rsidR="00687EA0" w:rsidRPr="00687EA0" w:rsidRDefault="00687EA0" w:rsidP="00687EA0">
      <w:r w:rsidRPr="00687EA0">
        <w:t xml:space="preserve">Common AEs in melanoma subjects included fatigue, arthralgia, gastrointestinal AEs and skin disorders. However, most of these events were grade </w:t>
      </w:r>
      <w:r w:rsidR="0085409C">
        <w:t>1 to 2</w:t>
      </w:r>
      <w:r w:rsidRPr="00687EA0">
        <w:t xml:space="preserve"> in severity and not considered serious.</w:t>
      </w:r>
    </w:p>
    <w:p w:rsidR="00687EA0" w:rsidRPr="00687EA0" w:rsidRDefault="00687EA0" w:rsidP="00687EA0">
      <w:r w:rsidRPr="00687EA0">
        <w:t xml:space="preserve">The overall incidence of serious AEs was fairly high at approximately 34.8%. However, SAEs that were assessed as drug related occurred in only 8.8% of subjects. Similarly, grade </w:t>
      </w:r>
      <w:r w:rsidR="0085409C">
        <w:t>3 to 5</w:t>
      </w:r>
      <w:r w:rsidRPr="00687EA0">
        <w:t xml:space="preserve"> events occurred in 39.7% of subjects, but drug related grade </w:t>
      </w:r>
      <w:r w:rsidR="0085409C">
        <w:t>3 to 5</w:t>
      </w:r>
      <w:r w:rsidRPr="00687EA0">
        <w:t xml:space="preserve"> events occurred in only 12.7%. Apart from fatal cases of pneumonitis reported recently by the sponsor, there was no clear evidence that pembrolizumab caused fatal AEs.</w:t>
      </w:r>
    </w:p>
    <w:p w:rsidR="00687EA0" w:rsidRPr="00687EA0" w:rsidRDefault="00687EA0" w:rsidP="00687EA0">
      <w:r w:rsidRPr="00687EA0">
        <w:t>Approximately 9% of subjects had to discontinue pembrolizumab due to AEs. According to the investigators, only 3.9% of subjects discontinued due to AEs that were related to pembrolizumab. This suggests that pembrolizumab toxicity is manageable with the dose delays used in P001.</w:t>
      </w:r>
    </w:p>
    <w:p w:rsidR="00687EA0" w:rsidRPr="00687EA0" w:rsidRDefault="00687EA0" w:rsidP="00687EA0">
      <w:r w:rsidRPr="00687EA0">
        <w:t xml:space="preserve">In general, toxicity did not appear to be related to dose, over the 2 to 10 mg/kg range when the drug was given at 3 weekly intervals. The incidence of AEs appeared to be increased in the subgroup of patients who received 10 mg/kg </w:t>
      </w:r>
      <w:r w:rsidR="001958CB">
        <w:t>Q2W</w:t>
      </w:r>
      <w:r w:rsidRPr="00687EA0">
        <w:t xml:space="preserve">. However, this may have been due to a longer period of follow-up in this group. If this is so, the incidence of AEs in the 2 mg/kg </w:t>
      </w:r>
      <w:r w:rsidR="0003098E">
        <w:t>Q3W</w:t>
      </w:r>
      <w:r w:rsidRPr="00687EA0">
        <w:t xml:space="preserve"> would be expected to increase with further follow-up and the data in the study report might underestimate the long-term toxicity of the proposed 2 mg/kg </w:t>
      </w:r>
      <w:r w:rsidR="0003098E">
        <w:t>Q3W</w:t>
      </w:r>
      <w:r w:rsidRPr="00687EA0">
        <w:t xml:space="preserve"> regimen.</w:t>
      </w:r>
    </w:p>
    <w:p w:rsidR="00605AD4" w:rsidRPr="00605AD4" w:rsidRDefault="00687EA0" w:rsidP="00605AD4">
      <w:r w:rsidRPr="00687EA0">
        <w:t>Pembrolizumab is intended f</w:t>
      </w:r>
      <w:r w:rsidR="001958CB">
        <w:t xml:space="preserve">or subjects with a serious life </w:t>
      </w:r>
      <w:r w:rsidRPr="00687EA0">
        <w:t>threatening disease and a limited life expectancy. The safety profile of pembrolizumab described above should not preclude its use in such a population. The drug is therefore considered to have acceptable safety given the intended patient population.</w:t>
      </w:r>
    </w:p>
    <w:p w:rsidR="00605AD4" w:rsidRPr="00605AD4" w:rsidRDefault="00605AD4" w:rsidP="00605AD4">
      <w:pPr>
        <w:pStyle w:val="Heading3"/>
        <w:rPr>
          <w:rFonts w:eastAsia="Cambria"/>
        </w:rPr>
      </w:pPr>
      <w:bookmarkStart w:id="151" w:name="_Toc464545019"/>
      <w:r w:rsidRPr="00605AD4">
        <w:rPr>
          <w:rFonts w:eastAsia="Cambria"/>
        </w:rPr>
        <w:t xml:space="preserve">First </w:t>
      </w:r>
      <w:r w:rsidR="00735A18" w:rsidRPr="00605AD4">
        <w:rPr>
          <w:rFonts w:eastAsia="Cambria"/>
        </w:rPr>
        <w:t>round benefit-risk assessment</w:t>
      </w:r>
      <w:bookmarkEnd w:id="151"/>
    </w:p>
    <w:p w:rsidR="00605AD4" w:rsidRDefault="00605AD4" w:rsidP="00605AD4">
      <w:pPr>
        <w:pStyle w:val="Heading4"/>
      </w:pPr>
      <w:r w:rsidRPr="00605AD4">
        <w:t>First round assessment of benefits</w:t>
      </w:r>
    </w:p>
    <w:p w:rsidR="00687EA0" w:rsidRPr="00687EA0" w:rsidRDefault="00687EA0" w:rsidP="00687EA0">
      <w:r w:rsidRPr="00687EA0">
        <w:t>The benefits of pembrolizumab in the proposed usage are:</w:t>
      </w:r>
    </w:p>
    <w:p w:rsidR="00687EA0" w:rsidRPr="00687EA0" w:rsidRDefault="00687EA0" w:rsidP="00687EA0">
      <w:pPr>
        <w:pStyle w:val="ListBullet"/>
      </w:pPr>
      <w:r w:rsidRPr="00687EA0">
        <w:t>Significant reduction in tumour size in a substantial proportion of patients (approximately 33%). The early data suggest that such effects are durable.</w:t>
      </w:r>
    </w:p>
    <w:p w:rsidR="00605AD4" w:rsidRDefault="00605AD4" w:rsidP="00605AD4">
      <w:pPr>
        <w:pStyle w:val="Heading4"/>
      </w:pPr>
      <w:r w:rsidRPr="00605AD4">
        <w:t>First round assessment of risks</w:t>
      </w:r>
    </w:p>
    <w:p w:rsidR="00687EA0" w:rsidRPr="00687EA0" w:rsidRDefault="00687EA0" w:rsidP="00687EA0">
      <w:r w:rsidRPr="00687EA0">
        <w:t>The risks of pembrolizumab in the proposed usage are:</w:t>
      </w:r>
    </w:p>
    <w:p w:rsidR="00687EA0" w:rsidRPr="00687EA0" w:rsidRDefault="00687EA0" w:rsidP="00687EA0">
      <w:pPr>
        <w:pStyle w:val="ListBullet"/>
      </w:pPr>
      <w:r w:rsidRPr="00687EA0">
        <w:t>Autoimmune phenomena such as</w:t>
      </w:r>
      <w:r w:rsidR="001958CB">
        <w:t xml:space="preserve"> pneumonitis, colitis, etcetera</w:t>
      </w:r>
    </w:p>
    <w:p w:rsidR="00687EA0" w:rsidRPr="00687EA0" w:rsidRDefault="00687EA0" w:rsidP="00687EA0">
      <w:pPr>
        <w:pStyle w:val="ListBullet"/>
      </w:pPr>
      <w:r w:rsidRPr="00687EA0">
        <w:t>A variety of other adverse effects including fatigue, arthralgia, gastrointestinal and skin events. However, most of these are mild or moderate in severity (that is, grade 1 or 2).</w:t>
      </w:r>
    </w:p>
    <w:p w:rsidR="00605AD4" w:rsidRPr="00605AD4" w:rsidRDefault="00605AD4" w:rsidP="00605AD4">
      <w:pPr>
        <w:pStyle w:val="Heading4"/>
      </w:pPr>
      <w:r w:rsidRPr="00605AD4">
        <w:lastRenderedPageBreak/>
        <w:t>First round assessment of benefit-risk balance</w:t>
      </w:r>
    </w:p>
    <w:p w:rsidR="00687EA0" w:rsidRPr="00687EA0" w:rsidRDefault="00687EA0" w:rsidP="00687EA0">
      <w:r w:rsidRPr="00687EA0">
        <w:t>Overall, it is considered that the benefits of pembrolizumab outweigh its risks. However, the data submitted with this application are early. Specific limitations of the data include the following:</w:t>
      </w:r>
    </w:p>
    <w:p w:rsidR="00687EA0" w:rsidRPr="00687EA0" w:rsidRDefault="00687EA0" w:rsidP="00687EA0">
      <w:pPr>
        <w:pStyle w:val="ListBullet"/>
      </w:pPr>
      <w:r w:rsidRPr="00687EA0">
        <w:t xml:space="preserve">Data on the duration of </w:t>
      </w:r>
      <w:r w:rsidR="000B5D4F">
        <w:t>tumour responses was not mature</w:t>
      </w:r>
    </w:p>
    <w:p w:rsidR="00687EA0" w:rsidRPr="00687EA0" w:rsidRDefault="00687EA0" w:rsidP="00687EA0">
      <w:pPr>
        <w:pStyle w:val="ListBullet"/>
      </w:pPr>
      <w:r w:rsidRPr="00687EA0">
        <w:t>There were no randomised comparisons of pembrolizumab against other agents registered for use in the proposed patient population, for example:</w:t>
      </w:r>
    </w:p>
    <w:p w:rsidR="00687EA0" w:rsidRPr="00687EA0" w:rsidRDefault="000B5D4F" w:rsidP="00687EA0">
      <w:pPr>
        <w:pStyle w:val="ListBullet2"/>
      </w:pPr>
      <w:r>
        <w:t>i</w:t>
      </w:r>
      <w:r w:rsidR="00687EA0" w:rsidRPr="00687EA0">
        <w:t>pilimumab which is registered for patient</w:t>
      </w:r>
      <w:r>
        <w:t>s who have failed prior therapy</w:t>
      </w:r>
    </w:p>
    <w:p w:rsidR="00687EA0" w:rsidRPr="00687EA0" w:rsidRDefault="00687EA0" w:rsidP="00687EA0">
      <w:pPr>
        <w:pStyle w:val="ListBullet2"/>
      </w:pPr>
      <w:r w:rsidRPr="00687EA0">
        <w:t>BRAF inhibitors (for example vemurafenib and dabrafenib), which are registered for the treatment of BRAF mutation positive disease.</w:t>
      </w:r>
    </w:p>
    <w:p w:rsidR="00687EA0" w:rsidRPr="00687EA0" w:rsidRDefault="00687EA0" w:rsidP="00687EA0">
      <w:r w:rsidRPr="00687EA0">
        <w:t xml:space="preserve">Both of these therapies have been demonstrated to produce benefits in terms of overall survival or </w:t>
      </w:r>
      <w:r w:rsidR="000B5D4F">
        <w:t xml:space="preserve">progression </w:t>
      </w:r>
      <w:r w:rsidRPr="00687EA0">
        <w:t>free survival. In the absence of any randomised controlled trials, it cannot be concluded that pembrolizumab produces similar benefits.</w:t>
      </w:r>
    </w:p>
    <w:p w:rsidR="00687EA0" w:rsidRPr="00687EA0" w:rsidRDefault="00687EA0" w:rsidP="00687EA0">
      <w:r w:rsidRPr="00687EA0">
        <w:t>Regulatory approval of new anticancer agents usually requires a favourable risk-benefit ratio demonstrated in a Phase III study using time-to-event endpoints such as overall survival or progression free survival. However, in situations where the indication is a life threatening condition and there are no other established therapies available, approvals have been granted based on non-comparative Phase II studies which used response rate as an endpoint.</w:t>
      </w:r>
    </w:p>
    <w:p w:rsidR="00687EA0" w:rsidRPr="00687EA0" w:rsidRDefault="00687EA0" w:rsidP="00687EA0">
      <w:r w:rsidRPr="00687EA0">
        <w:t>The indication proposed by the sponsor is:</w:t>
      </w:r>
    </w:p>
    <w:p w:rsidR="00687EA0" w:rsidRPr="00687EA0" w:rsidRDefault="00687EA0" w:rsidP="00687EA0">
      <w:pPr>
        <w:ind w:left="720"/>
        <w:rPr>
          <w:i/>
        </w:rPr>
      </w:pPr>
      <w:r w:rsidRPr="00687EA0">
        <w:rPr>
          <w:i/>
        </w:rPr>
        <w:t>‘</w:t>
      </w:r>
      <w:proofErr w:type="gramStart"/>
      <w:r w:rsidRPr="00687EA0">
        <w:rPr>
          <w:i/>
        </w:rPr>
        <w:t>for</w:t>
      </w:r>
      <w:proofErr w:type="gramEnd"/>
      <w:r w:rsidRPr="00687EA0">
        <w:rPr>
          <w:i/>
        </w:rPr>
        <w:t xml:space="preserve"> the treatment of unresectable or metastatic melanoma in adults’.</w:t>
      </w:r>
    </w:p>
    <w:p w:rsidR="00687EA0" w:rsidRPr="00687EA0" w:rsidRDefault="00687EA0" w:rsidP="00687EA0">
      <w:r w:rsidRPr="00687EA0">
        <w:t>This is a broad indication, which would include patients eligible for treatment with ipilimumab or BRAF inhibitors, even though comparable efficacy has not been demonstrated. The sponsor is currently conducting randomised controlled trials in melanoma comparing pembrolizumab with chemotherapy (Study P002) and ipilimumab (Study P006).</w:t>
      </w:r>
    </w:p>
    <w:p w:rsidR="00687EA0" w:rsidRPr="00687EA0" w:rsidRDefault="00687EA0" w:rsidP="00687EA0">
      <w:r w:rsidRPr="00687EA0">
        <w:t>It is therefore recommended that pembrolizumab be approved for registration, but with a more restricted indication than the one proposed by the sponsor. The indication currently approved in the USA would be appropriate:</w:t>
      </w:r>
    </w:p>
    <w:p w:rsidR="00687EA0" w:rsidRPr="00687EA0" w:rsidRDefault="00687EA0" w:rsidP="00687EA0">
      <w:pPr>
        <w:ind w:left="720"/>
        <w:rPr>
          <w:i/>
        </w:rPr>
      </w:pPr>
      <w:r w:rsidRPr="00687EA0">
        <w:rPr>
          <w:i/>
        </w:rPr>
        <w:t>‘</w:t>
      </w:r>
      <w:proofErr w:type="gramStart"/>
      <w:r w:rsidRPr="00687EA0">
        <w:rPr>
          <w:i/>
        </w:rPr>
        <w:t>for</w:t>
      </w:r>
      <w:proofErr w:type="gramEnd"/>
      <w:r w:rsidRPr="00687EA0">
        <w:rPr>
          <w:i/>
        </w:rPr>
        <w:t xml:space="preserve"> the treatment of patients with unresectable or metastatic melanoma and disease progression following ipilimumab and, if BRAF V600 mutation positive, a BRAF inhibitor.’</w:t>
      </w:r>
    </w:p>
    <w:p w:rsidR="00605AD4" w:rsidRPr="00605AD4" w:rsidRDefault="00687EA0" w:rsidP="00605AD4">
      <w:r w:rsidRPr="00687EA0">
        <w:t>The risk-benefit balance is less favourable in subjects with PD-L1 negative disease, due to limited efficacy. It may be appropriate to further limit the</w:t>
      </w:r>
      <w:r w:rsidR="000B5D4F">
        <w:t xml:space="preserve"> indication to subjects with PD</w:t>
      </w:r>
      <w:r w:rsidR="000B5D4F">
        <w:noBreakHyphen/>
      </w:r>
      <w:r w:rsidRPr="00687EA0">
        <w:t>L1 positive tumours. However this would require the availability of appropriate testing. The sponsor should be asked to comment on this issue.</w:t>
      </w:r>
    </w:p>
    <w:p w:rsidR="00605AD4" w:rsidRPr="00605AD4" w:rsidRDefault="00605AD4" w:rsidP="00605AD4">
      <w:pPr>
        <w:pStyle w:val="Heading3"/>
        <w:rPr>
          <w:rFonts w:eastAsia="Cambria"/>
        </w:rPr>
      </w:pPr>
      <w:bookmarkStart w:id="152" w:name="_Toc464545020"/>
      <w:r w:rsidRPr="00605AD4">
        <w:rPr>
          <w:rFonts w:eastAsia="Cambria"/>
        </w:rPr>
        <w:t xml:space="preserve">First </w:t>
      </w:r>
      <w:r w:rsidR="00735A18" w:rsidRPr="00605AD4">
        <w:rPr>
          <w:rFonts w:eastAsia="Cambria"/>
        </w:rPr>
        <w:t>round recommendation regarding authorisation</w:t>
      </w:r>
      <w:bookmarkEnd w:id="152"/>
    </w:p>
    <w:p w:rsidR="00605AD4" w:rsidRPr="00605AD4" w:rsidRDefault="00687EA0" w:rsidP="00605AD4">
      <w:r w:rsidRPr="00BD7D56">
        <w:t>It is recommended that the application be approved, but with the restri</w:t>
      </w:r>
      <w:r>
        <w:t>cted indication outlined above.</w:t>
      </w:r>
    </w:p>
    <w:p w:rsidR="00605AD4" w:rsidRPr="00605AD4" w:rsidRDefault="00605AD4" w:rsidP="00605AD4">
      <w:pPr>
        <w:pStyle w:val="Heading3"/>
        <w:rPr>
          <w:rFonts w:eastAsia="Cambria"/>
        </w:rPr>
      </w:pPr>
      <w:bookmarkStart w:id="153" w:name="_Toc464545021"/>
      <w:r w:rsidRPr="00605AD4">
        <w:rPr>
          <w:rFonts w:eastAsia="Cambria"/>
        </w:rPr>
        <w:lastRenderedPageBreak/>
        <w:t xml:space="preserve">Clinical </w:t>
      </w:r>
      <w:r w:rsidR="00735A18">
        <w:rPr>
          <w:rFonts w:eastAsia="Cambria"/>
        </w:rPr>
        <w:t>q</w:t>
      </w:r>
      <w:r w:rsidRPr="00605AD4">
        <w:rPr>
          <w:rFonts w:eastAsia="Cambria"/>
        </w:rPr>
        <w:t>uestions</w:t>
      </w:r>
      <w:bookmarkEnd w:id="153"/>
    </w:p>
    <w:p w:rsidR="00687EA0" w:rsidRPr="00687EA0" w:rsidRDefault="00687EA0" w:rsidP="00687EA0">
      <w:pPr>
        <w:pStyle w:val="Heading4"/>
      </w:pPr>
      <w:bookmarkStart w:id="154" w:name="_Toc457307001"/>
      <w:r w:rsidRPr="00687EA0">
        <w:t>Efficacy</w:t>
      </w:r>
      <w:bookmarkEnd w:id="154"/>
    </w:p>
    <w:p w:rsidR="00687EA0" w:rsidRPr="00687EA0" w:rsidRDefault="00687EA0" w:rsidP="00687EA0">
      <w:pPr>
        <w:pStyle w:val="Heading5"/>
      </w:pPr>
      <w:r w:rsidRPr="00687EA0">
        <w:t>Question 1</w:t>
      </w:r>
    </w:p>
    <w:p w:rsidR="00687EA0" w:rsidRPr="00687EA0" w:rsidRDefault="00687EA0" w:rsidP="00687EA0">
      <w:r w:rsidRPr="00687EA0">
        <w:t xml:space="preserve">The sponsor </w:t>
      </w:r>
      <w:r w:rsidR="006D5F27">
        <w:t>was</w:t>
      </w:r>
      <w:r w:rsidRPr="00687EA0">
        <w:t xml:space="preserve"> asked to provide a short summary of any updated/new efficacy data relating to the following:</w:t>
      </w:r>
    </w:p>
    <w:p w:rsidR="00687EA0" w:rsidRPr="00687EA0" w:rsidRDefault="00687EA0" w:rsidP="00687EA0">
      <w:pPr>
        <w:pStyle w:val="ListBullet"/>
      </w:pPr>
      <w:r w:rsidRPr="00687EA0">
        <w:t xml:space="preserve">Duration of response in the melanoma cohorts (B1, B2 and D) of Study P001. Any updated data on duration of response in subjects with PD-L1 negative </w:t>
      </w:r>
      <w:r w:rsidR="000B5D4F">
        <w:t>disease should also be provided</w:t>
      </w:r>
    </w:p>
    <w:p w:rsidR="00687EA0" w:rsidRPr="00687EA0" w:rsidRDefault="00687EA0" w:rsidP="00687EA0">
      <w:pPr>
        <w:pStyle w:val="ListBullet"/>
      </w:pPr>
      <w:r w:rsidRPr="00687EA0">
        <w:t>Overall survival in the melanoma cohor</w:t>
      </w:r>
      <w:r w:rsidR="000B5D4F">
        <w:t>ts (B1, B2 and D) of Study P001</w:t>
      </w:r>
    </w:p>
    <w:p w:rsidR="00687EA0" w:rsidRPr="00687EA0" w:rsidRDefault="00687EA0" w:rsidP="00735A18">
      <w:pPr>
        <w:pStyle w:val="ListBullet"/>
      </w:pPr>
      <w:r w:rsidRPr="00687EA0">
        <w:t>The relationship between biomarkers (other than PD-L1) and efficacy outcomes in mel</w:t>
      </w:r>
      <w:r w:rsidR="000B5D4F">
        <w:t>anoma in study P001</w:t>
      </w:r>
    </w:p>
    <w:p w:rsidR="00687EA0" w:rsidRPr="00687EA0" w:rsidRDefault="00687EA0" w:rsidP="00687EA0">
      <w:pPr>
        <w:pStyle w:val="ListBullet"/>
      </w:pPr>
      <w:r w:rsidRPr="00687EA0">
        <w:t>Resul</w:t>
      </w:r>
      <w:r w:rsidR="000B5D4F">
        <w:t>ts from Cohort B3 in Study P001</w:t>
      </w:r>
    </w:p>
    <w:p w:rsidR="00687EA0" w:rsidRPr="00687EA0" w:rsidRDefault="00687EA0" w:rsidP="00687EA0">
      <w:pPr>
        <w:pStyle w:val="ListBullet"/>
      </w:pPr>
      <w:r w:rsidRPr="00687EA0">
        <w:t>Results from the Phase III melanoma studies P002 and P006.</w:t>
      </w:r>
    </w:p>
    <w:p w:rsidR="00687EA0" w:rsidRPr="00687EA0" w:rsidRDefault="00687EA0" w:rsidP="00687EA0">
      <w:pPr>
        <w:pStyle w:val="Heading5"/>
      </w:pPr>
      <w:r w:rsidRPr="00687EA0">
        <w:t>Question 2</w:t>
      </w:r>
    </w:p>
    <w:p w:rsidR="00687EA0" w:rsidRPr="00687EA0" w:rsidRDefault="00687EA0" w:rsidP="00687EA0">
      <w:r w:rsidRPr="00687EA0">
        <w:t xml:space="preserve">The sponsor </w:t>
      </w:r>
      <w:r w:rsidR="006D5F27">
        <w:t>was</w:t>
      </w:r>
      <w:r w:rsidRPr="00687EA0">
        <w:t xml:space="preserve"> asked to comment on the availability in Australia of IHC testing for tumour expression of PD-L1. Are there any plans for the assay used in Study P001 to be made commercially available?</w:t>
      </w:r>
    </w:p>
    <w:p w:rsidR="00605AD4" w:rsidRPr="00605AD4" w:rsidRDefault="00605AD4" w:rsidP="00605AD4">
      <w:pPr>
        <w:pStyle w:val="Heading3"/>
        <w:rPr>
          <w:rFonts w:eastAsia="Cambria"/>
        </w:rPr>
      </w:pPr>
      <w:bookmarkStart w:id="155" w:name="_Toc464545022"/>
      <w:r w:rsidRPr="00605AD4">
        <w:rPr>
          <w:rFonts w:eastAsia="Cambria"/>
        </w:rPr>
        <w:t xml:space="preserve">Second </w:t>
      </w:r>
      <w:r w:rsidR="000C32A1" w:rsidRPr="00605AD4">
        <w:rPr>
          <w:rFonts w:eastAsia="Cambria"/>
        </w:rPr>
        <w:t xml:space="preserve">round evaluation </w:t>
      </w:r>
      <w:r w:rsidRPr="00605AD4">
        <w:rPr>
          <w:rFonts w:eastAsia="Cambria"/>
        </w:rPr>
        <w:t>of clinical data submitted in response to questions</w:t>
      </w:r>
      <w:bookmarkEnd w:id="155"/>
    </w:p>
    <w:p w:rsidR="00605AD4" w:rsidRPr="00605AD4" w:rsidRDefault="00687EA0" w:rsidP="00546154">
      <w:r>
        <w:t>The evaluation of the response to the clinical questions has been addressed in the Delegate</w:t>
      </w:r>
      <w:r w:rsidR="006D5F27">
        <w:t>’</w:t>
      </w:r>
      <w:r>
        <w:t>s review of the submission.</w:t>
      </w:r>
    </w:p>
    <w:p w:rsidR="008E7846" w:rsidRPr="00E41208" w:rsidRDefault="008E7846" w:rsidP="00546154">
      <w:pPr>
        <w:pStyle w:val="Heading2"/>
      </w:pPr>
      <w:bookmarkStart w:id="156" w:name="_Toc464545023"/>
      <w:r w:rsidRPr="00E41208">
        <w:t xml:space="preserve">V. Pharmacovigilance </w:t>
      </w:r>
      <w:r>
        <w:t>f</w:t>
      </w:r>
      <w:r w:rsidRPr="00E41208">
        <w:t>indings</w:t>
      </w:r>
      <w:bookmarkEnd w:id="128"/>
      <w:bookmarkEnd w:id="129"/>
      <w:bookmarkEnd w:id="156"/>
    </w:p>
    <w:p w:rsidR="008E7846" w:rsidRDefault="00386150" w:rsidP="008E7846">
      <w:pPr>
        <w:pStyle w:val="Heading3"/>
        <w:rPr>
          <w:lang w:eastAsia="en-AU"/>
        </w:rPr>
      </w:pPr>
      <w:bookmarkStart w:id="157" w:name="_Toc247691526"/>
      <w:bookmarkStart w:id="158" w:name="_Toc314842509"/>
      <w:bookmarkStart w:id="159" w:name="_Toc464545024"/>
      <w:r>
        <w:rPr>
          <w:lang w:eastAsia="en-AU"/>
        </w:rPr>
        <w:t>Risk m</w:t>
      </w:r>
      <w:r w:rsidR="008E7846">
        <w:rPr>
          <w:lang w:eastAsia="en-AU"/>
        </w:rPr>
        <w:t xml:space="preserve">anagement </w:t>
      </w:r>
      <w:r>
        <w:rPr>
          <w:lang w:eastAsia="en-AU"/>
        </w:rPr>
        <w:t>p</w:t>
      </w:r>
      <w:r w:rsidR="008E7846">
        <w:rPr>
          <w:lang w:eastAsia="en-AU"/>
        </w:rPr>
        <w:t>lan</w:t>
      </w:r>
      <w:bookmarkEnd w:id="157"/>
      <w:bookmarkEnd w:id="158"/>
      <w:bookmarkEnd w:id="159"/>
    </w:p>
    <w:p w:rsidR="008E7846" w:rsidRDefault="008E7846" w:rsidP="008E7846">
      <w:pPr>
        <w:rPr>
          <w:lang w:eastAsia="en-AU"/>
        </w:rPr>
      </w:pPr>
      <w:r>
        <w:rPr>
          <w:lang w:eastAsia="en-AU"/>
        </w:rPr>
        <w:t>The sponsor submitted a Risk Management Plan</w:t>
      </w:r>
      <w:r w:rsidR="006F25B8">
        <w:rPr>
          <w:lang w:eastAsia="en-AU"/>
        </w:rPr>
        <w:t xml:space="preserve"> </w:t>
      </w:r>
      <w:r w:rsidR="006D5F27">
        <w:t xml:space="preserve">EU-RMP, version 1.0, dated 20 May </w:t>
      </w:r>
      <w:r w:rsidR="00D453FA" w:rsidRPr="00D453FA">
        <w:t xml:space="preserve">2014 and </w:t>
      </w:r>
      <w:r w:rsidR="000B5D4F">
        <w:t>Australian Specific Annex (</w:t>
      </w:r>
      <w:r w:rsidR="00D453FA" w:rsidRPr="00D453FA">
        <w:t>ASA</w:t>
      </w:r>
      <w:r w:rsidR="000B5D4F">
        <w:t>)</w:t>
      </w:r>
      <w:r w:rsidR="00D453FA" w:rsidRPr="00D453FA">
        <w:t>, dated Aug</w:t>
      </w:r>
      <w:r w:rsidR="006D5F27">
        <w:t xml:space="preserve">ust </w:t>
      </w:r>
      <w:r w:rsidR="00D453FA" w:rsidRPr="00D453FA">
        <w:t xml:space="preserve">2014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92BB2">
        <w:rPr>
          <w:lang w:eastAsia="en-AU"/>
        </w:rPr>
        <w:t>8.</w:t>
      </w:r>
    </w:p>
    <w:p w:rsidR="0034465F" w:rsidRDefault="0034465F" w:rsidP="0034465F">
      <w:pPr>
        <w:pStyle w:val="TableTitle"/>
        <w:rPr>
          <w:lang w:eastAsia="en-AU"/>
        </w:rPr>
      </w:pPr>
      <w:proofErr w:type="gramStart"/>
      <w:r>
        <w:rPr>
          <w:lang w:eastAsia="en-AU"/>
        </w:rPr>
        <w:t>Table 8.</w:t>
      </w:r>
      <w:proofErr w:type="gramEnd"/>
      <w:r>
        <w:rPr>
          <w:lang w:eastAsia="en-AU"/>
        </w:rPr>
        <w:t xml:space="preserve"> Summary of ongoing safety concerns</w:t>
      </w:r>
    </w:p>
    <w:tbl>
      <w:tblPr>
        <w:tblStyle w:val="TableTGAblue"/>
        <w:tblW w:w="0" w:type="auto"/>
        <w:tblLook w:val="04A0" w:firstRow="1" w:lastRow="0" w:firstColumn="1" w:lastColumn="0" w:noHBand="0" w:noVBand="1"/>
      </w:tblPr>
      <w:tblGrid>
        <w:gridCol w:w="2660"/>
        <w:gridCol w:w="6060"/>
      </w:tblGrid>
      <w:tr w:rsidR="00D453FA" w:rsidRPr="005A3306" w:rsidTr="00A32F89">
        <w:trPr>
          <w:cnfStyle w:val="100000000000" w:firstRow="1" w:lastRow="0" w:firstColumn="0" w:lastColumn="0" w:oddVBand="0" w:evenVBand="0" w:oddHBand="0" w:evenHBand="0" w:firstRowFirstColumn="0" w:firstRowLastColumn="0" w:lastRowFirstColumn="0" w:lastRowLastColumn="0"/>
        </w:trPr>
        <w:tc>
          <w:tcPr>
            <w:tcW w:w="2660" w:type="dxa"/>
          </w:tcPr>
          <w:p w:rsidR="00D453FA" w:rsidRPr="005A3306" w:rsidRDefault="00D453FA" w:rsidP="000C32A1">
            <w:r w:rsidRPr="005A3306">
              <w:t>Ongoing safety concerns</w:t>
            </w:r>
          </w:p>
        </w:tc>
        <w:tc>
          <w:tcPr>
            <w:tcW w:w="6060" w:type="dxa"/>
          </w:tcPr>
          <w:p w:rsidR="00D453FA" w:rsidRPr="005A3306" w:rsidRDefault="00D453FA" w:rsidP="000C32A1"/>
        </w:tc>
      </w:tr>
      <w:tr w:rsidR="00D453FA" w:rsidRPr="005A3306" w:rsidTr="00A32F89">
        <w:tc>
          <w:tcPr>
            <w:tcW w:w="2660" w:type="dxa"/>
          </w:tcPr>
          <w:p w:rsidR="00D453FA" w:rsidRPr="005A3306" w:rsidRDefault="00D453FA" w:rsidP="000C32A1">
            <w:r w:rsidRPr="005A3306">
              <w:t>Important identified risks</w:t>
            </w:r>
          </w:p>
        </w:tc>
        <w:tc>
          <w:tcPr>
            <w:tcW w:w="6060" w:type="dxa"/>
          </w:tcPr>
          <w:p w:rsidR="00D453FA" w:rsidRPr="005A3306" w:rsidRDefault="00D453FA" w:rsidP="000C32A1">
            <w:r w:rsidRPr="005A3306">
              <w:t>Thyroid Disorder (hypothyroidism, hyperthyroidism)</w:t>
            </w:r>
          </w:p>
          <w:p w:rsidR="00D453FA" w:rsidRPr="005A3306" w:rsidRDefault="00D453FA" w:rsidP="000C32A1">
            <w:r w:rsidRPr="005A3306">
              <w:t>Colitis</w:t>
            </w:r>
          </w:p>
          <w:p w:rsidR="00D453FA" w:rsidRPr="005A3306" w:rsidRDefault="00D453FA" w:rsidP="000C32A1">
            <w:r w:rsidRPr="005A3306">
              <w:t>Hepatitis</w:t>
            </w:r>
          </w:p>
          <w:p w:rsidR="00D453FA" w:rsidRPr="005A3306" w:rsidRDefault="00D453FA" w:rsidP="000C32A1">
            <w:r w:rsidRPr="005A3306">
              <w:lastRenderedPageBreak/>
              <w:t>Pneumonitis</w:t>
            </w:r>
          </w:p>
        </w:tc>
      </w:tr>
      <w:tr w:rsidR="00D453FA" w:rsidRPr="005A3306" w:rsidTr="00A32F89">
        <w:tc>
          <w:tcPr>
            <w:tcW w:w="2660" w:type="dxa"/>
          </w:tcPr>
          <w:p w:rsidR="00D453FA" w:rsidRPr="005A3306" w:rsidRDefault="00D453FA" w:rsidP="000C32A1">
            <w:r w:rsidRPr="005A3306">
              <w:lastRenderedPageBreak/>
              <w:t>Important potential risks</w:t>
            </w:r>
          </w:p>
        </w:tc>
        <w:tc>
          <w:tcPr>
            <w:tcW w:w="6060" w:type="dxa"/>
          </w:tcPr>
          <w:p w:rsidR="00D453FA" w:rsidRPr="005A3306" w:rsidRDefault="00D453FA" w:rsidP="000C32A1">
            <w:r w:rsidRPr="005A3306">
              <w:t xml:space="preserve">Other endocrine disorders </w:t>
            </w:r>
            <w:r w:rsidR="00A32F89" w:rsidRPr="005A3306">
              <w:t xml:space="preserve">(hypopituitarism, </w:t>
            </w:r>
            <w:proofErr w:type="spellStart"/>
            <w:r w:rsidR="00A32F89" w:rsidRPr="005A3306">
              <w:t>hypophysistis</w:t>
            </w:r>
            <w:proofErr w:type="spellEnd"/>
            <w:r w:rsidR="00A32F89" w:rsidRPr="005A3306">
              <w:t>)</w:t>
            </w:r>
          </w:p>
          <w:p w:rsidR="00D453FA" w:rsidRPr="005A3306" w:rsidRDefault="00D453FA" w:rsidP="000C32A1">
            <w:r w:rsidRPr="005A3306">
              <w:t>Uveitis</w:t>
            </w:r>
          </w:p>
          <w:p w:rsidR="00D453FA" w:rsidRPr="005A3306" w:rsidRDefault="00D453FA" w:rsidP="000C32A1">
            <w:r w:rsidRPr="005A3306">
              <w:t>Myositis</w:t>
            </w:r>
          </w:p>
          <w:p w:rsidR="00D453FA" w:rsidRPr="005A3306" w:rsidRDefault="00D453FA" w:rsidP="000C32A1">
            <w:r w:rsidRPr="005A3306">
              <w:t>Nephritis</w:t>
            </w:r>
          </w:p>
        </w:tc>
      </w:tr>
      <w:tr w:rsidR="00D453FA" w:rsidRPr="005A3306" w:rsidTr="00A32F89">
        <w:tc>
          <w:tcPr>
            <w:tcW w:w="2660" w:type="dxa"/>
          </w:tcPr>
          <w:p w:rsidR="00D453FA" w:rsidRPr="005A3306" w:rsidRDefault="00D453FA" w:rsidP="000C32A1">
            <w:r w:rsidRPr="005A3306">
              <w:t>Missing Information</w:t>
            </w:r>
          </w:p>
        </w:tc>
        <w:tc>
          <w:tcPr>
            <w:tcW w:w="6060" w:type="dxa"/>
          </w:tcPr>
          <w:p w:rsidR="00D453FA" w:rsidRPr="005A3306" w:rsidRDefault="00D453FA" w:rsidP="000C32A1">
            <w:r w:rsidRPr="005A3306">
              <w:t>Safety in patients with moderate of severe hepatic impairment</w:t>
            </w:r>
          </w:p>
          <w:p w:rsidR="00D453FA" w:rsidRPr="005A3306" w:rsidRDefault="00D453FA" w:rsidP="000C32A1">
            <w:r w:rsidRPr="005A3306">
              <w:t>Safety in patients with mode</w:t>
            </w:r>
            <w:r w:rsidR="0069054F">
              <w:t>rate or severe renal impairment</w:t>
            </w:r>
          </w:p>
          <w:p w:rsidR="00D453FA" w:rsidRPr="005A3306" w:rsidRDefault="00D453FA" w:rsidP="000C32A1">
            <w:r w:rsidRPr="005A3306">
              <w:t>Safety in patients with autoimmune disease</w:t>
            </w:r>
          </w:p>
          <w:p w:rsidR="00D453FA" w:rsidRPr="005A3306" w:rsidRDefault="00D453FA" w:rsidP="000C32A1">
            <w:r w:rsidRPr="005A3306">
              <w:t xml:space="preserve">Safety in </w:t>
            </w:r>
            <w:r w:rsidR="00A32F89" w:rsidRPr="005A3306">
              <w:t>patients</w:t>
            </w:r>
            <w:r w:rsidRPr="005A3306">
              <w:t xml:space="preserve"> with HIV or </w:t>
            </w:r>
            <w:r w:rsidR="00A32F89" w:rsidRPr="005A3306">
              <w:t>Hepatitis</w:t>
            </w:r>
            <w:r w:rsidRPr="005A3306">
              <w:t xml:space="preserve"> B or Hepatitis C</w:t>
            </w:r>
          </w:p>
          <w:p w:rsidR="00D453FA" w:rsidRPr="005A3306" w:rsidRDefault="00A32F89" w:rsidP="000C32A1">
            <w:r w:rsidRPr="005A3306">
              <w:t>Paediatric patients</w:t>
            </w:r>
          </w:p>
          <w:p w:rsidR="00A32F89" w:rsidRPr="005A3306" w:rsidRDefault="00A32F89" w:rsidP="000C32A1">
            <w:r w:rsidRPr="005A3306">
              <w:t>Reproductive and lactation data</w:t>
            </w:r>
          </w:p>
          <w:p w:rsidR="00A32F89" w:rsidRPr="005A3306" w:rsidRDefault="00977C84" w:rsidP="000C32A1">
            <w:r>
              <w:t>Long term safety</w:t>
            </w:r>
          </w:p>
          <w:p w:rsidR="00A32F89" w:rsidRPr="005A3306" w:rsidRDefault="00A32F89" w:rsidP="000C32A1">
            <w:r w:rsidRPr="005A3306">
              <w:t>Safety in various ethnic groups</w:t>
            </w:r>
          </w:p>
          <w:p w:rsidR="00A32F89" w:rsidRPr="005A3306" w:rsidRDefault="00A32F89" w:rsidP="000C32A1">
            <w:r w:rsidRPr="005A3306">
              <w:t>Potentia</w:t>
            </w:r>
            <w:r w:rsidR="00977C84">
              <w:t>l pharmacodynamics interaction w</w:t>
            </w:r>
            <w:r w:rsidRPr="005A3306">
              <w:t xml:space="preserve">ith systemic </w:t>
            </w:r>
            <w:r w:rsidR="00977C84" w:rsidRPr="005A3306">
              <w:t>immunosuppressant’s</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A06DB" w:rsidRPr="004A06DB" w:rsidRDefault="004A06DB" w:rsidP="004A06DB">
      <w:r w:rsidRPr="004A06DB">
        <w:t>The sponsor proposes to conduct only routine pharmacovigilance activities for all ongoing safety concerns.</w:t>
      </w:r>
    </w:p>
    <w:p w:rsidR="004A06DB" w:rsidRDefault="004A06DB" w:rsidP="004A06DB">
      <w:r w:rsidRPr="004A06DB">
        <w:t>The following clinical studies enrolling melanoma patients are ongoing at the time of evaluation, a</w:t>
      </w:r>
      <w:r>
        <w:t>nd include Australian patients:</w:t>
      </w:r>
    </w:p>
    <w:p w:rsidR="004A06DB" w:rsidRDefault="004A06DB" w:rsidP="004A06DB">
      <w:pPr>
        <w:pStyle w:val="ListBullet"/>
      </w:pPr>
      <w:r>
        <w:t>Study P001</w:t>
      </w:r>
    </w:p>
    <w:p w:rsidR="004A06DB" w:rsidRDefault="004A06DB" w:rsidP="004A06DB">
      <w:pPr>
        <w:pStyle w:val="ListBullet"/>
      </w:pPr>
      <w:r>
        <w:t>Study P002</w:t>
      </w:r>
    </w:p>
    <w:p w:rsidR="004A06DB" w:rsidRPr="004A06DB" w:rsidRDefault="004A06DB" w:rsidP="004A06DB">
      <w:pPr>
        <w:pStyle w:val="ListBullet"/>
      </w:pPr>
      <w:r>
        <w:t>Study P006</w:t>
      </w:r>
    </w:p>
    <w:p w:rsidR="004A06DB" w:rsidRPr="004A06DB" w:rsidRDefault="004A06DB" w:rsidP="004A06DB">
      <w:r w:rsidRPr="004A06DB">
        <w:t xml:space="preserve">The </w:t>
      </w:r>
      <w:r>
        <w:t>Study P010 is an ongoing clinical study</w:t>
      </w:r>
      <w:r w:rsidRPr="004A06DB">
        <w:t xml:space="preserve"> enrolling non-melanoma patients (small cell lung cancer) as part of the company’s ongoing clinical development program, and include</w:t>
      </w:r>
      <w:r w:rsidR="00095811">
        <w:t>s</w:t>
      </w:r>
      <w:r w:rsidRPr="004A06DB">
        <w:t xml:space="preserve"> Australian patients:</w:t>
      </w:r>
    </w:p>
    <w:p w:rsidR="004A06DB" w:rsidRPr="004A06DB" w:rsidRDefault="004A06DB" w:rsidP="004A06DB">
      <w:r w:rsidRPr="004A06DB">
        <w:t>The following clinical studies are ongoing enrolling patients with different cancer types, as part of the company’s ongoing clinical development program, and do not include Australian patients</w:t>
      </w:r>
      <w:r>
        <w:t>: Study P012, Study P013, Study P016, Study P021 and Study P028.</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20007" w:rsidRDefault="00320007" w:rsidP="00320007">
      <w:bookmarkStart w:id="160" w:name="_Toc247691527"/>
      <w:r w:rsidRPr="00320007">
        <w:t>The spon</w:t>
      </w:r>
      <w:r w:rsidR="00095811">
        <w:t xml:space="preserve">sor concludes that routine risk </w:t>
      </w:r>
      <w:r w:rsidRPr="00320007">
        <w:t>minimisation activities are sufficient to mitigate any safety concerns associated with use of the product.</w:t>
      </w:r>
    </w:p>
    <w:p w:rsidR="00320007" w:rsidRPr="00320007" w:rsidRDefault="00320007" w:rsidP="00320007">
      <w:pPr>
        <w:pStyle w:val="Heading5"/>
      </w:pPr>
      <w:r w:rsidRPr="00320007">
        <w:lastRenderedPageBreak/>
        <w:t>OPR</w:t>
      </w:r>
      <w:r>
        <w:t xml:space="preserve"> reviewer comment:</w:t>
      </w:r>
    </w:p>
    <w:p w:rsidR="00320007" w:rsidRPr="00320007" w:rsidRDefault="00320007" w:rsidP="00320007">
      <w:r w:rsidRPr="00320007">
        <w:t xml:space="preserve">Although </w:t>
      </w:r>
      <w:r w:rsidR="00A92BB2">
        <w:t>Keytruda</w:t>
      </w:r>
      <w:r w:rsidRPr="00320007">
        <w:t xml:space="preserve"> would be the first product on the market targeting the PD-1 pathway, a product targeting the CLTA-4 pathway, which exerts its effect through the same mechanism of action, is registered in Australia. Based on its mechanism of action, it appears that the side effect profile of </w:t>
      </w:r>
      <w:r w:rsidR="00A92BB2">
        <w:t>Keytruda</w:t>
      </w:r>
      <w:r w:rsidRPr="00320007">
        <w:t xml:space="preserve"> is similar to that of Y</w:t>
      </w:r>
      <w:r w:rsidR="00095811" w:rsidRPr="00320007">
        <w:t>ervoy</w:t>
      </w:r>
      <w:r w:rsidRPr="00320007">
        <w:t xml:space="preserve"> and therefore, it would be appropriate that the same risk-minimisation activities are carried out for </w:t>
      </w:r>
      <w:r w:rsidR="00A92BB2">
        <w:t>Keytruda</w:t>
      </w:r>
      <w:r w:rsidRPr="00320007">
        <w:t xml:space="preserve"> that are implemented for </w:t>
      </w:r>
      <w:r w:rsidR="00095811">
        <w:t>Yervoy</w:t>
      </w:r>
      <w:r w:rsidRPr="00320007">
        <w:t>. Moreover, due to the currently limited knowledge about the safety profile of the product, it is considered appropriate that the spo</w:t>
      </w:r>
      <w:r w:rsidR="00095811">
        <w:t xml:space="preserve">nsor implements additional risk </w:t>
      </w:r>
      <w:r w:rsidRPr="00320007">
        <w:t>minimisation activities, to educate prescribers and patients about the safety related product characteristics.</w:t>
      </w:r>
    </w:p>
    <w:p w:rsidR="00320007" w:rsidRPr="00320007" w:rsidRDefault="00320007" w:rsidP="00320007">
      <w:r w:rsidRPr="00320007">
        <w:t>It is recommended that the sponsor conside</w:t>
      </w:r>
      <w:r w:rsidR="00095811">
        <w:t xml:space="preserve">rs implementing additional risk </w:t>
      </w:r>
      <w:r w:rsidRPr="00320007">
        <w:t xml:space="preserve">minimisation activities, including a Healthcare Professional </w:t>
      </w:r>
      <w:r w:rsidR="00095811">
        <w:t>frequently asked questions (</w:t>
      </w:r>
      <w:r w:rsidRPr="00320007">
        <w:t>FAQ</w:t>
      </w:r>
      <w:r w:rsidR="00095811">
        <w:t>)</w:t>
      </w:r>
      <w:r w:rsidRPr="00320007">
        <w:t xml:space="preserve"> Brochure and Patient Information Brochures including Alert Cards. The information to be provided in these documents should have a similar content as documents used as additional risk minimisation activity tools for </w:t>
      </w:r>
      <w:r w:rsidR="00095811">
        <w:t>Yervoy (i</w:t>
      </w:r>
      <w:r w:rsidRPr="00320007">
        <w:t xml:space="preserve">pilimumab) in Australia. Please refer to the EMA website using </w:t>
      </w:r>
      <w:r w:rsidR="00095811">
        <w:t>Yervoy</w:t>
      </w:r>
      <w:r w:rsidRPr="00320007">
        <w:t xml:space="preserve"> as search term, and refer to the following document </w:t>
      </w:r>
      <w:r w:rsidR="00987E81">
        <w:t>‘</w:t>
      </w:r>
      <w:r w:rsidRPr="00320007">
        <w:t>Conditions or restrictions with regard to the safe and effective use of the medicinal product to be implemented by the member states</w:t>
      </w:r>
      <w:r w:rsidR="00987E81">
        <w:t>’</w:t>
      </w:r>
      <w:r w:rsidRPr="00320007">
        <w:t>.</w:t>
      </w:r>
    </w:p>
    <w:p w:rsidR="00320007" w:rsidRPr="00320007" w:rsidRDefault="00320007" w:rsidP="00320007">
      <w:r w:rsidRPr="00320007">
        <w:t xml:space="preserve">Implementation of such additional risk minimisation activities will ensure that physicians are comprehensively informed about possible side effects and their management. Moreover, it will ensure that patients understand the side effects of the drug and how to identify possible complications at an early stage, and are able to communicate these to HCPs involved in their care. These additional activities should remain in place until there is sufficient market experience with </w:t>
      </w:r>
      <w:r w:rsidR="00987E81">
        <w:t>K</w:t>
      </w:r>
      <w:r w:rsidR="00A92BB2">
        <w:t>eytruda</w:t>
      </w:r>
      <w:r w:rsidRPr="00320007">
        <w:t xml:space="preserve"> to justify</w:t>
      </w:r>
      <w:r w:rsidR="00095811">
        <w:t xml:space="preserve"> cessation of these activities.</w:t>
      </w:r>
    </w:p>
    <w:p w:rsidR="006F25B8" w:rsidRDefault="006F25B8" w:rsidP="006F25B8">
      <w:pPr>
        <w:pStyle w:val="Heading4"/>
        <w:rPr>
          <w:lang w:eastAsia="en-AU"/>
        </w:rPr>
      </w:pPr>
      <w:r w:rsidRPr="006F25B8">
        <w:rPr>
          <w:lang w:eastAsia="en-AU"/>
        </w:rPr>
        <w:t>Reconciliation of is</w:t>
      </w:r>
      <w:r w:rsidR="0034465F">
        <w:rPr>
          <w:lang w:eastAsia="en-AU"/>
        </w:rPr>
        <w:t>sues outlined in the RMP report</w:t>
      </w:r>
    </w:p>
    <w:p w:rsidR="006F25B8" w:rsidRDefault="0034465F" w:rsidP="006F25B8">
      <w:pPr>
        <w:rPr>
          <w:lang w:eastAsia="en-AU"/>
        </w:rPr>
      </w:pPr>
      <w:r>
        <w:rPr>
          <w:lang w:eastAsia="en-AU"/>
        </w:rPr>
        <w:t>Table 9</w:t>
      </w:r>
      <w:r w:rsidR="00095811">
        <w:rPr>
          <w:lang w:eastAsia="en-AU"/>
        </w:rPr>
        <w:t xml:space="preserve"> summarises the</w:t>
      </w:r>
      <w:r w:rsidR="006F25B8">
        <w:rPr>
          <w:lang w:eastAsia="en-AU"/>
        </w:rPr>
        <w:t xml:space="preserve"> first round evaluation of the RMP, the sponsor’s responses to issues raised the </w:t>
      </w:r>
      <w:r w:rsidR="00095811">
        <w:rPr>
          <w:lang w:eastAsia="en-AU"/>
        </w:rPr>
        <w:t xml:space="preserve">RMP </w:t>
      </w:r>
      <w:r w:rsidR="0085409C">
        <w:rPr>
          <w:lang w:eastAsia="en-AU"/>
        </w:rPr>
        <w:t>evaluator’s</w:t>
      </w:r>
      <w:r w:rsidR="006F25B8">
        <w:rPr>
          <w:lang w:eastAsia="en-AU"/>
        </w:rPr>
        <w:t xml:space="preserve"> evaluat</w:t>
      </w:r>
      <w:r w:rsidR="00320007">
        <w:rPr>
          <w:lang w:eastAsia="en-AU"/>
        </w:rPr>
        <w:t>ion of the sponsor’s responses.</w:t>
      </w:r>
    </w:p>
    <w:p w:rsidR="0034465F" w:rsidRDefault="0034465F" w:rsidP="0034465F">
      <w:pPr>
        <w:pStyle w:val="TableTitle"/>
        <w:rPr>
          <w:lang w:eastAsia="en-AU"/>
        </w:rPr>
      </w:pPr>
      <w:proofErr w:type="gramStart"/>
      <w:r>
        <w:rPr>
          <w:lang w:eastAsia="en-AU"/>
        </w:rPr>
        <w:t>Table 9.</w:t>
      </w:r>
      <w:proofErr w:type="gramEnd"/>
      <w:r>
        <w:rPr>
          <w:lang w:eastAsia="en-AU"/>
        </w:rPr>
        <w:t xml:space="preserve"> </w:t>
      </w:r>
      <w:r w:rsidRPr="006F25B8">
        <w:rPr>
          <w:lang w:eastAsia="en-AU"/>
        </w:rPr>
        <w:t>Reconciliation of issues outlined in the RMP report</w:t>
      </w:r>
    </w:p>
    <w:tbl>
      <w:tblPr>
        <w:tblStyle w:val="TableTGAblue"/>
        <w:tblW w:w="0" w:type="auto"/>
        <w:tblLook w:val="04A0" w:firstRow="1" w:lastRow="0" w:firstColumn="1" w:lastColumn="0" w:noHBand="0" w:noVBand="1"/>
      </w:tblPr>
      <w:tblGrid>
        <w:gridCol w:w="2906"/>
        <w:gridCol w:w="2907"/>
        <w:gridCol w:w="2907"/>
      </w:tblGrid>
      <w:tr w:rsidR="00B54D4E" w:rsidRPr="008C5B58" w:rsidTr="00B54D4E">
        <w:trPr>
          <w:cnfStyle w:val="100000000000" w:firstRow="1" w:lastRow="0" w:firstColumn="0" w:lastColumn="0" w:oddVBand="0" w:evenVBand="0" w:oddHBand="0" w:evenHBand="0" w:firstRowFirstColumn="0" w:firstRowLastColumn="0" w:lastRowFirstColumn="0" w:lastRowLastColumn="0"/>
        </w:trPr>
        <w:tc>
          <w:tcPr>
            <w:tcW w:w="2906" w:type="dxa"/>
            <w:vAlign w:val="center"/>
          </w:tcPr>
          <w:p w:rsidR="00B54D4E" w:rsidRPr="008C5B58" w:rsidRDefault="00B54D4E" w:rsidP="000C32A1">
            <w:r w:rsidRPr="008C5B58">
              <w:t>Recommendation in RMP evaluation report</w:t>
            </w:r>
          </w:p>
        </w:tc>
        <w:tc>
          <w:tcPr>
            <w:tcW w:w="2907" w:type="dxa"/>
            <w:vAlign w:val="center"/>
          </w:tcPr>
          <w:p w:rsidR="00B54D4E" w:rsidRPr="008C5B58" w:rsidRDefault="00B54D4E" w:rsidP="000C32A1">
            <w:r w:rsidRPr="008C5B58">
              <w:t>Sponsor’s response</w:t>
            </w:r>
          </w:p>
        </w:tc>
        <w:tc>
          <w:tcPr>
            <w:tcW w:w="2907" w:type="dxa"/>
            <w:vAlign w:val="center"/>
          </w:tcPr>
          <w:p w:rsidR="00B54D4E" w:rsidRPr="008C5B58" w:rsidRDefault="00B54D4E" w:rsidP="000C32A1">
            <w:r w:rsidRPr="008C5B58">
              <w:t>OPR evaluator’s comment</w:t>
            </w:r>
          </w:p>
        </w:tc>
      </w:tr>
      <w:tr w:rsidR="00B54D4E" w:rsidRPr="008C5B58" w:rsidTr="00B54D4E">
        <w:tc>
          <w:tcPr>
            <w:tcW w:w="2906" w:type="dxa"/>
          </w:tcPr>
          <w:p w:rsidR="00B54D4E" w:rsidRPr="008C5B58" w:rsidRDefault="00B54D4E" w:rsidP="000C32A1">
            <w:r w:rsidRPr="008C5B58">
              <w:t>It is recommended that the table of ongoing safety concerns be amended as follows: The following identified risks should be added to the table of ongoing safety concerns: A.) Renal adverse events (including. Nephritis, renal failure), B.) Respiratory disorders (including. Pneumonitis), C.) Skin disorders, D.) Gastrointestinal disorders, E.) Abnormal laboratory values.</w:t>
            </w:r>
          </w:p>
          <w:p w:rsidR="00CC57C2" w:rsidRPr="008C5B58" w:rsidRDefault="00CC57C2" w:rsidP="000C32A1">
            <w:r w:rsidRPr="008C5B58">
              <w:lastRenderedPageBreak/>
              <w:t>The following potential risks should be added to the table of ongo</w:t>
            </w:r>
            <w:r w:rsidR="008C5B58">
              <w:t>ing safety concerns: F</w:t>
            </w:r>
            <w:r w:rsidRPr="008C5B58">
              <w:t>.)</w:t>
            </w:r>
            <w:r w:rsidR="00987E81">
              <w:t xml:space="preserve"> </w:t>
            </w:r>
            <w:r w:rsidRPr="008C5B58">
              <w:t xml:space="preserve">Immunogenicity / </w:t>
            </w:r>
            <w:r w:rsidR="008C5B58">
              <w:t>Hypersensitivity, G</w:t>
            </w:r>
            <w:r w:rsidRPr="008C5B58">
              <w:t xml:space="preserve">.) Other </w:t>
            </w:r>
            <w:r w:rsidR="00987E81">
              <w:t>immune related</w:t>
            </w:r>
            <w:r w:rsidRPr="008C5B58">
              <w:t xml:space="preserve"> adverse events;</w:t>
            </w:r>
          </w:p>
          <w:p w:rsidR="00CC57C2" w:rsidRPr="008C5B58" w:rsidRDefault="00CC57C2" w:rsidP="000C32A1">
            <w:r w:rsidRPr="008C5B58">
              <w:t xml:space="preserve">The following missing information should be added to the table of ongoing safety </w:t>
            </w:r>
            <w:r w:rsidR="008C5B58">
              <w:t>concerns: H.</w:t>
            </w:r>
            <w:r w:rsidRPr="008C5B58">
              <w:t>) Safety in pati</w:t>
            </w:r>
            <w:r w:rsidR="008C5B58">
              <w:t>ents with an active infection, I</w:t>
            </w:r>
            <w:r w:rsidRPr="008C5B58">
              <w:t>.) Interaction with contraceptives.</w:t>
            </w:r>
          </w:p>
        </w:tc>
        <w:tc>
          <w:tcPr>
            <w:tcW w:w="2907" w:type="dxa"/>
          </w:tcPr>
          <w:p w:rsidR="00B54D4E" w:rsidRPr="008C5B58" w:rsidRDefault="00B54D4E" w:rsidP="000C32A1">
            <w:r w:rsidRPr="008C5B58">
              <w:lastRenderedPageBreak/>
              <w:t>Please note the information provided below is a short summary of the sponsor’s response.</w:t>
            </w:r>
          </w:p>
          <w:p w:rsidR="00B54D4E" w:rsidRPr="008C5B58" w:rsidRDefault="00B54D4E" w:rsidP="000C32A1">
            <w:r w:rsidRPr="008C5B58">
              <w:t xml:space="preserve">A.) The sponsor describes that </w:t>
            </w:r>
            <w:r w:rsidR="00987E81">
              <w:t>‘</w:t>
            </w:r>
            <w:r w:rsidRPr="008C5B58">
              <w:t>nephritis</w:t>
            </w:r>
            <w:r w:rsidR="00987E81">
              <w:t>’</w:t>
            </w:r>
            <w:r w:rsidRPr="008C5B58">
              <w:t xml:space="preserve"> has been reclassified from an important potential risk to an important identified risk. Furthermore, the sponsor describes that </w:t>
            </w:r>
            <w:r w:rsidR="00987E81">
              <w:t>‘</w:t>
            </w:r>
            <w:r w:rsidRPr="008C5B58">
              <w:t>renal failure</w:t>
            </w:r>
            <w:r w:rsidR="00987E81">
              <w:t>’</w:t>
            </w:r>
            <w:r w:rsidRPr="008C5B58">
              <w:t xml:space="preserve"> was reviewed, but at this time there was no sufficient clinical details to support a causal </w:t>
            </w:r>
            <w:r w:rsidRPr="008C5B58">
              <w:lastRenderedPageBreak/>
              <w:t>relationship with pembrolizumab.</w:t>
            </w:r>
          </w:p>
          <w:p w:rsidR="00B54D4E" w:rsidRPr="008C5B58" w:rsidRDefault="00CC57C2" w:rsidP="000C32A1">
            <w:r w:rsidRPr="008C5B58">
              <w:t>B and D.) T</w:t>
            </w:r>
            <w:r w:rsidR="008C5B58">
              <w:t>he sponsor states in their</w:t>
            </w:r>
            <w:r w:rsidRPr="008C5B58">
              <w:t xml:space="preserve"> response: </w:t>
            </w:r>
            <w:r w:rsidRPr="008C5B58">
              <w:rPr>
                <w:i/>
              </w:rPr>
              <w:t>Some of the general categories of events that were reviewed included respiratory disorders, acute renal failure, and gastrointestinal disorders. At this time, only those specific diagnoses of pneumonitis, nephritis and colitis in the respective general categories were found to have sufficient clinical details to support a possible causal relationship with pembrolizumab and warrant inclusion in the EU RMP.</w:t>
            </w:r>
          </w:p>
          <w:p w:rsidR="00CC57C2" w:rsidRPr="008C5B58" w:rsidRDefault="00CC57C2" w:rsidP="000C32A1">
            <w:r w:rsidRPr="008C5B58">
              <w:t>C.) The sponsor states that reviews of the Merck Adverse Event Reporting and Review System (MARRS) database,</w:t>
            </w:r>
            <w:r w:rsidR="00095811">
              <w:t xml:space="preserve"> as of 31 </w:t>
            </w:r>
            <w:r w:rsidR="00E47660">
              <w:t xml:space="preserve">August </w:t>
            </w:r>
            <w:r w:rsidRPr="008C5B58">
              <w:t xml:space="preserve">2014, led to the addition of the potential risk of </w:t>
            </w:r>
            <w:r w:rsidR="00987E81">
              <w:t>‘</w:t>
            </w:r>
            <w:r w:rsidRPr="008C5B58">
              <w:t>severe skin reactions</w:t>
            </w:r>
            <w:r w:rsidR="00987E81">
              <w:t>’</w:t>
            </w:r>
            <w:r w:rsidRPr="008C5B58">
              <w:t>. No detailed data was provided for assessment.</w:t>
            </w:r>
          </w:p>
          <w:p w:rsidR="00CC57C2" w:rsidRPr="008C5B58" w:rsidRDefault="00CC57C2" w:rsidP="000C32A1">
            <w:r w:rsidRPr="008C5B58">
              <w:t>E.) Abnormal laboratory values</w:t>
            </w:r>
            <w:r w:rsidR="00E47660">
              <w:t xml:space="preserve">. </w:t>
            </w:r>
            <w:r w:rsidRPr="008C5B58">
              <w:t xml:space="preserve">The sponsor states in their response: </w:t>
            </w:r>
            <w:r w:rsidR="00E47660" w:rsidRPr="00E47660">
              <w:rPr>
                <w:i/>
              </w:rPr>
              <w:t>The s</w:t>
            </w:r>
            <w:r w:rsidRPr="00E47660">
              <w:rPr>
                <w:i/>
              </w:rPr>
              <w:t>ponsor’s opinion is that there is no evidence to add ‘Abnormal laboratory values’ to the updated EU R</w:t>
            </w:r>
            <w:r w:rsidR="00E47660">
              <w:rPr>
                <w:i/>
              </w:rPr>
              <w:t>MP as a risk at this time. The s</w:t>
            </w:r>
            <w:r w:rsidRPr="00E47660">
              <w:rPr>
                <w:i/>
              </w:rPr>
              <w:t>ponsor continues to monitor laboratory abnormalities in the clinical trial and post</w:t>
            </w:r>
            <w:r w:rsidR="00E47660">
              <w:rPr>
                <w:i/>
              </w:rPr>
              <w:t xml:space="preserve"> </w:t>
            </w:r>
            <w:r w:rsidRPr="00E47660">
              <w:rPr>
                <w:i/>
              </w:rPr>
              <w:t xml:space="preserve">marketing settings </w:t>
            </w:r>
            <w:r w:rsidRPr="00E47660">
              <w:rPr>
                <w:i/>
              </w:rPr>
              <w:lastRenderedPageBreak/>
              <w:t>for pembrolizumab.</w:t>
            </w:r>
          </w:p>
          <w:p w:rsidR="00CC57C2" w:rsidRPr="008C5B58" w:rsidRDefault="008C5B58" w:rsidP="000C32A1">
            <w:r>
              <w:t>F</w:t>
            </w:r>
            <w:r w:rsidR="00CC57C2" w:rsidRPr="008C5B58">
              <w:t xml:space="preserve">) </w:t>
            </w:r>
            <w:r w:rsidR="00E47660" w:rsidRPr="008C5B58">
              <w:t>Immunogenicity</w:t>
            </w:r>
            <w:r w:rsidR="00CC57C2" w:rsidRPr="008C5B58">
              <w:t>/</w:t>
            </w:r>
            <w:r>
              <w:t xml:space="preserve"> </w:t>
            </w:r>
            <w:r w:rsidR="00E47660" w:rsidRPr="008C5B58">
              <w:t>Hypersensitivity</w:t>
            </w:r>
            <w:r w:rsidR="00CC57C2" w:rsidRPr="008C5B58">
              <w:t xml:space="preserve">. </w:t>
            </w:r>
            <w:r w:rsidR="00E47660">
              <w:t>The s</w:t>
            </w:r>
            <w:r w:rsidR="00CC57C2" w:rsidRPr="008C5B58">
              <w:t xml:space="preserve">ponsor is closely monitoring anti-MK-3475 antibodies during the melanoma clinical development and during the development in multiple other indications. No safety risk has been identified. Therefore, ‘immunogenicity’ is not being added to the updated EU RMP as a risk at this time. If it is shown that anti-drug antibodies are associated with efficacy or safety concerns, the sponsor will update product </w:t>
            </w:r>
            <w:r w:rsidR="00E47660" w:rsidRPr="008C5B58">
              <w:t>labelling</w:t>
            </w:r>
            <w:r w:rsidR="00CC57C2" w:rsidRPr="008C5B58">
              <w:t xml:space="preserve"> and the RMP as appropriate.</w:t>
            </w:r>
          </w:p>
          <w:p w:rsidR="00CC57C2" w:rsidRPr="008C5B58" w:rsidRDefault="008C5B58" w:rsidP="000C32A1">
            <w:r>
              <w:t>G</w:t>
            </w:r>
            <w:r w:rsidR="00CC57C2" w:rsidRPr="008C5B58">
              <w:t xml:space="preserve">.) Other </w:t>
            </w:r>
            <w:r w:rsidR="00987E81">
              <w:t>immune related</w:t>
            </w:r>
            <w:r w:rsidR="00CC57C2" w:rsidRPr="008C5B58">
              <w:t xml:space="preserve"> adverse events. The sponsor states in their response: </w:t>
            </w:r>
            <w:r w:rsidR="00CC57C2" w:rsidRPr="00E47660">
              <w:rPr>
                <w:i/>
              </w:rPr>
              <w:t xml:space="preserve">A general category of ‘other </w:t>
            </w:r>
            <w:r w:rsidR="00987E81">
              <w:rPr>
                <w:i/>
              </w:rPr>
              <w:t>immune related</w:t>
            </w:r>
            <w:r w:rsidR="00CC57C2" w:rsidRPr="00E47660">
              <w:rPr>
                <w:i/>
              </w:rPr>
              <w:t xml:space="preserve"> adverse events’ is not being added to the EU RMP as a risk at this time. However, in the updated EU RMP v1.1 the risks will be categor</w:t>
            </w:r>
            <w:r w:rsidR="00987E81">
              <w:rPr>
                <w:i/>
              </w:rPr>
              <w:t>ise</w:t>
            </w:r>
            <w:r w:rsidR="00CC57C2" w:rsidRPr="00E47660">
              <w:rPr>
                <w:i/>
              </w:rPr>
              <w:t xml:space="preserve">d and grouped more clearly as immune-mediated within both the identified and potential risks where applicable. In addition, the sponsor is sensitive to the potential for PD1 inhibitors to cause immune-mediated adverse reactions and therefore, SAEs and AEOSIs across the clinical program that may be immune mediated are routinely reviewed to </w:t>
            </w:r>
            <w:r w:rsidR="00CC57C2" w:rsidRPr="00E47660">
              <w:rPr>
                <w:i/>
              </w:rPr>
              <w:lastRenderedPageBreak/>
              <w:t>determine if there is sufficient evidence to add the event as a risk in the EU RMP</w:t>
            </w:r>
            <w:r w:rsidR="00CC57C2" w:rsidRPr="008C5B58">
              <w:t>.</w:t>
            </w:r>
          </w:p>
          <w:p w:rsidR="00CC57C2" w:rsidRPr="008C5B58" w:rsidRDefault="008C5B58" w:rsidP="000C32A1">
            <w:r>
              <w:t>H</w:t>
            </w:r>
            <w:r w:rsidR="00CC57C2" w:rsidRPr="008C5B58">
              <w:t xml:space="preserve">.) The sponsor disagrees to add this missing information, based on </w:t>
            </w:r>
            <w:r w:rsidR="00CC57C2" w:rsidRPr="00E47660">
              <w:rPr>
                <w:i/>
              </w:rPr>
              <w:t>limited evidence of efficacy and safety of patients treated for infection while on pembrolizumab.</w:t>
            </w:r>
          </w:p>
          <w:p w:rsidR="00CC57C2" w:rsidRPr="008C5B58" w:rsidRDefault="008C5B58" w:rsidP="000C32A1">
            <w:r>
              <w:t>I</w:t>
            </w:r>
            <w:r w:rsidR="00CC57C2" w:rsidRPr="008C5B58">
              <w:t>.) The sponsor has provided a rationale as to why no interaction with the efficacy of contraceptives is expected.</w:t>
            </w:r>
          </w:p>
        </w:tc>
        <w:tc>
          <w:tcPr>
            <w:tcW w:w="2907" w:type="dxa"/>
          </w:tcPr>
          <w:p w:rsidR="00B54D4E" w:rsidRPr="008C5B58" w:rsidRDefault="00CC57C2" w:rsidP="000C32A1">
            <w:r w:rsidRPr="008C5B58">
              <w:lastRenderedPageBreak/>
              <w:t>A.) This is considered acceptable. However, further pharmacovigilance activities to comprehensively characterise the safety profile of pembrolizumab are recommended.</w:t>
            </w:r>
          </w:p>
          <w:p w:rsidR="00CC57C2" w:rsidRPr="008C5B58" w:rsidRDefault="00CC57C2" w:rsidP="000C32A1">
            <w:r w:rsidRPr="008C5B58">
              <w:t xml:space="preserve">B and D.) This is considered acceptable. However, further pharmacovigilance activities to comprehensively characterise the safety profile of </w:t>
            </w:r>
            <w:r w:rsidRPr="008C5B58">
              <w:lastRenderedPageBreak/>
              <w:t>pembrolizumab are</w:t>
            </w:r>
            <w:r w:rsidR="008C5B58">
              <w:t xml:space="preserve"> recommended.</w:t>
            </w:r>
          </w:p>
          <w:p w:rsidR="00CC57C2" w:rsidRPr="008C5B58" w:rsidRDefault="00CC57C2" w:rsidP="000C32A1">
            <w:r w:rsidRPr="008C5B58">
              <w:t>C.) The sponsor should provide justification as to why this adverse event was added as potential risk rather than an identified risk.</w:t>
            </w:r>
          </w:p>
          <w:p w:rsidR="00CC57C2" w:rsidRPr="008C5B58" w:rsidRDefault="00CC57C2" w:rsidP="000C32A1">
            <w:r w:rsidRPr="008C5B58">
              <w:t>E.) Abnormal laboratory values</w:t>
            </w:r>
            <w:r w:rsidR="008C5B58">
              <w:t xml:space="preserve">. </w:t>
            </w:r>
            <w:r w:rsidRPr="008C5B58">
              <w:t>This is considered acceptable. However, further pharmacovigilance activities to comprehensively characterise the safety profile of pembrolizumab are recommended.</w:t>
            </w:r>
          </w:p>
          <w:p w:rsidR="00CC57C2" w:rsidRPr="008C5B58" w:rsidRDefault="008C5B58" w:rsidP="000C32A1">
            <w:r>
              <w:t>F</w:t>
            </w:r>
            <w:r w:rsidR="00CC57C2" w:rsidRPr="008C5B58">
              <w:t xml:space="preserve">.) </w:t>
            </w:r>
            <w:r w:rsidR="00E47660" w:rsidRPr="008C5B58">
              <w:t>Immunogenicity</w:t>
            </w:r>
            <w:r w:rsidR="00CC57C2" w:rsidRPr="008C5B58">
              <w:t>/</w:t>
            </w:r>
            <w:r>
              <w:t xml:space="preserve"> </w:t>
            </w:r>
            <w:r w:rsidR="00E47660" w:rsidRPr="008C5B58">
              <w:t>Hypersensitivity</w:t>
            </w:r>
            <w:r w:rsidR="00E47660">
              <w:t xml:space="preserve">. </w:t>
            </w:r>
            <w:r w:rsidR="00CC57C2" w:rsidRPr="008C5B58">
              <w:t>This is considered acceptable. However, further pharmacovigilance activities to comprehensively characterise the safety profile of pembrolizumab are</w:t>
            </w:r>
            <w:r>
              <w:t xml:space="preserve"> recommended.</w:t>
            </w:r>
          </w:p>
          <w:p w:rsidR="00CC57C2" w:rsidRPr="008C5B58" w:rsidRDefault="008C5B58" w:rsidP="000C32A1">
            <w:r>
              <w:t>G</w:t>
            </w:r>
            <w:r w:rsidR="00CC57C2" w:rsidRPr="008C5B58">
              <w:t xml:space="preserve">) Other </w:t>
            </w:r>
            <w:r w:rsidR="00987E81">
              <w:t>immune related</w:t>
            </w:r>
            <w:r w:rsidR="00CC57C2" w:rsidRPr="008C5B58">
              <w:t xml:space="preserve"> adverse events</w:t>
            </w:r>
            <w:r w:rsidR="00E47660">
              <w:t xml:space="preserve">. </w:t>
            </w:r>
            <w:r w:rsidR="00CC57C2" w:rsidRPr="008C5B58">
              <w:t>This is considered acceptable. However, further pharmacovigilance activities to comprehensively characterise the safety profile of pembrolizumab are recommended.</w:t>
            </w:r>
          </w:p>
          <w:p w:rsidR="00CC57C2" w:rsidRPr="008C5B58" w:rsidRDefault="008C5B58" w:rsidP="000C32A1">
            <w:r>
              <w:t>H</w:t>
            </w:r>
            <w:r w:rsidR="00CC57C2" w:rsidRPr="008C5B58">
              <w:t xml:space="preserve">.) This is considered not acceptable as there is only limited safety data available for this patient group, as stated by the sponsor. This recommendation </w:t>
            </w:r>
            <w:r w:rsidR="00CC57C2" w:rsidRPr="008C5B58">
              <w:lastRenderedPageBreak/>
              <w:t xml:space="preserve">remains and is supported by </w:t>
            </w:r>
            <w:r w:rsidR="00F236AD" w:rsidRPr="00F236AD">
              <w:t xml:space="preserve">Advisory Committee for the Safety of Medicines </w:t>
            </w:r>
            <w:r w:rsidR="00F236AD">
              <w:t>(</w:t>
            </w:r>
            <w:r w:rsidR="00CC57C2" w:rsidRPr="00F236AD">
              <w:t>ACSOM</w:t>
            </w:r>
            <w:r w:rsidR="00F236AD">
              <w:t>)</w:t>
            </w:r>
            <w:r w:rsidR="00CC57C2" w:rsidRPr="008C5B58">
              <w:t>.</w:t>
            </w:r>
          </w:p>
          <w:p w:rsidR="00CC57C2" w:rsidRPr="008C5B58" w:rsidRDefault="008C5B58" w:rsidP="000C32A1">
            <w:r>
              <w:t>I</w:t>
            </w:r>
            <w:r w:rsidR="00CC57C2" w:rsidRPr="008C5B58">
              <w:t>) This is considered acceptable</w:t>
            </w:r>
          </w:p>
        </w:tc>
      </w:tr>
      <w:tr w:rsidR="00B54D4E" w:rsidRPr="008C5B58" w:rsidTr="00B54D4E">
        <w:tc>
          <w:tcPr>
            <w:tcW w:w="2906" w:type="dxa"/>
          </w:tcPr>
          <w:p w:rsidR="00B54D4E" w:rsidRPr="000C32A1" w:rsidRDefault="00E47660" w:rsidP="000C32A1">
            <w:pPr>
              <w:rPr>
                <w:szCs w:val="22"/>
              </w:rPr>
            </w:pPr>
            <w:r w:rsidRPr="000C32A1">
              <w:rPr>
                <w:szCs w:val="22"/>
              </w:rPr>
              <w:lastRenderedPageBreak/>
              <w:t>The sponsor should provide an attachment to the ASA setting out all the forthcoming studies and the anticipated dates for their submission in Australia</w:t>
            </w:r>
          </w:p>
        </w:tc>
        <w:tc>
          <w:tcPr>
            <w:tcW w:w="2907" w:type="dxa"/>
          </w:tcPr>
          <w:p w:rsidR="00B54D4E" w:rsidRPr="000C32A1" w:rsidRDefault="00E47660" w:rsidP="000C32A1">
            <w:pPr>
              <w:rPr>
                <w:szCs w:val="22"/>
              </w:rPr>
            </w:pPr>
            <w:r w:rsidRPr="000C32A1">
              <w:rPr>
                <w:szCs w:val="22"/>
              </w:rPr>
              <w:t xml:space="preserve">As the study progress of the on-going clinical trials outlined in the EU-RMP are dynamic in nature, an anticipated date for submission in Australia for the forthcoming studies would be difficult to predict, so MSD does not agree to include these studies in the ASA. The safety profile of </w:t>
            </w:r>
            <w:r w:rsidR="00A92BB2" w:rsidRPr="000C32A1">
              <w:rPr>
                <w:szCs w:val="22"/>
              </w:rPr>
              <w:t>Keytruda</w:t>
            </w:r>
            <w:r w:rsidRPr="000C32A1">
              <w:rPr>
                <w:szCs w:val="22"/>
              </w:rPr>
              <w:t xml:space="preserve"> is constantly being evaluated on an integrated basis during these trials. For the purpose of providing safety updates from on-going clinical trials to the TGA, the </w:t>
            </w:r>
            <w:r w:rsidR="001D4BB8" w:rsidRPr="000C32A1">
              <w:rPr>
                <w:szCs w:val="22"/>
              </w:rPr>
              <w:t>sponsor</w:t>
            </w:r>
            <w:r w:rsidRPr="000C32A1">
              <w:rPr>
                <w:szCs w:val="22"/>
              </w:rPr>
              <w:t xml:space="preserve"> confirms that Periodic Safety Update Reports (PSUR), as outlined in the EMA ‘Guideline</w:t>
            </w:r>
            <w:r w:rsidRPr="000C32A1">
              <w:rPr>
                <w:rStyle w:val="FootnoteReference"/>
                <w:szCs w:val="22"/>
              </w:rPr>
              <w:footnoteReference w:id="25"/>
            </w:r>
            <w:r w:rsidRPr="000C32A1">
              <w:rPr>
                <w:szCs w:val="22"/>
              </w:rPr>
              <w:t xml:space="preserve"> will be provided on a 6 monthly basis. The </w:t>
            </w:r>
            <w:r w:rsidRPr="000C32A1">
              <w:rPr>
                <w:szCs w:val="22"/>
              </w:rPr>
              <w:lastRenderedPageBreak/>
              <w:t xml:space="preserve">PSURs will contain all safety data collected by the </w:t>
            </w:r>
            <w:r w:rsidR="001D4BB8" w:rsidRPr="000C32A1">
              <w:rPr>
                <w:szCs w:val="22"/>
              </w:rPr>
              <w:t>sponsor</w:t>
            </w:r>
            <w:r w:rsidRPr="000C32A1">
              <w:rPr>
                <w:szCs w:val="22"/>
              </w:rPr>
              <w:t xml:space="preserve">, including data from clinical trials and in-market use in territories where </w:t>
            </w:r>
            <w:r w:rsidR="00A92BB2" w:rsidRPr="000C32A1">
              <w:rPr>
                <w:szCs w:val="22"/>
              </w:rPr>
              <w:t>Keytruda</w:t>
            </w:r>
            <w:r w:rsidRPr="000C32A1">
              <w:rPr>
                <w:szCs w:val="22"/>
              </w:rPr>
              <w:t xml:space="preserve"> is approved. Changes to the safety profile of </w:t>
            </w:r>
            <w:r w:rsidR="00A92BB2" w:rsidRPr="000C32A1">
              <w:rPr>
                <w:szCs w:val="22"/>
              </w:rPr>
              <w:t>Keytruda</w:t>
            </w:r>
            <w:r w:rsidRPr="000C32A1">
              <w:rPr>
                <w:szCs w:val="22"/>
              </w:rPr>
              <w:t xml:space="preserve"> will be communicated via changes in labelling, individual case reporting and the periodic PSURs.</w:t>
            </w:r>
          </w:p>
        </w:tc>
        <w:tc>
          <w:tcPr>
            <w:tcW w:w="2907" w:type="dxa"/>
          </w:tcPr>
          <w:p w:rsidR="00B54D4E" w:rsidRPr="000C32A1" w:rsidRDefault="00E47660" w:rsidP="000C32A1">
            <w:pPr>
              <w:rPr>
                <w:szCs w:val="22"/>
              </w:rPr>
            </w:pPr>
            <w:r w:rsidRPr="000C32A1">
              <w:rPr>
                <w:rFonts w:asciiTheme="minorHAnsi" w:hAnsiTheme="minorHAnsi"/>
                <w:szCs w:val="22"/>
              </w:rPr>
              <w:lastRenderedPageBreak/>
              <w:t>This is considered acceptable</w:t>
            </w:r>
          </w:p>
        </w:tc>
      </w:tr>
      <w:tr w:rsidR="00B54D4E" w:rsidRPr="008C5B58" w:rsidTr="00B54D4E">
        <w:tc>
          <w:tcPr>
            <w:tcW w:w="2906" w:type="dxa"/>
          </w:tcPr>
          <w:p w:rsidR="00B54D4E" w:rsidRPr="000C32A1" w:rsidRDefault="00E47660" w:rsidP="000C32A1">
            <w:pPr>
              <w:rPr>
                <w:szCs w:val="22"/>
              </w:rPr>
            </w:pPr>
            <w:r w:rsidRPr="000C32A1">
              <w:rPr>
                <w:szCs w:val="22"/>
              </w:rPr>
              <w:lastRenderedPageBreak/>
              <w:t>It appears that safety related data which will be collected during ongoing clinical studies will address some of the ongoing safety concerns. Consequently, it is recommended that the sponsor amends table 46 of the EU-RMP (Overview of Pharmacovigilance Actions), and any other table as appropriate, to assign safety concerns to the ongoing clinical studies.</w:t>
            </w:r>
          </w:p>
        </w:tc>
        <w:tc>
          <w:tcPr>
            <w:tcW w:w="2907" w:type="dxa"/>
          </w:tcPr>
          <w:p w:rsidR="00B54D4E" w:rsidRPr="000C32A1" w:rsidRDefault="00E47660" w:rsidP="000C32A1">
            <w:pPr>
              <w:rPr>
                <w:szCs w:val="22"/>
              </w:rPr>
            </w:pPr>
            <w:r w:rsidRPr="000C32A1">
              <w:rPr>
                <w:szCs w:val="22"/>
              </w:rPr>
              <w:t xml:space="preserve">The </w:t>
            </w:r>
            <w:r w:rsidR="001D4BB8" w:rsidRPr="000C32A1">
              <w:rPr>
                <w:szCs w:val="22"/>
              </w:rPr>
              <w:t>sponsor</w:t>
            </w:r>
            <w:r w:rsidRPr="000C32A1">
              <w:rPr>
                <w:szCs w:val="22"/>
              </w:rPr>
              <w:t xml:space="preserve"> agrees to update Table 46 </w:t>
            </w:r>
            <w:r w:rsidR="00987E81" w:rsidRPr="000C32A1">
              <w:rPr>
                <w:szCs w:val="22"/>
              </w:rPr>
              <w:t>‘</w:t>
            </w:r>
            <w:r w:rsidRPr="000C32A1">
              <w:rPr>
                <w:szCs w:val="22"/>
              </w:rPr>
              <w:t>Overview of Pharmacovigilance Actions</w:t>
            </w:r>
            <w:r w:rsidR="00987E81" w:rsidRPr="000C32A1">
              <w:rPr>
                <w:szCs w:val="22"/>
              </w:rPr>
              <w:t>’</w:t>
            </w:r>
            <w:r w:rsidRPr="000C32A1">
              <w:rPr>
                <w:szCs w:val="22"/>
              </w:rPr>
              <w:t xml:space="preserve"> in the current EU RMP v1.1 to reflect generally the current on-going clinical trials as they will contribute important safety data to the overall understanding of ongoing safety concerns</w:t>
            </w:r>
          </w:p>
        </w:tc>
        <w:tc>
          <w:tcPr>
            <w:tcW w:w="2907" w:type="dxa"/>
          </w:tcPr>
          <w:p w:rsidR="00B54D4E" w:rsidRPr="000C32A1" w:rsidRDefault="00C34CD4" w:rsidP="000C32A1">
            <w:pPr>
              <w:rPr>
                <w:szCs w:val="22"/>
              </w:rPr>
            </w:pPr>
            <w:r w:rsidRPr="000C32A1">
              <w:rPr>
                <w:szCs w:val="22"/>
              </w:rPr>
              <w:t>The sponsor’s response cannot be verified because no updated RMP was provided with the response.</w:t>
            </w:r>
          </w:p>
          <w:p w:rsidR="00C34CD4" w:rsidRPr="000C32A1" w:rsidRDefault="00C34CD4" w:rsidP="000C32A1">
            <w:pPr>
              <w:rPr>
                <w:szCs w:val="22"/>
              </w:rPr>
            </w:pPr>
            <w:r w:rsidRPr="000C32A1">
              <w:rPr>
                <w:szCs w:val="22"/>
              </w:rPr>
              <w:t>It is recommended that the sponsor provides the updated RMP for review prior to approval.</w:t>
            </w:r>
          </w:p>
        </w:tc>
      </w:tr>
      <w:tr w:rsidR="00B54D4E" w:rsidRPr="008C5B58" w:rsidTr="00B54D4E">
        <w:tc>
          <w:tcPr>
            <w:tcW w:w="2906" w:type="dxa"/>
          </w:tcPr>
          <w:p w:rsidR="00B54D4E" w:rsidRPr="000C32A1" w:rsidRDefault="00C34CD4" w:rsidP="000C32A1">
            <w:pPr>
              <w:rPr>
                <w:szCs w:val="22"/>
              </w:rPr>
            </w:pPr>
            <w:r w:rsidRPr="000C32A1">
              <w:rPr>
                <w:szCs w:val="22"/>
              </w:rPr>
              <w:t>The study protocols for the PIP have not been attached to the RMP, and it is recommended that the sponsor provides these as annex to the EU-RMP. Furthermore, these studies should be assigned to the ongoing safety concerns of safety in paediatrics in the pharmacovigilance plan of the RMP.</w:t>
            </w:r>
          </w:p>
        </w:tc>
        <w:tc>
          <w:tcPr>
            <w:tcW w:w="2907" w:type="dxa"/>
          </w:tcPr>
          <w:p w:rsidR="00C34CD4" w:rsidRPr="000C32A1" w:rsidRDefault="00C34CD4" w:rsidP="000C32A1">
            <w:pPr>
              <w:rPr>
                <w:szCs w:val="22"/>
              </w:rPr>
            </w:pPr>
            <w:r w:rsidRPr="000C32A1">
              <w:rPr>
                <w:szCs w:val="22"/>
              </w:rPr>
              <w:t xml:space="preserve">Section SIV.3 </w:t>
            </w:r>
            <w:r w:rsidR="00987E81" w:rsidRPr="000C32A1">
              <w:rPr>
                <w:szCs w:val="22"/>
              </w:rPr>
              <w:t>‘</w:t>
            </w:r>
            <w:r w:rsidRPr="000C32A1">
              <w:rPr>
                <w:szCs w:val="22"/>
              </w:rPr>
              <w:t>Limitations in Respect to Populations Typically Under-represented in Clinical Trial Development Programmes</w:t>
            </w:r>
            <w:r w:rsidR="00987E81" w:rsidRPr="000C32A1">
              <w:rPr>
                <w:szCs w:val="22"/>
              </w:rPr>
              <w:t>’</w:t>
            </w:r>
            <w:r w:rsidRPr="000C32A1">
              <w:rPr>
                <w:szCs w:val="22"/>
              </w:rPr>
              <w:t xml:space="preserve"> and Table 49 </w:t>
            </w:r>
            <w:r w:rsidR="00987E81" w:rsidRPr="000C32A1">
              <w:rPr>
                <w:szCs w:val="22"/>
              </w:rPr>
              <w:t>‘</w:t>
            </w:r>
            <w:r w:rsidRPr="000C32A1">
              <w:rPr>
                <w:szCs w:val="22"/>
              </w:rPr>
              <w:t>Overview of Pharmacovigilance Actions</w:t>
            </w:r>
            <w:r w:rsidR="00987E81" w:rsidRPr="000C32A1">
              <w:rPr>
                <w:szCs w:val="22"/>
              </w:rPr>
              <w:t>’</w:t>
            </w:r>
            <w:r w:rsidRPr="000C32A1">
              <w:rPr>
                <w:szCs w:val="22"/>
              </w:rPr>
              <w:t xml:space="preserve"> of the EU RMP v.1.1 have been updated to include the PIP study as a pharmacovigilance activity to address the missing information of </w:t>
            </w:r>
            <w:r w:rsidR="00987E81" w:rsidRPr="000C32A1">
              <w:rPr>
                <w:szCs w:val="22"/>
              </w:rPr>
              <w:t>‘</w:t>
            </w:r>
            <w:r w:rsidRPr="000C32A1">
              <w:rPr>
                <w:szCs w:val="22"/>
              </w:rPr>
              <w:t>Safety in use in paediatric patients</w:t>
            </w:r>
            <w:r w:rsidR="00987E81" w:rsidRPr="000C32A1">
              <w:rPr>
                <w:szCs w:val="22"/>
              </w:rPr>
              <w:t>’</w:t>
            </w:r>
            <w:r w:rsidRPr="000C32A1">
              <w:rPr>
                <w:szCs w:val="22"/>
              </w:rPr>
              <w:t>.</w:t>
            </w:r>
          </w:p>
          <w:p w:rsidR="00B54D4E" w:rsidRPr="000C32A1" w:rsidRDefault="00C34CD4" w:rsidP="000C32A1">
            <w:pPr>
              <w:rPr>
                <w:szCs w:val="22"/>
              </w:rPr>
            </w:pPr>
            <w:r w:rsidRPr="000C32A1">
              <w:rPr>
                <w:szCs w:val="22"/>
              </w:rPr>
              <w:t xml:space="preserve">Furthermore, the </w:t>
            </w:r>
            <w:r w:rsidRPr="000C32A1">
              <w:rPr>
                <w:szCs w:val="22"/>
              </w:rPr>
              <w:lastRenderedPageBreak/>
              <w:t>sponsor agrees to include the available study protocol for the PIP in an annex to the EU RMP v1.1, and future PIP study protocols will be added when available.</w:t>
            </w:r>
          </w:p>
        </w:tc>
        <w:tc>
          <w:tcPr>
            <w:tcW w:w="2907" w:type="dxa"/>
          </w:tcPr>
          <w:p w:rsidR="00C34CD4" w:rsidRPr="000C32A1" w:rsidRDefault="00C34CD4" w:rsidP="000C32A1">
            <w:pPr>
              <w:rPr>
                <w:szCs w:val="22"/>
              </w:rPr>
            </w:pPr>
            <w:r w:rsidRPr="000C32A1">
              <w:rPr>
                <w:szCs w:val="22"/>
              </w:rPr>
              <w:lastRenderedPageBreak/>
              <w:t>The sponsor’s response cannot be verified because no updated RMP was provided with the response.</w:t>
            </w:r>
          </w:p>
          <w:p w:rsidR="00B54D4E" w:rsidRPr="000C32A1" w:rsidRDefault="00C34CD4" w:rsidP="000C32A1">
            <w:pPr>
              <w:rPr>
                <w:szCs w:val="22"/>
              </w:rPr>
            </w:pPr>
            <w:r w:rsidRPr="000C32A1">
              <w:rPr>
                <w:szCs w:val="22"/>
              </w:rPr>
              <w:t>It is recommended that the sponsor provides the updated RMP for review prior to approval.</w:t>
            </w:r>
          </w:p>
        </w:tc>
      </w:tr>
      <w:tr w:rsidR="00C34CD4" w:rsidRPr="008C5B58" w:rsidTr="00B54D4E">
        <w:tc>
          <w:tcPr>
            <w:tcW w:w="2906" w:type="dxa"/>
          </w:tcPr>
          <w:p w:rsidR="00C34CD4" w:rsidRPr="000C32A1" w:rsidRDefault="00C34CD4" w:rsidP="000C32A1">
            <w:pPr>
              <w:rPr>
                <w:szCs w:val="22"/>
              </w:rPr>
            </w:pPr>
            <w:r w:rsidRPr="000C32A1">
              <w:rPr>
                <w:szCs w:val="22"/>
              </w:rPr>
              <w:lastRenderedPageBreak/>
              <w:t>As the safety data base is relatively small, it is recommended that the sponsor implements further pharmacovigilance activities, to ensure the safe use of the product, should it be approved. This includes, but is not limited to: A.) Implementation of follow-up forms for all identified and potential risks, in order to collect comprehensive information about the causality and outcome of adverse events. B.) Implementation of a Post Authorisation Safety Study (PASS) to collect detailed information about the safety profile of the product.</w:t>
            </w:r>
          </w:p>
        </w:tc>
        <w:tc>
          <w:tcPr>
            <w:tcW w:w="2907" w:type="dxa"/>
          </w:tcPr>
          <w:p w:rsidR="00C34CD4" w:rsidRPr="000C32A1" w:rsidRDefault="00C34CD4" w:rsidP="000C32A1">
            <w:pPr>
              <w:rPr>
                <w:szCs w:val="22"/>
              </w:rPr>
            </w:pPr>
            <w:r w:rsidRPr="000C32A1">
              <w:rPr>
                <w:szCs w:val="22"/>
              </w:rPr>
              <w:t>The sponsor requests follow up information on spontaneous adverse event reports received for pembrolizumab utilizing Standard Operating Procedures. In addition, the sponsor agrees to util</w:t>
            </w:r>
            <w:r w:rsidR="00987E81" w:rsidRPr="000C32A1">
              <w:rPr>
                <w:szCs w:val="22"/>
              </w:rPr>
              <w:t>ise</w:t>
            </w:r>
            <w:r w:rsidRPr="000C32A1">
              <w:rPr>
                <w:szCs w:val="22"/>
              </w:rPr>
              <w:t xml:space="preserve"> an additional follow-up form to collect important information on the identified and potential risks, </w:t>
            </w:r>
            <w:r w:rsidR="00987E81" w:rsidRPr="000C32A1">
              <w:rPr>
                <w:szCs w:val="22"/>
              </w:rPr>
              <w:t>immune related</w:t>
            </w:r>
            <w:r w:rsidRPr="000C32A1">
              <w:rPr>
                <w:szCs w:val="22"/>
              </w:rPr>
              <w:t xml:space="preserve"> events and infusion related reactions, reported with pembrolizumab as part of routine pharmacovigilance activities.</w:t>
            </w:r>
          </w:p>
          <w:p w:rsidR="00C34CD4" w:rsidRPr="000C32A1" w:rsidRDefault="00C34CD4" w:rsidP="000C32A1">
            <w:pPr>
              <w:rPr>
                <w:szCs w:val="22"/>
              </w:rPr>
            </w:pPr>
            <w:r w:rsidRPr="000C32A1">
              <w:rPr>
                <w:szCs w:val="22"/>
              </w:rPr>
              <w:t xml:space="preserve">Although the initial cohort for which safety assessments have been the basis of the RMP is generally small, the sponsor believes that a PASS is not necessary at this time given the number of on-going clinical trials with pembrolizumab and the planned studies across all indications from which valuable safety information will be obtained. Specifically, the number of patients exposed to pembrolizumab as of August 2014 from </w:t>
            </w:r>
            <w:r w:rsidRPr="000C32A1">
              <w:rPr>
                <w:szCs w:val="22"/>
              </w:rPr>
              <w:lastRenderedPageBreak/>
              <w:t>protocols 001, 002, 006, 010, 012, 013, 025 and 028 (patients receiving at least one dose of pembrolizumab) is 3,251 across the following tumour types: melanoma, lung, hematologic malignancies; and multiple solid tumour types. In addition, 1,787 patients were exposed to pembrolizumab in the melanoma Expanded Access Program (EAP 030). Therefore, the overall exposure to pembrolizumab as of August 2014, including all studies and the EAP, is 5,038 patients. All of these on-going and planned clinical trials will provide valuable data sets and help to inform the sponsor regarding ongoing safety concerns and to identify future safety signals. In addition, there ha</w:t>
            </w:r>
            <w:r w:rsidR="00505E6C" w:rsidRPr="000C32A1">
              <w:rPr>
                <w:szCs w:val="22"/>
              </w:rPr>
              <w:t>s</w:t>
            </w:r>
            <w:r w:rsidRPr="000C32A1">
              <w:rPr>
                <w:szCs w:val="22"/>
              </w:rPr>
              <w:t xml:space="preserve"> been no specific safety concerns identified for which a specific study would be required to address. The ongoing clinical trial program will provide adequate information to character</w:t>
            </w:r>
            <w:r w:rsidR="00987E81" w:rsidRPr="000C32A1">
              <w:rPr>
                <w:szCs w:val="22"/>
              </w:rPr>
              <w:t>ise</w:t>
            </w:r>
            <w:r w:rsidRPr="000C32A1">
              <w:rPr>
                <w:szCs w:val="22"/>
              </w:rPr>
              <w:t xml:space="preserve"> the safety profile of pembrolizumab.</w:t>
            </w:r>
          </w:p>
        </w:tc>
        <w:tc>
          <w:tcPr>
            <w:tcW w:w="2907" w:type="dxa"/>
          </w:tcPr>
          <w:p w:rsidR="00C34CD4" w:rsidRPr="000C32A1" w:rsidRDefault="00977C84" w:rsidP="000C32A1">
            <w:pPr>
              <w:rPr>
                <w:szCs w:val="22"/>
              </w:rPr>
            </w:pPr>
            <w:r w:rsidRPr="000C32A1">
              <w:rPr>
                <w:szCs w:val="22"/>
              </w:rPr>
              <w:lastRenderedPageBreak/>
              <w:t xml:space="preserve">A.) The sponsor’s commitment to implement additional follow-up forms to collect important information on the identified and potential risks, </w:t>
            </w:r>
            <w:r w:rsidR="00987E81" w:rsidRPr="000C32A1">
              <w:rPr>
                <w:szCs w:val="22"/>
              </w:rPr>
              <w:t>immune related</w:t>
            </w:r>
            <w:r w:rsidRPr="000C32A1">
              <w:rPr>
                <w:szCs w:val="22"/>
              </w:rPr>
              <w:t xml:space="preserve"> events and infusion related reactions, reported with pembrolizumab has been noted. It is recommended that these additional follow-up forms are included in the pharmacovigilance plan of the RMP, and are attached to an updated RMP as an annex.</w:t>
            </w:r>
          </w:p>
          <w:p w:rsidR="00977C84" w:rsidRPr="000C32A1" w:rsidRDefault="00977C84" w:rsidP="000C32A1">
            <w:pPr>
              <w:rPr>
                <w:szCs w:val="22"/>
              </w:rPr>
            </w:pPr>
            <w:r w:rsidRPr="000C32A1">
              <w:rPr>
                <w:szCs w:val="22"/>
              </w:rPr>
              <w:t>B.) The recommendation to implement additional pharmacovigilance activities remains and is supported by ACSOM.</w:t>
            </w:r>
          </w:p>
        </w:tc>
      </w:tr>
      <w:tr w:rsidR="00C34CD4" w:rsidRPr="008C5B58" w:rsidTr="00B54D4E">
        <w:tc>
          <w:tcPr>
            <w:tcW w:w="2906" w:type="dxa"/>
          </w:tcPr>
          <w:p w:rsidR="00C34CD4" w:rsidRPr="000C32A1" w:rsidRDefault="00977C84" w:rsidP="000C32A1">
            <w:pPr>
              <w:rPr>
                <w:szCs w:val="22"/>
              </w:rPr>
            </w:pPr>
            <w:r w:rsidRPr="000C32A1">
              <w:rPr>
                <w:szCs w:val="22"/>
              </w:rPr>
              <w:lastRenderedPageBreak/>
              <w:t xml:space="preserve">It is recommended that the sponsor considers implementing additional risk-minimisation activities; including a Healthcare Professional FAQ Brochure and Patient Information </w:t>
            </w:r>
            <w:r w:rsidRPr="000C32A1">
              <w:rPr>
                <w:szCs w:val="22"/>
              </w:rPr>
              <w:lastRenderedPageBreak/>
              <w:t>Brochures including alert cards.</w:t>
            </w:r>
          </w:p>
        </w:tc>
        <w:tc>
          <w:tcPr>
            <w:tcW w:w="2907" w:type="dxa"/>
          </w:tcPr>
          <w:p w:rsidR="00C34CD4" w:rsidRPr="000C32A1" w:rsidRDefault="00977C84" w:rsidP="000C32A1">
            <w:pPr>
              <w:rPr>
                <w:szCs w:val="22"/>
              </w:rPr>
            </w:pPr>
            <w:r w:rsidRPr="000C32A1">
              <w:rPr>
                <w:szCs w:val="22"/>
              </w:rPr>
              <w:lastRenderedPageBreak/>
              <w:t>The sponsor is committed to provide comprehensive information, based on the PI to</w:t>
            </w:r>
            <w:r w:rsidR="006D7FCC" w:rsidRPr="000C32A1">
              <w:rPr>
                <w:szCs w:val="22"/>
              </w:rPr>
              <w:t xml:space="preserve"> prescribers in Australia. The s</w:t>
            </w:r>
            <w:r w:rsidRPr="000C32A1">
              <w:rPr>
                <w:szCs w:val="22"/>
              </w:rPr>
              <w:t xml:space="preserve">ponsor considers routine risk minimization (the PI) </w:t>
            </w:r>
            <w:r w:rsidRPr="000C32A1">
              <w:rPr>
                <w:szCs w:val="22"/>
              </w:rPr>
              <w:lastRenderedPageBreak/>
              <w:t>adequate for the pembrolizumab RMP. Based on the current benefit:</w:t>
            </w:r>
            <w:r w:rsidR="006D7FCC" w:rsidRPr="000C32A1">
              <w:rPr>
                <w:szCs w:val="22"/>
              </w:rPr>
              <w:t xml:space="preserve"> </w:t>
            </w:r>
            <w:r w:rsidRPr="000C32A1">
              <w:rPr>
                <w:szCs w:val="22"/>
              </w:rPr>
              <w:t xml:space="preserve">risk profile for pembrolizumab, there is no evidence that additional risk minimization activities beyond those planned by the sponsor are warranted. The PI comprehensively communicates risks for pembrolizumab and provides clear guidance for identification, treatment of the risks associated with pembrolizumab, and recommendations for discontinuation or temporary interruption of therapy accordingly to the severity by observed risk. The sponsor will be providing educational materials to prescribers and patient information that will enhance the product </w:t>
            </w:r>
            <w:r w:rsidR="006D7FCC" w:rsidRPr="000C32A1">
              <w:rPr>
                <w:szCs w:val="22"/>
              </w:rPr>
              <w:t>labelling</w:t>
            </w:r>
            <w:r w:rsidRPr="000C32A1">
              <w:rPr>
                <w:szCs w:val="22"/>
              </w:rPr>
              <w:t xml:space="preserve"> aw</w:t>
            </w:r>
            <w:r w:rsidR="006D7FCC" w:rsidRPr="000C32A1">
              <w:rPr>
                <w:szCs w:val="22"/>
              </w:rPr>
              <w:t>areness for pembrolizumab. The s</w:t>
            </w:r>
            <w:r w:rsidRPr="000C32A1">
              <w:rPr>
                <w:szCs w:val="22"/>
              </w:rPr>
              <w:t xml:space="preserve">ponsor also considers that the oncology community is now familiar with immunotherapy for melanoma. Adoption of appropriate patient management for a new oncology product into treatment practices will be adequately supported by </w:t>
            </w:r>
            <w:r w:rsidR="006D7FCC" w:rsidRPr="000C32A1">
              <w:rPr>
                <w:szCs w:val="22"/>
              </w:rPr>
              <w:t>labelling</w:t>
            </w:r>
            <w:r w:rsidRPr="000C32A1">
              <w:rPr>
                <w:szCs w:val="22"/>
              </w:rPr>
              <w:t xml:space="preserve"> with product specific educatio</w:t>
            </w:r>
            <w:r w:rsidR="006D7FCC" w:rsidRPr="000C32A1">
              <w:rPr>
                <w:szCs w:val="22"/>
              </w:rPr>
              <w:t>nal materials provided by the s</w:t>
            </w:r>
            <w:r w:rsidRPr="000C32A1">
              <w:rPr>
                <w:szCs w:val="22"/>
              </w:rPr>
              <w:t>ponsor to support product launch.</w:t>
            </w:r>
          </w:p>
        </w:tc>
        <w:tc>
          <w:tcPr>
            <w:tcW w:w="2907" w:type="dxa"/>
          </w:tcPr>
          <w:p w:rsidR="006D7FCC" w:rsidRPr="000C32A1" w:rsidRDefault="006D7FCC" w:rsidP="000C32A1">
            <w:pPr>
              <w:rPr>
                <w:szCs w:val="22"/>
              </w:rPr>
            </w:pPr>
            <w:r w:rsidRPr="000C32A1">
              <w:rPr>
                <w:szCs w:val="22"/>
              </w:rPr>
              <w:lastRenderedPageBreak/>
              <w:t xml:space="preserve">A.) The sponsor’s response is unclear and further clarification is sought to address this recommendation. The sponsor stated in their response: </w:t>
            </w:r>
            <w:r w:rsidRPr="000C32A1">
              <w:rPr>
                <w:i/>
                <w:szCs w:val="22"/>
              </w:rPr>
              <w:t xml:space="preserve">The sponsor considers routine risk </w:t>
            </w:r>
            <w:r w:rsidRPr="000C32A1">
              <w:rPr>
                <w:i/>
                <w:szCs w:val="22"/>
              </w:rPr>
              <w:lastRenderedPageBreak/>
              <w:t xml:space="preserve">minimization (the PI) adequate for the pembrolizumab RMP. </w:t>
            </w:r>
            <w:r w:rsidRPr="000C32A1">
              <w:rPr>
                <w:szCs w:val="22"/>
              </w:rPr>
              <w:t>In contrast the sponsor also states:</w:t>
            </w:r>
            <w:r w:rsidRPr="000C32A1">
              <w:rPr>
                <w:i/>
                <w:szCs w:val="22"/>
              </w:rPr>
              <w:t xml:space="preserve"> The sponsor will be providing educational materials to prescribers and patient information that will enhance the product labelling awareness for pembrolizumab.</w:t>
            </w:r>
          </w:p>
          <w:p w:rsidR="006D7FCC" w:rsidRPr="000C32A1" w:rsidRDefault="006D7FCC" w:rsidP="000C32A1">
            <w:pPr>
              <w:rPr>
                <w:szCs w:val="22"/>
              </w:rPr>
            </w:pPr>
            <w:r w:rsidRPr="000C32A1">
              <w:rPr>
                <w:szCs w:val="22"/>
              </w:rPr>
              <w:t>The sponsor should clarify if educational materials for physicians and patients will form part of the RMP, and if so, this activity should be incorporated in the risk-minimisation plan of the RMP and these documents attached to the updated RMP as an annex.</w:t>
            </w:r>
          </w:p>
          <w:p w:rsidR="00C34CD4" w:rsidRPr="000C32A1" w:rsidRDefault="006D7FCC" w:rsidP="000C32A1">
            <w:pPr>
              <w:rPr>
                <w:szCs w:val="22"/>
              </w:rPr>
            </w:pPr>
            <w:r w:rsidRPr="000C32A1">
              <w:rPr>
                <w:szCs w:val="22"/>
              </w:rPr>
              <w:t>B.) Pending the clarification by the sponsor, the recommendation to implement additional risk-minimisation activities remains and is supported by ACSOM.</w:t>
            </w:r>
          </w:p>
        </w:tc>
      </w:tr>
      <w:tr w:rsidR="00C34CD4" w:rsidRPr="008C5B58" w:rsidTr="00B54D4E">
        <w:tc>
          <w:tcPr>
            <w:tcW w:w="2906" w:type="dxa"/>
          </w:tcPr>
          <w:p w:rsidR="00C34CD4" w:rsidRPr="000C32A1" w:rsidRDefault="006D7FCC" w:rsidP="000C32A1">
            <w:pPr>
              <w:rPr>
                <w:szCs w:val="22"/>
              </w:rPr>
            </w:pPr>
            <w:r w:rsidRPr="000C32A1">
              <w:rPr>
                <w:szCs w:val="22"/>
              </w:rPr>
              <w:lastRenderedPageBreak/>
              <w:t xml:space="preserve">It is recommended that </w:t>
            </w:r>
            <w:r w:rsidRPr="000C32A1">
              <w:rPr>
                <w:szCs w:val="22"/>
              </w:rPr>
              <w:lastRenderedPageBreak/>
              <w:t>the sponsor amends table 65 of the EU-RMP (Summary of Safety Concerns and Risk Minimization Activities) to describe only risk-minimisation activities but not pharmacovigilance activities.</w:t>
            </w:r>
          </w:p>
        </w:tc>
        <w:tc>
          <w:tcPr>
            <w:tcW w:w="2907" w:type="dxa"/>
          </w:tcPr>
          <w:p w:rsidR="00C34CD4" w:rsidRPr="000C32A1" w:rsidRDefault="006D7FCC" w:rsidP="000C32A1">
            <w:pPr>
              <w:rPr>
                <w:szCs w:val="22"/>
              </w:rPr>
            </w:pPr>
            <w:r w:rsidRPr="000C32A1">
              <w:rPr>
                <w:szCs w:val="22"/>
              </w:rPr>
              <w:lastRenderedPageBreak/>
              <w:t xml:space="preserve">Part V </w:t>
            </w:r>
            <w:r w:rsidR="00987E81" w:rsidRPr="000C32A1">
              <w:rPr>
                <w:szCs w:val="22"/>
              </w:rPr>
              <w:t>‘</w:t>
            </w:r>
            <w:r w:rsidRPr="000C32A1">
              <w:rPr>
                <w:szCs w:val="22"/>
              </w:rPr>
              <w:t xml:space="preserve">Risk </w:t>
            </w:r>
            <w:r w:rsidRPr="000C32A1">
              <w:rPr>
                <w:szCs w:val="22"/>
              </w:rPr>
              <w:lastRenderedPageBreak/>
              <w:t>Minimization Measures</w:t>
            </w:r>
            <w:r w:rsidR="00987E81" w:rsidRPr="000C32A1">
              <w:rPr>
                <w:szCs w:val="22"/>
              </w:rPr>
              <w:t>’</w:t>
            </w:r>
            <w:r w:rsidRPr="000C32A1">
              <w:rPr>
                <w:szCs w:val="22"/>
              </w:rPr>
              <w:t xml:space="preserve">, V.3 </w:t>
            </w:r>
            <w:r w:rsidR="00987E81" w:rsidRPr="000C32A1">
              <w:rPr>
                <w:szCs w:val="22"/>
              </w:rPr>
              <w:t>‘</w:t>
            </w:r>
            <w:r w:rsidRPr="000C32A1">
              <w:rPr>
                <w:szCs w:val="22"/>
              </w:rPr>
              <w:t>Summary Table of Risk Minimization Measures</w:t>
            </w:r>
            <w:r w:rsidR="00987E81" w:rsidRPr="000C32A1">
              <w:rPr>
                <w:szCs w:val="22"/>
              </w:rPr>
              <w:t>’</w:t>
            </w:r>
            <w:r w:rsidRPr="000C32A1">
              <w:rPr>
                <w:szCs w:val="22"/>
              </w:rPr>
              <w:t xml:space="preserve">, Table 73 </w:t>
            </w:r>
            <w:r w:rsidR="00987E81" w:rsidRPr="000C32A1">
              <w:rPr>
                <w:szCs w:val="22"/>
              </w:rPr>
              <w:t>‘</w:t>
            </w:r>
            <w:r w:rsidRPr="000C32A1">
              <w:rPr>
                <w:szCs w:val="22"/>
              </w:rPr>
              <w:t>Summary of Safety Concerns and Risk Minimization Activities</w:t>
            </w:r>
            <w:r w:rsidR="00987E81" w:rsidRPr="000C32A1">
              <w:rPr>
                <w:szCs w:val="22"/>
              </w:rPr>
              <w:t>’</w:t>
            </w:r>
            <w:r w:rsidRPr="000C32A1">
              <w:rPr>
                <w:szCs w:val="22"/>
              </w:rPr>
              <w:t xml:space="preserve"> of the EU-RMP has been modified and includes the routine risk minimization activities for each listed safety concern.</w:t>
            </w:r>
          </w:p>
        </w:tc>
        <w:tc>
          <w:tcPr>
            <w:tcW w:w="2907" w:type="dxa"/>
          </w:tcPr>
          <w:p w:rsidR="006D7FCC" w:rsidRPr="000C32A1" w:rsidRDefault="006D7FCC" w:rsidP="000C32A1">
            <w:pPr>
              <w:rPr>
                <w:szCs w:val="22"/>
              </w:rPr>
            </w:pPr>
            <w:r w:rsidRPr="000C32A1">
              <w:rPr>
                <w:szCs w:val="22"/>
              </w:rPr>
              <w:lastRenderedPageBreak/>
              <w:t xml:space="preserve">The sponsor’s response </w:t>
            </w:r>
            <w:r w:rsidRPr="000C32A1">
              <w:rPr>
                <w:szCs w:val="22"/>
              </w:rPr>
              <w:lastRenderedPageBreak/>
              <w:t>cannot be verified because no updated RMP was provided with the response.</w:t>
            </w:r>
          </w:p>
          <w:p w:rsidR="00C34CD4" w:rsidRPr="000C32A1" w:rsidRDefault="006D7FCC" w:rsidP="000C32A1">
            <w:pPr>
              <w:rPr>
                <w:szCs w:val="22"/>
              </w:rPr>
            </w:pPr>
            <w:r w:rsidRPr="000C32A1">
              <w:rPr>
                <w:szCs w:val="22"/>
              </w:rPr>
              <w:t>It is recommended that the sponsor provides the updated RMP for review prior to approval.</w:t>
            </w:r>
          </w:p>
        </w:tc>
      </w:tr>
      <w:tr w:rsidR="00C34CD4" w:rsidRPr="008C5B58" w:rsidTr="00B54D4E">
        <w:tc>
          <w:tcPr>
            <w:tcW w:w="2906" w:type="dxa"/>
          </w:tcPr>
          <w:p w:rsidR="00C34CD4" w:rsidRPr="000C32A1" w:rsidRDefault="006D7FCC" w:rsidP="000C32A1">
            <w:pPr>
              <w:rPr>
                <w:szCs w:val="22"/>
              </w:rPr>
            </w:pPr>
            <w:r w:rsidRPr="000C32A1">
              <w:rPr>
                <w:szCs w:val="22"/>
              </w:rPr>
              <w:lastRenderedPageBreak/>
              <w:t>A table comparing the wording in the Australian-PI with the EU-</w:t>
            </w:r>
            <w:proofErr w:type="spellStart"/>
            <w:r w:rsidRPr="000C32A1">
              <w:rPr>
                <w:szCs w:val="22"/>
              </w:rPr>
              <w:t>SmPC</w:t>
            </w:r>
            <w:proofErr w:type="spellEnd"/>
            <w:r w:rsidRPr="000C32A1">
              <w:rPr>
                <w:szCs w:val="22"/>
              </w:rPr>
              <w:t xml:space="preserve"> should be provided as annex to the ASA.</w:t>
            </w:r>
          </w:p>
        </w:tc>
        <w:tc>
          <w:tcPr>
            <w:tcW w:w="2907" w:type="dxa"/>
          </w:tcPr>
          <w:p w:rsidR="00C34CD4" w:rsidRPr="000C32A1" w:rsidRDefault="006D7FCC" w:rsidP="000C32A1">
            <w:pPr>
              <w:rPr>
                <w:szCs w:val="22"/>
              </w:rPr>
            </w:pPr>
            <w:r w:rsidRPr="000C32A1">
              <w:rPr>
                <w:szCs w:val="22"/>
              </w:rPr>
              <w:t xml:space="preserve">A table comparing the proposed EU </w:t>
            </w:r>
            <w:proofErr w:type="spellStart"/>
            <w:r w:rsidRPr="000C32A1">
              <w:rPr>
                <w:szCs w:val="22"/>
              </w:rPr>
              <w:t>SmPC</w:t>
            </w:r>
            <w:proofErr w:type="spellEnd"/>
            <w:r w:rsidRPr="000C32A1">
              <w:rPr>
                <w:szCs w:val="22"/>
              </w:rPr>
              <w:t>, US monograph and the proposed Australian PI is provided as an attachment to the ASA. The documents are generally consistent, and any differences between the relevant sections are typically due to the different layouts of the documents.</w:t>
            </w:r>
          </w:p>
        </w:tc>
        <w:tc>
          <w:tcPr>
            <w:tcW w:w="2907" w:type="dxa"/>
          </w:tcPr>
          <w:p w:rsidR="00C34CD4" w:rsidRPr="000C32A1" w:rsidRDefault="006D7FCC" w:rsidP="000C32A1">
            <w:pPr>
              <w:rPr>
                <w:szCs w:val="22"/>
              </w:rPr>
            </w:pPr>
            <w:r w:rsidRPr="000C32A1">
              <w:rPr>
                <w:szCs w:val="22"/>
              </w:rPr>
              <w:t>The table has been provided by the sponsor. This is considered acceptable.</w:t>
            </w:r>
          </w:p>
        </w:tc>
      </w:tr>
      <w:tr w:rsidR="006D7FCC" w:rsidRPr="008C5B58" w:rsidTr="00B54D4E">
        <w:tc>
          <w:tcPr>
            <w:tcW w:w="2906" w:type="dxa"/>
          </w:tcPr>
          <w:p w:rsidR="006D7FCC" w:rsidRPr="000C32A1" w:rsidRDefault="006D7FCC" w:rsidP="000C32A1">
            <w:pPr>
              <w:rPr>
                <w:szCs w:val="22"/>
              </w:rPr>
            </w:pPr>
            <w:r w:rsidRPr="000C32A1">
              <w:rPr>
                <w:szCs w:val="22"/>
              </w:rPr>
              <w:t>It is recommended that the sponsor outlines the wording, by which important safety concerns are addressed in the US monograph compared to the proposed Australian PI, and material differences in the Australian PI should be justified.</w:t>
            </w:r>
          </w:p>
        </w:tc>
        <w:tc>
          <w:tcPr>
            <w:tcW w:w="2907" w:type="dxa"/>
          </w:tcPr>
          <w:p w:rsidR="006D7FCC" w:rsidRPr="000C32A1" w:rsidRDefault="0038769E" w:rsidP="000C32A1">
            <w:pPr>
              <w:rPr>
                <w:szCs w:val="22"/>
              </w:rPr>
            </w:pPr>
            <w:r w:rsidRPr="000C32A1">
              <w:rPr>
                <w:szCs w:val="22"/>
              </w:rPr>
              <w:t>A</w:t>
            </w:r>
            <w:r w:rsidR="006D7FCC" w:rsidRPr="000C32A1">
              <w:rPr>
                <w:szCs w:val="22"/>
              </w:rPr>
              <w:t xml:space="preserve"> table comparing the US monograph, the proposed Australian PI and the proposed EU </w:t>
            </w:r>
            <w:proofErr w:type="spellStart"/>
            <w:r w:rsidR="006D7FCC" w:rsidRPr="000C32A1">
              <w:rPr>
                <w:szCs w:val="22"/>
              </w:rPr>
              <w:t>SmPC</w:t>
            </w:r>
            <w:proofErr w:type="spellEnd"/>
            <w:r w:rsidR="006D7FCC" w:rsidRPr="000C32A1">
              <w:rPr>
                <w:szCs w:val="22"/>
              </w:rPr>
              <w:t xml:space="preserve"> is provided as an attachment to the Australian-Specific Annex. The documents are generally consistent, and any differences between the relevant sections are typically due to the different layouts of the documents.</w:t>
            </w:r>
          </w:p>
        </w:tc>
        <w:tc>
          <w:tcPr>
            <w:tcW w:w="2907" w:type="dxa"/>
          </w:tcPr>
          <w:p w:rsidR="006D7FCC" w:rsidRPr="000C32A1" w:rsidRDefault="006D7FCC" w:rsidP="000C32A1">
            <w:pPr>
              <w:rPr>
                <w:szCs w:val="22"/>
              </w:rPr>
            </w:pPr>
            <w:r w:rsidRPr="000C32A1">
              <w:rPr>
                <w:szCs w:val="22"/>
              </w:rPr>
              <w:t>The sponsor’s response has been noted.</w:t>
            </w:r>
          </w:p>
        </w:tc>
      </w:tr>
      <w:tr w:rsidR="006D7FCC" w:rsidRPr="008C5B58" w:rsidTr="00B54D4E">
        <w:tc>
          <w:tcPr>
            <w:tcW w:w="2906" w:type="dxa"/>
          </w:tcPr>
          <w:p w:rsidR="006D7FCC" w:rsidRPr="000C32A1" w:rsidRDefault="0038769E" w:rsidP="000C32A1">
            <w:pPr>
              <w:rPr>
                <w:szCs w:val="22"/>
              </w:rPr>
            </w:pPr>
            <w:r w:rsidRPr="000C32A1">
              <w:rPr>
                <w:szCs w:val="22"/>
              </w:rPr>
              <w:t xml:space="preserve">The following is brought to the delegate’s attention. The following statement is included in the Australian PI in section </w:t>
            </w:r>
            <w:r w:rsidR="00987E81" w:rsidRPr="000C32A1">
              <w:rPr>
                <w:szCs w:val="22"/>
              </w:rPr>
              <w:t>‘</w:t>
            </w:r>
            <w:r w:rsidRPr="000C32A1">
              <w:rPr>
                <w:szCs w:val="22"/>
              </w:rPr>
              <w:t>dosage and administration</w:t>
            </w:r>
            <w:r w:rsidR="00987E81" w:rsidRPr="000C32A1">
              <w:rPr>
                <w:szCs w:val="22"/>
              </w:rPr>
              <w:t>’</w:t>
            </w:r>
            <w:r w:rsidRPr="000C32A1">
              <w:rPr>
                <w:szCs w:val="22"/>
              </w:rPr>
              <w:t xml:space="preserve">: The </w:t>
            </w:r>
            <w:r w:rsidRPr="000C32A1">
              <w:rPr>
                <w:szCs w:val="22"/>
              </w:rPr>
              <w:lastRenderedPageBreak/>
              <w:t xml:space="preserve">recommended dose of </w:t>
            </w:r>
            <w:r w:rsidR="00987E81" w:rsidRPr="000C32A1">
              <w:rPr>
                <w:szCs w:val="22"/>
              </w:rPr>
              <w:t>Keytruda</w:t>
            </w:r>
            <w:r w:rsidRPr="000C32A1">
              <w:rPr>
                <w:szCs w:val="22"/>
              </w:rPr>
              <w:t xml:space="preserve"> is 2 mg/kg administered intravenously over 30 minutes every 3 weeks. Patients should be treated with </w:t>
            </w:r>
            <w:r w:rsidR="00A92BB2" w:rsidRPr="000C32A1">
              <w:rPr>
                <w:szCs w:val="22"/>
              </w:rPr>
              <w:t>Keytruda</w:t>
            </w:r>
            <w:r w:rsidRPr="000C32A1">
              <w:rPr>
                <w:szCs w:val="22"/>
              </w:rPr>
              <w:t xml:space="preserve"> until disease progression or unacceptable toxicity. Atypical responses (that is, an initial transient increase in tumour size or small new lesions within the first few months followed by tumour shrinkage) have been observed. Clinical stable patients with initial evidence of disease progression should remain on treatment until disease progression is confirmed. The RMP evaluator raises the following issues: A.) It may be appropriate for the sponsor to provide further clarification about how disease progression should be defined, in order to justify cessation of treatment with </w:t>
            </w:r>
            <w:r w:rsidR="00A92BB2" w:rsidRPr="000C32A1">
              <w:rPr>
                <w:szCs w:val="22"/>
              </w:rPr>
              <w:t>Keytruda</w:t>
            </w:r>
            <w:r w:rsidRPr="000C32A1">
              <w:rPr>
                <w:szCs w:val="22"/>
              </w:rPr>
              <w:t>, B.) The underlined writing is not included in the US monograph, where the product is registered since September 2014.</w:t>
            </w:r>
          </w:p>
        </w:tc>
        <w:tc>
          <w:tcPr>
            <w:tcW w:w="2907" w:type="dxa"/>
          </w:tcPr>
          <w:p w:rsidR="0038769E" w:rsidRPr="000C32A1" w:rsidRDefault="0038769E" w:rsidP="000C32A1">
            <w:pPr>
              <w:rPr>
                <w:szCs w:val="22"/>
              </w:rPr>
            </w:pPr>
            <w:r w:rsidRPr="000C32A1">
              <w:rPr>
                <w:szCs w:val="22"/>
              </w:rPr>
              <w:lastRenderedPageBreak/>
              <w:t xml:space="preserve">Merck proposes to inform prescribers that atypical responses can occur to </w:t>
            </w:r>
            <w:r w:rsidR="00A92BB2" w:rsidRPr="000C32A1">
              <w:rPr>
                <w:szCs w:val="22"/>
              </w:rPr>
              <w:t>Keytruda</w:t>
            </w:r>
            <w:r w:rsidRPr="000C32A1">
              <w:rPr>
                <w:szCs w:val="22"/>
              </w:rPr>
              <w:t xml:space="preserve">, and that prescribers should confirm progression in patients who are </w:t>
            </w:r>
            <w:r w:rsidRPr="000C32A1">
              <w:rPr>
                <w:szCs w:val="22"/>
              </w:rPr>
              <w:lastRenderedPageBreak/>
              <w:t xml:space="preserve">clinically stable so that they do not prematurely discontinue treatment. In P001, patients were allowed to remain on study treatment after an initial disease assessment of progression until a second disease assessment at least 4 weeks later was performed. If disease progression is confirmed, then patients should discontinue </w:t>
            </w:r>
            <w:r w:rsidR="00A92BB2" w:rsidRPr="000C32A1">
              <w:rPr>
                <w:szCs w:val="22"/>
              </w:rPr>
              <w:t>Keytruda</w:t>
            </w:r>
            <w:r w:rsidRPr="000C32A1">
              <w:rPr>
                <w:szCs w:val="22"/>
              </w:rPr>
              <w:t xml:space="preserve">; if disease progression is not confirmed, then patients may continue </w:t>
            </w:r>
            <w:r w:rsidR="00A92BB2" w:rsidRPr="000C32A1">
              <w:rPr>
                <w:szCs w:val="22"/>
              </w:rPr>
              <w:t>Keytruda</w:t>
            </w:r>
            <w:r w:rsidRPr="000C32A1">
              <w:rPr>
                <w:szCs w:val="22"/>
              </w:rPr>
              <w:t>.</w:t>
            </w:r>
          </w:p>
          <w:p w:rsidR="0038769E" w:rsidRPr="000C32A1" w:rsidRDefault="0038769E" w:rsidP="000C32A1">
            <w:pPr>
              <w:rPr>
                <w:szCs w:val="22"/>
              </w:rPr>
            </w:pPr>
            <w:r w:rsidRPr="000C32A1">
              <w:rPr>
                <w:szCs w:val="22"/>
              </w:rPr>
              <w:t>In the U.S. prescribing information, the above language was included in the initial labelling information proposed to FDA. After FDA review, language on patient management in P001 was relocated to the clinical studies section, and reworded as follows:</w:t>
            </w:r>
          </w:p>
          <w:p w:rsidR="006D7FCC" w:rsidRPr="000C32A1" w:rsidRDefault="00987E81" w:rsidP="000C32A1">
            <w:pPr>
              <w:rPr>
                <w:szCs w:val="22"/>
              </w:rPr>
            </w:pPr>
            <w:r w:rsidRPr="000C32A1">
              <w:rPr>
                <w:szCs w:val="22"/>
              </w:rPr>
              <w:t>‘</w:t>
            </w:r>
            <w:r w:rsidR="0038769E" w:rsidRPr="000C32A1">
              <w:rPr>
                <w:szCs w:val="22"/>
              </w:rPr>
              <w:t>Patients were random</w:t>
            </w:r>
            <w:r w:rsidRPr="000C32A1">
              <w:rPr>
                <w:szCs w:val="22"/>
              </w:rPr>
              <w:t>ise</w:t>
            </w:r>
            <w:r w:rsidR="0038769E" w:rsidRPr="000C32A1">
              <w:rPr>
                <w:szCs w:val="22"/>
              </w:rPr>
              <w:t xml:space="preserve">d to receive 2 mg/kg (n = </w:t>
            </w:r>
            <w:r w:rsidR="00095811" w:rsidRPr="000C32A1">
              <w:rPr>
                <w:szCs w:val="22"/>
              </w:rPr>
              <w:t>89) or 10 </w:t>
            </w:r>
            <w:r w:rsidR="0038769E" w:rsidRPr="000C32A1">
              <w:rPr>
                <w:szCs w:val="22"/>
              </w:rPr>
              <w:t xml:space="preserve">mg/kg (n = 84) of </w:t>
            </w:r>
            <w:r w:rsidR="00A92BB2" w:rsidRPr="000C32A1">
              <w:rPr>
                <w:szCs w:val="22"/>
              </w:rPr>
              <w:t>Keytruda</w:t>
            </w:r>
            <w:r w:rsidR="0038769E" w:rsidRPr="000C32A1">
              <w:rPr>
                <w:szCs w:val="22"/>
              </w:rPr>
              <w:t xml:space="preserve"> </w:t>
            </w:r>
            <w:r w:rsidR="00095811" w:rsidRPr="000C32A1">
              <w:rPr>
                <w:szCs w:val="22"/>
              </w:rPr>
              <w:t>Q3W</w:t>
            </w:r>
            <w:r w:rsidR="0038769E" w:rsidRPr="000C32A1">
              <w:rPr>
                <w:szCs w:val="22"/>
              </w:rPr>
              <w:t xml:space="preserve"> until unacceptable toxicity or disease progression that was symptomatic, was rapidly progressive, required urgent intervention, occurred with a decline in performance status, or was confirmed at 4 to 6 weeks with repeat imaging.</w:t>
            </w:r>
            <w:r w:rsidRPr="000C32A1">
              <w:rPr>
                <w:szCs w:val="22"/>
              </w:rPr>
              <w:t>’</w:t>
            </w:r>
          </w:p>
        </w:tc>
        <w:tc>
          <w:tcPr>
            <w:tcW w:w="2907" w:type="dxa"/>
          </w:tcPr>
          <w:p w:rsidR="0038769E" w:rsidRPr="000C32A1" w:rsidRDefault="0038769E" w:rsidP="000C32A1">
            <w:pPr>
              <w:rPr>
                <w:szCs w:val="22"/>
              </w:rPr>
            </w:pPr>
            <w:r w:rsidRPr="000C32A1">
              <w:rPr>
                <w:szCs w:val="22"/>
              </w:rPr>
              <w:lastRenderedPageBreak/>
              <w:t xml:space="preserve">It appears that the writing in bold was initially included in the US prescribing information, but was subsequently removed, and more detailed </w:t>
            </w:r>
            <w:r w:rsidRPr="000C32A1">
              <w:rPr>
                <w:szCs w:val="22"/>
              </w:rPr>
              <w:lastRenderedPageBreak/>
              <w:t>information was included in the clinical trial section. This is in line with the recommendations made by the RMP evaluator to more clearly define disease progression, and to consider the acceptability of the underlined statement in the proposed form.</w:t>
            </w:r>
          </w:p>
          <w:p w:rsidR="006D7FCC" w:rsidRPr="000C32A1" w:rsidRDefault="0038769E" w:rsidP="000C32A1">
            <w:pPr>
              <w:rPr>
                <w:szCs w:val="22"/>
              </w:rPr>
            </w:pPr>
            <w:r w:rsidRPr="000C32A1">
              <w:rPr>
                <w:szCs w:val="22"/>
              </w:rPr>
              <w:t>It is recommended to the Delegate that additional wording, as it is included in the US prescribing information, be included in the Australian PI. This will provide a clearer description as to how disease progression was determined during the clinical development program, and will provide guidance to physicians as to how disease progression should be defined in the context of treatment with pembrolizumab.</w:t>
            </w:r>
          </w:p>
        </w:tc>
      </w:tr>
      <w:tr w:rsidR="006D7FCC" w:rsidRPr="008C5B58" w:rsidTr="00B54D4E">
        <w:tc>
          <w:tcPr>
            <w:tcW w:w="2906" w:type="dxa"/>
          </w:tcPr>
          <w:p w:rsidR="00735A18" w:rsidRPr="000C32A1" w:rsidRDefault="00B544D2" w:rsidP="000C32A1">
            <w:pPr>
              <w:rPr>
                <w:szCs w:val="22"/>
              </w:rPr>
            </w:pPr>
            <w:r w:rsidRPr="000C32A1">
              <w:rPr>
                <w:szCs w:val="22"/>
              </w:rPr>
              <w:lastRenderedPageBreak/>
              <w:t xml:space="preserve">Amendments to the PI </w:t>
            </w:r>
            <w:r w:rsidRPr="000C32A1">
              <w:rPr>
                <w:szCs w:val="22"/>
              </w:rPr>
              <w:lastRenderedPageBreak/>
              <w:t xml:space="preserve">and CMI as follows: In regard to the proposed routine risk minimisation activities, it is recommended to the Delegate that the draft </w:t>
            </w:r>
            <w:r w:rsidR="00177A85" w:rsidRPr="000C32A1">
              <w:rPr>
                <w:szCs w:val="22"/>
              </w:rPr>
              <w:t>PI</w:t>
            </w:r>
            <w:r w:rsidRPr="000C32A1">
              <w:rPr>
                <w:szCs w:val="22"/>
              </w:rPr>
              <w:t xml:space="preserve"> be revised as follows:</w:t>
            </w:r>
          </w:p>
          <w:p w:rsidR="00B544D2" w:rsidRPr="000C32A1" w:rsidRDefault="00B544D2" w:rsidP="000C32A1">
            <w:pPr>
              <w:rPr>
                <w:szCs w:val="22"/>
              </w:rPr>
            </w:pPr>
            <w:r w:rsidRPr="000C32A1">
              <w:rPr>
                <w:szCs w:val="22"/>
              </w:rPr>
              <w:t xml:space="preserve">A.) The sponsor should add a statement in the PI describing that the product has been derived using mammalian cells of Hamster origin. B.) The sponsor should add a statement informing health care professionals </w:t>
            </w:r>
            <w:proofErr w:type="gramStart"/>
            <w:r w:rsidRPr="000C32A1">
              <w:rPr>
                <w:szCs w:val="22"/>
              </w:rPr>
              <w:t>that patients</w:t>
            </w:r>
            <w:proofErr w:type="gramEnd"/>
            <w:r w:rsidRPr="000C32A1">
              <w:rPr>
                <w:szCs w:val="22"/>
              </w:rPr>
              <w:t xml:space="preserve"> with active infections should be appropriately treated prior to commencement of therapy with </w:t>
            </w:r>
            <w:r w:rsidR="00A92BB2" w:rsidRPr="000C32A1">
              <w:rPr>
                <w:szCs w:val="22"/>
              </w:rPr>
              <w:t>Keytruda</w:t>
            </w:r>
            <w:r w:rsidRPr="000C32A1">
              <w:rPr>
                <w:szCs w:val="22"/>
              </w:rPr>
              <w:t>. C.) The sponsor should amend the PI to include a statement describing that only experienced oncologists should administer the product.</w:t>
            </w:r>
          </w:p>
          <w:p w:rsidR="00B544D2" w:rsidRPr="000C32A1" w:rsidRDefault="00B544D2" w:rsidP="000C32A1">
            <w:pPr>
              <w:rPr>
                <w:szCs w:val="22"/>
              </w:rPr>
            </w:pPr>
            <w:r w:rsidRPr="000C32A1">
              <w:rPr>
                <w:szCs w:val="22"/>
              </w:rPr>
              <w:t xml:space="preserve">In regard to the proposed routine risk minimisation activities, it is recommended to the Delegate that the draft </w:t>
            </w:r>
            <w:r w:rsidR="00177A85" w:rsidRPr="000C32A1">
              <w:rPr>
                <w:szCs w:val="22"/>
              </w:rPr>
              <w:t>CMI</w:t>
            </w:r>
            <w:r w:rsidRPr="000C32A1">
              <w:rPr>
                <w:szCs w:val="22"/>
              </w:rPr>
              <w:t xml:space="preserve"> </w:t>
            </w:r>
            <w:r w:rsidR="0085409C" w:rsidRPr="000C32A1">
              <w:rPr>
                <w:szCs w:val="22"/>
              </w:rPr>
              <w:t>document be revised as follows:</w:t>
            </w:r>
          </w:p>
          <w:p w:rsidR="006D7FCC" w:rsidRPr="000C32A1" w:rsidRDefault="00B544D2" w:rsidP="000C32A1">
            <w:pPr>
              <w:rPr>
                <w:szCs w:val="22"/>
              </w:rPr>
            </w:pPr>
            <w:r w:rsidRPr="000C32A1">
              <w:rPr>
                <w:szCs w:val="22"/>
              </w:rPr>
              <w:t xml:space="preserve">D.) The sponsor should add a statement in the CMI informing patients with a known allergy to Hamster protein to be more cautious when receiving </w:t>
            </w:r>
            <w:r w:rsidR="00A92BB2" w:rsidRPr="000C32A1">
              <w:rPr>
                <w:szCs w:val="22"/>
              </w:rPr>
              <w:t>Keytruda</w:t>
            </w:r>
            <w:r w:rsidRPr="000C32A1">
              <w:rPr>
                <w:szCs w:val="22"/>
              </w:rPr>
              <w:t>.</w:t>
            </w:r>
          </w:p>
        </w:tc>
        <w:tc>
          <w:tcPr>
            <w:tcW w:w="2907" w:type="dxa"/>
          </w:tcPr>
          <w:p w:rsidR="006D7FCC" w:rsidRPr="000C32A1" w:rsidRDefault="00B544D2" w:rsidP="000C32A1">
            <w:pPr>
              <w:rPr>
                <w:szCs w:val="22"/>
              </w:rPr>
            </w:pPr>
            <w:r w:rsidRPr="000C32A1">
              <w:rPr>
                <w:szCs w:val="22"/>
              </w:rPr>
              <w:lastRenderedPageBreak/>
              <w:t xml:space="preserve">The amended </w:t>
            </w:r>
            <w:r w:rsidR="00177A85" w:rsidRPr="000C32A1">
              <w:rPr>
                <w:szCs w:val="22"/>
              </w:rPr>
              <w:t xml:space="preserve">PI is </w:t>
            </w:r>
            <w:r w:rsidR="00177A85" w:rsidRPr="000C32A1">
              <w:rPr>
                <w:szCs w:val="22"/>
              </w:rPr>
              <w:lastRenderedPageBreak/>
              <w:t>provided.</w:t>
            </w:r>
          </w:p>
        </w:tc>
        <w:tc>
          <w:tcPr>
            <w:tcW w:w="2907" w:type="dxa"/>
          </w:tcPr>
          <w:p w:rsidR="00B544D2" w:rsidRPr="000C32A1" w:rsidRDefault="00B544D2" w:rsidP="000C32A1">
            <w:pPr>
              <w:rPr>
                <w:szCs w:val="22"/>
              </w:rPr>
            </w:pPr>
            <w:r w:rsidRPr="000C32A1">
              <w:rPr>
                <w:szCs w:val="22"/>
              </w:rPr>
              <w:lastRenderedPageBreak/>
              <w:t xml:space="preserve">A.) The sponsor has </w:t>
            </w:r>
            <w:r w:rsidRPr="000C32A1">
              <w:rPr>
                <w:szCs w:val="22"/>
              </w:rPr>
              <w:lastRenderedPageBreak/>
              <w:t>added a statement as recommended.</w:t>
            </w:r>
          </w:p>
          <w:p w:rsidR="00B544D2" w:rsidRPr="000C32A1" w:rsidRDefault="00177A85" w:rsidP="000C32A1">
            <w:pPr>
              <w:rPr>
                <w:szCs w:val="22"/>
              </w:rPr>
            </w:pPr>
            <w:r w:rsidRPr="000C32A1">
              <w:rPr>
                <w:szCs w:val="22"/>
              </w:rPr>
              <w:t>Pending the D</w:t>
            </w:r>
            <w:r w:rsidR="00B544D2" w:rsidRPr="000C32A1">
              <w:rPr>
                <w:szCs w:val="22"/>
              </w:rPr>
              <w:t>elegate’s approval, this is considered acceptable.</w:t>
            </w:r>
          </w:p>
          <w:p w:rsidR="00B544D2" w:rsidRPr="000C32A1" w:rsidRDefault="00B544D2" w:rsidP="000C32A1">
            <w:pPr>
              <w:rPr>
                <w:szCs w:val="22"/>
              </w:rPr>
            </w:pPr>
            <w:r w:rsidRPr="000C32A1">
              <w:rPr>
                <w:szCs w:val="22"/>
              </w:rPr>
              <w:t>B.) The sponsor has not included a statement as recommended. Of relevan</w:t>
            </w:r>
            <w:r w:rsidR="00177A85" w:rsidRPr="000C32A1">
              <w:rPr>
                <w:szCs w:val="22"/>
              </w:rPr>
              <w:t>ce the sponsor states in their</w:t>
            </w:r>
            <w:r w:rsidRPr="000C32A1">
              <w:rPr>
                <w:szCs w:val="22"/>
              </w:rPr>
              <w:t xml:space="preserve"> response: </w:t>
            </w:r>
            <w:r w:rsidR="00177A85" w:rsidRPr="000C32A1">
              <w:rPr>
                <w:i/>
                <w:szCs w:val="22"/>
              </w:rPr>
              <w:t xml:space="preserve">it was </w:t>
            </w:r>
            <w:r w:rsidRPr="000C32A1">
              <w:rPr>
                <w:i/>
                <w:szCs w:val="22"/>
              </w:rPr>
              <w:t>recommended that the patient’s active infection be treated prior to the start of therapy with pembrolizumab in study P001.</w:t>
            </w:r>
          </w:p>
          <w:p w:rsidR="00B544D2" w:rsidRPr="000C32A1" w:rsidRDefault="00B544D2" w:rsidP="000C32A1">
            <w:pPr>
              <w:rPr>
                <w:szCs w:val="22"/>
              </w:rPr>
            </w:pPr>
            <w:r w:rsidRPr="000C32A1">
              <w:rPr>
                <w:szCs w:val="22"/>
              </w:rPr>
              <w:t xml:space="preserve">As such a recommendation was made during the clinical development program, and there is no safety data available for patients being treated with an active infection, this recommendation </w:t>
            </w:r>
            <w:r w:rsidR="00177A85" w:rsidRPr="000C32A1">
              <w:rPr>
                <w:szCs w:val="22"/>
              </w:rPr>
              <w:t>to the D</w:t>
            </w:r>
            <w:r w:rsidRPr="000C32A1">
              <w:rPr>
                <w:szCs w:val="22"/>
              </w:rPr>
              <w:t>elegate remains.</w:t>
            </w:r>
          </w:p>
          <w:p w:rsidR="00B544D2" w:rsidRPr="000C32A1" w:rsidRDefault="00B544D2" w:rsidP="000C32A1">
            <w:pPr>
              <w:rPr>
                <w:szCs w:val="22"/>
              </w:rPr>
            </w:pPr>
            <w:r w:rsidRPr="000C32A1">
              <w:rPr>
                <w:szCs w:val="22"/>
              </w:rPr>
              <w:t xml:space="preserve">C.) The sponsor has added the following statement: </w:t>
            </w:r>
            <w:r w:rsidRPr="000C32A1">
              <w:rPr>
                <w:i/>
                <w:szCs w:val="22"/>
              </w:rPr>
              <w:t>Treatment must be initiated and supervised by healthcare professionals experienced in the treatment of cancer</w:t>
            </w:r>
            <w:r w:rsidRPr="000C32A1">
              <w:rPr>
                <w:szCs w:val="22"/>
              </w:rPr>
              <w:t>.</w:t>
            </w:r>
          </w:p>
          <w:p w:rsidR="00B544D2" w:rsidRPr="000C32A1" w:rsidRDefault="00B544D2" w:rsidP="000C32A1">
            <w:pPr>
              <w:rPr>
                <w:i/>
                <w:szCs w:val="22"/>
              </w:rPr>
            </w:pPr>
            <w:r w:rsidRPr="000C32A1">
              <w:rPr>
                <w:szCs w:val="22"/>
              </w:rPr>
              <w:t xml:space="preserve">It is recommended </w:t>
            </w:r>
            <w:r w:rsidR="00177A85" w:rsidRPr="000C32A1">
              <w:rPr>
                <w:szCs w:val="22"/>
              </w:rPr>
              <w:t>to the D</w:t>
            </w:r>
            <w:r w:rsidRPr="000C32A1">
              <w:rPr>
                <w:szCs w:val="22"/>
              </w:rPr>
              <w:t xml:space="preserve">elegate that this statement </w:t>
            </w:r>
            <w:proofErr w:type="gramStart"/>
            <w:r w:rsidRPr="000C32A1">
              <w:rPr>
                <w:szCs w:val="22"/>
              </w:rPr>
              <w:t>be</w:t>
            </w:r>
            <w:proofErr w:type="gramEnd"/>
            <w:r w:rsidRPr="000C32A1">
              <w:rPr>
                <w:szCs w:val="22"/>
              </w:rPr>
              <w:t xml:space="preserve"> amended to</w:t>
            </w:r>
            <w:r w:rsidRPr="000C32A1">
              <w:rPr>
                <w:i/>
                <w:szCs w:val="22"/>
              </w:rPr>
              <w:t>: Treatment must be initiated and supervised by specialist physicians experienced in the treatment of cancer.</w:t>
            </w:r>
          </w:p>
          <w:p w:rsidR="00B544D2" w:rsidRPr="000C32A1" w:rsidRDefault="00B544D2" w:rsidP="000C32A1">
            <w:pPr>
              <w:rPr>
                <w:szCs w:val="22"/>
              </w:rPr>
            </w:pPr>
            <w:r w:rsidRPr="000C32A1">
              <w:rPr>
                <w:szCs w:val="22"/>
              </w:rPr>
              <w:t>D.) The sponsor has not included a statement as recommended.</w:t>
            </w:r>
          </w:p>
          <w:p w:rsidR="006D7FCC" w:rsidRPr="000C32A1" w:rsidRDefault="00177A85" w:rsidP="000C32A1">
            <w:pPr>
              <w:rPr>
                <w:szCs w:val="22"/>
              </w:rPr>
            </w:pPr>
            <w:r w:rsidRPr="000C32A1">
              <w:rPr>
                <w:szCs w:val="22"/>
              </w:rPr>
              <w:t>This recommendation remains.</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013DC5" w:rsidRPr="00013DC5" w:rsidRDefault="00013DC5" w:rsidP="00013DC5">
      <w:pPr>
        <w:pStyle w:val="Heading5"/>
      </w:pPr>
      <w:r w:rsidRPr="00013DC5">
        <w:t>Outstanding issues</w:t>
      </w:r>
    </w:p>
    <w:p w:rsidR="00013DC5" w:rsidRPr="00013DC5" w:rsidRDefault="00013DC5" w:rsidP="00013DC5">
      <w:pPr>
        <w:pStyle w:val="Heading6"/>
      </w:pPr>
      <w:r w:rsidRPr="00013DC5">
        <w:t>RMP related issues remain</w:t>
      </w:r>
      <w:r w:rsidR="00095811">
        <w:t>ing from the round 1 RMP report</w:t>
      </w:r>
    </w:p>
    <w:p w:rsidR="00013DC5" w:rsidRPr="00013DC5" w:rsidRDefault="00013DC5" w:rsidP="00013DC5">
      <w:pPr>
        <w:pStyle w:val="Numberbullet0"/>
      </w:pPr>
      <w:r w:rsidRPr="00013DC5">
        <w:t xml:space="preserve">The sponsor should provide justification as to why </w:t>
      </w:r>
      <w:r w:rsidR="00987E81">
        <w:t>‘</w:t>
      </w:r>
      <w:r w:rsidRPr="00013DC5">
        <w:t>Skin disorders</w:t>
      </w:r>
      <w:r w:rsidR="00987E81">
        <w:t>’</w:t>
      </w:r>
      <w:r w:rsidRPr="00013DC5">
        <w:t xml:space="preserve"> was added as potential risk rather than an identified risk to the table of ongoing safety concerns.</w:t>
      </w:r>
    </w:p>
    <w:p w:rsidR="00013DC5" w:rsidRPr="00013DC5" w:rsidRDefault="00013DC5" w:rsidP="00013DC5">
      <w:pPr>
        <w:pStyle w:val="Numberbullet0"/>
      </w:pPr>
      <w:r w:rsidRPr="00013DC5">
        <w:t xml:space="preserve">It is recommended that </w:t>
      </w:r>
      <w:r w:rsidR="00987E81">
        <w:t>‘</w:t>
      </w:r>
      <w:r w:rsidRPr="00013DC5">
        <w:t>Safety in patients with an active infection</w:t>
      </w:r>
      <w:r w:rsidR="00987E81">
        <w:t>’</w:t>
      </w:r>
      <w:r w:rsidRPr="00013DC5">
        <w:t xml:space="preserve"> be added as missing information to the table of ongoing safety concerns.</w:t>
      </w:r>
    </w:p>
    <w:p w:rsidR="00013DC5" w:rsidRPr="00013DC5" w:rsidRDefault="00013DC5" w:rsidP="00013DC5">
      <w:pPr>
        <w:pStyle w:val="Numberbullet0"/>
      </w:pPr>
      <w:r w:rsidRPr="00013DC5">
        <w:t>As the safety data base is relatively small, it is recommended that the sponsor implements further pharmacovigilance activities in Australia, to ensure the safe use of the product, should it be approved. This includes, but is not limited to: 1.) Implementation of a Post Authorisation Safety Study (PASS) to collect detailed information about th</w:t>
      </w:r>
      <w:r w:rsidR="00095811">
        <w:t>e safety profile of the product.</w:t>
      </w:r>
    </w:p>
    <w:p w:rsidR="00013DC5" w:rsidRPr="00013DC5" w:rsidRDefault="00013DC5" w:rsidP="00013DC5">
      <w:pPr>
        <w:pStyle w:val="Numberbullet0"/>
      </w:pPr>
      <w:r w:rsidRPr="00013DC5">
        <w:t>It is recommended that the sponsor implements additional risk-minimisation activities in Australia; including a Healthcare Professional FAQ Brochure and Patient Information Brochures including alert cards.</w:t>
      </w:r>
    </w:p>
    <w:p w:rsidR="00013DC5" w:rsidRPr="00013DC5" w:rsidRDefault="00013DC5" w:rsidP="00013DC5">
      <w:pPr>
        <w:pStyle w:val="Heading6"/>
      </w:pPr>
      <w:r w:rsidRPr="00013DC5">
        <w:t>New issues arising fol</w:t>
      </w:r>
      <w:r>
        <w:t>lowing the evaluation of the sponsor’s</w:t>
      </w:r>
      <w:r w:rsidR="00095811">
        <w:t xml:space="preserve"> response</w:t>
      </w:r>
    </w:p>
    <w:p w:rsidR="00013DC5" w:rsidRPr="00013DC5" w:rsidRDefault="00013DC5" w:rsidP="00013DC5">
      <w:pPr>
        <w:pStyle w:val="Numberbullet0"/>
      </w:pPr>
      <w:r w:rsidRPr="00013DC5">
        <w:t>It is recommended that the sponsor provides the updated RMP for review prior to approval.</w:t>
      </w:r>
    </w:p>
    <w:p w:rsidR="00013DC5" w:rsidRPr="00013DC5" w:rsidRDefault="00013DC5" w:rsidP="00013DC5">
      <w:pPr>
        <w:pStyle w:val="Numberbullet0"/>
      </w:pPr>
      <w:r w:rsidRPr="00013DC5">
        <w:t>It is recommended that additional follow-up forms are included in the pharmacovigilance plan of the RMP, and that these forms are attache</w:t>
      </w:r>
      <w:r w:rsidR="00095811">
        <w:t>d to an updated RMP as an annex.</w:t>
      </w:r>
    </w:p>
    <w:p w:rsidR="00013DC5" w:rsidRPr="00013DC5" w:rsidRDefault="00013DC5" w:rsidP="00013DC5">
      <w:pPr>
        <w:pStyle w:val="Numberbullet0"/>
      </w:pPr>
      <w:r w:rsidRPr="00013DC5">
        <w:t>It is recommended that the sponsor clarifies if educational materials for physicians and patients will form part of the RMP, and if so, this activity should be incorporated in the risk-minimisation plan of the RMP, and these documents attached to the updated RMP as an annex</w:t>
      </w:r>
      <w:r w:rsidR="00095811">
        <w:t>.</w:t>
      </w:r>
    </w:p>
    <w:p w:rsidR="00013DC5" w:rsidRPr="00013DC5" w:rsidRDefault="00013DC5" w:rsidP="00013DC5">
      <w:pPr>
        <w:pStyle w:val="Heading6"/>
      </w:pPr>
      <w:r w:rsidRPr="00013DC5">
        <w:t>Recomme</w:t>
      </w:r>
      <w:r w:rsidR="006D5F27">
        <w:t xml:space="preserve">ndations to the </w:t>
      </w:r>
      <w:r w:rsidR="000C32A1">
        <w:t>d</w:t>
      </w:r>
      <w:r w:rsidRPr="00013DC5">
        <w:t>el</w:t>
      </w:r>
      <w:r w:rsidR="00095811">
        <w:t>egate in relation to the PI/CMI</w:t>
      </w:r>
    </w:p>
    <w:p w:rsidR="00013DC5" w:rsidRPr="00013DC5" w:rsidRDefault="00013DC5" w:rsidP="00013DC5">
      <w:pPr>
        <w:pStyle w:val="Numberbullet0"/>
      </w:pPr>
      <w:r w:rsidRPr="00013DC5">
        <w:t>It is recommended to the delegate that a clearer description as to how disease progression was defined in the context of treatment with pembrolizumab during the clinical development program is provided in the PI.</w:t>
      </w:r>
    </w:p>
    <w:p w:rsidR="00013DC5" w:rsidRPr="00013DC5" w:rsidRDefault="00013DC5" w:rsidP="00013DC5">
      <w:pPr>
        <w:pStyle w:val="Numberbullet0"/>
      </w:pPr>
      <w:r w:rsidRPr="00013DC5">
        <w:t>The sponsor should add a PI statement informing health care professionals that patient</w:t>
      </w:r>
      <w:r w:rsidR="006D5F27">
        <w:t>’</w:t>
      </w:r>
      <w:r w:rsidRPr="00013DC5">
        <w:t xml:space="preserve">s with active infections should be appropriately treated prior to commencement of therapy with </w:t>
      </w:r>
      <w:r w:rsidR="00A92BB2">
        <w:t>Keytruda</w:t>
      </w:r>
      <w:r w:rsidRPr="00013DC5">
        <w:t>.</w:t>
      </w:r>
    </w:p>
    <w:p w:rsidR="00013DC5" w:rsidRPr="00013DC5" w:rsidRDefault="00013DC5" w:rsidP="00013DC5">
      <w:pPr>
        <w:pStyle w:val="Numberbullet0"/>
      </w:pPr>
      <w:r w:rsidRPr="00013DC5">
        <w:t>The sponsor should amend the PI to include a statement describing that only specialist physicians should administer the product.</w:t>
      </w:r>
    </w:p>
    <w:p w:rsidR="00013DC5" w:rsidRPr="00013DC5" w:rsidRDefault="00013DC5" w:rsidP="00013DC5">
      <w:pPr>
        <w:pStyle w:val="Numberbullet0"/>
      </w:pPr>
      <w:r w:rsidRPr="00013DC5">
        <w:t xml:space="preserve">The sponsor should add a statement in the CMI informing patients with a known allergy to Hamster protein to be more cautious when receiving </w:t>
      </w:r>
      <w:r w:rsidR="00A92BB2">
        <w:t>Keytruda</w:t>
      </w:r>
      <w:r w:rsidRPr="00013DC5">
        <w:t>.</w:t>
      </w:r>
    </w:p>
    <w:p w:rsidR="00013DC5" w:rsidRPr="00013DC5" w:rsidRDefault="00013DC5" w:rsidP="00013DC5">
      <w:pPr>
        <w:pStyle w:val="Heading6"/>
      </w:pPr>
      <w:r w:rsidRPr="00013DC5">
        <w:t>Additional recommendations reg</w:t>
      </w:r>
      <w:r w:rsidR="00095811">
        <w:t>arding the PI/CMI made by ACSOM</w:t>
      </w:r>
    </w:p>
    <w:p w:rsidR="00013DC5" w:rsidRPr="00013DC5" w:rsidRDefault="00013DC5" w:rsidP="00013DC5">
      <w:pPr>
        <w:pStyle w:val="Numberbullet0"/>
      </w:pPr>
      <w:proofErr w:type="spellStart"/>
      <w:r w:rsidRPr="00013DC5">
        <w:t>Hypophysitis</w:t>
      </w:r>
      <w:proofErr w:type="spellEnd"/>
      <w:r w:rsidRPr="00013DC5">
        <w:t xml:space="preserve"> was a serious Potential Risk that needs to be highlighted in information to prescribers, as it can be fatal if unrecognised.</w:t>
      </w:r>
    </w:p>
    <w:p w:rsidR="00013DC5" w:rsidRPr="00013DC5" w:rsidRDefault="00013DC5" w:rsidP="00013DC5">
      <w:pPr>
        <w:pStyle w:val="Numberbullet0"/>
      </w:pPr>
      <w:r w:rsidRPr="00013DC5">
        <w:t>A number of the exclusion criteria for the clinical trials do not appear in the PI as contraindications. The committee advised this should also be done as the safety of this medicine in these patient groups was certainly not established.</w:t>
      </w:r>
    </w:p>
    <w:p w:rsidR="00013DC5" w:rsidRPr="00013DC5" w:rsidRDefault="00013DC5" w:rsidP="00013DC5">
      <w:pPr>
        <w:pStyle w:val="Numberbullet0"/>
      </w:pPr>
      <w:r w:rsidRPr="00013DC5">
        <w:t xml:space="preserve">The committee advised that the CMI appeared bland and needed to highlight that the medicine was novel, its approval was based on limited safety information, and </w:t>
      </w:r>
      <w:r w:rsidRPr="00013DC5">
        <w:lastRenderedPageBreak/>
        <w:t>positive and negative events related to the medicine may occur after treatment had ceased. The committee considered that such caveats could also appear in the PI.</w:t>
      </w:r>
    </w:p>
    <w:p w:rsidR="00013DC5" w:rsidRPr="00013DC5" w:rsidRDefault="00095811" w:rsidP="00013DC5">
      <w:pPr>
        <w:pStyle w:val="Heading5"/>
      </w:pPr>
      <w:r>
        <w:t>Key changes to the updated RMP</w:t>
      </w:r>
    </w:p>
    <w:p w:rsidR="00013DC5" w:rsidRPr="00013DC5" w:rsidRDefault="00013DC5" w:rsidP="00013DC5">
      <w:r w:rsidRPr="00013DC5">
        <w:t xml:space="preserve">In their response to the TGA </w:t>
      </w:r>
      <w:r w:rsidR="00987E81">
        <w:t>r</w:t>
      </w:r>
      <w:r w:rsidRPr="00013DC5">
        <w:t xml:space="preserve">equests </w:t>
      </w:r>
      <w:r w:rsidR="00987E81">
        <w:t xml:space="preserve">for information </w:t>
      </w:r>
      <w:r w:rsidRPr="00013DC5">
        <w:t>the sponsor states that the following changes will be made to an updated version of the RMP (version 1.1). However, the updated RMP has not been provided for assessment.</w:t>
      </w:r>
    </w:p>
    <w:p w:rsidR="00013DC5" w:rsidRPr="00013DC5" w:rsidRDefault="00013DC5" w:rsidP="00E219E5">
      <w:pPr>
        <w:pStyle w:val="Numberbullet0"/>
        <w:numPr>
          <w:ilvl w:val="0"/>
          <w:numId w:val="7"/>
        </w:numPr>
      </w:pPr>
      <w:r w:rsidRPr="00013DC5">
        <w:t xml:space="preserve">Elevation of some important potential risks to important identified risks in the EU RMP that were considered immune-mediated adverse reactions, including </w:t>
      </w:r>
      <w:proofErr w:type="spellStart"/>
      <w:r w:rsidRPr="00013DC5">
        <w:t>hypophysitis</w:t>
      </w:r>
      <w:proofErr w:type="spellEnd"/>
      <w:r w:rsidRPr="00013DC5">
        <w:t>, hypopituitarism, including secondary adrenal insufficiency; nephritis; and uveitis.</w:t>
      </w:r>
    </w:p>
    <w:p w:rsidR="00013DC5" w:rsidRPr="00013DC5" w:rsidRDefault="00013DC5" w:rsidP="00E219E5">
      <w:pPr>
        <w:pStyle w:val="Numberbullet0"/>
        <w:numPr>
          <w:ilvl w:val="0"/>
          <w:numId w:val="7"/>
        </w:numPr>
      </w:pPr>
      <w:r w:rsidRPr="00013DC5">
        <w:t>Two new important identified risks were recently added to the</w:t>
      </w:r>
      <w:r w:rsidR="00095811">
        <w:t xml:space="preserve"> safety risk profile, an immune </w:t>
      </w:r>
      <w:r w:rsidRPr="00013DC5">
        <w:t>mediated adverse reaction of Type 1 Diabetes Mellitus (T1DM) and an adverse reaction of infusion related reactions.</w:t>
      </w:r>
    </w:p>
    <w:p w:rsidR="00013DC5" w:rsidRPr="00013DC5" w:rsidRDefault="00013DC5" w:rsidP="00E219E5">
      <w:pPr>
        <w:pStyle w:val="Numberbullet0"/>
        <w:numPr>
          <w:ilvl w:val="0"/>
          <w:numId w:val="7"/>
        </w:numPr>
      </w:pPr>
      <w:r w:rsidRPr="00013DC5">
        <w:t>One new important potential risk was added, severe skin reactions</w:t>
      </w:r>
      <w:r w:rsidR="00095811">
        <w:t xml:space="preserve">, which is considered an immune </w:t>
      </w:r>
      <w:r w:rsidRPr="00013DC5">
        <w:t>mediated adverse event.</w:t>
      </w:r>
    </w:p>
    <w:p w:rsidR="00013DC5" w:rsidRPr="00013DC5" w:rsidRDefault="00013DC5" w:rsidP="00E219E5">
      <w:pPr>
        <w:pStyle w:val="Numberbullet0"/>
        <w:numPr>
          <w:ilvl w:val="0"/>
          <w:numId w:val="7"/>
        </w:numPr>
      </w:pPr>
      <w:r w:rsidRPr="00013DC5">
        <w:t xml:space="preserve">The missing information section of the EU RMP is also being updated to include: Safety in patients with previous hypersensitivity to another monoclonal antibody; and, Safety in patients with intolerance to ipilimumab </w:t>
      </w:r>
      <w:r w:rsidR="00095811">
        <w:t xml:space="preserve">or with ongoing </w:t>
      </w:r>
      <w:r w:rsidR="00095811" w:rsidRPr="00013DC5">
        <w:t xml:space="preserve">ipilimumab </w:t>
      </w:r>
      <w:r w:rsidRPr="00013DC5">
        <w:t>related AEs.</w:t>
      </w:r>
    </w:p>
    <w:p w:rsidR="00735A18" w:rsidRDefault="00987E81" w:rsidP="00987E81">
      <w:pPr>
        <w:pStyle w:val="Heading5"/>
      </w:pPr>
      <w:r w:rsidRPr="00987E81">
        <w:t>Suggested wording for conditions of registration</w:t>
      </w:r>
    </w:p>
    <w:p w:rsidR="00987E81" w:rsidRPr="00987E81" w:rsidRDefault="00987E81" w:rsidP="00987E81">
      <w:pPr>
        <w:pStyle w:val="Heading6"/>
      </w:pPr>
      <w:r w:rsidRPr="00987E81">
        <w:t>RMP</w:t>
      </w:r>
    </w:p>
    <w:p w:rsidR="00013DC5" w:rsidRPr="00013DC5" w:rsidRDefault="00987E81" w:rsidP="00013DC5">
      <w:r w:rsidRPr="00987E81">
        <w:t>Due to various outstanding RMP issues, and because the updated EU-RMP version 1.1 cited by the sponsor, has not been reviewed by the TGA, no specific wording can be provided at this time.</w:t>
      </w:r>
    </w:p>
    <w:p w:rsidR="008E7846" w:rsidRPr="00792A32" w:rsidRDefault="008E7846" w:rsidP="008E7846">
      <w:pPr>
        <w:pStyle w:val="Heading2"/>
      </w:pPr>
      <w:bookmarkStart w:id="161" w:name="_Toc314842510"/>
      <w:bookmarkStart w:id="162" w:name="_Toc46454502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0"/>
      <w:bookmarkEnd w:id="160"/>
      <w:bookmarkEnd w:id="161"/>
      <w:bookmarkEnd w:id="162"/>
    </w:p>
    <w:p w:rsidR="008E7846" w:rsidRDefault="008E7846" w:rsidP="008E7846">
      <w:bookmarkStart w:id="163" w:name="_Toc247691528"/>
      <w:r>
        <w:t xml:space="preserve">The submission was summarised in the following </w:t>
      </w:r>
      <w:r w:rsidRPr="00EF5C48">
        <w:t xml:space="preserve">Delegate’s </w:t>
      </w:r>
      <w:r>
        <w:t>overview</w:t>
      </w:r>
      <w:r w:rsidRPr="00EF5C48">
        <w:t xml:space="preserve"> and recommendation</w:t>
      </w:r>
      <w:r w:rsidR="0085409C">
        <w:t>s.</w:t>
      </w:r>
    </w:p>
    <w:p w:rsidR="00426673" w:rsidRDefault="00426673" w:rsidP="00426673">
      <w:pPr>
        <w:pStyle w:val="Heading3"/>
      </w:pPr>
      <w:bookmarkStart w:id="164" w:name="_Toc464545026"/>
      <w:r>
        <w:t>Introduction</w:t>
      </w:r>
      <w:bookmarkEnd w:id="164"/>
    </w:p>
    <w:p w:rsidR="00B9682F" w:rsidRPr="00B9682F" w:rsidRDefault="00B9682F" w:rsidP="00B9682F">
      <w:pPr>
        <w:pStyle w:val="Heading4"/>
      </w:pPr>
      <w:r w:rsidRPr="00B9682F">
        <w:t>Clinical development programme</w:t>
      </w:r>
    </w:p>
    <w:p w:rsidR="00B9682F" w:rsidRPr="00B9682F" w:rsidRDefault="00B9682F" w:rsidP="00B9682F">
      <w:r w:rsidRPr="00B9682F">
        <w:t>Pembrolizumab</w:t>
      </w:r>
      <w:r w:rsidRPr="00A92BB2">
        <w:rPr>
          <w:vertAlign w:val="superscript"/>
        </w:rPr>
        <w:footnoteReference w:id="26"/>
      </w:r>
      <w:r w:rsidRPr="00B9682F">
        <w:t xml:space="preserve"> is a monoclonal antibody against PD-1.</w:t>
      </w:r>
      <w:r w:rsidR="00987E81">
        <w:t xml:space="preserve"> </w:t>
      </w:r>
      <w:r w:rsidRPr="00B9682F">
        <w:t>The current application is for use in unresectable or metastatic melanoma, but pembrolizumab is also being tes</w:t>
      </w:r>
      <w:r w:rsidR="00F92586">
        <w:t>ted in patients with NSCLC</w:t>
      </w:r>
      <w:r w:rsidR="00095811">
        <w:t xml:space="preserve">, triple </w:t>
      </w:r>
      <w:r w:rsidRPr="00B9682F">
        <w:t xml:space="preserve">negative breast cancer, urothelial cancer, head and neck cancer, gastric cancer and </w:t>
      </w:r>
      <w:r w:rsidR="00BE1D8B" w:rsidRPr="00B9682F">
        <w:t>hematologic</w:t>
      </w:r>
      <w:r w:rsidRPr="00B9682F">
        <w:t xml:space="preserve"> malignancies. </w:t>
      </w:r>
      <w:r w:rsidR="0034465F">
        <w:t xml:space="preserve">Table 10 </w:t>
      </w:r>
      <w:r w:rsidRPr="00B9682F">
        <w:t>summarises pembrolizumab studies across these cancer types; clinicaltrials.gov suggests even broader testing.</w:t>
      </w:r>
    </w:p>
    <w:p w:rsidR="00B9682F" w:rsidRDefault="00B9682F" w:rsidP="00095811">
      <w:pPr>
        <w:pStyle w:val="Tabletitle0"/>
        <w:pageBreakBefore/>
      </w:pPr>
      <w:proofErr w:type="gramStart"/>
      <w:r>
        <w:lastRenderedPageBreak/>
        <w:t xml:space="preserve">Table </w:t>
      </w:r>
      <w:r w:rsidR="0034465F">
        <w:t>10</w:t>
      </w:r>
      <w:r>
        <w:t>.</w:t>
      </w:r>
      <w:proofErr w:type="gramEnd"/>
      <w:r>
        <w:t xml:space="preserve"> Pembrolizumab clinical development programme</w:t>
      </w:r>
    </w:p>
    <w:tbl>
      <w:tblPr>
        <w:tblStyle w:val="TableTGAblue"/>
        <w:tblW w:w="8745" w:type="dxa"/>
        <w:tblLayout w:type="fixed"/>
        <w:tblLook w:val="04A0" w:firstRow="1" w:lastRow="0" w:firstColumn="1" w:lastColumn="0" w:noHBand="0" w:noVBand="1"/>
      </w:tblPr>
      <w:tblGrid>
        <w:gridCol w:w="959"/>
        <w:gridCol w:w="1559"/>
        <w:gridCol w:w="1134"/>
        <w:gridCol w:w="992"/>
        <w:gridCol w:w="993"/>
        <w:gridCol w:w="1275"/>
        <w:gridCol w:w="1833"/>
      </w:tblGrid>
      <w:tr w:rsidR="000C32A1" w:rsidRPr="000C32A1" w:rsidTr="000C32A1">
        <w:trPr>
          <w:cnfStyle w:val="100000000000" w:firstRow="1" w:lastRow="0" w:firstColumn="0" w:lastColumn="0" w:oddVBand="0" w:evenVBand="0" w:oddHBand="0" w:evenHBand="0" w:firstRowFirstColumn="0" w:firstRowLastColumn="0" w:lastRowFirstColumn="0" w:lastRowLastColumn="0"/>
          <w:trHeight w:val="615"/>
        </w:trPr>
        <w:tc>
          <w:tcPr>
            <w:tcW w:w="959" w:type="dxa"/>
          </w:tcPr>
          <w:p w:rsidR="00A90E3B" w:rsidRPr="000C32A1" w:rsidRDefault="00A90E3B" w:rsidP="000C32A1">
            <w:pPr>
              <w:ind w:left="0"/>
              <w:rPr>
                <w:sz w:val="20"/>
                <w:szCs w:val="20"/>
              </w:rPr>
            </w:pPr>
            <w:r w:rsidRPr="000C32A1">
              <w:rPr>
                <w:sz w:val="20"/>
                <w:szCs w:val="20"/>
              </w:rPr>
              <w:t>Study</w:t>
            </w:r>
          </w:p>
        </w:tc>
        <w:tc>
          <w:tcPr>
            <w:tcW w:w="1559" w:type="dxa"/>
          </w:tcPr>
          <w:p w:rsidR="00A90E3B" w:rsidRPr="000C32A1" w:rsidRDefault="00A90E3B" w:rsidP="000C32A1">
            <w:pPr>
              <w:ind w:left="72"/>
              <w:rPr>
                <w:sz w:val="20"/>
                <w:szCs w:val="20"/>
              </w:rPr>
            </w:pPr>
            <w:r w:rsidRPr="000C32A1">
              <w:rPr>
                <w:sz w:val="20"/>
                <w:szCs w:val="20"/>
              </w:rPr>
              <w:t>Description, Phase</w:t>
            </w:r>
          </w:p>
        </w:tc>
        <w:tc>
          <w:tcPr>
            <w:tcW w:w="1134" w:type="dxa"/>
          </w:tcPr>
          <w:p w:rsidR="00A90E3B" w:rsidRPr="000C32A1" w:rsidRDefault="00A90E3B" w:rsidP="000C32A1">
            <w:pPr>
              <w:ind w:left="29"/>
              <w:rPr>
                <w:sz w:val="20"/>
                <w:szCs w:val="20"/>
              </w:rPr>
            </w:pPr>
            <w:r w:rsidRPr="000C32A1">
              <w:rPr>
                <w:sz w:val="20"/>
                <w:szCs w:val="20"/>
              </w:rPr>
              <w:t>Design</w:t>
            </w:r>
          </w:p>
        </w:tc>
        <w:tc>
          <w:tcPr>
            <w:tcW w:w="992" w:type="dxa"/>
          </w:tcPr>
          <w:p w:rsidR="00A90E3B" w:rsidRPr="000C32A1" w:rsidRDefault="00A90E3B" w:rsidP="000C32A1">
            <w:pPr>
              <w:ind w:left="33"/>
              <w:rPr>
                <w:sz w:val="20"/>
                <w:szCs w:val="20"/>
              </w:rPr>
            </w:pPr>
            <w:r w:rsidRPr="000C32A1">
              <w:rPr>
                <w:sz w:val="20"/>
                <w:szCs w:val="20"/>
              </w:rPr>
              <w:t>Number of patients</w:t>
            </w:r>
          </w:p>
        </w:tc>
        <w:tc>
          <w:tcPr>
            <w:tcW w:w="993" w:type="dxa"/>
          </w:tcPr>
          <w:p w:rsidR="00A90E3B" w:rsidRPr="000C32A1" w:rsidRDefault="00095811" w:rsidP="000C32A1">
            <w:pPr>
              <w:ind w:left="34"/>
              <w:rPr>
                <w:sz w:val="20"/>
                <w:szCs w:val="20"/>
              </w:rPr>
            </w:pPr>
            <w:r w:rsidRPr="000C32A1">
              <w:rPr>
                <w:sz w:val="20"/>
                <w:szCs w:val="20"/>
              </w:rPr>
              <w:t xml:space="preserve">Duration of follow </w:t>
            </w:r>
            <w:r w:rsidR="00A90E3B" w:rsidRPr="000C32A1">
              <w:rPr>
                <w:sz w:val="20"/>
                <w:szCs w:val="20"/>
              </w:rPr>
              <w:t>up</w:t>
            </w:r>
          </w:p>
        </w:tc>
        <w:tc>
          <w:tcPr>
            <w:tcW w:w="1275" w:type="dxa"/>
          </w:tcPr>
          <w:p w:rsidR="00A90E3B" w:rsidRPr="000C32A1" w:rsidRDefault="00A90E3B" w:rsidP="000C32A1">
            <w:pPr>
              <w:ind w:left="0"/>
              <w:rPr>
                <w:sz w:val="20"/>
                <w:szCs w:val="20"/>
              </w:rPr>
            </w:pPr>
            <w:r w:rsidRPr="000C32A1">
              <w:rPr>
                <w:sz w:val="20"/>
                <w:szCs w:val="20"/>
              </w:rPr>
              <w:t>Estimated / Actual completion</w:t>
            </w:r>
          </w:p>
        </w:tc>
        <w:tc>
          <w:tcPr>
            <w:tcW w:w="1833" w:type="dxa"/>
          </w:tcPr>
          <w:p w:rsidR="00A90E3B" w:rsidRPr="000C32A1" w:rsidRDefault="00A90E3B" w:rsidP="000C32A1">
            <w:pPr>
              <w:ind w:left="41"/>
              <w:rPr>
                <w:sz w:val="20"/>
                <w:szCs w:val="20"/>
              </w:rPr>
            </w:pPr>
            <w:r w:rsidRPr="000C32A1">
              <w:rPr>
                <w:sz w:val="20"/>
                <w:szCs w:val="20"/>
              </w:rPr>
              <w:t xml:space="preserve">Updated description (data </w:t>
            </w:r>
            <w:r w:rsidR="00C22866" w:rsidRPr="000C32A1">
              <w:rPr>
                <w:sz w:val="20"/>
                <w:szCs w:val="20"/>
              </w:rPr>
              <w:t>cut off</w:t>
            </w:r>
            <w:r w:rsidRPr="000C32A1">
              <w:rPr>
                <w:sz w:val="20"/>
                <w:szCs w:val="20"/>
              </w:rPr>
              <w:t xml:space="preserve"> 31 July 2014)</w:t>
            </w:r>
          </w:p>
        </w:tc>
      </w:tr>
      <w:tr w:rsidR="00A90E3B" w:rsidRPr="000C32A1" w:rsidTr="000C32A1">
        <w:trPr>
          <w:trHeight w:val="244"/>
        </w:trPr>
        <w:tc>
          <w:tcPr>
            <w:tcW w:w="8745" w:type="dxa"/>
            <w:gridSpan w:val="7"/>
          </w:tcPr>
          <w:p w:rsidR="00A90E3B" w:rsidRPr="000C32A1" w:rsidRDefault="00A90E3B" w:rsidP="000C32A1">
            <w:pPr>
              <w:ind w:left="41"/>
              <w:rPr>
                <w:sz w:val="20"/>
                <w:szCs w:val="20"/>
              </w:rPr>
            </w:pPr>
            <w:r w:rsidRPr="000C32A1">
              <w:rPr>
                <w:sz w:val="20"/>
                <w:szCs w:val="20"/>
              </w:rPr>
              <w:t>Melanoma</w:t>
            </w:r>
          </w:p>
        </w:tc>
      </w:tr>
      <w:tr w:rsidR="00A90E3B" w:rsidRPr="000C32A1" w:rsidTr="000C32A1">
        <w:trPr>
          <w:trHeight w:val="1737"/>
        </w:trPr>
        <w:tc>
          <w:tcPr>
            <w:tcW w:w="959" w:type="dxa"/>
          </w:tcPr>
          <w:p w:rsidR="00A90E3B" w:rsidRPr="000C32A1" w:rsidRDefault="00A90E3B" w:rsidP="000C32A1">
            <w:pPr>
              <w:ind w:left="0"/>
              <w:rPr>
                <w:sz w:val="20"/>
                <w:szCs w:val="20"/>
              </w:rPr>
            </w:pPr>
            <w:r w:rsidRPr="000C32A1">
              <w:rPr>
                <w:sz w:val="20"/>
                <w:szCs w:val="20"/>
              </w:rPr>
              <w:t>P001 Parts B and D</w:t>
            </w:r>
          </w:p>
        </w:tc>
        <w:tc>
          <w:tcPr>
            <w:tcW w:w="1559" w:type="dxa"/>
          </w:tcPr>
          <w:p w:rsidR="00A90E3B" w:rsidRPr="000C32A1" w:rsidRDefault="00A90E3B" w:rsidP="000C32A1">
            <w:pPr>
              <w:ind w:left="72"/>
              <w:rPr>
                <w:sz w:val="20"/>
                <w:szCs w:val="20"/>
              </w:rPr>
            </w:pPr>
            <w:r w:rsidRPr="000C32A1">
              <w:rPr>
                <w:sz w:val="20"/>
                <w:szCs w:val="20"/>
              </w:rPr>
              <w:t>Phase I Study of Single Agent MK-3475 in Patients with Progressive Locally Advanced or Metastatic Carcinoma, Melanoma, and Non- Small Cell Lung Carcinoma; Phase I</w:t>
            </w:r>
          </w:p>
        </w:tc>
        <w:tc>
          <w:tcPr>
            <w:tcW w:w="1134" w:type="dxa"/>
          </w:tcPr>
          <w:p w:rsidR="00A90E3B" w:rsidRPr="000C32A1" w:rsidRDefault="00A90E3B" w:rsidP="000C32A1">
            <w:pPr>
              <w:ind w:left="29"/>
              <w:rPr>
                <w:sz w:val="20"/>
                <w:szCs w:val="20"/>
              </w:rPr>
            </w:pPr>
            <w:r w:rsidRPr="000C32A1">
              <w:rPr>
                <w:sz w:val="20"/>
                <w:szCs w:val="20"/>
              </w:rPr>
              <w:t>Open-Label</w:t>
            </w:r>
          </w:p>
        </w:tc>
        <w:tc>
          <w:tcPr>
            <w:tcW w:w="992" w:type="dxa"/>
          </w:tcPr>
          <w:p w:rsidR="00A90E3B" w:rsidRPr="000C32A1" w:rsidRDefault="00A90E3B" w:rsidP="000C32A1">
            <w:pPr>
              <w:ind w:left="33"/>
              <w:rPr>
                <w:sz w:val="20"/>
                <w:szCs w:val="20"/>
              </w:rPr>
            </w:pPr>
            <w:r w:rsidRPr="000C32A1">
              <w:rPr>
                <w:sz w:val="20"/>
                <w:szCs w:val="20"/>
              </w:rPr>
              <w:t>Target: 1246 pts</w:t>
            </w:r>
          </w:p>
          <w:p w:rsidR="00A90E3B" w:rsidRPr="000C32A1" w:rsidRDefault="00A90E3B" w:rsidP="000C32A1">
            <w:pPr>
              <w:ind w:left="33"/>
              <w:rPr>
                <w:sz w:val="20"/>
                <w:szCs w:val="20"/>
              </w:rPr>
            </w:pPr>
            <w:r w:rsidRPr="000C32A1">
              <w:rPr>
                <w:sz w:val="20"/>
                <w:szCs w:val="20"/>
              </w:rPr>
              <w:t>Actual: 1191 pts</w:t>
            </w:r>
          </w:p>
          <w:p w:rsidR="00A90E3B" w:rsidRPr="000C32A1" w:rsidRDefault="00A90E3B" w:rsidP="000C32A1">
            <w:pPr>
              <w:ind w:left="33"/>
              <w:rPr>
                <w:sz w:val="20"/>
                <w:szCs w:val="20"/>
              </w:rPr>
            </w:pPr>
            <w:r w:rsidRPr="000C32A1">
              <w:rPr>
                <w:sz w:val="20"/>
                <w:szCs w:val="20"/>
              </w:rPr>
              <w:t>(for all P001)</w:t>
            </w:r>
          </w:p>
        </w:tc>
        <w:tc>
          <w:tcPr>
            <w:tcW w:w="993" w:type="dxa"/>
          </w:tcPr>
          <w:p w:rsidR="00A90E3B" w:rsidRPr="000C32A1" w:rsidRDefault="006D5F27" w:rsidP="000C32A1">
            <w:pPr>
              <w:ind w:left="34"/>
              <w:rPr>
                <w:sz w:val="20"/>
                <w:szCs w:val="20"/>
              </w:rPr>
            </w:pPr>
            <w:r w:rsidRPr="000C32A1">
              <w:rPr>
                <w:sz w:val="20"/>
                <w:szCs w:val="20"/>
              </w:rPr>
              <w:t>24 m</w:t>
            </w:r>
            <w:r w:rsidR="00CB4B97" w:rsidRPr="000C32A1">
              <w:rPr>
                <w:sz w:val="20"/>
                <w:szCs w:val="20"/>
                <w:vertAlign w:val="superscript"/>
              </w:rPr>
              <w:t>1</w:t>
            </w:r>
          </w:p>
        </w:tc>
        <w:tc>
          <w:tcPr>
            <w:tcW w:w="1275" w:type="dxa"/>
          </w:tcPr>
          <w:p w:rsidR="00A90E3B" w:rsidRPr="000C32A1" w:rsidRDefault="00A90E3B" w:rsidP="000C32A1">
            <w:pPr>
              <w:ind w:left="0"/>
              <w:rPr>
                <w:sz w:val="20"/>
                <w:szCs w:val="20"/>
              </w:rPr>
            </w:pPr>
            <w:r w:rsidRPr="000C32A1">
              <w:rPr>
                <w:sz w:val="20"/>
                <w:szCs w:val="20"/>
              </w:rPr>
              <w:t>December 2016</w:t>
            </w:r>
          </w:p>
        </w:tc>
        <w:tc>
          <w:tcPr>
            <w:tcW w:w="1833" w:type="dxa"/>
          </w:tcPr>
          <w:p w:rsidR="00A90E3B" w:rsidRPr="000C32A1" w:rsidRDefault="00A90E3B" w:rsidP="000C32A1">
            <w:pPr>
              <w:ind w:left="41"/>
              <w:rPr>
                <w:sz w:val="20"/>
                <w:szCs w:val="20"/>
              </w:rPr>
            </w:pPr>
            <w:r w:rsidRPr="000C32A1">
              <w:rPr>
                <w:sz w:val="20"/>
                <w:szCs w:val="20"/>
              </w:rPr>
              <w:t>KEYNOTE001 was the initial phase I study that was expanded to include cohorts of melanoma and NSCLC patients. Cohort B and D include 656 melanoma patients including ipilimumab-treated and ipilimumab-naïve patients.</w:t>
            </w:r>
          </w:p>
        </w:tc>
      </w:tr>
      <w:tr w:rsidR="00A90E3B" w:rsidRPr="000C32A1" w:rsidTr="000C32A1">
        <w:trPr>
          <w:trHeight w:val="2230"/>
        </w:trPr>
        <w:tc>
          <w:tcPr>
            <w:tcW w:w="959" w:type="dxa"/>
          </w:tcPr>
          <w:p w:rsidR="00A90E3B" w:rsidRPr="000C32A1" w:rsidRDefault="00A90E3B" w:rsidP="000C32A1">
            <w:pPr>
              <w:ind w:left="0"/>
              <w:rPr>
                <w:sz w:val="20"/>
                <w:szCs w:val="20"/>
              </w:rPr>
            </w:pPr>
            <w:r w:rsidRPr="000C32A1">
              <w:rPr>
                <w:sz w:val="20"/>
                <w:szCs w:val="20"/>
              </w:rPr>
              <w:t>P002</w:t>
            </w:r>
          </w:p>
        </w:tc>
        <w:tc>
          <w:tcPr>
            <w:tcW w:w="1559" w:type="dxa"/>
          </w:tcPr>
          <w:p w:rsidR="00A90E3B" w:rsidRPr="000C32A1" w:rsidRDefault="00A90E3B" w:rsidP="000C32A1">
            <w:pPr>
              <w:ind w:left="72"/>
              <w:rPr>
                <w:sz w:val="20"/>
                <w:szCs w:val="20"/>
              </w:rPr>
            </w:pPr>
            <w:r w:rsidRPr="000C32A1">
              <w:rPr>
                <w:sz w:val="20"/>
                <w:szCs w:val="20"/>
              </w:rPr>
              <w:t>Random</w:t>
            </w:r>
            <w:r w:rsidR="00987E81" w:rsidRPr="000C32A1">
              <w:rPr>
                <w:sz w:val="20"/>
                <w:szCs w:val="20"/>
              </w:rPr>
              <w:t>ise</w:t>
            </w:r>
            <w:r w:rsidRPr="000C32A1">
              <w:rPr>
                <w:sz w:val="20"/>
                <w:szCs w:val="20"/>
              </w:rPr>
              <w:t>d, Phase II Study of MK-3475 versus Chemotherapy in Patients with Advanced Melanoma; Phase II</w:t>
            </w:r>
          </w:p>
        </w:tc>
        <w:tc>
          <w:tcPr>
            <w:tcW w:w="1134" w:type="dxa"/>
          </w:tcPr>
          <w:p w:rsidR="00A90E3B" w:rsidRPr="000C32A1" w:rsidRDefault="00A90E3B" w:rsidP="000C32A1">
            <w:pPr>
              <w:ind w:left="29"/>
              <w:rPr>
                <w:sz w:val="20"/>
                <w:szCs w:val="20"/>
              </w:rPr>
            </w:pPr>
            <w:r w:rsidRPr="000C32A1">
              <w:rPr>
                <w:sz w:val="20"/>
                <w:szCs w:val="20"/>
              </w:rPr>
              <w:t>Open label (MK dose is blinded)</w:t>
            </w:r>
          </w:p>
        </w:tc>
        <w:tc>
          <w:tcPr>
            <w:tcW w:w="992" w:type="dxa"/>
          </w:tcPr>
          <w:p w:rsidR="00A90E3B" w:rsidRPr="000C32A1" w:rsidRDefault="00A90E3B" w:rsidP="000C32A1">
            <w:pPr>
              <w:ind w:left="33"/>
              <w:rPr>
                <w:sz w:val="20"/>
                <w:szCs w:val="20"/>
              </w:rPr>
            </w:pPr>
            <w:r w:rsidRPr="000C32A1">
              <w:rPr>
                <w:sz w:val="20"/>
                <w:szCs w:val="20"/>
              </w:rPr>
              <w:t>Target: 510 pts;</w:t>
            </w:r>
          </w:p>
          <w:p w:rsidR="00A90E3B" w:rsidRPr="000C32A1" w:rsidRDefault="00A90E3B" w:rsidP="000C32A1">
            <w:pPr>
              <w:ind w:left="33"/>
              <w:rPr>
                <w:sz w:val="20"/>
                <w:szCs w:val="20"/>
              </w:rPr>
            </w:pPr>
            <w:r w:rsidRPr="000C32A1">
              <w:rPr>
                <w:sz w:val="20"/>
                <w:szCs w:val="20"/>
              </w:rPr>
              <w:t>Actual: 540 pts</w:t>
            </w:r>
          </w:p>
        </w:tc>
        <w:tc>
          <w:tcPr>
            <w:tcW w:w="993" w:type="dxa"/>
          </w:tcPr>
          <w:p w:rsidR="00A90E3B" w:rsidRPr="000C32A1" w:rsidRDefault="006D5F27" w:rsidP="000C32A1">
            <w:pPr>
              <w:ind w:left="34"/>
              <w:rPr>
                <w:sz w:val="20"/>
                <w:szCs w:val="20"/>
              </w:rPr>
            </w:pPr>
            <w:r w:rsidRPr="000C32A1">
              <w:rPr>
                <w:sz w:val="20"/>
                <w:szCs w:val="20"/>
              </w:rPr>
              <w:t>24 m</w:t>
            </w:r>
          </w:p>
        </w:tc>
        <w:tc>
          <w:tcPr>
            <w:tcW w:w="1275" w:type="dxa"/>
          </w:tcPr>
          <w:p w:rsidR="00A90E3B" w:rsidRPr="000C32A1" w:rsidRDefault="00A90E3B" w:rsidP="000C32A1">
            <w:pPr>
              <w:ind w:left="0"/>
              <w:rPr>
                <w:sz w:val="20"/>
                <w:szCs w:val="20"/>
              </w:rPr>
            </w:pPr>
            <w:r w:rsidRPr="000C32A1">
              <w:rPr>
                <w:sz w:val="20"/>
                <w:szCs w:val="20"/>
              </w:rPr>
              <w:t>June 2016</w:t>
            </w:r>
          </w:p>
        </w:tc>
        <w:tc>
          <w:tcPr>
            <w:tcW w:w="1833" w:type="dxa"/>
          </w:tcPr>
          <w:p w:rsidR="00A90E3B" w:rsidRPr="000C32A1" w:rsidRDefault="00A90E3B" w:rsidP="000C32A1">
            <w:pPr>
              <w:ind w:left="41"/>
              <w:rPr>
                <w:sz w:val="20"/>
                <w:szCs w:val="20"/>
              </w:rPr>
            </w:pPr>
            <w:r w:rsidRPr="000C32A1">
              <w:rPr>
                <w:sz w:val="20"/>
                <w:szCs w:val="20"/>
              </w:rPr>
              <w:t xml:space="preserve">KEYNOTE002 is an ongoing clinical trial comparing two doses of pembrolizumab (2 mg/kg Q3W or 10 mg/kg Q3W) versus investigator’s choice of standard of care chemotherapy in patients who have failed prior ipilimumab treatment. These data include 449 patients who received pembrolizumab including 91 patients who crossed over to pembrolizumab after progressing on </w:t>
            </w:r>
            <w:r w:rsidRPr="000C32A1">
              <w:rPr>
                <w:sz w:val="20"/>
                <w:szCs w:val="20"/>
              </w:rPr>
              <w:lastRenderedPageBreak/>
              <w:t>the comparator.</w:t>
            </w:r>
          </w:p>
        </w:tc>
      </w:tr>
      <w:tr w:rsidR="00A90E3B" w:rsidRPr="000C32A1" w:rsidTr="000C32A1">
        <w:trPr>
          <w:trHeight w:val="313"/>
        </w:trPr>
        <w:tc>
          <w:tcPr>
            <w:tcW w:w="959" w:type="dxa"/>
          </w:tcPr>
          <w:p w:rsidR="00A90E3B" w:rsidRPr="000C32A1" w:rsidRDefault="00A90E3B" w:rsidP="000C32A1">
            <w:pPr>
              <w:ind w:left="0"/>
              <w:rPr>
                <w:sz w:val="20"/>
                <w:szCs w:val="20"/>
              </w:rPr>
            </w:pPr>
            <w:r w:rsidRPr="000C32A1">
              <w:rPr>
                <w:sz w:val="20"/>
                <w:szCs w:val="20"/>
              </w:rPr>
              <w:lastRenderedPageBreak/>
              <w:t>P006</w:t>
            </w:r>
          </w:p>
        </w:tc>
        <w:tc>
          <w:tcPr>
            <w:tcW w:w="1559" w:type="dxa"/>
          </w:tcPr>
          <w:p w:rsidR="00A90E3B" w:rsidRPr="000C32A1" w:rsidRDefault="00A90E3B" w:rsidP="000C32A1">
            <w:pPr>
              <w:ind w:left="72"/>
              <w:rPr>
                <w:sz w:val="20"/>
                <w:szCs w:val="20"/>
              </w:rPr>
            </w:pPr>
            <w:r w:rsidRPr="000C32A1">
              <w:rPr>
                <w:sz w:val="20"/>
                <w:szCs w:val="20"/>
              </w:rPr>
              <w:t xml:space="preserve">A </w:t>
            </w:r>
            <w:r w:rsidR="00095811" w:rsidRPr="000C32A1">
              <w:rPr>
                <w:sz w:val="20"/>
                <w:szCs w:val="20"/>
              </w:rPr>
              <w:t>Multicentre</w:t>
            </w:r>
            <w:r w:rsidRPr="000C32A1">
              <w:rPr>
                <w:sz w:val="20"/>
                <w:szCs w:val="20"/>
              </w:rPr>
              <w:t>, Random</w:t>
            </w:r>
            <w:r w:rsidR="00987E81" w:rsidRPr="000C32A1">
              <w:rPr>
                <w:sz w:val="20"/>
                <w:szCs w:val="20"/>
              </w:rPr>
              <w:t>ise</w:t>
            </w:r>
            <w:r w:rsidRPr="000C32A1">
              <w:rPr>
                <w:sz w:val="20"/>
                <w:szCs w:val="20"/>
              </w:rPr>
              <w:t>d, Controlled, Three-Arm, Phase III Study to Evaluate the Safety and Efficacy of Two Dosing Schedules of MK-3475 Compared to Ipilimumab in Patients with Advanced Melanoma; Phase III</w:t>
            </w:r>
          </w:p>
        </w:tc>
        <w:tc>
          <w:tcPr>
            <w:tcW w:w="1134" w:type="dxa"/>
          </w:tcPr>
          <w:p w:rsidR="00A90E3B" w:rsidRPr="000C32A1" w:rsidRDefault="00BE1D8B" w:rsidP="000C32A1">
            <w:pPr>
              <w:ind w:left="29"/>
              <w:rPr>
                <w:sz w:val="20"/>
                <w:szCs w:val="20"/>
              </w:rPr>
            </w:pPr>
            <w:r w:rsidRPr="000C32A1">
              <w:rPr>
                <w:sz w:val="20"/>
                <w:szCs w:val="20"/>
              </w:rPr>
              <w:t>Open-label</w:t>
            </w:r>
          </w:p>
        </w:tc>
        <w:tc>
          <w:tcPr>
            <w:tcW w:w="992" w:type="dxa"/>
          </w:tcPr>
          <w:p w:rsidR="00A90E3B" w:rsidRPr="000C32A1" w:rsidRDefault="00A90E3B" w:rsidP="000C32A1">
            <w:pPr>
              <w:ind w:left="33"/>
              <w:rPr>
                <w:sz w:val="20"/>
                <w:szCs w:val="20"/>
              </w:rPr>
            </w:pPr>
            <w:r w:rsidRPr="000C32A1">
              <w:rPr>
                <w:sz w:val="20"/>
                <w:szCs w:val="20"/>
              </w:rPr>
              <w:t>Target: 645 pts;</w:t>
            </w:r>
          </w:p>
          <w:p w:rsidR="00A90E3B" w:rsidRPr="000C32A1" w:rsidRDefault="00A90E3B" w:rsidP="000C32A1">
            <w:pPr>
              <w:ind w:left="33"/>
              <w:rPr>
                <w:sz w:val="20"/>
                <w:szCs w:val="20"/>
              </w:rPr>
            </w:pPr>
            <w:r w:rsidRPr="000C32A1">
              <w:rPr>
                <w:sz w:val="20"/>
                <w:szCs w:val="20"/>
              </w:rPr>
              <w:t>Actual: 831 pts</w:t>
            </w:r>
          </w:p>
        </w:tc>
        <w:tc>
          <w:tcPr>
            <w:tcW w:w="993" w:type="dxa"/>
          </w:tcPr>
          <w:p w:rsidR="00A90E3B" w:rsidRPr="000C32A1" w:rsidRDefault="00A90E3B" w:rsidP="000C32A1">
            <w:pPr>
              <w:ind w:left="34"/>
              <w:rPr>
                <w:sz w:val="20"/>
                <w:szCs w:val="20"/>
              </w:rPr>
            </w:pPr>
            <w:r w:rsidRPr="000C32A1">
              <w:rPr>
                <w:sz w:val="20"/>
                <w:szCs w:val="20"/>
              </w:rPr>
              <w:t>36 m</w:t>
            </w:r>
          </w:p>
        </w:tc>
        <w:tc>
          <w:tcPr>
            <w:tcW w:w="1275" w:type="dxa"/>
          </w:tcPr>
          <w:p w:rsidR="00A90E3B" w:rsidRPr="000C32A1" w:rsidRDefault="00A90E3B" w:rsidP="000C32A1">
            <w:pPr>
              <w:ind w:left="0"/>
              <w:rPr>
                <w:sz w:val="20"/>
                <w:szCs w:val="20"/>
              </w:rPr>
            </w:pPr>
            <w:r w:rsidRPr="000C32A1">
              <w:rPr>
                <w:sz w:val="20"/>
                <w:szCs w:val="20"/>
              </w:rPr>
              <w:t>July 2016</w:t>
            </w:r>
          </w:p>
        </w:tc>
        <w:tc>
          <w:tcPr>
            <w:tcW w:w="1833" w:type="dxa"/>
          </w:tcPr>
          <w:p w:rsidR="00A90E3B" w:rsidRPr="000C32A1" w:rsidRDefault="00A90E3B" w:rsidP="000C32A1">
            <w:pPr>
              <w:ind w:left="41"/>
              <w:rPr>
                <w:sz w:val="20"/>
                <w:szCs w:val="20"/>
              </w:rPr>
            </w:pPr>
            <w:r w:rsidRPr="000C32A1">
              <w:rPr>
                <w:sz w:val="20"/>
                <w:szCs w:val="20"/>
              </w:rPr>
              <w:t>KEYNOTE006 is an ongoing study of</w:t>
            </w:r>
            <w:r w:rsidR="00095811" w:rsidRPr="000C32A1">
              <w:rPr>
                <w:sz w:val="20"/>
                <w:szCs w:val="20"/>
              </w:rPr>
              <w:t xml:space="preserve"> two doses of pembrolizumab (10 mg/kg Q2W or 10 </w:t>
            </w:r>
            <w:r w:rsidRPr="000C32A1">
              <w:rPr>
                <w:sz w:val="20"/>
                <w:szCs w:val="20"/>
              </w:rPr>
              <w:t>mg/kg Q3W) versus ipilimumab. Of note, cross over to pembrolizumab is not permitted in this study compared to KEYNOTE002 above. A total of 556 patients have been treated with pembrolizumab in KEYNOTE006.</w:t>
            </w:r>
          </w:p>
        </w:tc>
      </w:tr>
      <w:tr w:rsidR="00A90E3B" w:rsidRPr="000C32A1" w:rsidTr="000C32A1">
        <w:trPr>
          <w:trHeight w:val="73"/>
        </w:trPr>
        <w:tc>
          <w:tcPr>
            <w:tcW w:w="8745" w:type="dxa"/>
            <w:gridSpan w:val="7"/>
          </w:tcPr>
          <w:p w:rsidR="00A90E3B" w:rsidRPr="000C32A1" w:rsidRDefault="00A90E3B" w:rsidP="000C32A1">
            <w:pPr>
              <w:ind w:left="41"/>
              <w:rPr>
                <w:sz w:val="20"/>
                <w:szCs w:val="20"/>
              </w:rPr>
            </w:pPr>
            <w:r w:rsidRPr="000C32A1">
              <w:rPr>
                <w:sz w:val="20"/>
                <w:szCs w:val="20"/>
              </w:rPr>
              <w:t>NSCLC</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P001 Parts C and F</w:t>
            </w:r>
          </w:p>
        </w:tc>
        <w:tc>
          <w:tcPr>
            <w:tcW w:w="1559" w:type="dxa"/>
          </w:tcPr>
          <w:p w:rsidR="00A90E3B" w:rsidRPr="000C32A1" w:rsidRDefault="00A90E3B" w:rsidP="000C32A1">
            <w:pPr>
              <w:ind w:left="72"/>
              <w:rPr>
                <w:sz w:val="20"/>
                <w:szCs w:val="20"/>
              </w:rPr>
            </w:pPr>
            <w:r w:rsidRPr="000C32A1">
              <w:rPr>
                <w:sz w:val="20"/>
                <w:szCs w:val="20"/>
              </w:rPr>
              <w:t xml:space="preserve">Phase I Study of Single Agent MK-3475 in Patients with Progressive Locally Advanced or Metastatic Carcinoma, Melanoma, and Non- Small Cell Lung Carcinoma; </w:t>
            </w:r>
            <w:r w:rsidRPr="000C32A1">
              <w:rPr>
                <w:sz w:val="20"/>
                <w:szCs w:val="20"/>
              </w:rPr>
              <w:lastRenderedPageBreak/>
              <w:t>Phase I</w:t>
            </w:r>
          </w:p>
        </w:tc>
        <w:tc>
          <w:tcPr>
            <w:tcW w:w="1134" w:type="dxa"/>
          </w:tcPr>
          <w:p w:rsidR="00A90E3B" w:rsidRPr="000C32A1" w:rsidRDefault="00A90E3B" w:rsidP="000C32A1">
            <w:pPr>
              <w:ind w:left="29"/>
              <w:rPr>
                <w:sz w:val="20"/>
                <w:szCs w:val="20"/>
              </w:rPr>
            </w:pPr>
            <w:r w:rsidRPr="000C32A1">
              <w:rPr>
                <w:sz w:val="20"/>
                <w:szCs w:val="20"/>
              </w:rPr>
              <w:lastRenderedPageBreak/>
              <w:t>Open-Label</w:t>
            </w:r>
          </w:p>
        </w:tc>
        <w:tc>
          <w:tcPr>
            <w:tcW w:w="992" w:type="dxa"/>
          </w:tcPr>
          <w:p w:rsidR="00A90E3B" w:rsidRPr="000C32A1" w:rsidRDefault="00A90E3B" w:rsidP="000C32A1">
            <w:pPr>
              <w:ind w:left="33"/>
              <w:rPr>
                <w:sz w:val="20"/>
                <w:szCs w:val="20"/>
              </w:rPr>
            </w:pPr>
            <w:r w:rsidRPr="000C32A1">
              <w:rPr>
                <w:sz w:val="20"/>
                <w:szCs w:val="20"/>
              </w:rPr>
              <w:t>Target: 1246 pts</w:t>
            </w:r>
          </w:p>
          <w:p w:rsidR="00A90E3B" w:rsidRPr="000C32A1" w:rsidRDefault="00A90E3B" w:rsidP="000C32A1">
            <w:pPr>
              <w:ind w:left="33"/>
              <w:rPr>
                <w:sz w:val="20"/>
                <w:szCs w:val="20"/>
              </w:rPr>
            </w:pPr>
            <w:r w:rsidRPr="000C32A1">
              <w:rPr>
                <w:sz w:val="20"/>
                <w:szCs w:val="20"/>
              </w:rPr>
              <w:t>Actual: 1191 pts</w:t>
            </w:r>
          </w:p>
          <w:p w:rsidR="00A90E3B" w:rsidRPr="000C32A1" w:rsidRDefault="00A90E3B" w:rsidP="000C32A1">
            <w:pPr>
              <w:ind w:left="33"/>
              <w:rPr>
                <w:sz w:val="20"/>
                <w:szCs w:val="20"/>
              </w:rPr>
            </w:pPr>
            <w:r w:rsidRPr="000C32A1">
              <w:rPr>
                <w:sz w:val="20"/>
                <w:szCs w:val="20"/>
              </w:rPr>
              <w:t>(for all P001)</w:t>
            </w:r>
          </w:p>
        </w:tc>
        <w:tc>
          <w:tcPr>
            <w:tcW w:w="993" w:type="dxa"/>
          </w:tcPr>
          <w:p w:rsidR="00A90E3B" w:rsidRPr="000C32A1" w:rsidRDefault="006D5F27" w:rsidP="000C32A1">
            <w:pPr>
              <w:ind w:left="34"/>
              <w:rPr>
                <w:sz w:val="20"/>
                <w:szCs w:val="20"/>
              </w:rPr>
            </w:pPr>
            <w:r w:rsidRPr="000C32A1">
              <w:rPr>
                <w:sz w:val="20"/>
                <w:szCs w:val="20"/>
              </w:rPr>
              <w:t>24 m</w:t>
            </w:r>
          </w:p>
        </w:tc>
        <w:tc>
          <w:tcPr>
            <w:tcW w:w="1275" w:type="dxa"/>
          </w:tcPr>
          <w:p w:rsidR="00A90E3B" w:rsidRPr="000C32A1" w:rsidRDefault="00A90E3B" w:rsidP="000C32A1">
            <w:pPr>
              <w:ind w:left="0"/>
              <w:rPr>
                <w:sz w:val="20"/>
                <w:szCs w:val="20"/>
              </w:rPr>
            </w:pPr>
            <w:r w:rsidRPr="000C32A1">
              <w:rPr>
                <w:sz w:val="20"/>
                <w:szCs w:val="20"/>
              </w:rPr>
              <w:t>December 2016</w:t>
            </w:r>
          </w:p>
        </w:tc>
        <w:tc>
          <w:tcPr>
            <w:tcW w:w="1833" w:type="dxa"/>
          </w:tcPr>
          <w:p w:rsidR="00A90E3B" w:rsidRPr="000C32A1" w:rsidRDefault="00A90E3B" w:rsidP="000C32A1">
            <w:pPr>
              <w:ind w:left="41"/>
              <w:rPr>
                <w:sz w:val="20"/>
                <w:szCs w:val="20"/>
              </w:rPr>
            </w:pPr>
            <w:r w:rsidRPr="000C32A1">
              <w:rPr>
                <w:sz w:val="20"/>
                <w:szCs w:val="20"/>
              </w:rPr>
              <w:t xml:space="preserve">KEYNOTE001 is the phase I study that included two cohorts with NSCLC patients. Cohort C was the preliminary NSCLC 3rd line cohort. Cohort F includes NSCLC patients with various lines of therapy including patients </w:t>
            </w:r>
            <w:r w:rsidRPr="000C32A1">
              <w:rPr>
                <w:sz w:val="20"/>
                <w:szCs w:val="20"/>
              </w:rPr>
              <w:lastRenderedPageBreak/>
              <w:t>without prior chemotherapy. A total of 549 NSCLC patients have been treated in KEYNOTE001 (39 in C, 510 in F).</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lastRenderedPageBreak/>
              <w:t>P010</w:t>
            </w:r>
          </w:p>
        </w:tc>
        <w:tc>
          <w:tcPr>
            <w:tcW w:w="1559" w:type="dxa"/>
          </w:tcPr>
          <w:p w:rsidR="00A90E3B" w:rsidRPr="000C32A1" w:rsidRDefault="00A90E3B" w:rsidP="000C32A1">
            <w:pPr>
              <w:ind w:left="72"/>
              <w:rPr>
                <w:sz w:val="20"/>
                <w:szCs w:val="20"/>
              </w:rPr>
            </w:pPr>
            <w:r w:rsidRPr="000C32A1">
              <w:rPr>
                <w:sz w:val="20"/>
                <w:szCs w:val="20"/>
              </w:rPr>
              <w:t>A Phase II/III Random</w:t>
            </w:r>
            <w:r w:rsidR="00987E81" w:rsidRPr="000C32A1">
              <w:rPr>
                <w:sz w:val="20"/>
                <w:szCs w:val="20"/>
              </w:rPr>
              <w:t>ise</w:t>
            </w:r>
            <w:r w:rsidRPr="000C32A1">
              <w:rPr>
                <w:sz w:val="20"/>
                <w:szCs w:val="20"/>
              </w:rPr>
              <w:t>d Trial of Two Doses of MK-3475 (SCH900475) versus Docetaxel in Previously Treated Subjects with Squamous Histology Non-Small Cell Lung Cancer; Phase II/III</w:t>
            </w:r>
          </w:p>
        </w:tc>
        <w:tc>
          <w:tcPr>
            <w:tcW w:w="1134" w:type="dxa"/>
          </w:tcPr>
          <w:p w:rsidR="00A90E3B" w:rsidRPr="000C32A1" w:rsidRDefault="00A90E3B" w:rsidP="000C32A1">
            <w:pPr>
              <w:ind w:left="29"/>
              <w:rPr>
                <w:sz w:val="20"/>
                <w:szCs w:val="20"/>
              </w:rPr>
            </w:pPr>
            <w:r w:rsidRPr="000C32A1">
              <w:rPr>
                <w:sz w:val="20"/>
                <w:szCs w:val="20"/>
              </w:rPr>
              <w:t>Open-Label for study therapy; PDL1 expression level = blinded</w:t>
            </w:r>
          </w:p>
        </w:tc>
        <w:tc>
          <w:tcPr>
            <w:tcW w:w="992" w:type="dxa"/>
          </w:tcPr>
          <w:p w:rsidR="00A90E3B" w:rsidRPr="000C32A1" w:rsidRDefault="00A90E3B" w:rsidP="000C32A1">
            <w:pPr>
              <w:ind w:left="33"/>
              <w:rPr>
                <w:sz w:val="20"/>
                <w:szCs w:val="20"/>
              </w:rPr>
            </w:pPr>
            <w:r w:rsidRPr="000C32A1">
              <w:rPr>
                <w:sz w:val="20"/>
                <w:szCs w:val="20"/>
              </w:rPr>
              <w:t>Target: 920 pts;</w:t>
            </w:r>
          </w:p>
          <w:p w:rsidR="00A90E3B" w:rsidRPr="000C32A1" w:rsidRDefault="00A90E3B" w:rsidP="000C32A1">
            <w:pPr>
              <w:ind w:left="33"/>
              <w:rPr>
                <w:sz w:val="20"/>
                <w:szCs w:val="20"/>
              </w:rPr>
            </w:pPr>
            <w:r w:rsidRPr="000C32A1">
              <w:rPr>
                <w:sz w:val="20"/>
                <w:szCs w:val="20"/>
              </w:rPr>
              <w:t>Actual: 170 pts</w:t>
            </w:r>
          </w:p>
        </w:tc>
        <w:tc>
          <w:tcPr>
            <w:tcW w:w="993" w:type="dxa"/>
          </w:tcPr>
          <w:p w:rsidR="00A90E3B" w:rsidRPr="000C32A1" w:rsidRDefault="00A90E3B" w:rsidP="000C32A1">
            <w:pPr>
              <w:ind w:left="34"/>
              <w:rPr>
                <w:sz w:val="20"/>
                <w:szCs w:val="20"/>
              </w:rPr>
            </w:pPr>
            <w:r w:rsidRPr="000C32A1">
              <w:rPr>
                <w:sz w:val="20"/>
                <w:szCs w:val="20"/>
              </w:rPr>
              <w:t>30 days and survival follow-up</w:t>
            </w:r>
          </w:p>
        </w:tc>
        <w:tc>
          <w:tcPr>
            <w:tcW w:w="1275" w:type="dxa"/>
          </w:tcPr>
          <w:p w:rsidR="00A90E3B" w:rsidRPr="000C32A1" w:rsidRDefault="00A90E3B" w:rsidP="000C32A1">
            <w:pPr>
              <w:ind w:left="0"/>
              <w:rPr>
                <w:sz w:val="20"/>
                <w:szCs w:val="20"/>
              </w:rPr>
            </w:pPr>
            <w:r w:rsidRPr="000C32A1">
              <w:rPr>
                <w:sz w:val="20"/>
                <w:szCs w:val="20"/>
              </w:rPr>
              <w:t>September 2015</w:t>
            </w:r>
          </w:p>
        </w:tc>
        <w:tc>
          <w:tcPr>
            <w:tcW w:w="1833" w:type="dxa"/>
          </w:tcPr>
          <w:p w:rsidR="00A90E3B" w:rsidRPr="000C32A1" w:rsidRDefault="00A90E3B" w:rsidP="000C32A1">
            <w:pPr>
              <w:ind w:left="41"/>
              <w:rPr>
                <w:sz w:val="20"/>
                <w:szCs w:val="20"/>
              </w:rPr>
            </w:pPr>
            <w:r w:rsidRPr="000C32A1">
              <w:rPr>
                <w:sz w:val="20"/>
                <w:szCs w:val="20"/>
              </w:rPr>
              <w:t>KEYNOTE010 is an ongoing random</w:t>
            </w:r>
            <w:r w:rsidR="00987E81" w:rsidRPr="000C32A1">
              <w:rPr>
                <w:sz w:val="20"/>
                <w:szCs w:val="20"/>
              </w:rPr>
              <w:t>ise</w:t>
            </w:r>
            <w:r w:rsidRPr="000C32A1">
              <w:rPr>
                <w:sz w:val="20"/>
                <w:szCs w:val="20"/>
              </w:rPr>
              <w:t>d trial of pembrolizumab two doses (2 mg/kg Q3W or 10 mg/kg Q3W) versus docetaxel 75 mg/m2. Patients were required to have had progression on or after prior platinum-based chemotherapy. Cases are included for patients who had at least one dose of pembrolizumab. Approximately 323 NSCLC patients had been treated in KEYNOTE010.</w:t>
            </w:r>
          </w:p>
        </w:tc>
      </w:tr>
      <w:tr w:rsidR="00A90E3B" w:rsidRPr="000C32A1" w:rsidTr="000C32A1">
        <w:trPr>
          <w:trHeight w:val="371"/>
        </w:trPr>
        <w:tc>
          <w:tcPr>
            <w:tcW w:w="959" w:type="dxa"/>
          </w:tcPr>
          <w:p w:rsidR="00A90E3B" w:rsidRPr="000C32A1" w:rsidRDefault="00A90E3B" w:rsidP="000C32A1">
            <w:pPr>
              <w:ind w:left="0"/>
              <w:rPr>
                <w:sz w:val="20"/>
                <w:szCs w:val="20"/>
              </w:rPr>
            </w:pPr>
            <w:r w:rsidRPr="000C32A1">
              <w:rPr>
                <w:sz w:val="20"/>
                <w:szCs w:val="20"/>
              </w:rPr>
              <w:t>P011/025</w:t>
            </w:r>
          </w:p>
        </w:tc>
        <w:tc>
          <w:tcPr>
            <w:tcW w:w="1559" w:type="dxa"/>
          </w:tcPr>
          <w:p w:rsidR="00A90E3B" w:rsidRPr="000C32A1" w:rsidRDefault="00A90E3B" w:rsidP="000C32A1">
            <w:pPr>
              <w:ind w:left="72"/>
              <w:rPr>
                <w:sz w:val="20"/>
                <w:szCs w:val="20"/>
              </w:rPr>
            </w:pPr>
          </w:p>
        </w:tc>
        <w:tc>
          <w:tcPr>
            <w:tcW w:w="1134" w:type="dxa"/>
          </w:tcPr>
          <w:p w:rsidR="00A90E3B" w:rsidRPr="000C32A1" w:rsidRDefault="00A90E3B" w:rsidP="000C32A1">
            <w:pPr>
              <w:ind w:left="29"/>
              <w:rPr>
                <w:sz w:val="20"/>
                <w:szCs w:val="20"/>
              </w:rPr>
            </w:pPr>
          </w:p>
        </w:tc>
        <w:tc>
          <w:tcPr>
            <w:tcW w:w="992" w:type="dxa"/>
          </w:tcPr>
          <w:p w:rsidR="00A90E3B" w:rsidRPr="000C32A1" w:rsidRDefault="00A90E3B" w:rsidP="000C32A1">
            <w:pPr>
              <w:ind w:left="33"/>
              <w:rPr>
                <w:sz w:val="20"/>
                <w:szCs w:val="20"/>
              </w:rPr>
            </w:pPr>
          </w:p>
        </w:tc>
        <w:tc>
          <w:tcPr>
            <w:tcW w:w="993" w:type="dxa"/>
          </w:tcPr>
          <w:p w:rsidR="00A90E3B" w:rsidRPr="000C32A1" w:rsidRDefault="00A90E3B" w:rsidP="000C32A1">
            <w:pPr>
              <w:ind w:left="34"/>
              <w:rPr>
                <w:sz w:val="20"/>
                <w:szCs w:val="20"/>
              </w:rPr>
            </w:pPr>
          </w:p>
        </w:tc>
        <w:tc>
          <w:tcPr>
            <w:tcW w:w="1275" w:type="dxa"/>
          </w:tcPr>
          <w:p w:rsidR="00A90E3B" w:rsidRPr="000C32A1" w:rsidRDefault="00A90E3B" w:rsidP="000C32A1">
            <w:pPr>
              <w:ind w:left="0"/>
              <w:rPr>
                <w:sz w:val="20"/>
                <w:szCs w:val="20"/>
              </w:rPr>
            </w:pPr>
          </w:p>
        </w:tc>
        <w:tc>
          <w:tcPr>
            <w:tcW w:w="1833" w:type="dxa"/>
          </w:tcPr>
          <w:p w:rsidR="00A90E3B" w:rsidRPr="000C32A1" w:rsidRDefault="00A90E3B" w:rsidP="000C32A1">
            <w:pPr>
              <w:ind w:left="41"/>
              <w:rPr>
                <w:sz w:val="20"/>
                <w:szCs w:val="20"/>
              </w:rPr>
            </w:pPr>
            <w:r w:rsidRPr="000C32A1">
              <w:rPr>
                <w:sz w:val="20"/>
                <w:szCs w:val="20"/>
              </w:rPr>
              <w:t xml:space="preserve">KEYNOTE011/025 </w:t>
            </w:r>
            <w:proofErr w:type="gramStart"/>
            <w:r w:rsidRPr="000C32A1">
              <w:rPr>
                <w:sz w:val="20"/>
                <w:szCs w:val="20"/>
              </w:rPr>
              <w:t>are</w:t>
            </w:r>
            <w:proofErr w:type="gramEnd"/>
            <w:r w:rsidRPr="000C32A1">
              <w:rPr>
                <w:sz w:val="20"/>
                <w:szCs w:val="20"/>
              </w:rPr>
              <w:t xml:space="preserve"> ongoing NSCLC studies in Japan using a range of doses. A total of 40 patients have been enrolled to date.</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P021</w:t>
            </w:r>
          </w:p>
        </w:tc>
        <w:tc>
          <w:tcPr>
            <w:tcW w:w="1559" w:type="dxa"/>
          </w:tcPr>
          <w:p w:rsidR="00A90E3B" w:rsidRPr="000C32A1" w:rsidRDefault="00A90E3B" w:rsidP="000C32A1">
            <w:pPr>
              <w:ind w:left="72"/>
              <w:rPr>
                <w:sz w:val="20"/>
                <w:szCs w:val="20"/>
              </w:rPr>
            </w:pPr>
            <w:r w:rsidRPr="000C32A1">
              <w:rPr>
                <w:sz w:val="20"/>
                <w:szCs w:val="20"/>
              </w:rPr>
              <w:t xml:space="preserve">A Phase I/II </w:t>
            </w:r>
            <w:r w:rsidRPr="000C32A1">
              <w:rPr>
                <w:sz w:val="20"/>
                <w:szCs w:val="20"/>
              </w:rPr>
              <w:lastRenderedPageBreak/>
              <w:t xml:space="preserve">Study of MK-3475 (SCH900475) in Combination with Chemotherapy or Immunotherapy in Patients with Locally Advanced or Metastatic </w:t>
            </w:r>
            <w:r w:rsidR="00095811" w:rsidRPr="000C32A1">
              <w:rPr>
                <w:sz w:val="20"/>
                <w:szCs w:val="20"/>
              </w:rPr>
              <w:t>NSCLC</w:t>
            </w:r>
            <w:r w:rsidRPr="000C32A1">
              <w:rPr>
                <w:sz w:val="20"/>
                <w:szCs w:val="20"/>
              </w:rPr>
              <w:t>; Phase I/II</w:t>
            </w:r>
          </w:p>
        </w:tc>
        <w:tc>
          <w:tcPr>
            <w:tcW w:w="1134" w:type="dxa"/>
          </w:tcPr>
          <w:p w:rsidR="00A90E3B" w:rsidRPr="000C32A1" w:rsidRDefault="00BE1D8B" w:rsidP="000C32A1">
            <w:pPr>
              <w:ind w:left="29"/>
              <w:rPr>
                <w:sz w:val="20"/>
                <w:szCs w:val="20"/>
              </w:rPr>
            </w:pPr>
            <w:r w:rsidRPr="000C32A1">
              <w:rPr>
                <w:sz w:val="20"/>
                <w:szCs w:val="20"/>
              </w:rPr>
              <w:lastRenderedPageBreak/>
              <w:t xml:space="preserve">Open </w:t>
            </w:r>
            <w:r w:rsidRPr="000C32A1">
              <w:rPr>
                <w:sz w:val="20"/>
                <w:szCs w:val="20"/>
              </w:rPr>
              <w:lastRenderedPageBreak/>
              <w:t>Label</w:t>
            </w:r>
          </w:p>
        </w:tc>
        <w:tc>
          <w:tcPr>
            <w:tcW w:w="992" w:type="dxa"/>
          </w:tcPr>
          <w:p w:rsidR="00A90E3B" w:rsidRPr="000C32A1" w:rsidRDefault="00A90E3B" w:rsidP="000C32A1">
            <w:pPr>
              <w:ind w:left="33"/>
              <w:rPr>
                <w:sz w:val="20"/>
                <w:szCs w:val="20"/>
              </w:rPr>
            </w:pPr>
            <w:r w:rsidRPr="000C32A1">
              <w:rPr>
                <w:sz w:val="20"/>
                <w:szCs w:val="20"/>
              </w:rPr>
              <w:lastRenderedPageBreak/>
              <w:t>Target</w:t>
            </w:r>
            <w:r w:rsidRPr="000C32A1">
              <w:rPr>
                <w:sz w:val="20"/>
                <w:szCs w:val="20"/>
              </w:rPr>
              <w:lastRenderedPageBreak/>
              <w:t>: 320 pts;</w:t>
            </w:r>
          </w:p>
          <w:p w:rsidR="00A90E3B" w:rsidRPr="000C32A1" w:rsidRDefault="00A90E3B" w:rsidP="000C32A1">
            <w:pPr>
              <w:ind w:left="33"/>
              <w:rPr>
                <w:sz w:val="20"/>
                <w:szCs w:val="20"/>
              </w:rPr>
            </w:pPr>
            <w:r w:rsidRPr="000C32A1">
              <w:rPr>
                <w:sz w:val="20"/>
                <w:szCs w:val="20"/>
              </w:rPr>
              <w:t>Actual: 1 pts</w:t>
            </w:r>
          </w:p>
        </w:tc>
        <w:tc>
          <w:tcPr>
            <w:tcW w:w="993" w:type="dxa"/>
          </w:tcPr>
          <w:p w:rsidR="00A90E3B" w:rsidRPr="000C32A1" w:rsidRDefault="00A90E3B" w:rsidP="000C32A1">
            <w:pPr>
              <w:ind w:left="34"/>
              <w:rPr>
                <w:sz w:val="20"/>
                <w:szCs w:val="20"/>
              </w:rPr>
            </w:pPr>
            <w:r w:rsidRPr="000C32A1">
              <w:rPr>
                <w:sz w:val="20"/>
                <w:szCs w:val="20"/>
              </w:rPr>
              <w:lastRenderedPageBreak/>
              <w:t>Surviv</w:t>
            </w:r>
            <w:r w:rsidRPr="000C32A1">
              <w:rPr>
                <w:sz w:val="20"/>
                <w:szCs w:val="20"/>
              </w:rPr>
              <w:lastRenderedPageBreak/>
              <w:t>al follow-up</w:t>
            </w:r>
          </w:p>
        </w:tc>
        <w:tc>
          <w:tcPr>
            <w:tcW w:w="1275" w:type="dxa"/>
          </w:tcPr>
          <w:p w:rsidR="00A90E3B" w:rsidRPr="000C32A1" w:rsidRDefault="00A90E3B" w:rsidP="000C32A1">
            <w:pPr>
              <w:ind w:left="0"/>
              <w:rPr>
                <w:sz w:val="20"/>
                <w:szCs w:val="20"/>
              </w:rPr>
            </w:pPr>
            <w:r w:rsidRPr="000C32A1">
              <w:rPr>
                <w:sz w:val="20"/>
                <w:szCs w:val="20"/>
              </w:rPr>
              <w:lastRenderedPageBreak/>
              <w:t>May 2016</w:t>
            </w:r>
          </w:p>
        </w:tc>
        <w:tc>
          <w:tcPr>
            <w:tcW w:w="1833" w:type="dxa"/>
          </w:tcPr>
          <w:p w:rsidR="00A90E3B" w:rsidRPr="000C32A1" w:rsidRDefault="00A90E3B" w:rsidP="000C32A1">
            <w:pPr>
              <w:ind w:left="41"/>
              <w:rPr>
                <w:sz w:val="20"/>
                <w:szCs w:val="20"/>
              </w:rPr>
            </w:pPr>
          </w:p>
        </w:tc>
      </w:tr>
      <w:tr w:rsidR="00A90E3B" w:rsidRPr="000C32A1" w:rsidTr="000C32A1">
        <w:trPr>
          <w:trHeight w:val="73"/>
        </w:trPr>
        <w:tc>
          <w:tcPr>
            <w:tcW w:w="8745" w:type="dxa"/>
            <w:gridSpan w:val="7"/>
          </w:tcPr>
          <w:p w:rsidR="00A90E3B" w:rsidRPr="000C32A1" w:rsidRDefault="00A90E3B" w:rsidP="000C32A1">
            <w:pPr>
              <w:ind w:left="41"/>
              <w:rPr>
                <w:sz w:val="20"/>
                <w:szCs w:val="20"/>
              </w:rPr>
            </w:pPr>
            <w:r w:rsidRPr="000C32A1">
              <w:rPr>
                <w:sz w:val="20"/>
                <w:szCs w:val="20"/>
              </w:rPr>
              <w:lastRenderedPageBreak/>
              <w:t>Other</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P001 Part A</w:t>
            </w:r>
          </w:p>
        </w:tc>
        <w:tc>
          <w:tcPr>
            <w:tcW w:w="1559" w:type="dxa"/>
          </w:tcPr>
          <w:p w:rsidR="00A90E3B" w:rsidRPr="000C32A1" w:rsidRDefault="00A90E3B" w:rsidP="000C32A1">
            <w:pPr>
              <w:ind w:left="72"/>
              <w:rPr>
                <w:sz w:val="20"/>
                <w:szCs w:val="20"/>
              </w:rPr>
            </w:pPr>
            <w:r w:rsidRPr="000C32A1">
              <w:rPr>
                <w:sz w:val="20"/>
                <w:szCs w:val="20"/>
              </w:rPr>
              <w:t>Phase I Study of Single Agent MK-3475 in Patients with Progressive Locally Advanced or Metastatic Carcinoma, Melanoma, and Non- Small Cell Lung Carcinoma; Phase I</w:t>
            </w:r>
          </w:p>
        </w:tc>
        <w:tc>
          <w:tcPr>
            <w:tcW w:w="1134" w:type="dxa"/>
          </w:tcPr>
          <w:p w:rsidR="00A90E3B" w:rsidRPr="000C32A1" w:rsidRDefault="00A90E3B" w:rsidP="000C32A1">
            <w:pPr>
              <w:ind w:left="29"/>
              <w:rPr>
                <w:sz w:val="20"/>
                <w:szCs w:val="20"/>
              </w:rPr>
            </w:pPr>
            <w:r w:rsidRPr="000C32A1">
              <w:rPr>
                <w:sz w:val="20"/>
                <w:szCs w:val="20"/>
              </w:rPr>
              <w:t>Open-Label</w:t>
            </w:r>
          </w:p>
        </w:tc>
        <w:tc>
          <w:tcPr>
            <w:tcW w:w="992" w:type="dxa"/>
          </w:tcPr>
          <w:p w:rsidR="00A90E3B" w:rsidRPr="000C32A1" w:rsidRDefault="00A90E3B" w:rsidP="000C32A1">
            <w:pPr>
              <w:ind w:left="33"/>
              <w:rPr>
                <w:sz w:val="20"/>
                <w:szCs w:val="20"/>
              </w:rPr>
            </w:pPr>
            <w:r w:rsidRPr="000C32A1">
              <w:rPr>
                <w:sz w:val="20"/>
                <w:szCs w:val="20"/>
              </w:rPr>
              <w:t>Target: 1246 pts</w:t>
            </w:r>
            <w:r w:rsidR="00BE1D8B" w:rsidRPr="000C32A1">
              <w:rPr>
                <w:sz w:val="20"/>
                <w:szCs w:val="20"/>
              </w:rPr>
              <w:t xml:space="preserve"> </w:t>
            </w:r>
            <w:r w:rsidRPr="000C32A1">
              <w:rPr>
                <w:sz w:val="20"/>
                <w:szCs w:val="20"/>
              </w:rPr>
              <w:t>Actual: 1191 pts</w:t>
            </w:r>
            <w:r w:rsidR="00BE1D8B" w:rsidRPr="000C32A1">
              <w:rPr>
                <w:sz w:val="20"/>
                <w:szCs w:val="20"/>
              </w:rPr>
              <w:t xml:space="preserve"> </w:t>
            </w:r>
            <w:r w:rsidRPr="000C32A1">
              <w:rPr>
                <w:sz w:val="20"/>
                <w:szCs w:val="20"/>
              </w:rPr>
              <w:t>(for all P001)</w:t>
            </w:r>
          </w:p>
        </w:tc>
        <w:tc>
          <w:tcPr>
            <w:tcW w:w="993" w:type="dxa"/>
          </w:tcPr>
          <w:p w:rsidR="00A90E3B" w:rsidRPr="000C32A1" w:rsidRDefault="006D5F27" w:rsidP="000C32A1">
            <w:pPr>
              <w:ind w:left="34"/>
              <w:rPr>
                <w:sz w:val="20"/>
                <w:szCs w:val="20"/>
              </w:rPr>
            </w:pPr>
            <w:r w:rsidRPr="000C32A1">
              <w:rPr>
                <w:sz w:val="20"/>
                <w:szCs w:val="20"/>
              </w:rPr>
              <w:t>24 m</w:t>
            </w:r>
          </w:p>
        </w:tc>
        <w:tc>
          <w:tcPr>
            <w:tcW w:w="1275" w:type="dxa"/>
          </w:tcPr>
          <w:p w:rsidR="00A90E3B" w:rsidRPr="000C32A1" w:rsidRDefault="00A90E3B" w:rsidP="000C32A1">
            <w:pPr>
              <w:ind w:left="0"/>
              <w:rPr>
                <w:sz w:val="20"/>
                <w:szCs w:val="20"/>
              </w:rPr>
            </w:pPr>
            <w:r w:rsidRPr="000C32A1">
              <w:rPr>
                <w:sz w:val="20"/>
                <w:szCs w:val="20"/>
              </w:rPr>
              <w:t>December 2016</w:t>
            </w:r>
          </w:p>
        </w:tc>
        <w:tc>
          <w:tcPr>
            <w:tcW w:w="1833" w:type="dxa"/>
          </w:tcPr>
          <w:p w:rsidR="00A90E3B" w:rsidRPr="000C32A1" w:rsidRDefault="00A90E3B" w:rsidP="000C32A1">
            <w:pPr>
              <w:ind w:left="41"/>
              <w:rPr>
                <w:sz w:val="20"/>
                <w:szCs w:val="20"/>
              </w:rPr>
            </w:pPr>
            <w:r w:rsidRPr="000C32A1">
              <w:rPr>
                <w:sz w:val="20"/>
                <w:szCs w:val="20"/>
              </w:rPr>
              <w:t xml:space="preserve">KEYNOTE001 Cohort A included 30 patients with different solid </w:t>
            </w:r>
            <w:r w:rsidR="00095811" w:rsidRPr="000C32A1">
              <w:rPr>
                <w:sz w:val="20"/>
                <w:szCs w:val="20"/>
              </w:rPr>
              <w:t>tumour</w:t>
            </w:r>
            <w:r w:rsidRPr="000C32A1">
              <w:rPr>
                <w:sz w:val="20"/>
                <w:szCs w:val="20"/>
              </w:rPr>
              <w:t xml:space="preserve"> types for dose ranging. A total of 30 patients received pembrolizumab in this cohort.</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P012</w:t>
            </w:r>
          </w:p>
        </w:tc>
        <w:tc>
          <w:tcPr>
            <w:tcW w:w="1559" w:type="dxa"/>
          </w:tcPr>
          <w:p w:rsidR="00A90E3B" w:rsidRPr="000C32A1" w:rsidRDefault="00A90E3B" w:rsidP="000C32A1">
            <w:pPr>
              <w:ind w:left="72"/>
              <w:rPr>
                <w:sz w:val="20"/>
                <w:szCs w:val="20"/>
              </w:rPr>
            </w:pPr>
            <w:r w:rsidRPr="000C32A1">
              <w:rPr>
                <w:sz w:val="20"/>
                <w:szCs w:val="20"/>
              </w:rPr>
              <w:t xml:space="preserve">A Phase </w:t>
            </w:r>
            <w:proofErr w:type="spellStart"/>
            <w:r w:rsidRPr="000C32A1">
              <w:rPr>
                <w:sz w:val="20"/>
                <w:szCs w:val="20"/>
              </w:rPr>
              <w:t>Ib</w:t>
            </w:r>
            <w:proofErr w:type="spellEnd"/>
            <w:r w:rsidRPr="000C32A1">
              <w:rPr>
                <w:sz w:val="20"/>
                <w:szCs w:val="20"/>
              </w:rPr>
              <w:t xml:space="preserve"> Multi-Cohort Study of MK-3475 in Subjects with Advanced Solid </w:t>
            </w:r>
            <w:r w:rsidR="00095811" w:rsidRPr="000C32A1">
              <w:rPr>
                <w:sz w:val="20"/>
                <w:szCs w:val="20"/>
              </w:rPr>
              <w:t>Tumours</w:t>
            </w:r>
            <w:r w:rsidRPr="000C32A1">
              <w:rPr>
                <w:sz w:val="20"/>
                <w:szCs w:val="20"/>
              </w:rPr>
              <w:t>; Phase I</w:t>
            </w:r>
          </w:p>
        </w:tc>
        <w:tc>
          <w:tcPr>
            <w:tcW w:w="1134" w:type="dxa"/>
          </w:tcPr>
          <w:p w:rsidR="00A90E3B" w:rsidRPr="000C32A1" w:rsidRDefault="00A90E3B" w:rsidP="000C32A1">
            <w:pPr>
              <w:ind w:left="29"/>
              <w:rPr>
                <w:sz w:val="20"/>
                <w:szCs w:val="20"/>
              </w:rPr>
            </w:pPr>
            <w:r w:rsidRPr="000C32A1">
              <w:rPr>
                <w:sz w:val="20"/>
                <w:szCs w:val="20"/>
              </w:rPr>
              <w:t>Nonrandom</w:t>
            </w:r>
            <w:r w:rsidR="00987E81" w:rsidRPr="000C32A1">
              <w:rPr>
                <w:sz w:val="20"/>
                <w:szCs w:val="20"/>
              </w:rPr>
              <w:t>ise</w:t>
            </w:r>
            <w:r w:rsidRPr="000C32A1">
              <w:rPr>
                <w:sz w:val="20"/>
                <w:szCs w:val="20"/>
              </w:rPr>
              <w:t>d, open label study</w:t>
            </w:r>
          </w:p>
        </w:tc>
        <w:tc>
          <w:tcPr>
            <w:tcW w:w="992" w:type="dxa"/>
          </w:tcPr>
          <w:p w:rsidR="00A90E3B" w:rsidRPr="000C32A1" w:rsidRDefault="00A90E3B" w:rsidP="000C32A1">
            <w:pPr>
              <w:ind w:left="33"/>
              <w:rPr>
                <w:sz w:val="20"/>
                <w:szCs w:val="20"/>
              </w:rPr>
            </w:pPr>
            <w:r w:rsidRPr="000C32A1">
              <w:rPr>
                <w:sz w:val="20"/>
                <w:szCs w:val="20"/>
              </w:rPr>
              <w:t>Target: 114 pts</w:t>
            </w:r>
            <w:r w:rsidR="00BE1D8B" w:rsidRPr="000C32A1">
              <w:rPr>
                <w:sz w:val="20"/>
                <w:szCs w:val="20"/>
              </w:rPr>
              <w:t xml:space="preserve"> </w:t>
            </w:r>
            <w:r w:rsidRPr="000C32A1">
              <w:rPr>
                <w:sz w:val="20"/>
                <w:szCs w:val="20"/>
              </w:rPr>
              <w:t>Actual: 160 pts</w:t>
            </w:r>
          </w:p>
        </w:tc>
        <w:tc>
          <w:tcPr>
            <w:tcW w:w="993" w:type="dxa"/>
          </w:tcPr>
          <w:p w:rsidR="00A90E3B" w:rsidRPr="000C32A1" w:rsidRDefault="00A90E3B" w:rsidP="000C32A1">
            <w:pPr>
              <w:ind w:left="34"/>
              <w:rPr>
                <w:sz w:val="20"/>
                <w:szCs w:val="20"/>
              </w:rPr>
            </w:pPr>
            <w:r w:rsidRPr="000C32A1">
              <w:rPr>
                <w:sz w:val="20"/>
                <w:szCs w:val="20"/>
              </w:rPr>
              <w:t>Survival follow up every 12 weeks until death or end of study</w:t>
            </w:r>
          </w:p>
        </w:tc>
        <w:tc>
          <w:tcPr>
            <w:tcW w:w="1275" w:type="dxa"/>
          </w:tcPr>
          <w:p w:rsidR="00A90E3B" w:rsidRPr="000C32A1" w:rsidRDefault="00A90E3B" w:rsidP="000C32A1">
            <w:pPr>
              <w:ind w:left="0"/>
              <w:rPr>
                <w:sz w:val="20"/>
                <w:szCs w:val="20"/>
              </w:rPr>
            </w:pPr>
            <w:r w:rsidRPr="000C32A1">
              <w:rPr>
                <w:sz w:val="20"/>
                <w:szCs w:val="20"/>
              </w:rPr>
              <w:t>May 2015</w:t>
            </w:r>
          </w:p>
        </w:tc>
        <w:tc>
          <w:tcPr>
            <w:tcW w:w="1833" w:type="dxa"/>
          </w:tcPr>
          <w:p w:rsidR="00A90E3B" w:rsidRPr="000C32A1" w:rsidRDefault="00A90E3B" w:rsidP="000C32A1">
            <w:pPr>
              <w:ind w:left="41"/>
              <w:rPr>
                <w:sz w:val="20"/>
                <w:szCs w:val="20"/>
              </w:rPr>
            </w:pPr>
            <w:r w:rsidRPr="000C32A1">
              <w:rPr>
                <w:sz w:val="20"/>
                <w:szCs w:val="20"/>
              </w:rPr>
              <w:t xml:space="preserve">KEYNOTE012 is a phase II study of pembrolizumab in patients with triple negative breast cancer, head and neck cancer, urothelial cancer, or gastric cancer. A total of 225 patients have </w:t>
            </w:r>
            <w:r w:rsidRPr="000C32A1">
              <w:rPr>
                <w:sz w:val="20"/>
                <w:szCs w:val="20"/>
              </w:rPr>
              <w:lastRenderedPageBreak/>
              <w:t>been treated with pembrolizumab.</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lastRenderedPageBreak/>
              <w:t>P013</w:t>
            </w:r>
          </w:p>
        </w:tc>
        <w:tc>
          <w:tcPr>
            <w:tcW w:w="1559" w:type="dxa"/>
          </w:tcPr>
          <w:p w:rsidR="00A90E3B" w:rsidRPr="000C32A1" w:rsidRDefault="00A90E3B" w:rsidP="000C32A1">
            <w:pPr>
              <w:ind w:left="72"/>
              <w:rPr>
                <w:sz w:val="20"/>
                <w:szCs w:val="20"/>
              </w:rPr>
            </w:pPr>
            <w:r w:rsidRPr="000C32A1">
              <w:rPr>
                <w:sz w:val="20"/>
                <w:szCs w:val="20"/>
              </w:rPr>
              <w:t xml:space="preserve">A Phase </w:t>
            </w:r>
            <w:proofErr w:type="spellStart"/>
            <w:r w:rsidRPr="000C32A1">
              <w:rPr>
                <w:sz w:val="20"/>
                <w:szCs w:val="20"/>
              </w:rPr>
              <w:t>Ib</w:t>
            </w:r>
            <w:proofErr w:type="spellEnd"/>
            <w:r w:rsidRPr="000C32A1">
              <w:rPr>
                <w:sz w:val="20"/>
                <w:szCs w:val="20"/>
              </w:rPr>
              <w:t xml:space="preserve"> Multi-Cohort Study of MK-3475 in Subjects with Hematologic Malignancies; Phase I</w:t>
            </w:r>
          </w:p>
        </w:tc>
        <w:tc>
          <w:tcPr>
            <w:tcW w:w="1134" w:type="dxa"/>
          </w:tcPr>
          <w:p w:rsidR="00A90E3B" w:rsidRPr="000C32A1" w:rsidRDefault="00A90E3B" w:rsidP="000C32A1">
            <w:pPr>
              <w:ind w:left="29"/>
              <w:rPr>
                <w:sz w:val="20"/>
                <w:szCs w:val="20"/>
              </w:rPr>
            </w:pPr>
            <w:r w:rsidRPr="000C32A1">
              <w:rPr>
                <w:sz w:val="20"/>
                <w:szCs w:val="20"/>
              </w:rPr>
              <w:t>Open-Label</w:t>
            </w:r>
          </w:p>
        </w:tc>
        <w:tc>
          <w:tcPr>
            <w:tcW w:w="992" w:type="dxa"/>
          </w:tcPr>
          <w:p w:rsidR="00A90E3B" w:rsidRPr="000C32A1" w:rsidRDefault="00A90E3B" w:rsidP="000C32A1">
            <w:pPr>
              <w:ind w:left="33"/>
              <w:rPr>
                <w:sz w:val="20"/>
                <w:szCs w:val="20"/>
              </w:rPr>
            </w:pPr>
            <w:r w:rsidRPr="000C32A1">
              <w:rPr>
                <w:sz w:val="20"/>
                <w:szCs w:val="20"/>
              </w:rPr>
              <w:t>Target: 106 pts;</w:t>
            </w:r>
            <w:r w:rsidR="00BE1D8B" w:rsidRPr="000C32A1">
              <w:rPr>
                <w:sz w:val="20"/>
                <w:szCs w:val="20"/>
              </w:rPr>
              <w:t xml:space="preserve"> </w:t>
            </w:r>
            <w:r w:rsidRPr="000C32A1">
              <w:rPr>
                <w:sz w:val="20"/>
                <w:szCs w:val="20"/>
              </w:rPr>
              <w:t>Actual: 36 pts</w:t>
            </w:r>
          </w:p>
        </w:tc>
        <w:tc>
          <w:tcPr>
            <w:tcW w:w="993" w:type="dxa"/>
          </w:tcPr>
          <w:p w:rsidR="00A90E3B" w:rsidRPr="000C32A1" w:rsidRDefault="00A90E3B" w:rsidP="000C32A1">
            <w:pPr>
              <w:ind w:left="34"/>
              <w:rPr>
                <w:sz w:val="20"/>
                <w:szCs w:val="20"/>
              </w:rPr>
            </w:pPr>
            <w:r w:rsidRPr="000C32A1">
              <w:rPr>
                <w:sz w:val="20"/>
                <w:szCs w:val="20"/>
              </w:rPr>
              <w:t>12 weeks</w:t>
            </w:r>
          </w:p>
        </w:tc>
        <w:tc>
          <w:tcPr>
            <w:tcW w:w="1275" w:type="dxa"/>
          </w:tcPr>
          <w:p w:rsidR="00A90E3B" w:rsidRPr="000C32A1" w:rsidRDefault="00A90E3B" w:rsidP="000C32A1">
            <w:pPr>
              <w:ind w:left="0"/>
              <w:rPr>
                <w:sz w:val="20"/>
                <w:szCs w:val="20"/>
              </w:rPr>
            </w:pPr>
            <w:r w:rsidRPr="000C32A1">
              <w:rPr>
                <w:sz w:val="20"/>
                <w:szCs w:val="20"/>
              </w:rPr>
              <w:t>April 2016</w:t>
            </w:r>
          </w:p>
        </w:tc>
        <w:tc>
          <w:tcPr>
            <w:tcW w:w="1833" w:type="dxa"/>
          </w:tcPr>
          <w:p w:rsidR="00A90E3B" w:rsidRPr="000C32A1" w:rsidRDefault="00A90E3B" w:rsidP="000C32A1">
            <w:pPr>
              <w:ind w:left="41"/>
              <w:rPr>
                <w:sz w:val="20"/>
                <w:szCs w:val="20"/>
              </w:rPr>
            </w:pPr>
            <w:r w:rsidRPr="000C32A1">
              <w:rPr>
                <w:sz w:val="20"/>
                <w:szCs w:val="20"/>
              </w:rPr>
              <w:t>KEYNOTE013 is a phase II study in patients with hematologic malignancies. A total of 69 patients have been enrolled in this trial.</w:t>
            </w: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P016</w:t>
            </w:r>
          </w:p>
        </w:tc>
        <w:tc>
          <w:tcPr>
            <w:tcW w:w="1559" w:type="dxa"/>
          </w:tcPr>
          <w:p w:rsidR="00A90E3B" w:rsidRPr="000C32A1" w:rsidRDefault="00A90E3B" w:rsidP="000C32A1">
            <w:pPr>
              <w:ind w:left="72"/>
              <w:rPr>
                <w:sz w:val="20"/>
                <w:szCs w:val="20"/>
              </w:rPr>
            </w:pPr>
            <w:r w:rsidRPr="000C32A1">
              <w:rPr>
                <w:sz w:val="20"/>
                <w:szCs w:val="20"/>
              </w:rPr>
              <w:t xml:space="preserve">Phase 2 Study of MK-3475 in Patients with Microsatellite Unstable (MSI) </w:t>
            </w:r>
            <w:r w:rsidR="00095811" w:rsidRPr="000C32A1">
              <w:rPr>
                <w:sz w:val="20"/>
                <w:szCs w:val="20"/>
              </w:rPr>
              <w:t>Tumours</w:t>
            </w:r>
            <w:r w:rsidRPr="000C32A1">
              <w:rPr>
                <w:sz w:val="20"/>
                <w:szCs w:val="20"/>
              </w:rPr>
              <w:t>;</w:t>
            </w:r>
          </w:p>
          <w:p w:rsidR="00A90E3B" w:rsidRPr="000C32A1" w:rsidRDefault="00A90E3B" w:rsidP="000C32A1">
            <w:pPr>
              <w:ind w:left="72"/>
              <w:rPr>
                <w:sz w:val="20"/>
                <w:szCs w:val="20"/>
              </w:rPr>
            </w:pPr>
            <w:r w:rsidRPr="000C32A1">
              <w:rPr>
                <w:sz w:val="20"/>
                <w:szCs w:val="20"/>
              </w:rPr>
              <w:t>Phase I</w:t>
            </w:r>
          </w:p>
        </w:tc>
        <w:tc>
          <w:tcPr>
            <w:tcW w:w="1134" w:type="dxa"/>
          </w:tcPr>
          <w:p w:rsidR="00A90E3B" w:rsidRPr="000C32A1" w:rsidRDefault="00A90E3B" w:rsidP="000C32A1">
            <w:pPr>
              <w:ind w:left="29"/>
              <w:rPr>
                <w:sz w:val="20"/>
                <w:szCs w:val="20"/>
              </w:rPr>
            </w:pPr>
            <w:r w:rsidRPr="000C32A1">
              <w:rPr>
                <w:sz w:val="20"/>
                <w:szCs w:val="20"/>
              </w:rPr>
              <w:t>Open-Label</w:t>
            </w:r>
          </w:p>
        </w:tc>
        <w:tc>
          <w:tcPr>
            <w:tcW w:w="992" w:type="dxa"/>
          </w:tcPr>
          <w:p w:rsidR="00A90E3B" w:rsidRPr="000C32A1" w:rsidRDefault="00A90E3B" w:rsidP="000C32A1">
            <w:pPr>
              <w:ind w:left="33"/>
              <w:rPr>
                <w:sz w:val="20"/>
                <w:szCs w:val="20"/>
              </w:rPr>
            </w:pPr>
            <w:r w:rsidRPr="000C32A1">
              <w:rPr>
                <w:sz w:val="20"/>
                <w:szCs w:val="20"/>
              </w:rPr>
              <w:t>Target: 71 pts;</w:t>
            </w:r>
            <w:r w:rsidR="00BE1D8B" w:rsidRPr="000C32A1">
              <w:rPr>
                <w:sz w:val="20"/>
                <w:szCs w:val="20"/>
              </w:rPr>
              <w:t xml:space="preserve"> </w:t>
            </w:r>
            <w:r w:rsidRPr="000C32A1">
              <w:rPr>
                <w:sz w:val="20"/>
                <w:szCs w:val="20"/>
              </w:rPr>
              <w:t>Actual: 10 pts</w:t>
            </w:r>
          </w:p>
        </w:tc>
        <w:tc>
          <w:tcPr>
            <w:tcW w:w="993" w:type="dxa"/>
          </w:tcPr>
          <w:p w:rsidR="00A90E3B" w:rsidRPr="000C32A1" w:rsidRDefault="00CB4B97" w:rsidP="000C32A1">
            <w:pPr>
              <w:ind w:left="34"/>
              <w:rPr>
                <w:sz w:val="20"/>
                <w:szCs w:val="20"/>
              </w:rPr>
            </w:pPr>
            <w:r w:rsidRPr="000C32A1">
              <w:rPr>
                <w:sz w:val="20"/>
                <w:szCs w:val="20"/>
              </w:rPr>
              <w:t>3 m</w:t>
            </w:r>
          </w:p>
        </w:tc>
        <w:tc>
          <w:tcPr>
            <w:tcW w:w="1275" w:type="dxa"/>
          </w:tcPr>
          <w:p w:rsidR="00A90E3B" w:rsidRPr="000C32A1" w:rsidRDefault="00A90E3B" w:rsidP="000C32A1">
            <w:pPr>
              <w:ind w:left="0"/>
              <w:rPr>
                <w:sz w:val="20"/>
                <w:szCs w:val="20"/>
              </w:rPr>
            </w:pPr>
            <w:r w:rsidRPr="000C32A1">
              <w:rPr>
                <w:sz w:val="20"/>
                <w:szCs w:val="20"/>
              </w:rPr>
              <w:t>September 2017</w:t>
            </w:r>
          </w:p>
        </w:tc>
        <w:tc>
          <w:tcPr>
            <w:tcW w:w="1833" w:type="dxa"/>
          </w:tcPr>
          <w:p w:rsidR="00A90E3B" w:rsidRPr="000C32A1" w:rsidRDefault="00A90E3B" w:rsidP="000C32A1">
            <w:pPr>
              <w:ind w:left="41"/>
              <w:rPr>
                <w:sz w:val="20"/>
                <w:szCs w:val="20"/>
              </w:rPr>
            </w:pPr>
          </w:p>
        </w:tc>
      </w:tr>
      <w:tr w:rsidR="00A90E3B" w:rsidRPr="000C32A1" w:rsidTr="000C32A1">
        <w:trPr>
          <w:trHeight w:val="73"/>
        </w:trPr>
        <w:tc>
          <w:tcPr>
            <w:tcW w:w="959" w:type="dxa"/>
          </w:tcPr>
          <w:p w:rsidR="00A90E3B" w:rsidRPr="000C32A1" w:rsidRDefault="00A90E3B" w:rsidP="000C32A1">
            <w:pPr>
              <w:ind w:left="0"/>
              <w:rPr>
                <w:sz w:val="20"/>
                <w:szCs w:val="20"/>
              </w:rPr>
            </w:pPr>
            <w:r w:rsidRPr="000C32A1">
              <w:rPr>
                <w:sz w:val="20"/>
                <w:szCs w:val="20"/>
              </w:rPr>
              <w:t>P028</w:t>
            </w:r>
          </w:p>
        </w:tc>
        <w:tc>
          <w:tcPr>
            <w:tcW w:w="1559" w:type="dxa"/>
          </w:tcPr>
          <w:p w:rsidR="00A90E3B" w:rsidRPr="000C32A1" w:rsidRDefault="00A90E3B" w:rsidP="000C32A1">
            <w:pPr>
              <w:ind w:left="72"/>
              <w:rPr>
                <w:sz w:val="20"/>
                <w:szCs w:val="20"/>
              </w:rPr>
            </w:pPr>
            <w:r w:rsidRPr="000C32A1">
              <w:rPr>
                <w:sz w:val="20"/>
                <w:szCs w:val="20"/>
              </w:rPr>
              <w:t xml:space="preserve">Phase IB Study of MK- 3475 in Subjects with Select Advanced Solid </w:t>
            </w:r>
            <w:r w:rsidR="00095811" w:rsidRPr="000C32A1">
              <w:rPr>
                <w:sz w:val="20"/>
                <w:szCs w:val="20"/>
              </w:rPr>
              <w:t>Tumours</w:t>
            </w:r>
            <w:r w:rsidRPr="000C32A1">
              <w:rPr>
                <w:sz w:val="20"/>
                <w:szCs w:val="20"/>
              </w:rPr>
              <w:t xml:space="preserve">; Phase </w:t>
            </w:r>
            <w:proofErr w:type="spellStart"/>
            <w:r w:rsidRPr="000C32A1">
              <w:rPr>
                <w:sz w:val="20"/>
                <w:szCs w:val="20"/>
              </w:rPr>
              <w:t>Ib</w:t>
            </w:r>
            <w:proofErr w:type="spellEnd"/>
          </w:p>
        </w:tc>
        <w:tc>
          <w:tcPr>
            <w:tcW w:w="1134" w:type="dxa"/>
          </w:tcPr>
          <w:p w:rsidR="00A90E3B" w:rsidRPr="000C32A1" w:rsidRDefault="00A90E3B" w:rsidP="000C32A1">
            <w:pPr>
              <w:ind w:left="29"/>
              <w:rPr>
                <w:sz w:val="20"/>
                <w:szCs w:val="20"/>
              </w:rPr>
            </w:pPr>
            <w:r w:rsidRPr="000C32A1">
              <w:rPr>
                <w:sz w:val="20"/>
                <w:szCs w:val="20"/>
              </w:rPr>
              <w:t>Nonrandom</w:t>
            </w:r>
            <w:r w:rsidR="00987E81" w:rsidRPr="000C32A1">
              <w:rPr>
                <w:sz w:val="20"/>
                <w:szCs w:val="20"/>
              </w:rPr>
              <w:t>ise</w:t>
            </w:r>
            <w:r w:rsidRPr="000C32A1">
              <w:rPr>
                <w:sz w:val="20"/>
                <w:szCs w:val="20"/>
              </w:rPr>
              <w:t>d, open label study</w:t>
            </w:r>
            <w:r w:rsidR="00BE1D8B" w:rsidRPr="000C32A1">
              <w:rPr>
                <w:sz w:val="20"/>
                <w:szCs w:val="20"/>
              </w:rPr>
              <w:t xml:space="preserve"> </w:t>
            </w:r>
          </w:p>
        </w:tc>
        <w:tc>
          <w:tcPr>
            <w:tcW w:w="992" w:type="dxa"/>
          </w:tcPr>
          <w:p w:rsidR="00A90E3B" w:rsidRPr="000C32A1" w:rsidRDefault="00A90E3B" w:rsidP="000C32A1">
            <w:pPr>
              <w:ind w:left="33"/>
              <w:rPr>
                <w:sz w:val="20"/>
                <w:szCs w:val="20"/>
              </w:rPr>
            </w:pPr>
            <w:r w:rsidRPr="000C32A1">
              <w:rPr>
                <w:sz w:val="20"/>
                <w:szCs w:val="20"/>
              </w:rPr>
              <w:t>Target: 320 pts;</w:t>
            </w:r>
            <w:r w:rsidR="00BE1D8B" w:rsidRPr="000C32A1">
              <w:rPr>
                <w:sz w:val="20"/>
                <w:szCs w:val="20"/>
              </w:rPr>
              <w:t xml:space="preserve"> </w:t>
            </w:r>
            <w:r w:rsidRPr="000C32A1">
              <w:rPr>
                <w:sz w:val="20"/>
                <w:szCs w:val="20"/>
              </w:rPr>
              <w:t>Actual: 10 pts</w:t>
            </w:r>
          </w:p>
        </w:tc>
        <w:tc>
          <w:tcPr>
            <w:tcW w:w="993" w:type="dxa"/>
          </w:tcPr>
          <w:p w:rsidR="00A90E3B" w:rsidRPr="000C32A1" w:rsidRDefault="00A90E3B" w:rsidP="000C32A1">
            <w:pPr>
              <w:ind w:left="34"/>
              <w:rPr>
                <w:sz w:val="20"/>
                <w:szCs w:val="20"/>
              </w:rPr>
            </w:pPr>
            <w:r w:rsidRPr="000C32A1">
              <w:rPr>
                <w:sz w:val="20"/>
                <w:szCs w:val="20"/>
              </w:rPr>
              <w:t>Survival follow up every 12 weeks until death or end of study</w:t>
            </w:r>
          </w:p>
        </w:tc>
        <w:tc>
          <w:tcPr>
            <w:tcW w:w="1275" w:type="dxa"/>
          </w:tcPr>
          <w:p w:rsidR="00A90E3B" w:rsidRPr="000C32A1" w:rsidRDefault="00A90E3B" w:rsidP="000C32A1">
            <w:pPr>
              <w:ind w:left="0"/>
              <w:rPr>
                <w:sz w:val="20"/>
                <w:szCs w:val="20"/>
              </w:rPr>
            </w:pPr>
            <w:r w:rsidRPr="000C32A1">
              <w:rPr>
                <w:sz w:val="20"/>
                <w:szCs w:val="20"/>
              </w:rPr>
              <w:t>October 2015</w:t>
            </w:r>
          </w:p>
        </w:tc>
        <w:tc>
          <w:tcPr>
            <w:tcW w:w="1833" w:type="dxa"/>
          </w:tcPr>
          <w:p w:rsidR="00A90E3B" w:rsidRPr="000C32A1" w:rsidRDefault="00A90E3B" w:rsidP="000C32A1">
            <w:pPr>
              <w:ind w:left="41"/>
              <w:rPr>
                <w:sz w:val="20"/>
                <w:szCs w:val="20"/>
              </w:rPr>
            </w:pPr>
            <w:r w:rsidRPr="000C32A1">
              <w:rPr>
                <w:sz w:val="20"/>
                <w:szCs w:val="20"/>
              </w:rPr>
              <w:t xml:space="preserve">KEYNOTE028 is a phase II study of 20 different </w:t>
            </w:r>
            <w:r w:rsidR="00095811" w:rsidRPr="000C32A1">
              <w:rPr>
                <w:sz w:val="20"/>
                <w:szCs w:val="20"/>
              </w:rPr>
              <w:t>tumour</w:t>
            </w:r>
            <w:r w:rsidRPr="000C32A1">
              <w:rPr>
                <w:sz w:val="20"/>
                <w:szCs w:val="20"/>
              </w:rPr>
              <w:t xml:space="preserve"> types that are PDL1+. A total of 353 patients have been enrolled.</w:t>
            </w:r>
          </w:p>
        </w:tc>
      </w:tr>
    </w:tbl>
    <w:p w:rsidR="00CB4B97" w:rsidRPr="00CB4B97" w:rsidRDefault="00CB4B97" w:rsidP="00CB4B97">
      <w:pPr>
        <w:pStyle w:val="TableDescription"/>
      </w:pPr>
      <w:r w:rsidRPr="00CB4B97">
        <w:rPr>
          <w:vertAlign w:val="superscript"/>
        </w:rPr>
        <w:t>1</w:t>
      </w:r>
      <w:r>
        <w:t xml:space="preserve"> m = months</w:t>
      </w:r>
    </w:p>
    <w:p w:rsidR="00B9682F" w:rsidRPr="00B9682F" w:rsidRDefault="00B9682F" w:rsidP="00A90E3B">
      <w:pPr>
        <w:pStyle w:val="Heading4"/>
      </w:pPr>
      <w:r w:rsidRPr="00B9682F">
        <w:t>Unresectable or metastatic melanoma</w:t>
      </w:r>
    </w:p>
    <w:p w:rsidR="00B9682F" w:rsidRDefault="00B9682F" w:rsidP="00B9682F">
      <w:r w:rsidRPr="00B9682F">
        <w:t>The sponsor has applied for an indication in unresectable or metastatic melanoma.</w:t>
      </w:r>
      <w:r w:rsidR="00987E81">
        <w:t xml:space="preserve"> </w:t>
      </w:r>
      <w:r w:rsidRPr="00B9682F">
        <w:t>By metastatic melanoma, this is taken to mean distant metastatic melanoma (Stage IV), as opposed to regional and distant metastasis (Stages III and IV).</w:t>
      </w:r>
      <w:r w:rsidR="00987E81">
        <w:t xml:space="preserve"> </w:t>
      </w:r>
      <w:r w:rsidRPr="00B9682F">
        <w:t>This aligns with a key inclusion criterion in P002 (</w:t>
      </w:r>
      <w:r w:rsidR="00987E81">
        <w:t>‘</w:t>
      </w:r>
      <w:r w:rsidRPr="00B9682F">
        <w:t xml:space="preserve">…unresectable stage III or metastatic </w:t>
      </w:r>
      <w:r w:rsidR="00B700E1">
        <w:t>melanoma</w:t>
      </w:r>
      <w:r w:rsidRPr="00B9682F">
        <w:t xml:space="preserve"> not amenable to local therapy</w:t>
      </w:r>
      <w:r w:rsidR="00987E81">
        <w:t>’</w:t>
      </w:r>
      <w:r w:rsidRPr="00B9682F">
        <w:t>).</w:t>
      </w:r>
      <w:r w:rsidR="00987E81">
        <w:t xml:space="preserve"> </w:t>
      </w:r>
      <w:r w:rsidR="00A90E3B">
        <w:t xml:space="preserve">Figure </w:t>
      </w:r>
      <w:r w:rsidR="0034465F">
        <w:t xml:space="preserve">2 </w:t>
      </w:r>
      <w:r w:rsidRPr="00B9682F">
        <w:t>shows melanoma staging.</w:t>
      </w:r>
    </w:p>
    <w:p w:rsidR="00A90E3B" w:rsidRDefault="00A90E3B" w:rsidP="00A90E3B">
      <w:pPr>
        <w:pStyle w:val="FigureTitle"/>
      </w:pPr>
      <w:proofErr w:type="gramStart"/>
      <w:r>
        <w:lastRenderedPageBreak/>
        <w:t xml:space="preserve">Figure </w:t>
      </w:r>
      <w:r w:rsidR="0034465F">
        <w:t>2.</w:t>
      </w:r>
      <w:proofErr w:type="gramEnd"/>
      <w:r w:rsidR="0034465F">
        <w:t xml:space="preserve"> </w:t>
      </w:r>
      <w:r>
        <w:t xml:space="preserve">NCCN </w:t>
      </w:r>
      <w:r w:rsidR="0034465F">
        <w:t>guidelines v</w:t>
      </w:r>
      <w:r>
        <w:t xml:space="preserve">ersion 1.2015 </w:t>
      </w:r>
      <w:r w:rsidR="0034465F">
        <w:t>sta</w:t>
      </w:r>
      <w:r>
        <w:t>ging melanoma part 1</w:t>
      </w:r>
    </w:p>
    <w:p w:rsidR="00A90E3B" w:rsidRDefault="00A90E3B" w:rsidP="00B9682F">
      <w:r>
        <w:rPr>
          <w:noProof/>
          <w:lang w:eastAsia="en-AU"/>
        </w:rPr>
        <w:drawing>
          <wp:inline distT="0" distB="0" distL="0" distR="0" wp14:anchorId="3C921670" wp14:editId="4B73A360">
            <wp:extent cx="5400040" cy="3594257"/>
            <wp:effectExtent l="0" t="0" r="0" b="6350"/>
            <wp:docPr id="47" name="Picture 47" descr="Figure 2. NCCN guidelines version 1.2015 staging melanoma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594257"/>
                    </a:xfrm>
                    <a:prstGeom prst="rect">
                      <a:avLst/>
                    </a:prstGeom>
                  </pic:spPr>
                </pic:pic>
              </a:graphicData>
            </a:graphic>
          </wp:inline>
        </w:drawing>
      </w:r>
    </w:p>
    <w:p w:rsidR="00A90E3B" w:rsidRDefault="00A90E3B" w:rsidP="00A90E3B">
      <w:pPr>
        <w:pStyle w:val="FigureTitle"/>
      </w:pPr>
      <w:r>
        <w:t xml:space="preserve">Figure </w:t>
      </w:r>
      <w:proofErr w:type="gramStart"/>
      <w:r w:rsidR="0034465F">
        <w:t>2(</w:t>
      </w:r>
      <w:proofErr w:type="spellStart"/>
      <w:r w:rsidR="0034465F">
        <w:t>cont</w:t>
      </w:r>
      <w:proofErr w:type="spellEnd"/>
      <w:r w:rsidR="0034465F">
        <w:t xml:space="preserve">) </w:t>
      </w:r>
      <w:r>
        <w:t xml:space="preserve">NCCN </w:t>
      </w:r>
      <w:r w:rsidR="0034465F">
        <w:t>guidelines version 1.2015 staging melanoma</w:t>
      </w:r>
      <w:proofErr w:type="gramEnd"/>
    </w:p>
    <w:p w:rsidR="00A90E3B" w:rsidRPr="00B9682F" w:rsidRDefault="00A90E3B" w:rsidP="00B9682F">
      <w:r>
        <w:rPr>
          <w:noProof/>
          <w:lang w:eastAsia="en-AU"/>
        </w:rPr>
        <w:drawing>
          <wp:inline distT="0" distB="0" distL="0" distR="0" wp14:anchorId="2E4F67CD" wp14:editId="374DF9B7">
            <wp:extent cx="5400040" cy="3575219"/>
            <wp:effectExtent l="0" t="0" r="0" b="6350"/>
            <wp:docPr id="48" name="Picture 48" descr="Figure 2(cont) NCCN guidelines version 1.2015 staging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575219"/>
                    </a:xfrm>
                    <a:prstGeom prst="rect">
                      <a:avLst/>
                    </a:prstGeom>
                  </pic:spPr>
                </pic:pic>
              </a:graphicData>
            </a:graphic>
          </wp:inline>
        </w:drawing>
      </w:r>
    </w:p>
    <w:p w:rsidR="00B9682F" w:rsidRPr="00B9682F" w:rsidRDefault="00B9682F" w:rsidP="00B9682F">
      <w:r w:rsidRPr="00B9682F">
        <w:t>Some prognostic factors in cutaneous melanoma are listed below (</w:t>
      </w:r>
      <w:r w:rsidR="00A90E3B">
        <w:t xml:space="preserve">from </w:t>
      </w:r>
      <w:r w:rsidRPr="00B9682F">
        <w:t>Up-to-date 7618.27).</w:t>
      </w:r>
    </w:p>
    <w:p w:rsidR="00B9682F" w:rsidRPr="00B9682F" w:rsidRDefault="00B9682F" w:rsidP="00A90E3B">
      <w:pPr>
        <w:pStyle w:val="ListBullet"/>
      </w:pPr>
      <w:r w:rsidRPr="00B9682F">
        <w:t>Stage of disease (integrating: primary tumour thickness, ulceration and mitotic rate; regional lymph node status; presence of</w:t>
      </w:r>
      <w:r w:rsidR="00B700E1">
        <w:t xml:space="preserve"> distant metastases; </w:t>
      </w:r>
      <w:r w:rsidR="00F92586">
        <w:t xml:space="preserve">lactate dehydrogenase </w:t>
      </w:r>
      <w:r w:rsidR="00B700E1">
        <w:t>LDH level)</w:t>
      </w:r>
    </w:p>
    <w:p w:rsidR="00B9682F" w:rsidRPr="00B9682F" w:rsidRDefault="00B9682F" w:rsidP="00A90E3B">
      <w:pPr>
        <w:pStyle w:val="ListBullet"/>
      </w:pPr>
      <w:r w:rsidRPr="00B9682F">
        <w:lastRenderedPageBreak/>
        <w:t>Age (advancing age is a</w:t>
      </w:r>
      <w:r w:rsidR="00B700E1">
        <w:t>ssociated with worse prognosis)</w:t>
      </w:r>
    </w:p>
    <w:p w:rsidR="00B9682F" w:rsidRPr="00B9682F" w:rsidRDefault="00B9682F" w:rsidP="00A90E3B">
      <w:pPr>
        <w:pStyle w:val="ListBullet"/>
      </w:pPr>
      <w:r w:rsidRPr="00B9682F">
        <w:t>Gender (male gender is as</w:t>
      </w:r>
      <w:r w:rsidR="00B700E1">
        <w:t>sociated with worse prognosis)</w:t>
      </w:r>
    </w:p>
    <w:p w:rsidR="00B9682F" w:rsidRPr="00B9682F" w:rsidRDefault="00B9682F" w:rsidP="00A90E3B">
      <w:pPr>
        <w:pStyle w:val="ListBullet"/>
      </w:pPr>
      <w:r w:rsidRPr="00B9682F">
        <w:t>Anatomic location.</w:t>
      </w:r>
    </w:p>
    <w:p w:rsidR="00B9682F" w:rsidRPr="00B9682F" w:rsidRDefault="00B9682F" w:rsidP="00B9682F">
      <w:r w:rsidRPr="00B9682F">
        <w:t>The prognostic value of interactions between melanoma and the immune system has also been studied.</w:t>
      </w:r>
      <w:r w:rsidR="00987E81">
        <w:t xml:space="preserve"> </w:t>
      </w:r>
      <w:r w:rsidRPr="00B9682F">
        <w:t>Lo and Fisher noted in a recent review of melanoma:</w:t>
      </w:r>
      <w:r w:rsidR="00B700E1">
        <w:rPr>
          <w:rStyle w:val="FootnoteReference"/>
        </w:rPr>
        <w:footnoteReference w:id="27"/>
      </w:r>
    </w:p>
    <w:p w:rsidR="00B9682F" w:rsidRPr="00B9682F" w:rsidRDefault="00B9682F" w:rsidP="00A90E3B">
      <w:pPr>
        <w:ind w:left="720"/>
      </w:pPr>
      <w:r w:rsidRPr="00B9682F">
        <w:t xml:space="preserve">The importance of immune responses in melanoma has long been appreciated, with reports of spontaneous melanoma regressions published more than 50 years ago. The cancer </w:t>
      </w:r>
      <w:r w:rsidR="00B700E1">
        <w:t xml:space="preserve">immune </w:t>
      </w:r>
      <w:r w:rsidRPr="00B9682F">
        <w:t xml:space="preserve">surveillance hypothesis, which posits that adaptive immunity can prevent cancer development and progression, was supported by observation of higher melanoma incidence in immunosuppressed patients. Early discovery of immune infiltrates and </w:t>
      </w:r>
      <w:r w:rsidR="00B700E1" w:rsidRPr="00B9682F">
        <w:t>tumour</w:t>
      </w:r>
      <w:r w:rsidR="00B700E1">
        <w:t xml:space="preserve"> </w:t>
      </w:r>
      <w:r w:rsidRPr="00B9682F">
        <w:t>specific antibodies as positive prognostic factors provided additional evidence of immune interactions with melanoma.</w:t>
      </w:r>
    </w:p>
    <w:p w:rsidR="00B9682F" w:rsidRPr="00B9682F" w:rsidRDefault="00B9682F" w:rsidP="00B9682F">
      <w:r w:rsidRPr="00B9682F">
        <w:t>Absence of a lymphocytic infiltrate is associated with worse prognosis</w:t>
      </w:r>
      <w:r w:rsidR="00AE4C46">
        <w:t>.</w:t>
      </w:r>
      <w:r w:rsidR="00A92BB2">
        <w:rPr>
          <w:rStyle w:val="FootnoteReference"/>
        </w:rPr>
        <w:footnoteReference w:id="28"/>
      </w:r>
      <w:r w:rsidRPr="00B9682F">
        <w:t xml:space="preserve"> </w:t>
      </w:r>
      <w:r w:rsidR="00AE4C46">
        <w:rPr>
          <w:rStyle w:val="FootnoteReference"/>
        </w:rPr>
        <w:footnoteReference w:id="29"/>
      </w:r>
    </w:p>
    <w:p w:rsidR="00B9682F" w:rsidRPr="00B9682F" w:rsidRDefault="00B9682F" w:rsidP="00B9682F">
      <w:r w:rsidRPr="00B9682F">
        <w:t>In 81 patients, Breslow thickness and PD-L1 membrane positivity were indepe</w:t>
      </w:r>
      <w:r w:rsidR="00B700E1">
        <w:t xml:space="preserve">ndent risk factors for melanoma </w:t>
      </w:r>
      <w:r w:rsidRPr="00B9682F">
        <w:t>specific death</w:t>
      </w:r>
      <w:r w:rsidR="00AE4C46">
        <w:t>.</w:t>
      </w:r>
      <w:r w:rsidR="00AE4C46">
        <w:rPr>
          <w:rStyle w:val="FootnoteReference"/>
        </w:rPr>
        <w:footnoteReference w:id="30"/>
      </w:r>
      <w:r w:rsidR="00987E81">
        <w:t xml:space="preserve"> </w:t>
      </w:r>
      <w:r w:rsidRPr="00B9682F">
        <w:t xml:space="preserve">Using a 5% </w:t>
      </w:r>
      <w:r w:rsidR="00C22866">
        <w:t>cut off</w:t>
      </w:r>
      <w:r w:rsidRPr="00B9682F">
        <w:t xml:space="preserve"> for PD-L1 positivity (at which threshol</w:t>
      </w:r>
      <w:r w:rsidR="00B700E1">
        <w:t xml:space="preserve">d, 30 out of </w:t>
      </w:r>
      <w:r w:rsidRPr="00B9682F">
        <w:t>81 patients [37%] were considered to have PD-L1 positive tumours)</w:t>
      </w:r>
      <w:r w:rsidR="00B700E1">
        <w:t xml:space="preserve">, the hazard ratio for melanoma </w:t>
      </w:r>
      <w:r w:rsidRPr="00B9682F">
        <w:t>specific death was 3.9.</w:t>
      </w:r>
      <w:r w:rsidR="00987E81">
        <w:t xml:space="preserve"> </w:t>
      </w:r>
      <w:r w:rsidRPr="00B9682F">
        <w:t>The authors suggested PD-L1+ melanomas are more aggressive, based on study of PD-L1+ and PD-L1- cell lines.</w:t>
      </w:r>
      <w:r w:rsidR="00987E81">
        <w:t xml:space="preserve"> </w:t>
      </w:r>
      <w:r w:rsidRPr="00B9682F">
        <w:t>40% of metastatic but 14% of primary mela</w:t>
      </w:r>
      <w:r w:rsidR="00B700E1">
        <w:t xml:space="preserve">noma samples were PD-L1+; in 17 out of </w:t>
      </w:r>
      <w:r w:rsidRPr="00B9682F">
        <w:t>22 patients the metastatic site was positive but the primary tumour was negative.</w:t>
      </w:r>
      <w:r w:rsidR="00987E81">
        <w:t xml:space="preserve"> </w:t>
      </w:r>
      <w:r w:rsidRPr="00B9682F">
        <w:t>The interpretation was that PD-L1 is expressed during disease progression.</w:t>
      </w:r>
    </w:p>
    <w:p w:rsidR="00B9682F" w:rsidRPr="00B9682F" w:rsidRDefault="00B9682F" w:rsidP="00B9682F">
      <w:r w:rsidRPr="00B9682F">
        <w:t xml:space="preserve">The sponsor states that </w:t>
      </w:r>
      <w:r w:rsidR="00987E81">
        <w:t>‘</w:t>
      </w:r>
      <w:r w:rsidRPr="00B9682F">
        <w:t>literature data are divided on the prognostic significance of</w:t>
      </w:r>
      <w:r w:rsidR="00A90E3B">
        <w:t xml:space="preserve"> PD-L1 expression in melanoma</w:t>
      </w:r>
      <w:r w:rsidR="00987E81">
        <w:t>’</w:t>
      </w:r>
      <w:r w:rsidR="00A90E3B">
        <w:t>.</w:t>
      </w:r>
    </w:p>
    <w:p w:rsidR="00B9682F" w:rsidRPr="00B9682F" w:rsidRDefault="00B9682F" w:rsidP="00A90E3B">
      <w:pPr>
        <w:pStyle w:val="Heading4"/>
      </w:pPr>
      <w:r w:rsidRPr="00B9682F">
        <w:t>Targets and mechanism of action</w:t>
      </w:r>
    </w:p>
    <w:p w:rsidR="00B9682F" w:rsidRPr="00B9682F" w:rsidRDefault="00B9682F" w:rsidP="00B9682F">
      <w:r w:rsidRPr="00B9682F">
        <w:t>Pembrolizumab is a human</w:t>
      </w:r>
      <w:r w:rsidR="00987E81">
        <w:t>ise</w:t>
      </w:r>
      <w:r w:rsidRPr="00B9682F">
        <w:t>d monoclonal antibody (IgG4/kappa isotype)</w:t>
      </w:r>
      <w:r w:rsidRPr="00B700E1">
        <w:rPr>
          <w:vertAlign w:val="superscript"/>
        </w:rPr>
        <w:footnoteReference w:id="31"/>
      </w:r>
      <w:r w:rsidRPr="00B9682F">
        <w:t xml:space="preserve"> against the cell surface receptor PD-1.</w:t>
      </w:r>
      <w:r w:rsidR="00987E81">
        <w:t xml:space="preserve"> </w:t>
      </w:r>
      <w:r w:rsidRPr="00B9682F">
        <w:t>Pembrolizumab inhibits PD-1 – PD-L signalling.</w:t>
      </w:r>
    </w:p>
    <w:p w:rsidR="00A90E3B" w:rsidRDefault="00B700E1" w:rsidP="00A90E3B">
      <w:r>
        <w:t>The role of PD-1 to</w:t>
      </w:r>
      <w:r w:rsidR="00A90E3B" w:rsidRPr="00A90E3B">
        <w:t xml:space="preserve"> PD-L signalling in human biology is summarised </w:t>
      </w:r>
      <w:r w:rsidR="00BD34CB">
        <w:t xml:space="preserve">below </w:t>
      </w:r>
      <w:r w:rsidR="00A90E3B" w:rsidRPr="00A90E3B">
        <w:t xml:space="preserve">in </w:t>
      </w:r>
      <w:r>
        <w:t>the ‘overview of PD-1 to</w:t>
      </w:r>
      <w:r w:rsidR="00BD34CB">
        <w:t xml:space="preserve"> PD-L signalling in human biology’</w:t>
      </w:r>
      <w:r w:rsidR="00A90E3B" w:rsidRPr="00A90E3B">
        <w:t>.</w:t>
      </w:r>
      <w:r w:rsidR="00987E81">
        <w:t xml:space="preserve"> </w:t>
      </w:r>
      <w:r w:rsidR="00A90E3B" w:rsidRPr="00A90E3B">
        <w:t>PD-1’s role is to limit the activity of T cells in tissues at the time of an inflammatory response to infection and to limit autoimmunity</w:t>
      </w:r>
      <w:r w:rsidR="004C1A99">
        <w:t>.</w:t>
      </w:r>
      <w:r>
        <w:rPr>
          <w:rStyle w:val="FootnoteReference"/>
        </w:rPr>
        <w:footnoteReference w:id="32"/>
      </w:r>
    </w:p>
    <w:p w:rsidR="00BD34CB" w:rsidRPr="00BD34CB" w:rsidRDefault="00BD34CB" w:rsidP="00BD34CB">
      <w:r w:rsidRPr="00BD34CB">
        <w:lastRenderedPageBreak/>
        <w:t xml:space="preserve">There are two PD-1 ligands, PD-L1 and PD-L2, so pembrolizumab is described by the sponsor as producing </w:t>
      </w:r>
      <w:r w:rsidR="00987E81">
        <w:t>‘</w:t>
      </w:r>
      <w:r w:rsidRPr="00BD34CB">
        <w:t>dual ligand blockade</w:t>
      </w:r>
      <w:r w:rsidR="00987E81">
        <w:t>’</w:t>
      </w:r>
      <w:r w:rsidRPr="00BD34CB">
        <w:t xml:space="preserve"> (</w:t>
      </w:r>
      <w:r w:rsidR="00987E81">
        <w:t>versus</w:t>
      </w:r>
      <w:r w:rsidRPr="00BD34CB">
        <w:t xml:space="preserve"> the </w:t>
      </w:r>
      <w:r w:rsidR="00987E81">
        <w:t>‘</w:t>
      </w:r>
      <w:r w:rsidRPr="00BD34CB">
        <w:t>single ligand blockade</w:t>
      </w:r>
      <w:r w:rsidR="00987E81">
        <w:t>’</w:t>
      </w:r>
      <w:r w:rsidRPr="00BD34CB">
        <w:t xml:space="preserve"> that might be expected with PD-L1 or PD-L2 </w:t>
      </w:r>
      <w:proofErr w:type="spellStart"/>
      <w:r w:rsidRPr="00BD34CB">
        <w:t>mAbs</w:t>
      </w:r>
      <w:proofErr w:type="spellEnd"/>
      <w:r w:rsidRPr="00BD34CB">
        <w:t>).</w:t>
      </w:r>
    </w:p>
    <w:p w:rsidR="00BD34CB" w:rsidRPr="00BD34CB" w:rsidRDefault="00BD34CB" w:rsidP="00BD34CB">
      <w:r w:rsidRPr="00BD34CB">
        <w:t>The proposed mechanism by which pembrolizumab acts in melanoma is to allow the immune system to engage with and ‘reject’ the melanoma, as outlined below.</w:t>
      </w:r>
      <w:r w:rsidR="00987E81">
        <w:t xml:space="preserve"> </w:t>
      </w:r>
      <w:r w:rsidRPr="00BD34CB">
        <w:t>There is a rec</w:t>
      </w:r>
      <w:r w:rsidR="00B700E1">
        <w:t xml:space="preserve">ent synopsis by </w:t>
      </w:r>
      <w:proofErr w:type="spellStart"/>
      <w:r w:rsidR="00B700E1">
        <w:t>Wolchok</w:t>
      </w:r>
      <w:proofErr w:type="spellEnd"/>
      <w:r w:rsidR="00B700E1">
        <w:t xml:space="preserve"> and Chan</w:t>
      </w:r>
      <w:r w:rsidRPr="00BD34CB">
        <w:t>.</w:t>
      </w:r>
      <w:r w:rsidR="00B700E1" w:rsidRPr="00B700E1">
        <w:rPr>
          <w:vertAlign w:val="superscript"/>
        </w:rPr>
        <w:fldChar w:fldCharType="begin"/>
      </w:r>
      <w:r w:rsidR="00B700E1" w:rsidRPr="00B700E1">
        <w:rPr>
          <w:vertAlign w:val="superscript"/>
        </w:rPr>
        <w:instrText xml:space="preserve"> NOTEREF _Ref458610959 \h </w:instrText>
      </w:r>
      <w:r w:rsidR="00B700E1">
        <w:rPr>
          <w:vertAlign w:val="superscript"/>
        </w:rPr>
        <w:instrText xml:space="preserve"> \* MERGEFORMAT </w:instrText>
      </w:r>
      <w:r w:rsidR="00B700E1" w:rsidRPr="00B700E1">
        <w:rPr>
          <w:vertAlign w:val="superscript"/>
        </w:rPr>
      </w:r>
      <w:r w:rsidR="00B700E1" w:rsidRPr="00B700E1">
        <w:rPr>
          <w:vertAlign w:val="superscript"/>
        </w:rPr>
        <w:fldChar w:fldCharType="separate"/>
      </w:r>
      <w:r w:rsidR="005E57DC">
        <w:rPr>
          <w:vertAlign w:val="superscript"/>
        </w:rPr>
        <w:t>5</w:t>
      </w:r>
      <w:r w:rsidR="00B700E1" w:rsidRPr="00B700E1">
        <w:rPr>
          <w:vertAlign w:val="superscript"/>
        </w:rPr>
        <w:fldChar w:fldCharType="end"/>
      </w:r>
    </w:p>
    <w:p w:rsidR="00BD34CB" w:rsidRPr="00BD34CB" w:rsidRDefault="00BD34CB" w:rsidP="00BD34CB">
      <w:r w:rsidRPr="00BD34CB">
        <w:t>Multiple mechanisms undermine an adaptive immune response to cancer.</w:t>
      </w:r>
      <w:r w:rsidR="00987E81">
        <w:t xml:space="preserve"> </w:t>
      </w:r>
      <w:r w:rsidRPr="00BD34CB">
        <w:t>An adaptive immune response is regulated by ‘immune checkpoints’ that allow negative feedback, dampening the response.</w:t>
      </w:r>
      <w:r w:rsidR="00987E81">
        <w:t xml:space="preserve"> </w:t>
      </w:r>
      <w:r w:rsidRPr="00BD34CB">
        <w:t xml:space="preserve">This regulation is protective in important scenarios, </w:t>
      </w:r>
      <w:r w:rsidR="00B85B18">
        <w:t>for example</w:t>
      </w:r>
      <w:r w:rsidRPr="00BD34CB">
        <w:t xml:space="preserve"> in the context of infection, constraining immune responses to limit tissue damage; or in the context of self-antigen, preventing autoimmunity.</w:t>
      </w:r>
      <w:r w:rsidR="00987E81">
        <w:t xml:space="preserve"> </w:t>
      </w:r>
      <w:r w:rsidRPr="00BD34CB">
        <w:t>However, immune checkpoints may also subvert an effective anti-tumour response.</w:t>
      </w:r>
    </w:p>
    <w:p w:rsidR="00BD34CB" w:rsidRPr="00BD34CB" w:rsidRDefault="00BD34CB" w:rsidP="00BD34CB">
      <w:r w:rsidRPr="00BD34CB">
        <w:t>A component of one immune checkpoint is induction of PD-1 expression on T cells after antigen exposure.</w:t>
      </w:r>
      <w:r w:rsidR="00987E81">
        <w:t xml:space="preserve"> </w:t>
      </w:r>
      <w:r w:rsidRPr="00BD34CB">
        <w:t>Subsequent binding by PD-L1 or -L2 will inhibit T cell function.</w:t>
      </w:r>
      <w:r w:rsidR="00987E81">
        <w:t xml:space="preserve"> </w:t>
      </w:r>
      <w:r w:rsidRPr="00BD34CB">
        <w:t>It has been argued that T cells in the tumour microenvironment could up-regulate PD-1 due to persistence of tumour antigen.</w:t>
      </w:r>
      <w:r w:rsidR="00987E81">
        <w:t xml:space="preserve"> </w:t>
      </w:r>
      <w:r w:rsidRPr="00BD34CB">
        <w:t>However, for a negative signal to be delivered via PD-1’s intracellular do</w:t>
      </w:r>
      <w:r w:rsidR="00BE1D8B">
        <w:t>main, engagement with PD-L1 or -</w:t>
      </w:r>
      <w:r w:rsidRPr="00BD34CB">
        <w:t>L2 is required.</w:t>
      </w:r>
    </w:p>
    <w:p w:rsidR="00BD34CB" w:rsidRPr="00BD34CB" w:rsidRDefault="00BD34CB" w:rsidP="00BD34CB">
      <w:r w:rsidRPr="00BD34CB">
        <w:t>Overexpression of PD-L1 has been reported in tumours, including melanoma</w:t>
      </w:r>
      <w:r w:rsidRPr="00EA7406">
        <w:rPr>
          <w:vertAlign w:val="superscript"/>
        </w:rPr>
        <w:footnoteReference w:id="33"/>
      </w:r>
      <w:r w:rsidRPr="00BD34CB">
        <w:t xml:space="preserve"> (PD-L1 can be constitutively expressed, or induced by interferon-producing T cells; IFN-</w:t>
      </w:r>
      <w:r w:rsidR="00B700E1">
        <w:t>γ</w:t>
      </w:r>
      <w:r w:rsidR="00BE1D8B">
        <w:t xml:space="preserve"> is reported to up </w:t>
      </w:r>
      <w:r w:rsidRPr="00BD34CB">
        <w:t>regulate its expression on tumour cell lines).</w:t>
      </w:r>
      <w:r w:rsidR="00987E81">
        <w:t xml:space="preserve"> </w:t>
      </w:r>
      <w:r w:rsidRPr="00BD34CB">
        <w:t>PD-L1 may also be found on immune cells that infiltrate the tumour</w:t>
      </w:r>
      <w:r w:rsidR="00B700E1">
        <w:t>.</w:t>
      </w:r>
      <w:r w:rsidRPr="00EA7406">
        <w:rPr>
          <w:vertAlign w:val="superscript"/>
        </w:rPr>
        <w:footnoteReference w:id="34"/>
      </w:r>
    </w:p>
    <w:p w:rsidR="00BD34CB" w:rsidRPr="00BD34CB" w:rsidRDefault="00B344F6" w:rsidP="00BD34CB">
      <w:r>
        <w:t>PD-1 -</w:t>
      </w:r>
      <w:r w:rsidR="00BD34CB" w:rsidRPr="00BD34CB">
        <w:t xml:space="preserve">PD-L signalling between T lymphocytes and tumour cells (or other immune cells in the tumour microenvironment) may attenuate anti-tumour responses, via inhibitory signalling to the T cell (an intrinsic effect on the T cell) and / or </w:t>
      </w:r>
      <w:r w:rsidR="00B700E1">
        <w:t>promotion of regulatory T cells</w:t>
      </w:r>
      <w:r w:rsidR="00BD34CB" w:rsidRPr="00BD34CB">
        <w:t xml:space="preserve"> (an extrinsic mechanism that suppresses T cell function).</w:t>
      </w:r>
    </w:p>
    <w:p w:rsidR="00BD34CB" w:rsidRPr="00A90E3B" w:rsidRDefault="00B344F6" w:rsidP="00A90E3B">
      <w:r>
        <w:t>Blockade of PD-1 -</w:t>
      </w:r>
      <w:r w:rsidR="00BD34CB" w:rsidRPr="00BD34CB">
        <w:t>PD-L signalling therefore encourages adaptive tumour immunity, in that it relie</w:t>
      </w:r>
      <w:r w:rsidR="00B700E1">
        <w:t>ves this inhibitory signalling.</w:t>
      </w:r>
    </w:p>
    <w:p w:rsidR="00426673" w:rsidRDefault="00426673" w:rsidP="00426673">
      <w:pPr>
        <w:pStyle w:val="Heading4"/>
      </w:pPr>
      <w:r>
        <w:t>Overview of PD-1 –PD-L signalling in human biology</w:t>
      </w:r>
    </w:p>
    <w:p w:rsidR="00D643D4" w:rsidRPr="00D643D4" w:rsidRDefault="00D643D4" w:rsidP="00D643D4">
      <w:pPr>
        <w:pStyle w:val="Heading5"/>
      </w:pPr>
      <w:r w:rsidRPr="00D643D4">
        <w:t>Background</w:t>
      </w:r>
    </w:p>
    <w:p w:rsidR="00D643D4" w:rsidRPr="00D643D4" w:rsidRDefault="00D643D4" w:rsidP="00D643D4">
      <w:r w:rsidRPr="00D643D4">
        <w:t>The two-signal hypothesis of T cell activation holds that:</w:t>
      </w:r>
    </w:p>
    <w:p w:rsidR="00D643D4" w:rsidRPr="00D643D4" w:rsidRDefault="00D643D4" w:rsidP="00B700E1">
      <w:pPr>
        <w:pStyle w:val="Numberbullet0"/>
        <w:numPr>
          <w:ilvl w:val="0"/>
          <w:numId w:val="12"/>
        </w:numPr>
      </w:pPr>
      <w:r w:rsidRPr="00D643D4">
        <w:t>specificity is from interaction between the peptide</w:t>
      </w:r>
      <w:r w:rsidR="008402A2">
        <w:t xml:space="preserve"> </w:t>
      </w:r>
      <w:r w:rsidRPr="00D643D4">
        <w:t>-</w:t>
      </w:r>
      <w:r w:rsidR="008402A2">
        <w:t xml:space="preserve"> major histocompatibility complex</w:t>
      </w:r>
      <w:r w:rsidR="008402A2" w:rsidRPr="00D643D4">
        <w:t xml:space="preserve"> </w:t>
      </w:r>
      <w:r w:rsidR="008402A2">
        <w:t>(</w:t>
      </w:r>
      <w:r w:rsidRPr="00D643D4">
        <w:t>MHC</w:t>
      </w:r>
      <w:r w:rsidR="008402A2">
        <w:t>)</w:t>
      </w:r>
      <w:r w:rsidRPr="00D643D4">
        <w:t xml:space="preserve"> (on the antigen-presenting cell) and the T cell receptor / CD3 complex, and</w:t>
      </w:r>
    </w:p>
    <w:p w:rsidR="00D643D4" w:rsidRPr="00D643D4" w:rsidRDefault="00D643D4" w:rsidP="00B700E1">
      <w:pPr>
        <w:pStyle w:val="Numberbullet0"/>
        <w:numPr>
          <w:ilvl w:val="0"/>
          <w:numId w:val="12"/>
        </w:numPr>
      </w:pPr>
      <w:proofErr w:type="gramStart"/>
      <w:r w:rsidRPr="00D643D4">
        <w:t>sensitivity</w:t>
      </w:r>
      <w:proofErr w:type="gramEnd"/>
      <w:r w:rsidRPr="00D643D4">
        <w:t xml:space="preserve"> of cells to activation is modulated by integration of co-stimulatory and co-inhibitory signals (second signals, constituting </w:t>
      </w:r>
      <w:r w:rsidR="00987E81">
        <w:t>‘</w:t>
      </w:r>
      <w:r w:rsidRPr="00D643D4">
        <w:t>immune checkpoints</w:t>
      </w:r>
      <w:r w:rsidR="00987E81">
        <w:t>’</w:t>
      </w:r>
      <w:r w:rsidRPr="00D643D4">
        <w:t>).</w:t>
      </w:r>
    </w:p>
    <w:p w:rsidR="00D643D4" w:rsidRDefault="00D643D4" w:rsidP="00D643D4">
      <w:r w:rsidRPr="00D643D4">
        <w:t xml:space="preserve">Costimulatory (and </w:t>
      </w:r>
      <w:proofErr w:type="spellStart"/>
      <w:r w:rsidRPr="00D643D4">
        <w:t>coinhibitory</w:t>
      </w:r>
      <w:proofErr w:type="spellEnd"/>
      <w:r w:rsidRPr="00D643D4">
        <w:t>) interactions have been distinguished from the influence of cytokines</w:t>
      </w:r>
      <w:r w:rsidR="00EA7406">
        <w:t>.</w:t>
      </w:r>
      <w:r w:rsidR="00EA7406">
        <w:rPr>
          <w:rStyle w:val="FootnoteReference"/>
        </w:rPr>
        <w:footnoteReference w:id="35"/>
      </w:r>
    </w:p>
    <w:p w:rsidR="0034465F" w:rsidRPr="00D643D4" w:rsidRDefault="0034465F" w:rsidP="00D643D4">
      <w:r w:rsidRPr="00D643D4">
        <w:t xml:space="preserve">A depiction of this below is </w:t>
      </w:r>
      <w:r w:rsidR="00BB7301">
        <w:t>in Figure 3.</w:t>
      </w:r>
    </w:p>
    <w:p w:rsidR="00D643D4" w:rsidRPr="004E16C8" w:rsidRDefault="0034465F" w:rsidP="00EA7406">
      <w:pPr>
        <w:pStyle w:val="FigureTitle"/>
      </w:pPr>
      <w:proofErr w:type="gramStart"/>
      <w:r>
        <w:lastRenderedPageBreak/>
        <w:t>Figure 3.</w:t>
      </w:r>
      <w:proofErr w:type="gramEnd"/>
      <w:r>
        <w:t xml:space="preserve"> </w:t>
      </w:r>
      <w:r w:rsidR="00D643D4" w:rsidRPr="00D643D4">
        <w:t xml:space="preserve">A depiction of </w:t>
      </w:r>
      <w:r w:rsidR="00EA7406">
        <w:t>PD-1 PD-L1 signalling</w:t>
      </w:r>
      <w:r w:rsidR="004E16C8">
        <w:t xml:space="preserve"> (from </w:t>
      </w:r>
      <w:proofErr w:type="spellStart"/>
      <w:r w:rsidR="004E16C8">
        <w:t>Okaziaki</w:t>
      </w:r>
      <w:proofErr w:type="spellEnd"/>
      <w:r w:rsidR="004E16C8">
        <w:t xml:space="preserve"> et al</w:t>
      </w:r>
      <w:r w:rsidR="004E16C8" w:rsidRPr="004E16C8">
        <w:rPr>
          <w:vertAlign w:val="superscript"/>
        </w:rPr>
        <w:fldChar w:fldCharType="begin"/>
      </w:r>
      <w:r w:rsidR="004E16C8" w:rsidRPr="004E16C8">
        <w:rPr>
          <w:vertAlign w:val="superscript"/>
        </w:rPr>
        <w:instrText xml:space="preserve"> NOTEREF _Ref458517782 \h </w:instrText>
      </w:r>
      <w:r w:rsidR="004E16C8">
        <w:rPr>
          <w:vertAlign w:val="superscript"/>
        </w:rPr>
        <w:instrText xml:space="preserve"> \* MERGEFORMAT </w:instrText>
      </w:r>
      <w:r w:rsidR="004E16C8" w:rsidRPr="004E16C8">
        <w:rPr>
          <w:vertAlign w:val="superscript"/>
        </w:rPr>
      </w:r>
      <w:r w:rsidR="004E16C8" w:rsidRPr="004E16C8">
        <w:rPr>
          <w:vertAlign w:val="superscript"/>
        </w:rPr>
        <w:fldChar w:fldCharType="separate"/>
      </w:r>
      <w:r w:rsidR="004E16C8" w:rsidRPr="004E16C8">
        <w:rPr>
          <w:vertAlign w:val="superscript"/>
        </w:rPr>
        <w:t>36</w:t>
      </w:r>
      <w:r w:rsidR="004E16C8" w:rsidRPr="004E16C8">
        <w:rPr>
          <w:vertAlign w:val="superscript"/>
        </w:rPr>
        <w:fldChar w:fldCharType="end"/>
      </w:r>
      <w:r w:rsidR="004E16C8">
        <w:t>)</w:t>
      </w:r>
    </w:p>
    <w:p w:rsidR="00D643D4" w:rsidRDefault="00D643D4" w:rsidP="000C32A1">
      <w:r>
        <w:rPr>
          <w:noProof/>
          <w:lang w:eastAsia="en-AU"/>
        </w:rPr>
        <w:drawing>
          <wp:inline distT="0" distB="0" distL="0" distR="0" wp14:anchorId="4571BDF1" wp14:editId="3790A5EF">
            <wp:extent cx="5400040" cy="3146190"/>
            <wp:effectExtent l="0" t="0" r="0" b="0"/>
            <wp:docPr id="50" name="Picture 50" descr="Figure 3. A depiction of PD-1 PD-L1 signalling (from Okazaki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146190"/>
                    </a:xfrm>
                    <a:prstGeom prst="rect">
                      <a:avLst/>
                    </a:prstGeom>
                  </pic:spPr>
                </pic:pic>
              </a:graphicData>
            </a:graphic>
          </wp:inline>
        </w:drawing>
      </w:r>
    </w:p>
    <w:p w:rsidR="00EB5A47" w:rsidRDefault="00EB5A47" w:rsidP="006D1D44">
      <w:pPr>
        <w:pStyle w:val="TableDescription"/>
      </w:pPr>
      <w:r>
        <w:t>PD-1 induces T cell tolerance. PD-1 inhibits the TCR signalling pathway through SHP-2. T cells are activated by signal 1 (antigen stimulation), signal 2 (</w:t>
      </w:r>
      <w:proofErr w:type="spellStart"/>
      <w:r>
        <w:t>costimulation</w:t>
      </w:r>
      <w:proofErr w:type="spellEnd"/>
      <w:r>
        <w:t>) and signal 3 (inflammatory cytokines). In naïve T cells, TCR mediated calcium influx initiates Pdcd1 transcription by activating NFATc1. In chronically activated (‘exhausted’) T cells, interferon α (IFNα) causes prolonged Pdcd1transcription through the binding of transcription factor IRF9 to the Pdcd1 promoter. When it’s the physiological ligand (PD-L1 or PD-L2) binds, PD-1 su</w:t>
      </w:r>
      <w:r w:rsidR="004C3199">
        <w:t>ppresses the activation and func</w:t>
      </w:r>
      <w:r>
        <w:t xml:space="preserve">tion of T cells through the recruitment of SHP-2, which dephosphorylates and </w:t>
      </w:r>
      <w:r w:rsidR="004C3199">
        <w:t>inactivates Zap70, a major integrator of TCR mediated signalling</w:t>
      </w:r>
      <w:r w:rsidR="006D1D44">
        <w:t xml:space="preserve">. CD3, </w:t>
      </w:r>
      <w:proofErr w:type="spellStart"/>
      <w:r w:rsidR="006D1D44">
        <w:t>coreceptor</w:t>
      </w:r>
      <w:proofErr w:type="spellEnd"/>
      <w:r w:rsidR="006D1D44">
        <w:t xml:space="preserve">; </w:t>
      </w:r>
      <w:proofErr w:type="gramStart"/>
      <w:r w:rsidR="006D1D44">
        <w:t>PI(</w:t>
      </w:r>
      <w:proofErr w:type="gramEnd"/>
      <w:r w:rsidR="006D1D44">
        <w:t xml:space="preserve">3)K, Jak1 and Tyk2, kinases; PCL-γ, phospholipase C-γ; </w:t>
      </w:r>
      <w:proofErr w:type="spellStart"/>
      <w:r w:rsidR="006D1D44">
        <w:t>Akt</w:t>
      </w:r>
      <w:proofErr w:type="spellEnd"/>
      <w:r w:rsidR="006D1D44">
        <w:t>, kinase; NF-</w:t>
      </w:r>
      <w:proofErr w:type="spellStart"/>
      <w:r w:rsidR="006D1D44">
        <w:t>κB</w:t>
      </w:r>
      <w:proofErr w:type="spellEnd"/>
      <w:r w:rsidR="006D1D44">
        <w:t>, transcription factor</w:t>
      </w:r>
      <w:r w:rsidR="00EA7406">
        <w:t>. F</w:t>
      </w:r>
      <w:r w:rsidR="00EA7406" w:rsidRPr="00D643D4">
        <w:t>rom Okazaki et al (2013)</w:t>
      </w:r>
      <w:bookmarkStart w:id="165" w:name="_Ref458517782"/>
      <w:r w:rsidR="00EA7406">
        <w:rPr>
          <w:rStyle w:val="FootnoteReference"/>
        </w:rPr>
        <w:footnoteReference w:id="36"/>
      </w:r>
      <w:bookmarkEnd w:id="165"/>
    </w:p>
    <w:p w:rsidR="00D643D4" w:rsidRPr="00D643D4" w:rsidRDefault="00D643D4" w:rsidP="00D643D4">
      <w:pPr>
        <w:pStyle w:val="Heading6"/>
      </w:pPr>
      <w:r w:rsidRPr="00D643D4">
        <w:t>PD-1 and its ligands</w:t>
      </w:r>
    </w:p>
    <w:p w:rsidR="00D643D4" w:rsidRPr="00D643D4" w:rsidRDefault="00D643D4" w:rsidP="00D643D4">
      <w:r w:rsidRPr="00D643D4">
        <w:t>PD-1 (CD279) is a negative (</w:t>
      </w:r>
      <w:r w:rsidR="001D4BB8">
        <w:t>that is</w:t>
      </w:r>
      <w:r w:rsidRPr="00D643D4">
        <w:t xml:space="preserve"> inhibitory)</w:t>
      </w:r>
      <w:r w:rsidR="008402A2">
        <w:t xml:space="preserve"> co-receptor induced on antigen </w:t>
      </w:r>
      <w:r w:rsidRPr="00D643D4">
        <w:t>stimulated CD4+ and CD8+ T cells, NK cells, B cells and myeloid cells.</w:t>
      </w:r>
      <w:r w:rsidR="00987E81">
        <w:t xml:space="preserve"> </w:t>
      </w:r>
      <w:r w:rsidRPr="00D643D4">
        <w:t>It is also expressed in the thymus on CD4- CD8- T cells.</w:t>
      </w:r>
    </w:p>
    <w:p w:rsidR="00D643D4" w:rsidRPr="00D643D4" w:rsidRDefault="00D643D4" w:rsidP="00D643D4">
      <w:r w:rsidRPr="00D643D4">
        <w:t>Ligands for the PD-1 receptor are PD-L1 (CD274) and PD-L2 (CD273).</w:t>
      </w:r>
    </w:p>
    <w:p w:rsidR="00D643D4" w:rsidRPr="00D643D4" w:rsidRDefault="00D643D4" w:rsidP="00D643D4">
      <w:pPr>
        <w:pStyle w:val="ListBullet"/>
      </w:pPr>
      <w:r w:rsidRPr="00D643D4">
        <w:t>PD-L1 expression is constitutive and / or inducible on many haematopoietic and other cells; PD-L1 is expressed on some tumour cells and non-neoplastic elements in the tumour micro-environment.</w:t>
      </w:r>
    </w:p>
    <w:p w:rsidR="00D643D4" w:rsidRPr="00D643D4" w:rsidRDefault="00D643D4" w:rsidP="00D643D4">
      <w:pPr>
        <w:pStyle w:val="ListBullet2"/>
      </w:pPr>
      <w:r w:rsidRPr="00D643D4">
        <w:t xml:space="preserve">PD-L1 is highly expressed on placental </w:t>
      </w:r>
      <w:proofErr w:type="spellStart"/>
      <w:r w:rsidRPr="00D643D4">
        <w:t>syncytiotropho</w:t>
      </w:r>
      <w:r w:rsidR="008402A2">
        <w:t>blasts</w:t>
      </w:r>
      <w:proofErr w:type="spellEnd"/>
      <w:r w:rsidR="008402A2">
        <w:t>, the cells at the mother f</w:t>
      </w:r>
      <w:r w:rsidRPr="00D643D4">
        <w:t>etus interface, suggesting a role</w:t>
      </w:r>
      <w:r w:rsidR="008402A2">
        <w:t xml:space="preserve"> in immune suppression by the f</w:t>
      </w:r>
      <w:r w:rsidRPr="00D643D4">
        <w:t>etus</w:t>
      </w:r>
      <w:r w:rsidR="00B85B18">
        <w:rPr>
          <w:rStyle w:val="FootnoteReference"/>
        </w:rPr>
        <w:footnoteReference w:id="37"/>
      </w:r>
    </w:p>
    <w:p w:rsidR="00D643D4" w:rsidRPr="00D643D4" w:rsidRDefault="00D643D4" w:rsidP="00D643D4">
      <w:pPr>
        <w:pStyle w:val="ListBullet2"/>
      </w:pPr>
      <w:r w:rsidRPr="00D643D4">
        <w:t>There is expression of PD-L1 on endothelial cells and, at lower levels, on cardiomyocytes.</w:t>
      </w:r>
    </w:p>
    <w:p w:rsidR="00D643D4" w:rsidRPr="00D643D4" w:rsidRDefault="00D643D4" w:rsidP="00D643D4">
      <w:pPr>
        <w:pStyle w:val="ListBullet"/>
      </w:pPr>
      <w:r w:rsidRPr="00D643D4">
        <w:t>PD-L2 expression is inducible on a n</w:t>
      </w:r>
      <w:r w:rsidR="00B85B18">
        <w:t xml:space="preserve">arrower range of cells (antigen </w:t>
      </w:r>
      <w:r w:rsidRPr="00D643D4">
        <w:t xml:space="preserve">presenting cells, </w:t>
      </w:r>
      <w:r w:rsidR="00B85B18">
        <w:t>for example</w:t>
      </w:r>
      <w:r w:rsidRPr="00D643D4">
        <w:t xml:space="preserve"> germinal centre B cells; dendritic cells).</w:t>
      </w:r>
    </w:p>
    <w:p w:rsidR="00D643D4" w:rsidRPr="00D643D4" w:rsidRDefault="00D643D4" w:rsidP="00D643D4">
      <w:r w:rsidRPr="00D643D4">
        <w:t xml:space="preserve">PD-1 is a member of </w:t>
      </w:r>
      <w:r w:rsidRPr="0085409C">
        <w:t>the CD28</w:t>
      </w:r>
      <w:r w:rsidRPr="00D643D4">
        <w:t xml:space="preserve"> family, along with CD28 </w:t>
      </w:r>
      <w:r w:rsidRPr="007B720C">
        <w:t>and</w:t>
      </w:r>
      <w:r w:rsidR="007B720C" w:rsidRPr="007B720C">
        <w:t xml:space="preserve"> i</w:t>
      </w:r>
      <w:r w:rsidR="007B720C">
        <w:t xml:space="preserve">nducible costimulatory </w:t>
      </w:r>
      <w:r w:rsidR="007B720C" w:rsidRPr="007B720C">
        <w:t>molecule</w:t>
      </w:r>
      <w:r w:rsidRPr="007B720C">
        <w:t xml:space="preserve"> </w:t>
      </w:r>
      <w:r w:rsidR="007B720C" w:rsidRPr="007B720C">
        <w:t>(</w:t>
      </w:r>
      <w:r w:rsidRPr="007B720C">
        <w:t>ICOS</w:t>
      </w:r>
      <w:r w:rsidR="007B720C" w:rsidRPr="007B720C">
        <w:t>)</w:t>
      </w:r>
      <w:r w:rsidRPr="007B720C">
        <w:t xml:space="preserve"> (co-</w:t>
      </w:r>
      <w:r w:rsidRPr="00D643D4">
        <w:t xml:space="preserve">stimulatory), </w:t>
      </w:r>
      <w:r w:rsidRPr="0085409C">
        <w:t xml:space="preserve">and CTLA-4 and </w:t>
      </w:r>
      <w:r w:rsidR="00555B76" w:rsidRPr="0085409C">
        <w:t>B</w:t>
      </w:r>
      <w:r w:rsidR="00555B76">
        <w:t xml:space="preserve"> and T lymphocyte </w:t>
      </w:r>
      <w:r w:rsidR="00555B76" w:rsidRPr="00555B76">
        <w:t>attenuator (</w:t>
      </w:r>
      <w:r w:rsidRPr="00555B76">
        <w:t>BTLA</w:t>
      </w:r>
      <w:r w:rsidR="00555B76" w:rsidRPr="00555B76">
        <w:t>)</w:t>
      </w:r>
      <w:r w:rsidRPr="00555B76">
        <w:t xml:space="preserve"> </w:t>
      </w:r>
      <w:r w:rsidRPr="00555B76">
        <w:lastRenderedPageBreak/>
        <w:t>(</w:t>
      </w:r>
      <w:r w:rsidRPr="00D643D4">
        <w:t>co-inhibitory)</w:t>
      </w:r>
      <w:r w:rsidR="00B85B18">
        <w:t>.</w:t>
      </w:r>
      <w:r w:rsidR="00B85B18">
        <w:rPr>
          <w:rStyle w:val="FootnoteReference"/>
        </w:rPr>
        <w:footnoteReference w:id="38"/>
      </w:r>
      <w:r w:rsidR="00987E81">
        <w:t xml:space="preserve"> </w:t>
      </w:r>
      <w:r w:rsidRPr="00D643D4">
        <w:t>It is a cell surface monomer, encoded by PDCD1.</w:t>
      </w:r>
      <w:r w:rsidR="00987E81">
        <w:t xml:space="preserve"> </w:t>
      </w:r>
      <w:r w:rsidRPr="00D643D4">
        <w:t>Signal transduction is via a cytoplasmic tail that recruits SHP-2, a phosphatase that dephosphorylates effector molecules activated by the TCR or BCR (</w:t>
      </w:r>
      <w:r w:rsidR="00B85B18">
        <w:t>for example,</w:t>
      </w:r>
      <w:r w:rsidRPr="00D643D4">
        <w:t xml:space="preserve"> Zap70 in T cells; </w:t>
      </w:r>
      <w:proofErr w:type="spellStart"/>
      <w:r w:rsidRPr="00D643D4">
        <w:t>Syk</w:t>
      </w:r>
      <w:proofErr w:type="spellEnd"/>
      <w:r w:rsidRPr="00D643D4">
        <w:t xml:space="preserve"> in B cells).</w:t>
      </w:r>
      <w:r w:rsidR="00987E81">
        <w:t xml:space="preserve"> </w:t>
      </w:r>
      <w:r w:rsidRPr="00D643D4">
        <w:t>Inhibitory signalling via PD-1 / PD-L1 may be overcome by IL-2</w:t>
      </w:r>
      <w:r w:rsidR="00B85B18">
        <w:t>.</w:t>
      </w:r>
      <w:r w:rsidR="00B85B18">
        <w:rPr>
          <w:rStyle w:val="FootnoteReference"/>
        </w:rPr>
        <w:footnoteReference w:id="39"/>
      </w:r>
      <w:r w:rsidRPr="00D643D4">
        <w:t>.</w:t>
      </w:r>
      <w:r w:rsidR="00987E81">
        <w:t xml:space="preserve"> </w:t>
      </w:r>
      <w:r w:rsidRPr="00D643D4">
        <w:t>Splice variants of PD-1 have been reported, in the case of PD-</w:t>
      </w:r>
      <w:r w:rsidRPr="0085409C">
        <w:t>1Δex3 resulting</w:t>
      </w:r>
      <w:r w:rsidRPr="00D643D4">
        <w:t xml:space="preserve"> in a soluble molecule.</w:t>
      </w:r>
    </w:p>
    <w:p w:rsidR="00D643D4" w:rsidRPr="00CB4B97" w:rsidRDefault="00D643D4" w:rsidP="00CB4B97">
      <w:r w:rsidRPr="00CB4B97">
        <w:t>PD-1 s</w:t>
      </w:r>
      <w:r w:rsidR="00CB4B97" w:rsidRPr="00CB4B97">
        <w:t>ignalling is summarised in the</w:t>
      </w:r>
      <w:r w:rsidRPr="00CB4B97">
        <w:t xml:space="preserve"> </w:t>
      </w:r>
      <w:r w:rsidR="00CB4B97" w:rsidRPr="00CB4B97">
        <w:t>cartoon by Okazaki et al (2013) (Figure 4).</w:t>
      </w:r>
    </w:p>
    <w:p w:rsidR="00BB7301" w:rsidRPr="000301EA" w:rsidRDefault="00BB7301" w:rsidP="00B85B18">
      <w:pPr>
        <w:pStyle w:val="FigureTitle"/>
      </w:pPr>
      <w:proofErr w:type="gramStart"/>
      <w:r>
        <w:t>Figure 4.</w:t>
      </w:r>
      <w:proofErr w:type="gramEnd"/>
      <w:r>
        <w:t xml:space="preserve"> Cartoon of PD-1 signalling (</w:t>
      </w:r>
      <w:r w:rsidRPr="000301EA">
        <w:t>by Okazaki et al (2013)</w:t>
      </w:r>
      <w:r w:rsidR="00EA7406" w:rsidRPr="00EA7406">
        <w:rPr>
          <w:vertAlign w:val="superscript"/>
        </w:rPr>
        <w:fldChar w:fldCharType="begin"/>
      </w:r>
      <w:r w:rsidR="00EA7406" w:rsidRPr="00EA7406">
        <w:rPr>
          <w:vertAlign w:val="superscript"/>
        </w:rPr>
        <w:instrText xml:space="preserve"> NOTEREF _Ref458517782 \h </w:instrText>
      </w:r>
      <w:r w:rsidR="00EA7406">
        <w:rPr>
          <w:vertAlign w:val="superscript"/>
        </w:rPr>
        <w:instrText xml:space="preserve"> \* MERGEFORMAT </w:instrText>
      </w:r>
      <w:r w:rsidR="00EA7406" w:rsidRPr="00EA7406">
        <w:rPr>
          <w:vertAlign w:val="superscript"/>
        </w:rPr>
      </w:r>
      <w:r w:rsidR="00EA7406" w:rsidRPr="00EA7406">
        <w:rPr>
          <w:vertAlign w:val="superscript"/>
        </w:rPr>
        <w:fldChar w:fldCharType="separate"/>
      </w:r>
      <w:r w:rsidR="005E57DC">
        <w:rPr>
          <w:vertAlign w:val="superscript"/>
        </w:rPr>
        <w:t>36</w:t>
      </w:r>
      <w:r w:rsidR="00EA7406" w:rsidRPr="00EA7406">
        <w:rPr>
          <w:vertAlign w:val="superscript"/>
        </w:rPr>
        <w:fldChar w:fldCharType="end"/>
      </w:r>
      <w:r>
        <w:t>)</w:t>
      </w:r>
    </w:p>
    <w:p w:rsidR="00D643D4" w:rsidRDefault="00D643D4" w:rsidP="00426673">
      <w:r>
        <w:rPr>
          <w:noProof/>
          <w:lang w:eastAsia="en-AU"/>
        </w:rPr>
        <w:drawing>
          <wp:inline distT="0" distB="0" distL="0" distR="0" wp14:anchorId="433AA46E" wp14:editId="3BC2EB4D">
            <wp:extent cx="2819400" cy="3476625"/>
            <wp:effectExtent l="0" t="0" r="0" b="9525"/>
            <wp:docPr id="52" name="Picture 52" descr="Figure 4. Cartoon of PD-1 signalling (by Okazaki et a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19400" cy="3476625"/>
                    </a:xfrm>
                    <a:prstGeom prst="rect">
                      <a:avLst/>
                    </a:prstGeom>
                  </pic:spPr>
                </pic:pic>
              </a:graphicData>
            </a:graphic>
          </wp:inline>
        </w:drawing>
      </w:r>
    </w:p>
    <w:p w:rsidR="00D643D4" w:rsidRPr="00D643D4" w:rsidRDefault="00D643D4" w:rsidP="00D643D4">
      <w:pPr>
        <w:pStyle w:val="Heading6"/>
      </w:pPr>
      <w:r w:rsidRPr="00D643D4">
        <w:t>Functions of PD-1-PD-L signalling</w:t>
      </w:r>
    </w:p>
    <w:p w:rsidR="00D643D4" w:rsidRPr="00D643D4" w:rsidRDefault="00D643D4" w:rsidP="00A13B92">
      <w:pPr>
        <w:pStyle w:val="Numberbullet0"/>
        <w:numPr>
          <w:ilvl w:val="0"/>
          <w:numId w:val="13"/>
        </w:numPr>
      </w:pPr>
      <w:r w:rsidRPr="00D643D4">
        <w:t>Maintenance of peripheral tolerance / prevention of autoimmunity.</w:t>
      </w:r>
    </w:p>
    <w:p w:rsidR="00D643D4" w:rsidRPr="00D643D4" w:rsidRDefault="00D643D4" w:rsidP="00D643D4">
      <w:r w:rsidRPr="00D643D4">
        <w:t>PD-1-deficient mice develop autoimmunity.</w:t>
      </w:r>
      <w:r w:rsidR="00987E81">
        <w:t xml:space="preserve"> </w:t>
      </w:r>
      <w:r w:rsidRPr="00D643D4">
        <w:t>Phenotype varies with mouse genetic background (</w:t>
      </w:r>
      <w:r w:rsidR="00B85B18">
        <w:t>for example</w:t>
      </w:r>
      <w:r w:rsidRPr="00D643D4">
        <w:t xml:space="preserve"> glomerulonephritis </w:t>
      </w:r>
      <w:r w:rsidR="00987E81">
        <w:t>versus</w:t>
      </w:r>
      <w:r w:rsidRPr="00D643D4">
        <w:t xml:space="preserve"> dilated cardiomyopathy with production of high titre autoantibodies </w:t>
      </w:r>
      <w:r w:rsidR="00987E81">
        <w:t>versus</w:t>
      </w:r>
      <w:r w:rsidRPr="00D643D4">
        <w:t xml:space="preserve"> cardiac troponin-1).</w:t>
      </w:r>
      <w:r w:rsidR="00987E81">
        <w:t xml:space="preserve"> </w:t>
      </w:r>
      <w:r w:rsidRPr="00D643D4">
        <w:t>Phenotypes are milder in Pdcd1-/- mice than in Ctla4-/- mice.</w:t>
      </w:r>
      <w:r w:rsidR="00987E81">
        <w:t xml:space="preserve"> </w:t>
      </w:r>
      <w:r w:rsidRPr="00D643D4">
        <w:t>The inhibitory mechanisms of PD-1 and CTLA-4 differ.</w:t>
      </w:r>
    </w:p>
    <w:p w:rsidR="00D643D4" w:rsidRPr="00D643D4" w:rsidRDefault="00D643D4" w:rsidP="00D643D4">
      <w:pPr>
        <w:pStyle w:val="Numberbullet0"/>
      </w:pPr>
      <w:r w:rsidRPr="00D643D4">
        <w:t>Regulation of antibody responses</w:t>
      </w:r>
    </w:p>
    <w:p w:rsidR="00D643D4" w:rsidRPr="00D643D4" w:rsidRDefault="00D643D4" w:rsidP="00D643D4">
      <w:r w:rsidRPr="00D643D4">
        <w:t xml:space="preserve">Germinal centre responses are regulated by PD-1 (there is high expression of PD-1 on </w:t>
      </w:r>
      <w:r w:rsidR="00741C27">
        <w:t>T follicular helper (TFH</w:t>
      </w:r>
      <w:r w:rsidR="00741C27" w:rsidRPr="004C1A99">
        <w:t xml:space="preserve">) </w:t>
      </w:r>
      <w:r w:rsidRPr="004C1A99">
        <w:t xml:space="preserve">cells and </w:t>
      </w:r>
      <w:r w:rsidR="00741C27">
        <w:t xml:space="preserve">T </w:t>
      </w:r>
      <w:r w:rsidR="00741C27" w:rsidRPr="004C1A99">
        <w:t>follicular regulatory (</w:t>
      </w:r>
      <w:r w:rsidRPr="004C1A99">
        <w:t>TFR</w:t>
      </w:r>
      <w:r w:rsidR="00741C27" w:rsidRPr="004C1A99">
        <w:t>)</w:t>
      </w:r>
      <w:r w:rsidRPr="004C1A99">
        <w:t xml:space="preserve"> cells, subsets of CD4+ helper T cells found in the </w:t>
      </w:r>
      <w:r w:rsidR="00A13B92" w:rsidRPr="004C1A99">
        <w:t>germinal centre</w:t>
      </w:r>
      <w:r w:rsidRPr="004C1A99">
        <w:t>).</w:t>
      </w:r>
      <w:r w:rsidR="00987E81" w:rsidRPr="004C1A99">
        <w:t xml:space="preserve"> </w:t>
      </w:r>
      <w:r w:rsidRPr="004C1A99">
        <w:t xml:space="preserve">B cells in the </w:t>
      </w:r>
      <w:r w:rsidR="00A13B92" w:rsidRPr="004C1A99">
        <w:t>germinal centre</w:t>
      </w:r>
      <w:r w:rsidRPr="004C1A99">
        <w:t xml:space="preserve"> light</w:t>
      </w:r>
      <w:r w:rsidR="004C1A99" w:rsidRPr="004C1A99">
        <w:t xml:space="preserve"> zone</w:t>
      </w:r>
      <w:r w:rsidR="004C1A99">
        <w:t xml:space="preserve"> express PD</w:t>
      </w:r>
      <w:r w:rsidR="004C1A99">
        <w:noBreakHyphen/>
      </w:r>
      <w:r w:rsidRPr="00D643D4">
        <w:t>L1 and PD-L2.</w:t>
      </w:r>
    </w:p>
    <w:p w:rsidR="00D643D4" w:rsidRPr="00D643D4" w:rsidRDefault="00D643D4" w:rsidP="00D643D4">
      <w:r w:rsidRPr="00D643D4">
        <w:t>Some studies report attenuation of humoral responses, others report heightened responses when PD-1 – PD-L signalling is prevented</w:t>
      </w:r>
      <w:r w:rsidR="00EA7406">
        <w:t>.</w:t>
      </w:r>
      <w:bookmarkStart w:id="166" w:name="_Ref459033966"/>
      <w:r w:rsidR="00EA7406">
        <w:rPr>
          <w:rStyle w:val="FootnoteReference"/>
        </w:rPr>
        <w:footnoteReference w:id="40"/>
      </w:r>
      <w:bookmarkEnd w:id="166"/>
    </w:p>
    <w:p w:rsidR="00D643D4" w:rsidRPr="00D643D4" w:rsidRDefault="00D643D4" w:rsidP="00D643D4">
      <w:pPr>
        <w:pStyle w:val="Numberbullet0"/>
      </w:pPr>
      <w:r w:rsidRPr="00D643D4">
        <w:t>Regulation of the response to viral infection</w:t>
      </w:r>
    </w:p>
    <w:p w:rsidR="00D643D4" w:rsidRPr="00D643D4" w:rsidRDefault="00D643D4" w:rsidP="00D643D4">
      <w:r w:rsidRPr="00D643D4">
        <w:lastRenderedPageBreak/>
        <w:t>In persistent viral infection, specific anti-viral T cells can become less functional (sometimes characterised as ‘exhaustion’), with the effect of minimising tissue damage (immunopathology).</w:t>
      </w:r>
      <w:r w:rsidR="00987E81">
        <w:t xml:space="preserve"> </w:t>
      </w:r>
      <w:r w:rsidRPr="00D643D4">
        <w:t>This state is associated with up-regulation of PD-1 on anti-viral T cells.</w:t>
      </w:r>
      <w:r w:rsidR="00987E81">
        <w:t xml:space="preserve"> </w:t>
      </w:r>
      <w:r w:rsidRPr="00D643D4">
        <w:t>A similar phenomenon may occur more broadly in infection / inflammation (</w:t>
      </w:r>
      <w:r w:rsidR="00B85B18">
        <w:t>for example</w:t>
      </w:r>
      <w:r w:rsidRPr="00D643D4">
        <w:t xml:space="preserve"> in cancer due to persistence of tumour antigen).</w:t>
      </w:r>
    </w:p>
    <w:p w:rsidR="00D643D4" w:rsidRPr="00D643D4" w:rsidRDefault="00D643D4" w:rsidP="00D643D4">
      <w:r w:rsidRPr="00D643D4">
        <w:t>Therapeutic blockade of negative immune regulators such as PD-1 can reverse immune exhaustion and theoretically promote clearance of viruses and tumours (in the setting of persistent viral infection, per</w:t>
      </w:r>
      <w:r w:rsidR="00EA7406">
        <w:t>haps restoring immunopathology)</w:t>
      </w:r>
      <w:r w:rsidR="00A13B92">
        <w:t>:</w:t>
      </w:r>
      <w:r w:rsidR="00EA7406">
        <w:rPr>
          <w:rStyle w:val="FootnoteReference"/>
        </w:rPr>
        <w:footnoteReference w:id="41"/>
      </w:r>
    </w:p>
    <w:p w:rsidR="00D643D4" w:rsidRPr="00EA7406" w:rsidRDefault="00D643D4" w:rsidP="00EA7406">
      <w:pPr>
        <w:ind w:left="425"/>
        <w:rPr>
          <w:i/>
        </w:rPr>
      </w:pPr>
      <w:r w:rsidRPr="00EA7406">
        <w:rPr>
          <w:i/>
        </w:rPr>
        <w:t xml:space="preserve">…it is important that anti–PD-1 be administered with caution in a clinical setting because immune exhaustion is a state imposed by an infected host to prevent severe immunopathology. Releasing T cells from this exhausted state holds great promise for the treatment of viruses and </w:t>
      </w:r>
      <w:r w:rsidR="00B344F6" w:rsidRPr="00EA7406">
        <w:rPr>
          <w:i/>
        </w:rPr>
        <w:t>tumours</w:t>
      </w:r>
      <w:r w:rsidRPr="00EA7406">
        <w:rPr>
          <w:i/>
        </w:rPr>
        <w:t>, but can come with undesirable side effects…</w:t>
      </w:r>
    </w:p>
    <w:p w:rsidR="00D643D4" w:rsidRPr="00D643D4" w:rsidRDefault="00D643D4" w:rsidP="00D643D4">
      <w:pPr>
        <w:pStyle w:val="Numberbullet0"/>
      </w:pPr>
      <w:r w:rsidRPr="00D643D4">
        <w:t>Regulation of the response to tumours</w:t>
      </w:r>
    </w:p>
    <w:p w:rsidR="00D643D4" w:rsidRPr="00D643D4" w:rsidRDefault="00D643D4" w:rsidP="00D643D4">
      <w:r w:rsidRPr="00D643D4">
        <w:t>The PD-1 – PD-L1 pathway has a pivotal role in dampening immunosurveillance for tumours.</w:t>
      </w:r>
      <w:r w:rsidR="00987E81">
        <w:t xml:space="preserve"> </w:t>
      </w:r>
      <w:r w:rsidRPr="00D643D4">
        <w:t>Blockade of signalling essentially rekindles immunosurveillance.</w:t>
      </w:r>
    </w:p>
    <w:p w:rsidR="00D643D4" w:rsidRPr="00D643D4" w:rsidRDefault="00D643D4" w:rsidP="00D643D4">
      <w:r w:rsidRPr="00D643D4">
        <w:t>It has been proposed (based on studies in human CD4+ T cells) that PD-1 blocks cell cycle progression and proliferation of T lymphocytes via selective effects of PD-</w:t>
      </w:r>
      <w:r w:rsidRPr="007E1B99">
        <w:t xml:space="preserve">1 on </w:t>
      </w:r>
      <w:r w:rsidR="007E1B99">
        <w:t>protein kinase B (</w:t>
      </w:r>
      <w:proofErr w:type="spellStart"/>
      <w:r w:rsidRPr="007E1B99">
        <w:t>Akt</w:t>
      </w:r>
      <w:proofErr w:type="spellEnd"/>
      <w:r w:rsidR="007E1B99">
        <w:t>)</w:t>
      </w:r>
      <w:r w:rsidRPr="00D643D4">
        <w:t xml:space="preserve"> </w:t>
      </w:r>
      <w:r w:rsidRPr="007E1B99">
        <w:t>and MEK-ERK signalling</w:t>
      </w:r>
      <w:r w:rsidRPr="00D643D4">
        <w:t xml:space="preserve"> pathways</w:t>
      </w:r>
      <w:r w:rsidR="00EA7406">
        <w:t>:</w:t>
      </w:r>
      <w:r w:rsidR="00EA7406">
        <w:rPr>
          <w:rStyle w:val="FootnoteReference"/>
        </w:rPr>
        <w:footnoteReference w:id="42"/>
      </w:r>
    </w:p>
    <w:p w:rsidR="00D643D4" w:rsidRPr="00D643D4" w:rsidRDefault="00D643D4" w:rsidP="00D643D4">
      <w:pPr>
        <w:ind w:left="720"/>
        <w:rPr>
          <w:i/>
        </w:rPr>
      </w:pPr>
      <w:r w:rsidRPr="00D643D4">
        <w:rPr>
          <w:i/>
        </w:rPr>
        <w:t xml:space="preserve">Our studies showed that ligation of PD-1 during the stimulation of T cells through the TCR-CD3 complex and CD28 inhibited activation of the PI3K-Akt and </w:t>
      </w:r>
      <w:proofErr w:type="spellStart"/>
      <w:r w:rsidRPr="00D643D4">
        <w:rPr>
          <w:i/>
        </w:rPr>
        <w:t>Ras</w:t>
      </w:r>
      <w:proofErr w:type="spellEnd"/>
      <w:r w:rsidRPr="00D643D4">
        <w:rPr>
          <w:i/>
        </w:rPr>
        <w:t>-MEK-ERK pathways</w:t>
      </w:r>
      <w:r w:rsidR="00CB4B97">
        <w:rPr>
          <w:i/>
        </w:rPr>
        <w:t>.</w:t>
      </w:r>
    </w:p>
    <w:p w:rsidR="00D643D4" w:rsidRDefault="00D643D4" w:rsidP="00D643D4">
      <w:r w:rsidRPr="00D643D4">
        <w:t>If this observation is borne out, it will be interesting to look for any synergy or lack thereof with pembrolizumab and BRAF / MEK inhibitors</w:t>
      </w:r>
      <w:r w:rsidR="00A13B92">
        <w:t>.</w:t>
      </w:r>
    </w:p>
    <w:p w:rsidR="00BD34CB" w:rsidRPr="00BD34CB" w:rsidRDefault="00BD34CB" w:rsidP="00BD34CB">
      <w:pPr>
        <w:pStyle w:val="Heading4"/>
      </w:pPr>
      <w:r w:rsidRPr="00BD34CB">
        <w:t>Recent therapeutic advances in melanoma</w:t>
      </w:r>
    </w:p>
    <w:p w:rsidR="00BD34CB" w:rsidRDefault="000D4ED0" w:rsidP="00BD34CB">
      <w:r>
        <w:t>Table</w:t>
      </w:r>
      <w:r w:rsidR="00BB7301">
        <w:t xml:space="preserve"> 11</w:t>
      </w:r>
      <w:r>
        <w:t xml:space="preserve"> </w:t>
      </w:r>
      <w:r w:rsidR="00BD34CB" w:rsidRPr="00BD34CB">
        <w:t>overviews registered agents indicated in advanced melanoma.</w:t>
      </w:r>
    </w:p>
    <w:p w:rsidR="000D4ED0" w:rsidRDefault="000D4ED0" w:rsidP="00BB7301">
      <w:pPr>
        <w:pStyle w:val="Tabletitle0"/>
      </w:pPr>
      <w:proofErr w:type="gramStart"/>
      <w:r>
        <w:t xml:space="preserve">Table </w:t>
      </w:r>
      <w:r w:rsidR="00BB7301">
        <w:t>11.</w:t>
      </w:r>
      <w:proofErr w:type="gramEnd"/>
      <w:r w:rsidR="00BB7301">
        <w:t xml:space="preserve"> Overview of currently registered agents for treatment of melanoma</w:t>
      </w:r>
    </w:p>
    <w:tbl>
      <w:tblPr>
        <w:tblStyle w:val="TableTGAblue"/>
        <w:tblW w:w="8500" w:type="dxa"/>
        <w:tblLayout w:type="fixed"/>
        <w:tblLook w:val="01E0" w:firstRow="1" w:lastRow="1" w:firstColumn="1" w:lastColumn="1" w:noHBand="0" w:noVBand="0"/>
      </w:tblPr>
      <w:tblGrid>
        <w:gridCol w:w="1695"/>
        <w:gridCol w:w="1563"/>
        <w:gridCol w:w="5242"/>
      </w:tblGrid>
      <w:tr w:rsidR="000D4ED0" w:rsidRPr="000D4ED0" w:rsidTr="000C32A1">
        <w:trPr>
          <w:cnfStyle w:val="100000000000" w:firstRow="1" w:lastRow="0" w:firstColumn="0" w:lastColumn="0" w:oddVBand="0" w:evenVBand="0" w:oddHBand="0" w:evenHBand="0" w:firstRowFirstColumn="0" w:firstRowLastColumn="0" w:lastRowFirstColumn="0" w:lastRowLastColumn="0"/>
          <w:trHeight w:val="185"/>
        </w:trPr>
        <w:tc>
          <w:tcPr>
            <w:tcW w:w="1695" w:type="dxa"/>
          </w:tcPr>
          <w:p w:rsidR="000D4ED0" w:rsidRPr="000D4ED0" w:rsidRDefault="000D4ED0" w:rsidP="000C32A1">
            <w:r w:rsidRPr="000D4ED0">
              <w:t xml:space="preserve">Generic </w:t>
            </w:r>
          </w:p>
        </w:tc>
        <w:tc>
          <w:tcPr>
            <w:tcW w:w="1563" w:type="dxa"/>
          </w:tcPr>
          <w:p w:rsidR="000D4ED0" w:rsidRPr="000D4ED0" w:rsidRDefault="000D4ED0" w:rsidP="000C32A1">
            <w:r w:rsidRPr="000D4ED0">
              <w:t>Trade</w:t>
            </w:r>
            <w:r w:rsidR="004C1A99">
              <w:t xml:space="preserve"> </w:t>
            </w:r>
            <w:r w:rsidRPr="000D4ED0">
              <w:t>name</w:t>
            </w:r>
          </w:p>
        </w:tc>
        <w:tc>
          <w:tcPr>
            <w:tcW w:w="5242" w:type="dxa"/>
          </w:tcPr>
          <w:p w:rsidR="000D4ED0" w:rsidRPr="000D4ED0" w:rsidRDefault="000D4ED0" w:rsidP="000C32A1">
            <w:r w:rsidRPr="000D4ED0">
              <w:t>TGA-approved indication related to melanoma</w:t>
            </w:r>
          </w:p>
        </w:tc>
      </w:tr>
      <w:tr w:rsidR="000D4ED0" w:rsidRPr="000D4ED0" w:rsidTr="000C32A1">
        <w:trPr>
          <w:trHeight w:val="365"/>
        </w:trPr>
        <w:tc>
          <w:tcPr>
            <w:tcW w:w="1695" w:type="dxa"/>
          </w:tcPr>
          <w:p w:rsidR="000D4ED0" w:rsidRPr="000D4ED0" w:rsidRDefault="000D4ED0" w:rsidP="000C32A1">
            <w:r w:rsidRPr="000D4ED0">
              <w:t>Ipilimumab</w:t>
            </w:r>
          </w:p>
        </w:tc>
        <w:tc>
          <w:tcPr>
            <w:tcW w:w="1563" w:type="dxa"/>
          </w:tcPr>
          <w:p w:rsidR="000D4ED0" w:rsidRPr="000D4ED0" w:rsidRDefault="00095811" w:rsidP="000C32A1">
            <w:r>
              <w:t>Yervoy</w:t>
            </w:r>
          </w:p>
        </w:tc>
        <w:tc>
          <w:tcPr>
            <w:tcW w:w="5242" w:type="dxa"/>
          </w:tcPr>
          <w:p w:rsidR="000D4ED0" w:rsidRPr="000D4ED0" w:rsidRDefault="00095811" w:rsidP="000C32A1">
            <w:r>
              <w:t>Yervoy</w:t>
            </w:r>
            <w:r w:rsidR="000D4ED0" w:rsidRPr="000D4ED0">
              <w:t>, as monotherapy, is indicated for the treatment of patients with unresectable or metastatic melanoma who have failed or are intolerant to prior therapy.</w:t>
            </w:r>
          </w:p>
        </w:tc>
      </w:tr>
      <w:tr w:rsidR="000D4ED0" w:rsidRPr="000D4ED0" w:rsidTr="000C32A1">
        <w:trPr>
          <w:trHeight w:val="1278"/>
        </w:trPr>
        <w:tc>
          <w:tcPr>
            <w:tcW w:w="1695" w:type="dxa"/>
          </w:tcPr>
          <w:p w:rsidR="000D4ED0" w:rsidRPr="000D4ED0" w:rsidRDefault="000D4ED0" w:rsidP="000C32A1">
            <w:r w:rsidRPr="000D4ED0">
              <w:t>Trametinib</w:t>
            </w:r>
          </w:p>
        </w:tc>
        <w:tc>
          <w:tcPr>
            <w:tcW w:w="1563" w:type="dxa"/>
          </w:tcPr>
          <w:p w:rsidR="000D4ED0" w:rsidRPr="000D4ED0" w:rsidRDefault="000D4ED0" w:rsidP="000C32A1">
            <w:proofErr w:type="spellStart"/>
            <w:r w:rsidRPr="000D4ED0">
              <w:t>M</w:t>
            </w:r>
            <w:r w:rsidR="00A13B92" w:rsidRPr="000D4ED0">
              <w:t>ekinist</w:t>
            </w:r>
            <w:proofErr w:type="spellEnd"/>
          </w:p>
        </w:tc>
        <w:tc>
          <w:tcPr>
            <w:tcW w:w="5242" w:type="dxa"/>
          </w:tcPr>
          <w:p w:rsidR="000D4ED0" w:rsidRPr="000D4ED0" w:rsidRDefault="00A13B92" w:rsidP="000C32A1">
            <w:proofErr w:type="spellStart"/>
            <w:r>
              <w:t>Mekinist</w:t>
            </w:r>
            <w:proofErr w:type="spellEnd"/>
            <w:r w:rsidR="000D4ED0" w:rsidRPr="000D4ED0">
              <w:t xml:space="preserve"> in combination with dabrafenib is indicated for the treatment of patients with BRAFV600 mutation positive unresectable Stage III or </w:t>
            </w:r>
            <w:r w:rsidR="000D4ED0">
              <w:t>metastatic (Stage IV) melanoma.</w:t>
            </w:r>
          </w:p>
          <w:p w:rsidR="000D4ED0" w:rsidRPr="000D4ED0" w:rsidRDefault="00A13B92" w:rsidP="000C32A1">
            <w:proofErr w:type="spellStart"/>
            <w:r>
              <w:t>Mekinist</w:t>
            </w:r>
            <w:proofErr w:type="spellEnd"/>
            <w:r w:rsidR="000D4ED0" w:rsidRPr="000D4ED0">
              <w:t xml:space="preserve"> as a monotherapy is indicated for the treatment of patients with BRAFV600 mutation positive unresectable Stage III or metastatic (Stage IV) melanoma and in whom either there is </w:t>
            </w:r>
            <w:r w:rsidR="000D4ED0" w:rsidRPr="000D4ED0">
              <w:lastRenderedPageBreak/>
              <w:t xml:space="preserve">intolerance to BRAF inhibitors or </w:t>
            </w:r>
            <w:r w:rsidR="000D4ED0">
              <w:t>BRAF inhibitors cannot be used.</w:t>
            </w:r>
          </w:p>
          <w:p w:rsidR="000D4ED0" w:rsidRPr="000D4ED0" w:rsidRDefault="00A13B92" w:rsidP="000C32A1">
            <w:proofErr w:type="spellStart"/>
            <w:r>
              <w:t>Mekinist</w:t>
            </w:r>
            <w:proofErr w:type="spellEnd"/>
            <w:r w:rsidR="000D4ED0" w:rsidRPr="000D4ED0">
              <w:t xml:space="preserve"> as monotherapy has not demonstrated clinical activity in patients who have progressed on BRAF inhibitor therapy.</w:t>
            </w:r>
          </w:p>
        </w:tc>
      </w:tr>
      <w:tr w:rsidR="000D4ED0" w:rsidRPr="000D4ED0" w:rsidTr="000C32A1">
        <w:trPr>
          <w:trHeight w:val="641"/>
        </w:trPr>
        <w:tc>
          <w:tcPr>
            <w:tcW w:w="1695" w:type="dxa"/>
          </w:tcPr>
          <w:p w:rsidR="000D4ED0" w:rsidRPr="000D4ED0" w:rsidRDefault="000D4ED0" w:rsidP="000C32A1">
            <w:r w:rsidRPr="000D4ED0">
              <w:lastRenderedPageBreak/>
              <w:t>Dabrafenib</w:t>
            </w:r>
          </w:p>
        </w:tc>
        <w:tc>
          <w:tcPr>
            <w:tcW w:w="1563" w:type="dxa"/>
          </w:tcPr>
          <w:p w:rsidR="000D4ED0" w:rsidRPr="000D4ED0" w:rsidRDefault="000D4ED0" w:rsidP="000C32A1">
            <w:proofErr w:type="spellStart"/>
            <w:r w:rsidRPr="000D4ED0">
              <w:t>T</w:t>
            </w:r>
            <w:r w:rsidR="00A13B92" w:rsidRPr="000D4ED0">
              <w:t>afinlar</w:t>
            </w:r>
            <w:proofErr w:type="spellEnd"/>
          </w:p>
        </w:tc>
        <w:tc>
          <w:tcPr>
            <w:tcW w:w="5242" w:type="dxa"/>
          </w:tcPr>
          <w:p w:rsidR="000D4ED0" w:rsidRPr="000D4ED0" w:rsidRDefault="00A13B92" w:rsidP="000C32A1">
            <w:proofErr w:type="spellStart"/>
            <w:r>
              <w:t>Tafinlar</w:t>
            </w:r>
            <w:proofErr w:type="spellEnd"/>
            <w:r w:rsidR="000D4ED0" w:rsidRPr="000D4ED0">
              <w:t xml:space="preserve"> in combination with trametinib is indicated for the treatment of patients with BRAFV600 mutation positive unresectable Stage III or </w:t>
            </w:r>
            <w:r w:rsidR="000D4ED0">
              <w:t>metastatic (Stage IV) melanoma.</w:t>
            </w:r>
          </w:p>
          <w:p w:rsidR="000D4ED0" w:rsidRPr="000D4ED0" w:rsidRDefault="00A13B92" w:rsidP="000C32A1">
            <w:proofErr w:type="spellStart"/>
            <w:r>
              <w:t>Tafinlar</w:t>
            </w:r>
            <w:proofErr w:type="spellEnd"/>
            <w:r w:rsidR="000D4ED0" w:rsidRPr="000D4ED0">
              <w:t xml:space="preserve"> as monotherapy is indicated for the treatment of patients with BRAF V600 mutation positive unresectable Stage III or metastatic (Stage IV) melanoma.</w:t>
            </w:r>
          </w:p>
        </w:tc>
      </w:tr>
      <w:tr w:rsidR="000D4ED0" w:rsidRPr="000D4ED0" w:rsidTr="000C32A1">
        <w:trPr>
          <w:trHeight w:val="55"/>
        </w:trPr>
        <w:tc>
          <w:tcPr>
            <w:tcW w:w="1695" w:type="dxa"/>
          </w:tcPr>
          <w:p w:rsidR="000D4ED0" w:rsidRPr="000D4ED0" w:rsidRDefault="000D4ED0" w:rsidP="000C32A1">
            <w:r w:rsidRPr="000D4ED0">
              <w:t>Vemurafenib</w:t>
            </w:r>
          </w:p>
        </w:tc>
        <w:tc>
          <w:tcPr>
            <w:tcW w:w="1563" w:type="dxa"/>
          </w:tcPr>
          <w:p w:rsidR="000D4ED0" w:rsidRPr="000D4ED0" w:rsidRDefault="000D4ED0" w:rsidP="000C32A1">
            <w:proofErr w:type="spellStart"/>
            <w:r w:rsidRPr="000D4ED0">
              <w:t>Z</w:t>
            </w:r>
            <w:r w:rsidR="00A13B92" w:rsidRPr="000D4ED0">
              <w:t>elboraf</w:t>
            </w:r>
            <w:proofErr w:type="spellEnd"/>
          </w:p>
        </w:tc>
        <w:tc>
          <w:tcPr>
            <w:tcW w:w="5242" w:type="dxa"/>
          </w:tcPr>
          <w:p w:rsidR="000D4ED0" w:rsidRPr="000D4ED0" w:rsidRDefault="000D4ED0" w:rsidP="000C32A1">
            <w:proofErr w:type="spellStart"/>
            <w:r w:rsidRPr="000D4ED0">
              <w:t>Z</w:t>
            </w:r>
            <w:r w:rsidR="00A13B92" w:rsidRPr="000D4ED0">
              <w:t>elboraf</w:t>
            </w:r>
            <w:proofErr w:type="spellEnd"/>
            <w:r w:rsidRPr="000D4ED0">
              <w:t xml:space="preserve"> is indicated for the treatment of unresectable stage IIIC or stage IV metastatic melanoma pos</w:t>
            </w:r>
            <w:r>
              <w:t>itive for a BRAF V600 mutation.</w:t>
            </w:r>
          </w:p>
        </w:tc>
      </w:tr>
      <w:tr w:rsidR="000D4ED0" w:rsidRPr="000D4ED0" w:rsidTr="000C32A1">
        <w:trPr>
          <w:trHeight w:val="55"/>
        </w:trPr>
        <w:tc>
          <w:tcPr>
            <w:tcW w:w="1695" w:type="dxa"/>
          </w:tcPr>
          <w:p w:rsidR="000D4ED0" w:rsidRPr="000D4ED0" w:rsidRDefault="000D4ED0" w:rsidP="000C32A1">
            <w:r w:rsidRPr="000D4ED0">
              <w:t>Interleukin-2 (high dose)</w:t>
            </w:r>
          </w:p>
        </w:tc>
        <w:tc>
          <w:tcPr>
            <w:tcW w:w="1563" w:type="dxa"/>
          </w:tcPr>
          <w:p w:rsidR="000D4ED0" w:rsidRPr="000D4ED0" w:rsidRDefault="000D4ED0" w:rsidP="000C32A1">
            <w:proofErr w:type="spellStart"/>
            <w:r w:rsidRPr="000D4ED0">
              <w:t>na</w:t>
            </w:r>
            <w:proofErr w:type="spellEnd"/>
          </w:p>
        </w:tc>
        <w:tc>
          <w:tcPr>
            <w:tcW w:w="5242" w:type="dxa"/>
          </w:tcPr>
          <w:p w:rsidR="000D4ED0" w:rsidRPr="000D4ED0" w:rsidRDefault="000D4ED0" w:rsidP="000C32A1">
            <w:r w:rsidRPr="000D4ED0">
              <w:t>Unregistered (except for export)</w:t>
            </w:r>
          </w:p>
        </w:tc>
      </w:tr>
      <w:tr w:rsidR="000D4ED0" w:rsidRPr="000D4ED0" w:rsidTr="000C32A1">
        <w:trPr>
          <w:trHeight w:val="55"/>
        </w:trPr>
        <w:tc>
          <w:tcPr>
            <w:tcW w:w="1695" w:type="dxa"/>
          </w:tcPr>
          <w:p w:rsidR="000D4ED0" w:rsidRPr="000D4ED0" w:rsidRDefault="000D4ED0" w:rsidP="000C32A1">
            <w:r w:rsidRPr="000D4ED0">
              <w:t>Pembrolizumab</w:t>
            </w:r>
          </w:p>
        </w:tc>
        <w:tc>
          <w:tcPr>
            <w:tcW w:w="1563" w:type="dxa"/>
          </w:tcPr>
          <w:p w:rsidR="000D4ED0" w:rsidRPr="000D4ED0" w:rsidRDefault="000D4ED0" w:rsidP="000C32A1">
            <w:proofErr w:type="spellStart"/>
            <w:r w:rsidRPr="000D4ED0">
              <w:t>na</w:t>
            </w:r>
            <w:proofErr w:type="spellEnd"/>
          </w:p>
        </w:tc>
        <w:tc>
          <w:tcPr>
            <w:tcW w:w="5242" w:type="dxa"/>
          </w:tcPr>
          <w:p w:rsidR="000D4ED0" w:rsidRPr="000D4ED0" w:rsidRDefault="000D4ED0" w:rsidP="000C32A1">
            <w:r w:rsidRPr="000D4ED0">
              <w:t>Unregistered</w:t>
            </w:r>
          </w:p>
        </w:tc>
      </w:tr>
      <w:tr w:rsidR="000D4ED0" w:rsidRPr="000D4ED0" w:rsidTr="000C32A1">
        <w:trPr>
          <w:trHeight w:val="55"/>
        </w:trPr>
        <w:tc>
          <w:tcPr>
            <w:tcW w:w="1695" w:type="dxa"/>
          </w:tcPr>
          <w:p w:rsidR="000D4ED0" w:rsidRPr="000D4ED0" w:rsidRDefault="000D4ED0" w:rsidP="000C32A1">
            <w:r w:rsidRPr="000D4ED0">
              <w:t>Dacarbazine (± combination chemo)</w:t>
            </w:r>
          </w:p>
        </w:tc>
        <w:tc>
          <w:tcPr>
            <w:tcW w:w="1563" w:type="dxa"/>
          </w:tcPr>
          <w:p w:rsidR="000D4ED0" w:rsidRPr="000D4ED0" w:rsidRDefault="000D4ED0" w:rsidP="000C32A1">
            <w:r w:rsidRPr="000D4ED0">
              <w:t>several</w:t>
            </w:r>
          </w:p>
        </w:tc>
        <w:tc>
          <w:tcPr>
            <w:tcW w:w="5242" w:type="dxa"/>
          </w:tcPr>
          <w:p w:rsidR="000D4ED0" w:rsidRPr="000D4ED0" w:rsidRDefault="000D4ED0" w:rsidP="000C32A1">
            <w:r w:rsidRPr="000D4ED0">
              <w:t>Chemotherapy of metastatic malignant melanoma… Note. The use of dacarbazine is restricted to hospitals with an oncology service.</w:t>
            </w:r>
          </w:p>
        </w:tc>
      </w:tr>
      <w:tr w:rsidR="000D4ED0" w:rsidRPr="000D4ED0" w:rsidTr="000C32A1">
        <w:trPr>
          <w:trHeight w:val="55"/>
        </w:trPr>
        <w:tc>
          <w:tcPr>
            <w:tcW w:w="1695" w:type="dxa"/>
          </w:tcPr>
          <w:p w:rsidR="000D4ED0" w:rsidRPr="000D4ED0" w:rsidRDefault="000D4ED0" w:rsidP="000C32A1">
            <w:proofErr w:type="spellStart"/>
            <w:r w:rsidRPr="000D4ED0">
              <w:t>Fotemustine</w:t>
            </w:r>
            <w:proofErr w:type="spellEnd"/>
          </w:p>
        </w:tc>
        <w:tc>
          <w:tcPr>
            <w:tcW w:w="1563" w:type="dxa"/>
          </w:tcPr>
          <w:p w:rsidR="000D4ED0" w:rsidRPr="000D4ED0" w:rsidRDefault="000D4ED0" w:rsidP="000C32A1">
            <w:proofErr w:type="spellStart"/>
            <w:r w:rsidRPr="000D4ED0">
              <w:t>M</w:t>
            </w:r>
            <w:r w:rsidR="00A13B92" w:rsidRPr="000D4ED0">
              <w:t>uphoran</w:t>
            </w:r>
            <w:proofErr w:type="spellEnd"/>
          </w:p>
        </w:tc>
        <w:tc>
          <w:tcPr>
            <w:tcW w:w="5242" w:type="dxa"/>
          </w:tcPr>
          <w:p w:rsidR="000D4ED0" w:rsidRPr="000D4ED0" w:rsidRDefault="000D4ED0" w:rsidP="000C32A1">
            <w:r w:rsidRPr="000D4ED0">
              <w:t xml:space="preserve">The indication </w:t>
            </w:r>
            <w:r w:rsidR="00987E81">
              <w:t>‘</w:t>
            </w:r>
            <w:r w:rsidRPr="000D4ED0">
              <w:t>disseminated malignant melanoma</w:t>
            </w:r>
            <w:r w:rsidR="00987E81">
              <w:t>’</w:t>
            </w:r>
            <w:r w:rsidRPr="000D4ED0">
              <w:t xml:space="preserve">, including cerebral metastases, is currently the preferential indication for </w:t>
            </w:r>
            <w:proofErr w:type="spellStart"/>
            <w:r w:rsidRPr="000D4ED0">
              <w:t>fotemustine</w:t>
            </w:r>
            <w:proofErr w:type="spellEnd"/>
            <w:r w:rsidRPr="000D4ED0">
              <w:t>, administered alone or in combination with other anticancer agents.</w:t>
            </w:r>
          </w:p>
        </w:tc>
      </w:tr>
      <w:tr w:rsidR="000D4ED0" w:rsidRPr="000D4ED0" w:rsidTr="000C32A1">
        <w:trPr>
          <w:trHeight w:val="55"/>
        </w:trPr>
        <w:tc>
          <w:tcPr>
            <w:tcW w:w="1695" w:type="dxa"/>
          </w:tcPr>
          <w:p w:rsidR="000D4ED0" w:rsidRPr="000D4ED0" w:rsidRDefault="000D4ED0" w:rsidP="000C32A1">
            <w:proofErr w:type="spellStart"/>
            <w:r w:rsidRPr="000D4ED0">
              <w:t>Temozolomide</w:t>
            </w:r>
            <w:proofErr w:type="spellEnd"/>
            <w:r w:rsidRPr="000D4ED0">
              <w:t xml:space="preserve"> (± combination chemo)</w:t>
            </w:r>
          </w:p>
        </w:tc>
        <w:tc>
          <w:tcPr>
            <w:tcW w:w="1563" w:type="dxa"/>
          </w:tcPr>
          <w:p w:rsidR="000D4ED0" w:rsidRPr="000D4ED0" w:rsidRDefault="000D4ED0" w:rsidP="000C32A1">
            <w:proofErr w:type="spellStart"/>
            <w:r w:rsidRPr="000D4ED0">
              <w:t>T</w:t>
            </w:r>
            <w:r w:rsidR="00A13B92" w:rsidRPr="000D4ED0">
              <w:t>emodal</w:t>
            </w:r>
            <w:proofErr w:type="spellEnd"/>
          </w:p>
        </w:tc>
        <w:tc>
          <w:tcPr>
            <w:tcW w:w="5242" w:type="dxa"/>
          </w:tcPr>
          <w:p w:rsidR="000D4ED0" w:rsidRPr="000D4ED0" w:rsidRDefault="000D4ED0" w:rsidP="000C32A1">
            <w:r w:rsidRPr="000D4ED0">
              <w:t>…</w:t>
            </w:r>
            <w:proofErr w:type="gramStart"/>
            <w:r w:rsidRPr="000D4ED0">
              <w:t>first</w:t>
            </w:r>
            <w:proofErr w:type="gramEnd"/>
            <w:r w:rsidRPr="000D4ED0">
              <w:t xml:space="preserve"> line treatment for patients with advanced</w:t>
            </w:r>
            <w:r>
              <w:t xml:space="preserve"> metastatic malignant melanoma.</w:t>
            </w:r>
          </w:p>
        </w:tc>
      </w:tr>
      <w:tr w:rsidR="000D4ED0" w:rsidRPr="000D4ED0" w:rsidTr="000C32A1">
        <w:trPr>
          <w:trHeight w:val="55"/>
        </w:trPr>
        <w:tc>
          <w:tcPr>
            <w:tcW w:w="1695" w:type="dxa"/>
          </w:tcPr>
          <w:p w:rsidR="000D4ED0" w:rsidRPr="000D4ED0" w:rsidRDefault="000D4ED0" w:rsidP="000C32A1">
            <w:r w:rsidRPr="000D4ED0">
              <w:t>Interferon alfa-2b</w:t>
            </w:r>
          </w:p>
        </w:tc>
        <w:tc>
          <w:tcPr>
            <w:tcW w:w="1563" w:type="dxa"/>
          </w:tcPr>
          <w:p w:rsidR="000D4ED0" w:rsidRPr="000D4ED0" w:rsidRDefault="000D4ED0" w:rsidP="000C32A1">
            <w:r w:rsidRPr="000D4ED0">
              <w:t>I</w:t>
            </w:r>
            <w:r w:rsidR="00A13B92" w:rsidRPr="000D4ED0">
              <w:t>ntron</w:t>
            </w:r>
            <w:r w:rsidRPr="000D4ED0">
              <w:t xml:space="preserve"> A</w:t>
            </w:r>
          </w:p>
        </w:tc>
        <w:tc>
          <w:tcPr>
            <w:tcW w:w="5242" w:type="dxa"/>
          </w:tcPr>
          <w:p w:rsidR="000D4ED0" w:rsidRPr="000D4ED0" w:rsidRDefault="000D4ED0" w:rsidP="000C32A1">
            <w:r w:rsidRPr="000D4ED0">
              <w:t>I</w:t>
            </w:r>
            <w:r w:rsidR="00A13B92" w:rsidRPr="000D4ED0">
              <w:t>ntron</w:t>
            </w:r>
            <w:r w:rsidRPr="000D4ED0">
              <w:t xml:space="preserve"> A is indicated as an adjuvant therapy of malignant melanoma following surgery in patients who are at high risk of recurrence. The potential benefit to the patient should be assessed carefully. Although toxicity of the treatment may be substantial, for most patients, the benefit of therapy outweighed the risk.</w:t>
            </w:r>
          </w:p>
        </w:tc>
      </w:tr>
      <w:tr w:rsidR="000D4ED0" w:rsidRPr="000D4ED0" w:rsidTr="000C32A1">
        <w:trPr>
          <w:trHeight w:val="55"/>
        </w:trPr>
        <w:tc>
          <w:tcPr>
            <w:tcW w:w="1695" w:type="dxa"/>
          </w:tcPr>
          <w:p w:rsidR="000D4ED0" w:rsidRPr="000D4ED0" w:rsidRDefault="000D4ED0" w:rsidP="000C32A1">
            <w:proofErr w:type="spellStart"/>
            <w:r w:rsidRPr="000D4ED0">
              <w:lastRenderedPageBreak/>
              <w:t>Peginterferon</w:t>
            </w:r>
            <w:proofErr w:type="spellEnd"/>
            <w:r w:rsidRPr="000D4ED0">
              <w:t xml:space="preserve"> alfa-2b</w:t>
            </w:r>
          </w:p>
        </w:tc>
        <w:tc>
          <w:tcPr>
            <w:tcW w:w="1563" w:type="dxa"/>
          </w:tcPr>
          <w:p w:rsidR="000D4ED0" w:rsidRPr="000D4ED0" w:rsidRDefault="000D4ED0" w:rsidP="000C32A1">
            <w:r w:rsidRPr="000D4ED0">
              <w:t>PEG-I</w:t>
            </w:r>
            <w:r w:rsidR="00A13B92" w:rsidRPr="000D4ED0">
              <w:t>ntron</w:t>
            </w:r>
          </w:p>
        </w:tc>
        <w:tc>
          <w:tcPr>
            <w:tcW w:w="5242" w:type="dxa"/>
          </w:tcPr>
          <w:p w:rsidR="000D4ED0" w:rsidRPr="000D4ED0" w:rsidRDefault="000D4ED0" w:rsidP="000C32A1">
            <w:r w:rsidRPr="000D4ED0">
              <w:t>Not indicated</w:t>
            </w:r>
          </w:p>
        </w:tc>
      </w:tr>
      <w:tr w:rsidR="000D4ED0" w:rsidRPr="000D4ED0" w:rsidTr="000C32A1">
        <w:trPr>
          <w:trHeight w:val="55"/>
        </w:trPr>
        <w:tc>
          <w:tcPr>
            <w:tcW w:w="1695" w:type="dxa"/>
          </w:tcPr>
          <w:p w:rsidR="000D4ED0" w:rsidRPr="000D4ED0" w:rsidRDefault="000D4ED0" w:rsidP="000C32A1">
            <w:proofErr w:type="spellStart"/>
            <w:r w:rsidRPr="000D4ED0">
              <w:t>Imatinib</w:t>
            </w:r>
            <w:proofErr w:type="spellEnd"/>
            <w:r w:rsidRPr="000D4ED0">
              <w:t xml:space="preserve"> for c-KIT mutated tumours</w:t>
            </w:r>
          </w:p>
        </w:tc>
        <w:tc>
          <w:tcPr>
            <w:tcW w:w="1563" w:type="dxa"/>
          </w:tcPr>
          <w:p w:rsidR="000D4ED0" w:rsidRPr="000D4ED0" w:rsidRDefault="000D4ED0" w:rsidP="000C32A1">
            <w:proofErr w:type="spellStart"/>
            <w:r w:rsidRPr="000D4ED0">
              <w:t>G</w:t>
            </w:r>
            <w:r w:rsidR="00A13B92" w:rsidRPr="000D4ED0">
              <w:t>livec</w:t>
            </w:r>
            <w:proofErr w:type="spellEnd"/>
          </w:p>
        </w:tc>
        <w:tc>
          <w:tcPr>
            <w:tcW w:w="5242" w:type="dxa"/>
          </w:tcPr>
          <w:p w:rsidR="000D4ED0" w:rsidRPr="000D4ED0" w:rsidRDefault="000D4ED0" w:rsidP="000C32A1">
            <w:r w:rsidRPr="000D4ED0">
              <w:t>Not indicated</w:t>
            </w:r>
          </w:p>
        </w:tc>
      </w:tr>
      <w:tr w:rsidR="000D4ED0" w:rsidRPr="000D4ED0" w:rsidTr="000C32A1">
        <w:trPr>
          <w:trHeight w:val="55"/>
        </w:trPr>
        <w:tc>
          <w:tcPr>
            <w:tcW w:w="1695" w:type="dxa"/>
          </w:tcPr>
          <w:p w:rsidR="000D4ED0" w:rsidRPr="000D4ED0" w:rsidRDefault="000D4ED0" w:rsidP="000C32A1">
            <w:r w:rsidRPr="000D4ED0">
              <w:t>Paclitaxel ± carboplatin</w:t>
            </w:r>
          </w:p>
        </w:tc>
        <w:tc>
          <w:tcPr>
            <w:tcW w:w="1563" w:type="dxa"/>
          </w:tcPr>
          <w:p w:rsidR="000D4ED0" w:rsidRPr="000D4ED0" w:rsidRDefault="000D4ED0" w:rsidP="000C32A1">
            <w:r w:rsidRPr="000D4ED0">
              <w:t>T</w:t>
            </w:r>
            <w:r w:rsidR="00A13B92" w:rsidRPr="000D4ED0">
              <w:t>axol</w:t>
            </w:r>
            <w:r w:rsidRPr="000D4ED0">
              <w:t xml:space="preserve"> </w:t>
            </w:r>
            <w:r w:rsidR="00A13B92">
              <w:t>(and others)</w:t>
            </w:r>
          </w:p>
        </w:tc>
        <w:tc>
          <w:tcPr>
            <w:tcW w:w="5242" w:type="dxa"/>
          </w:tcPr>
          <w:p w:rsidR="000D4ED0" w:rsidRPr="000D4ED0" w:rsidRDefault="000D4ED0" w:rsidP="000C32A1">
            <w:r w:rsidRPr="000D4ED0">
              <w:t>Not indicated</w:t>
            </w:r>
          </w:p>
        </w:tc>
      </w:tr>
      <w:tr w:rsidR="000D4ED0" w:rsidRPr="000D4ED0" w:rsidTr="000C32A1">
        <w:trPr>
          <w:trHeight w:val="55"/>
        </w:trPr>
        <w:tc>
          <w:tcPr>
            <w:tcW w:w="1695" w:type="dxa"/>
          </w:tcPr>
          <w:p w:rsidR="000D4ED0" w:rsidRPr="000D4ED0" w:rsidRDefault="000D4ED0" w:rsidP="000C32A1">
            <w:r w:rsidRPr="000D4ED0">
              <w:t>Nanoparticle albumin-bound paclitaxel</w:t>
            </w:r>
          </w:p>
        </w:tc>
        <w:tc>
          <w:tcPr>
            <w:tcW w:w="1563" w:type="dxa"/>
          </w:tcPr>
          <w:p w:rsidR="000D4ED0" w:rsidRPr="000D4ED0" w:rsidRDefault="000D4ED0" w:rsidP="000C32A1">
            <w:proofErr w:type="spellStart"/>
            <w:r w:rsidRPr="000D4ED0">
              <w:t>A</w:t>
            </w:r>
            <w:r w:rsidR="00A13B92" w:rsidRPr="000D4ED0">
              <w:t>braxane</w:t>
            </w:r>
            <w:proofErr w:type="spellEnd"/>
          </w:p>
        </w:tc>
        <w:tc>
          <w:tcPr>
            <w:tcW w:w="5242" w:type="dxa"/>
          </w:tcPr>
          <w:p w:rsidR="000D4ED0" w:rsidRPr="000D4ED0" w:rsidRDefault="000D4ED0" w:rsidP="000C32A1">
            <w:r w:rsidRPr="000D4ED0">
              <w:t>Not indicated</w:t>
            </w:r>
          </w:p>
        </w:tc>
      </w:tr>
    </w:tbl>
    <w:p w:rsidR="00BD34CB" w:rsidRPr="00BD34CB" w:rsidRDefault="00BD34CB" w:rsidP="00BD34CB">
      <w:r w:rsidRPr="00BD34CB">
        <w:t xml:space="preserve">Treatment of advanced melanoma has changed with recent availability of ipilimumab (anti-CTLA-4 antibody), vemurafenib (BRAF inhibitor), dabrafenib (BRAF inhibitor) and </w:t>
      </w:r>
      <w:proofErr w:type="spellStart"/>
      <w:r w:rsidRPr="00BD34CB">
        <w:t>trametinib</w:t>
      </w:r>
      <w:proofErr w:type="spellEnd"/>
      <w:r w:rsidRPr="00BD34CB">
        <w:t xml:space="preserve"> (MEK inhibitor)</w:t>
      </w:r>
      <w:r w:rsidR="00EA7406">
        <w:t>.</w:t>
      </w:r>
      <w:r w:rsidR="00EA7406" w:rsidRPr="00EA7406">
        <w:rPr>
          <w:vertAlign w:val="superscript"/>
        </w:rPr>
        <w:fldChar w:fldCharType="begin"/>
      </w:r>
      <w:r w:rsidR="00EA7406" w:rsidRPr="00EA7406">
        <w:rPr>
          <w:vertAlign w:val="superscript"/>
        </w:rPr>
        <w:instrText xml:space="preserve"> NOTEREF _Ref458518258 \h </w:instrText>
      </w:r>
      <w:r w:rsidR="00EA7406">
        <w:rPr>
          <w:vertAlign w:val="superscript"/>
        </w:rPr>
        <w:instrText xml:space="preserve"> \* MERGEFORMAT </w:instrText>
      </w:r>
      <w:r w:rsidR="00EA7406" w:rsidRPr="00EA7406">
        <w:rPr>
          <w:vertAlign w:val="superscript"/>
        </w:rPr>
      </w:r>
      <w:r w:rsidR="00EA7406" w:rsidRPr="00EA7406">
        <w:rPr>
          <w:vertAlign w:val="superscript"/>
        </w:rPr>
        <w:fldChar w:fldCharType="separate"/>
      </w:r>
      <w:r w:rsidR="005E57DC">
        <w:rPr>
          <w:vertAlign w:val="superscript"/>
        </w:rPr>
        <w:t>6</w:t>
      </w:r>
      <w:r w:rsidR="00EA7406" w:rsidRPr="00EA7406">
        <w:rPr>
          <w:vertAlign w:val="superscript"/>
        </w:rPr>
        <w:fldChar w:fldCharType="end"/>
      </w:r>
      <w:r w:rsidR="00EA7406">
        <w:t xml:space="preserve"> </w:t>
      </w:r>
      <w:r w:rsidRPr="00BD34CB">
        <w:t>In the USA, pembrolizumab and nivolumab (PD-1 inhibitors) became available in 2014.</w:t>
      </w:r>
    </w:p>
    <w:p w:rsidR="00BD34CB" w:rsidRPr="00BD34CB" w:rsidRDefault="00BD34CB" w:rsidP="00BD34CB">
      <w:r w:rsidRPr="00BD34CB">
        <w:t>The US National Comprehensive Cancer Network (NCCN) melanoma guideline version 2.2015 preferred five regimens in treatment of advanced or metastatic melanoma:</w:t>
      </w:r>
    </w:p>
    <w:p w:rsidR="00BD34CB" w:rsidRPr="00BD34CB" w:rsidRDefault="00BD34CB" w:rsidP="000D4ED0">
      <w:pPr>
        <w:pStyle w:val="ListBullet"/>
      </w:pPr>
      <w:r w:rsidRPr="00BD34CB">
        <w:t>Ipilimumab</w:t>
      </w:r>
    </w:p>
    <w:p w:rsidR="00BD34CB" w:rsidRPr="00BD34CB" w:rsidRDefault="00BD34CB" w:rsidP="000D4ED0">
      <w:pPr>
        <w:pStyle w:val="ListBullet"/>
      </w:pPr>
      <w:r w:rsidRPr="00BD34CB">
        <w:t>Dabrafenib + trametinib</w:t>
      </w:r>
    </w:p>
    <w:p w:rsidR="00BD34CB" w:rsidRPr="00BD34CB" w:rsidRDefault="00BD34CB" w:rsidP="000D4ED0">
      <w:pPr>
        <w:pStyle w:val="ListBullet"/>
      </w:pPr>
      <w:r w:rsidRPr="00BD34CB">
        <w:t>Pembrolizumab</w:t>
      </w:r>
    </w:p>
    <w:p w:rsidR="00BD34CB" w:rsidRPr="00BD34CB" w:rsidRDefault="00BD34CB" w:rsidP="000D4ED0">
      <w:pPr>
        <w:pStyle w:val="ListBullet"/>
      </w:pPr>
      <w:r w:rsidRPr="00BD34CB">
        <w:t>Nivolumab</w:t>
      </w:r>
    </w:p>
    <w:p w:rsidR="00BD34CB" w:rsidRPr="00BD34CB" w:rsidRDefault="00BD34CB" w:rsidP="000D4ED0">
      <w:pPr>
        <w:pStyle w:val="ListBullet"/>
      </w:pPr>
      <w:r w:rsidRPr="00BD34CB">
        <w:t>Clinical trial</w:t>
      </w:r>
    </w:p>
    <w:p w:rsidR="00BD34CB" w:rsidRPr="00BD34CB" w:rsidRDefault="00BD34CB" w:rsidP="00BD34CB">
      <w:r w:rsidRPr="00BD34CB">
        <w:t xml:space="preserve">A recent version of </w:t>
      </w:r>
      <w:r w:rsidR="007E1B99">
        <w:t xml:space="preserve">National Comprehensive </w:t>
      </w:r>
      <w:r w:rsidR="007E1B99" w:rsidRPr="007E1B99">
        <w:t>Cancer Network (</w:t>
      </w:r>
      <w:r w:rsidRPr="007E1B99">
        <w:t>NCCN</w:t>
      </w:r>
      <w:r w:rsidR="007E1B99" w:rsidRPr="007E1B99">
        <w:t>)</w:t>
      </w:r>
      <w:r w:rsidRPr="007E1B99">
        <w:t xml:space="preserve"> guidelines included</w:t>
      </w:r>
      <w:r w:rsidRPr="00BD34CB">
        <w:t xml:space="preserve"> BRAF inhibitor monotherapies and high dose IL-2 as ‘preferred therapies’; these now have ‘other active therapies’ status.</w:t>
      </w:r>
    </w:p>
    <w:p w:rsidR="00BD34CB" w:rsidRPr="00BD34CB" w:rsidRDefault="00BD34CB" w:rsidP="00BD34CB">
      <w:r w:rsidRPr="00BD34CB">
        <w:t>It is often noted that disease control by BRAF inhibitors is transient.</w:t>
      </w:r>
      <w:r w:rsidR="00987E81">
        <w:t xml:space="preserve"> </w:t>
      </w:r>
      <w:r w:rsidRPr="00BD34CB">
        <w:t>With combined BRAF and MEK inhibition, progression has been further delayed for many (</w:t>
      </w:r>
      <w:r w:rsidR="006D1D44" w:rsidRPr="00A13B92">
        <w:t xml:space="preserve">Figures </w:t>
      </w:r>
      <w:r w:rsidR="00A13B92" w:rsidRPr="00A13B92">
        <w:t xml:space="preserve">6 to 12 </w:t>
      </w:r>
      <w:r w:rsidR="006D1D44" w:rsidRPr="00A13B92">
        <w:t>below</w:t>
      </w:r>
      <w:r w:rsidRPr="00EA7406">
        <w:t>)</w:t>
      </w:r>
      <w:r w:rsidR="00A13B92">
        <w:t>;</w:t>
      </w:r>
      <w:r w:rsidRPr="00BD34CB">
        <w:t xml:space="preserve"> median PFS is now </w:t>
      </w:r>
      <w:r w:rsidR="00987E81">
        <w:t xml:space="preserve">approximately </w:t>
      </w:r>
      <w:r w:rsidR="00A13B92">
        <w:t xml:space="preserve">9 to </w:t>
      </w:r>
      <w:r w:rsidRPr="00BD34CB">
        <w:t>10 months.</w:t>
      </w:r>
      <w:r w:rsidR="00987E81">
        <w:t xml:space="preserve"> </w:t>
      </w:r>
      <w:r w:rsidRPr="00BD34CB">
        <w:t>In Combi-V</w:t>
      </w:r>
      <w:r w:rsidR="00EA7406">
        <w:t>,</w:t>
      </w:r>
      <w:bookmarkStart w:id="167" w:name="_Ref458777650"/>
      <w:r w:rsidR="00EA7406">
        <w:rPr>
          <w:rStyle w:val="FootnoteReference"/>
        </w:rPr>
        <w:footnoteReference w:id="43"/>
      </w:r>
      <w:bookmarkEnd w:id="167"/>
      <w:r w:rsidRPr="00BD34CB">
        <w:t xml:space="preserve"> in the combination arm, median duration of response was 13.8 months; in Combi-D</w:t>
      </w:r>
      <w:r w:rsidR="00EA7406">
        <w:t>,</w:t>
      </w:r>
      <w:bookmarkStart w:id="168" w:name="_Ref459019919"/>
      <w:r w:rsidR="00EA7406">
        <w:rPr>
          <w:rStyle w:val="FootnoteReference"/>
        </w:rPr>
        <w:footnoteReference w:id="44"/>
      </w:r>
      <w:bookmarkEnd w:id="168"/>
      <w:r w:rsidRPr="00BD34CB">
        <w:t xml:space="preserve"> it was 9.2 months.</w:t>
      </w:r>
      <w:r w:rsidR="00987E81">
        <w:t xml:space="preserve"> </w:t>
      </w:r>
      <w:r w:rsidRPr="00BD34CB">
        <w:t>These median durations of response are in the context of a relatively high response rate.</w:t>
      </w:r>
    </w:p>
    <w:p w:rsidR="00BD34CB" w:rsidRPr="00BD34CB" w:rsidRDefault="00BD34CB" w:rsidP="00BD34CB">
      <w:r w:rsidRPr="00BD34CB">
        <w:t xml:space="preserve">Use of ipilimumab in advanced melanoma is also on the understanding that responses are only attained in </w:t>
      </w:r>
      <w:r w:rsidR="00987E81">
        <w:t xml:space="preserve">approximately </w:t>
      </w:r>
      <w:r w:rsidRPr="00BD34CB">
        <w:t xml:space="preserve">15% of subjects, and that </w:t>
      </w:r>
      <w:r w:rsidR="00987E81">
        <w:t xml:space="preserve">approximately </w:t>
      </w:r>
      <w:r w:rsidRPr="00BD34CB">
        <w:t xml:space="preserve">15% develop severe (through to fatal) </w:t>
      </w:r>
      <w:r w:rsidR="00987E81">
        <w:t>immune related</w:t>
      </w:r>
      <w:r w:rsidRPr="00BD34CB">
        <w:t xml:space="preserve"> AEs.</w:t>
      </w:r>
    </w:p>
    <w:p w:rsidR="00BD34CB" w:rsidRPr="00BD34CB" w:rsidRDefault="00BD34CB" w:rsidP="00BD34CB">
      <w:r w:rsidRPr="00BD34CB">
        <w:t>Some perspective is provided by the sponsor’s tabulation of outcomes with dacarbazine, previously a mainstay of treatment in advanced melanoma (</w:t>
      </w:r>
      <w:r w:rsidR="006D1D44">
        <w:t>Table</w:t>
      </w:r>
      <w:r w:rsidR="00BB7301">
        <w:t xml:space="preserve"> 12</w:t>
      </w:r>
      <w:r w:rsidR="0072717C">
        <w:t>).</w:t>
      </w:r>
    </w:p>
    <w:p w:rsidR="00BD34CB" w:rsidRDefault="006D1D44" w:rsidP="006D1D44">
      <w:pPr>
        <w:pStyle w:val="TableTitle"/>
      </w:pPr>
      <w:proofErr w:type="gramStart"/>
      <w:r w:rsidRPr="006D1D44">
        <w:lastRenderedPageBreak/>
        <w:t xml:space="preserve">Table </w:t>
      </w:r>
      <w:r w:rsidR="00BB7301">
        <w:t>12.</w:t>
      </w:r>
      <w:proofErr w:type="gramEnd"/>
      <w:r w:rsidR="00BB7301">
        <w:t xml:space="preserve"> </w:t>
      </w:r>
      <w:r w:rsidRPr="006D1D44">
        <w:t>Efficacy data from randomised controlled trials including dacarbazine or other chemotherapies in patients with advanced melanoma, 1999-2012</w:t>
      </w:r>
    </w:p>
    <w:p w:rsidR="006D1D44" w:rsidRDefault="006D1D44" w:rsidP="00AE5DB3">
      <w:pPr>
        <w:ind w:right="-710"/>
      </w:pPr>
      <w:r>
        <w:rPr>
          <w:noProof/>
          <w:lang w:eastAsia="en-AU"/>
        </w:rPr>
        <w:drawing>
          <wp:inline distT="0" distB="0" distL="0" distR="0" wp14:anchorId="3FC9AC8F" wp14:editId="36EDBDA5">
            <wp:extent cx="5400040" cy="5352754"/>
            <wp:effectExtent l="0" t="0" r="0" b="635"/>
            <wp:docPr id="53" name="Picture 53" descr="Table 12. Efficacy data from randomised controlled trials including dacarbazine or other chemotherapies in patients with advanced melanoma, 199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352754"/>
                    </a:xfrm>
                    <a:prstGeom prst="rect">
                      <a:avLst/>
                    </a:prstGeom>
                  </pic:spPr>
                </pic:pic>
              </a:graphicData>
            </a:graphic>
          </wp:inline>
        </w:drawing>
      </w:r>
    </w:p>
    <w:p w:rsidR="006D1D44" w:rsidRDefault="006D1D44" w:rsidP="005806F5">
      <w:pPr>
        <w:pStyle w:val="TableDescription"/>
      </w:pPr>
      <w:r>
        <w:t xml:space="preserve">NR = not reported; </w:t>
      </w:r>
      <w:r w:rsidRPr="005806F5">
        <w:rPr>
          <w:vertAlign w:val="superscript"/>
        </w:rPr>
        <w:t>1</w:t>
      </w:r>
      <w:r>
        <w:t xml:space="preserve"> </w:t>
      </w:r>
      <w:proofErr w:type="spellStart"/>
      <w:r>
        <w:t>Dartmout</w:t>
      </w:r>
      <w:proofErr w:type="spellEnd"/>
      <w:r>
        <w:t xml:space="preserve"> regimen = </w:t>
      </w:r>
      <w:proofErr w:type="spellStart"/>
      <w:r>
        <w:t>dacarbazine</w:t>
      </w:r>
      <w:proofErr w:type="spellEnd"/>
      <w:r>
        <w:t xml:space="preserve">, cisplatin, </w:t>
      </w:r>
      <w:proofErr w:type="spellStart"/>
      <w:r>
        <w:t>carmustine</w:t>
      </w:r>
      <w:proofErr w:type="spellEnd"/>
      <w:r>
        <w:t>, tamoxifen</w:t>
      </w:r>
      <w:r w:rsidR="005806F5">
        <w:t xml:space="preserve">; </w:t>
      </w:r>
      <w:r w:rsidR="005806F5" w:rsidRPr="005806F5">
        <w:rPr>
          <w:vertAlign w:val="superscript"/>
        </w:rPr>
        <w:t>2</w:t>
      </w:r>
      <w:r w:rsidR="005806F5">
        <w:t xml:space="preserve"> </w:t>
      </w:r>
      <w:proofErr w:type="spellStart"/>
      <w:r w:rsidR="005806F5">
        <w:t>inculdes</w:t>
      </w:r>
      <w:proofErr w:type="spellEnd"/>
      <w:r w:rsidR="005806F5">
        <w:t xml:space="preserve"> all monotherapy cohorts except Flaherty 2012; </w:t>
      </w:r>
      <w:r w:rsidR="005806F5" w:rsidRPr="005806F5">
        <w:rPr>
          <w:vertAlign w:val="superscript"/>
        </w:rPr>
        <w:t>3</w:t>
      </w:r>
      <w:r w:rsidR="005806F5">
        <w:t xml:space="preserve"> cisplatin, vinblastine, </w:t>
      </w:r>
      <w:proofErr w:type="spellStart"/>
      <w:r w:rsidR="005806F5">
        <w:t>dacarbazine</w:t>
      </w:r>
      <w:proofErr w:type="spellEnd"/>
      <w:r w:rsidR="005806F5">
        <w:t xml:space="preserve">, interleukin-2, interferon alfa 2-b, </w:t>
      </w:r>
      <w:r w:rsidR="005806F5" w:rsidRPr="005806F5">
        <w:rPr>
          <w:vertAlign w:val="superscript"/>
        </w:rPr>
        <w:t>4</w:t>
      </w:r>
      <w:r w:rsidR="005806F5">
        <w:t xml:space="preserve"> cisplatin, vinblastine, dacarbazine; </w:t>
      </w:r>
      <w:r w:rsidR="005806F5" w:rsidRPr="005806F5">
        <w:rPr>
          <w:vertAlign w:val="superscript"/>
        </w:rPr>
        <w:t>5</w:t>
      </w:r>
      <w:r w:rsidR="005806F5">
        <w:t> paclitaxel, carboplatin</w:t>
      </w:r>
    </w:p>
    <w:p w:rsidR="00EA7406" w:rsidRPr="006D1D44" w:rsidRDefault="00EA7406" w:rsidP="00AE5DB3">
      <w:pPr>
        <w:pStyle w:val="TableDescription"/>
        <w:ind w:right="-568"/>
      </w:pPr>
      <w:proofErr w:type="spellStart"/>
      <w:r>
        <w:t>Hauschild</w:t>
      </w:r>
      <w:proofErr w:type="spellEnd"/>
      <w:r>
        <w:t xml:space="preserve"> 2012,</w:t>
      </w:r>
      <w:bookmarkStart w:id="169" w:name="_Ref462213773"/>
      <w:r>
        <w:rPr>
          <w:rStyle w:val="FootnoteReference"/>
        </w:rPr>
        <w:footnoteReference w:id="45"/>
      </w:r>
      <w:bookmarkEnd w:id="169"/>
      <w:r>
        <w:t>Flaherty 2012,</w:t>
      </w:r>
      <w:r>
        <w:rPr>
          <w:rStyle w:val="FootnoteReference"/>
        </w:rPr>
        <w:footnoteReference w:id="46"/>
      </w:r>
      <w:r>
        <w:t xml:space="preserve"> Patel 2011,</w:t>
      </w:r>
      <w:r>
        <w:rPr>
          <w:rStyle w:val="FootnoteReference"/>
        </w:rPr>
        <w:footnoteReference w:id="47"/>
      </w:r>
      <w:r>
        <w:t>Robert 2011,</w:t>
      </w:r>
      <w:bookmarkStart w:id="170" w:name="_Ref459030821"/>
      <w:r>
        <w:rPr>
          <w:rStyle w:val="FootnoteReference"/>
        </w:rPr>
        <w:footnoteReference w:id="48"/>
      </w:r>
      <w:bookmarkEnd w:id="170"/>
      <w:r>
        <w:t>Chapman 2012,</w:t>
      </w:r>
      <w:r>
        <w:rPr>
          <w:rStyle w:val="FootnoteReference"/>
        </w:rPr>
        <w:footnoteReference w:id="49"/>
      </w:r>
      <w:r>
        <w:t xml:space="preserve"> NICE 2012,</w:t>
      </w:r>
      <w:r>
        <w:rPr>
          <w:rStyle w:val="FootnoteReference"/>
        </w:rPr>
        <w:footnoteReference w:id="50"/>
      </w:r>
      <w:r>
        <w:t xml:space="preserve"> </w:t>
      </w:r>
      <w:proofErr w:type="spellStart"/>
      <w:r>
        <w:t>Bediken</w:t>
      </w:r>
      <w:proofErr w:type="spellEnd"/>
      <w:r>
        <w:t xml:space="preserve"> 2006,</w:t>
      </w:r>
      <w:r>
        <w:rPr>
          <w:rStyle w:val="FootnoteReference"/>
        </w:rPr>
        <w:footnoteReference w:id="51"/>
      </w:r>
      <w:r>
        <w:t xml:space="preserve"> Avril 2004,</w:t>
      </w:r>
      <w:r>
        <w:rPr>
          <w:rStyle w:val="FootnoteReference"/>
        </w:rPr>
        <w:footnoteReference w:id="52"/>
      </w:r>
      <w:r w:rsidR="00E0283B">
        <w:t xml:space="preserve"> Middleton 2000,</w:t>
      </w:r>
      <w:r w:rsidR="00E0283B">
        <w:rPr>
          <w:rStyle w:val="FootnoteReference"/>
        </w:rPr>
        <w:footnoteReference w:id="53"/>
      </w:r>
      <w:r w:rsidR="00E0283B">
        <w:t xml:space="preserve"> Chapman 1999,</w:t>
      </w:r>
      <w:r w:rsidR="00E0283B">
        <w:rPr>
          <w:rStyle w:val="FootnoteReference"/>
        </w:rPr>
        <w:footnoteReference w:id="54"/>
      </w:r>
      <w:r w:rsidR="00E0283B">
        <w:t xml:space="preserve"> Atkins 2008,</w:t>
      </w:r>
      <w:r w:rsidR="00E0283B">
        <w:rPr>
          <w:rStyle w:val="FootnoteReference"/>
        </w:rPr>
        <w:footnoteReference w:id="55"/>
      </w:r>
      <w:r w:rsidR="00E0283B">
        <w:t xml:space="preserve"> </w:t>
      </w:r>
      <w:proofErr w:type="spellStart"/>
      <w:r w:rsidR="00E0283B">
        <w:t>Hauschild</w:t>
      </w:r>
      <w:proofErr w:type="spellEnd"/>
      <w:r w:rsidR="00E0283B">
        <w:t xml:space="preserve"> 2009</w:t>
      </w:r>
      <w:r w:rsidR="00E0283B">
        <w:rPr>
          <w:rStyle w:val="FootnoteReference"/>
        </w:rPr>
        <w:footnoteReference w:id="56"/>
      </w:r>
    </w:p>
    <w:p w:rsidR="008E7846" w:rsidRDefault="008E7846" w:rsidP="008E7846">
      <w:pPr>
        <w:pStyle w:val="Heading3"/>
      </w:pPr>
      <w:bookmarkStart w:id="171" w:name="_Toc314842511"/>
      <w:bookmarkStart w:id="172" w:name="_Toc464545027"/>
      <w:r>
        <w:lastRenderedPageBreak/>
        <w:t>Quality</w:t>
      </w:r>
      <w:bookmarkEnd w:id="163"/>
      <w:bookmarkEnd w:id="171"/>
      <w:bookmarkEnd w:id="172"/>
    </w:p>
    <w:p w:rsidR="00730F8A" w:rsidRDefault="0021425F" w:rsidP="008E7846">
      <w:r w:rsidRPr="0021425F">
        <w:t>There were no objections to registration based on evaluation of the drug substance or drug product.</w:t>
      </w:r>
      <w:r w:rsidR="00635167">
        <w:t xml:space="preserve"> </w:t>
      </w:r>
      <w:r w:rsidRPr="0021425F">
        <w:t>Batch release conditions were proposed.</w:t>
      </w:r>
    </w:p>
    <w:p w:rsidR="008E7846" w:rsidRDefault="008E7846" w:rsidP="008E7846">
      <w:pPr>
        <w:pStyle w:val="Heading3"/>
      </w:pPr>
      <w:bookmarkStart w:id="173" w:name="_Toc314842512"/>
      <w:bookmarkStart w:id="174" w:name="_Toc464545028"/>
      <w:r>
        <w:t>Nonclinical</w:t>
      </w:r>
      <w:bookmarkEnd w:id="173"/>
      <w:bookmarkEnd w:id="174"/>
    </w:p>
    <w:p w:rsidR="0021425F" w:rsidRPr="0021425F" w:rsidRDefault="000510CB" w:rsidP="0021425F">
      <w:bookmarkStart w:id="175" w:name="_Toc247691530"/>
      <w:bookmarkStart w:id="176" w:name="_Toc314842513"/>
      <w:r>
        <w:t>The non</w:t>
      </w:r>
      <w:r w:rsidR="0021425F" w:rsidRPr="0021425F">
        <w:t>clinical evaluator has no objections to registration.</w:t>
      </w:r>
    </w:p>
    <w:p w:rsidR="0021425F" w:rsidRPr="0021425F" w:rsidRDefault="0021425F" w:rsidP="0021425F">
      <w:r w:rsidRPr="0021425F">
        <w:t>In relation</w:t>
      </w:r>
      <w:r w:rsidR="000510CB">
        <w:t xml:space="preserve"> to Pregnancy Category, the non</w:t>
      </w:r>
      <w:r w:rsidRPr="0021425F">
        <w:t>clinical evaluator reported that:</w:t>
      </w:r>
    </w:p>
    <w:p w:rsidR="0021425F" w:rsidRPr="0021425F" w:rsidRDefault="0021425F" w:rsidP="000510CB">
      <w:pPr>
        <w:ind w:left="720"/>
      </w:pPr>
      <w:r w:rsidRPr="0021425F">
        <w:t>Numerous literature publications identify the PD</w:t>
      </w:r>
      <w:r w:rsidRPr="0021425F">
        <w:noBreakHyphen/>
        <w:t>1 pathway as having a fundamental role in maintaining immune tolerance</w:t>
      </w:r>
      <w:r w:rsidR="0072717C">
        <w:t xml:space="preserve"> to the fetal allograft. The PD-</w:t>
      </w:r>
      <w:r w:rsidRPr="0021425F">
        <w:t xml:space="preserve">L1 molecule is expressed at the </w:t>
      </w:r>
      <w:proofErr w:type="spellStart"/>
      <w:r w:rsidRPr="0021425F">
        <w:t>uteroplacental</w:t>
      </w:r>
      <w:proofErr w:type="spellEnd"/>
      <w:r w:rsidRPr="0021425F">
        <w:t xml:space="preserve"> interface and protec</w:t>
      </w:r>
      <w:r w:rsidR="000510CB">
        <w:t xml:space="preserve">ts the </w:t>
      </w:r>
      <w:proofErr w:type="spellStart"/>
      <w:r w:rsidR="000510CB">
        <w:t>concepti</w:t>
      </w:r>
      <w:proofErr w:type="spellEnd"/>
      <w:r w:rsidR="000510CB">
        <w:t xml:space="preserve"> from maternal T cell </w:t>
      </w:r>
      <w:r w:rsidRPr="0021425F">
        <w:t>mediated immunity</w:t>
      </w:r>
      <w:r w:rsidR="008D45F3">
        <w:t>.</w:t>
      </w:r>
      <w:r w:rsidR="008D45F3" w:rsidRPr="008D45F3">
        <w:rPr>
          <w:vertAlign w:val="superscript"/>
        </w:rPr>
        <w:fldChar w:fldCharType="begin"/>
      </w:r>
      <w:r w:rsidR="008D45F3" w:rsidRPr="008D45F3">
        <w:rPr>
          <w:vertAlign w:val="superscript"/>
        </w:rPr>
        <w:instrText xml:space="preserve"> NOTEREF _Ref456886574 \h </w:instrText>
      </w:r>
      <w:r w:rsidR="008D45F3">
        <w:rPr>
          <w:vertAlign w:val="superscript"/>
        </w:rPr>
        <w:instrText xml:space="preserve"> \* MERGEFORMAT </w:instrText>
      </w:r>
      <w:r w:rsidR="008D45F3" w:rsidRPr="008D45F3">
        <w:rPr>
          <w:vertAlign w:val="superscript"/>
        </w:rPr>
      </w:r>
      <w:r w:rsidR="008D45F3" w:rsidRPr="008D45F3">
        <w:rPr>
          <w:vertAlign w:val="superscript"/>
        </w:rPr>
        <w:fldChar w:fldCharType="separate"/>
      </w:r>
      <w:r w:rsidR="005E57DC">
        <w:rPr>
          <w:vertAlign w:val="superscript"/>
        </w:rPr>
        <w:t>12</w:t>
      </w:r>
      <w:r w:rsidR="008D45F3" w:rsidRPr="008D45F3">
        <w:rPr>
          <w:vertAlign w:val="superscript"/>
        </w:rPr>
        <w:fldChar w:fldCharType="end"/>
      </w:r>
      <w:r w:rsidR="008D45F3">
        <w:t xml:space="preserve"> </w:t>
      </w:r>
      <w:r w:rsidRPr="0021425F">
        <w:t>Block</w:t>
      </w:r>
      <w:r w:rsidR="0072717C">
        <w:t>ade of PD-</w:t>
      </w:r>
      <w:r w:rsidRPr="0021425F">
        <w:t>L1 signalling in mice has been shown to abrogate f</w:t>
      </w:r>
      <w:r w:rsidR="004E16C8">
        <w:t>o</w:t>
      </w:r>
      <w:r w:rsidRPr="0021425F">
        <w:t xml:space="preserve">etomaternal tolerance, resulting in increased </w:t>
      </w:r>
      <w:proofErr w:type="spellStart"/>
      <w:r w:rsidRPr="0021425F">
        <w:t>fetal</w:t>
      </w:r>
      <w:proofErr w:type="spellEnd"/>
      <w:r w:rsidRPr="0021425F">
        <w:t xml:space="preserve"> </w:t>
      </w:r>
      <w:proofErr w:type="spellStart"/>
      <w:r w:rsidR="009D6214" w:rsidRPr="0021425F">
        <w:t>resorbtion</w:t>
      </w:r>
      <w:proofErr w:type="spellEnd"/>
      <w:r w:rsidRPr="0021425F">
        <w:t xml:space="preserve"> and </w:t>
      </w:r>
      <w:r w:rsidRPr="008D45F3">
        <w:t>abortion</w:t>
      </w:r>
      <w:r w:rsidR="000510CB" w:rsidRPr="008D45F3">
        <w:t>.</w:t>
      </w:r>
      <w:r w:rsidR="008D45F3" w:rsidRPr="008D45F3">
        <w:rPr>
          <w:vertAlign w:val="superscript"/>
        </w:rPr>
        <w:fldChar w:fldCharType="begin"/>
      </w:r>
      <w:r w:rsidR="008D45F3" w:rsidRPr="008D45F3">
        <w:rPr>
          <w:vertAlign w:val="superscript"/>
        </w:rPr>
        <w:instrText xml:space="preserve"> NOTEREF _Ref456886574 \h  \* MERGEFORMAT </w:instrText>
      </w:r>
      <w:r w:rsidR="008D45F3" w:rsidRPr="008D45F3">
        <w:rPr>
          <w:vertAlign w:val="superscript"/>
        </w:rPr>
      </w:r>
      <w:r w:rsidR="008D45F3" w:rsidRPr="008D45F3">
        <w:rPr>
          <w:vertAlign w:val="superscript"/>
        </w:rPr>
        <w:fldChar w:fldCharType="separate"/>
      </w:r>
      <w:r w:rsidR="005E57DC">
        <w:rPr>
          <w:vertAlign w:val="superscript"/>
        </w:rPr>
        <w:t>12</w:t>
      </w:r>
      <w:r w:rsidR="008D45F3" w:rsidRPr="008D45F3">
        <w:rPr>
          <w:vertAlign w:val="superscript"/>
        </w:rPr>
        <w:fldChar w:fldCharType="end"/>
      </w:r>
      <w:r w:rsidR="008D45F3" w:rsidRPr="008D45F3">
        <w:rPr>
          <w:vertAlign w:val="superscript"/>
        </w:rPr>
        <w:t xml:space="preserve">, </w:t>
      </w:r>
      <w:r w:rsidR="008D45F3" w:rsidRPr="008D45F3">
        <w:rPr>
          <w:vertAlign w:val="superscript"/>
        </w:rPr>
        <w:fldChar w:fldCharType="begin"/>
      </w:r>
      <w:r w:rsidR="008D45F3" w:rsidRPr="008D45F3">
        <w:rPr>
          <w:vertAlign w:val="superscript"/>
        </w:rPr>
        <w:instrText xml:space="preserve"> NOTEREF _Ref456964801 \h  \* MERGEFORMAT </w:instrText>
      </w:r>
      <w:r w:rsidR="008D45F3" w:rsidRPr="008D45F3">
        <w:rPr>
          <w:vertAlign w:val="superscript"/>
        </w:rPr>
      </w:r>
      <w:r w:rsidR="008D45F3" w:rsidRPr="008D45F3">
        <w:rPr>
          <w:vertAlign w:val="superscript"/>
        </w:rPr>
        <w:fldChar w:fldCharType="separate"/>
      </w:r>
      <w:r w:rsidR="005E57DC">
        <w:rPr>
          <w:vertAlign w:val="superscript"/>
        </w:rPr>
        <w:t>13</w:t>
      </w:r>
      <w:r w:rsidR="008D45F3" w:rsidRPr="008D45F3">
        <w:rPr>
          <w:vertAlign w:val="superscript"/>
        </w:rPr>
        <w:fldChar w:fldCharType="end"/>
      </w:r>
      <w:r w:rsidRPr="0021425F">
        <w:t xml:space="preserve"> </w:t>
      </w:r>
      <w:proofErr w:type="gramStart"/>
      <w:r w:rsidRPr="0021425F">
        <w:t>Accordingly</w:t>
      </w:r>
      <w:proofErr w:type="gramEnd"/>
      <w:r w:rsidRPr="0021425F">
        <w:t xml:space="preserve">, </w:t>
      </w:r>
      <w:proofErr w:type="spellStart"/>
      <w:r w:rsidRPr="0021425F">
        <w:t>pembrolizumab</w:t>
      </w:r>
      <w:proofErr w:type="spellEnd"/>
      <w:r w:rsidRPr="0021425F">
        <w:t xml:space="preserve"> can be reasonably expected to cause </w:t>
      </w:r>
      <w:r w:rsidR="004E16C8" w:rsidRPr="0021425F">
        <w:t>embryofoetal</w:t>
      </w:r>
      <w:r w:rsidRPr="0021425F">
        <w:t xml:space="preserve"> lethality in pregnant patients.</w:t>
      </w:r>
    </w:p>
    <w:p w:rsidR="0021425F" w:rsidRPr="0021425F" w:rsidRDefault="0021425F" w:rsidP="0021425F">
      <w:r w:rsidRPr="0021425F">
        <w:t>The sponsor has proposed Category C</w:t>
      </w:r>
      <w:r w:rsidR="008D45F3" w:rsidRPr="008D45F3">
        <w:rPr>
          <w:vertAlign w:val="superscript"/>
        </w:rPr>
        <w:fldChar w:fldCharType="begin"/>
      </w:r>
      <w:r w:rsidR="008D45F3" w:rsidRPr="008D45F3">
        <w:rPr>
          <w:vertAlign w:val="superscript"/>
        </w:rPr>
        <w:instrText xml:space="preserve"> NOTEREF _Ref458524515 \h </w:instrText>
      </w:r>
      <w:r w:rsidR="008D45F3">
        <w:rPr>
          <w:vertAlign w:val="superscript"/>
        </w:rPr>
        <w:instrText xml:space="preserve"> \* MERGEFORMAT </w:instrText>
      </w:r>
      <w:r w:rsidR="008D45F3" w:rsidRPr="008D45F3">
        <w:rPr>
          <w:vertAlign w:val="superscript"/>
        </w:rPr>
      </w:r>
      <w:r w:rsidR="008D45F3" w:rsidRPr="008D45F3">
        <w:rPr>
          <w:vertAlign w:val="superscript"/>
        </w:rPr>
        <w:fldChar w:fldCharType="separate"/>
      </w:r>
      <w:r w:rsidR="005E57DC">
        <w:rPr>
          <w:vertAlign w:val="superscript"/>
        </w:rPr>
        <w:t>14</w:t>
      </w:r>
      <w:r w:rsidR="008D45F3" w:rsidRPr="008D45F3">
        <w:rPr>
          <w:vertAlign w:val="superscript"/>
        </w:rPr>
        <w:fldChar w:fldCharType="end"/>
      </w:r>
      <w:r w:rsidRPr="0021425F">
        <w:t>, but the evaluator recommends Category D</w:t>
      </w:r>
      <w:r w:rsidR="008D45F3" w:rsidRPr="008D45F3">
        <w:rPr>
          <w:vertAlign w:val="superscript"/>
        </w:rPr>
        <w:fldChar w:fldCharType="begin"/>
      </w:r>
      <w:r w:rsidR="008D45F3" w:rsidRPr="008D45F3">
        <w:rPr>
          <w:vertAlign w:val="superscript"/>
        </w:rPr>
        <w:instrText xml:space="preserve"> NOTEREF _Ref458524527 \h </w:instrText>
      </w:r>
      <w:r w:rsidR="008D45F3">
        <w:rPr>
          <w:vertAlign w:val="superscript"/>
        </w:rPr>
        <w:instrText xml:space="preserve"> \* MERGEFORMAT </w:instrText>
      </w:r>
      <w:r w:rsidR="008D45F3" w:rsidRPr="008D45F3">
        <w:rPr>
          <w:vertAlign w:val="superscript"/>
        </w:rPr>
      </w:r>
      <w:r w:rsidR="008D45F3" w:rsidRPr="008D45F3">
        <w:rPr>
          <w:vertAlign w:val="superscript"/>
        </w:rPr>
        <w:fldChar w:fldCharType="separate"/>
      </w:r>
      <w:r w:rsidR="005E57DC">
        <w:rPr>
          <w:vertAlign w:val="superscript"/>
        </w:rPr>
        <w:t>15</w:t>
      </w:r>
      <w:r w:rsidR="008D45F3" w:rsidRPr="008D45F3">
        <w:rPr>
          <w:vertAlign w:val="superscript"/>
        </w:rPr>
        <w:fldChar w:fldCharType="end"/>
      </w:r>
      <w:r w:rsidRPr="0021425F">
        <w:t>:</w:t>
      </w:r>
    </w:p>
    <w:p w:rsidR="0021425F" w:rsidRPr="0021425F" w:rsidRDefault="0021425F" w:rsidP="000510CB">
      <w:pPr>
        <w:ind w:left="720"/>
      </w:pPr>
      <w:r w:rsidRPr="0021425F">
        <w:t>Although they are pharmacologically mediated, given the extreme nature of the adverse effects predicted (</w:t>
      </w:r>
      <w:r w:rsidR="001D4BB8">
        <w:t>that is</w:t>
      </w:r>
      <w:r w:rsidRPr="0021425F">
        <w:t xml:space="preserve">, </w:t>
      </w:r>
      <w:r w:rsidR="004E16C8" w:rsidRPr="0021425F">
        <w:t>embryofoetal</w:t>
      </w:r>
      <w:r w:rsidRPr="0021425F">
        <w:t xml:space="preserve"> lethality), the proposed pregnancy category is considered inappropriate. The product should be assigned Pregnancy Category D instead.</w:t>
      </w:r>
    </w:p>
    <w:p w:rsidR="0021425F" w:rsidRPr="0021425F" w:rsidRDefault="000510CB" w:rsidP="0021425F">
      <w:r>
        <w:t>The Delegate</w:t>
      </w:r>
      <w:r w:rsidR="0021425F" w:rsidRPr="0021425F">
        <w:t xml:space="preserve"> agree</w:t>
      </w:r>
      <w:r>
        <w:t>s</w:t>
      </w:r>
      <w:r w:rsidR="0021425F" w:rsidRPr="0021425F">
        <w:t xml:space="preserve"> that Pregnanc</w:t>
      </w:r>
      <w:r>
        <w:t xml:space="preserve">y Category C is inappropriate. </w:t>
      </w:r>
      <w:r w:rsidR="0021425F" w:rsidRPr="0021425F">
        <w:t>It is relevant that melanoma oc</w:t>
      </w:r>
      <w:r>
        <w:t xml:space="preserve">curs commonly in women of child </w:t>
      </w:r>
      <w:r w:rsidR="0021425F" w:rsidRPr="0021425F">
        <w:t>bearing age (the AIHW Australian Cancer Incidence and Mortality book for melanoma of the skin reports 2011 incidences ranging from 7</w:t>
      </w:r>
      <w:r w:rsidR="0072717C">
        <w:t>.9 per 100,</w:t>
      </w:r>
      <w:r>
        <w:t xml:space="preserve">000 in 20 to </w:t>
      </w:r>
      <w:r w:rsidR="0021425F" w:rsidRPr="0021425F">
        <w:t>24 y</w:t>
      </w:r>
      <w:r w:rsidR="009D6214">
        <w:t>ea</w:t>
      </w:r>
      <w:r w:rsidR="0021425F" w:rsidRPr="0021425F">
        <w:t>r</w:t>
      </w:r>
      <w:r w:rsidR="0072717C">
        <w:t xml:space="preserve"> olds to 52.6 per 100,</w:t>
      </w:r>
      <w:r>
        <w:t xml:space="preserve">000 in 45 to </w:t>
      </w:r>
      <w:r w:rsidR="0021425F" w:rsidRPr="0021425F">
        <w:t>49 y</w:t>
      </w:r>
      <w:r w:rsidR="009D6214">
        <w:t>ea</w:t>
      </w:r>
      <w:r w:rsidR="0021425F" w:rsidRPr="0021425F">
        <w:t xml:space="preserve">r olds; a proportion of these will be advanced at diagnosis or progress to an advanced stage in </w:t>
      </w:r>
      <w:r w:rsidR="0072717C">
        <w:t>women of child bearing potential</w:t>
      </w:r>
      <w:r w:rsidR="0021425F" w:rsidRPr="0072717C">
        <w:t>).</w:t>
      </w:r>
    </w:p>
    <w:p w:rsidR="0021425F" w:rsidRPr="0021425F" w:rsidRDefault="0021425F" w:rsidP="0021425F">
      <w:r w:rsidRPr="0021425F">
        <w:t>The predict</w:t>
      </w:r>
      <w:r w:rsidR="000510CB">
        <w:t>ed risk of fetal death is high.</w:t>
      </w:r>
      <w:r w:rsidRPr="0021425F">
        <w:t xml:space="preserve"> On balance, Category X</w:t>
      </w:r>
      <w:r w:rsidR="006207A9">
        <w:rPr>
          <w:rStyle w:val="FootnoteReference"/>
        </w:rPr>
        <w:footnoteReference w:id="57"/>
      </w:r>
      <w:r w:rsidRPr="0021425F">
        <w:t xml:space="preserve"> may be inappropriate as risk of dea</w:t>
      </w:r>
      <w:r w:rsidR="000510CB">
        <w:t xml:space="preserve">th from melanoma is also high. </w:t>
      </w:r>
      <w:r w:rsidRPr="0021425F">
        <w:t>The PI should communicate the substantial risk to the fetus of exposure to this product.</w:t>
      </w:r>
    </w:p>
    <w:p w:rsidR="008E7846" w:rsidRDefault="008E7846" w:rsidP="008E7846">
      <w:pPr>
        <w:pStyle w:val="Heading3"/>
      </w:pPr>
      <w:bookmarkStart w:id="177" w:name="_Toc464545029"/>
      <w:r>
        <w:t>Clinical</w:t>
      </w:r>
      <w:bookmarkEnd w:id="175"/>
      <w:bookmarkEnd w:id="176"/>
      <w:bookmarkEnd w:id="177"/>
    </w:p>
    <w:p w:rsidR="000510CB" w:rsidRDefault="002A3A8E" w:rsidP="002A3A8E">
      <w:r w:rsidRPr="002A3A8E">
        <w:t>The evaluator supported registration but with a restric</w:t>
      </w:r>
      <w:r w:rsidR="000510CB">
        <w:t xml:space="preserve">ted indication. </w:t>
      </w:r>
      <w:r w:rsidRPr="002A3A8E">
        <w:t>This was after evaluatio</w:t>
      </w:r>
      <w:r w:rsidR="000510CB">
        <w:t>n of the initial dossier.</w:t>
      </w:r>
    </w:p>
    <w:p w:rsidR="002A3A8E" w:rsidRPr="002A3A8E" w:rsidRDefault="000510CB" w:rsidP="002A3A8E">
      <w:r>
        <w:t xml:space="preserve">Importantly, the initial dossier did not include top </w:t>
      </w:r>
      <w:r w:rsidR="002A3A8E" w:rsidRPr="002A3A8E">
        <w:t>line results for</w:t>
      </w:r>
      <w:r w:rsidR="0072717C">
        <w:t xml:space="preserve"> Studies</w:t>
      </w:r>
      <w:r w:rsidR="002A3A8E" w:rsidRPr="002A3A8E">
        <w:t xml:space="preserve"> P002 and P006</w:t>
      </w:r>
      <w:r w:rsidRPr="000510CB">
        <w:t xml:space="preserve">. </w:t>
      </w:r>
      <w:r w:rsidR="002A3A8E" w:rsidRPr="000510CB">
        <w:t xml:space="preserve">Instead of a </w:t>
      </w:r>
      <w:r w:rsidRPr="000510CB">
        <w:t>second round clinical</w:t>
      </w:r>
      <w:r w:rsidR="002A3A8E" w:rsidRPr="000510CB">
        <w:t xml:space="preserve"> evalua</w:t>
      </w:r>
      <w:r w:rsidRPr="000510CB">
        <w:t>tion, the sponsor’s answers to r</w:t>
      </w:r>
      <w:r w:rsidR="002A3A8E" w:rsidRPr="000510CB">
        <w:t xml:space="preserve">ound 1 clinical </w:t>
      </w:r>
      <w:proofErr w:type="gramStart"/>
      <w:r w:rsidR="002A3A8E" w:rsidRPr="000510CB">
        <w:lastRenderedPageBreak/>
        <w:t>questions</w:t>
      </w:r>
      <w:proofErr w:type="gramEnd"/>
      <w:r w:rsidR="002A3A8E" w:rsidRPr="000510CB">
        <w:t xml:space="preserve"> have been considere</w:t>
      </w:r>
      <w:r w:rsidR="00C35842">
        <w:t xml:space="preserve">d in this overview, as have top </w:t>
      </w:r>
      <w:r w:rsidR="002A3A8E" w:rsidRPr="000510CB">
        <w:t>line results for P002 and P006.</w:t>
      </w:r>
    </w:p>
    <w:p w:rsidR="002A3A8E" w:rsidRPr="002A3A8E" w:rsidRDefault="002A3A8E" w:rsidP="002A3A8E">
      <w:pPr>
        <w:pStyle w:val="Heading4"/>
      </w:pPr>
      <w:r w:rsidRPr="002A3A8E">
        <w:t>Overview of clinical data</w:t>
      </w:r>
    </w:p>
    <w:p w:rsidR="002A3A8E" w:rsidRDefault="002A3A8E" w:rsidP="002A3A8E">
      <w:r w:rsidRPr="002A3A8E">
        <w:t>The clinical development programme in melanoma includes</w:t>
      </w:r>
      <w:r w:rsidR="0072717C">
        <w:t xml:space="preserve"> studies as shown in Table 13.</w:t>
      </w:r>
    </w:p>
    <w:p w:rsidR="00BB7301" w:rsidRPr="002A3A8E" w:rsidRDefault="00BB7301" w:rsidP="00BB7301">
      <w:pPr>
        <w:pStyle w:val="TableTitle"/>
      </w:pPr>
      <w:proofErr w:type="gramStart"/>
      <w:r>
        <w:t>Table 13.</w:t>
      </w:r>
      <w:proofErr w:type="gramEnd"/>
      <w:r>
        <w:t xml:space="preserve"> </w:t>
      </w:r>
      <w:proofErr w:type="gramStart"/>
      <w:r>
        <w:t>The clinical development programme for pembrolizumab use in melanoma.</w:t>
      </w:r>
      <w:proofErr w:type="gramEnd"/>
    </w:p>
    <w:tbl>
      <w:tblPr>
        <w:tblStyle w:val="TableTGAblue"/>
        <w:tblW w:w="0" w:type="auto"/>
        <w:tblLook w:val="04A0" w:firstRow="1" w:lastRow="0" w:firstColumn="1" w:lastColumn="0" w:noHBand="0" w:noVBand="1"/>
      </w:tblPr>
      <w:tblGrid>
        <w:gridCol w:w="1129"/>
        <w:gridCol w:w="3725"/>
        <w:gridCol w:w="1633"/>
        <w:gridCol w:w="2233"/>
      </w:tblGrid>
      <w:tr w:rsidR="002A3A8E" w:rsidRPr="00B344F6" w:rsidTr="002A3A8E">
        <w:trPr>
          <w:cnfStyle w:val="100000000000" w:firstRow="1" w:lastRow="0" w:firstColumn="0" w:lastColumn="0" w:oddVBand="0" w:evenVBand="0" w:oddHBand="0" w:evenHBand="0" w:firstRowFirstColumn="0" w:firstRowLastColumn="0" w:lastRowFirstColumn="0" w:lastRowLastColumn="0"/>
        </w:trPr>
        <w:tc>
          <w:tcPr>
            <w:tcW w:w="959" w:type="dxa"/>
          </w:tcPr>
          <w:p w:rsidR="002A3A8E" w:rsidRPr="00B344F6" w:rsidRDefault="002A3A8E" w:rsidP="00AE5DB3">
            <w:r w:rsidRPr="00B344F6">
              <w:t>Study name</w:t>
            </w:r>
          </w:p>
        </w:tc>
        <w:tc>
          <w:tcPr>
            <w:tcW w:w="3841" w:type="dxa"/>
          </w:tcPr>
          <w:p w:rsidR="002A3A8E" w:rsidRPr="00B344F6" w:rsidRDefault="002A3A8E" w:rsidP="00AE5DB3">
            <w:r w:rsidRPr="00B344F6">
              <w:t>Description</w:t>
            </w:r>
          </w:p>
        </w:tc>
        <w:tc>
          <w:tcPr>
            <w:tcW w:w="1640" w:type="dxa"/>
          </w:tcPr>
          <w:p w:rsidR="002A3A8E" w:rsidRPr="00B344F6" w:rsidRDefault="002A3A8E" w:rsidP="00AE5DB3">
            <w:r w:rsidRPr="00B344F6">
              <w:t>Inclusion in Dossier</w:t>
            </w:r>
          </w:p>
        </w:tc>
        <w:tc>
          <w:tcPr>
            <w:tcW w:w="2280" w:type="dxa"/>
          </w:tcPr>
          <w:p w:rsidR="002A3A8E" w:rsidRPr="00B344F6" w:rsidRDefault="00C22866" w:rsidP="00AE5DB3">
            <w:proofErr w:type="spellStart"/>
            <w:r>
              <w:t>Cut off</w:t>
            </w:r>
            <w:proofErr w:type="spellEnd"/>
            <w:r w:rsidR="002A3A8E" w:rsidRPr="00B344F6">
              <w:t xml:space="preserve"> date</w:t>
            </w:r>
          </w:p>
        </w:tc>
      </w:tr>
      <w:tr w:rsidR="002A3A8E" w:rsidRPr="00B344F6" w:rsidTr="002A3A8E">
        <w:tc>
          <w:tcPr>
            <w:tcW w:w="959" w:type="dxa"/>
          </w:tcPr>
          <w:p w:rsidR="002A3A8E" w:rsidRPr="00B344F6" w:rsidRDefault="002A3A8E" w:rsidP="00AE5DB3">
            <w:r w:rsidRPr="00B344F6">
              <w:t>P001</w:t>
            </w:r>
          </w:p>
        </w:tc>
        <w:tc>
          <w:tcPr>
            <w:tcW w:w="3841" w:type="dxa"/>
          </w:tcPr>
          <w:p w:rsidR="002A3A8E" w:rsidRPr="00B344F6" w:rsidRDefault="002A3A8E" w:rsidP="00AE5DB3">
            <w:r w:rsidRPr="00B344F6">
              <w:t>Very large Phase 1 study</w:t>
            </w:r>
          </w:p>
          <w:p w:rsidR="002A3A8E" w:rsidRPr="00B344F6" w:rsidRDefault="002A3A8E" w:rsidP="00AE5DB3">
            <w:r w:rsidRPr="00B344F6">
              <w:t xml:space="preserve">Parts A, B and D included </w:t>
            </w:r>
            <w:r w:rsidR="00E61C93" w:rsidRPr="00B344F6">
              <w:t>patients with advanced melanoma</w:t>
            </w:r>
          </w:p>
        </w:tc>
        <w:tc>
          <w:tcPr>
            <w:tcW w:w="1640" w:type="dxa"/>
          </w:tcPr>
          <w:p w:rsidR="002A3A8E" w:rsidRPr="00B344F6" w:rsidRDefault="002A3A8E" w:rsidP="00AE5DB3">
            <w:r w:rsidRPr="00B344F6">
              <w:t>CSR version 1</w:t>
            </w:r>
          </w:p>
          <w:p w:rsidR="002A3A8E" w:rsidRPr="00B344F6" w:rsidRDefault="002A3A8E" w:rsidP="00AE5DB3">
            <w:r w:rsidRPr="00B344F6">
              <w:t>Also: an updated interim analysis (summary data)</w:t>
            </w:r>
          </w:p>
        </w:tc>
        <w:tc>
          <w:tcPr>
            <w:tcW w:w="2280" w:type="dxa"/>
          </w:tcPr>
          <w:p w:rsidR="002A3A8E" w:rsidRPr="00B344F6" w:rsidRDefault="00AE5DB3" w:rsidP="00AE5DB3">
            <w:r>
              <w:t>Cut-off</w:t>
            </w:r>
            <w:r w:rsidR="002A3A8E" w:rsidRPr="00B344F6">
              <w:t xml:space="preserve"> date 18 Oct 2013 (for CSR version 1)</w:t>
            </w:r>
          </w:p>
          <w:p w:rsidR="002A3A8E" w:rsidRPr="00B344F6" w:rsidRDefault="00AE5DB3" w:rsidP="00AE5DB3">
            <w:r>
              <w:t>Cut-off</w:t>
            </w:r>
            <w:r w:rsidR="002A3A8E" w:rsidRPr="00B344F6">
              <w:t xml:space="preserve"> date April 18 2014 (for summary data)</w:t>
            </w:r>
          </w:p>
        </w:tc>
      </w:tr>
      <w:tr w:rsidR="002A3A8E" w:rsidRPr="00B344F6" w:rsidTr="002A3A8E">
        <w:tc>
          <w:tcPr>
            <w:tcW w:w="959" w:type="dxa"/>
          </w:tcPr>
          <w:p w:rsidR="002A3A8E" w:rsidRPr="00B344F6" w:rsidRDefault="002A3A8E" w:rsidP="00AE5DB3">
            <w:r w:rsidRPr="00B344F6">
              <w:t>P002</w:t>
            </w:r>
          </w:p>
        </w:tc>
        <w:tc>
          <w:tcPr>
            <w:tcW w:w="3841" w:type="dxa"/>
          </w:tcPr>
          <w:p w:rsidR="002A3A8E" w:rsidRPr="00B344F6" w:rsidRDefault="002A3A8E" w:rsidP="00AE5DB3">
            <w:r w:rsidRPr="00B344F6">
              <w:t xml:space="preserve">Randomised (pembrolizumab </w:t>
            </w:r>
            <w:r w:rsidR="000510CB" w:rsidRPr="00B344F6">
              <w:t>versus</w:t>
            </w:r>
            <w:r w:rsidRPr="00B344F6">
              <w:t xml:space="preserve"> physician’s choice of chemo</w:t>
            </w:r>
            <w:r w:rsidR="000510CB" w:rsidRPr="00B344F6">
              <w:t>therapy</w:t>
            </w:r>
            <w:r w:rsidR="00E61C93" w:rsidRPr="00B344F6">
              <w:t>) in IPI-refractory melanoma</w:t>
            </w:r>
          </w:p>
        </w:tc>
        <w:tc>
          <w:tcPr>
            <w:tcW w:w="1640" w:type="dxa"/>
          </w:tcPr>
          <w:p w:rsidR="002A3A8E" w:rsidRPr="00B344F6" w:rsidRDefault="002A3A8E" w:rsidP="00AE5DB3">
            <w:r w:rsidRPr="00B344F6">
              <w:t>Summary data for interim analysis 2</w:t>
            </w:r>
          </w:p>
        </w:tc>
        <w:tc>
          <w:tcPr>
            <w:tcW w:w="2280" w:type="dxa"/>
          </w:tcPr>
          <w:p w:rsidR="002A3A8E" w:rsidRPr="00B344F6" w:rsidRDefault="002A3A8E" w:rsidP="00AE5DB3">
            <w:pPr>
              <w:rPr>
                <w:highlight w:val="yellow"/>
              </w:rPr>
            </w:pPr>
            <w:r w:rsidRPr="00B344F6">
              <w:t>12 May 2014</w:t>
            </w:r>
          </w:p>
        </w:tc>
      </w:tr>
      <w:tr w:rsidR="002A3A8E" w:rsidRPr="00B344F6" w:rsidTr="002A3A8E">
        <w:tc>
          <w:tcPr>
            <w:tcW w:w="959" w:type="dxa"/>
          </w:tcPr>
          <w:p w:rsidR="002A3A8E" w:rsidRPr="00B344F6" w:rsidRDefault="002A3A8E" w:rsidP="00AE5DB3">
            <w:r w:rsidRPr="00B344F6">
              <w:t>P006</w:t>
            </w:r>
          </w:p>
        </w:tc>
        <w:tc>
          <w:tcPr>
            <w:tcW w:w="3841" w:type="dxa"/>
          </w:tcPr>
          <w:p w:rsidR="002A3A8E" w:rsidRPr="00B344F6" w:rsidRDefault="002A3A8E" w:rsidP="00AE5DB3">
            <w:r w:rsidRPr="00B344F6">
              <w:t xml:space="preserve">Randomised (pembrolizumab </w:t>
            </w:r>
            <w:r w:rsidR="000510CB" w:rsidRPr="00B344F6">
              <w:t>versus</w:t>
            </w:r>
            <w:r w:rsidRPr="00B344F6">
              <w:t xml:space="preserve"> ipilimumab)</w:t>
            </w:r>
            <w:r w:rsidR="00E61C93" w:rsidRPr="00B344F6">
              <w:t xml:space="preserve"> in IPI-naïve melanoma patients</w:t>
            </w:r>
          </w:p>
        </w:tc>
        <w:tc>
          <w:tcPr>
            <w:tcW w:w="1640" w:type="dxa"/>
          </w:tcPr>
          <w:p w:rsidR="002A3A8E" w:rsidRPr="00B344F6" w:rsidRDefault="002A3A8E" w:rsidP="00AE5DB3">
            <w:r w:rsidRPr="00B344F6">
              <w:t>Summary data for interim analysis 1</w:t>
            </w:r>
          </w:p>
        </w:tc>
        <w:tc>
          <w:tcPr>
            <w:tcW w:w="2280" w:type="dxa"/>
          </w:tcPr>
          <w:p w:rsidR="002A3A8E" w:rsidRPr="00B344F6" w:rsidRDefault="002A3A8E" w:rsidP="00AE5DB3">
            <w:r w:rsidRPr="00B344F6">
              <w:t>3 September 2014</w:t>
            </w:r>
          </w:p>
        </w:tc>
      </w:tr>
    </w:tbl>
    <w:p w:rsidR="000510CB" w:rsidRDefault="000510CB" w:rsidP="000510CB">
      <w:pPr>
        <w:pStyle w:val="Heading5"/>
      </w:pPr>
      <w:r>
        <w:t xml:space="preserve">Study </w:t>
      </w:r>
      <w:r w:rsidRPr="002A3A8E">
        <w:t>P001</w:t>
      </w:r>
    </w:p>
    <w:p w:rsidR="002A3A8E" w:rsidRPr="002A3A8E" w:rsidRDefault="000510CB" w:rsidP="002A3A8E">
      <w:r>
        <w:t xml:space="preserve">Study </w:t>
      </w:r>
      <w:r w:rsidR="002A3A8E" w:rsidRPr="002A3A8E">
        <w:t>P001 is a multi-centre, open label, Phase 1 study of patients with locally advanced or metastatic cancer (melanoma, NSCLC and other tumour types).</w:t>
      </w:r>
      <w:r w:rsidR="00635167">
        <w:t xml:space="preserve"> </w:t>
      </w:r>
      <w:r w:rsidR="002A3A8E" w:rsidRPr="002A3A8E">
        <w:t>It was conducted in the USA (13 sites), Australia (2), France (1) and Canada (1).</w:t>
      </w:r>
      <w:r w:rsidR="00635167">
        <w:t xml:space="preserve"> </w:t>
      </w:r>
      <w:r w:rsidR="002A3A8E" w:rsidRPr="002A3A8E">
        <w:t xml:space="preserve">Via serial amendments, </w:t>
      </w:r>
      <w:r w:rsidR="00C35842">
        <w:t>it has been divided into parts</w:t>
      </w:r>
      <w:r w:rsidR="002A3A8E" w:rsidRPr="00C35842">
        <w:t>:</w:t>
      </w:r>
    </w:p>
    <w:p w:rsidR="002A3A8E" w:rsidRPr="002A3A8E" w:rsidRDefault="002A3A8E" w:rsidP="00C35842">
      <w:pPr>
        <w:pStyle w:val="ListBullet"/>
      </w:pPr>
      <w:r w:rsidRPr="002A3A8E">
        <w:t>Part A was the ‘first in human’ sub-study.</w:t>
      </w:r>
    </w:p>
    <w:p w:rsidR="002A3A8E" w:rsidRPr="002A3A8E" w:rsidRDefault="002A3A8E" w:rsidP="00C35842">
      <w:pPr>
        <w:pStyle w:val="ListBullet"/>
      </w:pPr>
      <w:r w:rsidRPr="002A3A8E">
        <w:t>Parts B1, B2, B3 and</w:t>
      </w:r>
      <w:r w:rsidR="009D6214">
        <w:t xml:space="preserve"> D were sub-studies in melanoma</w:t>
      </w:r>
      <w:r w:rsidR="00635167">
        <w:t xml:space="preserve"> </w:t>
      </w:r>
      <w:r w:rsidRPr="002A3A8E">
        <w:t>(</w:t>
      </w:r>
      <w:r w:rsidR="009D6214" w:rsidRPr="002A3A8E">
        <w:t>effic</w:t>
      </w:r>
      <w:r w:rsidRPr="002A3A8E">
        <w:t>acy data from B3 we</w:t>
      </w:r>
      <w:r w:rsidR="009D6214">
        <w:t>re not included in the initial d</w:t>
      </w:r>
      <w:r w:rsidRPr="002A3A8E">
        <w:t xml:space="preserve">ossier; </w:t>
      </w:r>
      <w:r w:rsidR="009D6214">
        <w:t>summary data have been provided</w:t>
      </w:r>
      <w:r w:rsidRPr="002A3A8E">
        <w:t>)</w:t>
      </w:r>
    </w:p>
    <w:p w:rsidR="002A3A8E" w:rsidRDefault="002A3A8E" w:rsidP="00C35842">
      <w:pPr>
        <w:pStyle w:val="ListBullet"/>
      </w:pPr>
      <w:r w:rsidRPr="002A3A8E">
        <w:t>Parts C and F studied NSCLC.</w:t>
      </w:r>
      <w:r w:rsidR="00635167">
        <w:t xml:space="preserve"> </w:t>
      </w:r>
      <w:r w:rsidRPr="002A3A8E">
        <w:t>Efficacy data were not included in</w:t>
      </w:r>
      <w:r w:rsidR="00BB7301">
        <w:t xml:space="preserve"> the d</w:t>
      </w:r>
      <w:r w:rsidRPr="002A3A8E">
        <w:t>ossier.</w:t>
      </w:r>
    </w:p>
    <w:p w:rsidR="00C3330B" w:rsidRDefault="007F12A4" w:rsidP="007F12A4">
      <w:pPr>
        <w:pStyle w:val="ListBullet"/>
        <w:numPr>
          <w:ilvl w:val="0"/>
          <w:numId w:val="0"/>
        </w:numPr>
      </w:pPr>
      <w:r>
        <w:t>Table 6 above shows the summary of the study parts of Study P001</w:t>
      </w:r>
      <w:r w:rsidR="000510CB">
        <w:t>.</w:t>
      </w:r>
    </w:p>
    <w:p w:rsidR="002A3A8E" w:rsidRPr="002A3A8E" w:rsidRDefault="007F12A4" w:rsidP="00E61C93">
      <w:pPr>
        <w:pStyle w:val="TableTitle"/>
      </w:pPr>
      <w:proofErr w:type="gramStart"/>
      <w:r>
        <w:t>Table 14</w:t>
      </w:r>
      <w:r w:rsidR="00BB7301">
        <w:t>.</w:t>
      </w:r>
      <w:proofErr w:type="gramEnd"/>
      <w:r w:rsidR="00E61C93">
        <w:t xml:space="preserve"> </w:t>
      </w:r>
      <w:r w:rsidR="002A3A8E" w:rsidRPr="002A3A8E">
        <w:t xml:space="preserve">P001 </w:t>
      </w:r>
      <w:r w:rsidR="00BB7301">
        <w:t>k</w:t>
      </w:r>
      <w:r w:rsidR="00162BAF">
        <w:t>ey sub-studies</w:t>
      </w:r>
    </w:p>
    <w:tbl>
      <w:tblPr>
        <w:tblStyle w:val="TableTGAblue"/>
        <w:tblW w:w="9242" w:type="dxa"/>
        <w:tblLayout w:type="fixed"/>
        <w:tblLook w:val="04A0" w:firstRow="1" w:lastRow="0" w:firstColumn="1" w:lastColumn="0" w:noHBand="0" w:noVBand="1"/>
      </w:tblPr>
      <w:tblGrid>
        <w:gridCol w:w="959"/>
        <w:gridCol w:w="1276"/>
        <w:gridCol w:w="992"/>
        <w:gridCol w:w="1843"/>
        <w:gridCol w:w="2762"/>
        <w:gridCol w:w="1410"/>
      </w:tblGrid>
      <w:tr w:rsidR="002A3A8E" w:rsidRPr="000510CB" w:rsidTr="00AE5DB3">
        <w:trPr>
          <w:cnfStyle w:val="100000000000" w:firstRow="1" w:lastRow="0" w:firstColumn="0" w:lastColumn="0" w:oddVBand="0" w:evenVBand="0" w:oddHBand="0" w:evenHBand="0" w:firstRowFirstColumn="0" w:firstRowLastColumn="0" w:lastRowFirstColumn="0" w:lastRowLastColumn="0"/>
        </w:trPr>
        <w:tc>
          <w:tcPr>
            <w:tcW w:w="959" w:type="dxa"/>
          </w:tcPr>
          <w:p w:rsidR="002A3A8E" w:rsidRPr="000510CB" w:rsidRDefault="002A3A8E" w:rsidP="00AE5DB3">
            <w:pPr>
              <w:ind w:left="0"/>
            </w:pPr>
            <w:r w:rsidRPr="000510CB">
              <w:t>Sub-study</w:t>
            </w:r>
          </w:p>
        </w:tc>
        <w:tc>
          <w:tcPr>
            <w:tcW w:w="1276" w:type="dxa"/>
          </w:tcPr>
          <w:p w:rsidR="002A3A8E" w:rsidRPr="000510CB" w:rsidRDefault="002A3A8E" w:rsidP="00AE5DB3">
            <w:r w:rsidRPr="000510CB">
              <w:t>Ref</w:t>
            </w:r>
          </w:p>
        </w:tc>
        <w:tc>
          <w:tcPr>
            <w:tcW w:w="992" w:type="dxa"/>
          </w:tcPr>
          <w:p w:rsidR="002A3A8E" w:rsidRPr="000510CB" w:rsidRDefault="002A3A8E" w:rsidP="00AE5DB3">
            <w:r w:rsidRPr="000510CB">
              <w:t>Size</w:t>
            </w:r>
          </w:p>
        </w:tc>
        <w:tc>
          <w:tcPr>
            <w:tcW w:w="1843" w:type="dxa"/>
          </w:tcPr>
          <w:p w:rsidR="002A3A8E" w:rsidRPr="000510CB" w:rsidRDefault="002A3A8E" w:rsidP="00AE5DB3">
            <w:r w:rsidRPr="000510CB">
              <w:t>Population</w:t>
            </w:r>
          </w:p>
        </w:tc>
        <w:tc>
          <w:tcPr>
            <w:tcW w:w="2762" w:type="dxa"/>
          </w:tcPr>
          <w:p w:rsidR="002A3A8E" w:rsidRPr="000510CB" w:rsidRDefault="002A3A8E" w:rsidP="00AE5DB3">
            <w:r w:rsidRPr="000510CB">
              <w:t>Pembrolizumab</w:t>
            </w:r>
          </w:p>
        </w:tc>
        <w:tc>
          <w:tcPr>
            <w:tcW w:w="1410" w:type="dxa"/>
          </w:tcPr>
          <w:p w:rsidR="002A3A8E" w:rsidRPr="000510CB" w:rsidRDefault="002A3A8E" w:rsidP="00AE5DB3">
            <w:r w:rsidRPr="000510CB">
              <w:t>[Follow-</w:t>
            </w:r>
            <w:proofErr w:type="spellStart"/>
            <w:r w:rsidRPr="000510CB">
              <w:t>up</w:t>
            </w:r>
            <w:r w:rsidRPr="00B344F6">
              <w:rPr>
                <w:vertAlign w:val="superscript"/>
              </w:rPr>
              <w:t>b</w:t>
            </w:r>
            <w:proofErr w:type="spellEnd"/>
            <w:r w:rsidRPr="000510CB">
              <w:t>]</w:t>
            </w:r>
          </w:p>
        </w:tc>
      </w:tr>
      <w:tr w:rsidR="002A3A8E" w:rsidRPr="000510CB" w:rsidTr="00AE5DB3">
        <w:tc>
          <w:tcPr>
            <w:tcW w:w="959" w:type="dxa"/>
          </w:tcPr>
          <w:p w:rsidR="002A3A8E" w:rsidRPr="00B344F6" w:rsidRDefault="002A3A8E" w:rsidP="00AE5DB3">
            <w:pPr>
              <w:ind w:left="0"/>
            </w:pPr>
            <w:r w:rsidRPr="00B344F6">
              <w:t>B2</w:t>
            </w:r>
          </w:p>
        </w:tc>
        <w:tc>
          <w:tcPr>
            <w:tcW w:w="1276" w:type="dxa"/>
          </w:tcPr>
          <w:p w:rsidR="002A3A8E" w:rsidRPr="000510CB" w:rsidRDefault="002A3A8E" w:rsidP="00AE5DB3">
            <w:r w:rsidRPr="000510CB">
              <w:t>Robert et al 2014</w:t>
            </w:r>
          </w:p>
        </w:tc>
        <w:tc>
          <w:tcPr>
            <w:tcW w:w="992" w:type="dxa"/>
          </w:tcPr>
          <w:p w:rsidR="002A3A8E" w:rsidRPr="000510CB" w:rsidRDefault="002A3A8E" w:rsidP="00AE5DB3">
            <w:r w:rsidRPr="000510CB">
              <w:t>N=173</w:t>
            </w:r>
          </w:p>
        </w:tc>
        <w:tc>
          <w:tcPr>
            <w:tcW w:w="1843" w:type="dxa"/>
          </w:tcPr>
          <w:p w:rsidR="002A3A8E" w:rsidRPr="000510CB" w:rsidRDefault="002A3A8E" w:rsidP="00AE5DB3">
            <w:r w:rsidRPr="000510CB">
              <w:t>IPI-refractory</w:t>
            </w:r>
          </w:p>
        </w:tc>
        <w:tc>
          <w:tcPr>
            <w:tcW w:w="2762" w:type="dxa"/>
          </w:tcPr>
          <w:p w:rsidR="002A3A8E" w:rsidRPr="000510CB" w:rsidRDefault="002A3A8E" w:rsidP="00AE5DB3">
            <w:r w:rsidRPr="000510CB">
              <w:t xml:space="preserve">2 mg/kg Q3W </w:t>
            </w:r>
            <w:r w:rsidR="00987E81">
              <w:t>versus</w:t>
            </w:r>
            <w:r w:rsidRPr="000510CB">
              <w:t xml:space="preserve"> 10 mg/kg Q3W (randomised)</w:t>
            </w:r>
          </w:p>
        </w:tc>
        <w:tc>
          <w:tcPr>
            <w:tcW w:w="1410" w:type="dxa"/>
          </w:tcPr>
          <w:p w:rsidR="002A3A8E" w:rsidRPr="000510CB" w:rsidRDefault="002A3A8E" w:rsidP="00AE5DB3">
            <w:r w:rsidRPr="000510CB">
              <w:t>≥</w:t>
            </w:r>
            <w:r w:rsidR="00B344F6">
              <w:t xml:space="preserve"> </w:t>
            </w:r>
            <w:r w:rsidRPr="000510CB">
              <w:t>12 months</w:t>
            </w:r>
          </w:p>
        </w:tc>
      </w:tr>
      <w:tr w:rsidR="002A3A8E" w:rsidRPr="000510CB" w:rsidTr="00AE5DB3">
        <w:tc>
          <w:tcPr>
            <w:tcW w:w="959" w:type="dxa"/>
          </w:tcPr>
          <w:p w:rsidR="002A3A8E" w:rsidRPr="00B344F6" w:rsidRDefault="002A3A8E" w:rsidP="00AE5DB3">
            <w:pPr>
              <w:ind w:left="0"/>
            </w:pPr>
            <w:r w:rsidRPr="00B344F6">
              <w:lastRenderedPageBreak/>
              <w:t>D</w:t>
            </w:r>
          </w:p>
        </w:tc>
        <w:tc>
          <w:tcPr>
            <w:tcW w:w="1276" w:type="dxa"/>
          </w:tcPr>
          <w:p w:rsidR="002A3A8E" w:rsidRPr="000510CB" w:rsidRDefault="002A3A8E" w:rsidP="00AE5DB3">
            <w:r w:rsidRPr="000510CB">
              <w:t>NA</w:t>
            </w:r>
          </w:p>
        </w:tc>
        <w:tc>
          <w:tcPr>
            <w:tcW w:w="992" w:type="dxa"/>
          </w:tcPr>
          <w:p w:rsidR="002A3A8E" w:rsidRPr="000510CB" w:rsidRDefault="002A3A8E" w:rsidP="00AE5DB3">
            <w:r w:rsidRPr="000510CB">
              <w:t>N=103</w:t>
            </w:r>
          </w:p>
        </w:tc>
        <w:tc>
          <w:tcPr>
            <w:tcW w:w="1843" w:type="dxa"/>
          </w:tcPr>
          <w:p w:rsidR="002A3A8E" w:rsidRPr="000510CB" w:rsidRDefault="002A3A8E" w:rsidP="00AE5DB3">
            <w:r w:rsidRPr="000510CB">
              <w:t>IPI-naive</w:t>
            </w:r>
          </w:p>
        </w:tc>
        <w:tc>
          <w:tcPr>
            <w:tcW w:w="2762" w:type="dxa"/>
          </w:tcPr>
          <w:p w:rsidR="002A3A8E" w:rsidRPr="000510CB" w:rsidRDefault="002A3A8E" w:rsidP="00AE5DB3">
            <w:r w:rsidRPr="000510CB">
              <w:t xml:space="preserve">2 mg/kg Q3W </w:t>
            </w:r>
            <w:r w:rsidR="00987E81">
              <w:t>versus</w:t>
            </w:r>
            <w:r w:rsidRPr="000510CB">
              <w:t xml:space="preserve"> 10 mg/kg Q3W (randomised)</w:t>
            </w:r>
          </w:p>
        </w:tc>
        <w:tc>
          <w:tcPr>
            <w:tcW w:w="1410" w:type="dxa"/>
          </w:tcPr>
          <w:p w:rsidR="002A3A8E" w:rsidRPr="000510CB" w:rsidRDefault="002A3A8E" w:rsidP="00AE5DB3">
            <w:r w:rsidRPr="000510CB">
              <w:t>≥</w:t>
            </w:r>
            <w:r w:rsidR="00B344F6">
              <w:t xml:space="preserve"> </w:t>
            </w:r>
            <w:r w:rsidRPr="000510CB">
              <w:t>15 months</w:t>
            </w:r>
          </w:p>
        </w:tc>
      </w:tr>
      <w:tr w:rsidR="002A3A8E" w:rsidRPr="000510CB" w:rsidTr="00AE5DB3">
        <w:tc>
          <w:tcPr>
            <w:tcW w:w="959" w:type="dxa"/>
          </w:tcPr>
          <w:p w:rsidR="002A3A8E" w:rsidRPr="00B344F6" w:rsidRDefault="002A3A8E" w:rsidP="00AE5DB3">
            <w:pPr>
              <w:ind w:left="0"/>
            </w:pPr>
            <w:r w:rsidRPr="00B344F6">
              <w:t>B1</w:t>
            </w:r>
          </w:p>
        </w:tc>
        <w:tc>
          <w:tcPr>
            <w:tcW w:w="1276" w:type="dxa"/>
          </w:tcPr>
          <w:p w:rsidR="002A3A8E" w:rsidRPr="000510CB" w:rsidRDefault="002A3A8E" w:rsidP="00AE5DB3">
            <w:r w:rsidRPr="000510CB">
              <w:t>Hamid et al 2013</w:t>
            </w:r>
          </w:p>
        </w:tc>
        <w:tc>
          <w:tcPr>
            <w:tcW w:w="992" w:type="dxa"/>
          </w:tcPr>
          <w:p w:rsidR="002A3A8E" w:rsidRPr="000510CB" w:rsidRDefault="002A3A8E" w:rsidP="00AE5DB3">
            <w:r w:rsidRPr="000510CB">
              <w:t>N=135</w:t>
            </w:r>
          </w:p>
        </w:tc>
        <w:tc>
          <w:tcPr>
            <w:tcW w:w="1843" w:type="dxa"/>
          </w:tcPr>
          <w:p w:rsidR="002A3A8E" w:rsidRPr="000510CB" w:rsidRDefault="002A3A8E" w:rsidP="00AE5DB3">
            <w:r w:rsidRPr="000510CB">
              <w:t>IPI- refractory, treated or naive</w:t>
            </w:r>
          </w:p>
        </w:tc>
        <w:tc>
          <w:tcPr>
            <w:tcW w:w="2762" w:type="dxa"/>
          </w:tcPr>
          <w:p w:rsidR="002A3A8E" w:rsidRPr="000510CB" w:rsidRDefault="002A3A8E" w:rsidP="00AE5DB3">
            <w:r w:rsidRPr="000510CB">
              <w:t>10 mg/kg Q2W or Q3W or 2 mg/kg Q3W</w:t>
            </w:r>
            <w:r w:rsidR="00B344F6">
              <w:t xml:space="preserve"> </w:t>
            </w:r>
            <w:r w:rsidRPr="00B344F6">
              <w:rPr>
                <w:vertAlign w:val="superscript"/>
              </w:rPr>
              <w:t>a</w:t>
            </w:r>
            <w:r w:rsidRPr="000510CB">
              <w:t xml:space="preserve"> (sequential assignment; not randomised)</w:t>
            </w:r>
          </w:p>
        </w:tc>
        <w:tc>
          <w:tcPr>
            <w:tcW w:w="1410" w:type="dxa"/>
          </w:tcPr>
          <w:p w:rsidR="002A3A8E" w:rsidRPr="000510CB" w:rsidRDefault="002A3A8E" w:rsidP="00AE5DB3">
            <w:r w:rsidRPr="000510CB">
              <w:t>&gt;</w:t>
            </w:r>
            <w:r w:rsidR="00B344F6">
              <w:t xml:space="preserve"> 19 months</w:t>
            </w:r>
          </w:p>
        </w:tc>
      </w:tr>
    </w:tbl>
    <w:p w:rsidR="00B344F6" w:rsidRPr="00B344F6" w:rsidRDefault="00B344F6" w:rsidP="00AE5DB3">
      <w:pPr>
        <w:pStyle w:val="TableDescription"/>
      </w:pPr>
      <w:r w:rsidRPr="000510CB">
        <w:t>a</w:t>
      </w:r>
      <w:r w:rsidR="00CB4B97">
        <w:t>.</w:t>
      </w:r>
      <w:r w:rsidRPr="000510CB">
        <w:t xml:space="preserve"> In B1, 2 mg/kg Q3W was o</w:t>
      </w:r>
      <w:r>
        <w:t xml:space="preserve">nly given to IPI-naïve </w:t>
      </w:r>
      <w:proofErr w:type="gramStart"/>
      <w:r>
        <w:t>subjects</w:t>
      </w:r>
      <w:proofErr w:type="gramEnd"/>
      <w:r>
        <w:t xml:space="preserve"> </w:t>
      </w:r>
      <w:r w:rsidRPr="000510CB">
        <w:t>b</w:t>
      </w:r>
      <w:r w:rsidR="00CB4B97">
        <w:t>.</w:t>
      </w:r>
      <w:r w:rsidRPr="000510CB">
        <w:t xml:space="preserve"> As of 18 April 2014.</w:t>
      </w:r>
      <w:r>
        <w:t xml:space="preserve"> </w:t>
      </w:r>
      <w:r w:rsidRPr="000510CB">
        <w:t>Minimum follow-up is time since last patient received first dose.</w:t>
      </w:r>
    </w:p>
    <w:p w:rsidR="002A3A8E" w:rsidRPr="002A3A8E" w:rsidRDefault="002A3A8E" w:rsidP="002A3A8E">
      <w:r w:rsidRPr="002A3A8E">
        <w:t>Many analyses were of pooled data from B1, B2 and D (not B3).</w:t>
      </w:r>
      <w:r w:rsidR="00635167">
        <w:t xml:space="preserve"> </w:t>
      </w:r>
      <w:r w:rsidR="009D6214">
        <w:t xml:space="preserve">Some </w:t>
      </w:r>
      <w:r w:rsidRPr="002A3A8E">
        <w:t>411 melanoma patients from B1, B2 and D were included in most pooled efficacy analyses.</w:t>
      </w:r>
      <w:r w:rsidR="00635167">
        <w:t xml:space="preserve"> </w:t>
      </w:r>
      <w:r w:rsidRPr="002A3A8E">
        <w:t xml:space="preserve">These analyses were based, in general, on the initial data </w:t>
      </w:r>
      <w:r w:rsidR="00C22866">
        <w:t>cut off</w:t>
      </w:r>
      <w:r w:rsidRPr="002A3A8E">
        <w:t xml:space="preserve"> of 18 October 2013 (ra</w:t>
      </w:r>
      <w:r w:rsidR="00CB4B97">
        <w:t xml:space="preserve">ther than the 18 April 2014 cut </w:t>
      </w:r>
      <w:r w:rsidRPr="002A3A8E">
        <w:t>off).</w:t>
      </w:r>
      <w:r w:rsidR="00635167">
        <w:t xml:space="preserve"> </w:t>
      </w:r>
      <w:r w:rsidRPr="002A3A8E">
        <w:t xml:space="preserve">In this overview, most results are based on the initial </w:t>
      </w:r>
      <w:r w:rsidR="00C22866">
        <w:t>cut off</w:t>
      </w:r>
      <w:r w:rsidRPr="002A3A8E">
        <w:t xml:space="preserve">; key findings using the later </w:t>
      </w:r>
      <w:r w:rsidR="00C22866">
        <w:t>cut off</w:t>
      </w:r>
      <w:r w:rsidRPr="002A3A8E">
        <w:t xml:space="preserve"> are included where specified.</w:t>
      </w:r>
    </w:p>
    <w:p w:rsidR="002A3A8E" w:rsidRPr="002A3A8E" w:rsidRDefault="002A3A8E" w:rsidP="002A3A8E">
      <w:r w:rsidRPr="002A3A8E">
        <w:t>Pembrolizumab was not compared with other agents directly in P001.</w:t>
      </w:r>
      <w:r w:rsidR="00635167">
        <w:t xml:space="preserve"> </w:t>
      </w:r>
      <w:r w:rsidRPr="002A3A8E">
        <w:t>Randomisation where it occurred was into different dose regimens (B2, B3, D</w:t>
      </w:r>
      <w:r w:rsidR="00C35842">
        <w:t>)</w:t>
      </w:r>
      <w:r w:rsidR="00F9429F">
        <w:t>.</w:t>
      </w:r>
    </w:p>
    <w:p w:rsidR="002A3A8E" w:rsidRDefault="002A3A8E" w:rsidP="002A3A8E">
      <w:r w:rsidRPr="002A3A8E">
        <w:t>There was no requirement for PD-L1 expression on tumour samples within sub-studies in melanoma patients in P001 (this was a requirement in sub-studies in NSCLC).</w:t>
      </w:r>
    </w:p>
    <w:p w:rsidR="00162BAF" w:rsidRPr="00162BAF" w:rsidRDefault="00162BAF" w:rsidP="00F9429F">
      <w:pPr>
        <w:pStyle w:val="Heading4"/>
      </w:pPr>
      <w:r w:rsidRPr="00162BAF">
        <w:t xml:space="preserve">Study P001 detailed description by the </w:t>
      </w:r>
      <w:r w:rsidR="00AE5DB3">
        <w:t>d</w:t>
      </w:r>
      <w:r w:rsidRPr="00162BAF">
        <w:t>elegate</w:t>
      </w:r>
    </w:p>
    <w:p w:rsidR="00C3330B" w:rsidRPr="00C3330B" w:rsidRDefault="00C3330B" w:rsidP="00F9429F">
      <w:pPr>
        <w:pStyle w:val="Heading5"/>
      </w:pPr>
      <w:r w:rsidRPr="00C3330B">
        <w:t>Therapy after progression</w:t>
      </w:r>
    </w:p>
    <w:p w:rsidR="00C3330B" w:rsidRPr="00C3330B" w:rsidRDefault="00C3330B" w:rsidP="00C3330B">
      <w:r w:rsidRPr="00C3330B">
        <w:t xml:space="preserve">Patients with asymptomatic progression could continue pembrolizumab treatment at the investigator’s discretion despite evidence of increasing tumour volume </w:t>
      </w:r>
      <w:r w:rsidR="00F9429F">
        <w:t xml:space="preserve">or new lesions for another 4 to </w:t>
      </w:r>
      <w:r w:rsidRPr="00C3330B">
        <w:t xml:space="preserve">6 weeks if the patient was </w:t>
      </w:r>
      <w:r w:rsidR="00987E81">
        <w:t>‘</w:t>
      </w:r>
      <w:r w:rsidRPr="00C3330B">
        <w:t>clinically stable</w:t>
      </w:r>
      <w:r w:rsidR="00987E81">
        <w:t>’</w:t>
      </w:r>
      <w:r w:rsidRPr="00C3330B">
        <w:t>.</w:t>
      </w:r>
      <w:r w:rsidR="00987E81">
        <w:t xml:space="preserve"> </w:t>
      </w:r>
      <w:r w:rsidRPr="00C3330B">
        <w:t>Clinically stable was defined as:</w:t>
      </w:r>
    </w:p>
    <w:p w:rsidR="00C3330B" w:rsidRPr="00C3330B" w:rsidRDefault="00C3330B" w:rsidP="00C3330B">
      <w:pPr>
        <w:pStyle w:val="ListBullet"/>
      </w:pPr>
      <w:r w:rsidRPr="00C3330B">
        <w:t xml:space="preserve">Absence of symptoms and signs indicating clinically significant progressive disease (including </w:t>
      </w:r>
      <w:r w:rsidR="009D6214">
        <w:t>worsening of laboratory values)</w:t>
      </w:r>
    </w:p>
    <w:p w:rsidR="00C3330B" w:rsidRPr="00C3330B" w:rsidRDefault="00C3330B" w:rsidP="001A622E">
      <w:pPr>
        <w:pStyle w:val="ListBullet"/>
      </w:pPr>
      <w:r w:rsidRPr="00C3330B">
        <w:t xml:space="preserve">No decline in </w:t>
      </w:r>
      <w:r w:rsidR="001A622E" w:rsidRPr="001A622E">
        <w:t xml:space="preserve">Eastern Cooperative Oncology Group </w:t>
      </w:r>
      <w:r w:rsidR="001A622E">
        <w:t>(</w:t>
      </w:r>
      <w:r w:rsidRPr="00C3330B">
        <w:t>ECOG</w:t>
      </w:r>
      <w:r w:rsidR="001A622E">
        <w:t>)</w:t>
      </w:r>
      <w:r w:rsidR="009D6214">
        <w:t xml:space="preserve"> performance status</w:t>
      </w:r>
      <w:r w:rsidRPr="00C3330B">
        <w:t xml:space="preserve"> and</w:t>
      </w:r>
    </w:p>
    <w:p w:rsidR="00C3330B" w:rsidRPr="00C3330B" w:rsidRDefault="00C3330B" w:rsidP="00C3330B">
      <w:pPr>
        <w:pStyle w:val="ListBullet"/>
      </w:pPr>
      <w:r w:rsidRPr="00C3330B">
        <w:t>Absence of rapid progression of disease or of progressive tumour at critical anatomical sites (</w:t>
      </w:r>
      <w:r w:rsidR="00B85B18">
        <w:t>for example</w:t>
      </w:r>
      <w:r w:rsidRPr="00C3330B">
        <w:t xml:space="preserve"> cord compression) requiring urgent alternative medical intervention.</w:t>
      </w:r>
    </w:p>
    <w:p w:rsidR="00C3330B" w:rsidRPr="00C3330B" w:rsidRDefault="00F9429F" w:rsidP="00C3330B">
      <w:r>
        <w:t xml:space="preserve">If imaging 4 to </w:t>
      </w:r>
      <w:r w:rsidR="00C3330B" w:rsidRPr="00C3330B">
        <w:t>6 weeks after asymptomatic progression showed objective response or stable disease, clinically stable patients were allowed to continue pembrolizumab with resumption of tumour imaging studies every 12 weeks.</w:t>
      </w:r>
    </w:p>
    <w:p w:rsidR="00C3330B" w:rsidRPr="00C3330B" w:rsidRDefault="00C3330B" w:rsidP="00C3330B">
      <w:pPr>
        <w:pStyle w:val="Heading6"/>
      </w:pPr>
      <w:r w:rsidRPr="00C3330B">
        <w:t>Inclusion and exclusion criteria</w:t>
      </w:r>
    </w:p>
    <w:p w:rsidR="00C3330B" w:rsidRPr="00C3330B" w:rsidRDefault="00C3330B" w:rsidP="00C3330B">
      <w:r w:rsidRPr="00C3330B">
        <w:t>In Parts B and D of the study, patients must have had a histological or cytological diagnosis of melanoma with progressive locally advanced or metastatic disease that is not amenable to definitive local therapy with curative intent.</w:t>
      </w:r>
    </w:p>
    <w:p w:rsidR="00C3330B" w:rsidRPr="00C3330B" w:rsidRDefault="00C3330B" w:rsidP="00C3330B">
      <w:r w:rsidRPr="00C3330B">
        <w:t xml:space="preserve">Also in Parts B and D, patients must have had measurable disease based on investigator evaluation per </w:t>
      </w:r>
      <w:r w:rsidR="00987E81">
        <w:t>immune related</w:t>
      </w:r>
      <w:r w:rsidRPr="00C3330B">
        <w:t xml:space="preserve"> response criteria.</w:t>
      </w:r>
    </w:p>
    <w:p w:rsidR="00C3330B" w:rsidRPr="00C3330B" w:rsidRDefault="00C3330B" w:rsidP="00C3330B">
      <w:r w:rsidRPr="00C3330B">
        <w:t xml:space="preserve">Also, </w:t>
      </w:r>
      <w:r w:rsidRPr="001A622E">
        <w:t>ECOG</w:t>
      </w:r>
      <w:r w:rsidRPr="00C3330B">
        <w:t xml:space="preserve"> performance status was to be 0 or 1.</w:t>
      </w:r>
      <w:r w:rsidR="00987E81">
        <w:t xml:space="preserve"> </w:t>
      </w:r>
      <w:r w:rsidRPr="00C3330B">
        <w:t>There was a requirement for adequate organ function based on laboratory values.</w:t>
      </w:r>
    </w:p>
    <w:p w:rsidR="00C3330B" w:rsidRPr="00C3330B" w:rsidRDefault="00C3330B" w:rsidP="00C3330B">
      <w:r w:rsidRPr="00C3330B">
        <w:lastRenderedPageBreak/>
        <w:t>Patients were excluded if they had a medical condition requiring chronic systemic steroids or required any other form of immunosuppressive medication (physiological replacement of corticosteroids was permitted).</w:t>
      </w:r>
    </w:p>
    <w:p w:rsidR="00C3330B" w:rsidRPr="00C3330B" w:rsidRDefault="00C3330B" w:rsidP="00C3330B">
      <w:r w:rsidRPr="00C3330B">
        <w:t>Patients with risk factors for bowel obstruction or perforation (</w:t>
      </w:r>
      <w:r w:rsidR="00B85B18">
        <w:t>for example</w:t>
      </w:r>
      <w:r w:rsidRPr="00C3330B">
        <w:t xml:space="preserve"> history of acute diverticulitis, intra-abdominal abscess, abdominal </w:t>
      </w:r>
      <w:proofErr w:type="spellStart"/>
      <w:r w:rsidRPr="00C3330B">
        <w:t>carcinomatosis</w:t>
      </w:r>
      <w:proofErr w:type="spellEnd"/>
      <w:r w:rsidRPr="00C3330B">
        <w:t>) were excluded.</w:t>
      </w:r>
    </w:p>
    <w:p w:rsidR="00C3330B" w:rsidRPr="00C3330B" w:rsidRDefault="00C3330B" w:rsidP="00C3330B">
      <w:r w:rsidRPr="00C3330B">
        <w:t xml:space="preserve">Patients with known active </w:t>
      </w:r>
      <w:r w:rsidR="001A622E">
        <w:t>central nervous system (</w:t>
      </w:r>
      <w:r w:rsidRPr="00C3330B">
        <w:t>CNS</w:t>
      </w:r>
      <w:r w:rsidR="001A622E">
        <w:t>)</w:t>
      </w:r>
      <w:r w:rsidRPr="00C3330B">
        <w:t xml:space="preserve"> metastases and / or carcinomatous meningitis were excluded.</w:t>
      </w:r>
      <w:r w:rsidR="00987E81">
        <w:t xml:space="preserve"> </w:t>
      </w:r>
      <w:r w:rsidRPr="00C3330B">
        <w:t xml:space="preserve">History of treated brain metastases was not </w:t>
      </w:r>
      <w:proofErr w:type="gramStart"/>
      <w:r w:rsidRPr="00C3330B">
        <w:t>an exclusion</w:t>
      </w:r>
      <w:proofErr w:type="gramEnd"/>
      <w:r w:rsidR="00F9429F">
        <w:t>,</w:t>
      </w:r>
      <w:r w:rsidRPr="00C3330B">
        <w:t xml:space="preserve"> if patients were clinically stable with no new / enlarging brain metastases and were off steroids.</w:t>
      </w:r>
    </w:p>
    <w:p w:rsidR="00C3330B" w:rsidRPr="00C3330B" w:rsidRDefault="00C3330B" w:rsidP="00C3330B">
      <w:r w:rsidRPr="00C3330B">
        <w:t>Patients with pneumonitis or interstitial lung disease were excluded.</w:t>
      </w:r>
    </w:p>
    <w:p w:rsidR="00C3330B" w:rsidRPr="00C3330B" w:rsidRDefault="00C3330B" w:rsidP="00C3330B">
      <w:r w:rsidRPr="00C3330B">
        <w:t>Patients with active autoimmune disease or a documented history of autoimmune disease or syndrome requiring systemic steroids or immunosuppressive agents were excluded.</w:t>
      </w:r>
      <w:r w:rsidR="00987E81">
        <w:t xml:space="preserve"> </w:t>
      </w:r>
      <w:r w:rsidRPr="00C3330B">
        <w:t>Vitiligo and resolved childhood asthma / atopy were exceptions; patients with hypothyroidism stable on hormone replacement were also not excluded.</w:t>
      </w:r>
    </w:p>
    <w:p w:rsidR="00C3330B" w:rsidRPr="00C3330B" w:rsidRDefault="00C3330B" w:rsidP="00C3330B">
      <w:r w:rsidRPr="00C3330B">
        <w:t>Patients with active infections requiring therapy were excluded.</w:t>
      </w:r>
      <w:r w:rsidR="00987E81">
        <w:t xml:space="preserve"> </w:t>
      </w:r>
      <w:r w:rsidRPr="00C3330B">
        <w:t xml:space="preserve">Patients with active HIV, </w:t>
      </w:r>
      <w:r w:rsidR="007B720C">
        <w:t>hepatitis B virus</w:t>
      </w:r>
      <w:r w:rsidR="007B720C" w:rsidRPr="00C3330B">
        <w:t xml:space="preserve"> </w:t>
      </w:r>
      <w:r w:rsidR="007B720C">
        <w:t>(</w:t>
      </w:r>
      <w:r w:rsidRPr="00C3330B">
        <w:t>HBV</w:t>
      </w:r>
      <w:r w:rsidR="007B720C">
        <w:t>)</w:t>
      </w:r>
      <w:r w:rsidRPr="00C3330B">
        <w:t xml:space="preserve"> or </w:t>
      </w:r>
      <w:r w:rsidR="007B720C">
        <w:t>hepatitis C virus</w:t>
      </w:r>
      <w:r w:rsidR="007B720C" w:rsidRPr="00C3330B">
        <w:t xml:space="preserve"> </w:t>
      </w:r>
      <w:r w:rsidR="007B720C">
        <w:t>(</w:t>
      </w:r>
      <w:r w:rsidRPr="00C3330B">
        <w:t>HCV</w:t>
      </w:r>
      <w:r w:rsidR="007B720C">
        <w:t>)</w:t>
      </w:r>
      <w:r w:rsidRPr="00C3330B">
        <w:t xml:space="preserve"> were excluded.</w:t>
      </w:r>
    </w:p>
    <w:p w:rsidR="00C3330B" w:rsidRPr="00C3330B" w:rsidRDefault="00C3330B" w:rsidP="00C3330B">
      <w:pPr>
        <w:pStyle w:val="Heading7"/>
      </w:pPr>
      <w:r w:rsidRPr="00C3330B">
        <w:t>Part B</w:t>
      </w:r>
    </w:p>
    <w:p w:rsidR="00C3330B" w:rsidRPr="00C3330B" w:rsidRDefault="00C3330B" w:rsidP="00C3330B">
      <w:r w:rsidRPr="00C3330B">
        <w:t>In sub-study B2 (</w:t>
      </w:r>
      <w:r w:rsidR="00987E81">
        <w:t>‘</w:t>
      </w:r>
      <w:r w:rsidR="00C0003C">
        <w:t xml:space="preserve">IPI </w:t>
      </w:r>
      <w:r w:rsidRPr="00C3330B">
        <w:t>refractory</w:t>
      </w:r>
      <w:r w:rsidR="00987E81">
        <w:t>’</w:t>
      </w:r>
      <w:r w:rsidRPr="00C3330B">
        <w:t>) the following conditions had to be met:</w:t>
      </w:r>
    </w:p>
    <w:p w:rsidR="00C3330B" w:rsidRPr="00C3330B" w:rsidRDefault="00C3330B" w:rsidP="00C35842">
      <w:pPr>
        <w:pStyle w:val="ListBullet"/>
      </w:pPr>
      <w:r w:rsidRPr="00C3330B">
        <w:t>at least two doses of IPI at ≥</w:t>
      </w:r>
      <w:r w:rsidR="00C35842">
        <w:t xml:space="preserve"> </w:t>
      </w:r>
      <w:r w:rsidR="00C0003C">
        <w:t>3 mg/kg</w:t>
      </w:r>
    </w:p>
    <w:p w:rsidR="00C3330B" w:rsidRPr="00C3330B" w:rsidRDefault="00C3330B" w:rsidP="00C35842">
      <w:pPr>
        <w:pStyle w:val="ListBullet"/>
      </w:pPr>
      <w:r w:rsidRPr="00C3330B">
        <w:t xml:space="preserve">progressive disease after IPI, as per </w:t>
      </w:r>
      <w:r w:rsidR="00562005">
        <w:t>immune related response criteria</w:t>
      </w:r>
      <w:r w:rsidR="00562005" w:rsidRPr="00C3330B">
        <w:t xml:space="preserve"> </w:t>
      </w:r>
      <w:proofErr w:type="spellStart"/>
      <w:r w:rsidRPr="00C3330B">
        <w:t>irRC</w:t>
      </w:r>
      <w:proofErr w:type="spellEnd"/>
      <w:r w:rsidRPr="00C3330B">
        <w:t>, confirmed by second assessment o</w:t>
      </w:r>
      <w:r w:rsidR="00C0003C">
        <w:t>r by rapid clinical progression</w:t>
      </w:r>
    </w:p>
    <w:p w:rsidR="00C3330B" w:rsidRPr="00C3330B" w:rsidRDefault="00C3330B" w:rsidP="00C35842">
      <w:pPr>
        <w:pStyle w:val="ListBullet"/>
      </w:pPr>
      <w:r w:rsidRPr="00C3330B">
        <w:t>documented progression withi</w:t>
      </w:r>
      <w:r w:rsidR="00C0003C">
        <w:t>n 24 weeks of the last IPI dose</w:t>
      </w:r>
    </w:p>
    <w:p w:rsidR="00C3330B" w:rsidRPr="00C3330B" w:rsidRDefault="00C0003C" w:rsidP="00C35842">
      <w:pPr>
        <w:pStyle w:val="ListBullet"/>
      </w:pPr>
      <w:r>
        <w:t xml:space="preserve">resolution of IPI </w:t>
      </w:r>
      <w:r w:rsidR="00C3330B" w:rsidRPr="00C3330B">
        <w:t>related AEs to Grade 0-1 and to ≤</w:t>
      </w:r>
      <w:r>
        <w:t xml:space="preserve"> </w:t>
      </w:r>
      <w:r w:rsidR="00C3330B" w:rsidRPr="00C3330B">
        <w:t>10 mg/day prednisone or equivalent for at least 2 weeks prior</w:t>
      </w:r>
      <w:r>
        <w:t xml:space="preserve"> to first dose of pembrolizumab</w:t>
      </w:r>
    </w:p>
    <w:p w:rsidR="00C3330B" w:rsidRPr="00C3330B" w:rsidRDefault="00C3330B" w:rsidP="00C35842">
      <w:pPr>
        <w:pStyle w:val="ListBullet"/>
      </w:pPr>
      <w:r w:rsidRPr="00C3330B">
        <w:t xml:space="preserve">no history of severe </w:t>
      </w:r>
      <w:r w:rsidR="00562005">
        <w:t>immune related adverse event</w:t>
      </w:r>
      <w:r w:rsidR="00562005" w:rsidRPr="00C3330B">
        <w:t xml:space="preserve"> </w:t>
      </w:r>
      <w:r w:rsidR="00562005">
        <w:t>(</w:t>
      </w:r>
      <w:proofErr w:type="spellStart"/>
      <w:r w:rsidRPr="00C3330B">
        <w:t>irAEs</w:t>
      </w:r>
      <w:proofErr w:type="spellEnd"/>
      <w:r w:rsidR="00562005">
        <w:t>)</w:t>
      </w:r>
      <w:r w:rsidRPr="00C3330B">
        <w:t xml:space="preserve"> (grade 4 requiring any steroids, or grade 3 requiring steroids </w:t>
      </w:r>
      <w:r w:rsidR="00C0003C">
        <w:t xml:space="preserve">≥ 10 </w:t>
      </w:r>
      <w:r w:rsidRPr="00C3330B">
        <w:t>mg/day or equivalent for &gt;</w:t>
      </w:r>
      <w:r w:rsidR="00C0003C">
        <w:t xml:space="preserve"> </w:t>
      </w:r>
      <w:r w:rsidRPr="00C3330B">
        <w:t>12 weeks); a minimum 4 week washout from las</w:t>
      </w:r>
      <w:r w:rsidR="00C0003C">
        <w:t>t dose of IPI</w:t>
      </w:r>
    </w:p>
    <w:p w:rsidR="00C3330B" w:rsidRPr="00C3330B" w:rsidRDefault="00C3330B" w:rsidP="00C35842">
      <w:pPr>
        <w:pStyle w:val="ListBullet"/>
      </w:pPr>
      <w:r w:rsidRPr="00C3330B">
        <w:t>in patients with BRAF V600 mutant melanoma, prior treatment with an approved BRAF and / or MEK inhibitor; and</w:t>
      </w:r>
    </w:p>
    <w:p w:rsidR="00C3330B" w:rsidRPr="00C3330B" w:rsidRDefault="00C3330B" w:rsidP="00C35842">
      <w:pPr>
        <w:pStyle w:val="ListBullet"/>
      </w:pPr>
      <w:proofErr w:type="gramStart"/>
      <w:r w:rsidRPr="00C3330B">
        <w:t>progressive</w:t>
      </w:r>
      <w:proofErr w:type="gramEnd"/>
      <w:r w:rsidRPr="00C3330B">
        <w:t xml:space="preserve"> disease after the most recent treatment regimen.</w:t>
      </w:r>
    </w:p>
    <w:p w:rsidR="00C3330B" w:rsidRPr="00C3330B" w:rsidRDefault="00C0003C" w:rsidP="00C3330B">
      <w:r>
        <w:t>In sub</w:t>
      </w:r>
      <w:r w:rsidRPr="00C3330B">
        <w:t xml:space="preserve"> study</w:t>
      </w:r>
      <w:r>
        <w:t xml:space="preserve"> B1, patients were either IPI naïve or IPI </w:t>
      </w:r>
      <w:r w:rsidR="00C3330B" w:rsidRPr="00C3330B">
        <w:t>treated.</w:t>
      </w:r>
      <w:r w:rsidR="00987E81">
        <w:t xml:space="preserve"> </w:t>
      </w:r>
      <w:r>
        <w:t xml:space="preserve">IPI </w:t>
      </w:r>
      <w:r w:rsidR="00C3330B" w:rsidRPr="00C3330B">
        <w:t xml:space="preserve">treated patients needed: unequivocal disease progression during or after IPI treatment (amendment 02) or within 6 months of last IPI (amendment 03); full resolution of all AEs from IPI and at least 12 </w:t>
      </w:r>
      <w:r w:rsidR="001A622E">
        <w:t>weeks</w:t>
      </w:r>
      <w:r w:rsidR="00C3330B" w:rsidRPr="00C3330B">
        <w:t xml:space="preserve"> since first dose and 6 </w:t>
      </w:r>
      <w:r w:rsidR="001A622E">
        <w:t>weeks</w:t>
      </w:r>
      <w:r w:rsidR="00C3330B" w:rsidRPr="00C3330B">
        <w:t xml:space="preserve"> since last dose of IPI; no severe </w:t>
      </w:r>
      <w:proofErr w:type="spellStart"/>
      <w:r w:rsidR="00C3330B" w:rsidRPr="00C3330B">
        <w:t>irAEs</w:t>
      </w:r>
      <w:proofErr w:type="spellEnd"/>
      <w:r w:rsidR="00C3330B" w:rsidRPr="00C3330B">
        <w:t xml:space="preserve"> from IPI.</w:t>
      </w:r>
    </w:p>
    <w:p w:rsidR="00C3330B" w:rsidRPr="00C3330B" w:rsidRDefault="00C3330B" w:rsidP="00C3330B">
      <w:pPr>
        <w:pStyle w:val="Heading7"/>
      </w:pPr>
      <w:r w:rsidRPr="00C3330B">
        <w:t>Part D</w:t>
      </w:r>
    </w:p>
    <w:p w:rsidR="00C3330B" w:rsidRPr="00C3330B" w:rsidRDefault="001A622E" w:rsidP="00C3330B">
      <w:r>
        <w:t xml:space="preserve">In sub-study D, only IPI </w:t>
      </w:r>
      <w:r w:rsidR="00C3330B" w:rsidRPr="00C3330B">
        <w:t>naïve patients who had received no more than two prior systemic therapies for melanoma were enrolled.</w:t>
      </w:r>
      <w:r w:rsidR="00987E81">
        <w:t xml:space="preserve"> </w:t>
      </w:r>
      <w:r w:rsidR="00C3330B" w:rsidRPr="00C3330B">
        <w:t>In D, unlike B2, a BRAF inhibitor was not required in those with known BRAF mutations.</w:t>
      </w:r>
    </w:p>
    <w:p w:rsidR="00605493" w:rsidRPr="00605493" w:rsidRDefault="00605493" w:rsidP="00605493">
      <w:pPr>
        <w:pStyle w:val="Heading6"/>
      </w:pPr>
      <w:r w:rsidRPr="00605493">
        <w:t>Baseline characteristics</w:t>
      </w:r>
    </w:p>
    <w:p w:rsidR="00605493" w:rsidRPr="00605493" w:rsidRDefault="00C0003C" w:rsidP="00605493">
      <w:r>
        <w:t xml:space="preserve">Patients in B2 (IPI </w:t>
      </w:r>
      <w:r w:rsidR="00605493" w:rsidRPr="00605493">
        <w:t>refractory) were heavily pre-treated.</w:t>
      </w:r>
      <w:r w:rsidR="00987E81">
        <w:t xml:space="preserve"> </w:t>
      </w:r>
      <w:r w:rsidR="00605493" w:rsidRPr="00605493">
        <w:t>In sub-study D, 52% of patients received no prio</w:t>
      </w:r>
      <w:r w:rsidR="001A622E">
        <w:t>r therapy for advanced melanoma</w:t>
      </w:r>
      <w:r w:rsidR="00605493" w:rsidRPr="00605493">
        <w:t xml:space="preserve"> </w:t>
      </w:r>
      <w:r w:rsidR="001D4BB8">
        <w:t>that is</w:t>
      </w:r>
      <w:r w:rsidR="001A622E">
        <w:t>,</w:t>
      </w:r>
      <w:r w:rsidR="00605493" w:rsidRPr="00605493">
        <w:t xml:space="preserve"> pembrolizumab was first line therapy.</w:t>
      </w:r>
    </w:p>
    <w:p w:rsidR="00605493" w:rsidRDefault="00CB4B97" w:rsidP="00605493">
      <w:r>
        <w:t>Within non-</w:t>
      </w:r>
      <w:r w:rsidRPr="00605493">
        <w:t>randomised</w:t>
      </w:r>
      <w:r w:rsidR="00605493" w:rsidRPr="00605493">
        <w:t xml:space="preserve"> groups (</w:t>
      </w:r>
      <w:r w:rsidR="00B85B18">
        <w:t>for example</w:t>
      </w:r>
      <w:r>
        <w:t xml:space="preserve"> in sub</w:t>
      </w:r>
      <w:r w:rsidRPr="00605493">
        <w:t xml:space="preserve"> study</w:t>
      </w:r>
      <w:r w:rsidR="00605493" w:rsidRPr="00605493">
        <w:t xml:space="preserve"> B1, groups defined by dose regimen) there were imbalances in some baseline characteristics.</w:t>
      </w:r>
    </w:p>
    <w:p w:rsidR="00BB7301" w:rsidRPr="00605493" w:rsidRDefault="007F12A4" w:rsidP="00BB7301">
      <w:pPr>
        <w:pStyle w:val="TableTitle"/>
      </w:pPr>
      <w:proofErr w:type="gramStart"/>
      <w:r>
        <w:lastRenderedPageBreak/>
        <w:t>Table 15.</w:t>
      </w:r>
      <w:proofErr w:type="gramEnd"/>
      <w:r w:rsidR="00BB7301">
        <w:t xml:space="preserve"> Baseline characteristics sub study groups of Study P001</w:t>
      </w:r>
    </w:p>
    <w:tbl>
      <w:tblPr>
        <w:tblStyle w:val="TableTGAblue"/>
        <w:tblW w:w="0" w:type="auto"/>
        <w:tblLayout w:type="fixed"/>
        <w:tblLook w:val="04A0" w:firstRow="1" w:lastRow="0" w:firstColumn="1" w:lastColumn="0" w:noHBand="0" w:noVBand="1"/>
      </w:tblPr>
      <w:tblGrid>
        <w:gridCol w:w="2235"/>
        <w:gridCol w:w="1426"/>
        <w:gridCol w:w="1539"/>
        <w:gridCol w:w="1539"/>
        <w:gridCol w:w="1540"/>
      </w:tblGrid>
      <w:tr w:rsidR="00605493" w:rsidRPr="00C0003C" w:rsidTr="00AE5DB3">
        <w:trPr>
          <w:cnfStyle w:val="100000000000" w:firstRow="1" w:lastRow="0" w:firstColumn="0" w:lastColumn="0" w:oddVBand="0" w:evenVBand="0" w:oddHBand="0" w:evenHBand="0" w:firstRowFirstColumn="0" w:firstRowLastColumn="0" w:lastRowFirstColumn="0" w:lastRowLastColumn="0"/>
          <w:trHeight w:val="716"/>
        </w:trPr>
        <w:tc>
          <w:tcPr>
            <w:tcW w:w="2235" w:type="dxa"/>
          </w:tcPr>
          <w:p w:rsidR="00605493" w:rsidRPr="00C0003C" w:rsidRDefault="00605493" w:rsidP="00AE5DB3">
            <w:r w:rsidRPr="00C0003C">
              <w:t>Baseline characteristics</w:t>
            </w:r>
          </w:p>
        </w:tc>
        <w:tc>
          <w:tcPr>
            <w:tcW w:w="1426" w:type="dxa"/>
          </w:tcPr>
          <w:p w:rsidR="00605493" w:rsidRPr="00C0003C" w:rsidRDefault="00605493" w:rsidP="00AE5DB3">
            <w:proofErr w:type="spellStart"/>
            <w:r w:rsidRPr="00C0003C">
              <w:t>Substudy</w:t>
            </w:r>
            <w:proofErr w:type="spellEnd"/>
            <w:r w:rsidRPr="00C0003C">
              <w:t xml:space="preserve"> B2 (IPI-refract.)</w:t>
            </w:r>
          </w:p>
        </w:tc>
        <w:tc>
          <w:tcPr>
            <w:tcW w:w="1539" w:type="dxa"/>
          </w:tcPr>
          <w:p w:rsidR="00605493" w:rsidRPr="00C0003C" w:rsidRDefault="00605493" w:rsidP="00AE5DB3">
            <w:proofErr w:type="spellStart"/>
            <w:r w:rsidRPr="00C0003C">
              <w:t>Substudy</w:t>
            </w:r>
            <w:proofErr w:type="spellEnd"/>
            <w:r w:rsidRPr="00C0003C">
              <w:t xml:space="preserve"> D (IPI-naïve)</w:t>
            </w:r>
          </w:p>
        </w:tc>
        <w:tc>
          <w:tcPr>
            <w:tcW w:w="1539" w:type="dxa"/>
          </w:tcPr>
          <w:p w:rsidR="00605493" w:rsidRPr="00C0003C" w:rsidRDefault="00605493" w:rsidP="00AE5DB3">
            <w:proofErr w:type="spellStart"/>
            <w:r w:rsidRPr="00C0003C">
              <w:t>Substudy</w:t>
            </w:r>
            <w:proofErr w:type="spellEnd"/>
            <w:r w:rsidRPr="00C0003C">
              <w:t xml:space="preserve"> B1 (IPI-treated)</w:t>
            </w:r>
          </w:p>
        </w:tc>
        <w:tc>
          <w:tcPr>
            <w:tcW w:w="1540" w:type="dxa"/>
          </w:tcPr>
          <w:p w:rsidR="00605493" w:rsidRPr="00C0003C" w:rsidRDefault="00605493" w:rsidP="00AE5DB3">
            <w:proofErr w:type="spellStart"/>
            <w:r w:rsidRPr="00C0003C">
              <w:t>Substudy</w:t>
            </w:r>
            <w:proofErr w:type="spellEnd"/>
            <w:r w:rsidRPr="00C0003C">
              <w:t xml:space="preserve"> B1 (IPI-naive)</w:t>
            </w:r>
          </w:p>
        </w:tc>
      </w:tr>
      <w:tr w:rsidR="00605493" w:rsidRPr="00C0003C" w:rsidTr="00AE5DB3">
        <w:trPr>
          <w:trHeight w:val="465"/>
        </w:trPr>
        <w:tc>
          <w:tcPr>
            <w:tcW w:w="2235" w:type="dxa"/>
          </w:tcPr>
          <w:p w:rsidR="00605493" w:rsidRPr="00C0003C" w:rsidRDefault="00605493" w:rsidP="00AE5DB3">
            <w:r w:rsidRPr="00C0003C">
              <w:t>N</w:t>
            </w:r>
            <w:r w:rsidR="00C0003C">
              <w:t xml:space="preserve"> </w:t>
            </w:r>
            <w:r w:rsidRPr="00C0003C">
              <w:t>=</w:t>
            </w:r>
            <w:r w:rsidR="00C0003C">
              <w:t xml:space="preserve"> </w:t>
            </w:r>
          </w:p>
        </w:tc>
        <w:tc>
          <w:tcPr>
            <w:tcW w:w="1426" w:type="dxa"/>
          </w:tcPr>
          <w:p w:rsidR="00605493" w:rsidRPr="00C0003C" w:rsidRDefault="00605493" w:rsidP="00AE5DB3">
            <w:r w:rsidRPr="00C0003C">
              <w:t>173</w:t>
            </w:r>
          </w:p>
        </w:tc>
        <w:tc>
          <w:tcPr>
            <w:tcW w:w="1539" w:type="dxa"/>
          </w:tcPr>
          <w:p w:rsidR="00605493" w:rsidRPr="00C0003C" w:rsidRDefault="00605493" w:rsidP="00AE5DB3">
            <w:r w:rsidRPr="00C0003C">
              <w:t>103</w:t>
            </w:r>
          </w:p>
        </w:tc>
        <w:tc>
          <w:tcPr>
            <w:tcW w:w="1539" w:type="dxa"/>
          </w:tcPr>
          <w:p w:rsidR="00605493" w:rsidRPr="00C0003C" w:rsidRDefault="00605493" w:rsidP="00AE5DB3">
            <w:r w:rsidRPr="00C0003C">
              <w:t>48</w:t>
            </w:r>
          </w:p>
        </w:tc>
        <w:tc>
          <w:tcPr>
            <w:tcW w:w="1540" w:type="dxa"/>
          </w:tcPr>
          <w:p w:rsidR="00605493" w:rsidRPr="00C0003C" w:rsidRDefault="00605493" w:rsidP="00AE5DB3">
            <w:r w:rsidRPr="00C0003C">
              <w:t>87</w:t>
            </w:r>
          </w:p>
        </w:tc>
      </w:tr>
      <w:tr w:rsidR="00605493" w:rsidRPr="00C0003C" w:rsidTr="00AE5DB3">
        <w:trPr>
          <w:trHeight w:val="465"/>
        </w:trPr>
        <w:tc>
          <w:tcPr>
            <w:tcW w:w="2235" w:type="dxa"/>
          </w:tcPr>
          <w:p w:rsidR="00605493" w:rsidRPr="00C0003C" w:rsidRDefault="00605493" w:rsidP="00AE5DB3">
            <w:r w:rsidRPr="00C0003C">
              <w:t xml:space="preserve">Age (median, </w:t>
            </w:r>
            <w:proofErr w:type="spellStart"/>
            <w:r w:rsidRPr="00C0003C">
              <w:t>yrs</w:t>
            </w:r>
            <w:proofErr w:type="spellEnd"/>
            <w:r w:rsidRPr="00C0003C">
              <w:t>)</w:t>
            </w:r>
          </w:p>
        </w:tc>
        <w:tc>
          <w:tcPr>
            <w:tcW w:w="1426" w:type="dxa"/>
          </w:tcPr>
          <w:p w:rsidR="00605493" w:rsidRPr="00C0003C" w:rsidRDefault="00605493" w:rsidP="00AE5DB3">
            <w:r w:rsidRPr="00C0003C">
              <w:t>61</w:t>
            </w:r>
          </w:p>
        </w:tc>
        <w:tc>
          <w:tcPr>
            <w:tcW w:w="1539" w:type="dxa"/>
          </w:tcPr>
          <w:p w:rsidR="00605493" w:rsidRPr="00C0003C" w:rsidRDefault="00605493" w:rsidP="00AE5DB3">
            <w:r w:rsidRPr="00C0003C">
              <w:t>60</w:t>
            </w:r>
          </w:p>
        </w:tc>
        <w:tc>
          <w:tcPr>
            <w:tcW w:w="1539" w:type="dxa"/>
          </w:tcPr>
          <w:p w:rsidR="00605493" w:rsidRPr="00C0003C" w:rsidRDefault="00605493" w:rsidP="00AE5DB3">
            <w:r w:rsidRPr="00C0003C">
              <w:t>59</w:t>
            </w:r>
          </w:p>
        </w:tc>
        <w:tc>
          <w:tcPr>
            <w:tcW w:w="1540" w:type="dxa"/>
          </w:tcPr>
          <w:p w:rsidR="00605493" w:rsidRPr="00C0003C" w:rsidRDefault="00605493" w:rsidP="00AE5DB3">
            <w:r w:rsidRPr="00C0003C">
              <w:t>64</w:t>
            </w:r>
          </w:p>
        </w:tc>
      </w:tr>
      <w:tr w:rsidR="00605493" w:rsidRPr="00C0003C" w:rsidTr="00AE5DB3">
        <w:trPr>
          <w:trHeight w:val="477"/>
        </w:trPr>
        <w:tc>
          <w:tcPr>
            <w:tcW w:w="2235" w:type="dxa"/>
          </w:tcPr>
          <w:p w:rsidR="00605493" w:rsidRPr="00C0003C" w:rsidRDefault="00605493" w:rsidP="00AE5DB3">
            <w:r w:rsidRPr="00C0003C">
              <w:t xml:space="preserve">Age (range, </w:t>
            </w:r>
            <w:proofErr w:type="spellStart"/>
            <w:r w:rsidRPr="00C0003C">
              <w:t>yrs</w:t>
            </w:r>
            <w:proofErr w:type="spellEnd"/>
            <w:r w:rsidRPr="00C0003C">
              <w:t>)</w:t>
            </w:r>
          </w:p>
        </w:tc>
        <w:tc>
          <w:tcPr>
            <w:tcW w:w="1426" w:type="dxa"/>
          </w:tcPr>
          <w:p w:rsidR="00605493" w:rsidRPr="00C0003C" w:rsidRDefault="00C0003C" w:rsidP="00AE5DB3">
            <w:r>
              <w:t xml:space="preserve">18 to </w:t>
            </w:r>
            <w:r w:rsidR="00605493" w:rsidRPr="00C0003C">
              <w:t>88</w:t>
            </w:r>
          </w:p>
        </w:tc>
        <w:tc>
          <w:tcPr>
            <w:tcW w:w="1539" w:type="dxa"/>
          </w:tcPr>
          <w:p w:rsidR="00605493" w:rsidRPr="00C0003C" w:rsidRDefault="00C0003C" w:rsidP="00AE5DB3">
            <w:r>
              <w:t xml:space="preserve">26 to </w:t>
            </w:r>
            <w:r w:rsidR="00605493" w:rsidRPr="00C0003C">
              <w:t>80</w:t>
            </w:r>
          </w:p>
        </w:tc>
        <w:tc>
          <w:tcPr>
            <w:tcW w:w="1539" w:type="dxa"/>
          </w:tcPr>
          <w:p w:rsidR="00605493" w:rsidRPr="00C0003C" w:rsidRDefault="00C0003C" w:rsidP="00AE5DB3">
            <w:r>
              <w:t xml:space="preserve">29 to </w:t>
            </w:r>
            <w:r w:rsidR="00605493" w:rsidRPr="00C0003C">
              <w:t>87</w:t>
            </w:r>
          </w:p>
        </w:tc>
        <w:tc>
          <w:tcPr>
            <w:tcW w:w="1540" w:type="dxa"/>
          </w:tcPr>
          <w:p w:rsidR="00605493" w:rsidRPr="00C0003C" w:rsidRDefault="00C0003C" w:rsidP="00AE5DB3">
            <w:r>
              <w:t xml:space="preserve">25 to </w:t>
            </w:r>
            <w:r w:rsidR="00605493" w:rsidRPr="00C0003C">
              <w:t>94</w:t>
            </w:r>
          </w:p>
        </w:tc>
      </w:tr>
      <w:tr w:rsidR="00605493" w:rsidRPr="00C0003C" w:rsidTr="00AE5DB3">
        <w:trPr>
          <w:trHeight w:val="465"/>
        </w:trPr>
        <w:tc>
          <w:tcPr>
            <w:tcW w:w="2235" w:type="dxa"/>
          </w:tcPr>
          <w:p w:rsidR="00605493" w:rsidRPr="00C0003C" w:rsidRDefault="00605493" w:rsidP="00AE5DB3">
            <w:r w:rsidRPr="00C0003C">
              <w:t>Age (%</w:t>
            </w:r>
            <w:r w:rsidR="00C0003C">
              <w:t xml:space="preserve"> </w:t>
            </w:r>
            <w:r w:rsidRPr="00C0003C">
              <w:t>≥</w:t>
            </w:r>
            <w:r w:rsidR="00C0003C">
              <w:t xml:space="preserve"> </w:t>
            </w:r>
            <w:r w:rsidRPr="00C0003C">
              <w:t xml:space="preserve">65 </w:t>
            </w:r>
            <w:proofErr w:type="spellStart"/>
            <w:r w:rsidRPr="00C0003C">
              <w:t>yrs</w:t>
            </w:r>
            <w:proofErr w:type="spellEnd"/>
            <w:r w:rsidRPr="00C0003C">
              <w:t>)</w:t>
            </w:r>
          </w:p>
        </w:tc>
        <w:tc>
          <w:tcPr>
            <w:tcW w:w="1426" w:type="dxa"/>
          </w:tcPr>
          <w:p w:rsidR="00605493" w:rsidRPr="00C0003C" w:rsidRDefault="00605493" w:rsidP="00AE5DB3">
            <w:r w:rsidRPr="00C0003C">
              <w:t>36%</w:t>
            </w:r>
          </w:p>
        </w:tc>
        <w:tc>
          <w:tcPr>
            <w:tcW w:w="1539" w:type="dxa"/>
          </w:tcPr>
          <w:p w:rsidR="00605493" w:rsidRPr="00C0003C" w:rsidRDefault="00605493" w:rsidP="00AE5DB3">
            <w:r w:rsidRPr="00C0003C">
              <w:t>36%</w:t>
            </w:r>
          </w:p>
        </w:tc>
        <w:tc>
          <w:tcPr>
            <w:tcW w:w="1539" w:type="dxa"/>
          </w:tcPr>
          <w:p w:rsidR="00605493" w:rsidRPr="00C0003C" w:rsidRDefault="00605493" w:rsidP="00AE5DB3">
            <w:r w:rsidRPr="00C0003C">
              <w:t>42%</w:t>
            </w:r>
          </w:p>
        </w:tc>
        <w:tc>
          <w:tcPr>
            <w:tcW w:w="1540" w:type="dxa"/>
          </w:tcPr>
          <w:p w:rsidR="00605493" w:rsidRPr="00C0003C" w:rsidRDefault="00605493" w:rsidP="00AE5DB3">
            <w:r w:rsidRPr="00C0003C">
              <w:t>48%</w:t>
            </w:r>
          </w:p>
        </w:tc>
      </w:tr>
      <w:tr w:rsidR="00605493" w:rsidRPr="00C0003C" w:rsidTr="00AE5DB3">
        <w:trPr>
          <w:trHeight w:val="477"/>
        </w:trPr>
        <w:tc>
          <w:tcPr>
            <w:tcW w:w="2235" w:type="dxa"/>
          </w:tcPr>
          <w:p w:rsidR="00605493" w:rsidRPr="00C0003C" w:rsidRDefault="00605493" w:rsidP="00AE5DB3">
            <w:r w:rsidRPr="00C0003C">
              <w:t>% male</w:t>
            </w:r>
          </w:p>
        </w:tc>
        <w:tc>
          <w:tcPr>
            <w:tcW w:w="1426" w:type="dxa"/>
          </w:tcPr>
          <w:p w:rsidR="00605493" w:rsidRPr="00C0003C" w:rsidRDefault="00605493" w:rsidP="00AE5DB3">
            <w:r w:rsidRPr="00C0003C">
              <w:t>61%</w:t>
            </w:r>
          </w:p>
        </w:tc>
        <w:tc>
          <w:tcPr>
            <w:tcW w:w="1539" w:type="dxa"/>
          </w:tcPr>
          <w:p w:rsidR="00605493" w:rsidRPr="00C0003C" w:rsidRDefault="00605493" w:rsidP="00AE5DB3">
            <w:r w:rsidRPr="00C0003C">
              <w:t>61%</w:t>
            </w:r>
          </w:p>
        </w:tc>
        <w:tc>
          <w:tcPr>
            <w:tcW w:w="1539" w:type="dxa"/>
          </w:tcPr>
          <w:p w:rsidR="00605493" w:rsidRPr="00C0003C" w:rsidRDefault="00605493" w:rsidP="00AE5DB3">
            <w:r w:rsidRPr="00C0003C">
              <w:t>54%</w:t>
            </w:r>
          </w:p>
        </w:tc>
        <w:tc>
          <w:tcPr>
            <w:tcW w:w="1540" w:type="dxa"/>
          </w:tcPr>
          <w:p w:rsidR="00605493" w:rsidRPr="00C0003C" w:rsidRDefault="00605493" w:rsidP="00AE5DB3">
            <w:r w:rsidRPr="00C0003C">
              <w:t>61%</w:t>
            </w:r>
          </w:p>
        </w:tc>
      </w:tr>
      <w:tr w:rsidR="00605493" w:rsidRPr="00C0003C" w:rsidTr="00AE5DB3">
        <w:trPr>
          <w:trHeight w:val="465"/>
        </w:trPr>
        <w:tc>
          <w:tcPr>
            <w:tcW w:w="2235" w:type="dxa"/>
          </w:tcPr>
          <w:p w:rsidR="00605493" w:rsidRPr="00C0003C" w:rsidRDefault="00605493" w:rsidP="00AE5DB3">
            <w:r w:rsidRPr="00C0003C">
              <w:t>ECOG 0</w:t>
            </w:r>
          </w:p>
        </w:tc>
        <w:tc>
          <w:tcPr>
            <w:tcW w:w="1426" w:type="dxa"/>
          </w:tcPr>
          <w:p w:rsidR="00605493" w:rsidRPr="00C0003C" w:rsidRDefault="00605493" w:rsidP="00AE5DB3">
            <w:r w:rsidRPr="00C0003C">
              <w:t>67%</w:t>
            </w:r>
          </w:p>
        </w:tc>
        <w:tc>
          <w:tcPr>
            <w:tcW w:w="1539" w:type="dxa"/>
          </w:tcPr>
          <w:p w:rsidR="00605493" w:rsidRPr="00C0003C" w:rsidRDefault="00605493" w:rsidP="00AE5DB3">
            <w:r w:rsidRPr="00C0003C">
              <w:t>84.5%</w:t>
            </w:r>
          </w:p>
        </w:tc>
        <w:tc>
          <w:tcPr>
            <w:tcW w:w="1539" w:type="dxa"/>
          </w:tcPr>
          <w:p w:rsidR="00605493" w:rsidRPr="00C0003C" w:rsidRDefault="00605493" w:rsidP="00AE5DB3">
            <w:r w:rsidRPr="00C0003C">
              <w:t>71%</w:t>
            </w:r>
          </w:p>
        </w:tc>
        <w:tc>
          <w:tcPr>
            <w:tcW w:w="1540" w:type="dxa"/>
          </w:tcPr>
          <w:p w:rsidR="00605493" w:rsidRPr="00C0003C" w:rsidRDefault="00605493" w:rsidP="00AE5DB3">
            <w:r w:rsidRPr="00C0003C">
              <w:t>74%</w:t>
            </w:r>
          </w:p>
        </w:tc>
      </w:tr>
      <w:tr w:rsidR="00605493" w:rsidRPr="00C0003C" w:rsidTr="00AE5DB3">
        <w:trPr>
          <w:trHeight w:val="465"/>
        </w:trPr>
        <w:tc>
          <w:tcPr>
            <w:tcW w:w="2235" w:type="dxa"/>
          </w:tcPr>
          <w:p w:rsidR="00605493" w:rsidRPr="00C0003C" w:rsidRDefault="00605493" w:rsidP="00AE5DB3">
            <w:r w:rsidRPr="00C0003C">
              <w:t>ECOG 1</w:t>
            </w:r>
          </w:p>
        </w:tc>
        <w:tc>
          <w:tcPr>
            <w:tcW w:w="1426" w:type="dxa"/>
          </w:tcPr>
          <w:p w:rsidR="00605493" w:rsidRPr="00C0003C" w:rsidRDefault="00605493" w:rsidP="00AE5DB3">
            <w:r w:rsidRPr="00C0003C">
              <w:t>33%</w:t>
            </w:r>
          </w:p>
        </w:tc>
        <w:tc>
          <w:tcPr>
            <w:tcW w:w="1539" w:type="dxa"/>
          </w:tcPr>
          <w:p w:rsidR="00605493" w:rsidRPr="00C0003C" w:rsidRDefault="00605493" w:rsidP="00AE5DB3">
            <w:r w:rsidRPr="00C0003C">
              <w:t>15.5%</w:t>
            </w:r>
          </w:p>
        </w:tc>
        <w:tc>
          <w:tcPr>
            <w:tcW w:w="1539" w:type="dxa"/>
          </w:tcPr>
          <w:p w:rsidR="00605493" w:rsidRPr="00C0003C" w:rsidRDefault="00605493" w:rsidP="00AE5DB3">
            <w:r w:rsidRPr="00C0003C">
              <w:t>29%</w:t>
            </w:r>
          </w:p>
        </w:tc>
        <w:tc>
          <w:tcPr>
            <w:tcW w:w="1540" w:type="dxa"/>
          </w:tcPr>
          <w:p w:rsidR="00605493" w:rsidRPr="00C0003C" w:rsidRDefault="00605493" w:rsidP="00AE5DB3">
            <w:r w:rsidRPr="00C0003C">
              <w:t>26%</w:t>
            </w:r>
          </w:p>
        </w:tc>
      </w:tr>
      <w:tr w:rsidR="00605493" w:rsidRPr="00C0003C" w:rsidTr="00AE5DB3">
        <w:trPr>
          <w:trHeight w:val="488"/>
        </w:trPr>
        <w:tc>
          <w:tcPr>
            <w:tcW w:w="2235" w:type="dxa"/>
          </w:tcPr>
          <w:p w:rsidR="00605493" w:rsidRPr="00C0003C" w:rsidRDefault="00605493" w:rsidP="00AE5DB3">
            <w:r w:rsidRPr="00C0003C">
              <w:t>BRAF V600 mutant</w:t>
            </w:r>
          </w:p>
        </w:tc>
        <w:tc>
          <w:tcPr>
            <w:tcW w:w="1426" w:type="dxa"/>
          </w:tcPr>
          <w:p w:rsidR="00605493" w:rsidRPr="00C0003C" w:rsidRDefault="00605493" w:rsidP="00AE5DB3">
            <w:r w:rsidRPr="00C0003C">
              <w:t>18%</w:t>
            </w:r>
          </w:p>
        </w:tc>
        <w:tc>
          <w:tcPr>
            <w:tcW w:w="1539" w:type="dxa"/>
          </w:tcPr>
          <w:p w:rsidR="00605493" w:rsidRPr="00C0003C" w:rsidRDefault="00605493" w:rsidP="00AE5DB3">
            <w:r w:rsidRPr="00C0003C">
              <w:t>35%</w:t>
            </w:r>
          </w:p>
        </w:tc>
        <w:tc>
          <w:tcPr>
            <w:tcW w:w="1539" w:type="dxa"/>
          </w:tcPr>
          <w:p w:rsidR="00605493" w:rsidRPr="00C0003C" w:rsidRDefault="00605493" w:rsidP="00AE5DB3">
            <w:r w:rsidRPr="00C0003C">
              <w:t>23%</w:t>
            </w:r>
          </w:p>
        </w:tc>
        <w:tc>
          <w:tcPr>
            <w:tcW w:w="1540" w:type="dxa"/>
          </w:tcPr>
          <w:p w:rsidR="00605493" w:rsidRPr="00C0003C" w:rsidRDefault="00605493" w:rsidP="00AE5DB3">
            <w:r w:rsidRPr="00C0003C">
              <w:t>22%</w:t>
            </w:r>
          </w:p>
        </w:tc>
      </w:tr>
      <w:tr w:rsidR="00605493" w:rsidRPr="00C0003C" w:rsidTr="00AE5DB3">
        <w:trPr>
          <w:trHeight w:val="465"/>
        </w:trPr>
        <w:tc>
          <w:tcPr>
            <w:tcW w:w="2235" w:type="dxa"/>
          </w:tcPr>
          <w:p w:rsidR="00605493" w:rsidRPr="00C0003C" w:rsidRDefault="00605493" w:rsidP="00AE5DB3">
            <w:r w:rsidRPr="00C0003C">
              <w:t>M1c</w:t>
            </w:r>
          </w:p>
        </w:tc>
        <w:tc>
          <w:tcPr>
            <w:tcW w:w="1426" w:type="dxa"/>
          </w:tcPr>
          <w:p w:rsidR="00605493" w:rsidRPr="00C0003C" w:rsidRDefault="00605493" w:rsidP="00AE5DB3">
            <w:r w:rsidRPr="00C0003C">
              <w:t>57%</w:t>
            </w:r>
            <w:r w:rsidRPr="00C0003C">
              <w:rPr>
                <w:vertAlign w:val="superscript"/>
              </w:rPr>
              <w:footnoteReference w:id="58"/>
            </w:r>
          </w:p>
        </w:tc>
        <w:tc>
          <w:tcPr>
            <w:tcW w:w="1539" w:type="dxa"/>
          </w:tcPr>
          <w:p w:rsidR="00605493" w:rsidRPr="00C0003C" w:rsidRDefault="00605493" w:rsidP="00AE5DB3">
            <w:r w:rsidRPr="00C0003C">
              <w:t>54%</w:t>
            </w:r>
          </w:p>
        </w:tc>
        <w:tc>
          <w:tcPr>
            <w:tcW w:w="1539" w:type="dxa"/>
          </w:tcPr>
          <w:p w:rsidR="00605493" w:rsidRPr="00C0003C" w:rsidRDefault="00605493" w:rsidP="00AE5DB3">
            <w:r w:rsidRPr="00C0003C">
              <w:t>63%</w:t>
            </w:r>
          </w:p>
        </w:tc>
        <w:tc>
          <w:tcPr>
            <w:tcW w:w="1540" w:type="dxa"/>
          </w:tcPr>
          <w:p w:rsidR="00605493" w:rsidRPr="00C0003C" w:rsidRDefault="00605493" w:rsidP="00AE5DB3">
            <w:r w:rsidRPr="00C0003C">
              <w:t>55%</w:t>
            </w:r>
          </w:p>
        </w:tc>
      </w:tr>
      <w:tr w:rsidR="00605493" w:rsidRPr="00C0003C" w:rsidTr="00AE5DB3">
        <w:trPr>
          <w:trHeight w:val="465"/>
        </w:trPr>
        <w:tc>
          <w:tcPr>
            <w:tcW w:w="2235" w:type="dxa"/>
          </w:tcPr>
          <w:p w:rsidR="00605493" w:rsidRPr="00C0003C" w:rsidRDefault="00605493" w:rsidP="00AE5DB3">
            <w:r w:rsidRPr="00C0003C">
              <w:t>Brain metastases</w:t>
            </w:r>
          </w:p>
        </w:tc>
        <w:tc>
          <w:tcPr>
            <w:tcW w:w="1426" w:type="dxa"/>
          </w:tcPr>
          <w:p w:rsidR="00605493" w:rsidRPr="00C0003C" w:rsidRDefault="00605493" w:rsidP="00AE5DB3">
            <w:r w:rsidRPr="00C0003C">
              <w:t>9%</w:t>
            </w:r>
          </w:p>
        </w:tc>
        <w:tc>
          <w:tcPr>
            <w:tcW w:w="1539" w:type="dxa"/>
          </w:tcPr>
          <w:p w:rsidR="00605493" w:rsidRPr="00C0003C" w:rsidRDefault="00605493" w:rsidP="00AE5DB3">
            <w:r w:rsidRPr="00C0003C">
              <w:t>6%</w:t>
            </w:r>
          </w:p>
        </w:tc>
        <w:tc>
          <w:tcPr>
            <w:tcW w:w="1539" w:type="dxa"/>
          </w:tcPr>
          <w:p w:rsidR="00605493" w:rsidRPr="00C0003C" w:rsidRDefault="00605493" w:rsidP="00AE5DB3">
            <w:r w:rsidRPr="00C0003C">
              <w:t>15%</w:t>
            </w:r>
          </w:p>
        </w:tc>
        <w:tc>
          <w:tcPr>
            <w:tcW w:w="1540" w:type="dxa"/>
          </w:tcPr>
          <w:p w:rsidR="00605493" w:rsidRPr="00C0003C" w:rsidRDefault="00605493" w:rsidP="00AE5DB3">
            <w:r w:rsidRPr="00C0003C">
              <w:t>6%</w:t>
            </w:r>
          </w:p>
        </w:tc>
      </w:tr>
      <w:tr w:rsidR="00605493" w:rsidRPr="00C0003C" w:rsidTr="00AE5DB3">
        <w:trPr>
          <w:trHeight w:val="477"/>
        </w:trPr>
        <w:tc>
          <w:tcPr>
            <w:tcW w:w="2235" w:type="dxa"/>
          </w:tcPr>
          <w:p w:rsidR="00605493" w:rsidRPr="00C0003C" w:rsidRDefault="00605493" w:rsidP="00AE5DB3">
            <w:r w:rsidRPr="00C0003C">
              <w:t>LDH elevation</w:t>
            </w:r>
          </w:p>
        </w:tc>
        <w:tc>
          <w:tcPr>
            <w:tcW w:w="1426" w:type="dxa"/>
          </w:tcPr>
          <w:p w:rsidR="00605493" w:rsidRPr="00C0003C" w:rsidRDefault="00605493" w:rsidP="00AE5DB3">
            <w:r w:rsidRPr="00C0003C">
              <w:t>39%</w:t>
            </w:r>
          </w:p>
        </w:tc>
        <w:tc>
          <w:tcPr>
            <w:tcW w:w="1539" w:type="dxa"/>
          </w:tcPr>
          <w:p w:rsidR="00605493" w:rsidRPr="00C0003C" w:rsidRDefault="00605493" w:rsidP="00AE5DB3">
            <w:r w:rsidRPr="00C0003C">
              <w:t>34%</w:t>
            </w:r>
          </w:p>
        </w:tc>
        <w:tc>
          <w:tcPr>
            <w:tcW w:w="1539" w:type="dxa"/>
          </w:tcPr>
          <w:p w:rsidR="00605493" w:rsidRPr="00C0003C" w:rsidRDefault="00605493" w:rsidP="00AE5DB3">
            <w:r w:rsidRPr="00C0003C">
              <w:t>27%</w:t>
            </w:r>
          </w:p>
        </w:tc>
        <w:tc>
          <w:tcPr>
            <w:tcW w:w="1540" w:type="dxa"/>
          </w:tcPr>
          <w:p w:rsidR="00605493" w:rsidRPr="00C0003C" w:rsidRDefault="00605493" w:rsidP="00AE5DB3">
            <w:r w:rsidRPr="00C0003C">
              <w:t>31%</w:t>
            </w:r>
          </w:p>
        </w:tc>
      </w:tr>
      <w:tr w:rsidR="00605493" w:rsidRPr="00C0003C" w:rsidTr="00AE5DB3">
        <w:trPr>
          <w:trHeight w:val="465"/>
        </w:trPr>
        <w:tc>
          <w:tcPr>
            <w:tcW w:w="2235" w:type="dxa"/>
          </w:tcPr>
          <w:p w:rsidR="00605493" w:rsidRPr="00C0003C" w:rsidRDefault="00605493" w:rsidP="00AE5DB3">
            <w:r w:rsidRPr="00C0003C">
              <w:t>Median LD</w:t>
            </w:r>
            <w:r w:rsidR="00C0003C">
              <w:t xml:space="preserve"> </w:t>
            </w:r>
            <w:r w:rsidRPr="00C0003C">
              <w:t>sum</w:t>
            </w:r>
          </w:p>
        </w:tc>
        <w:tc>
          <w:tcPr>
            <w:tcW w:w="1426" w:type="dxa"/>
          </w:tcPr>
          <w:p w:rsidR="00605493" w:rsidRPr="00C0003C" w:rsidRDefault="00605493" w:rsidP="00AE5DB3">
            <w:r w:rsidRPr="00C0003C">
              <w:t>132 mm</w:t>
            </w:r>
          </w:p>
        </w:tc>
        <w:tc>
          <w:tcPr>
            <w:tcW w:w="1539" w:type="dxa"/>
          </w:tcPr>
          <w:p w:rsidR="00605493" w:rsidRPr="00C0003C" w:rsidRDefault="00605493" w:rsidP="00AE5DB3">
            <w:r w:rsidRPr="00C0003C">
              <w:t>81 mm</w:t>
            </w:r>
          </w:p>
        </w:tc>
        <w:tc>
          <w:tcPr>
            <w:tcW w:w="1539" w:type="dxa"/>
          </w:tcPr>
          <w:p w:rsidR="00605493" w:rsidRPr="00C0003C" w:rsidRDefault="00605493" w:rsidP="00AE5DB3">
            <w:r w:rsidRPr="00C0003C">
              <w:t>61 mm</w:t>
            </w:r>
          </w:p>
        </w:tc>
        <w:tc>
          <w:tcPr>
            <w:tcW w:w="1540" w:type="dxa"/>
          </w:tcPr>
          <w:p w:rsidR="00605493" w:rsidRPr="00C0003C" w:rsidRDefault="00605493" w:rsidP="00AE5DB3">
            <w:r w:rsidRPr="00C0003C">
              <w:t>64 mm</w:t>
            </w:r>
          </w:p>
        </w:tc>
      </w:tr>
      <w:tr w:rsidR="00605493" w:rsidRPr="00C0003C" w:rsidTr="00AE5DB3">
        <w:trPr>
          <w:trHeight w:val="477"/>
        </w:trPr>
        <w:tc>
          <w:tcPr>
            <w:tcW w:w="2235" w:type="dxa"/>
          </w:tcPr>
          <w:p w:rsidR="00605493" w:rsidRPr="00C0003C" w:rsidRDefault="00605493" w:rsidP="00AE5DB3">
            <w:r w:rsidRPr="00C0003C">
              <w:t>Prior IPI</w:t>
            </w:r>
          </w:p>
        </w:tc>
        <w:tc>
          <w:tcPr>
            <w:tcW w:w="1426" w:type="dxa"/>
          </w:tcPr>
          <w:p w:rsidR="00605493" w:rsidRPr="00C0003C" w:rsidRDefault="00605493" w:rsidP="00AE5DB3">
            <w:r w:rsidRPr="00C0003C">
              <w:t>100%</w:t>
            </w:r>
          </w:p>
        </w:tc>
        <w:tc>
          <w:tcPr>
            <w:tcW w:w="1539" w:type="dxa"/>
          </w:tcPr>
          <w:p w:rsidR="00605493" w:rsidRPr="00C0003C" w:rsidRDefault="00605493" w:rsidP="00AE5DB3">
            <w:r w:rsidRPr="00C0003C">
              <w:t>0%</w:t>
            </w:r>
          </w:p>
        </w:tc>
        <w:tc>
          <w:tcPr>
            <w:tcW w:w="1539" w:type="dxa"/>
          </w:tcPr>
          <w:p w:rsidR="00605493" w:rsidRPr="00C0003C" w:rsidRDefault="00605493" w:rsidP="00AE5DB3">
            <w:r w:rsidRPr="00C0003C">
              <w:t>100%</w:t>
            </w:r>
          </w:p>
        </w:tc>
        <w:tc>
          <w:tcPr>
            <w:tcW w:w="1540" w:type="dxa"/>
          </w:tcPr>
          <w:p w:rsidR="00605493" w:rsidRPr="00C0003C" w:rsidRDefault="00605493" w:rsidP="00AE5DB3">
            <w:r w:rsidRPr="00C0003C">
              <w:t>0%</w:t>
            </w:r>
          </w:p>
        </w:tc>
      </w:tr>
      <w:tr w:rsidR="00605493" w:rsidRPr="00C0003C" w:rsidTr="00AE5DB3">
        <w:trPr>
          <w:trHeight w:val="704"/>
        </w:trPr>
        <w:tc>
          <w:tcPr>
            <w:tcW w:w="2235" w:type="dxa"/>
          </w:tcPr>
          <w:p w:rsidR="00605493" w:rsidRPr="00C0003C" w:rsidRDefault="00605493" w:rsidP="00AE5DB3">
            <w:r w:rsidRPr="00C0003C">
              <w:t>Only IPI as prior therapy</w:t>
            </w:r>
          </w:p>
        </w:tc>
        <w:tc>
          <w:tcPr>
            <w:tcW w:w="1426" w:type="dxa"/>
          </w:tcPr>
          <w:p w:rsidR="00605493" w:rsidRPr="00C0003C" w:rsidRDefault="00605493" w:rsidP="00AE5DB3">
            <w:r w:rsidRPr="00C0003C">
              <w:t>28%</w:t>
            </w:r>
          </w:p>
        </w:tc>
        <w:tc>
          <w:tcPr>
            <w:tcW w:w="1539" w:type="dxa"/>
          </w:tcPr>
          <w:p w:rsidR="00605493" w:rsidRPr="00C0003C" w:rsidRDefault="00605493" w:rsidP="00AE5DB3">
            <w:r w:rsidRPr="00C0003C">
              <w:t>0%</w:t>
            </w:r>
          </w:p>
        </w:tc>
        <w:tc>
          <w:tcPr>
            <w:tcW w:w="1539" w:type="dxa"/>
          </w:tcPr>
          <w:p w:rsidR="00605493" w:rsidRPr="00C0003C" w:rsidRDefault="00605493" w:rsidP="00AE5DB3">
            <w:r w:rsidRPr="00C0003C">
              <w:t>31%</w:t>
            </w:r>
          </w:p>
        </w:tc>
        <w:tc>
          <w:tcPr>
            <w:tcW w:w="1540" w:type="dxa"/>
          </w:tcPr>
          <w:p w:rsidR="00605493" w:rsidRPr="00C0003C" w:rsidRDefault="00605493" w:rsidP="00AE5DB3">
            <w:r w:rsidRPr="00C0003C">
              <w:t>0%</w:t>
            </w:r>
          </w:p>
        </w:tc>
      </w:tr>
      <w:tr w:rsidR="00605493" w:rsidRPr="00C0003C" w:rsidTr="00AE5DB3">
        <w:trPr>
          <w:trHeight w:val="704"/>
        </w:trPr>
        <w:tc>
          <w:tcPr>
            <w:tcW w:w="2235" w:type="dxa"/>
          </w:tcPr>
          <w:p w:rsidR="00605493" w:rsidRPr="00C0003C" w:rsidRDefault="00605493" w:rsidP="00AE5DB3">
            <w:r w:rsidRPr="00C0003C">
              <w:t>≥</w:t>
            </w:r>
            <w:r w:rsidR="00C0003C">
              <w:t xml:space="preserve"> </w:t>
            </w:r>
            <w:r w:rsidRPr="00C0003C">
              <w:t>3 prior systemic therapies</w:t>
            </w:r>
          </w:p>
        </w:tc>
        <w:tc>
          <w:tcPr>
            <w:tcW w:w="1426" w:type="dxa"/>
          </w:tcPr>
          <w:p w:rsidR="00605493" w:rsidRPr="00C0003C" w:rsidRDefault="00605493" w:rsidP="00AE5DB3">
            <w:r w:rsidRPr="00C0003C">
              <w:t>35%</w:t>
            </w:r>
          </w:p>
        </w:tc>
        <w:tc>
          <w:tcPr>
            <w:tcW w:w="1539" w:type="dxa"/>
          </w:tcPr>
          <w:p w:rsidR="00605493" w:rsidRPr="00C0003C" w:rsidRDefault="00605493" w:rsidP="00AE5DB3">
            <w:r w:rsidRPr="00C0003C">
              <w:t>4%</w:t>
            </w:r>
          </w:p>
        </w:tc>
        <w:tc>
          <w:tcPr>
            <w:tcW w:w="1539" w:type="dxa"/>
          </w:tcPr>
          <w:p w:rsidR="00605493" w:rsidRPr="00C0003C" w:rsidRDefault="00605493" w:rsidP="00AE5DB3">
            <w:r w:rsidRPr="00C0003C">
              <w:t>31%</w:t>
            </w:r>
          </w:p>
        </w:tc>
        <w:tc>
          <w:tcPr>
            <w:tcW w:w="1540" w:type="dxa"/>
          </w:tcPr>
          <w:p w:rsidR="00605493" w:rsidRPr="00C0003C" w:rsidRDefault="00605493" w:rsidP="00AE5DB3">
            <w:r w:rsidRPr="00C0003C">
              <w:t>2%</w:t>
            </w:r>
          </w:p>
        </w:tc>
      </w:tr>
      <w:tr w:rsidR="00605493" w:rsidRPr="00C0003C" w:rsidTr="00AE5DB3">
        <w:trPr>
          <w:trHeight w:val="477"/>
        </w:trPr>
        <w:tc>
          <w:tcPr>
            <w:tcW w:w="2235" w:type="dxa"/>
          </w:tcPr>
          <w:p w:rsidR="00605493" w:rsidRPr="00C0003C" w:rsidRDefault="00605493" w:rsidP="00AE5DB3">
            <w:proofErr w:type="spellStart"/>
            <w:r w:rsidRPr="00C0003C">
              <w:t>BRAFi</w:t>
            </w:r>
            <w:proofErr w:type="spellEnd"/>
            <w:r w:rsidRPr="00C0003C">
              <w:t xml:space="preserve"> or </w:t>
            </w:r>
            <w:proofErr w:type="spellStart"/>
            <w:r w:rsidRPr="00C0003C">
              <w:t>MEKi</w:t>
            </w:r>
            <w:proofErr w:type="spellEnd"/>
            <w:r w:rsidRPr="00C0003C">
              <w:t xml:space="preserve"> use</w:t>
            </w:r>
          </w:p>
        </w:tc>
        <w:tc>
          <w:tcPr>
            <w:tcW w:w="1426" w:type="dxa"/>
          </w:tcPr>
          <w:p w:rsidR="00605493" w:rsidRPr="00C0003C" w:rsidRDefault="00605493" w:rsidP="00AE5DB3">
            <w:r w:rsidRPr="00C0003C">
              <w:t>19.7%</w:t>
            </w:r>
          </w:p>
        </w:tc>
        <w:tc>
          <w:tcPr>
            <w:tcW w:w="1539" w:type="dxa"/>
          </w:tcPr>
          <w:p w:rsidR="00605493" w:rsidRPr="00C0003C" w:rsidRDefault="00605493" w:rsidP="00AE5DB3">
            <w:r w:rsidRPr="00C0003C">
              <w:t>18%</w:t>
            </w:r>
          </w:p>
        </w:tc>
        <w:tc>
          <w:tcPr>
            <w:tcW w:w="1539" w:type="dxa"/>
          </w:tcPr>
          <w:p w:rsidR="00605493" w:rsidRPr="00C0003C" w:rsidRDefault="00605493" w:rsidP="00AE5DB3">
            <w:r w:rsidRPr="00C0003C">
              <w:t>10%</w:t>
            </w:r>
          </w:p>
        </w:tc>
        <w:tc>
          <w:tcPr>
            <w:tcW w:w="1540" w:type="dxa"/>
          </w:tcPr>
          <w:p w:rsidR="00605493" w:rsidRPr="00C0003C" w:rsidRDefault="00605493" w:rsidP="00AE5DB3">
            <w:r w:rsidRPr="00C0003C">
              <w:t>9.2%</w:t>
            </w:r>
          </w:p>
        </w:tc>
      </w:tr>
    </w:tbl>
    <w:p w:rsidR="00605493" w:rsidRPr="00605493" w:rsidRDefault="00CB4B97" w:rsidP="00605493">
      <w:r>
        <w:t xml:space="preserve">In the 18 April 2014 cut </w:t>
      </w:r>
      <w:r w:rsidR="00605493" w:rsidRPr="00605493">
        <w:t>off summary, B3 outcomes were reported.</w:t>
      </w:r>
      <w:r w:rsidR="00987E81">
        <w:t xml:space="preserve"> </w:t>
      </w:r>
      <w:r w:rsidR="00605493" w:rsidRPr="00605493">
        <w:t xml:space="preserve">There were imbalances in baseline characteristics for Q3W and Q2W arms: 60% </w:t>
      </w:r>
      <w:r w:rsidR="00987E81">
        <w:t>versus</w:t>
      </w:r>
      <w:r w:rsidR="00605493" w:rsidRPr="00605493">
        <w:t xml:space="preserve"> 71% males; mean age 61 </w:t>
      </w:r>
      <w:r w:rsidR="00987E81">
        <w:t>versus</w:t>
      </w:r>
      <w:r w:rsidR="00605493" w:rsidRPr="00605493">
        <w:t xml:space="preserve"> 60 y</w:t>
      </w:r>
      <w:r w:rsidR="001A622E">
        <w:t>ea</w:t>
      </w:r>
      <w:r w:rsidR="00605493" w:rsidRPr="00605493">
        <w:t xml:space="preserve">rs; ECOG 0 in 60% </w:t>
      </w:r>
      <w:r w:rsidR="00987E81">
        <w:t>versus</w:t>
      </w:r>
      <w:r w:rsidR="00605493" w:rsidRPr="00605493">
        <w:t xml:space="preserve"> 58%; M1c in 60% </w:t>
      </w:r>
      <w:r w:rsidR="00987E81">
        <w:t>versus</w:t>
      </w:r>
      <w:r w:rsidR="00605493" w:rsidRPr="00605493">
        <w:t xml:space="preserve"> 55%; BRAF mutant in 27% </w:t>
      </w:r>
      <w:r w:rsidR="00987E81">
        <w:t>versus</w:t>
      </w:r>
      <w:r w:rsidR="00605493" w:rsidRPr="00605493">
        <w:t xml:space="preserve"> 21%; brain metastases in 9.1% </w:t>
      </w:r>
      <w:r w:rsidR="00987E81">
        <w:t>versus</w:t>
      </w:r>
      <w:r w:rsidR="00605493" w:rsidRPr="00605493">
        <w:t xml:space="preserve"> 6.5%; no prior systemic therapies in 31% </w:t>
      </w:r>
      <w:r w:rsidR="00987E81">
        <w:t>versus</w:t>
      </w:r>
      <w:r w:rsidR="00605493" w:rsidRPr="00605493">
        <w:t xml:space="preserve"> 25%; 1 prior in 30% </w:t>
      </w:r>
      <w:r w:rsidR="00987E81">
        <w:t>versus</w:t>
      </w:r>
      <w:r w:rsidR="00605493" w:rsidRPr="00605493">
        <w:t xml:space="preserve"> 38%; 2 prior in 25% </w:t>
      </w:r>
      <w:r w:rsidR="00987E81">
        <w:t>versus</w:t>
      </w:r>
      <w:r w:rsidR="00605493" w:rsidRPr="00605493">
        <w:t xml:space="preserve"> 21%; 3</w:t>
      </w:r>
      <w:r w:rsidR="00C0003C">
        <w:t xml:space="preserve"> </w:t>
      </w:r>
      <w:r w:rsidR="00605493" w:rsidRPr="00605493">
        <w:t xml:space="preserve">+ prior in 15% per arm; median tumour size 123 </w:t>
      </w:r>
      <w:r w:rsidR="00987E81">
        <w:t>versus</w:t>
      </w:r>
      <w:r w:rsidR="00605493" w:rsidRPr="00605493">
        <w:t xml:space="preserve"> 99 mm; elevated LDH in 37% </w:t>
      </w:r>
      <w:r w:rsidR="00987E81">
        <w:t>versus</w:t>
      </w:r>
      <w:r w:rsidR="00605493" w:rsidRPr="00605493">
        <w:t xml:space="preserve"> 33%.</w:t>
      </w:r>
    </w:p>
    <w:p w:rsidR="00605493" w:rsidRPr="00605493" w:rsidRDefault="00605493" w:rsidP="00605493">
      <w:pPr>
        <w:pStyle w:val="Heading6"/>
      </w:pPr>
      <w:r w:rsidRPr="00605493">
        <w:lastRenderedPageBreak/>
        <w:t>Efficacy methodology</w:t>
      </w:r>
    </w:p>
    <w:p w:rsidR="00605493" w:rsidRPr="00605493" w:rsidRDefault="00605493" w:rsidP="00605493">
      <w:r w:rsidRPr="00605493">
        <w:t xml:space="preserve">The primary efficacy outcome in P001 was best overall </w:t>
      </w:r>
      <w:r w:rsidR="00F236AD">
        <w:t>response rate</w:t>
      </w:r>
      <w:r w:rsidRPr="00605493">
        <w:t xml:space="preserve"> by independent central review using </w:t>
      </w:r>
      <w:r w:rsidR="002F5E51">
        <w:t>response evaluation criteria in solid tumours (</w:t>
      </w:r>
      <w:r w:rsidRPr="00605493">
        <w:t>RECIST</w:t>
      </w:r>
      <w:r w:rsidR="002F5E51">
        <w:t>)</w:t>
      </w:r>
      <w:r w:rsidRPr="00605493">
        <w:t xml:space="preserve"> 1.1 in the Full Analysis Set.</w:t>
      </w:r>
    </w:p>
    <w:p w:rsidR="00605493" w:rsidRPr="00605493" w:rsidRDefault="00605493" w:rsidP="00605493">
      <w:r w:rsidRPr="00605493">
        <w:t>Radiological disease assessment was every 12 weeks, wit</w:t>
      </w:r>
      <w:r w:rsidR="009D6214">
        <w:t>h confirmation of response at 4 </w:t>
      </w:r>
      <w:r w:rsidRPr="00605493">
        <w:t>weeks, and confirmation of progression (at the discreti</w:t>
      </w:r>
      <w:r w:rsidR="009D6214">
        <w:t xml:space="preserve">on of the investigator) after 4 to </w:t>
      </w:r>
      <w:r w:rsidRPr="00605493">
        <w:t>6 weeks</w:t>
      </w:r>
      <w:r w:rsidR="00CB4B97">
        <w:t>.</w:t>
      </w:r>
    </w:p>
    <w:p w:rsidR="00605493" w:rsidRPr="00605493" w:rsidRDefault="00605493" w:rsidP="00605493">
      <w:pPr>
        <w:pStyle w:val="Heading6"/>
      </w:pPr>
      <w:r w:rsidRPr="00605493">
        <w:t>Efficacy results</w:t>
      </w:r>
    </w:p>
    <w:p w:rsidR="00605493" w:rsidRPr="00605493" w:rsidRDefault="00605493" w:rsidP="00605493">
      <w:r w:rsidRPr="00605493">
        <w:t>Tabular summary</w:t>
      </w:r>
      <w:r w:rsidR="00C35842">
        <w:t xml:space="preserve"> of efficacy outcomes is presented below in Table </w:t>
      </w:r>
      <w:r w:rsidR="007F12A4">
        <w:t>16</w:t>
      </w:r>
      <w:r w:rsidR="00CB4B97">
        <w:t>.</w:t>
      </w:r>
    </w:p>
    <w:p w:rsidR="00C35842" w:rsidRPr="00605493" w:rsidRDefault="007F12A4" w:rsidP="00C35842">
      <w:pPr>
        <w:pStyle w:val="TableTitle"/>
      </w:pPr>
      <w:proofErr w:type="gramStart"/>
      <w:r>
        <w:t>Table 16</w:t>
      </w:r>
      <w:r w:rsidR="00C35842">
        <w:t>.</w:t>
      </w:r>
      <w:proofErr w:type="gramEnd"/>
      <w:r w:rsidR="00C35842">
        <w:t xml:space="preserve"> </w:t>
      </w:r>
      <w:r w:rsidR="00F47237">
        <w:t>S</w:t>
      </w:r>
      <w:r w:rsidR="00C35842" w:rsidRPr="00605493">
        <w:t>ummary</w:t>
      </w:r>
      <w:r w:rsidR="00C35842">
        <w:t xml:space="preserve"> of efficacy outcomes for Study P001</w:t>
      </w:r>
    </w:p>
    <w:tbl>
      <w:tblPr>
        <w:tblStyle w:val="TableTGAblue"/>
        <w:tblW w:w="0" w:type="auto"/>
        <w:tblLayout w:type="fixed"/>
        <w:tblLook w:val="04A0" w:firstRow="1" w:lastRow="0" w:firstColumn="1" w:lastColumn="0" w:noHBand="0" w:noVBand="1"/>
      </w:tblPr>
      <w:tblGrid>
        <w:gridCol w:w="1101"/>
        <w:gridCol w:w="712"/>
        <w:gridCol w:w="876"/>
        <w:gridCol w:w="809"/>
        <w:gridCol w:w="809"/>
        <w:gridCol w:w="881"/>
        <w:gridCol w:w="809"/>
        <w:gridCol w:w="881"/>
        <w:gridCol w:w="921"/>
        <w:gridCol w:w="921"/>
      </w:tblGrid>
      <w:tr w:rsidR="001A622E" w:rsidRPr="00AE5DB3" w:rsidTr="00AE5DB3">
        <w:trPr>
          <w:cnfStyle w:val="100000000000" w:firstRow="1" w:lastRow="0" w:firstColumn="0" w:lastColumn="0" w:oddVBand="0" w:evenVBand="0" w:oddHBand="0" w:evenHBand="0" w:firstRowFirstColumn="0" w:firstRowLastColumn="0" w:lastRowFirstColumn="0" w:lastRowLastColumn="0"/>
        </w:trPr>
        <w:tc>
          <w:tcPr>
            <w:tcW w:w="1101" w:type="dxa"/>
          </w:tcPr>
          <w:p w:rsidR="00605493" w:rsidRPr="00AE5DB3" w:rsidRDefault="00605493" w:rsidP="00AE5DB3">
            <w:pPr>
              <w:ind w:left="0"/>
              <w:rPr>
                <w:sz w:val="20"/>
                <w:szCs w:val="20"/>
              </w:rPr>
            </w:pPr>
            <w:r w:rsidRPr="00AE5DB3">
              <w:rPr>
                <w:sz w:val="20"/>
                <w:szCs w:val="20"/>
              </w:rPr>
              <w:t xml:space="preserve">IRO / </w:t>
            </w:r>
            <w:proofErr w:type="spellStart"/>
            <w:r w:rsidRPr="00AE5DB3">
              <w:rPr>
                <w:sz w:val="20"/>
                <w:szCs w:val="20"/>
              </w:rPr>
              <w:t>APaT</w:t>
            </w:r>
            <w:proofErr w:type="spellEnd"/>
          </w:p>
        </w:tc>
        <w:tc>
          <w:tcPr>
            <w:tcW w:w="1588" w:type="dxa"/>
            <w:gridSpan w:val="2"/>
          </w:tcPr>
          <w:p w:rsidR="00605493" w:rsidRPr="00AE5DB3" w:rsidRDefault="00605493" w:rsidP="00597433">
            <w:pPr>
              <w:ind w:left="33"/>
              <w:rPr>
                <w:sz w:val="20"/>
                <w:szCs w:val="20"/>
              </w:rPr>
            </w:pPr>
            <w:r w:rsidRPr="00AE5DB3">
              <w:rPr>
                <w:sz w:val="20"/>
                <w:szCs w:val="20"/>
              </w:rPr>
              <w:t>B2 (IPI-refractory)</w:t>
            </w:r>
          </w:p>
        </w:tc>
        <w:tc>
          <w:tcPr>
            <w:tcW w:w="1618" w:type="dxa"/>
            <w:gridSpan w:val="2"/>
          </w:tcPr>
          <w:p w:rsidR="00605493" w:rsidRPr="00AE5DB3" w:rsidRDefault="00605493" w:rsidP="00597433">
            <w:pPr>
              <w:ind w:left="30"/>
              <w:rPr>
                <w:sz w:val="20"/>
                <w:szCs w:val="20"/>
              </w:rPr>
            </w:pPr>
            <w:r w:rsidRPr="00AE5DB3">
              <w:rPr>
                <w:sz w:val="20"/>
                <w:szCs w:val="20"/>
              </w:rPr>
              <w:t>D (IPI-naïve)</w:t>
            </w:r>
          </w:p>
        </w:tc>
        <w:tc>
          <w:tcPr>
            <w:tcW w:w="2571" w:type="dxa"/>
            <w:gridSpan w:val="3"/>
          </w:tcPr>
          <w:p w:rsidR="00605493" w:rsidRPr="00AE5DB3" w:rsidRDefault="00605493" w:rsidP="00597433">
            <w:pPr>
              <w:ind w:left="5"/>
              <w:rPr>
                <w:sz w:val="20"/>
                <w:szCs w:val="20"/>
              </w:rPr>
            </w:pPr>
            <w:r w:rsidRPr="00AE5DB3">
              <w:rPr>
                <w:sz w:val="20"/>
                <w:szCs w:val="20"/>
              </w:rPr>
              <w:t>B1 (IPI-mixed)</w:t>
            </w:r>
            <w:r w:rsidR="00AE5DB3">
              <w:rPr>
                <w:sz w:val="20"/>
                <w:szCs w:val="20"/>
              </w:rPr>
              <w:t xml:space="preserve"> </w:t>
            </w:r>
            <w:r w:rsidRPr="00AE5DB3">
              <w:rPr>
                <w:sz w:val="20"/>
                <w:szCs w:val="20"/>
              </w:rPr>
              <w:t>Non-randomised</w:t>
            </w:r>
          </w:p>
        </w:tc>
        <w:tc>
          <w:tcPr>
            <w:tcW w:w="1842" w:type="dxa"/>
            <w:gridSpan w:val="2"/>
          </w:tcPr>
          <w:p w:rsidR="00605493" w:rsidRPr="00AE5DB3" w:rsidRDefault="00605493" w:rsidP="00597433">
            <w:pPr>
              <w:ind w:left="46"/>
              <w:rPr>
                <w:sz w:val="20"/>
                <w:szCs w:val="20"/>
                <w:highlight w:val="cyan"/>
              </w:rPr>
            </w:pPr>
            <w:r w:rsidRPr="00AE5DB3">
              <w:rPr>
                <w:sz w:val="20"/>
                <w:szCs w:val="20"/>
              </w:rPr>
              <w:t>[</w:t>
            </w:r>
            <w:r w:rsidRPr="00AE5DB3">
              <w:rPr>
                <w:i/>
                <w:sz w:val="20"/>
                <w:szCs w:val="20"/>
              </w:rPr>
              <w:t>B3 (mix of IPI-naïve and IPI-exposed)]</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Dose regimen</w:t>
            </w:r>
          </w:p>
        </w:tc>
        <w:tc>
          <w:tcPr>
            <w:tcW w:w="712" w:type="dxa"/>
          </w:tcPr>
          <w:p w:rsidR="00605493" w:rsidRPr="00AE5DB3" w:rsidRDefault="00605493" w:rsidP="00597433">
            <w:pPr>
              <w:ind w:left="33"/>
              <w:rPr>
                <w:sz w:val="20"/>
                <w:szCs w:val="20"/>
              </w:rPr>
            </w:pPr>
            <w:r w:rsidRPr="00AE5DB3">
              <w:rPr>
                <w:sz w:val="20"/>
                <w:szCs w:val="20"/>
              </w:rPr>
              <w:t>2 mg/kg Q3W</w:t>
            </w:r>
          </w:p>
          <w:p w:rsidR="00605493" w:rsidRPr="00AE5DB3" w:rsidRDefault="00605493" w:rsidP="00597433">
            <w:pPr>
              <w:ind w:left="33"/>
              <w:rPr>
                <w:sz w:val="20"/>
                <w:szCs w:val="20"/>
              </w:rPr>
            </w:pPr>
            <w:r w:rsidRPr="00AE5DB3">
              <w:rPr>
                <w:sz w:val="20"/>
                <w:szCs w:val="20"/>
              </w:rPr>
              <w:t>N=89</w:t>
            </w:r>
          </w:p>
        </w:tc>
        <w:tc>
          <w:tcPr>
            <w:tcW w:w="876" w:type="dxa"/>
          </w:tcPr>
          <w:p w:rsidR="00605493" w:rsidRPr="00AE5DB3" w:rsidRDefault="00605493" w:rsidP="00597433">
            <w:pPr>
              <w:ind w:left="33"/>
              <w:rPr>
                <w:sz w:val="20"/>
                <w:szCs w:val="20"/>
              </w:rPr>
            </w:pPr>
            <w:r w:rsidRPr="00AE5DB3">
              <w:rPr>
                <w:sz w:val="20"/>
                <w:szCs w:val="20"/>
              </w:rPr>
              <w:t>10 mg/kg Q3W</w:t>
            </w:r>
          </w:p>
          <w:p w:rsidR="00605493" w:rsidRPr="00AE5DB3" w:rsidRDefault="00605493" w:rsidP="00597433">
            <w:pPr>
              <w:ind w:left="33"/>
              <w:rPr>
                <w:sz w:val="20"/>
                <w:szCs w:val="20"/>
              </w:rPr>
            </w:pPr>
            <w:r w:rsidRPr="00AE5DB3">
              <w:rPr>
                <w:sz w:val="20"/>
                <w:szCs w:val="20"/>
              </w:rPr>
              <w:t>N=84</w:t>
            </w:r>
          </w:p>
        </w:tc>
        <w:tc>
          <w:tcPr>
            <w:tcW w:w="809" w:type="dxa"/>
          </w:tcPr>
          <w:p w:rsidR="00605493" w:rsidRPr="00AE5DB3" w:rsidRDefault="00605493" w:rsidP="00597433">
            <w:pPr>
              <w:ind w:left="30"/>
              <w:rPr>
                <w:sz w:val="20"/>
                <w:szCs w:val="20"/>
              </w:rPr>
            </w:pPr>
            <w:r w:rsidRPr="00AE5DB3">
              <w:rPr>
                <w:sz w:val="20"/>
                <w:szCs w:val="20"/>
              </w:rPr>
              <w:t>2 mg/kg Q3W</w:t>
            </w:r>
          </w:p>
          <w:p w:rsidR="00605493" w:rsidRPr="00AE5DB3" w:rsidRDefault="00605493" w:rsidP="00597433">
            <w:pPr>
              <w:ind w:left="30"/>
              <w:rPr>
                <w:sz w:val="20"/>
                <w:szCs w:val="20"/>
              </w:rPr>
            </w:pPr>
            <w:r w:rsidRPr="00AE5DB3">
              <w:rPr>
                <w:sz w:val="20"/>
                <w:szCs w:val="20"/>
              </w:rPr>
              <w:t>N=51</w:t>
            </w:r>
          </w:p>
        </w:tc>
        <w:tc>
          <w:tcPr>
            <w:tcW w:w="809" w:type="dxa"/>
          </w:tcPr>
          <w:p w:rsidR="00605493" w:rsidRPr="00AE5DB3" w:rsidRDefault="00605493" w:rsidP="00597433">
            <w:pPr>
              <w:ind w:left="30"/>
              <w:rPr>
                <w:sz w:val="20"/>
                <w:szCs w:val="20"/>
              </w:rPr>
            </w:pPr>
            <w:r w:rsidRPr="00AE5DB3">
              <w:rPr>
                <w:sz w:val="20"/>
                <w:szCs w:val="20"/>
              </w:rPr>
              <w:t>10 mg/kg Q3W</w:t>
            </w:r>
          </w:p>
          <w:p w:rsidR="00605493" w:rsidRPr="00AE5DB3" w:rsidRDefault="00605493" w:rsidP="00597433">
            <w:pPr>
              <w:ind w:left="30"/>
              <w:rPr>
                <w:sz w:val="20"/>
                <w:szCs w:val="20"/>
              </w:rPr>
            </w:pPr>
            <w:r w:rsidRPr="00AE5DB3">
              <w:rPr>
                <w:sz w:val="20"/>
                <w:szCs w:val="20"/>
              </w:rPr>
              <w:t>N=52</w:t>
            </w:r>
          </w:p>
        </w:tc>
        <w:tc>
          <w:tcPr>
            <w:tcW w:w="881" w:type="dxa"/>
          </w:tcPr>
          <w:p w:rsidR="00605493" w:rsidRPr="00AE5DB3" w:rsidRDefault="00605493" w:rsidP="00597433">
            <w:pPr>
              <w:ind w:left="5"/>
              <w:rPr>
                <w:sz w:val="20"/>
                <w:szCs w:val="20"/>
              </w:rPr>
            </w:pPr>
            <w:r w:rsidRPr="00AE5DB3">
              <w:rPr>
                <w:sz w:val="20"/>
                <w:szCs w:val="20"/>
              </w:rPr>
              <w:t>2 mg/kg Q3W</w:t>
            </w:r>
            <w:r w:rsidRPr="00AE5DB3">
              <w:rPr>
                <w:sz w:val="20"/>
                <w:szCs w:val="20"/>
                <w:vertAlign w:val="superscript"/>
              </w:rPr>
              <w:t>a</w:t>
            </w:r>
          </w:p>
          <w:p w:rsidR="00605493" w:rsidRPr="00AE5DB3" w:rsidRDefault="00605493" w:rsidP="00597433">
            <w:pPr>
              <w:ind w:left="5"/>
              <w:rPr>
                <w:sz w:val="20"/>
                <w:szCs w:val="20"/>
              </w:rPr>
            </w:pPr>
            <w:r w:rsidRPr="00AE5DB3">
              <w:rPr>
                <w:sz w:val="20"/>
                <w:szCs w:val="20"/>
              </w:rPr>
              <w:t>N=22</w:t>
            </w:r>
          </w:p>
        </w:tc>
        <w:tc>
          <w:tcPr>
            <w:tcW w:w="809" w:type="dxa"/>
          </w:tcPr>
          <w:p w:rsidR="00605493" w:rsidRPr="00AE5DB3" w:rsidRDefault="00605493" w:rsidP="00597433">
            <w:pPr>
              <w:ind w:left="5"/>
              <w:rPr>
                <w:sz w:val="20"/>
                <w:szCs w:val="20"/>
              </w:rPr>
            </w:pPr>
            <w:r w:rsidRPr="00AE5DB3">
              <w:rPr>
                <w:sz w:val="20"/>
                <w:szCs w:val="20"/>
              </w:rPr>
              <w:t>10 mg/kg Q3W</w:t>
            </w:r>
            <w:r w:rsidRPr="00AE5DB3">
              <w:rPr>
                <w:sz w:val="20"/>
                <w:szCs w:val="20"/>
                <w:vertAlign w:val="superscript"/>
              </w:rPr>
              <w:t>b</w:t>
            </w:r>
          </w:p>
          <w:p w:rsidR="00605493" w:rsidRPr="00AE5DB3" w:rsidRDefault="00605493" w:rsidP="00597433">
            <w:pPr>
              <w:ind w:left="5"/>
              <w:rPr>
                <w:sz w:val="20"/>
                <w:szCs w:val="20"/>
              </w:rPr>
            </w:pPr>
            <w:r w:rsidRPr="00AE5DB3">
              <w:rPr>
                <w:sz w:val="20"/>
                <w:szCs w:val="20"/>
              </w:rPr>
              <w:t>N=56</w:t>
            </w:r>
          </w:p>
        </w:tc>
        <w:tc>
          <w:tcPr>
            <w:tcW w:w="881" w:type="dxa"/>
          </w:tcPr>
          <w:p w:rsidR="00605493" w:rsidRPr="00AE5DB3" w:rsidRDefault="00605493" w:rsidP="00597433">
            <w:pPr>
              <w:ind w:left="5"/>
              <w:rPr>
                <w:sz w:val="20"/>
                <w:szCs w:val="20"/>
              </w:rPr>
            </w:pPr>
            <w:r w:rsidRPr="00AE5DB3">
              <w:rPr>
                <w:sz w:val="20"/>
                <w:szCs w:val="20"/>
              </w:rPr>
              <w:t>10 mg/kg Q2Wb</w:t>
            </w:r>
          </w:p>
          <w:p w:rsidR="00605493" w:rsidRPr="00AE5DB3" w:rsidRDefault="00605493" w:rsidP="00597433">
            <w:pPr>
              <w:ind w:left="5"/>
              <w:rPr>
                <w:sz w:val="20"/>
                <w:szCs w:val="20"/>
              </w:rPr>
            </w:pPr>
            <w:r w:rsidRPr="00AE5DB3">
              <w:rPr>
                <w:sz w:val="20"/>
                <w:szCs w:val="20"/>
              </w:rPr>
              <w:t>N=57</w:t>
            </w:r>
          </w:p>
        </w:tc>
        <w:tc>
          <w:tcPr>
            <w:tcW w:w="921" w:type="dxa"/>
          </w:tcPr>
          <w:p w:rsidR="00605493" w:rsidRPr="00AE5DB3" w:rsidRDefault="00605493" w:rsidP="00597433">
            <w:pPr>
              <w:ind w:left="46"/>
              <w:rPr>
                <w:sz w:val="20"/>
                <w:szCs w:val="20"/>
              </w:rPr>
            </w:pPr>
            <w:r w:rsidRPr="00AE5DB3">
              <w:rPr>
                <w:sz w:val="20"/>
                <w:szCs w:val="20"/>
              </w:rPr>
              <w:t>10 mg/kg Q3W</w:t>
            </w:r>
          </w:p>
          <w:p w:rsidR="00605493" w:rsidRPr="00AE5DB3" w:rsidRDefault="00605493" w:rsidP="00597433">
            <w:pPr>
              <w:ind w:left="46"/>
              <w:rPr>
                <w:sz w:val="20"/>
                <w:szCs w:val="20"/>
              </w:rPr>
            </w:pPr>
            <w:r w:rsidRPr="00AE5DB3">
              <w:rPr>
                <w:sz w:val="20"/>
                <w:szCs w:val="20"/>
              </w:rPr>
              <w:t>N=121</w:t>
            </w:r>
          </w:p>
        </w:tc>
        <w:tc>
          <w:tcPr>
            <w:tcW w:w="921" w:type="dxa"/>
          </w:tcPr>
          <w:p w:rsidR="00605493" w:rsidRPr="00AE5DB3" w:rsidRDefault="00605493" w:rsidP="00597433">
            <w:pPr>
              <w:ind w:left="46"/>
              <w:rPr>
                <w:sz w:val="20"/>
                <w:szCs w:val="20"/>
              </w:rPr>
            </w:pPr>
            <w:r w:rsidRPr="00AE5DB3">
              <w:rPr>
                <w:sz w:val="20"/>
                <w:szCs w:val="20"/>
              </w:rPr>
              <w:t>10 mg/kg Q2W</w:t>
            </w:r>
          </w:p>
          <w:p w:rsidR="00605493" w:rsidRPr="00AE5DB3" w:rsidRDefault="00605493" w:rsidP="00597433">
            <w:pPr>
              <w:ind w:left="46"/>
              <w:rPr>
                <w:sz w:val="20"/>
                <w:szCs w:val="20"/>
              </w:rPr>
            </w:pPr>
            <w:r w:rsidRPr="00AE5DB3">
              <w:rPr>
                <w:sz w:val="20"/>
                <w:szCs w:val="20"/>
              </w:rPr>
              <w:t>N=123</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Partial or complete response (IRO, RECIST 1.1), confirmed (with 95% CI)</w:t>
            </w:r>
          </w:p>
        </w:tc>
        <w:tc>
          <w:tcPr>
            <w:tcW w:w="712" w:type="dxa"/>
          </w:tcPr>
          <w:p w:rsidR="00605493" w:rsidRPr="00AE5DB3" w:rsidRDefault="00605493" w:rsidP="00597433">
            <w:pPr>
              <w:ind w:left="33"/>
              <w:rPr>
                <w:sz w:val="20"/>
                <w:szCs w:val="20"/>
              </w:rPr>
            </w:pPr>
            <w:r w:rsidRPr="00AE5DB3">
              <w:rPr>
                <w:sz w:val="20"/>
                <w:szCs w:val="20"/>
              </w:rPr>
              <w:t>24%</w:t>
            </w:r>
          </w:p>
          <w:p w:rsidR="00605493" w:rsidRPr="00AE5DB3" w:rsidRDefault="00605493" w:rsidP="00597433">
            <w:pPr>
              <w:ind w:left="33"/>
              <w:rPr>
                <w:sz w:val="20"/>
                <w:szCs w:val="20"/>
              </w:rPr>
            </w:pPr>
            <w:r w:rsidRPr="00AE5DB3">
              <w:rPr>
                <w:sz w:val="20"/>
                <w:szCs w:val="20"/>
              </w:rPr>
              <w:t>(15-34)</w:t>
            </w:r>
          </w:p>
          <w:p w:rsidR="00605493" w:rsidRPr="00AE5DB3" w:rsidRDefault="00605493" w:rsidP="00597433">
            <w:pPr>
              <w:ind w:left="33"/>
              <w:rPr>
                <w:sz w:val="20"/>
                <w:szCs w:val="20"/>
              </w:rPr>
            </w:pPr>
            <w:r w:rsidRPr="00AE5DB3">
              <w:rPr>
                <w:sz w:val="20"/>
                <w:szCs w:val="20"/>
              </w:rPr>
              <w:t>[25%]</w:t>
            </w:r>
          </w:p>
        </w:tc>
        <w:tc>
          <w:tcPr>
            <w:tcW w:w="876" w:type="dxa"/>
          </w:tcPr>
          <w:p w:rsidR="00605493" w:rsidRPr="00AE5DB3" w:rsidRDefault="00605493" w:rsidP="00597433">
            <w:pPr>
              <w:ind w:left="33"/>
              <w:rPr>
                <w:sz w:val="20"/>
                <w:szCs w:val="20"/>
              </w:rPr>
            </w:pPr>
            <w:r w:rsidRPr="00AE5DB3">
              <w:rPr>
                <w:sz w:val="20"/>
                <w:szCs w:val="20"/>
              </w:rPr>
              <w:t>24%</w:t>
            </w:r>
          </w:p>
          <w:p w:rsidR="00605493" w:rsidRPr="00AE5DB3" w:rsidRDefault="00605493" w:rsidP="00597433">
            <w:pPr>
              <w:ind w:left="33"/>
              <w:rPr>
                <w:sz w:val="20"/>
                <w:szCs w:val="20"/>
              </w:rPr>
            </w:pPr>
            <w:r w:rsidRPr="00AE5DB3">
              <w:rPr>
                <w:sz w:val="20"/>
                <w:szCs w:val="20"/>
              </w:rPr>
              <w:t>(15-34)</w:t>
            </w:r>
          </w:p>
          <w:p w:rsidR="00605493" w:rsidRPr="00AE5DB3" w:rsidRDefault="00605493" w:rsidP="00597433">
            <w:pPr>
              <w:ind w:left="33"/>
              <w:rPr>
                <w:sz w:val="20"/>
                <w:szCs w:val="20"/>
              </w:rPr>
            </w:pPr>
            <w:r w:rsidRPr="00AE5DB3">
              <w:rPr>
                <w:sz w:val="20"/>
                <w:szCs w:val="20"/>
              </w:rPr>
              <w:t>[25%]</w:t>
            </w:r>
          </w:p>
        </w:tc>
        <w:tc>
          <w:tcPr>
            <w:tcW w:w="809" w:type="dxa"/>
          </w:tcPr>
          <w:p w:rsidR="00605493" w:rsidRPr="00AE5DB3" w:rsidRDefault="00605493" w:rsidP="00597433">
            <w:pPr>
              <w:ind w:left="30"/>
              <w:rPr>
                <w:sz w:val="20"/>
                <w:szCs w:val="20"/>
              </w:rPr>
            </w:pPr>
            <w:r w:rsidRPr="00AE5DB3">
              <w:rPr>
                <w:sz w:val="20"/>
                <w:szCs w:val="20"/>
              </w:rPr>
              <w:t>33%</w:t>
            </w:r>
          </w:p>
          <w:p w:rsidR="00605493" w:rsidRPr="00AE5DB3" w:rsidRDefault="00605493" w:rsidP="00597433">
            <w:pPr>
              <w:ind w:left="30"/>
              <w:rPr>
                <w:sz w:val="20"/>
                <w:szCs w:val="20"/>
              </w:rPr>
            </w:pPr>
            <w:r w:rsidRPr="00AE5DB3">
              <w:rPr>
                <w:sz w:val="20"/>
                <w:szCs w:val="20"/>
              </w:rPr>
              <w:t>(21-48)</w:t>
            </w:r>
          </w:p>
          <w:p w:rsidR="00605493" w:rsidRPr="00AE5DB3" w:rsidRDefault="00605493" w:rsidP="00597433">
            <w:pPr>
              <w:ind w:left="30"/>
              <w:rPr>
                <w:sz w:val="20"/>
                <w:szCs w:val="20"/>
              </w:rPr>
            </w:pPr>
            <w:r w:rsidRPr="00AE5DB3">
              <w:rPr>
                <w:sz w:val="20"/>
                <w:szCs w:val="20"/>
              </w:rPr>
              <w:t>[33%]</w:t>
            </w:r>
          </w:p>
        </w:tc>
        <w:tc>
          <w:tcPr>
            <w:tcW w:w="809" w:type="dxa"/>
          </w:tcPr>
          <w:p w:rsidR="00605493" w:rsidRPr="00AE5DB3" w:rsidRDefault="00605493" w:rsidP="00597433">
            <w:pPr>
              <w:ind w:left="30"/>
              <w:rPr>
                <w:sz w:val="20"/>
                <w:szCs w:val="20"/>
              </w:rPr>
            </w:pPr>
            <w:r w:rsidRPr="00AE5DB3">
              <w:rPr>
                <w:sz w:val="20"/>
                <w:szCs w:val="20"/>
              </w:rPr>
              <w:t>37%</w:t>
            </w:r>
          </w:p>
          <w:p w:rsidR="00605493" w:rsidRPr="00AE5DB3" w:rsidRDefault="00605493" w:rsidP="00597433">
            <w:pPr>
              <w:ind w:left="30"/>
              <w:rPr>
                <w:sz w:val="20"/>
                <w:szCs w:val="20"/>
              </w:rPr>
            </w:pPr>
            <w:r w:rsidRPr="00AE5DB3">
              <w:rPr>
                <w:sz w:val="20"/>
                <w:szCs w:val="20"/>
              </w:rPr>
              <w:t>(24-51)</w:t>
            </w:r>
          </w:p>
          <w:p w:rsidR="00605493" w:rsidRPr="00AE5DB3" w:rsidRDefault="00605493" w:rsidP="00597433">
            <w:pPr>
              <w:ind w:left="30"/>
              <w:rPr>
                <w:sz w:val="20"/>
                <w:szCs w:val="20"/>
              </w:rPr>
            </w:pPr>
            <w:r w:rsidRPr="00AE5DB3">
              <w:rPr>
                <w:sz w:val="20"/>
                <w:szCs w:val="20"/>
              </w:rPr>
              <w:t>[35%]</w:t>
            </w:r>
          </w:p>
        </w:tc>
        <w:tc>
          <w:tcPr>
            <w:tcW w:w="881" w:type="dxa"/>
          </w:tcPr>
          <w:p w:rsidR="00605493" w:rsidRPr="00AE5DB3" w:rsidRDefault="00605493" w:rsidP="00597433">
            <w:pPr>
              <w:ind w:left="5"/>
              <w:rPr>
                <w:sz w:val="20"/>
                <w:szCs w:val="20"/>
              </w:rPr>
            </w:pPr>
            <w:r w:rsidRPr="00AE5DB3">
              <w:rPr>
                <w:sz w:val="20"/>
                <w:szCs w:val="20"/>
              </w:rPr>
              <w:t>41%</w:t>
            </w:r>
          </w:p>
          <w:p w:rsidR="00605493" w:rsidRPr="00AE5DB3" w:rsidRDefault="00605493" w:rsidP="00597433">
            <w:pPr>
              <w:ind w:left="5"/>
              <w:rPr>
                <w:sz w:val="20"/>
                <w:szCs w:val="20"/>
              </w:rPr>
            </w:pPr>
            <w:r w:rsidRPr="00AE5DB3">
              <w:rPr>
                <w:sz w:val="20"/>
                <w:szCs w:val="20"/>
              </w:rPr>
              <w:t>(21-64)</w:t>
            </w:r>
          </w:p>
          <w:p w:rsidR="00605493" w:rsidRPr="00AE5DB3" w:rsidRDefault="00605493" w:rsidP="00597433">
            <w:pPr>
              <w:ind w:left="5"/>
              <w:rPr>
                <w:sz w:val="20"/>
                <w:szCs w:val="20"/>
              </w:rPr>
            </w:pPr>
            <w:r w:rsidRPr="00AE5DB3">
              <w:rPr>
                <w:sz w:val="20"/>
                <w:szCs w:val="20"/>
              </w:rPr>
              <w:t>[41%]</w:t>
            </w:r>
          </w:p>
        </w:tc>
        <w:tc>
          <w:tcPr>
            <w:tcW w:w="809" w:type="dxa"/>
          </w:tcPr>
          <w:p w:rsidR="00605493" w:rsidRPr="00AE5DB3" w:rsidRDefault="00605493" w:rsidP="00597433">
            <w:pPr>
              <w:ind w:left="5"/>
              <w:rPr>
                <w:sz w:val="20"/>
                <w:szCs w:val="20"/>
              </w:rPr>
            </w:pPr>
            <w:r w:rsidRPr="00AE5DB3">
              <w:rPr>
                <w:sz w:val="20"/>
                <w:szCs w:val="20"/>
              </w:rPr>
              <w:t>29%</w:t>
            </w:r>
          </w:p>
          <w:p w:rsidR="00605493" w:rsidRPr="00AE5DB3" w:rsidRDefault="00605493" w:rsidP="00597433">
            <w:pPr>
              <w:ind w:left="5"/>
              <w:rPr>
                <w:sz w:val="20"/>
                <w:szCs w:val="20"/>
              </w:rPr>
            </w:pPr>
            <w:r w:rsidRPr="00AE5DB3">
              <w:rPr>
                <w:sz w:val="20"/>
                <w:szCs w:val="20"/>
              </w:rPr>
              <w:t>(17-42)</w:t>
            </w:r>
          </w:p>
          <w:p w:rsidR="00605493" w:rsidRPr="00AE5DB3" w:rsidRDefault="00605493" w:rsidP="00597433">
            <w:pPr>
              <w:ind w:left="5"/>
              <w:rPr>
                <w:sz w:val="20"/>
                <w:szCs w:val="20"/>
              </w:rPr>
            </w:pPr>
            <w:r w:rsidRPr="00AE5DB3">
              <w:rPr>
                <w:sz w:val="20"/>
                <w:szCs w:val="20"/>
              </w:rPr>
              <w:t>[30%]</w:t>
            </w:r>
          </w:p>
        </w:tc>
        <w:tc>
          <w:tcPr>
            <w:tcW w:w="881" w:type="dxa"/>
          </w:tcPr>
          <w:p w:rsidR="00605493" w:rsidRPr="00AE5DB3" w:rsidRDefault="00605493" w:rsidP="00597433">
            <w:pPr>
              <w:ind w:left="5"/>
              <w:rPr>
                <w:sz w:val="20"/>
                <w:szCs w:val="20"/>
              </w:rPr>
            </w:pPr>
            <w:r w:rsidRPr="00AE5DB3">
              <w:rPr>
                <w:sz w:val="20"/>
                <w:szCs w:val="20"/>
              </w:rPr>
              <w:t>49%</w:t>
            </w:r>
          </w:p>
          <w:p w:rsidR="00605493" w:rsidRPr="00AE5DB3" w:rsidRDefault="00605493" w:rsidP="00597433">
            <w:pPr>
              <w:ind w:left="5"/>
              <w:rPr>
                <w:sz w:val="20"/>
                <w:szCs w:val="20"/>
              </w:rPr>
            </w:pPr>
            <w:r w:rsidRPr="00AE5DB3">
              <w:rPr>
                <w:sz w:val="20"/>
                <w:szCs w:val="20"/>
              </w:rPr>
              <w:t>(36-63)</w:t>
            </w:r>
          </w:p>
          <w:p w:rsidR="00605493" w:rsidRPr="00AE5DB3" w:rsidRDefault="00605493" w:rsidP="00597433">
            <w:pPr>
              <w:ind w:left="5"/>
              <w:rPr>
                <w:sz w:val="20"/>
                <w:szCs w:val="20"/>
              </w:rPr>
            </w:pPr>
            <w:r w:rsidRPr="00AE5DB3">
              <w:rPr>
                <w:sz w:val="20"/>
                <w:szCs w:val="20"/>
              </w:rPr>
              <w:t>[44%]</w:t>
            </w:r>
          </w:p>
        </w:tc>
        <w:tc>
          <w:tcPr>
            <w:tcW w:w="921" w:type="dxa"/>
          </w:tcPr>
          <w:p w:rsidR="00605493" w:rsidRPr="00AE5DB3" w:rsidRDefault="00605493" w:rsidP="00597433">
            <w:pPr>
              <w:ind w:left="46"/>
              <w:rPr>
                <w:sz w:val="20"/>
                <w:szCs w:val="20"/>
              </w:rPr>
            </w:pPr>
            <w:r w:rsidRPr="00AE5DB3">
              <w:rPr>
                <w:sz w:val="20"/>
                <w:szCs w:val="20"/>
              </w:rPr>
              <w:t>[27%]</w:t>
            </w:r>
          </w:p>
        </w:tc>
        <w:tc>
          <w:tcPr>
            <w:tcW w:w="921" w:type="dxa"/>
          </w:tcPr>
          <w:p w:rsidR="00605493" w:rsidRPr="00AE5DB3" w:rsidRDefault="00605493" w:rsidP="00597433">
            <w:pPr>
              <w:ind w:left="46"/>
              <w:rPr>
                <w:sz w:val="20"/>
                <w:szCs w:val="20"/>
              </w:rPr>
            </w:pPr>
            <w:r w:rsidRPr="00AE5DB3">
              <w:rPr>
                <w:sz w:val="20"/>
                <w:szCs w:val="20"/>
              </w:rPr>
              <w:t>[33%]</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Complete response</w:t>
            </w:r>
          </w:p>
        </w:tc>
        <w:tc>
          <w:tcPr>
            <w:tcW w:w="712" w:type="dxa"/>
          </w:tcPr>
          <w:p w:rsidR="00605493" w:rsidRPr="00AE5DB3" w:rsidRDefault="00605493" w:rsidP="00597433">
            <w:pPr>
              <w:ind w:left="33"/>
              <w:rPr>
                <w:sz w:val="20"/>
                <w:szCs w:val="20"/>
              </w:rPr>
            </w:pPr>
            <w:r w:rsidRPr="00AE5DB3">
              <w:rPr>
                <w:sz w:val="20"/>
                <w:szCs w:val="20"/>
              </w:rPr>
              <w:t>1.1%</w:t>
            </w:r>
          </w:p>
          <w:p w:rsidR="00605493" w:rsidRPr="00AE5DB3" w:rsidRDefault="00605493" w:rsidP="00597433">
            <w:pPr>
              <w:ind w:left="33"/>
              <w:rPr>
                <w:sz w:val="20"/>
                <w:szCs w:val="20"/>
              </w:rPr>
            </w:pPr>
            <w:r w:rsidRPr="00AE5DB3">
              <w:rPr>
                <w:sz w:val="20"/>
                <w:szCs w:val="20"/>
              </w:rPr>
              <w:t>[3.4%]</w:t>
            </w:r>
          </w:p>
        </w:tc>
        <w:tc>
          <w:tcPr>
            <w:tcW w:w="876" w:type="dxa"/>
          </w:tcPr>
          <w:p w:rsidR="00605493" w:rsidRPr="00AE5DB3" w:rsidRDefault="00605493" w:rsidP="00597433">
            <w:pPr>
              <w:ind w:left="33"/>
              <w:rPr>
                <w:sz w:val="20"/>
                <w:szCs w:val="20"/>
              </w:rPr>
            </w:pPr>
            <w:r w:rsidRPr="00AE5DB3">
              <w:rPr>
                <w:sz w:val="20"/>
                <w:szCs w:val="20"/>
              </w:rPr>
              <w:t>1.2%</w:t>
            </w:r>
          </w:p>
          <w:p w:rsidR="00605493" w:rsidRPr="00AE5DB3" w:rsidRDefault="00605493" w:rsidP="00597433">
            <w:pPr>
              <w:ind w:left="33"/>
              <w:rPr>
                <w:sz w:val="20"/>
                <w:szCs w:val="20"/>
              </w:rPr>
            </w:pPr>
            <w:r w:rsidRPr="00AE5DB3">
              <w:rPr>
                <w:sz w:val="20"/>
                <w:szCs w:val="20"/>
              </w:rPr>
              <w:t>[7.1%]</w:t>
            </w:r>
          </w:p>
        </w:tc>
        <w:tc>
          <w:tcPr>
            <w:tcW w:w="809" w:type="dxa"/>
          </w:tcPr>
          <w:p w:rsidR="00605493" w:rsidRPr="00AE5DB3" w:rsidRDefault="00605493" w:rsidP="00597433">
            <w:pPr>
              <w:ind w:left="30"/>
              <w:rPr>
                <w:sz w:val="20"/>
                <w:szCs w:val="20"/>
              </w:rPr>
            </w:pPr>
            <w:r w:rsidRPr="00AE5DB3">
              <w:rPr>
                <w:sz w:val="20"/>
                <w:szCs w:val="20"/>
              </w:rPr>
              <w:t>7.8%</w:t>
            </w:r>
          </w:p>
          <w:p w:rsidR="00605493" w:rsidRPr="00AE5DB3" w:rsidRDefault="00605493" w:rsidP="00597433">
            <w:pPr>
              <w:ind w:left="30"/>
              <w:rPr>
                <w:sz w:val="20"/>
                <w:szCs w:val="20"/>
              </w:rPr>
            </w:pPr>
            <w:r w:rsidRPr="00AE5DB3">
              <w:rPr>
                <w:sz w:val="20"/>
                <w:szCs w:val="20"/>
              </w:rPr>
              <w:t>[9.8%]</w:t>
            </w:r>
          </w:p>
        </w:tc>
        <w:tc>
          <w:tcPr>
            <w:tcW w:w="809" w:type="dxa"/>
          </w:tcPr>
          <w:p w:rsidR="00605493" w:rsidRPr="00AE5DB3" w:rsidRDefault="00605493" w:rsidP="00597433">
            <w:pPr>
              <w:ind w:left="30"/>
              <w:rPr>
                <w:sz w:val="20"/>
                <w:szCs w:val="20"/>
              </w:rPr>
            </w:pPr>
            <w:r w:rsidRPr="00AE5DB3">
              <w:rPr>
                <w:sz w:val="20"/>
                <w:szCs w:val="20"/>
              </w:rPr>
              <w:t>3.8%</w:t>
            </w:r>
            <w:r w:rsidRPr="00AE5DB3">
              <w:rPr>
                <w:sz w:val="20"/>
                <w:szCs w:val="20"/>
                <w:vertAlign w:val="superscript"/>
              </w:rPr>
              <w:t>c</w:t>
            </w:r>
          </w:p>
          <w:p w:rsidR="00605493" w:rsidRPr="00AE5DB3" w:rsidRDefault="00605493" w:rsidP="00597433">
            <w:pPr>
              <w:ind w:left="30"/>
              <w:rPr>
                <w:sz w:val="20"/>
                <w:szCs w:val="20"/>
              </w:rPr>
            </w:pPr>
            <w:r w:rsidRPr="00AE5DB3">
              <w:rPr>
                <w:sz w:val="20"/>
                <w:szCs w:val="20"/>
              </w:rPr>
              <w:t>[7.7%]</w:t>
            </w:r>
          </w:p>
        </w:tc>
        <w:tc>
          <w:tcPr>
            <w:tcW w:w="881" w:type="dxa"/>
          </w:tcPr>
          <w:p w:rsidR="00605493" w:rsidRPr="00AE5DB3" w:rsidRDefault="00605493" w:rsidP="00597433">
            <w:pPr>
              <w:ind w:left="5"/>
              <w:rPr>
                <w:sz w:val="20"/>
                <w:szCs w:val="20"/>
              </w:rPr>
            </w:pPr>
            <w:r w:rsidRPr="00AE5DB3">
              <w:rPr>
                <w:sz w:val="20"/>
                <w:szCs w:val="20"/>
              </w:rPr>
              <w:t xml:space="preserve">9.1% </w:t>
            </w:r>
            <w:r w:rsidRPr="00AE5DB3">
              <w:rPr>
                <w:sz w:val="20"/>
                <w:szCs w:val="20"/>
                <w:vertAlign w:val="superscript"/>
              </w:rPr>
              <w:t>d</w:t>
            </w:r>
          </w:p>
          <w:p w:rsidR="00605493" w:rsidRPr="00AE5DB3" w:rsidRDefault="00605493" w:rsidP="00597433">
            <w:pPr>
              <w:ind w:left="5"/>
              <w:rPr>
                <w:sz w:val="20"/>
                <w:szCs w:val="20"/>
              </w:rPr>
            </w:pPr>
            <w:r w:rsidRPr="00AE5DB3">
              <w:rPr>
                <w:sz w:val="20"/>
                <w:szCs w:val="20"/>
              </w:rPr>
              <w:t>[13.6%]</w:t>
            </w:r>
          </w:p>
        </w:tc>
        <w:tc>
          <w:tcPr>
            <w:tcW w:w="809" w:type="dxa"/>
          </w:tcPr>
          <w:p w:rsidR="00605493" w:rsidRPr="00AE5DB3" w:rsidRDefault="00605493" w:rsidP="00597433">
            <w:pPr>
              <w:ind w:left="5"/>
              <w:rPr>
                <w:sz w:val="20"/>
                <w:szCs w:val="20"/>
              </w:rPr>
            </w:pPr>
            <w:r w:rsidRPr="00AE5DB3">
              <w:rPr>
                <w:sz w:val="20"/>
                <w:szCs w:val="20"/>
              </w:rPr>
              <w:t xml:space="preserve">5.4% </w:t>
            </w:r>
            <w:r w:rsidRPr="00AE5DB3">
              <w:rPr>
                <w:sz w:val="20"/>
                <w:szCs w:val="20"/>
                <w:vertAlign w:val="superscript"/>
              </w:rPr>
              <w:t>d</w:t>
            </w:r>
          </w:p>
          <w:p w:rsidR="00605493" w:rsidRPr="00AE5DB3" w:rsidRDefault="00605493" w:rsidP="00597433">
            <w:pPr>
              <w:ind w:left="5"/>
              <w:rPr>
                <w:sz w:val="20"/>
                <w:szCs w:val="20"/>
              </w:rPr>
            </w:pPr>
            <w:r w:rsidRPr="00AE5DB3">
              <w:rPr>
                <w:sz w:val="20"/>
                <w:szCs w:val="20"/>
              </w:rPr>
              <w:t>[5.4%]</w:t>
            </w:r>
          </w:p>
        </w:tc>
        <w:tc>
          <w:tcPr>
            <w:tcW w:w="881" w:type="dxa"/>
          </w:tcPr>
          <w:p w:rsidR="00605493" w:rsidRPr="00AE5DB3" w:rsidRDefault="00605493" w:rsidP="00597433">
            <w:pPr>
              <w:ind w:left="5"/>
              <w:rPr>
                <w:sz w:val="20"/>
                <w:szCs w:val="20"/>
              </w:rPr>
            </w:pPr>
            <w:r w:rsidRPr="00AE5DB3">
              <w:rPr>
                <w:sz w:val="20"/>
                <w:szCs w:val="20"/>
              </w:rPr>
              <w:t xml:space="preserve">19.3% </w:t>
            </w:r>
            <w:r w:rsidRPr="00AE5DB3">
              <w:rPr>
                <w:sz w:val="20"/>
                <w:szCs w:val="20"/>
                <w:vertAlign w:val="superscript"/>
              </w:rPr>
              <w:t>d</w:t>
            </w:r>
          </w:p>
          <w:p w:rsidR="00605493" w:rsidRPr="00AE5DB3" w:rsidRDefault="00605493" w:rsidP="00597433">
            <w:pPr>
              <w:ind w:left="5"/>
              <w:rPr>
                <w:sz w:val="20"/>
                <w:szCs w:val="20"/>
              </w:rPr>
            </w:pPr>
            <w:r w:rsidRPr="00AE5DB3">
              <w:rPr>
                <w:sz w:val="20"/>
                <w:szCs w:val="20"/>
              </w:rPr>
              <w:t>[17.5%]</w:t>
            </w:r>
          </w:p>
        </w:tc>
        <w:tc>
          <w:tcPr>
            <w:tcW w:w="921" w:type="dxa"/>
          </w:tcPr>
          <w:p w:rsidR="00605493" w:rsidRPr="00AE5DB3" w:rsidRDefault="00605493" w:rsidP="00597433">
            <w:pPr>
              <w:ind w:left="46"/>
              <w:rPr>
                <w:sz w:val="20"/>
                <w:szCs w:val="20"/>
              </w:rPr>
            </w:pPr>
          </w:p>
          <w:p w:rsidR="00605493" w:rsidRPr="00AE5DB3" w:rsidRDefault="00605493" w:rsidP="00597433">
            <w:pPr>
              <w:ind w:left="46"/>
              <w:rPr>
                <w:sz w:val="20"/>
                <w:szCs w:val="20"/>
              </w:rPr>
            </w:pPr>
            <w:r w:rsidRPr="00AE5DB3">
              <w:rPr>
                <w:sz w:val="20"/>
                <w:szCs w:val="20"/>
              </w:rPr>
              <w:t>[2.5%]</w:t>
            </w:r>
          </w:p>
        </w:tc>
        <w:tc>
          <w:tcPr>
            <w:tcW w:w="921" w:type="dxa"/>
          </w:tcPr>
          <w:p w:rsidR="00605493" w:rsidRPr="00AE5DB3" w:rsidRDefault="00605493" w:rsidP="00597433">
            <w:pPr>
              <w:ind w:left="46"/>
              <w:rPr>
                <w:sz w:val="20"/>
                <w:szCs w:val="20"/>
              </w:rPr>
            </w:pPr>
          </w:p>
          <w:p w:rsidR="00605493" w:rsidRPr="00AE5DB3" w:rsidRDefault="00605493" w:rsidP="00597433">
            <w:pPr>
              <w:ind w:left="46"/>
              <w:rPr>
                <w:sz w:val="20"/>
                <w:szCs w:val="20"/>
              </w:rPr>
            </w:pPr>
            <w:r w:rsidRPr="00AE5DB3">
              <w:rPr>
                <w:sz w:val="20"/>
                <w:szCs w:val="20"/>
              </w:rPr>
              <w:t>[5.7%]</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Duration of objective response</w:t>
            </w:r>
          </w:p>
        </w:tc>
        <w:tc>
          <w:tcPr>
            <w:tcW w:w="712" w:type="dxa"/>
          </w:tcPr>
          <w:p w:rsidR="00605493" w:rsidRPr="00AE5DB3" w:rsidRDefault="00605493" w:rsidP="00597433">
            <w:pPr>
              <w:ind w:left="33"/>
              <w:rPr>
                <w:sz w:val="20"/>
                <w:szCs w:val="20"/>
              </w:rPr>
            </w:pPr>
            <w:r w:rsidRPr="00AE5DB3">
              <w:rPr>
                <w:sz w:val="20"/>
                <w:szCs w:val="20"/>
              </w:rPr>
              <w:t xml:space="preserve">6+ to 37+ </w:t>
            </w:r>
            <w:proofErr w:type="spellStart"/>
            <w:r w:rsidRPr="00AE5DB3">
              <w:rPr>
                <w:sz w:val="20"/>
                <w:szCs w:val="20"/>
              </w:rPr>
              <w:t>wks</w:t>
            </w:r>
            <w:r w:rsidRPr="00AE5DB3">
              <w:rPr>
                <w:sz w:val="20"/>
                <w:szCs w:val="20"/>
                <w:vertAlign w:val="superscript"/>
              </w:rPr>
              <w:t>e</w:t>
            </w:r>
            <w:proofErr w:type="spellEnd"/>
          </w:p>
          <w:p w:rsidR="00605493" w:rsidRPr="00AE5DB3" w:rsidRDefault="00605493" w:rsidP="00597433">
            <w:pPr>
              <w:ind w:left="33"/>
              <w:rPr>
                <w:sz w:val="20"/>
                <w:szCs w:val="20"/>
              </w:rPr>
            </w:pPr>
            <w:r w:rsidRPr="00AE5DB3">
              <w:rPr>
                <w:sz w:val="20"/>
                <w:szCs w:val="20"/>
              </w:rPr>
              <w:t>[12+ to 62</w:t>
            </w:r>
            <w:r w:rsidRPr="00AE5DB3">
              <w:rPr>
                <w:sz w:val="20"/>
                <w:szCs w:val="20"/>
              </w:rPr>
              <w:lastRenderedPageBreak/>
              <w:t>+]</w:t>
            </w:r>
          </w:p>
        </w:tc>
        <w:tc>
          <w:tcPr>
            <w:tcW w:w="876" w:type="dxa"/>
          </w:tcPr>
          <w:p w:rsidR="00605493" w:rsidRPr="00AE5DB3" w:rsidRDefault="00605493" w:rsidP="00597433">
            <w:pPr>
              <w:ind w:left="33"/>
              <w:rPr>
                <w:sz w:val="20"/>
                <w:szCs w:val="20"/>
              </w:rPr>
            </w:pPr>
            <w:r w:rsidRPr="00AE5DB3">
              <w:rPr>
                <w:sz w:val="20"/>
                <w:szCs w:val="20"/>
              </w:rPr>
              <w:lastRenderedPageBreak/>
              <w:t xml:space="preserve">8+ to 37+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33"/>
              <w:rPr>
                <w:sz w:val="20"/>
                <w:szCs w:val="20"/>
              </w:rPr>
            </w:pPr>
            <w:r w:rsidRPr="00AE5DB3">
              <w:rPr>
                <w:sz w:val="20"/>
                <w:szCs w:val="20"/>
              </w:rPr>
              <w:t>[12+ to 62+]</w:t>
            </w:r>
          </w:p>
        </w:tc>
        <w:tc>
          <w:tcPr>
            <w:tcW w:w="809" w:type="dxa"/>
          </w:tcPr>
          <w:p w:rsidR="00605493" w:rsidRPr="00AE5DB3" w:rsidRDefault="00605493" w:rsidP="00597433">
            <w:pPr>
              <w:ind w:left="30"/>
              <w:rPr>
                <w:sz w:val="20"/>
                <w:szCs w:val="20"/>
              </w:rPr>
            </w:pPr>
            <w:r w:rsidRPr="00AE5DB3">
              <w:rPr>
                <w:sz w:val="20"/>
                <w:szCs w:val="20"/>
              </w:rPr>
              <w:t xml:space="preserve">7+ to 36+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30"/>
              <w:rPr>
                <w:sz w:val="20"/>
                <w:szCs w:val="20"/>
              </w:rPr>
            </w:pPr>
            <w:r w:rsidRPr="00AE5DB3">
              <w:rPr>
                <w:sz w:val="20"/>
                <w:szCs w:val="20"/>
              </w:rPr>
              <w:t>[7+ to 60+]</w:t>
            </w:r>
          </w:p>
        </w:tc>
        <w:tc>
          <w:tcPr>
            <w:tcW w:w="809" w:type="dxa"/>
          </w:tcPr>
          <w:p w:rsidR="00605493" w:rsidRPr="00AE5DB3" w:rsidRDefault="00605493" w:rsidP="00597433">
            <w:pPr>
              <w:ind w:left="30"/>
              <w:rPr>
                <w:sz w:val="20"/>
                <w:szCs w:val="20"/>
              </w:rPr>
            </w:pPr>
            <w:r w:rsidRPr="00AE5DB3">
              <w:rPr>
                <w:sz w:val="20"/>
                <w:szCs w:val="20"/>
              </w:rPr>
              <w:t xml:space="preserve">6+ to 39+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30"/>
              <w:rPr>
                <w:sz w:val="20"/>
                <w:szCs w:val="20"/>
              </w:rPr>
            </w:pPr>
            <w:r w:rsidRPr="00AE5DB3">
              <w:rPr>
                <w:sz w:val="20"/>
                <w:szCs w:val="20"/>
              </w:rPr>
              <w:t>[6+ to 61+]</w:t>
            </w:r>
          </w:p>
        </w:tc>
        <w:tc>
          <w:tcPr>
            <w:tcW w:w="881" w:type="dxa"/>
          </w:tcPr>
          <w:p w:rsidR="00605493" w:rsidRPr="00AE5DB3" w:rsidRDefault="00605493" w:rsidP="00597433">
            <w:pPr>
              <w:ind w:left="5"/>
              <w:rPr>
                <w:sz w:val="20"/>
                <w:szCs w:val="20"/>
              </w:rPr>
            </w:pPr>
            <w:r w:rsidRPr="00AE5DB3">
              <w:rPr>
                <w:sz w:val="20"/>
                <w:szCs w:val="20"/>
              </w:rPr>
              <w:t xml:space="preserve">9+ to 60+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5"/>
              <w:rPr>
                <w:sz w:val="20"/>
                <w:szCs w:val="20"/>
              </w:rPr>
            </w:pPr>
            <w:r w:rsidRPr="00AE5DB3">
              <w:rPr>
                <w:sz w:val="20"/>
                <w:szCs w:val="20"/>
              </w:rPr>
              <w:t>[12+ to 82+]</w:t>
            </w:r>
          </w:p>
        </w:tc>
        <w:tc>
          <w:tcPr>
            <w:tcW w:w="809" w:type="dxa"/>
          </w:tcPr>
          <w:p w:rsidR="00605493" w:rsidRPr="00AE5DB3" w:rsidRDefault="00605493" w:rsidP="00597433">
            <w:pPr>
              <w:ind w:left="5"/>
              <w:rPr>
                <w:sz w:val="20"/>
                <w:szCs w:val="20"/>
              </w:rPr>
            </w:pPr>
            <w:r w:rsidRPr="00AE5DB3">
              <w:rPr>
                <w:sz w:val="20"/>
                <w:szCs w:val="20"/>
              </w:rPr>
              <w:t xml:space="preserve">11 to 72+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5"/>
              <w:rPr>
                <w:sz w:val="20"/>
                <w:szCs w:val="20"/>
              </w:rPr>
            </w:pPr>
            <w:r w:rsidRPr="00AE5DB3">
              <w:rPr>
                <w:sz w:val="20"/>
                <w:szCs w:val="20"/>
              </w:rPr>
              <w:t>[11 to 96+]</w:t>
            </w:r>
          </w:p>
        </w:tc>
        <w:tc>
          <w:tcPr>
            <w:tcW w:w="881" w:type="dxa"/>
          </w:tcPr>
          <w:p w:rsidR="00605493" w:rsidRPr="00AE5DB3" w:rsidRDefault="00605493" w:rsidP="00597433">
            <w:pPr>
              <w:ind w:left="5"/>
              <w:rPr>
                <w:sz w:val="20"/>
                <w:szCs w:val="20"/>
              </w:rPr>
            </w:pPr>
            <w:r w:rsidRPr="00AE5DB3">
              <w:rPr>
                <w:sz w:val="20"/>
                <w:szCs w:val="20"/>
              </w:rPr>
              <w:t xml:space="preserve">8+ to 76+ </w:t>
            </w:r>
            <w:proofErr w:type="spellStart"/>
            <w:r w:rsidR="004B5A48" w:rsidRPr="00AE5DB3">
              <w:rPr>
                <w:sz w:val="20"/>
                <w:szCs w:val="20"/>
              </w:rPr>
              <w:t>wks</w:t>
            </w:r>
            <w:r w:rsidR="004B5A48" w:rsidRPr="00AE5DB3">
              <w:rPr>
                <w:sz w:val="20"/>
                <w:szCs w:val="20"/>
                <w:vertAlign w:val="superscript"/>
              </w:rPr>
              <w:t>e</w:t>
            </w:r>
            <w:proofErr w:type="spellEnd"/>
          </w:p>
          <w:p w:rsidR="00605493" w:rsidRPr="00AE5DB3" w:rsidRDefault="00605493" w:rsidP="00597433">
            <w:pPr>
              <w:ind w:left="5"/>
              <w:rPr>
                <w:sz w:val="20"/>
                <w:szCs w:val="20"/>
              </w:rPr>
            </w:pPr>
            <w:r w:rsidRPr="00AE5DB3">
              <w:rPr>
                <w:sz w:val="20"/>
                <w:szCs w:val="20"/>
              </w:rPr>
              <w:t>[22 to 98+]</w:t>
            </w:r>
          </w:p>
        </w:tc>
        <w:tc>
          <w:tcPr>
            <w:tcW w:w="921" w:type="dxa"/>
          </w:tcPr>
          <w:p w:rsidR="00605493" w:rsidRPr="00AE5DB3" w:rsidRDefault="00605493" w:rsidP="00597433">
            <w:pPr>
              <w:ind w:left="46"/>
              <w:rPr>
                <w:sz w:val="20"/>
                <w:szCs w:val="20"/>
              </w:rPr>
            </w:pPr>
            <w:r w:rsidRPr="00AE5DB3">
              <w:rPr>
                <w:sz w:val="20"/>
                <w:szCs w:val="20"/>
              </w:rPr>
              <w:t>[8+ to 36+]</w:t>
            </w:r>
          </w:p>
        </w:tc>
        <w:tc>
          <w:tcPr>
            <w:tcW w:w="921" w:type="dxa"/>
          </w:tcPr>
          <w:p w:rsidR="00605493" w:rsidRPr="00AE5DB3" w:rsidRDefault="00605493" w:rsidP="00597433">
            <w:pPr>
              <w:ind w:left="46"/>
              <w:rPr>
                <w:sz w:val="20"/>
                <w:szCs w:val="20"/>
              </w:rPr>
            </w:pPr>
            <w:r w:rsidRPr="00AE5DB3">
              <w:rPr>
                <w:sz w:val="20"/>
                <w:szCs w:val="20"/>
              </w:rPr>
              <w:t>[6+ to 36+]</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lastRenderedPageBreak/>
              <w:t>Median PFS by IRO / RECIST 1.1</w:t>
            </w:r>
          </w:p>
        </w:tc>
        <w:tc>
          <w:tcPr>
            <w:tcW w:w="712" w:type="dxa"/>
          </w:tcPr>
          <w:p w:rsidR="00605493" w:rsidRPr="00AE5DB3" w:rsidRDefault="00605493" w:rsidP="00597433">
            <w:pPr>
              <w:ind w:left="33"/>
              <w:rPr>
                <w:sz w:val="20"/>
                <w:szCs w:val="20"/>
              </w:rPr>
            </w:pPr>
            <w:r w:rsidRPr="00AE5DB3">
              <w:rPr>
                <w:sz w:val="20"/>
                <w:szCs w:val="20"/>
              </w:rPr>
              <w:t>5.1 m</w:t>
            </w:r>
          </w:p>
          <w:p w:rsidR="00605493" w:rsidRPr="00AE5DB3" w:rsidRDefault="00605493" w:rsidP="00597433">
            <w:pPr>
              <w:ind w:left="33"/>
              <w:rPr>
                <w:sz w:val="20"/>
                <w:szCs w:val="20"/>
              </w:rPr>
            </w:pPr>
            <w:r w:rsidRPr="00AE5DB3">
              <w:rPr>
                <w:sz w:val="20"/>
                <w:szCs w:val="20"/>
              </w:rPr>
              <w:t>[4.9 m]</w:t>
            </w:r>
          </w:p>
        </w:tc>
        <w:tc>
          <w:tcPr>
            <w:tcW w:w="876" w:type="dxa"/>
          </w:tcPr>
          <w:p w:rsidR="00605493" w:rsidRPr="00AE5DB3" w:rsidRDefault="00605493" w:rsidP="00597433">
            <w:pPr>
              <w:ind w:left="33"/>
              <w:rPr>
                <w:sz w:val="20"/>
                <w:szCs w:val="20"/>
              </w:rPr>
            </w:pPr>
            <w:r w:rsidRPr="00AE5DB3">
              <w:rPr>
                <w:sz w:val="20"/>
                <w:szCs w:val="20"/>
              </w:rPr>
              <w:t>3.2 m</w:t>
            </w:r>
          </w:p>
          <w:p w:rsidR="00605493" w:rsidRPr="00AE5DB3" w:rsidRDefault="00605493" w:rsidP="00597433">
            <w:pPr>
              <w:ind w:left="33"/>
              <w:rPr>
                <w:sz w:val="20"/>
                <w:szCs w:val="20"/>
              </w:rPr>
            </w:pPr>
            <w:r w:rsidRPr="00AE5DB3">
              <w:rPr>
                <w:sz w:val="20"/>
                <w:szCs w:val="20"/>
              </w:rPr>
              <w:t xml:space="preserve">[3.2 </w:t>
            </w:r>
            <w:r w:rsidR="004E16C8" w:rsidRPr="00AE5DB3">
              <w:rPr>
                <w:sz w:val="20"/>
                <w:szCs w:val="20"/>
              </w:rPr>
              <w:t>m</w:t>
            </w:r>
            <w:r w:rsidRPr="00AE5DB3">
              <w:rPr>
                <w:sz w:val="20"/>
                <w:szCs w:val="20"/>
              </w:rPr>
              <w:t>]</w:t>
            </w:r>
          </w:p>
        </w:tc>
        <w:tc>
          <w:tcPr>
            <w:tcW w:w="809" w:type="dxa"/>
          </w:tcPr>
          <w:p w:rsidR="00605493" w:rsidRPr="00AE5DB3" w:rsidRDefault="00605493" w:rsidP="00597433">
            <w:pPr>
              <w:ind w:left="30"/>
              <w:rPr>
                <w:sz w:val="20"/>
                <w:szCs w:val="20"/>
              </w:rPr>
            </w:pPr>
            <w:r w:rsidRPr="00AE5DB3">
              <w:rPr>
                <w:sz w:val="20"/>
                <w:szCs w:val="20"/>
              </w:rPr>
              <w:t>6.3 m</w:t>
            </w:r>
          </w:p>
          <w:p w:rsidR="00605493" w:rsidRPr="00AE5DB3" w:rsidRDefault="009D2A28" w:rsidP="00597433">
            <w:pPr>
              <w:ind w:left="30"/>
              <w:rPr>
                <w:sz w:val="20"/>
                <w:szCs w:val="20"/>
              </w:rPr>
            </w:pPr>
            <w:r w:rsidRPr="00AE5DB3">
              <w:rPr>
                <w:sz w:val="20"/>
                <w:szCs w:val="20"/>
              </w:rPr>
              <w:t xml:space="preserve">[5.5 </w:t>
            </w:r>
            <w:r w:rsidR="00605493" w:rsidRPr="00AE5DB3">
              <w:rPr>
                <w:sz w:val="20"/>
                <w:szCs w:val="20"/>
              </w:rPr>
              <w:t>m]</w:t>
            </w:r>
          </w:p>
        </w:tc>
        <w:tc>
          <w:tcPr>
            <w:tcW w:w="809" w:type="dxa"/>
          </w:tcPr>
          <w:p w:rsidR="00605493" w:rsidRPr="00AE5DB3" w:rsidRDefault="00605493" w:rsidP="00597433">
            <w:pPr>
              <w:ind w:left="30"/>
              <w:rPr>
                <w:sz w:val="20"/>
                <w:szCs w:val="20"/>
              </w:rPr>
            </w:pPr>
            <w:r w:rsidRPr="00AE5DB3">
              <w:rPr>
                <w:sz w:val="20"/>
                <w:szCs w:val="20"/>
              </w:rPr>
              <w:t>5.3 m</w:t>
            </w:r>
          </w:p>
          <w:p w:rsidR="00605493" w:rsidRPr="00AE5DB3" w:rsidRDefault="00605493" w:rsidP="00597433">
            <w:pPr>
              <w:ind w:left="30"/>
              <w:rPr>
                <w:sz w:val="20"/>
                <w:szCs w:val="20"/>
              </w:rPr>
            </w:pPr>
            <w:r w:rsidRPr="00AE5DB3">
              <w:rPr>
                <w:sz w:val="20"/>
                <w:szCs w:val="20"/>
              </w:rPr>
              <w:t>[4.2 m]</w:t>
            </w:r>
          </w:p>
        </w:tc>
        <w:tc>
          <w:tcPr>
            <w:tcW w:w="881" w:type="dxa"/>
          </w:tcPr>
          <w:p w:rsidR="00605493" w:rsidRPr="00AE5DB3" w:rsidRDefault="00605493" w:rsidP="00597433">
            <w:pPr>
              <w:ind w:left="5"/>
              <w:rPr>
                <w:sz w:val="20"/>
                <w:szCs w:val="20"/>
              </w:rPr>
            </w:pPr>
            <w:r w:rsidRPr="00AE5DB3">
              <w:rPr>
                <w:sz w:val="20"/>
                <w:szCs w:val="20"/>
              </w:rPr>
              <w:t>16.7 m</w:t>
            </w:r>
            <w:r w:rsidRPr="00AE5DB3">
              <w:rPr>
                <w:sz w:val="20"/>
                <w:szCs w:val="20"/>
                <w:vertAlign w:val="superscript"/>
              </w:rPr>
              <w:t>f</w:t>
            </w:r>
          </w:p>
          <w:p w:rsidR="00605493" w:rsidRPr="00AE5DB3" w:rsidRDefault="00605493" w:rsidP="00597433">
            <w:pPr>
              <w:ind w:left="5"/>
              <w:rPr>
                <w:sz w:val="20"/>
                <w:szCs w:val="20"/>
              </w:rPr>
            </w:pPr>
            <w:r w:rsidRPr="00AE5DB3">
              <w:rPr>
                <w:sz w:val="20"/>
                <w:szCs w:val="20"/>
              </w:rPr>
              <w:t>[13.6 m]</w:t>
            </w:r>
          </w:p>
        </w:tc>
        <w:tc>
          <w:tcPr>
            <w:tcW w:w="809" w:type="dxa"/>
          </w:tcPr>
          <w:p w:rsidR="00605493" w:rsidRPr="00AE5DB3" w:rsidRDefault="00605493" w:rsidP="00597433">
            <w:pPr>
              <w:ind w:left="5"/>
              <w:rPr>
                <w:sz w:val="20"/>
                <w:szCs w:val="20"/>
              </w:rPr>
            </w:pPr>
            <w:r w:rsidRPr="00AE5DB3">
              <w:rPr>
                <w:sz w:val="20"/>
                <w:szCs w:val="20"/>
              </w:rPr>
              <w:t>5.5 m</w:t>
            </w:r>
            <w:r w:rsidRPr="00AE5DB3">
              <w:rPr>
                <w:sz w:val="20"/>
                <w:szCs w:val="20"/>
                <w:vertAlign w:val="superscript"/>
              </w:rPr>
              <w:t>f</w:t>
            </w:r>
          </w:p>
          <w:p w:rsidR="00605493" w:rsidRPr="00AE5DB3" w:rsidRDefault="00605493" w:rsidP="00597433">
            <w:pPr>
              <w:ind w:left="5"/>
              <w:rPr>
                <w:sz w:val="20"/>
                <w:szCs w:val="20"/>
              </w:rPr>
            </w:pPr>
            <w:r w:rsidRPr="00AE5DB3">
              <w:rPr>
                <w:sz w:val="20"/>
                <w:szCs w:val="20"/>
              </w:rPr>
              <w:t>[5.5 m]</w:t>
            </w:r>
          </w:p>
        </w:tc>
        <w:tc>
          <w:tcPr>
            <w:tcW w:w="881" w:type="dxa"/>
          </w:tcPr>
          <w:p w:rsidR="00605493" w:rsidRPr="00AE5DB3" w:rsidRDefault="00605493" w:rsidP="00597433">
            <w:pPr>
              <w:ind w:left="5"/>
              <w:rPr>
                <w:sz w:val="20"/>
                <w:szCs w:val="20"/>
                <w:vertAlign w:val="superscript"/>
              </w:rPr>
            </w:pPr>
            <w:r w:rsidRPr="00AE5DB3">
              <w:rPr>
                <w:sz w:val="20"/>
                <w:szCs w:val="20"/>
              </w:rPr>
              <w:t>11.6 m</w:t>
            </w:r>
            <w:r w:rsidRPr="00AE5DB3">
              <w:rPr>
                <w:sz w:val="20"/>
                <w:szCs w:val="20"/>
                <w:vertAlign w:val="superscript"/>
              </w:rPr>
              <w:t>f</w:t>
            </w:r>
          </w:p>
          <w:p w:rsidR="00605493" w:rsidRPr="00AE5DB3" w:rsidRDefault="00605493" w:rsidP="00597433">
            <w:pPr>
              <w:ind w:left="5"/>
              <w:rPr>
                <w:sz w:val="20"/>
                <w:szCs w:val="20"/>
              </w:rPr>
            </w:pPr>
            <w:r w:rsidRPr="00AE5DB3">
              <w:rPr>
                <w:sz w:val="20"/>
                <w:szCs w:val="20"/>
              </w:rPr>
              <w:t>[8.8 m]</w:t>
            </w:r>
          </w:p>
        </w:tc>
        <w:tc>
          <w:tcPr>
            <w:tcW w:w="921" w:type="dxa"/>
          </w:tcPr>
          <w:p w:rsidR="00605493" w:rsidRPr="00AE5DB3" w:rsidRDefault="00605493" w:rsidP="00597433">
            <w:pPr>
              <w:ind w:left="46"/>
              <w:rPr>
                <w:sz w:val="20"/>
                <w:szCs w:val="20"/>
              </w:rPr>
            </w:pPr>
            <w:r w:rsidRPr="00AE5DB3">
              <w:rPr>
                <w:sz w:val="20"/>
                <w:szCs w:val="20"/>
              </w:rPr>
              <w:t>[3.0 m]</w:t>
            </w:r>
          </w:p>
        </w:tc>
        <w:tc>
          <w:tcPr>
            <w:tcW w:w="921" w:type="dxa"/>
          </w:tcPr>
          <w:p w:rsidR="00605493" w:rsidRPr="00AE5DB3" w:rsidRDefault="00605493" w:rsidP="00597433">
            <w:pPr>
              <w:ind w:left="46"/>
              <w:rPr>
                <w:sz w:val="20"/>
                <w:szCs w:val="20"/>
              </w:rPr>
            </w:pPr>
            <w:r w:rsidRPr="00AE5DB3">
              <w:rPr>
                <w:sz w:val="20"/>
                <w:szCs w:val="20"/>
              </w:rPr>
              <w:t>[5.2 m]</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6 month PFS</w:t>
            </w:r>
          </w:p>
        </w:tc>
        <w:tc>
          <w:tcPr>
            <w:tcW w:w="712" w:type="dxa"/>
          </w:tcPr>
          <w:p w:rsidR="00605493" w:rsidRPr="00AE5DB3" w:rsidRDefault="00605493" w:rsidP="00597433">
            <w:pPr>
              <w:ind w:left="33"/>
              <w:rPr>
                <w:sz w:val="20"/>
                <w:szCs w:val="20"/>
              </w:rPr>
            </w:pPr>
            <w:r w:rsidRPr="00AE5DB3">
              <w:rPr>
                <w:sz w:val="20"/>
                <w:szCs w:val="20"/>
              </w:rPr>
              <w:t>45%</w:t>
            </w:r>
          </w:p>
          <w:p w:rsidR="00605493" w:rsidRPr="00AE5DB3" w:rsidRDefault="00605493" w:rsidP="00597433">
            <w:pPr>
              <w:ind w:left="33"/>
              <w:rPr>
                <w:sz w:val="20"/>
                <w:szCs w:val="20"/>
              </w:rPr>
            </w:pPr>
            <w:r w:rsidRPr="00AE5DB3">
              <w:rPr>
                <w:sz w:val="20"/>
                <w:szCs w:val="20"/>
              </w:rPr>
              <w:t>[43%]</w:t>
            </w:r>
          </w:p>
        </w:tc>
        <w:tc>
          <w:tcPr>
            <w:tcW w:w="876" w:type="dxa"/>
          </w:tcPr>
          <w:p w:rsidR="00605493" w:rsidRPr="00AE5DB3" w:rsidRDefault="00605493" w:rsidP="00597433">
            <w:pPr>
              <w:ind w:left="33"/>
              <w:rPr>
                <w:sz w:val="20"/>
                <w:szCs w:val="20"/>
              </w:rPr>
            </w:pPr>
            <w:r w:rsidRPr="00AE5DB3">
              <w:rPr>
                <w:sz w:val="20"/>
                <w:szCs w:val="20"/>
              </w:rPr>
              <w:t>37%</w:t>
            </w:r>
          </w:p>
          <w:p w:rsidR="00605493" w:rsidRPr="00AE5DB3" w:rsidRDefault="00605493" w:rsidP="00597433">
            <w:pPr>
              <w:ind w:left="33"/>
              <w:rPr>
                <w:sz w:val="20"/>
                <w:szCs w:val="20"/>
              </w:rPr>
            </w:pPr>
            <w:r w:rsidRPr="00AE5DB3">
              <w:rPr>
                <w:sz w:val="20"/>
                <w:szCs w:val="20"/>
              </w:rPr>
              <w:t>[35%]</w:t>
            </w:r>
          </w:p>
        </w:tc>
        <w:tc>
          <w:tcPr>
            <w:tcW w:w="809" w:type="dxa"/>
          </w:tcPr>
          <w:p w:rsidR="00605493" w:rsidRPr="00AE5DB3" w:rsidRDefault="00605493" w:rsidP="00597433">
            <w:pPr>
              <w:ind w:left="30"/>
              <w:rPr>
                <w:sz w:val="20"/>
                <w:szCs w:val="20"/>
              </w:rPr>
            </w:pPr>
            <w:r w:rsidRPr="00AE5DB3">
              <w:rPr>
                <w:sz w:val="20"/>
                <w:szCs w:val="20"/>
              </w:rPr>
              <w:t>51%</w:t>
            </w:r>
          </w:p>
          <w:p w:rsidR="00605493" w:rsidRPr="00AE5DB3" w:rsidRDefault="00605493" w:rsidP="00597433">
            <w:pPr>
              <w:ind w:left="30"/>
              <w:rPr>
                <w:sz w:val="20"/>
                <w:szCs w:val="20"/>
              </w:rPr>
            </w:pPr>
            <w:r w:rsidRPr="00AE5DB3">
              <w:rPr>
                <w:sz w:val="20"/>
                <w:szCs w:val="20"/>
              </w:rPr>
              <w:t>[50%]</w:t>
            </w:r>
          </w:p>
        </w:tc>
        <w:tc>
          <w:tcPr>
            <w:tcW w:w="809" w:type="dxa"/>
          </w:tcPr>
          <w:p w:rsidR="00605493" w:rsidRPr="00AE5DB3" w:rsidRDefault="00605493" w:rsidP="00597433">
            <w:pPr>
              <w:ind w:left="30"/>
              <w:rPr>
                <w:sz w:val="20"/>
                <w:szCs w:val="20"/>
              </w:rPr>
            </w:pPr>
            <w:r w:rsidRPr="00AE5DB3">
              <w:rPr>
                <w:sz w:val="20"/>
                <w:szCs w:val="20"/>
              </w:rPr>
              <w:t>48%</w:t>
            </w:r>
          </w:p>
          <w:p w:rsidR="00605493" w:rsidRPr="00AE5DB3" w:rsidRDefault="00605493" w:rsidP="00597433">
            <w:pPr>
              <w:ind w:left="30"/>
              <w:rPr>
                <w:sz w:val="20"/>
                <w:szCs w:val="20"/>
              </w:rPr>
            </w:pPr>
            <w:r w:rsidRPr="00AE5DB3">
              <w:rPr>
                <w:sz w:val="20"/>
                <w:szCs w:val="20"/>
              </w:rPr>
              <w:t>[41%]</w:t>
            </w:r>
          </w:p>
        </w:tc>
        <w:tc>
          <w:tcPr>
            <w:tcW w:w="881" w:type="dxa"/>
          </w:tcPr>
          <w:p w:rsidR="00605493" w:rsidRPr="00AE5DB3" w:rsidRDefault="00605493" w:rsidP="00597433">
            <w:pPr>
              <w:ind w:left="5"/>
              <w:rPr>
                <w:sz w:val="20"/>
                <w:szCs w:val="20"/>
              </w:rPr>
            </w:pPr>
            <w:r w:rsidRPr="00AE5DB3">
              <w:rPr>
                <w:sz w:val="20"/>
                <w:szCs w:val="20"/>
              </w:rPr>
              <w:t>56%</w:t>
            </w:r>
          </w:p>
          <w:p w:rsidR="00605493" w:rsidRPr="00AE5DB3" w:rsidRDefault="00605493" w:rsidP="00597433">
            <w:pPr>
              <w:ind w:left="5"/>
              <w:rPr>
                <w:sz w:val="20"/>
                <w:szCs w:val="20"/>
              </w:rPr>
            </w:pPr>
            <w:r w:rsidRPr="00AE5DB3">
              <w:rPr>
                <w:sz w:val="20"/>
                <w:szCs w:val="20"/>
              </w:rPr>
              <w:t>[57%]</w:t>
            </w:r>
          </w:p>
        </w:tc>
        <w:tc>
          <w:tcPr>
            <w:tcW w:w="809" w:type="dxa"/>
          </w:tcPr>
          <w:p w:rsidR="00605493" w:rsidRPr="00AE5DB3" w:rsidRDefault="00605493" w:rsidP="00597433">
            <w:pPr>
              <w:ind w:left="5"/>
              <w:rPr>
                <w:sz w:val="20"/>
                <w:szCs w:val="20"/>
              </w:rPr>
            </w:pPr>
            <w:r w:rsidRPr="00AE5DB3">
              <w:rPr>
                <w:sz w:val="20"/>
                <w:szCs w:val="20"/>
              </w:rPr>
              <w:t>44%</w:t>
            </w:r>
          </w:p>
          <w:p w:rsidR="00605493" w:rsidRPr="00AE5DB3" w:rsidRDefault="00605493" w:rsidP="00597433">
            <w:pPr>
              <w:ind w:left="5"/>
              <w:rPr>
                <w:sz w:val="20"/>
                <w:szCs w:val="20"/>
              </w:rPr>
            </w:pPr>
            <w:r w:rsidRPr="00AE5DB3">
              <w:rPr>
                <w:sz w:val="20"/>
                <w:szCs w:val="20"/>
              </w:rPr>
              <w:t>[46%]</w:t>
            </w:r>
          </w:p>
        </w:tc>
        <w:tc>
          <w:tcPr>
            <w:tcW w:w="881" w:type="dxa"/>
          </w:tcPr>
          <w:p w:rsidR="00605493" w:rsidRPr="00AE5DB3" w:rsidRDefault="00605493" w:rsidP="00597433">
            <w:pPr>
              <w:ind w:left="5"/>
              <w:rPr>
                <w:sz w:val="20"/>
                <w:szCs w:val="20"/>
              </w:rPr>
            </w:pPr>
            <w:r w:rsidRPr="00AE5DB3">
              <w:rPr>
                <w:sz w:val="20"/>
                <w:szCs w:val="20"/>
              </w:rPr>
              <w:t>60%</w:t>
            </w:r>
          </w:p>
          <w:p w:rsidR="00605493" w:rsidRPr="00AE5DB3" w:rsidRDefault="00605493" w:rsidP="00597433">
            <w:pPr>
              <w:ind w:left="5"/>
              <w:rPr>
                <w:sz w:val="20"/>
                <w:szCs w:val="20"/>
              </w:rPr>
            </w:pPr>
            <w:r w:rsidRPr="00AE5DB3">
              <w:rPr>
                <w:sz w:val="20"/>
                <w:szCs w:val="20"/>
              </w:rPr>
              <w:t>[56%]</w:t>
            </w:r>
          </w:p>
        </w:tc>
        <w:tc>
          <w:tcPr>
            <w:tcW w:w="921" w:type="dxa"/>
          </w:tcPr>
          <w:p w:rsidR="00605493" w:rsidRPr="00AE5DB3" w:rsidRDefault="00605493" w:rsidP="00597433">
            <w:pPr>
              <w:ind w:left="46"/>
              <w:rPr>
                <w:sz w:val="20"/>
                <w:szCs w:val="20"/>
              </w:rPr>
            </w:pPr>
            <w:r w:rsidRPr="00AE5DB3">
              <w:rPr>
                <w:sz w:val="20"/>
                <w:szCs w:val="20"/>
              </w:rPr>
              <w:t>[40%]</w:t>
            </w:r>
          </w:p>
        </w:tc>
        <w:tc>
          <w:tcPr>
            <w:tcW w:w="921" w:type="dxa"/>
          </w:tcPr>
          <w:p w:rsidR="00605493" w:rsidRPr="00AE5DB3" w:rsidRDefault="00605493" w:rsidP="00597433">
            <w:pPr>
              <w:ind w:left="46"/>
              <w:rPr>
                <w:sz w:val="20"/>
                <w:szCs w:val="20"/>
              </w:rPr>
            </w:pPr>
            <w:r w:rsidRPr="00AE5DB3">
              <w:rPr>
                <w:sz w:val="20"/>
                <w:szCs w:val="20"/>
              </w:rPr>
              <w:t>[45%]</w:t>
            </w:r>
          </w:p>
        </w:tc>
      </w:tr>
      <w:tr w:rsidR="00B21A3A" w:rsidRPr="00AE5DB3" w:rsidTr="00AE5DB3">
        <w:tc>
          <w:tcPr>
            <w:tcW w:w="1101" w:type="dxa"/>
          </w:tcPr>
          <w:p w:rsidR="00605493" w:rsidRPr="00AE5DB3" w:rsidRDefault="00605493" w:rsidP="00AE5DB3">
            <w:pPr>
              <w:ind w:left="0"/>
              <w:rPr>
                <w:sz w:val="20"/>
                <w:szCs w:val="20"/>
              </w:rPr>
            </w:pPr>
            <w:r w:rsidRPr="00AE5DB3">
              <w:rPr>
                <w:sz w:val="20"/>
                <w:szCs w:val="20"/>
              </w:rPr>
              <w:t xml:space="preserve">Overall </w:t>
            </w:r>
            <w:proofErr w:type="spellStart"/>
            <w:r w:rsidRPr="00AE5DB3">
              <w:rPr>
                <w:sz w:val="20"/>
                <w:szCs w:val="20"/>
              </w:rPr>
              <w:t>survival</w:t>
            </w:r>
            <w:r w:rsidRPr="00AE5DB3">
              <w:rPr>
                <w:sz w:val="20"/>
                <w:szCs w:val="20"/>
                <w:vertAlign w:val="superscript"/>
              </w:rPr>
              <w:t>g</w:t>
            </w:r>
            <w:proofErr w:type="spellEnd"/>
          </w:p>
        </w:tc>
        <w:tc>
          <w:tcPr>
            <w:tcW w:w="712" w:type="dxa"/>
          </w:tcPr>
          <w:p w:rsidR="00605493" w:rsidRPr="00AE5DB3" w:rsidRDefault="00605493" w:rsidP="00597433">
            <w:pPr>
              <w:ind w:left="33"/>
              <w:rPr>
                <w:sz w:val="20"/>
                <w:szCs w:val="20"/>
              </w:rPr>
            </w:pPr>
            <w:r w:rsidRPr="00AE5DB3">
              <w:rPr>
                <w:sz w:val="20"/>
                <w:szCs w:val="20"/>
              </w:rPr>
              <w:t xml:space="preserve">13 </w:t>
            </w:r>
            <w:proofErr w:type="spellStart"/>
            <w:r w:rsidRPr="00AE5DB3">
              <w:rPr>
                <w:sz w:val="20"/>
                <w:szCs w:val="20"/>
              </w:rPr>
              <w:t>m</w:t>
            </w:r>
            <w:r w:rsidRPr="00AE5DB3">
              <w:rPr>
                <w:sz w:val="20"/>
                <w:szCs w:val="20"/>
                <w:vertAlign w:val="superscript"/>
              </w:rPr>
              <w:t>h</w:t>
            </w:r>
            <w:proofErr w:type="spellEnd"/>
          </w:p>
          <w:p w:rsidR="00605493" w:rsidRPr="00AE5DB3" w:rsidRDefault="00605493" w:rsidP="00597433">
            <w:pPr>
              <w:ind w:left="33"/>
              <w:rPr>
                <w:sz w:val="20"/>
                <w:szCs w:val="20"/>
              </w:rPr>
            </w:pPr>
            <w:r w:rsidRPr="00AE5DB3">
              <w:rPr>
                <w:sz w:val="20"/>
                <w:szCs w:val="20"/>
              </w:rPr>
              <w:t>[Not reached]</w:t>
            </w:r>
          </w:p>
        </w:tc>
        <w:tc>
          <w:tcPr>
            <w:tcW w:w="876" w:type="dxa"/>
          </w:tcPr>
          <w:p w:rsidR="00605493" w:rsidRPr="00AE5DB3" w:rsidRDefault="00605493" w:rsidP="00597433">
            <w:pPr>
              <w:ind w:left="33"/>
              <w:rPr>
                <w:sz w:val="20"/>
                <w:szCs w:val="20"/>
              </w:rPr>
            </w:pPr>
            <w:r w:rsidRPr="00AE5DB3">
              <w:rPr>
                <w:sz w:val="20"/>
                <w:szCs w:val="20"/>
              </w:rPr>
              <w:t>Not reached</w:t>
            </w:r>
          </w:p>
          <w:p w:rsidR="00605493" w:rsidRPr="00AE5DB3" w:rsidRDefault="00605493" w:rsidP="00597433">
            <w:pPr>
              <w:ind w:left="33"/>
              <w:rPr>
                <w:sz w:val="20"/>
                <w:szCs w:val="20"/>
              </w:rPr>
            </w:pPr>
            <w:r w:rsidRPr="00AE5DB3">
              <w:rPr>
                <w:sz w:val="20"/>
                <w:szCs w:val="20"/>
              </w:rPr>
              <w:t>[18.3 m]</w:t>
            </w:r>
            <w:r w:rsidRPr="00AE5DB3">
              <w:rPr>
                <w:sz w:val="20"/>
                <w:szCs w:val="20"/>
                <w:vertAlign w:val="superscript"/>
              </w:rPr>
              <w:t>h</w:t>
            </w:r>
          </w:p>
        </w:tc>
        <w:tc>
          <w:tcPr>
            <w:tcW w:w="1618" w:type="dxa"/>
            <w:gridSpan w:val="2"/>
          </w:tcPr>
          <w:p w:rsidR="00605493" w:rsidRPr="00AE5DB3" w:rsidRDefault="00605493" w:rsidP="00597433">
            <w:pPr>
              <w:ind w:left="30"/>
              <w:rPr>
                <w:sz w:val="20"/>
                <w:szCs w:val="20"/>
              </w:rPr>
            </w:pPr>
            <w:r w:rsidRPr="00AE5DB3">
              <w:rPr>
                <w:sz w:val="20"/>
                <w:szCs w:val="20"/>
              </w:rPr>
              <w:t>Not reached</w:t>
            </w:r>
          </w:p>
          <w:p w:rsidR="00605493" w:rsidRPr="00AE5DB3" w:rsidRDefault="00605493" w:rsidP="00597433">
            <w:pPr>
              <w:ind w:left="30"/>
              <w:rPr>
                <w:sz w:val="20"/>
                <w:szCs w:val="20"/>
              </w:rPr>
            </w:pPr>
            <w:r w:rsidRPr="00AE5DB3">
              <w:rPr>
                <w:sz w:val="20"/>
                <w:szCs w:val="20"/>
              </w:rPr>
              <w:t>[Not reached]</w:t>
            </w:r>
          </w:p>
        </w:tc>
        <w:tc>
          <w:tcPr>
            <w:tcW w:w="2571" w:type="dxa"/>
            <w:gridSpan w:val="3"/>
          </w:tcPr>
          <w:p w:rsidR="00605493" w:rsidRPr="00AE5DB3" w:rsidRDefault="00605493" w:rsidP="00597433">
            <w:pPr>
              <w:ind w:left="5"/>
              <w:rPr>
                <w:sz w:val="20"/>
                <w:szCs w:val="20"/>
              </w:rPr>
            </w:pPr>
            <w:r w:rsidRPr="00AE5DB3">
              <w:rPr>
                <w:sz w:val="20"/>
                <w:szCs w:val="20"/>
              </w:rPr>
              <w:t>Not reached</w:t>
            </w:r>
          </w:p>
          <w:p w:rsidR="00605493" w:rsidRPr="00AE5DB3" w:rsidRDefault="00605493" w:rsidP="00597433">
            <w:pPr>
              <w:ind w:left="5"/>
              <w:rPr>
                <w:sz w:val="20"/>
                <w:szCs w:val="20"/>
              </w:rPr>
            </w:pPr>
            <w:r w:rsidRPr="00AE5DB3">
              <w:rPr>
                <w:sz w:val="20"/>
                <w:szCs w:val="20"/>
              </w:rPr>
              <w:t>[Not reached]</w:t>
            </w:r>
          </w:p>
        </w:tc>
        <w:tc>
          <w:tcPr>
            <w:tcW w:w="921" w:type="dxa"/>
          </w:tcPr>
          <w:p w:rsidR="00605493" w:rsidRPr="00AE5DB3" w:rsidRDefault="00605493" w:rsidP="00597433">
            <w:pPr>
              <w:ind w:left="46"/>
              <w:rPr>
                <w:sz w:val="20"/>
                <w:szCs w:val="20"/>
              </w:rPr>
            </w:pPr>
            <w:r w:rsidRPr="00AE5DB3">
              <w:rPr>
                <w:sz w:val="20"/>
                <w:szCs w:val="20"/>
              </w:rPr>
              <w:t>[Not reached]</w:t>
            </w:r>
          </w:p>
        </w:tc>
        <w:tc>
          <w:tcPr>
            <w:tcW w:w="921" w:type="dxa"/>
          </w:tcPr>
          <w:p w:rsidR="00605493" w:rsidRPr="00AE5DB3" w:rsidRDefault="00605493" w:rsidP="00597433">
            <w:pPr>
              <w:ind w:left="46"/>
              <w:rPr>
                <w:sz w:val="20"/>
                <w:szCs w:val="20"/>
              </w:rPr>
            </w:pPr>
            <w:r w:rsidRPr="00AE5DB3">
              <w:rPr>
                <w:sz w:val="20"/>
                <w:szCs w:val="20"/>
              </w:rPr>
              <w:t>[Not reached]</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6-month OS</w:t>
            </w:r>
          </w:p>
        </w:tc>
        <w:tc>
          <w:tcPr>
            <w:tcW w:w="712" w:type="dxa"/>
          </w:tcPr>
          <w:p w:rsidR="00605493" w:rsidRPr="00AE5DB3" w:rsidRDefault="00605493" w:rsidP="00597433">
            <w:pPr>
              <w:ind w:left="33"/>
              <w:rPr>
                <w:sz w:val="20"/>
                <w:szCs w:val="20"/>
              </w:rPr>
            </w:pPr>
            <w:r w:rsidRPr="00AE5DB3">
              <w:rPr>
                <w:sz w:val="20"/>
                <w:szCs w:val="20"/>
              </w:rPr>
              <w:t>79%</w:t>
            </w:r>
          </w:p>
          <w:p w:rsidR="00605493" w:rsidRPr="00AE5DB3" w:rsidRDefault="00605493" w:rsidP="00597433">
            <w:pPr>
              <w:ind w:left="33"/>
              <w:rPr>
                <w:sz w:val="20"/>
                <w:szCs w:val="20"/>
              </w:rPr>
            </w:pPr>
            <w:r w:rsidRPr="00AE5DB3">
              <w:rPr>
                <w:sz w:val="20"/>
                <w:szCs w:val="20"/>
              </w:rPr>
              <w:t>[79%]</w:t>
            </w:r>
          </w:p>
        </w:tc>
        <w:tc>
          <w:tcPr>
            <w:tcW w:w="876" w:type="dxa"/>
          </w:tcPr>
          <w:p w:rsidR="00605493" w:rsidRPr="00AE5DB3" w:rsidRDefault="00605493" w:rsidP="00597433">
            <w:pPr>
              <w:ind w:left="33"/>
              <w:rPr>
                <w:sz w:val="20"/>
                <w:szCs w:val="20"/>
              </w:rPr>
            </w:pPr>
            <w:r w:rsidRPr="00AE5DB3">
              <w:rPr>
                <w:sz w:val="20"/>
                <w:szCs w:val="20"/>
              </w:rPr>
              <w:t>79%</w:t>
            </w:r>
          </w:p>
          <w:p w:rsidR="00605493" w:rsidRPr="00AE5DB3" w:rsidRDefault="00605493" w:rsidP="00597433">
            <w:pPr>
              <w:ind w:left="33"/>
              <w:rPr>
                <w:sz w:val="20"/>
                <w:szCs w:val="20"/>
              </w:rPr>
            </w:pPr>
            <w:r w:rsidRPr="00AE5DB3">
              <w:rPr>
                <w:sz w:val="20"/>
                <w:szCs w:val="20"/>
              </w:rPr>
              <w:t>[77%]</w:t>
            </w:r>
          </w:p>
        </w:tc>
        <w:tc>
          <w:tcPr>
            <w:tcW w:w="809" w:type="dxa"/>
          </w:tcPr>
          <w:p w:rsidR="00605493" w:rsidRPr="00AE5DB3" w:rsidRDefault="00605493" w:rsidP="00597433">
            <w:pPr>
              <w:ind w:left="30"/>
              <w:rPr>
                <w:sz w:val="20"/>
                <w:szCs w:val="20"/>
              </w:rPr>
            </w:pPr>
            <w:r w:rsidRPr="00AE5DB3">
              <w:rPr>
                <w:sz w:val="20"/>
                <w:szCs w:val="20"/>
              </w:rPr>
              <w:t>80%</w:t>
            </w:r>
          </w:p>
          <w:p w:rsidR="00605493" w:rsidRPr="00AE5DB3" w:rsidRDefault="00605493" w:rsidP="00597433">
            <w:pPr>
              <w:ind w:left="30"/>
              <w:rPr>
                <w:sz w:val="20"/>
                <w:szCs w:val="20"/>
              </w:rPr>
            </w:pPr>
            <w:r w:rsidRPr="00AE5DB3">
              <w:rPr>
                <w:sz w:val="20"/>
                <w:szCs w:val="20"/>
              </w:rPr>
              <w:t>[80%]</w:t>
            </w:r>
          </w:p>
        </w:tc>
        <w:tc>
          <w:tcPr>
            <w:tcW w:w="809" w:type="dxa"/>
          </w:tcPr>
          <w:p w:rsidR="00605493" w:rsidRPr="00AE5DB3" w:rsidRDefault="00605493" w:rsidP="00597433">
            <w:pPr>
              <w:ind w:left="30"/>
              <w:rPr>
                <w:sz w:val="20"/>
                <w:szCs w:val="20"/>
              </w:rPr>
            </w:pPr>
            <w:r w:rsidRPr="00AE5DB3">
              <w:rPr>
                <w:sz w:val="20"/>
                <w:szCs w:val="20"/>
              </w:rPr>
              <w:t>77%</w:t>
            </w:r>
          </w:p>
          <w:p w:rsidR="00605493" w:rsidRPr="00AE5DB3" w:rsidRDefault="00605493" w:rsidP="00597433">
            <w:pPr>
              <w:ind w:left="30"/>
              <w:rPr>
                <w:sz w:val="20"/>
                <w:szCs w:val="20"/>
              </w:rPr>
            </w:pPr>
            <w:r w:rsidRPr="00AE5DB3">
              <w:rPr>
                <w:sz w:val="20"/>
                <w:szCs w:val="20"/>
              </w:rPr>
              <w:t>[77%]</w:t>
            </w:r>
          </w:p>
        </w:tc>
        <w:tc>
          <w:tcPr>
            <w:tcW w:w="881" w:type="dxa"/>
          </w:tcPr>
          <w:p w:rsidR="00605493" w:rsidRPr="00AE5DB3" w:rsidRDefault="00605493" w:rsidP="00597433">
            <w:pPr>
              <w:ind w:left="5"/>
              <w:rPr>
                <w:sz w:val="20"/>
                <w:szCs w:val="20"/>
              </w:rPr>
            </w:pPr>
            <w:r w:rsidRPr="00AE5DB3">
              <w:rPr>
                <w:sz w:val="20"/>
                <w:szCs w:val="20"/>
              </w:rPr>
              <w:t>90.5%</w:t>
            </w:r>
          </w:p>
          <w:p w:rsidR="00605493" w:rsidRPr="00AE5DB3" w:rsidRDefault="00605493" w:rsidP="00597433">
            <w:pPr>
              <w:ind w:left="5"/>
              <w:rPr>
                <w:sz w:val="20"/>
                <w:szCs w:val="20"/>
              </w:rPr>
            </w:pPr>
            <w:r w:rsidRPr="00AE5DB3">
              <w:rPr>
                <w:sz w:val="20"/>
                <w:szCs w:val="20"/>
              </w:rPr>
              <w:t>[91%]</w:t>
            </w:r>
          </w:p>
        </w:tc>
        <w:tc>
          <w:tcPr>
            <w:tcW w:w="809" w:type="dxa"/>
          </w:tcPr>
          <w:p w:rsidR="00605493" w:rsidRPr="00AE5DB3" w:rsidRDefault="00605493" w:rsidP="00597433">
            <w:pPr>
              <w:ind w:left="5"/>
              <w:rPr>
                <w:sz w:val="20"/>
                <w:szCs w:val="20"/>
              </w:rPr>
            </w:pPr>
            <w:r w:rsidRPr="00AE5DB3">
              <w:rPr>
                <w:sz w:val="20"/>
                <w:szCs w:val="20"/>
              </w:rPr>
              <w:t>92.9%</w:t>
            </w:r>
          </w:p>
          <w:p w:rsidR="00605493" w:rsidRPr="00AE5DB3" w:rsidRDefault="00605493" w:rsidP="00597433">
            <w:pPr>
              <w:ind w:left="5"/>
              <w:rPr>
                <w:sz w:val="20"/>
                <w:szCs w:val="20"/>
              </w:rPr>
            </w:pPr>
            <w:r w:rsidRPr="00AE5DB3">
              <w:rPr>
                <w:sz w:val="20"/>
                <w:szCs w:val="20"/>
              </w:rPr>
              <w:t>[93%]</w:t>
            </w:r>
          </w:p>
        </w:tc>
        <w:tc>
          <w:tcPr>
            <w:tcW w:w="881" w:type="dxa"/>
          </w:tcPr>
          <w:p w:rsidR="00605493" w:rsidRPr="00AE5DB3" w:rsidRDefault="00605493" w:rsidP="00597433">
            <w:pPr>
              <w:ind w:left="5"/>
              <w:rPr>
                <w:sz w:val="20"/>
                <w:szCs w:val="20"/>
              </w:rPr>
            </w:pPr>
            <w:r w:rsidRPr="00AE5DB3">
              <w:rPr>
                <w:sz w:val="20"/>
                <w:szCs w:val="20"/>
              </w:rPr>
              <w:t>85.6%</w:t>
            </w:r>
          </w:p>
          <w:p w:rsidR="00605493" w:rsidRPr="00AE5DB3" w:rsidRDefault="00605493" w:rsidP="00597433">
            <w:pPr>
              <w:ind w:left="5"/>
              <w:rPr>
                <w:sz w:val="20"/>
                <w:szCs w:val="20"/>
              </w:rPr>
            </w:pPr>
            <w:r w:rsidRPr="00AE5DB3">
              <w:rPr>
                <w:sz w:val="20"/>
                <w:szCs w:val="20"/>
              </w:rPr>
              <w:t>[86%]</w:t>
            </w:r>
          </w:p>
        </w:tc>
        <w:tc>
          <w:tcPr>
            <w:tcW w:w="921" w:type="dxa"/>
          </w:tcPr>
          <w:p w:rsidR="00605493" w:rsidRPr="00AE5DB3" w:rsidRDefault="00605493" w:rsidP="00597433">
            <w:pPr>
              <w:ind w:left="46"/>
              <w:rPr>
                <w:sz w:val="20"/>
                <w:szCs w:val="20"/>
              </w:rPr>
            </w:pPr>
            <w:r w:rsidRPr="00AE5DB3">
              <w:rPr>
                <w:sz w:val="20"/>
                <w:szCs w:val="20"/>
              </w:rPr>
              <w:t>[75%]</w:t>
            </w:r>
          </w:p>
        </w:tc>
        <w:tc>
          <w:tcPr>
            <w:tcW w:w="921" w:type="dxa"/>
          </w:tcPr>
          <w:p w:rsidR="00605493" w:rsidRPr="00AE5DB3" w:rsidRDefault="00605493" w:rsidP="00597433">
            <w:pPr>
              <w:ind w:left="46"/>
              <w:rPr>
                <w:sz w:val="20"/>
                <w:szCs w:val="20"/>
              </w:rPr>
            </w:pPr>
            <w:r w:rsidRPr="00AE5DB3">
              <w:rPr>
                <w:sz w:val="20"/>
                <w:szCs w:val="20"/>
              </w:rPr>
              <w:t>[77%]</w:t>
            </w:r>
          </w:p>
        </w:tc>
      </w:tr>
      <w:tr w:rsidR="009D2A28" w:rsidRPr="00AE5DB3" w:rsidTr="00AE5DB3">
        <w:tc>
          <w:tcPr>
            <w:tcW w:w="1101" w:type="dxa"/>
          </w:tcPr>
          <w:p w:rsidR="00605493" w:rsidRPr="00AE5DB3" w:rsidRDefault="00605493" w:rsidP="00AE5DB3">
            <w:pPr>
              <w:ind w:left="0"/>
              <w:rPr>
                <w:sz w:val="20"/>
                <w:szCs w:val="20"/>
              </w:rPr>
            </w:pPr>
            <w:r w:rsidRPr="00AE5DB3">
              <w:rPr>
                <w:sz w:val="20"/>
                <w:szCs w:val="20"/>
              </w:rPr>
              <w:t>12-month OS</w:t>
            </w:r>
          </w:p>
        </w:tc>
        <w:tc>
          <w:tcPr>
            <w:tcW w:w="712" w:type="dxa"/>
          </w:tcPr>
          <w:p w:rsidR="00605493" w:rsidRPr="00AE5DB3" w:rsidRDefault="00605493" w:rsidP="00597433">
            <w:pPr>
              <w:ind w:left="33"/>
              <w:rPr>
                <w:sz w:val="20"/>
                <w:szCs w:val="20"/>
              </w:rPr>
            </w:pPr>
            <w:r w:rsidRPr="00AE5DB3">
              <w:rPr>
                <w:sz w:val="20"/>
                <w:szCs w:val="20"/>
              </w:rPr>
              <w:t>*</w:t>
            </w:r>
          </w:p>
          <w:p w:rsidR="00605493" w:rsidRPr="00AE5DB3" w:rsidRDefault="00605493" w:rsidP="00597433">
            <w:pPr>
              <w:ind w:left="33"/>
              <w:rPr>
                <w:sz w:val="20"/>
                <w:szCs w:val="20"/>
              </w:rPr>
            </w:pPr>
            <w:r w:rsidRPr="00AE5DB3">
              <w:rPr>
                <w:sz w:val="20"/>
                <w:szCs w:val="20"/>
              </w:rPr>
              <w:t>[60%]</w:t>
            </w:r>
          </w:p>
        </w:tc>
        <w:tc>
          <w:tcPr>
            <w:tcW w:w="876" w:type="dxa"/>
          </w:tcPr>
          <w:p w:rsidR="00605493" w:rsidRPr="00AE5DB3" w:rsidRDefault="00605493" w:rsidP="00597433">
            <w:pPr>
              <w:ind w:left="33"/>
              <w:rPr>
                <w:sz w:val="20"/>
                <w:szCs w:val="20"/>
              </w:rPr>
            </w:pPr>
            <w:r w:rsidRPr="00AE5DB3">
              <w:rPr>
                <w:sz w:val="20"/>
                <w:szCs w:val="20"/>
              </w:rPr>
              <w:t>*</w:t>
            </w:r>
          </w:p>
          <w:p w:rsidR="00605493" w:rsidRPr="00AE5DB3" w:rsidRDefault="00605493" w:rsidP="00597433">
            <w:pPr>
              <w:ind w:left="33"/>
              <w:rPr>
                <w:sz w:val="20"/>
                <w:szCs w:val="20"/>
              </w:rPr>
            </w:pPr>
            <w:r w:rsidRPr="00AE5DB3">
              <w:rPr>
                <w:sz w:val="20"/>
                <w:szCs w:val="20"/>
              </w:rPr>
              <w:t>[62%]</w:t>
            </w:r>
          </w:p>
        </w:tc>
        <w:tc>
          <w:tcPr>
            <w:tcW w:w="809" w:type="dxa"/>
          </w:tcPr>
          <w:p w:rsidR="00605493" w:rsidRPr="00AE5DB3" w:rsidRDefault="00605493" w:rsidP="00597433">
            <w:pPr>
              <w:ind w:left="30"/>
              <w:rPr>
                <w:sz w:val="20"/>
                <w:szCs w:val="20"/>
              </w:rPr>
            </w:pPr>
            <w:r w:rsidRPr="00AE5DB3">
              <w:rPr>
                <w:sz w:val="20"/>
                <w:szCs w:val="20"/>
              </w:rPr>
              <w:t>*</w:t>
            </w:r>
          </w:p>
          <w:p w:rsidR="00605493" w:rsidRPr="00AE5DB3" w:rsidRDefault="00605493" w:rsidP="00597433">
            <w:pPr>
              <w:ind w:left="30"/>
              <w:rPr>
                <w:sz w:val="20"/>
                <w:szCs w:val="20"/>
              </w:rPr>
            </w:pPr>
            <w:r w:rsidRPr="00AE5DB3">
              <w:rPr>
                <w:sz w:val="20"/>
                <w:szCs w:val="20"/>
              </w:rPr>
              <w:t>[72%]</w:t>
            </w:r>
          </w:p>
        </w:tc>
        <w:tc>
          <w:tcPr>
            <w:tcW w:w="809" w:type="dxa"/>
          </w:tcPr>
          <w:p w:rsidR="00605493" w:rsidRPr="00AE5DB3" w:rsidRDefault="00605493" w:rsidP="00597433">
            <w:pPr>
              <w:ind w:left="30"/>
              <w:rPr>
                <w:sz w:val="20"/>
                <w:szCs w:val="20"/>
              </w:rPr>
            </w:pPr>
            <w:r w:rsidRPr="00AE5DB3">
              <w:rPr>
                <w:sz w:val="20"/>
                <w:szCs w:val="20"/>
              </w:rPr>
              <w:t>*</w:t>
            </w:r>
          </w:p>
          <w:p w:rsidR="00605493" w:rsidRPr="00AE5DB3" w:rsidRDefault="00605493" w:rsidP="00597433">
            <w:pPr>
              <w:ind w:left="30"/>
              <w:rPr>
                <w:sz w:val="20"/>
                <w:szCs w:val="20"/>
              </w:rPr>
            </w:pPr>
            <w:r w:rsidRPr="00AE5DB3">
              <w:rPr>
                <w:sz w:val="20"/>
                <w:szCs w:val="20"/>
              </w:rPr>
              <w:t>[64%]</w:t>
            </w:r>
          </w:p>
        </w:tc>
        <w:tc>
          <w:tcPr>
            <w:tcW w:w="881" w:type="dxa"/>
          </w:tcPr>
          <w:p w:rsidR="00605493" w:rsidRPr="00AE5DB3" w:rsidRDefault="00605493" w:rsidP="00597433">
            <w:pPr>
              <w:ind w:left="5"/>
              <w:rPr>
                <w:sz w:val="20"/>
                <w:szCs w:val="20"/>
              </w:rPr>
            </w:pPr>
            <w:r w:rsidRPr="00AE5DB3">
              <w:rPr>
                <w:sz w:val="20"/>
                <w:szCs w:val="20"/>
              </w:rPr>
              <w:t>86%</w:t>
            </w:r>
          </w:p>
          <w:p w:rsidR="00605493" w:rsidRPr="00AE5DB3" w:rsidRDefault="00605493" w:rsidP="00597433">
            <w:pPr>
              <w:ind w:left="5"/>
              <w:rPr>
                <w:sz w:val="20"/>
                <w:szCs w:val="20"/>
              </w:rPr>
            </w:pPr>
            <w:r w:rsidRPr="00AE5DB3">
              <w:rPr>
                <w:sz w:val="20"/>
                <w:szCs w:val="20"/>
              </w:rPr>
              <w:t>[86%]</w:t>
            </w:r>
          </w:p>
        </w:tc>
        <w:tc>
          <w:tcPr>
            <w:tcW w:w="809" w:type="dxa"/>
          </w:tcPr>
          <w:p w:rsidR="00605493" w:rsidRPr="00AE5DB3" w:rsidRDefault="00605493" w:rsidP="00597433">
            <w:pPr>
              <w:ind w:left="5"/>
              <w:rPr>
                <w:sz w:val="20"/>
                <w:szCs w:val="20"/>
              </w:rPr>
            </w:pPr>
            <w:r w:rsidRPr="00AE5DB3">
              <w:rPr>
                <w:sz w:val="20"/>
                <w:szCs w:val="20"/>
              </w:rPr>
              <w:t>79%</w:t>
            </w:r>
          </w:p>
          <w:p w:rsidR="00605493" w:rsidRPr="00AE5DB3" w:rsidRDefault="00605493" w:rsidP="00597433">
            <w:pPr>
              <w:ind w:left="5"/>
              <w:rPr>
                <w:sz w:val="20"/>
                <w:szCs w:val="20"/>
              </w:rPr>
            </w:pPr>
            <w:r w:rsidRPr="00AE5DB3">
              <w:rPr>
                <w:sz w:val="20"/>
                <w:szCs w:val="20"/>
              </w:rPr>
              <w:t>[79%]</w:t>
            </w:r>
          </w:p>
        </w:tc>
        <w:tc>
          <w:tcPr>
            <w:tcW w:w="881" w:type="dxa"/>
          </w:tcPr>
          <w:p w:rsidR="00605493" w:rsidRPr="00AE5DB3" w:rsidRDefault="00605493" w:rsidP="00597433">
            <w:pPr>
              <w:ind w:left="5"/>
              <w:rPr>
                <w:sz w:val="20"/>
                <w:szCs w:val="20"/>
              </w:rPr>
            </w:pPr>
            <w:r w:rsidRPr="00AE5DB3">
              <w:rPr>
                <w:sz w:val="20"/>
                <w:szCs w:val="20"/>
              </w:rPr>
              <w:t>82%</w:t>
            </w:r>
          </w:p>
          <w:p w:rsidR="00605493" w:rsidRPr="00AE5DB3" w:rsidRDefault="00605493" w:rsidP="00597433">
            <w:pPr>
              <w:ind w:left="5"/>
              <w:rPr>
                <w:sz w:val="20"/>
                <w:szCs w:val="20"/>
              </w:rPr>
            </w:pPr>
            <w:r w:rsidRPr="00AE5DB3">
              <w:rPr>
                <w:sz w:val="20"/>
                <w:szCs w:val="20"/>
              </w:rPr>
              <w:t>[82%]</w:t>
            </w:r>
          </w:p>
        </w:tc>
        <w:tc>
          <w:tcPr>
            <w:tcW w:w="921" w:type="dxa"/>
          </w:tcPr>
          <w:p w:rsidR="00605493" w:rsidRPr="00AE5DB3" w:rsidRDefault="00605493" w:rsidP="00597433">
            <w:pPr>
              <w:ind w:left="46"/>
              <w:rPr>
                <w:sz w:val="20"/>
                <w:szCs w:val="20"/>
              </w:rPr>
            </w:pPr>
            <w:r w:rsidRPr="00AE5DB3">
              <w:rPr>
                <w:sz w:val="20"/>
                <w:szCs w:val="20"/>
              </w:rPr>
              <w:t>[</w:t>
            </w:r>
            <w:r w:rsidRPr="00AE5DB3">
              <w:rPr>
                <w:i/>
                <w:sz w:val="20"/>
                <w:szCs w:val="20"/>
              </w:rPr>
              <w:t>NA</w:t>
            </w:r>
            <w:r w:rsidRPr="00AE5DB3">
              <w:rPr>
                <w:sz w:val="20"/>
                <w:szCs w:val="20"/>
              </w:rPr>
              <w:t>]</w:t>
            </w:r>
          </w:p>
        </w:tc>
        <w:tc>
          <w:tcPr>
            <w:tcW w:w="921" w:type="dxa"/>
          </w:tcPr>
          <w:p w:rsidR="00605493" w:rsidRPr="00AE5DB3" w:rsidRDefault="00605493" w:rsidP="00597433">
            <w:pPr>
              <w:ind w:left="46"/>
              <w:rPr>
                <w:sz w:val="20"/>
                <w:szCs w:val="20"/>
              </w:rPr>
            </w:pPr>
            <w:r w:rsidRPr="00AE5DB3">
              <w:rPr>
                <w:sz w:val="20"/>
                <w:szCs w:val="20"/>
              </w:rPr>
              <w:t>[</w:t>
            </w:r>
            <w:r w:rsidRPr="00AE5DB3">
              <w:rPr>
                <w:i/>
                <w:sz w:val="20"/>
                <w:szCs w:val="20"/>
              </w:rPr>
              <w:t>NA</w:t>
            </w:r>
            <w:r w:rsidRPr="00AE5DB3">
              <w:rPr>
                <w:sz w:val="20"/>
                <w:szCs w:val="20"/>
              </w:rPr>
              <w:t>]</w:t>
            </w:r>
          </w:p>
        </w:tc>
      </w:tr>
    </w:tbl>
    <w:p w:rsidR="00C35842" w:rsidRDefault="00C35842" w:rsidP="00C35842">
      <w:pPr>
        <w:pStyle w:val="TableDescription"/>
      </w:pPr>
      <w:r w:rsidRPr="00605493">
        <w:t>In normal font are outcomes from the 18 October 2013 data-cut off analysis (per I</w:t>
      </w:r>
      <w:r w:rsidR="00562005" w:rsidRPr="00562005">
        <w:t xml:space="preserve"> </w:t>
      </w:r>
      <w:r w:rsidR="00562005">
        <w:t>independent radiology and oncology review</w:t>
      </w:r>
      <w:r w:rsidR="00562005" w:rsidRPr="00605493">
        <w:t xml:space="preserve"> </w:t>
      </w:r>
      <w:r w:rsidRPr="00605493">
        <w:t xml:space="preserve">RO in the </w:t>
      </w:r>
      <w:r w:rsidR="00F236AD">
        <w:t>All patients as treated</w:t>
      </w:r>
      <w:r w:rsidR="00F236AD" w:rsidRPr="00605493">
        <w:t xml:space="preserve"> </w:t>
      </w:r>
      <w:r w:rsidR="00F236AD">
        <w:t>(</w:t>
      </w:r>
      <w:proofErr w:type="spellStart"/>
      <w:r w:rsidRPr="00605493">
        <w:t>APaT</w:t>
      </w:r>
      <w:proofErr w:type="spellEnd"/>
      <w:r w:rsidR="00F236AD">
        <w:t>)</w:t>
      </w:r>
      <w:r w:rsidRPr="00605493">
        <w:t xml:space="preserve"> population, chosen ahead of </w:t>
      </w:r>
      <w:r w:rsidR="007B720C">
        <w:t>Full analysis set</w:t>
      </w:r>
      <w:r w:rsidR="007B720C" w:rsidRPr="00605493">
        <w:t xml:space="preserve"> </w:t>
      </w:r>
      <w:r w:rsidR="007B720C">
        <w:t>(</w:t>
      </w:r>
      <w:r w:rsidRPr="00605493">
        <w:t>FAS</w:t>
      </w:r>
      <w:r w:rsidR="007B720C">
        <w:t>)</w:t>
      </w:r>
      <w:r w:rsidRPr="00605493">
        <w:t xml:space="preserve"> for comparability with data from 18 April 2014 </w:t>
      </w:r>
      <w:r w:rsidR="00C22866">
        <w:t>cut off</w:t>
      </w:r>
      <w:r w:rsidRPr="00605493">
        <w:t>).</w:t>
      </w:r>
      <w:r w:rsidR="004B5A48">
        <w:t xml:space="preserve"> </w:t>
      </w:r>
      <w:r w:rsidRPr="00605493">
        <w:t xml:space="preserve">In </w:t>
      </w:r>
      <w:r w:rsidRPr="001A622E">
        <w:rPr>
          <w:b/>
        </w:rPr>
        <w:t xml:space="preserve">[parentheses and </w:t>
      </w:r>
      <w:r w:rsidR="001A622E" w:rsidRPr="001A622E">
        <w:rPr>
          <w:b/>
        </w:rPr>
        <w:t>bold</w:t>
      </w:r>
      <w:r w:rsidRPr="001A622E">
        <w:rPr>
          <w:b/>
        </w:rPr>
        <w:t>]</w:t>
      </w:r>
      <w:r w:rsidRPr="00605493">
        <w:t xml:space="preserve"> are outcomes from the 18 April 2014 update, using IRO / </w:t>
      </w:r>
      <w:proofErr w:type="spellStart"/>
      <w:r w:rsidRPr="00605493">
        <w:t>APaT</w:t>
      </w:r>
      <w:proofErr w:type="spellEnd"/>
      <w:r w:rsidRPr="00605493">
        <w:t>.</w:t>
      </w:r>
    </w:p>
    <w:p w:rsidR="00605493" w:rsidRPr="00537558" w:rsidRDefault="00537558" w:rsidP="00537558">
      <w:pPr>
        <w:pStyle w:val="TableDescription"/>
      </w:pPr>
      <w:proofErr w:type="spellStart"/>
      <w:r w:rsidRPr="00605493">
        <w:t>a</w:t>
      </w:r>
      <w:proofErr w:type="spellEnd"/>
      <w:r w:rsidRPr="00605493">
        <w:t xml:space="preserve"> All these patients were IPI-naïve</w:t>
      </w:r>
      <w:r>
        <w:t xml:space="preserve"> </w:t>
      </w:r>
      <w:r w:rsidRPr="00605493">
        <w:t>b Mix of IPI-naïve and IPI-treated</w:t>
      </w:r>
      <w:r>
        <w:t xml:space="preserve"> </w:t>
      </w:r>
      <w:r w:rsidRPr="00605493">
        <w:t xml:space="preserve">c Including 2 </w:t>
      </w:r>
      <w:r w:rsidR="00F236AD">
        <w:t>complete responses</w:t>
      </w:r>
      <w:r w:rsidR="00F236AD" w:rsidRPr="00605493">
        <w:t xml:space="preserve"> </w:t>
      </w:r>
      <w:r w:rsidR="00F236AD">
        <w:t>(</w:t>
      </w:r>
      <w:r w:rsidRPr="00605493">
        <w:t>CRs</w:t>
      </w:r>
      <w:r w:rsidR="00F236AD">
        <w:t>)</w:t>
      </w:r>
      <w:r w:rsidRPr="00605493">
        <w:t xml:space="preserve"> in subjects excluded from FAS due to unmeasurable baseline disease (in the 10 mg/kg arm)</w:t>
      </w:r>
      <w:r>
        <w:t xml:space="preserve"> </w:t>
      </w:r>
      <w:r w:rsidRPr="00605493">
        <w:t>d Including 5 CRs in 19 subjects excluded from FAS due to unmeasurable baseline disease</w:t>
      </w:r>
      <w:r>
        <w:t xml:space="preserve"> </w:t>
      </w:r>
      <w:r w:rsidRPr="00605493">
        <w:t>e Median not reached.</w:t>
      </w:r>
      <w:r>
        <w:t xml:space="preserve"> </w:t>
      </w:r>
      <w:proofErr w:type="gramStart"/>
      <w:r w:rsidRPr="00605493">
        <w:t>f</w:t>
      </w:r>
      <w:proofErr w:type="gramEnd"/>
      <w:r w:rsidRPr="00605493">
        <w:t xml:space="preserve"> See below for PFS curves.</w:t>
      </w:r>
      <w:r w:rsidR="00987E81">
        <w:t xml:space="preserve"> </w:t>
      </w:r>
      <w:r w:rsidRPr="00605493">
        <w:t xml:space="preserve">Impact of </w:t>
      </w:r>
      <w:r w:rsidR="00B21A3A">
        <w:t>Week</w:t>
      </w:r>
      <w:r w:rsidRPr="00605493">
        <w:t xml:space="preserve"> 12 imaging is apparent.</w:t>
      </w:r>
      <w:r>
        <w:t xml:space="preserve"> </w:t>
      </w:r>
      <w:proofErr w:type="gramStart"/>
      <w:r w:rsidRPr="00605493">
        <w:t>g</w:t>
      </w:r>
      <w:proofErr w:type="gramEnd"/>
      <w:r w:rsidRPr="00605493">
        <w:t xml:space="preserve"> See below for OS curve (pooled across B2, D and B1 subjects)</w:t>
      </w:r>
      <w:r>
        <w:t xml:space="preserve"> </w:t>
      </w:r>
      <w:r w:rsidRPr="00605493">
        <w:t>h Considered an unstable estimate by the sponsor due to small sample size.</w:t>
      </w:r>
      <w:r>
        <w:t xml:space="preserve"> </w:t>
      </w:r>
      <w:r w:rsidRPr="00605493">
        <w:t xml:space="preserve">* </w:t>
      </w:r>
      <w:proofErr w:type="gramStart"/>
      <w:r w:rsidRPr="00605493">
        <w:t>heavy</w:t>
      </w:r>
      <w:proofErr w:type="gramEnd"/>
      <w:r w:rsidRPr="00605493">
        <w:t xml:space="preserve"> censoring at initial </w:t>
      </w:r>
      <w:r w:rsidR="00C22866">
        <w:t>cut off</w:t>
      </w:r>
      <w:r w:rsidRPr="00605493">
        <w:t xml:space="preserve"> (18 October 2013)</w:t>
      </w:r>
      <w:r w:rsidR="00804C85">
        <w:t xml:space="preserve"> OS = Overall Survival</w:t>
      </w:r>
    </w:p>
    <w:p w:rsidR="00537558" w:rsidRPr="00537558" w:rsidRDefault="00537558" w:rsidP="00597433">
      <w:pPr>
        <w:pageBreakBefore/>
      </w:pPr>
      <w:r w:rsidRPr="00537558">
        <w:lastRenderedPageBreak/>
        <w:t>The sponsor attributed the higher point estimates in B1 (</w:t>
      </w:r>
      <w:r w:rsidR="00B85B18">
        <w:t>for example</w:t>
      </w:r>
      <w:r w:rsidR="00B21A3A">
        <w:t xml:space="preserve"> compare B2 2 mg/kg </w:t>
      </w:r>
      <w:r w:rsidRPr="00537558">
        <w:t>Q3W and B1 2 mg/kg Q3W, both in IPI-naïve subjects) to longer follow-up in B1.</w:t>
      </w:r>
    </w:p>
    <w:p w:rsidR="00537558" w:rsidRPr="00537558" w:rsidRDefault="00537558" w:rsidP="00537558">
      <w:pPr>
        <w:pStyle w:val="Heading7"/>
      </w:pPr>
      <w:r w:rsidRPr="00537558">
        <w:t>Time to response</w:t>
      </w:r>
    </w:p>
    <w:p w:rsidR="00537558" w:rsidRPr="002832C6" w:rsidRDefault="00537558" w:rsidP="002832C6">
      <w:r w:rsidRPr="002832C6">
        <w:t xml:space="preserve">In B2 and D, amongst responders, response was typically noted at first assessment, around </w:t>
      </w:r>
      <w:r w:rsidR="00B21A3A" w:rsidRPr="002832C6">
        <w:t>Week</w:t>
      </w:r>
      <w:r w:rsidRPr="002832C6">
        <w:t xml:space="preserve"> 12.</w:t>
      </w:r>
      <w:r w:rsidR="00987E81" w:rsidRPr="002832C6">
        <w:t xml:space="preserve"> </w:t>
      </w:r>
      <w:r w:rsidRPr="002832C6">
        <w:t xml:space="preserve">In sub-study B1 (with longer follow-up), response was typical at </w:t>
      </w:r>
      <w:r w:rsidR="00B21A3A" w:rsidRPr="002832C6">
        <w:t>Week</w:t>
      </w:r>
      <w:r w:rsidRPr="002832C6">
        <w:t xml:space="preserve"> 12 but there were examples of late response</w:t>
      </w:r>
      <w:r w:rsidR="00C0003C" w:rsidRPr="002832C6">
        <w:t xml:space="preserve">s (4 </w:t>
      </w:r>
      <w:r w:rsidR="002F5E51" w:rsidRPr="002832C6">
        <w:t>partial responses (</w:t>
      </w:r>
      <w:r w:rsidR="00C0003C" w:rsidRPr="002832C6">
        <w:t>PRs</w:t>
      </w:r>
      <w:r w:rsidR="002F5E51" w:rsidRPr="002832C6">
        <w:t>)</w:t>
      </w:r>
      <w:r w:rsidR="00C0003C" w:rsidRPr="002832C6">
        <w:t xml:space="preserve"> and 6 </w:t>
      </w:r>
      <w:r w:rsidR="00F236AD" w:rsidRPr="002832C6">
        <w:t>complete responses (</w:t>
      </w:r>
      <w:r w:rsidR="00C0003C" w:rsidRPr="002832C6">
        <w:t>CRs</w:t>
      </w:r>
      <w:r w:rsidR="00F236AD" w:rsidRPr="002832C6">
        <w:t>)</w:t>
      </w:r>
      <w:r w:rsidR="00C0003C" w:rsidRPr="002832C6">
        <w:t xml:space="preserve"> at or after Wee</w:t>
      </w:r>
      <w:r w:rsidRPr="002832C6">
        <w:t>k 36).</w:t>
      </w:r>
      <w:r w:rsidR="00987E81" w:rsidRPr="002832C6">
        <w:t xml:space="preserve"> </w:t>
      </w:r>
      <w:r w:rsidRPr="002832C6">
        <w:t>In the 18 April 2014 update, there was evidence that some PRs were converting to CRs over time.</w:t>
      </w:r>
    </w:p>
    <w:p w:rsidR="00537558" w:rsidRPr="00537558" w:rsidRDefault="00537558" w:rsidP="00537558">
      <w:pPr>
        <w:pStyle w:val="Heading7"/>
      </w:pPr>
      <w:r w:rsidRPr="00537558">
        <w:t>Durability of response</w:t>
      </w:r>
    </w:p>
    <w:p w:rsidR="00537558" w:rsidRPr="00537558" w:rsidRDefault="00F92586" w:rsidP="00537558">
      <w:r>
        <w:t>Objective response rates</w:t>
      </w:r>
      <w:r w:rsidRPr="00537558">
        <w:t xml:space="preserve"> </w:t>
      </w:r>
      <w:r>
        <w:t>(</w:t>
      </w:r>
      <w:r w:rsidR="00537558" w:rsidRPr="00537558">
        <w:t>ORRs</w:t>
      </w:r>
      <w:r>
        <w:t>)</w:t>
      </w:r>
      <w:r w:rsidR="00537558" w:rsidRPr="00537558">
        <w:t xml:space="preserve"> are better than historically low ORRs seen with chemotherapy, but are not high in absolute terms.</w:t>
      </w:r>
      <w:r w:rsidR="00987E81">
        <w:t xml:space="preserve"> </w:t>
      </w:r>
      <w:r w:rsidR="00537558" w:rsidRPr="00537558">
        <w:t>The sponsor argues that responses are durable (</w:t>
      </w:r>
      <w:r w:rsidR="00C0003C">
        <w:t>compared with</w:t>
      </w:r>
      <w:r w:rsidR="00537558" w:rsidRPr="00537558">
        <w:t xml:space="preserve"> BRAF inhibitor monotherapy, where ORRs are high but not typically durable).</w:t>
      </w:r>
      <w:r w:rsidR="00987E81">
        <w:t xml:space="preserve"> </w:t>
      </w:r>
      <w:r w:rsidR="00537558" w:rsidRPr="00537558">
        <w:t>Median duration of response has not been reached.</w:t>
      </w:r>
      <w:r w:rsidR="00987E81">
        <w:t xml:space="preserve"> </w:t>
      </w:r>
      <w:r w:rsidR="00537558" w:rsidRPr="00537558">
        <w:t xml:space="preserve">Short follow-up does not allow durability of response to be well characterised, but most responses were ongoing at the data </w:t>
      </w:r>
      <w:r w:rsidR="00C22866">
        <w:t>cut off</w:t>
      </w:r>
      <w:r w:rsidR="00537558" w:rsidRPr="00537558">
        <w:t>.</w:t>
      </w:r>
    </w:p>
    <w:p w:rsidR="00537558" w:rsidRPr="002832C6" w:rsidRDefault="00C0003C" w:rsidP="00537558">
      <w:r>
        <w:t xml:space="preserve">In B2, only 4 out of </w:t>
      </w:r>
      <w:r w:rsidR="00537558" w:rsidRPr="00537558">
        <w:t>41 patients with a confirmed response have had subsequen</w:t>
      </w:r>
      <w:r>
        <w:t xml:space="preserve">t progression (approximately 10 to </w:t>
      </w:r>
      <w:r w:rsidR="00537558" w:rsidRPr="00537558">
        <w:t>25 weeks after response).</w:t>
      </w:r>
      <w:r w:rsidR="00987E81">
        <w:t xml:space="preserve"> </w:t>
      </w:r>
      <w:r>
        <w:t xml:space="preserve">In D, only 2 out of </w:t>
      </w:r>
      <w:r w:rsidR="00537558" w:rsidRPr="00537558">
        <w:t>36 patients with a confirmed response have had subsequent progression; one of these had attained CR</w:t>
      </w:r>
      <w:r w:rsidR="00537558" w:rsidRPr="002832C6">
        <w:t>.</w:t>
      </w:r>
      <w:r w:rsidR="00987E81" w:rsidRPr="002832C6">
        <w:t xml:space="preserve"> </w:t>
      </w:r>
      <w:r w:rsidR="00537558" w:rsidRPr="002832C6">
        <w:t xml:space="preserve">In the 18 April 2014 update, median </w:t>
      </w:r>
      <w:r w:rsidR="007B720C" w:rsidRPr="002832C6">
        <w:t xml:space="preserve">duration of response </w:t>
      </w:r>
      <w:proofErr w:type="spellStart"/>
      <w:r w:rsidR="00537558" w:rsidRPr="002832C6">
        <w:t>DoR</w:t>
      </w:r>
      <w:proofErr w:type="spellEnd"/>
      <w:r w:rsidR="00537558" w:rsidRPr="002832C6">
        <w:t xml:space="preserve"> was s</w:t>
      </w:r>
      <w:r w:rsidRPr="002832C6">
        <w:t xml:space="preserve">till not reached in B2 or D; 83 to </w:t>
      </w:r>
      <w:r w:rsidR="00537558" w:rsidRPr="002832C6">
        <w:t xml:space="preserve">90% of responders were non-progressing at the </w:t>
      </w:r>
      <w:r w:rsidR="00C22866">
        <w:t>cut off</w:t>
      </w:r>
      <w:r w:rsidR="00537558" w:rsidRPr="002832C6">
        <w:t>, dow</w:t>
      </w:r>
      <w:r w:rsidRPr="002832C6">
        <w:t xml:space="preserve">n from 90 to </w:t>
      </w:r>
      <w:r w:rsidR="002832C6">
        <w:t>94%.</w:t>
      </w:r>
    </w:p>
    <w:p w:rsidR="00537558" w:rsidRPr="002832C6" w:rsidRDefault="00537558" w:rsidP="002832C6">
      <w:r w:rsidRPr="00537558">
        <w:t>In B1 there has been longer follow up than in B2 and D.</w:t>
      </w:r>
      <w:r w:rsidR="00987E81">
        <w:t xml:space="preserve"> </w:t>
      </w:r>
      <w:r w:rsidRPr="00537558">
        <w:t>The</w:t>
      </w:r>
      <w:r w:rsidR="00C0003C">
        <w:t xml:space="preserve">re was progressive disease in 5 out of </w:t>
      </w:r>
      <w:r w:rsidRPr="00537558">
        <w:t>53 responders.</w:t>
      </w:r>
      <w:r w:rsidR="00987E81">
        <w:t xml:space="preserve"> </w:t>
      </w:r>
      <w:r w:rsidRPr="00537558">
        <w:t>Some subjects had not progressed despite discontinuing treatment</w:t>
      </w:r>
      <w:r w:rsidRPr="00CF0F5E">
        <w:t>.</w:t>
      </w:r>
      <w:r w:rsidR="00987E81">
        <w:t xml:space="preserve"> </w:t>
      </w:r>
      <w:r w:rsidRPr="002832C6">
        <w:t xml:space="preserve">In the 18 April 2014 update, median </w:t>
      </w:r>
      <w:proofErr w:type="spellStart"/>
      <w:r w:rsidRPr="002832C6">
        <w:t>DoR</w:t>
      </w:r>
      <w:proofErr w:type="spellEnd"/>
      <w:r w:rsidRPr="002832C6">
        <w:t xml:space="preserve"> was still not reached; 73% of responders were non-progressing</w:t>
      </w:r>
      <w:r w:rsidR="002832C6">
        <w:t xml:space="preserve"> at the </w:t>
      </w:r>
      <w:r w:rsidR="00C22866">
        <w:t>cut off</w:t>
      </w:r>
      <w:r w:rsidR="002832C6">
        <w:t>, down from 91%.</w:t>
      </w:r>
    </w:p>
    <w:p w:rsidR="00537558" w:rsidRPr="002832C6" w:rsidRDefault="00537558" w:rsidP="002832C6">
      <w:r w:rsidRPr="002832C6">
        <w:t>In the 18 April 2014 update, based on Kaplan-Meier estimation, 82% of responders had a response lasting &gt;</w:t>
      </w:r>
      <w:r w:rsidR="00C0003C" w:rsidRPr="002832C6">
        <w:t xml:space="preserve"> </w:t>
      </w:r>
      <w:r w:rsidRPr="002832C6">
        <w:t>1 y</w:t>
      </w:r>
      <w:r w:rsidR="00C0003C" w:rsidRPr="002832C6">
        <w:t>ea</w:t>
      </w:r>
      <w:r w:rsidR="002832C6">
        <w:t>r.</w:t>
      </w:r>
    </w:p>
    <w:p w:rsidR="00537558" w:rsidRPr="00537558" w:rsidRDefault="002832C6" w:rsidP="00537558">
      <w:pPr>
        <w:pStyle w:val="Heading7"/>
      </w:pPr>
      <w:r>
        <w:t xml:space="preserve">Progression </w:t>
      </w:r>
      <w:r w:rsidR="00537558" w:rsidRPr="00537558">
        <w:t>free survival curves</w:t>
      </w:r>
    </w:p>
    <w:p w:rsidR="00537558" w:rsidRPr="00537558" w:rsidRDefault="00F47237" w:rsidP="00537558">
      <w:pPr>
        <w:pStyle w:val="FigureTitle"/>
      </w:pPr>
      <w:proofErr w:type="gramStart"/>
      <w:r>
        <w:t>Figure 5.</w:t>
      </w:r>
      <w:proofErr w:type="gramEnd"/>
      <w:r w:rsidR="00537558">
        <w:t xml:space="preserve"> </w:t>
      </w:r>
      <w:r w:rsidR="00537558" w:rsidRPr="00537558">
        <w:t xml:space="preserve">Kaplan-Meier </w:t>
      </w:r>
      <w:r w:rsidR="002832C6">
        <w:t xml:space="preserve">estimates of progression </w:t>
      </w:r>
      <w:r w:rsidRPr="00537558">
        <w:t xml:space="preserve">free survival based </w:t>
      </w:r>
      <w:r w:rsidR="00537558" w:rsidRPr="00537558">
        <w:t xml:space="preserve">on IRO </w:t>
      </w:r>
      <w:r>
        <w:t>a</w:t>
      </w:r>
      <w:r w:rsidR="00537558" w:rsidRPr="00537558">
        <w:t xml:space="preserve">ssessment per RECIST 1.1 Part B1 </w:t>
      </w:r>
      <w:r>
        <w:t>p</w:t>
      </w:r>
      <w:r w:rsidR="00537558" w:rsidRPr="00537558">
        <w:t>atients (</w:t>
      </w:r>
      <w:proofErr w:type="spellStart"/>
      <w:r w:rsidR="00537558" w:rsidRPr="00537558">
        <w:t>APaT</w:t>
      </w:r>
      <w:proofErr w:type="spellEnd"/>
      <w:r w:rsidR="00537558" w:rsidRPr="00537558">
        <w:t xml:space="preserve"> </w:t>
      </w:r>
      <w:r>
        <w:t>p</w:t>
      </w:r>
      <w:r w:rsidR="00537558" w:rsidRPr="00537558">
        <w:t>opulation)</w:t>
      </w:r>
    </w:p>
    <w:p w:rsidR="00605493" w:rsidRPr="00605493" w:rsidRDefault="00537558" w:rsidP="00605493">
      <w:r>
        <w:rPr>
          <w:noProof/>
          <w:lang w:eastAsia="en-AU"/>
        </w:rPr>
        <w:drawing>
          <wp:inline distT="0" distB="0" distL="0" distR="0" wp14:anchorId="32F7A5DE" wp14:editId="61A2F8A2">
            <wp:extent cx="3810000" cy="2733675"/>
            <wp:effectExtent l="0" t="0" r="0" b="9525"/>
            <wp:docPr id="10" name="Picture 10" descr="Figure 5. Kaplan-Meier estimates of progression-free survival based on IRO assessment per RECIST 1.1 Part B1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10000" cy="2733675"/>
                    </a:xfrm>
                    <a:prstGeom prst="rect">
                      <a:avLst/>
                    </a:prstGeom>
                  </pic:spPr>
                </pic:pic>
              </a:graphicData>
            </a:graphic>
          </wp:inline>
        </w:drawing>
      </w:r>
    </w:p>
    <w:p w:rsidR="00537558" w:rsidRPr="00537558" w:rsidRDefault="00537558" w:rsidP="00537558">
      <w:pPr>
        <w:pStyle w:val="Heading7"/>
      </w:pPr>
      <w:r w:rsidRPr="00537558">
        <w:lastRenderedPageBreak/>
        <w:t>Progression at initial evaluation</w:t>
      </w:r>
    </w:p>
    <w:p w:rsidR="00537558" w:rsidRDefault="00B21A3A" w:rsidP="00537558">
      <w:r>
        <w:t xml:space="preserve">There is a step </w:t>
      </w:r>
      <w:r w:rsidR="00537558" w:rsidRPr="00537558">
        <w:t xml:space="preserve">down in PFS at 12 weeks, </w:t>
      </w:r>
      <w:r w:rsidR="001D4BB8">
        <w:t>that is</w:t>
      </w:r>
      <w:r w:rsidR="00C0003C">
        <w:t>,</w:t>
      </w:r>
      <w:r w:rsidR="00537558" w:rsidRPr="00537558">
        <w:t xml:space="preserve"> first imaging.</w:t>
      </w:r>
      <w:r w:rsidR="00987E81">
        <w:t xml:space="preserve"> </w:t>
      </w:r>
      <w:r w:rsidR="00537558" w:rsidRPr="00537558">
        <w:t xml:space="preserve">One view in the absence of any control arm is that it reflects a pembrolizumab-specific effect, </w:t>
      </w:r>
      <w:r w:rsidR="00B85B18">
        <w:t>for example</w:t>
      </w:r>
      <w:r w:rsidR="00537558" w:rsidRPr="00537558">
        <w:t xml:space="preserve"> a subset of patients with a negative response.</w:t>
      </w:r>
      <w:r w:rsidR="00987E81">
        <w:t xml:space="preserve"> </w:t>
      </w:r>
      <w:r w:rsidR="00537558" w:rsidRPr="00537558">
        <w:t xml:space="preserve">Robert et al (2014), in a study of nivolumab </w:t>
      </w:r>
      <w:r w:rsidR="00987E81">
        <w:t>versus</w:t>
      </w:r>
      <w:r w:rsidR="00537558" w:rsidRPr="00537558">
        <w:t xml:space="preserve"> DTIC in </w:t>
      </w:r>
      <w:r w:rsidR="00E76E0B">
        <w:t>first line</w:t>
      </w:r>
      <w:r w:rsidR="00537558" w:rsidRPr="00537558">
        <w:t xml:space="preserve"> use in advanced melanoma, saw a similar step-down, as clear in the dacarbazine arm as the nivolumab arm.</w:t>
      </w:r>
      <w:bookmarkStart w:id="178" w:name="_Ref459035224"/>
      <w:r w:rsidR="008D45F3">
        <w:rPr>
          <w:rStyle w:val="FootnoteReference"/>
        </w:rPr>
        <w:footnoteReference w:id="59"/>
      </w:r>
      <w:bookmarkEnd w:id="178"/>
      <w:r w:rsidR="008D45F3" w:rsidRPr="008D45F3">
        <w:rPr>
          <w:vertAlign w:val="superscript"/>
        </w:rPr>
        <w:t xml:space="preserve">, </w:t>
      </w:r>
      <w:r w:rsidR="008D45F3">
        <w:rPr>
          <w:rStyle w:val="FootnoteReference"/>
        </w:rPr>
        <w:footnoteReference w:id="60"/>
      </w:r>
      <w:r w:rsidR="00987E81">
        <w:t xml:space="preserve"> </w:t>
      </w:r>
      <w:r w:rsidR="00537558" w:rsidRPr="00537558">
        <w:t>While it would have been ideal to have randomised, controlled data for pembrolizumab, I think it is reasonable to reject the view that pembrolizumab hastens progression in a subset of subjects.</w:t>
      </w:r>
      <w:r w:rsidR="00987E81">
        <w:t xml:space="preserve"> </w:t>
      </w:r>
      <w:r w:rsidR="00D95C48">
        <w:t xml:space="preserve">An early step </w:t>
      </w:r>
      <w:r w:rsidR="00537558" w:rsidRPr="00537558">
        <w:t>down in PFS is not so distinct in studies of dabrafenib and vemurafenib.</w:t>
      </w:r>
      <w:r w:rsidR="00987E81">
        <w:t xml:space="preserve"> </w:t>
      </w:r>
      <w:r w:rsidR="00537558" w:rsidRPr="00537558">
        <w:t xml:space="preserve">(PFS curves for selected pivotal studies are </w:t>
      </w:r>
      <w:r w:rsidR="00CF0F5E">
        <w:t xml:space="preserve">below </w:t>
      </w:r>
      <w:r w:rsidR="00661B19">
        <w:t>in F</w:t>
      </w:r>
      <w:r w:rsidR="00CF0F5E">
        <w:t xml:space="preserve">igures </w:t>
      </w:r>
      <w:r w:rsidR="00F47237">
        <w:t>6</w:t>
      </w:r>
      <w:r w:rsidR="00CF0F5E">
        <w:t xml:space="preserve">, </w:t>
      </w:r>
      <w:r w:rsidR="00F47237">
        <w:t>7</w:t>
      </w:r>
      <w:r w:rsidR="00CF0F5E">
        <w:t xml:space="preserve">, </w:t>
      </w:r>
      <w:r w:rsidR="00F47237">
        <w:t>8</w:t>
      </w:r>
      <w:r w:rsidR="00CF0F5E">
        <w:t xml:space="preserve">, </w:t>
      </w:r>
      <w:r w:rsidR="00F47237">
        <w:t>9</w:t>
      </w:r>
      <w:r w:rsidR="00CF0F5E">
        <w:t xml:space="preserve">, </w:t>
      </w:r>
      <w:r w:rsidR="00F47237">
        <w:t>10</w:t>
      </w:r>
      <w:r w:rsidR="00CF0F5E">
        <w:t xml:space="preserve">, </w:t>
      </w:r>
      <w:r w:rsidR="00F47237">
        <w:t>11</w:t>
      </w:r>
      <w:r w:rsidR="00CF0F5E">
        <w:t xml:space="preserve"> and </w:t>
      </w:r>
      <w:r w:rsidR="00F47237">
        <w:t>12</w:t>
      </w:r>
      <w:r w:rsidR="00537558" w:rsidRPr="00537558">
        <w:t>)</w:t>
      </w:r>
      <w:r w:rsidR="00F47237">
        <w:t>.</w:t>
      </w:r>
    </w:p>
    <w:p w:rsidR="00661B19" w:rsidRDefault="00661B19" w:rsidP="00661B19">
      <w:pPr>
        <w:pStyle w:val="FigureTitle"/>
      </w:pPr>
      <w:proofErr w:type="gramStart"/>
      <w:r>
        <w:t xml:space="preserve">Figure </w:t>
      </w:r>
      <w:r w:rsidR="00F47237">
        <w:t>6.</w:t>
      </w:r>
      <w:proofErr w:type="gramEnd"/>
      <w:r w:rsidRPr="00661B19">
        <w:t xml:space="preserve"> </w:t>
      </w:r>
      <w:r w:rsidRPr="000301EA">
        <w:t xml:space="preserve">Vemurafenib </w:t>
      </w:r>
      <w:r w:rsidR="00987E81">
        <w:t>versus</w:t>
      </w:r>
      <w:r w:rsidRPr="000301EA">
        <w:t xml:space="preserve"> dacarbazine (Chapman et al 2011)</w:t>
      </w:r>
      <w:r w:rsidR="00C22866">
        <w:rPr>
          <w:rStyle w:val="FootnoteReference"/>
        </w:rPr>
        <w:footnoteReference w:id="61"/>
      </w:r>
    </w:p>
    <w:p w:rsidR="00CF0F5E" w:rsidRDefault="00661B19" w:rsidP="00C0003C">
      <w:r>
        <w:rPr>
          <w:noProof/>
          <w:lang w:eastAsia="en-AU"/>
        </w:rPr>
        <w:drawing>
          <wp:inline distT="0" distB="0" distL="0" distR="0" wp14:anchorId="44294787" wp14:editId="7EA9D65D">
            <wp:extent cx="4768085" cy="2457907"/>
            <wp:effectExtent l="0" t="0" r="0" b="0"/>
            <wp:docPr id="39" name="Picture 39" descr="Figure 6. Vemurafenib versus dacarbazine (Chapman et 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4771" cy="2461354"/>
                    </a:xfrm>
                    <a:prstGeom prst="rect">
                      <a:avLst/>
                    </a:prstGeom>
                  </pic:spPr>
                </pic:pic>
              </a:graphicData>
            </a:graphic>
          </wp:inline>
        </w:drawing>
      </w:r>
    </w:p>
    <w:p w:rsidR="00661B19" w:rsidRDefault="00661B19" w:rsidP="00661B19">
      <w:pPr>
        <w:pStyle w:val="FigureTitle"/>
      </w:pPr>
      <w:proofErr w:type="gramStart"/>
      <w:r>
        <w:lastRenderedPageBreak/>
        <w:t xml:space="preserve">Figure </w:t>
      </w:r>
      <w:r w:rsidR="00F47237">
        <w:t>7.</w:t>
      </w:r>
      <w:proofErr w:type="gramEnd"/>
      <w:r>
        <w:t xml:space="preserve"> </w:t>
      </w:r>
      <w:proofErr w:type="spellStart"/>
      <w:r w:rsidRPr="000301EA">
        <w:t>Dabrafenib</w:t>
      </w:r>
      <w:proofErr w:type="spellEnd"/>
      <w:r w:rsidRPr="000301EA">
        <w:t xml:space="preserve"> </w:t>
      </w:r>
      <w:r w:rsidR="00987E81">
        <w:t>versus</w:t>
      </w:r>
      <w:r w:rsidRPr="000301EA">
        <w:t xml:space="preserve"> </w:t>
      </w:r>
      <w:proofErr w:type="spellStart"/>
      <w:r w:rsidRPr="000301EA">
        <w:t>dacarbazine</w:t>
      </w:r>
      <w:proofErr w:type="spellEnd"/>
      <w:r w:rsidRPr="000301EA">
        <w:t xml:space="preserve"> (</w:t>
      </w:r>
      <w:proofErr w:type="spellStart"/>
      <w:r w:rsidRPr="000301EA">
        <w:t>Hauschild</w:t>
      </w:r>
      <w:proofErr w:type="spellEnd"/>
      <w:r w:rsidRPr="000301EA">
        <w:t xml:space="preserve"> et al, 2012)</w:t>
      </w:r>
      <w:r w:rsidR="00C22866" w:rsidRPr="00C22866">
        <w:rPr>
          <w:vertAlign w:val="superscript"/>
        </w:rPr>
        <w:fldChar w:fldCharType="begin"/>
      </w:r>
      <w:r w:rsidR="00C22866" w:rsidRPr="00C22866">
        <w:rPr>
          <w:vertAlign w:val="superscript"/>
        </w:rPr>
        <w:instrText xml:space="preserve"> NOTEREF _Ref462213773 \h  \* MERGEFORMAT </w:instrText>
      </w:r>
      <w:r w:rsidR="00C22866" w:rsidRPr="00C22866">
        <w:rPr>
          <w:vertAlign w:val="superscript"/>
        </w:rPr>
      </w:r>
      <w:r w:rsidR="00C22866" w:rsidRPr="00C22866">
        <w:rPr>
          <w:vertAlign w:val="superscript"/>
        </w:rPr>
        <w:fldChar w:fldCharType="separate"/>
      </w:r>
      <w:r w:rsidR="00C22866" w:rsidRPr="00C22866">
        <w:rPr>
          <w:vertAlign w:val="superscript"/>
        </w:rPr>
        <w:t>45</w:t>
      </w:r>
      <w:r w:rsidR="00C22866" w:rsidRPr="00C22866">
        <w:rPr>
          <w:vertAlign w:val="superscript"/>
        </w:rPr>
        <w:fldChar w:fldCharType="end"/>
      </w:r>
    </w:p>
    <w:p w:rsidR="00661B19" w:rsidRDefault="00661B19" w:rsidP="00597433">
      <w:r>
        <w:rPr>
          <w:noProof/>
          <w:lang w:eastAsia="en-AU"/>
        </w:rPr>
        <w:drawing>
          <wp:inline distT="0" distB="0" distL="0" distR="0" wp14:anchorId="0DBFE942" wp14:editId="16643F74">
            <wp:extent cx="5400040" cy="3916411"/>
            <wp:effectExtent l="0" t="0" r="0" b="8255"/>
            <wp:docPr id="40" name="Picture 40" descr="Figure 7. Dabrafenib versus dacarbazine (Hauschild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916411"/>
                    </a:xfrm>
                    <a:prstGeom prst="rect">
                      <a:avLst/>
                    </a:prstGeom>
                  </pic:spPr>
                </pic:pic>
              </a:graphicData>
            </a:graphic>
          </wp:inline>
        </w:drawing>
      </w:r>
    </w:p>
    <w:p w:rsidR="00661B19" w:rsidRPr="00661B19" w:rsidRDefault="00661B19" w:rsidP="00661B19">
      <w:pPr>
        <w:pStyle w:val="FigureTitle"/>
      </w:pPr>
      <w:proofErr w:type="gramStart"/>
      <w:r>
        <w:t xml:space="preserve">Figure </w:t>
      </w:r>
      <w:r w:rsidR="00F47237">
        <w:t>8.</w:t>
      </w:r>
      <w:proofErr w:type="gramEnd"/>
      <w:r w:rsidRPr="000301EA">
        <w:t xml:space="preserve"> Dabrafenib + trametinib </w:t>
      </w:r>
      <w:r w:rsidR="00987E81">
        <w:t>versus</w:t>
      </w:r>
      <w:r w:rsidRPr="000301EA">
        <w:t xml:space="preserve"> dabrafenib (Long et al 2014)</w:t>
      </w:r>
      <w:r w:rsidR="00C22866" w:rsidRPr="00C22866">
        <w:rPr>
          <w:vertAlign w:val="superscript"/>
        </w:rPr>
        <w:fldChar w:fldCharType="begin"/>
      </w:r>
      <w:r w:rsidR="00C22866" w:rsidRPr="00C22866">
        <w:rPr>
          <w:vertAlign w:val="superscript"/>
        </w:rPr>
        <w:instrText xml:space="preserve"> NOTEREF _Ref459019919 \h  \* MERGEFORMAT </w:instrText>
      </w:r>
      <w:r w:rsidR="00C22866" w:rsidRPr="00C22866">
        <w:rPr>
          <w:vertAlign w:val="superscript"/>
        </w:rPr>
      </w:r>
      <w:r w:rsidR="00C22866" w:rsidRPr="00C22866">
        <w:rPr>
          <w:vertAlign w:val="superscript"/>
        </w:rPr>
        <w:fldChar w:fldCharType="separate"/>
      </w:r>
      <w:r w:rsidR="00C22866" w:rsidRPr="00C22866">
        <w:rPr>
          <w:vertAlign w:val="superscript"/>
        </w:rPr>
        <w:t>44</w:t>
      </w:r>
      <w:r w:rsidR="00C22866" w:rsidRPr="00C22866">
        <w:rPr>
          <w:vertAlign w:val="superscript"/>
        </w:rPr>
        <w:fldChar w:fldCharType="end"/>
      </w:r>
    </w:p>
    <w:p w:rsidR="00661B19" w:rsidRPr="00661B19" w:rsidRDefault="00661B19" w:rsidP="00661B19">
      <w:r>
        <w:rPr>
          <w:noProof/>
          <w:lang w:eastAsia="en-AU"/>
        </w:rPr>
        <w:drawing>
          <wp:inline distT="0" distB="0" distL="0" distR="0" wp14:anchorId="02D44123" wp14:editId="23D3963C">
            <wp:extent cx="5400040" cy="2390787"/>
            <wp:effectExtent l="0" t="0" r="0" b="9525"/>
            <wp:docPr id="41" name="Picture 41" descr="Figure 8. Dabrafenib + trametinib versus dabrafenib (Long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390787"/>
                    </a:xfrm>
                    <a:prstGeom prst="rect">
                      <a:avLst/>
                    </a:prstGeom>
                  </pic:spPr>
                </pic:pic>
              </a:graphicData>
            </a:graphic>
          </wp:inline>
        </w:drawing>
      </w:r>
    </w:p>
    <w:p w:rsidR="00661B19" w:rsidRPr="000301EA" w:rsidRDefault="00661B19" w:rsidP="00661B19">
      <w:pPr>
        <w:pStyle w:val="FigureTitle"/>
      </w:pPr>
      <w:proofErr w:type="gramStart"/>
      <w:r>
        <w:lastRenderedPageBreak/>
        <w:t xml:space="preserve">Figure </w:t>
      </w:r>
      <w:r w:rsidR="00F47237">
        <w:t>9.</w:t>
      </w:r>
      <w:proofErr w:type="gramEnd"/>
      <w:r>
        <w:t xml:space="preserve"> </w:t>
      </w:r>
      <w:r w:rsidRPr="000301EA">
        <w:t xml:space="preserve">Dabrafenib + trametinib </w:t>
      </w:r>
      <w:r w:rsidR="00987E81">
        <w:t>versus</w:t>
      </w:r>
      <w:r w:rsidRPr="000301EA">
        <w:t xml:space="preserve"> vemurafenib (Robert et al, 2015)</w:t>
      </w:r>
      <w:r w:rsidR="00C22866" w:rsidRPr="00C22866">
        <w:rPr>
          <w:vertAlign w:val="superscript"/>
        </w:rPr>
        <w:fldChar w:fldCharType="begin"/>
      </w:r>
      <w:r w:rsidR="00C22866" w:rsidRPr="00C22866">
        <w:rPr>
          <w:vertAlign w:val="superscript"/>
        </w:rPr>
        <w:instrText xml:space="preserve"> NOTEREF _Ref458777650 \h  \* MERGEFORMAT </w:instrText>
      </w:r>
      <w:r w:rsidR="00C22866" w:rsidRPr="00C22866">
        <w:rPr>
          <w:vertAlign w:val="superscript"/>
        </w:rPr>
      </w:r>
      <w:r w:rsidR="00C22866" w:rsidRPr="00C22866">
        <w:rPr>
          <w:vertAlign w:val="superscript"/>
        </w:rPr>
        <w:fldChar w:fldCharType="separate"/>
      </w:r>
      <w:r w:rsidR="00C22866" w:rsidRPr="00C22866">
        <w:rPr>
          <w:vertAlign w:val="superscript"/>
        </w:rPr>
        <w:t>43</w:t>
      </w:r>
      <w:r w:rsidR="00C22866" w:rsidRPr="00C22866">
        <w:rPr>
          <w:vertAlign w:val="superscript"/>
        </w:rPr>
        <w:fldChar w:fldCharType="end"/>
      </w:r>
    </w:p>
    <w:p w:rsidR="00661B19" w:rsidRPr="00661B19" w:rsidRDefault="00661B19" w:rsidP="00661B19">
      <w:r>
        <w:rPr>
          <w:noProof/>
          <w:lang w:eastAsia="en-AU"/>
        </w:rPr>
        <w:drawing>
          <wp:inline distT="0" distB="0" distL="0" distR="0" wp14:anchorId="07375052" wp14:editId="70112012">
            <wp:extent cx="5400040" cy="3098100"/>
            <wp:effectExtent l="0" t="0" r="0" b="7620"/>
            <wp:docPr id="42" name="Picture 42" descr="Figure 9. Dabrafenib + trametinib versus vemurafenib (Robert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098100"/>
                    </a:xfrm>
                    <a:prstGeom prst="rect">
                      <a:avLst/>
                    </a:prstGeom>
                  </pic:spPr>
                </pic:pic>
              </a:graphicData>
            </a:graphic>
          </wp:inline>
        </w:drawing>
      </w:r>
    </w:p>
    <w:p w:rsidR="00661B19" w:rsidRPr="000301EA" w:rsidRDefault="00661B19" w:rsidP="00661B19">
      <w:pPr>
        <w:pStyle w:val="FigureTitle"/>
      </w:pPr>
      <w:proofErr w:type="gramStart"/>
      <w:r>
        <w:t xml:space="preserve">Figure </w:t>
      </w:r>
      <w:r w:rsidR="00F47237">
        <w:t>10.</w:t>
      </w:r>
      <w:proofErr w:type="gramEnd"/>
      <w:r>
        <w:t xml:space="preserve"> </w:t>
      </w:r>
      <w:proofErr w:type="spellStart"/>
      <w:r w:rsidRPr="000301EA">
        <w:t>Vemurafenib</w:t>
      </w:r>
      <w:proofErr w:type="spellEnd"/>
      <w:r w:rsidRPr="000301EA">
        <w:t xml:space="preserve"> + </w:t>
      </w:r>
      <w:proofErr w:type="spellStart"/>
      <w:r w:rsidRPr="000301EA">
        <w:t>cobimetinib</w:t>
      </w:r>
      <w:proofErr w:type="spellEnd"/>
      <w:r w:rsidRPr="000301EA">
        <w:t xml:space="preserve"> </w:t>
      </w:r>
      <w:r w:rsidR="00987E81">
        <w:t>versus</w:t>
      </w:r>
      <w:r w:rsidRPr="000301EA">
        <w:t xml:space="preserve"> </w:t>
      </w:r>
      <w:proofErr w:type="spellStart"/>
      <w:r w:rsidRPr="000301EA">
        <w:t>vemurafenib</w:t>
      </w:r>
      <w:proofErr w:type="spellEnd"/>
      <w:r w:rsidRPr="000301EA">
        <w:t xml:space="preserve"> (Larkin et al 2014)</w:t>
      </w:r>
      <w:r w:rsidR="00C22866">
        <w:rPr>
          <w:rStyle w:val="FootnoteReference"/>
        </w:rPr>
        <w:footnoteReference w:id="62"/>
      </w:r>
    </w:p>
    <w:p w:rsidR="00661B19" w:rsidRPr="00661B19" w:rsidRDefault="00661B19" w:rsidP="00661B19">
      <w:r>
        <w:rPr>
          <w:noProof/>
          <w:lang w:eastAsia="en-AU"/>
        </w:rPr>
        <w:drawing>
          <wp:inline distT="0" distB="0" distL="0" distR="0" wp14:anchorId="5C083AEA" wp14:editId="42C8FDE5">
            <wp:extent cx="5400040" cy="2674635"/>
            <wp:effectExtent l="0" t="0" r="0" b="0"/>
            <wp:docPr id="43" name="Picture 43" descr="Figure 10. Vemurafenib + cobimetinib versus vemurafenib (Larkin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674635"/>
                    </a:xfrm>
                    <a:prstGeom prst="rect">
                      <a:avLst/>
                    </a:prstGeom>
                  </pic:spPr>
                </pic:pic>
              </a:graphicData>
            </a:graphic>
          </wp:inline>
        </w:drawing>
      </w:r>
    </w:p>
    <w:p w:rsidR="00661B19" w:rsidRDefault="00F47237" w:rsidP="00661B19">
      <w:pPr>
        <w:pStyle w:val="FigureTitle"/>
      </w:pPr>
      <w:proofErr w:type="gramStart"/>
      <w:r>
        <w:lastRenderedPageBreak/>
        <w:t>Figure 11.</w:t>
      </w:r>
      <w:proofErr w:type="gramEnd"/>
      <w:r>
        <w:t xml:space="preserve"> </w:t>
      </w:r>
      <w:r w:rsidR="00661B19" w:rsidRPr="000301EA">
        <w:t xml:space="preserve">Nivolumab </w:t>
      </w:r>
      <w:r w:rsidR="00987E81">
        <w:t>versus</w:t>
      </w:r>
      <w:r w:rsidR="00661B19" w:rsidRPr="000301EA">
        <w:t xml:space="preserve"> dacarbazine (Robert et al 2014)</w:t>
      </w:r>
      <w:r w:rsidR="00C0003C" w:rsidRPr="00C0003C">
        <w:rPr>
          <w:vertAlign w:val="superscript"/>
        </w:rPr>
        <w:fldChar w:fldCharType="begin"/>
      </w:r>
      <w:r w:rsidR="00C0003C" w:rsidRPr="00C0003C">
        <w:rPr>
          <w:vertAlign w:val="superscript"/>
        </w:rPr>
        <w:instrText xml:space="preserve"> NOTEREF _Ref458777650 \h </w:instrText>
      </w:r>
      <w:r w:rsidR="00C0003C">
        <w:rPr>
          <w:vertAlign w:val="superscript"/>
        </w:rPr>
        <w:instrText xml:space="preserve"> \* MERGEFORMAT </w:instrText>
      </w:r>
      <w:r w:rsidR="00C0003C" w:rsidRPr="00C0003C">
        <w:rPr>
          <w:vertAlign w:val="superscript"/>
        </w:rPr>
      </w:r>
      <w:r w:rsidR="00C0003C" w:rsidRPr="00C0003C">
        <w:rPr>
          <w:vertAlign w:val="superscript"/>
        </w:rPr>
        <w:fldChar w:fldCharType="separate"/>
      </w:r>
      <w:r w:rsidR="005E57DC">
        <w:rPr>
          <w:vertAlign w:val="superscript"/>
        </w:rPr>
        <w:t>43</w:t>
      </w:r>
      <w:r w:rsidR="00C0003C" w:rsidRPr="00C0003C">
        <w:rPr>
          <w:vertAlign w:val="superscript"/>
        </w:rPr>
        <w:fldChar w:fldCharType="end"/>
      </w:r>
    </w:p>
    <w:p w:rsidR="00661B19" w:rsidRDefault="00661B19" w:rsidP="00661B19">
      <w:r>
        <w:rPr>
          <w:noProof/>
          <w:lang w:eastAsia="en-AU"/>
        </w:rPr>
        <w:drawing>
          <wp:inline distT="0" distB="0" distL="0" distR="0" wp14:anchorId="33C120B2" wp14:editId="131012BA">
            <wp:extent cx="4330598" cy="4002130"/>
            <wp:effectExtent l="0" t="0" r="0" b="0"/>
            <wp:docPr id="44" name="Picture 44" descr="Figure 11. Nivolumab versus dacarbazine (Robert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29625" cy="4001231"/>
                    </a:xfrm>
                    <a:prstGeom prst="rect">
                      <a:avLst/>
                    </a:prstGeom>
                  </pic:spPr>
                </pic:pic>
              </a:graphicData>
            </a:graphic>
          </wp:inline>
        </w:drawing>
      </w:r>
    </w:p>
    <w:p w:rsidR="00661B19" w:rsidRPr="000301EA" w:rsidRDefault="00F47237" w:rsidP="00661B19">
      <w:pPr>
        <w:pStyle w:val="FigureTitle"/>
      </w:pPr>
      <w:proofErr w:type="gramStart"/>
      <w:r>
        <w:t>Figure 12.</w:t>
      </w:r>
      <w:proofErr w:type="gramEnd"/>
      <w:r w:rsidR="00661B19">
        <w:t xml:space="preserve"> </w:t>
      </w:r>
      <w:r w:rsidR="001E1CF4">
        <w:t>Pembrolizumab – P</w:t>
      </w:r>
      <w:r w:rsidR="00661B19" w:rsidRPr="000301EA">
        <w:t>001 (B1, B2, D)</w:t>
      </w:r>
    </w:p>
    <w:p w:rsidR="00661B19" w:rsidRPr="00661B19" w:rsidRDefault="00661B19" w:rsidP="00661B19">
      <w:r>
        <w:rPr>
          <w:noProof/>
          <w:lang w:eastAsia="en-AU"/>
        </w:rPr>
        <w:drawing>
          <wp:inline distT="0" distB="0" distL="0" distR="0" wp14:anchorId="6AAB16AD" wp14:editId="4091D206">
            <wp:extent cx="4861267" cy="3547872"/>
            <wp:effectExtent l="0" t="0" r="0" b="0"/>
            <wp:docPr id="45" name="Picture 45" descr="Figure 12. Pembrolizumab – PN001 (B1, B2,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2548" cy="3548807"/>
                    </a:xfrm>
                    <a:prstGeom prst="rect">
                      <a:avLst/>
                    </a:prstGeom>
                  </pic:spPr>
                </pic:pic>
              </a:graphicData>
            </a:graphic>
          </wp:inline>
        </w:drawing>
      </w:r>
    </w:p>
    <w:p w:rsidR="00537558" w:rsidRPr="00537558" w:rsidRDefault="00537558" w:rsidP="00537558">
      <w:pPr>
        <w:pStyle w:val="Heading7"/>
      </w:pPr>
      <w:r w:rsidRPr="00537558">
        <w:lastRenderedPageBreak/>
        <w:t>Overall survival curves</w:t>
      </w:r>
    </w:p>
    <w:p w:rsidR="00537558" w:rsidRPr="00537558" w:rsidRDefault="00537558" w:rsidP="00537558">
      <w:pPr>
        <w:pStyle w:val="FigureTitle"/>
      </w:pPr>
      <w:proofErr w:type="gramStart"/>
      <w:r>
        <w:t xml:space="preserve">Figure </w:t>
      </w:r>
      <w:r w:rsidR="00F47237">
        <w:t>13.</w:t>
      </w:r>
      <w:proofErr w:type="gramEnd"/>
      <w:r>
        <w:t xml:space="preserve"> </w:t>
      </w:r>
      <w:r w:rsidRPr="00537558">
        <w:t>Kaplan-Meier estimates of overall survival Part B1+B2+D patients (</w:t>
      </w:r>
      <w:proofErr w:type="spellStart"/>
      <w:r w:rsidRPr="00537558">
        <w:t>APaT</w:t>
      </w:r>
      <w:proofErr w:type="spellEnd"/>
      <w:r w:rsidRPr="00537558">
        <w:t xml:space="preserve"> population)</w:t>
      </w:r>
    </w:p>
    <w:p w:rsidR="00605493" w:rsidRPr="00605493" w:rsidRDefault="00537558" w:rsidP="00605493">
      <w:r>
        <w:rPr>
          <w:noProof/>
          <w:lang w:eastAsia="en-AU"/>
        </w:rPr>
        <w:drawing>
          <wp:inline distT="0" distB="0" distL="0" distR="0" wp14:anchorId="35330E97" wp14:editId="02C38B9A">
            <wp:extent cx="4769510" cy="3671494"/>
            <wp:effectExtent l="0" t="0" r="0" b="5715"/>
            <wp:docPr id="13" name="Picture 13" descr="Figure 13. Kaplan-Meier estimates of overall survival Part B1+B2+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9236" cy="3671283"/>
                    </a:xfrm>
                    <a:prstGeom prst="rect">
                      <a:avLst/>
                    </a:prstGeom>
                  </pic:spPr>
                </pic:pic>
              </a:graphicData>
            </a:graphic>
          </wp:inline>
        </w:drawing>
      </w:r>
    </w:p>
    <w:p w:rsidR="00250370" w:rsidRPr="00250370" w:rsidRDefault="00250370" w:rsidP="00250370">
      <w:pPr>
        <w:pStyle w:val="Heading6"/>
      </w:pPr>
      <w:r w:rsidRPr="00250370">
        <w:t>Sensitivity analyses</w:t>
      </w:r>
    </w:p>
    <w:p w:rsidR="00250370" w:rsidRPr="00250370" w:rsidRDefault="00250370" w:rsidP="00250370">
      <w:pPr>
        <w:pStyle w:val="Heading7"/>
      </w:pPr>
      <w:r w:rsidRPr="00250370">
        <w:t xml:space="preserve">RECIST </w:t>
      </w:r>
      <w:r w:rsidR="00987E81">
        <w:t>versus</w:t>
      </w:r>
      <w:r w:rsidRPr="00250370">
        <w:t xml:space="preserve"> </w:t>
      </w:r>
      <w:r w:rsidR="00987E81">
        <w:t>immune related</w:t>
      </w:r>
      <w:r w:rsidRPr="00250370">
        <w:t xml:space="preserve"> response criteria (</w:t>
      </w:r>
      <w:proofErr w:type="spellStart"/>
      <w:r w:rsidRPr="00250370">
        <w:t>irRC</w:t>
      </w:r>
      <w:proofErr w:type="spellEnd"/>
      <w:r w:rsidRPr="00250370">
        <w:t>)</w:t>
      </w:r>
    </w:p>
    <w:p w:rsidR="00250370" w:rsidRPr="00250370" w:rsidRDefault="00250370" w:rsidP="00250370">
      <w:r w:rsidRPr="00250370">
        <w:t xml:space="preserve">A method of assessing activity other than by standard RECIST 1.1 criteria was by </w:t>
      </w:r>
      <w:r w:rsidR="00987E81">
        <w:t>immune related</w:t>
      </w:r>
      <w:r w:rsidRPr="00250370">
        <w:t xml:space="preserve"> response criteria</w:t>
      </w:r>
      <w:r w:rsidR="008D45F3">
        <w:t>,</w:t>
      </w:r>
      <w:r w:rsidR="008D45F3">
        <w:rPr>
          <w:rStyle w:val="FootnoteReference"/>
        </w:rPr>
        <w:footnoteReference w:id="63"/>
      </w:r>
      <w:r w:rsidRPr="00250370">
        <w:t xml:space="preserve"> by both investigator and independent central review.</w:t>
      </w:r>
      <w:r w:rsidR="00987E81">
        <w:t xml:space="preserve"> </w:t>
      </w:r>
      <w:r w:rsidRPr="00250370">
        <w:t>The sponsor makes the following comment:</w:t>
      </w:r>
    </w:p>
    <w:p w:rsidR="00250370" w:rsidRPr="00250370" w:rsidRDefault="00250370" w:rsidP="00250370">
      <w:pPr>
        <w:ind w:left="720"/>
      </w:pPr>
      <w:proofErr w:type="spellStart"/>
      <w:proofErr w:type="gramStart"/>
      <w:r w:rsidRPr="00250370">
        <w:t>irRC</w:t>
      </w:r>
      <w:proofErr w:type="spellEnd"/>
      <w:proofErr w:type="gramEnd"/>
      <w:r w:rsidRPr="00250370">
        <w:t xml:space="preserve"> differs predominantly from RECIST 1.1 by measurement of lesions using two dimensions rather than one, as well as inclusion of new lesions into the overall </w:t>
      </w:r>
      <w:r w:rsidR="009D6214" w:rsidRPr="00250370">
        <w:t>tumour</w:t>
      </w:r>
      <w:r w:rsidRPr="00250370">
        <w:t xml:space="preserve"> burden calculation, rather than having new lesions automatically define progression. In addition, to call a progression event under </w:t>
      </w:r>
      <w:proofErr w:type="spellStart"/>
      <w:r w:rsidRPr="00250370">
        <w:t>irRC</w:t>
      </w:r>
      <w:proofErr w:type="spellEnd"/>
      <w:r w:rsidRPr="00250370">
        <w:t xml:space="preserve"> requires confirmation by a repeat, consecutive assessment no less than 4 weeks from the date of the first scan showing progression (in the absence of rapid clinical progression).</w:t>
      </w:r>
    </w:p>
    <w:p w:rsidR="00250370" w:rsidRPr="00250370" w:rsidRDefault="00250370" w:rsidP="00250370">
      <w:r w:rsidRPr="00250370">
        <w:t xml:space="preserve">A sensitivity analysis using </w:t>
      </w:r>
      <w:proofErr w:type="spellStart"/>
      <w:r w:rsidRPr="00250370">
        <w:t>irRC</w:t>
      </w:r>
      <w:proofErr w:type="spellEnd"/>
      <w:r w:rsidRPr="00250370">
        <w:t xml:space="preserve"> rather than RECIST 1.1 was conducted.</w:t>
      </w:r>
      <w:r w:rsidR="00987E81">
        <w:t xml:space="preserve"> </w:t>
      </w:r>
      <w:r w:rsidRPr="00250370">
        <w:t xml:space="preserve">PFS was longer using </w:t>
      </w:r>
      <w:proofErr w:type="spellStart"/>
      <w:r w:rsidRPr="00250370">
        <w:t>irRC</w:t>
      </w:r>
      <w:proofErr w:type="spellEnd"/>
      <w:r w:rsidRPr="00250370">
        <w:t xml:space="preserve"> (</w:t>
      </w:r>
      <w:r w:rsidR="00B85B18">
        <w:t>for example</w:t>
      </w:r>
      <w:r w:rsidRPr="00250370">
        <w:t xml:space="preserve"> B2: 2 mg/kg Q3W: PFS 22 w</w:t>
      </w:r>
      <w:r w:rsidR="00A66571">
        <w:t>ee</w:t>
      </w:r>
      <w:r w:rsidRPr="00250370">
        <w:t>ks by RECIST but 36 w</w:t>
      </w:r>
      <w:r w:rsidR="00A66571">
        <w:t>ee</w:t>
      </w:r>
      <w:r w:rsidRPr="00250370">
        <w:t xml:space="preserve">ks by </w:t>
      </w:r>
      <w:proofErr w:type="spellStart"/>
      <w:r w:rsidRPr="00250370">
        <w:t>irRC</w:t>
      </w:r>
      <w:proofErr w:type="spellEnd"/>
      <w:r w:rsidRPr="00250370">
        <w:t>).</w:t>
      </w:r>
      <w:r w:rsidR="00987E81">
        <w:t xml:space="preserve"> </w:t>
      </w:r>
      <w:r w:rsidRPr="00250370">
        <w:t>The sponsor interprets this as suggesting a fraction of patients may not achieve an objective response by RECIST but may still derive clinical benefit.</w:t>
      </w:r>
      <w:r w:rsidR="00987E81">
        <w:t xml:space="preserve"> </w:t>
      </w:r>
      <w:r w:rsidRPr="00250370">
        <w:t xml:space="preserve">See </w:t>
      </w:r>
      <w:r w:rsidR="00A66571">
        <w:t>Table 17</w:t>
      </w:r>
      <w:r w:rsidRPr="00250370">
        <w:t xml:space="preserve"> for details.</w:t>
      </w:r>
    </w:p>
    <w:p w:rsidR="00605493" w:rsidRDefault="007F12A4" w:rsidP="00F00211">
      <w:pPr>
        <w:pStyle w:val="TableTitle"/>
      </w:pPr>
      <w:proofErr w:type="gramStart"/>
      <w:r>
        <w:lastRenderedPageBreak/>
        <w:t>Table 17</w:t>
      </w:r>
      <w:r w:rsidR="00F47237">
        <w:t>.</w:t>
      </w:r>
      <w:proofErr w:type="gramEnd"/>
      <w:r w:rsidR="00250370">
        <w:t xml:space="preserve"> </w:t>
      </w:r>
      <w:r w:rsidR="00250370" w:rsidRPr="00250370">
        <w:t>Comparison of PFS by IRO per RECIST 1.1 and</w:t>
      </w:r>
      <w:r w:rsidR="00F00211">
        <w:t xml:space="preserve"> IRO per </w:t>
      </w:r>
      <w:proofErr w:type="spellStart"/>
      <w:r w:rsidR="00F00211">
        <w:t>irRC</w:t>
      </w:r>
      <w:proofErr w:type="spellEnd"/>
      <w:r w:rsidR="00F00211">
        <w:t xml:space="preserve"> (</w:t>
      </w:r>
      <w:proofErr w:type="spellStart"/>
      <w:r w:rsidR="00F00211">
        <w:t>APaT</w:t>
      </w:r>
      <w:proofErr w:type="spellEnd"/>
      <w:r w:rsidR="00F00211">
        <w:t xml:space="preserve"> population)</w:t>
      </w:r>
    </w:p>
    <w:p w:rsidR="00F00211" w:rsidRPr="00605493" w:rsidRDefault="00F00211" w:rsidP="00605493">
      <w:r>
        <w:rPr>
          <w:noProof/>
          <w:lang w:eastAsia="en-AU"/>
        </w:rPr>
        <w:drawing>
          <wp:inline distT="0" distB="0" distL="0" distR="0" wp14:anchorId="22CF5722" wp14:editId="074E7213">
            <wp:extent cx="5400040" cy="3023099"/>
            <wp:effectExtent l="0" t="0" r="0" b="6350"/>
            <wp:docPr id="46" name="Picture 46" descr="Table 17. Comparison of PFS by IRO per RECIST 1.1 and IRO per irRC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023099"/>
                    </a:xfrm>
                    <a:prstGeom prst="rect">
                      <a:avLst/>
                    </a:prstGeom>
                  </pic:spPr>
                </pic:pic>
              </a:graphicData>
            </a:graphic>
          </wp:inline>
        </w:drawing>
      </w:r>
    </w:p>
    <w:p w:rsidR="00250370" w:rsidRDefault="00250370" w:rsidP="00250370">
      <w:r w:rsidRPr="00250370">
        <w:t xml:space="preserve">Out of 411 patients in the </w:t>
      </w:r>
      <w:r w:rsidR="00F236AD">
        <w:t>all patients as treated</w:t>
      </w:r>
      <w:r w:rsidR="00F236AD" w:rsidRPr="00250370">
        <w:t xml:space="preserve"> </w:t>
      </w:r>
      <w:r w:rsidR="00F236AD">
        <w:t>(</w:t>
      </w:r>
      <w:proofErr w:type="spellStart"/>
      <w:r w:rsidRPr="00250370">
        <w:t>APaT</w:t>
      </w:r>
      <w:proofErr w:type="spellEnd"/>
      <w:r w:rsidR="00F236AD">
        <w:t>)</w:t>
      </w:r>
      <w:r w:rsidRPr="00250370">
        <w:t xml:space="preserve"> population, 51 (12%) had progressive disease (or were not evaluable) by RECIST 1.1, but were assessed as having stable disease or better by </w:t>
      </w:r>
      <w:proofErr w:type="spellStart"/>
      <w:r w:rsidRPr="00250370">
        <w:t>irRC</w:t>
      </w:r>
      <w:proofErr w:type="spellEnd"/>
      <w:r w:rsidRPr="00250370">
        <w:t>.</w:t>
      </w:r>
      <w:r w:rsidR="00987E81">
        <w:t xml:space="preserve"> </w:t>
      </w:r>
      <w:r w:rsidR="00804C85">
        <w:t>Overall survival</w:t>
      </w:r>
      <w:r w:rsidR="00804C85" w:rsidRPr="00250370">
        <w:t xml:space="preserve"> </w:t>
      </w:r>
      <w:r w:rsidR="00804C85">
        <w:t>(</w:t>
      </w:r>
      <w:r w:rsidRPr="00250370">
        <w:t>OS</w:t>
      </w:r>
      <w:r w:rsidR="00804C85">
        <w:t>)</w:t>
      </w:r>
      <w:r w:rsidRPr="00250370">
        <w:t xml:space="preserve"> outcomes for this group and other are illustrated below</w:t>
      </w:r>
      <w:r w:rsidR="009D6214">
        <w:t xml:space="preserve"> in Figure 14.</w:t>
      </w:r>
    </w:p>
    <w:p w:rsidR="00F47237" w:rsidRPr="00250370" w:rsidRDefault="00F47237" w:rsidP="00F47237">
      <w:pPr>
        <w:pStyle w:val="FigureTitle"/>
      </w:pPr>
      <w:r>
        <w:t xml:space="preserve">Figure 14.OS outcomes for the group assessed as having stable disease or better by </w:t>
      </w:r>
      <w:proofErr w:type="spellStart"/>
      <w:r>
        <w:t>irRC</w:t>
      </w:r>
      <w:proofErr w:type="spellEnd"/>
      <w:r>
        <w:t>.</w:t>
      </w:r>
    </w:p>
    <w:p w:rsidR="00605493" w:rsidRPr="00605493" w:rsidRDefault="00250370" w:rsidP="00605493">
      <w:r>
        <w:rPr>
          <w:noProof/>
          <w:lang w:eastAsia="en-AU"/>
        </w:rPr>
        <w:drawing>
          <wp:inline distT="0" distB="0" distL="0" distR="0" wp14:anchorId="677AE84A" wp14:editId="712E5139">
            <wp:extent cx="4686300" cy="3267075"/>
            <wp:effectExtent l="0" t="0" r="0" b="9525"/>
            <wp:docPr id="30" name="Picture 30" descr="Figure 14.OS outcomes for the group assessed as having stable disease or better by i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6300" cy="3267075"/>
                    </a:xfrm>
                    <a:prstGeom prst="rect">
                      <a:avLst/>
                    </a:prstGeom>
                  </pic:spPr>
                </pic:pic>
              </a:graphicData>
            </a:graphic>
          </wp:inline>
        </w:drawing>
      </w:r>
    </w:p>
    <w:p w:rsidR="00250370" w:rsidRPr="00250370" w:rsidRDefault="007B720C" w:rsidP="00250370">
      <w:pPr>
        <w:pStyle w:val="Heading7"/>
        <w:rPr>
          <w:rFonts w:eastAsiaTheme="minorHAnsi"/>
        </w:rPr>
      </w:pPr>
      <w:r>
        <w:t>Full analysis set</w:t>
      </w:r>
      <w:r w:rsidR="00250370" w:rsidRPr="00250370">
        <w:rPr>
          <w:rFonts w:eastAsiaTheme="minorHAnsi"/>
        </w:rPr>
        <w:t xml:space="preserve"> </w:t>
      </w:r>
      <w:r w:rsidR="00987E81">
        <w:rPr>
          <w:rFonts w:eastAsiaTheme="minorHAnsi"/>
        </w:rPr>
        <w:t>versus</w:t>
      </w:r>
      <w:r w:rsidR="00250370" w:rsidRPr="00250370">
        <w:rPr>
          <w:rFonts w:eastAsiaTheme="minorHAnsi"/>
        </w:rPr>
        <w:t xml:space="preserve"> </w:t>
      </w:r>
      <w:proofErr w:type="spellStart"/>
      <w:r w:rsidR="00250370" w:rsidRPr="00250370">
        <w:rPr>
          <w:rFonts w:eastAsiaTheme="minorHAnsi"/>
        </w:rPr>
        <w:t>APaT</w:t>
      </w:r>
      <w:proofErr w:type="spellEnd"/>
      <w:r w:rsidR="00250370" w:rsidRPr="00250370">
        <w:rPr>
          <w:rFonts w:eastAsiaTheme="minorHAnsi"/>
        </w:rPr>
        <w:t xml:space="preserve"> populations</w:t>
      </w:r>
    </w:p>
    <w:p w:rsidR="00250370" w:rsidRPr="00250370" w:rsidRDefault="00F92586" w:rsidP="00250370">
      <w:r>
        <w:t>The primary efficacy endpoint, ORR</w:t>
      </w:r>
      <w:r w:rsidR="00250370" w:rsidRPr="00250370">
        <w:t xml:space="preserve"> was measured within the </w:t>
      </w:r>
      <w:r w:rsidR="00987E81">
        <w:t>‘</w:t>
      </w:r>
      <w:r w:rsidR="00250370" w:rsidRPr="00250370">
        <w:t>Full Analysis Set</w:t>
      </w:r>
      <w:r w:rsidR="00987E81">
        <w:t>’</w:t>
      </w:r>
      <w:r w:rsidR="00250370" w:rsidRPr="00250370">
        <w:t xml:space="preserve"> (FAS), requiring measurable disease at baseline and receipt of at least one dose of study drug.</w:t>
      </w:r>
      <w:r w:rsidR="00987E81">
        <w:t xml:space="preserve"> </w:t>
      </w:r>
      <w:r w:rsidR="00250370" w:rsidRPr="00250370">
        <w:t>89% of subjects had centrally measurable disease; 11% had disease measurable by the investigator only, at baseline.</w:t>
      </w:r>
    </w:p>
    <w:p w:rsidR="00250370" w:rsidRPr="00250370" w:rsidRDefault="00250370" w:rsidP="00250370">
      <w:r w:rsidRPr="00250370">
        <w:lastRenderedPageBreak/>
        <w:t xml:space="preserve">The </w:t>
      </w:r>
      <w:proofErr w:type="spellStart"/>
      <w:r w:rsidR="00F236AD">
        <w:t>APaT</w:t>
      </w:r>
      <w:proofErr w:type="spellEnd"/>
      <w:r w:rsidRPr="00250370">
        <w:t xml:space="preserve"> set was used to measure PFS and OS.</w:t>
      </w:r>
    </w:p>
    <w:p w:rsidR="00250370" w:rsidRPr="00250370" w:rsidRDefault="00250370" w:rsidP="00250370">
      <w:r w:rsidRPr="00250370">
        <w:t xml:space="preserve">Across B1, B2 and D, the </w:t>
      </w:r>
      <w:proofErr w:type="spellStart"/>
      <w:r w:rsidRPr="00250370">
        <w:t>APaT</w:t>
      </w:r>
      <w:proofErr w:type="spellEnd"/>
      <w:r w:rsidRPr="00250370">
        <w:t xml:space="preserve"> set consisted of 411 subjects, and the FAS set of 365.</w:t>
      </w:r>
    </w:p>
    <w:p w:rsidR="00250370" w:rsidRPr="00250370" w:rsidRDefault="007B720C" w:rsidP="00250370">
      <w:r>
        <w:t xml:space="preserve">The </w:t>
      </w:r>
      <w:r w:rsidR="00250370" w:rsidRPr="00250370">
        <w:t xml:space="preserve">FDA adopted the approach of analysing the </w:t>
      </w:r>
      <w:proofErr w:type="spellStart"/>
      <w:r w:rsidR="00F236AD">
        <w:t>APaT</w:t>
      </w:r>
      <w:proofErr w:type="spellEnd"/>
      <w:r w:rsidR="00250370" w:rsidRPr="00250370">
        <w:t xml:space="preserve"> set for ORR.</w:t>
      </w:r>
      <w:r w:rsidR="00987E81">
        <w:t xml:space="preserve"> </w:t>
      </w:r>
      <w:r w:rsidR="00250370" w:rsidRPr="00250370">
        <w:t>As per RECIST, patients without centrally measurable disease are unable to achieve PR by central review.</w:t>
      </w:r>
    </w:p>
    <w:p w:rsidR="00250370" w:rsidRPr="00250370" w:rsidRDefault="00250370" w:rsidP="00250370">
      <w:pPr>
        <w:pStyle w:val="Heading7"/>
      </w:pPr>
      <w:r w:rsidRPr="00250370">
        <w:t xml:space="preserve">Central </w:t>
      </w:r>
      <w:r w:rsidR="00987E81">
        <w:t>versus</w:t>
      </w:r>
      <w:r w:rsidRPr="00250370">
        <w:t xml:space="preserve"> investigator assessment</w:t>
      </w:r>
    </w:p>
    <w:p w:rsidR="00250370" w:rsidRPr="00250370" w:rsidRDefault="00250370" w:rsidP="00250370">
      <w:r w:rsidRPr="00250370">
        <w:t xml:space="preserve">There was acceptable concordance at the trial level between outcomes based on central </w:t>
      </w:r>
      <w:r w:rsidR="00987E81">
        <w:t>versus</w:t>
      </w:r>
      <w:r w:rsidRPr="00250370">
        <w:t xml:space="preserve"> investigator assessment.</w:t>
      </w:r>
    </w:p>
    <w:p w:rsidR="00250370" w:rsidRPr="00250370" w:rsidRDefault="00250370" w:rsidP="00250370">
      <w:pPr>
        <w:pStyle w:val="Heading6"/>
        <w:rPr>
          <w:rFonts w:eastAsiaTheme="minorHAnsi"/>
        </w:rPr>
      </w:pPr>
      <w:bookmarkStart w:id="179" w:name="_Efficacy_according_to"/>
      <w:bookmarkStart w:id="180" w:name="_Ref410116073"/>
      <w:bookmarkEnd w:id="179"/>
      <w:r w:rsidRPr="00250370">
        <w:rPr>
          <w:rFonts w:eastAsiaTheme="minorHAnsi"/>
        </w:rPr>
        <w:t>Efficacy according to PD-L1 expression</w:t>
      </w:r>
      <w:bookmarkEnd w:id="180"/>
    </w:p>
    <w:p w:rsidR="00250370" w:rsidRPr="00250370" w:rsidRDefault="00250370" w:rsidP="00250370">
      <w:r w:rsidRPr="00250370">
        <w:t xml:space="preserve">Core biopsies or surgical specimens were stained in an </w:t>
      </w:r>
      <w:proofErr w:type="spellStart"/>
      <w:r w:rsidRPr="00250370">
        <w:t>immuno</w:t>
      </w:r>
      <w:proofErr w:type="spellEnd"/>
      <w:r w:rsidR="00A66571">
        <w:t xml:space="preserve"> </w:t>
      </w:r>
      <w:r w:rsidRPr="00250370">
        <w:t>histochemical (IHC) assay for PD-L1 using an in-house mouse monoclonal antibody (clone 22C3).</w:t>
      </w:r>
      <w:r w:rsidR="00987E81">
        <w:t xml:space="preserve"> </w:t>
      </w:r>
      <w:r w:rsidRPr="00250370">
        <w:t xml:space="preserve">In </w:t>
      </w:r>
      <w:r w:rsidR="00987E81">
        <w:t xml:space="preserve">approximately </w:t>
      </w:r>
      <w:r w:rsidR="00A66571">
        <w:t xml:space="preserve">1 out of </w:t>
      </w:r>
      <w:r w:rsidRPr="00250370">
        <w:t>4 of subjects, there was too little viable tumour or too much melanin to obtain IHC results.</w:t>
      </w:r>
      <w:r w:rsidR="00987E81">
        <w:t xml:space="preserve"> </w:t>
      </w:r>
      <w:r w:rsidRPr="00250370">
        <w:t>From the sponsor’s report (03</w:t>
      </w:r>
      <w:r w:rsidR="00A66571" w:rsidRPr="00250370">
        <w:t>WMV</w:t>
      </w:r>
      <w:r w:rsidRPr="00250370">
        <w:t>4):</w:t>
      </w:r>
    </w:p>
    <w:p w:rsidR="00250370" w:rsidRPr="00250370" w:rsidRDefault="00250370" w:rsidP="00250370">
      <w:pPr>
        <w:ind w:left="720"/>
      </w:pPr>
      <w:r w:rsidRPr="00250370">
        <w:t xml:space="preserve">The … melanoma samples also demonstrated two low power patterns: formations of staining cells forming bands along the outer margins of the </w:t>
      </w:r>
      <w:r w:rsidR="00A66571" w:rsidRPr="00250370">
        <w:t>tumour</w:t>
      </w:r>
      <w:r w:rsidRPr="00250370">
        <w:t xml:space="preserve"> nests (</w:t>
      </w:r>
      <w:r w:rsidR="001D4BB8">
        <w:t>that is</w:t>
      </w:r>
      <w:r w:rsidRPr="00250370">
        <w:t xml:space="preserve"> the </w:t>
      </w:r>
      <w:r w:rsidR="00987E81">
        <w:t>‘</w:t>
      </w:r>
      <w:r w:rsidRPr="00250370">
        <w:t>interface</w:t>
      </w:r>
      <w:r w:rsidR="00987E81">
        <w:t>’</w:t>
      </w:r>
      <w:r w:rsidRPr="00250370">
        <w:t xml:space="preserve"> or </w:t>
      </w:r>
      <w:r w:rsidR="00987E81">
        <w:t>‘</w:t>
      </w:r>
      <w:r w:rsidRPr="00250370">
        <w:t>stroma</w:t>
      </w:r>
      <w:r w:rsidR="00987E81">
        <w:t>’</w:t>
      </w:r>
      <w:r w:rsidRPr="00250370">
        <w:t xml:space="preserve"> pattern), and formations of staining cells forming lattices within the </w:t>
      </w:r>
      <w:r w:rsidR="00A66571" w:rsidRPr="00250370">
        <w:t>tumour</w:t>
      </w:r>
      <w:r w:rsidRPr="00250370">
        <w:t xml:space="preserve"> nests (</w:t>
      </w:r>
      <w:r w:rsidR="001D4BB8">
        <w:t>that is</w:t>
      </w:r>
      <w:r w:rsidRPr="00250370">
        <w:t xml:space="preserve"> the </w:t>
      </w:r>
      <w:r w:rsidR="00987E81">
        <w:t>‘</w:t>
      </w:r>
      <w:r w:rsidRPr="00250370">
        <w:t>dendritic</w:t>
      </w:r>
      <w:r w:rsidR="00987E81">
        <w:t>’</w:t>
      </w:r>
      <w:r w:rsidRPr="00250370">
        <w:t xml:space="preserve"> pattern).</w:t>
      </w:r>
    </w:p>
    <w:p w:rsidR="00250370" w:rsidRPr="00250370" w:rsidRDefault="00250370" w:rsidP="00250370">
      <w:pPr>
        <w:ind w:left="720"/>
      </w:pPr>
      <w:r w:rsidRPr="00250370">
        <w:t>Because it can be difficult to distinguish melanoma cells from mononuclear inflammatory cells by light microscopy, and because the PD-L1 expression by those mononuclear inflammatory cells may affect anti-</w:t>
      </w:r>
      <w:r w:rsidR="00A66571" w:rsidRPr="00250370">
        <w:t>tumour</w:t>
      </w:r>
      <w:r w:rsidRPr="00250370">
        <w:t xml:space="preserve"> activity, the scoring method employed for melanoma is based on the aggregate proportion of cells, </w:t>
      </w:r>
      <w:r w:rsidR="001D4BB8">
        <w:t>that is</w:t>
      </w:r>
      <w:r w:rsidRPr="00250370">
        <w:t xml:space="preserve"> both </w:t>
      </w:r>
      <w:r w:rsidR="00A66571" w:rsidRPr="00250370">
        <w:t>tumour</w:t>
      </w:r>
      <w:r w:rsidRPr="00250370">
        <w:t xml:space="preserve"> cells and inflammatory cells contained with the </w:t>
      </w:r>
      <w:r w:rsidR="00A66571" w:rsidRPr="00250370">
        <w:t>tumour</w:t>
      </w:r>
      <w:r w:rsidRPr="00250370">
        <w:t xml:space="preserve"> nests, which stain for PD-L1.</w:t>
      </w:r>
    </w:p>
    <w:p w:rsidR="00250370" w:rsidRPr="00250370" w:rsidRDefault="00250370" w:rsidP="00250370">
      <w:r w:rsidRPr="00250370">
        <w:t xml:space="preserve">The scoring method (Allred Proportion Score, APS) for PD-L1 </w:t>
      </w:r>
      <w:r w:rsidR="00987E81">
        <w:t>‘</w:t>
      </w:r>
      <w:r w:rsidRPr="00250370">
        <w:t>did not include intensity [of membrane staining], interface or dendritic pattern</w:t>
      </w:r>
      <w:r w:rsidR="00987E81">
        <w:t>’</w:t>
      </w:r>
      <w:r w:rsidRPr="00250370">
        <w:t xml:space="preserve"> for the final analysis.</w:t>
      </w:r>
      <w:r w:rsidR="00987E81">
        <w:t xml:space="preserve"> </w:t>
      </w:r>
      <w:r w:rsidRPr="00250370">
        <w:t>The APS was modified so mononuclear inflammatory cells were counted as well as tumour cells.</w:t>
      </w:r>
    </w:p>
    <w:p w:rsidR="00250370" w:rsidRPr="00250370" w:rsidRDefault="00250370" w:rsidP="00250370">
      <w:r w:rsidRPr="00250370">
        <w:t>The aim was for a test with high negative predictive value (</w:t>
      </w:r>
      <w:r w:rsidR="001D4BB8">
        <w:t>that is</w:t>
      </w:r>
      <w:r w:rsidRPr="00250370">
        <w:t xml:space="preserve"> high fraction of negative calls are truly negative).</w:t>
      </w:r>
      <w:r w:rsidR="00987E81">
        <w:t xml:space="preserve"> </w:t>
      </w:r>
      <w:r w:rsidRPr="00250370">
        <w:t>An APS ≥</w:t>
      </w:r>
      <w:r w:rsidR="00A66571">
        <w:t xml:space="preserve"> </w:t>
      </w:r>
      <w:r w:rsidRPr="00250370">
        <w:t xml:space="preserve">2 was chosen to indicate </w:t>
      </w:r>
      <w:r w:rsidR="00987E81">
        <w:t>‘</w:t>
      </w:r>
      <w:r w:rsidRPr="00250370">
        <w:t>positive</w:t>
      </w:r>
      <w:r w:rsidR="00987E81">
        <w:t>’</w:t>
      </w:r>
      <w:r w:rsidRPr="00250370">
        <w:t xml:space="preserve"> PD-L1 expression (equivalent to </w:t>
      </w:r>
      <w:r w:rsidR="00E5241D">
        <w:t xml:space="preserve">≥ 1 </w:t>
      </w:r>
      <w:r w:rsidRPr="00250370">
        <w:t>% of cells demonstrating membrane staining for PD-L1).</w:t>
      </w:r>
      <w:r w:rsidR="00987E81">
        <w:t xml:space="preserve"> </w:t>
      </w:r>
      <w:r w:rsidRPr="00250370">
        <w:t xml:space="preserve">This choice, ahead of APS </w:t>
      </w:r>
      <w:r w:rsidR="00E5241D">
        <w:t>≥ 3</w:t>
      </w:r>
      <w:r w:rsidRPr="00250370">
        <w:t xml:space="preserve"> or 4, was to maximise the true positive rate and the NPV of the assay.</w:t>
      </w:r>
    </w:p>
    <w:p w:rsidR="00605493" w:rsidRDefault="007F12A4" w:rsidP="00250370">
      <w:pPr>
        <w:pStyle w:val="TableTitle"/>
      </w:pPr>
      <w:proofErr w:type="gramStart"/>
      <w:r>
        <w:t>Table 18</w:t>
      </w:r>
      <w:r w:rsidR="00AE128D" w:rsidRPr="00E5241D">
        <w:t>.</w:t>
      </w:r>
      <w:proofErr w:type="gramEnd"/>
      <w:r w:rsidR="00250370" w:rsidRPr="00E5241D">
        <w:t xml:space="preserve"> R</w:t>
      </w:r>
      <w:r w:rsidR="00A66571" w:rsidRPr="00E5241D">
        <w:t xml:space="preserve">eceiver </w:t>
      </w:r>
      <w:r w:rsidR="00250370" w:rsidRPr="00E5241D">
        <w:t>O</w:t>
      </w:r>
      <w:r w:rsidR="00A66571" w:rsidRPr="00E5241D">
        <w:t>perating Characteristic</w:t>
      </w:r>
      <w:r w:rsidR="00250370">
        <w:t xml:space="preserve"> </w:t>
      </w:r>
      <w:r w:rsidR="00AE128D">
        <w:t>t</w:t>
      </w:r>
      <w:r w:rsidR="00250370">
        <w:t xml:space="preserve">able for </w:t>
      </w:r>
      <w:r w:rsidR="00AE128D">
        <w:t>m</w:t>
      </w:r>
      <w:r w:rsidR="00250370">
        <w:t>elanoma training set</w:t>
      </w:r>
    </w:p>
    <w:p w:rsidR="00250370" w:rsidRDefault="00250370" w:rsidP="00605493">
      <w:r>
        <w:rPr>
          <w:noProof/>
          <w:lang w:eastAsia="en-AU"/>
        </w:rPr>
        <w:drawing>
          <wp:inline distT="0" distB="0" distL="0" distR="0" wp14:anchorId="18EED898" wp14:editId="1DF7ED74">
            <wp:extent cx="5400040" cy="2047974"/>
            <wp:effectExtent l="0" t="0" r="0" b="9525"/>
            <wp:docPr id="31" name="Picture 31" descr="Table 18. ROC table for melanoma trainin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047974"/>
                    </a:xfrm>
                    <a:prstGeom prst="rect">
                      <a:avLst/>
                    </a:prstGeom>
                  </pic:spPr>
                </pic:pic>
              </a:graphicData>
            </a:graphic>
          </wp:inline>
        </w:drawing>
      </w:r>
    </w:p>
    <w:p w:rsidR="00250370" w:rsidRDefault="00250370" w:rsidP="00250370">
      <w:pPr>
        <w:pStyle w:val="TableDescription"/>
      </w:pPr>
      <w:r w:rsidRPr="000674CD">
        <w:rPr>
          <w:sz w:val="20"/>
          <w:szCs w:val="20"/>
        </w:rPr>
        <w:t>APS = 0</w:t>
      </w:r>
      <w:r>
        <w:rPr>
          <w:sz w:val="20"/>
          <w:szCs w:val="20"/>
        </w:rPr>
        <w:t xml:space="preserve"> </w:t>
      </w:r>
      <w:r w:rsidRPr="000674CD">
        <w:rPr>
          <w:sz w:val="20"/>
          <w:szCs w:val="20"/>
        </w:rPr>
        <w:t>If there is no membrane staining on the slide</w:t>
      </w:r>
      <w:r>
        <w:rPr>
          <w:sz w:val="20"/>
          <w:szCs w:val="20"/>
        </w:rPr>
        <w:t xml:space="preserve"> </w:t>
      </w:r>
      <w:r w:rsidR="00BB6D45">
        <w:rPr>
          <w:sz w:val="20"/>
          <w:szCs w:val="20"/>
        </w:rPr>
        <w:t xml:space="preserve">(0%) </w:t>
      </w:r>
      <w:r w:rsidRPr="000674CD">
        <w:rPr>
          <w:sz w:val="20"/>
          <w:szCs w:val="20"/>
        </w:rPr>
        <w:t>APS = 1</w:t>
      </w:r>
      <w:r w:rsidRPr="00250370">
        <w:rPr>
          <w:sz w:val="20"/>
          <w:szCs w:val="20"/>
        </w:rPr>
        <w:t xml:space="preserve"> </w:t>
      </w:r>
      <w:r w:rsidRPr="000674CD">
        <w:rPr>
          <w:sz w:val="20"/>
          <w:szCs w:val="20"/>
        </w:rPr>
        <w:t>If there is membrane staining in less than 1/100 of cells</w:t>
      </w:r>
      <w:r w:rsidR="00BB6D45">
        <w:rPr>
          <w:sz w:val="20"/>
          <w:szCs w:val="20"/>
        </w:rPr>
        <w:t xml:space="preserve"> (&lt; 1%)</w:t>
      </w:r>
      <w:r>
        <w:rPr>
          <w:sz w:val="20"/>
          <w:szCs w:val="20"/>
        </w:rPr>
        <w:t xml:space="preserve"> </w:t>
      </w:r>
      <w:r w:rsidRPr="000674CD">
        <w:rPr>
          <w:sz w:val="20"/>
          <w:szCs w:val="20"/>
        </w:rPr>
        <w:t>APS = 2</w:t>
      </w:r>
      <w:r>
        <w:rPr>
          <w:sz w:val="20"/>
          <w:szCs w:val="20"/>
        </w:rPr>
        <w:t xml:space="preserve"> </w:t>
      </w:r>
      <w:r w:rsidRPr="000674CD">
        <w:rPr>
          <w:sz w:val="20"/>
          <w:szCs w:val="20"/>
        </w:rPr>
        <w:t xml:space="preserve">If there is membrane staining in at least 1/100 but less than 1/10 </w:t>
      </w:r>
      <w:r>
        <w:rPr>
          <w:sz w:val="20"/>
          <w:szCs w:val="20"/>
        </w:rPr>
        <w:t xml:space="preserve">of </w:t>
      </w:r>
      <w:r w:rsidRPr="000674CD">
        <w:rPr>
          <w:sz w:val="20"/>
          <w:szCs w:val="20"/>
        </w:rPr>
        <w:t>cells</w:t>
      </w:r>
      <w:r>
        <w:rPr>
          <w:sz w:val="20"/>
          <w:szCs w:val="20"/>
        </w:rPr>
        <w:t xml:space="preserve"> </w:t>
      </w:r>
      <w:r w:rsidR="00E5241D">
        <w:rPr>
          <w:sz w:val="20"/>
          <w:szCs w:val="20"/>
        </w:rPr>
        <w:t>(</w:t>
      </w:r>
      <w:r w:rsidR="00BB6D45">
        <w:rPr>
          <w:sz w:val="20"/>
          <w:szCs w:val="20"/>
        </w:rPr>
        <w:t xml:space="preserve">≥ 1% to &lt; 10%) </w:t>
      </w:r>
      <w:r>
        <w:rPr>
          <w:sz w:val="20"/>
          <w:szCs w:val="20"/>
        </w:rPr>
        <w:t xml:space="preserve">APS = 3 </w:t>
      </w:r>
      <w:r w:rsidRPr="000674CD">
        <w:rPr>
          <w:sz w:val="20"/>
          <w:szCs w:val="20"/>
        </w:rPr>
        <w:t xml:space="preserve">If there is membrane staining in </w:t>
      </w:r>
      <w:r>
        <w:rPr>
          <w:sz w:val="20"/>
          <w:szCs w:val="20"/>
        </w:rPr>
        <w:t xml:space="preserve">at least 1/10, but less than 1/3 of cells </w:t>
      </w:r>
      <w:r w:rsidR="00BB6D45">
        <w:rPr>
          <w:sz w:val="20"/>
          <w:szCs w:val="20"/>
        </w:rPr>
        <w:t xml:space="preserve">(≥ 10% to &lt; 33%) </w:t>
      </w:r>
      <w:r>
        <w:rPr>
          <w:sz w:val="20"/>
          <w:szCs w:val="20"/>
        </w:rPr>
        <w:t xml:space="preserve">APS = 4 </w:t>
      </w:r>
      <w:r w:rsidRPr="000674CD">
        <w:rPr>
          <w:sz w:val="20"/>
          <w:szCs w:val="20"/>
        </w:rPr>
        <w:t>If there is membrane staining in</w:t>
      </w:r>
      <w:r>
        <w:rPr>
          <w:sz w:val="20"/>
          <w:szCs w:val="20"/>
        </w:rPr>
        <w:t xml:space="preserve"> at least 1/3, but less than 2/3 of cells </w:t>
      </w:r>
      <w:r w:rsidR="00BB6D45">
        <w:rPr>
          <w:sz w:val="20"/>
          <w:szCs w:val="20"/>
        </w:rPr>
        <w:t xml:space="preserve">(≥ 33% to &lt; 66%) </w:t>
      </w:r>
      <w:r w:rsidRPr="000674CD">
        <w:rPr>
          <w:sz w:val="20"/>
          <w:szCs w:val="20"/>
        </w:rPr>
        <w:t>APS = 5</w:t>
      </w:r>
      <w:r>
        <w:rPr>
          <w:sz w:val="20"/>
          <w:szCs w:val="20"/>
        </w:rPr>
        <w:t xml:space="preserve"> </w:t>
      </w:r>
      <w:r w:rsidRPr="000674CD">
        <w:rPr>
          <w:sz w:val="20"/>
          <w:szCs w:val="20"/>
        </w:rPr>
        <w:t>If there is membrane staining in at least 2/3 of cells</w:t>
      </w:r>
      <w:r w:rsidR="00BB6D45">
        <w:rPr>
          <w:sz w:val="20"/>
          <w:szCs w:val="20"/>
        </w:rPr>
        <w:t xml:space="preserve"> (≥ 66%)</w:t>
      </w:r>
    </w:p>
    <w:p w:rsidR="00BB6D45" w:rsidRPr="00BB6D45" w:rsidRDefault="00BB6D45" w:rsidP="00BB6D45">
      <w:r w:rsidRPr="00BB6D45">
        <w:lastRenderedPageBreak/>
        <w:t>Efficacy by PD-L1 expression was considered.</w:t>
      </w:r>
      <w:r w:rsidR="00987E81">
        <w:t xml:space="preserve"> </w:t>
      </w:r>
      <w:r w:rsidRPr="00BB6D45">
        <w:t>77% of 248 subjects with data</w:t>
      </w:r>
      <w:r w:rsidRPr="009D6214">
        <w:rPr>
          <w:vertAlign w:val="superscript"/>
        </w:rPr>
        <w:footnoteReference w:id="64"/>
      </w:r>
      <w:r w:rsidRPr="00BB6D45">
        <w:t xml:space="preserve"> had PD-L1 positive tumour samples (membrane staining in </w:t>
      </w:r>
      <w:r w:rsidR="00E5241D">
        <w:t xml:space="preserve">≥ 1 </w:t>
      </w:r>
      <w:r w:rsidRPr="00BB6D45">
        <w:t>% of cells).</w:t>
      </w:r>
      <w:r w:rsidR="00987E81">
        <w:t xml:space="preserve"> </w:t>
      </w:r>
      <w:r w:rsidRPr="00BB6D45">
        <w:t xml:space="preserve">There was an imbalance in some baseline features between patients with PD-L1 negative and positive tumours, </w:t>
      </w:r>
      <w:r w:rsidR="00B85B18">
        <w:t>for example</w:t>
      </w:r>
      <w:r w:rsidRPr="00BB6D45">
        <w:t xml:space="preserve"> 30% of PD-L1 negative patients were BRAF mutant positive, whereas 20% of PD-L1 positive subjects were BRAF mutant positive.</w:t>
      </w:r>
    </w:p>
    <w:p w:rsidR="00BB6D45" w:rsidRPr="00BB6D45" w:rsidRDefault="00BB6D45" w:rsidP="00BB6D45">
      <w:r w:rsidRPr="00BB6D45">
        <w:t>The ORR for the pooled PD-L1 evaluable FAS popula</w:t>
      </w:r>
      <w:r w:rsidR="009D6214">
        <w:t xml:space="preserve">tion (n=248) was 35% (95% CI 29 to </w:t>
      </w:r>
      <w:r w:rsidRPr="00BB6D45">
        <w:t>41%), and was comparable to the ORR for the all melanoma FAS population (n</w:t>
      </w:r>
      <w:r w:rsidR="009D6214">
        <w:t xml:space="preserve"> </w:t>
      </w:r>
      <w:r w:rsidRPr="00BB6D45">
        <w:t>=</w:t>
      </w:r>
      <w:r w:rsidR="009D6214">
        <w:t xml:space="preserve"> 365), at 34% (95% CI 29 to </w:t>
      </w:r>
      <w:r w:rsidRPr="00BB6D45">
        <w:t>39%).</w:t>
      </w:r>
    </w:p>
    <w:p w:rsidR="00735A18" w:rsidRDefault="00BB6D45" w:rsidP="00BB6D45">
      <w:pPr>
        <w:pStyle w:val="Heading7"/>
        <w:rPr>
          <w:rFonts w:eastAsia="TimesNewRoman"/>
        </w:rPr>
      </w:pPr>
      <w:r w:rsidRPr="00BB6D45">
        <w:rPr>
          <w:rFonts w:eastAsia="TimesNewRoman"/>
        </w:rPr>
        <w:t>ORR in patients who were PD-</w:t>
      </w:r>
      <w:r w:rsidR="009D6214">
        <w:rPr>
          <w:rFonts w:eastAsia="TimesNewRoman"/>
        </w:rPr>
        <w:t xml:space="preserve">L1 positive was 42% (95% CI: 35 to 49%) compared to 9% (95% CI 3 to </w:t>
      </w:r>
      <w:r w:rsidRPr="00BB6D45">
        <w:rPr>
          <w:rFonts w:eastAsia="TimesNewRoman"/>
        </w:rPr>
        <w:t>20%) in patients who were PD-L1 negative</w:t>
      </w:r>
      <w:r w:rsidR="00735A18">
        <w:rPr>
          <w:rFonts w:eastAsia="TimesNewRoman"/>
        </w:rPr>
        <w:t>.</w:t>
      </w:r>
    </w:p>
    <w:p w:rsidR="00BB6D45" w:rsidRPr="00BB6D45" w:rsidRDefault="00BB6D45" w:rsidP="00BB6D45">
      <w:r w:rsidRPr="00BB6D45">
        <w:t>All complete responses were in PD-L1 positive patients (12</w:t>
      </w:r>
      <w:r w:rsidR="005D7F4D">
        <w:t xml:space="preserve"> out of </w:t>
      </w:r>
      <w:r w:rsidRPr="00BB6D45">
        <w:t xml:space="preserve">194, </w:t>
      </w:r>
      <w:r w:rsidR="00987E81">
        <w:t>versus</w:t>
      </w:r>
      <w:r w:rsidRPr="00BB6D45">
        <w:t xml:space="preserve"> 0</w:t>
      </w:r>
      <w:r w:rsidR="005D7F4D">
        <w:t xml:space="preserve"> out of </w:t>
      </w:r>
      <w:r w:rsidRPr="00BB6D45">
        <w:t>54).</w:t>
      </w:r>
      <w:r w:rsidR="00987E81">
        <w:t xml:space="preserve"> </w:t>
      </w:r>
      <w:r w:rsidRPr="00BB6D45">
        <w:t>The difference in ORR between the subgroups was 33% (p</w:t>
      </w:r>
      <w:r w:rsidR="007C0506">
        <w:t xml:space="preserve"> </w:t>
      </w:r>
      <w:r w:rsidRPr="00BB6D45">
        <w:t>&lt;</w:t>
      </w:r>
      <w:r w:rsidR="007C0506">
        <w:t xml:space="preserve"> </w:t>
      </w:r>
      <w:r w:rsidRPr="00BB6D45">
        <w:t>0.0001).</w:t>
      </w:r>
      <w:r w:rsidR="00987E81">
        <w:t xml:space="preserve"> </w:t>
      </w:r>
      <w:r w:rsidRPr="00BB6D45">
        <w:t>The differ</w:t>
      </w:r>
      <w:r w:rsidR="007C0506">
        <w:t xml:space="preserve">ence was more pronounced in IPI </w:t>
      </w:r>
      <w:r w:rsidRPr="00BB6D45">
        <w:t xml:space="preserve">naïve subjects </w:t>
      </w:r>
      <w:r w:rsidR="007C0506">
        <w:t xml:space="preserve">(difference of 42%) than in IPI </w:t>
      </w:r>
      <w:r w:rsidRPr="00BB6D45">
        <w:t>treated subjects (27%).</w:t>
      </w:r>
      <w:r w:rsidR="00987E81">
        <w:t xml:space="preserve"> </w:t>
      </w:r>
      <w:r w:rsidR="007C0506">
        <w:t>Table 19</w:t>
      </w:r>
      <w:r w:rsidRPr="00BB6D45">
        <w:t xml:space="preserve"> below summarises best overall responses by PD-L1 status.</w:t>
      </w:r>
      <w:r w:rsidR="00987E81">
        <w:t xml:space="preserve"> </w:t>
      </w:r>
      <w:r w:rsidRPr="00BB6D45">
        <w:t>Duration of response in PD-L1</w:t>
      </w:r>
      <w:r w:rsidRPr="00BB6D45">
        <w:rPr>
          <w:vertAlign w:val="superscript"/>
        </w:rPr>
        <w:t>neg</w:t>
      </w:r>
      <w:r w:rsidRPr="00BB6D45">
        <w:t xml:space="preserve"> subjects was unaffected, based on 81 PD-L1</w:t>
      </w:r>
      <w:r w:rsidRPr="007C0506">
        <w:rPr>
          <w:vertAlign w:val="superscript"/>
        </w:rPr>
        <w:t>pos</w:t>
      </w:r>
      <w:r w:rsidR="007C0506">
        <w:t xml:space="preserve"> responders and 5 PD</w:t>
      </w:r>
      <w:r w:rsidR="007C0506">
        <w:noBreakHyphen/>
      </w:r>
      <w:r w:rsidRPr="00BB6D45">
        <w:t>L1</w:t>
      </w:r>
      <w:r w:rsidRPr="00BB6D45">
        <w:rPr>
          <w:vertAlign w:val="superscript"/>
        </w:rPr>
        <w:t>neg</w:t>
      </w:r>
      <w:r>
        <w:t xml:space="preserve"> </w:t>
      </w:r>
      <w:r w:rsidRPr="00BB6D45">
        <w:t>responders (too small a sample size in the latter group for robust conclusions)</w:t>
      </w:r>
      <w:r w:rsidR="00E5241D">
        <w:t>.</w:t>
      </w:r>
      <w:r w:rsidRPr="00E5241D">
        <w:rPr>
          <w:vertAlign w:val="superscript"/>
        </w:rPr>
        <w:footnoteReference w:id="65"/>
      </w:r>
      <w:r w:rsidR="00987E81">
        <w:t xml:space="preserve"> </w:t>
      </w:r>
      <w:r w:rsidRPr="00BB6D45">
        <w:t xml:space="preserve">Median PFS was 24 weeks in the positive group, </w:t>
      </w:r>
      <w:r w:rsidR="00987E81">
        <w:t>versus</w:t>
      </w:r>
      <w:r w:rsidRPr="00BB6D45">
        <w:t xml:space="preserve"> 12 weeks in the negative group; the hazard ratio for progression was 0.5 (95% C</w:t>
      </w:r>
      <w:r w:rsidR="00E5241D">
        <w:t xml:space="preserve">I 0.36 to </w:t>
      </w:r>
      <w:r w:rsidRPr="00BB6D45">
        <w:t>0.69).</w:t>
      </w:r>
      <w:r w:rsidR="00987E81">
        <w:t xml:space="preserve"> </w:t>
      </w:r>
      <w:r w:rsidRPr="00BB6D45">
        <w:t>There was a similar HR for OS.</w:t>
      </w:r>
    </w:p>
    <w:p w:rsidR="00BB6D45" w:rsidRPr="00BB6D45" w:rsidRDefault="00BB6D45" w:rsidP="00BB6D45">
      <w:pPr>
        <w:pStyle w:val="TableTitle"/>
      </w:pPr>
      <w:proofErr w:type="gramStart"/>
      <w:r>
        <w:t xml:space="preserve">Table </w:t>
      </w:r>
      <w:r w:rsidR="007F12A4">
        <w:t>19</w:t>
      </w:r>
      <w:r w:rsidR="00AE128D">
        <w:t>.</w:t>
      </w:r>
      <w:proofErr w:type="gramEnd"/>
      <w:r w:rsidR="00AE128D">
        <w:t xml:space="preserve"> </w:t>
      </w:r>
      <w:r w:rsidRPr="00BB6D45">
        <w:t>Summary of best overall response based on IRO assessment per RECIST 1.1 (Part B1 + B2 + D patients) by PD-L1 status (FAS population by IRC)</w:t>
      </w:r>
    </w:p>
    <w:p w:rsidR="00250370" w:rsidRPr="00BB6D45" w:rsidRDefault="00BB6D45" w:rsidP="00BB6D45">
      <w:r>
        <w:rPr>
          <w:noProof/>
          <w:lang w:eastAsia="en-AU"/>
        </w:rPr>
        <w:drawing>
          <wp:inline distT="0" distB="0" distL="0" distR="0" wp14:anchorId="4B5D3163" wp14:editId="513C9049">
            <wp:extent cx="5230368" cy="1454042"/>
            <wp:effectExtent l="0" t="0" r="0" b="0"/>
            <wp:docPr id="32" name="Picture 32" descr="Table 19. Summary of best overall response based on IRO assessment per RECIST 1.1 (Part B1 + B2 + D patients) by PD-L1 status (FAS population by 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30703" cy="1454135"/>
                    </a:xfrm>
                    <a:prstGeom prst="rect">
                      <a:avLst/>
                    </a:prstGeom>
                  </pic:spPr>
                </pic:pic>
              </a:graphicData>
            </a:graphic>
          </wp:inline>
        </w:drawing>
      </w:r>
    </w:p>
    <w:p w:rsidR="00BB6D45" w:rsidRPr="00BB6D45" w:rsidRDefault="00BB6D45" w:rsidP="00BB6D45">
      <w:r w:rsidRPr="00BB6D45">
        <w:t>The sponsor speculated that responses observed in patients with PD-L1 negative tumours might be accounted for by heterogeneity of PD-L1 expression / sampling error, expression of PD-L2 or another ligand predicting response to treatment, or response even with very low levels of PD-L1 expression in some patients.</w:t>
      </w:r>
    </w:p>
    <w:p w:rsidR="00BB6D45" w:rsidRPr="00BB6D45" w:rsidRDefault="00BB6D45" w:rsidP="00BB6D45">
      <w:pPr>
        <w:pStyle w:val="Heading6"/>
        <w:rPr>
          <w:rFonts w:eastAsiaTheme="minorHAnsi"/>
        </w:rPr>
      </w:pPr>
      <w:bookmarkStart w:id="181" w:name="_Ref410115751"/>
      <w:r w:rsidRPr="00BB6D45">
        <w:rPr>
          <w:rFonts w:eastAsiaTheme="minorHAnsi"/>
        </w:rPr>
        <w:t>Efficacy according to tumour BRAF status</w:t>
      </w:r>
      <w:bookmarkEnd w:id="181"/>
    </w:p>
    <w:p w:rsidR="00BB6D45" w:rsidRPr="00BB6D45" w:rsidRDefault="00AE128D" w:rsidP="00BB6D45">
      <w:r>
        <w:t>T</w:t>
      </w:r>
      <w:r w:rsidR="00BB6D45" w:rsidRPr="00BB6D45">
        <w:t xml:space="preserve">able </w:t>
      </w:r>
      <w:r w:rsidR="007F12A4">
        <w:t>20</w:t>
      </w:r>
      <w:r>
        <w:t xml:space="preserve"> </w:t>
      </w:r>
      <w:r w:rsidR="00BB6D45" w:rsidRPr="00BB6D45">
        <w:t xml:space="preserve">is of ORRs in patients from P001 (18 October 2013 </w:t>
      </w:r>
      <w:r w:rsidR="00C22866">
        <w:t>cut off</w:t>
      </w:r>
      <w:r w:rsidR="00BB6D45" w:rsidRPr="00BB6D45">
        <w:t xml:space="preserve">), and it shows broadly higher ORRs in patients with BRAF </w:t>
      </w:r>
      <w:r w:rsidR="007E34E3">
        <w:t>wild type</w:t>
      </w:r>
      <w:r w:rsidR="00BB6D45" w:rsidRPr="00BB6D45">
        <w:t xml:space="preserve"> tumours.</w:t>
      </w:r>
    </w:p>
    <w:p w:rsidR="00250370" w:rsidRPr="00BB6D45" w:rsidRDefault="005405A9" w:rsidP="00E5241D">
      <w:pPr>
        <w:pStyle w:val="TableTitle"/>
        <w:pageBreakBefore/>
      </w:pPr>
      <w:proofErr w:type="gramStart"/>
      <w:r>
        <w:lastRenderedPageBreak/>
        <w:t xml:space="preserve">Table </w:t>
      </w:r>
      <w:r w:rsidR="007F12A4">
        <w:t>20</w:t>
      </w:r>
      <w:r w:rsidR="00387774">
        <w:t>.</w:t>
      </w:r>
      <w:proofErr w:type="gramEnd"/>
      <w:r w:rsidR="00AE128D">
        <w:t xml:space="preserve"> </w:t>
      </w:r>
      <w:r w:rsidR="00387774" w:rsidRPr="00BB6D45">
        <w:t>O</w:t>
      </w:r>
      <w:r w:rsidR="00E5241D">
        <w:t>verall response rate</w:t>
      </w:r>
      <w:r w:rsidR="00387774" w:rsidRPr="00BB6D45">
        <w:t>s in patients from P001 (18 October</w:t>
      </w:r>
      <w:r w:rsidR="00387774">
        <w:t xml:space="preserve"> 2013 </w:t>
      </w:r>
      <w:r w:rsidR="00C22866">
        <w:t>cut off</w:t>
      </w:r>
      <w:r w:rsidR="00387774">
        <w:t>).</w:t>
      </w:r>
    </w:p>
    <w:tbl>
      <w:tblPr>
        <w:tblStyle w:val="TableTGAblue"/>
        <w:tblW w:w="0" w:type="auto"/>
        <w:tblLook w:val="04A0" w:firstRow="1" w:lastRow="0" w:firstColumn="1" w:lastColumn="0" w:noHBand="0" w:noVBand="1"/>
      </w:tblPr>
      <w:tblGrid>
        <w:gridCol w:w="1697"/>
        <w:gridCol w:w="1700"/>
        <w:gridCol w:w="1700"/>
        <w:gridCol w:w="1696"/>
        <w:gridCol w:w="1927"/>
      </w:tblGrid>
      <w:tr w:rsidR="005405A9" w:rsidRPr="005405A9" w:rsidTr="005405A9">
        <w:trPr>
          <w:cnfStyle w:val="100000000000" w:firstRow="1" w:lastRow="0" w:firstColumn="0" w:lastColumn="0" w:oddVBand="0" w:evenVBand="0" w:oddHBand="0" w:evenHBand="0" w:firstRowFirstColumn="0" w:firstRowLastColumn="0" w:lastRowFirstColumn="0" w:lastRowLastColumn="0"/>
        </w:trPr>
        <w:tc>
          <w:tcPr>
            <w:tcW w:w="1739" w:type="dxa"/>
          </w:tcPr>
          <w:p w:rsidR="005405A9" w:rsidRPr="005405A9" w:rsidRDefault="005405A9" w:rsidP="006E184D">
            <w:r w:rsidRPr="005405A9">
              <w:t>BRAF status</w:t>
            </w:r>
          </w:p>
        </w:tc>
        <w:tc>
          <w:tcPr>
            <w:tcW w:w="1743" w:type="dxa"/>
          </w:tcPr>
          <w:p w:rsidR="005405A9" w:rsidRPr="005405A9" w:rsidRDefault="005405A9" w:rsidP="006E184D">
            <w:r w:rsidRPr="005405A9">
              <w:t>2 mg/kg Q3W</w:t>
            </w:r>
          </w:p>
        </w:tc>
        <w:tc>
          <w:tcPr>
            <w:tcW w:w="1743" w:type="dxa"/>
          </w:tcPr>
          <w:p w:rsidR="005405A9" w:rsidRPr="005405A9" w:rsidRDefault="005405A9" w:rsidP="006E184D">
            <w:r w:rsidRPr="005405A9">
              <w:t>10 mg/kg Q3W</w:t>
            </w:r>
          </w:p>
        </w:tc>
        <w:tc>
          <w:tcPr>
            <w:tcW w:w="1739" w:type="dxa"/>
          </w:tcPr>
          <w:p w:rsidR="005405A9" w:rsidRPr="005405A9" w:rsidRDefault="005405A9" w:rsidP="006E184D">
            <w:r w:rsidRPr="005405A9">
              <w:t>10 mg/kg Q2W</w:t>
            </w:r>
          </w:p>
        </w:tc>
        <w:tc>
          <w:tcPr>
            <w:tcW w:w="1756" w:type="dxa"/>
          </w:tcPr>
          <w:p w:rsidR="005405A9" w:rsidRPr="005405A9" w:rsidRDefault="005405A9" w:rsidP="006E184D">
            <w:r w:rsidRPr="005405A9">
              <w:t>total</w:t>
            </w:r>
          </w:p>
        </w:tc>
      </w:tr>
      <w:tr w:rsidR="005405A9" w:rsidRPr="005405A9" w:rsidTr="005405A9">
        <w:tc>
          <w:tcPr>
            <w:tcW w:w="1739" w:type="dxa"/>
          </w:tcPr>
          <w:p w:rsidR="005405A9" w:rsidRPr="005405A9" w:rsidRDefault="005405A9" w:rsidP="006E184D">
            <w:r w:rsidRPr="005405A9">
              <w:t>Mutant</w:t>
            </w:r>
          </w:p>
        </w:tc>
        <w:tc>
          <w:tcPr>
            <w:tcW w:w="1743" w:type="dxa"/>
          </w:tcPr>
          <w:p w:rsidR="005405A9" w:rsidRPr="005405A9" w:rsidRDefault="00E5241D" w:rsidP="006E184D">
            <w:r>
              <w:t>8 out of 38 (</w:t>
            </w:r>
            <w:r w:rsidR="005405A9" w:rsidRPr="005405A9">
              <w:t>21%</w:t>
            </w:r>
            <w:r>
              <w:t>)</w:t>
            </w:r>
          </w:p>
        </w:tc>
        <w:tc>
          <w:tcPr>
            <w:tcW w:w="1743" w:type="dxa"/>
          </w:tcPr>
          <w:p w:rsidR="005405A9" w:rsidRPr="005405A9" w:rsidRDefault="005405A9" w:rsidP="006E184D">
            <w:r w:rsidRPr="005405A9">
              <w:t>9</w:t>
            </w:r>
            <w:r w:rsidR="00E5241D">
              <w:t xml:space="preserve"> out of</w:t>
            </w:r>
            <w:r w:rsidR="00E5241D" w:rsidRPr="005405A9">
              <w:t xml:space="preserve"> </w:t>
            </w:r>
            <w:r w:rsidR="00E5241D">
              <w:t>45 (</w:t>
            </w:r>
            <w:r w:rsidRPr="005405A9">
              <w:t>20%</w:t>
            </w:r>
            <w:r w:rsidR="00E5241D">
              <w:t>)</w:t>
            </w:r>
          </w:p>
        </w:tc>
        <w:tc>
          <w:tcPr>
            <w:tcW w:w="1739" w:type="dxa"/>
          </w:tcPr>
          <w:p w:rsidR="005405A9" w:rsidRPr="005405A9" w:rsidRDefault="005405A9" w:rsidP="006E184D">
            <w:r w:rsidRPr="005405A9">
              <w:t>7</w:t>
            </w:r>
            <w:r w:rsidR="00E5241D">
              <w:t xml:space="preserve"> out of</w:t>
            </w:r>
            <w:r w:rsidR="00E5241D" w:rsidRPr="005405A9">
              <w:t xml:space="preserve"> </w:t>
            </w:r>
            <w:r w:rsidR="00E5241D">
              <w:t>14 (</w:t>
            </w:r>
            <w:r w:rsidRPr="005405A9">
              <w:t>50%</w:t>
            </w:r>
            <w:r w:rsidR="00E5241D">
              <w:t>)</w:t>
            </w:r>
          </w:p>
        </w:tc>
        <w:tc>
          <w:tcPr>
            <w:tcW w:w="1756" w:type="dxa"/>
          </w:tcPr>
          <w:p w:rsidR="005405A9" w:rsidRPr="005405A9" w:rsidRDefault="005405A9" w:rsidP="006E184D">
            <w:r w:rsidRPr="005405A9">
              <w:t>24</w:t>
            </w:r>
            <w:r w:rsidR="00E5241D">
              <w:t xml:space="preserve"> out of</w:t>
            </w:r>
            <w:r w:rsidR="00E5241D" w:rsidRPr="005405A9">
              <w:t xml:space="preserve"> </w:t>
            </w:r>
            <w:r w:rsidR="00E5241D">
              <w:t>97 (</w:t>
            </w:r>
            <w:r w:rsidRPr="005405A9">
              <w:t>25%</w:t>
            </w:r>
            <w:r w:rsidR="00E5241D">
              <w:t>)</w:t>
            </w:r>
          </w:p>
        </w:tc>
      </w:tr>
      <w:tr w:rsidR="005405A9" w:rsidRPr="005405A9" w:rsidTr="005405A9">
        <w:tc>
          <w:tcPr>
            <w:tcW w:w="6964" w:type="dxa"/>
            <w:gridSpan w:val="4"/>
          </w:tcPr>
          <w:p w:rsidR="005405A9" w:rsidRPr="005405A9" w:rsidRDefault="005405A9" w:rsidP="006E184D">
            <w:r w:rsidRPr="005405A9">
              <w:t xml:space="preserve">Mutant, use of </w:t>
            </w:r>
            <w:proofErr w:type="spellStart"/>
            <w:r w:rsidRPr="005405A9">
              <w:t>BRAFi</w:t>
            </w:r>
            <w:proofErr w:type="spellEnd"/>
            <w:r w:rsidRPr="005405A9">
              <w:t>/</w:t>
            </w:r>
            <w:proofErr w:type="spellStart"/>
            <w:r w:rsidRPr="005405A9">
              <w:t>MEKi</w:t>
            </w:r>
            <w:proofErr w:type="spellEnd"/>
          </w:p>
        </w:tc>
        <w:tc>
          <w:tcPr>
            <w:tcW w:w="1756" w:type="dxa"/>
          </w:tcPr>
          <w:p w:rsidR="005405A9" w:rsidRPr="005405A9" w:rsidRDefault="00987E81" w:rsidP="006E184D">
            <w:proofErr w:type="gramStart"/>
            <w:r>
              <w:t>approximately</w:t>
            </w:r>
            <w:proofErr w:type="gramEnd"/>
            <w:r>
              <w:t xml:space="preserve"> </w:t>
            </w:r>
            <w:r w:rsidR="005405A9" w:rsidRPr="005405A9">
              <w:t>13</w:t>
            </w:r>
            <w:r w:rsidR="00E5241D">
              <w:t xml:space="preserve"> out of</w:t>
            </w:r>
            <w:r w:rsidR="00E5241D" w:rsidRPr="005405A9">
              <w:t xml:space="preserve"> </w:t>
            </w:r>
            <w:r w:rsidR="00E5241D">
              <w:t>66</w:t>
            </w:r>
            <w:r w:rsidR="005405A9" w:rsidRPr="005405A9">
              <w:t xml:space="preserve"> </w:t>
            </w:r>
            <w:r w:rsidR="00E5241D">
              <w:t>(</w:t>
            </w:r>
            <w:r w:rsidR="005405A9" w:rsidRPr="005405A9">
              <w:t>20%</w:t>
            </w:r>
            <w:r w:rsidR="00E5241D">
              <w:t>)</w:t>
            </w:r>
          </w:p>
        </w:tc>
      </w:tr>
      <w:tr w:rsidR="005405A9" w:rsidRPr="005405A9" w:rsidTr="005405A9">
        <w:tc>
          <w:tcPr>
            <w:tcW w:w="6964" w:type="dxa"/>
            <w:gridSpan w:val="4"/>
          </w:tcPr>
          <w:p w:rsidR="005405A9" w:rsidRPr="005405A9" w:rsidRDefault="005405A9" w:rsidP="006E184D">
            <w:r w:rsidRPr="005405A9">
              <w:t xml:space="preserve">Mutant, no use of </w:t>
            </w:r>
            <w:proofErr w:type="spellStart"/>
            <w:r w:rsidRPr="005405A9">
              <w:t>BRAFi</w:t>
            </w:r>
            <w:proofErr w:type="spellEnd"/>
            <w:r w:rsidRPr="005405A9">
              <w:t>/</w:t>
            </w:r>
            <w:proofErr w:type="spellStart"/>
            <w:r w:rsidRPr="005405A9">
              <w:t>MEKi</w:t>
            </w:r>
            <w:proofErr w:type="spellEnd"/>
          </w:p>
        </w:tc>
        <w:tc>
          <w:tcPr>
            <w:tcW w:w="1756" w:type="dxa"/>
          </w:tcPr>
          <w:p w:rsidR="005405A9" w:rsidRPr="005405A9" w:rsidRDefault="00987E81" w:rsidP="006E184D">
            <w:proofErr w:type="gramStart"/>
            <w:r>
              <w:t>approximately</w:t>
            </w:r>
            <w:proofErr w:type="gramEnd"/>
            <w:r>
              <w:t xml:space="preserve"> </w:t>
            </w:r>
            <w:r w:rsidR="005405A9" w:rsidRPr="005405A9">
              <w:t>11</w:t>
            </w:r>
            <w:r w:rsidR="00E5241D">
              <w:t xml:space="preserve"> out of</w:t>
            </w:r>
            <w:r w:rsidR="00E5241D" w:rsidRPr="005405A9">
              <w:t xml:space="preserve"> </w:t>
            </w:r>
            <w:r w:rsidR="00E5241D">
              <w:t>31 (</w:t>
            </w:r>
            <w:r w:rsidR="005405A9" w:rsidRPr="005405A9">
              <w:t>35%</w:t>
            </w:r>
            <w:r w:rsidR="00E5241D">
              <w:t>)</w:t>
            </w:r>
          </w:p>
        </w:tc>
      </w:tr>
      <w:tr w:rsidR="005405A9" w:rsidRPr="005405A9" w:rsidTr="005405A9">
        <w:tc>
          <w:tcPr>
            <w:tcW w:w="1739" w:type="dxa"/>
          </w:tcPr>
          <w:p w:rsidR="005405A9" w:rsidRPr="005405A9" w:rsidRDefault="005405A9" w:rsidP="006E184D">
            <w:r w:rsidRPr="005405A9">
              <w:t>Wild-type</w:t>
            </w:r>
          </w:p>
        </w:tc>
        <w:tc>
          <w:tcPr>
            <w:tcW w:w="1743" w:type="dxa"/>
          </w:tcPr>
          <w:p w:rsidR="005405A9" w:rsidRPr="005405A9" w:rsidRDefault="005405A9" w:rsidP="006E184D">
            <w:r w:rsidRPr="005405A9">
              <w:t>39</w:t>
            </w:r>
            <w:r w:rsidR="00E5241D">
              <w:t xml:space="preserve"> out of</w:t>
            </w:r>
            <w:r w:rsidR="00E5241D" w:rsidRPr="005405A9">
              <w:t xml:space="preserve"> </w:t>
            </w:r>
            <w:r w:rsidR="00E5241D">
              <w:t>124 (</w:t>
            </w:r>
            <w:r w:rsidRPr="005405A9">
              <w:t>31%</w:t>
            </w:r>
            <w:r w:rsidR="00E5241D">
              <w:t>)</w:t>
            </w:r>
          </w:p>
        </w:tc>
        <w:tc>
          <w:tcPr>
            <w:tcW w:w="1743" w:type="dxa"/>
          </w:tcPr>
          <w:p w:rsidR="005405A9" w:rsidRPr="005405A9" w:rsidRDefault="005405A9" w:rsidP="006E184D">
            <w:r w:rsidRPr="005405A9">
              <w:t>46</w:t>
            </w:r>
            <w:r w:rsidR="00E5241D">
              <w:t xml:space="preserve"> out of</w:t>
            </w:r>
            <w:r w:rsidR="00E5241D" w:rsidRPr="005405A9">
              <w:t xml:space="preserve"> </w:t>
            </w:r>
            <w:r w:rsidR="00E5241D">
              <w:t>147 (</w:t>
            </w:r>
            <w:r w:rsidRPr="005405A9">
              <w:t>31%</w:t>
            </w:r>
            <w:r w:rsidR="00E5241D">
              <w:t>)</w:t>
            </w:r>
          </w:p>
        </w:tc>
        <w:tc>
          <w:tcPr>
            <w:tcW w:w="1739" w:type="dxa"/>
          </w:tcPr>
          <w:p w:rsidR="005405A9" w:rsidRPr="005405A9" w:rsidRDefault="005405A9" w:rsidP="006E184D">
            <w:r w:rsidRPr="005405A9">
              <w:t>19</w:t>
            </w:r>
            <w:r w:rsidR="00E5241D">
              <w:t xml:space="preserve"> out of</w:t>
            </w:r>
            <w:r w:rsidR="00E5241D" w:rsidRPr="005405A9">
              <w:t xml:space="preserve"> </w:t>
            </w:r>
            <w:r w:rsidR="00E5241D">
              <w:t>39 (</w:t>
            </w:r>
            <w:r w:rsidRPr="005405A9">
              <w:t>49%</w:t>
            </w:r>
            <w:r w:rsidR="00E5241D">
              <w:t>)</w:t>
            </w:r>
          </w:p>
        </w:tc>
        <w:tc>
          <w:tcPr>
            <w:tcW w:w="1756" w:type="dxa"/>
          </w:tcPr>
          <w:p w:rsidR="005405A9" w:rsidRPr="005405A9" w:rsidRDefault="005405A9" w:rsidP="006E184D">
            <w:r w:rsidRPr="005405A9">
              <w:t>104</w:t>
            </w:r>
            <w:r w:rsidR="00E5241D">
              <w:t xml:space="preserve"> out of</w:t>
            </w:r>
            <w:r w:rsidR="00E5241D" w:rsidRPr="005405A9">
              <w:t xml:space="preserve"> </w:t>
            </w:r>
            <w:r w:rsidR="00E5241D">
              <w:t>310</w:t>
            </w:r>
            <w:r w:rsidRPr="005405A9">
              <w:t xml:space="preserve"> </w:t>
            </w:r>
            <w:r w:rsidR="00E5241D">
              <w:t>(</w:t>
            </w:r>
            <w:r w:rsidRPr="005405A9">
              <w:t>34%</w:t>
            </w:r>
            <w:r w:rsidR="00E5241D">
              <w:t>)</w:t>
            </w:r>
          </w:p>
        </w:tc>
      </w:tr>
    </w:tbl>
    <w:p w:rsidR="005405A9" w:rsidRDefault="005405A9" w:rsidP="005405A9">
      <w:r w:rsidRPr="005405A9">
        <w:t xml:space="preserve">In the 18 April 2014 </w:t>
      </w:r>
      <w:r w:rsidR="00C22866">
        <w:t>cut off</w:t>
      </w:r>
      <w:r w:rsidRPr="005405A9">
        <w:t xml:space="preserve"> analysis of</w:t>
      </w:r>
      <w:r w:rsidR="00E5241D">
        <w:t xml:space="preserve"> B1+B2+B3+D, there were 308 IPI naïve subjects and 342 IPI </w:t>
      </w:r>
      <w:r w:rsidRPr="005405A9">
        <w:t>exposed subjects (many of whom were included in the above analysis).</w:t>
      </w:r>
      <w:r w:rsidR="00987E81">
        <w:t xml:space="preserve"> </w:t>
      </w:r>
      <w:r w:rsidRPr="005405A9">
        <w:t xml:space="preserve">In </w:t>
      </w:r>
      <w:r w:rsidR="007E34E3">
        <w:t>T</w:t>
      </w:r>
      <w:r w:rsidRPr="005405A9">
        <w:t>able</w:t>
      </w:r>
      <w:r w:rsidR="007E34E3">
        <w:t xml:space="preserve"> 21</w:t>
      </w:r>
      <w:r w:rsidRPr="005405A9">
        <w:t xml:space="preserve"> </w:t>
      </w:r>
      <w:r w:rsidR="007E34E3">
        <w:t xml:space="preserve">is </w:t>
      </w:r>
      <w:r w:rsidR="007C0506">
        <w:t xml:space="preserve">presented </w:t>
      </w:r>
      <w:r w:rsidRPr="005405A9">
        <w:t>the analysis of ORRs is by BRAF status and ipilimumab exposure.</w:t>
      </w:r>
    </w:p>
    <w:p w:rsidR="00387774" w:rsidRPr="005405A9" w:rsidRDefault="007F12A4" w:rsidP="00387774">
      <w:pPr>
        <w:pStyle w:val="TableTitle"/>
      </w:pPr>
      <w:proofErr w:type="gramStart"/>
      <w:r>
        <w:t>Table 21</w:t>
      </w:r>
      <w:r w:rsidR="00387774">
        <w:t>.</w:t>
      </w:r>
      <w:proofErr w:type="gramEnd"/>
      <w:r w:rsidR="00387774" w:rsidRPr="00387774">
        <w:t xml:space="preserve"> </w:t>
      </w:r>
      <w:r w:rsidR="00387774">
        <w:t>A</w:t>
      </w:r>
      <w:r w:rsidR="00387774" w:rsidRPr="005405A9">
        <w:t xml:space="preserve">nalysis of </w:t>
      </w:r>
      <w:r w:rsidR="00E5241D">
        <w:t>overall response rate</w:t>
      </w:r>
      <w:r w:rsidR="00E5241D" w:rsidRPr="00BB6D45">
        <w:t>s</w:t>
      </w:r>
      <w:r w:rsidR="00387774" w:rsidRPr="005405A9">
        <w:t xml:space="preserve"> is by BRAF status and ipilimumab exposure</w:t>
      </w:r>
    </w:p>
    <w:tbl>
      <w:tblPr>
        <w:tblStyle w:val="TableTGAblue"/>
        <w:tblW w:w="0" w:type="auto"/>
        <w:tblLook w:val="04A0" w:firstRow="1" w:lastRow="0" w:firstColumn="1" w:lastColumn="0" w:noHBand="0" w:noVBand="1"/>
      </w:tblPr>
      <w:tblGrid>
        <w:gridCol w:w="1799"/>
        <w:gridCol w:w="2300"/>
        <w:gridCol w:w="2320"/>
        <w:gridCol w:w="2301"/>
      </w:tblGrid>
      <w:tr w:rsidR="005405A9" w:rsidRPr="005405A9" w:rsidTr="000D6716">
        <w:trPr>
          <w:cnfStyle w:val="100000000000" w:firstRow="1" w:lastRow="0" w:firstColumn="0" w:lastColumn="0" w:oddVBand="0" w:evenVBand="0" w:oddHBand="0" w:evenHBand="0" w:firstRowFirstColumn="0" w:firstRowLastColumn="0" w:lastRowFirstColumn="0" w:lastRowLastColumn="0"/>
        </w:trPr>
        <w:tc>
          <w:tcPr>
            <w:tcW w:w="1799" w:type="dxa"/>
          </w:tcPr>
          <w:p w:rsidR="005405A9" w:rsidRPr="005405A9" w:rsidRDefault="005405A9" w:rsidP="006E184D">
            <w:r w:rsidRPr="005405A9">
              <w:t>BRAF status</w:t>
            </w:r>
          </w:p>
        </w:tc>
        <w:tc>
          <w:tcPr>
            <w:tcW w:w="2300" w:type="dxa"/>
          </w:tcPr>
          <w:p w:rsidR="005405A9" w:rsidRPr="005405A9" w:rsidRDefault="005405A9" w:rsidP="006E184D">
            <w:r w:rsidRPr="005405A9">
              <w:t>IPI-naive</w:t>
            </w:r>
          </w:p>
        </w:tc>
        <w:tc>
          <w:tcPr>
            <w:tcW w:w="2320" w:type="dxa"/>
          </w:tcPr>
          <w:p w:rsidR="005405A9" w:rsidRPr="005405A9" w:rsidRDefault="005405A9" w:rsidP="006E184D">
            <w:r w:rsidRPr="005405A9">
              <w:t>IPI-exposed</w:t>
            </w:r>
          </w:p>
        </w:tc>
        <w:tc>
          <w:tcPr>
            <w:tcW w:w="2301" w:type="dxa"/>
          </w:tcPr>
          <w:p w:rsidR="005405A9" w:rsidRPr="005405A9" w:rsidRDefault="005405A9" w:rsidP="006E184D">
            <w:r w:rsidRPr="005405A9">
              <w:t>total</w:t>
            </w:r>
          </w:p>
        </w:tc>
      </w:tr>
      <w:tr w:rsidR="005405A9" w:rsidRPr="005405A9" w:rsidTr="000D6716">
        <w:tc>
          <w:tcPr>
            <w:tcW w:w="1799" w:type="dxa"/>
          </w:tcPr>
          <w:p w:rsidR="005405A9" w:rsidRPr="005405A9" w:rsidRDefault="005405A9" w:rsidP="006E184D">
            <w:r w:rsidRPr="005405A9">
              <w:t>Mutant</w:t>
            </w:r>
          </w:p>
        </w:tc>
        <w:tc>
          <w:tcPr>
            <w:tcW w:w="2300" w:type="dxa"/>
          </w:tcPr>
          <w:p w:rsidR="00E5241D" w:rsidRDefault="005405A9" w:rsidP="006E184D">
            <w:r w:rsidRPr="005405A9">
              <w:t>n=91</w:t>
            </w:r>
          </w:p>
          <w:p w:rsidR="005405A9" w:rsidRPr="005405A9" w:rsidRDefault="005405A9" w:rsidP="006E184D">
            <w:r w:rsidRPr="005405A9">
              <w:t>ORR = 27.5%</w:t>
            </w:r>
          </w:p>
        </w:tc>
        <w:tc>
          <w:tcPr>
            <w:tcW w:w="2320" w:type="dxa"/>
          </w:tcPr>
          <w:p w:rsidR="00E5241D" w:rsidRDefault="005405A9" w:rsidP="006E184D">
            <w:r w:rsidRPr="005405A9">
              <w:t>n=64</w:t>
            </w:r>
          </w:p>
          <w:p w:rsidR="005405A9" w:rsidRPr="005405A9" w:rsidRDefault="005405A9" w:rsidP="006E184D">
            <w:r w:rsidRPr="005405A9">
              <w:t>ORR = 17%</w:t>
            </w:r>
          </w:p>
        </w:tc>
        <w:tc>
          <w:tcPr>
            <w:tcW w:w="2301" w:type="dxa"/>
          </w:tcPr>
          <w:p w:rsidR="00E5241D" w:rsidRDefault="005405A9" w:rsidP="006E184D">
            <w:r w:rsidRPr="005405A9">
              <w:t>n=155</w:t>
            </w:r>
          </w:p>
          <w:p w:rsidR="005405A9" w:rsidRPr="005405A9" w:rsidRDefault="005405A9" w:rsidP="006E184D">
            <w:r w:rsidRPr="005405A9">
              <w:t>ORR = 23%</w:t>
            </w:r>
          </w:p>
        </w:tc>
      </w:tr>
      <w:tr w:rsidR="005405A9" w:rsidRPr="005405A9" w:rsidTr="000D6716">
        <w:tc>
          <w:tcPr>
            <w:tcW w:w="1799" w:type="dxa"/>
          </w:tcPr>
          <w:p w:rsidR="005405A9" w:rsidRPr="005405A9" w:rsidRDefault="005405A9" w:rsidP="006E184D">
            <w:r w:rsidRPr="005405A9">
              <w:t xml:space="preserve">- Mutant, use of </w:t>
            </w:r>
            <w:proofErr w:type="spellStart"/>
            <w:r w:rsidRPr="005405A9">
              <w:t>BRAFi</w:t>
            </w:r>
            <w:proofErr w:type="spellEnd"/>
            <w:r w:rsidRPr="005405A9">
              <w:t>/</w:t>
            </w:r>
            <w:proofErr w:type="spellStart"/>
            <w:r w:rsidRPr="005405A9">
              <w:t>MEKi</w:t>
            </w:r>
            <w:proofErr w:type="spellEnd"/>
          </w:p>
        </w:tc>
        <w:tc>
          <w:tcPr>
            <w:tcW w:w="2300" w:type="dxa"/>
          </w:tcPr>
          <w:p w:rsidR="00E5241D" w:rsidRDefault="005405A9" w:rsidP="006E184D">
            <w:r w:rsidRPr="005405A9">
              <w:t>n=45</w:t>
            </w:r>
          </w:p>
          <w:p w:rsidR="005405A9" w:rsidRPr="005405A9" w:rsidRDefault="005405A9" w:rsidP="006E184D">
            <w:r w:rsidRPr="005405A9">
              <w:t>ORR = 24%</w:t>
            </w:r>
          </w:p>
        </w:tc>
        <w:tc>
          <w:tcPr>
            <w:tcW w:w="2320" w:type="dxa"/>
          </w:tcPr>
          <w:p w:rsidR="00E5241D" w:rsidRDefault="005405A9" w:rsidP="006E184D">
            <w:r w:rsidRPr="005405A9">
              <w:t>n=56</w:t>
            </w:r>
          </w:p>
          <w:p w:rsidR="005405A9" w:rsidRPr="005405A9" w:rsidRDefault="005405A9" w:rsidP="006E184D">
            <w:r w:rsidRPr="005405A9">
              <w:t>ORR = 18%</w:t>
            </w:r>
          </w:p>
        </w:tc>
        <w:tc>
          <w:tcPr>
            <w:tcW w:w="2301" w:type="dxa"/>
          </w:tcPr>
          <w:p w:rsidR="00E5241D" w:rsidRDefault="005405A9" w:rsidP="006E184D">
            <w:r w:rsidRPr="005405A9">
              <w:t>n=101</w:t>
            </w:r>
          </w:p>
          <w:p w:rsidR="005405A9" w:rsidRPr="005405A9" w:rsidRDefault="005405A9" w:rsidP="006E184D">
            <w:r w:rsidRPr="005405A9">
              <w:t>ORR = 21%</w:t>
            </w:r>
          </w:p>
        </w:tc>
      </w:tr>
      <w:tr w:rsidR="005405A9" w:rsidRPr="005405A9" w:rsidTr="000D6716">
        <w:tc>
          <w:tcPr>
            <w:tcW w:w="1799" w:type="dxa"/>
          </w:tcPr>
          <w:p w:rsidR="005405A9" w:rsidRPr="005405A9" w:rsidRDefault="005405A9" w:rsidP="006E184D">
            <w:r w:rsidRPr="005405A9">
              <w:t xml:space="preserve">- Mutant, no use of </w:t>
            </w:r>
            <w:proofErr w:type="spellStart"/>
            <w:r w:rsidRPr="005405A9">
              <w:t>BRAFi</w:t>
            </w:r>
            <w:proofErr w:type="spellEnd"/>
            <w:r w:rsidRPr="005405A9">
              <w:t>/</w:t>
            </w:r>
            <w:proofErr w:type="spellStart"/>
            <w:r w:rsidRPr="005405A9">
              <w:t>MEKi</w:t>
            </w:r>
            <w:proofErr w:type="spellEnd"/>
          </w:p>
        </w:tc>
        <w:tc>
          <w:tcPr>
            <w:tcW w:w="2300" w:type="dxa"/>
          </w:tcPr>
          <w:p w:rsidR="00E5241D" w:rsidRDefault="005405A9" w:rsidP="006E184D">
            <w:r w:rsidRPr="005405A9">
              <w:t>n=46</w:t>
            </w:r>
          </w:p>
          <w:p w:rsidR="005405A9" w:rsidRPr="005405A9" w:rsidRDefault="005405A9" w:rsidP="006E184D">
            <w:r w:rsidRPr="005405A9">
              <w:t>ORR = 30%</w:t>
            </w:r>
          </w:p>
        </w:tc>
        <w:tc>
          <w:tcPr>
            <w:tcW w:w="2320" w:type="dxa"/>
          </w:tcPr>
          <w:p w:rsidR="00E5241D" w:rsidRDefault="005405A9" w:rsidP="006E184D">
            <w:r w:rsidRPr="005405A9">
              <w:t>n=8</w:t>
            </w:r>
          </w:p>
          <w:p w:rsidR="005405A9" w:rsidRPr="005405A9" w:rsidRDefault="005405A9" w:rsidP="006E184D">
            <w:r w:rsidRPr="005405A9">
              <w:t>ORR = 12.5%</w:t>
            </w:r>
          </w:p>
        </w:tc>
        <w:tc>
          <w:tcPr>
            <w:tcW w:w="2301" w:type="dxa"/>
          </w:tcPr>
          <w:p w:rsidR="00E5241D" w:rsidRDefault="005405A9" w:rsidP="006E184D">
            <w:r w:rsidRPr="005405A9">
              <w:t>n=54</w:t>
            </w:r>
          </w:p>
          <w:p w:rsidR="005405A9" w:rsidRPr="005405A9" w:rsidRDefault="005405A9" w:rsidP="006E184D">
            <w:r w:rsidRPr="005405A9">
              <w:t>ORR = 28%</w:t>
            </w:r>
          </w:p>
        </w:tc>
      </w:tr>
      <w:tr w:rsidR="005405A9" w:rsidRPr="005405A9" w:rsidTr="000D6716">
        <w:tc>
          <w:tcPr>
            <w:tcW w:w="1799" w:type="dxa"/>
          </w:tcPr>
          <w:p w:rsidR="005405A9" w:rsidRPr="005405A9" w:rsidRDefault="005405A9" w:rsidP="006E184D">
            <w:r w:rsidRPr="005405A9">
              <w:t>Wild-type</w:t>
            </w:r>
          </w:p>
        </w:tc>
        <w:tc>
          <w:tcPr>
            <w:tcW w:w="2300" w:type="dxa"/>
          </w:tcPr>
          <w:p w:rsidR="00E5241D" w:rsidRDefault="005405A9" w:rsidP="006E184D">
            <w:r w:rsidRPr="005405A9">
              <w:t>n=217</w:t>
            </w:r>
          </w:p>
          <w:p w:rsidR="005405A9" w:rsidRPr="005405A9" w:rsidRDefault="005405A9" w:rsidP="006E184D">
            <w:r w:rsidRPr="005405A9">
              <w:t>ORR = 40%</w:t>
            </w:r>
          </w:p>
        </w:tc>
        <w:tc>
          <w:tcPr>
            <w:tcW w:w="2320" w:type="dxa"/>
          </w:tcPr>
          <w:p w:rsidR="00E5241D" w:rsidRDefault="005405A9" w:rsidP="006E184D">
            <w:r w:rsidRPr="005405A9">
              <w:t>n=277</w:t>
            </w:r>
          </w:p>
          <w:p w:rsidR="005405A9" w:rsidRPr="005405A9" w:rsidRDefault="005405A9" w:rsidP="006E184D">
            <w:r w:rsidRPr="005405A9">
              <w:t>ORR = 28.5%</w:t>
            </w:r>
          </w:p>
        </w:tc>
        <w:tc>
          <w:tcPr>
            <w:tcW w:w="2301" w:type="dxa"/>
          </w:tcPr>
          <w:p w:rsidR="00E5241D" w:rsidRDefault="005405A9" w:rsidP="006E184D">
            <w:r w:rsidRPr="005405A9">
              <w:t>n=494</w:t>
            </w:r>
          </w:p>
          <w:p w:rsidR="005405A9" w:rsidRPr="005405A9" w:rsidRDefault="005405A9" w:rsidP="006E184D">
            <w:r w:rsidRPr="005405A9">
              <w:t>ORR = 34%</w:t>
            </w:r>
          </w:p>
        </w:tc>
      </w:tr>
      <w:tr w:rsidR="005405A9" w:rsidRPr="005405A9" w:rsidTr="000D6716">
        <w:tc>
          <w:tcPr>
            <w:tcW w:w="1799" w:type="dxa"/>
          </w:tcPr>
          <w:p w:rsidR="005405A9" w:rsidRPr="005405A9" w:rsidRDefault="005405A9" w:rsidP="006E184D">
            <w:r w:rsidRPr="005405A9">
              <w:t>Total</w:t>
            </w:r>
          </w:p>
        </w:tc>
        <w:tc>
          <w:tcPr>
            <w:tcW w:w="2300" w:type="dxa"/>
          </w:tcPr>
          <w:p w:rsidR="00E5241D" w:rsidRDefault="005405A9" w:rsidP="006E184D">
            <w:r w:rsidRPr="005405A9">
              <w:t>n=308</w:t>
            </w:r>
          </w:p>
          <w:p w:rsidR="005405A9" w:rsidRPr="005405A9" w:rsidRDefault="005405A9" w:rsidP="006E184D">
            <w:r w:rsidRPr="005405A9">
              <w:t>ORR = 36%</w:t>
            </w:r>
          </w:p>
        </w:tc>
        <w:tc>
          <w:tcPr>
            <w:tcW w:w="2320" w:type="dxa"/>
          </w:tcPr>
          <w:p w:rsidR="00E5241D" w:rsidRDefault="005405A9" w:rsidP="006E184D">
            <w:r w:rsidRPr="005405A9">
              <w:t>n=342</w:t>
            </w:r>
          </w:p>
          <w:p w:rsidR="005405A9" w:rsidRPr="005405A9" w:rsidRDefault="005405A9" w:rsidP="006E184D">
            <w:r w:rsidRPr="005405A9">
              <w:t>ORR = 27%</w:t>
            </w:r>
          </w:p>
        </w:tc>
        <w:tc>
          <w:tcPr>
            <w:tcW w:w="2301" w:type="dxa"/>
          </w:tcPr>
          <w:p w:rsidR="00E5241D" w:rsidRDefault="005405A9" w:rsidP="006E184D">
            <w:r w:rsidRPr="005405A9">
              <w:t>n=650</w:t>
            </w:r>
          </w:p>
          <w:p w:rsidR="005405A9" w:rsidRPr="005405A9" w:rsidRDefault="005405A9" w:rsidP="006E184D">
            <w:r w:rsidRPr="005405A9">
              <w:t>ORR = 31%</w:t>
            </w:r>
          </w:p>
        </w:tc>
      </w:tr>
    </w:tbl>
    <w:p w:rsidR="000D6716" w:rsidRPr="000D6716" w:rsidRDefault="000D6716" w:rsidP="000D6716">
      <w:pPr>
        <w:pStyle w:val="Heading6"/>
      </w:pPr>
      <w:r w:rsidRPr="000D6716">
        <w:t>Safety results</w:t>
      </w:r>
    </w:p>
    <w:p w:rsidR="000D6716" w:rsidRPr="000D6716" w:rsidRDefault="000D6716" w:rsidP="000D6716">
      <w:pPr>
        <w:pStyle w:val="Heading7"/>
      </w:pPr>
      <w:r w:rsidRPr="000D6716">
        <w:t>Exposure</w:t>
      </w:r>
    </w:p>
    <w:p w:rsidR="000D6716" w:rsidRDefault="000D6716" w:rsidP="000D6716">
      <w:r w:rsidRPr="000D6716">
        <w:t xml:space="preserve">Exposure to pembrolizumab in 411 subjects with advanced melanoma within sub-studies B1, B2 and D was as follows, based on the 18 October 2013 </w:t>
      </w:r>
      <w:r w:rsidR="00C22866">
        <w:t>cut off</w:t>
      </w:r>
      <w:r w:rsidRPr="000D6716">
        <w:t xml:space="preserve"> (values from the 18 April 2</w:t>
      </w:r>
      <w:r w:rsidR="007C0506">
        <w:t xml:space="preserve">014 </w:t>
      </w:r>
      <w:r w:rsidR="00C22866">
        <w:t>cut off</w:t>
      </w:r>
      <w:r w:rsidR="007C0506">
        <w:t xml:space="preserve"> follow, in bold and parentheses)</w:t>
      </w:r>
    </w:p>
    <w:p w:rsidR="00387774" w:rsidRPr="000D6716" w:rsidRDefault="00387774" w:rsidP="00387774">
      <w:pPr>
        <w:pStyle w:val="TableTitle"/>
      </w:pPr>
      <w:proofErr w:type="gramStart"/>
      <w:r>
        <w:lastRenderedPageBreak/>
        <w:t>Table 2</w:t>
      </w:r>
      <w:r w:rsidR="007F12A4">
        <w:t>2</w:t>
      </w:r>
      <w:r>
        <w:t>.</w:t>
      </w:r>
      <w:proofErr w:type="gramEnd"/>
      <w:r>
        <w:t xml:space="preserve"> </w:t>
      </w:r>
      <w:r w:rsidRPr="000D6716">
        <w:t>Exposure to pembrolizumab in 411 subjects with advanced melanoma within sub-studies B1, B2 and D</w:t>
      </w:r>
      <w:r w:rsidR="00E5241D">
        <w:t xml:space="preserve"> </w:t>
      </w:r>
      <w:r w:rsidR="00E5241D" w:rsidRPr="000D6716">
        <w:t xml:space="preserve">(values from the 18 April 2014 </w:t>
      </w:r>
      <w:r w:rsidR="00C22866">
        <w:t>cut off</w:t>
      </w:r>
      <w:r w:rsidR="00E5241D" w:rsidRPr="000D6716">
        <w:t xml:space="preserve"> </w:t>
      </w:r>
      <w:r w:rsidR="00E5241D">
        <w:t xml:space="preserve">are </w:t>
      </w:r>
      <w:r w:rsidR="00E5241D" w:rsidRPr="000D6716">
        <w:t xml:space="preserve">in </w:t>
      </w:r>
      <w:r w:rsidR="00E5241D">
        <w:t>bold</w:t>
      </w:r>
      <w:r w:rsidR="00E5241D" w:rsidRPr="000D6716">
        <w:t>)</w:t>
      </w:r>
    </w:p>
    <w:tbl>
      <w:tblPr>
        <w:tblStyle w:val="TableTGAblue"/>
        <w:tblW w:w="0" w:type="auto"/>
        <w:tblLook w:val="04A0" w:firstRow="1" w:lastRow="0" w:firstColumn="1" w:lastColumn="0" w:noHBand="0" w:noVBand="1"/>
      </w:tblPr>
      <w:tblGrid>
        <w:gridCol w:w="2158"/>
        <w:gridCol w:w="2157"/>
        <w:gridCol w:w="2237"/>
        <w:gridCol w:w="2168"/>
      </w:tblGrid>
      <w:tr w:rsidR="000D6716" w:rsidRPr="000D6716" w:rsidTr="000D6716">
        <w:trPr>
          <w:cnfStyle w:val="100000000000" w:firstRow="1" w:lastRow="0" w:firstColumn="0" w:lastColumn="0" w:oddVBand="0" w:evenVBand="0" w:oddHBand="0" w:evenHBand="0" w:firstRowFirstColumn="0" w:firstRowLastColumn="0" w:lastRowFirstColumn="0" w:lastRowLastColumn="0"/>
        </w:trPr>
        <w:tc>
          <w:tcPr>
            <w:tcW w:w="2158" w:type="dxa"/>
          </w:tcPr>
          <w:p w:rsidR="000D6716" w:rsidRPr="000D6716" w:rsidRDefault="000D6716" w:rsidP="006E184D">
            <w:r w:rsidRPr="000D6716">
              <w:t>Dose regimen</w:t>
            </w:r>
          </w:p>
        </w:tc>
        <w:tc>
          <w:tcPr>
            <w:tcW w:w="2157" w:type="dxa"/>
          </w:tcPr>
          <w:p w:rsidR="000D6716" w:rsidRPr="000D6716" w:rsidRDefault="000D6716" w:rsidP="006E184D">
            <w:r w:rsidRPr="000D6716">
              <w:t>Number of subjects</w:t>
            </w:r>
          </w:p>
        </w:tc>
        <w:tc>
          <w:tcPr>
            <w:tcW w:w="2237" w:type="dxa"/>
          </w:tcPr>
          <w:p w:rsidR="000D6716" w:rsidRPr="000D6716" w:rsidRDefault="000D6716" w:rsidP="006E184D">
            <w:r w:rsidRPr="000D6716">
              <w:t>Mean (range) administrations</w:t>
            </w:r>
          </w:p>
        </w:tc>
        <w:tc>
          <w:tcPr>
            <w:tcW w:w="2168" w:type="dxa"/>
          </w:tcPr>
          <w:p w:rsidR="000D6716" w:rsidRPr="000D6716" w:rsidRDefault="000D6716" w:rsidP="006E184D">
            <w:r w:rsidRPr="000D6716">
              <w:t>Mean duration of exposure (range)</w:t>
            </w:r>
          </w:p>
        </w:tc>
      </w:tr>
      <w:tr w:rsidR="000D6716" w:rsidRPr="000D6716" w:rsidTr="000D6716">
        <w:tc>
          <w:tcPr>
            <w:tcW w:w="2158" w:type="dxa"/>
          </w:tcPr>
          <w:p w:rsidR="000D6716" w:rsidRPr="000D6716" w:rsidRDefault="000D6716" w:rsidP="006E184D">
            <w:r w:rsidRPr="000D6716">
              <w:t>2 mg/kg Q3W</w:t>
            </w:r>
          </w:p>
        </w:tc>
        <w:tc>
          <w:tcPr>
            <w:tcW w:w="2157" w:type="dxa"/>
          </w:tcPr>
          <w:p w:rsidR="000D6716" w:rsidRPr="000D6716" w:rsidRDefault="000D6716" w:rsidP="006E184D">
            <w:r w:rsidRPr="000D6716">
              <w:t>N=162</w:t>
            </w:r>
          </w:p>
        </w:tc>
        <w:tc>
          <w:tcPr>
            <w:tcW w:w="2237" w:type="dxa"/>
          </w:tcPr>
          <w:p w:rsidR="000D6716" w:rsidRPr="00162BAF" w:rsidRDefault="000D6716" w:rsidP="006E184D">
            <w:r w:rsidRPr="00162BAF">
              <w:t>10 (</w:t>
            </w:r>
            <w:r w:rsidR="0085409C">
              <w:t>1 to 2</w:t>
            </w:r>
            <w:r w:rsidRPr="00162BAF">
              <w:t>6)</w:t>
            </w:r>
          </w:p>
          <w:p w:rsidR="000D6716" w:rsidRPr="00E5241D" w:rsidRDefault="000D6716" w:rsidP="006E184D">
            <w:r w:rsidRPr="00E5241D">
              <w:t>[13]</w:t>
            </w:r>
          </w:p>
        </w:tc>
        <w:tc>
          <w:tcPr>
            <w:tcW w:w="2168" w:type="dxa"/>
          </w:tcPr>
          <w:p w:rsidR="000D6716" w:rsidRPr="00162BAF" w:rsidRDefault="000D6716" w:rsidP="006E184D">
            <w:r w:rsidRPr="00162BAF">
              <w:t>196 (1-526) days</w:t>
            </w:r>
          </w:p>
          <w:p w:rsidR="000D6716" w:rsidRPr="00E5241D" w:rsidRDefault="000D6716" w:rsidP="006E184D">
            <w:r w:rsidRPr="00E5241D">
              <w:t>[259]</w:t>
            </w:r>
          </w:p>
        </w:tc>
      </w:tr>
      <w:tr w:rsidR="000D6716" w:rsidRPr="000D6716" w:rsidTr="000D6716">
        <w:tc>
          <w:tcPr>
            <w:tcW w:w="2158" w:type="dxa"/>
          </w:tcPr>
          <w:p w:rsidR="000D6716" w:rsidRPr="000D6716" w:rsidRDefault="000D6716" w:rsidP="006E184D">
            <w:r w:rsidRPr="000D6716">
              <w:t>10 mg/kg Q3W</w:t>
            </w:r>
          </w:p>
        </w:tc>
        <w:tc>
          <w:tcPr>
            <w:tcW w:w="2157" w:type="dxa"/>
          </w:tcPr>
          <w:p w:rsidR="000D6716" w:rsidRPr="000D6716" w:rsidRDefault="000D6716" w:rsidP="006E184D">
            <w:r w:rsidRPr="000D6716">
              <w:t>N=192</w:t>
            </w:r>
          </w:p>
        </w:tc>
        <w:tc>
          <w:tcPr>
            <w:tcW w:w="2237" w:type="dxa"/>
          </w:tcPr>
          <w:p w:rsidR="000D6716" w:rsidRPr="00162BAF" w:rsidRDefault="000D6716" w:rsidP="006E184D">
            <w:r w:rsidRPr="00162BAF">
              <w:t>10 (</w:t>
            </w:r>
            <w:r w:rsidR="0085409C">
              <w:t>1 to 2</w:t>
            </w:r>
            <w:r w:rsidRPr="00162BAF">
              <w:t>8)</w:t>
            </w:r>
          </w:p>
          <w:p w:rsidR="000D6716" w:rsidRPr="00E5241D" w:rsidRDefault="000D6716" w:rsidP="006E184D">
            <w:r w:rsidRPr="00E5241D">
              <w:t>[13]</w:t>
            </w:r>
          </w:p>
        </w:tc>
        <w:tc>
          <w:tcPr>
            <w:tcW w:w="2168" w:type="dxa"/>
          </w:tcPr>
          <w:p w:rsidR="000D6716" w:rsidRPr="00162BAF" w:rsidRDefault="000D6716" w:rsidP="006E184D">
            <w:r w:rsidRPr="00162BAF">
              <w:t>197 (1-589) days</w:t>
            </w:r>
          </w:p>
          <w:p w:rsidR="000D6716" w:rsidRPr="00E5241D" w:rsidRDefault="000D6716" w:rsidP="006E184D">
            <w:r w:rsidRPr="00E5241D">
              <w:t>[265]</w:t>
            </w:r>
          </w:p>
        </w:tc>
      </w:tr>
      <w:tr w:rsidR="000D6716" w:rsidRPr="000D6716" w:rsidTr="000D6716">
        <w:tc>
          <w:tcPr>
            <w:tcW w:w="2158" w:type="dxa"/>
          </w:tcPr>
          <w:p w:rsidR="000D6716" w:rsidRPr="000D6716" w:rsidRDefault="000D6716" w:rsidP="006E184D">
            <w:r w:rsidRPr="000D6716">
              <w:t>10 mg/kg Q2W</w:t>
            </w:r>
          </w:p>
        </w:tc>
        <w:tc>
          <w:tcPr>
            <w:tcW w:w="2157" w:type="dxa"/>
          </w:tcPr>
          <w:p w:rsidR="000D6716" w:rsidRPr="000D6716" w:rsidRDefault="000D6716" w:rsidP="006E184D">
            <w:r w:rsidRPr="000D6716">
              <w:t>N=57</w:t>
            </w:r>
          </w:p>
        </w:tc>
        <w:tc>
          <w:tcPr>
            <w:tcW w:w="2237" w:type="dxa"/>
          </w:tcPr>
          <w:p w:rsidR="000D6716" w:rsidRPr="00162BAF" w:rsidRDefault="000D6716" w:rsidP="006E184D">
            <w:r w:rsidRPr="00162BAF">
              <w:t>21 (1-47)</w:t>
            </w:r>
          </w:p>
          <w:p w:rsidR="000D6716" w:rsidRPr="00E5241D" w:rsidRDefault="000D6716" w:rsidP="006E184D">
            <w:r w:rsidRPr="00E5241D">
              <w:t>[24]</w:t>
            </w:r>
          </w:p>
        </w:tc>
        <w:tc>
          <w:tcPr>
            <w:tcW w:w="2168" w:type="dxa"/>
          </w:tcPr>
          <w:p w:rsidR="000D6716" w:rsidRPr="00162BAF" w:rsidRDefault="000D6716" w:rsidP="006E184D">
            <w:r w:rsidRPr="00162BAF">
              <w:t>315a (1-680) days</w:t>
            </w:r>
          </w:p>
          <w:p w:rsidR="000D6716" w:rsidRPr="00E5241D" w:rsidRDefault="000D6716" w:rsidP="006E184D">
            <w:r w:rsidRPr="00E5241D">
              <w:t>[361]</w:t>
            </w:r>
          </w:p>
        </w:tc>
      </w:tr>
    </w:tbl>
    <w:p w:rsidR="00250370" w:rsidRDefault="000D6716" w:rsidP="000D6716">
      <w:pPr>
        <w:pStyle w:val="TableDescription"/>
      </w:pPr>
      <w:proofErr w:type="spellStart"/>
      <w:proofErr w:type="gramStart"/>
      <w:r w:rsidRPr="000D6716">
        <w:t>a</w:t>
      </w:r>
      <w:proofErr w:type="spellEnd"/>
      <w:proofErr w:type="gramEnd"/>
      <w:r w:rsidRPr="000D6716">
        <w:t xml:space="preserve"> All these patients were enrolled in B1, which completed enrolment prior to B2 / D (and within B1, patients were enrolled to 10 mg/kg Q2W first)</w:t>
      </w:r>
    </w:p>
    <w:p w:rsidR="000D6716" w:rsidRPr="000D6716" w:rsidRDefault="000D6716" w:rsidP="000D6716">
      <w:pPr>
        <w:pStyle w:val="Heading7"/>
      </w:pPr>
      <w:r w:rsidRPr="000D6716">
        <w:t>AE profile</w:t>
      </w:r>
    </w:p>
    <w:p w:rsidR="000D6716" w:rsidRPr="000D6716" w:rsidRDefault="000D6716" w:rsidP="000D6716">
      <w:r w:rsidRPr="000D6716">
        <w:t>AEs discussed below are from pooled P001-B1, -B2 and -D unless specified.</w:t>
      </w:r>
    </w:p>
    <w:p w:rsidR="000D6716" w:rsidRDefault="000D6716" w:rsidP="000D6716">
      <w:r w:rsidRPr="000D6716">
        <w:t xml:space="preserve">A summary of AE categories by dose regimen is shown </w:t>
      </w:r>
      <w:r w:rsidR="007E34E3">
        <w:t>in Table 23</w:t>
      </w:r>
      <w:r w:rsidRPr="000D6716">
        <w:t>.</w:t>
      </w:r>
    </w:p>
    <w:p w:rsidR="000D6716" w:rsidRPr="000D6716" w:rsidRDefault="007F12A4" w:rsidP="000D6716">
      <w:pPr>
        <w:pStyle w:val="TableTitle"/>
      </w:pPr>
      <w:proofErr w:type="gramStart"/>
      <w:r>
        <w:t>Table 23</w:t>
      </w:r>
      <w:r w:rsidR="00387774">
        <w:t>.</w:t>
      </w:r>
      <w:proofErr w:type="gramEnd"/>
      <w:r w:rsidR="00387774">
        <w:t xml:space="preserve"> A summary of AE categories by dose regimen</w:t>
      </w:r>
      <w:r w:rsidR="000D6716">
        <w:t xml:space="preserve"> Part B1 + B2 + D patients (</w:t>
      </w:r>
      <w:proofErr w:type="spellStart"/>
      <w:r w:rsidR="000D6716">
        <w:t>APaT</w:t>
      </w:r>
      <w:proofErr w:type="spellEnd"/>
      <w:r w:rsidR="000D6716">
        <w:t xml:space="preserve"> population)</w:t>
      </w:r>
    </w:p>
    <w:p w:rsidR="005405A9" w:rsidRPr="000D6716" w:rsidRDefault="000D6716" w:rsidP="000D6716">
      <w:r>
        <w:rPr>
          <w:noProof/>
          <w:lang w:eastAsia="en-AU"/>
        </w:rPr>
        <w:drawing>
          <wp:inline distT="0" distB="0" distL="0" distR="0" wp14:anchorId="1B781AE3" wp14:editId="69AC2C30">
            <wp:extent cx="4772025" cy="3200400"/>
            <wp:effectExtent l="0" t="0" r="9525" b="0"/>
            <wp:docPr id="33" name="Picture 33" descr="Table 23. A summary of AE categories by dose regimen Part B1 + B2 + D patients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72025" cy="3200400"/>
                    </a:xfrm>
                    <a:prstGeom prst="rect">
                      <a:avLst/>
                    </a:prstGeom>
                  </pic:spPr>
                </pic:pic>
              </a:graphicData>
            </a:graphic>
          </wp:inline>
        </w:drawing>
      </w:r>
    </w:p>
    <w:p w:rsidR="000D6716" w:rsidRPr="000D6716" w:rsidRDefault="000D6716" w:rsidP="000D6716">
      <w:pPr>
        <w:pStyle w:val="Heading7"/>
      </w:pPr>
      <w:r w:rsidRPr="000D6716">
        <w:t>General issues</w:t>
      </w:r>
    </w:p>
    <w:p w:rsidR="000D6716" w:rsidRPr="000D6716" w:rsidRDefault="000D6716" w:rsidP="000D6716">
      <w:r w:rsidRPr="000D6716">
        <w:t xml:space="preserve">Many subjects reported severe and serious AEs, but these were not often found to be </w:t>
      </w:r>
      <w:r w:rsidR="00E5241D">
        <w:t>drug related</w:t>
      </w:r>
      <w:r w:rsidRPr="000D6716">
        <w:t>.</w:t>
      </w:r>
      <w:r w:rsidR="00987E81">
        <w:t xml:space="preserve"> </w:t>
      </w:r>
      <w:r w:rsidRPr="000D6716">
        <w:t xml:space="preserve">For example, 39% of patients reported grade </w:t>
      </w:r>
      <w:r w:rsidR="0085409C">
        <w:t>3 to 5</w:t>
      </w:r>
      <w:r w:rsidRPr="000D6716">
        <w:t xml:space="preserve"> AEs, but onl</w:t>
      </w:r>
      <w:r w:rsidR="00E5241D">
        <w:t xml:space="preserve">y 12.4% reported grade </w:t>
      </w:r>
      <w:r w:rsidR="0085409C">
        <w:t>3 to 5</w:t>
      </w:r>
      <w:r w:rsidR="00E5241D">
        <w:t xml:space="preserve"> drug </w:t>
      </w:r>
      <w:r w:rsidRPr="000D6716">
        <w:t>related AEs.</w:t>
      </w:r>
      <w:r w:rsidR="00987E81">
        <w:t xml:space="preserve"> </w:t>
      </w:r>
      <w:r w:rsidRPr="000D6716">
        <w:t>32% reported ser</w:t>
      </w:r>
      <w:r w:rsidR="00E5241D">
        <w:t xml:space="preserve">ious AEs; only 8% reported drug </w:t>
      </w:r>
      <w:r w:rsidRPr="000D6716">
        <w:t xml:space="preserve">related </w:t>
      </w:r>
      <w:r w:rsidRPr="000D6716">
        <w:lastRenderedPageBreak/>
        <w:t>SAEs.</w:t>
      </w:r>
      <w:r w:rsidR="00987E81">
        <w:t xml:space="preserve"> </w:t>
      </w:r>
      <w:r w:rsidRPr="000D6716">
        <w:t>The absence of control arms makes interpretation of the causality of AEs more d</w:t>
      </w:r>
      <w:r w:rsidR="007E34E3">
        <w:t xml:space="preserve">ifficult, especially in an open </w:t>
      </w:r>
      <w:r w:rsidRPr="000D6716">
        <w:t>label study such as P001.</w:t>
      </w:r>
    </w:p>
    <w:p w:rsidR="000D6716" w:rsidRPr="000D6716" w:rsidRDefault="000D6716" w:rsidP="000D6716">
      <w:r w:rsidRPr="000D6716">
        <w:t>In the advanced melanoma cohort (n</w:t>
      </w:r>
      <w:r w:rsidR="00E5241D">
        <w:t xml:space="preserve"> </w:t>
      </w:r>
      <w:r w:rsidRPr="000D6716">
        <w:t>=</w:t>
      </w:r>
      <w:r w:rsidR="00E5241D">
        <w:t xml:space="preserve"> </w:t>
      </w:r>
      <w:r w:rsidRPr="000D6716">
        <w:t>411), one trend w</w:t>
      </w:r>
      <w:r w:rsidR="007E34E3">
        <w:t>as for more AEs in the 10 mg/kg </w:t>
      </w:r>
      <w:r w:rsidRPr="000D6716">
        <w:t>Q2W group.</w:t>
      </w:r>
      <w:r w:rsidR="00987E81">
        <w:t xml:space="preserve"> </w:t>
      </w:r>
      <w:r w:rsidRPr="000D6716">
        <w:t>This could be linked to the higher exposure to pembrolizumab, although no major difference in AEs was observed between 2 mg/kg and 10 mg/kg dosing Q3W.</w:t>
      </w:r>
      <w:r w:rsidR="00987E81">
        <w:t xml:space="preserve"> </w:t>
      </w:r>
      <w:r w:rsidRPr="000D6716">
        <w:t>It could be linked to longer duration of exposure, although this would suggest that risk of AEs persists over longer</w:t>
      </w:r>
      <w:r w:rsidR="00E5241D">
        <w:t xml:space="preserve"> </w:t>
      </w:r>
      <w:r w:rsidRPr="000D6716">
        <w:t>term exposure.</w:t>
      </w:r>
      <w:r w:rsidR="00987E81">
        <w:t xml:space="preserve"> </w:t>
      </w:r>
      <w:r w:rsidRPr="000D6716">
        <w:t>It could be a product of smaller sample (n</w:t>
      </w:r>
      <w:r w:rsidR="007E34E3">
        <w:t> </w:t>
      </w:r>
      <w:r w:rsidRPr="000D6716">
        <w:t>=</w:t>
      </w:r>
      <w:r w:rsidR="007E34E3">
        <w:t> </w:t>
      </w:r>
      <w:r w:rsidRPr="000D6716">
        <w:t>57), though the differences in AE frequency were substantial and possibly too big to be attributed solely to ‘sample size’.</w:t>
      </w:r>
    </w:p>
    <w:p w:rsidR="000D6716" w:rsidRPr="000D6716" w:rsidRDefault="007B720C" w:rsidP="000D6716">
      <w:r>
        <w:t xml:space="preserve">The </w:t>
      </w:r>
      <w:r w:rsidR="000D6716" w:rsidRPr="000D6716">
        <w:t xml:space="preserve">FDA’s </w:t>
      </w:r>
      <w:r w:rsidR="007C0506" w:rsidRPr="000D6716">
        <w:t>medical r</w:t>
      </w:r>
      <w:r w:rsidR="000D6716" w:rsidRPr="000D6716">
        <w:t>eview noted that the FDA’s Office of Scientific Investigation audited three clinical trial sites.</w:t>
      </w:r>
      <w:r w:rsidR="00987E81">
        <w:t xml:space="preserve"> </w:t>
      </w:r>
      <w:r w:rsidR="000D6716" w:rsidRPr="000D6716">
        <w:t>In</w:t>
      </w:r>
      <w:r w:rsidR="00E5241D">
        <w:t xml:space="preserve"> one site, AEs were being under </w:t>
      </w:r>
      <w:r w:rsidR="000D6716" w:rsidRPr="000D6716">
        <w:t>reported (n</w:t>
      </w:r>
      <w:r w:rsidR="00E5241D">
        <w:t xml:space="preserve"> </w:t>
      </w:r>
      <w:r w:rsidR="000D6716" w:rsidRPr="000D6716">
        <w:t>=</w:t>
      </w:r>
      <w:r w:rsidR="00E5241D">
        <w:t xml:space="preserve"> </w:t>
      </w:r>
      <w:r w:rsidR="000D6716" w:rsidRPr="000D6716">
        <w:t>7 patients were enrolled there).</w:t>
      </w:r>
      <w:r w:rsidR="00987E81">
        <w:t xml:space="preserve"> </w:t>
      </w:r>
      <w:r w:rsidR="000D6716" w:rsidRPr="000D6716">
        <w:t>The FDA concluded this problem was not pervasive.</w:t>
      </w:r>
    </w:p>
    <w:p w:rsidR="000D6716" w:rsidRPr="000D6716" w:rsidRDefault="000D6716" w:rsidP="000D6716">
      <w:pPr>
        <w:pStyle w:val="Heading7"/>
      </w:pPr>
      <w:r w:rsidRPr="000D6716">
        <w:t>Deaths</w:t>
      </w:r>
    </w:p>
    <w:p w:rsidR="000D6716" w:rsidRPr="000D6716" w:rsidRDefault="000D6716" w:rsidP="000D6716">
      <w:r w:rsidRPr="000D6716">
        <w:t>There were four deaths due to AEs among 411 subjects with advanced melanoma.</w:t>
      </w:r>
      <w:r w:rsidR="00987E81">
        <w:t xml:space="preserve"> </w:t>
      </w:r>
      <w:r w:rsidR="00E5241D">
        <w:t xml:space="preserve">None of these was drug </w:t>
      </w:r>
      <w:r w:rsidRPr="000D6716">
        <w:t>related.</w:t>
      </w:r>
      <w:r w:rsidR="00987E81">
        <w:t xml:space="preserve"> </w:t>
      </w:r>
      <w:r w:rsidRPr="000D6716">
        <w:t>3 of 4 occurred in the 10 mg/kg Q2W group.</w:t>
      </w:r>
    </w:p>
    <w:p w:rsidR="000D6716" w:rsidRPr="000D6716" w:rsidRDefault="000D6716" w:rsidP="000D6716">
      <w:r w:rsidRPr="000D6716">
        <w:t xml:space="preserve">Across </w:t>
      </w:r>
      <w:r w:rsidR="00E5241D">
        <w:t xml:space="preserve">P001, there was 1 drug </w:t>
      </w:r>
      <w:r w:rsidRPr="000D6716">
        <w:t>related fatal AE, in a 76 y</w:t>
      </w:r>
      <w:r w:rsidR="00E5241D">
        <w:t>ear old male on 10 mg/kg Q2W;</w:t>
      </w:r>
      <w:r w:rsidRPr="000D6716">
        <w:t xml:space="preserve"> the investigator linked </w:t>
      </w:r>
      <w:proofErr w:type="spellStart"/>
      <w:r w:rsidRPr="000D6716">
        <w:t>cryptococcal</w:t>
      </w:r>
      <w:proofErr w:type="spellEnd"/>
      <w:r w:rsidRPr="000D6716">
        <w:t xml:space="preserve"> </w:t>
      </w:r>
      <w:proofErr w:type="spellStart"/>
      <w:r w:rsidRPr="000D6716">
        <w:t>fungaemia</w:t>
      </w:r>
      <w:proofErr w:type="spellEnd"/>
      <w:r w:rsidRPr="000D6716">
        <w:t xml:space="preserve"> to immunosuppression from steroids being used to treat a pembrolizumab AE.</w:t>
      </w:r>
    </w:p>
    <w:p w:rsidR="000D6716" w:rsidRPr="000D6716" w:rsidRDefault="000D6716" w:rsidP="000D6716">
      <w:pPr>
        <w:pStyle w:val="Heading7"/>
      </w:pPr>
      <w:r w:rsidRPr="000D6716">
        <w:t>Other serious AEs</w:t>
      </w:r>
    </w:p>
    <w:p w:rsidR="000D6716" w:rsidRPr="000D6716" w:rsidRDefault="000D6716" w:rsidP="000D6716">
      <w:r w:rsidRPr="000D6716">
        <w:t>Serious AEs occurred in 29% at 2 mg/kg Q3W, 31</w:t>
      </w:r>
      <w:r w:rsidR="00E5241D">
        <w:t>% at 10 mg/kg Q3W and 44% at 10 </w:t>
      </w:r>
      <w:r w:rsidRPr="000D6716">
        <w:t>mg/kg Q2W.</w:t>
      </w:r>
      <w:r w:rsidR="00987E81">
        <w:t xml:space="preserve"> </w:t>
      </w:r>
      <w:r w:rsidRPr="000D6716">
        <w:t>Dyspnoea, cellulitis and pneumonia were commoner SAEs; renal failure was relatively prominent, as was effusion (pericardial and pleural).</w:t>
      </w:r>
    </w:p>
    <w:p w:rsidR="000D6716" w:rsidRPr="000D6716" w:rsidRDefault="000D6716" w:rsidP="000D6716">
      <w:pPr>
        <w:pStyle w:val="Heading7"/>
      </w:pPr>
      <w:r w:rsidRPr="000D6716">
        <w:t>Discontinuations</w:t>
      </w:r>
    </w:p>
    <w:p w:rsidR="000D6716" w:rsidRPr="000D6716" w:rsidRDefault="000D6716" w:rsidP="000D6716">
      <w:r w:rsidRPr="000D6716">
        <w:t xml:space="preserve">At 2 mg/kg Q3W, 5.6% of subjects discontinued, 3.7% due to </w:t>
      </w:r>
      <w:r w:rsidR="00E5241D">
        <w:t>drug related</w:t>
      </w:r>
      <w:r w:rsidRPr="000D6716">
        <w:t xml:space="preserve"> AEs.</w:t>
      </w:r>
      <w:r w:rsidR="00987E81">
        <w:t xml:space="preserve"> </w:t>
      </w:r>
      <w:r w:rsidR="00E5241D">
        <w:t>At 10 </w:t>
      </w:r>
      <w:r w:rsidRPr="000D6716">
        <w:t xml:space="preserve">mg/kg Q3W, 8.9% discontinued, 2.1% due to </w:t>
      </w:r>
      <w:r w:rsidR="00E5241D">
        <w:t>drug related</w:t>
      </w:r>
      <w:r w:rsidRPr="000D6716">
        <w:t xml:space="preserve"> AEs.</w:t>
      </w:r>
      <w:r w:rsidR="00987E81">
        <w:t xml:space="preserve"> </w:t>
      </w:r>
      <w:r w:rsidRPr="000D6716">
        <w:t xml:space="preserve">At 10 mg/kg Q2W, 17.5% discontinued, 12.3% due to </w:t>
      </w:r>
      <w:r w:rsidR="00E5241D">
        <w:t>drug related</w:t>
      </w:r>
      <w:r w:rsidRPr="000D6716">
        <w:t xml:space="preserve"> AEs.</w:t>
      </w:r>
      <w:r w:rsidR="00987E81">
        <w:t xml:space="preserve"> </w:t>
      </w:r>
      <w:r w:rsidR="00E5241D">
        <w:t>Drug related</w:t>
      </w:r>
      <w:r w:rsidRPr="000D6716">
        <w:t xml:space="preserve"> AEs causing discontinuation in </w:t>
      </w:r>
      <w:r w:rsidR="00E5241D">
        <w:t>&gt; 1</w:t>
      </w:r>
      <w:r w:rsidRPr="000D6716">
        <w:t xml:space="preserve"> subject were fatigue, pain and pneumonitis (n</w:t>
      </w:r>
      <w:r w:rsidR="00E5241D">
        <w:t xml:space="preserve"> </w:t>
      </w:r>
      <w:r w:rsidRPr="000D6716">
        <w:t>=</w:t>
      </w:r>
      <w:r w:rsidR="00E5241D">
        <w:t xml:space="preserve"> </w:t>
      </w:r>
      <w:r w:rsidRPr="000D6716">
        <w:t>2</w:t>
      </w:r>
      <w:r w:rsidR="00E5241D">
        <w:t xml:space="preserve"> to </w:t>
      </w:r>
      <w:r w:rsidRPr="000D6716">
        <w:t>3).</w:t>
      </w:r>
    </w:p>
    <w:p w:rsidR="000D6716" w:rsidRPr="000D6716" w:rsidRDefault="000D6716" w:rsidP="000D6716">
      <w:pPr>
        <w:pStyle w:val="Heading7"/>
      </w:pPr>
      <w:r w:rsidRPr="000D6716">
        <w:t>Common AEs</w:t>
      </w:r>
    </w:p>
    <w:p w:rsidR="000D6716" w:rsidRPr="000D6716" w:rsidRDefault="000D6716" w:rsidP="000D6716">
      <w:r w:rsidRPr="000D6716">
        <w:t>In B1+B2+D, common AEs were fatigue (45.5%), nausea (29.4%), cough (28.7%), diarrhoea (28%), pruritus (27.5%), arthralgia (24.6%), rash (23.8%), constipation (20.4%), decreased appetite (19%), dyspnoea (18.5%), headache (18%), anaemia (16.5%) and vomiting (15.8%).</w:t>
      </w:r>
    </w:p>
    <w:p w:rsidR="000D6716" w:rsidRPr="000D6716" w:rsidRDefault="000D6716" w:rsidP="000D6716">
      <w:pPr>
        <w:pStyle w:val="Heading7"/>
      </w:pPr>
      <w:r w:rsidRPr="000D6716">
        <w:t>AEs with potential autoimmune aetiology</w:t>
      </w:r>
    </w:p>
    <w:p w:rsidR="000D6716" w:rsidRPr="000D6716" w:rsidRDefault="000D6716" w:rsidP="000D6716">
      <w:r w:rsidRPr="000D6716">
        <w:t xml:space="preserve">These were captured by investigators as </w:t>
      </w:r>
      <w:r w:rsidR="00987E81">
        <w:t>immune related</w:t>
      </w:r>
      <w:r w:rsidRPr="000D6716">
        <w:t xml:space="preserve"> AEs (</w:t>
      </w:r>
      <w:proofErr w:type="spellStart"/>
      <w:r w:rsidRPr="000D6716">
        <w:t>irAEs</w:t>
      </w:r>
      <w:proofErr w:type="spellEnd"/>
      <w:r w:rsidRPr="000D6716">
        <w:t>) and also by the sponsor using a pre-specified list of AE terms as ‘Adverse Events of Special Interest’</w:t>
      </w:r>
      <w:r w:rsidR="007E34E3">
        <w:t xml:space="preserve"> (</w:t>
      </w:r>
      <w:r w:rsidR="007E34E3" w:rsidRPr="000D6716">
        <w:t>AEOSI</w:t>
      </w:r>
      <w:r w:rsidR="007E34E3">
        <w:t>).</w:t>
      </w:r>
      <w:r w:rsidR="00987E81">
        <w:t xml:space="preserve"> </w:t>
      </w:r>
      <w:r w:rsidRPr="000D6716">
        <w:t>AEOSIs took into account grade as well as type of AE.</w:t>
      </w:r>
    </w:p>
    <w:p w:rsidR="000D6716" w:rsidRPr="000D6716" w:rsidRDefault="00987E81" w:rsidP="000D6716">
      <w:r>
        <w:t>Immune related</w:t>
      </w:r>
      <w:r w:rsidR="000D6716" w:rsidRPr="000D6716">
        <w:t xml:space="preserve"> AEs (as assessed by the investigator) reported in </w:t>
      </w:r>
      <w:r w:rsidR="00E5241D">
        <w:t>&gt; 1</w:t>
      </w:r>
      <w:r w:rsidR="000D6716" w:rsidRPr="000D6716">
        <w:t xml:space="preserve"> subject were:</w:t>
      </w:r>
    </w:p>
    <w:p w:rsidR="000D6716" w:rsidRPr="000D6716" w:rsidRDefault="000D6716" w:rsidP="000D6716">
      <w:pPr>
        <w:pStyle w:val="ListBullet"/>
      </w:pPr>
      <w:proofErr w:type="gramStart"/>
      <w:r w:rsidRPr="000D6716">
        <w:t>hyperthyroidism</w:t>
      </w:r>
      <w:proofErr w:type="gramEnd"/>
      <w:r w:rsidRPr="000D6716">
        <w:t xml:space="preserve"> (1.0%), hypothyroi</w:t>
      </w:r>
      <w:r w:rsidR="001E1CF4">
        <w:t>dism (3.4%), thyroiditis (0.5%)</w:t>
      </w:r>
    </w:p>
    <w:p w:rsidR="000D6716" w:rsidRPr="000D6716" w:rsidRDefault="000D6716" w:rsidP="000D6716">
      <w:pPr>
        <w:pStyle w:val="ListBullet"/>
      </w:pPr>
      <w:proofErr w:type="spellStart"/>
      <w:proofErr w:type="gramStart"/>
      <w:r w:rsidRPr="000D6716">
        <w:t>hypophysitis</w:t>
      </w:r>
      <w:proofErr w:type="spellEnd"/>
      <w:proofErr w:type="gramEnd"/>
      <w:r w:rsidRPr="000D6716">
        <w:t xml:space="preserve"> (0.5%)</w:t>
      </w:r>
    </w:p>
    <w:p w:rsidR="000D6716" w:rsidRPr="000D6716" w:rsidRDefault="000D6716" w:rsidP="000D6716">
      <w:pPr>
        <w:pStyle w:val="ListBullet"/>
      </w:pPr>
      <w:proofErr w:type="gramStart"/>
      <w:r w:rsidRPr="000D6716">
        <w:t>uveitis</w:t>
      </w:r>
      <w:proofErr w:type="gramEnd"/>
      <w:r w:rsidRPr="000D6716">
        <w:t xml:space="preserve"> (0.5%)</w:t>
      </w:r>
    </w:p>
    <w:p w:rsidR="000D6716" w:rsidRPr="000D6716" w:rsidRDefault="000D6716" w:rsidP="000D6716">
      <w:pPr>
        <w:pStyle w:val="ListBullet"/>
      </w:pPr>
      <w:proofErr w:type="gramStart"/>
      <w:r w:rsidRPr="000D6716">
        <w:t>colitis</w:t>
      </w:r>
      <w:proofErr w:type="gramEnd"/>
      <w:r w:rsidRPr="000D6716">
        <w:t xml:space="preserve"> (0.5%), diarrhoea (2.2%)</w:t>
      </w:r>
    </w:p>
    <w:p w:rsidR="000D6716" w:rsidRPr="000D6716" w:rsidRDefault="000D6716" w:rsidP="000D6716">
      <w:pPr>
        <w:pStyle w:val="ListBullet"/>
      </w:pPr>
      <w:proofErr w:type="gramStart"/>
      <w:r w:rsidRPr="000D6716">
        <w:t>asthenia</w:t>
      </w:r>
      <w:proofErr w:type="gramEnd"/>
      <w:r w:rsidRPr="000D6716">
        <w:t>, chills, fatigue, fl</w:t>
      </w:r>
      <w:r w:rsidR="00E5241D">
        <w:t xml:space="preserve">u-like illness and pyrexia (0.5 to </w:t>
      </w:r>
      <w:r w:rsidRPr="000D6716">
        <w:t>1.2%)</w:t>
      </w:r>
    </w:p>
    <w:p w:rsidR="000D6716" w:rsidRPr="000D6716" w:rsidRDefault="000D6716" w:rsidP="000D6716">
      <w:pPr>
        <w:pStyle w:val="ListBullet"/>
      </w:pPr>
      <w:proofErr w:type="gramStart"/>
      <w:r w:rsidRPr="000D6716">
        <w:t>hepatitis</w:t>
      </w:r>
      <w:proofErr w:type="gramEnd"/>
      <w:r w:rsidRPr="000D6716">
        <w:t xml:space="preserve"> (including autoimmune hepatitis) (0.5%)</w:t>
      </w:r>
    </w:p>
    <w:p w:rsidR="000D6716" w:rsidRPr="000D6716" w:rsidRDefault="000D6716" w:rsidP="000D6716">
      <w:pPr>
        <w:pStyle w:val="ListBullet"/>
      </w:pPr>
      <w:proofErr w:type="gramStart"/>
      <w:r w:rsidRPr="000D6716">
        <w:t>arthralgia</w:t>
      </w:r>
      <w:proofErr w:type="gramEnd"/>
      <w:r w:rsidRPr="000D6716">
        <w:t xml:space="preserve"> (2.4%), arthritis (0.7%), muscle spasms (0.5%), myalgia (1.5%)</w:t>
      </w:r>
    </w:p>
    <w:p w:rsidR="000D6716" w:rsidRPr="000D6716" w:rsidRDefault="000D6716" w:rsidP="000D6716">
      <w:pPr>
        <w:pStyle w:val="ListBullet"/>
      </w:pPr>
      <w:proofErr w:type="gramStart"/>
      <w:r w:rsidRPr="000D6716">
        <w:lastRenderedPageBreak/>
        <w:t>headache</w:t>
      </w:r>
      <w:proofErr w:type="gramEnd"/>
      <w:r w:rsidRPr="000D6716">
        <w:t xml:space="preserve"> (0.5%)</w:t>
      </w:r>
    </w:p>
    <w:p w:rsidR="000D6716" w:rsidRPr="000D6716" w:rsidRDefault="000D6716" w:rsidP="000D6716">
      <w:pPr>
        <w:pStyle w:val="ListBullet"/>
      </w:pPr>
      <w:proofErr w:type="gramStart"/>
      <w:r w:rsidRPr="000D6716">
        <w:t>renal</w:t>
      </w:r>
      <w:proofErr w:type="gramEnd"/>
      <w:r w:rsidRPr="000D6716">
        <w:t xml:space="preserve"> failure / acute renal failure / renal impairment / autoimmune nephritis (together 1.0%)</w:t>
      </w:r>
    </w:p>
    <w:p w:rsidR="000D6716" w:rsidRPr="000D6716" w:rsidRDefault="000D6716" w:rsidP="000D6716">
      <w:pPr>
        <w:pStyle w:val="ListBullet"/>
      </w:pPr>
      <w:proofErr w:type="gramStart"/>
      <w:r w:rsidRPr="000D6716">
        <w:t>cough</w:t>
      </w:r>
      <w:proofErr w:type="gramEnd"/>
      <w:r w:rsidRPr="000D6716">
        <w:t xml:space="preserve"> (1.5%), pneumonitis (1.7%)</w:t>
      </w:r>
    </w:p>
    <w:p w:rsidR="000D6716" w:rsidRPr="000D6716" w:rsidRDefault="000D6716" w:rsidP="000D6716">
      <w:pPr>
        <w:pStyle w:val="ListBullet"/>
      </w:pPr>
      <w:proofErr w:type="gramStart"/>
      <w:r w:rsidRPr="000D6716">
        <w:t>eczema</w:t>
      </w:r>
      <w:proofErr w:type="gramEnd"/>
      <w:r w:rsidRPr="000D6716">
        <w:t xml:space="preserve"> (0.5%), erythema (1.0%), pruritus (3.2%), hair colour changes (0.5%), rash (including related terms) (5.6%), vitiligo (3.6%)</w:t>
      </w:r>
    </w:p>
    <w:p w:rsidR="000D6716" w:rsidRPr="000D6716" w:rsidRDefault="000D6716" w:rsidP="000D6716">
      <w:r w:rsidRPr="000D6716">
        <w:t>Some laboratory abnormalities aligned with similar AEs (including one rep</w:t>
      </w:r>
      <w:r w:rsidR="00E5241D">
        <w:t>ort of ‘autoantibody positive’;</w:t>
      </w:r>
      <w:r w:rsidRPr="000D6716">
        <w:t xml:space="preserve"> the type was not specified).</w:t>
      </w:r>
    </w:p>
    <w:p w:rsidR="000D6716" w:rsidRPr="000D6716" w:rsidRDefault="000D6716" w:rsidP="000D6716">
      <w:r w:rsidRPr="000D6716">
        <w:t xml:space="preserve">These events reflected the type of event captured by the sponsor as an </w:t>
      </w:r>
      <w:r w:rsidRPr="00E5241D">
        <w:t>AEOSI</w:t>
      </w:r>
      <w:r w:rsidRPr="000D6716">
        <w:t>.</w:t>
      </w:r>
    </w:p>
    <w:p w:rsidR="000D6716" w:rsidRPr="000D6716" w:rsidRDefault="000D6716" w:rsidP="000D6716">
      <w:r w:rsidRPr="000D6716">
        <w:t>The sponsor states no meaningful differences were observed in the safety profile of pembrolizumab by gender.</w:t>
      </w:r>
      <w:r w:rsidR="00987E81">
        <w:t xml:space="preserve"> </w:t>
      </w:r>
      <w:r w:rsidRPr="000D6716">
        <w:t>Autoimmunity is generally more common in females than in males, for commoner autoimmune conditions.</w:t>
      </w:r>
      <w:r w:rsidR="00987E81">
        <w:t xml:space="preserve"> </w:t>
      </w:r>
      <w:r w:rsidRPr="000D6716">
        <w:t xml:space="preserve">Analysis of </w:t>
      </w:r>
      <w:proofErr w:type="spellStart"/>
      <w:r w:rsidRPr="000D6716">
        <w:t>irAEs</w:t>
      </w:r>
      <w:proofErr w:type="spellEnd"/>
      <w:r w:rsidRPr="000D6716">
        <w:t xml:space="preserve"> by gender did not reveal major differences.</w:t>
      </w:r>
    </w:p>
    <w:p w:rsidR="000D6716" w:rsidRPr="000D6716" w:rsidRDefault="000D6716" w:rsidP="000D6716">
      <w:pPr>
        <w:pStyle w:val="Heading7"/>
      </w:pPr>
      <w:r w:rsidRPr="000D6716">
        <w:t>Immunogenicity</w:t>
      </w:r>
    </w:p>
    <w:p w:rsidR="000D6716" w:rsidRPr="000D6716" w:rsidRDefault="00E5241D" w:rsidP="000D6716">
      <w:r>
        <w:t xml:space="preserve">In 130 out of 449 patients with post </w:t>
      </w:r>
      <w:r w:rsidR="000D6716" w:rsidRPr="000D6716">
        <w:t>dose samples, pembrolizumab levels were low enough to allow immunogenicity assessment.</w:t>
      </w:r>
      <w:r w:rsidR="00987E81">
        <w:t xml:space="preserve"> </w:t>
      </w:r>
      <w:r>
        <w:t xml:space="preserve">In 1 out of </w:t>
      </w:r>
      <w:r w:rsidR="000D6716" w:rsidRPr="000D6716">
        <w:t>130 patients, emergent anti-drug antibodies were detected (at day 83; two subsequent samples to day 253 were not conclusive); the ADAs at day 83 were neutralising.</w:t>
      </w:r>
      <w:r w:rsidR="00987E81">
        <w:t xml:space="preserve"> </w:t>
      </w:r>
      <w:r w:rsidR="000D6716" w:rsidRPr="000D6716">
        <w:t>In that one patient, no hypersensitivity was reported, and no impact on exposure was reported.</w:t>
      </w:r>
      <w:r w:rsidR="00987E81">
        <w:t xml:space="preserve"> </w:t>
      </w:r>
      <w:r w:rsidR="000D6716" w:rsidRPr="000D6716">
        <w:t xml:space="preserve">This analysis was based on a data </w:t>
      </w:r>
      <w:r w:rsidR="00C22866">
        <w:t>cut off</w:t>
      </w:r>
      <w:r w:rsidR="000D6716" w:rsidRPr="000D6716">
        <w:t xml:space="preserve"> of 31 December 2013.</w:t>
      </w:r>
    </w:p>
    <w:p w:rsidR="000D6716" w:rsidRPr="000D6716" w:rsidRDefault="000D6716" w:rsidP="000D6716">
      <w:pPr>
        <w:pStyle w:val="Heading7"/>
      </w:pPr>
      <w:bookmarkStart w:id="182" w:name="_Important_safety_information"/>
      <w:bookmarkStart w:id="183" w:name="_Ref411257514"/>
      <w:bookmarkEnd w:id="182"/>
      <w:r w:rsidRPr="000D6716">
        <w:t xml:space="preserve">Important safety information from P001 (18 April 2014 </w:t>
      </w:r>
      <w:r w:rsidR="00C22866">
        <w:t>cut off</w:t>
      </w:r>
      <w:r w:rsidRPr="000D6716">
        <w:t>)</w:t>
      </w:r>
      <w:bookmarkEnd w:id="183"/>
    </w:p>
    <w:p w:rsidR="000D6716" w:rsidRPr="000D6716" w:rsidRDefault="000D6716" w:rsidP="000D6716">
      <w:r w:rsidRPr="000D6716">
        <w:t xml:space="preserve">With 6 months further follow-up of patients in P001, there was a modest increase in incidence of commonly reported AEs, </w:t>
      </w:r>
      <w:r w:rsidR="00B85B18">
        <w:t>for example</w:t>
      </w:r>
      <w:r w:rsidRPr="000D6716">
        <w:t xml:space="preserve"> grade </w:t>
      </w:r>
      <w:r w:rsidR="0085409C">
        <w:t>3 to 5</w:t>
      </w:r>
      <w:r w:rsidRPr="000D6716">
        <w:t xml:space="preserve"> AEs considered </w:t>
      </w:r>
      <w:r w:rsidR="00E5241D">
        <w:t>drug related</w:t>
      </w:r>
      <w:r w:rsidRPr="000D6716">
        <w:t xml:space="preserve"> rose from 12.4% to 14.4%; SAEs considered </w:t>
      </w:r>
      <w:r w:rsidR="00E5241D">
        <w:t>drug related</w:t>
      </w:r>
      <w:r w:rsidRPr="000D6716">
        <w:t xml:space="preserve"> rose from 7.8% to 8.5%; AEs leading to discontinuation of treatment and considered </w:t>
      </w:r>
      <w:r w:rsidR="00E5241D">
        <w:t>drug related</w:t>
      </w:r>
      <w:r w:rsidRPr="000D6716">
        <w:t xml:space="preserve"> rose from 4.1% to 5.4%; and AEOSIs rose from 12.4% to 14.3%.</w:t>
      </w:r>
      <w:r w:rsidR="00987E81">
        <w:t xml:space="preserve"> </w:t>
      </w:r>
      <w:r w:rsidRPr="000D6716">
        <w:t>The sponsor’s view that the safety profile of pembrolizumab remains unchanged seems reasonable.</w:t>
      </w:r>
    </w:p>
    <w:p w:rsidR="005405A9" w:rsidRDefault="000D6716" w:rsidP="000D6716">
      <w:r w:rsidRPr="000D6716">
        <w:t xml:space="preserve">Summary data from P001 B3 </w:t>
      </w:r>
      <w:r w:rsidR="001E1CF4">
        <w:t xml:space="preserve">(Table 24) </w:t>
      </w:r>
      <w:r w:rsidRPr="000D6716">
        <w:t>were broadly consistent with these outcomes, though follow-up was shorter</w:t>
      </w:r>
      <w:bookmarkStart w:id="184" w:name="_Attachment_9_–_1"/>
      <w:bookmarkEnd w:id="184"/>
      <w:r w:rsidR="001E1CF4">
        <w:t>.</w:t>
      </w:r>
    </w:p>
    <w:p w:rsidR="00387774" w:rsidRPr="000D6716" w:rsidRDefault="007F12A4" w:rsidP="00387774">
      <w:pPr>
        <w:pStyle w:val="Tabletitle0"/>
      </w:pPr>
      <w:proofErr w:type="gramStart"/>
      <w:r>
        <w:t>Table 24</w:t>
      </w:r>
      <w:r w:rsidR="00387774">
        <w:t>.</w:t>
      </w:r>
      <w:proofErr w:type="gramEnd"/>
      <w:r w:rsidR="00387774">
        <w:t xml:space="preserve"> </w:t>
      </w:r>
      <w:r w:rsidR="00E5241D">
        <w:t>Summary AE data from P001 B3</w:t>
      </w:r>
    </w:p>
    <w:p w:rsidR="000D6716" w:rsidRPr="00605493" w:rsidRDefault="000D6716" w:rsidP="00605493">
      <w:r>
        <w:rPr>
          <w:noProof/>
          <w:lang w:eastAsia="en-AU"/>
        </w:rPr>
        <w:drawing>
          <wp:inline distT="0" distB="0" distL="0" distR="0" wp14:anchorId="0D281059" wp14:editId="5507D0D1">
            <wp:extent cx="4857750" cy="2800350"/>
            <wp:effectExtent l="0" t="0" r="0" b="0"/>
            <wp:docPr id="34" name="Picture 34" descr="Table 24. Summary AE data from P001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57750" cy="2800350"/>
                    </a:xfrm>
                    <a:prstGeom prst="rect">
                      <a:avLst/>
                    </a:prstGeom>
                  </pic:spPr>
                </pic:pic>
              </a:graphicData>
            </a:graphic>
          </wp:inline>
        </w:drawing>
      </w:r>
    </w:p>
    <w:p w:rsidR="00635167" w:rsidRDefault="00635167" w:rsidP="00635167">
      <w:pPr>
        <w:pStyle w:val="Heading5"/>
      </w:pPr>
      <w:r>
        <w:lastRenderedPageBreak/>
        <w:t>Study P002</w:t>
      </w:r>
    </w:p>
    <w:p w:rsidR="002A3A8E" w:rsidRDefault="002A3A8E" w:rsidP="002A3A8E">
      <w:r w:rsidRPr="002A3A8E">
        <w:t xml:space="preserve">P002 was a randomised trial of pembrolizumab (including two arms: 2 mg/kg Q3W and 10 mg/kg Q3W) </w:t>
      </w:r>
      <w:r w:rsidR="00987E81">
        <w:t>versus</w:t>
      </w:r>
      <w:r w:rsidRPr="002A3A8E">
        <w:t xml:space="preserve"> investigator’s choice of chemotherapy in advanced melanoma patients refractory to ipilimumab.</w:t>
      </w:r>
      <w:r w:rsidR="00635167">
        <w:t xml:space="preserve"> </w:t>
      </w:r>
      <w:r w:rsidR="00E5241D">
        <w:t xml:space="preserve">There were 179 to </w:t>
      </w:r>
      <w:r w:rsidRPr="002A3A8E">
        <w:t>181 patients in each arm.</w:t>
      </w:r>
      <w:r w:rsidR="00635167">
        <w:t xml:space="preserve"> </w:t>
      </w:r>
      <w:r w:rsidRPr="002A3A8E">
        <w:t>Summar</w:t>
      </w:r>
      <w:r w:rsidR="00C60488">
        <w:t>y data were provided for review</w:t>
      </w:r>
      <w:r w:rsidRPr="002A3A8E">
        <w:t>.</w:t>
      </w:r>
    </w:p>
    <w:p w:rsidR="00162BAF" w:rsidRPr="00162BAF" w:rsidRDefault="00162BAF" w:rsidP="00E5241D">
      <w:pPr>
        <w:pStyle w:val="Heading5"/>
      </w:pPr>
      <w:r w:rsidRPr="00162BAF">
        <w:t xml:space="preserve">Detailed description by the </w:t>
      </w:r>
      <w:r w:rsidR="006E184D">
        <w:t>d</w:t>
      </w:r>
      <w:r w:rsidRPr="00162BAF">
        <w:t xml:space="preserve">elegate of </w:t>
      </w:r>
      <w:r w:rsidR="006E184D">
        <w:t>s</w:t>
      </w:r>
      <w:r w:rsidRPr="00162BAF">
        <w:t>tudy P002</w:t>
      </w:r>
    </w:p>
    <w:p w:rsidR="00635167" w:rsidRPr="00635167" w:rsidRDefault="00635167" w:rsidP="00635167">
      <w:pPr>
        <w:pStyle w:val="Heading6"/>
      </w:pPr>
      <w:r w:rsidRPr="00635167">
        <w:t>Design and interventions</w:t>
      </w:r>
    </w:p>
    <w:p w:rsidR="00635167" w:rsidRPr="00635167" w:rsidRDefault="00635167" w:rsidP="00635167">
      <w:r w:rsidRPr="00635167">
        <w:t xml:space="preserve">P002 is a randomised, controlled trial of pembrolizumab </w:t>
      </w:r>
      <w:r w:rsidR="00987E81">
        <w:t>versus</w:t>
      </w:r>
      <w:r w:rsidRPr="00635167">
        <w:t xml:space="preserve"> investigator’s choice of chemotherapy in </w:t>
      </w:r>
      <w:r w:rsidR="009D2A28">
        <w:t xml:space="preserve">patients with advanced melanoma </w:t>
      </w:r>
      <w:r w:rsidRPr="00635167">
        <w:t>refractory to ipilimumab.</w:t>
      </w:r>
      <w:r w:rsidR="00987E81">
        <w:t xml:space="preserve"> </w:t>
      </w:r>
      <w:r w:rsidR="00E5241D">
        <w:t xml:space="preserve">The study was open label, except for double </w:t>
      </w:r>
      <w:r w:rsidRPr="00635167">
        <w:t>blinding of pembrolizumab dose.</w:t>
      </w:r>
    </w:p>
    <w:p w:rsidR="00635167" w:rsidRPr="00635167" w:rsidRDefault="00635167" w:rsidP="00635167">
      <w:r w:rsidRPr="00635167">
        <w:t>Study enrolment started in November 2012 and completed in November 2013.</w:t>
      </w:r>
    </w:p>
    <w:p w:rsidR="00635167" w:rsidRPr="00635167" w:rsidRDefault="00635167" w:rsidP="00635167">
      <w:r w:rsidRPr="00635167">
        <w:t>The results reported are from the second interim analysis.</w:t>
      </w:r>
      <w:r w:rsidR="00987E81">
        <w:t xml:space="preserve"> </w:t>
      </w:r>
      <w:r w:rsidRPr="00635167">
        <w:t>The first interim analysis concluded that the study should continue with both pembrolizumab dose regimens (</w:t>
      </w:r>
      <w:r w:rsidR="001D4BB8">
        <w:t>that is</w:t>
      </w:r>
      <w:r w:rsidRPr="00635167">
        <w:t xml:space="preserve"> one was not superior in efficacy to the other).</w:t>
      </w:r>
    </w:p>
    <w:p w:rsidR="00635167" w:rsidRPr="00635167" w:rsidRDefault="00635167" w:rsidP="00635167">
      <w:r w:rsidRPr="00635167">
        <w:t>540 patients were randomised 1:1:1 to receive:</w:t>
      </w:r>
    </w:p>
    <w:p w:rsidR="00635167" w:rsidRPr="00635167" w:rsidRDefault="00635167" w:rsidP="006E184D">
      <w:pPr>
        <w:pStyle w:val="ListBullet"/>
      </w:pPr>
      <w:r w:rsidRPr="00635167">
        <w:t>IV pembrolizumab 2 mg/kg Q3W</w:t>
      </w:r>
      <w:r>
        <w:t xml:space="preserve"> (N = 179)</w:t>
      </w:r>
    </w:p>
    <w:p w:rsidR="00635167" w:rsidRPr="00635167" w:rsidRDefault="00635167" w:rsidP="00635167">
      <w:pPr>
        <w:pStyle w:val="ListBullet"/>
      </w:pPr>
      <w:r w:rsidRPr="00635167">
        <w:t>IV pembrolizumab 10 mg/kg Q3W</w:t>
      </w:r>
      <w:r>
        <w:t xml:space="preserve"> (N = 180)</w:t>
      </w:r>
    </w:p>
    <w:p w:rsidR="00635167" w:rsidRDefault="00635167" w:rsidP="00635167">
      <w:pPr>
        <w:pStyle w:val="ListBullet"/>
      </w:pPr>
      <w:r w:rsidRPr="00635167">
        <w:t xml:space="preserve">chemotherapy (delivered according to standard of care or current clinical practice for treatment of melanoma), being the investigator’s choice of carboplatin + paclitaxel, paclitaxel alone, </w:t>
      </w:r>
      <w:proofErr w:type="spellStart"/>
      <w:r w:rsidRPr="00635167">
        <w:t>dacarbazine</w:t>
      </w:r>
      <w:proofErr w:type="spellEnd"/>
      <w:r w:rsidRPr="00635167">
        <w:t xml:space="preserve"> or </w:t>
      </w:r>
      <w:proofErr w:type="spellStart"/>
      <w:r w:rsidRPr="00635167">
        <w:t>temozolomide</w:t>
      </w:r>
      <w:proofErr w:type="spellEnd"/>
      <w:r w:rsidRPr="00635167">
        <w:t xml:space="preserve"> </w:t>
      </w:r>
      <w:r w:rsidR="001E1CF4">
        <w:t xml:space="preserve">(TDZ) </w:t>
      </w:r>
      <w:r w:rsidRPr="00635167">
        <w:t xml:space="preserve">(IV except for </w:t>
      </w:r>
      <w:r w:rsidRPr="001E1CF4">
        <w:t>oral TZD) (</w:t>
      </w:r>
      <w:r>
        <w:t>N = 181)</w:t>
      </w:r>
    </w:p>
    <w:p w:rsidR="00635167" w:rsidRPr="00635167" w:rsidRDefault="00635167" w:rsidP="00635167">
      <w:r w:rsidRPr="00635167">
        <w:t xml:space="preserve">Randomisation was stratified by ECOG performance status (0 </w:t>
      </w:r>
      <w:r w:rsidR="00987E81">
        <w:t>versus</w:t>
      </w:r>
      <w:r w:rsidRPr="00635167">
        <w:t xml:space="preserve"> 1), LDH level (normal </w:t>
      </w:r>
      <w:r w:rsidR="00987E81">
        <w:t>versus</w:t>
      </w:r>
      <w:r w:rsidRPr="00635167">
        <w:t xml:space="preserve"> elevated) and BRAF status (</w:t>
      </w:r>
      <w:r w:rsidR="00E5241D">
        <w:t>wild type</w:t>
      </w:r>
      <w:r w:rsidRPr="00635167">
        <w:t xml:space="preserve"> </w:t>
      </w:r>
      <w:r w:rsidR="00987E81">
        <w:t>versus</w:t>
      </w:r>
      <w:r w:rsidRPr="00635167">
        <w:t xml:space="preserve"> mutant).</w:t>
      </w:r>
    </w:p>
    <w:p w:rsidR="00635167" w:rsidRPr="00635167" w:rsidRDefault="00635167" w:rsidP="00635167">
      <w:r w:rsidRPr="00635167">
        <w:t xml:space="preserve">Patients assigned to chemotherapy with progression per RECIST 1.1 confirmed by central review and meeting ‘crossover criteria’ at </w:t>
      </w:r>
      <w:r w:rsidR="00B21A3A">
        <w:t>Week</w:t>
      </w:r>
      <w:r w:rsidRPr="00635167">
        <w:t xml:space="preserve"> 12 could</w:t>
      </w:r>
      <w:r w:rsidR="00703C92">
        <w:t xml:space="preserve"> cross over to pembrolizumab (2 mg/kg or 10 mg/kg,</w:t>
      </w:r>
      <w:r w:rsidRPr="00635167">
        <w:t xml:space="preserve"> assignment).</w:t>
      </w:r>
      <w:r w:rsidR="00987E81">
        <w:t xml:space="preserve"> </w:t>
      </w:r>
      <w:r w:rsidRPr="00635167">
        <w:t>86 patients (48%) did cross over by May 12 2014.</w:t>
      </w:r>
      <w:r w:rsidR="00987E81">
        <w:t xml:space="preserve"> </w:t>
      </w:r>
      <w:r w:rsidRPr="00635167">
        <w:t xml:space="preserve">Crossover was not permitted before </w:t>
      </w:r>
      <w:r w:rsidR="00B21A3A">
        <w:t>Week</w:t>
      </w:r>
      <w:r w:rsidRPr="00635167">
        <w:t xml:space="preserve"> 12.</w:t>
      </w:r>
      <w:r w:rsidR="00987E81">
        <w:t xml:space="preserve"> </w:t>
      </w:r>
      <w:r w:rsidR="00703C92">
        <w:t>Evidently, cross</w:t>
      </w:r>
      <w:r w:rsidRPr="00635167">
        <w:t>over may influence OS ou</w:t>
      </w:r>
      <w:r w:rsidR="00D14E83">
        <w:t>tcomes in the chemotherapy arm.</w:t>
      </w:r>
    </w:p>
    <w:p w:rsidR="00635167" w:rsidRPr="00635167" w:rsidRDefault="00635167" w:rsidP="00D14E83">
      <w:pPr>
        <w:pStyle w:val="Heading6"/>
      </w:pPr>
      <w:r w:rsidRPr="00635167">
        <w:t>Inclusion and exclusion criteria</w:t>
      </w:r>
    </w:p>
    <w:p w:rsidR="00635167" w:rsidRPr="00635167" w:rsidRDefault="00635167" w:rsidP="00635167">
      <w:r w:rsidRPr="00635167">
        <w:t xml:space="preserve">Patients required unresectable stage III or metastatic melanoma, not amenable to local therapy, with measurable disease by </w:t>
      </w:r>
      <w:r w:rsidR="00F236AD">
        <w:t xml:space="preserve">X-Ray </w:t>
      </w:r>
      <w:r w:rsidR="00F92586">
        <w:t>computed t</w:t>
      </w:r>
      <w:r w:rsidR="00F236AD">
        <w:t>omography</w:t>
      </w:r>
      <w:r w:rsidR="00F236AD" w:rsidRPr="00635167">
        <w:t xml:space="preserve"> </w:t>
      </w:r>
      <w:r w:rsidR="00F236AD">
        <w:t>(</w:t>
      </w:r>
      <w:r w:rsidRPr="00635167">
        <w:t>CT</w:t>
      </w:r>
      <w:r w:rsidR="00F236AD">
        <w:t>)</w:t>
      </w:r>
      <w:r w:rsidRPr="00635167">
        <w:t xml:space="preserve"> or </w:t>
      </w:r>
      <w:r w:rsidR="00F92586">
        <w:t>magnetic resonance imaging</w:t>
      </w:r>
      <w:r w:rsidR="00F92586" w:rsidRPr="00635167">
        <w:t xml:space="preserve"> </w:t>
      </w:r>
      <w:r w:rsidR="00F92586">
        <w:t>(</w:t>
      </w:r>
      <w:r w:rsidRPr="00635167">
        <w:t>MRI</w:t>
      </w:r>
      <w:r w:rsidR="00F92586">
        <w:t>)</w:t>
      </w:r>
      <w:r w:rsidRPr="00635167">
        <w:t xml:space="preserve"> as defined by RECIST 1.1 (</w:t>
      </w:r>
      <w:r w:rsidR="001D4BB8">
        <w:t>that is</w:t>
      </w:r>
      <w:r w:rsidRPr="00635167">
        <w:t xml:space="preserve"> a lesion at least 10 mm in longest diameter, or lymph node at least 15 mm in short axis).</w:t>
      </w:r>
    </w:p>
    <w:p w:rsidR="00635167" w:rsidRPr="00D14E83" w:rsidRDefault="00635167" w:rsidP="00D14E83">
      <w:r w:rsidRPr="00D14E83">
        <w:t xml:space="preserve">Patients were to be at least 18 </w:t>
      </w:r>
      <w:r w:rsidR="007E34E3">
        <w:t>years</w:t>
      </w:r>
      <w:r w:rsidRPr="00D14E83">
        <w:t xml:space="preserve"> of age with an </w:t>
      </w:r>
      <w:r w:rsidRPr="00F92586">
        <w:t>ECOG</w:t>
      </w:r>
      <w:r w:rsidR="00F92586">
        <w:t xml:space="preserve"> performance status of 0 to </w:t>
      </w:r>
      <w:r w:rsidRPr="00D14E83">
        <w:t>1 and adequate organ function based on standard laboratory parameters.</w:t>
      </w:r>
    </w:p>
    <w:p w:rsidR="00635167" w:rsidRPr="00D14E83" w:rsidRDefault="00635167" w:rsidP="00D14E83">
      <w:r w:rsidRPr="00D14E83">
        <w:t>Patients with uveal melanoma were excluded.</w:t>
      </w:r>
    </w:p>
    <w:p w:rsidR="00D14E83" w:rsidRPr="00D14E83" w:rsidRDefault="00D14E83" w:rsidP="00D14E83">
      <w:r w:rsidRPr="00D14E83">
        <w:t>A requirement was that patients were to be refractory to ipilimumab, as outlined below:</w:t>
      </w:r>
    </w:p>
    <w:p w:rsidR="00D14E83" w:rsidRPr="00D14E83" w:rsidRDefault="00D14E83" w:rsidP="00D14E83">
      <w:pPr>
        <w:pStyle w:val="ListBullet"/>
      </w:pPr>
      <w:r w:rsidRPr="00D14E83">
        <w:t>receipt of at least two doses (at least 3 mg/kg Q3W)</w:t>
      </w:r>
    </w:p>
    <w:p w:rsidR="00D14E83" w:rsidRPr="00D14E83" w:rsidRDefault="00D14E83" w:rsidP="00D14E83">
      <w:pPr>
        <w:pStyle w:val="ListBullet"/>
      </w:pPr>
      <w:r w:rsidRPr="00D14E83">
        <w:t xml:space="preserve">progressive disease based on </w:t>
      </w:r>
      <w:r w:rsidR="00987E81">
        <w:t>immune related</w:t>
      </w:r>
      <w:r w:rsidRPr="00D14E83">
        <w:t xml:space="preserve"> response criteria (</w:t>
      </w:r>
      <w:r w:rsidR="001D4BB8">
        <w:t>that is</w:t>
      </w:r>
      <w:r w:rsidRPr="00D14E83">
        <w:t xml:space="preserve"> initial evidence of progression, confirmed 4</w:t>
      </w:r>
      <w:r w:rsidR="001E1CF4">
        <w:t xml:space="preserve"> </w:t>
      </w:r>
      <w:r w:rsidRPr="00D14E83">
        <w:t xml:space="preserve">+ </w:t>
      </w:r>
      <w:r w:rsidR="001A622E">
        <w:t>weeks</w:t>
      </w:r>
      <w:r w:rsidRPr="00D14E83">
        <w:t xml:space="preserve"> later in absence of rapid clinical progression as per investigator’s assessment)</w:t>
      </w:r>
    </w:p>
    <w:p w:rsidR="00D14E83" w:rsidRPr="00D14E83" w:rsidRDefault="00D14E83" w:rsidP="00D14E83">
      <w:pPr>
        <w:pStyle w:val="ListBullet"/>
      </w:pPr>
      <w:r w:rsidRPr="00D14E83">
        <w:t xml:space="preserve">disease progression within 24 </w:t>
      </w:r>
      <w:r w:rsidR="001A622E">
        <w:t>weeks</w:t>
      </w:r>
      <w:r w:rsidRPr="00D14E83">
        <w:t xml:space="preserve"> of last dose of ipilimumab</w:t>
      </w:r>
    </w:p>
    <w:p w:rsidR="00D14E83" w:rsidRPr="00D14E83" w:rsidRDefault="00D14E83" w:rsidP="00D14E83">
      <w:pPr>
        <w:pStyle w:val="ListBullet"/>
      </w:pPr>
      <w:r w:rsidRPr="00D14E83">
        <w:t>ipilimumab does not need to be last treatment prior to study entry</w:t>
      </w:r>
    </w:p>
    <w:p w:rsidR="00D14E83" w:rsidRPr="00D14E83" w:rsidRDefault="00D14E83" w:rsidP="00D14E83">
      <w:r w:rsidRPr="00D14E83">
        <w:lastRenderedPageBreak/>
        <w:t>Use of IPI only as adjuvant was not allowed.</w:t>
      </w:r>
    </w:p>
    <w:p w:rsidR="00D14E83" w:rsidRPr="00D14E83" w:rsidRDefault="00D14E83" w:rsidP="00D14E83">
      <w:r w:rsidRPr="00D14E83">
        <w:t>A further requirement was that there was r</w:t>
      </w:r>
      <w:r w:rsidR="007E34E3">
        <w:t xml:space="preserve">esolution or improvement of IPI </w:t>
      </w:r>
      <w:r w:rsidRPr="00D14E83">
        <w:t>related</w:t>
      </w:r>
      <w:r w:rsidR="001E1CF4">
        <w:t xml:space="preserve"> AEs back to grade 0 to </w:t>
      </w:r>
      <w:r w:rsidRPr="00D14E83">
        <w:t xml:space="preserve">1 (and ≤ 10 mg/day prednisone / equivalent for </w:t>
      </w:r>
      <w:proofErr w:type="spellStart"/>
      <w:r w:rsidRPr="00D14E83">
        <w:t>irAEs</w:t>
      </w:r>
      <w:proofErr w:type="spellEnd"/>
      <w:r w:rsidRPr="00D14E83">
        <w:t xml:space="preserve">) for at least 2 </w:t>
      </w:r>
      <w:r w:rsidR="001A622E">
        <w:t>weeks</w:t>
      </w:r>
      <w:r w:rsidRPr="00D14E83">
        <w:t xml:space="preserve"> prior to first dose of study drug, and:</w:t>
      </w:r>
    </w:p>
    <w:p w:rsidR="00D14E83" w:rsidRPr="00D14E83" w:rsidRDefault="00D14E83" w:rsidP="00D14E83">
      <w:pPr>
        <w:pStyle w:val="ListBullet"/>
      </w:pPr>
      <w:r w:rsidRPr="00D14E83">
        <w:t xml:space="preserve">no history of grade 4 </w:t>
      </w:r>
      <w:proofErr w:type="spellStart"/>
      <w:r w:rsidRPr="00D14E83">
        <w:t>irAEs</w:t>
      </w:r>
      <w:proofErr w:type="spellEnd"/>
      <w:r w:rsidRPr="00D14E83">
        <w:t xml:space="preserve"> with IPI</w:t>
      </w:r>
    </w:p>
    <w:p w:rsidR="00D14E83" w:rsidRPr="00D14E83" w:rsidRDefault="00D14E83" w:rsidP="00D14E83">
      <w:pPr>
        <w:pStyle w:val="ListBullet"/>
      </w:pPr>
      <w:r w:rsidRPr="00D14E83">
        <w:t>no history of grade 3 AEs requiring steroids (</w:t>
      </w:r>
      <w:r w:rsidR="00E5241D">
        <w:t>&gt; 1</w:t>
      </w:r>
      <w:r w:rsidR="001E1CF4">
        <w:t>0 mg/day prednisone / equivalent</w:t>
      </w:r>
      <w:r w:rsidRPr="00D14E83">
        <w:t xml:space="preserve">) for </w:t>
      </w:r>
      <w:r w:rsidR="007E34E3">
        <w:t>&gt; </w:t>
      </w:r>
      <w:r w:rsidR="00E5241D">
        <w:t>1</w:t>
      </w:r>
      <w:r w:rsidRPr="00D14E83">
        <w:t>2 weeks</w:t>
      </w:r>
    </w:p>
    <w:p w:rsidR="00D14E83" w:rsidRPr="00D14E83" w:rsidRDefault="00D14E83" w:rsidP="00D14E83">
      <w:pPr>
        <w:pStyle w:val="ListBullet"/>
      </w:pPr>
      <w:proofErr w:type="gramStart"/>
      <w:r w:rsidRPr="00D14E83">
        <w:t>minimum</w:t>
      </w:r>
      <w:proofErr w:type="gramEnd"/>
      <w:r w:rsidRPr="00D14E83">
        <w:t xml:space="preserve"> 4 weeks from last dose of IPI</w:t>
      </w:r>
      <w:r w:rsidR="001E1CF4">
        <w:t>.</w:t>
      </w:r>
    </w:p>
    <w:p w:rsidR="00D14E83" w:rsidRPr="00D14E83" w:rsidRDefault="00D14E83" w:rsidP="00D14E83">
      <w:r w:rsidRPr="00D14E83">
        <w:t>Patients with BRAF mutant melanoma required prior treatment with an approved BRAF and / or MEK inhibitor.</w:t>
      </w:r>
    </w:p>
    <w:p w:rsidR="00D14E83" w:rsidRPr="00D14E83" w:rsidRDefault="00D14E83" w:rsidP="00D14E83">
      <w:r w:rsidRPr="00D14E83">
        <w:t>Patients on chronic systemic steroids (</w:t>
      </w:r>
      <w:r w:rsidR="00E5241D">
        <w:t>&gt; 1</w:t>
      </w:r>
      <w:r w:rsidRPr="00D14E83">
        <w:t>0 mg/day prednisone / equiv</w:t>
      </w:r>
      <w:r w:rsidR="001E1CF4">
        <w:t>alent</w:t>
      </w:r>
      <w:r w:rsidRPr="00D14E83">
        <w:t>) or any other form of immunosuppressive medication were excluded.</w:t>
      </w:r>
    </w:p>
    <w:p w:rsidR="00D14E83" w:rsidRPr="00D14E83" w:rsidRDefault="00D14E83" w:rsidP="00D14E83">
      <w:r w:rsidRPr="00D14E83">
        <w:t>Patients with known active CNS metastases and / or carcinomatous meningitis were excluded.</w:t>
      </w:r>
      <w:r w:rsidR="00987E81">
        <w:t xml:space="preserve"> </w:t>
      </w:r>
      <w:r w:rsidRPr="00D14E83">
        <w:t>Patients with previously treated brain metastases were accepted if the brain metastases were inactive (</w:t>
      </w:r>
      <w:r w:rsidR="001D4BB8">
        <w:t>that is</w:t>
      </w:r>
      <w:r w:rsidRPr="00D14E83">
        <w:t xml:space="preserve"> no evidence of progression) and the patient was on ≤</w:t>
      </w:r>
      <w:r w:rsidR="001E1CF4">
        <w:t xml:space="preserve"> 10 </w:t>
      </w:r>
      <w:r w:rsidRPr="00D14E83">
        <w:t>mg/day prednisone / equiv. for at least 2 weeks prior to study start.</w:t>
      </w:r>
    </w:p>
    <w:p w:rsidR="00D14E83" w:rsidRPr="00D14E83" w:rsidRDefault="00D14E83" w:rsidP="00D14E83">
      <w:r w:rsidRPr="00D14E83">
        <w:t>Patients with active autoimmune disease or history of autoimmune disease requiring systemic steroids or immunosuppressive medications (excluding vitiligo and resolved childhood asthma / atopy) were excluded.</w:t>
      </w:r>
      <w:r w:rsidR="00987E81">
        <w:t xml:space="preserve"> </w:t>
      </w:r>
      <w:r w:rsidRPr="00D14E83">
        <w:t>Patients with hypothyroidism stable on hormone replacement were not excluded.</w:t>
      </w:r>
    </w:p>
    <w:p w:rsidR="00D14E83" w:rsidRPr="00D14E83" w:rsidRDefault="00D14E83" w:rsidP="00D14E83">
      <w:r w:rsidRPr="00D14E83">
        <w:t>Other inclusions / exclusions were standard.</w:t>
      </w:r>
    </w:p>
    <w:p w:rsidR="00D14E83" w:rsidRPr="00D14E83" w:rsidRDefault="00D14E83" w:rsidP="00D14E83">
      <w:pPr>
        <w:pStyle w:val="Heading6"/>
      </w:pPr>
      <w:r w:rsidRPr="00D14E83">
        <w:t>Baseline characteristics</w:t>
      </w:r>
    </w:p>
    <w:p w:rsidR="00D14E83" w:rsidRPr="00D14E83" w:rsidRDefault="00D14E83" w:rsidP="00D14E83">
      <w:r w:rsidRPr="00D14E83">
        <w:t>These were broadly balanced across arms.</w:t>
      </w:r>
    </w:p>
    <w:p w:rsidR="00D14E83" w:rsidRPr="00D14E83" w:rsidRDefault="00D14E83" w:rsidP="00D14E83">
      <w:r>
        <w:t xml:space="preserve">58 to </w:t>
      </w:r>
      <w:r w:rsidRPr="00D14E83">
        <w:t>64% of subjec</w:t>
      </w:r>
      <w:r w:rsidR="007E34E3">
        <w:t xml:space="preserve">ts were male; median age was 60 to </w:t>
      </w:r>
      <w:r w:rsidRPr="00D14E83">
        <w:t xml:space="preserve">63 </w:t>
      </w:r>
      <w:r w:rsidR="007E34E3">
        <w:t xml:space="preserve">years (mean age was 60 to </w:t>
      </w:r>
      <w:r w:rsidRPr="00D14E83">
        <w:t xml:space="preserve">61 </w:t>
      </w:r>
      <w:r w:rsidR="007E34E3">
        <w:t xml:space="preserve">years); 41 to </w:t>
      </w:r>
      <w:r w:rsidRPr="00D14E83">
        <w:t xml:space="preserve">45% of subjects were 65+ </w:t>
      </w:r>
      <w:r w:rsidR="007E34E3">
        <w:t>years</w:t>
      </w:r>
      <w:r w:rsidRPr="00D14E83">
        <w:t xml:space="preserve"> of age.</w:t>
      </w:r>
      <w:r w:rsidR="00987E81">
        <w:t xml:space="preserve"> </w:t>
      </w:r>
      <w:r w:rsidR="007E34E3">
        <w:t>Almost all patients were W</w:t>
      </w:r>
      <w:r w:rsidRPr="00D14E83">
        <w:t>hite.</w:t>
      </w:r>
      <w:r w:rsidR="00987E81">
        <w:t xml:space="preserve"> </w:t>
      </w:r>
      <w:r w:rsidR="007E34E3">
        <w:t xml:space="preserve">44 to </w:t>
      </w:r>
      <w:r w:rsidRPr="00D14E83">
        <w:t>46% of patients were ECOG PS 1.</w:t>
      </w:r>
      <w:r w:rsidR="00987E81">
        <w:t xml:space="preserve"> </w:t>
      </w:r>
      <w:r w:rsidR="007E34E3">
        <w:t xml:space="preserve">92 to </w:t>
      </w:r>
      <w:r w:rsidRPr="00D14E83">
        <w:t xml:space="preserve">94% of patients had Stage IV disease, and </w:t>
      </w:r>
      <w:r w:rsidR="00987E81">
        <w:t xml:space="preserve">approximately </w:t>
      </w:r>
      <w:r w:rsidRPr="00D14E83">
        <w:t xml:space="preserve">70% of those had </w:t>
      </w:r>
      <w:r w:rsidRPr="001E1CF4">
        <w:t>M1c</w:t>
      </w:r>
      <w:r w:rsidR="001E1CF4" w:rsidRPr="001E1CF4">
        <w:rPr>
          <w:rStyle w:val="FootnoteReference"/>
        </w:rPr>
        <w:footnoteReference w:id="66"/>
      </w:r>
      <w:r w:rsidRPr="001E1CF4">
        <w:t>.</w:t>
      </w:r>
      <w:r w:rsidR="00987E81">
        <w:t xml:space="preserve"> </w:t>
      </w:r>
      <w:r w:rsidR="007E34E3">
        <w:t xml:space="preserve">22 to </w:t>
      </w:r>
      <w:r w:rsidRPr="00D14E83">
        <w:t>24% of patients had BRAF mutant disease.</w:t>
      </w:r>
      <w:r w:rsidR="00987E81">
        <w:t xml:space="preserve"> </w:t>
      </w:r>
      <w:r w:rsidRPr="00D14E83">
        <w:t>Med</w:t>
      </w:r>
      <w:r w:rsidR="007E34E3">
        <w:t xml:space="preserve">ian baseline tumour size was 95 to </w:t>
      </w:r>
      <w:r w:rsidRPr="00D14E83">
        <w:t>102 mm.</w:t>
      </w:r>
      <w:r w:rsidR="00987E81">
        <w:t xml:space="preserve"> </w:t>
      </w:r>
      <w:r w:rsidR="007E34E3">
        <w:t xml:space="preserve">38 to </w:t>
      </w:r>
      <w:r w:rsidRPr="00D14E83">
        <w:t>43% had elevated LDH.</w:t>
      </w:r>
    </w:p>
    <w:p w:rsidR="00D14E83" w:rsidRDefault="007E34E3" w:rsidP="00D14E83">
      <w:r>
        <w:t>PD-L1 status is described below in Table 25.</w:t>
      </w:r>
    </w:p>
    <w:p w:rsidR="00D05348" w:rsidRPr="00D14E83" w:rsidRDefault="00D05348" w:rsidP="00D05348">
      <w:pPr>
        <w:pStyle w:val="TableTitle"/>
      </w:pPr>
      <w:proofErr w:type="gramStart"/>
      <w:r>
        <w:t xml:space="preserve">Table </w:t>
      </w:r>
      <w:r w:rsidR="007F12A4">
        <w:t>25</w:t>
      </w:r>
      <w:r>
        <w:t>.</w:t>
      </w:r>
      <w:proofErr w:type="gramEnd"/>
      <w:r>
        <w:t xml:space="preserve"> PD-L1 status Study P002</w:t>
      </w:r>
    </w:p>
    <w:p w:rsidR="00635167" w:rsidRDefault="00D05348" w:rsidP="00635167">
      <w:r>
        <w:rPr>
          <w:noProof/>
          <w:lang w:eastAsia="en-AU"/>
        </w:rPr>
        <w:drawing>
          <wp:inline distT="0" distB="0" distL="0" distR="0" wp14:anchorId="27E2BB64" wp14:editId="403BC086">
            <wp:extent cx="5400040" cy="1243855"/>
            <wp:effectExtent l="0" t="0" r="0" b="0"/>
            <wp:docPr id="5" name="Picture 5" descr="Table 26. PD-L1 status Study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1243855"/>
                    </a:xfrm>
                    <a:prstGeom prst="rect">
                      <a:avLst/>
                    </a:prstGeom>
                  </pic:spPr>
                </pic:pic>
              </a:graphicData>
            </a:graphic>
          </wp:inline>
        </w:drawing>
      </w:r>
    </w:p>
    <w:p w:rsidR="00D05348" w:rsidRPr="00D05348" w:rsidRDefault="00D05348" w:rsidP="00D05348">
      <w:r w:rsidRPr="00D05348">
        <w:t>Thus</w:t>
      </w:r>
      <w:r w:rsidR="007E34E3">
        <w:t xml:space="preserve"> in those with known status, 27 to </w:t>
      </w:r>
      <w:r w:rsidRPr="00D05348">
        <w:t>33% were PD-L1 negative.</w:t>
      </w:r>
    </w:p>
    <w:p w:rsidR="00D05348" w:rsidRPr="00D05348" w:rsidRDefault="007E34E3" w:rsidP="00D05348">
      <w:r>
        <w:t xml:space="preserve">Some 22 to </w:t>
      </w:r>
      <w:r w:rsidR="00D05348" w:rsidRPr="00D05348">
        <w:t>31% of subjects across arms had 1 prior line of therapy (</w:t>
      </w:r>
      <w:r w:rsidR="001D4BB8">
        <w:t>that is</w:t>
      </w:r>
      <w:r>
        <w:t xml:space="preserve"> only IPI); 37 to 44% had 2 prior lines; 18 to 19% had 3 prior lines; 7 to 10% had 4 prior lines; 4 to </w:t>
      </w:r>
      <w:r w:rsidR="00D05348" w:rsidRPr="00D05348">
        <w:t>9% had 5 or more prior lines of therapy.</w:t>
      </w:r>
      <w:r w:rsidR="00987E81">
        <w:t xml:space="preserve"> </w:t>
      </w:r>
      <w:r w:rsidR="00D05348" w:rsidRPr="00D05348">
        <w:t>One of these prior therapies was IPI (and where BRAF V600 mutant, one was a BRAF or MEK inhibitor).</w:t>
      </w:r>
    </w:p>
    <w:p w:rsidR="00D05348" w:rsidRPr="00D05348" w:rsidRDefault="00D05348" w:rsidP="00D05348">
      <w:pPr>
        <w:pStyle w:val="Heading6"/>
      </w:pPr>
      <w:r w:rsidRPr="00D05348">
        <w:lastRenderedPageBreak/>
        <w:t>Efficacy methodology</w:t>
      </w:r>
    </w:p>
    <w:p w:rsidR="00D05348" w:rsidRPr="00D05348" w:rsidRDefault="00D05348" w:rsidP="00D05348">
      <w:r w:rsidRPr="00D05348">
        <w:t>The primary efficacy endpoints were PFS (blinded central review per RECIST 1.1) and OS.</w:t>
      </w:r>
      <w:r w:rsidR="00987E81">
        <w:t xml:space="preserve"> </w:t>
      </w:r>
      <w:r w:rsidRPr="00D05348">
        <w:t>Secondary endpoints included ORR (confirmed responses from blinded central review) and response duration.</w:t>
      </w:r>
      <w:r w:rsidR="00987E81">
        <w:t xml:space="preserve"> </w:t>
      </w:r>
      <w:r w:rsidRPr="00D05348">
        <w:t xml:space="preserve">Exploratory outcomes included quality of life (at </w:t>
      </w:r>
      <w:r w:rsidR="00B21A3A">
        <w:t>Week</w:t>
      </w:r>
      <w:r w:rsidRPr="00D05348">
        <w:t xml:space="preserve"> 12).</w:t>
      </w:r>
    </w:p>
    <w:p w:rsidR="00D05348" w:rsidRPr="00D05348" w:rsidRDefault="007E34E3" w:rsidP="00D05348">
      <w:r>
        <w:t xml:space="preserve">The sponsor presented rank </w:t>
      </w:r>
      <w:r w:rsidR="00D05348" w:rsidRPr="00D05348">
        <w:t>preserving structural failure time (RPSFT) analysis</w:t>
      </w:r>
      <w:r w:rsidR="001E1CF4">
        <w:t xml:space="preserve"> of OS, which adjusts for cross </w:t>
      </w:r>
      <w:r w:rsidR="00D05348" w:rsidRPr="00D05348">
        <w:t>over from chemotherapy to pembrolizumab.</w:t>
      </w:r>
      <w:r w:rsidR="00987E81">
        <w:t xml:space="preserve"> </w:t>
      </w:r>
      <w:r w:rsidR="00D05348" w:rsidRPr="00D05348">
        <w:t>The basic assumption of RPSFT is that the treatment effect is equal for all patients no matter when the treatment is received.</w:t>
      </w:r>
      <w:r w:rsidR="00987E81">
        <w:t xml:space="preserve"> </w:t>
      </w:r>
      <w:r w:rsidR="00D05348" w:rsidRPr="00D05348">
        <w:t>Chemotherapy may affect the immune system or it may affect tumour factors that influence activity of pembrolizumab.</w:t>
      </w:r>
      <w:r w:rsidR="00987E81">
        <w:t xml:space="preserve"> </w:t>
      </w:r>
      <w:r w:rsidR="00D05348" w:rsidRPr="00D05348">
        <w:t>With disease progression a patient’s capacity to benefit may be different from a patient at study baseline.</w:t>
      </w:r>
      <w:r w:rsidR="00987E81">
        <w:t xml:space="preserve"> </w:t>
      </w:r>
      <w:r w:rsidR="00D05348" w:rsidRPr="00D05348">
        <w:t>Also, this trial involved an active comparator, yet RPSFT models require that patients are either on or off treatment, unless further assumptions are made.</w:t>
      </w:r>
      <w:r w:rsidR="00987E81">
        <w:t xml:space="preserve"> </w:t>
      </w:r>
      <w:r w:rsidR="00D05348" w:rsidRPr="00D05348">
        <w:t>Lastly, a continuing treatment effect is plausible for pembrolizumab, yet the RPSFT model assumes a treatment effect is only received while on treatment.</w:t>
      </w:r>
      <w:r w:rsidR="00987E81">
        <w:t xml:space="preserve"> </w:t>
      </w:r>
      <w:r w:rsidR="00D05348" w:rsidRPr="00D05348">
        <w:t xml:space="preserve">Therefore, </w:t>
      </w:r>
      <w:r>
        <w:t>the Delegate has</w:t>
      </w:r>
      <w:r w:rsidR="00D05348" w:rsidRPr="00D05348">
        <w:t xml:space="preserve"> not considered RPSFT analyses here.</w:t>
      </w:r>
    </w:p>
    <w:p w:rsidR="00D05348" w:rsidRPr="004538D9" w:rsidRDefault="007F12A4" w:rsidP="00387774">
      <w:pPr>
        <w:pStyle w:val="Tabletitle0"/>
        <w:rPr>
          <w:sz w:val="20"/>
          <w:szCs w:val="20"/>
        </w:rPr>
      </w:pPr>
      <w:proofErr w:type="gramStart"/>
      <w:r>
        <w:t>Table 26</w:t>
      </w:r>
      <w:r w:rsidR="00387774">
        <w:t>.</w:t>
      </w:r>
      <w:proofErr w:type="gramEnd"/>
      <w:r w:rsidR="00387774">
        <w:t xml:space="preserve"> </w:t>
      </w:r>
      <w:r w:rsidR="00D05348" w:rsidRPr="00D05348">
        <w:t>Efficacy results</w:t>
      </w:r>
      <w:r w:rsidR="00387774">
        <w:t xml:space="preserve"> Study P002.</w:t>
      </w:r>
    </w:p>
    <w:tbl>
      <w:tblPr>
        <w:tblStyle w:val="TableTGAblue"/>
        <w:tblW w:w="0" w:type="auto"/>
        <w:tblLook w:val="04A0" w:firstRow="1" w:lastRow="0" w:firstColumn="1" w:lastColumn="0" w:noHBand="0" w:noVBand="1"/>
      </w:tblPr>
      <w:tblGrid>
        <w:gridCol w:w="2180"/>
        <w:gridCol w:w="2180"/>
        <w:gridCol w:w="2180"/>
        <w:gridCol w:w="2180"/>
      </w:tblGrid>
      <w:tr w:rsidR="00D05348" w:rsidRPr="006E184D" w:rsidTr="00D05348">
        <w:trPr>
          <w:cnfStyle w:val="100000000000" w:firstRow="1" w:lastRow="0" w:firstColumn="0" w:lastColumn="0" w:oddVBand="0" w:evenVBand="0" w:oddHBand="0" w:evenHBand="0" w:firstRowFirstColumn="0" w:firstRowLastColumn="0" w:lastRowFirstColumn="0" w:lastRowLastColumn="0"/>
        </w:trPr>
        <w:tc>
          <w:tcPr>
            <w:tcW w:w="2180" w:type="dxa"/>
          </w:tcPr>
          <w:p w:rsidR="00D05348" w:rsidRPr="006E184D" w:rsidRDefault="00D05348" w:rsidP="006E184D">
            <w:pPr>
              <w:rPr>
                <w:b w:val="0"/>
                <w:sz w:val="20"/>
                <w:szCs w:val="20"/>
              </w:rPr>
            </w:pPr>
            <w:r w:rsidRPr="006E184D">
              <w:rPr>
                <w:sz w:val="20"/>
                <w:szCs w:val="20"/>
              </w:rPr>
              <w:t>Endpoint</w:t>
            </w:r>
          </w:p>
        </w:tc>
        <w:tc>
          <w:tcPr>
            <w:tcW w:w="2180" w:type="dxa"/>
          </w:tcPr>
          <w:p w:rsidR="00D05348" w:rsidRPr="006E184D" w:rsidRDefault="00D05348" w:rsidP="006E184D">
            <w:pPr>
              <w:rPr>
                <w:b w:val="0"/>
                <w:sz w:val="20"/>
                <w:szCs w:val="20"/>
              </w:rPr>
            </w:pPr>
            <w:r w:rsidRPr="006E184D">
              <w:rPr>
                <w:sz w:val="20"/>
                <w:szCs w:val="20"/>
              </w:rPr>
              <w:t>2 mg/kg</w:t>
            </w:r>
          </w:p>
        </w:tc>
        <w:tc>
          <w:tcPr>
            <w:tcW w:w="2180" w:type="dxa"/>
          </w:tcPr>
          <w:p w:rsidR="00D05348" w:rsidRPr="006E184D" w:rsidRDefault="00D05348" w:rsidP="006E184D">
            <w:pPr>
              <w:rPr>
                <w:b w:val="0"/>
                <w:sz w:val="20"/>
                <w:szCs w:val="20"/>
              </w:rPr>
            </w:pPr>
            <w:r w:rsidRPr="006E184D">
              <w:rPr>
                <w:sz w:val="20"/>
                <w:szCs w:val="20"/>
              </w:rPr>
              <w:t>10 mg/kg</w:t>
            </w:r>
          </w:p>
        </w:tc>
        <w:tc>
          <w:tcPr>
            <w:tcW w:w="2180" w:type="dxa"/>
          </w:tcPr>
          <w:p w:rsidR="00D05348" w:rsidRPr="006E184D" w:rsidRDefault="00D05348" w:rsidP="006E184D">
            <w:pPr>
              <w:rPr>
                <w:b w:val="0"/>
                <w:sz w:val="20"/>
                <w:szCs w:val="20"/>
              </w:rPr>
            </w:pPr>
            <w:r w:rsidRPr="006E184D">
              <w:rPr>
                <w:sz w:val="20"/>
                <w:szCs w:val="20"/>
              </w:rPr>
              <w:t>chemotherapy</w:t>
            </w:r>
          </w:p>
        </w:tc>
      </w:tr>
      <w:tr w:rsidR="00D05348" w:rsidRPr="006E184D" w:rsidTr="00D05348">
        <w:tc>
          <w:tcPr>
            <w:tcW w:w="8720" w:type="dxa"/>
            <w:gridSpan w:val="4"/>
          </w:tcPr>
          <w:p w:rsidR="00D05348" w:rsidRPr="006E184D" w:rsidRDefault="00D05348" w:rsidP="006E184D">
            <w:pPr>
              <w:rPr>
                <w:sz w:val="20"/>
                <w:szCs w:val="20"/>
              </w:rPr>
            </w:pPr>
            <w:r w:rsidRPr="006E184D">
              <w:rPr>
                <w:sz w:val="20"/>
                <w:szCs w:val="20"/>
              </w:rPr>
              <w:t>Progression–free survival (IRO) (primary endpoint)</w:t>
            </w:r>
          </w:p>
        </w:tc>
      </w:tr>
      <w:tr w:rsidR="00D05348" w:rsidRPr="006E184D" w:rsidTr="00D05348">
        <w:tc>
          <w:tcPr>
            <w:tcW w:w="2180" w:type="dxa"/>
          </w:tcPr>
          <w:p w:rsidR="00D05348" w:rsidRPr="006E184D" w:rsidRDefault="00D05348" w:rsidP="006E184D">
            <w:pPr>
              <w:rPr>
                <w:sz w:val="20"/>
                <w:szCs w:val="20"/>
              </w:rPr>
            </w:pPr>
            <w:r w:rsidRPr="006E184D">
              <w:rPr>
                <w:sz w:val="20"/>
                <w:szCs w:val="20"/>
              </w:rPr>
              <w:t xml:space="preserve">Hazard ratio </w:t>
            </w:r>
            <w:r w:rsidR="00987E81" w:rsidRPr="006E184D">
              <w:rPr>
                <w:sz w:val="20"/>
                <w:szCs w:val="20"/>
              </w:rPr>
              <w:t>versus</w:t>
            </w:r>
            <w:r w:rsidRPr="006E184D">
              <w:rPr>
                <w:sz w:val="20"/>
                <w:szCs w:val="20"/>
              </w:rPr>
              <w:t xml:space="preserve"> chemo</w:t>
            </w:r>
          </w:p>
        </w:tc>
        <w:tc>
          <w:tcPr>
            <w:tcW w:w="2180" w:type="dxa"/>
          </w:tcPr>
          <w:p w:rsidR="00D05348" w:rsidRPr="006E184D" w:rsidRDefault="001E1CF4" w:rsidP="006E184D">
            <w:pPr>
              <w:rPr>
                <w:sz w:val="20"/>
                <w:szCs w:val="20"/>
              </w:rPr>
            </w:pPr>
            <w:r w:rsidRPr="006E184D">
              <w:rPr>
                <w:sz w:val="20"/>
                <w:szCs w:val="20"/>
              </w:rPr>
              <w:t xml:space="preserve">0.57 (0.45 to </w:t>
            </w:r>
            <w:r w:rsidR="00D05348" w:rsidRPr="006E184D">
              <w:rPr>
                <w:sz w:val="20"/>
                <w:szCs w:val="20"/>
              </w:rPr>
              <w:t>0.73)</w:t>
            </w:r>
          </w:p>
        </w:tc>
        <w:tc>
          <w:tcPr>
            <w:tcW w:w="2180" w:type="dxa"/>
          </w:tcPr>
          <w:p w:rsidR="00D05348" w:rsidRPr="006E184D" w:rsidRDefault="001E1CF4" w:rsidP="006E184D">
            <w:pPr>
              <w:rPr>
                <w:sz w:val="20"/>
                <w:szCs w:val="20"/>
              </w:rPr>
            </w:pPr>
            <w:r w:rsidRPr="006E184D">
              <w:rPr>
                <w:sz w:val="20"/>
                <w:szCs w:val="20"/>
              </w:rPr>
              <w:t xml:space="preserve">0.50 (0.39 to </w:t>
            </w:r>
            <w:r w:rsidR="00D05348" w:rsidRPr="006E184D">
              <w:rPr>
                <w:sz w:val="20"/>
                <w:szCs w:val="20"/>
              </w:rPr>
              <w:t>0.64)</w:t>
            </w:r>
          </w:p>
        </w:tc>
        <w:tc>
          <w:tcPr>
            <w:tcW w:w="2180" w:type="dxa"/>
          </w:tcPr>
          <w:p w:rsidR="00D05348" w:rsidRPr="006E184D" w:rsidRDefault="00D05348" w:rsidP="006E184D">
            <w:pPr>
              <w:rPr>
                <w:sz w:val="20"/>
                <w:szCs w:val="20"/>
              </w:rPr>
            </w:pPr>
          </w:p>
        </w:tc>
      </w:tr>
      <w:tr w:rsidR="00D05348" w:rsidRPr="006E184D" w:rsidTr="00D05348">
        <w:tc>
          <w:tcPr>
            <w:tcW w:w="2180" w:type="dxa"/>
          </w:tcPr>
          <w:p w:rsidR="00D05348" w:rsidRPr="006E184D" w:rsidRDefault="00D05348" w:rsidP="006E184D">
            <w:pPr>
              <w:rPr>
                <w:sz w:val="20"/>
                <w:szCs w:val="20"/>
              </w:rPr>
            </w:pPr>
            <w:r w:rsidRPr="006E184D">
              <w:rPr>
                <w:sz w:val="20"/>
                <w:szCs w:val="20"/>
              </w:rPr>
              <w:t>Median</w:t>
            </w:r>
          </w:p>
        </w:tc>
        <w:tc>
          <w:tcPr>
            <w:tcW w:w="2180" w:type="dxa"/>
          </w:tcPr>
          <w:p w:rsidR="00D05348" w:rsidRPr="006E184D" w:rsidRDefault="00D05348" w:rsidP="006E184D">
            <w:pPr>
              <w:rPr>
                <w:sz w:val="20"/>
                <w:szCs w:val="20"/>
              </w:rPr>
            </w:pPr>
            <w:r w:rsidRPr="006E184D">
              <w:rPr>
                <w:sz w:val="20"/>
                <w:szCs w:val="20"/>
              </w:rPr>
              <w:t>2.9 months</w:t>
            </w:r>
          </w:p>
        </w:tc>
        <w:tc>
          <w:tcPr>
            <w:tcW w:w="2180" w:type="dxa"/>
          </w:tcPr>
          <w:p w:rsidR="00D05348" w:rsidRPr="006E184D" w:rsidRDefault="00D05348" w:rsidP="006E184D">
            <w:pPr>
              <w:rPr>
                <w:sz w:val="20"/>
                <w:szCs w:val="20"/>
              </w:rPr>
            </w:pPr>
            <w:r w:rsidRPr="006E184D">
              <w:rPr>
                <w:sz w:val="20"/>
                <w:szCs w:val="20"/>
              </w:rPr>
              <w:t>2.9 months</w:t>
            </w:r>
          </w:p>
        </w:tc>
        <w:tc>
          <w:tcPr>
            <w:tcW w:w="2180" w:type="dxa"/>
          </w:tcPr>
          <w:p w:rsidR="00D05348" w:rsidRPr="006E184D" w:rsidRDefault="00D05348" w:rsidP="006E184D">
            <w:pPr>
              <w:rPr>
                <w:sz w:val="20"/>
                <w:szCs w:val="20"/>
              </w:rPr>
            </w:pPr>
            <w:r w:rsidRPr="006E184D">
              <w:rPr>
                <w:sz w:val="20"/>
                <w:szCs w:val="20"/>
              </w:rPr>
              <w:t>2.7 months</w:t>
            </w:r>
            <w:r w:rsidR="00EC7D92" w:rsidRPr="006E184D">
              <w:rPr>
                <w:sz w:val="20"/>
                <w:szCs w:val="20"/>
              </w:rPr>
              <w:t xml:space="preserve"> </w:t>
            </w:r>
            <w:r w:rsidRPr="006E184D">
              <w:rPr>
                <w:sz w:val="20"/>
                <w:szCs w:val="20"/>
                <w:vertAlign w:val="superscript"/>
              </w:rPr>
              <w:t>b</w:t>
            </w:r>
          </w:p>
        </w:tc>
      </w:tr>
      <w:tr w:rsidR="00D05348" w:rsidRPr="006E184D" w:rsidTr="00D05348">
        <w:tc>
          <w:tcPr>
            <w:tcW w:w="2180" w:type="dxa"/>
          </w:tcPr>
          <w:p w:rsidR="00D05348" w:rsidRPr="006E184D" w:rsidRDefault="00D05348" w:rsidP="006E184D">
            <w:pPr>
              <w:rPr>
                <w:sz w:val="20"/>
                <w:szCs w:val="20"/>
              </w:rPr>
            </w:pPr>
            <w:r w:rsidRPr="006E184D">
              <w:rPr>
                <w:sz w:val="20"/>
                <w:szCs w:val="20"/>
              </w:rPr>
              <w:t>6 month PFS (95% CI)</w:t>
            </w:r>
          </w:p>
        </w:tc>
        <w:tc>
          <w:tcPr>
            <w:tcW w:w="2180" w:type="dxa"/>
          </w:tcPr>
          <w:p w:rsidR="00D05348" w:rsidRPr="006E184D" w:rsidRDefault="00EC7D92" w:rsidP="006E184D">
            <w:pPr>
              <w:rPr>
                <w:sz w:val="20"/>
                <w:szCs w:val="20"/>
              </w:rPr>
            </w:pPr>
            <w:r w:rsidRPr="006E184D">
              <w:rPr>
                <w:sz w:val="20"/>
                <w:szCs w:val="20"/>
              </w:rPr>
              <w:t xml:space="preserve">34.3% (27.4 to </w:t>
            </w:r>
            <w:r w:rsidR="00D05348" w:rsidRPr="006E184D">
              <w:rPr>
                <w:sz w:val="20"/>
                <w:szCs w:val="20"/>
              </w:rPr>
              <w:t>41.3)</w:t>
            </w:r>
          </w:p>
        </w:tc>
        <w:tc>
          <w:tcPr>
            <w:tcW w:w="2180" w:type="dxa"/>
          </w:tcPr>
          <w:p w:rsidR="00D05348" w:rsidRPr="006E184D" w:rsidRDefault="00EC7D92" w:rsidP="006E184D">
            <w:pPr>
              <w:rPr>
                <w:sz w:val="20"/>
                <w:szCs w:val="20"/>
              </w:rPr>
            </w:pPr>
            <w:r w:rsidRPr="006E184D">
              <w:rPr>
                <w:sz w:val="20"/>
                <w:szCs w:val="20"/>
              </w:rPr>
              <w:t xml:space="preserve">37.7% (30.6 to </w:t>
            </w:r>
            <w:r w:rsidR="00D05348" w:rsidRPr="006E184D">
              <w:rPr>
                <w:sz w:val="20"/>
                <w:szCs w:val="20"/>
              </w:rPr>
              <w:t>44.8)</w:t>
            </w:r>
          </w:p>
        </w:tc>
        <w:tc>
          <w:tcPr>
            <w:tcW w:w="2180" w:type="dxa"/>
          </w:tcPr>
          <w:p w:rsidR="00D05348" w:rsidRPr="006E184D" w:rsidRDefault="00EC7D92" w:rsidP="006E184D">
            <w:pPr>
              <w:rPr>
                <w:sz w:val="20"/>
                <w:szCs w:val="20"/>
              </w:rPr>
            </w:pPr>
            <w:r w:rsidRPr="006E184D">
              <w:rPr>
                <w:sz w:val="20"/>
                <w:szCs w:val="20"/>
              </w:rPr>
              <w:t xml:space="preserve">15.6% (10.5 to </w:t>
            </w:r>
            <w:r w:rsidR="00D05348" w:rsidRPr="006E184D">
              <w:rPr>
                <w:sz w:val="20"/>
                <w:szCs w:val="20"/>
              </w:rPr>
              <w:t>21.5)</w:t>
            </w:r>
          </w:p>
        </w:tc>
      </w:tr>
      <w:tr w:rsidR="00D05348" w:rsidRPr="006E184D" w:rsidTr="00D05348">
        <w:tc>
          <w:tcPr>
            <w:tcW w:w="8720" w:type="dxa"/>
            <w:gridSpan w:val="4"/>
          </w:tcPr>
          <w:p w:rsidR="00D05348" w:rsidRPr="006E184D" w:rsidRDefault="00D05348" w:rsidP="006E184D">
            <w:pPr>
              <w:rPr>
                <w:sz w:val="20"/>
                <w:szCs w:val="20"/>
              </w:rPr>
            </w:pPr>
            <w:r w:rsidRPr="006E184D">
              <w:rPr>
                <w:sz w:val="20"/>
                <w:szCs w:val="20"/>
              </w:rPr>
              <w:t>Progression-free survival (investigator)</w:t>
            </w:r>
          </w:p>
        </w:tc>
      </w:tr>
      <w:tr w:rsidR="00D05348" w:rsidRPr="006E184D" w:rsidTr="00D05348">
        <w:tc>
          <w:tcPr>
            <w:tcW w:w="2180" w:type="dxa"/>
          </w:tcPr>
          <w:p w:rsidR="00D05348" w:rsidRPr="006E184D" w:rsidRDefault="00D05348" w:rsidP="006E184D">
            <w:pPr>
              <w:rPr>
                <w:sz w:val="20"/>
                <w:szCs w:val="20"/>
              </w:rPr>
            </w:pPr>
            <w:r w:rsidRPr="006E184D">
              <w:rPr>
                <w:sz w:val="20"/>
                <w:szCs w:val="20"/>
              </w:rPr>
              <w:t xml:space="preserve">Hazard ratio </w:t>
            </w:r>
            <w:r w:rsidR="00987E81" w:rsidRPr="006E184D">
              <w:rPr>
                <w:sz w:val="20"/>
                <w:szCs w:val="20"/>
              </w:rPr>
              <w:t>versus</w:t>
            </w:r>
            <w:r w:rsidRPr="006E184D">
              <w:rPr>
                <w:sz w:val="20"/>
                <w:szCs w:val="20"/>
              </w:rPr>
              <w:t xml:space="preserve"> chemo</w:t>
            </w:r>
          </w:p>
        </w:tc>
        <w:tc>
          <w:tcPr>
            <w:tcW w:w="2180" w:type="dxa"/>
          </w:tcPr>
          <w:p w:rsidR="00D05348" w:rsidRPr="006E184D" w:rsidRDefault="00EC7D92" w:rsidP="006E184D">
            <w:pPr>
              <w:rPr>
                <w:sz w:val="20"/>
                <w:szCs w:val="20"/>
              </w:rPr>
            </w:pPr>
            <w:r w:rsidRPr="006E184D">
              <w:rPr>
                <w:sz w:val="20"/>
                <w:szCs w:val="20"/>
              </w:rPr>
              <w:t xml:space="preserve">0.49 (0.38 to </w:t>
            </w:r>
            <w:r w:rsidR="00D05348" w:rsidRPr="006E184D">
              <w:rPr>
                <w:sz w:val="20"/>
                <w:szCs w:val="20"/>
              </w:rPr>
              <w:t>0.62)</w:t>
            </w:r>
          </w:p>
        </w:tc>
        <w:tc>
          <w:tcPr>
            <w:tcW w:w="2180" w:type="dxa"/>
          </w:tcPr>
          <w:p w:rsidR="00D05348" w:rsidRPr="006E184D" w:rsidRDefault="00EC7D92" w:rsidP="006E184D">
            <w:pPr>
              <w:rPr>
                <w:sz w:val="20"/>
                <w:szCs w:val="20"/>
              </w:rPr>
            </w:pPr>
            <w:r w:rsidRPr="006E184D">
              <w:rPr>
                <w:sz w:val="20"/>
                <w:szCs w:val="20"/>
              </w:rPr>
              <w:t xml:space="preserve">0.41 (0.32 to </w:t>
            </w:r>
            <w:r w:rsidR="00D05348" w:rsidRPr="006E184D">
              <w:rPr>
                <w:sz w:val="20"/>
                <w:szCs w:val="20"/>
              </w:rPr>
              <w:t>0.52)</w:t>
            </w:r>
          </w:p>
        </w:tc>
        <w:tc>
          <w:tcPr>
            <w:tcW w:w="2180" w:type="dxa"/>
          </w:tcPr>
          <w:p w:rsidR="00D05348" w:rsidRPr="006E184D" w:rsidRDefault="00D05348" w:rsidP="006E184D">
            <w:pPr>
              <w:rPr>
                <w:sz w:val="20"/>
                <w:szCs w:val="20"/>
              </w:rPr>
            </w:pPr>
          </w:p>
        </w:tc>
      </w:tr>
      <w:tr w:rsidR="00D05348" w:rsidRPr="006E184D" w:rsidTr="00D05348">
        <w:tc>
          <w:tcPr>
            <w:tcW w:w="2180" w:type="dxa"/>
          </w:tcPr>
          <w:p w:rsidR="00D05348" w:rsidRPr="006E184D" w:rsidRDefault="00D05348" w:rsidP="006E184D">
            <w:pPr>
              <w:rPr>
                <w:sz w:val="20"/>
                <w:szCs w:val="20"/>
              </w:rPr>
            </w:pPr>
            <w:r w:rsidRPr="006E184D">
              <w:rPr>
                <w:sz w:val="20"/>
                <w:szCs w:val="20"/>
              </w:rPr>
              <w:t>Median</w:t>
            </w:r>
          </w:p>
        </w:tc>
        <w:tc>
          <w:tcPr>
            <w:tcW w:w="2180" w:type="dxa"/>
          </w:tcPr>
          <w:p w:rsidR="00D05348" w:rsidRPr="006E184D" w:rsidRDefault="00D05348" w:rsidP="006E184D">
            <w:pPr>
              <w:rPr>
                <w:sz w:val="20"/>
                <w:szCs w:val="20"/>
              </w:rPr>
            </w:pPr>
            <w:r w:rsidRPr="006E184D">
              <w:rPr>
                <w:sz w:val="20"/>
                <w:szCs w:val="20"/>
              </w:rPr>
              <w:t>3.7 months</w:t>
            </w:r>
          </w:p>
        </w:tc>
        <w:tc>
          <w:tcPr>
            <w:tcW w:w="2180" w:type="dxa"/>
          </w:tcPr>
          <w:p w:rsidR="00D05348" w:rsidRPr="006E184D" w:rsidRDefault="00D05348" w:rsidP="006E184D">
            <w:pPr>
              <w:rPr>
                <w:sz w:val="20"/>
                <w:szCs w:val="20"/>
              </w:rPr>
            </w:pPr>
            <w:r w:rsidRPr="006E184D">
              <w:rPr>
                <w:sz w:val="20"/>
                <w:szCs w:val="20"/>
              </w:rPr>
              <w:t>5.4 months</w:t>
            </w:r>
          </w:p>
        </w:tc>
        <w:tc>
          <w:tcPr>
            <w:tcW w:w="2180" w:type="dxa"/>
          </w:tcPr>
          <w:p w:rsidR="00D05348" w:rsidRPr="006E184D" w:rsidRDefault="00D05348" w:rsidP="006E184D">
            <w:pPr>
              <w:rPr>
                <w:sz w:val="20"/>
                <w:szCs w:val="20"/>
              </w:rPr>
            </w:pPr>
            <w:r w:rsidRPr="006E184D">
              <w:rPr>
                <w:sz w:val="20"/>
                <w:szCs w:val="20"/>
              </w:rPr>
              <w:t>2.6 months</w:t>
            </w:r>
          </w:p>
        </w:tc>
      </w:tr>
      <w:tr w:rsidR="00D05348" w:rsidRPr="006E184D" w:rsidTr="00D05348">
        <w:tc>
          <w:tcPr>
            <w:tcW w:w="2180" w:type="dxa"/>
          </w:tcPr>
          <w:p w:rsidR="00D05348" w:rsidRPr="006E184D" w:rsidRDefault="00D05348" w:rsidP="006E184D">
            <w:pPr>
              <w:rPr>
                <w:sz w:val="20"/>
                <w:szCs w:val="20"/>
              </w:rPr>
            </w:pPr>
            <w:r w:rsidRPr="006E184D">
              <w:rPr>
                <w:sz w:val="20"/>
                <w:szCs w:val="20"/>
              </w:rPr>
              <w:t>6 month PFS (95% CI)</w:t>
            </w:r>
          </w:p>
        </w:tc>
        <w:tc>
          <w:tcPr>
            <w:tcW w:w="2180" w:type="dxa"/>
          </w:tcPr>
          <w:p w:rsidR="00D05348" w:rsidRPr="006E184D" w:rsidRDefault="00EC7D92" w:rsidP="006E184D">
            <w:pPr>
              <w:rPr>
                <w:sz w:val="20"/>
                <w:szCs w:val="20"/>
              </w:rPr>
            </w:pPr>
            <w:r w:rsidRPr="006E184D">
              <w:rPr>
                <w:sz w:val="20"/>
                <w:szCs w:val="20"/>
              </w:rPr>
              <w:t xml:space="preserve">38.9% (31.6 to </w:t>
            </w:r>
            <w:r w:rsidR="00D05348" w:rsidRPr="006E184D">
              <w:rPr>
                <w:sz w:val="20"/>
                <w:szCs w:val="20"/>
              </w:rPr>
              <w:t>46.1)</w:t>
            </w:r>
          </w:p>
        </w:tc>
        <w:tc>
          <w:tcPr>
            <w:tcW w:w="2180" w:type="dxa"/>
          </w:tcPr>
          <w:p w:rsidR="00D05348" w:rsidRPr="006E184D" w:rsidRDefault="00EC7D92" w:rsidP="006E184D">
            <w:pPr>
              <w:rPr>
                <w:sz w:val="20"/>
                <w:szCs w:val="20"/>
              </w:rPr>
            </w:pPr>
            <w:r w:rsidRPr="006E184D">
              <w:rPr>
                <w:sz w:val="20"/>
                <w:szCs w:val="20"/>
              </w:rPr>
              <w:t xml:space="preserve">44.9% (37.3 to </w:t>
            </w:r>
            <w:r w:rsidR="00D05348" w:rsidRPr="006E184D">
              <w:rPr>
                <w:sz w:val="20"/>
                <w:szCs w:val="20"/>
              </w:rPr>
              <w:t>52.1)</w:t>
            </w:r>
          </w:p>
        </w:tc>
        <w:tc>
          <w:tcPr>
            <w:tcW w:w="2180" w:type="dxa"/>
          </w:tcPr>
          <w:p w:rsidR="00D05348" w:rsidRPr="006E184D" w:rsidRDefault="00EC7D92" w:rsidP="006E184D">
            <w:pPr>
              <w:rPr>
                <w:sz w:val="20"/>
                <w:szCs w:val="20"/>
              </w:rPr>
            </w:pPr>
            <w:r w:rsidRPr="006E184D">
              <w:rPr>
                <w:sz w:val="20"/>
                <w:szCs w:val="20"/>
              </w:rPr>
              <w:t xml:space="preserve">15.2% (10.2 to </w:t>
            </w:r>
            <w:r w:rsidR="00D05348" w:rsidRPr="006E184D">
              <w:rPr>
                <w:sz w:val="20"/>
                <w:szCs w:val="20"/>
              </w:rPr>
              <w:t>21.0)</w:t>
            </w:r>
          </w:p>
        </w:tc>
      </w:tr>
      <w:tr w:rsidR="00D05348" w:rsidRPr="006E184D" w:rsidTr="00D05348">
        <w:tc>
          <w:tcPr>
            <w:tcW w:w="8720" w:type="dxa"/>
            <w:gridSpan w:val="4"/>
          </w:tcPr>
          <w:p w:rsidR="00D05348" w:rsidRPr="006E184D" w:rsidRDefault="00D05348" w:rsidP="006E184D">
            <w:pPr>
              <w:rPr>
                <w:sz w:val="20"/>
                <w:szCs w:val="20"/>
              </w:rPr>
            </w:pPr>
            <w:r w:rsidRPr="006E184D">
              <w:rPr>
                <w:sz w:val="20"/>
                <w:szCs w:val="20"/>
              </w:rPr>
              <w:t>Overall survival</w:t>
            </w:r>
          </w:p>
        </w:tc>
      </w:tr>
      <w:tr w:rsidR="00D05348" w:rsidRPr="006E184D" w:rsidTr="00D05348">
        <w:tc>
          <w:tcPr>
            <w:tcW w:w="2180" w:type="dxa"/>
          </w:tcPr>
          <w:p w:rsidR="00D05348" w:rsidRPr="006E184D" w:rsidRDefault="00D05348" w:rsidP="006E184D">
            <w:pPr>
              <w:rPr>
                <w:sz w:val="20"/>
                <w:szCs w:val="20"/>
              </w:rPr>
            </w:pPr>
            <w:r w:rsidRPr="006E184D">
              <w:rPr>
                <w:sz w:val="20"/>
                <w:szCs w:val="20"/>
              </w:rPr>
              <w:t xml:space="preserve">HR </w:t>
            </w:r>
            <w:r w:rsidR="00987E81" w:rsidRPr="006E184D">
              <w:rPr>
                <w:sz w:val="20"/>
                <w:szCs w:val="20"/>
              </w:rPr>
              <w:t>versus</w:t>
            </w:r>
            <w:r w:rsidRPr="006E184D">
              <w:rPr>
                <w:sz w:val="20"/>
                <w:szCs w:val="20"/>
              </w:rPr>
              <w:t xml:space="preserve"> chemo</w:t>
            </w:r>
          </w:p>
        </w:tc>
        <w:tc>
          <w:tcPr>
            <w:tcW w:w="2180" w:type="dxa"/>
          </w:tcPr>
          <w:p w:rsidR="00D05348" w:rsidRPr="006E184D" w:rsidRDefault="00D05348" w:rsidP="006E184D">
            <w:pPr>
              <w:rPr>
                <w:sz w:val="20"/>
                <w:szCs w:val="20"/>
              </w:rPr>
            </w:pPr>
            <w:r w:rsidRPr="006E184D">
              <w:rPr>
                <w:sz w:val="20"/>
                <w:szCs w:val="20"/>
              </w:rPr>
              <w:t>0.88</w:t>
            </w:r>
          </w:p>
        </w:tc>
        <w:tc>
          <w:tcPr>
            <w:tcW w:w="2180" w:type="dxa"/>
          </w:tcPr>
          <w:p w:rsidR="00D05348" w:rsidRPr="006E184D" w:rsidRDefault="00D05348" w:rsidP="006E184D">
            <w:pPr>
              <w:rPr>
                <w:sz w:val="20"/>
                <w:szCs w:val="20"/>
              </w:rPr>
            </w:pPr>
            <w:r w:rsidRPr="006E184D">
              <w:rPr>
                <w:sz w:val="20"/>
                <w:szCs w:val="20"/>
              </w:rPr>
              <w:t>0.78</w:t>
            </w:r>
          </w:p>
        </w:tc>
        <w:tc>
          <w:tcPr>
            <w:tcW w:w="2180" w:type="dxa"/>
          </w:tcPr>
          <w:p w:rsidR="00D05348" w:rsidRPr="006E184D" w:rsidRDefault="00D05348" w:rsidP="006E184D">
            <w:pPr>
              <w:rPr>
                <w:sz w:val="20"/>
                <w:szCs w:val="20"/>
              </w:rPr>
            </w:pPr>
          </w:p>
        </w:tc>
      </w:tr>
      <w:tr w:rsidR="00D05348" w:rsidRPr="006E184D" w:rsidTr="00D05348">
        <w:tc>
          <w:tcPr>
            <w:tcW w:w="2180" w:type="dxa"/>
          </w:tcPr>
          <w:p w:rsidR="00D05348" w:rsidRPr="006E184D" w:rsidRDefault="00D05348" w:rsidP="006E184D">
            <w:pPr>
              <w:rPr>
                <w:sz w:val="20"/>
                <w:szCs w:val="20"/>
              </w:rPr>
            </w:pPr>
            <w:r w:rsidRPr="006E184D">
              <w:rPr>
                <w:sz w:val="20"/>
                <w:szCs w:val="20"/>
              </w:rPr>
              <w:t>Median</w:t>
            </w:r>
            <w:r w:rsidR="00EC7D92" w:rsidRPr="006E184D">
              <w:rPr>
                <w:sz w:val="20"/>
                <w:szCs w:val="20"/>
              </w:rPr>
              <w:t xml:space="preserve"> </w:t>
            </w:r>
            <w:r w:rsidRPr="006E184D">
              <w:rPr>
                <w:sz w:val="20"/>
                <w:szCs w:val="20"/>
                <w:vertAlign w:val="superscript"/>
              </w:rPr>
              <w:t>a</w:t>
            </w:r>
          </w:p>
        </w:tc>
        <w:tc>
          <w:tcPr>
            <w:tcW w:w="2180" w:type="dxa"/>
          </w:tcPr>
          <w:p w:rsidR="00D05348" w:rsidRPr="006E184D" w:rsidRDefault="00D05348" w:rsidP="006E184D">
            <w:pPr>
              <w:rPr>
                <w:sz w:val="20"/>
                <w:szCs w:val="20"/>
              </w:rPr>
            </w:pPr>
            <w:r w:rsidRPr="006E184D">
              <w:rPr>
                <w:sz w:val="20"/>
                <w:szCs w:val="20"/>
              </w:rPr>
              <w:t>11.4 months</w:t>
            </w:r>
          </w:p>
        </w:tc>
        <w:tc>
          <w:tcPr>
            <w:tcW w:w="2180" w:type="dxa"/>
          </w:tcPr>
          <w:p w:rsidR="00D05348" w:rsidRPr="006E184D" w:rsidRDefault="00D05348" w:rsidP="006E184D">
            <w:pPr>
              <w:rPr>
                <w:sz w:val="20"/>
                <w:szCs w:val="20"/>
              </w:rPr>
            </w:pPr>
            <w:r w:rsidRPr="006E184D">
              <w:rPr>
                <w:sz w:val="20"/>
                <w:szCs w:val="20"/>
              </w:rPr>
              <w:t>12.5 months</w:t>
            </w:r>
          </w:p>
        </w:tc>
        <w:tc>
          <w:tcPr>
            <w:tcW w:w="2180" w:type="dxa"/>
          </w:tcPr>
          <w:p w:rsidR="00D05348" w:rsidRPr="006E184D" w:rsidRDefault="00D05348" w:rsidP="006E184D">
            <w:pPr>
              <w:rPr>
                <w:sz w:val="20"/>
                <w:szCs w:val="20"/>
              </w:rPr>
            </w:pPr>
            <w:r w:rsidRPr="006E184D">
              <w:rPr>
                <w:sz w:val="20"/>
                <w:szCs w:val="20"/>
              </w:rPr>
              <w:t>11.6 months</w:t>
            </w:r>
          </w:p>
        </w:tc>
      </w:tr>
      <w:tr w:rsidR="00D05348" w:rsidRPr="006E184D" w:rsidTr="00D05348">
        <w:tc>
          <w:tcPr>
            <w:tcW w:w="2180" w:type="dxa"/>
          </w:tcPr>
          <w:p w:rsidR="00D05348" w:rsidRPr="006E184D" w:rsidRDefault="00D05348" w:rsidP="006E184D">
            <w:pPr>
              <w:rPr>
                <w:sz w:val="20"/>
                <w:szCs w:val="20"/>
              </w:rPr>
            </w:pPr>
            <w:r w:rsidRPr="006E184D">
              <w:rPr>
                <w:sz w:val="20"/>
                <w:szCs w:val="20"/>
              </w:rPr>
              <w:t>6 month OS</w:t>
            </w:r>
          </w:p>
        </w:tc>
        <w:tc>
          <w:tcPr>
            <w:tcW w:w="2180" w:type="dxa"/>
          </w:tcPr>
          <w:p w:rsidR="00D05348" w:rsidRPr="006E184D" w:rsidRDefault="00D05348" w:rsidP="006E184D">
            <w:pPr>
              <w:rPr>
                <w:sz w:val="20"/>
                <w:szCs w:val="20"/>
              </w:rPr>
            </w:pPr>
            <w:r w:rsidRPr="006E184D">
              <w:rPr>
                <w:sz w:val="20"/>
                <w:szCs w:val="20"/>
              </w:rPr>
              <w:t>72%</w:t>
            </w:r>
          </w:p>
        </w:tc>
        <w:tc>
          <w:tcPr>
            <w:tcW w:w="2180" w:type="dxa"/>
          </w:tcPr>
          <w:p w:rsidR="00D05348" w:rsidRPr="006E184D" w:rsidRDefault="00D05348" w:rsidP="006E184D">
            <w:pPr>
              <w:rPr>
                <w:sz w:val="20"/>
                <w:szCs w:val="20"/>
              </w:rPr>
            </w:pPr>
            <w:r w:rsidRPr="006E184D">
              <w:rPr>
                <w:sz w:val="20"/>
                <w:szCs w:val="20"/>
              </w:rPr>
              <w:t>76%</w:t>
            </w:r>
          </w:p>
        </w:tc>
        <w:tc>
          <w:tcPr>
            <w:tcW w:w="2180" w:type="dxa"/>
          </w:tcPr>
          <w:p w:rsidR="00D05348" w:rsidRPr="006E184D" w:rsidRDefault="00D05348" w:rsidP="006E184D">
            <w:pPr>
              <w:rPr>
                <w:sz w:val="20"/>
                <w:szCs w:val="20"/>
              </w:rPr>
            </w:pPr>
            <w:r w:rsidRPr="006E184D">
              <w:rPr>
                <w:sz w:val="20"/>
                <w:szCs w:val="20"/>
              </w:rPr>
              <w:t>66% estimated from KM curve</w:t>
            </w:r>
          </w:p>
        </w:tc>
      </w:tr>
      <w:tr w:rsidR="00D05348" w:rsidRPr="006E184D" w:rsidTr="00D05348">
        <w:tc>
          <w:tcPr>
            <w:tcW w:w="8720" w:type="dxa"/>
            <w:gridSpan w:val="4"/>
          </w:tcPr>
          <w:p w:rsidR="00D05348" w:rsidRPr="006E184D" w:rsidRDefault="00D05348" w:rsidP="006E184D">
            <w:pPr>
              <w:rPr>
                <w:sz w:val="20"/>
                <w:szCs w:val="20"/>
              </w:rPr>
            </w:pPr>
            <w:r w:rsidRPr="006E184D">
              <w:rPr>
                <w:sz w:val="20"/>
                <w:szCs w:val="20"/>
              </w:rPr>
              <w:t>Objective response rate (IRO)</w:t>
            </w:r>
          </w:p>
        </w:tc>
      </w:tr>
      <w:tr w:rsidR="00D05348" w:rsidRPr="006E184D" w:rsidTr="00D05348">
        <w:tc>
          <w:tcPr>
            <w:tcW w:w="2180" w:type="dxa"/>
          </w:tcPr>
          <w:p w:rsidR="00D05348" w:rsidRPr="006E184D" w:rsidRDefault="00D05348" w:rsidP="006E184D">
            <w:pPr>
              <w:rPr>
                <w:sz w:val="20"/>
                <w:szCs w:val="20"/>
              </w:rPr>
            </w:pPr>
            <w:r w:rsidRPr="006E184D">
              <w:rPr>
                <w:sz w:val="20"/>
                <w:szCs w:val="20"/>
              </w:rPr>
              <w:t>ORR</w:t>
            </w:r>
          </w:p>
        </w:tc>
        <w:tc>
          <w:tcPr>
            <w:tcW w:w="2180" w:type="dxa"/>
          </w:tcPr>
          <w:p w:rsidR="00D05348" w:rsidRPr="006E184D" w:rsidRDefault="00D05348" w:rsidP="006E184D">
            <w:pPr>
              <w:rPr>
                <w:sz w:val="20"/>
                <w:szCs w:val="20"/>
              </w:rPr>
            </w:pPr>
            <w:r w:rsidRPr="006E184D">
              <w:rPr>
                <w:sz w:val="20"/>
                <w:szCs w:val="20"/>
              </w:rPr>
              <w:t>21.1%</w:t>
            </w:r>
          </w:p>
        </w:tc>
        <w:tc>
          <w:tcPr>
            <w:tcW w:w="2180" w:type="dxa"/>
          </w:tcPr>
          <w:p w:rsidR="00D05348" w:rsidRPr="006E184D" w:rsidRDefault="00D05348" w:rsidP="006E184D">
            <w:pPr>
              <w:rPr>
                <w:sz w:val="20"/>
                <w:szCs w:val="20"/>
              </w:rPr>
            </w:pPr>
            <w:r w:rsidRPr="006E184D">
              <w:rPr>
                <w:sz w:val="20"/>
                <w:szCs w:val="20"/>
              </w:rPr>
              <w:t>25.4%</w:t>
            </w:r>
          </w:p>
        </w:tc>
        <w:tc>
          <w:tcPr>
            <w:tcW w:w="2180" w:type="dxa"/>
          </w:tcPr>
          <w:p w:rsidR="00D05348" w:rsidRPr="006E184D" w:rsidRDefault="00D05348" w:rsidP="006E184D">
            <w:pPr>
              <w:rPr>
                <w:sz w:val="20"/>
                <w:szCs w:val="20"/>
              </w:rPr>
            </w:pPr>
            <w:r w:rsidRPr="006E184D">
              <w:rPr>
                <w:sz w:val="20"/>
                <w:szCs w:val="20"/>
              </w:rPr>
              <w:t>4.5%</w:t>
            </w:r>
          </w:p>
        </w:tc>
      </w:tr>
      <w:tr w:rsidR="00D05348" w:rsidRPr="006E184D" w:rsidTr="00D05348">
        <w:tc>
          <w:tcPr>
            <w:tcW w:w="2180" w:type="dxa"/>
          </w:tcPr>
          <w:p w:rsidR="00D05348" w:rsidRPr="006E184D" w:rsidRDefault="00D05348" w:rsidP="006E184D">
            <w:pPr>
              <w:rPr>
                <w:sz w:val="20"/>
                <w:szCs w:val="20"/>
              </w:rPr>
            </w:pPr>
            <w:r w:rsidRPr="006E184D">
              <w:rPr>
                <w:sz w:val="20"/>
                <w:szCs w:val="20"/>
              </w:rPr>
              <w:t>Median response duration</w:t>
            </w:r>
          </w:p>
        </w:tc>
        <w:tc>
          <w:tcPr>
            <w:tcW w:w="2180" w:type="dxa"/>
          </w:tcPr>
          <w:p w:rsidR="00D05348" w:rsidRPr="006E184D" w:rsidRDefault="00D05348" w:rsidP="006E184D">
            <w:pPr>
              <w:rPr>
                <w:sz w:val="20"/>
                <w:szCs w:val="20"/>
              </w:rPr>
            </w:pPr>
            <w:r w:rsidRPr="006E184D">
              <w:rPr>
                <w:sz w:val="20"/>
                <w:szCs w:val="20"/>
              </w:rPr>
              <w:t xml:space="preserve">Not reached (6+ to 50+ </w:t>
            </w:r>
            <w:proofErr w:type="spellStart"/>
            <w:r w:rsidRPr="006E184D">
              <w:rPr>
                <w:sz w:val="20"/>
                <w:szCs w:val="20"/>
              </w:rPr>
              <w:t>wks</w:t>
            </w:r>
            <w:proofErr w:type="spellEnd"/>
            <w:r w:rsidRPr="006E184D">
              <w:rPr>
                <w:sz w:val="20"/>
                <w:szCs w:val="20"/>
              </w:rPr>
              <w:t>)</w:t>
            </w:r>
          </w:p>
        </w:tc>
        <w:tc>
          <w:tcPr>
            <w:tcW w:w="2180" w:type="dxa"/>
          </w:tcPr>
          <w:p w:rsidR="00D05348" w:rsidRPr="006E184D" w:rsidRDefault="00D05348" w:rsidP="006E184D">
            <w:pPr>
              <w:rPr>
                <w:sz w:val="20"/>
                <w:szCs w:val="20"/>
              </w:rPr>
            </w:pPr>
            <w:r w:rsidRPr="006E184D">
              <w:rPr>
                <w:sz w:val="20"/>
                <w:szCs w:val="20"/>
              </w:rPr>
              <w:t xml:space="preserve">Not reached (5+ to 48+ </w:t>
            </w:r>
            <w:proofErr w:type="spellStart"/>
            <w:r w:rsidRPr="006E184D">
              <w:rPr>
                <w:sz w:val="20"/>
                <w:szCs w:val="20"/>
              </w:rPr>
              <w:t>wks</w:t>
            </w:r>
            <w:proofErr w:type="spellEnd"/>
            <w:r w:rsidRPr="006E184D">
              <w:rPr>
                <w:sz w:val="20"/>
                <w:szCs w:val="20"/>
              </w:rPr>
              <w:t>)</w:t>
            </w:r>
          </w:p>
        </w:tc>
        <w:tc>
          <w:tcPr>
            <w:tcW w:w="2180" w:type="dxa"/>
          </w:tcPr>
          <w:p w:rsidR="00D05348" w:rsidRPr="006E184D" w:rsidRDefault="00D05348" w:rsidP="006E184D">
            <w:pPr>
              <w:rPr>
                <w:sz w:val="20"/>
                <w:szCs w:val="20"/>
              </w:rPr>
            </w:pPr>
            <w:r w:rsidRPr="006E184D">
              <w:rPr>
                <w:sz w:val="20"/>
                <w:szCs w:val="20"/>
              </w:rPr>
              <w:t>37 weeks (7+ to 41 weeks)</w:t>
            </w:r>
          </w:p>
        </w:tc>
      </w:tr>
    </w:tbl>
    <w:p w:rsidR="00D14E83" w:rsidRPr="004538D9" w:rsidRDefault="004538D9" w:rsidP="004538D9">
      <w:pPr>
        <w:pStyle w:val="TableDescription"/>
      </w:pPr>
      <w:r w:rsidRPr="004538D9">
        <w:lastRenderedPageBreak/>
        <w:t>IRO = independent radiologist plus oncologist review</w:t>
      </w:r>
      <w:r>
        <w:t xml:space="preserve"> </w:t>
      </w:r>
      <w:r w:rsidRPr="004538D9">
        <w:t xml:space="preserve">a </w:t>
      </w:r>
      <w:proofErr w:type="gramStart"/>
      <w:r w:rsidRPr="004538D9">
        <w:t>The</w:t>
      </w:r>
      <w:proofErr w:type="gramEnd"/>
      <w:r w:rsidRPr="004538D9">
        <w:t xml:space="preserve"> sponsor recommends cautious interpretation of median OS due to extensive censoring and small number of patients at risk after 6 months.</w:t>
      </w:r>
      <w:r>
        <w:t xml:space="preserve"> </w:t>
      </w:r>
      <w:proofErr w:type="gramStart"/>
      <w:r w:rsidRPr="004538D9">
        <w:t>b</w:t>
      </w:r>
      <w:proofErr w:type="gramEnd"/>
      <w:r w:rsidRPr="004538D9">
        <w:t xml:space="preserve"> Described as at the upper end of historical PFS outcomes for dacarbazine in RCTs.</w:t>
      </w:r>
    </w:p>
    <w:p w:rsidR="004538D9" w:rsidRPr="004538D9" w:rsidRDefault="00EC7D92" w:rsidP="004538D9">
      <w:r>
        <w:t xml:space="preserve">The progression </w:t>
      </w:r>
      <w:r w:rsidR="004538D9" w:rsidRPr="004538D9">
        <w:t xml:space="preserve">free survival curve (IRO; ITT) is as </w:t>
      </w:r>
      <w:r>
        <w:t>shown in Figure 15.</w:t>
      </w:r>
    </w:p>
    <w:p w:rsidR="00D14E83" w:rsidRPr="004538D9" w:rsidRDefault="00387774" w:rsidP="004538D9">
      <w:pPr>
        <w:pStyle w:val="FigureTitle"/>
      </w:pPr>
      <w:proofErr w:type="gramStart"/>
      <w:r>
        <w:t>Figure 15</w:t>
      </w:r>
      <w:r w:rsidR="004538D9">
        <w:t>.</w:t>
      </w:r>
      <w:proofErr w:type="gramEnd"/>
      <w:r w:rsidR="00987E81">
        <w:t xml:space="preserve"> </w:t>
      </w:r>
      <w:r w:rsidR="004538D9">
        <w:t>Kaplan Meier of Progression free survival based on IRO assessment (Primary censoring rule) (ITT population)</w:t>
      </w:r>
      <w:r>
        <w:t xml:space="preserve"> Study P002.</w:t>
      </w:r>
    </w:p>
    <w:p w:rsidR="00D14E83" w:rsidRPr="004538D9" w:rsidRDefault="004538D9" w:rsidP="004538D9">
      <w:r>
        <w:rPr>
          <w:noProof/>
          <w:lang w:eastAsia="en-AU"/>
        </w:rPr>
        <w:drawing>
          <wp:inline distT="0" distB="0" distL="0" distR="0" wp14:anchorId="4F559C4F" wp14:editId="225A756B">
            <wp:extent cx="4541450" cy="3240633"/>
            <wp:effectExtent l="0" t="0" r="0" b="0"/>
            <wp:docPr id="6" name="Picture 6" descr="Figure 15. Kaplan Meier of Progression free survival based on IRO assessment (Primary censoring rule) (ITT population) Study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42647" cy="3241487"/>
                    </a:xfrm>
                    <a:prstGeom prst="rect">
                      <a:avLst/>
                    </a:prstGeom>
                  </pic:spPr>
                </pic:pic>
              </a:graphicData>
            </a:graphic>
          </wp:inline>
        </w:drawing>
      </w:r>
    </w:p>
    <w:p w:rsidR="004538D9" w:rsidRPr="004538D9" w:rsidRDefault="004538D9" w:rsidP="004538D9">
      <w:r w:rsidRPr="004538D9">
        <w:t>The sponsor interpret</w:t>
      </w:r>
      <w:r w:rsidR="00EC7D92">
        <w:t xml:space="preserve">s this to suggest that most IPI </w:t>
      </w:r>
      <w:r w:rsidRPr="004538D9">
        <w:t xml:space="preserve">refractory patients progress by the time of the first disease assessment (performed at </w:t>
      </w:r>
      <w:r w:rsidR="00B21A3A">
        <w:t>Week</w:t>
      </w:r>
      <w:r w:rsidRPr="004538D9">
        <w:t xml:space="preserve"> 12).</w:t>
      </w:r>
      <w:r w:rsidR="00987E81">
        <w:t xml:space="preserve"> </w:t>
      </w:r>
      <w:r w:rsidRPr="004538D9">
        <w:t xml:space="preserve">The benefit of pembrolizumab over chemotherapy appears to reveal itself thereafter, </w:t>
      </w:r>
      <w:r w:rsidR="001D4BB8">
        <w:t>that is</w:t>
      </w:r>
      <w:r w:rsidR="00EC7D92">
        <w:t>,</w:t>
      </w:r>
      <w:r w:rsidRPr="004538D9">
        <w:t xml:space="preserve"> in those who do not progress early on treatment.</w:t>
      </w:r>
      <w:r w:rsidR="00987E81">
        <w:t xml:space="preserve"> </w:t>
      </w:r>
      <w:r w:rsidRPr="004538D9">
        <w:t xml:space="preserve">The sponsor argued that </w:t>
      </w:r>
      <w:r w:rsidR="00987E81">
        <w:t>‘</w:t>
      </w:r>
      <w:r w:rsidRPr="004538D9">
        <w:t>median PFS is not the measure that best represents the benefit of pembrolizumab</w:t>
      </w:r>
      <w:r w:rsidR="00987E81">
        <w:t>’</w:t>
      </w:r>
      <w:r w:rsidRPr="004538D9">
        <w:t>.</w:t>
      </w:r>
    </w:p>
    <w:p w:rsidR="004538D9" w:rsidRPr="004538D9" w:rsidRDefault="004538D9" w:rsidP="004538D9">
      <w:r w:rsidRPr="004538D9">
        <w:t>Re</w:t>
      </w:r>
      <w:r w:rsidR="00EC7D92">
        <w:t xml:space="preserve">garding duration of response, 5 out of </w:t>
      </w:r>
      <w:r w:rsidRPr="004538D9">
        <w:t>8 ch</w:t>
      </w:r>
      <w:r w:rsidR="00EC7D92">
        <w:t xml:space="preserve">emo responders were progression </w:t>
      </w:r>
      <w:r w:rsidRPr="004538D9">
        <w:t xml:space="preserve">free </w:t>
      </w:r>
      <w:r w:rsidR="00EC7D92">
        <w:t xml:space="preserve">at the data </w:t>
      </w:r>
      <w:r w:rsidR="00C22866">
        <w:t>cut off</w:t>
      </w:r>
      <w:r w:rsidR="00EC7D92">
        <w:t xml:space="preserve">, whereas 35 out of </w:t>
      </w:r>
      <w:r w:rsidRPr="004538D9">
        <w:t>38 (2</w:t>
      </w:r>
      <w:r w:rsidR="00EC7D92">
        <w:t xml:space="preserve"> mg/kg) and 40 out of </w:t>
      </w:r>
      <w:r w:rsidRPr="004538D9">
        <w:t>46 (10 mg/kg) pembrolizuma</w:t>
      </w:r>
      <w:r w:rsidR="00EC7D92">
        <w:t xml:space="preserve">b arm patients were progression </w:t>
      </w:r>
      <w:r w:rsidRPr="004538D9">
        <w:t>free.</w:t>
      </w:r>
    </w:p>
    <w:p w:rsidR="004538D9" w:rsidRPr="004538D9" w:rsidRDefault="004538D9" w:rsidP="004538D9">
      <w:r w:rsidRPr="004538D9">
        <w:t xml:space="preserve">The sponsor states </w:t>
      </w:r>
      <w:r w:rsidR="00987E81">
        <w:t>‘</w:t>
      </w:r>
      <w:r w:rsidR="001E1CF4">
        <w:t xml:space="preserve">1 in 4 IPI </w:t>
      </w:r>
      <w:r w:rsidRPr="004538D9">
        <w:t>refractory patients treated with pembrolizumab can expect to respond to pembr</w:t>
      </w:r>
      <w:r w:rsidR="00EC7D92">
        <w:t xml:space="preserve">olizumab and remain progression </w:t>
      </w:r>
      <w:r w:rsidRPr="004538D9">
        <w:t>free for a prolonged period of time</w:t>
      </w:r>
      <w:r w:rsidR="00987E81">
        <w:t>’</w:t>
      </w:r>
      <w:r w:rsidRPr="004538D9">
        <w:t xml:space="preserve"> and this seems a reasonable interpretation of the above data.</w:t>
      </w:r>
    </w:p>
    <w:p w:rsidR="004538D9" w:rsidRPr="004538D9" w:rsidRDefault="004538D9" w:rsidP="004538D9">
      <w:r w:rsidRPr="004538D9">
        <w:t>While the sponsor argued that there were no major di</w:t>
      </w:r>
      <w:r w:rsidR="00EC7D92">
        <w:t>fferences in efficacy between 2 </w:t>
      </w:r>
      <w:r w:rsidRPr="004538D9">
        <w:t>mg/kg and 10 mg/kg dose regimens, there was a suggestion of modestly better efficacy at the higher dose, using some endpoints.</w:t>
      </w:r>
    </w:p>
    <w:p w:rsidR="004538D9" w:rsidRPr="004538D9" w:rsidRDefault="004538D9" w:rsidP="004538D9">
      <w:r w:rsidRPr="004538D9">
        <w:t>Subgroup analysis by PD-L1 status was reported.</w:t>
      </w:r>
      <w:r w:rsidR="00987E81">
        <w:t xml:space="preserve"> </w:t>
      </w:r>
      <w:r w:rsidRPr="004538D9">
        <w:t xml:space="preserve">Positivity was </w:t>
      </w:r>
      <w:r w:rsidRPr="001E1CF4">
        <w:t xml:space="preserve">as </w:t>
      </w:r>
      <w:r w:rsidR="001E1CF4" w:rsidRPr="001E1CF4">
        <w:t xml:space="preserve">per </w:t>
      </w:r>
      <w:proofErr w:type="gramStart"/>
      <w:r w:rsidR="001E1CF4" w:rsidRPr="001E1CF4">
        <w:t>P</w:t>
      </w:r>
      <w:r w:rsidRPr="001E1CF4">
        <w:t xml:space="preserve">001, </w:t>
      </w:r>
      <w:r w:rsidR="001D4BB8" w:rsidRPr="001E1CF4">
        <w:t>that</w:t>
      </w:r>
      <w:proofErr w:type="gramEnd"/>
      <w:r w:rsidR="001D4BB8">
        <w:t xml:space="preserve"> is</w:t>
      </w:r>
      <w:r w:rsidR="001E1CF4">
        <w:t xml:space="preserve"> APS </w:t>
      </w:r>
      <w:r w:rsidRPr="004538D9">
        <w:t>2</w:t>
      </w:r>
      <w:r w:rsidR="001E1CF4">
        <w:t xml:space="preserve"> </w:t>
      </w:r>
      <w:r w:rsidRPr="004538D9">
        <w:t>+ using IHC performed at a central core laboratory.</w:t>
      </w:r>
    </w:p>
    <w:p w:rsidR="004538D9" w:rsidRDefault="004538D9" w:rsidP="00EC7D92">
      <w:pPr>
        <w:pStyle w:val="Heading6"/>
      </w:pPr>
      <w:r w:rsidRPr="004538D9">
        <w:t>PD-L1 positive subjects</w:t>
      </w:r>
    </w:p>
    <w:p w:rsidR="00C14200" w:rsidRPr="004538D9" w:rsidRDefault="00C14200" w:rsidP="006E184D">
      <w:pPr>
        <w:pStyle w:val="Tabletitle0"/>
        <w:pageBreakBefore/>
      </w:pPr>
      <w:proofErr w:type="gramStart"/>
      <w:r>
        <w:lastRenderedPageBreak/>
        <w:t>Table 27.</w:t>
      </w:r>
      <w:proofErr w:type="gramEnd"/>
      <w:r>
        <w:t xml:space="preserve"> PD-L1 positive subjects</w:t>
      </w:r>
    </w:p>
    <w:tbl>
      <w:tblPr>
        <w:tblStyle w:val="TableTGAblue"/>
        <w:tblW w:w="0" w:type="auto"/>
        <w:tblLook w:val="04A0" w:firstRow="1" w:lastRow="0" w:firstColumn="1" w:lastColumn="0" w:noHBand="0" w:noVBand="1"/>
      </w:tblPr>
      <w:tblGrid>
        <w:gridCol w:w="2134"/>
        <w:gridCol w:w="2134"/>
        <w:gridCol w:w="2134"/>
        <w:gridCol w:w="2134"/>
      </w:tblGrid>
      <w:tr w:rsidR="004538D9" w:rsidRPr="00EC7D92" w:rsidTr="00C22866">
        <w:trPr>
          <w:cnfStyle w:val="100000000000" w:firstRow="1" w:lastRow="0" w:firstColumn="0" w:lastColumn="0" w:oddVBand="0" w:evenVBand="0" w:oddHBand="0" w:evenHBand="0" w:firstRowFirstColumn="0" w:firstRowLastColumn="0" w:lastRowFirstColumn="0" w:lastRowLastColumn="0"/>
          <w:trHeight w:val="142"/>
        </w:trPr>
        <w:tc>
          <w:tcPr>
            <w:tcW w:w="2134" w:type="dxa"/>
          </w:tcPr>
          <w:p w:rsidR="004538D9" w:rsidRPr="00EC7D92" w:rsidRDefault="004538D9" w:rsidP="006E184D">
            <w:r w:rsidRPr="00EC7D92">
              <w:t>Endpoint</w:t>
            </w:r>
          </w:p>
        </w:tc>
        <w:tc>
          <w:tcPr>
            <w:tcW w:w="2134" w:type="dxa"/>
          </w:tcPr>
          <w:p w:rsidR="004538D9" w:rsidRPr="00EC7D92" w:rsidRDefault="004538D9" w:rsidP="006E184D">
            <w:r w:rsidRPr="00EC7D92">
              <w:t>2 mg/kg (n=98)</w:t>
            </w:r>
          </w:p>
        </w:tc>
        <w:tc>
          <w:tcPr>
            <w:tcW w:w="2134" w:type="dxa"/>
          </w:tcPr>
          <w:p w:rsidR="004538D9" w:rsidRPr="00EC7D92" w:rsidRDefault="004538D9" w:rsidP="006E184D">
            <w:r w:rsidRPr="00EC7D92">
              <w:t>10 mg/kg (n=95)</w:t>
            </w:r>
          </w:p>
        </w:tc>
        <w:tc>
          <w:tcPr>
            <w:tcW w:w="2134" w:type="dxa"/>
          </w:tcPr>
          <w:p w:rsidR="004538D9" w:rsidRPr="00EC7D92" w:rsidRDefault="004538D9" w:rsidP="006E184D">
            <w:r w:rsidRPr="00EC7D92">
              <w:t>Chemo (n=98)</w:t>
            </w:r>
          </w:p>
        </w:tc>
      </w:tr>
      <w:tr w:rsidR="004538D9" w:rsidRPr="00EC7D92" w:rsidTr="00C22866">
        <w:trPr>
          <w:trHeight w:val="142"/>
        </w:trPr>
        <w:tc>
          <w:tcPr>
            <w:tcW w:w="8536" w:type="dxa"/>
            <w:gridSpan w:val="4"/>
          </w:tcPr>
          <w:p w:rsidR="004538D9" w:rsidRPr="00EC7D92" w:rsidRDefault="004538D9" w:rsidP="006E184D">
            <w:r w:rsidRPr="00EC7D92">
              <w:t>Progression–free survival (IRO)</w:t>
            </w:r>
          </w:p>
        </w:tc>
      </w:tr>
      <w:tr w:rsidR="004538D9" w:rsidRPr="00EC7D92" w:rsidTr="00C22866">
        <w:trPr>
          <w:trHeight w:val="142"/>
        </w:trPr>
        <w:tc>
          <w:tcPr>
            <w:tcW w:w="2134" w:type="dxa"/>
          </w:tcPr>
          <w:p w:rsidR="004538D9" w:rsidRPr="00EC7D92" w:rsidRDefault="004538D9" w:rsidP="006E184D">
            <w:r w:rsidRPr="00EC7D92">
              <w:t xml:space="preserve">Hazard ratio </w:t>
            </w:r>
            <w:r w:rsidR="00987E81" w:rsidRPr="00EC7D92">
              <w:t>versus</w:t>
            </w:r>
            <w:r w:rsidRPr="00EC7D92">
              <w:t xml:space="preserve"> chemo</w:t>
            </w:r>
          </w:p>
        </w:tc>
        <w:tc>
          <w:tcPr>
            <w:tcW w:w="2134" w:type="dxa"/>
          </w:tcPr>
          <w:p w:rsidR="004538D9" w:rsidRPr="00EC7D92" w:rsidRDefault="004538D9" w:rsidP="006E184D">
            <w:r w:rsidRPr="00EC7D92">
              <w:t>0.54</w:t>
            </w:r>
          </w:p>
        </w:tc>
        <w:tc>
          <w:tcPr>
            <w:tcW w:w="2134" w:type="dxa"/>
          </w:tcPr>
          <w:p w:rsidR="004538D9" w:rsidRPr="00EC7D92" w:rsidRDefault="004538D9" w:rsidP="006E184D">
            <w:r w:rsidRPr="00EC7D92">
              <w:t>0.49</w:t>
            </w:r>
          </w:p>
        </w:tc>
        <w:tc>
          <w:tcPr>
            <w:tcW w:w="2134" w:type="dxa"/>
          </w:tcPr>
          <w:p w:rsidR="004538D9" w:rsidRPr="00EC7D92" w:rsidRDefault="004538D9" w:rsidP="006E184D"/>
        </w:tc>
      </w:tr>
      <w:tr w:rsidR="004538D9" w:rsidRPr="00EC7D92" w:rsidTr="00C22866">
        <w:trPr>
          <w:trHeight w:val="142"/>
        </w:trPr>
        <w:tc>
          <w:tcPr>
            <w:tcW w:w="2134" w:type="dxa"/>
          </w:tcPr>
          <w:p w:rsidR="004538D9" w:rsidRPr="00EC7D92" w:rsidRDefault="004538D9" w:rsidP="006E184D">
            <w:r w:rsidRPr="00EC7D92">
              <w:t>Median</w:t>
            </w:r>
          </w:p>
        </w:tc>
        <w:tc>
          <w:tcPr>
            <w:tcW w:w="2134" w:type="dxa"/>
          </w:tcPr>
          <w:p w:rsidR="004538D9" w:rsidRPr="00EC7D92" w:rsidRDefault="004538D9" w:rsidP="006E184D">
            <w:r w:rsidRPr="00EC7D92">
              <w:t>3.5 months</w:t>
            </w:r>
          </w:p>
        </w:tc>
        <w:tc>
          <w:tcPr>
            <w:tcW w:w="2134" w:type="dxa"/>
          </w:tcPr>
          <w:p w:rsidR="004538D9" w:rsidRPr="00EC7D92" w:rsidRDefault="004538D9" w:rsidP="006E184D">
            <w:r w:rsidRPr="00EC7D92">
              <w:t>4.0 months</w:t>
            </w:r>
          </w:p>
        </w:tc>
        <w:tc>
          <w:tcPr>
            <w:tcW w:w="2134" w:type="dxa"/>
          </w:tcPr>
          <w:p w:rsidR="004538D9" w:rsidRPr="00EC7D92" w:rsidRDefault="004538D9" w:rsidP="006E184D">
            <w:r w:rsidRPr="00EC7D92">
              <w:t>2.8 months</w:t>
            </w:r>
          </w:p>
        </w:tc>
      </w:tr>
      <w:tr w:rsidR="004538D9" w:rsidRPr="00EC7D92" w:rsidTr="00C22866">
        <w:trPr>
          <w:trHeight w:val="467"/>
        </w:trPr>
        <w:tc>
          <w:tcPr>
            <w:tcW w:w="2134" w:type="dxa"/>
          </w:tcPr>
          <w:p w:rsidR="004538D9" w:rsidRPr="00EC7D92" w:rsidRDefault="004538D9" w:rsidP="006E184D">
            <w:r w:rsidRPr="00EC7D92">
              <w:t>6 month PFS (95% CI)</w:t>
            </w:r>
          </w:p>
        </w:tc>
        <w:tc>
          <w:tcPr>
            <w:tcW w:w="2134" w:type="dxa"/>
          </w:tcPr>
          <w:p w:rsidR="004538D9" w:rsidRPr="00EC7D92" w:rsidRDefault="004538D9" w:rsidP="006E184D">
            <w:r w:rsidRPr="00EC7D92">
              <w:t>38.1%</w:t>
            </w:r>
          </w:p>
        </w:tc>
        <w:tc>
          <w:tcPr>
            <w:tcW w:w="2134" w:type="dxa"/>
          </w:tcPr>
          <w:p w:rsidR="004538D9" w:rsidRPr="00EC7D92" w:rsidRDefault="004538D9" w:rsidP="006E184D">
            <w:r w:rsidRPr="00EC7D92">
              <w:t>41.5%</w:t>
            </w:r>
          </w:p>
        </w:tc>
        <w:tc>
          <w:tcPr>
            <w:tcW w:w="2134" w:type="dxa"/>
          </w:tcPr>
          <w:p w:rsidR="004538D9" w:rsidRPr="00EC7D92" w:rsidRDefault="004538D9" w:rsidP="006E184D">
            <w:r w:rsidRPr="00EC7D92">
              <w:t>12.8%</w:t>
            </w:r>
          </w:p>
        </w:tc>
      </w:tr>
      <w:tr w:rsidR="004538D9" w:rsidRPr="00EC7D92" w:rsidTr="00C22866">
        <w:trPr>
          <w:trHeight w:val="479"/>
        </w:trPr>
        <w:tc>
          <w:tcPr>
            <w:tcW w:w="8536" w:type="dxa"/>
            <w:gridSpan w:val="4"/>
          </w:tcPr>
          <w:p w:rsidR="004538D9" w:rsidRPr="00EC7D92" w:rsidRDefault="004538D9" w:rsidP="006E184D">
            <w:r w:rsidRPr="00EC7D92">
              <w:t>Overall survival</w:t>
            </w:r>
          </w:p>
        </w:tc>
      </w:tr>
      <w:tr w:rsidR="004538D9" w:rsidRPr="00EC7D92" w:rsidTr="00C22866">
        <w:trPr>
          <w:trHeight w:val="467"/>
        </w:trPr>
        <w:tc>
          <w:tcPr>
            <w:tcW w:w="2134" w:type="dxa"/>
          </w:tcPr>
          <w:p w:rsidR="004538D9" w:rsidRPr="00EC7D92" w:rsidRDefault="004538D9" w:rsidP="006E184D">
            <w:r w:rsidRPr="00EC7D92">
              <w:t xml:space="preserve">HR </w:t>
            </w:r>
            <w:r w:rsidR="00987E81" w:rsidRPr="00EC7D92">
              <w:t>versus</w:t>
            </w:r>
            <w:r w:rsidRPr="00EC7D92">
              <w:t xml:space="preserve"> chemo</w:t>
            </w:r>
          </w:p>
        </w:tc>
        <w:tc>
          <w:tcPr>
            <w:tcW w:w="2134" w:type="dxa"/>
          </w:tcPr>
          <w:p w:rsidR="004538D9" w:rsidRPr="00EC7D92" w:rsidRDefault="004538D9" w:rsidP="006E184D">
            <w:r w:rsidRPr="00EC7D92">
              <w:t>0.93</w:t>
            </w:r>
          </w:p>
        </w:tc>
        <w:tc>
          <w:tcPr>
            <w:tcW w:w="2134" w:type="dxa"/>
          </w:tcPr>
          <w:p w:rsidR="004538D9" w:rsidRPr="00EC7D92" w:rsidRDefault="004538D9" w:rsidP="006E184D">
            <w:r w:rsidRPr="00EC7D92">
              <w:t>0.73</w:t>
            </w:r>
          </w:p>
        </w:tc>
        <w:tc>
          <w:tcPr>
            <w:tcW w:w="2134" w:type="dxa"/>
          </w:tcPr>
          <w:p w:rsidR="004538D9" w:rsidRPr="00EC7D92" w:rsidRDefault="004538D9" w:rsidP="006E184D"/>
        </w:tc>
      </w:tr>
      <w:tr w:rsidR="004538D9" w:rsidRPr="00EC7D92" w:rsidTr="00C22866">
        <w:trPr>
          <w:trHeight w:val="467"/>
        </w:trPr>
        <w:tc>
          <w:tcPr>
            <w:tcW w:w="2134" w:type="dxa"/>
          </w:tcPr>
          <w:p w:rsidR="004538D9" w:rsidRPr="00EC7D92" w:rsidRDefault="004538D9" w:rsidP="006E184D">
            <w:r w:rsidRPr="00EC7D92">
              <w:t>Median</w:t>
            </w:r>
            <w:r w:rsidR="00EC7D92">
              <w:t xml:space="preserve"> </w:t>
            </w:r>
            <w:r w:rsidRPr="00EC7D92">
              <w:rPr>
                <w:vertAlign w:val="superscript"/>
              </w:rPr>
              <w:t>a</w:t>
            </w:r>
          </w:p>
        </w:tc>
        <w:tc>
          <w:tcPr>
            <w:tcW w:w="2134" w:type="dxa"/>
          </w:tcPr>
          <w:p w:rsidR="004538D9" w:rsidRPr="00EC7D92" w:rsidRDefault="004538D9" w:rsidP="006E184D">
            <w:r w:rsidRPr="00EC7D92">
              <w:t>Not reached</w:t>
            </w:r>
          </w:p>
        </w:tc>
        <w:tc>
          <w:tcPr>
            <w:tcW w:w="2134" w:type="dxa"/>
          </w:tcPr>
          <w:p w:rsidR="004538D9" w:rsidRPr="00EC7D92" w:rsidRDefault="004538D9" w:rsidP="006E184D">
            <w:r w:rsidRPr="00EC7D92">
              <w:t>14.8 months</w:t>
            </w:r>
          </w:p>
        </w:tc>
        <w:tc>
          <w:tcPr>
            <w:tcW w:w="2134" w:type="dxa"/>
          </w:tcPr>
          <w:p w:rsidR="004538D9" w:rsidRPr="00EC7D92" w:rsidRDefault="004538D9" w:rsidP="006E184D">
            <w:r w:rsidRPr="00EC7D92">
              <w:t>16.3 months</w:t>
            </w:r>
          </w:p>
        </w:tc>
      </w:tr>
      <w:tr w:rsidR="004538D9" w:rsidRPr="00EC7D92" w:rsidTr="00C22866">
        <w:trPr>
          <w:trHeight w:val="479"/>
        </w:trPr>
        <w:tc>
          <w:tcPr>
            <w:tcW w:w="2134" w:type="dxa"/>
          </w:tcPr>
          <w:p w:rsidR="004538D9" w:rsidRPr="00EC7D92" w:rsidRDefault="004538D9" w:rsidP="006E184D">
            <w:r w:rsidRPr="00EC7D92">
              <w:t>12 month OS</w:t>
            </w:r>
            <w:r w:rsidR="00EC7D92">
              <w:t xml:space="preserve"> </w:t>
            </w:r>
            <w:r w:rsidRPr="00EC7D92">
              <w:rPr>
                <w:vertAlign w:val="superscript"/>
              </w:rPr>
              <w:t>a</w:t>
            </w:r>
          </w:p>
        </w:tc>
        <w:tc>
          <w:tcPr>
            <w:tcW w:w="2134" w:type="dxa"/>
          </w:tcPr>
          <w:p w:rsidR="004538D9" w:rsidRPr="00EC7D92" w:rsidRDefault="004538D9" w:rsidP="006E184D">
            <w:r w:rsidRPr="00EC7D92">
              <w:t>50.0%</w:t>
            </w:r>
          </w:p>
        </w:tc>
        <w:tc>
          <w:tcPr>
            <w:tcW w:w="2134" w:type="dxa"/>
          </w:tcPr>
          <w:p w:rsidR="004538D9" w:rsidRPr="00EC7D92" w:rsidRDefault="004538D9" w:rsidP="006E184D">
            <w:r w:rsidRPr="00EC7D92">
              <w:t>50.6%</w:t>
            </w:r>
          </w:p>
        </w:tc>
        <w:tc>
          <w:tcPr>
            <w:tcW w:w="2134" w:type="dxa"/>
          </w:tcPr>
          <w:p w:rsidR="004538D9" w:rsidRPr="00EC7D92" w:rsidRDefault="004538D9" w:rsidP="006E184D">
            <w:r w:rsidRPr="00EC7D92">
              <w:t>55.8%</w:t>
            </w:r>
          </w:p>
        </w:tc>
      </w:tr>
      <w:tr w:rsidR="004538D9" w:rsidRPr="00EC7D92" w:rsidTr="00C22866">
        <w:trPr>
          <w:trHeight w:val="467"/>
        </w:trPr>
        <w:tc>
          <w:tcPr>
            <w:tcW w:w="8536" w:type="dxa"/>
            <w:gridSpan w:val="4"/>
          </w:tcPr>
          <w:p w:rsidR="004538D9" w:rsidRPr="00EC7D92" w:rsidRDefault="004538D9" w:rsidP="006E184D">
            <w:r w:rsidRPr="00EC7D92">
              <w:t>Objective response rate (IRO)</w:t>
            </w:r>
          </w:p>
        </w:tc>
      </w:tr>
      <w:tr w:rsidR="004538D9" w:rsidRPr="00EC7D92" w:rsidTr="00C22866">
        <w:trPr>
          <w:trHeight w:val="479"/>
        </w:trPr>
        <w:tc>
          <w:tcPr>
            <w:tcW w:w="2134" w:type="dxa"/>
          </w:tcPr>
          <w:p w:rsidR="004538D9" w:rsidRPr="00EC7D92" w:rsidRDefault="004538D9" w:rsidP="006E184D">
            <w:r w:rsidRPr="00EC7D92">
              <w:t>ORR</w:t>
            </w:r>
          </w:p>
        </w:tc>
        <w:tc>
          <w:tcPr>
            <w:tcW w:w="2134" w:type="dxa"/>
          </w:tcPr>
          <w:p w:rsidR="004538D9" w:rsidRPr="00EC7D92" w:rsidRDefault="004538D9" w:rsidP="006E184D">
            <w:r w:rsidRPr="00EC7D92">
              <w:t>23.5%</w:t>
            </w:r>
          </w:p>
        </w:tc>
        <w:tc>
          <w:tcPr>
            <w:tcW w:w="2134" w:type="dxa"/>
          </w:tcPr>
          <w:p w:rsidR="004538D9" w:rsidRPr="00EC7D92" w:rsidRDefault="004538D9" w:rsidP="006E184D">
            <w:r w:rsidRPr="00EC7D92">
              <w:t>29.5%</w:t>
            </w:r>
          </w:p>
        </w:tc>
        <w:tc>
          <w:tcPr>
            <w:tcW w:w="2134" w:type="dxa"/>
          </w:tcPr>
          <w:p w:rsidR="004538D9" w:rsidRPr="00EC7D92" w:rsidRDefault="004538D9" w:rsidP="006E184D">
            <w:r w:rsidRPr="00EC7D92">
              <w:t>4.1%</w:t>
            </w:r>
          </w:p>
        </w:tc>
      </w:tr>
      <w:tr w:rsidR="004538D9" w:rsidRPr="00EC7D92" w:rsidTr="00C22866">
        <w:trPr>
          <w:trHeight w:val="718"/>
        </w:trPr>
        <w:tc>
          <w:tcPr>
            <w:tcW w:w="2134" w:type="dxa"/>
          </w:tcPr>
          <w:p w:rsidR="004538D9" w:rsidRPr="00EC7D92" w:rsidRDefault="004538D9" w:rsidP="006E184D">
            <w:r w:rsidRPr="00EC7D92">
              <w:t>Median response duration</w:t>
            </w:r>
          </w:p>
        </w:tc>
        <w:tc>
          <w:tcPr>
            <w:tcW w:w="2134" w:type="dxa"/>
          </w:tcPr>
          <w:p w:rsidR="004538D9" w:rsidRPr="00EC7D92" w:rsidRDefault="004538D9" w:rsidP="006E184D">
            <w:r w:rsidRPr="00EC7D92">
              <w:t xml:space="preserve">Not reached (6+ to 50+ </w:t>
            </w:r>
            <w:proofErr w:type="spellStart"/>
            <w:r w:rsidRPr="00EC7D92">
              <w:t>wks</w:t>
            </w:r>
            <w:proofErr w:type="spellEnd"/>
            <w:r w:rsidRPr="00EC7D92">
              <w:t>)</w:t>
            </w:r>
          </w:p>
        </w:tc>
        <w:tc>
          <w:tcPr>
            <w:tcW w:w="2134" w:type="dxa"/>
          </w:tcPr>
          <w:p w:rsidR="004538D9" w:rsidRPr="00EC7D92" w:rsidRDefault="004538D9" w:rsidP="006E184D">
            <w:r w:rsidRPr="00EC7D92">
              <w:t xml:space="preserve">Not reached (5+ to 48+ </w:t>
            </w:r>
            <w:proofErr w:type="spellStart"/>
            <w:r w:rsidRPr="00EC7D92">
              <w:t>wks</w:t>
            </w:r>
            <w:proofErr w:type="spellEnd"/>
            <w:r w:rsidRPr="00EC7D92">
              <w:t>)</w:t>
            </w:r>
          </w:p>
        </w:tc>
        <w:tc>
          <w:tcPr>
            <w:tcW w:w="2134" w:type="dxa"/>
          </w:tcPr>
          <w:p w:rsidR="004538D9" w:rsidRPr="00EC7D92" w:rsidRDefault="004538D9" w:rsidP="006E184D">
            <w:r w:rsidRPr="00EC7D92">
              <w:t>37 weeks (7+ to 41 weeks)</w:t>
            </w:r>
          </w:p>
        </w:tc>
      </w:tr>
    </w:tbl>
    <w:p w:rsidR="00D14E83" w:rsidRPr="004538D9" w:rsidRDefault="004538D9" w:rsidP="004538D9">
      <w:pPr>
        <w:pStyle w:val="TableDescription"/>
      </w:pPr>
      <w:proofErr w:type="spellStart"/>
      <w:proofErr w:type="gramStart"/>
      <w:r w:rsidRPr="004538D9">
        <w:t>a</w:t>
      </w:r>
      <w:proofErr w:type="spellEnd"/>
      <w:proofErr w:type="gramEnd"/>
      <w:r w:rsidRPr="004538D9">
        <w:t xml:space="preserve"> The sponsor recommends cautious interpretation of median OS due to extensive censoring and small number of patients at risk after 6 months; </w:t>
      </w:r>
      <w:r>
        <w:t>the Delegate</w:t>
      </w:r>
      <w:r w:rsidRPr="004538D9">
        <w:t xml:space="preserve"> agree</w:t>
      </w:r>
      <w:r>
        <w:t>s</w:t>
      </w:r>
      <w:r w:rsidRPr="004538D9">
        <w:t>.</w:t>
      </w:r>
    </w:p>
    <w:p w:rsidR="004538D9" w:rsidRPr="004538D9" w:rsidRDefault="00C14200" w:rsidP="00C14200">
      <w:pPr>
        <w:pStyle w:val="Tabletitle0"/>
      </w:pPr>
      <w:proofErr w:type="gramStart"/>
      <w:r>
        <w:t>Table 28.</w:t>
      </w:r>
      <w:proofErr w:type="gramEnd"/>
      <w:r>
        <w:t xml:space="preserve"> </w:t>
      </w:r>
      <w:r w:rsidR="004538D9" w:rsidRPr="004538D9">
        <w:t>PD-L1 negative subjects</w:t>
      </w:r>
    </w:p>
    <w:tbl>
      <w:tblPr>
        <w:tblStyle w:val="TableTGAblue"/>
        <w:tblW w:w="0" w:type="auto"/>
        <w:tblLook w:val="04A0" w:firstRow="1" w:lastRow="0" w:firstColumn="1" w:lastColumn="0" w:noHBand="0" w:noVBand="1"/>
      </w:tblPr>
      <w:tblGrid>
        <w:gridCol w:w="1952"/>
        <w:gridCol w:w="1952"/>
        <w:gridCol w:w="1952"/>
        <w:gridCol w:w="1952"/>
      </w:tblGrid>
      <w:tr w:rsidR="004538D9" w:rsidRPr="004538D9" w:rsidTr="00C22866">
        <w:trPr>
          <w:cnfStyle w:val="100000000000" w:firstRow="1" w:lastRow="0" w:firstColumn="0" w:lastColumn="0" w:oddVBand="0" w:evenVBand="0" w:oddHBand="0" w:evenHBand="0" w:firstRowFirstColumn="0" w:firstRowLastColumn="0" w:lastRowFirstColumn="0" w:lastRowLastColumn="0"/>
          <w:trHeight w:val="435"/>
        </w:trPr>
        <w:tc>
          <w:tcPr>
            <w:tcW w:w="1952" w:type="dxa"/>
          </w:tcPr>
          <w:p w:rsidR="004538D9" w:rsidRPr="004538D9" w:rsidRDefault="004538D9" w:rsidP="006E184D">
            <w:r w:rsidRPr="004538D9">
              <w:t>Endpoint</w:t>
            </w:r>
          </w:p>
        </w:tc>
        <w:tc>
          <w:tcPr>
            <w:tcW w:w="1952" w:type="dxa"/>
          </w:tcPr>
          <w:p w:rsidR="004538D9" w:rsidRPr="004538D9" w:rsidRDefault="004538D9" w:rsidP="006E184D">
            <w:r w:rsidRPr="004538D9">
              <w:t>2 mg/kg (n=47)</w:t>
            </w:r>
          </w:p>
        </w:tc>
        <w:tc>
          <w:tcPr>
            <w:tcW w:w="1952" w:type="dxa"/>
          </w:tcPr>
          <w:p w:rsidR="004538D9" w:rsidRPr="004538D9" w:rsidRDefault="004538D9" w:rsidP="006E184D">
            <w:r w:rsidRPr="004538D9">
              <w:t>10 mg/kg (n=46)</w:t>
            </w:r>
          </w:p>
        </w:tc>
        <w:tc>
          <w:tcPr>
            <w:tcW w:w="1952" w:type="dxa"/>
          </w:tcPr>
          <w:p w:rsidR="004538D9" w:rsidRPr="004538D9" w:rsidRDefault="004538D9" w:rsidP="006E184D">
            <w:r w:rsidRPr="004538D9">
              <w:t>Chemo (n=37)</w:t>
            </w:r>
          </w:p>
        </w:tc>
      </w:tr>
      <w:tr w:rsidR="004538D9" w:rsidRPr="004538D9" w:rsidTr="00C22866">
        <w:trPr>
          <w:trHeight w:val="435"/>
        </w:trPr>
        <w:tc>
          <w:tcPr>
            <w:tcW w:w="7808" w:type="dxa"/>
            <w:gridSpan w:val="4"/>
          </w:tcPr>
          <w:p w:rsidR="004538D9" w:rsidRPr="004538D9" w:rsidRDefault="004538D9" w:rsidP="006E184D">
            <w:r w:rsidRPr="004538D9">
              <w:t>Progression–free survival (IRO)</w:t>
            </w:r>
          </w:p>
        </w:tc>
      </w:tr>
      <w:tr w:rsidR="004538D9" w:rsidRPr="004538D9" w:rsidTr="00C22866">
        <w:trPr>
          <w:trHeight w:val="669"/>
        </w:trPr>
        <w:tc>
          <w:tcPr>
            <w:tcW w:w="1952" w:type="dxa"/>
          </w:tcPr>
          <w:p w:rsidR="004538D9" w:rsidRPr="004538D9" w:rsidRDefault="004538D9" w:rsidP="006E184D">
            <w:r w:rsidRPr="004538D9">
              <w:t xml:space="preserve">Hazard ratio </w:t>
            </w:r>
            <w:r w:rsidR="00987E81">
              <w:t>versus</w:t>
            </w:r>
            <w:r w:rsidRPr="004538D9">
              <w:t xml:space="preserve"> chemo</w:t>
            </w:r>
          </w:p>
        </w:tc>
        <w:tc>
          <w:tcPr>
            <w:tcW w:w="1952" w:type="dxa"/>
          </w:tcPr>
          <w:p w:rsidR="004538D9" w:rsidRPr="004538D9" w:rsidRDefault="004538D9" w:rsidP="006E184D">
            <w:r w:rsidRPr="004538D9">
              <w:t>0.89</w:t>
            </w:r>
          </w:p>
        </w:tc>
        <w:tc>
          <w:tcPr>
            <w:tcW w:w="1952" w:type="dxa"/>
          </w:tcPr>
          <w:p w:rsidR="004538D9" w:rsidRPr="004538D9" w:rsidRDefault="004538D9" w:rsidP="006E184D">
            <w:r w:rsidRPr="004538D9">
              <w:t>0.41</w:t>
            </w:r>
          </w:p>
        </w:tc>
        <w:tc>
          <w:tcPr>
            <w:tcW w:w="1952" w:type="dxa"/>
          </w:tcPr>
          <w:p w:rsidR="004538D9" w:rsidRPr="004538D9" w:rsidRDefault="004538D9" w:rsidP="006E184D"/>
        </w:tc>
      </w:tr>
      <w:tr w:rsidR="004538D9" w:rsidRPr="004538D9" w:rsidTr="00C22866">
        <w:trPr>
          <w:trHeight w:val="435"/>
        </w:trPr>
        <w:tc>
          <w:tcPr>
            <w:tcW w:w="1952" w:type="dxa"/>
          </w:tcPr>
          <w:p w:rsidR="004538D9" w:rsidRPr="004538D9" w:rsidRDefault="004538D9" w:rsidP="006E184D">
            <w:r w:rsidRPr="004538D9">
              <w:t>Median</w:t>
            </w:r>
          </w:p>
        </w:tc>
        <w:tc>
          <w:tcPr>
            <w:tcW w:w="1952" w:type="dxa"/>
          </w:tcPr>
          <w:p w:rsidR="004538D9" w:rsidRPr="004538D9" w:rsidRDefault="004538D9" w:rsidP="006E184D">
            <w:r w:rsidRPr="004538D9">
              <w:t>2.8 months</w:t>
            </w:r>
          </w:p>
        </w:tc>
        <w:tc>
          <w:tcPr>
            <w:tcW w:w="1952" w:type="dxa"/>
          </w:tcPr>
          <w:p w:rsidR="004538D9" w:rsidRPr="004538D9" w:rsidRDefault="004538D9" w:rsidP="006E184D">
            <w:r w:rsidRPr="004538D9">
              <w:t>2.8 months</w:t>
            </w:r>
          </w:p>
        </w:tc>
        <w:tc>
          <w:tcPr>
            <w:tcW w:w="1952" w:type="dxa"/>
          </w:tcPr>
          <w:p w:rsidR="004538D9" w:rsidRPr="004538D9" w:rsidRDefault="004538D9" w:rsidP="006E184D">
            <w:r w:rsidRPr="004538D9">
              <w:t>2.7 months</w:t>
            </w:r>
          </w:p>
        </w:tc>
      </w:tr>
      <w:tr w:rsidR="004538D9" w:rsidRPr="004538D9" w:rsidTr="00C22866">
        <w:trPr>
          <w:trHeight w:val="658"/>
        </w:trPr>
        <w:tc>
          <w:tcPr>
            <w:tcW w:w="1952" w:type="dxa"/>
          </w:tcPr>
          <w:p w:rsidR="004538D9" w:rsidRPr="004538D9" w:rsidRDefault="004538D9" w:rsidP="006E184D">
            <w:r w:rsidRPr="004538D9">
              <w:t>6 month PFS (95% CI)</w:t>
            </w:r>
          </w:p>
        </w:tc>
        <w:tc>
          <w:tcPr>
            <w:tcW w:w="1952" w:type="dxa"/>
          </w:tcPr>
          <w:p w:rsidR="004538D9" w:rsidRPr="004538D9" w:rsidRDefault="004538D9" w:rsidP="006E184D">
            <w:r w:rsidRPr="004538D9">
              <w:t>19.3%</w:t>
            </w:r>
          </w:p>
        </w:tc>
        <w:tc>
          <w:tcPr>
            <w:tcW w:w="1952" w:type="dxa"/>
          </w:tcPr>
          <w:p w:rsidR="004538D9" w:rsidRPr="004538D9" w:rsidRDefault="004538D9" w:rsidP="006E184D">
            <w:r w:rsidRPr="004538D9">
              <w:t>32.6%</w:t>
            </w:r>
          </w:p>
        </w:tc>
        <w:tc>
          <w:tcPr>
            <w:tcW w:w="1952" w:type="dxa"/>
          </w:tcPr>
          <w:p w:rsidR="004538D9" w:rsidRPr="004538D9" w:rsidRDefault="004538D9" w:rsidP="006E184D">
            <w:r w:rsidRPr="004538D9">
              <w:t>21.6%</w:t>
            </w:r>
          </w:p>
        </w:tc>
      </w:tr>
      <w:tr w:rsidR="004538D9" w:rsidRPr="004538D9" w:rsidTr="00C22866">
        <w:trPr>
          <w:trHeight w:val="446"/>
        </w:trPr>
        <w:tc>
          <w:tcPr>
            <w:tcW w:w="7808" w:type="dxa"/>
            <w:gridSpan w:val="4"/>
          </w:tcPr>
          <w:p w:rsidR="004538D9" w:rsidRPr="004538D9" w:rsidRDefault="004538D9" w:rsidP="006E184D">
            <w:r w:rsidRPr="004538D9">
              <w:t>Overall survival</w:t>
            </w:r>
          </w:p>
        </w:tc>
      </w:tr>
      <w:tr w:rsidR="004538D9" w:rsidRPr="004538D9" w:rsidTr="00C22866">
        <w:trPr>
          <w:trHeight w:val="435"/>
        </w:trPr>
        <w:tc>
          <w:tcPr>
            <w:tcW w:w="1952" w:type="dxa"/>
          </w:tcPr>
          <w:p w:rsidR="004538D9" w:rsidRPr="004538D9" w:rsidRDefault="004538D9" w:rsidP="006E184D">
            <w:r w:rsidRPr="004538D9">
              <w:t xml:space="preserve">HR </w:t>
            </w:r>
            <w:r w:rsidR="00987E81">
              <w:t>versus</w:t>
            </w:r>
            <w:r w:rsidRPr="004538D9">
              <w:t xml:space="preserve"> chemo</w:t>
            </w:r>
          </w:p>
        </w:tc>
        <w:tc>
          <w:tcPr>
            <w:tcW w:w="1952" w:type="dxa"/>
          </w:tcPr>
          <w:p w:rsidR="004538D9" w:rsidRPr="004538D9" w:rsidRDefault="004538D9" w:rsidP="006E184D">
            <w:r w:rsidRPr="004538D9">
              <w:t>1.19</w:t>
            </w:r>
          </w:p>
        </w:tc>
        <w:tc>
          <w:tcPr>
            <w:tcW w:w="1952" w:type="dxa"/>
          </w:tcPr>
          <w:p w:rsidR="004538D9" w:rsidRPr="004538D9" w:rsidRDefault="004538D9" w:rsidP="006E184D">
            <w:r w:rsidRPr="004538D9">
              <w:t>0.60</w:t>
            </w:r>
          </w:p>
        </w:tc>
        <w:tc>
          <w:tcPr>
            <w:tcW w:w="1952" w:type="dxa"/>
          </w:tcPr>
          <w:p w:rsidR="004538D9" w:rsidRPr="004538D9" w:rsidRDefault="004538D9" w:rsidP="006E184D"/>
        </w:tc>
      </w:tr>
      <w:tr w:rsidR="004538D9" w:rsidRPr="004538D9" w:rsidTr="00C22866">
        <w:trPr>
          <w:trHeight w:val="446"/>
        </w:trPr>
        <w:tc>
          <w:tcPr>
            <w:tcW w:w="1952" w:type="dxa"/>
          </w:tcPr>
          <w:p w:rsidR="004538D9" w:rsidRPr="004538D9" w:rsidRDefault="004538D9" w:rsidP="006E184D">
            <w:r w:rsidRPr="004538D9">
              <w:lastRenderedPageBreak/>
              <w:t>Median</w:t>
            </w:r>
            <w:r w:rsidR="00EC7D92">
              <w:t xml:space="preserve"> </w:t>
            </w:r>
            <w:r w:rsidRPr="008620C4">
              <w:rPr>
                <w:vertAlign w:val="superscript"/>
              </w:rPr>
              <w:t>a</w:t>
            </w:r>
          </w:p>
        </w:tc>
        <w:tc>
          <w:tcPr>
            <w:tcW w:w="1952" w:type="dxa"/>
          </w:tcPr>
          <w:p w:rsidR="004538D9" w:rsidRPr="004538D9" w:rsidRDefault="004538D9" w:rsidP="006E184D">
            <w:r w:rsidRPr="004538D9">
              <w:t>8.9 months</w:t>
            </w:r>
          </w:p>
        </w:tc>
        <w:tc>
          <w:tcPr>
            <w:tcW w:w="1952" w:type="dxa"/>
          </w:tcPr>
          <w:p w:rsidR="004538D9" w:rsidRPr="004538D9" w:rsidRDefault="004538D9" w:rsidP="006E184D">
            <w:r w:rsidRPr="004538D9">
              <w:t>10.8 months</w:t>
            </w:r>
          </w:p>
        </w:tc>
        <w:tc>
          <w:tcPr>
            <w:tcW w:w="1952" w:type="dxa"/>
          </w:tcPr>
          <w:p w:rsidR="004538D9" w:rsidRPr="004538D9" w:rsidRDefault="004538D9" w:rsidP="006E184D">
            <w:r w:rsidRPr="004538D9">
              <w:t>10.4 months</w:t>
            </w:r>
          </w:p>
        </w:tc>
      </w:tr>
      <w:tr w:rsidR="004538D9" w:rsidRPr="004538D9" w:rsidTr="00C22866">
        <w:trPr>
          <w:trHeight w:val="435"/>
        </w:trPr>
        <w:tc>
          <w:tcPr>
            <w:tcW w:w="1952" w:type="dxa"/>
          </w:tcPr>
          <w:p w:rsidR="004538D9" w:rsidRPr="004538D9" w:rsidRDefault="004538D9" w:rsidP="006E184D">
            <w:r w:rsidRPr="004538D9">
              <w:t>12 month OS</w:t>
            </w:r>
            <w:r w:rsidR="00EC7D92">
              <w:t xml:space="preserve"> </w:t>
            </w:r>
            <w:r w:rsidRPr="008620C4">
              <w:rPr>
                <w:vertAlign w:val="superscript"/>
              </w:rPr>
              <w:t>a</w:t>
            </w:r>
          </w:p>
        </w:tc>
        <w:tc>
          <w:tcPr>
            <w:tcW w:w="1952" w:type="dxa"/>
          </w:tcPr>
          <w:p w:rsidR="004538D9" w:rsidRPr="004538D9" w:rsidRDefault="004538D9" w:rsidP="006E184D">
            <w:r w:rsidRPr="004538D9">
              <w:t>37.0%</w:t>
            </w:r>
          </w:p>
        </w:tc>
        <w:tc>
          <w:tcPr>
            <w:tcW w:w="1952" w:type="dxa"/>
          </w:tcPr>
          <w:p w:rsidR="004538D9" w:rsidRPr="004538D9" w:rsidRDefault="004538D9" w:rsidP="006E184D">
            <w:r w:rsidRPr="004538D9">
              <w:t>49.7%</w:t>
            </w:r>
          </w:p>
        </w:tc>
        <w:tc>
          <w:tcPr>
            <w:tcW w:w="1952" w:type="dxa"/>
          </w:tcPr>
          <w:p w:rsidR="004538D9" w:rsidRPr="004538D9" w:rsidRDefault="004538D9" w:rsidP="006E184D">
            <w:r w:rsidRPr="004538D9">
              <w:t>40.6%</w:t>
            </w:r>
          </w:p>
        </w:tc>
      </w:tr>
      <w:tr w:rsidR="004538D9" w:rsidRPr="004538D9" w:rsidTr="00C22866">
        <w:trPr>
          <w:trHeight w:val="435"/>
        </w:trPr>
        <w:tc>
          <w:tcPr>
            <w:tcW w:w="7808" w:type="dxa"/>
            <w:gridSpan w:val="4"/>
          </w:tcPr>
          <w:p w:rsidR="004538D9" w:rsidRPr="004538D9" w:rsidRDefault="004538D9" w:rsidP="006E184D">
            <w:r w:rsidRPr="004538D9">
              <w:t>Objective response rate (IRO)</w:t>
            </w:r>
          </w:p>
        </w:tc>
      </w:tr>
      <w:tr w:rsidR="004538D9" w:rsidRPr="004538D9" w:rsidTr="00C22866">
        <w:trPr>
          <w:trHeight w:val="446"/>
        </w:trPr>
        <w:tc>
          <w:tcPr>
            <w:tcW w:w="1952" w:type="dxa"/>
          </w:tcPr>
          <w:p w:rsidR="004538D9" w:rsidRPr="004538D9" w:rsidRDefault="004538D9" w:rsidP="006E184D">
            <w:r w:rsidRPr="004538D9">
              <w:t>ORR</w:t>
            </w:r>
          </w:p>
        </w:tc>
        <w:tc>
          <w:tcPr>
            <w:tcW w:w="1952" w:type="dxa"/>
          </w:tcPr>
          <w:p w:rsidR="004538D9" w:rsidRPr="004538D9" w:rsidRDefault="004538D9" w:rsidP="006E184D">
            <w:r w:rsidRPr="004538D9">
              <w:t>10.6%</w:t>
            </w:r>
          </w:p>
        </w:tc>
        <w:tc>
          <w:tcPr>
            <w:tcW w:w="1952" w:type="dxa"/>
          </w:tcPr>
          <w:p w:rsidR="004538D9" w:rsidRPr="004538D9" w:rsidRDefault="004538D9" w:rsidP="006E184D">
            <w:r w:rsidRPr="004538D9">
              <w:t>19.6%</w:t>
            </w:r>
          </w:p>
        </w:tc>
        <w:tc>
          <w:tcPr>
            <w:tcW w:w="1952" w:type="dxa"/>
          </w:tcPr>
          <w:p w:rsidR="004538D9" w:rsidRPr="004538D9" w:rsidRDefault="004538D9" w:rsidP="006E184D">
            <w:r w:rsidRPr="004538D9">
              <w:t>8.1%</w:t>
            </w:r>
          </w:p>
        </w:tc>
      </w:tr>
      <w:tr w:rsidR="004538D9" w:rsidRPr="004538D9" w:rsidTr="00C22866">
        <w:trPr>
          <w:trHeight w:val="669"/>
        </w:trPr>
        <w:tc>
          <w:tcPr>
            <w:tcW w:w="1952" w:type="dxa"/>
          </w:tcPr>
          <w:p w:rsidR="004538D9" w:rsidRPr="004538D9" w:rsidRDefault="004538D9" w:rsidP="006E184D">
            <w:r w:rsidRPr="004538D9">
              <w:t>Median response duration</w:t>
            </w:r>
          </w:p>
        </w:tc>
        <w:tc>
          <w:tcPr>
            <w:tcW w:w="1952" w:type="dxa"/>
          </w:tcPr>
          <w:p w:rsidR="004538D9" w:rsidRPr="004538D9" w:rsidRDefault="004538D9" w:rsidP="006E184D">
            <w:r w:rsidRPr="004538D9">
              <w:t>(N</w:t>
            </w:r>
            <w:r w:rsidR="00EC7D92">
              <w:t xml:space="preserve"> </w:t>
            </w:r>
            <w:r w:rsidRPr="004538D9">
              <w:t>=</w:t>
            </w:r>
            <w:r w:rsidR="00EC7D92">
              <w:t xml:space="preserve"> </w:t>
            </w:r>
            <w:r w:rsidRPr="004538D9">
              <w:t>5)</w:t>
            </w:r>
          </w:p>
        </w:tc>
        <w:tc>
          <w:tcPr>
            <w:tcW w:w="1952" w:type="dxa"/>
          </w:tcPr>
          <w:p w:rsidR="004538D9" w:rsidRPr="004538D9" w:rsidRDefault="004538D9" w:rsidP="006E184D">
            <w:r w:rsidRPr="004538D9">
              <w:t>(N</w:t>
            </w:r>
            <w:r w:rsidR="00EC7D92">
              <w:t xml:space="preserve"> </w:t>
            </w:r>
            <w:r w:rsidRPr="004538D9">
              <w:t>=</w:t>
            </w:r>
            <w:r w:rsidR="00EC7D92">
              <w:t xml:space="preserve"> </w:t>
            </w:r>
            <w:r w:rsidRPr="004538D9">
              <w:t>9)</w:t>
            </w:r>
          </w:p>
        </w:tc>
        <w:tc>
          <w:tcPr>
            <w:tcW w:w="1952" w:type="dxa"/>
          </w:tcPr>
          <w:p w:rsidR="004538D9" w:rsidRPr="004538D9" w:rsidRDefault="004538D9" w:rsidP="006E184D">
            <w:r w:rsidRPr="004538D9">
              <w:t>(N</w:t>
            </w:r>
            <w:r w:rsidR="00EC7D92">
              <w:t xml:space="preserve"> </w:t>
            </w:r>
            <w:r w:rsidRPr="004538D9">
              <w:t>=</w:t>
            </w:r>
            <w:r w:rsidR="00EC7D92">
              <w:t xml:space="preserve"> </w:t>
            </w:r>
            <w:r w:rsidRPr="004538D9">
              <w:t>3)</w:t>
            </w:r>
          </w:p>
        </w:tc>
      </w:tr>
    </w:tbl>
    <w:p w:rsidR="004538D9" w:rsidRPr="008620C4" w:rsidRDefault="004538D9" w:rsidP="008620C4">
      <w:pPr>
        <w:pStyle w:val="TableDescription"/>
      </w:pPr>
      <w:r w:rsidRPr="008620C4">
        <w:t>IRO = independent radiologist plus oncologist review</w:t>
      </w:r>
      <w:r w:rsidR="008620C4" w:rsidRPr="008620C4">
        <w:t xml:space="preserve">. </w:t>
      </w:r>
      <w:proofErr w:type="spellStart"/>
      <w:proofErr w:type="gramStart"/>
      <w:r w:rsidRPr="008620C4">
        <w:t>a</w:t>
      </w:r>
      <w:proofErr w:type="spellEnd"/>
      <w:proofErr w:type="gramEnd"/>
      <w:r w:rsidRPr="008620C4">
        <w:t xml:space="preserve"> The sponsor recommends cautious interpretation of median OS due to extensive censoring and small number of patients at risk after 6 months; </w:t>
      </w:r>
      <w:r w:rsidR="008620C4" w:rsidRPr="008620C4">
        <w:t>the Delegate agrees</w:t>
      </w:r>
      <w:r w:rsidR="00EC7D92">
        <w:t>.</w:t>
      </w:r>
    </w:p>
    <w:p w:rsidR="00483921" w:rsidRPr="00483921" w:rsidRDefault="00483921" w:rsidP="00483921">
      <w:r w:rsidRPr="00483921">
        <w:t>Other sub-group analyses revealed no concerning differences.</w:t>
      </w:r>
    </w:p>
    <w:p w:rsidR="00483921" w:rsidRDefault="00483921" w:rsidP="00483921">
      <w:r w:rsidRPr="00483921">
        <w:t xml:space="preserve">A comparison of overall results and results in PD-L1+/- subgroups </w:t>
      </w:r>
      <w:r w:rsidR="001E1CF4">
        <w:t>is shown in Table 29</w:t>
      </w:r>
      <w:r w:rsidRPr="00483921">
        <w:t>.</w:t>
      </w:r>
      <w:r w:rsidR="00987E81">
        <w:t xml:space="preserve"> </w:t>
      </w:r>
      <w:r w:rsidRPr="00483921">
        <w:t>Patients with unknown PD-L1 status are only captured in ‘overall’ outcomes.</w:t>
      </w:r>
    </w:p>
    <w:p w:rsidR="00C14200" w:rsidRPr="00483921" w:rsidRDefault="00C14200" w:rsidP="00C14200">
      <w:pPr>
        <w:pStyle w:val="Tabletitle0"/>
      </w:pPr>
      <w:proofErr w:type="gramStart"/>
      <w:r>
        <w:t>Table 29.</w:t>
      </w:r>
      <w:proofErr w:type="gramEnd"/>
      <w:r>
        <w:t xml:space="preserve"> </w:t>
      </w:r>
      <w:r w:rsidRPr="00483921">
        <w:t>A comparison of overall results and results in PD-L1+/- subgroups</w:t>
      </w:r>
    </w:p>
    <w:tbl>
      <w:tblPr>
        <w:tblStyle w:val="TableTGAblue"/>
        <w:tblW w:w="0" w:type="auto"/>
        <w:tblLayout w:type="fixed"/>
        <w:tblLook w:val="04A0" w:firstRow="1" w:lastRow="0" w:firstColumn="1" w:lastColumn="0" w:noHBand="0" w:noVBand="1"/>
      </w:tblPr>
      <w:tblGrid>
        <w:gridCol w:w="1457"/>
        <w:gridCol w:w="763"/>
        <w:gridCol w:w="763"/>
        <w:gridCol w:w="764"/>
        <w:gridCol w:w="763"/>
        <w:gridCol w:w="763"/>
        <w:gridCol w:w="764"/>
        <w:gridCol w:w="763"/>
        <w:gridCol w:w="763"/>
        <w:gridCol w:w="764"/>
      </w:tblGrid>
      <w:tr w:rsidR="00483921" w:rsidRPr="00483921" w:rsidTr="00C22866">
        <w:trPr>
          <w:cnfStyle w:val="100000000000" w:firstRow="1" w:lastRow="0" w:firstColumn="0" w:lastColumn="0" w:oddVBand="0" w:evenVBand="0" w:oddHBand="0" w:evenHBand="0" w:firstRowFirstColumn="0" w:firstRowLastColumn="0" w:lastRowFirstColumn="0" w:lastRowLastColumn="0"/>
          <w:trHeight w:val="466"/>
        </w:trPr>
        <w:tc>
          <w:tcPr>
            <w:tcW w:w="1457" w:type="dxa"/>
          </w:tcPr>
          <w:p w:rsidR="00483921" w:rsidRPr="00483921" w:rsidRDefault="00483921" w:rsidP="006E184D"/>
        </w:tc>
        <w:tc>
          <w:tcPr>
            <w:tcW w:w="2290" w:type="dxa"/>
            <w:gridSpan w:val="3"/>
          </w:tcPr>
          <w:p w:rsidR="00483921" w:rsidRPr="00483921" w:rsidRDefault="00483921" w:rsidP="00483921">
            <w:pPr>
              <w:ind w:left="0" w:right="0"/>
              <w:rPr>
                <w:sz w:val="20"/>
                <w:szCs w:val="20"/>
              </w:rPr>
            </w:pPr>
            <w:r w:rsidRPr="00483921">
              <w:rPr>
                <w:sz w:val="20"/>
                <w:szCs w:val="20"/>
              </w:rPr>
              <w:t>2 mg/kg</w:t>
            </w:r>
          </w:p>
        </w:tc>
        <w:tc>
          <w:tcPr>
            <w:tcW w:w="2290" w:type="dxa"/>
            <w:gridSpan w:val="3"/>
          </w:tcPr>
          <w:p w:rsidR="00483921" w:rsidRPr="00483921" w:rsidRDefault="00483921" w:rsidP="00483921">
            <w:pPr>
              <w:ind w:left="0" w:right="0"/>
              <w:rPr>
                <w:sz w:val="20"/>
                <w:szCs w:val="20"/>
              </w:rPr>
            </w:pPr>
            <w:r w:rsidRPr="00483921">
              <w:rPr>
                <w:sz w:val="20"/>
                <w:szCs w:val="20"/>
              </w:rPr>
              <w:t>10 mg/kg</w:t>
            </w:r>
          </w:p>
        </w:tc>
        <w:tc>
          <w:tcPr>
            <w:tcW w:w="2290" w:type="dxa"/>
            <w:gridSpan w:val="3"/>
          </w:tcPr>
          <w:p w:rsidR="00483921" w:rsidRPr="00483921" w:rsidRDefault="00483921" w:rsidP="00483921">
            <w:pPr>
              <w:ind w:left="0" w:right="0"/>
              <w:rPr>
                <w:sz w:val="20"/>
                <w:szCs w:val="20"/>
              </w:rPr>
            </w:pPr>
            <w:r w:rsidRPr="00483921">
              <w:rPr>
                <w:sz w:val="20"/>
                <w:szCs w:val="20"/>
              </w:rPr>
              <w:t>Chemotherapy</w:t>
            </w:r>
          </w:p>
        </w:tc>
      </w:tr>
      <w:tr w:rsidR="00483921" w:rsidRPr="00483921" w:rsidTr="00C22866">
        <w:trPr>
          <w:trHeight w:val="705"/>
        </w:trPr>
        <w:tc>
          <w:tcPr>
            <w:tcW w:w="1457" w:type="dxa"/>
          </w:tcPr>
          <w:p w:rsidR="00483921" w:rsidRPr="00483921" w:rsidRDefault="00483921" w:rsidP="006E184D"/>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pos</w:t>
            </w:r>
            <w:proofErr w:type="spellEnd"/>
          </w:p>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neg</w:t>
            </w:r>
            <w:proofErr w:type="spellEnd"/>
          </w:p>
        </w:tc>
        <w:tc>
          <w:tcPr>
            <w:tcW w:w="764" w:type="dxa"/>
          </w:tcPr>
          <w:p w:rsidR="00483921" w:rsidRPr="00483921" w:rsidRDefault="00483921" w:rsidP="00483921">
            <w:pPr>
              <w:ind w:left="0" w:right="0"/>
              <w:rPr>
                <w:sz w:val="20"/>
                <w:szCs w:val="20"/>
              </w:rPr>
            </w:pPr>
            <w:r w:rsidRPr="00483921">
              <w:rPr>
                <w:sz w:val="20"/>
                <w:szCs w:val="20"/>
              </w:rPr>
              <w:t>all</w:t>
            </w:r>
          </w:p>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pos</w:t>
            </w:r>
            <w:proofErr w:type="spellEnd"/>
          </w:p>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neg</w:t>
            </w:r>
            <w:proofErr w:type="spellEnd"/>
          </w:p>
        </w:tc>
        <w:tc>
          <w:tcPr>
            <w:tcW w:w="764" w:type="dxa"/>
          </w:tcPr>
          <w:p w:rsidR="00483921" w:rsidRPr="00483921" w:rsidRDefault="00483921" w:rsidP="00483921">
            <w:pPr>
              <w:ind w:left="0" w:right="0"/>
              <w:rPr>
                <w:sz w:val="20"/>
                <w:szCs w:val="20"/>
              </w:rPr>
            </w:pPr>
            <w:r w:rsidRPr="00483921">
              <w:rPr>
                <w:sz w:val="20"/>
                <w:szCs w:val="20"/>
              </w:rPr>
              <w:t>all</w:t>
            </w:r>
          </w:p>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pos</w:t>
            </w:r>
            <w:proofErr w:type="spellEnd"/>
          </w:p>
        </w:tc>
        <w:tc>
          <w:tcPr>
            <w:tcW w:w="763" w:type="dxa"/>
          </w:tcPr>
          <w:p w:rsidR="00483921" w:rsidRPr="00483921" w:rsidRDefault="00483921" w:rsidP="00483921">
            <w:pPr>
              <w:ind w:left="0" w:right="0"/>
              <w:rPr>
                <w:sz w:val="20"/>
                <w:szCs w:val="20"/>
              </w:rPr>
            </w:pPr>
            <w:r w:rsidRPr="00483921">
              <w:rPr>
                <w:sz w:val="20"/>
                <w:szCs w:val="20"/>
              </w:rPr>
              <w:t xml:space="preserve">PD-L1 </w:t>
            </w:r>
            <w:proofErr w:type="spellStart"/>
            <w:r w:rsidRPr="00483921">
              <w:rPr>
                <w:sz w:val="20"/>
                <w:szCs w:val="20"/>
              </w:rPr>
              <w:t>neg</w:t>
            </w:r>
            <w:proofErr w:type="spellEnd"/>
          </w:p>
        </w:tc>
        <w:tc>
          <w:tcPr>
            <w:tcW w:w="764" w:type="dxa"/>
          </w:tcPr>
          <w:p w:rsidR="00483921" w:rsidRPr="00483921" w:rsidRDefault="00483921" w:rsidP="00483921">
            <w:pPr>
              <w:ind w:left="0" w:right="0"/>
              <w:rPr>
                <w:sz w:val="20"/>
                <w:szCs w:val="20"/>
              </w:rPr>
            </w:pPr>
            <w:r w:rsidRPr="00483921">
              <w:rPr>
                <w:sz w:val="20"/>
                <w:szCs w:val="20"/>
              </w:rPr>
              <w:t>all</w:t>
            </w:r>
          </w:p>
        </w:tc>
      </w:tr>
      <w:tr w:rsidR="00483921" w:rsidRPr="00483921" w:rsidTr="00C22866">
        <w:trPr>
          <w:trHeight w:val="478"/>
        </w:trPr>
        <w:tc>
          <w:tcPr>
            <w:tcW w:w="1457" w:type="dxa"/>
          </w:tcPr>
          <w:p w:rsidR="00483921" w:rsidRPr="00483921" w:rsidRDefault="00483921" w:rsidP="006E184D">
            <w:r w:rsidRPr="00483921">
              <w:t>N=</w:t>
            </w:r>
          </w:p>
        </w:tc>
        <w:tc>
          <w:tcPr>
            <w:tcW w:w="763" w:type="dxa"/>
          </w:tcPr>
          <w:p w:rsidR="00483921" w:rsidRPr="00483921" w:rsidRDefault="00483921" w:rsidP="00483921">
            <w:pPr>
              <w:ind w:left="0" w:right="0"/>
              <w:rPr>
                <w:sz w:val="20"/>
                <w:szCs w:val="20"/>
              </w:rPr>
            </w:pPr>
            <w:r w:rsidRPr="00483921">
              <w:rPr>
                <w:sz w:val="20"/>
                <w:szCs w:val="20"/>
              </w:rPr>
              <w:t>98</w:t>
            </w:r>
          </w:p>
        </w:tc>
        <w:tc>
          <w:tcPr>
            <w:tcW w:w="763" w:type="dxa"/>
          </w:tcPr>
          <w:p w:rsidR="00483921" w:rsidRPr="00483921" w:rsidRDefault="00483921" w:rsidP="00483921">
            <w:pPr>
              <w:ind w:left="0" w:right="0"/>
              <w:rPr>
                <w:sz w:val="20"/>
                <w:szCs w:val="20"/>
              </w:rPr>
            </w:pPr>
            <w:r w:rsidRPr="00483921">
              <w:rPr>
                <w:sz w:val="20"/>
                <w:szCs w:val="20"/>
              </w:rPr>
              <w:t>47</w:t>
            </w:r>
          </w:p>
        </w:tc>
        <w:tc>
          <w:tcPr>
            <w:tcW w:w="764" w:type="dxa"/>
          </w:tcPr>
          <w:p w:rsidR="00483921" w:rsidRPr="00483921" w:rsidRDefault="00483921" w:rsidP="00483921">
            <w:pPr>
              <w:ind w:left="0" w:right="0"/>
              <w:rPr>
                <w:sz w:val="20"/>
                <w:szCs w:val="20"/>
              </w:rPr>
            </w:pPr>
            <w:r w:rsidRPr="00483921">
              <w:rPr>
                <w:sz w:val="20"/>
                <w:szCs w:val="20"/>
              </w:rPr>
              <w:t>180</w:t>
            </w:r>
          </w:p>
        </w:tc>
        <w:tc>
          <w:tcPr>
            <w:tcW w:w="763" w:type="dxa"/>
          </w:tcPr>
          <w:p w:rsidR="00483921" w:rsidRPr="00483921" w:rsidRDefault="00483921" w:rsidP="00483921">
            <w:pPr>
              <w:ind w:left="0" w:right="0"/>
              <w:rPr>
                <w:sz w:val="20"/>
                <w:szCs w:val="20"/>
              </w:rPr>
            </w:pPr>
            <w:r w:rsidRPr="00483921">
              <w:rPr>
                <w:sz w:val="20"/>
                <w:szCs w:val="20"/>
              </w:rPr>
              <w:t>95</w:t>
            </w:r>
          </w:p>
        </w:tc>
        <w:tc>
          <w:tcPr>
            <w:tcW w:w="763" w:type="dxa"/>
          </w:tcPr>
          <w:p w:rsidR="00483921" w:rsidRPr="00483921" w:rsidRDefault="00483921" w:rsidP="00483921">
            <w:pPr>
              <w:ind w:left="0" w:right="0"/>
              <w:rPr>
                <w:sz w:val="20"/>
                <w:szCs w:val="20"/>
              </w:rPr>
            </w:pPr>
            <w:r w:rsidRPr="00483921">
              <w:rPr>
                <w:sz w:val="20"/>
                <w:szCs w:val="20"/>
              </w:rPr>
              <w:t>46</w:t>
            </w:r>
          </w:p>
        </w:tc>
        <w:tc>
          <w:tcPr>
            <w:tcW w:w="764" w:type="dxa"/>
          </w:tcPr>
          <w:p w:rsidR="00483921" w:rsidRPr="00483921" w:rsidRDefault="00483921" w:rsidP="00483921">
            <w:pPr>
              <w:ind w:left="0" w:right="0"/>
              <w:rPr>
                <w:sz w:val="20"/>
                <w:szCs w:val="20"/>
              </w:rPr>
            </w:pPr>
            <w:r w:rsidRPr="00483921">
              <w:rPr>
                <w:sz w:val="20"/>
                <w:szCs w:val="20"/>
              </w:rPr>
              <w:t>181</w:t>
            </w:r>
          </w:p>
        </w:tc>
        <w:tc>
          <w:tcPr>
            <w:tcW w:w="763" w:type="dxa"/>
          </w:tcPr>
          <w:p w:rsidR="00483921" w:rsidRPr="00483921" w:rsidRDefault="00483921" w:rsidP="00483921">
            <w:pPr>
              <w:ind w:left="0" w:right="0"/>
              <w:rPr>
                <w:sz w:val="20"/>
                <w:szCs w:val="20"/>
              </w:rPr>
            </w:pPr>
            <w:r w:rsidRPr="00483921">
              <w:rPr>
                <w:sz w:val="20"/>
                <w:szCs w:val="20"/>
              </w:rPr>
              <w:t>98</w:t>
            </w:r>
          </w:p>
        </w:tc>
        <w:tc>
          <w:tcPr>
            <w:tcW w:w="763" w:type="dxa"/>
          </w:tcPr>
          <w:p w:rsidR="00483921" w:rsidRPr="00483921" w:rsidRDefault="00483921" w:rsidP="00483921">
            <w:pPr>
              <w:ind w:left="0" w:right="0"/>
              <w:rPr>
                <w:sz w:val="20"/>
                <w:szCs w:val="20"/>
              </w:rPr>
            </w:pPr>
            <w:r w:rsidRPr="00483921">
              <w:rPr>
                <w:sz w:val="20"/>
                <w:szCs w:val="20"/>
              </w:rPr>
              <w:t>37</w:t>
            </w:r>
          </w:p>
        </w:tc>
        <w:tc>
          <w:tcPr>
            <w:tcW w:w="764" w:type="dxa"/>
          </w:tcPr>
          <w:p w:rsidR="00483921" w:rsidRPr="00483921" w:rsidRDefault="00483921" w:rsidP="00483921">
            <w:pPr>
              <w:ind w:left="0" w:right="0"/>
              <w:rPr>
                <w:sz w:val="20"/>
                <w:szCs w:val="20"/>
              </w:rPr>
            </w:pPr>
            <w:r w:rsidRPr="00483921">
              <w:rPr>
                <w:sz w:val="20"/>
                <w:szCs w:val="20"/>
              </w:rPr>
              <w:t>179</w:t>
            </w:r>
          </w:p>
        </w:tc>
      </w:tr>
      <w:tr w:rsidR="00483921" w:rsidRPr="00483921" w:rsidTr="00C22866">
        <w:trPr>
          <w:trHeight w:val="705"/>
        </w:trPr>
        <w:tc>
          <w:tcPr>
            <w:tcW w:w="1457" w:type="dxa"/>
          </w:tcPr>
          <w:p w:rsidR="00483921" w:rsidRPr="00483921" w:rsidRDefault="00483921" w:rsidP="006E184D">
            <w:r w:rsidRPr="00483921">
              <w:t>Median PFS (IRO), months</w:t>
            </w:r>
          </w:p>
        </w:tc>
        <w:tc>
          <w:tcPr>
            <w:tcW w:w="763" w:type="dxa"/>
          </w:tcPr>
          <w:p w:rsidR="00483921" w:rsidRPr="00483921" w:rsidRDefault="00483921" w:rsidP="00483921">
            <w:pPr>
              <w:ind w:left="0" w:right="0"/>
              <w:rPr>
                <w:sz w:val="20"/>
                <w:szCs w:val="20"/>
              </w:rPr>
            </w:pPr>
            <w:r w:rsidRPr="00483921">
              <w:rPr>
                <w:sz w:val="20"/>
                <w:szCs w:val="20"/>
              </w:rPr>
              <w:t>3.5</w:t>
            </w:r>
          </w:p>
        </w:tc>
        <w:tc>
          <w:tcPr>
            <w:tcW w:w="763" w:type="dxa"/>
          </w:tcPr>
          <w:p w:rsidR="00483921" w:rsidRPr="00483921" w:rsidRDefault="00483921" w:rsidP="00483921">
            <w:pPr>
              <w:ind w:left="0" w:right="0"/>
              <w:rPr>
                <w:sz w:val="20"/>
                <w:szCs w:val="20"/>
              </w:rPr>
            </w:pPr>
            <w:r w:rsidRPr="00483921">
              <w:rPr>
                <w:sz w:val="20"/>
                <w:szCs w:val="20"/>
              </w:rPr>
              <w:t>2.8</w:t>
            </w:r>
          </w:p>
        </w:tc>
        <w:tc>
          <w:tcPr>
            <w:tcW w:w="764" w:type="dxa"/>
          </w:tcPr>
          <w:p w:rsidR="00483921" w:rsidRPr="00483921" w:rsidRDefault="00483921" w:rsidP="00483921">
            <w:pPr>
              <w:ind w:left="0" w:right="0"/>
              <w:rPr>
                <w:sz w:val="20"/>
                <w:szCs w:val="20"/>
              </w:rPr>
            </w:pPr>
            <w:r w:rsidRPr="00483921">
              <w:rPr>
                <w:sz w:val="20"/>
                <w:szCs w:val="20"/>
              </w:rPr>
              <w:t>2.9</w:t>
            </w:r>
          </w:p>
        </w:tc>
        <w:tc>
          <w:tcPr>
            <w:tcW w:w="763" w:type="dxa"/>
          </w:tcPr>
          <w:p w:rsidR="00483921" w:rsidRPr="00483921" w:rsidRDefault="00483921" w:rsidP="00483921">
            <w:pPr>
              <w:ind w:left="0" w:right="0"/>
              <w:rPr>
                <w:sz w:val="20"/>
                <w:szCs w:val="20"/>
              </w:rPr>
            </w:pPr>
            <w:r w:rsidRPr="00483921">
              <w:rPr>
                <w:sz w:val="20"/>
                <w:szCs w:val="20"/>
              </w:rPr>
              <w:t>4.0</w:t>
            </w:r>
          </w:p>
        </w:tc>
        <w:tc>
          <w:tcPr>
            <w:tcW w:w="763" w:type="dxa"/>
          </w:tcPr>
          <w:p w:rsidR="00483921" w:rsidRPr="00483921" w:rsidRDefault="00483921" w:rsidP="00483921">
            <w:pPr>
              <w:ind w:left="0" w:right="0"/>
              <w:rPr>
                <w:sz w:val="20"/>
                <w:szCs w:val="20"/>
              </w:rPr>
            </w:pPr>
            <w:r w:rsidRPr="00483921">
              <w:rPr>
                <w:sz w:val="20"/>
                <w:szCs w:val="20"/>
              </w:rPr>
              <w:t>2.8</w:t>
            </w:r>
          </w:p>
        </w:tc>
        <w:tc>
          <w:tcPr>
            <w:tcW w:w="764" w:type="dxa"/>
          </w:tcPr>
          <w:p w:rsidR="00483921" w:rsidRPr="00483921" w:rsidRDefault="00483921" w:rsidP="00483921">
            <w:pPr>
              <w:ind w:left="0" w:right="0"/>
              <w:rPr>
                <w:sz w:val="20"/>
                <w:szCs w:val="20"/>
              </w:rPr>
            </w:pPr>
            <w:r w:rsidRPr="00483921">
              <w:rPr>
                <w:sz w:val="20"/>
                <w:szCs w:val="20"/>
              </w:rPr>
              <w:t>2.9</w:t>
            </w:r>
          </w:p>
        </w:tc>
        <w:tc>
          <w:tcPr>
            <w:tcW w:w="763" w:type="dxa"/>
          </w:tcPr>
          <w:p w:rsidR="00483921" w:rsidRPr="00483921" w:rsidRDefault="00483921" w:rsidP="00483921">
            <w:pPr>
              <w:ind w:left="0" w:right="0"/>
              <w:rPr>
                <w:sz w:val="20"/>
                <w:szCs w:val="20"/>
              </w:rPr>
            </w:pPr>
            <w:r w:rsidRPr="00483921">
              <w:rPr>
                <w:sz w:val="20"/>
                <w:szCs w:val="20"/>
              </w:rPr>
              <w:t>2.8</w:t>
            </w:r>
          </w:p>
        </w:tc>
        <w:tc>
          <w:tcPr>
            <w:tcW w:w="763" w:type="dxa"/>
          </w:tcPr>
          <w:p w:rsidR="00483921" w:rsidRPr="00483921" w:rsidRDefault="00483921" w:rsidP="00483921">
            <w:pPr>
              <w:ind w:left="0" w:right="0"/>
              <w:rPr>
                <w:sz w:val="20"/>
                <w:szCs w:val="20"/>
              </w:rPr>
            </w:pPr>
            <w:r w:rsidRPr="00483921">
              <w:rPr>
                <w:sz w:val="20"/>
                <w:szCs w:val="20"/>
              </w:rPr>
              <w:t>2.7</w:t>
            </w:r>
          </w:p>
        </w:tc>
        <w:tc>
          <w:tcPr>
            <w:tcW w:w="764" w:type="dxa"/>
          </w:tcPr>
          <w:p w:rsidR="00483921" w:rsidRPr="00483921" w:rsidRDefault="00483921" w:rsidP="00483921">
            <w:pPr>
              <w:ind w:left="0" w:right="0"/>
              <w:rPr>
                <w:sz w:val="20"/>
                <w:szCs w:val="20"/>
              </w:rPr>
            </w:pPr>
            <w:r w:rsidRPr="00483921">
              <w:rPr>
                <w:sz w:val="20"/>
                <w:szCs w:val="20"/>
              </w:rPr>
              <w:t>2.7</w:t>
            </w:r>
          </w:p>
        </w:tc>
      </w:tr>
      <w:tr w:rsidR="00483921" w:rsidRPr="00483921" w:rsidTr="00C22866">
        <w:trPr>
          <w:trHeight w:val="705"/>
        </w:trPr>
        <w:tc>
          <w:tcPr>
            <w:tcW w:w="1457" w:type="dxa"/>
          </w:tcPr>
          <w:p w:rsidR="00483921" w:rsidRPr="00483921" w:rsidRDefault="00483921" w:rsidP="006E184D">
            <w:r w:rsidRPr="00483921">
              <w:t>6 month PFS (IRO)</w:t>
            </w:r>
          </w:p>
        </w:tc>
        <w:tc>
          <w:tcPr>
            <w:tcW w:w="763" w:type="dxa"/>
          </w:tcPr>
          <w:p w:rsidR="00483921" w:rsidRPr="00483921" w:rsidRDefault="00483921" w:rsidP="00483921">
            <w:pPr>
              <w:ind w:left="0" w:right="0"/>
              <w:rPr>
                <w:sz w:val="20"/>
                <w:szCs w:val="20"/>
              </w:rPr>
            </w:pPr>
            <w:r w:rsidRPr="00483921">
              <w:rPr>
                <w:sz w:val="20"/>
                <w:szCs w:val="20"/>
              </w:rPr>
              <w:t>38.1%</w:t>
            </w:r>
          </w:p>
        </w:tc>
        <w:tc>
          <w:tcPr>
            <w:tcW w:w="763" w:type="dxa"/>
          </w:tcPr>
          <w:p w:rsidR="00483921" w:rsidRPr="00483921" w:rsidRDefault="00483921" w:rsidP="00483921">
            <w:pPr>
              <w:ind w:left="0" w:right="0"/>
              <w:rPr>
                <w:sz w:val="20"/>
                <w:szCs w:val="20"/>
              </w:rPr>
            </w:pPr>
            <w:r w:rsidRPr="00483921">
              <w:rPr>
                <w:sz w:val="20"/>
                <w:szCs w:val="20"/>
              </w:rPr>
              <w:t>19.3%</w:t>
            </w:r>
          </w:p>
        </w:tc>
        <w:tc>
          <w:tcPr>
            <w:tcW w:w="764" w:type="dxa"/>
          </w:tcPr>
          <w:p w:rsidR="00483921" w:rsidRPr="00483921" w:rsidRDefault="00483921" w:rsidP="00483921">
            <w:pPr>
              <w:ind w:left="0" w:right="0"/>
              <w:rPr>
                <w:sz w:val="20"/>
                <w:szCs w:val="20"/>
              </w:rPr>
            </w:pPr>
            <w:r w:rsidRPr="00483921">
              <w:rPr>
                <w:sz w:val="20"/>
                <w:szCs w:val="20"/>
              </w:rPr>
              <w:t>34.3%</w:t>
            </w:r>
          </w:p>
        </w:tc>
        <w:tc>
          <w:tcPr>
            <w:tcW w:w="763" w:type="dxa"/>
          </w:tcPr>
          <w:p w:rsidR="00483921" w:rsidRPr="00483921" w:rsidRDefault="00483921" w:rsidP="00483921">
            <w:pPr>
              <w:ind w:left="0" w:right="0"/>
              <w:rPr>
                <w:sz w:val="20"/>
                <w:szCs w:val="20"/>
              </w:rPr>
            </w:pPr>
            <w:r w:rsidRPr="00483921">
              <w:rPr>
                <w:sz w:val="20"/>
                <w:szCs w:val="20"/>
              </w:rPr>
              <w:t>41.5%</w:t>
            </w:r>
          </w:p>
        </w:tc>
        <w:tc>
          <w:tcPr>
            <w:tcW w:w="763" w:type="dxa"/>
          </w:tcPr>
          <w:p w:rsidR="00483921" w:rsidRPr="00483921" w:rsidRDefault="00483921" w:rsidP="00483921">
            <w:pPr>
              <w:ind w:left="0" w:right="0"/>
              <w:rPr>
                <w:sz w:val="20"/>
                <w:szCs w:val="20"/>
              </w:rPr>
            </w:pPr>
            <w:r w:rsidRPr="00483921">
              <w:rPr>
                <w:sz w:val="20"/>
                <w:szCs w:val="20"/>
              </w:rPr>
              <w:t>32.6%</w:t>
            </w:r>
          </w:p>
        </w:tc>
        <w:tc>
          <w:tcPr>
            <w:tcW w:w="764" w:type="dxa"/>
          </w:tcPr>
          <w:p w:rsidR="00483921" w:rsidRPr="00483921" w:rsidRDefault="00483921" w:rsidP="00483921">
            <w:pPr>
              <w:ind w:left="0" w:right="0"/>
              <w:rPr>
                <w:sz w:val="20"/>
                <w:szCs w:val="20"/>
              </w:rPr>
            </w:pPr>
            <w:r w:rsidRPr="00483921">
              <w:rPr>
                <w:sz w:val="20"/>
                <w:szCs w:val="20"/>
              </w:rPr>
              <w:t>37.7%</w:t>
            </w:r>
          </w:p>
        </w:tc>
        <w:tc>
          <w:tcPr>
            <w:tcW w:w="763" w:type="dxa"/>
          </w:tcPr>
          <w:p w:rsidR="00483921" w:rsidRPr="00483921" w:rsidRDefault="00483921" w:rsidP="00483921">
            <w:pPr>
              <w:ind w:left="0" w:right="0"/>
              <w:rPr>
                <w:sz w:val="20"/>
                <w:szCs w:val="20"/>
              </w:rPr>
            </w:pPr>
            <w:r w:rsidRPr="00483921">
              <w:rPr>
                <w:sz w:val="20"/>
                <w:szCs w:val="20"/>
              </w:rPr>
              <w:t>12.8%</w:t>
            </w:r>
          </w:p>
        </w:tc>
        <w:tc>
          <w:tcPr>
            <w:tcW w:w="763" w:type="dxa"/>
          </w:tcPr>
          <w:p w:rsidR="00483921" w:rsidRPr="00483921" w:rsidRDefault="00483921" w:rsidP="00483921">
            <w:pPr>
              <w:ind w:left="0" w:right="0"/>
              <w:rPr>
                <w:sz w:val="20"/>
                <w:szCs w:val="20"/>
              </w:rPr>
            </w:pPr>
            <w:r w:rsidRPr="00483921">
              <w:rPr>
                <w:sz w:val="20"/>
                <w:szCs w:val="20"/>
              </w:rPr>
              <w:t>21.6%</w:t>
            </w:r>
          </w:p>
        </w:tc>
        <w:tc>
          <w:tcPr>
            <w:tcW w:w="764" w:type="dxa"/>
          </w:tcPr>
          <w:p w:rsidR="00483921" w:rsidRPr="00483921" w:rsidRDefault="00483921" w:rsidP="00483921">
            <w:pPr>
              <w:ind w:left="0" w:right="0"/>
              <w:rPr>
                <w:sz w:val="20"/>
                <w:szCs w:val="20"/>
              </w:rPr>
            </w:pPr>
            <w:r w:rsidRPr="00483921">
              <w:rPr>
                <w:sz w:val="20"/>
                <w:szCs w:val="20"/>
              </w:rPr>
              <w:t>15.6%</w:t>
            </w:r>
          </w:p>
        </w:tc>
      </w:tr>
      <w:tr w:rsidR="00483921" w:rsidRPr="00483921" w:rsidTr="00C22866">
        <w:trPr>
          <w:trHeight w:val="705"/>
        </w:trPr>
        <w:tc>
          <w:tcPr>
            <w:tcW w:w="1457" w:type="dxa"/>
          </w:tcPr>
          <w:p w:rsidR="00483921" w:rsidRPr="00483921" w:rsidRDefault="00483921" w:rsidP="006E184D">
            <w:r w:rsidRPr="00483921">
              <w:t>Median OS, m</w:t>
            </w:r>
            <w:r w:rsidR="00EC7D92">
              <w:t>o</w:t>
            </w:r>
            <w:r w:rsidRPr="00483921">
              <w:t>nths</w:t>
            </w:r>
          </w:p>
        </w:tc>
        <w:tc>
          <w:tcPr>
            <w:tcW w:w="763" w:type="dxa"/>
          </w:tcPr>
          <w:p w:rsidR="00483921" w:rsidRPr="00483921" w:rsidRDefault="00483921" w:rsidP="00483921">
            <w:pPr>
              <w:ind w:left="0" w:right="0"/>
              <w:rPr>
                <w:sz w:val="20"/>
                <w:szCs w:val="20"/>
              </w:rPr>
            </w:pPr>
            <w:r w:rsidRPr="00483921">
              <w:rPr>
                <w:sz w:val="20"/>
                <w:szCs w:val="20"/>
              </w:rPr>
              <w:t>NR</w:t>
            </w:r>
          </w:p>
        </w:tc>
        <w:tc>
          <w:tcPr>
            <w:tcW w:w="763" w:type="dxa"/>
          </w:tcPr>
          <w:p w:rsidR="00483921" w:rsidRPr="00483921" w:rsidRDefault="00483921" w:rsidP="00483921">
            <w:pPr>
              <w:ind w:left="0" w:right="0"/>
              <w:rPr>
                <w:sz w:val="20"/>
                <w:szCs w:val="20"/>
              </w:rPr>
            </w:pPr>
            <w:r w:rsidRPr="00483921">
              <w:rPr>
                <w:sz w:val="20"/>
                <w:szCs w:val="20"/>
              </w:rPr>
              <w:t>8.9</w:t>
            </w:r>
          </w:p>
        </w:tc>
        <w:tc>
          <w:tcPr>
            <w:tcW w:w="764" w:type="dxa"/>
          </w:tcPr>
          <w:p w:rsidR="00483921" w:rsidRPr="00483921" w:rsidRDefault="00483921" w:rsidP="00483921">
            <w:pPr>
              <w:ind w:left="0" w:right="0"/>
              <w:rPr>
                <w:sz w:val="20"/>
                <w:szCs w:val="20"/>
              </w:rPr>
            </w:pPr>
            <w:r w:rsidRPr="00483921">
              <w:rPr>
                <w:sz w:val="20"/>
                <w:szCs w:val="20"/>
              </w:rPr>
              <w:t>11.4</w:t>
            </w:r>
          </w:p>
        </w:tc>
        <w:tc>
          <w:tcPr>
            <w:tcW w:w="763" w:type="dxa"/>
          </w:tcPr>
          <w:p w:rsidR="00483921" w:rsidRPr="00483921" w:rsidRDefault="00483921" w:rsidP="00483921">
            <w:pPr>
              <w:ind w:left="0" w:right="0"/>
              <w:rPr>
                <w:sz w:val="20"/>
                <w:szCs w:val="20"/>
              </w:rPr>
            </w:pPr>
            <w:r w:rsidRPr="00483921">
              <w:rPr>
                <w:sz w:val="20"/>
                <w:szCs w:val="20"/>
              </w:rPr>
              <w:t>14.8</w:t>
            </w:r>
          </w:p>
        </w:tc>
        <w:tc>
          <w:tcPr>
            <w:tcW w:w="763" w:type="dxa"/>
          </w:tcPr>
          <w:p w:rsidR="00483921" w:rsidRPr="00483921" w:rsidRDefault="00483921" w:rsidP="00483921">
            <w:pPr>
              <w:ind w:left="0" w:right="0"/>
              <w:rPr>
                <w:sz w:val="20"/>
                <w:szCs w:val="20"/>
              </w:rPr>
            </w:pPr>
            <w:r w:rsidRPr="00483921">
              <w:rPr>
                <w:sz w:val="20"/>
                <w:szCs w:val="20"/>
              </w:rPr>
              <w:t>10.8</w:t>
            </w:r>
          </w:p>
        </w:tc>
        <w:tc>
          <w:tcPr>
            <w:tcW w:w="764" w:type="dxa"/>
          </w:tcPr>
          <w:p w:rsidR="00483921" w:rsidRPr="00483921" w:rsidRDefault="00483921" w:rsidP="00483921">
            <w:pPr>
              <w:ind w:left="0" w:right="0"/>
              <w:rPr>
                <w:sz w:val="20"/>
                <w:szCs w:val="20"/>
              </w:rPr>
            </w:pPr>
            <w:r w:rsidRPr="00483921">
              <w:rPr>
                <w:sz w:val="20"/>
                <w:szCs w:val="20"/>
              </w:rPr>
              <w:t>12.5</w:t>
            </w:r>
          </w:p>
        </w:tc>
        <w:tc>
          <w:tcPr>
            <w:tcW w:w="763" w:type="dxa"/>
          </w:tcPr>
          <w:p w:rsidR="00483921" w:rsidRPr="00483921" w:rsidRDefault="00483921" w:rsidP="00483921">
            <w:pPr>
              <w:ind w:left="0" w:right="0"/>
              <w:rPr>
                <w:sz w:val="20"/>
                <w:szCs w:val="20"/>
              </w:rPr>
            </w:pPr>
            <w:r w:rsidRPr="00483921">
              <w:rPr>
                <w:sz w:val="20"/>
                <w:szCs w:val="20"/>
              </w:rPr>
              <w:t>16.3</w:t>
            </w:r>
          </w:p>
        </w:tc>
        <w:tc>
          <w:tcPr>
            <w:tcW w:w="763" w:type="dxa"/>
          </w:tcPr>
          <w:p w:rsidR="00483921" w:rsidRPr="00483921" w:rsidRDefault="00483921" w:rsidP="00483921">
            <w:pPr>
              <w:ind w:left="0" w:right="0"/>
              <w:rPr>
                <w:sz w:val="20"/>
                <w:szCs w:val="20"/>
              </w:rPr>
            </w:pPr>
            <w:r w:rsidRPr="00483921">
              <w:rPr>
                <w:sz w:val="20"/>
                <w:szCs w:val="20"/>
              </w:rPr>
              <w:t>10.4</w:t>
            </w:r>
          </w:p>
        </w:tc>
        <w:tc>
          <w:tcPr>
            <w:tcW w:w="764" w:type="dxa"/>
          </w:tcPr>
          <w:p w:rsidR="00483921" w:rsidRPr="00483921" w:rsidRDefault="00483921" w:rsidP="00483921">
            <w:pPr>
              <w:ind w:left="0" w:right="0"/>
              <w:rPr>
                <w:sz w:val="20"/>
                <w:szCs w:val="20"/>
              </w:rPr>
            </w:pPr>
            <w:r w:rsidRPr="00483921">
              <w:rPr>
                <w:sz w:val="20"/>
                <w:szCs w:val="20"/>
              </w:rPr>
              <w:t>11.6</w:t>
            </w:r>
          </w:p>
        </w:tc>
      </w:tr>
      <w:tr w:rsidR="00483921" w:rsidRPr="00483921" w:rsidTr="00C22866">
        <w:trPr>
          <w:trHeight w:val="478"/>
        </w:trPr>
        <w:tc>
          <w:tcPr>
            <w:tcW w:w="1457" w:type="dxa"/>
          </w:tcPr>
          <w:p w:rsidR="00483921" w:rsidRPr="00483921" w:rsidRDefault="00483921" w:rsidP="006E184D">
            <w:r w:rsidRPr="00483921">
              <w:t>ORR</w:t>
            </w:r>
          </w:p>
        </w:tc>
        <w:tc>
          <w:tcPr>
            <w:tcW w:w="763" w:type="dxa"/>
          </w:tcPr>
          <w:p w:rsidR="00483921" w:rsidRPr="00483921" w:rsidRDefault="00483921" w:rsidP="00483921">
            <w:pPr>
              <w:ind w:left="0" w:right="0"/>
              <w:rPr>
                <w:sz w:val="20"/>
                <w:szCs w:val="20"/>
              </w:rPr>
            </w:pPr>
            <w:r w:rsidRPr="00483921">
              <w:rPr>
                <w:sz w:val="20"/>
                <w:szCs w:val="20"/>
              </w:rPr>
              <w:t>23.5%</w:t>
            </w:r>
          </w:p>
        </w:tc>
        <w:tc>
          <w:tcPr>
            <w:tcW w:w="763" w:type="dxa"/>
          </w:tcPr>
          <w:p w:rsidR="00483921" w:rsidRPr="00483921" w:rsidRDefault="00483921" w:rsidP="00483921">
            <w:pPr>
              <w:ind w:left="0" w:right="0"/>
              <w:rPr>
                <w:sz w:val="20"/>
                <w:szCs w:val="20"/>
              </w:rPr>
            </w:pPr>
            <w:r w:rsidRPr="00483921">
              <w:rPr>
                <w:sz w:val="20"/>
                <w:szCs w:val="20"/>
              </w:rPr>
              <w:t>10.6%</w:t>
            </w:r>
          </w:p>
        </w:tc>
        <w:tc>
          <w:tcPr>
            <w:tcW w:w="764" w:type="dxa"/>
          </w:tcPr>
          <w:p w:rsidR="00483921" w:rsidRPr="00483921" w:rsidRDefault="00483921" w:rsidP="00483921">
            <w:pPr>
              <w:ind w:left="0" w:right="0"/>
              <w:rPr>
                <w:sz w:val="20"/>
                <w:szCs w:val="20"/>
              </w:rPr>
            </w:pPr>
            <w:r w:rsidRPr="00483921">
              <w:rPr>
                <w:sz w:val="20"/>
                <w:szCs w:val="20"/>
              </w:rPr>
              <w:t>21.1%</w:t>
            </w:r>
          </w:p>
        </w:tc>
        <w:tc>
          <w:tcPr>
            <w:tcW w:w="763" w:type="dxa"/>
          </w:tcPr>
          <w:p w:rsidR="00483921" w:rsidRPr="00483921" w:rsidRDefault="00483921" w:rsidP="00483921">
            <w:pPr>
              <w:ind w:left="0" w:right="0"/>
              <w:rPr>
                <w:sz w:val="20"/>
                <w:szCs w:val="20"/>
              </w:rPr>
            </w:pPr>
            <w:r w:rsidRPr="00483921">
              <w:rPr>
                <w:sz w:val="20"/>
                <w:szCs w:val="20"/>
              </w:rPr>
              <w:t>29.5%</w:t>
            </w:r>
          </w:p>
        </w:tc>
        <w:tc>
          <w:tcPr>
            <w:tcW w:w="763" w:type="dxa"/>
          </w:tcPr>
          <w:p w:rsidR="00483921" w:rsidRPr="00483921" w:rsidRDefault="00483921" w:rsidP="00483921">
            <w:pPr>
              <w:ind w:left="0" w:right="0"/>
              <w:rPr>
                <w:sz w:val="20"/>
                <w:szCs w:val="20"/>
              </w:rPr>
            </w:pPr>
            <w:r w:rsidRPr="00483921">
              <w:rPr>
                <w:sz w:val="20"/>
                <w:szCs w:val="20"/>
              </w:rPr>
              <w:t>19.6%</w:t>
            </w:r>
          </w:p>
        </w:tc>
        <w:tc>
          <w:tcPr>
            <w:tcW w:w="764" w:type="dxa"/>
          </w:tcPr>
          <w:p w:rsidR="00483921" w:rsidRPr="00483921" w:rsidRDefault="00483921" w:rsidP="00483921">
            <w:pPr>
              <w:ind w:left="0" w:right="0"/>
              <w:rPr>
                <w:sz w:val="20"/>
                <w:szCs w:val="20"/>
              </w:rPr>
            </w:pPr>
            <w:r w:rsidRPr="00483921">
              <w:rPr>
                <w:sz w:val="20"/>
                <w:szCs w:val="20"/>
              </w:rPr>
              <w:t>25.4%</w:t>
            </w:r>
          </w:p>
        </w:tc>
        <w:tc>
          <w:tcPr>
            <w:tcW w:w="763" w:type="dxa"/>
          </w:tcPr>
          <w:p w:rsidR="00483921" w:rsidRPr="00483921" w:rsidRDefault="00483921" w:rsidP="00483921">
            <w:pPr>
              <w:ind w:left="0" w:right="0"/>
              <w:rPr>
                <w:sz w:val="20"/>
                <w:szCs w:val="20"/>
              </w:rPr>
            </w:pPr>
            <w:r w:rsidRPr="00483921">
              <w:rPr>
                <w:sz w:val="20"/>
                <w:szCs w:val="20"/>
              </w:rPr>
              <w:t>4.1%</w:t>
            </w:r>
          </w:p>
        </w:tc>
        <w:tc>
          <w:tcPr>
            <w:tcW w:w="763" w:type="dxa"/>
          </w:tcPr>
          <w:p w:rsidR="00483921" w:rsidRPr="00483921" w:rsidRDefault="00483921" w:rsidP="00483921">
            <w:pPr>
              <w:ind w:left="0" w:right="0"/>
              <w:rPr>
                <w:sz w:val="20"/>
                <w:szCs w:val="20"/>
              </w:rPr>
            </w:pPr>
            <w:r w:rsidRPr="00483921">
              <w:rPr>
                <w:sz w:val="20"/>
                <w:szCs w:val="20"/>
              </w:rPr>
              <w:t>8.1%</w:t>
            </w:r>
          </w:p>
        </w:tc>
        <w:tc>
          <w:tcPr>
            <w:tcW w:w="764" w:type="dxa"/>
          </w:tcPr>
          <w:p w:rsidR="00483921" w:rsidRPr="00483921" w:rsidRDefault="00483921" w:rsidP="00483921">
            <w:pPr>
              <w:ind w:left="0" w:right="0"/>
              <w:rPr>
                <w:sz w:val="20"/>
                <w:szCs w:val="20"/>
              </w:rPr>
            </w:pPr>
            <w:r w:rsidRPr="00483921">
              <w:rPr>
                <w:sz w:val="20"/>
                <w:szCs w:val="20"/>
              </w:rPr>
              <w:t>4.5%</w:t>
            </w:r>
          </w:p>
        </w:tc>
      </w:tr>
    </w:tbl>
    <w:p w:rsidR="00483921" w:rsidRPr="00483921" w:rsidRDefault="00483921" w:rsidP="00483921">
      <w:r w:rsidRPr="00483921">
        <w:t xml:space="preserve">The sponsor described the difference between 2 mg/kg and 10 mg/kg arms in the PD-L1 negative sub-group as possibly </w:t>
      </w:r>
      <w:r w:rsidR="00987E81">
        <w:t>‘</w:t>
      </w:r>
      <w:r w:rsidRPr="00483921">
        <w:t>spurious</w:t>
      </w:r>
      <w:r w:rsidR="00987E81">
        <w:t>’</w:t>
      </w:r>
      <w:r w:rsidRPr="00483921">
        <w:t xml:space="preserve">, discounting the possibility of any </w:t>
      </w:r>
      <w:r w:rsidR="001E1CF4">
        <w:t xml:space="preserve">dose </w:t>
      </w:r>
      <w:r w:rsidRPr="00483921">
        <w:t>response in the PD-L1 negative sub-group.</w:t>
      </w:r>
      <w:r w:rsidR="00987E81">
        <w:t xml:space="preserve"> </w:t>
      </w:r>
      <w:r w:rsidR="001E1CF4">
        <w:t>Certainly, ORRs in P</w:t>
      </w:r>
      <w:r w:rsidRPr="00483921">
        <w:t>002 in the PD-L1 negative sub-group</w:t>
      </w:r>
      <w:r w:rsidR="001E1CF4">
        <w:t xml:space="preserve"> were more impressive than in P</w:t>
      </w:r>
      <w:r w:rsidRPr="00483921">
        <w:t>001.</w:t>
      </w:r>
      <w:r w:rsidR="00987E81">
        <w:t xml:space="preserve"> </w:t>
      </w:r>
      <w:r w:rsidR="001E1CF4">
        <w:t>However, P</w:t>
      </w:r>
      <w:r w:rsidRPr="00483921">
        <w:t>002 may be considered a more robust st</w:t>
      </w:r>
      <w:r w:rsidR="001E1CF4">
        <w:t>udy, in terms of design, than P</w:t>
      </w:r>
      <w:r w:rsidRPr="00483921">
        <w:t>001.</w:t>
      </w:r>
    </w:p>
    <w:p w:rsidR="00483921" w:rsidRPr="00483921" w:rsidRDefault="00EC7D92" w:rsidP="00483921">
      <w:r>
        <w:lastRenderedPageBreak/>
        <w:t xml:space="preserve">For patient </w:t>
      </w:r>
      <w:r w:rsidR="00483921" w:rsidRPr="00483921">
        <w:t xml:space="preserve">reported outcomes, completion rate to </w:t>
      </w:r>
      <w:r w:rsidR="00B21A3A">
        <w:t>Week</w:t>
      </w:r>
      <w:r w:rsidR="00483921" w:rsidRPr="00483921">
        <w:t xml:space="preserve"> 12 was 65% (control) </w:t>
      </w:r>
      <w:r w:rsidR="00987E81">
        <w:t>versus</w:t>
      </w:r>
      <w:r>
        <w:t xml:space="preserve"> 68 to </w:t>
      </w:r>
      <w:r w:rsidR="00483921" w:rsidRPr="00483921">
        <w:t>75% (pembrolizumab).</w:t>
      </w:r>
      <w:r w:rsidR="00987E81">
        <w:t xml:space="preserve"> </w:t>
      </w:r>
      <w:r w:rsidR="00483921" w:rsidRPr="00483921">
        <w:t xml:space="preserve">LS mean change from baseline to </w:t>
      </w:r>
      <w:r w:rsidR="00B21A3A">
        <w:t>Week</w:t>
      </w:r>
      <w:r w:rsidR="00483921" w:rsidRPr="00483921">
        <w:t xml:space="preserve"> </w:t>
      </w:r>
      <w:r>
        <w:t xml:space="preserve">12 in global health status was </w:t>
      </w:r>
      <w:r>
        <w:noBreakHyphen/>
      </w:r>
      <w:r w:rsidR="00483921" w:rsidRPr="00483921">
        <w:t>9.1 for chemo,</w:t>
      </w:r>
      <w:r>
        <w:t xml:space="preserve"> </w:t>
      </w:r>
      <w:r>
        <w:noBreakHyphen/>
        <w:t xml:space="preserve">2.6 for 2 mg/kg and </w:t>
      </w:r>
      <w:r>
        <w:noBreakHyphen/>
      </w:r>
      <w:r w:rsidR="00483921" w:rsidRPr="00483921">
        <w:t xml:space="preserve">2.6 for 10 mg/kg (based on those subjects with observations at baseline and </w:t>
      </w:r>
      <w:r w:rsidR="00B21A3A">
        <w:t>Week</w:t>
      </w:r>
      <w:r w:rsidR="00483921" w:rsidRPr="00483921">
        <w:t xml:space="preserve"> 12).</w:t>
      </w:r>
      <w:r w:rsidR="00987E81">
        <w:t xml:space="preserve"> </w:t>
      </w:r>
      <w:r w:rsidR="00483921" w:rsidRPr="00483921">
        <w:t xml:space="preserve">Also, pembrolizumab arms have a smaller proportion of patients who </w:t>
      </w:r>
      <w:r w:rsidR="00987E81">
        <w:t>‘</w:t>
      </w:r>
      <w:r w:rsidR="00483921" w:rsidRPr="00483921">
        <w:t>deteriorated</w:t>
      </w:r>
      <w:r w:rsidR="00987E81">
        <w:t>’</w:t>
      </w:r>
      <w:r w:rsidR="00483921" w:rsidRPr="00483921">
        <w:t xml:space="preserve"> (10 point or greater change from baseline; baseline total scores </w:t>
      </w:r>
      <w:r>
        <w:t xml:space="preserve">were 63 to </w:t>
      </w:r>
      <w:r w:rsidR="00483921" w:rsidRPr="00483921">
        <w:t>66 per arm).</w:t>
      </w:r>
      <w:r w:rsidR="00987E81">
        <w:t xml:space="preserve"> </w:t>
      </w:r>
      <w:r>
        <w:t xml:space="preserve">Around 25 to </w:t>
      </w:r>
      <w:r w:rsidR="00483921" w:rsidRPr="00483921">
        <w:t>27% of patients improved across arms.</w:t>
      </w:r>
      <w:r w:rsidR="00987E81">
        <w:t xml:space="preserve"> </w:t>
      </w:r>
      <w:r w:rsidR="00483921" w:rsidRPr="00483921">
        <w:t>Alignment between patient-reported outcome</w:t>
      </w:r>
      <w:r w:rsidR="00F236AD">
        <w:t xml:space="preserve">s in the symptom domain and top </w:t>
      </w:r>
      <w:r w:rsidR="00483921" w:rsidRPr="00483921">
        <w:t>line AEs was not always obvious (</w:t>
      </w:r>
      <w:r w:rsidR="00B85B18">
        <w:t>for example</w:t>
      </w:r>
      <w:r w:rsidR="00483921" w:rsidRPr="00483921">
        <w:t xml:space="preserve"> dyspnoea was more commonly reported as an AE in the 10 mg/kg arm than other arms, but the proportion of patients with improvement in p</w:t>
      </w:r>
      <w:r>
        <w:t xml:space="preserve">atient-reported dyspnoea was 22 to </w:t>
      </w:r>
      <w:r w:rsidR="00483921" w:rsidRPr="00483921">
        <w:t>23% across arms, and with deterioration was markedly lower in the 10 mg/kg arm than other arms).</w:t>
      </w:r>
    </w:p>
    <w:p w:rsidR="004538D9" w:rsidRDefault="00C14200" w:rsidP="00483921">
      <w:pPr>
        <w:pStyle w:val="FigureTitle"/>
      </w:pPr>
      <w:proofErr w:type="gramStart"/>
      <w:r>
        <w:t>Figure 16</w:t>
      </w:r>
      <w:r w:rsidR="00483921">
        <w:t>.</w:t>
      </w:r>
      <w:proofErr w:type="gramEnd"/>
      <w:r w:rsidR="00483921">
        <w:t xml:space="preserve"> EORTC QLQ-C30 score change from baseline to Week 12 (symptom scales)</w:t>
      </w:r>
    </w:p>
    <w:p w:rsidR="004538D9" w:rsidRDefault="00483921" w:rsidP="00635167">
      <w:r>
        <w:rPr>
          <w:noProof/>
          <w:lang w:eastAsia="en-AU"/>
        </w:rPr>
        <w:drawing>
          <wp:inline distT="0" distB="0" distL="0" distR="0" wp14:anchorId="035740DF" wp14:editId="45606AED">
            <wp:extent cx="5060888" cy="3745382"/>
            <wp:effectExtent l="0" t="0" r="6985" b="7620"/>
            <wp:docPr id="7" name="Picture 7" descr="Figure 16. EORTC QLQ-C30 score change from baseline to Week 12 (symptom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63773" cy="3747517"/>
                    </a:xfrm>
                    <a:prstGeom prst="rect">
                      <a:avLst/>
                    </a:prstGeom>
                  </pic:spPr>
                </pic:pic>
              </a:graphicData>
            </a:graphic>
          </wp:inline>
        </w:drawing>
      </w:r>
    </w:p>
    <w:p w:rsidR="004538D9" w:rsidRDefault="00483921" w:rsidP="00483921">
      <w:pPr>
        <w:pStyle w:val="TableDescription"/>
      </w:pPr>
      <w:r>
        <w:t>For EORTC QLQ-C30 symptom scales, a higher score denotes worse symptom.</w:t>
      </w:r>
    </w:p>
    <w:p w:rsidR="00483921" w:rsidRPr="00483921" w:rsidRDefault="00483921" w:rsidP="00483921">
      <w:pPr>
        <w:pStyle w:val="Heading6"/>
      </w:pPr>
      <w:r w:rsidRPr="00483921">
        <w:t>Safety results</w:t>
      </w:r>
    </w:p>
    <w:p w:rsidR="00483921" w:rsidRPr="00483921" w:rsidRDefault="009D2A28" w:rsidP="00483921">
      <w:r>
        <w:t>The median/</w:t>
      </w:r>
      <w:r w:rsidR="00483921" w:rsidRPr="00483921">
        <w:t xml:space="preserve">mean </w:t>
      </w:r>
      <w:r>
        <w:t>exposure time</w:t>
      </w:r>
      <w:r w:rsidR="005D7F4D">
        <w:t xml:space="preserve"> to treatment was 113 to 144 days (2 mg/kg), 145 to 157 days (10 mg/kg) and 61 to</w:t>
      </w:r>
      <w:r w:rsidR="00483921" w:rsidRPr="00483921">
        <w:t xml:space="preserve"> 75 days (chemo).</w:t>
      </w:r>
      <w:r w:rsidR="00987E81">
        <w:t xml:space="preserve"> </w:t>
      </w:r>
      <w:r w:rsidR="00483921" w:rsidRPr="00483921">
        <w:t xml:space="preserve">This may influence time at risk (although patients were exposed to different regimens, </w:t>
      </w:r>
      <w:r w:rsidR="00B85B18">
        <w:t>for example</w:t>
      </w:r>
      <w:r w:rsidR="00483921" w:rsidRPr="00483921">
        <w:t xml:space="preserve"> dosing every 3 weeks for pembrolizumab </w:t>
      </w:r>
      <w:r w:rsidR="00987E81">
        <w:t>versus</w:t>
      </w:r>
      <w:r w:rsidR="00483921" w:rsidRPr="00483921">
        <w:t xml:space="preserve"> variable regimens for chemo; also pembrolizumab has a long half-life and arguably more potential for delayed onset of AEs after exposure).</w:t>
      </w:r>
    </w:p>
    <w:p w:rsidR="00483921" w:rsidRPr="00483921" w:rsidRDefault="00F236AD" w:rsidP="00483921">
      <w:r>
        <w:t xml:space="preserve">Top </w:t>
      </w:r>
      <w:r w:rsidR="00483921" w:rsidRPr="00483921">
        <w:t>line safety results follow.</w:t>
      </w:r>
      <w:r w:rsidR="00987E81">
        <w:t xml:space="preserve"> </w:t>
      </w:r>
      <w:r w:rsidR="00483921" w:rsidRPr="00483921">
        <w:t xml:space="preserve">Grade </w:t>
      </w:r>
      <w:r w:rsidR="0085409C">
        <w:t>3 to 5</w:t>
      </w:r>
      <w:r w:rsidR="00483921" w:rsidRPr="00483921">
        <w:t xml:space="preserve"> </w:t>
      </w:r>
      <w:r w:rsidR="00E5241D">
        <w:t>drug related</w:t>
      </w:r>
      <w:r w:rsidR="00483921" w:rsidRPr="00483921">
        <w:t xml:space="preserve"> AEs were less </w:t>
      </w:r>
      <w:r w:rsidR="00EC7D92">
        <w:t xml:space="preserve">frequent with pembrolizumab (11 to </w:t>
      </w:r>
      <w:r w:rsidR="00483921" w:rsidRPr="00483921">
        <w:t xml:space="preserve">14%) than with chemotherapy; </w:t>
      </w:r>
      <w:r w:rsidR="00E5241D">
        <w:t>drug related</w:t>
      </w:r>
      <w:r w:rsidR="00483921" w:rsidRPr="00483921">
        <w:t xml:space="preserve"> serious AEs were</w:t>
      </w:r>
      <w:r w:rsidR="00EC7D92">
        <w:t xml:space="preserve"> seen at similar frequencies (8 to </w:t>
      </w:r>
      <w:r w:rsidR="00483921" w:rsidRPr="00483921">
        <w:t>11%).</w:t>
      </w:r>
      <w:r w:rsidR="00987E81">
        <w:t xml:space="preserve"> </w:t>
      </w:r>
      <w:r w:rsidR="00483921" w:rsidRPr="00483921">
        <w:t xml:space="preserve">Discontinuations were </w:t>
      </w:r>
      <w:r w:rsidR="00EC7D92">
        <w:t xml:space="preserve">seen at similar frequencies (10 to </w:t>
      </w:r>
      <w:r w:rsidR="00483921" w:rsidRPr="00483921">
        <w:t>15%).</w:t>
      </w:r>
      <w:r w:rsidR="00987E81">
        <w:t xml:space="preserve"> </w:t>
      </w:r>
      <w:r w:rsidR="00EC7D92">
        <w:t xml:space="preserve">These top </w:t>
      </w:r>
      <w:r w:rsidR="00483921" w:rsidRPr="00483921">
        <w:t>line results hide considerable differences in type of adverse event:</w:t>
      </w:r>
    </w:p>
    <w:p w:rsidR="00483921" w:rsidRPr="00483921" w:rsidRDefault="00483921" w:rsidP="00483921">
      <w:r w:rsidRPr="00483921">
        <w:t xml:space="preserve">AEs that were more common in the chemo arm included </w:t>
      </w:r>
      <w:r w:rsidR="00EC7D92" w:rsidRPr="00483921">
        <w:t>anaemia</w:t>
      </w:r>
      <w:r w:rsidRPr="00483921">
        <w:t xml:space="preserve"> (26% </w:t>
      </w:r>
      <w:r w:rsidR="00987E81">
        <w:t>versus</w:t>
      </w:r>
      <w:r w:rsidR="00EC7D92">
        <w:t xml:space="preserve"> 11 to </w:t>
      </w:r>
      <w:r w:rsidRPr="00483921">
        <w:t xml:space="preserve">17%), thrombocytopenia (12% </w:t>
      </w:r>
      <w:r w:rsidR="00987E81">
        <w:t>versus</w:t>
      </w:r>
      <w:r w:rsidR="00EC7D92">
        <w:t xml:space="preserve"> 1 to </w:t>
      </w:r>
      <w:r w:rsidRPr="00483921">
        <w:t xml:space="preserve">2%), nausea (42% </w:t>
      </w:r>
      <w:r w:rsidR="00987E81">
        <w:t>versus</w:t>
      </w:r>
      <w:r w:rsidR="00EC7D92">
        <w:t xml:space="preserve"> 20 to </w:t>
      </w:r>
      <w:r w:rsidRPr="00483921">
        <w:t xml:space="preserve">24%), vomiting (23% </w:t>
      </w:r>
      <w:r w:rsidR="00987E81">
        <w:t>versus</w:t>
      </w:r>
      <w:r w:rsidR="00EC7D92">
        <w:t xml:space="preserve"> 8 to </w:t>
      </w:r>
      <w:r w:rsidRPr="00483921">
        <w:t xml:space="preserve">18%), peripheral neuropathy (11% </w:t>
      </w:r>
      <w:r w:rsidR="00987E81">
        <w:t>versus</w:t>
      </w:r>
      <w:r w:rsidRPr="00483921">
        <w:t xml:space="preserve"> 2%), and alopecia (21% </w:t>
      </w:r>
      <w:r w:rsidR="00987E81">
        <w:t>versus</w:t>
      </w:r>
      <w:r w:rsidR="00EC7D92">
        <w:t xml:space="preserve"> 1 to </w:t>
      </w:r>
      <w:r w:rsidRPr="00483921">
        <w:t>3%).</w:t>
      </w:r>
    </w:p>
    <w:p w:rsidR="00483921" w:rsidRPr="00483921" w:rsidRDefault="00483921" w:rsidP="00483921">
      <w:r w:rsidRPr="00483921">
        <w:lastRenderedPageBreak/>
        <w:t xml:space="preserve">AEs that were more frequent on pembrolizumab included endocrine disorders (1% </w:t>
      </w:r>
      <w:r w:rsidR="00987E81">
        <w:t>versus</w:t>
      </w:r>
      <w:r w:rsidR="00C477D9">
        <w:t xml:space="preserve"> 11 to </w:t>
      </w:r>
      <w:r w:rsidRPr="00483921">
        <w:t xml:space="preserve">12%), abdominal pain (8% </w:t>
      </w:r>
      <w:r w:rsidR="00987E81">
        <w:t>versus</w:t>
      </w:r>
      <w:r w:rsidR="00C477D9">
        <w:t xml:space="preserve"> 13 to </w:t>
      </w:r>
      <w:r w:rsidRPr="00483921">
        <w:t xml:space="preserve">14%), pyrexia (9% </w:t>
      </w:r>
      <w:r w:rsidR="00987E81">
        <w:t>versus</w:t>
      </w:r>
      <w:r w:rsidR="00C477D9">
        <w:t xml:space="preserve"> 12 to </w:t>
      </w:r>
      <w:r w:rsidRPr="00483921">
        <w:t>15%), hyponatr</w:t>
      </w:r>
      <w:r w:rsidR="009D2A28">
        <w:t>a</w:t>
      </w:r>
      <w:r w:rsidRPr="00483921">
        <w:t xml:space="preserve">emia (5% </w:t>
      </w:r>
      <w:r w:rsidR="00987E81">
        <w:t>versus</w:t>
      </w:r>
      <w:r w:rsidR="00C477D9">
        <w:t xml:space="preserve"> 7 to </w:t>
      </w:r>
      <w:r w:rsidRPr="00483921">
        <w:t xml:space="preserve">11%), arthralgia (10% </w:t>
      </w:r>
      <w:r w:rsidR="00987E81">
        <w:t>versus</w:t>
      </w:r>
      <w:r w:rsidR="00C477D9">
        <w:t xml:space="preserve"> 12 to </w:t>
      </w:r>
      <w:r w:rsidRPr="00483921">
        <w:t xml:space="preserve">15%), rash (8% </w:t>
      </w:r>
      <w:r w:rsidR="00987E81">
        <w:t>versus</w:t>
      </w:r>
      <w:r w:rsidRPr="00483921">
        <w:t xml:space="preserve">14%), and pruritus (8% </w:t>
      </w:r>
      <w:r w:rsidR="00987E81">
        <w:t>versus</w:t>
      </w:r>
      <w:r w:rsidR="00C477D9">
        <w:t xml:space="preserve"> 25 to </w:t>
      </w:r>
      <w:r w:rsidRPr="00483921">
        <w:t>30%).</w:t>
      </w:r>
    </w:p>
    <w:p w:rsidR="00483921" w:rsidRPr="00483921" w:rsidRDefault="00483921" w:rsidP="00483921">
      <w:r w:rsidRPr="00483921">
        <w:t>It is interesting that infections were seen at</w:t>
      </w:r>
      <w:r w:rsidR="00C477D9">
        <w:t xml:space="preserve"> similar levels across arms (33 to </w:t>
      </w:r>
      <w:r w:rsidRPr="00483921">
        <w:t>38%).</w:t>
      </w:r>
      <w:r w:rsidR="00987E81">
        <w:t xml:space="preserve"> </w:t>
      </w:r>
      <w:r w:rsidRPr="00483921">
        <w:t xml:space="preserve">Neutropenia was not reported as having a frequency of </w:t>
      </w:r>
      <w:r w:rsidR="00E5241D">
        <w:t xml:space="preserve">≥ 1 </w:t>
      </w:r>
      <w:r w:rsidRPr="00483921">
        <w:t>0% in one or more arms.</w:t>
      </w:r>
    </w:p>
    <w:p w:rsidR="00483921" w:rsidRPr="00483921" w:rsidRDefault="00483921" w:rsidP="00483921">
      <w:r w:rsidRPr="00483921">
        <w:t xml:space="preserve">Pruritus has many causes, but it is potentially relevant that chronic spontaneous </w:t>
      </w:r>
      <w:proofErr w:type="spellStart"/>
      <w:r w:rsidRPr="00483921">
        <w:t>urticaria</w:t>
      </w:r>
      <w:proofErr w:type="spellEnd"/>
      <w:r w:rsidRPr="00483921">
        <w:t xml:space="preserve"> is mediated by autoantibodies in a substantial proportion of subjections.</w:t>
      </w:r>
    </w:p>
    <w:p w:rsidR="00483921" w:rsidRPr="00483921" w:rsidRDefault="00483921" w:rsidP="00483921">
      <w:r w:rsidRPr="00483921">
        <w:t>AEOSI were observed in 4.7% (control), 7.3% (2 mg/kg) and 12.8% (10 mg/kg).</w:t>
      </w:r>
      <w:r w:rsidR="00987E81">
        <w:t xml:space="preserve"> </w:t>
      </w:r>
      <w:r w:rsidRPr="00483921">
        <w:t>Key outcomes included: pneumonitis (grade 2+) in 2.2% of 10 mg/kg patients but in no patients in other arms; and iritis in 1.1% of 10 mg/kg patients but no others.</w:t>
      </w:r>
      <w:r w:rsidR="00987E81">
        <w:t xml:space="preserve"> </w:t>
      </w:r>
      <w:r w:rsidRPr="00483921">
        <w:t xml:space="preserve">Regarding pneumonitis, it is potentially relevant that dyspnoea was significantly more frequent in the 10 mg/kg arm than other arms (17% </w:t>
      </w:r>
      <w:r w:rsidR="00987E81">
        <w:t>versus</w:t>
      </w:r>
      <w:r w:rsidR="00C477D9">
        <w:t xml:space="preserve"> 10 to </w:t>
      </w:r>
      <w:r w:rsidRPr="00483921">
        <w:t>12%).</w:t>
      </w:r>
    </w:p>
    <w:p w:rsidR="004538D9" w:rsidRDefault="00C14200" w:rsidP="00C14200">
      <w:pPr>
        <w:pStyle w:val="Tabletitle0"/>
      </w:pPr>
      <w:r>
        <w:t>Table 30 AEs in Study P002.</w:t>
      </w:r>
    </w:p>
    <w:p w:rsidR="00483921" w:rsidRDefault="00483921" w:rsidP="00635167">
      <w:r>
        <w:rPr>
          <w:noProof/>
          <w:lang w:eastAsia="en-AU"/>
        </w:rPr>
        <w:drawing>
          <wp:inline distT="0" distB="0" distL="0" distR="0" wp14:anchorId="1EF2DD9E" wp14:editId="662CAFDE">
            <wp:extent cx="5400040" cy="3092331"/>
            <wp:effectExtent l="0" t="0" r="0" b="0"/>
            <wp:docPr id="8" name="Picture 8" descr="Table 30 AEs in Study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092331"/>
                    </a:xfrm>
                    <a:prstGeom prst="rect">
                      <a:avLst/>
                    </a:prstGeom>
                  </pic:spPr>
                </pic:pic>
              </a:graphicData>
            </a:graphic>
          </wp:inline>
        </w:drawing>
      </w:r>
    </w:p>
    <w:p w:rsidR="00483921" w:rsidRPr="00483921" w:rsidRDefault="00483921" w:rsidP="00483921">
      <w:r w:rsidRPr="00483921">
        <w:t xml:space="preserve">In P002, there was a </w:t>
      </w:r>
      <w:r w:rsidR="00E5241D">
        <w:t>drug related</w:t>
      </w:r>
      <w:r w:rsidRPr="00483921">
        <w:t xml:space="preserve"> death, in the 2 mg/kg Q3W arm; details were unavailable.</w:t>
      </w:r>
    </w:p>
    <w:p w:rsidR="00483921" w:rsidRPr="00483921" w:rsidRDefault="00483921" w:rsidP="00483921">
      <w:r w:rsidRPr="00483921">
        <w:t>In P002, serious AEs were seen in 44.4% of 2 mg/kg Q3W subjects and 36.9% of 10 mg/kg Q3W subjects (</w:t>
      </w:r>
      <w:r w:rsidR="00987E81">
        <w:t>versus</w:t>
      </w:r>
      <w:r w:rsidRPr="00483921">
        <w:t xml:space="preserve"> 33.3% of control subjects), but </w:t>
      </w:r>
      <w:r w:rsidR="00E5241D">
        <w:t>drug related</w:t>
      </w:r>
      <w:r w:rsidRPr="00483921">
        <w:t xml:space="preserve"> SAEs were seen in 7.9%, 11.2% and 9.9% respectively.</w:t>
      </w:r>
      <w:r w:rsidR="00987E81">
        <w:t xml:space="preserve"> </w:t>
      </w:r>
      <w:r w:rsidRPr="00483921">
        <w:t>The breakdown of SAEs was not provided in the summary data document.</w:t>
      </w:r>
    </w:p>
    <w:p w:rsidR="00483921" w:rsidRPr="00483921" w:rsidRDefault="00483921" w:rsidP="00483921">
      <w:r w:rsidRPr="00483921">
        <w:t xml:space="preserve">In P002, discontinuations due to AEs were </w:t>
      </w:r>
      <w:r w:rsidR="00C477D9">
        <w:t xml:space="preserve">seen at a higher rate: 10 to </w:t>
      </w:r>
      <w:r w:rsidRPr="00483921">
        <w:t>15% across arms.</w:t>
      </w:r>
      <w:r w:rsidR="00987E81">
        <w:t xml:space="preserve"> </w:t>
      </w:r>
      <w:r w:rsidR="00C477D9">
        <w:t xml:space="preserve">However, only in 3 to </w:t>
      </w:r>
      <w:r w:rsidRPr="00483921">
        <w:t xml:space="preserve">7% were discontinuations due to </w:t>
      </w:r>
      <w:r w:rsidR="00E5241D">
        <w:t>drug related</w:t>
      </w:r>
      <w:r w:rsidRPr="00483921">
        <w:t xml:space="preserve"> AEs.</w:t>
      </w:r>
      <w:r w:rsidR="00987E81">
        <w:t xml:space="preserve"> </w:t>
      </w:r>
      <w:r w:rsidRPr="00483921">
        <w:t>The breakdown of discontinuations was not shown in the summary data document.</w:t>
      </w:r>
    </w:p>
    <w:p w:rsidR="004538D9" w:rsidRPr="00635167" w:rsidRDefault="00483921" w:rsidP="00483921">
      <w:pPr>
        <w:pStyle w:val="Heading5"/>
      </w:pPr>
      <w:r>
        <w:t>Study P006</w:t>
      </w:r>
    </w:p>
    <w:p w:rsidR="002A3A8E" w:rsidRDefault="002A3A8E" w:rsidP="002A3A8E">
      <w:r w:rsidRPr="002A3A8E">
        <w:t xml:space="preserve">P006 was a randomised trial of pembrolizumab (including two arms: 10 mg/kg Q2W and 10 mg/kg Q3W, given for up to 2 years) </w:t>
      </w:r>
      <w:r w:rsidR="00987E81">
        <w:t>versus</w:t>
      </w:r>
      <w:r w:rsidRPr="002A3A8E">
        <w:t xml:space="preserve"> ipilimumab (3 mg/kg Q3W for 4 doses) in advanced melanoma patients naïve to ipilimumab.</w:t>
      </w:r>
      <w:r w:rsidR="00635167">
        <w:t xml:space="preserve"> </w:t>
      </w:r>
      <w:r w:rsidR="00C477D9">
        <w:t xml:space="preserve">There were 277 to </w:t>
      </w:r>
      <w:r w:rsidRPr="002A3A8E">
        <w:t>279 patients in each arm.</w:t>
      </w:r>
      <w:r w:rsidR="00635167">
        <w:t xml:space="preserve"> </w:t>
      </w:r>
      <w:r w:rsidRPr="002A3A8E">
        <w:t>Summary data were provided for review.</w:t>
      </w:r>
      <w:r w:rsidR="00635167">
        <w:t xml:space="preserve"> </w:t>
      </w:r>
      <w:r w:rsidRPr="002A3A8E">
        <w:t xml:space="preserve">Details are </w:t>
      </w:r>
      <w:r w:rsidR="00483921">
        <w:t>provided below</w:t>
      </w:r>
      <w:r w:rsidRPr="002A3A8E">
        <w:t>.</w:t>
      </w:r>
    </w:p>
    <w:p w:rsidR="00483921" w:rsidRDefault="00483921" w:rsidP="00483921">
      <w:r w:rsidRPr="00483921">
        <w:t>A Clinical Study Report (CSR) was not provided.</w:t>
      </w:r>
      <w:r w:rsidR="00987E81">
        <w:t xml:space="preserve"> </w:t>
      </w:r>
      <w:r w:rsidRPr="00483921">
        <w:t>An ‘early results memo’ dated 9 Feb 2015 with ‘top-line’ information was disclosed.</w:t>
      </w:r>
    </w:p>
    <w:p w:rsidR="00162BAF" w:rsidRDefault="00162BAF" w:rsidP="00483921">
      <w:r>
        <w:lastRenderedPageBreak/>
        <w:t>Please note that there are two separate reports provided by the Delegate with regard to P006, the initial one was for the request for</w:t>
      </w:r>
      <w:r w:rsidR="00987E81">
        <w:t xml:space="preserve"> </w:t>
      </w:r>
      <w:r>
        <w:t>ACPM Advice (dated</w:t>
      </w:r>
      <w:r w:rsidR="00D87A83">
        <w:t xml:space="preserve"> 17 February 2015</w:t>
      </w:r>
      <w:r>
        <w:t xml:space="preserve">) and a subsequent update of this which was provided as a late paper to the ACPM </w:t>
      </w:r>
      <w:r w:rsidR="00D87A83">
        <w:t>(</w:t>
      </w:r>
      <w:r>
        <w:t>dated</w:t>
      </w:r>
      <w:r w:rsidR="00D87A83">
        <w:t xml:space="preserve"> 27 March 2015)</w:t>
      </w:r>
    </w:p>
    <w:p w:rsidR="00162BAF" w:rsidRPr="00162BAF" w:rsidRDefault="00162BAF" w:rsidP="00483921">
      <w:pPr>
        <w:rPr>
          <w:b/>
        </w:rPr>
      </w:pPr>
      <w:r w:rsidRPr="00162BAF">
        <w:rPr>
          <w:b/>
        </w:rPr>
        <w:t>Description by the Delegate for the ACPM Summary of Study P006</w:t>
      </w:r>
      <w:r w:rsidR="00D87A83">
        <w:rPr>
          <w:b/>
        </w:rPr>
        <w:t xml:space="preserve"> (17 February 2015)</w:t>
      </w:r>
    </w:p>
    <w:p w:rsidR="00483921" w:rsidRPr="00483921" w:rsidRDefault="00483921" w:rsidP="00483921">
      <w:pPr>
        <w:pStyle w:val="Heading6"/>
      </w:pPr>
      <w:r w:rsidRPr="00483921">
        <w:t>Design and interventions</w:t>
      </w:r>
    </w:p>
    <w:p w:rsidR="00483921" w:rsidRPr="00483921" w:rsidRDefault="00483921" w:rsidP="00483921">
      <w:r w:rsidRPr="00483921">
        <w:t xml:space="preserve">P006 is a randomised, controlled trial of pembrolizumab </w:t>
      </w:r>
      <w:r w:rsidR="00987E81">
        <w:t>versus</w:t>
      </w:r>
      <w:r w:rsidRPr="00483921">
        <w:t xml:space="preserve"> ipilimumab in advanced melanoma patients naive to ipilimumab.</w:t>
      </w:r>
      <w:r w:rsidR="00987E81">
        <w:t xml:space="preserve"> </w:t>
      </w:r>
      <w:r w:rsidR="00C477D9">
        <w:t xml:space="preserve">The study was open label. </w:t>
      </w:r>
      <w:r w:rsidRPr="00483921">
        <w:t>Study enrolment was completed within 6 months, on 3 March 2014.</w:t>
      </w:r>
    </w:p>
    <w:p w:rsidR="00483921" w:rsidRPr="00483921" w:rsidRDefault="00483921" w:rsidP="00483921">
      <w:r w:rsidRPr="00483921">
        <w:t xml:space="preserve">The results reported are from the first interim analysis (data </w:t>
      </w:r>
      <w:r w:rsidR="00C22866">
        <w:t>cut off</w:t>
      </w:r>
      <w:r w:rsidRPr="00483921">
        <w:t xml:space="preserve"> for interim analysis 1 was 3 September 2014; database lock 4 February 2015), at which point all patients had been followed up for at least 6 months.</w:t>
      </w:r>
    </w:p>
    <w:p w:rsidR="00483921" w:rsidRPr="00483921" w:rsidRDefault="00483921" w:rsidP="00483921">
      <w:r w:rsidRPr="00483921">
        <w:t>834 patients were randomised 1:1:1 to receive:</w:t>
      </w:r>
    </w:p>
    <w:p w:rsidR="00483921" w:rsidRPr="00483921" w:rsidRDefault="00483921" w:rsidP="00483921">
      <w:pPr>
        <w:pStyle w:val="ListBullet"/>
      </w:pPr>
      <w:r w:rsidRPr="00483921">
        <w:t xml:space="preserve">IV pembrolizumab 10 mg/kg Q3W for up to 2 </w:t>
      </w:r>
      <w:r w:rsidR="007E34E3">
        <w:t>years</w:t>
      </w:r>
      <w:r w:rsidR="003B6B3F">
        <w:t xml:space="preserve"> (N = 277)</w:t>
      </w:r>
    </w:p>
    <w:p w:rsidR="00483921" w:rsidRPr="00483921" w:rsidRDefault="00483921" w:rsidP="00C3330B">
      <w:pPr>
        <w:pStyle w:val="ListBullet"/>
      </w:pPr>
      <w:r w:rsidRPr="00483921">
        <w:t xml:space="preserve">IV pembrolizumab 10 mg/kg Q2W for up to 2 </w:t>
      </w:r>
      <w:r w:rsidR="007E34E3">
        <w:t>years</w:t>
      </w:r>
      <w:r w:rsidR="003B6B3F">
        <w:t xml:space="preserve"> (N = 279)</w:t>
      </w:r>
    </w:p>
    <w:p w:rsidR="00483921" w:rsidRPr="00483921" w:rsidRDefault="00483921" w:rsidP="00483921">
      <w:pPr>
        <w:pStyle w:val="ListBullet"/>
      </w:pPr>
      <w:r w:rsidRPr="00483921">
        <w:t>ipilimumab 3 mg/kg Q3W for 4 doses</w:t>
      </w:r>
      <w:r w:rsidR="003B6B3F">
        <w:t xml:space="preserve"> (N = 278)</w:t>
      </w:r>
    </w:p>
    <w:p w:rsidR="003B6B3F" w:rsidRPr="003B6B3F" w:rsidRDefault="003B6B3F" w:rsidP="003B6B3F">
      <w:r w:rsidRPr="003B6B3F">
        <w:t xml:space="preserve">22 patients in the control arm and 1 in a pembrolizumab arm were randomised but did not receive assigned treatment, meaning the ‘all patients as treated’ cohort was slightly imbalanced (256 </w:t>
      </w:r>
      <w:r w:rsidR="00987E81">
        <w:t>versus</w:t>
      </w:r>
      <w:r w:rsidR="00C477D9">
        <w:t xml:space="preserve"> 277 to </w:t>
      </w:r>
      <w:r w:rsidRPr="003B6B3F">
        <w:t>278 patients).</w:t>
      </w:r>
    </w:p>
    <w:p w:rsidR="003B6B3F" w:rsidRPr="003B6B3F" w:rsidRDefault="003B6B3F" w:rsidP="003B6B3F">
      <w:r w:rsidRPr="003B6B3F">
        <w:t xml:space="preserve">Randomisation was stratified by ECOG performance status (0 </w:t>
      </w:r>
      <w:r w:rsidR="00987E81">
        <w:t>versus</w:t>
      </w:r>
      <w:r w:rsidRPr="003B6B3F">
        <w:t xml:space="preserve"> 1), line of therapy (1st </w:t>
      </w:r>
      <w:r w:rsidR="00987E81">
        <w:t>versus</w:t>
      </w:r>
      <w:r w:rsidRPr="003B6B3F">
        <w:t xml:space="preserve"> 2nd) and tumour PD-L1 status (high positive </w:t>
      </w:r>
      <w:r w:rsidR="00987E81">
        <w:t>versus</w:t>
      </w:r>
      <w:r w:rsidRPr="003B6B3F">
        <w:t xml:space="preserve"> low positive by IHC, which the sponsor clarifies is equivalent to PD-L1 positive and negative as per P001).</w:t>
      </w:r>
    </w:p>
    <w:p w:rsidR="003B6B3F" w:rsidRPr="003B6B3F" w:rsidRDefault="003B6B3F" w:rsidP="003B6B3F">
      <w:pPr>
        <w:pStyle w:val="Heading6"/>
      </w:pPr>
      <w:r w:rsidRPr="003B6B3F">
        <w:t>Inclusion and exclusion criteria</w:t>
      </w:r>
    </w:p>
    <w:p w:rsidR="003B6B3F" w:rsidRPr="003B6B3F" w:rsidRDefault="003B6B3F" w:rsidP="003B6B3F">
      <w:r w:rsidRPr="003B6B3F">
        <w:t>The study sample was defined as follows:</w:t>
      </w:r>
    </w:p>
    <w:p w:rsidR="003B6B3F" w:rsidRPr="003B6B3F" w:rsidRDefault="003B6B3F" w:rsidP="003B6B3F">
      <w:pPr>
        <w:ind w:left="720"/>
      </w:pPr>
      <w:r w:rsidRPr="003B6B3F">
        <w:t xml:space="preserve">Patients with a diagnosis of unresectable or metastatic </w:t>
      </w:r>
      <w:r w:rsidR="00C477D9">
        <w:t>melanoma</w:t>
      </w:r>
      <w:r w:rsidRPr="003B6B3F">
        <w:t xml:space="preserve"> that have not received IPI treatment may be enrolled. Patients must have measureable disease as defined by RECIST version 1.1</w:t>
      </w:r>
    </w:p>
    <w:p w:rsidR="003B6B3F" w:rsidRPr="003B6B3F" w:rsidRDefault="003B6B3F" w:rsidP="003B6B3F">
      <w:r w:rsidRPr="003B6B3F">
        <w:t>Details of inclusion and exclusion criteria were not supplied.</w:t>
      </w:r>
    </w:p>
    <w:p w:rsidR="003B6B3F" w:rsidRPr="003B6B3F" w:rsidRDefault="003B6B3F" w:rsidP="003B6B3F">
      <w:pPr>
        <w:pStyle w:val="Heading6"/>
      </w:pPr>
      <w:r w:rsidRPr="003B6B3F">
        <w:t>Baseline characteristics</w:t>
      </w:r>
    </w:p>
    <w:p w:rsidR="003B6B3F" w:rsidRDefault="00C477D9" w:rsidP="003B6B3F">
      <w:r>
        <w:t>Baseline characteristics within the ITT population are shown in Table 31.</w:t>
      </w:r>
    </w:p>
    <w:p w:rsidR="00E57016" w:rsidRPr="003B6B3F" w:rsidRDefault="00C14200" w:rsidP="00E57016">
      <w:pPr>
        <w:pStyle w:val="TableTitle"/>
      </w:pPr>
      <w:proofErr w:type="gramStart"/>
      <w:r>
        <w:lastRenderedPageBreak/>
        <w:t>Table 31</w:t>
      </w:r>
      <w:r w:rsidR="00E57016">
        <w:t>.</w:t>
      </w:r>
      <w:proofErr w:type="gramEnd"/>
      <w:r w:rsidR="00E57016">
        <w:t xml:space="preserve"> Baseline characteristics within the ITT population Study P006</w:t>
      </w:r>
    </w:p>
    <w:p w:rsidR="00483921" w:rsidRDefault="003B6B3F" w:rsidP="003B6B3F">
      <w:r>
        <w:rPr>
          <w:noProof/>
          <w:lang w:eastAsia="en-AU"/>
        </w:rPr>
        <w:drawing>
          <wp:inline distT="0" distB="0" distL="0" distR="0" wp14:anchorId="5B63BDB3" wp14:editId="1C716501">
            <wp:extent cx="5037588" cy="4718304"/>
            <wp:effectExtent l="0" t="0" r="0" b="6350"/>
            <wp:docPr id="9" name="Picture 9" descr="Table 31. Baseline characteristics within the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38916" cy="4719548"/>
                    </a:xfrm>
                    <a:prstGeom prst="rect">
                      <a:avLst/>
                    </a:prstGeom>
                  </pic:spPr>
                </pic:pic>
              </a:graphicData>
            </a:graphic>
          </wp:inline>
        </w:drawing>
      </w:r>
    </w:p>
    <w:p w:rsidR="00C14200" w:rsidRDefault="00C14200" w:rsidP="00C14200">
      <w:pPr>
        <w:pStyle w:val="TableTitle"/>
      </w:pPr>
      <w:proofErr w:type="gramStart"/>
      <w:r>
        <w:lastRenderedPageBreak/>
        <w:t>Table 31 (</w:t>
      </w:r>
      <w:proofErr w:type="spellStart"/>
      <w:r>
        <w:t>cont</w:t>
      </w:r>
      <w:proofErr w:type="spellEnd"/>
      <w:r>
        <w:t>).</w:t>
      </w:r>
      <w:proofErr w:type="gramEnd"/>
      <w:r>
        <w:t xml:space="preserve"> Baseline characteristics within the ITT population Study P006</w:t>
      </w:r>
    </w:p>
    <w:p w:rsidR="00483921" w:rsidRDefault="003B6B3F" w:rsidP="002A3A8E">
      <w:pPr>
        <w:rPr>
          <w:rFonts w:asciiTheme="minorHAnsi" w:hAnsiTheme="minorHAnsi"/>
          <w:sz w:val="24"/>
          <w:szCs w:val="24"/>
        </w:rPr>
      </w:pPr>
      <w:r>
        <w:rPr>
          <w:noProof/>
          <w:lang w:eastAsia="en-AU"/>
        </w:rPr>
        <w:drawing>
          <wp:inline distT="0" distB="0" distL="0" distR="0" wp14:anchorId="453C9D32" wp14:editId="41676C18">
            <wp:extent cx="5151946" cy="4988967"/>
            <wp:effectExtent l="0" t="0" r="0" b="2540"/>
            <wp:docPr id="11" name="Picture 11" descr="Table 31 (cont). Baseline characteristics within the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53304" cy="4990282"/>
                    </a:xfrm>
                    <a:prstGeom prst="rect">
                      <a:avLst/>
                    </a:prstGeom>
                  </pic:spPr>
                </pic:pic>
              </a:graphicData>
            </a:graphic>
          </wp:inline>
        </w:drawing>
      </w:r>
    </w:p>
    <w:p w:rsidR="007C23CC" w:rsidRDefault="007C23CC" w:rsidP="007C23CC">
      <w:pPr>
        <w:pStyle w:val="TableTitle"/>
      </w:pPr>
      <w:proofErr w:type="gramStart"/>
      <w:r>
        <w:lastRenderedPageBreak/>
        <w:t>Table 31 (</w:t>
      </w:r>
      <w:proofErr w:type="spellStart"/>
      <w:r>
        <w:t>cont</w:t>
      </w:r>
      <w:proofErr w:type="spellEnd"/>
      <w:r>
        <w:t>).</w:t>
      </w:r>
      <w:proofErr w:type="gramEnd"/>
      <w:r>
        <w:t xml:space="preserve"> Baseline characteristics within the ITT population Study P006</w:t>
      </w:r>
    </w:p>
    <w:p w:rsidR="00483921" w:rsidRDefault="00E57016" w:rsidP="002A3A8E">
      <w:pPr>
        <w:rPr>
          <w:rFonts w:asciiTheme="minorHAnsi" w:hAnsiTheme="minorHAnsi"/>
          <w:sz w:val="24"/>
          <w:szCs w:val="24"/>
        </w:rPr>
      </w:pPr>
      <w:r>
        <w:rPr>
          <w:noProof/>
          <w:lang w:eastAsia="en-AU"/>
        </w:rPr>
        <w:drawing>
          <wp:inline distT="0" distB="0" distL="0" distR="0" wp14:anchorId="37AAA1E5" wp14:editId="2811AB7B">
            <wp:extent cx="5220997" cy="7249363"/>
            <wp:effectExtent l="0" t="0" r="0" b="8890"/>
            <wp:docPr id="12" name="Picture 12" descr="Table 31 (cont). Baseline characteristics within the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22373" cy="7251274"/>
                    </a:xfrm>
                    <a:prstGeom prst="rect">
                      <a:avLst/>
                    </a:prstGeom>
                  </pic:spPr>
                </pic:pic>
              </a:graphicData>
            </a:graphic>
          </wp:inline>
        </w:drawing>
      </w:r>
    </w:p>
    <w:p w:rsidR="00E57016" w:rsidRPr="00E57016" w:rsidRDefault="00E57016" w:rsidP="00E57016">
      <w:pPr>
        <w:pStyle w:val="Heading6"/>
      </w:pPr>
      <w:r w:rsidRPr="00E57016">
        <w:t>Efficacy methodology</w:t>
      </w:r>
    </w:p>
    <w:p w:rsidR="00E57016" w:rsidRPr="00E57016" w:rsidRDefault="00E57016" w:rsidP="00E57016">
      <w:r w:rsidRPr="00E57016">
        <w:t>The primary efficacy endpoints were PFS (</w:t>
      </w:r>
      <w:r w:rsidR="00C477D9" w:rsidRPr="00E57016">
        <w:t xml:space="preserve">independent radiologist plus oncologist </w:t>
      </w:r>
      <w:r w:rsidRPr="00E57016">
        <w:t>review, per RECIST 1.1) and OS.</w:t>
      </w:r>
      <w:r w:rsidR="00987E81">
        <w:t xml:space="preserve"> </w:t>
      </w:r>
      <w:r w:rsidRPr="00E57016">
        <w:t>Secondary endpoints included ORR (confirmed responses from blinded central review) and response duration.</w:t>
      </w:r>
      <w:r w:rsidR="00987E81">
        <w:t xml:space="preserve"> </w:t>
      </w:r>
      <w:r w:rsidRPr="00E57016">
        <w:t>Exploratory outcomes included quality of life.</w:t>
      </w:r>
    </w:p>
    <w:p w:rsidR="00E57016" w:rsidRPr="00E57016" w:rsidRDefault="00C477D9" w:rsidP="00E57016">
      <w:r>
        <w:t xml:space="preserve">Investigator </w:t>
      </w:r>
      <w:r w:rsidR="00E57016" w:rsidRPr="00E57016">
        <w:t xml:space="preserve">assessed response was according to </w:t>
      </w:r>
      <w:r w:rsidR="00987E81">
        <w:t>immune related</w:t>
      </w:r>
      <w:r w:rsidR="00E57016" w:rsidRPr="00E57016">
        <w:t xml:space="preserve"> response criteria.</w:t>
      </w:r>
    </w:p>
    <w:p w:rsidR="00E57016" w:rsidRPr="00E57016" w:rsidRDefault="00E57016" w:rsidP="00E57016">
      <w:pPr>
        <w:pStyle w:val="Heading6"/>
      </w:pPr>
      <w:r w:rsidRPr="00E57016">
        <w:lastRenderedPageBreak/>
        <w:t>Efficacy results</w:t>
      </w:r>
    </w:p>
    <w:p w:rsidR="00E57016" w:rsidRPr="00E57016" w:rsidRDefault="00C477D9" w:rsidP="00E57016">
      <w:r>
        <w:t xml:space="preserve">Progression </w:t>
      </w:r>
      <w:r w:rsidR="00E57016" w:rsidRPr="00E57016">
        <w:t>free survival (IRO using RECIST 1.1)</w:t>
      </w:r>
      <w:r>
        <w:t xml:space="preserve"> is shown in Table 32 and Figure 17.</w:t>
      </w:r>
    </w:p>
    <w:p w:rsidR="00483921" w:rsidRPr="00E57016" w:rsidRDefault="007C23CC" w:rsidP="00E57016">
      <w:pPr>
        <w:pStyle w:val="TableTitle"/>
      </w:pPr>
      <w:proofErr w:type="gramStart"/>
      <w:r>
        <w:t>Table 32</w:t>
      </w:r>
      <w:r w:rsidR="00E57016" w:rsidRPr="00E57016">
        <w:t>.</w:t>
      </w:r>
      <w:proofErr w:type="gramEnd"/>
      <w:r w:rsidR="00E57016" w:rsidRPr="00E57016">
        <w:t xml:space="preserve"> Analysis of progression free survival based on ITO assessme</w:t>
      </w:r>
      <w:r w:rsidR="00E57016">
        <w:t>nt (primary censoring rule) (ITT</w:t>
      </w:r>
      <w:r w:rsidR="00E57016" w:rsidRPr="00E57016">
        <w:t xml:space="preserve"> population)</w:t>
      </w:r>
    </w:p>
    <w:p w:rsidR="00483921" w:rsidRPr="00E57016" w:rsidRDefault="00E57016" w:rsidP="00E57016">
      <w:r>
        <w:rPr>
          <w:noProof/>
          <w:lang w:eastAsia="en-AU"/>
        </w:rPr>
        <w:drawing>
          <wp:inline distT="0" distB="0" distL="0" distR="0" wp14:anchorId="48EC46A1" wp14:editId="2B5E6A21">
            <wp:extent cx="5400040" cy="1461357"/>
            <wp:effectExtent l="0" t="0" r="0" b="5715"/>
            <wp:docPr id="14" name="Picture 14" descr="Table 32. Analysis of progression free survival based on ITO assessment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1461357"/>
                    </a:xfrm>
                    <a:prstGeom prst="rect">
                      <a:avLst/>
                    </a:prstGeom>
                  </pic:spPr>
                </pic:pic>
              </a:graphicData>
            </a:graphic>
          </wp:inline>
        </w:drawing>
      </w:r>
    </w:p>
    <w:p w:rsidR="00483921" w:rsidRPr="00E57016" w:rsidRDefault="00E57016" w:rsidP="00E57016">
      <w:pPr>
        <w:pStyle w:val="FigureTitle"/>
      </w:pPr>
      <w:proofErr w:type="gramStart"/>
      <w:r w:rsidRPr="00E57016">
        <w:t xml:space="preserve">Figure </w:t>
      </w:r>
      <w:r w:rsidR="007C23CC">
        <w:t>17</w:t>
      </w:r>
      <w:r w:rsidRPr="00E57016">
        <w:t>.</w:t>
      </w:r>
      <w:proofErr w:type="gramEnd"/>
      <w:r w:rsidRPr="00E57016">
        <w:t xml:space="preserve"> Kaplan-Meier of progression free survival based on IRO assessment (primary censoring rule) (ITT population)</w:t>
      </w:r>
    </w:p>
    <w:p w:rsidR="00483921" w:rsidRPr="00E57016" w:rsidRDefault="00196CF7" w:rsidP="00E57016">
      <w:r>
        <w:rPr>
          <w:noProof/>
          <w:lang w:eastAsia="en-AU"/>
        </w:rPr>
        <w:drawing>
          <wp:inline distT="0" distB="0" distL="0" distR="0" wp14:anchorId="601A2D15" wp14:editId="67406833">
            <wp:extent cx="5276850" cy="3924300"/>
            <wp:effectExtent l="0" t="0" r="0" b="0"/>
            <wp:docPr id="15" name="Picture 15" descr="Figure 17. Kaplan-Meier of progression free survival based on IRO assessment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6850" cy="3924300"/>
                    </a:xfrm>
                    <a:prstGeom prst="rect">
                      <a:avLst/>
                    </a:prstGeom>
                  </pic:spPr>
                </pic:pic>
              </a:graphicData>
            </a:graphic>
          </wp:inline>
        </w:drawing>
      </w:r>
    </w:p>
    <w:p w:rsidR="00483921" w:rsidRPr="00E57016" w:rsidRDefault="007C23CC" w:rsidP="00196CF7">
      <w:pPr>
        <w:pStyle w:val="FigureTitle"/>
      </w:pPr>
      <w:proofErr w:type="gramStart"/>
      <w:r>
        <w:lastRenderedPageBreak/>
        <w:t>Figure 18.</w:t>
      </w:r>
      <w:proofErr w:type="gramEnd"/>
      <w:r>
        <w:t xml:space="preserve"> F</w:t>
      </w:r>
      <w:r w:rsidR="00196CF7">
        <w:t>orest plot of PFS hazard ratio by subgroup factors IRO assessment (primary censoring rule) MK 10 mg/kg Q3W versus control</w:t>
      </w:r>
    </w:p>
    <w:p w:rsidR="00483921" w:rsidRDefault="00196CF7" w:rsidP="00E57016">
      <w:r>
        <w:rPr>
          <w:noProof/>
          <w:lang w:eastAsia="en-AU"/>
        </w:rPr>
        <w:drawing>
          <wp:inline distT="0" distB="0" distL="0" distR="0" wp14:anchorId="2CEA6A1C" wp14:editId="37F57822">
            <wp:extent cx="5400040" cy="4078299"/>
            <wp:effectExtent l="0" t="0" r="0" b="0"/>
            <wp:docPr id="16" name="Picture 16" descr="Figure 18. Forest plot of PFS hazard ratio by subgroup factors IRO assessment (primary censoring rule) MK 10 mg/kg Q3W versu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400040" cy="4078299"/>
                    </a:xfrm>
                    <a:prstGeom prst="rect">
                      <a:avLst/>
                    </a:prstGeom>
                  </pic:spPr>
                </pic:pic>
              </a:graphicData>
            </a:graphic>
          </wp:inline>
        </w:drawing>
      </w:r>
    </w:p>
    <w:p w:rsidR="00196CF7" w:rsidRPr="00196CF7" w:rsidRDefault="00196CF7" w:rsidP="00196CF7">
      <w:pPr>
        <w:pStyle w:val="Heading6"/>
      </w:pPr>
      <w:r w:rsidRPr="00196CF7">
        <w:t xml:space="preserve">Progression-free survival (investigator using </w:t>
      </w:r>
      <w:r w:rsidR="00987E81">
        <w:t>immune related</w:t>
      </w:r>
      <w:r w:rsidRPr="00196CF7">
        <w:t xml:space="preserve"> response criteria)</w:t>
      </w:r>
    </w:p>
    <w:p w:rsidR="00196CF7" w:rsidRDefault="007C23CC" w:rsidP="00196CF7">
      <w:pPr>
        <w:pStyle w:val="TableTitle"/>
      </w:pPr>
      <w:proofErr w:type="gramStart"/>
      <w:r>
        <w:t>Table 33</w:t>
      </w:r>
      <w:r w:rsidR="00196CF7">
        <w:t>.</w:t>
      </w:r>
      <w:proofErr w:type="gramEnd"/>
      <w:r w:rsidR="00196CF7">
        <w:t xml:space="preserve"> </w:t>
      </w:r>
      <w:proofErr w:type="gramStart"/>
      <w:r w:rsidR="00196CF7">
        <w:t>analysis</w:t>
      </w:r>
      <w:proofErr w:type="gramEnd"/>
      <w:r w:rsidR="00196CF7">
        <w:t xml:space="preserve"> of progression free survival based on investigator assessment per </w:t>
      </w:r>
      <w:proofErr w:type="spellStart"/>
      <w:r w:rsidR="00196CF7">
        <w:t>irRC</w:t>
      </w:r>
      <w:proofErr w:type="spellEnd"/>
      <w:r w:rsidR="00196CF7">
        <w:t xml:space="preserve"> (primary censoring rule) (ITT population)</w:t>
      </w:r>
    </w:p>
    <w:p w:rsidR="00196CF7" w:rsidRDefault="00196CF7" w:rsidP="00196CF7">
      <w:r>
        <w:rPr>
          <w:noProof/>
          <w:lang w:eastAsia="en-AU"/>
        </w:rPr>
        <w:drawing>
          <wp:inline distT="0" distB="0" distL="0" distR="0" wp14:anchorId="5F0E8086" wp14:editId="4A657C28">
            <wp:extent cx="5400040" cy="1453857"/>
            <wp:effectExtent l="0" t="0" r="0" b="0"/>
            <wp:docPr id="17" name="Picture 17" descr="Table 33. analysis of progression free survival based on investigator assessment per irRC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1453857"/>
                    </a:xfrm>
                    <a:prstGeom prst="rect">
                      <a:avLst/>
                    </a:prstGeom>
                  </pic:spPr>
                </pic:pic>
              </a:graphicData>
            </a:graphic>
          </wp:inline>
        </w:drawing>
      </w:r>
    </w:p>
    <w:p w:rsidR="00196CF7" w:rsidRDefault="007C23CC" w:rsidP="00196CF7">
      <w:pPr>
        <w:pStyle w:val="FigureTitle"/>
      </w:pPr>
      <w:proofErr w:type="gramStart"/>
      <w:r>
        <w:lastRenderedPageBreak/>
        <w:t>Figure 19</w:t>
      </w:r>
      <w:r w:rsidR="00196CF7">
        <w:t>.</w:t>
      </w:r>
      <w:proofErr w:type="gramEnd"/>
      <w:r w:rsidR="00196CF7">
        <w:t xml:space="preserve"> Kaplan-Meier of progression free survival based on investigator assessment per </w:t>
      </w:r>
      <w:proofErr w:type="spellStart"/>
      <w:r w:rsidR="00196CF7">
        <w:t>irRC</w:t>
      </w:r>
      <w:proofErr w:type="spellEnd"/>
      <w:r w:rsidR="00196CF7">
        <w:t xml:space="preserve"> (primary censoring rule) (ITT population)</w:t>
      </w:r>
    </w:p>
    <w:p w:rsidR="00196CF7" w:rsidRDefault="00196CF7" w:rsidP="00196CF7">
      <w:r>
        <w:rPr>
          <w:noProof/>
          <w:lang w:eastAsia="en-AU"/>
        </w:rPr>
        <w:drawing>
          <wp:inline distT="0" distB="0" distL="0" distR="0" wp14:anchorId="3258DE74" wp14:editId="165ACC67">
            <wp:extent cx="5400040" cy="4018876"/>
            <wp:effectExtent l="0" t="0" r="0" b="1270"/>
            <wp:docPr id="18" name="Picture 18" descr="Figure 19. Kaplan-Meier of progression free survival based on investigator assessment per irRC (primary censoring ru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400040" cy="4018876"/>
                    </a:xfrm>
                    <a:prstGeom prst="rect">
                      <a:avLst/>
                    </a:prstGeom>
                  </pic:spPr>
                </pic:pic>
              </a:graphicData>
            </a:graphic>
          </wp:inline>
        </w:drawing>
      </w:r>
    </w:p>
    <w:p w:rsidR="00196CF7" w:rsidRDefault="00196CF7" w:rsidP="00196CF7">
      <w:pPr>
        <w:pStyle w:val="Heading6"/>
      </w:pPr>
      <w:r>
        <w:t>Overall survival</w:t>
      </w:r>
    </w:p>
    <w:p w:rsidR="00196CF7" w:rsidRDefault="007C23CC" w:rsidP="007C23CC">
      <w:pPr>
        <w:pStyle w:val="Tabletitle0"/>
      </w:pPr>
      <w:proofErr w:type="gramStart"/>
      <w:r>
        <w:t>Table 34.</w:t>
      </w:r>
      <w:proofErr w:type="gramEnd"/>
      <w:r>
        <w:t xml:space="preserve"> A</w:t>
      </w:r>
      <w:r w:rsidR="00196CF7">
        <w:t>nalysis of overall survival (ITT population)</w:t>
      </w:r>
      <w:r>
        <w:t xml:space="preserve"> Study P006</w:t>
      </w:r>
    </w:p>
    <w:p w:rsidR="00196CF7" w:rsidRDefault="00196CF7" w:rsidP="00196CF7">
      <w:r>
        <w:rPr>
          <w:noProof/>
          <w:lang w:eastAsia="en-AU"/>
        </w:rPr>
        <w:drawing>
          <wp:inline distT="0" distB="0" distL="0" distR="0" wp14:anchorId="3460511A" wp14:editId="6E14296F">
            <wp:extent cx="5400040" cy="1556550"/>
            <wp:effectExtent l="0" t="0" r="0" b="5715"/>
            <wp:docPr id="19" name="Picture 19" descr="Table 34. Analysis of overall survival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1556550"/>
                    </a:xfrm>
                    <a:prstGeom prst="rect">
                      <a:avLst/>
                    </a:prstGeom>
                  </pic:spPr>
                </pic:pic>
              </a:graphicData>
            </a:graphic>
          </wp:inline>
        </w:drawing>
      </w:r>
    </w:p>
    <w:p w:rsidR="00196CF7" w:rsidRDefault="007C23CC" w:rsidP="001B38BD">
      <w:pPr>
        <w:pStyle w:val="FigureTitle"/>
      </w:pPr>
      <w:proofErr w:type="gramStart"/>
      <w:r>
        <w:lastRenderedPageBreak/>
        <w:t>Figure 20.</w:t>
      </w:r>
      <w:proofErr w:type="gramEnd"/>
      <w:r w:rsidR="001B38BD">
        <w:t xml:space="preserve"> Kaplan-Meier of overall survival (ITT population)</w:t>
      </w:r>
      <w:r>
        <w:t xml:space="preserve"> Study P006</w:t>
      </w:r>
    </w:p>
    <w:p w:rsidR="00196CF7" w:rsidRDefault="001B38BD" w:rsidP="00196CF7">
      <w:r>
        <w:rPr>
          <w:noProof/>
          <w:lang w:eastAsia="en-AU"/>
        </w:rPr>
        <w:drawing>
          <wp:inline distT="0" distB="0" distL="0" distR="0" wp14:anchorId="1686831C" wp14:editId="41607F58">
            <wp:extent cx="4962525" cy="3629025"/>
            <wp:effectExtent l="0" t="0" r="9525" b="9525"/>
            <wp:docPr id="20" name="Picture 20" descr="Figure 20. Kaplan-Meier of overall survival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Lst>
                    </a:blip>
                    <a:stretch>
                      <a:fillRect/>
                    </a:stretch>
                  </pic:blipFill>
                  <pic:spPr>
                    <a:xfrm>
                      <a:off x="0" y="0"/>
                      <a:ext cx="4962525" cy="3629025"/>
                    </a:xfrm>
                    <a:prstGeom prst="rect">
                      <a:avLst/>
                    </a:prstGeom>
                  </pic:spPr>
                </pic:pic>
              </a:graphicData>
            </a:graphic>
          </wp:inline>
        </w:drawing>
      </w:r>
    </w:p>
    <w:p w:rsidR="001B38BD" w:rsidRDefault="007C23CC" w:rsidP="001B38BD">
      <w:pPr>
        <w:pStyle w:val="FigureTitle"/>
      </w:pPr>
      <w:proofErr w:type="gramStart"/>
      <w:r>
        <w:t>Figure 21</w:t>
      </w:r>
      <w:r w:rsidR="001B38BD">
        <w:t>.</w:t>
      </w:r>
      <w:proofErr w:type="gramEnd"/>
      <w:r w:rsidR="001B38BD">
        <w:t xml:space="preserve"> Forest pole of OS hazard ratio by subgroup factors MK3475 10 mg/kg Q3W versus control</w:t>
      </w:r>
    </w:p>
    <w:p w:rsidR="001B38BD" w:rsidRDefault="001B38BD" w:rsidP="001B38BD">
      <w:r>
        <w:rPr>
          <w:noProof/>
          <w:lang w:eastAsia="en-AU"/>
        </w:rPr>
        <w:drawing>
          <wp:inline distT="0" distB="0" distL="0" distR="0" wp14:anchorId="2E023952" wp14:editId="265DDD47">
            <wp:extent cx="5400040" cy="4050030"/>
            <wp:effectExtent l="0" t="0" r="0" b="7620"/>
            <wp:docPr id="23" name="Picture 23" descr="Figure 21. Forest pole of OS hazard ratio by subgroup factors MK3475 10 mg/kg Q3W versu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4050030"/>
                    </a:xfrm>
                    <a:prstGeom prst="rect">
                      <a:avLst/>
                    </a:prstGeom>
                  </pic:spPr>
                </pic:pic>
              </a:graphicData>
            </a:graphic>
          </wp:inline>
        </w:drawing>
      </w:r>
    </w:p>
    <w:p w:rsidR="001B38BD" w:rsidRDefault="001B38BD" w:rsidP="001B38BD">
      <w:pPr>
        <w:pStyle w:val="Heading6"/>
      </w:pPr>
      <w:r>
        <w:lastRenderedPageBreak/>
        <w:t>Objective response</w:t>
      </w:r>
    </w:p>
    <w:p w:rsidR="001B38BD" w:rsidRDefault="00B15090" w:rsidP="001B38BD">
      <w:pPr>
        <w:pStyle w:val="TableTitle"/>
      </w:pPr>
      <w:proofErr w:type="gramStart"/>
      <w:r>
        <w:t>Table 35</w:t>
      </w:r>
      <w:r w:rsidR="001B38BD">
        <w:t>.</w:t>
      </w:r>
      <w:proofErr w:type="gramEnd"/>
      <w:r w:rsidR="001B38BD">
        <w:t xml:space="preserve"> Analysis of overall response based on IRO </w:t>
      </w:r>
      <w:r>
        <w:t>assessment</w:t>
      </w:r>
      <w:r w:rsidR="001B38BD">
        <w:t xml:space="preserve"> per RECIST 1.1 (ITT population</w:t>
      </w:r>
      <w:r w:rsidR="001E1CF4">
        <w:t>) Study P006</w:t>
      </w:r>
    </w:p>
    <w:p w:rsidR="001B38BD" w:rsidRDefault="001B38BD" w:rsidP="001B38BD">
      <w:r>
        <w:rPr>
          <w:noProof/>
          <w:lang w:eastAsia="en-AU"/>
        </w:rPr>
        <w:drawing>
          <wp:inline distT="0" distB="0" distL="0" distR="0" wp14:anchorId="79FEA224" wp14:editId="389F2582">
            <wp:extent cx="5400040" cy="1860883"/>
            <wp:effectExtent l="0" t="0" r="0" b="6350"/>
            <wp:docPr id="24" name="Picture 24" descr="Table 35. Analysis of overall response based on IRO assessment per RECIST 1.1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1860883"/>
                    </a:xfrm>
                    <a:prstGeom prst="rect">
                      <a:avLst/>
                    </a:prstGeom>
                  </pic:spPr>
                </pic:pic>
              </a:graphicData>
            </a:graphic>
          </wp:inline>
        </w:drawing>
      </w:r>
    </w:p>
    <w:p w:rsidR="001B38BD" w:rsidRDefault="00B15090" w:rsidP="001B38BD">
      <w:pPr>
        <w:pStyle w:val="TableTitle"/>
      </w:pPr>
      <w:proofErr w:type="gramStart"/>
      <w:r>
        <w:t>Table 36.</w:t>
      </w:r>
      <w:proofErr w:type="gramEnd"/>
      <w:r w:rsidR="001B38BD">
        <w:t xml:space="preserve"> Summary of time to response and response duration for subjects with objective response (ITT population)</w:t>
      </w:r>
      <w:r>
        <w:t xml:space="preserve"> Study P006</w:t>
      </w:r>
    </w:p>
    <w:p w:rsidR="001B38BD" w:rsidRDefault="001B38BD" w:rsidP="001B38BD">
      <w:r>
        <w:rPr>
          <w:noProof/>
          <w:lang w:eastAsia="en-AU"/>
        </w:rPr>
        <w:drawing>
          <wp:inline distT="0" distB="0" distL="0" distR="0" wp14:anchorId="4C6EAB64" wp14:editId="4CB1F9E3">
            <wp:extent cx="5400040" cy="4129069"/>
            <wp:effectExtent l="0" t="0" r="0" b="5080"/>
            <wp:docPr id="25" name="Picture 25" descr="Table 36. Summary of time to response and response duration for subjects with objective response (IT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4129069"/>
                    </a:xfrm>
                    <a:prstGeom prst="rect">
                      <a:avLst/>
                    </a:prstGeom>
                  </pic:spPr>
                </pic:pic>
              </a:graphicData>
            </a:graphic>
          </wp:inline>
        </w:drawing>
      </w:r>
    </w:p>
    <w:p w:rsidR="001B38BD" w:rsidRPr="001B38BD" w:rsidRDefault="001B38BD" w:rsidP="001B38BD">
      <w:pPr>
        <w:pStyle w:val="Heading6"/>
      </w:pPr>
      <w:r w:rsidRPr="001B38BD">
        <w:t>Safety results</w:t>
      </w:r>
    </w:p>
    <w:p w:rsidR="001B38BD" w:rsidRPr="001B38BD" w:rsidRDefault="001B38BD" w:rsidP="001B38BD">
      <w:r w:rsidRPr="001B38BD">
        <w:t>Mean number of IPI doses was 3.3; median number was 4.</w:t>
      </w:r>
      <w:r w:rsidR="00987E81">
        <w:t xml:space="preserve"> </w:t>
      </w:r>
      <w:r w:rsidRPr="001B38BD">
        <w:t xml:space="preserve">Doses were given over a mean of </w:t>
      </w:r>
      <w:r w:rsidR="00987E81">
        <w:t xml:space="preserve">approximately </w:t>
      </w:r>
      <w:r w:rsidRPr="001B38BD">
        <w:t>50 days (from first to last dose).</w:t>
      </w:r>
    </w:p>
    <w:p w:rsidR="001B38BD" w:rsidRPr="001B38BD" w:rsidRDefault="001B38BD" w:rsidP="001B38BD">
      <w:r w:rsidRPr="001B38BD">
        <w:t>Mean exposure to pembrolizumab was over 164 days (10 mg/kg Q2W) and 151 days (10 mg/kg Q3W).</w:t>
      </w:r>
    </w:p>
    <w:p w:rsidR="001B38BD" w:rsidRPr="001B38BD" w:rsidRDefault="001B38BD" w:rsidP="001B38BD">
      <w:r w:rsidRPr="001B38BD">
        <w:t>AE data reflect cumulative incidences of AEs, not incidence rates.</w:t>
      </w:r>
      <w:r w:rsidR="00987E81">
        <w:t xml:space="preserve"> </w:t>
      </w:r>
      <w:r w:rsidRPr="001B38BD">
        <w:t>Patients on IPI were followed during treatment and after completing IPI every 3 weeks until disease progression or other discontinuation criteria were met.</w:t>
      </w:r>
      <w:r w:rsidR="00987E81">
        <w:t xml:space="preserve"> </w:t>
      </w:r>
      <w:r w:rsidRPr="001B38BD">
        <w:t xml:space="preserve">This implies that AEs for IPI include AEs well after the 4th dose; the early results memo was not sufficiently detailed to </w:t>
      </w:r>
      <w:r w:rsidRPr="001B38BD">
        <w:lastRenderedPageBreak/>
        <w:t>explore this issue further.</w:t>
      </w:r>
      <w:r w:rsidR="00987E81">
        <w:t xml:space="preserve"> </w:t>
      </w:r>
      <w:r w:rsidRPr="001B38BD">
        <w:t>The sponsor does note though, that patients on IPI generally had earlier disease progression, and the IPI arm had a higher rate of progression.</w:t>
      </w:r>
    </w:p>
    <w:p w:rsidR="001B38BD" w:rsidRDefault="00B15090" w:rsidP="001B38BD">
      <w:pPr>
        <w:pStyle w:val="TableTitle"/>
      </w:pPr>
      <w:proofErr w:type="gramStart"/>
      <w:r>
        <w:t>Table 37</w:t>
      </w:r>
      <w:r w:rsidR="001B38BD">
        <w:t>.</w:t>
      </w:r>
      <w:proofErr w:type="gramEnd"/>
      <w:r w:rsidR="001B38BD">
        <w:t xml:space="preserve"> Adverse event summary (</w:t>
      </w:r>
      <w:proofErr w:type="spellStart"/>
      <w:r w:rsidR="001B38BD">
        <w:t>APaT</w:t>
      </w:r>
      <w:proofErr w:type="spellEnd"/>
      <w:r w:rsidR="001B38BD">
        <w:t xml:space="preserve"> population)</w:t>
      </w:r>
      <w:r>
        <w:t xml:space="preserve"> Study P006</w:t>
      </w:r>
    </w:p>
    <w:p w:rsidR="001B38BD" w:rsidRDefault="001B38BD" w:rsidP="001B38BD">
      <w:r>
        <w:rPr>
          <w:noProof/>
          <w:lang w:eastAsia="en-AU"/>
        </w:rPr>
        <w:drawing>
          <wp:inline distT="0" distB="0" distL="0" distR="0" wp14:anchorId="62CC5C25" wp14:editId="54F7D9BF">
            <wp:extent cx="5400040" cy="2064823"/>
            <wp:effectExtent l="0" t="0" r="0" b="0"/>
            <wp:docPr id="26" name="Picture 26" descr="Table 37. Adverse event summary (APa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2064823"/>
                    </a:xfrm>
                    <a:prstGeom prst="rect">
                      <a:avLst/>
                    </a:prstGeom>
                  </pic:spPr>
                </pic:pic>
              </a:graphicData>
            </a:graphic>
          </wp:inline>
        </w:drawing>
      </w:r>
    </w:p>
    <w:p w:rsidR="001B38BD" w:rsidRDefault="00B15090" w:rsidP="00113546">
      <w:pPr>
        <w:pStyle w:val="TableTitle"/>
      </w:pPr>
      <w:r>
        <w:lastRenderedPageBreak/>
        <w:t>Table 38</w:t>
      </w:r>
      <w:r w:rsidR="001B38BD" w:rsidRPr="00113546">
        <w:t xml:space="preserve"> Analysis of adverse event summary Tier 1 (</w:t>
      </w:r>
      <w:proofErr w:type="spellStart"/>
      <w:r w:rsidR="001B38BD" w:rsidRPr="00113546">
        <w:t>APaT</w:t>
      </w:r>
      <w:proofErr w:type="spellEnd"/>
      <w:r w:rsidR="001B38BD" w:rsidRPr="00113546">
        <w:t xml:space="preserve"> population)</w:t>
      </w:r>
      <w:r>
        <w:t xml:space="preserve"> Study P006</w:t>
      </w:r>
    </w:p>
    <w:p w:rsidR="00735A18" w:rsidRDefault="00113546" w:rsidP="00113546">
      <w:pPr>
        <w:rPr>
          <w:noProof/>
          <w:lang w:eastAsia="en-AU"/>
        </w:rPr>
      </w:pPr>
      <w:r>
        <w:rPr>
          <w:noProof/>
          <w:lang w:eastAsia="en-AU"/>
        </w:rPr>
        <w:drawing>
          <wp:inline distT="0" distB="0" distL="0" distR="0" wp14:anchorId="43695A37" wp14:editId="3BB6C40D">
            <wp:extent cx="5051960" cy="7520025"/>
            <wp:effectExtent l="0" t="0" r="0" b="5080"/>
            <wp:docPr id="27" name="Picture 27" descr="Table 38 Analysis of adverse event summary Tier 1 (APa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51960" cy="7520025"/>
                    </a:xfrm>
                    <a:prstGeom prst="rect">
                      <a:avLst/>
                    </a:prstGeom>
                  </pic:spPr>
                </pic:pic>
              </a:graphicData>
            </a:graphic>
          </wp:inline>
        </w:drawing>
      </w:r>
    </w:p>
    <w:p w:rsidR="00113546" w:rsidRPr="00113546" w:rsidRDefault="00B15090" w:rsidP="00113546">
      <w:pPr>
        <w:pStyle w:val="TableTitle"/>
      </w:pPr>
      <w:proofErr w:type="gramStart"/>
      <w:r>
        <w:lastRenderedPageBreak/>
        <w:t>Table 39.</w:t>
      </w:r>
      <w:proofErr w:type="gramEnd"/>
      <w:r w:rsidR="00113546" w:rsidRPr="00113546">
        <w:t xml:space="preserve"> Analysis of adverse event summary Tier 1 (</w:t>
      </w:r>
      <w:proofErr w:type="spellStart"/>
      <w:r w:rsidR="00113546" w:rsidRPr="00113546">
        <w:t>APaT</w:t>
      </w:r>
      <w:proofErr w:type="spellEnd"/>
      <w:r w:rsidR="00113546" w:rsidRPr="00113546">
        <w:t xml:space="preserve"> population)</w:t>
      </w:r>
      <w:r>
        <w:t xml:space="preserve"> Study P006</w:t>
      </w:r>
    </w:p>
    <w:p w:rsidR="001B38BD" w:rsidRDefault="00113546" w:rsidP="00113546">
      <w:r>
        <w:rPr>
          <w:noProof/>
          <w:lang w:eastAsia="en-AU"/>
        </w:rPr>
        <w:drawing>
          <wp:inline distT="0" distB="0" distL="0" distR="0" wp14:anchorId="6D8BF8EB" wp14:editId="2DD9332D">
            <wp:extent cx="5400040" cy="1793686"/>
            <wp:effectExtent l="0" t="0" r="0" b="0"/>
            <wp:docPr id="28" name="Picture 28" descr="Table 39. Analysis of adverse event summary Tier 1 (APaT population) Study 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040" cy="1793686"/>
                    </a:xfrm>
                    <a:prstGeom prst="rect">
                      <a:avLst/>
                    </a:prstGeom>
                  </pic:spPr>
                </pic:pic>
              </a:graphicData>
            </a:graphic>
          </wp:inline>
        </w:drawing>
      </w:r>
    </w:p>
    <w:p w:rsidR="00E747E9" w:rsidRPr="00E747E9" w:rsidRDefault="00E747E9" w:rsidP="00113546">
      <w:pPr>
        <w:rPr>
          <w:b/>
        </w:rPr>
      </w:pPr>
      <w:r w:rsidRPr="00E747E9">
        <w:rPr>
          <w:b/>
        </w:rPr>
        <w:t>Addendum to Delegates response dated 27 March 2015</w:t>
      </w:r>
    </w:p>
    <w:p w:rsidR="00E747E9" w:rsidRPr="00E747E9" w:rsidRDefault="00E747E9" w:rsidP="00E747E9">
      <w:pPr>
        <w:pStyle w:val="Heading6"/>
      </w:pPr>
      <w:r w:rsidRPr="00E747E9">
        <w:t>Background</w:t>
      </w:r>
    </w:p>
    <w:p w:rsidR="00E747E9" w:rsidRPr="00E747E9" w:rsidRDefault="00E747E9" w:rsidP="00E747E9">
      <w:r w:rsidRPr="00E747E9">
        <w:t>This is</w:t>
      </w:r>
      <w:r w:rsidR="007F3AA7">
        <w:t xml:space="preserve"> an addendum to the Delegate’s overview</w:t>
      </w:r>
      <w:r w:rsidRPr="00E747E9">
        <w:t xml:space="preserve"> for pembrolizumab.</w:t>
      </w:r>
      <w:r w:rsidR="00987E81">
        <w:t xml:space="preserve"> </w:t>
      </w:r>
      <w:r w:rsidRPr="00E747E9">
        <w:t xml:space="preserve">It </w:t>
      </w:r>
      <w:r w:rsidR="007F3AA7">
        <w:t>is</w:t>
      </w:r>
      <w:r w:rsidRPr="00E747E9">
        <w:t xml:space="preserve"> to provide context for the sponsor’s document </w:t>
      </w:r>
      <w:r w:rsidR="00987E81">
        <w:t>‘</w:t>
      </w:r>
      <w:r w:rsidR="001E1CF4">
        <w:t>IAM_MK3475 PN006_IA2</w:t>
      </w:r>
      <w:r w:rsidRPr="00E747E9">
        <w:t>, which is being provided to the ACPM for consideration at the April 2015 meeting’s discussion of pembrolizumab.</w:t>
      </w:r>
    </w:p>
    <w:p w:rsidR="00E747E9" w:rsidRPr="00E747E9" w:rsidRDefault="00E747E9" w:rsidP="00E747E9">
      <w:r w:rsidRPr="00E747E9">
        <w:t xml:space="preserve">Study P006 is a randomised study of pembrolizumab (10 mg/kg Q2W and 10 mg/kg Q3W arms) </w:t>
      </w:r>
      <w:r w:rsidR="00987E81">
        <w:t>versus</w:t>
      </w:r>
      <w:r w:rsidRPr="00E747E9">
        <w:t xml:space="preserve"> ipilimumab (3 m</w:t>
      </w:r>
      <w:r>
        <w:t>g/kg Q3W, 4 doses)</w:t>
      </w:r>
      <w:r w:rsidRPr="00E747E9">
        <w:t>.</w:t>
      </w:r>
      <w:r w:rsidR="00987E81">
        <w:t xml:space="preserve"> </w:t>
      </w:r>
      <w:r w:rsidRPr="00E747E9">
        <w:t>The co-primary endpoints for P006 were PFS and OS.</w:t>
      </w:r>
      <w:r w:rsidR="00987E81">
        <w:t xml:space="preserve"> </w:t>
      </w:r>
      <w:r w:rsidRPr="00E747E9">
        <w:t>The studied population had advanced melanoma a</w:t>
      </w:r>
      <w:r w:rsidR="007F3AA7">
        <w:t xml:space="preserve">nd was naïve to IPI; about two </w:t>
      </w:r>
      <w:r w:rsidRPr="00E747E9">
        <w:t>thirds o</w:t>
      </w:r>
      <w:r w:rsidR="007F3AA7">
        <w:t xml:space="preserve">f subjects were receiving first </w:t>
      </w:r>
      <w:r w:rsidRPr="00E747E9">
        <w:t>line treatment for advanced disease.</w:t>
      </w:r>
    </w:p>
    <w:p w:rsidR="00E747E9" w:rsidRPr="00E747E9" w:rsidRDefault="00E747E9" w:rsidP="00E747E9">
      <w:r w:rsidRPr="00E747E9">
        <w:t xml:space="preserve">A </w:t>
      </w:r>
      <w:r w:rsidR="007F3AA7" w:rsidRPr="00E747E9">
        <w:t>clinical study report</w:t>
      </w:r>
      <w:r w:rsidRPr="00E747E9">
        <w:t xml:space="preserve"> for P006 has not been written or provided to the TGA.</w:t>
      </w:r>
      <w:r w:rsidR="00987E81">
        <w:t xml:space="preserve"> </w:t>
      </w:r>
      <w:r w:rsidRPr="00E747E9">
        <w:t xml:space="preserve">The TGA’s evaluation of pembrolizumab to date has taken into account </w:t>
      </w:r>
      <w:r w:rsidR="007F3AA7" w:rsidRPr="00E747E9">
        <w:t xml:space="preserve">an early results memo </w:t>
      </w:r>
      <w:r w:rsidRPr="00E747E9">
        <w:t>for P006, dated F</w:t>
      </w:r>
      <w:r w:rsidR="007F3AA7">
        <w:t xml:space="preserve">ebruary 2015, that reported top </w:t>
      </w:r>
      <w:r w:rsidRPr="00E747E9">
        <w:t>line results from the first interim analysis (IA1).</w:t>
      </w:r>
      <w:r w:rsidR="00987E81">
        <w:t xml:space="preserve"> </w:t>
      </w:r>
      <w:r w:rsidR="007F3AA7">
        <w:t xml:space="preserve">Report </w:t>
      </w:r>
      <w:r w:rsidRPr="00E747E9">
        <w:t xml:space="preserve">IA1 included the primary analysis of PFS, and an analysis of OS data based on 46% of the target number of events at final analysis (202 subjects had died by the </w:t>
      </w:r>
      <w:r w:rsidR="007F3AA7">
        <w:t xml:space="preserve">Report </w:t>
      </w:r>
      <w:r w:rsidRPr="00E747E9">
        <w:t xml:space="preserve">IA1 data </w:t>
      </w:r>
      <w:r w:rsidR="00C22866">
        <w:t>cut off</w:t>
      </w:r>
      <w:r w:rsidRPr="00E747E9">
        <w:t>).</w:t>
      </w:r>
    </w:p>
    <w:p w:rsidR="00E747E9" w:rsidRPr="00E747E9" w:rsidRDefault="007F3AA7" w:rsidP="00E747E9">
      <w:r>
        <w:t>On 27 March</w:t>
      </w:r>
      <w:r w:rsidR="00E747E9" w:rsidRPr="00E747E9">
        <w:t xml:space="preserve">.2015, the sponsor provided an updated </w:t>
      </w:r>
      <w:r w:rsidRPr="00E747E9">
        <w:t xml:space="preserve">early results memo </w:t>
      </w:r>
      <w:r w:rsidR="00E747E9" w:rsidRPr="00E747E9">
        <w:t>for P006, dated 23r</w:t>
      </w:r>
      <w:r>
        <w:t xml:space="preserve">d March 2015, that reported top </w:t>
      </w:r>
      <w:r w:rsidR="00E747E9" w:rsidRPr="00E747E9">
        <w:t>line results for the second interim analysis (IA2).</w:t>
      </w:r>
    </w:p>
    <w:p w:rsidR="00E747E9" w:rsidRPr="00E747E9" w:rsidRDefault="00E747E9" w:rsidP="00E747E9">
      <w:r w:rsidRPr="00E747E9">
        <w:t xml:space="preserve">Based on </w:t>
      </w:r>
      <w:r w:rsidR="007F3AA7">
        <w:t xml:space="preserve">Report </w:t>
      </w:r>
      <w:r w:rsidRPr="00E747E9">
        <w:t xml:space="preserve">IA2, the </w:t>
      </w:r>
      <w:r w:rsidR="007F3AA7" w:rsidRPr="00E747E9">
        <w:t>independent data monitoring com</w:t>
      </w:r>
      <w:r w:rsidRPr="00E747E9">
        <w:t>mittee recommended the study results be unblinded and pembrolizumab made available to patients on the control arm.</w:t>
      </w:r>
      <w:r w:rsidR="00987E81">
        <w:t xml:space="preserve"> </w:t>
      </w:r>
      <w:r w:rsidRPr="00E747E9">
        <w:t>The sponsor agreed to stop</w:t>
      </w:r>
      <w:r w:rsidR="007F3AA7">
        <w:t xml:space="preserve"> the trial early (although long </w:t>
      </w:r>
      <w:r w:rsidRPr="00E747E9">
        <w:t xml:space="preserve">term safety data will be collected, and all patients will be followed </w:t>
      </w:r>
      <w:r w:rsidR="007F3AA7">
        <w:t xml:space="preserve">for OS until the final protocol </w:t>
      </w:r>
      <w:r w:rsidRPr="00E747E9">
        <w:t xml:space="preserve">described OS analysis, </w:t>
      </w:r>
      <w:r w:rsidR="001D4BB8">
        <w:t>that is</w:t>
      </w:r>
      <w:r w:rsidRPr="00E747E9">
        <w:t xml:space="preserve"> when there have been 435 deaths or when all patients have been followed up for 21 months, whichever comes first).</w:t>
      </w:r>
    </w:p>
    <w:p w:rsidR="00E747E9" w:rsidRPr="00E747E9" w:rsidRDefault="00E747E9" w:rsidP="00E747E9">
      <w:pPr>
        <w:pStyle w:val="Heading6"/>
      </w:pPr>
      <w:r w:rsidRPr="00E747E9">
        <w:t xml:space="preserve">Key outcomes from </w:t>
      </w:r>
      <w:r w:rsidR="00890D29" w:rsidRPr="00E747E9">
        <w:t xml:space="preserve">interim analysis </w:t>
      </w:r>
      <w:r w:rsidRPr="00E747E9">
        <w:t>2</w:t>
      </w:r>
      <w:r w:rsidR="007F3AA7">
        <w:t xml:space="preserve"> (Report IA2)</w:t>
      </w:r>
    </w:p>
    <w:p w:rsidR="00E747E9" w:rsidRPr="00E747E9" w:rsidRDefault="00E747E9" w:rsidP="00E747E9">
      <w:r w:rsidRPr="00E747E9">
        <w:t xml:space="preserve">Whereas the data </w:t>
      </w:r>
      <w:r w:rsidR="00C22866">
        <w:t>cut off</w:t>
      </w:r>
      <w:r w:rsidRPr="00E747E9">
        <w:t xml:space="preserve"> for</w:t>
      </w:r>
      <w:r w:rsidR="007F3AA7">
        <w:t xml:space="preserve"> Report</w:t>
      </w:r>
      <w:r w:rsidRPr="00E747E9">
        <w:t xml:space="preserve"> IA1 was 3 September 2014 (with a minimum follow-up of 6 months for all patients), the data </w:t>
      </w:r>
      <w:r w:rsidR="00C22866">
        <w:t>cut off</w:t>
      </w:r>
      <w:r w:rsidRPr="00E747E9">
        <w:t xml:space="preserve"> for </w:t>
      </w:r>
      <w:r w:rsidR="007F3AA7">
        <w:t xml:space="preserve">Report </w:t>
      </w:r>
      <w:r w:rsidRPr="00E747E9">
        <w:t>IA2 was 3 March 2015 (with a minimum follow-up of 12 months for all patients).</w:t>
      </w:r>
      <w:r w:rsidR="00987E81">
        <w:t xml:space="preserve"> </w:t>
      </w:r>
      <w:r w:rsidRPr="00E747E9">
        <w:t>Median OS follow-up is 13.8 months.</w:t>
      </w:r>
      <w:r w:rsidR="00987E81">
        <w:t xml:space="preserve"> </w:t>
      </w:r>
      <w:r w:rsidRPr="00E747E9">
        <w:t xml:space="preserve">289 subjects had died by the data </w:t>
      </w:r>
      <w:r w:rsidR="00890D29">
        <w:t>cut-off</w:t>
      </w:r>
      <w:r w:rsidRPr="00E747E9">
        <w:t xml:space="preserve"> date.</w:t>
      </w:r>
    </w:p>
    <w:p w:rsidR="00E747E9" w:rsidRPr="00E747E9" w:rsidRDefault="00E747E9" w:rsidP="00E747E9">
      <w:r w:rsidRPr="00E747E9">
        <w:t>Pembrolizumab at dose regimens tested delivers a statistically and clinically significant survival advantage relative to ipilimumab</w:t>
      </w:r>
      <w:r w:rsidR="007F3AA7">
        <w:t>.</w:t>
      </w:r>
    </w:p>
    <w:p w:rsidR="00E747E9" w:rsidRPr="00E747E9" w:rsidRDefault="00E747E9" w:rsidP="00E747E9">
      <w:r w:rsidRPr="00E747E9">
        <w:t>There is no clear difference in OS outcomes across 10 mg/kg Q2W and Q3W arms, although 12 month OS rates are higher in the Q2W arm than the Q3W arm.</w:t>
      </w:r>
    </w:p>
    <w:p w:rsidR="00E747E9" w:rsidRPr="00E747E9" w:rsidRDefault="00E747E9" w:rsidP="00E747E9">
      <w:r w:rsidRPr="00E747E9">
        <w:t>Attention is drawn to sub-group analyses of OS:</w:t>
      </w:r>
    </w:p>
    <w:p w:rsidR="00E747E9" w:rsidRPr="00E747E9" w:rsidRDefault="00E747E9" w:rsidP="0017193F">
      <w:pPr>
        <w:pStyle w:val="ListBullet"/>
      </w:pPr>
      <w:r w:rsidRPr="00E747E9">
        <w:t xml:space="preserve">Patients with PD-L1 negative tumours (18% of the total study population) did not have a survival benefit relative to ipilimumab; the sponsor notes that </w:t>
      </w:r>
      <w:r w:rsidR="0017193F">
        <w:t xml:space="preserve">Report </w:t>
      </w:r>
      <w:r w:rsidRPr="00E747E9">
        <w:t xml:space="preserve">IA1 </w:t>
      </w:r>
      <w:r w:rsidRPr="00E747E9">
        <w:lastRenderedPageBreak/>
        <w:t xml:space="preserve">showed favourable PFS and ORR for pembrolizumab </w:t>
      </w:r>
      <w:r w:rsidR="00987E81">
        <w:t>versus</w:t>
      </w:r>
      <w:r w:rsidRPr="00E747E9">
        <w:t xml:space="preserve"> ipilimumab in PD-L1 negative subjects (PFS HR </w:t>
      </w:r>
      <w:r w:rsidR="00987E81">
        <w:t>versus</w:t>
      </w:r>
      <w:r w:rsidRPr="00E747E9">
        <w:t xml:space="preserve"> IPI is 0.73; and ORR was 17.5% for pembrolizumab arms combined, </w:t>
      </w:r>
      <w:r w:rsidR="00987E81">
        <w:t>versus</w:t>
      </w:r>
      <w:r w:rsidRPr="00E747E9">
        <w:t xml:space="preserve"> 10.6% for IPI)</w:t>
      </w:r>
    </w:p>
    <w:p w:rsidR="00E747E9" w:rsidRPr="00E747E9" w:rsidRDefault="00E747E9" w:rsidP="0017193F">
      <w:pPr>
        <w:pStyle w:val="ListBullet"/>
      </w:pPr>
      <w:r w:rsidRPr="00E747E9">
        <w:t>The OS advantage of pembrolizumab over ipilimumab was clearer in patients with elevated LDH and ≥</w:t>
      </w:r>
      <w:r w:rsidR="0017193F">
        <w:t xml:space="preserve"> </w:t>
      </w:r>
      <w:r w:rsidRPr="00E747E9">
        <w:t xml:space="preserve">median tumour size at baseline, although this signal was more prominent in the pembrolizumab Q3W </w:t>
      </w:r>
      <w:r w:rsidR="00987E81">
        <w:t>versus</w:t>
      </w:r>
      <w:r w:rsidRPr="00E747E9">
        <w:t xml:space="preserve"> IPI co</w:t>
      </w:r>
      <w:r w:rsidR="0017193F">
        <w:t>mparison</w:t>
      </w:r>
      <w:r w:rsidRPr="00E747E9">
        <w:t>; there was no clear signal of such an effect in the IA1 subgroup analysis of PFS</w:t>
      </w:r>
    </w:p>
    <w:p w:rsidR="00E747E9" w:rsidRPr="00E747E9" w:rsidRDefault="00E747E9" w:rsidP="0017193F">
      <w:pPr>
        <w:pStyle w:val="ListBullet"/>
      </w:pPr>
      <w:r w:rsidRPr="00E747E9">
        <w:t xml:space="preserve">Outcomes were similar by line of therapy (first </w:t>
      </w:r>
      <w:r w:rsidR="00987E81">
        <w:t>versus</w:t>
      </w:r>
      <w:r w:rsidRPr="00E747E9">
        <w:t xml:space="preserve"> second)</w:t>
      </w:r>
      <w:r w:rsidR="0017193F">
        <w:t>.</w:t>
      </w:r>
    </w:p>
    <w:p w:rsidR="00E747E9" w:rsidRPr="00E747E9" w:rsidRDefault="00E747E9" w:rsidP="00E747E9">
      <w:r w:rsidRPr="00E747E9">
        <w:t xml:space="preserve">The </w:t>
      </w:r>
      <w:r w:rsidR="0017193F" w:rsidRPr="00E747E9">
        <w:t xml:space="preserve">early results memo </w:t>
      </w:r>
      <w:r w:rsidRPr="00E747E9">
        <w:t>for IA2 focused on OS and did not provided further information about other outcomes, including toxicity.</w:t>
      </w:r>
    </w:p>
    <w:p w:rsidR="00E747E9" w:rsidRPr="00E747E9" w:rsidRDefault="00E747E9" w:rsidP="00E747E9">
      <w:pPr>
        <w:pStyle w:val="Heading6"/>
      </w:pPr>
      <w:r w:rsidRPr="00E747E9">
        <w:t>Conclusions</w:t>
      </w:r>
    </w:p>
    <w:p w:rsidR="00E747E9" w:rsidRPr="00E747E9" w:rsidRDefault="00E747E9" w:rsidP="00E747E9">
      <w:r w:rsidRPr="00E747E9">
        <w:t>The second interim analysis of P006 confirms the benefit of pembrolizumab over ipilimumab, in that an overall survival benefit has been demonstrated (for the dose regimens tested).</w:t>
      </w:r>
    </w:p>
    <w:p w:rsidR="00E747E9" w:rsidRPr="00E747E9" w:rsidRDefault="00E747E9" w:rsidP="00E747E9">
      <w:r w:rsidRPr="00E747E9">
        <w:t>The results are still in the format of an ‘</w:t>
      </w:r>
      <w:r w:rsidR="0017193F" w:rsidRPr="00E747E9">
        <w:t xml:space="preserve">early results memo’ </w:t>
      </w:r>
      <w:r w:rsidRPr="00E747E9">
        <w:t xml:space="preserve">(rather than a </w:t>
      </w:r>
      <w:r w:rsidR="0017193F" w:rsidRPr="00E747E9">
        <w:t>clinical study repor</w:t>
      </w:r>
      <w:r w:rsidRPr="00E747E9">
        <w:t xml:space="preserve">t) and have not been formally evaluated by a TGA </w:t>
      </w:r>
      <w:r w:rsidR="0017193F" w:rsidRPr="00E747E9">
        <w:t>clinical e</w:t>
      </w:r>
      <w:r w:rsidRPr="00E747E9">
        <w:t>valuator.</w:t>
      </w:r>
      <w:r w:rsidR="00987E81">
        <w:t xml:space="preserve"> </w:t>
      </w:r>
      <w:r w:rsidRPr="00E747E9">
        <w:t xml:space="preserve">However, the results are concordant with those from </w:t>
      </w:r>
      <w:r w:rsidR="0017193F">
        <w:t xml:space="preserve">Report </w:t>
      </w:r>
      <w:r w:rsidRPr="00E747E9">
        <w:t>IA1 and also wi</w:t>
      </w:r>
      <w:r w:rsidR="0017193F">
        <w:t xml:space="preserve">th conclusions drawn from cross </w:t>
      </w:r>
      <w:r w:rsidRPr="00E747E9">
        <w:t>study comparisons of pembrolizumab outcomes in P001 and ipilimumab outcomes in historical trials.</w:t>
      </w:r>
      <w:r w:rsidR="00987E81">
        <w:t xml:space="preserve"> </w:t>
      </w:r>
      <w:r w:rsidRPr="00E747E9">
        <w:t>Furthermore, the results were considered significant enough to stop the trial early, based on pre-specified stopping rules.</w:t>
      </w:r>
    </w:p>
    <w:p w:rsidR="00E747E9" w:rsidRPr="00E747E9" w:rsidRDefault="00E747E9" w:rsidP="00E747E9">
      <w:r w:rsidRPr="00E747E9">
        <w:t xml:space="preserve">The </w:t>
      </w:r>
      <w:r w:rsidR="0017193F" w:rsidRPr="00E747E9">
        <w:t xml:space="preserve">early results memo </w:t>
      </w:r>
      <w:r w:rsidRPr="00E747E9">
        <w:t xml:space="preserve">for IA2 for P006 strengthens the conclusion in the Delegate’s </w:t>
      </w:r>
      <w:r w:rsidR="0017193F">
        <w:t>o</w:t>
      </w:r>
      <w:r w:rsidRPr="00E747E9">
        <w:t>verview that pembrolizumab offers better effic</w:t>
      </w:r>
      <w:r w:rsidR="0017193F">
        <w:t xml:space="preserve">acy than ipilimumab, in the IPI </w:t>
      </w:r>
      <w:r w:rsidRPr="00E747E9">
        <w:t>naïve population under study.</w:t>
      </w:r>
      <w:r w:rsidR="00987E81">
        <w:t xml:space="preserve"> </w:t>
      </w:r>
      <w:r w:rsidRPr="00E747E9">
        <w:t>It seems re</w:t>
      </w:r>
      <w:r w:rsidR="0017193F">
        <w:t>asonable to bridge to the first line context since two </w:t>
      </w:r>
      <w:r w:rsidRPr="00E747E9">
        <w:t>thirds of subjects i</w:t>
      </w:r>
      <w:r w:rsidR="0017193F">
        <w:t xml:space="preserve">n P006 were being treated first </w:t>
      </w:r>
      <w:r w:rsidRPr="00E747E9">
        <w:t>line, amounting to about 180 subjects per arm, and there was no signal of differential efficacy by line of treatment.</w:t>
      </w:r>
      <w:r w:rsidR="00987E81">
        <w:t xml:space="preserve"> </w:t>
      </w:r>
      <w:r w:rsidRPr="00E747E9">
        <w:t>There is also a reasonable argument to bridge from the dose regimens studied in P006 to the dose regimen proposed for use.</w:t>
      </w:r>
    </w:p>
    <w:p w:rsidR="00E747E9" w:rsidRPr="00E747E9" w:rsidRDefault="00E747E9" w:rsidP="00E747E9">
      <w:r w:rsidRPr="00E747E9">
        <w:t xml:space="preserve">The updated </w:t>
      </w:r>
      <w:r w:rsidR="0017193F">
        <w:t>early report memo</w:t>
      </w:r>
      <w:r w:rsidRPr="00E747E9">
        <w:t xml:space="preserve"> for P006 does not change the conclu</w:t>
      </w:r>
      <w:r w:rsidR="0017193F">
        <w:t>sion reached in the Delegate’s o</w:t>
      </w:r>
      <w:r w:rsidRPr="00E747E9">
        <w:t>verview that pembrolizumab can be registered for the indication:</w:t>
      </w:r>
    </w:p>
    <w:p w:rsidR="00E747E9" w:rsidRPr="00E747E9" w:rsidRDefault="00A92BB2" w:rsidP="00E747E9">
      <w:pPr>
        <w:ind w:left="720"/>
        <w:rPr>
          <w:i/>
        </w:rPr>
      </w:pPr>
      <w:r>
        <w:rPr>
          <w:i/>
        </w:rPr>
        <w:t>Keytruda</w:t>
      </w:r>
      <w:r w:rsidR="00E747E9" w:rsidRPr="00E747E9">
        <w:rPr>
          <w:i/>
        </w:rPr>
        <w:t xml:space="preserve"> (pembrolizumab) is indicated as monotherapy for the treatment of unresectable or metastatic melanoma in adults</w:t>
      </w:r>
      <w:r w:rsidR="001E1CF4">
        <w:rPr>
          <w:i/>
        </w:rPr>
        <w:t>.</w:t>
      </w:r>
    </w:p>
    <w:p w:rsidR="00E747E9" w:rsidRPr="00E747E9" w:rsidRDefault="00E747E9" w:rsidP="00E747E9">
      <w:r w:rsidRPr="00E747E9">
        <w:t xml:space="preserve">Provision of the updated </w:t>
      </w:r>
      <w:r w:rsidR="0017193F">
        <w:t>early report memo</w:t>
      </w:r>
      <w:r w:rsidRPr="00E747E9">
        <w:t xml:space="preserve"> to the ACPM may be helpful in the ACPM’s consideration of t</w:t>
      </w:r>
      <w:r w:rsidR="0017193F">
        <w:t xml:space="preserve">he use of ‘top </w:t>
      </w:r>
      <w:r w:rsidRPr="00E747E9">
        <w:t>line’ data for P006, and may also help inform discussion about the value of the PD-L1 biomarker.</w:t>
      </w:r>
    </w:p>
    <w:p w:rsidR="002A3A8E" w:rsidRPr="0017193F" w:rsidRDefault="002A3A8E" w:rsidP="002A3A8E">
      <w:pPr>
        <w:pStyle w:val="Heading4"/>
        <w:rPr>
          <w:i/>
        </w:rPr>
      </w:pPr>
      <w:r w:rsidRPr="0017193F">
        <w:rPr>
          <w:i/>
        </w:rPr>
        <w:t>Pharmacology</w:t>
      </w:r>
    </w:p>
    <w:p w:rsidR="002A3A8E" w:rsidRPr="002A3A8E" w:rsidRDefault="002A3A8E" w:rsidP="002A3A8E">
      <w:r w:rsidRPr="002A3A8E">
        <w:t>The formulation proposed for commercial supply has been used throughout the clinical development programme.</w:t>
      </w:r>
      <w:r w:rsidR="00987E81">
        <w:t xml:space="preserve"> </w:t>
      </w:r>
      <w:r w:rsidRPr="002A3A8E">
        <w:t>Manufacture has taken place using different supply chains, so that clinical trials have used Materials A, B and B’, each with a different origin.</w:t>
      </w:r>
      <w:r w:rsidR="00635167">
        <w:t xml:space="preserve"> </w:t>
      </w:r>
      <w:r w:rsidRPr="002A3A8E">
        <w:t xml:space="preserve">The sponsor contends Material B is comparable to Material </w:t>
      </w:r>
      <w:proofErr w:type="gramStart"/>
      <w:r w:rsidRPr="002A3A8E">
        <w:t>A,</w:t>
      </w:r>
      <w:proofErr w:type="gramEnd"/>
      <w:r w:rsidRPr="002A3A8E">
        <w:t xml:space="preserve"> and Material B’ is comparable to Material B.</w:t>
      </w:r>
      <w:r w:rsidR="00635167">
        <w:t xml:space="preserve"> </w:t>
      </w:r>
      <w:r w:rsidRPr="002A3A8E">
        <w:t>Material B’ is proposed for supply</w:t>
      </w:r>
      <w:r w:rsidR="00C60488">
        <w:t>.</w:t>
      </w:r>
    </w:p>
    <w:p w:rsidR="002A3A8E" w:rsidRPr="002A3A8E" w:rsidRDefault="002A3A8E" w:rsidP="002A3A8E">
      <w:r w:rsidRPr="002A3A8E">
        <w:t>The proposed PI states that after adding 2.3 mL sterile water to the lyophilised pow</w:t>
      </w:r>
      <w:r w:rsidR="00C60488">
        <w:t xml:space="preserve">der, the pH is in the range 5.2 to </w:t>
      </w:r>
      <w:r w:rsidRPr="002A3A8E">
        <w:t>5.8.</w:t>
      </w:r>
    </w:p>
    <w:p w:rsidR="002A3A8E" w:rsidRPr="002A3A8E" w:rsidRDefault="002A3A8E" w:rsidP="002A3A8E">
      <w:r w:rsidRPr="002A3A8E">
        <w:t xml:space="preserve">The </w:t>
      </w:r>
      <w:r w:rsidR="00C60488">
        <w:t>quality</w:t>
      </w:r>
      <w:r w:rsidRPr="002A3A8E">
        <w:t xml:space="preserve"> evaluation states osmolality of the i</w:t>
      </w:r>
      <w:r w:rsidR="00C60488">
        <w:t xml:space="preserve">nfusion solution </w:t>
      </w:r>
      <w:proofErr w:type="gramStart"/>
      <w:r w:rsidR="00C60488">
        <w:t xml:space="preserve">(220 to </w:t>
      </w:r>
      <w:r w:rsidRPr="002A3A8E">
        <w:t xml:space="preserve">270 </w:t>
      </w:r>
      <w:proofErr w:type="spellStart"/>
      <w:r w:rsidRPr="002A3A8E">
        <w:t>mOsm</w:t>
      </w:r>
      <w:proofErr w:type="spellEnd"/>
      <w:r w:rsidRPr="002A3A8E">
        <w:t>/kg)</w:t>
      </w:r>
      <w:proofErr w:type="gramEnd"/>
      <w:r w:rsidRPr="002A3A8E">
        <w:t xml:space="preserve"> is controlled by dilution with normal saline or 5% dextrose.</w:t>
      </w:r>
      <w:r w:rsidR="00635167">
        <w:t xml:space="preserve"> </w:t>
      </w:r>
      <w:r w:rsidRPr="002A3A8E">
        <w:t>It is unclear what the osmolality</w:t>
      </w:r>
      <w:r w:rsidR="00C60488">
        <w:t xml:space="preserve"> is after further dilution to 1 to </w:t>
      </w:r>
      <w:r w:rsidRPr="002A3A8E">
        <w:t xml:space="preserve">10 mg/mL; the sponsor </w:t>
      </w:r>
      <w:r w:rsidR="00C60488">
        <w:t>wa</w:t>
      </w:r>
      <w:r w:rsidRPr="002A3A8E">
        <w:t>s invited to clarify this.</w:t>
      </w:r>
    </w:p>
    <w:p w:rsidR="002A3A8E" w:rsidRPr="002A3A8E" w:rsidRDefault="002A3A8E" w:rsidP="002A3A8E">
      <w:pPr>
        <w:pStyle w:val="Heading5"/>
      </w:pPr>
      <w:r w:rsidRPr="002A3A8E">
        <w:lastRenderedPageBreak/>
        <w:t>Pharmacokinetics (PK)</w:t>
      </w:r>
    </w:p>
    <w:p w:rsidR="002A3A8E" w:rsidRPr="002A3A8E" w:rsidRDefault="002A3A8E" w:rsidP="002A3A8E">
      <w:r w:rsidRPr="002A3A8E">
        <w:t xml:space="preserve">PK characteristics </w:t>
      </w:r>
      <w:r w:rsidR="00132BE6">
        <w:t>have been</w:t>
      </w:r>
      <w:r w:rsidRPr="002A3A8E">
        <w:t xml:space="preserve"> evaluated</w:t>
      </w:r>
      <w:r w:rsidR="00132BE6">
        <w:t xml:space="preserve"> by the clinical evaluator (see Attachment 2)</w:t>
      </w:r>
      <w:r w:rsidRPr="002A3A8E">
        <w:t>.</w:t>
      </w:r>
      <w:r w:rsidR="00635167">
        <w:t xml:space="preserve"> </w:t>
      </w:r>
      <w:r w:rsidRPr="002A3A8E">
        <w:t>The evaluator considered that PK had been adequately investigated and raised no issues of concern.</w:t>
      </w:r>
    </w:p>
    <w:p w:rsidR="002A3A8E" w:rsidRPr="002A3A8E" w:rsidRDefault="002A3A8E" w:rsidP="002A3A8E">
      <w:r w:rsidRPr="002A3A8E">
        <w:t>Pembrolizumab’s profile was typical of a monoclonal antibody.</w:t>
      </w:r>
      <w:r w:rsidR="00635167">
        <w:t xml:space="preserve"> </w:t>
      </w:r>
      <w:r w:rsidR="00C60488">
        <w:t xml:space="preserve">Half-life was approximately </w:t>
      </w:r>
      <w:r w:rsidRPr="002A3A8E">
        <w:t>26 days; steady state was achieved after 1</w:t>
      </w:r>
      <w:r w:rsidR="00C60488">
        <w:t xml:space="preserve">8 weeks of dosing, with 2 </w:t>
      </w:r>
      <w:r w:rsidRPr="002A3A8E">
        <w:t>fold accumulation relative to a single dose.</w:t>
      </w:r>
    </w:p>
    <w:p w:rsidR="002A3A8E" w:rsidRPr="002A3A8E" w:rsidRDefault="0017193F" w:rsidP="002A3A8E">
      <w:r>
        <w:t>A population PK evaluation r</w:t>
      </w:r>
      <w:r w:rsidR="002A3A8E" w:rsidRPr="002A3A8E">
        <w:t>eport was written.</w:t>
      </w:r>
      <w:r w:rsidR="00635167">
        <w:t xml:space="preserve"> </w:t>
      </w:r>
      <w:r w:rsidR="002A3A8E" w:rsidRPr="002A3A8E">
        <w:t xml:space="preserve">The evaluator noted that </w:t>
      </w:r>
      <w:r>
        <w:t xml:space="preserve">in </w:t>
      </w:r>
      <w:r w:rsidR="002A3A8E" w:rsidRPr="002A3A8E">
        <w:t xml:space="preserve">the proposed </w:t>
      </w:r>
      <w:r>
        <w:t>PI</w:t>
      </w:r>
      <w:r w:rsidR="002A3A8E" w:rsidRPr="002A3A8E">
        <w:t xml:space="preserve"> summary of PK relies on population PK analysis.</w:t>
      </w:r>
      <w:r w:rsidR="00635167">
        <w:t xml:space="preserve"> </w:t>
      </w:r>
      <w:r w:rsidR="002A3A8E" w:rsidRPr="002A3A8E">
        <w:t xml:space="preserve">The </w:t>
      </w:r>
      <w:r w:rsidR="002F5E51">
        <w:t>Pop PK</w:t>
      </w:r>
      <w:r w:rsidR="002A3A8E" w:rsidRPr="002A3A8E">
        <w:t xml:space="preserve"> evaluator considered the document </w:t>
      </w:r>
      <w:r w:rsidR="00987E81">
        <w:t>‘</w:t>
      </w:r>
      <w:r w:rsidR="002A3A8E" w:rsidRPr="002A3A8E">
        <w:t>Modelling and Simulation Report of Population PK of MK-3475</w:t>
      </w:r>
      <w:r w:rsidR="00987E81">
        <w:t>’</w:t>
      </w:r>
      <w:r w:rsidR="002A3A8E" w:rsidRPr="002A3A8E">
        <w:t>.</w:t>
      </w:r>
      <w:r w:rsidR="00635167">
        <w:t xml:space="preserve"> </w:t>
      </w:r>
      <w:r w:rsidR="002A3A8E" w:rsidRPr="002A3A8E">
        <w:t>Study P001 contributed data from 476 subjects to this report.</w:t>
      </w:r>
      <w:r w:rsidR="00635167">
        <w:t xml:space="preserve"> </w:t>
      </w:r>
      <w:r w:rsidR="002A3A8E" w:rsidRPr="002A3A8E">
        <w:t>13.1% of subjects had non-melanoma tumour types.</w:t>
      </w:r>
    </w:p>
    <w:p w:rsidR="002A3A8E" w:rsidRPr="002A3A8E" w:rsidRDefault="00A636CF" w:rsidP="002A3A8E">
      <w:pPr>
        <w:pStyle w:val="Heading5"/>
      </w:pPr>
      <w:r>
        <w:t>Pharmacodynamics</w:t>
      </w:r>
    </w:p>
    <w:p w:rsidR="002A3A8E" w:rsidRPr="002A3A8E" w:rsidRDefault="002A3A8E" w:rsidP="002A3A8E">
      <w:r w:rsidRPr="002A3A8E">
        <w:t>The T cell compartment was monitored via flow cytometry, in P001 Parts B1, B2 and D.</w:t>
      </w:r>
      <w:r w:rsidR="00635167">
        <w:t xml:space="preserve"> </w:t>
      </w:r>
      <w:r w:rsidRPr="002A3A8E">
        <w:t>Of 411 melanoma patients, 367 had lymphocyte subtyping data.</w:t>
      </w:r>
      <w:r w:rsidR="00635167">
        <w:t xml:space="preserve"> </w:t>
      </w:r>
      <w:r w:rsidRPr="002A3A8E">
        <w:t>FACS analysis was</w:t>
      </w:r>
      <w:r w:rsidR="00A636CF">
        <w:t xml:space="preserve"> only protocol </w:t>
      </w:r>
      <w:r w:rsidR="00C60488">
        <w:t>specified up to Cycle 4 (W</w:t>
      </w:r>
      <w:r w:rsidRPr="002A3A8E">
        <w:t>eek 9).</w:t>
      </w:r>
      <w:r w:rsidR="00635167">
        <w:t xml:space="preserve"> </w:t>
      </w:r>
      <w:r w:rsidRPr="002A3A8E">
        <w:t xml:space="preserve">Also, the 92 patients without available data had </w:t>
      </w:r>
      <w:r w:rsidR="00987E81">
        <w:t>‘</w:t>
      </w:r>
      <w:r w:rsidRPr="002A3A8E">
        <w:t>insufficient quantity and / or quality to meet assay standards</w:t>
      </w:r>
      <w:r w:rsidR="00987E81">
        <w:t>’</w:t>
      </w:r>
      <w:r w:rsidRPr="002A3A8E">
        <w:t xml:space="preserve"> but it may be in the patients with an insufficient quantity of lymphocytes that relevant perturbations in the T cell compartment will be found.</w:t>
      </w:r>
      <w:r w:rsidR="00635167">
        <w:t xml:space="preserve"> </w:t>
      </w:r>
      <w:r w:rsidRPr="002A3A8E">
        <w:t>However, FACS analysis did not show obvious trends in absolute numbers of major T cell sub-types.</w:t>
      </w:r>
    </w:p>
    <w:p w:rsidR="002A3A8E" w:rsidRPr="002A3A8E" w:rsidRDefault="002A3A8E" w:rsidP="002A3A8E">
      <w:r w:rsidRPr="002A3A8E">
        <w:t xml:space="preserve">In 15% of patients, there was a meaningful decline in lymphocytes (in P001, B1+B2+D, 18 Oct 2013 </w:t>
      </w:r>
      <w:r w:rsidR="00C22866">
        <w:t>cut off</w:t>
      </w:r>
      <w:r w:rsidRPr="002A3A8E">
        <w:t>), defined as a shift from ‘less than grade 3’ (≥</w:t>
      </w:r>
      <w:r w:rsidR="00C60488">
        <w:t xml:space="preserve"> </w:t>
      </w:r>
      <w:r w:rsidRPr="002A3A8E">
        <w:t>500/</w:t>
      </w:r>
      <w:r w:rsidR="00C60488" w:rsidRPr="002A3A8E">
        <w:t>mm</w:t>
      </w:r>
      <w:r w:rsidR="00C60488" w:rsidRPr="00C60488">
        <w:rPr>
          <w:vertAlign w:val="superscript"/>
        </w:rPr>
        <w:t>3</w:t>
      </w:r>
      <w:r w:rsidRPr="002A3A8E">
        <w:t xml:space="preserve">) to grade </w:t>
      </w:r>
      <w:r w:rsidR="0085409C">
        <w:t>3 to 5</w:t>
      </w:r>
      <w:r w:rsidRPr="002A3A8E">
        <w:t xml:space="preserve"> (&lt;</w:t>
      </w:r>
      <w:r w:rsidR="00A636CF">
        <w:t> </w:t>
      </w:r>
      <w:r w:rsidRPr="002A3A8E">
        <w:t>500/</w:t>
      </w:r>
      <w:r w:rsidR="00C60488" w:rsidRPr="002A3A8E">
        <w:t>mm</w:t>
      </w:r>
      <w:r w:rsidR="00C60488" w:rsidRPr="00C60488">
        <w:rPr>
          <w:vertAlign w:val="superscript"/>
        </w:rPr>
        <w:t>3</w:t>
      </w:r>
      <w:r w:rsidRPr="002A3A8E">
        <w:t>), or a shift from grade 0 (≥</w:t>
      </w:r>
      <w:r w:rsidR="00A636CF">
        <w:t xml:space="preserve"> </w:t>
      </w:r>
      <w:r w:rsidRPr="002A3A8E">
        <w:t>LLN) to grade 2 (&lt;</w:t>
      </w:r>
      <w:r w:rsidR="00A636CF">
        <w:t xml:space="preserve"> </w:t>
      </w:r>
      <w:r w:rsidRPr="002A3A8E">
        <w:t>800/</w:t>
      </w:r>
      <w:r w:rsidR="00C60488" w:rsidRPr="002A3A8E">
        <w:t>mm</w:t>
      </w:r>
      <w:r w:rsidR="00C60488" w:rsidRPr="00C60488">
        <w:rPr>
          <w:vertAlign w:val="superscript"/>
        </w:rPr>
        <w:t>3</w:t>
      </w:r>
      <w:r w:rsidRPr="002A3A8E">
        <w:t>).</w:t>
      </w:r>
      <w:r w:rsidR="00635167">
        <w:t xml:space="preserve"> </w:t>
      </w:r>
      <w:r w:rsidRPr="002A3A8E">
        <w:t>This may reflect a change in T and / or B cell compartments.</w:t>
      </w:r>
      <w:r w:rsidR="00635167">
        <w:t xml:space="preserve"> </w:t>
      </w:r>
      <w:r w:rsidRPr="002A3A8E">
        <w:t>Flow cytometry of the T cell compartment did not reveal any decline in absolute counts of CD4+ or CD8+ T cells.</w:t>
      </w:r>
      <w:r w:rsidR="00635167">
        <w:t xml:space="preserve"> </w:t>
      </w:r>
      <w:r w:rsidRPr="002A3A8E">
        <w:t>This suggests that B cells are affected, or that FACS analysis did not include patients with a decline in T</w:t>
      </w:r>
      <w:r w:rsidR="00C60488">
        <w:t> </w:t>
      </w:r>
      <w:r w:rsidRPr="002A3A8E">
        <w:t>lymphocytes, or t</w:t>
      </w:r>
      <w:r w:rsidR="00C60488">
        <w:t>hat lymphocytes declined after W</w:t>
      </w:r>
      <w:r w:rsidRPr="002A3A8E">
        <w:t>eek 9 (</w:t>
      </w:r>
      <w:r w:rsidR="001D4BB8">
        <w:t>that is</w:t>
      </w:r>
      <w:r w:rsidRPr="002A3A8E">
        <w:t xml:space="preserve"> that FACS analysis was too early to reveal changes).</w:t>
      </w:r>
      <w:r w:rsidR="00635167">
        <w:t xml:space="preserve"> </w:t>
      </w:r>
      <w:r w:rsidRPr="002A3A8E">
        <w:t>The observed clinically meaningful decline in lymphocytes (in 15% of patients) may be due to various factors, one being a drug effect.</w:t>
      </w:r>
      <w:r w:rsidR="00635167">
        <w:t xml:space="preserve"> </w:t>
      </w:r>
      <w:r w:rsidRPr="002A3A8E">
        <w:t xml:space="preserve">The decline was not well characterised and there is uncertainty about whether </w:t>
      </w:r>
      <w:proofErr w:type="spellStart"/>
      <w:r w:rsidRPr="002A3A8E">
        <w:t>pembrolizumab</w:t>
      </w:r>
      <w:proofErr w:type="spellEnd"/>
      <w:r w:rsidRPr="002A3A8E">
        <w:t xml:space="preserve"> induces lymphopenia.</w:t>
      </w:r>
      <w:r w:rsidR="00635167">
        <w:t xml:space="preserve"> </w:t>
      </w:r>
      <w:r w:rsidRPr="002A3A8E">
        <w:t>The sponsor is invited to clarify this issue.</w:t>
      </w:r>
    </w:p>
    <w:p w:rsidR="002A3A8E" w:rsidRPr="002A3A8E" w:rsidRDefault="002A3A8E" w:rsidP="002A3A8E">
      <w:r w:rsidRPr="002A3A8E">
        <w:t>The sponsor concluded that the proportion of activated T cells (as defined by HLA-DR positivity) rises with pembrolizumab treatment.</w:t>
      </w:r>
      <w:r w:rsidR="00635167">
        <w:t xml:space="preserve"> </w:t>
      </w:r>
      <w:r w:rsidRPr="002A3A8E">
        <w:t>The clinical significance of this finding is unclear.</w:t>
      </w:r>
      <w:r w:rsidR="00635167">
        <w:t xml:space="preserve"> </w:t>
      </w:r>
      <w:r w:rsidRPr="002A3A8E">
        <w:t xml:space="preserve">The sponsor contends that pembrolizumab does </w:t>
      </w:r>
      <w:r w:rsidR="00A636CF">
        <w:t>not non-specifically activate T </w:t>
      </w:r>
      <w:r w:rsidRPr="002A3A8E">
        <w:t>cells (</w:t>
      </w:r>
      <w:r w:rsidR="001D4BB8">
        <w:t>that is</w:t>
      </w:r>
      <w:r w:rsidRPr="002A3A8E">
        <w:t xml:space="preserve"> it potentiates immune responses on</w:t>
      </w:r>
      <w:r w:rsidR="00A636CF">
        <w:t>ly in the presence of antigen);</w:t>
      </w:r>
      <w:r w:rsidRPr="002A3A8E">
        <w:t xml:space="preserve"> however this does not rule out activation of T cells that do not ta</w:t>
      </w:r>
      <w:r w:rsidR="00A636CF">
        <w:t>rget melanoma cells</w:t>
      </w:r>
      <w:r w:rsidRPr="002A3A8E">
        <w:t>.</w:t>
      </w:r>
    </w:p>
    <w:p w:rsidR="002A3A8E" w:rsidRPr="002A3A8E" w:rsidRDefault="00A636CF" w:rsidP="002A3A8E">
      <w:pPr>
        <w:pStyle w:val="Heading5"/>
      </w:pPr>
      <w:r>
        <w:t xml:space="preserve">Exposure </w:t>
      </w:r>
      <w:r w:rsidR="002A3A8E" w:rsidRPr="002A3A8E">
        <w:t>response</w:t>
      </w:r>
    </w:p>
    <w:p w:rsidR="002A3A8E" w:rsidRPr="002A3A8E" w:rsidRDefault="002A3A8E" w:rsidP="002A3A8E">
      <w:r w:rsidRPr="002A3A8E">
        <w:t>Exposure</w:t>
      </w:r>
      <w:r w:rsidR="00A636CF">
        <w:t xml:space="preserve"> </w:t>
      </w:r>
      <w:r w:rsidRPr="002A3A8E">
        <w:t>response assessment is relevant because of the considerable reliance in this application on data from use of pembrolizumab at higher doses (</w:t>
      </w:r>
      <w:r w:rsidR="001D4BB8">
        <w:t>that is</w:t>
      </w:r>
      <w:r w:rsidRPr="002A3A8E">
        <w:t xml:space="preserve"> 10 mg/kg) and with a shorter treatment interval (</w:t>
      </w:r>
      <w:r w:rsidR="001D4BB8">
        <w:t>that is</w:t>
      </w:r>
      <w:r w:rsidRPr="002A3A8E">
        <w:t xml:space="preserve"> Q2W) than proposed.</w:t>
      </w:r>
    </w:p>
    <w:p w:rsidR="002A3A8E" w:rsidRDefault="002A3A8E" w:rsidP="002A3A8E">
      <w:r w:rsidRPr="002A3A8E">
        <w:t xml:space="preserve">The sponsor claims that </w:t>
      </w:r>
      <w:r w:rsidR="00A636CF">
        <w:t xml:space="preserve">no clinically relevant exposure </w:t>
      </w:r>
      <w:r w:rsidRPr="002A3A8E">
        <w:t xml:space="preserve">efficacy relationship has been found, and interprets this to indicate that </w:t>
      </w:r>
      <w:r w:rsidR="00987E81">
        <w:t>‘</w:t>
      </w:r>
      <w:r w:rsidRPr="002A3A8E">
        <w:t>efficacy at the investigated dose levels is near the plateau</w:t>
      </w:r>
      <w:r w:rsidR="00987E81">
        <w:t>’</w:t>
      </w:r>
      <w:r w:rsidRPr="002A3A8E">
        <w:t>.</w:t>
      </w:r>
      <w:r w:rsidR="00635167">
        <w:t xml:space="preserve"> </w:t>
      </w:r>
      <w:r w:rsidRPr="002A3A8E">
        <w:t>The basis of the claim was analysis of tumour size reduction over time in B1+B2+D patients.</w:t>
      </w:r>
      <w:r w:rsidR="00635167">
        <w:t xml:space="preserve"> </w:t>
      </w:r>
      <w:r w:rsidRPr="002A3A8E">
        <w:t>Exposure to the d</w:t>
      </w:r>
      <w:r w:rsidR="00A636CF">
        <w:t xml:space="preserve">rug (AUC over 6 weeks at steady </w:t>
      </w:r>
      <w:r w:rsidRPr="002A3A8E">
        <w:t>state) was as per population PK modelling.</w:t>
      </w:r>
      <w:r w:rsidR="00635167">
        <w:t xml:space="preserve"> </w:t>
      </w:r>
      <w:r w:rsidRPr="002A3A8E">
        <w:t>There were r</w:t>
      </w:r>
      <w:r w:rsidR="00A636CF">
        <w:t>esponses across a range of AUCs as shown in Figure 22.</w:t>
      </w:r>
    </w:p>
    <w:p w:rsidR="00B15090" w:rsidRPr="002A3A8E" w:rsidRDefault="00B15090" w:rsidP="00B15090">
      <w:pPr>
        <w:pStyle w:val="FigureTitle"/>
      </w:pPr>
      <w:proofErr w:type="gramStart"/>
      <w:r>
        <w:lastRenderedPageBreak/>
        <w:t>Figure 22.</w:t>
      </w:r>
      <w:proofErr w:type="gramEnd"/>
      <w:r>
        <w:t xml:space="preserve"> PK modelling of exposure response</w:t>
      </w:r>
    </w:p>
    <w:p w:rsidR="002A3A8E" w:rsidRDefault="002A3A8E" w:rsidP="002A3A8E">
      <w:r>
        <w:rPr>
          <w:noProof/>
          <w:lang w:eastAsia="en-AU"/>
        </w:rPr>
        <w:drawing>
          <wp:inline distT="0" distB="0" distL="0" distR="0" wp14:anchorId="008D1D18" wp14:editId="40A1C9BB">
            <wp:extent cx="5400040" cy="2295017"/>
            <wp:effectExtent l="0" t="0" r="0" b="0"/>
            <wp:docPr id="1" name="Picture 1" descr="Figure 22. PK modelling of exposur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40" cy="2295017"/>
                    </a:xfrm>
                    <a:prstGeom prst="rect">
                      <a:avLst/>
                    </a:prstGeom>
                  </pic:spPr>
                </pic:pic>
              </a:graphicData>
            </a:graphic>
          </wp:inline>
        </w:drawing>
      </w:r>
    </w:p>
    <w:p w:rsidR="002A3A8E" w:rsidRPr="002A3A8E" w:rsidRDefault="002A3A8E" w:rsidP="002A3A8E">
      <w:r w:rsidRPr="002A3A8E">
        <w:t>An alternative approach is to consider outcomes in B2,</w:t>
      </w:r>
      <w:r w:rsidR="00C60488">
        <w:t xml:space="preserve"> D and P002 (randomisation to 2 mg/kg </w:t>
      </w:r>
      <w:r w:rsidR="00987E81">
        <w:t>versus</w:t>
      </w:r>
      <w:r w:rsidR="00C60488">
        <w:t xml:space="preserve"> 10 mg/kg Q3W, </w:t>
      </w:r>
      <w:r w:rsidR="001D4BB8">
        <w:t>that is</w:t>
      </w:r>
      <w:r w:rsidR="00C60488">
        <w:t xml:space="preserve"> 5 </w:t>
      </w:r>
      <w:r w:rsidRPr="002A3A8E">
        <w:t xml:space="preserve">fold higher dosing relative to that proposed) and B3 and P006 (10 mg/kg Q3W </w:t>
      </w:r>
      <w:r w:rsidR="00987E81">
        <w:t>versus</w:t>
      </w:r>
      <w:r w:rsidRPr="002A3A8E">
        <w:t xml:space="preserve"> Q2W; 50% higher dosing).</w:t>
      </w:r>
    </w:p>
    <w:p w:rsidR="002A3A8E" w:rsidRPr="002A3A8E" w:rsidRDefault="002A3A8E" w:rsidP="002A3A8E">
      <w:r w:rsidRPr="002A3A8E">
        <w:t xml:space="preserve">Randomisation to 2 mg/kg </w:t>
      </w:r>
      <w:r w:rsidR="00987E81">
        <w:t>versus</w:t>
      </w:r>
      <w:r w:rsidRPr="002A3A8E">
        <w:t xml:space="preserve"> 10 mg/kg:</w:t>
      </w:r>
    </w:p>
    <w:p w:rsidR="002A3A8E" w:rsidRPr="002A3A8E" w:rsidRDefault="002A3A8E" w:rsidP="002A3A8E">
      <w:pPr>
        <w:pStyle w:val="ListBullet"/>
      </w:pPr>
      <w:r w:rsidRPr="002A3A8E">
        <w:t>In B2, ORR is 25% at 2 mg/kg Q3W and 25% at 10 mg/kg Q3W</w:t>
      </w:r>
    </w:p>
    <w:p w:rsidR="002A3A8E" w:rsidRPr="002A3A8E" w:rsidRDefault="002A3A8E" w:rsidP="002A3A8E">
      <w:pPr>
        <w:pStyle w:val="ListBullet"/>
      </w:pPr>
      <w:r w:rsidRPr="002A3A8E">
        <w:t>In D, ORR is 33% at 2 mg/kg Q3W and 35% at 10 mg/kg Q3W</w:t>
      </w:r>
    </w:p>
    <w:p w:rsidR="002A3A8E" w:rsidRPr="002A3A8E" w:rsidRDefault="002A3A8E" w:rsidP="002A3A8E">
      <w:pPr>
        <w:pStyle w:val="ListBullet"/>
      </w:pPr>
      <w:r w:rsidRPr="002A3A8E">
        <w:t xml:space="preserve">In P002, median PFS was 2.9 months for both 2 mg/kg Q3W and </w:t>
      </w:r>
      <w:r w:rsidR="00562005">
        <w:t>10 mg/kg Q3W with an IRO</w:t>
      </w:r>
      <w:r w:rsidRPr="002A3A8E">
        <w:t xml:space="preserve"> and 4.2 </w:t>
      </w:r>
      <w:r w:rsidR="00987E81">
        <w:t>versus</w:t>
      </w:r>
      <w:r w:rsidRPr="002A3A8E">
        <w:t xml:space="preserve"> 5.6 months respectively with investigator assessment.</w:t>
      </w:r>
      <w:r w:rsidR="00635167">
        <w:t xml:space="preserve"> </w:t>
      </w:r>
      <w:r w:rsidRPr="002A3A8E">
        <w:t>In P002, ORR is 21% at 2 mg/kg Q3W and 25% at 10 mg/kg Q3W</w:t>
      </w:r>
    </w:p>
    <w:p w:rsidR="002A3A8E" w:rsidRPr="002A3A8E" w:rsidRDefault="002A3A8E" w:rsidP="002A3A8E">
      <w:r w:rsidRPr="002A3A8E">
        <w:t xml:space="preserve">Randomisation to Q2W </w:t>
      </w:r>
      <w:r w:rsidR="00987E81">
        <w:t>versus</w:t>
      </w:r>
      <w:r w:rsidRPr="002A3A8E">
        <w:t xml:space="preserve"> Q3W:</w:t>
      </w:r>
    </w:p>
    <w:p w:rsidR="002A3A8E" w:rsidRPr="002A3A8E" w:rsidRDefault="002A3A8E" w:rsidP="002A3A8E">
      <w:pPr>
        <w:pStyle w:val="ListBullet"/>
      </w:pPr>
      <w:r w:rsidRPr="002A3A8E">
        <w:t>In B3, ORR was 27% at 10 mg/kg Q3W and 33% at 10 mg/kg Q2W (p</w:t>
      </w:r>
      <w:r w:rsidR="00A636CF">
        <w:t xml:space="preserve"> </w:t>
      </w:r>
      <w:r w:rsidRPr="002A3A8E">
        <w:t>=</w:t>
      </w:r>
      <w:r w:rsidR="00A636CF">
        <w:t xml:space="preserve"> </w:t>
      </w:r>
      <w:r w:rsidRPr="002A3A8E">
        <w:t>0.3041)</w:t>
      </w:r>
    </w:p>
    <w:p w:rsidR="002A3A8E" w:rsidRPr="002A3A8E" w:rsidRDefault="002A3A8E" w:rsidP="002A3A8E">
      <w:pPr>
        <w:pStyle w:val="ListBullet"/>
      </w:pPr>
      <w:r w:rsidRPr="002A3A8E">
        <w:t xml:space="preserve">In P006, median PFS was 4.1 months for 10 mg/kg Q3W and 5.5 months for 10 mg/kg Q2W, based on IRO, and 7.0 </w:t>
      </w:r>
      <w:r w:rsidR="00987E81">
        <w:t>versus</w:t>
      </w:r>
      <w:r w:rsidRPr="002A3A8E">
        <w:t xml:space="preserve"> 7.2 months respectively with investigator assessment.</w:t>
      </w:r>
      <w:r w:rsidR="00635167">
        <w:t xml:space="preserve"> </w:t>
      </w:r>
      <w:r w:rsidRPr="002A3A8E">
        <w:t>In P006, ORR is 32.9% and 33.7% respectively.</w:t>
      </w:r>
    </w:p>
    <w:p w:rsidR="002A3A8E" w:rsidRPr="002A3A8E" w:rsidRDefault="002A3A8E" w:rsidP="002A3A8E">
      <w:r w:rsidRPr="002A3A8E">
        <w:t xml:space="preserve">An assumption is that </w:t>
      </w:r>
      <w:proofErr w:type="spellStart"/>
      <w:r w:rsidRPr="002A3A8E">
        <w:t>AUCss</w:t>
      </w:r>
      <w:proofErr w:type="spellEnd"/>
      <w:r w:rsidRPr="002A3A8E">
        <w:t>, 6 w</w:t>
      </w:r>
      <w:r w:rsidR="00BB2D95">
        <w:t>ee</w:t>
      </w:r>
      <w:r w:rsidRPr="002A3A8E">
        <w:t>k</w:t>
      </w:r>
      <w:r w:rsidR="00BB2D95">
        <w:t>s</w:t>
      </w:r>
      <w:r w:rsidRPr="002A3A8E">
        <w:t>, is a sufficient measure of ‘exposure’ (outcomes of B3 raise the possibility that trough levels might be relevant, though P006 presents a mixed picture).</w:t>
      </w:r>
      <w:r w:rsidR="00635167">
        <w:t xml:space="preserve"> </w:t>
      </w:r>
      <w:r w:rsidR="00C60488">
        <w:t>On balance, the Delegate</w:t>
      </w:r>
      <w:r w:rsidRPr="002A3A8E">
        <w:t xml:space="preserve"> agree</w:t>
      </w:r>
      <w:r w:rsidR="00C60488">
        <w:t>s</w:t>
      </w:r>
      <w:r w:rsidRPr="002A3A8E">
        <w:t xml:space="preserve"> with the view that </w:t>
      </w:r>
      <w:r w:rsidR="00C60488">
        <w:t xml:space="preserve">no clinically relevant exposure </w:t>
      </w:r>
      <w:r w:rsidRPr="002A3A8E">
        <w:t>efficacy relationship has been found.</w:t>
      </w:r>
      <w:r w:rsidR="00635167">
        <w:t xml:space="preserve"> </w:t>
      </w:r>
      <w:r w:rsidRPr="002A3A8E">
        <w:t>This has several implications.</w:t>
      </w:r>
      <w:r w:rsidR="00635167">
        <w:t xml:space="preserve"> </w:t>
      </w:r>
      <w:r w:rsidRPr="002A3A8E">
        <w:t>First, the randomised sub-studies B2, B3 and D cannot be considered to demonstrate efficacy of pembrolizumab directly (in that efficacy of a high dose of pembrolizumab is not particularly better than efficacy of a low dose).</w:t>
      </w:r>
      <w:r w:rsidR="00635167">
        <w:t xml:space="preserve"> </w:t>
      </w:r>
      <w:r w:rsidRPr="002A3A8E">
        <w:t>Second, it is reasonable to consider efficacy from data pooled across different dose regimens (</w:t>
      </w:r>
      <w:r w:rsidR="001D4BB8">
        <w:t>that is</w:t>
      </w:r>
      <w:r w:rsidRPr="002A3A8E">
        <w:t xml:space="preserve"> all other things being equal, it may be reasonable to bridge from 10 mg/kg to 2 mg/kg and from Q2W to Q3W).</w:t>
      </w:r>
      <w:r w:rsidR="00635167">
        <w:t xml:space="preserve"> </w:t>
      </w:r>
      <w:r w:rsidRPr="002A3A8E">
        <w:t>A caveat is that results from B3 and P006 leave open the possibility that dose interval influences efficacy; a 2 mg/kg Q2W dose was not tested.</w:t>
      </w:r>
    </w:p>
    <w:p w:rsidR="002A3A8E" w:rsidRDefault="002A3A8E" w:rsidP="002A3A8E">
      <w:r w:rsidRPr="002A3A8E">
        <w:t xml:space="preserve">No relationship was found between exposure and frequency of AEs, SAEs or </w:t>
      </w:r>
      <w:r w:rsidR="00987E81">
        <w:t>immune related</w:t>
      </w:r>
      <w:r w:rsidRPr="002A3A8E">
        <w:t xml:space="preserve"> AEs of special interest (</w:t>
      </w:r>
      <w:r w:rsidR="00987E81">
        <w:t>‘</w:t>
      </w:r>
      <w:r w:rsidRPr="002A3A8E">
        <w:t>Cat 1</w:t>
      </w:r>
      <w:r w:rsidR="00987E81">
        <w:t>’</w:t>
      </w:r>
      <w:r w:rsidRPr="002A3A8E">
        <w:t xml:space="preserve"> = grade 3 or 4 AEs or SAEs; </w:t>
      </w:r>
      <w:r w:rsidR="00987E81">
        <w:t>‘</w:t>
      </w:r>
      <w:r w:rsidRPr="002A3A8E">
        <w:t>Cat 2</w:t>
      </w:r>
      <w:r w:rsidR="00987E81">
        <w:t>’</w:t>
      </w:r>
      <w:r w:rsidRPr="002A3A8E">
        <w:t xml:space="preserve"> = AEOSIs):</w:t>
      </w:r>
    </w:p>
    <w:p w:rsidR="00616DBF" w:rsidRPr="002A3A8E" w:rsidRDefault="00616DBF" w:rsidP="00616DBF">
      <w:pPr>
        <w:pStyle w:val="FigureTitle"/>
      </w:pPr>
      <w:proofErr w:type="gramStart"/>
      <w:r>
        <w:lastRenderedPageBreak/>
        <w:t>Figure 23</w:t>
      </w:r>
      <w:r w:rsidR="00BB2D95">
        <w:t>.</w:t>
      </w:r>
      <w:proofErr w:type="gramEnd"/>
      <w:r w:rsidR="00BB2D95">
        <w:t xml:space="preserve"> Frequency of AEs and exposure</w:t>
      </w:r>
    </w:p>
    <w:p w:rsidR="002A3A8E" w:rsidRDefault="002A3A8E" w:rsidP="002A3A8E">
      <w:r>
        <w:rPr>
          <w:noProof/>
          <w:lang w:eastAsia="en-AU"/>
        </w:rPr>
        <w:drawing>
          <wp:inline distT="0" distB="0" distL="0" distR="0" wp14:anchorId="19C4E4A0" wp14:editId="31839D53">
            <wp:extent cx="5400040" cy="3053676"/>
            <wp:effectExtent l="0" t="0" r="0" b="0"/>
            <wp:docPr id="2" name="Picture 2" descr="Figure 23. Frequency of AEs and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3053676"/>
                    </a:xfrm>
                    <a:prstGeom prst="rect">
                      <a:avLst/>
                    </a:prstGeom>
                  </pic:spPr>
                </pic:pic>
              </a:graphicData>
            </a:graphic>
          </wp:inline>
        </w:drawing>
      </w:r>
    </w:p>
    <w:p w:rsidR="002A3A8E" w:rsidRPr="002A3A8E" w:rsidRDefault="002A3A8E" w:rsidP="002A3A8E">
      <w:r w:rsidRPr="002A3A8E">
        <w:t>The sponsor’s view is supported by summary safety findings for sub-studies B2 and D, which showed no consistent picture of more toxicity in arms with more intense dosing.</w:t>
      </w:r>
      <w:r w:rsidR="00635167">
        <w:t xml:space="preserve"> </w:t>
      </w:r>
      <w:r w:rsidRPr="002A3A8E">
        <w:t xml:space="preserve">Interim assessment of randomised sub-study B3 suggests more toxicity with 10 mg/kg Q2W than 10 mg/kg </w:t>
      </w:r>
      <w:r w:rsidRPr="00BB2D95">
        <w:t xml:space="preserve">Q3W (see </w:t>
      </w:r>
      <w:r w:rsidR="00BB2D95">
        <w:t>Table 6 above</w:t>
      </w:r>
      <w:r w:rsidRPr="002A3A8E">
        <w:t>), and interim results of P006 are generally c</w:t>
      </w:r>
      <w:r w:rsidR="00702015">
        <w:t xml:space="preserve">onsistent with this conclusion </w:t>
      </w:r>
      <w:r w:rsidRPr="002A3A8E">
        <w:t xml:space="preserve">again raising the possibility that measures other than </w:t>
      </w:r>
      <w:proofErr w:type="spellStart"/>
      <w:r w:rsidRPr="002A3A8E">
        <w:t>AUCss</w:t>
      </w:r>
      <w:proofErr w:type="spellEnd"/>
      <w:r w:rsidRPr="002A3A8E">
        <w:t xml:space="preserve">, 6 </w:t>
      </w:r>
      <w:r w:rsidR="001A622E">
        <w:t>weeks</w:t>
      </w:r>
      <w:r w:rsidRPr="002A3A8E">
        <w:t>, are relevant.</w:t>
      </w:r>
    </w:p>
    <w:p w:rsidR="002A3A8E" w:rsidRPr="002A3A8E" w:rsidRDefault="002A3A8E" w:rsidP="002A3A8E">
      <w:r w:rsidRPr="002A3A8E">
        <w:t xml:space="preserve">The sponsor nominated wide clinical bounds (the [0.5, 5.0] interval of geometric mean ratio, relative to typical exposure at 2 mg/kg </w:t>
      </w:r>
      <w:r w:rsidR="0003098E">
        <w:t>Q3W</w:t>
      </w:r>
      <w:r w:rsidRPr="002A3A8E">
        <w:t>) to study the clinical relevance of exposure effects (effects of age, gender, organ dysfunction, tumour type and burde</w:t>
      </w:r>
      <w:r w:rsidR="00702015">
        <w:t>n, concomitant medications</w:t>
      </w:r>
      <w:r w:rsidRPr="002A3A8E">
        <w:t>)</w:t>
      </w:r>
      <w:r w:rsidR="00635167">
        <w:t xml:space="preserve"> </w:t>
      </w:r>
      <w:r w:rsidRPr="002A3A8E">
        <w:t>The upper bound is defensible given similar safety profiles seen with 2 mg/kg and 10 mg/kg dosing.</w:t>
      </w:r>
      <w:r w:rsidR="00635167">
        <w:t xml:space="preserve"> </w:t>
      </w:r>
      <w:r w:rsidRPr="002A3A8E">
        <w:t xml:space="preserve">The lower bound is supported by modelling / projections, </w:t>
      </w:r>
      <w:r w:rsidR="00B85B18">
        <w:t>for example</w:t>
      </w:r>
      <w:r w:rsidRPr="002A3A8E">
        <w:t xml:space="preserve"> </w:t>
      </w:r>
      <w:r w:rsidR="00987E81">
        <w:t>‘</w:t>
      </w:r>
      <w:r w:rsidR="00702015">
        <w:t xml:space="preserve">a 1 mg/kg Q3W dose (0.5 </w:t>
      </w:r>
      <w:r w:rsidRPr="002A3A8E">
        <w:t>fold dose and AUC) is still associated with a high (&gt;</w:t>
      </w:r>
      <w:r w:rsidR="00702015">
        <w:t xml:space="preserve"> </w:t>
      </w:r>
      <w:r w:rsidRPr="002A3A8E">
        <w:t>95%) target engagement at steady state trough levels</w:t>
      </w:r>
      <w:r w:rsidR="00987E81">
        <w:t>’</w:t>
      </w:r>
      <w:r w:rsidRPr="002A3A8E">
        <w:t>.</w:t>
      </w:r>
    </w:p>
    <w:p w:rsidR="002A3A8E" w:rsidRPr="002A3A8E" w:rsidRDefault="00702015" w:rsidP="002A3A8E">
      <w:pPr>
        <w:pStyle w:val="Heading4"/>
      </w:pPr>
      <w:r>
        <w:t xml:space="preserve">Efficacy; first </w:t>
      </w:r>
      <w:r w:rsidR="002A3A8E" w:rsidRPr="002A3A8E">
        <w:t>line</w:t>
      </w:r>
    </w:p>
    <w:p w:rsidR="002A3A8E" w:rsidRPr="002A3A8E" w:rsidRDefault="002A3A8E" w:rsidP="002A3A8E">
      <w:r w:rsidRPr="002A3A8E">
        <w:t>The TGA has adopted the guideline</w:t>
      </w:r>
      <w:bookmarkStart w:id="185" w:name="_Ref459034509"/>
      <w:r w:rsidR="00927B0E">
        <w:rPr>
          <w:rStyle w:val="FootnoteReference"/>
        </w:rPr>
        <w:footnoteReference w:id="67"/>
      </w:r>
      <w:bookmarkEnd w:id="185"/>
      <w:r w:rsidR="00927B0E">
        <w:t xml:space="preserve"> which</w:t>
      </w:r>
      <w:r w:rsidRPr="002A3A8E">
        <w:t xml:space="preserve"> in</w:t>
      </w:r>
      <w:r w:rsidR="00132BE6">
        <w:t>forms the following discussion.</w:t>
      </w:r>
    </w:p>
    <w:p w:rsidR="002A3A8E" w:rsidRPr="002A3A8E" w:rsidRDefault="002A3A8E" w:rsidP="002A3A8E">
      <w:pPr>
        <w:pStyle w:val="Heading5"/>
      </w:pPr>
      <w:r w:rsidRPr="002A3A8E">
        <w:t>Comparisons with ipilimumab</w:t>
      </w:r>
    </w:p>
    <w:p w:rsidR="002A3A8E" w:rsidRPr="002A3A8E" w:rsidRDefault="002A3A8E" w:rsidP="002A3A8E">
      <w:r w:rsidRPr="002A3A8E">
        <w:t xml:space="preserve">Ipilimumab does not have a </w:t>
      </w:r>
      <w:r w:rsidR="00E76E0B">
        <w:t>first line</w:t>
      </w:r>
      <w:r w:rsidRPr="002A3A8E">
        <w:t xml:space="preserve"> indication in advanced melanoma, but it is funded via the Pharmaceutical </w:t>
      </w:r>
      <w:r w:rsidR="00927B0E">
        <w:t xml:space="preserve">Benefits Scheme (PBS) for first </w:t>
      </w:r>
      <w:r w:rsidRPr="002A3A8E">
        <w:t>line induction / re-induction as monotherapy</w:t>
      </w:r>
      <w:r w:rsidRPr="00927B0E">
        <w:rPr>
          <w:vertAlign w:val="superscript"/>
        </w:rPr>
        <w:footnoteReference w:id="68"/>
      </w:r>
      <w:r w:rsidRPr="002A3A8E">
        <w:t>.</w:t>
      </w:r>
      <w:r w:rsidR="00635167">
        <w:t xml:space="preserve"> </w:t>
      </w:r>
      <w:r w:rsidRPr="002A3A8E">
        <w:t>Comparison of results with ipilimumab is appropriate.</w:t>
      </w:r>
    </w:p>
    <w:p w:rsidR="002A3A8E" w:rsidRPr="002A3A8E" w:rsidRDefault="002A3A8E" w:rsidP="002A3A8E">
      <w:pPr>
        <w:pStyle w:val="Heading6"/>
      </w:pPr>
      <w:r w:rsidRPr="002A3A8E">
        <w:t>Randomised, controlled studies using an appropriate comparator</w:t>
      </w:r>
    </w:p>
    <w:p w:rsidR="002A3A8E" w:rsidRPr="002A3A8E" w:rsidRDefault="00E76E0B" w:rsidP="002A3A8E">
      <w:r>
        <w:t xml:space="preserve">The sponsor has disclosed top </w:t>
      </w:r>
      <w:r w:rsidR="002A3A8E" w:rsidRPr="002A3A8E">
        <w:t xml:space="preserve">line results of P006, the randomised, controlled study of pembrolizumab </w:t>
      </w:r>
      <w:r w:rsidR="00987E81">
        <w:t>versus</w:t>
      </w:r>
      <w:r w:rsidR="002A3A8E" w:rsidRPr="002A3A8E">
        <w:t xml:space="preserve"> ip</w:t>
      </w:r>
      <w:r>
        <w:t xml:space="preserve">ilimumab in IPI </w:t>
      </w:r>
      <w:r w:rsidR="009C3B29">
        <w:t>naïve subjects</w:t>
      </w:r>
      <w:r w:rsidR="002A3A8E" w:rsidRPr="002A3A8E">
        <w:t>.</w:t>
      </w:r>
      <w:r w:rsidR="00635167">
        <w:t xml:space="preserve"> </w:t>
      </w:r>
      <w:r w:rsidR="002A3A8E" w:rsidRPr="002A3A8E">
        <w:t xml:space="preserve">No </w:t>
      </w:r>
      <w:r>
        <w:t>clinical study report</w:t>
      </w:r>
      <w:r w:rsidR="002A3A8E" w:rsidRPr="002A3A8E">
        <w:t xml:space="preserve"> is available.</w:t>
      </w:r>
      <w:r w:rsidR="00635167">
        <w:t xml:space="preserve"> </w:t>
      </w:r>
      <w:r w:rsidR="002A3A8E" w:rsidRPr="002A3A8E">
        <w:t>The study is due to be comp</w:t>
      </w:r>
      <w:r>
        <w:t>lete mid-</w:t>
      </w:r>
      <w:r w:rsidRPr="002A3A8E">
        <w:t>2016</w:t>
      </w:r>
      <w:r w:rsidR="002A3A8E" w:rsidRPr="002A3A8E">
        <w:t>.</w:t>
      </w:r>
      <w:r w:rsidR="00635167">
        <w:t xml:space="preserve"> </w:t>
      </w:r>
      <w:r w:rsidR="002A3A8E" w:rsidRPr="002A3A8E">
        <w:t xml:space="preserve">In P006, </w:t>
      </w:r>
      <w:r w:rsidR="00987E81">
        <w:t xml:space="preserve">approximately </w:t>
      </w:r>
      <w:r w:rsidR="002A3A8E" w:rsidRPr="002A3A8E">
        <w:t>66% of subjects were rec</w:t>
      </w:r>
      <w:r>
        <w:t xml:space="preserve">eiving pembrolizumab as a first </w:t>
      </w:r>
      <w:r w:rsidR="002A3A8E" w:rsidRPr="002A3A8E">
        <w:t>line agent for advanced melanoma.</w:t>
      </w:r>
      <w:r w:rsidR="00635167">
        <w:t xml:space="preserve"> </w:t>
      </w:r>
      <w:r w:rsidR="002A3A8E" w:rsidRPr="002A3A8E">
        <w:t xml:space="preserve">Randomisation was stratified by line of therapy (1st </w:t>
      </w:r>
      <w:r w:rsidR="00987E81">
        <w:t>versus</w:t>
      </w:r>
      <w:r w:rsidR="002A3A8E" w:rsidRPr="002A3A8E">
        <w:t xml:space="preserve"> 2nd), PD-L1 status and ECOG status.</w:t>
      </w:r>
      <w:r w:rsidR="00635167">
        <w:t xml:space="preserve"> </w:t>
      </w:r>
      <w:r w:rsidR="002A3A8E" w:rsidRPr="002A3A8E">
        <w:t>N</w:t>
      </w:r>
      <w:r>
        <w:t xml:space="preserve"> </w:t>
      </w:r>
      <w:r w:rsidR="002A3A8E" w:rsidRPr="002A3A8E">
        <w:t>=</w:t>
      </w:r>
      <w:r>
        <w:t xml:space="preserve"> 181 to </w:t>
      </w:r>
      <w:r w:rsidR="002A3A8E" w:rsidRPr="002A3A8E">
        <w:t xml:space="preserve">185 patients per arm were receiving study drug for </w:t>
      </w:r>
      <w:r>
        <w:t>first line</w:t>
      </w:r>
      <w:r w:rsidR="002A3A8E" w:rsidRPr="002A3A8E">
        <w:t xml:space="preserve"> therapy of </w:t>
      </w:r>
      <w:r w:rsidR="002A3A8E" w:rsidRPr="002A3A8E">
        <w:lastRenderedPageBreak/>
        <w:t>advanced disease.</w:t>
      </w:r>
      <w:r w:rsidR="00635167">
        <w:t xml:space="preserve"> </w:t>
      </w:r>
      <w:r w:rsidR="002A3A8E" w:rsidRPr="002A3A8E">
        <w:t>A 10 mg/kg dose was used (with Q2W and Q3W arms), so results do not directly support 2 mg/kg Q3W pembrolizumab dosing.</w:t>
      </w:r>
      <w:r w:rsidR="00635167">
        <w:t xml:space="preserve"> </w:t>
      </w:r>
      <w:r w:rsidR="002A3A8E" w:rsidRPr="002A3A8E">
        <w:t xml:space="preserve">PFS, OS and ORR outcomes all </w:t>
      </w:r>
      <w:r w:rsidR="002F5E51">
        <w:t>strongly favoured pembrolizumab</w:t>
      </w:r>
      <w:r w:rsidR="002A3A8E" w:rsidRPr="002A3A8E">
        <w:t xml:space="preserve"> and sub-group analysis by line of therapy (presented by Forrest plot in the top-line data) suggested good </w:t>
      </w:r>
      <w:r>
        <w:t>first line</w:t>
      </w:r>
      <w:r w:rsidR="002A3A8E" w:rsidRPr="002A3A8E">
        <w:t xml:space="preserve"> outcomes relative to IPI.</w:t>
      </w:r>
      <w:r w:rsidR="00635167">
        <w:t xml:space="preserve"> </w:t>
      </w:r>
      <w:r w:rsidR="002A3A8E" w:rsidRPr="002A3A8E">
        <w:t xml:space="preserve">The top-line results did not record any patient-reported outcomes, although </w:t>
      </w:r>
      <w:r w:rsidR="001E1CF4">
        <w:t>quality of life (</w:t>
      </w:r>
      <w:proofErr w:type="spellStart"/>
      <w:r w:rsidR="002A3A8E" w:rsidRPr="002A3A8E">
        <w:t>QoL</w:t>
      </w:r>
      <w:proofErr w:type="spellEnd"/>
      <w:r w:rsidR="001E1CF4">
        <w:t>)</w:t>
      </w:r>
      <w:r w:rsidR="002A3A8E" w:rsidRPr="002A3A8E">
        <w:t xml:space="preserve"> endpoints were mentioned in the protocol summary.</w:t>
      </w:r>
    </w:p>
    <w:p w:rsidR="002A3A8E" w:rsidRPr="002A3A8E" w:rsidRDefault="00E05E08" w:rsidP="002A3A8E">
      <w:pPr>
        <w:pStyle w:val="Heading6"/>
      </w:pPr>
      <w:r>
        <w:t>Cross study</w:t>
      </w:r>
      <w:r w:rsidR="002A3A8E" w:rsidRPr="002A3A8E">
        <w:t xml:space="preserve"> comparisons</w:t>
      </w:r>
    </w:p>
    <w:p w:rsidR="002A3A8E" w:rsidRPr="002A3A8E" w:rsidRDefault="002A3A8E" w:rsidP="002A3A8E">
      <w:r w:rsidRPr="002A3A8E">
        <w:t xml:space="preserve">Some patients in P001 received pembrolizumab as a </w:t>
      </w:r>
      <w:r w:rsidR="00E76E0B">
        <w:t>first line</w:t>
      </w:r>
      <w:r w:rsidRPr="002A3A8E">
        <w:t xml:space="preserve"> agent.</w:t>
      </w:r>
      <w:r w:rsidR="00635167">
        <w:t xml:space="preserve"> </w:t>
      </w:r>
      <w:r w:rsidRPr="002A3A8E">
        <w:t>The acceptability of efficacy in this setting can be evaluated, to an extent, by considering results of sub-groups within the study (</w:t>
      </w:r>
      <w:r w:rsidR="00B85B18">
        <w:t>for example</w:t>
      </w:r>
      <w:r w:rsidRPr="002A3A8E">
        <w:t xml:space="preserve"> ORR in </w:t>
      </w:r>
      <w:r w:rsidR="00E76E0B">
        <w:t>first line</w:t>
      </w:r>
      <w:r w:rsidR="001E1CF4">
        <w:t xml:space="preserve"> patients) and by cross </w:t>
      </w:r>
      <w:r w:rsidRPr="002A3A8E">
        <w:t>study comparison.</w:t>
      </w:r>
    </w:p>
    <w:p w:rsidR="002A3A8E" w:rsidRDefault="002A3A8E" w:rsidP="002A3A8E">
      <w:r w:rsidRPr="002A3A8E">
        <w:t xml:space="preserve">Based on B1+B2+D (n=411) and the initial data </w:t>
      </w:r>
      <w:r w:rsidR="00C22866">
        <w:t>cut off</w:t>
      </w:r>
      <w:r w:rsidRPr="002A3A8E">
        <w:t xml:space="preserve"> (18 October 2013), where 95 subjects had been identified as treatment-naïve for advanced melanoma, the following best objective response rates</w:t>
      </w:r>
      <w:r w:rsidR="001E1CF4">
        <w:t xml:space="preserve"> were obtained, by dose regimen as shown in Table 40.</w:t>
      </w:r>
    </w:p>
    <w:p w:rsidR="00616DBF" w:rsidRPr="002A3A8E" w:rsidRDefault="00616DBF" w:rsidP="00616DBF">
      <w:pPr>
        <w:pStyle w:val="Tabletitle0"/>
      </w:pPr>
      <w:proofErr w:type="gramStart"/>
      <w:r>
        <w:t>Table 40.</w:t>
      </w:r>
      <w:proofErr w:type="gramEnd"/>
      <w:r>
        <w:t xml:space="preserve"> Objective response rates by dose regimen.</w:t>
      </w:r>
    </w:p>
    <w:tbl>
      <w:tblPr>
        <w:tblStyle w:val="TableTGAblue"/>
        <w:tblW w:w="0" w:type="auto"/>
        <w:tblLook w:val="04A0" w:firstRow="1" w:lastRow="0" w:firstColumn="1" w:lastColumn="0" w:noHBand="0" w:noVBand="1"/>
      </w:tblPr>
      <w:tblGrid>
        <w:gridCol w:w="1776"/>
        <w:gridCol w:w="1734"/>
        <w:gridCol w:w="1734"/>
        <w:gridCol w:w="1734"/>
        <w:gridCol w:w="1742"/>
      </w:tblGrid>
      <w:tr w:rsidR="002A3A8E" w:rsidRPr="009C3B29" w:rsidTr="002A3A8E">
        <w:trPr>
          <w:cnfStyle w:val="100000000000" w:firstRow="1" w:lastRow="0" w:firstColumn="0" w:lastColumn="0" w:oddVBand="0" w:evenVBand="0" w:oddHBand="0" w:evenHBand="0" w:firstRowFirstColumn="0" w:firstRowLastColumn="0" w:lastRowFirstColumn="0" w:lastRowLastColumn="0"/>
        </w:trPr>
        <w:tc>
          <w:tcPr>
            <w:tcW w:w="1776" w:type="dxa"/>
          </w:tcPr>
          <w:p w:rsidR="002A3A8E" w:rsidRPr="009C3B29" w:rsidRDefault="002A3A8E" w:rsidP="002A3A8E">
            <w:pPr>
              <w:ind w:left="0"/>
              <w:rPr>
                <w:sz w:val="20"/>
                <w:szCs w:val="20"/>
              </w:rPr>
            </w:pPr>
            <w:r w:rsidRPr="009C3B29">
              <w:rPr>
                <w:sz w:val="20"/>
                <w:szCs w:val="20"/>
              </w:rPr>
              <w:t>prior therapies</w:t>
            </w:r>
          </w:p>
        </w:tc>
        <w:tc>
          <w:tcPr>
            <w:tcW w:w="1734" w:type="dxa"/>
          </w:tcPr>
          <w:p w:rsidR="002A3A8E" w:rsidRPr="009C3B29" w:rsidRDefault="002A3A8E" w:rsidP="002A3A8E">
            <w:pPr>
              <w:ind w:left="0"/>
              <w:rPr>
                <w:sz w:val="20"/>
                <w:szCs w:val="20"/>
              </w:rPr>
            </w:pPr>
            <w:r w:rsidRPr="009C3B29">
              <w:rPr>
                <w:sz w:val="20"/>
                <w:szCs w:val="20"/>
              </w:rPr>
              <w:t>2 mg/kg Q3W</w:t>
            </w:r>
          </w:p>
        </w:tc>
        <w:tc>
          <w:tcPr>
            <w:tcW w:w="1734" w:type="dxa"/>
          </w:tcPr>
          <w:p w:rsidR="002A3A8E" w:rsidRPr="009C3B29" w:rsidRDefault="002A3A8E" w:rsidP="002A3A8E">
            <w:pPr>
              <w:ind w:left="0"/>
              <w:rPr>
                <w:sz w:val="20"/>
                <w:szCs w:val="20"/>
              </w:rPr>
            </w:pPr>
            <w:r w:rsidRPr="009C3B29">
              <w:rPr>
                <w:sz w:val="20"/>
                <w:szCs w:val="20"/>
              </w:rPr>
              <w:t>10 mg/kg Q3W</w:t>
            </w:r>
          </w:p>
        </w:tc>
        <w:tc>
          <w:tcPr>
            <w:tcW w:w="1734" w:type="dxa"/>
          </w:tcPr>
          <w:p w:rsidR="002A3A8E" w:rsidRPr="009C3B29" w:rsidRDefault="002A3A8E" w:rsidP="002A3A8E">
            <w:pPr>
              <w:ind w:left="0"/>
              <w:rPr>
                <w:sz w:val="20"/>
                <w:szCs w:val="20"/>
              </w:rPr>
            </w:pPr>
            <w:r w:rsidRPr="009C3B29">
              <w:rPr>
                <w:sz w:val="20"/>
                <w:szCs w:val="20"/>
              </w:rPr>
              <w:t>10 mg/kg Q2W</w:t>
            </w:r>
          </w:p>
        </w:tc>
        <w:tc>
          <w:tcPr>
            <w:tcW w:w="1742" w:type="dxa"/>
          </w:tcPr>
          <w:p w:rsidR="002A3A8E" w:rsidRPr="009C3B29" w:rsidRDefault="002A3A8E" w:rsidP="002A3A8E">
            <w:pPr>
              <w:ind w:left="0"/>
              <w:rPr>
                <w:sz w:val="20"/>
                <w:szCs w:val="20"/>
              </w:rPr>
            </w:pPr>
            <w:r w:rsidRPr="009C3B29">
              <w:rPr>
                <w:sz w:val="20"/>
                <w:szCs w:val="20"/>
              </w:rPr>
              <w:t>total</w:t>
            </w:r>
          </w:p>
        </w:tc>
      </w:tr>
      <w:tr w:rsidR="002A3A8E" w:rsidRPr="009C3B29" w:rsidTr="002A3A8E">
        <w:tc>
          <w:tcPr>
            <w:tcW w:w="1776" w:type="dxa"/>
          </w:tcPr>
          <w:p w:rsidR="002A3A8E" w:rsidRPr="009C3B29" w:rsidRDefault="002A3A8E" w:rsidP="002A3A8E">
            <w:pPr>
              <w:ind w:left="0"/>
              <w:rPr>
                <w:sz w:val="20"/>
                <w:szCs w:val="20"/>
              </w:rPr>
            </w:pPr>
            <w:r w:rsidRPr="009C3B29">
              <w:rPr>
                <w:sz w:val="20"/>
                <w:szCs w:val="20"/>
              </w:rPr>
              <w:t>0</w:t>
            </w:r>
          </w:p>
        </w:tc>
        <w:tc>
          <w:tcPr>
            <w:tcW w:w="1734" w:type="dxa"/>
          </w:tcPr>
          <w:p w:rsidR="002A3A8E" w:rsidRPr="009C3B29" w:rsidRDefault="002A3A8E" w:rsidP="002A3A8E">
            <w:pPr>
              <w:ind w:left="0"/>
              <w:rPr>
                <w:sz w:val="20"/>
                <w:szCs w:val="20"/>
              </w:rPr>
            </w:pPr>
            <w:r w:rsidRPr="009C3B29">
              <w:rPr>
                <w:sz w:val="20"/>
                <w:szCs w:val="20"/>
              </w:rPr>
              <w:t>15/38 = 39%</w:t>
            </w:r>
          </w:p>
        </w:tc>
        <w:tc>
          <w:tcPr>
            <w:tcW w:w="1734" w:type="dxa"/>
          </w:tcPr>
          <w:p w:rsidR="002A3A8E" w:rsidRPr="009C3B29" w:rsidRDefault="002A3A8E" w:rsidP="002A3A8E">
            <w:pPr>
              <w:ind w:left="0"/>
              <w:rPr>
                <w:sz w:val="20"/>
                <w:szCs w:val="20"/>
              </w:rPr>
            </w:pPr>
            <w:r w:rsidRPr="009C3B29">
              <w:rPr>
                <w:sz w:val="20"/>
                <w:szCs w:val="20"/>
              </w:rPr>
              <w:t>18/41 = 44%</w:t>
            </w:r>
          </w:p>
        </w:tc>
        <w:tc>
          <w:tcPr>
            <w:tcW w:w="1734" w:type="dxa"/>
          </w:tcPr>
          <w:p w:rsidR="002A3A8E" w:rsidRPr="009C3B29" w:rsidRDefault="002A3A8E" w:rsidP="002A3A8E">
            <w:pPr>
              <w:ind w:left="0"/>
              <w:rPr>
                <w:sz w:val="20"/>
                <w:szCs w:val="20"/>
              </w:rPr>
            </w:pPr>
            <w:r w:rsidRPr="009C3B29">
              <w:rPr>
                <w:sz w:val="20"/>
                <w:szCs w:val="20"/>
              </w:rPr>
              <w:t>7/16 = 44%</w:t>
            </w:r>
          </w:p>
        </w:tc>
        <w:tc>
          <w:tcPr>
            <w:tcW w:w="1742" w:type="dxa"/>
          </w:tcPr>
          <w:p w:rsidR="002A3A8E" w:rsidRPr="009C3B29" w:rsidRDefault="002A3A8E" w:rsidP="002A3A8E">
            <w:pPr>
              <w:ind w:left="0"/>
              <w:rPr>
                <w:sz w:val="20"/>
                <w:szCs w:val="20"/>
              </w:rPr>
            </w:pPr>
            <w:r w:rsidRPr="009C3B29">
              <w:rPr>
                <w:sz w:val="20"/>
                <w:szCs w:val="20"/>
              </w:rPr>
              <w:t>40/95 = 42%</w:t>
            </w:r>
          </w:p>
        </w:tc>
      </w:tr>
      <w:tr w:rsidR="002A3A8E" w:rsidRPr="009C3B29" w:rsidTr="002A3A8E">
        <w:tc>
          <w:tcPr>
            <w:tcW w:w="1776" w:type="dxa"/>
          </w:tcPr>
          <w:p w:rsidR="002A3A8E" w:rsidRPr="009C3B29" w:rsidRDefault="002A3A8E" w:rsidP="002A3A8E">
            <w:pPr>
              <w:ind w:left="0"/>
              <w:rPr>
                <w:sz w:val="20"/>
                <w:szCs w:val="20"/>
              </w:rPr>
            </w:pPr>
            <w:r w:rsidRPr="009C3B29">
              <w:rPr>
                <w:sz w:val="20"/>
                <w:szCs w:val="20"/>
              </w:rPr>
              <w:t>1</w:t>
            </w:r>
          </w:p>
        </w:tc>
        <w:tc>
          <w:tcPr>
            <w:tcW w:w="1734" w:type="dxa"/>
          </w:tcPr>
          <w:p w:rsidR="002A3A8E" w:rsidRPr="009C3B29" w:rsidRDefault="002A3A8E" w:rsidP="002A3A8E">
            <w:pPr>
              <w:ind w:left="0"/>
              <w:rPr>
                <w:sz w:val="20"/>
                <w:szCs w:val="20"/>
              </w:rPr>
            </w:pPr>
            <w:r w:rsidRPr="009C3B29">
              <w:rPr>
                <w:sz w:val="20"/>
                <w:szCs w:val="20"/>
              </w:rPr>
              <w:t>12/48 = 25%</w:t>
            </w:r>
          </w:p>
        </w:tc>
        <w:tc>
          <w:tcPr>
            <w:tcW w:w="1734" w:type="dxa"/>
          </w:tcPr>
          <w:p w:rsidR="002A3A8E" w:rsidRPr="009C3B29" w:rsidRDefault="002A3A8E" w:rsidP="002A3A8E">
            <w:pPr>
              <w:ind w:left="0"/>
              <w:rPr>
                <w:sz w:val="20"/>
                <w:szCs w:val="20"/>
              </w:rPr>
            </w:pPr>
            <w:r w:rsidRPr="009C3B29">
              <w:rPr>
                <w:sz w:val="20"/>
                <w:szCs w:val="20"/>
              </w:rPr>
              <w:t>16/53 = 30%</w:t>
            </w:r>
          </w:p>
        </w:tc>
        <w:tc>
          <w:tcPr>
            <w:tcW w:w="1734" w:type="dxa"/>
          </w:tcPr>
          <w:p w:rsidR="002A3A8E" w:rsidRPr="009C3B29" w:rsidRDefault="002A3A8E" w:rsidP="002A3A8E">
            <w:pPr>
              <w:ind w:left="0"/>
              <w:rPr>
                <w:sz w:val="20"/>
                <w:szCs w:val="20"/>
              </w:rPr>
            </w:pPr>
            <w:r w:rsidRPr="009C3B29">
              <w:rPr>
                <w:sz w:val="20"/>
                <w:szCs w:val="20"/>
              </w:rPr>
              <w:t>8/19 = 42%</w:t>
            </w:r>
          </w:p>
        </w:tc>
        <w:tc>
          <w:tcPr>
            <w:tcW w:w="1742" w:type="dxa"/>
          </w:tcPr>
          <w:p w:rsidR="002A3A8E" w:rsidRPr="009C3B29" w:rsidRDefault="002A3A8E" w:rsidP="002A3A8E">
            <w:pPr>
              <w:ind w:left="0"/>
              <w:rPr>
                <w:sz w:val="20"/>
                <w:szCs w:val="20"/>
              </w:rPr>
            </w:pPr>
            <w:r w:rsidRPr="009C3B29">
              <w:rPr>
                <w:sz w:val="20"/>
                <w:szCs w:val="20"/>
              </w:rPr>
              <w:t>36/120 = 30%</w:t>
            </w:r>
          </w:p>
        </w:tc>
      </w:tr>
      <w:tr w:rsidR="002A3A8E" w:rsidRPr="009C3B29" w:rsidTr="002A3A8E">
        <w:tc>
          <w:tcPr>
            <w:tcW w:w="1776" w:type="dxa"/>
          </w:tcPr>
          <w:p w:rsidR="002A3A8E" w:rsidRPr="009C3B29" w:rsidRDefault="002A3A8E" w:rsidP="002A3A8E">
            <w:pPr>
              <w:ind w:left="0"/>
              <w:rPr>
                <w:sz w:val="20"/>
                <w:szCs w:val="20"/>
              </w:rPr>
            </w:pPr>
            <w:r w:rsidRPr="009C3B29">
              <w:rPr>
                <w:sz w:val="20"/>
                <w:szCs w:val="20"/>
              </w:rPr>
              <w:t>2</w:t>
            </w:r>
          </w:p>
        </w:tc>
        <w:tc>
          <w:tcPr>
            <w:tcW w:w="1734" w:type="dxa"/>
          </w:tcPr>
          <w:p w:rsidR="002A3A8E" w:rsidRPr="009C3B29" w:rsidRDefault="002A3A8E" w:rsidP="002A3A8E">
            <w:pPr>
              <w:ind w:left="0"/>
              <w:rPr>
                <w:sz w:val="20"/>
                <w:szCs w:val="20"/>
              </w:rPr>
            </w:pPr>
            <w:r w:rsidRPr="009C3B29">
              <w:rPr>
                <w:sz w:val="20"/>
                <w:szCs w:val="20"/>
              </w:rPr>
              <w:t>13/44 = 30%</w:t>
            </w:r>
          </w:p>
        </w:tc>
        <w:tc>
          <w:tcPr>
            <w:tcW w:w="1734" w:type="dxa"/>
          </w:tcPr>
          <w:p w:rsidR="002A3A8E" w:rsidRPr="009C3B29" w:rsidRDefault="002A3A8E" w:rsidP="002A3A8E">
            <w:pPr>
              <w:ind w:left="0"/>
              <w:rPr>
                <w:sz w:val="20"/>
                <w:szCs w:val="20"/>
              </w:rPr>
            </w:pPr>
            <w:r w:rsidRPr="009C3B29">
              <w:rPr>
                <w:sz w:val="20"/>
                <w:szCs w:val="20"/>
              </w:rPr>
              <w:t>10/56 = 18%</w:t>
            </w:r>
          </w:p>
        </w:tc>
        <w:tc>
          <w:tcPr>
            <w:tcW w:w="1734" w:type="dxa"/>
          </w:tcPr>
          <w:p w:rsidR="002A3A8E" w:rsidRPr="009C3B29" w:rsidRDefault="002A3A8E" w:rsidP="002A3A8E">
            <w:pPr>
              <w:ind w:left="0"/>
              <w:rPr>
                <w:sz w:val="20"/>
                <w:szCs w:val="20"/>
              </w:rPr>
            </w:pPr>
            <w:r w:rsidRPr="009C3B29">
              <w:rPr>
                <w:sz w:val="20"/>
                <w:szCs w:val="20"/>
              </w:rPr>
              <w:t>10/15 = 67%</w:t>
            </w:r>
          </w:p>
        </w:tc>
        <w:tc>
          <w:tcPr>
            <w:tcW w:w="1742" w:type="dxa"/>
          </w:tcPr>
          <w:p w:rsidR="002A3A8E" w:rsidRPr="009C3B29" w:rsidRDefault="002A3A8E" w:rsidP="002A3A8E">
            <w:pPr>
              <w:ind w:left="0"/>
              <w:rPr>
                <w:sz w:val="20"/>
                <w:szCs w:val="20"/>
              </w:rPr>
            </w:pPr>
            <w:r w:rsidRPr="009C3B29">
              <w:rPr>
                <w:sz w:val="20"/>
                <w:szCs w:val="20"/>
              </w:rPr>
              <w:t>33/115 = 29%</w:t>
            </w:r>
          </w:p>
        </w:tc>
      </w:tr>
      <w:tr w:rsidR="002A3A8E" w:rsidRPr="009C3B29" w:rsidTr="002A3A8E">
        <w:tc>
          <w:tcPr>
            <w:tcW w:w="1776" w:type="dxa"/>
          </w:tcPr>
          <w:p w:rsidR="002A3A8E" w:rsidRPr="009C3B29" w:rsidRDefault="002A3A8E" w:rsidP="002A3A8E">
            <w:pPr>
              <w:ind w:left="0"/>
              <w:rPr>
                <w:sz w:val="20"/>
                <w:szCs w:val="20"/>
              </w:rPr>
            </w:pPr>
            <w:r w:rsidRPr="009C3B29">
              <w:rPr>
                <w:sz w:val="20"/>
                <w:szCs w:val="20"/>
              </w:rPr>
              <w:t>&gt;</w:t>
            </w:r>
            <w:r w:rsidR="009C3B29">
              <w:rPr>
                <w:sz w:val="20"/>
                <w:szCs w:val="20"/>
              </w:rPr>
              <w:t xml:space="preserve"> </w:t>
            </w:r>
            <w:r w:rsidRPr="009C3B29">
              <w:rPr>
                <w:sz w:val="20"/>
                <w:szCs w:val="20"/>
              </w:rPr>
              <w:t>2</w:t>
            </w:r>
          </w:p>
        </w:tc>
        <w:tc>
          <w:tcPr>
            <w:tcW w:w="1734" w:type="dxa"/>
          </w:tcPr>
          <w:p w:rsidR="002A3A8E" w:rsidRPr="009C3B29" w:rsidRDefault="002A3A8E" w:rsidP="002A3A8E">
            <w:pPr>
              <w:ind w:left="0"/>
              <w:rPr>
                <w:sz w:val="20"/>
                <w:szCs w:val="20"/>
              </w:rPr>
            </w:pPr>
            <w:r w:rsidRPr="009C3B29">
              <w:rPr>
                <w:sz w:val="20"/>
                <w:szCs w:val="20"/>
              </w:rPr>
              <w:t>7/32 = 22%</w:t>
            </w:r>
          </w:p>
        </w:tc>
        <w:tc>
          <w:tcPr>
            <w:tcW w:w="1734" w:type="dxa"/>
          </w:tcPr>
          <w:p w:rsidR="002A3A8E" w:rsidRPr="009C3B29" w:rsidRDefault="002A3A8E" w:rsidP="002A3A8E">
            <w:pPr>
              <w:ind w:left="0"/>
              <w:rPr>
                <w:sz w:val="20"/>
                <w:szCs w:val="20"/>
              </w:rPr>
            </w:pPr>
            <w:r w:rsidRPr="009C3B29">
              <w:rPr>
                <w:sz w:val="20"/>
                <w:szCs w:val="20"/>
              </w:rPr>
              <w:t>11/42 = 26%</w:t>
            </w:r>
          </w:p>
        </w:tc>
        <w:tc>
          <w:tcPr>
            <w:tcW w:w="1734" w:type="dxa"/>
          </w:tcPr>
          <w:p w:rsidR="002A3A8E" w:rsidRPr="009C3B29" w:rsidRDefault="002A3A8E" w:rsidP="002A3A8E">
            <w:pPr>
              <w:ind w:left="0"/>
              <w:rPr>
                <w:sz w:val="20"/>
                <w:szCs w:val="20"/>
              </w:rPr>
            </w:pPr>
            <w:r w:rsidRPr="009C3B29">
              <w:rPr>
                <w:sz w:val="20"/>
                <w:szCs w:val="20"/>
              </w:rPr>
              <w:t>3/7 = 43%</w:t>
            </w:r>
          </w:p>
        </w:tc>
        <w:tc>
          <w:tcPr>
            <w:tcW w:w="1742" w:type="dxa"/>
          </w:tcPr>
          <w:p w:rsidR="002A3A8E" w:rsidRPr="009C3B29" w:rsidRDefault="002A3A8E" w:rsidP="002A3A8E">
            <w:pPr>
              <w:ind w:left="0"/>
              <w:rPr>
                <w:sz w:val="20"/>
                <w:szCs w:val="20"/>
              </w:rPr>
            </w:pPr>
            <w:r w:rsidRPr="009C3B29">
              <w:rPr>
                <w:sz w:val="20"/>
                <w:szCs w:val="20"/>
              </w:rPr>
              <w:t>21/81 = 26%</w:t>
            </w:r>
          </w:p>
        </w:tc>
      </w:tr>
    </w:tbl>
    <w:p w:rsidR="002A3A8E" w:rsidRPr="002A3A8E" w:rsidRDefault="001E1CF4" w:rsidP="002A3A8E">
      <w:r>
        <w:t xml:space="preserve">Some </w:t>
      </w:r>
      <w:r w:rsidR="002A3A8E" w:rsidRPr="002A3A8E">
        <w:t>28% of those in B3 (</w:t>
      </w:r>
      <w:r w:rsidR="001D4BB8">
        <w:t>that is</w:t>
      </w:r>
      <w:r w:rsidR="002A3A8E" w:rsidRPr="002A3A8E">
        <w:t xml:space="preserve"> 68</w:t>
      </w:r>
      <w:r w:rsidR="005D7F4D">
        <w:t xml:space="preserve"> out of </w:t>
      </w:r>
      <w:r>
        <w:t xml:space="preserve">244) were treatment </w:t>
      </w:r>
      <w:r w:rsidR="002A3A8E" w:rsidRPr="002A3A8E">
        <w:t xml:space="preserve">naïve, </w:t>
      </w:r>
      <w:r>
        <w:t xml:space="preserve">bringing the total of treatment </w:t>
      </w:r>
      <w:r w:rsidR="002A3A8E" w:rsidRPr="002A3A8E">
        <w:t>naïve subjects wit</w:t>
      </w:r>
      <w:r>
        <w:t xml:space="preserve">h advanced melanoma in P001 to </w:t>
      </w:r>
      <w:r w:rsidR="00987E81">
        <w:t xml:space="preserve">approximately </w:t>
      </w:r>
      <w:r w:rsidR="002A3A8E" w:rsidRPr="002A3A8E">
        <w:t>161.</w:t>
      </w:r>
      <w:r w:rsidR="00635167">
        <w:t xml:space="preserve"> </w:t>
      </w:r>
      <w:r w:rsidR="002A3A8E" w:rsidRPr="002A3A8E">
        <w:t>However, in summary data for B3, there was no subgroup analysis by number of prior therapies.</w:t>
      </w:r>
    </w:p>
    <w:p w:rsidR="002A3A8E" w:rsidRPr="002A3A8E" w:rsidRDefault="002A3A8E" w:rsidP="002A3A8E">
      <w:r w:rsidRPr="002A3A8E">
        <w:t xml:space="preserve">The registration study for ipilimumab, MDX010-20, was not </w:t>
      </w:r>
      <w:r w:rsidR="00E76E0B">
        <w:t>first line</w:t>
      </w:r>
      <w:r w:rsidRPr="002A3A8E">
        <w:t>.</w:t>
      </w:r>
      <w:r w:rsidR="00635167">
        <w:t xml:space="preserve"> </w:t>
      </w:r>
      <w:r w:rsidRPr="002A3A8E">
        <w:t>In it, best ORR was 11% in the ipilimumab monotherapy arm, 6% in the ipilimumab + gp100 arm and 1.5% in the gp100 arm.</w:t>
      </w:r>
      <w:r w:rsidR="00635167">
        <w:t xml:space="preserve"> </w:t>
      </w:r>
      <w:r w:rsidRPr="002A3A8E">
        <w:t xml:space="preserve">Published data in support of </w:t>
      </w:r>
      <w:r w:rsidR="00E76E0B">
        <w:t>first line</w:t>
      </w:r>
      <w:r w:rsidRPr="002A3A8E">
        <w:t xml:space="preserve"> ipilimumab monotherapy (3 mg/kg as per funding</w:t>
      </w:r>
      <w:r w:rsidR="001E1CF4">
        <w:t xml:space="preserve">) are limited; this makes cross </w:t>
      </w:r>
      <w:r w:rsidRPr="002A3A8E">
        <w:t xml:space="preserve">study comparison with </w:t>
      </w:r>
      <w:r w:rsidR="00E76E0B">
        <w:t>first line</w:t>
      </w:r>
      <w:r w:rsidRPr="002A3A8E">
        <w:t xml:space="preserve"> pembrolizumab difficult.</w:t>
      </w:r>
      <w:r w:rsidR="00635167">
        <w:t xml:space="preserve"> </w:t>
      </w:r>
      <w:r w:rsidRPr="002A3A8E">
        <w:t xml:space="preserve">However, interim results of P006 suggest that </w:t>
      </w:r>
      <w:r w:rsidR="00E76E0B">
        <w:t>first line</w:t>
      </w:r>
      <w:r w:rsidRPr="002A3A8E">
        <w:t xml:space="preserve"> IPI is likely to have a similar degree of efficacy (the</w:t>
      </w:r>
      <w:r w:rsidR="001E1CF4">
        <w:t xml:space="preserve"> IPI ORR in P006 was 11.9%; two </w:t>
      </w:r>
      <w:r w:rsidRPr="002A3A8E">
        <w:t>th</w:t>
      </w:r>
      <w:r w:rsidR="001E1CF4">
        <w:t xml:space="preserve">irds of patients were treatment </w:t>
      </w:r>
      <w:r w:rsidRPr="002A3A8E">
        <w:t>naive).</w:t>
      </w:r>
    </w:p>
    <w:p w:rsidR="002A3A8E" w:rsidRPr="002A3A8E" w:rsidRDefault="002A3A8E" w:rsidP="002A3A8E">
      <w:r w:rsidRPr="002A3A8E">
        <w:t xml:space="preserve">Comparison of pembrolizumab’s efficacy as a </w:t>
      </w:r>
      <w:r w:rsidR="00E76E0B">
        <w:t>first line</w:t>
      </w:r>
      <w:r w:rsidRPr="002A3A8E">
        <w:t xml:space="preserve"> agent in P001 with ipilimumab’s apparent efficacy as a </w:t>
      </w:r>
      <w:r w:rsidR="00E76E0B">
        <w:t>first line</w:t>
      </w:r>
      <w:r w:rsidRPr="002A3A8E">
        <w:t xml:space="preserve"> agent suggests much better efficacy for pembrolizumab.</w:t>
      </w:r>
      <w:r w:rsidR="00635167">
        <w:t xml:space="preserve"> </w:t>
      </w:r>
      <w:r w:rsidRPr="002A3A8E">
        <w:t>This li</w:t>
      </w:r>
      <w:r w:rsidR="001E1CF4">
        <w:t xml:space="preserve">ne of evidence supports the top </w:t>
      </w:r>
      <w:r w:rsidRPr="002A3A8E">
        <w:t>l</w:t>
      </w:r>
      <w:r w:rsidR="009C3B29">
        <w:t>ine outcomes reported for P006.</w:t>
      </w:r>
    </w:p>
    <w:p w:rsidR="002A3A8E" w:rsidRPr="002A3A8E" w:rsidRDefault="002A3A8E" w:rsidP="002A3A8E">
      <w:pPr>
        <w:pStyle w:val="Heading5"/>
      </w:pPr>
      <w:r w:rsidRPr="002A3A8E">
        <w:t>Comparison with BRAF / MEK inhibition in patients with BRAF mutant tumours</w:t>
      </w:r>
    </w:p>
    <w:p w:rsidR="002A3A8E" w:rsidRPr="002A3A8E" w:rsidRDefault="002A3A8E" w:rsidP="002A3A8E">
      <w:r w:rsidRPr="002A3A8E">
        <w:t xml:space="preserve">BRAF and MEK inhibitors can be used in these patients as </w:t>
      </w:r>
      <w:r w:rsidR="00E76E0B">
        <w:t>first line</w:t>
      </w:r>
      <w:r w:rsidRPr="002A3A8E">
        <w:t xml:space="preserve"> therapy, so efficacy of pembrolizumab in this sub-group is important to understand.</w:t>
      </w:r>
    </w:p>
    <w:p w:rsidR="002A3A8E" w:rsidRPr="002A3A8E" w:rsidRDefault="002A3A8E" w:rsidP="00C57D2B">
      <w:pPr>
        <w:pStyle w:val="Heading6"/>
      </w:pPr>
      <w:r w:rsidRPr="002A3A8E">
        <w:t>Randomised, controlled studies using an appropriate comparator</w:t>
      </w:r>
    </w:p>
    <w:p w:rsidR="002A3A8E" w:rsidRPr="002A3A8E" w:rsidRDefault="002A3A8E" w:rsidP="002A3A8E">
      <w:r w:rsidRPr="002A3A8E">
        <w:t xml:space="preserve">There are no RCTs of pembrolizumab </w:t>
      </w:r>
      <w:r w:rsidR="00987E81">
        <w:t>versus</w:t>
      </w:r>
      <w:r w:rsidRPr="002A3A8E">
        <w:t xml:space="preserve"> BRAF/ MEK inhibition in patients with BRAF mutant tumours.</w:t>
      </w:r>
    </w:p>
    <w:p w:rsidR="002A3A8E" w:rsidRPr="002A3A8E" w:rsidRDefault="001E1CF4" w:rsidP="00C57D2B">
      <w:pPr>
        <w:pStyle w:val="Heading6"/>
      </w:pPr>
      <w:r>
        <w:lastRenderedPageBreak/>
        <w:t xml:space="preserve">Cross </w:t>
      </w:r>
      <w:r w:rsidR="002A3A8E" w:rsidRPr="002A3A8E">
        <w:t>study comparisons</w:t>
      </w:r>
    </w:p>
    <w:p w:rsidR="002A3A8E" w:rsidRPr="002A3A8E" w:rsidRDefault="002A3A8E" w:rsidP="002A3A8E">
      <w:r w:rsidRPr="002A3A8E">
        <w:t xml:space="preserve">Both P001 and P006 included patients with BRAF mutant tumours who were receiving pembrolizumab as </w:t>
      </w:r>
      <w:r w:rsidR="00E76E0B">
        <w:t>first line</w:t>
      </w:r>
      <w:r w:rsidRPr="002A3A8E">
        <w:t xml:space="preserve"> therapy.</w:t>
      </w:r>
    </w:p>
    <w:p w:rsidR="002A3A8E" w:rsidRPr="00C57D2B" w:rsidRDefault="002A3A8E" w:rsidP="00C57D2B">
      <w:r w:rsidRPr="00C57D2B">
        <w:t>In B1+B2+D, 75.4% of patients had BRAF V600 WT tumours, and 23.6% had BRAF V600 mutant tumours.</w:t>
      </w:r>
      <w:r w:rsidR="00635167">
        <w:t xml:space="preserve"> </w:t>
      </w:r>
      <w:r w:rsidRPr="00C57D2B">
        <w:t xml:space="preserve">More typically in Australia, </w:t>
      </w:r>
      <w:r w:rsidR="00987E81">
        <w:t xml:space="preserve">approximately </w:t>
      </w:r>
      <w:r w:rsidR="00664144">
        <w:t xml:space="preserve">45 to </w:t>
      </w:r>
      <w:r w:rsidRPr="00C57D2B">
        <w:t>48% of patients with advanced melanoma have BRAF V600 mutant tumours</w:t>
      </w:r>
      <w:r w:rsidR="00664144">
        <w:t>.</w:t>
      </w:r>
      <w:r w:rsidR="009D2A28">
        <w:t xml:space="preserve"> </w:t>
      </w:r>
      <w:r w:rsidR="00664144">
        <w:rPr>
          <w:rStyle w:val="FootnoteReference"/>
        </w:rPr>
        <w:footnoteReference w:id="69"/>
      </w:r>
      <w:r w:rsidR="00664144">
        <w:t xml:space="preserve"> </w:t>
      </w:r>
      <w:r w:rsidR="00664144">
        <w:rPr>
          <w:rStyle w:val="FootnoteReference"/>
        </w:rPr>
        <w:footnoteReference w:id="70"/>
      </w:r>
      <w:r w:rsidR="00635167">
        <w:t xml:space="preserve"> </w:t>
      </w:r>
      <w:r w:rsidRPr="00C57D2B">
        <w:t>It is not clear why the proportion with BRAF mutation is lower in B1+B2+D.</w:t>
      </w:r>
      <w:r w:rsidR="00635167">
        <w:t xml:space="preserve"> </w:t>
      </w:r>
      <w:r w:rsidRPr="00C57D2B">
        <w:t>This limits generalizability of results.</w:t>
      </w:r>
      <w:r w:rsidR="00635167">
        <w:t xml:space="preserve"> </w:t>
      </w:r>
      <w:r w:rsidRPr="00C57D2B">
        <w:t>In P006, 36% of subjects had BRAF mutant tumours, a result more in line with expectations.</w:t>
      </w:r>
    </w:p>
    <w:p w:rsidR="00C57D2B" w:rsidRPr="00C57D2B" w:rsidRDefault="00C57D2B" w:rsidP="00C57D2B">
      <w:r w:rsidRPr="00C57D2B">
        <w:t xml:space="preserve">Estimates from P001 suggest slightly higher efficacy for pembrolizumab in patients with BRAF WT tumours (ORR 34%) than in patients with BRAF mutant tumours (ORR 23%) </w:t>
      </w:r>
      <w:proofErr w:type="gramStart"/>
      <w:r w:rsidRPr="009738B2">
        <w:t>(</w:t>
      </w:r>
      <w:r w:rsidR="009738B2" w:rsidRPr="009738B2">
        <w:t>Table 21</w:t>
      </w:r>
      <w:r w:rsidRPr="009738B2">
        <w:t>).</w:t>
      </w:r>
      <w:proofErr w:type="gramEnd"/>
      <w:r w:rsidR="00635167">
        <w:t xml:space="preserve"> </w:t>
      </w:r>
      <w:r w:rsidRPr="00C57D2B">
        <w:t>Conclusions cannot be drawn because a lack of randomisation introduces the potential for confounding (</w:t>
      </w:r>
      <w:r w:rsidR="00B85B18">
        <w:t>for example</w:t>
      </w:r>
      <w:r w:rsidRPr="00C57D2B">
        <w:t xml:space="preserve"> by PD-L1 status or by line of therapy), and because sample size in some sub-groups is limited.</w:t>
      </w:r>
    </w:p>
    <w:p w:rsidR="00C57D2B" w:rsidRPr="00C57D2B" w:rsidRDefault="009738B2" w:rsidP="00C57D2B">
      <w:r>
        <w:t xml:space="preserve">Top </w:t>
      </w:r>
      <w:r w:rsidR="00C57D2B" w:rsidRPr="00C57D2B">
        <w:t xml:space="preserve">line results for P006 did not detail efficacy in </w:t>
      </w:r>
      <w:r w:rsidR="00E76E0B">
        <w:t>first line</w:t>
      </w:r>
      <w:r w:rsidR="00C57D2B" w:rsidRPr="00C57D2B">
        <w:t xml:space="preserve"> patients with BRAF mutant tumours.</w:t>
      </w:r>
      <w:r w:rsidR="00635167">
        <w:t xml:space="preserve"> </w:t>
      </w:r>
      <w:r w:rsidR="00C57D2B" w:rsidRPr="00C57D2B">
        <w:t>However, sub-groups analyses of PFS and OS by BRAF status did not point to variation in efficacy according to BRAF status.</w:t>
      </w:r>
      <w:r w:rsidR="00635167">
        <w:t xml:space="preserve"> </w:t>
      </w:r>
      <w:r w:rsidR="00C57D2B" w:rsidRPr="00C57D2B">
        <w:t xml:space="preserve">This means efficacy in </w:t>
      </w:r>
      <w:r w:rsidR="00E76E0B">
        <w:t>first line</w:t>
      </w:r>
      <w:r w:rsidR="00C57D2B" w:rsidRPr="00C57D2B">
        <w:t xml:space="preserve"> patients represents efficacy in </w:t>
      </w:r>
      <w:r w:rsidR="00E76E0B">
        <w:t>first line</w:t>
      </w:r>
      <w:r w:rsidR="00C57D2B" w:rsidRPr="00C57D2B">
        <w:t xml:space="preserve"> patients with BRAF mutant tumours.</w:t>
      </w:r>
      <w:r w:rsidR="00635167">
        <w:t xml:space="preserve"> </w:t>
      </w:r>
      <w:r w:rsidR="00C57D2B" w:rsidRPr="00C57D2B">
        <w:t>In the 10 mg/kg Q3W arm, ORR was 33% (97% of patients had ongoing responses); median PFS was 4.1 months (IRO; RECIST 1.1); median OS was not reached (6 month OS was 88%).</w:t>
      </w:r>
    </w:p>
    <w:p w:rsidR="00C57D2B" w:rsidRPr="00C57D2B" w:rsidRDefault="00C57D2B" w:rsidP="00C57D2B">
      <w:r w:rsidRPr="00C57D2B">
        <w:t>BRAF and BRAF+MEK inhibition have been well characterised in first line treatment of advanced (BRAF mutant) disease.</w:t>
      </w:r>
      <w:r w:rsidR="00635167">
        <w:t xml:space="preserve"> </w:t>
      </w:r>
      <w:r w:rsidRPr="00C57D2B">
        <w:t xml:space="preserve">For example, Long et al reported a 67% response rate in patients given </w:t>
      </w:r>
      <w:r w:rsidR="00E76E0B">
        <w:t>first line</w:t>
      </w:r>
      <w:r w:rsidRPr="00C57D2B">
        <w:t xml:space="preserve"> dabrafenib + trametinib, </w:t>
      </w:r>
      <w:r w:rsidR="00987E81">
        <w:t>versus</w:t>
      </w:r>
      <w:r w:rsidRPr="00C57D2B">
        <w:t xml:space="preserve"> a 51% response in patients on </w:t>
      </w:r>
      <w:proofErr w:type="spellStart"/>
      <w:r w:rsidRPr="00C57D2B">
        <w:t>dabrafenib</w:t>
      </w:r>
      <w:proofErr w:type="spellEnd"/>
      <w:r w:rsidRPr="00C57D2B">
        <w:t xml:space="preserve"> alone.</w:t>
      </w:r>
      <w:r w:rsidR="009738B2" w:rsidRPr="009738B2">
        <w:rPr>
          <w:vertAlign w:val="superscript"/>
        </w:rPr>
        <w:fldChar w:fldCharType="begin"/>
      </w:r>
      <w:r w:rsidR="009738B2" w:rsidRPr="009738B2">
        <w:rPr>
          <w:vertAlign w:val="superscript"/>
        </w:rPr>
        <w:instrText xml:space="preserve"> NOTEREF _Ref459019919 \h </w:instrText>
      </w:r>
      <w:r w:rsidR="009738B2">
        <w:rPr>
          <w:vertAlign w:val="superscript"/>
        </w:rPr>
        <w:instrText xml:space="preserve"> \* MERGEFORMAT </w:instrText>
      </w:r>
      <w:r w:rsidR="009738B2" w:rsidRPr="009738B2">
        <w:rPr>
          <w:vertAlign w:val="superscript"/>
        </w:rPr>
      </w:r>
      <w:r w:rsidR="009738B2" w:rsidRPr="009738B2">
        <w:rPr>
          <w:vertAlign w:val="superscript"/>
        </w:rPr>
        <w:fldChar w:fldCharType="separate"/>
      </w:r>
      <w:r w:rsidR="005E57DC">
        <w:rPr>
          <w:vertAlign w:val="superscript"/>
        </w:rPr>
        <w:t>44</w:t>
      </w:r>
      <w:r w:rsidR="009738B2" w:rsidRPr="009738B2">
        <w:rPr>
          <w:vertAlign w:val="superscript"/>
        </w:rPr>
        <w:fldChar w:fldCharType="end"/>
      </w:r>
      <w:r w:rsidR="00635167">
        <w:t xml:space="preserve"> </w:t>
      </w:r>
      <w:r w:rsidRPr="00C57D2B">
        <w:t>Median durations of response were 9.2 months and 10.2 months, respectively (</w:t>
      </w:r>
      <w:r w:rsidR="00987E81">
        <w:t>‘</w:t>
      </w:r>
      <w:r w:rsidRPr="00C57D2B">
        <w:t>on the basis of data that were highly censored because the majority of investigator-assessed responses (60%) were still ongoing</w:t>
      </w:r>
      <w:r w:rsidR="00987E81">
        <w:t>’</w:t>
      </w:r>
      <w:r w:rsidRPr="00C57D2B">
        <w:t>).</w:t>
      </w:r>
      <w:r w:rsidR="00635167">
        <w:t xml:space="preserve"> </w:t>
      </w:r>
      <w:r w:rsidRPr="00C57D2B">
        <w:t xml:space="preserve">Robert et al found similar ORRs, 64% for dabrafenib + trametinib </w:t>
      </w:r>
      <w:r w:rsidR="00987E81">
        <w:t>versus</w:t>
      </w:r>
      <w:r w:rsidRPr="00C57D2B">
        <w:t xml:space="preserve"> 51% for vemurafenib; median durations of response were 13.8 months </w:t>
      </w:r>
      <w:r w:rsidR="00987E81">
        <w:t>versus</w:t>
      </w:r>
      <w:r w:rsidRPr="00C57D2B">
        <w:t xml:space="preserve"> 7.5 months.</w:t>
      </w:r>
      <w:r w:rsidR="009738B2" w:rsidRPr="009738B2">
        <w:rPr>
          <w:vertAlign w:val="superscript"/>
        </w:rPr>
        <w:fldChar w:fldCharType="begin"/>
      </w:r>
      <w:r w:rsidR="009738B2" w:rsidRPr="009738B2">
        <w:rPr>
          <w:vertAlign w:val="superscript"/>
        </w:rPr>
        <w:instrText xml:space="preserve"> NOTEREF _Ref458777650 \h </w:instrText>
      </w:r>
      <w:r w:rsidR="009738B2">
        <w:rPr>
          <w:vertAlign w:val="superscript"/>
        </w:rPr>
        <w:instrText xml:space="preserve"> \* MERGEFORMAT </w:instrText>
      </w:r>
      <w:r w:rsidR="009738B2" w:rsidRPr="009738B2">
        <w:rPr>
          <w:vertAlign w:val="superscript"/>
        </w:rPr>
      </w:r>
      <w:r w:rsidR="009738B2" w:rsidRPr="009738B2">
        <w:rPr>
          <w:vertAlign w:val="superscript"/>
        </w:rPr>
        <w:fldChar w:fldCharType="separate"/>
      </w:r>
      <w:r w:rsidR="005E57DC">
        <w:rPr>
          <w:vertAlign w:val="superscript"/>
        </w:rPr>
        <w:t>43</w:t>
      </w:r>
      <w:r w:rsidR="009738B2" w:rsidRPr="009738B2">
        <w:rPr>
          <w:vertAlign w:val="superscript"/>
        </w:rPr>
        <w:fldChar w:fldCharType="end"/>
      </w:r>
      <w:r w:rsidR="00635167" w:rsidRPr="009738B2">
        <w:rPr>
          <w:vertAlign w:val="superscript"/>
        </w:rPr>
        <w:t xml:space="preserve"> </w:t>
      </w:r>
      <w:r w:rsidRPr="00C57D2B">
        <w:t xml:space="preserve">Larkin et al reported 68% for vemurafenib + the unregistered </w:t>
      </w:r>
      <w:proofErr w:type="spellStart"/>
      <w:r w:rsidRPr="00C57D2B">
        <w:t>cobimetinib</w:t>
      </w:r>
      <w:proofErr w:type="spellEnd"/>
      <w:r w:rsidRPr="00C57D2B">
        <w:t xml:space="preserve">, </w:t>
      </w:r>
      <w:r w:rsidR="00987E81">
        <w:t>versus</w:t>
      </w:r>
      <w:r w:rsidRPr="00C57D2B">
        <w:t xml:space="preserve"> 45% for vemurafenib alone; median durations of response were ‘not reached’ and 7.3 months respectively.</w:t>
      </w:r>
      <w:r w:rsidR="009738B2">
        <w:rPr>
          <w:rStyle w:val="FootnoteReference"/>
        </w:rPr>
        <w:footnoteReference w:id="71"/>
      </w:r>
    </w:p>
    <w:p w:rsidR="00C57D2B" w:rsidRPr="00C57D2B" w:rsidRDefault="00C57D2B" w:rsidP="00C57D2B">
      <w:r w:rsidRPr="00C57D2B">
        <w:t>In these studies, median PFS for comb</w:t>
      </w:r>
      <w:r w:rsidR="009738B2">
        <w:t xml:space="preserve">ination therapy ranged from 9.3 to </w:t>
      </w:r>
      <w:r w:rsidRPr="00C57D2B">
        <w:t xml:space="preserve">11.4 months, and OS </w:t>
      </w:r>
      <w:r w:rsidR="009738B2">
        <w:t xml:space="preserve">at 6 months was in the range 92 to </w:t>
      </w:r>
      <w:r w:rsidRPr="00C57D2B">
        <w:t>95% (based on inspection of Kaplan Meier curves).</w:t>
      </w:r>
    </w:p>
    <w:p w:rsidR="00C57D2B" w:rsidRPr="00C57D2B" w:rsidRDefault="00C57D2B" w:rsidP="00C57D2B">
      <w:r w:rsidRPr="00C57D2B">
        <w:t xml:space="preserve">BRAF and MEK inhibitors are also indicated as monotherapy for </w:t>
      </w:r>
      <w:r w:rsidR="00E76E0B">
        <w:t>first line</w:t>
      </w:r>
      <w:r w:rsidRPr="00C57D2B">
        <w:t xml:space="preserve"> use in patients with BRAF V600 mutant melanoma.</w:t>
      </w:r>
      <w:r w:rsidR="00635167">
        <w:t xml:space="preserve"> </w:t>
      </w:r>
      <w:r w:rsidRPr="00C57D2B">
        <w:t>PFS outcomes for monotherapy are lower than reported for combina</w:t>
      </w:r>
      <w:r w:rsidR="009738B2">
        <w:t xml:space="preserve">tion therapy (median PFS is 6.2 to </w:t>
      </w:r>
      <w:r w:rsidRPr="00C57D2B">
        <w:t>8.8 months in the studies referred to above; the percentage of patients alive at 6 months is in the mid to high 80s).</w:t>
      </w:r>
    </w:p>
    <w:p w:rsidR="00C57D2B" w:rsidRPr="00C57D2B" w:rsidRDefault="00C57D2B" w:rsidP="00C57D2B">
      <w:r w:rsidRPr="00C57D2B">
        <w:t>It is reason</w:t>
      </w:r>
      <w:r w:rsidR="009738B2">
        <w:t xml:space="preserve">able to conclude that treatment </w:t>
      </w:r>
      <w:r w:rsidRPr="00C57D2B">
        <w:t>naïve patients with BRAF mutant tumours would obtain a response with pembrolizumab in perhaps a third of cases.</w:t>
      </w:r>
      <w:r w:rsidR="00635167">
        <w:t xml:space="preserve"> </w:t>
      </w:r>
      <w:r w:rsidRPr="00C57D2B">
        <w:t>This ORR is considerably lower than for BRAF inhibitors (</w:t>
      </w:r>
      <w:r w:rsidR="00987E81">
        <w:t xml:space="preserve">approximately </w:t>
      </w:r>
      <w:r w:rsidRPr="00C57D2B">
        <w:t>50% ORR) and for BRAF</w:t>
      </w:r>
      <w:r w:rsidR="009738B2">
        <w:t xml:space="preserve"> </w:t>
      </w:r>
      <w:r w:rsidRPr="00C57D2B">
        <w:t>+</w:t>
      </w:r>
      <w:r w:rsidR="009738B2">
        <w:t xml:space="preserve"> </w:t>
      </w:r>
      <w:proofErr w:type="spellStart"/>
      <w:r w:rsidRPr="00C57D2B">
        <w:t>MEKi</w:t>
      </w:r>
      <w:proofErr w:type="spellEnd"/>
      <w:r w:rsidRPr="00C57D2B">
        <w:t xml:space="preserve"> (</w:t>
      </w:r>
      <w:r w:rsidR="00987E81">
        <w:t xml:space="preserve">approximately </w:t>
      </w:r>
      <w:r w:rsidRPr="00C57D2B">
        <w:t>67%).</w:t>
      </w:r>
      <w:r w:rsidR="00635167">
        <w:t xml:space="preserve"> </w:t>
      </w:r>
      <w:r w:rsidRPr="00C57D2B">
        <w:t>In those who do respond, duration of response with pembrolizumab appears very good (</w:t>
      </w:r>
      <w:r w:rsidR="00B85B18">
        <w:t>for example</w:t>
      </w:r>
      <w:r w:rsidRPr="00C57D2B">
        <w:t xml:space="preserve"> in P001 Part D, with </w:t>
      </w:r>
      <w:r w:rsidR="00E5241D">
        <w:t xml:space="preserve">≥ 1 </w:t>
      </w:r>
      <w:r w:rsidRPr="00C57D2B">
        <w:t>5 months follow-up for all patients, 83% of responders are non-progressing).</w:t>
      </w:r>
      <w:r w:rsidR="00635167">
        <w:t xml:space="preserve"> </w:t>
      </w:r>
      <w:r w:rsidRPr="00C57D2B">
        <w:t>Comparison of duration of response is problematic.</w:t>
      </w:r>
      <w:r w:rsidR="00635167">
        <w:t xml:space="preserve"> </w:t>
      </w:r>
      <w:r w:rsidRPr="00C57D2B">
        <w:t xml:space="preserve">Median duration of response is </w:t>
      </w:r>
      <w:r w:rsidR="00987E81">
        <w:t xml:space="preserve">approximately </w:t>
      </w:r>
      <w:r w:rsidR="009738B2">
        <w:t xml:space="preserve">9 to </w:t>
      </w:r>
      <w:r w:rsidRPr="00C57D2B">
        <w:t xml:space="preserve">14 months </w:t>
      </w:r>
      <w:r w:rsidRPr="00C57D2B">
        <w:lastRenderedPageBreak/>
        <w:t xml:space="preserve">with </w:t>
      </w:r>
      <w:proofErr w:type="spellStart"/>
      <w:r w:rsidRPr="00C57D2B">
        <w:t>BRAFi</w:t>
      </w:r>
      <w:proofErr w:type="spellEnd"/>
      <w:r w:rsidRPr="00C57D2B">
        <w:t xml:space="preserve"> + </w:t>
      </w:r>
      <w:proofErr w:type="spellStart"/>
      <w:r w:rsidRPr="00C57D2B">
        <w:t>MEKi</w:t>
      </w:r>
      <w:proofErr w:type="spellEnd"/>
      <w:r w:rsidRPr="00C57D2B">
        <w:t xml:space="preserve"> combinations (a wide range), but more patients respond to combination therapy than to pembrolizumab.</w:t>
      </w:r>
    </w:p>
    <w:p w:rsidR="00C57D2B" w:rsidRPr="00C57D2B" w:rsidRDefault="00C57D2B" w:rsidP="00C57D2B">
      <w:r w:rsidRPr="00C57D2B">
        <w:t>PFS outcomes appear better for BRAF and / or MEK inhibition than for pembrolizumab, and OS as measured by survival at 6 months appears slightly better for combined BRAF + MEK inhibition.</w:t>
      </w:r>
      <w:r w:rsidR="00635167">
        <w:t xml:space="preserve"> </w:t>
      </w:r>
      <w:r w:rsidRPr="00C57D2B">
        <w:t>OS at 6 months (an early time-point) for pembrolizumab is similar to OS for BRAF or MEK inhibitor monotherapy.</w:t>
      </w:r>
    </w:p>
    <w:p w:rsidR="00C57D2B" w:rsidRPr="00C57D2B" w:rsidRDefault="00C57D2B" w:rsidP="00C57D2B">
      <w:pPr>
        <w:pStyle w:val="Heading5"/>
      </w:pPr>
      <w:r w:rsidRPr="00C57D2B">
        <w:t xml:space="preserve">Efficacy conclusions about </w:t>
      </w:r>
      <w:r w:rsidR="00E76E0B">
        <w:t>first line</w:t>
      </w:r>
      <w:r w:rsidRPr="00C57D2B">
        <w:t xml:space="preserve"> use of pembrolizumab</w:t>
      </w:r>
    </w:p>
    <w:p w:rsidR="00C57D2B" w:rsidRPr="00C57D2B" w:rsidRDefault="009738B2" w:rsidP="00C57D2B">
      <w:r>
        <w:t xml:space="preserve">Despite reliance on top </w:t>
      </w:r>
      <w:r w:rsidR="00C57D2B" w:rsidRPr="00C57D2B">
        <w:t>line / interim results for P006 (and the need to bridge from 10 mg/kg Q3W and to us</w:t>
      </w:r>
      <w:r>
        <w:t xml:space="preserve">e sub-group analysis) and cross </w:t>
      </w:r>
      <w:r w:rsidR="00C57D2B" w:rsidRPr="00C57D2B">
        <w:t xml:space="preserve">study comparison for P001, there is sufficient evidence to support better efficacy for pembrolizumab than for ipilimumab in the </w:t>
      </w:r>
      <w:r w:rsidR="00E76E0B">
        <w:t>first line</w:t>
      </w:r>
      <w:r w:rsidR="00C57D2B" w:rsidRPr="00C57D2B">
        <w:t xml:space="preserve"> setting.</w:t>
      </w:r>
    </w:p>
    <w:p w:rsidR="00C57D2B" w:rsidRPr="00C57D2B" w:rsidRDefault="00DE2828" w:rsidP="00C57D2B">
      <w:r>
        <w:t xml:space="preserve">There is no head to </w:t>
      </w:r>
      <w:r w:rsidR="00C57D2B" w:rsidRPr="00C57D2B">
        <w:t>head study with BRAF / MEK inhibitors in patients with BRAF V600 mutant tumours.</w:t>
      </w:r>
      <w:r w:rsidR="00635167">
        <w:t xml:space="preserve"> </w:t>
      </w:r>
      <w:r>
        <w:t xml:space="preserve">Based on cross </w:t>
      </w:r>
      <w:r w:rsidR="00C57D2B" w:rsidRPr="00C57D2B">
        <w:t>study comparison, pembrolizumab has a substantially lower ORR.</w:t>
      </w:r>
      <w:r w:rsidR="00635167">
        <w:t xml:space="preserve"> </w:t>
      </w:r>
      <w:r w:rsidR="00C57D2B" w:rsidRPr="00C57D2B">
        <w:t>To an extent, this may be offset by longer duration of response.</w:t>
      </w:r>
      <w:r w:rsidR="00635167">
        <w:t xml:space="preserve"> </w:t>
      </w:r>
      <w:r w:rsidR="00C57D2B" w:rsidRPr="00C57D2B">
        <w:t>In P006, as revealed by top-line outcomes, tumour BRAF status did not influence efficacy.</w:t>
      </w:r>
      <w:r w:rsidR="00635167">
        <w:t xml:space="preserve"> </w:t>
      </w:r>
      <w:r w:rsidR="00C57D2B" w:rsidRPr="00C57D2B">
        <w:t xml:space="preserve">Median PFS with pembrolizumab varied depending on whether assessment was by independent radiology / oncology review (using RECIST 1.1) or by investigator (using </w:t>
      </w:r>
      <w:r w:rsidR="00987E81">
        <w:t>immune related</w:t>
      </w:r>
      <w:r w:rsidR="00C57D2B" w:rsidRPr="00C57D2B">
        <w:t xml:space="preserve"> response criteria), but ranged from 4.1 to 7.2 months.</w:t>
      </w:r>
      <w:r w:rsidR="00635167">
        <w:t xml:space="preserve"> </w:t>
      </w:r>
      <w:r w:rsidR="00C57D2B" w:rsidRPr="00C57D2B">
        <w:t>This is approaching PFS outcomes reported for BRAF or MEK monotherapy; but combination therapy appears to result in a higher median PFS.</w:t>
      </w:r>
    </w:p>
    <w:p w:rsidR="00C57D2B" w:rsidRPr="00C57D2B" w:rsidRDefault="00C57D2B" w:rsidP="00C57D2B">
      <w:r w:rsidRPr="00C57D2B">
        <w:t>Median PFS may not reflect durability of response in a substantial minority of patients receiving pembrolizumab.</w:t>
      </w:r>
    </w:p>
    <w:p w:rsidR="000D0563" w:rsidRPr="00C57D2B" w:rsidRDefault="00C57D2B" w:rsidP="00C57D2B">
      <w:r w:rsidRPr="00C57D2B">
        <w:t xml:space="preserve">There was no formal comparison with dacarbazine, but </w:t>
      </w:r>
      <w:r w:rsidR="00E05E08">
        <w:t>cross study</w:t>
      </w:r>
      <w:r w:rsidRPr="00C57D2B">
        <w:t xml:space="preserve"> comparisons favour pembrolizumab (</w:t>
      </w:r>
      <w:r w:rsidRPr="009738B2">
        <w:t>see</w:t>
      </w:r>
      <w:r w:rsidR="00616DBF" w:rsidRPr="009738B2">
        <w:t xml:space="preserve"> Table 12</w:t>
      </w:r>
      <w:r w:rsidR="00616DBF">
        <w:t xml:space="preserve"> above</w:t>
      </w:r>
      <w:r w:rsidRPr="00C57D2B">
        <w:t>).</w:t>
      </w:r>
    </w:p>
    <w:p w:rsidR="00C57D2B" w:rsidRPr="00C57D2B" w:rsidRDefault="00C57D2B" w:rsidP="00C57D2B">
      <w:r w:rsidRPr="00C57D2B">
        <w:t>Efficacy evidence may sometimes be obtained from trials comparing high and low doses of study drug.</w:t>
      </w:r>
      <w:r w:rsidR="00635167">
        <w:t xml:space="preserve"> </w:t>
      </w:r>
      <w:r w:rsidRPr="00C57D2B">
        <w:t>There was no indication efficacy varied in the dose range 2 to 10 mg/kg Q3W; randomised sub-studies in P001 do not contribute directly to efficacy assessment.</w:t>
      </w:r>
    </w:p>
    <w:p w:rsidR="00C57D2B" w:rsidRPr="00C57D2B" w:rsidRDefault="009738B2" w:rsidP="00C57D2B">
      <w:pPr>
        <w:pStyle w:val="Heading4"/>
      </w:pPr>
      <w:r>
        <w:t>Efficacy;</w:t>
      </w:r>
      <w:r w:rsidR="00C57D2B" w:rsidRPr="00C57D2B">
        <w:t xml:space="preserve"> second or subsequent line</w:t>
      </w:r>
    </w:p>
    <w:p w:rsidR="00C57D2B" w:rsidRPr="00C57D2B" w:rsidRDefault="00C57D2B" w:rsidP="00C57D2B">
      <w:r w:rsidRPr="00C57D2B">
        <w:t xml:space="preserve">The sponsor has conducted P002, a randomised, controlled study of pembrolizumab </w:t>
      </w:r>
      <w:r w:rsidR="00987E81">
        <w:t>versus</w:t>
      </w:r>
      <w:r w:rsidRPr="00C57D2B">
        <w:t xml:space="preserve"> investigator’s choice of chemotherapy in </w:t>
      </w:r>
      <w:r w:rsidR="00DE2828" w:rsidRPr="00C57D2B">
        <w:t>patient’s</w:t>
      </w:r>
      <w:r w:rsidRPr="00C57D2B">
        <w:t xml:space="preserve"> refractory to ipilimumab.</w:t>
      </w:r>
      <w:r w:rsidR="00635167">
        <w:t xml:space="preserve"> </w:t>
      </w:r>
      <w:r w:rsidRPr="00C57D2B">
        <w:t>Summary data from an interim analysis were available for review; a CSR was not provided.</w:t>
      </w:r>
    </w:p>
    <w:p w:rsidR="00C57D2B" w:rsidRPr="00C57D2B" w:rsidRDefault="00C57D2B" w:rsidP="00C57D2B">
      <w:r w:rsidRPr="00C57D2B">
        <w:t>P002 reveals acceptable efficacy of pembrolizumab in patients refractory to ipilimumab (and where BRAF mutant, with prior t</w:t>
      </w:r>
      <w:r w:rsidR="0026030D">
        <w:t>reatment using BRAF inhibition)</w:t>
      </w:r>
      <w:r w:rsidRPr="00C57D2B">
        <w:t xml:space="preserve"> on the basis of improved PFS (considering the survival curve rather than median outcomes) compared to investigator’s choice of chemotherapy.</w:t>
      </w:r>
      <w:r w:rsidR="00635167">
        <w:t xml:space="preserve"> </w:t>
      </w:r>
      <w:r w:rsidRPr="00C57D2B">
        <w:t>Quality of life outcomes were also promising.</w:t>
      </w:r>
    </w:p>
    <w:p w:rsidR="00C57D2B" w:rsidRPr="00C57D2B" w:rsidRDefault="0026030D" w:rsidP="00C57D2B">
      <w:r>
        <w:t xml:space="preserve">P006 (in ipilimumab </w:t>
      </w:r>
      <w:r w:rsidR="00C57D2B" w:rsidRPr="00C57D2B">
        <w:t>naïve</w:t>
      </w:r>
      <w:r>
        <w:t xml:space="preserve"> subjects) informs about second </w:t>
      </w:r>
      <w:r w:rsidR="00C57D2B" w:rsidRPr="00C57D2B">
        <w:t>line use of pem</w:t>
      </w:r>
      <w:r>
        <w:t xml:space="preserve">brolizumab; </w:t>
      </w:r>
      <w:r w:rsidR="00C57D2B" w:rsidRPr="00C57D2B">
        <w:t>in a third of pat</w:t>
      </w:r>
      <w:r>
        <w:t xml:space="preserve">ients, pembrolizumab was second </w:t>
      </w:r>
      <w:r w:rsidR="00C57D2B" w:rsidRPr="00C57D2B">
        <w:t>line (often after BRAF inhibitors).</w:t>
      </w:r>
      <w:r w:rsidR="00635167">
        <w:t xml:space="preserve"> </w:t>
      </w:r>
      <w:r w:rsidR="00C57D2B" w:rsidRPr="00C57D2B">
        <w:t>Pembrolizumab was clearly</w:t>
      </w:r>
      <w:r>
        <w:t xml:space="preserve"> more efficacious in the second </w:t>
      </w:r>
      <w:r w:rsidR="00C57D2B" w:rsidRPr="00C57D2B">
        <w:t>line setting than ipilimumab; there was insufficient detail to draw conclusions about whether pembroli</w:t>
      </w:r>
      <w:r>
        <w:t>zumab is ‘as’ efficacious in second</w:t>
      </w:r>
      <w:r w:rsidR="00C57D2B" w:rsidRPr="00C57D2B">
        <w:t xml:space="preserve"> line (</w:t>
      </w:r>
      <w:r w:rsidR="00B85B18">
        <w:t>for example</w:t>
      </w:r>
      <w:r w:rsidR="00C57D2B" w:rsidRPr="00C57D2B">
        <w:t xml:space="preserve"> after </w:t>
      </w:r>
      <w:r>
        <w:t>BRAF / MEK inhibition) as in first</w:t>
      </w:r>
      <w:r w:rsidR="00C57D2B" w:rsidRPr="00C57D2B">
        <w:t xml:space="preserve"> line.</w:t>
      </w:r>
    </w:p>
    <w:p w:rsidR="00C57D2B" w:rsidRPr="00C57D2B" w:rsidRDefault="00C57D2B" w:rsidP="00C57D2B">
      <w:r w:rsidRPr="00C57D2B">
        <w:t>There are also data from P001 that inform about efficacy of pembrolizumab in a second or subsequent line setting.</w:t>
      </w:r>
      <w:r w:rsidR="00635167">
        <w:t xml:space="preserve"> </w:t>
      </w:r>
      <w:r w:rsidRPr="00C57D2B">
        <w:t>For</w:t>
      </w:r>
      <w:r w:rsidR="0026030D">
        <w:t xml:space="preserve"> example, P001-B2 was in an IPI </w:t>
      </w:r>
      <w:r w:rsidRPr="00C57D2B">
        <w:t>refractory population.</w:t>
      </w:r>
      <w:r w:rsidR="00635167">
        <w:t xml:space="preserve"> </w:t>
      </w:r>
      <w:r w:rsidRPr="00C57D2B">
        <w:t xml:space="preserve">ORR in P001-B2 was comparable to that seen in P002 (for 2 mg/kg Q3W, 25% </w:t>
      </w:r>
      <w:r w:rsidR="00987E81">
        <w:t>versus</w:t>
      </w:r>
      <w:r w:rsidRPr="00C57D2B">
        <w:t xml:space="preserve"> 21% respectively), and 6 month PFS was near 40% in both studies.</w:t>
      </w:r>
      <w:r w:rsidR="00635167">
        <w:t xml:space="preserve"> </w:t>
      </w:r>
      <w:r w:rsidRPr="00C57D2B">
        <w:t>Broadly, the outcomes in B2 support the validity of outcomes in P002.</w:t>
      </w:r>
      <w:r w:rsidR="00635167">
        <w:t xml:space="preserve"> </w:t>
      </w:r>
      <w:r w:rsidR="0026030D">
        <w:t xml:space="preserve">P001-D was in an IPI </w:t>
      </w:r>
      <w:r w:rsidRPr="00C57D2B">
        <w:t>naïve population</w:t>
      </w:r>
      <w:r w:rsidR="0026030D">
        <w:t xml:space="preserve">; in the two arms, ORRs were 33 to </w:t>
      </w:r>
      <w:r w:rsidRPr="00C57D2B">
        <w:t>37% which is c</w:t>
      </w:r>
      <w:r w:rsidR="0026030D">
        <w:t xml:space="preserve">onsistent with ORRs in P006 (33 to </w:t>
      </w:r>
      <w:r w:rsidRPr="00C57D2B">
        <w:t>34% over all lines of therapy).</w:t>
      </w:r>
    </w:p>
    <w:p w:rsidR="00C57D2B" w:rsidRPr="00C57D2B" w:rsidRDefault="00C57D2B" w:rsidP="00C57D2B">
      <w:r w:rsidRPr="00C57D2B">
        <w:lastRenderedPageBreak/>
        <w:t>Even in patients who had used more than 2 lines of therapy for advanced disease, ORRs were relatively good (26% across all treatment regimens, in P001).</w:t>
      </w:r>
    </w:p>
    <w:p w:rsidR="00C57D2B" w:rsidRPr="00C57D2B" w:rsidRDefault="00C57D2B" w:rsidP="00C57D2B">
      <w:pPr>
        <w:pStyle w:val="Heading4"/>
      </w:pPr>
      <w:r w:rsidRPr="00C57D2B">
        <w:t>Safety</w:t>
      </w:r>
    </w:p>
    <w:p w:rsidR="00C57D2B" w:rsidRPr="00C57D2B" w:rsidRDefault="00C57D2B" w:rsidP="00C57D2B">
      <w:pPr>
        <w:pStyle w:val="Heading5"/>
      </w:pPr>
      <w:r w:rsidRPr="00C57D2B">
        <w:t>Exposure</w:t>
      </w:r>
    </w:p>
    <w:p w:rsidR="00C57D2B" w:rsidRPr="00C57D2B" w:rsidRDefault="00C57D2B" w:rsidP="00C57D2B">
      <w:r w:rsidRPr="00C57D2B">
        <w:t xml:space="preserve">Safety in advanced melanoma has been characterised in P001 (open label; no active control arms), P002 (open label except for blinding to 2 </w:t>
      </w:r>
      <w:r w:rsidR="00987E81">
        <w:t>versus</w:t>
      </w:r>
      <w:r w:rsidRPr="00C57D2B">
        <w:t xml:space="preserve"> 10 mg/kg pembrolizumab strength; chemotherapy control arm with distinctly</w:t>
      </w:r>
      <w:r w:rsidR="0026030D">
        <w:t xml:space="preserve"> lower exposure) and P006 (open </w:t>
      </w:r>
      <w:r w:rsidRPr="00C57D2B">
        <w:t>label; ipilimumab arm with 4 doses).</w:t>
      </w:r>
    </w:p>
    <w:p w:rsidR="00C57D2B" w:rsidRPr="00C57D2B" w:rsidRDefault="00C57D2B" w:rsidP="00C57D2B">
      <w:r w:rsidRPr="00C57D2B">
        <w:t>In P001, the B1+B2+D pool included 162 patients on the 2 mg/kg Q3W regimen that is proposed for registration.</w:t>
      </w:r>
      <w:r w:rsidR="00635167">
        <w:t xml:space="preserve"> </w:t>
      </w:r>
      <w:r w:rsidRPr="00C57D2B">
        <w:t xml:space="preserve">These patients received a mean of 13 administrations over a mean of 259 days (18 April 2014 </w:t>
      </w:r>
      <w:r w:rsidR="00C22866">
        <w:t>cut off</w:t>
      </w:r>
      <w:r w:rsidRPr="00C57D2B">
        <w:t>).</w:t>
      </w:r>
      <w:r w:rsidR="00635167">
        <w:t xml:space="preserve"> </w:t>
      </w:r>
      <w:r w:rsidRPr="00C57D2B">
        <w:t xml:space="preserve">In P002, 179 </w:t>
      </w:r>
      <w:proofErr w:type="spellStart"/>
      <w:r w:rsidRPr="00C57D2B">
        <w:t>APaT</w:t>
      </w:r>
      <w:proofErr w:type="spellEnd"/>
      <w:r w:rsidRPr="00C57D2B">
        <w:t xml:space="preserve"> </w:t>
      </w:r>
      <w:r w:rsidR="00F236AD">
        <w:t>cohort</w:t>
      </w:r>
      <w:r w:rsidRPr="00C57D2B">
        <w:t xml:space="preserve"> patients were given 2 mg/kg Q3W; mean exposure in these patients was 144 days, suggesting half as many administrations as in P001, on average (12 May 2014 </w:t>
      </w:r>
      <w:r w:rsidR="00C22866">
        <w:t>cut off</w:t>
      </w:r>
      <w:r w:rsidRPr="00C57D2B">
        <w:t>).</w:t>
      </w:r>
      <w:r w:rsidR="00635167">
        <w:t xml:space="preserve"> </w:t>
      </w:r>
      <w:r w:rsidRPr="00C57D2B">
        <w:t>Many other subjects received higher doses of pembrolizumab, in P001, P002 and P006 (either</w:t>
      </w:r>
      <w:r w:rsidR="00801838">
        <w:t xml:space="preserve"> 10 mg/kg Q3W or 10 mg/kg Q2W).</w:t>
      </w:r>
    </w:p>
    <w:p w:rsidR="00C57D2B" w:rsidRPr="00C57D2B" w:rsidRDefault="00C57D2B" w:rsidP="00C57D2B">
      <w:pPr>
        <w:pStyle w:val="Heading5"/>
      </w:pPr>
      <w:r w:rsidRPr="00C57D2B">
        <w:t>Methodology</w:t>
      </w:r>
    </w:p>
    <w:p w:rsidR="00C57D2B" w:rsidRPr="00C57D2B" w:rsidRDefault="00C57D2B" w:rsidP="00C57D2B">
      <w:r w:rsidRPr="00C57D2B">
        <w:t xml:space="preserve">Pembrolizumab has a half-life of </w:t>
      </w:r>
      <w:r w:rsidR="00987E81">
        <w:t xml:space="preserve">approximately </w:t>
      </w:r>
      <w:r w:rsidRPr="00C57D2B">
        <w:t>26 days.</w:t>
      </w:r>
      <w:r w:rsidR="00635167">
        <w:t xml:space="preserve"> </w:t>
      </w:r>
      <w:r w:rsidRPr="00C57D2B">
        <w:t>The sponsor’s approach was to capture AEs reported within 30 days of the last dose of pembrolizumab (for serious AEs 90 days).</w:t>
      </w:r>
      <w:r w:rsidR="00635167">
        <w:t xml:space="preserve"> </w:t>
      </w:r>
      <w:r w:rsidRPr="00C57D2B">
        <w:t xml:space="preserve">A factor other than half-life that may contribute to onset of AEs well past 30 days after the last administration of pembrolizumab is the indirect mechanism of events, </w:t>
      </w:r>
      <w:r w:rsidR="001D4BB8">
        <w:t>that is</w:t>
      </w:r>
      <w:r w:rsidRPr="00C57D2B">
        <w:t xml:space="preserve"> </w:t>
      </w:r>
      <w:proofErr w:type="spellStart"/>
      <w:r w:rsidR="00562005">
        <w:t>irAEs</w:t>
      </w:r>
      <w:proofErr w:type="spellEnd"/>
      <w:r w:rsidRPr="00C57D2B">
        <w:t xml:space="preserve"> are due to de-repression of the immune system.</w:t>
      </w:r>
      <w:r w:rsidR="00635167">
        <w:t xml:space="preserve"> </w:t>
      </w:r>
      <w:r w:rsidRPr="00C57D2B">
        <w:t>It may take time for symptoms to occur after pembrolizumab triggers autoimmunity.</w:t>
      </w:r>
      <w:r w:rsidR="00635167">
        <w:t xml:space="preserve"> </w:t>
      </w:r>
      <w:r w:rsidRPr="00C57D2B">
        <w:t>For example, a case of nephritis occurred 5 months after the last dose.</w:t>
      </w:r>
    </w:p>
    <w:p w:rsidR="00C57D2B" w:rsidRPr="00C57D2B" w:rsidRDefault="00C57D2B" w:rsidP="00C57D2B">
      <w:r w:rsidRPr="00C57D2B">
        <w:t xml:space="preserve">In patients who received few doses, the ‘time at risk of AEs’ may be considerably longer than the period in which AEs were captured, </w:t>
      </w:r>
      <w:r w:rsidR="00B85B18">
        <w:t>for example</w:t>
      </w:r>
      <w:r w:rsidRPr="00C57D2B">
        <w:t xml:space="preserve"> if a patient received only 1 dose, AEs would be captured over 30 days, yet the time at risk of </w:t>
      </w:r>
      <w:proofErr w:type="spellStart"/>
      <w:r w:rsidRPr="00C57D2B">
        <w:t>irAEs</w:t>
      </w:r>
      <w:proofErr w:type="spellEnd"/>
      <w:r w:rsidRPr="00C57D2B">
        <w:t xml:space="preserve"> would be longer (ba</w:t>
      </w:r>
      <w:r w:rsidR="0026030D">
        <w:t xml:space="preserve">sed on half-life and the immune </w:t>
      </w:r>
      <w:r w:rsidRPr="00C57D2B">
        <w:t>mediated mechanism of AEs).</w:t>
      </w:r>
      <w:r w:rsidR="00635167">
        <w:t xml:space="preserve"> </w:t>
      </w:r>
      <w:r w:rsidRPr="00C57D2B">
        <w:t>This concern is partially offset because serious AEs were captured w</w:t>
      </w:r>
      <w:r w:rsidR="00801838">
        <w:t>ithin 90 days of the last dose.</w:t>
      </w:r>
    </w:p>
    <w:p w:rsidR="00C57D2B" w:rsidRPr="00C57D2B" w:rsidRDefault="00C57D2B" w:rsidP="00C57D2B">
      <w:pPr>
        <w:pStyle w:val="Heading5"/>
      </w:pPr>
      <w:r w:rsidRPr="00C57D2B">
        <w:t>Safety profile</w:t>
      </w:r>
    </w:p>
    <w:p w:rsidR="00C57D2B" w:rsidRPr="00C57D2B" w:rsidRDefault="00C57D2B" w:rsidP="00C57D2B">
      <w:r w:rsidRPr="00C57D2B">
        <w:t xml:space="preserve">Common AEs with pembrolizumab were, in descending order, fatigue (48%), nausea, cough, diarrhoea, pruritus, arthralgia, rash, constipation, decreased appetite, dyspnoea, headache, anaemia and vomiting (all with a frequency </w:t>
      </w:r>
      <w:r w:rsidR="00E5241D">
        <w:t>&gt; 1</w:t>
      </w:r>
      <w:r w:rsidRPr="00C57D2B">
        <w:t>5% in P001).</w:t>
      </w:r>
      <w:r w:rsidR="00635167">
        <w:t xml:space="preserve"> </w:t>
      </w:r>
      <w:r w:rsidRPr="00C57D2B">
        <w:t>Consideration of frequency for preferred terms such as these may underestimate toxicity: other terms may overlap.</w:t>
      </w:r>
      <w:r w:rsidR="00635167">
        <w:t xml:space="preserve"> </w:t>
      </w:r>
      <w:r w:rsidRPr="00C57D2B">
        <w:t>For example, frequency of fatigue in the P001 B1+B2+D cohort (</w:t>
      </w:r>
      <w:proofErr w:type="spellStart"/>
      <w:r w:rsidRPr="00C57D2B">
        <w:t>APaT</w:t>
      </w:r>
      <w:proofErr w:type="spellEnd"/>
      <w:r w:rsidRPr="00C57D2B">
        <w:t xml:space="preserve">; 18 April 2014 </w:t>
      </w:r>
      <w:r w:rsidR="00C22866">
        <w:t>cut off</w:t>
      </w:r>
      <w:r w:rsidRPr="00C57D2B">
        <w:t>) was 48%; but asthenia was reported separately, with a frequency of 15%, and lethargy was also reported separately.</w:t>
      </w:r>
    </w:p>
    <w:p w:rsidR="00C57D2B" w:rsidRPr="00C57D2B" w:rsidRDefault="00C57D2B" w:rsidP="00C57D2B">
      <w:r w:rsidRPr="00C57D2B">
        <w:t xml:space="preserve">Common serious </w:t>
      </w:r>
      <w:r w:rsidR="00E5241D">
        <w:t>drug related</w:t>
      </w:r>
      <w:r w:rsidRPr="00C57D2B">
        <w:t xml:space="preserve"> AEs with pembrolizumab were colitis (1.2%), fatigue (including asthenia; 0.7%), pyrexia (1.2%), glycaemic disorders (1.2%</w:t>
      </w:r>
      <w:r w:rsidRPr="0026030D">
        <w:rPr>
          <w:vertAlign w:val="superscript"/>
        </w:rPr>
        <w:footnoteReference w:id="72"/>
      </w:r>
      <w:r w:rsidRPr="00C57D2B">
        <w:t>), renal failure (including acute renal failure; 1.2%) and pneumonitis (0.7%) (</w:t>
      </w:r>
      <w:proofErr w:type="gramStart"/>
      <w:r w:rsidRPr="00C57D2B">
        <w:t>all</w:t>
      </w:r>
      <w:proofErr w:type="gramEnd"/>
      <w:r w:rsidRPr="00C57D2B">
        <w:t xml:space="preserve"> with frequency &gt;</w:t>
      </w:r>
      <w:r w:rsidR="0026030D">
        <w:t xml:space="preserve"> </w:t>
      </w:r>
      <w:r w:rsidRPr="00C57D2B">
        <w:t xml:space="preserve">0.5%, </w:t>
      </w:r>
      <w:r w:rsidR="001D4BB8">
        <w:t>that is</w:t>
      </w:r>
      <w:r w:rsidRPr="00C57D2B">
        <w:t xml:space="preserve"> at least 3 patients out of 411, based on cumulative data from P001, B1+B2+D, </w:t>
      </w:r>
      <w:proofErr w:type="spellStart"/>
      <w:r w:rsidRPr="00C57D2B">
        <w:t>APaT</w:t>
      </w:r>
      <w:proofErr w:type="spellEnd"/>
      <w:r w:rsidRPr="00C57D2B">
        <w:t xml:space="preserve"> cohort, 18 April 2014 </w:t>
      </w:r>
      <w:r w:rsidR="00C22866">
        <w:t>cut off</w:t>
      </w:r>
      <w:r w:rsidRPr="00C57D2B">
        <w:t>).</w:t>
      </w:r>
    </w:p>
    <w:p w:rsidR="00C57D2B" w:rsidRPr="00C57D2B" w:rsidRDefault="00C57D2B" w:rsidP="00C57D2B">
      <w:r w:rsidRPr="00C57D2B">
        <w:t>In the summary data for P002, sponsor-defined events of clinical intere</w:t>
      </w:r>
      <w:r w:rsidR="0026030D">
        <w:t xml:space="preserve">st also revealed pneumonitis (4 out of </w:t>
      </w:r>
      <w:r w:rsidRPr="00C57D2B">
        <w:t>357 or 1.1% of pembrolizumab patients had grade 2</w:t>
      </w:r>
      <w:r w:rsidR="0026030D">
        <w:t xml:space="preserve"> </w:t>
      </w:r>
      <w:r w:rsidRPr="00C57D2B">
        <w:t>+ pneumonitis; all in the 10 mg/kg Q3</w:t>
      </w:r>
      <w:r w:rsidR="0026030D">
        <w:t xml:space="preserve">W arm) and renal dysfunction (5 out of </w:t>
      </w:r>
      <w:r w:rsidRPr="00C57D2B">
        <w:t>357 or 1.4% had nephritis or renal failure of grade 2</w:t>
      </w:r>
      <w:r w:rsidR="0026030D">
        <w:t xml:space="preserve"> </w:t>
      </w:r>
      <w:r w:rsidRPr="00C57D2B">
        <w:t>+) and further reve</w:t>
      </w:r>
      <w:r w:rsidR="0026030D">
        <w:t xml:space="preserve">aled hepatitis as a toxicity (4 out of </w:t>
      </w:r>
      <w:r w:rsidRPr="00C57D2B">
        <w:t>357 had grade 2</w:t>
      </w:r>
      <w:r w:rsidR="00DE2828">
        <w:t xml:space="preserve"> </w:t>
      </w:r>
      <w:r w:rsidRPr="00C57D2B">
        <w:t>+).</w:t>
      </w:r>
    </w:p>
    <w:p w:rsidR="00C57D2B" w:rsidRPr="00C57D2B" w:rsidRDefault="00C57D2B" w:rsidP="00C57D2B">
      <w:r w:rsidRPr="00C57D2B">
        <w:lastRenderedPageBreak/>
        <w:t>In the summary data for P006 (allowing some degree of compa</w:t>
      </w:r>
      <w:r w:rsidR="00DE2828">
        <w:t xml:space="preserve">rison with ipilimumab), sponsor </w:t>
      </w:r>
      <w:r w:rsidRPr="00C57D2B">
        <w:t>defined events of clinical interest confirmed this profile.</w:t>
      </w:r>
      <w:r w:rsidR="00635167">
        <w:t xml:space="preserve"> </w:t>
      </w:r>
      <w:r w:rsidRPr="00C57D2B">
        <w:t>Reporting of specific AEs was very limited in the summary data for P006.</w:t>
      </w:r>
    </w:p>
    <w:p w:rsidR="00C57D2B" w:rsidRPr="00C57D2B" w:rsidRDefault="00C57D2B" w:rsidP="00C57D2B">
      <w:r w:rsidRPr="00C57D2B">
        <w:t xml:space="preserve">Clearly </w:t>
      </w:r>
      <w:r w:rsidR="00E5241D">
        <w:t>drug related</w:t>
      </w:r>
      <w:r w:rsidRPr="00C57D2B">
        <w:t xml:space="preserve"> AEs resulting in death were infrequent (n</w:t>
      </w:r>
      <w:r w:rsidR="0026030D">
        <w:t xml:space="preserve"> </w:t>
      </w:r>
      <w:r w:rsidRPr="00C57D2B">
        <w:t>=</w:t>
      </w:r>
      <w:r w:rsidR="0026030D">
        <w:t xml:space="preserve"> </w:t>
      </w:r>
      <w:r w:rsidRPr="00C57D2B">
        <w:t>1 in P001; n</w:t>
      </w:r>
      <w:r w:rsidR="0026030D">
        <w:t xml:space="preserve"> </w:t>
      </w:r>
      <w:r w:rsidRPr="00C57D2B">
        <w:t>=</w:t>
      </w:r>
      <w:r w:rsidR="0026030D">
        <w:t xml:space="preserve"> </w:t>
      </w:r>
      <w:r w:rsidRPr="00C57D2B">
        <w:t>1 in P002; n</w:t>
      </w:r>
      <w:r w:rsidR="0026030D">
        <w:t> </w:t>
      </w:r>
      <w:r w:rsidRPr="00C57D2B">
        <w:t>=</w:t>
      </w:r>
      <w:r w:rsidR="0026030D">
        <w:t xml:space="preserve"> </w:t>
      </w:r>
      <w:r w:rsidRPr="00C57D2B">
        <w:t xml:space="preserve">1 in </w:t>
      </w:r>
      <w:r w:rsidR="00801838">
        <w:t>P006) according to the sponsor.</w:t>
      </w:r>
    </w:p>
    <w:p w:rsidR="00C57D2B" w:rsidRPr="00C57D2B" w:rsidRDefault="00987E81" w:rsidP="00C57D2B">
      <w:pPr>
        <w:pStyle w:val="Heading6"/>
      </w:pPr>
      <w:r>
        <w:t>Immune related</w:t>
      </w:r>
      <w:r w:rsidR="00C57D2B" w:rsidRPr="00C57D2B">
        <w:t xml:space="preserve"> AEs</w:t>
      </w:r>
    </w:p>
    <w:p w:rsidR="00C57D2B" w:rsidRPr="00C57D2B" w:rsidRDefault="00C57D2B" w:rsidP="00C57D2B">
      <w:r w:rsidRPr="00C57D2B">
        <w:t>The drug’s mechanism of action draws attention to autoimmune toxicities.</w:t>
      </w:r>
      <w:r w:rsidR="00635167">
        <w:t xml:space="preserve"> </w:t>
      </w:r>
      <w:r w:rsidR="00417AA6">
        <w:t xml:space="preserve">These were reported </w:t>
      </w:r>
      <w:proofErr w:type="spellStart"/>
      <w:r w:rsidR="00417AA6">
        <w:t>irAEs</w:t>
      </w:r>
      <w:proofErr w:type="spellEnd"/>
      <w:r w:rsidRPr="00C57D2B">
        <w:t xml:space="preserve"> and </w:t>
      </w:r>
      <w:r w:rsidR="00F236AD">
        <w:t>AEOSIs</w:t>
      </w:r>
      <w:r w:rsidRPr="00C57D2B">
        <w:t>.</w:t>
      </w:r>
      <w:r w:rsidR="00635167">
        <w:t xml:space="preserve"> </w:t>
      </w:r>
      <w:r w:rsidRPr="00C57D2B">
        <w:t xml:space="preserve">There were sometimes large differences between frequencies of </w:t>
      </w:r>
      <w:proofErr w:type="spellStart"/>
      <w:r w:rsidRPr="00C57D2B">
        <w:t>irAEs</w:t>
      </w:r>
      <w:proofErr w:type="spellEnd"/>
      <w:r w:rsidRPr="00C57D2B">
        <w:t xml:space="preserve"> and general AEs.</w:t>
      </w:r>
      <w:r w:rsidR="00635167">
        <w:t xml:space="preserve"> </w:t>
      </w:r>
      <w:r w:rsidRPr="00C57D2B">
        <w:t>For example, in P001 (B1</w:t>
      </w:r>
      <w:r w:rsidR="00417AA6">
        <w:t xml:space="preserve"> </w:t>
      </w:r>
      <w:r w:rsidRPr="00C57D2B">
        <w:t>+</w:t>
      </w:r>
      <w:r w:rsidR="00417AA6">
        <w:t xml:space="preserve"> </w:t>
      </w:r>
      <w:r w:rsidRPr="00C57D2B">
        <w:t>B2</w:t>
      </w:r>
      <w:r w:rsidR="00417AA6">
        <w:t xml:space="preserve"> </w:t>
      </w:r>
      <w:r w:rsidRPr="00C57D2B">
        <w:t>+</w:t>
      </w:r>
      <w:r w:rsidR="00417AA6">
        <w:t xml:space="preserve"> </w:t>
      </w:r>
      <w:r w:rsidRPr="00C57D2B">
        <w:t>D; n</w:t>
      </w:r>
      <w:r w:rsidR="00417AA6">
        <w:t xml:space="preserve"> </w:t>
      </w:r>
      <w:r w:rsidRPr="00C57D2B">
        <w:t>=</w:t>
      </w:r>
      <w:r w:rsidR="00417AA6">
        <w:t xml:space="preserve"> </w:t>
      </w:r>
      <w:r w:rsidRPr="00C57D2B">
        <w:t>411), frequency of vitiligo was reported as 11.4% (AE) and as 3.6% (</w:t>
      </w:r>
      <w:proofErr w:type="spellStart"/>
      <w:r w:rsidRPr="00C57D2B">
        <w:t>irAE</w:t>
      </w:r>
      <w:proofErr w:type="spellEnd"/>
      <w:r w:rsidRPr="00C57D2B">
        <w:t>).</w:t>
      </w:r>
      <w:r w:rsidR="00635167">
        <w:t xml:space="preserve"> </w:t>
      </w:r>
      <w:r w:rsidRPr="00C57D2B">
        <w:t>Vitiligo is thought to have an autoimmune pathogenesis, and may be a marker of drug activity</w:t>
      </w:r>
      <w:r w:rsidR="00417AA6">
        <w:t>.</w:t>
      </w:r>
      <w:r w:rsidR="00417AA6">
        <w:rPr>
          <w:rStyle w:val="FootnoteReference"/>
        </w:rPr>
        <w:footnoteReference w:id="73"/>
      </w:r>
      <w:r w:rsidRPr="00C57D2B">
        <w:t xml:space="preserve"> These differences highlight the value of general AEs as well as </w:t>
      </w:r>
      <w:r w:rsidR="00987E81">
        <w:t>‘immune related</w:t>
      </w:r>
      <w:r w:rsidRPr="00C57D2B">
        <w:t xml:space="preserve"> AEs</w:t>
      </w:r>
      <w:r w:rsidR="00987E81">
        <w:t>’</w:t>
      </w:r>
      <w:r w:rsidRPr="00C57D2B">
        <w:t xml:space="preserve"> as defined by the investigator, in trying to understand the safety profile of the drug.</w:t>
      </w:r>
      <w:r w:rsidR="00635167">
        <w:t xml:space="preserve"> </w:t>
      </w:r>
      <w:r w:rsidRPr="00C57D2B">
        <w:t>AEOSIs were also reported, but they were defined in part by grade (</w:t>
      </w:r>
      <w:r w:rsidR="00B85B18">
        <w:t>for example</w:t>
      </w:r>
      <w:r w:rsidR="00DE2828">
        <w:t>,</w:t>
      </w:r>
      <w:r w:rsidRPr="00C57D2B">
        <w:t xml:space="preserve"> there were no reports of vitiligo as an AEOSI, pres</w:t>
      </w:r>
      <w:r w:rsidR="00417AA6">
        <w:t xml:space="preserve">umably because reports were low </w:t>
      </w:r>
      <w:r w:rsidRPr="00C57D2B">
        <w:t>grade).</w:t>
      </w:r>
    </w:p>
    <w:p w:rsidR="00C57D2B" w:rsidRPr="00C57D2B" w:rsidRDefault="00417AA6" w:rsidP="00C57D2B">
      <w:r>
        <w:t xml:space="preserve">Some 106 out of </w:t>
      </w:r>
      <w:r w:rsidR="00C57D2B" w:rsidRPr="00C57D2B">
        <w:t>411 patients were treated with topical or systemic steroid</w:t>
      </w:r>
      <w:r>
        <w:t xml:space="preserve">s in P001 B1+B2+D, including 55 out of </w:t>
      </w:r>
      <w:r w:rsidR="00C57D2B" w:rsidRPr="00C57D2B">
        <w:t>411 receiving systemic steroids for an AE, 20 receiving topical steroids for an AE, and 31 receiving either form for unclear reasons.</w:t>
      </w:r>
      <w:r w:rsidR="00635167">
        <w:t xml:space="preserve"> </w:t>
      </w:r>
      <w:r w:rsidR="00C57D2B" w:rsidRPr="00C57D2B">
        <w:t xml:space="preserve">The characterisation of management and outcome of </w:t>
      </w:r>
      <w:proofErr w:type="spellStart"/>
      <w:r w:rsidR="00C57D2B" w:rsidRPr="00C57D2B">
        <w:t>irAEs</w:t>
      </w:r>
      <w:proofErr w:type="spellEnd"/>
      <w:r w:rsidR="00C57D2B" w:rsidRPr="00C57D2B">
        <w:t xml:space="preserve"> was not comprehensive, although for pneumonitis the update referred to abo</w:t>
      </w:r>
      <w:r w:rsidR="00801838">
        <w:t>ve provided useful information.</w:t>
      </w:r>
    </w:p>
    <w:p w:rsidR="00C57D2B" w:rsidRPr="00C57D2B" w:rsidRDefault="00C57D2B" w:rsidP="00C57D2B">
      <w:pPr>
        <w:pStyle w:val="Heading6"/>
      </w:pPr>
      <w:r w:rsidRPr="00C57D2B">
        <w:t>Comparison with ipilimumab</w:t>
      </w:r>
    </w:p>
    <w:p w:rsidR="00C57D2B" w:rsidRPr="00C57D2B" w:rsidRDefault="00C57D2B" w:rsidP="00C57D2B">
      <w:r w:rsidRPr="00C57D2B">
        <w:t>A key question is how autoimmune AEs differ in nature and frequency from those seen with ipilimumab.</w:t>
      </w:r>
      <w:r w:rsidR="00635167">
        <w:t xml:space="preserve"> </w:t>
      </w:r>
      <w:r w:rsidRPr="00C57D2B">
        <w:t xml:space="preserve">The </w:t>
      </w:r>
      <w:r w:rsidR="00417AA6">
        <w:t>CSR</w:t>
      </w:r>
      <w:r w:rsidRPr="00C57D2B">
        <w:t xml:space="preserve"> for study P006 wil</w:t>
      </w:r>
      <w:r w:rsidR="00417AA6">
        <w:t xml:space="preserve">l answer this question, but top </w:t>
      </w:r>
      <w:r w:rsidRPr="00C57D2B">
        <w:t>line results provide an indication.</w:t>
      </w:r>
      <w:r w:rsidR="00635167">
        <w:t xml:space="preserve"> </w:t>
      </w:r>
      <w:r w:rsidRPr="00C57D2B">
        <w:t>Also, some data from P001</w:t>
      </w:r>
      <w:r w:rsidR="00417AA6">
        <w:t xml:space="preserve"> and P002 can be used for cross </w:t>
      </w:r>
      <w:r w:rsidRPr="00C57D2B">
        <w:t>study comparison, as noted below.</w:t>
      </w:r>
    </w:p>
    <w:p w:rsidR="00C57D2B" w:rsidRPr="00C57D2B" w:rsidRDefault="00C57D2B" w:rsidP="00C57D2B">
      <w:pPr>
        <w:pStyle w:val="Heading7"/>
      </w:pPr>
      <w:r w:rsidRPr="00C57D2B">
        <w:t>P006</w:t>
      </w:r>
    </w:p>
    <w:p w:rsidR="00C57D2B" w:rsidRPr="00C57D2B" w:rsidRDefault="00417AA6" w:rsidP="00C57D2B">
      <w:r>
        <w:t xml:space="preserve">Top </w:t>
      </w:r>
      <w:r w:rsidR="00C57D2B" w:rsidRPr="00C57D2B">
        <w:t xml:space="preserve">line results from P006 show that, as expected from the study design, patients were on ipilimumab for less time than they were on pembrolizumab (median days of therapy, 63 </w:t>
      </w:r>
      <w:r w:rsidR="00987E81">
        <w:t>versus</w:t>
      </w:r>
      <w:r>
        <w:t xml:space="preserve"> 168 to </w:t>
      </w:r>
      <w:r w:rsidR="00C57D2B" w:rsidRPr="00C57D2B">
        <w:t xml:space="preserve">183 days; median number of administrations, 4 </w:t>
      </w:r>
      <w:r w:rsidR="00987E81">
        <w:t>versus</w:t>
      </w:r>
      <w:r>
        <w:t xml:space="preserve"> 9 to </w:t>
      </w:r>
      <w:r w:rsidR="00C57D2B" w:rsidRPr="00C57D2B">
        <w:t>13).</w:t>
      </w:r>
    </w:p>
    <w:p w:rsidR="00C57D2B" w:rsidRPr="00C57D2B" w:rsidRDefault="00C57D2B" w:rsidP="00C57D2B">
      <w:r w:rsidRPr="00C57D2B">
        <w:t xml:space="preserve">Severe or serious AEs were seen at broadly comparable rates across arms, but severe or serious AEs considered by the investigator to be </w:t>
      </w:r>
      <w:r w:rsidR="00E5241D">
        <w:t>drug related</w:t>
      </w:r>
      <w:r w:rsidRPr="00C57D2B">
        <w:t xml:space="preserve"> were seen at lower rates in pembrolizumab arms (severe </w:t>
      </w:r>
      <w:r w:rsidR="00E5241D">
        <w:t>drug related</w:t>
      </w:r>
      <w:r w:rsidRPr="00C57D2B">
        <w:t xml:space="preserve"> AEs w</w:t>
      </w:r>
      <w:r w:rsidR="00417AA6">
        <w:t xml:space="preserve">ere reported in 20% for IPI, 10 to </w:t>
      </w:r>
      <w:r w:rsidRPr="00C57D2B">
        <w:t xml:space="preserve">13% for pembrolizumab; serious </w:t>
      </w:r>
      <w:r w:rsidR="00E5241D">
        <w:t>drug related</w:t>
      </w:r>
      <w:r w:rsidRPr="00C57D2B">
        <w:t xml:space="preserve"> AEs were</w:t>
      </w:r>
      <w:r w:rsidR="00417AA6">
        <w:t xml:space="preserve"> reported in 18% for IPI, 6.5 to </w:t>
      </w:r>
      <w:r w:rsidRPr="00C57D2B">
        <w:t>11% for pembrolizumab).</w:t>
      </w:r>
    </w:p>
    <w:p w:rsidR="00C57D2B" w:rsidRPr="00C57D2B" w:rsidRDefault="00C57D2B" w:rsidP="00C57D2B">
      <w:r w:rsidRPr="00C57D2B">
        <w:t xml:space="preserve">Discontinuations due to </w:t>
      </w:r>
      <w:r w:rsidR="00417AA6">
        <w:t xml:space="preserve">AEs were seen in 13% for IPI, 7 to </w:t>
      </w:r>
      <w:r w:rsidRPr="00C57D2B">
        <w:t xml:space="preserve">11% for pembrolizumab; and discontinuations due to serious, </w:t>
      </w:r>
      <w:r w:rsidR="00E5241D">
        <w:t>drug related</w:t>
      </w:r>
      <w:r w:rsidRPr="00C57D2B">
        <w:t xml:space="preserve"> AEs were seen in 7% for IPI, </w:t>
      </w:r>
      <w:r w:rsidR="00987E81">
        <w:t>versus</w:t>
      </w:r>
      <w:r w:rsidR="00417AA6">
        <w:t xml:space="preserve"> 3.2 to </w:t>
      </w:r>
      <w:r w:rsidRPr="00C57D2B">
        <w:t>4.3% for pembrolizumab.</w:t>
      </w:r>
    </w:p>
    <w:p w:rsidR="00C57D2B" w:rsidRPr="00C57D2B" w:rsidRDefault="00C57D2B" w:rsidP="00C57D2B">
      <w:r w:rsidRPr="00C57D2B">
        <w:t>Investiga</w:t>
      </w:r>
      <w:r w:rsidR="00417AA6">
        <w:t xml:space="preserve">tor </w:t>
      </w:r>
      <w:r w:rsidRPr="00C57D2B">
        <w:t xml:space="preserve">assessed </w:t>
      </w:r>
      <w:r w:rsidR="00987E81">
        <w:t>immune related</w:t>
      </w:r>
      <w:r w:rsidRPr="00C57D2B">
        <w:t xml:space="preserve"> AEs w</w:t>
      </w:r>
      <w:r w:rsidR="00417AA6">
        <w:t xml:space="preserve">ere reported in 43% for IPI, 39 to </w:t>
      </w:r>
      <w:r w:rsidRPr="00C57D2B">
        <w:t>41% for pembrolizumab.</w:t>
      </w:r>
    </w:p>
    <w:p w:rsidR="00C57D2B" w:rsidRPr="00C57D2B" w:rsidRDefault="00C57D2B" w:rsidP="00C57D2B">
      <w:r w:rsidRPr="00C57D2B">
        <w:t xml:space="preserve">The picture conveyed is that pembrolizumab causes as many AEs (including </w:t>
      </w:r>
      <w:r w:rsidR="00987E81">
        <w:t>immune related</w:t>
      </w:r>
      <w:r w:rsidRPr="00C57D2B">
        <w:t xml:space="preserve"> AEs) as ipilimumab, but that pembrolizumab may produce less severe / serious AEs (at the population level).</w:t>
      </w:r>
      <w:r w:rsidR="00635167">
        <w:t xml:space="preserve"> </w:t>
      </w:r>
      <w:r w:rsidRPr="00C57D2B">
        <w:t xml:space="preserve">The </w:t>
      </w:r>
      <w:r w:rsidR="00E05E08">
        <w:t>CSR</w:t>
      </w:r>
      <w:r w:rsidRPr="00C57D2B">
        <w:t xml:space="preserve"> will a</w:t>
      </w:r>
      <w:r w:rsidR="00E05E08">
        <w:t xml:space="preserve">llow better comparison; but top </w:t>
      </w:r>
      <w:r w:rsidRPr="00C57D2B">
        <w:t>line results did reveal potentially more pneumonitis, uveitis / iritis and hepatitis with pembrolizumab than with ipilimumab.</w:t>
      </w:r>
    </w:p>
    <w:p w:rsidR="00C57D2B" w:rsidRPr="00C57D2B" w:rsidRDefault="00417AA6" w:rsidP="00801838">
      <w:pPr>
        <w:pStyle w:val="Heading6"/>
      </w:pPr>
      <w:r>
        <w:lastRenderedPageBreak/>
        <w:t xml:space="preserve">Cross </w:t>
      </w:r>
      <w:r w:rsidR="00C57D2B" w:rsidRPr="00C57D2B">
        <w:t>study comparison</w:t>
      </w:r>
    </w:p>
    <w:p w:rsidR="00C57D2B" w:rsidRPr="00C57D2B" w:rsidRDefault="00C57D2B" w:rsidP="00C57D2B">
      <w:r w:rsidRPr="00C57D2B">
        <w:t>In the design of P001 and P002, patients were excluded if they had</w:t>
      </w:r>
      <w:r w:rsidR="00417AA6">
        <w:t xml:space="preserve"> earlier experienced severe IPI </w:t>
      </w:r>
      <w:r w:rsidRPr="00C57D2B">
        <w:t xml:space="preserve">related </w:t>
      </w:r>
      <w:proofErr w:type="spellStart"/>
      <w:r w:rsidRPr="00C57D2B">
        <w:t>irAEs</w:t>
      </w:r>
      <w:proofErr w:type="spellEnd"/>
      <w:r w:rsidRPr="00C57D2B">
        <w:t>.</w:t>
      </w:r>
      <w:r w:rsidR="00635167">
        <w:t xml:space="preserve"> </w:t>
      </w:r>
      <w:r w:rsidRPr="00C57D2B">
        <w:t xml:space="preserve">These patients were presumably excluded because they might be predisposed to severe </w:t>
      </w:r>
      <w:proofErr w:type="spellStart"/>
      <w:r w:rsidRPr="00C57D2B">
        <w:t>irAEs</w:t>
      </w:r>
      <w:proofErr w:type="spellEnd"/>
      <w:r w:rsidRPr="00C57D2B">
        <w:t xml:space="preserve"> with </w:t>
      </w:r>
      <w:proofErr w:type="spellStart"/>
      <w:r w:rsidRPr="00C57D2B">
        <w:t>pembrolizumab</w:t>
      </w:r>
      <w:proofErr w:type="spellEnd"/>
      <w:r w:rsidRPr="00C57D2B">
        <w:t>.</w:t>
      </w:r>
      <w:r w:rsidR="00635167">
        <w:t xml:space="preserve"> </w:t>
      </w:r>
      <w:r w:rsidRPr="00C57D2B">
        <w:t xml:space="preserve">This makes comparison of severe </w:t>
      </w:r>
      <w:r w:rsidR="00987E81">
        <w:t>immune related</w:t>
      </w:r>
      <w:r w:rsidRPr="00C57D2B">
        <w:t xml:space="preserve"> t</w:t>
      </w:r>
      <w:r w:rsidR="00417AA6">
        <w:t xml:space="preserve">oxicity between IPI </w:t>
      </w:r>
      <w:r w:rsidRPr="00C57D2B">
        <w:t>exposed pembrolizumab patients and IPI patients difficult, especially since the frequencies of some ke</w:t>
      </w:r>
      <w:r w:rsidR="00417AA6">
        <w:t xml:space="preserve">y AE categories differed in IPI naïve and IPI </w:t>
      </w:r>
      <w:r w:rsidRPr="00C57D2B">
        <w:t>exposed patients in P001.</w:t>
      </w:r>
      <w:r w:rsidR="00635167">
        <w:t xml:space="preserve"> </w:t>
      </w:r>
      <w:r w:rsidR="00417AA6">
        <w:t xml:space="preserve">IPI </w:t>
      </w:r>
      <w:r w:rsidRPr="00C57D2B">
        <w:t>naïve pembrolizumab patients were studied (</w:t>
      </w:r>
      <w:r w:rsidR="00B85B18">
        <w:t>for example</w:t>
      </w:r>
      <w:r w:rsidRPr="00C57D2B">
        <w:t xml:space="preserve"> P001-D; some patients in P001-B1); it seems more reasonable to compare autoimmune toxicities of ip</w:t>
      </w:r>
      <w:r w:rsidR="00417AA6">
        <w:t xml:space="preserve">ilimumab with those seen in IPI </w:t>
      </w:r>
      <w:r w:rsidRPr="00C57D2B">
        <w:t>naïve subjects from P001.</w:t>
      </w:r>
    </w:p>
    <w:p w:rsidR="00C57D2B" w:rsidRDefault="00801838" w:rsidP="00C57D2B">
      <w:r w:rsidRPr="00616DBF">
        <w:t xml:space="preserve">Table </w:t>
      </w:r>
      <w:r w:rsidR="00616DBF" w:rsidRPr="00616DBF">
        <w:t>41</w:t>
      </w:r>
      <w:r w:rsidR="00C57D2B" w:rsidRPr="00616DBF">
        <w:t>compares selected ipilimumab and pembrolizumab</w:t>
      </w:r>
      <w:r w:rsidR="00C57D2B" w:rsidRPr="00C57D2B">
        <w:t xml:space="preserve"> studies.</w:t>
      </w:r>
      <w:r w:rsidR="00635167">
        <w:t xml:space="preserve"> </w:t>
      </w:r>
      <w:r w:rsidR="00C57D2B" w:rsidRPr="00C57D2B">
        <w:t>Other IPI studies may produce a different picture (</w:t>
      </w:r>
      <w:r w:rsidR="00B85B18">
        <w:t>for example</w:t>
      </w:r>
      <w:r w:rsidR="00C57D2B" w:rsidRPr="00C57D2B">
        <w:t xml:space="preserve"> </w:t>
      </w:r>
      <w:proofErr w:type="spellStart"/>
      <w:r w:rsidR="00C57D2B" w:rsidRPr="00C57D2B">
        <w:t>Ascierto</w:t>
      </w:r>
      <w:proofErr w:type="spellEnd"/>
      <w:r w:rsidR="00C57D2B" w:rsidRPr="00C57D2B">
        <w:t xml:space="preserve"> et al</w:t>
      </w:r>
      <w:r w:rsidR="00E05E08">
        <w:rPr>
          <w:rStyle w:val="FootnoteReference"/>
        </w:rPr>
        <w:footnoteReference w:id="74"/>
      </w:r>
      <w:r w:rsidR="00C57D2B" w:rsidRPr="00C57D2B">
        <w:t xml:space="preserve"> report lower frequencies), but those </w:t>
      </w:r>
      <w:r w:rsidR="00C57D2B" w:rsidRPr="00616DBF">
        <w:t xml:space="preserve">used in </w:t>
      </w:r>
      <w:r w:rsidR="00616DBF" w:rsidRPr="00616DBF">
        <w:t>Table</w:t>
      </w:r>
      <w:r w:rsidR="00616DBF" w:rsidRPr="00616DBF">
        <w:rPr>
          <w:rStyle w:val="Hyperlink"/>
          <w:color w:val="auto"/>
          <w:u w:val="none"/>
        </w:rPr>
        <w:t xml:space="preserve"> 41</w:t>
      </w:r>
      <w:r w:rsidR="00616DBF">
        <w:rPr>
          <w:rStyle w:val="Hyperlink"/>
          <w:color w:val="auto"/>
          <w:u w:val="none"/>
        </w:rPr>
        <w:t xml:space="preserve"> </w:t>
      </w:r>
      <w:r w:rsidR="00C57D2B" w:rsidRPr="00616DBF">
        <w:t>have been widely reported</w:t>
      </w:r>
      <w:r w:rsidR="00C57D2B" w:rsidRPr="00C57D2B">
        <w:t xml:space="preserve"> and / or have local relevance.</w:t>
      </w:r>
      <w:r w:rsidR="00635167">
        <w:t xml:space="preserve"> </w:t>
      </w:r>
      <w:r w:rsidR="00C57D2B" w:rsidRPr="00C57D2B">
        <w:t xml:space="preserve">A further caveat is that </w:t>
      </w:r>
      <w:r w:rsidR="00E05E08">
        <w:t>cross study</w:t>
      </w:r>
      <w:r w:rsidR="00C57D2B" w:rsidRPr="00C57D2B">
        <w:t xml:space="preserve"> comparison may be misleading (</w:t>
      </w:r>
      <w:r w:rsidR="00B85B18">
        <w:t>for example</w:t>
      </w:r>
      <w:r w:rsidR="00C57D2B" w:rsidRPr="00C57D2B">
        <w:t xml:space="preserve"> due to differences in patient characteristics; drug exposure; methodology for reporting / defining </w:t>
      </w:r>
      <w:proofErr w:type="spellStart"/>
      <w:r w:rsidR="00C57D2B" w:rsidRPr="00C57D2B">
        <w:t>irAEs</w:t>
      </w:r>
      <w:proofErr w:type="spellEnd"/>
      <w:r w:rsidR="00C57D2B" w:rsidRPr="00C57D2B">
        <w:t xml:space="preserve">; early / pre-emptive management of </w:t>
      </w:r>
      <w:proofErr w:type="spellStart"/>
      <w:r w:rsidR="00C57D2B" w:rsidRPr="00C57D2B">
        <w:t>irAEs</w:t>
      </w:r>
      <w:proofErr w:type="spellEnd"/>
      <w:r w:rsidR="00C57D2B" w:rsidRPr="00C57D2B">
        <w:t>; etc</w:t>
      </w:r>
      <w:r w:rsidR="00E05E08">
        <w:t>etera</w:t>
      </w:r>
      <w:r w:rsidR="00C57D2B" w:rsidRPr="00C57D2B">
        <w:t>).</w:t>
      </w:r>
    </w:p>
    <w:p w:rsidR="00801838" w:rsidRDefault="00801838" w:rsidP="00801838">
      <w:pPr>
        <w:pStyle w:val="TableTitle"/>
      </w:pPr>
      <w:r w:rsidRPr="00A56541">
        <w:t xml:space="preserve">Table </w:t>
      </w:r>
      <w:r w:rsidR="00616DBF" w:rsidRPr="00A56541">
        <w:t>41</w:t>
      </w:r>
      <w:r w:rsidRPr="00A56541">
        <w:t xml:space="preserve"> Exploratory comparison o</w:t>
      </w:r>
      <w:r w:rsidR="00616DBF" w:rsidRPr="00A56541">
        <w:t xml:space="preserve">f ipilimumab and pembrolizumab; </w:t>
      </w:r>
      <w:r w:rsidR="00417AA6" w:rsidRPr="00A56541">
        <w:t xml:space="preserve">selected AEs and </w:t>
      </w:r>
      <w:proofErr w:type="spellStart"/>
      <w:r w:rsidR="00417AA6" w:rsidRPr="00A56541">
        <w:t>irAE</w:t>
      </w:r>
      <w:proofErr w:type="spellEnd"/>
    </w:p>
    <w:p w:rsidR="00E05E08" w:rsidRPr="00E05E08" w:rsidRDefault="00E05E08" w:rsidP="00890D29">
      <w:r>
        <w:rPr>
          <w:noProof/>
          <w:lang w:eastAsia="en-AU"/>
        </w:rPr>
        <w:drawing>
          <wp:inline distT="0" distB="0" distL="0" distR="0" wp14:anchorId="77887B80" wp14:editId="49F6CFC4">
            <wp:extent cx="5400040" cy="5138115"/>
            <wp:effectExtent l="0" t="0" r="0" b="5715"/>
            <wp:docPr id="49" name="Picture 49" descr="Table 41 Exploratory comparison of ipilimumab and pembrolizumab; selected AEs and i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40" cy="5138115"/>
                    </a:xfrm>
                    <a:prstGeom prst="rect">
                      <a:avLst/>
                    </a:prstGeom>
                  </pic:spPr>
                </pic:pic>
              </a:graphicData>
            </a:graphic>
          </wp:inline>
        </w:drawing>
      </w:r>
    </w:p>
    <w:p w:rsidR="00801838" w:rsidRPr="00801838" w:rsidRDefault="00801838" w:rsidP="00801838">
      <w:pPr>
        <w:pStyle w:val="TableDescription"/>
      </w:pPr>
      <w:proofErr w:type="spellStart"/>
      <w:r w:rsidRPr="00695A18">
        <w:rPr>
          <w:vertAlign w:val="superscript"/>
        </w:rPr>
        <w:lastRenderedPageBreak/>
        <w:t>a</w:t>
      </w:r>
      <w:proofErr w:type="spellEnd"/>
      <w:r w:rsidRPr="00695A18">
        <w:rPr>
          <w:vertAlign w:val="superscript"/>
        </w:rPr>
        <w:t xml:space="preserve"> </w:t>
      </w:r>
      <w:r w:rsidRPr="001F725A">
        <w:t>Alexander et al (2014)</w:t>
      </w:r>
      <w:r w:rsidR="00F12BA2" w:rsidRPr="001F725A">
        <w:rPr>
          <w:rStyle w:val="FootnoteReference"/>
        </w:rPr>
        <w:footnoteReference w:id="75"/>
      </w:r>
      <w:r w:rsidRPr="001F725A">
        <w:t xml:space="preserve"> –</w:t>
      </w:r>
      <w:r w:rsidRPr="00695A18">
        <w:t xml:space="preserve"> excludes </w:t>
      </w:r>
      <w:proofErr w:type="spellStart"/>
      <w:r w:rsidRPr="00695A18">
        <w:t>irAEs</w:t>
      </w:r>
      <w:proofErr w:type="spellEnd"/>
      <w:r>
        <w:t xml:space="preserve"> </w:t>
      </w:r>
      <w:r w:rsidRPr="00695A18">
        <w:rPr>
          <w:vertAlign w:val="superscript"/>
        </w:rPr>
        <w:t>b</w:t>
      </w:r>
      <w:r w:rsidRPr="00695A18">
        <w:t xml:space="preserve"> fatigue excludes asthenia; pyrexia excludes chills</w:t>
      </w:r>
      <w:r>
        <w:t xml:space="preserve"> </w:t>
      </w:r>
      <w:r w:rsidRPr="00695A18">
        <w:rPr>
          <w:vertAlign w:val="superscript"/>
        </w:rPr>
        <w:t xml:space="preserve">c </w:t>
      </w:r>
      <w:r w:rsidRPr="00695A18">
        <w:t>frequencies of pruritus reported as a general AE (</w:t>
      </w:r>
      <w:r w:rsidR="001D4BB8">
        <w:t>that is</w:t>
      </w:r>
      <w:r w:rsidRPr="00695A18">
        <w:t xml:space="preserve"> no</w:t>
      </w:r>
      <w:r w:rsidR="00F236AD">
        <w:t>t</w:t>
      </w:r>
      <w:r w:rsidRPr="00695A18">
        <w:t xml:space="preserve"> an </w:t>
      </w:r>
      <w:proofErr w:type="spellStart"/>
      <w:r w:rsidRPr="00695A18">
        <w:t>irAE</w:t>
      </w:r>
      <w:proofErr w:type="spellEnd"/>
      <w:r w:rsidRPr="00695A18">
        <w:t>) were 20% and 31% respectively; for rash, 22% and 23%</w:t>
      </w:r>
      <w:r>
        <w:t xml:space="preserve"> </w:t>
      </w:r>
      <w:r w:rsidRPr="00695A18">
        <w:rPr>
          <w:vertAlign w:val="superscript"/>
        </w:rPr>
        <w:t xml:space="preserve">d </w:t>
      </w:r>
      <w:r w:rsidRPr="00695A18">
        <w:t>frequencies of vitiligo reported as a general AE (</w:t>
      </w:r>
      <w:r w:rsidR="001D4BB8">
        <w:t>that is</w:t>
      </w:r>
      <w:r w:rsidRPr="00695A18">
        <w:t xml:space="preserve"> no</w:t>
      </w:r>
      <w:r w:rsidR="00F236AD">
        <w:t>t</w:t>
      </w:r>
      <w:r w:rsidRPr="00695A18">
        <w:t xml:space="preserve"> an </w:t>
      </w:r>
      <w:proofErr w:type="spellStart"/>
      <w:r w:rsidRPr="00695A18">
        <w:t>irAE</w:t>
      </w:r>
      <w:proofErr w:type="spellEnd"/>
      <w:r w:rsidRPr="00695A18">
        <w:t>) were 6% and 14% respectively</w:t>
      </w:r>
      <w:r>
        <w:t xml:space="preserve"> </w:t>
      </w:r>
      <w:r w:rsidRPr="00695A18">
        <w:rPr>
          <w:vertAlign w:val="superscript"/>
        </w:rPr>
        <w:t xml:space="preserve">e </w:t>
      </w:r>
      <w:r w:rsidRPr="00695A18">
        <w:t>frequencies of hypothyroidism reported as a general AE (</w:t>
      </w:r>
      <w:r w:rsidR="001D4BB8">
        <w:t>that is</w:t>
      </w:r>
      <w:r w:rsidRPr="00695A18">
        <w:t xml:space="preserve"> not an </w:t>
      </w:r>
      <w:proofErr w:type="spellStart"/>
      <w:r w:rsidRPr="00695A18">
        <w:t>irAE</w:t>
      </w:r>
      <w:proofErr w:type="spellEnd"/>
      <w:r w:rsidRPr="00695A18">
        <w:t>) were</w:t>
      </w:r>
      <w:r w:rsidR="00987E81">
        <w:t xml:space="preserve"> </w:t>
      </w:r>
      <w:r w:rsidRPr="00695A18">
        <w:t>16% and 8% respectively</w:t>
      </w:r>
      <w:r w:rsidR="00F236AD">
        <w:t>. ALT = alanine transaminase AST = aspartate transaminase</w:t>
      </w:r>
    </w:p>
    <w:p w:rsidR="00C57D2B" w:rsidRPr="00C57D2B" w:rsidRDefault="00987E81" w:rsidP="00C57D2B">
      <w:r>
        <w:t>Immune related</w:t>
      </w:r>
      <w:r w:rsidR="00C57D2B" w:rsidRPr="00C57D2B">
        <w:t xml:space="preserve"> AEs and grade 3</w:t>
      </w:r>
      <w:r w:rsidR="006439F7">
        <w:t xml:space="preserve"> </w:t>
      </w:r>
      <w:r w:rsidR="00C57D2B" w:rsidRPr="00C57D2B">
        <w:t xml:space="preserve">+ </w:t>
      </w:r>
      <w:proofErr w:type="spellStart"/>
      <w:r w:rsidR="00C57D2B" w:rsidRPr="00C57D2B">
        <w:t>irAEs</w:t>
      </w:r>
      <w:proofErr w:type="spellEnd"/>
      <w:r w:rsidR="00C57D2B" w:rsidRPr="00C57D2B">
        <w:t xml:space="preserve"> appear less frequent with pembrolizumab than with ipilimumab.</w:t>
      </w:r>
      <w:r w:rsidR="00635167">
        <w:t xml:space="preserve"> </w:t>
      </w:r>
      <w:r w:rsidR="00C57D2B" w:rsidRPr="00C57D2B">
        <w:t xml:space="preserve">For example, frequency of </w:t>
      </w:r>
      <w:r>
        <w:t>immune related</w:t>
      </w:r>
      <w:r w:rsidR="00C57D2B" w:rsidRPr="00C57D2B">
        <w:t xml:space="preserve"> diarrhoea i</w:t>
      </w:r>
      <w:r w:rsidR="006439F7">
        <w:t xml:space="preserve">s reported for ipilimumab at 19 to </w:t>
      </w:r>
      <w:r w:rsidR="00C57D2B" w:rsidRPr="00C57D2B">
        <w:t>33% (and frequency of grade 3</w:t>
      </w:r>
      <w:r w:rsidR="00E05E08">
        <w:t xml:space="preserve"> </w:t>
      </w:r>
      <w:r w:rsidR="00C57D2B" w:rsidRPr="00C57D2B">
        <w:t xml:space="preserve">+ </w:t>
      </w:r>
      <w:r>
        <w:t>immune related</w:t>
      </w:r>
      <w:r w:rsidR="006439F7">
        <w:t xml:space="preserve"> diarrhoea at 4 to </w:t>
      </w:r>
      <w:r w:rsidR="00C57D2B" w:rsidRPr="00C57D2B">
        <w:t>7%).</w:t>
      </w:r>
      <w:r w:rsidR="00635167">
        <w:t xml:space="preserve"> </w:t>
      </w:r>
      <w:r w:rsidR="00C57D2B" w:rsidRPr="00C57D2B">
        <w:t xml:space="preserve">Frequency of </w:t>
      </w:r>
      <w:r>
        <w:t>immune related</w:t>
      </w:r>
      <w:r w:rsidR="00C57D2B" w:rsidRPr="00C57D2B">
        <w:t xml:space="preserve"> diarrhoea for pembrolizumab is 2%, with few severe AEs.</w:t>
      </w:r>
      <w:r>
        <w:t xml:space="preserve"> </w:t>
      </w:r>
      <w:r w:rsidR="00C57D2B" w:rsidRPr="00C57D2B">
        <w:t>Yet, frequency of any diarrhoea is 33</w:t>
      </w:r>
      <w:r w:rsidR="006439F7">
        <w:t xml:space="preserve"> to 38% for ipilimumab, 21 to </w:t>
      </w:r>
      <w:r w:rsidR="00C57D2B" w:rsidRPr="00C57D2B">
        <w:t>31% for pembrolizumab.</w:t>
      </w:r>
      <w:r w:rsidR="00635167">
        <w:t xml:space="preserve"> </w:t>
      </w:r>
      <w:r w:rsidR="00C57D2B" w:rsidRPr="00C57D2B">
        <w:t>The same applies for grade 3</w:t>
      </w:r>
      <w:r w:rsidR="006439F7">
        <w:t xml:space="preserve"> + diarrhoea (4 to </w:t>
      </w:r>
      <w:r w:rsidR="00C57D2B" w:rsidRPr="00C57D2B">
        <w:t xml:space="preserve">5% </w:t>
      </w:r>
      <w:r>
        <w:t>versus</w:t>
      </w:r>
      <w:r w:rsidR="006439F7">
        <w:t xml:space="preserve"> 1 to </w:t>
      </w:r>
      <w:r w:rsidR="00C57D2B" w:rsidRPr="00C57D2B">
        <w:t>4% respectively).</w:t>
      </w:r>
      <w:r w:rsidR="00635167">
        <w:t xml:space="preserve"> </w:t>
      </w:r>
      <w:r w:rsidR="00C57D2B" w:rsidRPr="00C57D2B">
        <w:t xml:space="preserve">Colitis as an </w:t>
      </w:r>
      <w:proofErr w:type="spellStart"/>
      <w:r w:rsidR="00C57D2B" w:rsidRPr="00C57D2B">
        <w:t>irAE</w:t>
      </w:r>
      <w:proofErr w:type="spellEnd"/>
      <w:r w:rsidR="00C57D2B" w:rsidRPr="00C57D2B">
        <w:t xml:space="preserve"> seems less frequent with pembrolizumab than with ipilimumab, yet the frequencies of diarrhoea and abdominal pain are similar across treatments.</w:t>
      </w:r>
      <w:r w:rsidR="00635167">
        <w:t xml:space="preserve"> </w:t>
      </w:r>
      <w:r w:rsidR="00C57D2B" w:rsidRPr="00C57D2B">
        <w:t xml:space="preserve">A similar pattern emerges for other AEs, </w:t>
      </w:r>
      <w:r w:rsidR="00B85B18">
        <w:t>for example</w:t>
      </w:r>
      <w:r w:rsidR="00C57D2B" w:rsidRPr="00C57D2B">
        <w:t xml:space="preserve"> rash, pruritus, vitiligo.</w:t>
      </w:r>
      <w:r w:rsidR="00635167">
        <w:t xml:space="preserve"> </w:t>
      </w:r>
      <w:r w:rsidR="006439F7">
        <w:t xml:space="preserve">Top </w:t>
      </w:r>
      <w:r w:rsidR="00C57D2B" w:rsidRPr="00C57D2B">
        <w:t xml:space="preserve">line data from P006 suggests comparable rates of investigator-assessed </w:t>
      </w:r>
      <w:r>
        <w:t>immune related</w:t>
      </w:r>
      <w:r w:rsidR="006439F7">
        <w:t xml:space="preserve"> AEs.</w:t>
      </w:r>
    </w:p>
    <w:p w:rsidR="00C57D2B" w:rsidRPr="00C57D2B" w:rsidRDefault="006439F7" w:rsidP="00C57D2B">
      <w:r>
        <w:t xml:space="preserve">Based on cross </w:t>
      </w:r>
      <w:r w:rsidR="00C57D2B" w:rsidRPr="00C57D2B">
        <w:t xml:space="preserve">study comparisons, some </w:t>
      </w:r>
      <w:r w:rsidR="00987E81">
        <w:t>immune related</w:t>
      </w:r>
      <w:r w:rsidR="00C57D2B" w:rsidRPr="00C57D2B">
        <w:t xml:space="preserve"> AEs may be commoner with pembrolizumab than with ipilimumab.</w:t>
      </w:r>
      <w:r w:rsidR="00635167">
        <w:t xml:space="preserve"> </w:t>
      </w:r>
      <w:r w:rsidR="00C57D2B" w:rsidRPr="00C57D2B">
        <w:t>For example:</w:t>
      </w:r>
      <w:r>
        <w:t xml:space="preserve"> p</w:t>
      </w:r>
      <w:r w:rsidRPr="00C57D2B">
        <w:t>neumonitis</w:t>
      </w:r>
      <w:r>
        <w:t xml:space="preserve"> and </w:t>
      </w:r>
      <w:r w:rsidRPr="00C57D2B">
        <w:t>hypothyroidism</w:t>
      </w:r>
      <w:r>
        <w:t>.</w:t>
      </w:r>
    </w:p>
    <w:p w:rsidR="00C57D2B" w:rsidRPr="00C57D2B" w:rsidRDefault="00C57D2B" w:rsidP="00801838">
      <w:pPr>
        <w:pStyle w:val="Heading6"/>
      </w:pPr>
      <w:r w:rsidRPr="00C57D2B">
        <w:t>Pneumonitis</w:t>
      </w:r>
    </w:p>
    <w:p w:rsidR="00C57D2B" w:rsidRPr="00C57D2B" w:rsidRDefault="00C57D2B" w:rsidP="00C57D2B">
      <w:r w:rsidRPr="00C57D2B">
        <w:t>Pneumonitis may be more frequent with pembrolizumab than with ipilimumab.</w:t>
      </w:r>
    </w:p>
    <w:p w:rsidR="00C57D2B" w:rsidRPr="00C57D2B" w:rsidRDefault="00C57D2B" w:rsidP="00C57D2B">
      <w:r w:rsidRPr="00C57D2B">
        <w:t>Pneumonitis appears to be rarely reported for ipilimumab, but was seen at a frequency of 2.7% in the P001 B1</w:t>
      </w:r>
      <w:r w:rsidR="006439F7">
        <w:t xml:space="preserve"> </w:t>
      </w:r>
      <w:r w:rsidRPr="00C57D2B">
        <w:t>+</w:t>
      </w:r>
      <w:r w:rsidR="006439F7">
        <w:t xml:space="preserve"> </w:t>
      </w:r>
      <w:r w:rsidRPr="00C57D2B">
        <w:t>B2</w:t>
      </w:r>
      <w:r w:rsidR="006439F7">
        <w:t xml:space="preserve"> </w:t>
      </w:r>
      <w:r w:rsidRPr="00C57D2B">
        <w:t>+</w:t>
      </w:r>
      <w:r w:rsidR="006439F7">
        <w:t xml:space="preserve"> </w:t>
      </w:r>
      <w:r w:rsidRPr="00C57D2B">
        <w:t xml:space="preserve">D population (18 October 2013 </w:t>
      </w:r>
      <w:r w:rsidR="00C22866">
        <w:t>cut off</w:t>
      </w:r>
      <w:r w:rsidRPr="00C57D2B">
        <w:t>).</w:t>
      </w:r>
      <w:r w:rsidR="00635167">
        <w:t xml:space="preserve"> </w:t>
      </w:r>
      <w:r w:rsidRPr="00C57D2B">
        <w:t>Also, frequency of cough / dyspnoea was relatively high, and might indicate sub-clinical pathology.</w:t>
      </w:r>
    </w:p>
    <w:p w:rsidR="00C57D2B" w:rsidRDefault="00C57D2B" w:rsidP="00C57D2B">
      <w:r w:rsidRPr="00C57D2B">
        <w:t xml:space="preserve">The sponsor provided a report about pneumonitis with pembrolizumab, based on later </w:t>
      </w:r>
      <w:r w:rsidR="00C22866">
        <w:t>cut off</w:t>
      </w:r>
      <w:r w:rsidRPr="00C57D2B">
        <w:t xml:space="preserve"> (31 July 2014) and a wider range of clinical studies.</w:t>
      </w:r>
      <w:r w:rsidR="00635167">
        <w:t xml:space="preserve"> </w:t>
      </w:r>
      <w:r w:rsidR="006439F7">
        <w:t>A summary is shown in Table 42.</w:t>
      </w:r>
    </w:p>
    <w:p w:rsidR="00AC49AC" w:rsidRPr="00C57D2B" w:rsidRDefault="00AC49AC" w:rsidP="00AC49AC">
      <w:pPr>
        <w:pStyle w:val="TableTitle"/>
      </w:pPr>
      <w:proofErr w:type="gramStart"/>
      <w:r>
        <w:t>Table 42.</w:t>
      </w:r>
      <w:proofErr w:type="gramEnd"/>
      <w:r>
        <w:t xml:space="preserve"> Summary o</w:t>
      </w:r>
      <w:r w:rsidR="006439F7">
        <w:t xml:space="preserve">f </w:t>
      </w:r>
      <w:r w:rsidR="005D7F4D">
        <w:t>interstitial lung disease (ILD)</w:t>
      </w:r>
      <w:r w:rsidR="006439F7">
        <w:t xml:space="preserve"> events with pembrolizumab</w:t>
      </w:r>
    </w:p>
    <w:p w:rsidR="002A3A8E" w:rsidRDefault="00C57D2B" w:rsidP="002A3A8E">
      <w:r>
        <w:rPr>
          <w:noProof/>
          <w:lang w:eastAsia="en-AU"/>
        </w:rPr>
        <w:drawing>
          <wp:inline distT="0" distB="0" distL="0" distR="0" wp14:anchorId="5938FEA1" wp14:editId="7A8D59F3">
            <wp:extent cx="3474720" cy="3221772"/>
            <wp:effectExtent l="0" t="0" r="0" b="0"/>
            <wp:docPr id="3" name="Picture 3" descr="Table 42. Summary of ILD events with pembro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475869" cy="3222837"/>
                    </a:xfrm>
                    <a:prstGeom prst="rect">
                      <a:avLst/>
                    </a:prstGeom>
                  </pic:spPr>
                </pic:pic>
              </a:graphicData>
            </a:graphic>
          </wp:inline>
        </w:drawing>
      </w:r>
    </w:p>
    <w:p w:rsidR="00C57D2B" w:rsidRPr="00C57D2B" w:rsidRDefault="00C57D2B" w:rsidP="00C57D2B">
      <w:r w:rsidRPr="00C57D2B">
        <w:t>Of the 42 patients</w:t>
      </w:r>
      <w:r w:rsidR="005D7F4D">
        <w:t xml:space="preserve"> with at least severe events, 5 out of </w:t>
      </w:r>
      <w:r w:rsidRPr="00C57D2B">
        <w:t xml:space="preserve">42 patients died due to </w:t>
      </w:r>
      <w:r w:rsidR="00E05E08">
        <w:t>ILD</w:t>
      </w:r>
      <w:r w:rsidRPr="00C57D2B">
        <w:t xml:space="preserve"> (4</w:t>
      </w:r>
      <w:r w:rsidR="005D7F4D">
        <w:t xml:space="preserve"> out of </w:t>
      </w:r>
      <w:r w:rsidRPr="00C57D2B">
        <w:t>5 in NSCLC; 1</w:t>
      </w:r>
      <w:r w:rsidR="005D7F4D">
        <w:t xml:space="preserve"> out of </w:t>
      </w:r>
      <w:r w:rsidRPr="00C57D2B">
        <w:t>5 in salivary gland cancer), and 4</w:t>
      </w:r>
      <w:r w:rsidR="005D7F4D">
        <w:t xml:space="preserve"> out of </w:t>
      </w:r>
      <w:r w:rsidR="00B45CA1">
        <w:t xml:space="preserve">42 had life </w:t>
      </w:r>
      <w:r w:rsidRPr="00C57D2B">
        <w:t>threatening ILD (3</w:t>
      </w:r>
      <w:r w:rsidR="005D7F4D">
        <w:t xml:space="preserve"> </w:t>
      </w:r>
      <w:r w:rsidR="005D7F4D">
        <w:lastRenderedPageBreak/>
        <w:t xml:space="preserve">out of </w:t>
      </w:r>
      <w:r w:rsidRPr="00C57D2B">
        <w:t>4 in NSCLC, 1</w:t>
      </w:r>
      <w:r w:rsidR="005D7F4D">
        <w:t xml:space="preserve"> out of </w:t>
      </w:r>
      <w:r w:rsidRPr="00C57D2B">
        <w:t>4 in gastric cancer).</w:t>
      </w:r>
      <w:r w:rsidR="00635167">
        <w:t xml:space="preserve"> </w:t>
      </w:r>
      <w:r w:rsidRPr="00C57D2B">
        <w:t>While the incidence of ILD is higher in NSCLC, the frequency in melanoma remains significant.</w:t>
      </w:r>
    </w:p>
    <w:p w:rsidR="00C57D2B" w:rsidRPr="00C57D2B" w:rsidRDefault="005D7F4D" w:rsidP="00C57D2B">
      <w:r>
        <w:t xml:space="preserve">Some </w:t>
      </w:r>
      <w:r w:rsidR="00C57D2B" w:rsidRPr="00C57D2B">
        <w:t>81% of subjects were treated with prednisone ≥</w:t>
      </w:r>
      <w:r>
        <w:t xml:space="preserve"> </w:t>
      </w:r>
      <w:r w:rsidR="00C57D2B" w:rsidRPr="00C57D2B">
        <w:t>40 mg or equivalent.</w:t>
      </w:r>
      <w:r w:rsidR="00635167">
        <w:t xml:space="preserve"> </w:t>
      </w:r>
      <w:r w:rsidR="00C57D2B" w:rsidRPr="00C57D2B">
        <w:t>In melanoma patients, the median time to steroids was 3 days (</w:t>
      </w:r>
      <w:r w:rsidR="00987E81">
        <w:t>versus</w:t>
      </w:r>
      <w:r w:rsidR="00C57D2B" w:rsidRPr="00C57D2B">
        <w:t xml:space="preserve"> 1 day in NSCLC).</w:t>
      </w:r>
      <w:r w:rsidR="00635167">
        <w:t xml:space="preserve"> </w:t>
      </w:r>
      <w:r w:rsidR="00C57D2B" w:rsidRPr="00C57D2B">
        <w:t>Rechallenge after a grade 2 event occurred in 14</w:t>
      </w:r>
      <w:r>
        <w:t xml:space="preserve"> out of </w:t>
      </w:r>
      <w:r w:rsidR="00C57D2B" w:rsidRPr="00C57D2B">
        <w:t>64 patients, and there were 2 patients with recurrence (manageable with corticosteroids and permanent discontinuation of pembrolizumab).</w:t>
      </w:r>
      <w:r w:rsidR="00635167">
        <w:t xml:space="preserve"> </w:t>
      </w:r>
      <w:r w:rsidR="00C57D2B" w:rsidRPr="00C57D2B">
        <w:t>Rechallenge after a grade 3 event occurred in 2 patients; in both the ILD recurred.</w:t>
      </w:r>
    </w:p>
    <w:p w:rsidR="00C57D2B" w:rsidRPr="00C57D2B" w:rsidRDefault="00C57D2B" w:rsidP="00C57D2B">
      <w:r w:rsidRPr="00C57D2B">
        <w:t>A common theme in patients with more severe ILD was the challenge of differentiating ILD from pneumonia.</w:t>
      </w:r>
      <w:r w:rsidR="00635167">
        <w:t xml:space="preserve"> </w:t>
      </w:r>
      <w:r w:rsidRPr="00C57D2B">
        <w:t>The sponsor recommends corticosteroid use for potential ILD if there is not a clear diagnosis.</w:t>
      </w:r>
    </w:p>
    <w:p w:rsidR="00C57D2B" w:rsidRPr="00C57D2B" w:rsidRDefault="00C57D2B" w:rsidP="00C57D2B">
      <w:r w:rsidRPr="00C57D2B">
        <w:t xml:space="preserve">In P001, an exclusion criterion was </w:t>
      </w:r>
      <w:r w:rsidR="00987E81">
        <w:t>‘</w:t>
      </w:r>
      <w:r w:rsidRPr="00C57D2B">
        <w:t xml:space="preserve">history of pneumonitis or </w:t>
      </w:r>
      <w:r w:rsidR="00185D72">
        <w:t>ILD</w:t>
      </w:r>
      <w:r w:rsidRPr="00C57D2B">
        <w:t>.</w:t>
      </w:r>
    </w:p>
    <w:p w:rsidR="00C57D2B" w:rsidRPr="00C57D2B" w:rsidRDefault="00C57D2B" w:rsidP="00801838">
      <w:pPr>
        <w:pStyle w:val="Heading6"/>
      </w:pPr>
      <w:r w:rsidRPr="00C57D2B">
        <w:t>Hypothyroidism</w:t>
      </w:r>
    </w:p>
    <w:p w:rsidR="00C57D2B" w:rsidRPr="00C57D2B" w:rsidRDefault="00C57D2B" w:rsidP="00C57D2B">
      <w:r w:rsidRPr="00C57D2B">
        <w:t>7% of patients in P001 B1</w:t>
      </w:r>
      <w:r w:rsidR="00B45CA1">
        <w:t xml:space="preserve"> </w:t>
      </w:r>
      <w:r w:rsidRPr="00C57D2B">
        <w:t>+</w:t>
      </w:r>
      <w:r w:rsidR="00B45CA1">
        <w:t xml:space="preserve"> </w:t>
      </w:r>
      <w:r w:rsidRPr="00C57D2B">
        <w:t>B2</w:t>
      </w:r>
      <w:r w:rsidR="00B45CA1">
        <w:t xml:space="preserve"> </w:t>
      </w:r>
      <w:r w:rsidRPr="00C57D2B">
        <w:t>+</w:t>
      </w:r>
      <w:r w:rsidR="00B45CA1">
        <w:t xml:space="preserve"> </w:t>
      </w:r>
      <w:r w:rsidRPr="00C57D2B">
        <w:t>D had clinical hypothyroidism (and 4.3% had clinical hyperthyroidism).</w:t>
      </w:r>
      <w:r w:rsidR="00635167">
        <w:t xml:space="preserve"> </w:t>
      </w:r>
      <w:r w:rsidRPr="00C57D2B">
        <w:t>Furthermore, TFTs were checked regularly.</w:t>
      </w:r>
      <w:r w:rsidR="00635167">
        <w:t xml:space="preserve"> </w:t>
      </w:r>
      <w:r w:rsidRPr="00C57D2B">
        <w:t>16.9% of patients had subclinical hypothyroidism and 16% had subclinical hyperthyroidism.</w:t>
      </w:r>
      <w:r w:rsidR="00635167">
        <w:t xml:space="preserve"> </w:t>
      </w:r>
      <w:r w:rsidRPr="00C57D2B">
        <w:t>Overall, 38</w:t>
      </w:r>
      <w:r w:rsidR="005D7F4D">
        <w:t xml:space="preserve"> out of </w:t>
      </w:r>
      <w:r w:rsidRPr="00C57D2B">
        <w:t>411 (9.2%) required thyroid hormone replacement, and 1</w:t>
      </w:r>
      <w:r w:rsidR="005D7F4D">
        <w:t xml:space="preserve"> out of </w:t>
      </w:r>
      <w:r w:rsidRPr="00C57D2B">
        <w:t xml:space="preserve">411 required </w:t>
      </w:r>
      <w:proofErr w:type="spellStart"/>
      <w:r w:rsidRPr="00C57D2B">
        <w:t>propylthiouracil</w:t>
      </w:r>
      <w:proofErr w:type="spellEnd"/>
      <w:r w:rsidRPr="00C57D2B">
        <w:t>.</w:t>
      </w:r>
    </w:p>
    <w:p w:rsidR="00C57D2B" w:rsidRPr="00C57D2B" w:rsidRDefault="00C57D2B" w:rsidP="00C57D2B">
      <w:r w:rsidRPr="00C57D2B">
        <w:t>In 2</w:t>
      </w:r>
      <w:r w:rsidR="005D7F4D">
        <w:t xml:space="preserve"> out of </w:t>
      </w:r>
      <w:r w:rsidRPr="00C57D2B">
        <w:t>14 cases of significant hypothyroidism there had been a history of hypothyroidism.</w:t>
      </w:r>
    </w:p>
    <w:p w:rsidR="00C57D2B" w:rsidRPr="00C57D2B" w:rsidRDefault="00C57D2B" w:rsidP="00C57D2B">
      <w:r w:rsidRPr="00C57D2B">
        <w:t>Ipilimumab does not seem to induce hypothyroidism as often (</w:t>
      </w:r>
      <w:r w:rsidR="00AC49AC" w:rsidRPr="00B45CA1">
        <w:t>Table 41)</w:t>
      </w:r>
      <w:r w:rsidR="00AC49AC">
        <w:t xml:space="preserve"> </w:t>
      </w:r>
      <w:r w:rsidRPr="00C57D2B">
        <w:t>though the detailed results of P006 are awaited with interest in this regard.</w:t>
      </w:r>
    </w:p>
    <w:p w:rsidR="00C57D2B" w:rsidRPr="00C57D2B" w:rsidRDefault="00C57D2B" w:rsidP="00C57D2B">
      <w:r w:rsidRPr="00C57D2B">
        <w:t xml:space="preserve">These observations reinforce the value of </w:t>
      </w:r>
      <w:r w:rsidR="00185D72">
        <w:t>head to head</w:t>
      </w:r>
      <w:r w:rsidRPr="00C57D2B">
        <w:t xml:space="preserve"> comparison of </w:t>
      </w:r>
      <w:proofErr w:type="spellStart"/>
      <w:r w:rsidRPr="00C57D2B">
        <w:t>irAEs</w:t>
      </w:r>
      <w:proofErr w:type="spellEnd"/>
      <w:r w:rsidRPr="00C57D2B">
        <w:t xml:space="preserve"> and AEs in general, as may be expected from the </w:t>
      </w:r>
      <w:r w:rsidR="00B45CA1">
        <w:t>CSR</w:t>
      </w:r>
      <w:r w:rsidR="00801838">
        <w:t xml:space="preserve"> for P006.</w:t>
      </w:r>
    </w:p>
    <w:p w:rsidR="00C57D2B" w:rsidRPr="00C57D2B" w:rsidRDefault="00C57D2B" w:rsidP="00C57D2B">
      <w:pPr>
        <w:pStyle w:val="Heading6"/>
      </w:pPr>
      <w:r w:rsidRPr="00C57D2B">
        <w:t>Comparison with BRAF / MEK inhibitors</w:t>
      </w:r>
    </w:p>
    <w:p w:rsidR="00C57D2B" w:rsidRDefault="00C57D2B" w:rsidP="00C57D2B">
      <w:r w:rsidRPr="00C57D2B">
        <w:t xml:space="preserve">Comparison of the safety profiles of pembrolizumab and BRAF + MEK inhibition is not simple, because of the absence of </w:t>
      </w:r>
      <w:r w:rsidR="00185D72">
        <w:t>head to head</w:t>
      </w:r>
      <w:r w:rsidRPr="00C57D2B">
        <w:t xml:space="preserve"> studies.</w:t>
      </w:r>
      <w:r w:rsidR="00635167">
        <w:t xml:space="preserve"> </w:t>
      </w:r>
      <w:r w:rsidR="00B45CA1">
        <w:t xml:space="preserve">Cross </w:t>
      </w:r>
      <w:r w:rsidRPr="00C57D2B">
        <w:t>study comparison is open to bias as mentioned earlier, but the following is a crude comparison; it does not suggest a massively improved safety profile with pembrolizumab.</w:t>
      </w:r>
    </w:p>
    <w:p w:rsidR="00AC49AC" w:rsidRPr="00C57D2B" w:rsidRDefault="00AC49AC" w:rsidP="00AC49AC">
      <w:pPr>
        <w:pStyle w:val="Tabletitle0"/>
      </w:pPr>
      <w:proofErr w:type="gramStart"/>
      <w:r>
        <w:t>Table 43.</w:t>
      </w:r>
      <w:proofErr w:type="gramEnd"/>
      <w:r>
        <w:t xml:space="preserve"> Cross study comparison of the safety profiles of </w:t>
      </w:r>
      <w:r w:rsidRPr="00C57D2B">
        <w:t>pembrolizumab and BRAF + MEK inhibition</w:t>
      </w:r>
    </w:p>
    <w:tbl>
      <w:tblPr>
        <w:tblStyle w:val="TableTGAblue"/>
        <w:tblW w:w="8476" w:type="dxa"/>
        <w:tblLook w:val="04A0" w:firstRow="1" w:lastRow="0" w:firstColumn="1" w:lastColumn="0" w:noHBand="0" w:noVBand="1"/>
      </w:tblPr>
      <w:tblGrid>
        <w:gridCol w:w="1841"/>
        <w:gridCol w:w="1122"/>
        <w:gridCol w:w="1184"/>
        <w:gridCol w:w="1413"/>
        <w:gridCol w:w="1583"/>
        <w:gridCol w:w="1577"/>
      </w:tblGrid>
      <w:tr w:rsidR="00C57D2B" w:rsidRPr="00B45CA1" w:rsidTr="00426673">
        <w:trPr>
          <w:cnfStyle w:val="100000000000" w:firstRow="1" w:lastRow="0" w:firstColumn="0" w:lastColumn="0" w:oddVBand="0" w:evenVBand="0" w:oddHBand="0" w:evenHBand="0" w:firstRowFirstColumn="0" w:firstRowLastColumn="0" w:lastRowFirstColumn="0" w:lastRowLastColumn="0"/>
          <w:trHeight w:val="1538"/>
        </w:trPr>
        <w:tc>
          <w:tcPr>
            <w:tcW w:w="1681" w:type="dxa"/>
          </w:tcPr>
          <w:p w:rsidR="00C57D2B" w:rsidRPr="00B45CA1" w:rsidRDefault="00C57D2B" w:rsidP="00890D29"/>
        </w:tc>
        <w:tc>
          <w:tcPr>
            <w:tcW w:w="1106" w:type="dxa"/>
          </w:tcPr>
          <w:p w:rsidR="00C57D2B" w:rsidRPr="00B45CA1" w:rsidRDefault="00C57D2B" w:rsidP="00890D29">
            <w:pPr>
              <w:ind w:left="0"/>
            </w:pPr>
            <w:r w:rsidRPr="00B45CA1">
              <w:t>P006 (interim data)</w:t>
            </w:r>
          </w:p>
        </w:tc>
        <w:tc>
          <w:tcPr>
            <w:tcW w:w="1169" w:type="dxa"/>
          </w:tcPr>
          <w:p w:rsidR="00C57D2B" w:rsidRPr="00B45CA1" w:rsidRDefault="00C57D2B" w:rsidP="00890D29">
            <w:pPr>
              <w:ind w:left="0"/>
            </w:pPr>
            <w:r w:rsidRPr="00B45CA1">
              <w:t>P001 [18 April 2014; 2 mg/kg Q3W]</w:t>
            </w:r>
          </w:p>
        </w:tc>
        <w:tc>
          <w:tcPr>
            <w:tcW w:w="1388" w:type="dxa"/>
          </w:tcPr>
          <w:p w:rsidR="00C57D2B" w:rsidRPr="00B45CA1" w:rsidRDefault="00C57D2B" w:rsidP="00890D29">
            <w:pPr>
              <w:ind w:left="14"/>
            </w:pPr>
            <w:r w:rsidRPr="00B45CA1">
              <w:t>P002 (interim data)</w:t>
            </w:r>
          </w:p>
        </w:tc>
        <w:tc>
          <w:tcPr>
            <w:tcW w:w="1566" w:type="dxa"/>
          </w:tcPr>
          <w:p w:rsidR="00C57D2B" w:rsidRPr="00B45CA1" w:rsidRDefault="00C57D2B" w:rsidP="00890D29">
            <w:pPr>
              <w:ind w:left="7"/>
            </w:pPr>
            <w:r w:rsidRPr="00B45CA1">
              <w:t>COMBI-D (combination arm)</w:t>
            </w:r>
          </w:p>
        </w:tc>
        <w:tc>
          <w:tcPr>
            <w:tcW w:w="1566" w:type="dxa"/>
          </w:tcPr>
          <w:p w:rsidR="00C57D2B" w:rsidRPr="00B45CA1" w:rsidRDefault="00C57D2B" w:rsidP="00890D29">
            <w:pPr>
              <w:ind w:left="0"/>
            </w:pPr>
            <w:r w:rsidRPr="00B45CA1">
              <w:t>COMBI-V (combination arm)</w:t>
            </w:r>
          </w:p>
        </w:tc>
      </w:tr>
      <w:tr w:rsidR="00C57D2B" w:rsidRPr="00B45CA1" w:rsidTr="00426673">
        <w:trPr>
          <w:trHeight w:val="752"/>
        </w:trPr>
        <w:tc>
          <w:tcPr>
            <w:tcW w:w="1681" w:type="dxa"/>
          </w:tcPr>
          <w:p w:rsidR="00C57D2B" w:rsidRPr="00B45CA1" w:rsidRDefault="00C57D2B" w:rsidP="00890D29">
            <w:r w:rsidRPr="00B45CA1">
              <w:t>Discontinuation due to AEs</w:t>
            </w:r>
          </w:p>
        </w:tc>
        <w:tc>
          <w:tcPr>
            <w:tcW w:w="1106" w:type="dxa"/>
          </w:tcPr>
          <w:p w:rsidR="00C57D2B" w:rsidRPr="00B45CA1" w:rsidRDefault="00B45CA1" w:rsidP="00890D29">
            <w:pPr>
              <w:ind w:left="0"/>
            </w:pPr>
            <w:r w:rsidRPr="00B45CA1">
              <w:t xml:space="preserve">7 to </w:t>
            </w:r>
            <w:r w:rsidR="00C57D2B" w:rsidRPr="00B45CA1">
              <w:t>11%</w:t>
            </w:r>
          </w:p>
        </w:tc>
        <w:tc>
          <w:tcPr>
            <w:tcW w:w="1169" w:type="dxa"/>
          </w:tcPr>
          <w:p w:rsidR="00C57D2B" w:rsidRPr="00B45CA1" w:rsidRDefault="00C57D2B" w:rsidP="00890D29">
            <w:pPr>
              <w:ind w:left="0"/>
            </w:pPr>
            <w:r w:rsidRPr="00B45CA1">
              <w:t>11%</w:t>
            </w:r>
          </w:p>
        </w:tc>
        <w:tc>
          <w:tcPr>
            <w:tcW w:w="1388" w:type="dxa"/>
          </w:tcPr>
          <w:p w:rsidR="00C57D2B" w:rsidRPr="00B45CA1" w:rsidRDefault="00C57D2B" w:rsidP="00890D29">
            <w:pPr>
              <w:ind w:left="14"/>
            </w:pPr>
            <w:r w:rsidRPr="00B45CA1">
              <w:t>10%</w:t>
            </w:r>
          </w:p>
        </w:tc>
        <w:tc>
          <w:tcPr>
            <w:tcW w:w="1566" w:type="dxa"/>
          </w:tcPr>
          <w:p w:rsidR="00C57D2B" w:rsidRPr="00B45CA1" w:rsidRDefault="00C57D2B" w:rsidP="00890D29">
            <w:pPr>
              <w:ind w:left="7"/>
            </w:pPr>
            <w:r w:rsidRPr="00B45CA1">
              <w:t>9%</w:t>
            </w:r>
          </w:p>
        </w:tc>
        <w:tc>
          <w:tcPr>
            <w:tcW w:w="1566" w:type="dxa"/>
          </w:tcPr>
          <w:p w:rsidR="00C57D2B" w:rsidRPr="00B45CA1" w:rsidRDefault="00C57D2B" w:rsidP="00890D29">
            <w:pPr>
              <w:ind w:left="0"/>
            </w:pPr>
            <w:r w:rsidRPr="00B45CA1">
              <w:t>13%</w:t>
            </w:r>
          </w:p>
        </w:tc>
      </w:tr>
      <w:tr w:rsidR="00C57D2B" w:rsidRPr="00B45CA1" w:rsidTr="00426673">
        <w:trPr>
          <w:trHeight w:val="497"/>
        </w:trPr>
        <w:tc>
          <w:tcPr>
            <w:tcW w:w="1681" w:type="dxa"/>
          </w:tcPr>
          <w:p w:rsidR="00C57D2B" w:rsidRPr="00B45CA1" w:rsidRDefault="00C57D2B" w:rsidP="00890D29">
            <w:r w:rsidRPr="00B45CA1">
              <w:t>Severe AEs</w:t>
            </w:r>
          </w:p>
        </w:tc>
        <w:tc>
          <w:tcPr>
            <w:tcW w:w="1106" w:type="dxa"/>
          </w:tcPr>
          <w:p w:rsidR="00C57D2B" w:rsidRPr="00B45CA1" w:rsidRDefault="00C57D2B" w:rsidP="00890D29">
            <w:pPr>
              <w:ind w:left="0"/>
            </w:pPr>
            <w:r w:rsidRPr="00B45CA1">
              <w:t>33-38%</w:t>
            </w:r>
          </w:p>
        </w:tc>
        <w:tc>
          <w:tcPr>
            <w:tcW w:w="1169" w:type="dxa"/>
          </w:tcPr>
          <w:p w:rsidR="00C57D2B" w:rsidRPr="00B45CA1" w:rsidRDefault="00C57D2B" w:rsidP="00890D29">
            <w:pPr>
              <w:ind w:left="0"/>
            </w:pPr>
            <w:r w:rsidRPr="00B45CA1">
              <w:t>43%</w:t>
            </w:r>
          </w:p>
        </w:tc>
        <w:tc>
          <w:tcPr>
            <w:tcW w:w="1388" w:type="dxa"/>
          </w:tcPr>
          <w:p w:rsidR="00C57D2B" w:rsidRPr="00B45CA1" w:rsidRDefault="00C57D2B" w:rsidP="00890D29">
            <w:pPr>
              <w:ind w:left="14"/>
            </w:pPr>
            <w:r w:rsidRPr="00B45CA1">
              <w:t>47%</w:t>
            </w:r>
          </w:p>
        </w:tc>
        <w:tc>
          <w:tcPr>
            <w:tcW w:w="1566" w:type="dxa"/>
          </w:tcPr>
          <w:p w:rsidR="00C57D2B" w:rsidRPr="00B45CA1" w:rsidRDefault="00C57D2B" w:rsidP="00890D29">
            <w:pPr>
              <w:ind w:left="7"/>
            </w:pPr>
            <w:r w:rsidRPr="00B45CA1">
              <w:t>35%</w:t>
            </w:r>
          </w:p>
        </w:tc>
        <w:tc>
          <w:tcPr>
            <w:tcW w:w="1566" w:type="dxa"/>
          </w:tcPr>
          <w:p w:rsidR="00C57D2B" w:rsidRPr="00B45CA1" w:rsidRDefault="00C57D2B" w:rsidP="00890D29">
            <w:pPr>
              <w:ind w:left="0"/>
            </w:pPr>
            <w:r w:rsidRPr="00B45CA1">
              <w:t>52%</w:t>
            </w:r>
          </w:p>
        </w:tc>
      </w:tr>
      <w:tr w:rsidR="00C57D2B" w:rsidRPr="00B45CA1" w:rsidTr="00426673">
        <w:trPr>
          <w:trHeight w:val="3099"/>
        </w:trPr>
        <w:tc>
          <w:tcPr>
            <w:tcW w:w="1681" w:type="dxa"/>
          </w:tcPr>
          <w:p w:rsidR="00C57D2B" w:rsidRPr="00B45CA1" w:rsidRDefault="00C57D2B" w:rsidP="00890D29">
            <w:r w:rsidRPr="00B45CA1">
              <w:lastRenderedPageBreak/>
              <w:t>Top 5 AEs</w:t>
            </w:r>
          </w:p>
        </w:tc>
        <w:tc>
          <w:tcPr>
            <w:tcW w:w="1106" w:type="dxa"/>
          </w:tcPr>
          <w:p w:rsidR="00C57D2B" w:rsidRPr="00B45CA1" w:rsidRDefault="00C57D2B" w:rsidP="00890D29">
            <w:pPr>
              <w:ind w:left="0"/>
            </w:pPr>
            <w:r w:rsidRPr="00B45CA1">
              <w:t>not reported</w:t>
            </w:r>
          </w:p>
        </w:tc>
        <w:tc>
          <w:tcPr>
            <w:tcW w:w="1169" w:type="dxa"/>
          </w:tcPr>
          <w:p w:rsidR="00C57D2B" w:rsidRPr="00B45CA1" w:rsidRDefault="00C57D2B" w:rsidP="00890D29">
            <w:pPr>
              <w:ind w:left="0"/>
            </w:pPr>
            <w:proofErr w:type="gramStart"/>
            <w:r w:rsidRPr="00B45CA1">
              <w:t>fatigue</w:t>
            </w:r>
            <w:proofErr w:type="gramEnd"/>
            <w:r w:rsidRPr="00B45CA1">
              <w:t xml:space="preserve"> (43%), nausea (32%), cough (30%), diarrhoea (28%), pruritus and rash (26%)</w:t>
            </w:r>
          </w:p>
        </w:tc>
        <w:tc>
          <w:tcPr>
            <w:tcW w:w="1388" w:type="dxa"/>
          </w:tcPr>
          <w:p w:rsidR="00C57D2B" w:rsidRPr="00B45CA1" w:rsidRDefault="00C57D2B" w:rsidP="00890D29">
            <w:pPr>
              <w:ind w:left="14"/>
            </w:pPr>
            <w:proofErr w:type="gramStart"/>
            <w:r w:rsidRPr="00B45CA1">
              <w:t>fatigue</w:t>
            </w:r>
            <w:proofErr w:type="gramEnd"/>
            <w:r w:rsidRPr="00B45CA1">
              <w:t xml:space="preserve"> (39%), pruritus (25%), constipation (21%), diarrhoea (21%), nausea (20%)</w:t>
            </w:r>
          </w:p>
        </w:tc>
        <w:tc>
          <w:tcPr>
            <w:tcW w:w="1566" w:type="dxa"/>
          </w:tcPr>
          <w:p w:rsidR="00C57D2B" w:rsidRPr="00B45CA1" w:rsidRDefault="00C57D2B" w:rsidP="00890D29">
            <w:pPr>
              <w:ind w:left="7"/>
            </w:pPr>
            <w:proofErr w:type="gramStart"/>
            <w:r w:rsidRPr="00B45CA1">
              <w:t>pyrexia</w:t>
            </w:r>
            <w:proofErr w:type="gramEnd"/>
            <w:r w:rsidRPr="00B45CA1">
              <w:t xml:space="preserve"> (51%), fatigue (35%), headache (30%), nausea (30%), chills (30%)</w:t>
            </w:r>
          </w:p>
        </w:tc>
        <w:tc>
          <w:tcPr>
            <w:tcW w:w="1566" w:type="dxa"/>
          </w:tcPr>
          <w:p w:rsidR="00C57D2B" w:rsidRPr="00B45CA1" w:rsidRDefault="00C57D2B" w:rsidP="00890D29">
            <w:pPr>
              <w:ind w:left="0"/>
            </w:pPr>
            <w:proofErr w:type="gramStart"/>
            <w:r w:rsidRPr="00B45CA1">
              <w:t>pyrexia</w:t>
            </w:r>
            <w:proofErr w:type="gramEnd"/>
            <w:r w:rsidRPr="00B45CA1">
              <w:t xml:space="preserve"> (53%), nausea (35%), diarrhoea (32%), chills (31%), vomiting (29%)</w:t>
            </w:r>
          </w:p>
        </w:tc>
      </w:tr>
    </w:tbl>
    <w:p w:rsidR="00C57D2B" w:rsidRPr="00C57D2B" w:rsidRDefault="00C57D2B" w:rsidP="00C57D2B">
      <w:r w:rsidRPr="00C57D2B">
        <w:t>For BRAF monotherapy, discontinuation due to AEs was reported in 5% (COMBI-D) and 12% (COMBI-V); and severe AEs in 3</w:t>
      </w:r>
      <w:r w:rsidR="00426673">
        <w:t>7% (COMBI-D) and 63% (COMBI-V).</w:t>
      </w:r>
    </w:p>
    <w:p w:rsidR="00C57D2B" w:rsidRPr="00C57D2B" w:rsidRDefault="00C57D2B" w:rsidP="00C57D2B">
      <w:pPr>
        <w:pStyle w:val="Heading6"/>
      </w:pPr>
      <w:r w:rsidRPr="00C57D2B">
        <w:t>Other comparisons</w:t>
      </w:r>
    </w:p>
    <w:p w:rsidR="00C57D2B" w:rsidRPr="00C57D2B" w:rsidRDefault="00C57D2B" w:rsidP="00C57D2B">
      <w:r w:rsidRPr="00C57D2B">
        <w:t>Summary data from P002 are useful in the comparison of pembrolizumab and chemo.</w:t>
      </w:r>
      <w:r w:rsidR="00635167">
        <w:t xml:space="preserve"> </w:t>
      </w:r>
      <w:r w:rsidRPr="00C57D2B">
        <w:t xml:space="preserve">Differences in exposure across arms and the mix of control chemotherapies make </w:t>
      </w:r>
      <w:r w:rsidR="00185D72">
        <w:t>head to head</w:t>
      </w:r>
      <w:r w:rsidRPr="00C57D2B">
        <w:t xml:space="preserve"> comparisons difficult, but pembrolizumab’s safety profile seems very different and relatively good (especia</w:t>
      </w:r>
      <w:r w:rsidR="00426673">
        <w:t>lly for the 2 mg/kg arm).</w:t>
      </w:r>
    </w:p>
    <w:p w:rsidR="00C57D2B" w:rsidRPr="00C57D2B" w:rsidRDefault="00C57D2B" w:rsidP="00C57D2B">
      <w:pPr>
        <w:pStyle w:val="Heading5"/>
      </w:pPr>
      <w:r w:rsidRPr="00C57D2B">
        <w:t>Other</w:t>
      </w:r>
    </w:p>
    <w:p w:rsidR="00C57D2B" w:rsidRPr="00C57D2B" w:rsidRDefault="00C57D2B" w:rsidP="00C57D2B">
      <w:pPr>
        <w:pStyle w:val="Heading6"/>
      </w:pPr>
      <w:r w:rsidRPr="00C57D2B">
        <w:t>Viral infection</w:t>
      </w:r>
    </w:p>
    <w:p w:rsidR="00C57D2B" w:rsidRPr="00C57D2B" w:rsidRDefault="00C57D2B" w:rsidP="00C57D2B">
      <w:r w:rsidRPr="00C57D2B">
        <w:t>PD-1’s role in human biology is not limited to the maintenance of tolerance.</w:t>
      </w:r>
      <w:r w:rsidR="00635167">
        <w:t xml:space="preserve"> </w:t>
      </w:r>
      <w:r w:rsidRPr="00C57D2B">
        <w:t>It regulates antibody responses and the response to viruses (as well as tumours).</w:t>
      </w:r>
      <w:r w:rsidR="00635167">
        <w:t xml:space="preserve"> </w:t>
      </w:r>
      <w:r w:rsidRPr="00C57D2B">
        <w:t>Some plausible ‘off-target’ effects related to these roles were not well-examined.</w:t>
      </w:r>
      <w:r w:rsidR="00635167">
        <w:t xml:space="preserve"> </w:t>
      </w:r>
      <w:r w:rsidRPr="00C57D2B">
        <w:t>For example, in HCV positive patients, it would have been useful to search for any evidence of altered control of the infection.</w:t>
      </w:r>
      <w:r w:rsidR="00635167">
        <w:t xml:space="preserve"> </w:t>
      </w:r>
      <w:r w:rsidRPr="00C57D2B">
        <w:t>There were cases of elevated LFTs and / or hepatitis, but no attempt to relate these cases to a history of HCV or HBV.</w:t>
      </w:r>
      <w:r w:rsidR="00635167">
        <w:t xml:space="preserve"> </w:t>
      </w:r>
      <w:r w:rsidRPr="00C57D2B">
        <w:t>It is possible that blockade of PD-1 – PD-L signalling might trigger immunopathology as previously exhausted virus-specific T cells are reactivated.</w:t>
      </w:r>
    </w:p>
    <w:p w:rsidR="00C57D2B" w:rsidRPr="00C57D2B" w:rsidRDefault="00C57D2B" w:rsidP="00C57D2B">
      <w:r w:rsidRPr="00C57D2B">
        <w:t>The FDA Summary Review states:</w:t>
      </w:r>
    </w:p>
    <w:p w:rsidR="00C57D2B" w:rsidRPr="00C57D2B" w:rsidRDefault="00C57D2B" w:rsidP="00426673">
      <w:pPr>
        <w:ind w:left="720"/>
      </w:pPr>
      <w:r w:rsidRPr="00C57D2B">
        <w:t xml:space="preserve">Data in the published literature demonstrates a correlation between PD-1 deficiency and exacerbation of viral and bacterial infections. Following infections with M. tuberculosis (TB) or lymphocytic </w:t>
      </w:r>
      <w:proofErr w:type="spellStart"/>
      <w:r w:rsidRPr="00C57D2B">
        <w:t>choriomeningitis</w:t>
      </w:r>
      <w:proofErr w:type="spellEnd"/>
      <w:r w:rsidRPr="00C57D2B">
        <w:t xml:space="preserve"> vir</w:t>
      </w:r>
      <w:r w:rsidR="00B45CA1">
        <w:t>us (LCMV), PD</w:t>
      </w:r>
      <w:r w:rsidR="00B45CA1">
        <w:noBreakHyphen/>
        <w:t>1 </w:t>
      </w:r>
      <w:r w:rsidRPr="00C57D2B">
        <w:t>deficient mice exhibited marked decreases</w:t>
      </w:r>
      <w:r w:rsidR="00B45CA1">
        <w:t xml:space="preserve"> in survival compared with wild </w:t>
      </w:r>
      <w:r w:rsidRPr="00C57D2B">
        <w:t>type controls. In addition, Merck provided the results of a study in chimpanzees that had</w:t>
      </w:r>
      <w:r w:rsidR="00185D72">
        <w:t xml:space="preserve"> been naturally </w:t>
      </w:r>
      <w:r w:rsidRPr="00C57D2B">
        <w:t>i</w:t>
      </w:r>
      <w:r w:rsidR="007B720C">
        <w:t>nfected with HBV</w:t>
      </w:r>
      <w:r w:rsidRPr="00C57D2B">
        <w:t>. Treatment with pembrolizumab led to greater liver dysfunction, without evidence of increased viral load; complete resolution of liver dysfunction was n</w:t>
      </w:r>
      <w:r w:rsidR="00741C27">
        <w:t xml:space="preserve">ot evidence by the end of the 4 </w:t>
      </w:r>
      <w:r w:rsidR="00185D72">
        <w:t xml:space="preserve">week post </w:t>
      </w:r>
      <w:r w:rsidRPr="00C57D2B">
        <w:t>treatment recovery period.</w:t>
      </w:r>
    </w:p>
    <w:p w:rsidR="00C57D2B" w:rsidRPr="00C57D2B" w:rsidRDefault="00C57D2B" w:rsidP="00C57D2B">
      <w:pPr>
        <w:pStyle w:val="Heading6"/>
      </w:pPr>
      <w:r w:rsidRPr="00C57D2B">
        <w:lastRenderedPageBreak/>
        <w:t>Vaccination</w:t>
      </w:r>
    </w:p>
    <w:p w:rsidR="00C57D2B" w:rsidRPr="00C57D2B" w:rsidRDefault="00C57D2B" w:rsidP="00C57D2B">
      <w:r w:rsidRPr="00C57D2B">
        <w:t>The following requirement was included in the FDA’s approval letter:</w:t>
      </w:r>
    </w:p>
    <w:p w:rsidR="00C57D2B" w:rsidRPr="00C57D2B" w:rsidRDefault="00C57D2B" w:rsidP="00C57D2B">
      <w:r w:rsidRPr="00C57D2B">
        <w:t>2770-2 (final report submission October 2015)</w:t>
      </w:r>
    </w:p>
    <w:p w:rsidR="00C57D2B" w:rsidRPr="00C57D2B" w:rsidRDefault="00C57D2B" w:rsidP="00C57D2B">
      <w:pPr>
        <w:ind w:left="720"/>
      </w:pPr>
      <w:r w:rsidRPr="00C57D2B">
        <w:t>To conduct an animal study that will measure the effect of PD-1 inhibition on the magnitude of the primary (first vaccination) and recall (second vaccination) antibody responses to antigen challenge (</w:t>
      </w:r>
      <w:r w:rsidR="00B85B18">
        <w:t>for example</w:t>
      </w:r>
      <w:r w:rsidRPr="00C57D2B">
        <w:t xml:space="preserve">, tetanus toxoid or </w:t>
      </w:r>
      <w:r w:rsidR="00185D72" w:rsidRPr="00185D72">
        <w:t xml:space="preserve">keyhole limpet </w:t>
      </w:r>
      <w:proofErr w:type="spellStart"/>
      <w:r w:rsidR="00185D72" w:rsidRPr="00185D72">
        <w:t>hemocyanin</w:t>
      </w:r>
      <w:proofErr w:type="spellEnd"/>
      <w:r w:rsidR="00185D72" w:rsidRPr="00185D72">
        <w:t xml:space="preserve"> </w:t>
      </w:r>
      <w:r w:rsidR="00185D72">
        <w:t>(</w:t>
      </w:r>
      <w:r w:rsidRPr="00C57D2B">
        <w:t>KLH</w:t>
      </w:r>
      <w:r w:rsidR="00185D72">
        <w:t>)</w:t>
      </w:r>
      <w:r w:rsidRPr="00C57D2B">
        <w:t>). This study will evaluate the effect of PD-1 inhibition on the primary immune response once steady state plasma levels have been achieved and will reassess the magnitude of the recall response after a suitable period in the presence or absence of continued dosing.</w:t>
      </w:r>
    </w:p>
    <w:p w:rsidR="002A3A8E" w:rsidRPr="002A3A8E" w:rsidRDefault="00C57D2B" w:rsidP="002A3A8E">
      <w:r w:rsidRPr="00C57D2B">
        <w:t>Blocking PD-1 activity may exacerbate responses to recall antigen stimulation.</w:t>
      </w:r>
      <w:r w:rsidR="00635167">
        <w:t xml:space="preserve"> </w:t>
      </w:r>
      <w:r w:rsidRPr="00C57D2B">
        <w:t>The role of PD-1 signalling in the germinal centre is complex and an effect of pembrolizumab is difficult to predict.</w:t>
      </w:r>
      <w:r w:rsidR="00635167">
        <w:t xml:space="preserve"> </w:t>
      </w:r>
      <w:r w:rsidRPr="00C57D2B">
        <w:t>For example, PD-1 is expressed on T follicular regulatory (TFR) and T follicular helper (TFH) cells, and PD-1 / PD-L1 deficient mice have increased lymph node TFR cells (with enhanced suppressive activity, resulting in decreased activation of naïve T cells and decreased antibody production)</w:t>
      </w:r>
      <w:r w:rsidR="00741C27">
        <w:t>.</w:t>
      </w:r>
      <w:r w:rsidR="00741C27" w:rsidRPr="00741C27">
        <w:rPr>
          <w:vertAlign w:val="superscript"/>
        </w:rPr>
        <w:fldChar w:fldCharType="begin"/>
      </w:r>
      <w:r w:rsidR="00741C27" w:rsidRPr="00741C27">
        <w:rPr>
          <w:vertAlign w:val="superscript"/>
        </w:rPr>
        <w:instrText xml:space="preserve"> NOTEREF _Ref459033966 \h </w:instrText>
      </w:r>
      <w:r w:rsidR="00741C27">
        <w:rPr>
          <w:vertAlign w:val="superscript"/>
        </w:rPr>
        <w:instrText xml:space="preserve"> \* MERGEFORMAT </w:instrText>
      </w:r>
      <w:r w:rsidR="00741C27" w:rsidRPr="00741C27">
        <w:rPr>
          <w:vertAlign w:val="superscript"/>
        </w:rPr>
      </w:r>
      <w:r w:rsidR="00741C27" w:rsidRPr="00741C27">
        <w:rPr>
          <w:vertAlign w:val="superscript"/>
        </w:rPr>
        <w:fldChar w:fldCharType="separate"/>
      </w:r>
      <w:r w:rsidR="005E57DC">
        <w:rPr>
          <w:vertAlign w:val="superscript"/>
        </w:rPr>
        <w:t>40</w:t>
      </w:r>
      <w:r w:rsidR="00741C27" w:rsidRPr="00741C27">
        <w:rPr>
          <w:vertAlign w:val="superscript"/>
        </w:rPr>
        <w:fldChar w:fldCharType="end"/>
      </w:r>
      <w:r w:rsidR="00635167">
        <w:t xml:space="preserve"> </w:t>
      </w:r>
      <w:r w:rsidRPr="00C57D2B">
        <w:t>The sponsor referenced ex vivo studies using human PBMCs to show increased antigen responsiveness in the presence of pembrolizumab, but this may be a separate effect to that of pembrolizuma</w:t>
      </w:r>
      <w:r w:rsidR="00426673">
        <w:t>b on secondary lymphoid tissue.</w:t>
      </w:r>
    </w:p>
    <w:p w:rsidR="008E7846" w:rsidRDefault="00386150" w:rsidP="007B6132">
      <w:pPr>
        <w:pStyle w:val="Heading3"/>
        <w:rPr>
          <w:lang w:eastAsia="en-AU"/>
        </w:rPr>
      </w:pPr>
      <w:bookmarkStart w:id="186" w:name="_Toc314842514"/>
      <w:bookmarkStart w:id="187" w:name="_Toc464545030"/>
      <w:r>
        <w:rPr>
          <w:lang w:eastAsia="en-AU"/>
        </w:rPr>
        <w:t>Risk m</w:t>
      </w:r>
      <w:r w:rsidR="008E7846">
        <w:rPr>
          <w:lang w:eastAsia="en-AU"/>
        </w:rPr>
        <w:t xml:space="preserve">anagement </w:t>
      </w:r>
      <w:r>
        <w:rPr>
          <w:lang w:eastAsia="en-AU"/>
        </w:rPr>
        <w:t>p</w:t>
      </w:r>
      <w:r w:rsidR="008E7846">
        <w:rPr>
          <w:lang w:eastAsia="en-AU"/>
        </w:rPr>
        <w:t>lan</w:t>
      </w:r>
      <w:bookmarkEnd w:id="186"/>
      <w:bookmarkEnd w:id="187"/>
    </w:p>
    <w:p w:rsidR="00C57D2B" w:rsidRPr="00C57D2B" w:rsidRDefault="00C57D2B" w:rsidP="00C57D2B">
      <w:pPr>
        <w:pStyle w:val="Heading4"/>
      </w:pPr>
      <w:r w:rsidRPr="00C57D2B">
        <w:t>RMP version</w:t>
      </w:r>
    </w:p>
    <w:p w:rsidR="00C57D2B" w:rsidRPr="00C57D2B" w:rsidRDefault="00C57D2B" w:rsidP="00C57D2B">
      <w:r w:rsidRPr="00C57D2B">
        <w:t>The following documents were considered:</w:t>
      </w:r>
    </w:p>
    <w:p w:rsidR="00C57D2B" w:rsidRPr="00C57D2B" w:rsidRDefault="00C57D2B" w:rsidP="00C57D2B">
      <w:r w:rsidRPr="00C57D2B">
        <w:t>EU-RMP, version 1.0, dated</w:t>
      </w:r>
      <w:r w:rsidR="00741C27">
        <w:t xml:space="preserve"> 20 May 2014 and ASA, dated August </w:t>
      </w:r>
      <w:r w:rsidRPr="00C57D2B">
        <w:t>2014</w:t>
      </w:r>
    </w:p>
    <w:p w:rsidR="00C57D2B" w:rsidRPr="00C57D2B" w:rsidRDefault="00C57D2B" w:rsidP="00C57D2B">
      <w:r w:rsidRPr="00C57D2B">
        <w:t>The sponsor refers to an updated version (1.1) but this has not been provided to the TGA.</w:t>
      </w:r>
      <w:r w:rsidR="00635167">
        <w:t xml:space="preserve"> </w:t>
      </w:r>
      <w:r w:rsidRPr="00C57D2B">
        <w:t>This should be provided to the TGA for evaluation.</w:t>
      </w:r>
    </w:p>
    <w:p w:rsidR="00C57D2B" w:rsidRPr="00C57D2B" w:rsidRDefault="00C57D2B" w:rsidP="00C57D2B">
      <w:pPr>
        <w:pStyle w:val="Heading5"/>
      </w:pPr>
      <w:r w:rsidRPr="00C57D2B">
        <w:t>Alert cards and brochures</w:t>
      </w:r>
    </w:p>
    <w:p w:rsidR="00C57D2B" w:rsidRPr="00C57D2B" w:rsidRDefault="00C57D2B" w:rsidP="00C57D2B">
      <w:r w:rsidRPr="00C57D2B">
        <w:t>The Round 1 RMP Evaluation states:</w:t>
      </w:r>
    </w:p>
    <w:p w:rsidR="00C57D2B" w:rsidRPr="00C57D2B" w:rsidRDefault="00C57D2B" w:rsidP="00C57D2B">
      <w:r w:rsidRPr="00C57D2B">
        <w:t>It is recommended that the sponsor considers implementing additional risk-minimisation activities, including a Healthcare Professional FAQ Brochure and Patient Information B</w:t>
      </w:r>
      <w:r w:rsidR="00B92B13">
        <w:t>rochures including Alert Cards.</w:t>
      </w:r>
    </w:p>
    <w:p w:rsidR="00C57D2B" w:rsidRPr="00C57D2B" w:rsidRDefault="00C57D2B" w:rsidP="00C57D2B">
      <w:r w:rsidRPr="00C57D2B">
        <w:t>Given the range of autoimmune conditions that may arise with pembrolizumab, some of which may give rise to medical emergencies responsive to steroids and some of whose signs and symptoms may be difficult to as</w:t>
      </w:r>
      <w:r w:rsidR="00B92B13">
        <w:t>cribe to autoimmune phenomena, the Delegate</w:t>
      </w:r>
      <w:r w:rsidRPr="00C57D2B">
        <w:t xml:space="preserve"> agree</w:t>
      </w:r>
      <w:r w:rsidR="00B92B13">
        <w:t>s</w:t>
      </w:r>
      <w:r w:rsidRPr="00C57D2B">
        <w:t xml:space="preserve"> that both (a) Healthcare Professional FAQ Brochure and (b) Patient Information Brochures including Alert Cards should be ready for use prior to market launch.</w:t>
      </w:r>
      <w:r w:rsidR="00635167">
        <w:t xml:space="preserve"> </w:t>
      </w:r>
      <w:r w:rsidRPr="00C57D2B">
        <w:t>A commitment to this approach should be given prior to a decision on the application.</w:t>
      </w:r>
    </w:p>
    <w:p w:rsidR="00C57D2B" w:rsidRPr="00C57D2B" w:rsidRDefault="00B92B13" w:rsidP="00C57D2B">
      <w:pPr>
        <w:pStyle w:val="Heading5"/>
      </w:pPr>
      <w:r>
        <w:t>P</w:t>
      </w:r>
      <w:r w:rsidRPr="00C57D2B">
        <w:t>ost-authorisation safety study</w:t>
      </w:r>
    </w:p>
    <w:p w:rsidR="00C57D2B" w:rsidRPr="00C57D2B" w:rsidRDefault="00B92B13" w:rsidP="00C57D2B">
      <w:r>
        <w:t>The RMP e</w:t>
      </w:r>
      <w:r w:rsidR="00C57D2B" w:rsidRPr="00C57D2B">
        <w:t xml:space="preserve">valuator has recommended a </w:t>
      </w:r>
      <w:r w:rsidRPr="00C57D2B">
        <w:t>post-authorisation safety study</w:t>
      </w:r>
      <w:r w:rsidR="00C57D2B" w:rsidRPr="00C57D2B">
        <w:t>.</w:t>
      </w:r>
      <w:r w:rsidR="00635167">
        <w:t xml:space="preserve"> </w:t>
      </w:r>
      <w:r w:rsidR="003344DC">
        <w:t>The Delegate</w:t>
      </w:r>
      <w:r w:rsidR="00C57D2B" w:rsidRPr="00C57D2B">
        <w:t xml:space="preserve"> accept</w:t>
      </w:r>
      <w:r w:rsidR="003344DC">
        <w:t>s</w:t>
      </w:r>
      <w:r w:rsidR="00C57D2B" w:rsidRPr="00C57D2B">
        <w:t xml:space="preserve"> the sponsor’s argument that many other studies of pembrolizumab are underway / planned and that their conduct is sufficient to increase knowledge of pembrolizumab’s safety.</w:t>
      </w:r>
    </w:p>
    <w:p w:rsidR="00C57D2B" w:rsidRPr="00C57D2B" w:rsidRDefault="00C57D2B" w:rsidP="00C57D2B">
      <w:pPr>
        <w:pStyle w:val="Heading5"/>
      </w:pPr>
      <w:r w:rsidRPr="00C57D2B">
        <w:lastRenderedPageBreak/>
        <w:t>Active infection</w:t>
      </w:r>
    </w:p>
    <w:p w:rsidR="00C57D2B" w:rsidRPr="00C57D2B" w:rsidRDefault="00C57D2B" w:rsidP="00C57D2B">
      <w:r w:rsidRPr="00C57D2B">
        <w:t>The RMP evaluator has recommended that the RMP include in the ‘missing information’ category, ‘Safety in patients with an active infection’.</w:t>
      </w:r>
      <w:r w:rsidR="00635167">
        <w:t xml:space="preserve"> </w:t>
      </w:r>
      <w:r w:rsidRPr="00C57D2B">
        <w:t>This seems motivated by exclusion of subjects with active infection from P001.</w:t>
      </w:r>
      <w:r w:rsidR="00635167">
        <w:t xml:space="preserve"> </w:t>
      </w:r>
      <w:r w:rsidRPr="00C57D2B">
        <w:t>In that study, it was also recommended that active infections be treated prior to starting pembrolizumab.</w:t>
      </w:r>
    </w:p>
    <w:p w:rsidR="00426673" w:rsidRPr="00C57D2B" w:rsidRDefault="00C57D2B" w:rsidP="00C57D2B">
      <w:r w:rsidRPr="00C57D2B">
        <w:t xml:space="preserve">The US </w:t>
      </w:r>
      <w:r w:rsidR="00B92B13">
        <w:t>PI</w:t>
      </w:r>
      <w:r w:rsidRPr="00C57D2B">
        <w:t xml:space="preserve"> reports that in animal models, inhibition of PD-1 signalling resulted in increased incidence of infection (the </w:t>
      </w:r>
      <w:r w:rsidR="00B92B13">
        <w:t>nonclinical evaluation report</w:t>
      </w:r>
      <w:r w:rsidRPr="00C57D2B">
        <w:t xml:space="preserve"> is silent on this issue).</w:t>
      </w:r>
      <w:r w:rsidR="00635167">
        <w:t xml:space="preserve"> </w:t>
      </w:r>
      <w:r w:rsidRPr="00C57D2B">
        <w:t>Also, PD-1 limits immunopathology in persistent viral infection (</w:t>
      </w:r>
      <w:r w:rsidRPr="00B92B13">
        <w:t xml:space="preserve">see </w:t>
      </w:r>
      <w:r w:rsidR="00426673" w:rsidRPr="00B92B13">
        <w:rPr>
          <w:rStyle w:val="Hyperlink"/>
          <w:color w:val="auto"/>
          <w:u w:val="none"/>
        </w:rPr>
        <w:t>Overview of PD-1 – PD-L signalling in human biology above</w:t>
      </w:r>
      <w:r w:rsidR="00B92B13">
        <w:t>)</w:t>
      </w:r>
      <w:r w:rsidRPr="00C57D2B">
        <w:t xml:space="preserve"> so there is a concern that starting pembrolizumab in patients with active viral infections may allow / encourage immunopathology.</w:t>
      </w:r>
    </w:p>
    <w:p w:rsidR="00C57D2B" w:rsidRPr="00C57D2B" w:rsidRDefault="00C57D2B" w:rsidP="00C57D2B">
      <w:r w:rsidRPr="00C57D2B">
        <w:t>There was no signal of an increase in serious infections in clinical studies (in B1</w:t>
      </w:r>
      <w:r w:rsidR="00B92B13">
        <w:t xml:space="preserve"> </w:t>
      </w:r>
      <w:r w:rsidRPr="00C57D2B">
        <w:t>+</w:t>
      </w:r>
      <w:r w:rsidR="00B92B13">
        <w:t xml:space="preserve"> </w:t>
      </w:r>
      <w:r w:rsidRPr="00C57D2B">
        <w:t>B2</w:t>
      </w:r>
      <w:r w:rsidR="00B92B13">
        <w:t xml:space="preserve"> </w:t>
      </w:r>
      <w:r w:rsidRPr="00C57D2B">
        <w:t>+</w:t>
      </w:r>
      <w:r w:rsidR="00B92B13">
        <w:t xml:space="preserve"> </w:t>
      </w:r>
      <w:r w:rsidRPr="00C57D2B">
        <w:t xml:space="preserve">D, 7% of subjects had grade </w:t>
      </w:r>
      <w:r w:rsidR="0085409C">
        <w:t>3 to 5</w:t>
      </w:r>
      <w:r w:rsidRPr="00C57D2B">
        <w:t xml:space="preserve"> infections)</w:t>
      </w:r>
      <w:proofErr w:type="gramStart"/>
      <w:r w:rsidRPr="00C57D2B">
        <w:t>,</w:t>
      </w:r>
      <w:proofErr w:type="gramEnd"/>
      <w:r w:rsidRPr="00C57D2B">
        <w:t xml:space="preserve"> although exclusion of a signal would be more definitive if randomised, controlled studies were fully reported.</w:t>
      </w:r>
      <w:r w:rsidR="00635167">
        <w:t xml:space="preserve"> </w:t>
      </w:r>
      <w:r w:rsidRPr="00C57D2B">
        <w:t>Characterisation of the AE profile was insufficient to conclude that infections, when they occurred in patients on treatment, resolved nor</w:t>
      </w:r>
      <w:r w:rsidR="00B92B13">
        <w:t>mally with standard management;</w:t>
      </w:r>
      <w:r w:rsidRPr="00C57D2B">
        <w:t xml:space="preserve"> but there was no striking evidence pembrolizumab interfered with standard treatment of infection.</w:t>
      </w:r>
      <w:r w:rsidR="00635167">
        <w:t xml:space="preserve"> </w:t>
      </w:r>
      <w:r w:rsidRPr="00C57D2B">
        <w:t>There was no signal for an increase in neutropenia, but in 27.5% of subjects in B1</w:t>
      </w:r>
      <w:r w:rsidR="00B92B13">
        <w:t xml:space="preserve"> </w:t>
      </w:r>
      <w:r w:rsidRPr="00C57D2B">
        <w:t>+</w:t>
      </w:r>
      <w:r w:rsidR="00B92B13">
        <w:t xml:space="preserve"> </w:t>
      </w:r>
      <w:r w:rsidRPr="00C57D2B">
        <w:t>B2</w:t>
      </w:r>
      <w:r w:rsidR="00B92B13">
        <w:t xml:space="preserve"> </w:t>
      </w:r>
      <w:r w:rsidRPr="00C57D2B">
        <w:t>+</w:t>
      </w:r>
      <w:r w:rsidR="00B92B13">
        <w:t xml:space="preserve"> </w:t>
      </w:r>
      <w:r w:rsidRPr="00C57D2B">
        <w:t xml:space="preserve">D, lymphocytes worsened from baseline, and </w:t>
      </w:r>
      <w:r w:rsidR="00987E81">
        <w:t xml:space="preserve">approximately </w:t>
      </w:r>
      <w:r w:rsidRPr="00C57D2B">
        <w:t>15% of subjects had meaningful lymphopenia.</w:t>
      </w:r>
    </w:p>
    <w:p w:rsidR="008E7846" w:rsidRDefault="005A3306" w:rsidP="008E7846">
      <w:r>
        <w:t xml:space="preserve">The Delegate </w:t>
      </w:r>
      <w:r w:rsidR="00C57D2B" w:rsidRPr="00C57D2B">
        <w:t>note</w:t>
      </w:r>
      <w:r>
        <w:t>s</w:t>
      </w:r>
      <w:r w:rsidR="00C57D2B" w:rsidRPr="00C57D2B">
        <w:t xml:space="preserve"> the sponsor’s response on this issue but agree</w:t>
      </w:r>
      <w:r>
        <w:t>s with the RMP e</w:t>
      </w:r>
      <w:r w:rsidR="00C57D2B" w:rsidRPr="00C57D2B">
        <w:t>valuator that the RMP should list ‘Safety in patients with an active infection’ as missing information.</w:t>
      </w:r>
      <w:r w:rsidR="00635167">
        <w:t xml:space="preserve"> </w:t>
      </w:r>
      <w:r w:rsidR="00C57D2B" w:rsidRPr="00C57D2B">
        <w:t>The sponsor should commit to making this change prior to</w:t>
      </w:r>
      <w:r>
        <w:t xml:space="preserve"> a decision on the application.</w:t>
      </w:r>
    </w:p>
    <w:p w:rsidR="008E7846" w:rsidRDefault="00AA0ED0" w:rsidP="008E7846">
      <w:pPr>
        <w:pStyle w:val="Heading3"/>
      </w:pPr>
      <w:bookmarkStart w:id="188" w:name="_Toc247691531"/>
      <w:bookmarkStart w:id="189" w:name="_Toc314842515"/>
      <w:bookmarkStart w:id="190" w:name="_Toc464545031"/>
      <w:bookmarkStart w:id="191" w:name="_Toc196046505"/>
      <w:bookmarkStart w:id="192" w:name="_Toc196046949"/>
      <w:r>
        <w:t>Risk-benefit a</w:t>
      </w:r>
      <w:r w:rsidR="008E7846">
        <w:t>nalysis</w:t>
      </w:r>
      <w:bookmarkEnd w:id="188"/>
      <w:bookmarkEnd w:id="189"/>
      <w:bookmarkEnd w:id="190"/>
    </w:p>
    <w:p w:rsidR="00D23139" w:rsidRDefault="00B92B13" w:rsidP="00D23139">
      <w:pPr>
        <w:pStyle w:val="Heading4"/>
      </w:pPr>
      <w:r>
        <w:t>Delegate’s considerations</w:t>
      </w:r>
    </w:p>
    <w:p w:rsidR="00C57D2B" w:rsidRPr="00C57D2B" w:rsidRDefault="00C57D2B" w:rsidP="00C57D2B">
      <w:pPr>
        <w:pStyle w:val="Heading5"/>
      </w:pPr>
      <w:r w:rsidRPr="00C57D2B">
        <w:t>Study design</w:t>
      </w:r>
    </w:p>
    <w:p w:rsidR="00C57D2B" w:rsidRPr="00C57D2B" w:rsidRDefault="00C57D2B" w:rsidP="00C57D2B">
      <w:r w:rsidRPr="00C57D2B">
        <w:t>The TGA adopted the relevant guideline</w:t>
      </w:r>
      <w:r w:rsidR="00B92B13" w:rsidRPr="00B92B13">
        <w:rPr>
          <w:vertAlign w:val="superscript"/>
        </w:rPr>
        <w:fldChar w:fldCharType="begin"/>
      </w:r>
      <w:r w:rsidR="00B92B13" w:rsidRPr="00B92B13">
        <w:rPr>
          <w:vertAlign w:val="superscript"/>
        </w:rPr>
        <w:instrText xml:space="preserve"> NOTEREF _Ref459034509 \h </w:instrText>
      </w:r>
      <w:r w:rsidR="00B92B13">
        <w:rPr>
          <w:vertAlign w:val="superscript"/>
        </w:rPr>
        <w:instrText xml:space="preserve"> \* MERGEFORMAT </w:instrText>
      </w:r>
      <w:r w:rsidR="00B92B13" w:rsidRPr="00B92B13">
        <w:rPr>
          <w:vertAlign w:val="superscript"/>
        </w:rPr>
      </w:r>
      <w:r w:rsidR="00B92B13" w:rsidRPr="00B92B13">
        <w:rPr>
          <w:vertAlign w:val="superscript"/>
        </w:rPr>
        <w:fldChar w:fldCharType="separate"/>
      </w:r>
      <w:r w:rsidR="005E57DC">
        <w:rPr>
          <w:vertAlign w:val="superscript"/>
        </w:rPr>
        <w:t>64</w:t>
      </w:r>
      <w:r w:rsidR="00B92B13" w:rsidRPr="00B92B13">
        <w:rPr>
          <w:vertAlign w:val="superscript"/>
        </w:rPr>
        <w:fldChar w:fldCharType="end"/>
      </w:r>
      <w:r w:rsidRPr="00C57D2B">
        <w:t xml:space="preserve"> </w:t>
      </w:r>
      <w:r w:rsidR="00B92B13">
        <w:t xml:space="preserve">states, and the Delegate </w:t>
      </w:r>
      <w:r w:rsidRPr="00C57D2B">
        <w:t>agree</w:t>
      </w:r>
      <w:r w:rsidR="00B92B13">
        <w:t>s</w:t>
      </w:r>
      <w:r w:rsidRPr="00C57D2B">
        <w:t xml:space="preserve">, that </w:t>
      </w:r>
      <w:r w:rsidR="00987E81">
        <w:t>‘</w:t>
      </w:r>
      <w:r w:rsidRPr="00C57D2B">
        <w:t>whether a trial design includes [randomisation and blinding] is a critical determinant of its quality and persuasiveness</w:t>
      </w:r>
      <w:r w:rsidR="00987E81">
        <w:t>’</w:t>
      </w:r>
      <w:r w:rsidRPr="00C57D2B">
        <w:t>.</w:t>
      </w:r>
    </w:p>
    <w:p w:rsidR="00C57D2B" w:rsidRPr="00C57D2B" w:rsidRDefault="00C57D2B" w:rsidP="00C57D2B">
      <w:r w:rsidRPr="00C57D2B">
        <w:t xml:space="preserve">In a </w:t>
      </w:r>
      <w:r w:rsidR="00E76E0B">
        <w:t>first line</w:t>
      </w:r>
      <w:r w:rsidRPr="00C57D2B">
        <w:t xml:space="preserve"> setting there was no randomised, controlled trial (RCT) with the proposed dose regimen </w:t>
      </w:r>
      <w:r w:rsidR="00987E81">
        <w:t>versus</w:t>
      </w:r>
      <w:r w:rsidR="00B92B13">
        <w:t xml:space="preserve"> dacarbazine, ipilimumab or;</w:t>
      </w:r>
      <w:r w:rsidRPr="00C57D2B">
        <w:t xml:space="preserve"> in patie</w:t>
      </w:r>
      <w:r w:rsidR="00B92B13">
        <w:t>nts with BRAF mutant tumours;</w:t>
      </w:r>
      <w:r w:rsidRPr="00C57D2B">
        <w:t xml:space="preserve"> BRAF inhibitors and / or MEK inhibitors.</w:t>
      </w:r>
    </w:p>
    <w:p w:rsidR="00C57D2B" w:rsidRPr="00C57D2B" w:rsidRDefault="00C57D2B" w:rsidP="00C57D2B">
      <w:r w:rsidRPr="00C57D2B">
        <w:t>Detailed evidence provided in support of pembrolizumab’s efficacy and safety was</w:t>
      </w:r>
      <w:r w:rsidR="00B92B13">
        <w:t xml:space="preserve"> from P001, a very large Phase I</w:t>
      </w:r>
      <w:r w:rsidRPr="00C57D2B">
        <w:t xml:space="preserve"> study that was divided into sub-studies.</w:t>
      </w:r>
      <w:r w:rsidR="00635167">
        <w:t xml:space="preserve"> </w:t>
      </w:r>
      <w:r w:rsidRPr="00C57D2B">
        <w:t>Randomisation of treatment allocation in melanoma sub-studies was limited to different dose strengths in B2 and D and to different dose schedules in B3.</w:t>
      </w:r>
      <w:r w:rsidR="00635167">
        <w:t xml:space="preserve"> </w:t>
      </w:r>
      <w:r w:rsidRPr="00C57D2B">
        <w:t>P001 did not allow direct comparison of pembrolizumab with relevant comparators.</w:t>
      </w:r>
    </w:p>
    <w:p w:rsidR="00C57D2B" w:rsidRPr="00C57D2B" w:rsidRDefault="00C57D2B" w:rsidP="00C57D2B">
      <w:r w:rsidRPr="00C57D2B">
        <w:t>This deficiency was partially addressed by provision of ‘early result memos’ from P002 and P006.</w:t>
      </w:r>
      <w:r w:rsidR="00635167">
        <w:t xml:space="preserve"> </w:t>
      </w:r>
      <w:r w:rsidRPr="00C57D2B">
        <w:t>Ho</w:t>
      </w:r>
      <w:r w:rsidR="00B92B13">
        <w:t xml:space="preserve">wever, these memos provided top </w:t>
      </w:r>
      <w:r w:rsidRPr="00C57D2B">
        <w:t>line data, without the detail required to fully understand trial outcomes.</w:t>
      </w:r>
      <w:r w:rsidR="00635167">
        <w:t xml:space="preserve"> </w:t>
      </w:r>
      <w:r w:rsidRPr="00C57D2B">
        <w:t xml:space="preserve">In the case of P006, evidence for </w:t>
      </w:r>
      <w:r w:rsidR="00E76E0B">
        <w:t>first line</w:t>
      </w:r>
      <w:r w:rsidRPr="00C57D2B">
        <w:t xml:space="preserve"> use required sub-group analysis (seemingly a valid approach, since randomisation was stratif</w:t>
      </w:r>
      <w:r w:rsidR="00B92B13">
        <w:t xml:space="preserve">ied by line of therapy, and two </w:t>
      </w:r>
      <w:r w:rsidRPr="00C57D2B">
        <w:t>thirds of subjects were treatment</w:t>
      </w:r>
      <w:r w:rsidR="00B92B13">
        <w:t xml:space="preserve"> </w:t>
      </w:r>
      <w:r w:rsidRPr="00C57D2B">
        <w:t>naïve) and bridging from 10 mg/kg Q3W to the proposed 2 mg/kg Q3W dose (also valid, since there is evidence from earlier datasets that efficacy does not vary much from 2 mg/kg to 10 mg/kg Q3W).</w:t>
      </w:r>
    </w:p>
    <w:p w:rsidR="00C57D2B" w:rsidRPr="00C57D2B" w:rsidRDefault="00C57D2B" w:rsidP="00C57D2B">
      <w:r w:rsidRPr="00C57D2B">
        <w:t>The spon</w:t>
      </w:r>
      <w:r w:rsidR="00B92B13">
        <w:t xml:space="preserve">sor made no formal use of cross </w:t>
      </w:r>
      <w:r w:rsidRPr="00C57D2B">
        <w:t>study, historical comparisons.</w:t>
      </w:r>
      <w:r w:rsidR="00635167">
        <w:t xml:space="preserve"> </w:t>
      </w:r>
      <w:r w:rsidRPr="00C57D2B">
        <w:t xml:space="preserve">In the absence of more </w:t>
      </w:r>
      <w:r w:rsidR="00B92B13">
        <w:t>direct sources of information, the Delegate has</w:t>
      </w:r>
      <w:r w:rsidRPr="00C57D2B">
        <w:t xml:space="preserve"> used such comparisons to obtain a sense of major differences between pembrolizumab and important comparators.</w:t>
      </w:r>
      <w:r w:rsidR="00635167">
        <w:t xml:space="preserve"> </w:t>
      </w:r>
      <w:r w:rsidR="00B92B13">
        <w:t xml:space="preserve">The </w:t>
      </w:r>
      <w:r w:rsidR="00B92B13">
        <w:lastRenderedPageBreak/>
        <w:t>Delegate</w:t>
      </w:r>
      <w:r w:rsidRPr="00C57D2B">
        <w:t xml:space="preserve"> acknowledge</w:t>
      </w:r>
      <w:r w:rsidR="00B92B13">
        <w:t>s</w:t>
      </w:r>
      <w:r w:rsidRPr="00C57D2B">
        <w:t xml:space="preserve"> that </w:t>
      </w:r>
      <w:r w:rsidR="00B92B13">
        <w:t>the guideline</w:t>
      </w:r>
      <w:r w:rsidR="00B92B13" w:rsidRPr="00B92B13">
        <w:rPr>
          <w:vertAlign w:val="superscript"/>
        </w:rPr>
        <w:fldChar w:fldCharType="begin"/>
      </w:r>
      <w:r w:rsidR="00B92B13" w:rsidRPr="00B92B13">
        <w:rPr>
          <w:vertAlign w:val="superscript"/>
        </w:rPr>
        <w:instrText xml:space="preserve"> NOTEREF _Ref459034509 \h </w:instrText>
      </w:r>
      <w:r w:rsidR="00B92B13">
        <w:rPr>
          <w:vertAlign w:val="superscript"/>
        </w:rPr>
        <w:instrText xml:space="preserve"> \* MERGEFORMAT </w:instrText>
      </w:r>
      <w:r w:rsidR="00B92B13" w:rsidRPr="00B92B13">
        <w:rPr>
          <w:vertAlign w:val="superscript"/>
        </w:rPr>
      </w:r>
      <w:r w:rsidR="00B92B13" w:rsidRPr="00B92B13">
        <w:rPr>
          <w:vertAlign w:val="superscript"/>
        </w:rPr>
        <w:fldChar w:fldCharType="separate"/>
      </w:r>
      <w:r w:rsidR="005E57DC">
        <w:rPr>
          <w:vertAlign w:val="superscript"/>
        </w:rPr>
        <w:t>64</w:t>
      </w:r>
      <w:r w:rsidR="00B92B13" w:rsidRPr="00B92B13">
        <w:rPr>
          <w:vertAlign w:val="superscript"/>
        </w:rPr>
        <w:fldChar w:fldCharType="end"/>
      </w:r>
      <w:r w:rsidRPr="00C57D2B">
        <w:t xml:space="preserve"> outlines many, major disadvantages with the use of historical controls.</w:t>
      </w:r>
      <w:r w:rsidR="00635167">
        <w:t xml:space="preserve"> </w:t>
      </w:r>
      <w:r w:rsidRPr="00C57D2B">
        <w:t>For example:</w:t>
      </w:r>
    </w:p>
    <w:p w:rsidR="00C57D2B" w:rsidRPr="00C57D2B" w:rsidRDefault="00C57D2B" w:rsidP="00C57D2B">
      <w:pPr>
        <w:ind w:left="720"/>
      </w:pPr>
      <w:r w:rsidRPr="00C57D2B">
        <w:t>Externally controlled trials are most likely to be persuasive when the study endpoint is objective, when the outcome on treatment is markedly different from that of the external control and a high level of statistical significance for the treatment-control comparison is attained, when the covariates influencing outcome of the disease are well character</w:t>
      </w:r>
      <w:r w:rsidR="00987E81">
        <w:t>ise</w:t>
      </w:r>
      <w:r w:rsidRPr="00C57D2B">
        <w:t>d, and when the control closely resembles the study group in all known relevant baseline, treatment (other than study drug), and observational variables. Even in such cases, however, there are documented examples of erroneous conclusions arising from such trials.</w:t>
      </w:r>
    </w:p>
    <w:p w:rsidR="00C57D2B" w:rsidRPr="00C57D2B" w:rsidRDefault="00C57D2B" w:rsidP="00C57D2B">
      <w:r w:rsidRPr="00C57D2B">
        <w:t xml:space="preserve">The biases introduced by </w:t>
      </w:r>
      <w:r w:rsidR="00E05E08">
        <w:t>cross study</w:t>
      </w:r>
      <w:r w:rsidRPr="00C57D2B">
        <w:t xml:space="preserve"> comparison mean the magnitude of differences in outcomes across studies, and the reproducibility of such differences, become critical.</w:t>
      </w:r>
    </w:p>
    <w:p w:rsidR="00C57D2B" w:rsidRPr="00C57D2B" w:rsidRDefault="00C57D2B" w:rsidP="00C57D2B">
      <w:pPr>
        <w:pStyle w:val="Heading5"/>
      </w:pPr>
      <w:r w:rsidRPr="00C57D2B">
        <w:t>Efficacy</w:t>
      </w:r>
    </w:p>
    <w:p w:rsidR="00C57D2B" w:rsidRPr="00C57D2B" w:rsidRDefault="00C57D2B" w:rsidP="00C57D2B">
      <w:pPr>
        <w:pStyle w:val="Heading6"/>
      </w:pPr>
      <w:r w:rsidRPr="00C57D2B">
        <w:t>Study populations</w:t>
      </w:r>
    </w:p>
    <w:p w:rsidR="00C57D2B" w:rsidRPr="00C57D2B" w:rsidRDefault="00C57D2B" w:rsidP="00C57D2B">
      <w:r w:rsidRPr="00C57D2B">
        <w:t xml:space="preserve">In P001, </w:t>
      </w:r>
      <w:r w:rsidR="00987E81">
        <w:t xml:space="preserve">approximately </w:t>
      </w:r>
      <w:r w:rsidRPr="00C57D2B">
        <w:t>93</w:t>
      </w:r>
      <w:r w:rsidR="005D7F4D">
        <w:t xml:space="preserve"> out of </w:t>
      </w:r>
      <w:r w:rsidRPr="00C57D2B">
        <w:t>41</w:t>
      </w:r>
      <w:r w:rsidR="00B92B13">
        <w:t xml:space="preserve">1 patients (23%) were treatment </w:t>
      </w:r>
      <w:r w:rsidRPr="00C57D2B">
        <w:t>naïve for advanced melanoma in the B1</w:t>
      </w:r>
      <w:r w:rsidR="00B92B13">
        <w:t xml:space="preserve"> </w:t>
      </w:r>
      <w:r w:rsidRPr="00C57D2B">
        <w:t>+</w:t>
      </w:r>
      <w:r w:rsidR="00B92B13">
        <w:t xml:space="preserve"> </w:t>
      </w:r>
      <w:r w:rsidRPr="00C57D2B">
        <w:t>B2</w:t>
      </w:r>
      <w:r w:rsidR="00B92B13">
        <w:t xml:space="preserve"> </w:t>
      </w:r>
      <w:r w:rsidRPr="00C57D2B">
        <w:t>+</w:t>
      </w:r>
      <w:r w:rsidR="00B92B13">
        <w:t xml:space="preserve"> </w:t>
      </w:r>
      <w:r w:rsidRPr="00C57D2B">
        <w:t>D group.</w:t>
      </w:r>
      <w:r w:rsidR="00635167">
        <w:t xml:space="preserve"> </w:t>
      </w:r>
      <w:r w:rsidRPr="00C57D2B">
        <w:t>A further 68</w:t>
      </w:r>
      <w:r w:rsidR="005D7F4D">
        <w:t xml:space="preserve"> out of </w:t>
      </w:r>
      <w:r w:rsidRPr="00C57D2B">
        <w:t>244 pati</w:t>
      </w:r>
      <w:r w:rsidR="00B92B13">
        <w:t xml:space="preserve">ents (28%) in B3 were treatment </w:t>
      </w:r>
      <w:r w:rsidRPr="00C57D2B">
        <w:t>naïve.</w:t>
      </w:r>
      <w:r w:rsidR="00635167">
        <w:t xml:space="preserve"> </w:t>
      </w:r>
      <w:r w:rsidRPr="00C57D2B">
        <w:t xml:space="preserve">Thus, across P001 and P002, the large majority of patients were not receiving pembrolizumab as </w:t>
      </w:r>
      <w:r w:rsidR="00E76E0B">
        <w:t>first line</w:t>
      </w:r>
      <w:r w:rsidRPr="00C57D2B">
        <w:t xml:space="preserve"> treatment for advanced disease.</w:t>
      </w:r>
      <w:r w:rsidR="00635167">
        <w:t xml:space="preserve"> </w:t>
      </w:r>
      <w:r w:rsidRPr="00C57D2B">
        <w:t>Many patients were heavily pre-treated.</w:t>
      </w:r>
      <w:r w:rsidR="00635167">
        <w:t xml:space="preserve"> </w:t>
      </w:r>
      <w:r w:rsidRPr="00C57D2B">
        <w:t>In P006, a considerable nu</w:t>
      </w:r>
      <w:r w:rsidR="00B92B13">
        <w:t xml:space="preserve">mber of subjects were treatment naïve (181 to </w:t>
      </w:r>
      <w:r w:rsidRPr="00C57D2B">
        <w:t>185 per arm).</w:t>
      </w:r>
    </w:p>
    <w:p w:rsidR="00C57D2B" w:rsidRPr="00C57D2B" w:rsidRDefault="00C57D2B" w:rsidP="00C57D2B">
      <w:r w:rsidRPr="00C57D2B">
        <w:t>Notable in P001 was the low proportion of subjects with BRAF mutant melanoma: 24% in B1+B2+D.</w:t>
      </w:r>
      <w:r w:rsidR="00635167">
        <w:t xml:space="preserve"> </w:t>
      </w:r>
      <w:r w:rsidRPr="00C57D2B">
        <w:t>A similarly low proportion was seen in P002.</w:t>
      </w:r>
      <w:r w:rsidR="00635167">
        <w:t xml:space="preserve"> </w:t>
      </w:r>
      <w:r w:rsidRPr="00C57D2B">
        <w:t>It is unclear if these patients differed materially from typical patients with BRAF mutant tumours.</w:t>
      </w:r>
      <w:r w:rsidR="00635167">
        <w:t xml:space="preserve"> </w:t>
      </w:r>
      <w:r w:rsidRPr="00C57D2B">
        <w:t>According to the sponsor, those progressing on BRAF inhibitors may have had insufficient performance status to enrol.</w:t>
      </w:r>
      <w:r w:rsidR="00635167">
        <w:t xml:space="preserve"> </w:t>
      </w:r>
      <w:r w:rsidRPr="00C57D2B">
        <w:t xml:space="preserve">The sponsor pointed to a study of nivolumab </w:t>
      </w:r>
      <w:r w:rsidR="00987E81">
        <w:t>versus</w:t>
      </w:r>
      <w:r w:rsidR="007C7511">
        <w:t xml:space="preserve"> dacarbazine</w:t>
      </w:r>
      <w:r w:rsidRPr="00C57D2B">
        <w:t xml:space="preserve"> in a similar population, where 22% of patients had BRAF mutant tumours</w:t>
      </w:r>
      <w:r w:rsidR="007C7511">
        <w:t>.</w:t>
      </w:r>
      <w:r w:rsidR="007C7511" w:rsidRPr="007C7511">
        <w:rPr>
          <w:vertAlign w:val="superscript"/>
        </w:rPr>
        <w:fldChar w:fldCharType="begin"/>
      </w:r>
      <w:r w:rsidR="007C7511" w:rsidRPr="007C7511">
        <w:rPr>
          <w:vertAlign w:val="superscript"/>
        </w:rPr>
        <w:instrText xml:space="preserve"> NOTEREF _Ref459035224 \h </w:instrText>
      </w:r>
      <w:r w:rsidR="007C7511">
        <w:rPr>
          <w:vertAlign w:val="superscript"/>
        </w:rPr>
        <w:instrText xml:space="preserve"> \* MERGEFORMAT </w:instrText>
      </w:r>
      <w:r w:rsidR="007C7511" w:rsidRPr="007C7511">
        <w:rPr>
          <w:vertAlign w:val="superscript"/>
        </w:rPr>
      </w:r>
      <w:r w:rsidR="007C7511" w:rsidRPr="007C7511">
        <w:rPr>
          <w:vertAlign w:val="superscript"/>
        </w:rPr>
        <w:fldChar w:fldCharType="separate"/>
      </w:r>
      <w:r w:rsidR="005E57DC">
        <w:rPr>
          <w:vertAlign w:val="superscript"/>
        </w:rPr>
        <w:t>59</w:t>
      </w:r>
      <w:r w:rsidR="007C7511" w:rsidRPr="007C7511">
        <w:rPr>
          <w:vertAlign w:val="superscript"/>
        </w:rPr>
        <w:fldChar w:fldCharType="end"/>
      </w:r>
      <w:r w:rsidR="00635167">
        <w:t xml:space="preserve"> </w:t>
      </w:r>
      <w:r w:rsidRPr="00C57D2B">
        <w:t>It is not entirely clear whether this explanation fully accounts for the low proportion.</w:t>
      </w:r>
      <w:r w:rsidR="00635167">
        <w:t xml:space="preserve"> </w:t>
      </w:r>
      <w:r w:rsidRPr="00C57D2B">
        <w:t>There was a higher percentage in the larger P006 study (36%).</w:t>
      </w:r>
    </w:p>
    <w:p w:rsidR="00C57D2B" w:rsidRPr="00C57D2B" w:rsidRDefault="00C57D2B" w:rsidP="00DE22F3">
      <w:pPr>
        <w:pStyle w:val="Heading6"/>
      </w:pPr>
      <w:r w:rsidRPr="00DE22F3">
        <w:t>Endpoints</w:t>
      </w:r>
    </w:p>
    <w:p w:rsidR="00C57D2B" w:rsidRPr="00C57D2B" w:rsidRDefault="00C57D2B" w:rsidP="00C57D2B">
      <w:r w:rsidRPr="00C57D2B">
        <w:t>Efficacy is most clearly established for an oncology drug if the drug improves OS and / or quality of life.</w:t>
      </w:r>
      <w:r w:rsidR="00635167">
        <w:t xml:space="preserve"> </w:t>
      </w:r>
      <w:r w:rsidRPr="00C57D2B">
        <w:t>Many other endpoints are considered surrogate, to varying extents.</w:t>
      </w:r>
    </w:p>
    <w:p w:rsidR="00C57D2B" w:rsidRPr="00C57D2B" w:rsidRDefault="00C57D2B" w:rsidP="00C57D2B">
      <w:r w:rsidRPr="00C57D2B">
        <w:t>In P001, emphasis was placed on objective response ahead of PFS and OS.</w:t>
      </w:r>
      <w:r w:rsidR="00635167">
        <w:t xml:space="preserve"> </w:t>
      </w:r>
      <w:r w:rsidRPr="00C57D2B">
        <w:t>For example, the primary endpoint for P001 was best ORR.</w:t>
      </w:r>
    </w:p>
    <w:p w:rsidR="00C57D2B" w:rsidRPr="00C57D2B" w:rsidRDefault="00C57D2B" w:rsidP="00C57D2B">
      <w:r w:rsidRPr="00C57D2B">
        <w:t xml:space="preserve">In P002 (for which only summary data were available), PFS and OS </w:t>
      </w:r>
      <w:proofErr w:type="gramStart"/>
      <w:r w:rsidRPr="00C57D2B">
        <w:t>were</w:t>
      </w:r>
      <w:proofErr w:type="gramEnd"/>
      <w:r w:rsidRPr="00C57D2B">
        <w:t xml:space="preserve"> co-primary.</w:t>
      </w:r>
      <w:r w:rsidR="00635167">
        <w:t xml:space="preserve"> </w:t>
      </w:r>
      <w:r w:rsidRPr="00C57D2B">
        <w:t xml:space="preserve">While demonstration of improved survival </w:t>
      </w:r>
      <w:r w:rsidR="00987E81">
        <w:t>versus</w:t>
      </w:r>
      <w:r w:rsidRPr="00C57D2B">
        <w:t xml:space="preserve"> a relevant comparator is ideal, the built-in opportunity to cross to pembrolizumab at 12 weeks may obscure any overall survival difference between pembrolizumab and investigator’s choice of chemotherapy (despite statistic</w:t>
      </w:r>
      <w:r w:rsidR="007C7511">
        <w:t xml:space="preserve">al attempts to adjust for cross </w:t>
      </w:r>
      <w:r w:rsidRPr="00C57D2B">
        <w:t>over).</w:t>
      </w:r>
      <w:r w:rsidR="00635167">
        <w:t xml:space="preserve"> </w:t>
      </w:r>
      <w:r w:rsidRPr="00C57D2B">
        <w:t>Comparison of observed survival with historical outcomes sup</w:t>
      </w:r>
      <w:r w:rsidR="007B720C">
        <w:t xml:space="preserve">plements use of PFS and ORR / </w:t>
      </w:r>
      <w:proofErr w:type="spellStart"/>
      <w:r w:rsidR="007B720C">
        <w:t>Do</w:t>
      </w:r>
      <w:r w:rsidRPr="00C57D2B">
        <w:t>R</w:t>
      </w:r>
      <w:proofErr w:type="spellEnd"/>
      <w:r w:rsidRPr="00C57D2B">
        <w:t xml:space="preserve"> to establish efficacy.</w:t>
      </w:r>
      <w:r w:rsidR="00635167">
        <w:t xml:space="preserve"> </w:t>
      </w:r>
      <w:r w:rsidRPr="00C57D2B">
        <w:t>P002 also gathered i</w:t>
      </w:r>
      <w:r w:rsidR="005D7F4D">
        <w:t xml:space="preserve">mportant information on patient </w:t>
      </w:r>
      <w:r w:rsidRPr="00C57D2B">
        <w:t>reported outcomes.</w:t>
      </w:r>
    </w:p>
    <w:p w:rsidR="00C57D2B" w:rsidRPr="00C57D2B" w:rsidRDefault="00C57D2B" w:rsidP="00C57D2B">
      <w:r w:rsidRPr="00C57D2B">
        <w:t xml:space="preserve">In P006 (for which, again, only summary data were available), PFS and OS </w:t>
      </w:r>
      <w:proofErr w:type="gramStart"/>
      <w:r w:rsidRPr="00C57D2B">
        <w:t>were</w:t>
      </w:r>
      <w:proofErr w:type="gramEnd"/>
      <w:r w:rsidRPr="00C57D2B">
        <w:t xml:space="preserve"> again co-primary.</w:t>
      </w:r>
      <w:r w:rsidR="00635167">
        <w:t xml:space="preserve"> </w:t>
      </w:r>
      <w:r w:rsidR="007C7511">
        <w:t xml:space="preserve">No cross </w:t>
      </w:r>
      <w:r w:rsidRPr="00C57D2B">
        <w:t>over was permitted for IPI subjects.</w:t>
      </w:r>
    </w:p>
    <w:p w:rsidR="00C57D2B" w:rsidRPr="00C57D2B" w:rsidRDefault="00C57D2B" w:rsidP="00C57D2B">
      <w:r w:rsidRPr="00C57D2B">
        <w:t xml:space="preserve">Duration of response was emphasised in the sponsor’s analyses and was considered, by the sponsor, </w:t>
      </w:r>
      <w:r w:rsidR="00987E81">
        <w:t>‘</w:t>
      </w:r>
      <w:r w:rsidRPr="00C57D2B">
        <w:t>remarkable</w:t>
      </w:r>
      <w:r w:rsidR="00987E81">
        <w:t>’</w:t>
      </w:r>
      <w:r w:rsidRPr="00C57D2B">
        <w:t>.</w:t>
      </w:r>
      <w:r w:rsidR="00635167">
        <w:t xml:space="preserve"> </w:t>
      </w:r>
      <w:r w:rsidRPr="00C57D2B">
        <w:t>Indeed, duration of response outcomes amongst responders are very promising.</w:t>
      </w:r>
      <w:r w:rsidR="00635167">
        <w:t xml:space="preserve"> </w:t>
      </w:r>
      <w:r w:rsidR="007C7511">
        <w:t xml:space="preserve">However, in cross </w:t>
      </w:r>
      <w:r w:rsidRPr="00C57D2B">
        <w:t xml:space="preserve">study comparison with registered treatments such as dabrafenib + trametinib, it may be reasonable to compare the proportion of all treated subjects who attain a durable </w:t>
      </w:r>
      <w:r w:rsidR="007C7511">
        <w:t>response;</w:t>
      </w:r>
      <w:r w:rsidRPr="00C57D2B">
        <w:t xml:space="preserve"> as this will take into account the higher ORR seen with BRAF pathway targeted therapy (median </w:t>
      </w:r>
      <w:proofErr w:type="spellStart"/>
      <w:r w:rsidRPr="00C57D2B">
        <w:t>DoR</w:t>
      </w:r>
      <w:proofErr w:type="spellEnd"/>
      <w:r w:rsidRPr="00C57D2B">
        <w:t xml:space="preserve"> outcomes with </w:t>
      </w:r>
      <w:proofErr w:type="spellStart"/>
      <w:r w:rsidRPr="00C57D2B">
        <w:t>dabrafenib</w:t>
      </w:r>
      <w:proofErr w:type="spellEnd"/>
      <w:r w:rsidRPr="00C57D2B">
        <w:t xml:space="preserve"> + </w:t>
      </w:r>
      <w:r w:rsidRPr="00C57D2B">
        <w:lastRenderedPageBreak/>
        <w:t>trametinib might not reflect a tail of durable responses in a fraction of treated subjects that might be comparable to the fraction of durable responders with PD-1 blockade).</w:t>
      </w:r>
    </w:p>
    <w:p w:rsidR="00C57D2B" w:rsidRPr="00C57D2B" w:rsidRDefault="00C57D2B" w:rsidP="00DE22F3">
      <w:pPr>
        <w:pStyle w:val="Heading6"/>
      </w:pPr>
      <w:r w:rsidRPr="00C57D2B">
        <w:t>Subgroups defined by PD-L1</w:t>
      </w:r>
    </w:p>
    <w:p w:rsidR="00C57D2B" w:rsidRPr="00C57D2B" w:rsidRDefault="00C57D2B" w:rsidP="00C57D2B">
      <w:r w:rsidRPr="00C57D2B">
        <w:t xml:space="preserve">In P001, the ORR in patients who were PD-L1 positive was 42%, </w:t>
      </w:r>
      <w:r w:rsidR="00987E81">
        <w:t>versus</w:t>
      </w:r>
      <w:r w:rsidRPr="00C57D2B">
        <w:t xml:space="preserve"> 9% in patients who were PD-L1 negative.</w:t>
      </w:r>
      <w:r w:rsidR="00635167">
        <w:t xml:space="preserve"> </w:t>
      </w:r>
      <w:r w:rsidRPr="00C57D2B">
        <w:t>All complete responses were in PD-L1 positive patients (12</w:t>
      </w:r>
      <w:r w:rsidR="005D7F4D">
        <w:t xml:space="preserve"> out of </w:t>
      </w:r>
      <w:r w:rsidRPr="00C57D2B">
        <w:t xml:space="preserve">194, </w:t>
      </w:r>
      <w:r w:rsidR="00987E81">
        <w:t>versus</w:t>
      </w:r>
      <w:r w:rsidRPr="00C57D2B">
        <w:t xml:space="preserve"> 0</w:t>
      </w:r>
      <w:r w:rsidR="005D7F4D">
        <w:t xml:space="preserve"> out of </w:t>
      </w:r>
      <w:r w:rsidRPr="00C57D2B">
        <w:t>54).</w:t>
      </w:r>
      <w:r w:rsidR="00635167">
        <w:t xml:space="preserve"> </w:t>
      </w:r>
      <w:r w:rsidRPr="00C57D2B">
        <w:t>In P002, for ORR, a</w:t>
      </w:r>
      <w:r w:rsidR="007C7511">
        <w:t xml:space="preserve"> lesser difference was seen (24 to </w:t>
      </w:r>
      <w:r w:rsidRPr="00C57D2B">
        <w:t xml:space="preserve">30% for PD-L1 positive, </w:t>
      </w:r>
      <w:r w:rsidR="00987E81">
        <w:t>versus</w:t>
      </w:r>
      <w:r w:rsidR="007C7511">
        <w:t xml:space="preserve"> 11 to </w:t>
      </w:r>
      <w:r w:rsidRPr="00C57D2B">
        <w:t>20% for PD-L1 negative); and PFS and OS outcomes were more robust in the PD-L1 positive subjects.</w:t>
      </w:r>
      <w:r w:rsidR="00635167">
        <w:t xml:space="preserve"> </w:t>
      </w:r>
      <w:r w:rsidR="007C7511">
        <w:t xml:space="preserve">The top </w:t>
      </w:r>
      <w:r w:rsidRPr="00C57D2B">
        <w:t>line summary for P006 was less informative about PD-L1 IHC status and its influence on efficacy; relative to ipilimumab, pembrolizumab conferred moderately more benefit in patients with PD-L1 positive tumours than in patients with PD-L1 negative tumours.</w:t>
      </w:r>
    </w:p>
    <w:p w:rsidR="00C57D2B" w:rsidRPr="00DE22F3" w:rsidRDefault="00C57D2B" w:rsidP="00DE22F3">
      <w:r w:rsidRPr="00C57D2B">
        <w:t>T</w:t>
      </w:r>
      <w:r w:rsidRPr="00DE22F3">
        <w:t>he sponsor notes / implies that:</w:t>
      </w:r>
    </w:p>
    <w:p w:rsidR="00DE22F3" w:rsidRPr="00DE22F3" w:rsidRDefault="00DE22F3" w:rsidP="00DE22F3">
      <w:pPr>
        <w:pStyle w:val="ListBullet"/>
      </w:pPr>
      <w:r w:rsidRPr="00DE22F3">
        <w:t>A minority of subjects (22%) has PD-L1 negative tumours.</w:t>
      </w:r>
      <w:r w:rsidR="00635167">
        <w:t xml:space="preserve"> </w:t>
      </w:r>
      <w:r w:rsidRPr="00DE22F3">
        <w:t>(The fr</w:t>
      </w:r>
      <w:r w:rsidR="007C7511">
        <w:t>action was higher in P002 at 27 to 33%, lower in P006 at 18%)</w:t>
      </w:r>
    </w:p>
    <w:p w:rsidR="00DE22F3" w:rsidRPr="00DE22F3" w:rsidRDefault="00DE22F3" w:rsidP="00DE22F3">
      <w:pPr>
        <w:pStyle w:val="ListBullet"/>
      </w:pPr>
      <w:r w:rsidRPr="00DE22F3">
        <w:t xml:space="preserve">Activity of pembrolizumab in these subjects is reasonable (ORs are less frequent, but </w:t>
      </w:r>
      <w:r w:rsidR="007C7511">
        <w:t>they are durable when obtained)</w:t>
      </w:r>
    </w:p>
    <w:p w:rsidR="00DE22F3" w:rsidRPr="00DE22F3" w:rsidRDefault="00DE22F3" w:rsidP="00DE22F3">
      <w:pPr>
        <w:pStyle w:val="ListBullet"/>
      </w:pPr>
      <w:r w:rsidRPr="00DE22F3">
        <w:t xml:space="preserve">Some doubt has been cast on the validity of PD-L1 </w:t>
      </w:r>
      <w:r w:rsidR="007C7511">
        <w:t>immunohistochemistry</w:t>
      </w:r>
      <w:r w:rsidR="007C7511" w:rsidRPr="00DE22F3">
        <w:t xml:space="preserve"> </w:t>
      </w:r>
      <w:r w:rsidR="007C7511">
        <w:t>(</w:t>
      </w:r>
      <w:r w:rsidRPr="00DE22F3">
        <w:t>IHC</w:t>
      </w:r>
      <w:r w:rsidR="007C7511">
        <w:t>)</w:t>
      </w:r>
      <w:r w:rsidRPr="00DE22F3">
        <w:t xml:space="preserve"> results, because of lack of standard IHC approaches or because PD-L1 status may vary from metastatic site to site.</w:t>
      </w:r>
    </w:p>
    <w:p w:rsidR="00DE22F3" w:rsidRPr="00DE22F3" w:rsidRDefault="00DE22F3" w:rsidP="00DE22F3">
      <w:r w:rsidRPr="00DE22F3">
        <w:t>Also, the sponsor argues that the safety profile of pembrolizumab is relevant in deciding whether the agent is appropriate in patients with PD-L1 negative melanomas.</w:t>
      </w:r>
    </w:p>
    <w:p w:rsidR="00DE22F3" w:rsidRPr="00DE22F3" w:rsidRDefault="007C7511" w:rsidP="00DE22F3">
      <w:r>
        <w:t>The Delegate is</w:t>
      </w:r>
      <w:r w:rsidR="00DE22F3" w:rsidRPr="00DE22F3">
        <w:t xml:space="preserve"> concerned that in subjects with PD-L1 negative tumours as defined by the sponsor, the proportion of patients with durable responses will be substantially lower than with some registered agents (namely, BRAF / MEK inhibitors, which are evidently only useful in patients with BRAF mutant tumours).</w:t>
      </w:r>
    </w:p>
    <w:p w:rsidR="00DE22F3" w:rsidRPr="00DE22F3" w:rsidRDefault="00DE22F3" w:rsidP="00DE22F3">
      <w:r w:rsidRPr="00DE22F3">
        <w:t xml:space="preserve">The sponsor argues that </w:t>
      </w:r>
      <w:r w:rsidR="00987E81">
        <w:t>‘</w:t>
      </w:r>
      <w:r w:rsidRPr="00DE22F3">
        <w:t xml:space="preserve">prognostic significance of PD-L1 expression (determined by this assay) relative to </w:t>
      </w:r>
      <w:r w:rsidR="00185D72">
        <w:t xml:space="preserve">clinical efficacy from standard of </w:t>
      </w:r>
      <w:r w:rsidRPr="00DE22F3">
        <w:t>care treatments for melanoma patients is unknown</w:t>
      </w:r>
      <w:r w:rsidR="00987E81">
        <w:t>’</w:t>
      </w:r>
      <w:r w:rsidRPr="00DE22F3">
        <w:t>.</w:t>
      </w:r>
      <w:r w:rsidR="00635167">
        <w:t xml:space="preserve"> </w:t>
      </w:r>
      <w:r w:rsidRPr="00DE22F3">
        <w:t>The sponsor argues that if PD-L1 expression is associated with poor prognosis with standard agents, outcomes with pembrolizumab may be viewed as relatively favourable.</w:t>
      </w:r>
      <w:r w:rsidR="00635167">
        <w:t xml:space="preserve"> </w:t>
      </w:r>
      <w:r w:rsidRPr="00DE22F3">
        <w:t>Given the mechanistically plausible influence of PD-L1 tumour status on pembrolizumab’s activity (as opposed to, for example, BRAF / MEK inhibitors’ activity), this argument is not compelling.</w:t>
      </w:r>
    </w:p>
    <w:p w:rsidR="00DE22F3" w:rsidRPr="00DE22F3" w:rsidRDefault="00DE22F3" w:rsidP="00DE22F3">
      <w:r w:rsidRPr="00DE22F3">
        <w:t xml:space="preserve">A study of </w:t>
      </w:r>
      <w:proofErr w:type="spellStart"/>
      <w:r w:rsidRPr="00DE22F3">
        <w:t>nivolumab</w:t>
      </w:r>
      <w:proofErr w:type="spellEnd"/>
      <w:r w:rsidRPr="00DE22F3">
        <w:t xml:space="preserve"> </w:t>
      </w:r>
      <w:r w:rsidR="00987E81">
        <w:t>versus</w:t>
      </w:r>
      <w:r w:rsidRPr="00DE22F3">
        <w:t xml:space="preserve"> dacarbazine</w:t>
      </w:r>
      <w:r w:rsidR="007C7511" w:rsidRPr="007C7511">
        <w:rPr>
          <w:vertAlign w:val="superscript"/>
        </w:rPr>
        <w:fldChar w:fldCharType="begin"/>
      </w:r>
      <w:r w:rsidR="007C7511" w:rsidRPr="007C7511">
        <w:rPr>
          <w:vertAlign w:val="superscript"/>
        </w:rPr>
        <w:instrText xml:space="preserve"> NOTEREF _Ref459035224 \h </w:instrText>
      </w:r>
      <w:r w:rsidR="007C7511">
        <w:rPr>
          <w:vertAlign w:val="superscript"/>
        </w:rPr>
        <w:instrText xml:space="preserve"> \* MERGEFORMAT </w:instrText>
      </w:r>
      <w:r w:rsidR="007C7511" w:rsidRPr="007C7511">
        <w:rPr>
          <w:vertAlign w:val="superscript"/>
        </w:rPr>
      </w:r>
      <w:r w:rsidR="007C7511" w:rsidRPr="007C7511">
        <w:rPr>
          <w:vertAlign w:val="superscript"/>
        </w:rPr>
        <w:fldChar w:fldCharType="separate"/>
      </w:r>
      <w:r w:rsidR="005E57DC">
        <w:rPr>
          <w:vertAlign w:val="superscript"/>
        </w:rPr>
        <w:t>59</w:t>
      </w:r>
      <w:r w:rsidR="007C7511" w:rsidRPr="007C7511">
        <w:rPr>
          <w:vertAlign w:val="superscript"/>
        </w:rPr>
        <w:fldChar w:fldCharType="end"/>
      </w:r>
      <w:r w:rsidRPr="00DE22F3">
        <w:t xml:space="preserve"> stratified randomisation by PD-L1 tumour positivity (membrane staining ≥</w:t>
      </w:r>
      <w:r w:rsidR="007C7511">
        <w:t xml:space="preserve"> </w:t>
      </w:r>
      <w:r w:rsidRPr="00DE22F3">
        <w:t>5%) and found:</w:t>
      </w:r>
    </w:p>
    <w:p w:rsidR="00DE22F3" w:rsidRPr="00DE22F3" w:rsidRDefault="00DE22F3" w:rsidP="00DE22F3">
      <w:pPr>
        <w:ind w:left="720"/>
      </w:pPr>
      <w:r w:rsidRPr="00DE22F3">
        <w:t xml:space="preserve">In the dacarbazine group, the median overall survival was slightly longer in the subgroup with positive PD-L1 status than in the subgroup with negative or indeterminate PD-L1 status (12.4 </w:t>
      </w:r>
      <w:r w:rsidR="00987E81">
        <w:t>versus</w:t>
      </w:r>
      <w:r w:rsidRPr="00DE22F3">
        <w:t>. 10.2 months)</w:t>
      </w:r>
    </w:p>
    <w:p w:rsidR="00DE22F3" w:rsidRPr="00DE22F3" w:rsidRDefault="00DE22F3" w:rsidP="00DE22F3">
      <w:pPr>
        <w:ind w:left="720"/>
      </w:pPr>
      <w:r w:rsidRPr="00DE22F3">
        <w:t>In the subgroup with positive PD-L1 status, t</w:t>
      </w:r>
      <w:r w:rsidR="00924222">
        <w:t>he objective response rate was;</w:t>
      </w:r>
      <w:r w:rsidRPr="00DE22F3">
        <w:t xml:space="preserve"> 10.8% (95% CI, 4.8 to </w:t>
      </w:r>
      <w:r w:rsidR="00924222">
        <w:t>20.2) in the dacarbazine group.</w:t>
      </w:r>
      <w:r w:rsidRPr="00DE22F3">
        <w:t xml:space="preserve"> In the subgroup with negative or indeterminate PD-L1 status, th</w:t>
      </w:r>
      <w:r w:rsidR="00924222">
        <w:t xml:space="preserve">e objective response rate was; </w:t>
      </w:r>
      <w:r w:rsidRPr="00DE22F3">
        <w:t>15.7% (95% CI, 10.0 to 23.0) in the dacarbazine group.</w:t>
      </w:r>
    </w:p>
    <w:p w:rsidR="00DE22F3" w:rsidRPr="00DE22F3" w:rsidRDefault="00DE22F3" w:rsidP="00DE22F3">
      <w:r w:rsidRPr="00DE22F3">
        <w:t>Results of this study in a similar population suggest dacarbazine, a recent ‘standard of care’ in this setting, h</w:t>
      </w:r>
      <w:r w:rsidR="00924222">
        <w:t xml:space="preserve">as broadly similar outcomes (10 to 15% ORR, 10 to </w:t>
      </w:r>
      <w:r w:rsidRPr="00DE22F3">
        <w:t>12 month OS) in sub-groups defined by PD-L1 status.</w:t>
      </w:r>
      <w:r w:rsidR="00635167">
        <w:t xml:space="preserve"> </w:t>
      </w:r>
      <w:r w:rsidRPr="00DE22F3">
        <w:t>Pembrolizumab achieved a 9% ORR in subjects with PD-L1 negative tumours.</w:t>
      </w:r>
      <w:r w:rsidR="00635167">
        <w:t xml:space="preserve"> </w:t>
      </w:r>
      <w:r w:rsidRPr="00DE22F3">
        <w:t>The definitions for PD-L1 negativity varied in the two studies (P001 and Robert et al</w:t>
      </w:r>
      <w:r w:rsidR="00924222" w:rsidRPr="00924222">
        <w:rPr>
          <w:vertAlign w:val="superscript"/>
        </w:rPr>
        <w:fldChar w:fldCharType="begin"/>
      </w:r>
      <w:r w:rsidR="00924222" w:rsidRPr="00924222">
        <w:rPr>
          <w:vertAlign w:val="superscript"/>
        </w:rPr>
        <w:instrText xml:space="preserve"> NOTEREF _Ref459035224 \h </w:instrText>
      </w:r>
      <w:r w:rsidR="00924222">
        <w:rPr>
          <w:vertAlign w:val="superscript"/>
        </w:rPr>
        <w:instrText xml:space="preserve"> \* MERGEFORMAT </w:instrText>
      </w:r>
      <w:r w:rsidR="00924222" w:rsidRPr="00924222">
        <w:rPr>
          <w:vertAlign w:val="superscript"/>
        </w:rPr>
      </w:r>
      <w:r w:rsidR="00924222" w:rsidRPr="00924222">
        <w:rPr>
          <w:vertAlign w:val="superscript"/>
        </w:rPr>
        <w:fldChar w:fldCharType="separate"/>
      </w:r>
      <w:r w:rsidR="005E57DC">
        <w:rPr>
          <w:vertAlign w:val="superscript"/>
        </w:rPr>
        <w:t>59</w:t>
      </w:r>
      <w:r w:rsidR="00924222" w:rsidRPr="00924222">
        <w:rPr>
          <w:vertAlign w:val="superscript"/>
        </w:rPr>
        <w:fldChar w:fldCharType="end"/>
      </w:r>
      <w:r w:rsidRPr="00DE22F3">
        <w:t xml:space="preserve">), with a lower </w:t>
      </w:r>
      <w:r w:rsidR="00C22866">
        <w:t>cut off</w:t>
      </w:r>
      <w:r w:rsidRPr="00DE22F3">
        <w:t xml:space="preserve"> (1% of cells) used in P001 than in Robert et al (5%) so that all other things being equal more tumours would be declared positive in P001.</w:t>
      </w:r>
    </w:p>
    <w:p w:rsidR="00DE22F3" w:rsidRPr="00DE22F3" w:rsidRDefault="00DE22F3" w:rsidP="00DE22F3">
      <w:r w:rsidRPr="00DE22F3">
        <w:lastRenderedPageBreak/>
        <w:t>Evidence provided by the sponsor is not conclusive, but it seems that even in PD-L1</w:t>
      </w:r>
      <w:r w:rsidR="00185D72">
        <w:t xml:space="preserve"> </w:t>
      </w:r>
      <w:r w:rsidRPr="00DE22F3">
        <w:t>neg</w:t>
      </w:r>
      <w:r w:rsidR="00185D72">
        <w:t>ative</w:t>
      </w:r>
      <w:r w:rsidRPr="00DE22F3">
        <w:t xml:space="preserve"> cases, pembrolizumab has efficacy no worse than dacarbazine (refer to </w:t>
      </w:r>
      <w:r w:rsidR="005A3306">
        <w:t>Table</w:t>
      </w:r>
      <w:r w:rsidR="00924222">
        <w:t xml:space="preserve"> 12</w:t>
      </w:r>
      <w:r w:rsidRPr="00DE22F3">
        <w:t>).</w:t>
      </w:r>
    </w:p>
    <w:p w:rsidR="00DE22F3" w:rsidRPr="00DE22F3" w:rsidRDefault="00DE22F3" w:rsidP="00DE22F3">
      <w:r w:rsidRPr="00DE22F3">
        <w:t>For ipilimumab, it is possible that activity may vary by tumour PD-L1 status (</w:t>
      </w:r>
      <w:r w:rsidR="00B85B18">
        <w:t>for example</w:t>
      </w:r>
      <w:r w:rsidRPr="00DE22F3">
        <w:t xml:space="preserve"> if that biomarker reflects tumour / immune characteristics important for ipilimumab activity).</w:t>
      </w:r>
      <w:r w:rsidR="00635167">
        <w:t xml:space="preserve"> </w:t>
      </w:r>
      <w:r w:rsidRPr="00DE22F3">
        <w:t>However, in P006, it seems that efficacy conferred by pembrolizumab in patients with PD-L1 positive tumours is higher than in patients with PD-L1 negative tumours, and the simplest explanation is that the effect of tumour PD-L1 status is much more significant for pembrolizumab than for ipilimumab.</w:t>
      </w:r>
      <w:r w:rsidR="00635167">
        <w:t xml:space="preserve"> </w:t>
      </w:r>
      <w:r w:rsidRPr="00DE22F3">
        <w:t>Results in those patients with PD-L1 negative tumours are still positive for pembrolizumab, relative to ipilimumab.</w:t>
      </w:r>
    </w:p>
    <w:p w:rsidR="00DE22F3" w:rsidRPr="00DE22F3" w:rsidRDefault="00DE22F3" w:rsidP="00DE22F3">
      <w:r w:rsidRPr="00DE22F3">
        <w:t>In PD-L1</w:t>
      </w:r>
      <w:r w:rsidR="00185D72">
        <w:t xml:space="preserve"> </w:t>
      </w:r>
      <w:r w:rsidRPr="00DE22F3">
        <w:t>neg</w:t>
      </w:r>
      <w:r w:rsidR="00185D72">
        <w:t>ative</w:t>
      </w:r>
      <w:r w:rsidRPr="00DE22F3">
        <w:t xml:space="preserve"> cases, pembrolizumab’s efficacy is broadly lower than that of BRAF ± MEK inhibitors, and it seems less likely that the activity of those targeted therapies would be strongly influenced by tumour PD-L1 status (although relationships between BRAF and PD-L1 tumour status, use of BRAF/MEK inhibitors and PD-1 blockade are complex).</w:t>
      </w:r>
    </w:p>
    <w:p w:rsidR="00DE22F3" w:rsidRPr="00DE22F3" w:rsidRDefault="00DE22F3" w:rsidP="00DE22F3">
      <w:r w:rsidRPr="00DE22F3">
        <w:t>A key issue is whether this concern should be reflected in the indication, or otherwise communicated in the PI (see ‘Overall benefit / risk and indications’ below).</w:t>
      </w:r>
    </w:p>
    <w:p w:rsidR="00DE22F3" w:rsidRPr="00DE22F3" w:rsidRDefault="00DE22F3" w:rsidP="00DE22F3">
      <w:pPr>
        <w:pStyle w:val="Heading5"/>
      </w:pPr>
      <w:r w:rsidRPr="00DE22F3">
        <w:t>Safety</w:t>
      </w:r>
    </w:p>
    <w:p w:rsidR="00DE22F3" w:rsidRPr="00DE22F3" w:rsidRDefault="00DE22F3" w:rsidP="00DE22F3">
      <w:r w:rsidRPr="00DE22F3">
        <w:t>Given the nature of advanced melanoma and the need for better therapies, the extent of exposure is considered adequate to characterise the toxicity of pembrolizumab, but the safety profile will be better unders</w:t>
      </w:r>
      <w:r w:rsidR="00AF5E70">
        <w:t xml:space="preserve">tood as more data are accrued; </w:t>
      </w:r>
      <w:r w:rsidRPr="00DE22F3">
        <w:t>especially from CSRs of P002 and P006.</w:t>
      </w:r>
    </w:p>
    <w:p w:rsidR="00DE22F3" w:rsidRPr="00DE22F3" w:rsidRDefault="00DE22F3" w:rsidP="00DE22F3">
      <w:pPr>
        <w:pStyle w:val="Heading6"/>
      </w:pPr>
      <w:r w:rsidRPr="00DE22F3">
        <w:t xml:space="preserve">Robustness of </w:t>
      </w:r>
      <w:proofErr w:type="spellStart"/>
      <w:r w:rsidRPr="00DE22F3">
        <w:t>irAE</w:t>
      </w:r>
      <w:proofErr w:type="spellEnd"/>
      <w:r w:rsidRPr="00DE22F3">
        <w:t xml:space="preserve"> frequency estimates</w:t>
      </w:r>
    </w:p>
    <w:p w:rsidR="00DE22F3" w:rsidRPr="00DE22F3" w:rsidRDefault="00987E81" w:rsidP="00DE22F3">
      <w:r>
        <w:t>Immune related</w:t>
      </w:r>
      <w:r w:rsidR="00DE22F3" w:rsidRPr="00DE22F3">
        <w:t xml:space="preserve"> AEs were reported at low rates, yet rates of AEs that could conceivably be </w:t>
      </w:r>
      <w:r>
        <w:t>immune related</w:t>
      </w:r>
      <w:r w:rsidR="00DE22F3" w:rsidRPr="00DE22F3">
        <w:t xml:space="preserve"> were higher.</w:t>
      </w:r>
      <w:r w:rsidR="00635167">
        <w:t xml:space="preserve"> </w:t>
      </w:r>
      <w:r w:rsidR="00DE22F3" w:rsidRPr="00DE22F3">
        <w:t>For example:</w:t>
      </w:r>
    </w:p>
    <w:p w:rsidR="00DE22F3" w:rsidRPr="00DE22F3" w:rsidRDefault="00987E81" w:rsidP="00DE22F3">
      <w:pPr>
        <w:pStyle w:val="ListBullet"/>
      </w:pPr>
      <w:r>
        <w:t>Immune related</w:t>
      </w:r>
      <w:r w:rsidR="00DE22F3" w:rsidRPr="00DE22F3">
        <w:t xml:space="preserve"> diarrhoea was reported in </w:t>
      </w:r>
      <w:r>
        <w:t xml:space="preserve">approximately </w:t>
      </w:r>
      <w:r w:rsidR="00DE22F3" w:rsidRPr="00DE22F3">
        <w:t xml:space="preserve">2% of patients in P001; diarrhoea was reported in </w:t>
      </w:r>
      <w:r>
        <w:t xml:space="preserve">approximately </w:t>
      </w:r>
      <w:r w:rsidR="00881CA7">
        <w:t xml:space="preserve">20 to </w:t>
      </w:r>
      <w:r w:rsidR="00DE22F3" w:rsidRPr="00DE22F3">
        <w:t>30%.</w:t>
      </w:r>
      <w:r w:rsidR="00635167">
        <w:t xml:space="preserve"> </w:t>
      </w:r>
      <w:r w:rsidR="00DE22F3" w:rsidRPr="00DE22F3">
        <w:t>It seems unlikely that infectious di</w:t>
      </w:r>
      <w:r w:rsidR="00185D72">
        <w:t>arrhoea accounts for most cases</w:t>
      </w:r>
    </w:p>
    <w:p w:rsidR="00DE22F3" w:rsidRPr="00DE22F3" w:rsidRDefault="00987E81" w:rsidP="00DE22F3">
      <w:pPr>
        <w:pStyle w:val="ListBullet"/>
      </w:pPr>
      <w:r>
        <w:t>Immune related</w:t>
      </w:r>
      <w:r w:rsidR="00DE22F3" w:rsidRPr="00DE22F3">
        <w:t xml:space="preserve"> vitiligo was reported in 4%; vitiligo was reported in 11%.</w:t>
      </w:r>
    </w:p>
    <w:p w:rsidR="00DE22F3" w:rsidRPr="00DE22F3" w:rsidRDefault="00185D72" w:rsidP="00DE22F3">
      <w:r>
        <w:t xml:space="preserve">Alongside top </w:t>
      </w:r>
      <w:r w:rsidR="00DE22F3" w:rsidRPr="00DE22F3">
        <w:t>line results of P006 (</w:t>
      </w:r>
      <w:r w:rsidR="00B85B18">
        <w:t>for example</w:t>
      </w:r>
      <w:r w:rsidR="00881CA7">
        <w:t xml:space="preserve">, similar levels of investigator </w:t>
      </w:r>
      <w:r w:rsidR="00DE22F3" w:rsidRPr="00DE22F3">
        <w:t xml:space="preserve">reported </w:t>
      </w:r>
      <w:proofErr w:type="spellStart"/>
      <w:r w:rsidR="00DE22F3" w:rsidRPr="00DE22F3">
        <w:t>irAEs</w:t>
      </w:r>
      <w:proofErr w:type="spellEnd"/>
      <w:r w:rsidR="00DE22F3" w:rsidRPr="00DE22F3">
        <w:t xml:space="preserve"> for </w:t>
      </w:r>
      <w:proofErr w:type="spellStart"/>
      <w:r w:rsidR="00DE22F3" w:rsidRPr="00DE22F3">
        <w:t>pembrolizumab</w:t>
      </w:r>
      <w:proofErr w:type="spellEnd"/>
      <w:r w:rsidR="00DE22F3" w:rsidRPr="00DE22F3">
        <w:t xml:space="preserve"> and ipilimumab), this suggests higher rates of </w:t>
      </w:r>
      <w:proofErr w:type="spellStart"/>
      <w:r w:rsidR="00DE22F3" w:rsidRPr="00DE22F3">
        <w:t>irAEs</w:t>
      </w:r>
      <w:proofErr w:type="spellEnd"/>
      <w:r w:rsidR="00DE22F3" w:rsidRPr="00DE22F3">
        <w:t xml:space="preserve"> for </w:t>
      </w:r>
      <w:proofErr w:type="spellStart"/>
      <w:r w:rsidR="00DE22F3" w:rsidRPr="00DE22F3">
        <w:t>pembrolizumab</w:t>
      </w:r>
      <w:proofErr w:type="spellEnd"/>
      <w:r w:rsidR="00DE22F3" w:rsidRPr="00DE22F3">
        <w:t xml:space="preserve"> than have been detailed in P001.</w:t>
      </w:r>
    </w:p>
    <w:p w:rsidR="00DE22F3" w:rsidRPr="00DE22F3" w:rsidRDefault="00DE22F3" w:rsidP="00DE22F3">
      <w:pPr>
        <w:pStyle w:val="Heading6"/>
      </w:pPr>
      <w:r w:rsidRPr="00DE22F3">
        <w:t>Comparison with ipilimumab</w:t>
      </w:r>
    </w:p>
    <w:p w:rsidR="00DE22F3" w:rsidRPr="00DE22F3" w:rsidRDefault="00DE22F3" w:rsidP="00DE22F3">
      <w:r w:rsidRPr="00DE22F3">
        <w:t xml:space="preserve">In the Clinical Overview, the sponsor noted </w:t>
      </w:r>
      <w:r w:rsidR="00987E81">
        <w:t>‘</w:t>
      </w:r>
      <w:r w:rsidRPr="00DE22F3">
        <w:t xml:space="preserve">definitions of </w:t>
      </w:r>
      <w:r w:rsidR="00987E81">
        <w:t>immune related</w:t>
      </w:r>
      <w:r w:rsidRPr="00DE22F3">
        <w:t>ness differ</w:t>
      </w:r>
      <w:r w:rsidR="00987E81">
        <w:t>’</w:t>
      </w:r>
      <w:r w:rsidRPr="00DE22F3">
        <w:t xml:space="preserve"> but stated </w:t>
      </w:r>
      <w:r w:rsidR="00987E81">
        <w:t>‘</w:t>
      </w:r>
      <w:r w:rsidRPr="00DE22F3">
        <w:t xml:space="preserve">the </w:t>
      </w:r>
      <w:r w:rsidR="00987E81">
        <w:t>immune related</w:t>
      </w:r>
      <w:r w:rsidRPr="00DE22F3">
        <w:t xml:space="preserve"> AE profile of MK-3475</w:t>
      </w:r>
      <w:r w:rsidR="00881CA7">
        <w:t xml:space="preserve"> (pembrolizumab)</w:t>
      </w:r>
      <w:r w:rsidRPr="00DE22F3">
        <w:t xml:space="preserve"> appears favourable compared to IPI</w:t>
      </w:r>
      <w:r w:rsidR="00987E81">
        <w:t>’</w:t>
      </w:r>
      <w:r w:rsidRPr="00DE22F3">
        <w:t>.</w:t>
      </w:r>
      <w:r w:rsidR="00635167">
        <w:t xml:space="preserve"> </w:t>
      </w:r>
      <w:r w:rsidRPr="00DE22F3">
        <w:t>This hope should be tempered by the possibility that methodological differences do not allow comparison of like with like.</w:t>
      </w:r>
      <w:r w:rsidR="00635167">
        <w:t xml:space="preserve"> </w:t>
      </w:r>
      <w:r w:rsidRPr="00DE22F3">
        <w:t xml:space="preserve">It was difficult to compare relevant aspects of patient care, </w:t>
      </w:r>
      <w:r w:rsidR="00B85B18">
        <w:t>for example</w:t>
      </w:r>
      <w:r w:rsidRPr="00DE22F3">
        <w:t xml:space="preserve"> extent and timing of use of steroids / other medications; monitoring of biochemical markers of </w:t>
      </w:r>
      <w:proofErr w:type="spellStart"/>
      <w:r w:rsidRPr="00DE22F3">
        <w:t>irAEs</w:t>
      </w:r>
      <w:proofErr w:type="spellEnd"/>
      <w:r w:rsidRPr="00DE22F3">
        <w:t>; etc</w:t>
      </w:r>
      <w:r w:rsidR="00881CA7">
        <w:t>etera</w:t>
      </w:r>
      <w:r w:rsidRPr="00DE22F3">
        <w:t>.</w:t>
      </w:r>
    </w:p>
    <w:p w:rsidR="00DE22F3" w:rsidRPr="00DE22F3" w:rsidRDefault="00DE22F3" w:rsidP="00DE22F3">
      <w:r w:rsidRPr="00DE22F3">
        <w:t xml:space="preserve">There </w:t>
      </w:r>
      <w:r w:rsidR="00881CA7">
        <w:t xml:space="preserve">is a signal from cross </w:t>
      </w:r>
      <w:r w:rsidRPr="00DE22F3">
        <w:t xml:space="preserve">study comparisons that some </w:t>
      </w:r>
      <w:proofErr w:type="spellStart"/>
      <w:r w:rsidRPr="00DE22F3">
        <w:t>irAEs</w:t>
      </w:r>
      <w:proofErr w:type="spellEnd"/>
      <w:r w:rsidRPr="00DE22F3">
        <w:t xml:space="preserve"> may be seen at a higher rate with pembrolizumab than with ipilimumab (</w:t>
      </w:r>
      <w:r w:rsidR="00B85B18">
        <w:t>for example</w:t>
      </w:r>
      <w:r w:rsidRPr="00DE22F3">
        <w:t xml:space="preserve"> pneumonitis, hypothyroidism).</w:t>
      </w:r>
      <w:r w:rsidR="00635167">
        <w:t xml:space="preserve"> </w:t>
      </w:r>
      <w:r w:rsidR="00881CA7">
        <w:t xml:space="preserve">In the top </w:t>
      </w:r>
      <w:r w:rsidRPr="00DE22F3">
        <w:t>line results for P006, there was also a suggestion of more hepatitis and uveitis / iritis, requiring clarification when the CSR for P006 is evaluated.</w:t>
      </w:r>
    </w:p>
    <w:p w:rsidR="00DE22F3" w:rsidRPr="00DE22F3" w:rsidRDefault="00DE22F3" w:rsidP="00DE22F3">
      <w:pPr>
        <w:pStyle w:val="Heading6"/>
      </w:pPr>
      <w:r w:rsidRPr="00DE22F3">
        <w:t xml:space="preserve">Reversibility of </w:t>
      </w:r>
      <w:proofErr w:type="spellStart"/>
      <w:r w:rsidRPr="00DE22F3">
        <w:t>irAEs</w:t>
      </w:r>
      <w:proofErr w:type="spellEnd"/>
    </w:p>
    <w:p w:rsidR="00DE22F3" w:rsidRPr="00DE22F3" w:rsidRDefault="00DE22F3" w:rsidP="00DE22F3">
      <w:r w:rsidRPr="00DE22F3">
        <w:t xml:space="preserve">An important concern regarding </w:t>
      </w:r>
      <w:proofErr w:type="spellStart"/>
      <w:r w:rsidRPr="00DE22F3">
        <w:t>irAEs</w:t>
      </w:r>
      <w:proofErr w:type="spellEnd"/>
      <w:r w:rsidRPr="00DE22F3">
        <w:t xml:space="preserve"> is reversibility with treatment cessation and / or immunosuppression.</w:t>
      </w:r>
      <w:r w:rsidR="00635167">
        <w:t xml:space="preserve"> </w:t>
      </w:r>
      <w:r w:rsidRPr="00DE22F3">
        <w:t xml:space="preserve">Characteristics such as time to onset, duration, need for steroids / </w:t>
      </w:r>
      <w:r w:rsidRPr="00DE22F3">
        <w:lastRenderedPageBreak/>
        <w:t xml:space="preserve">other management, </w:t>
      </w:r>
      <w:proofErr w:type="spellStart"/>
      <w:r w:rsidRPr="00DE22F3">
        <w:t>etc</w:t>
      </w:r>
      <w:proofErr w:type="spellEnd"/>
      <w:r w:rsidRPr="00DE22F3">
        <w:t>, were not well summarised.</w:t>
      </w:r>
      <w:r w:rsidR="00635167">
        <w:t xml:space="preserve"> </w:t>
      </w:r>
      <w:proofErr w:type="spellStart"/>
      <w:r w:rsidRPr="00DE22F3">
        <w:t>Gyorki</w:t>
      </w:r>
      <w:proofErr w:type="spellEnd"/>
      <w:r w:rsidRPr="00DE22F3">
        <w:t xml:space="preserve"> et al</w:t>
      </w:r>
      <w:r w:rsidR="00881CA7">
        <w:rPr>
          <w:rStyle w:val="FootnoteReference"/>
        </w:rPr>
        <w:footnoteReference w:id="76"/>
      </w:r>
      <w:r w:rsidRPr="00DE22F3">
        <w:t xml:space="preserve"> </w:t>
      </w:r>
      <w:r w:rsidR="00881CA7">
        <w:t xml:space="preserve">distinguished between short </w:t>
      </w:r>
      <w:r w:rsidRPr="00DE22F3">
        <w:t xml:space="preserve">lived immune AEs (reversed by cessation of therapy ± corticosteroids) and autoimmunity which is often not reversible even with immunosuppression; but in the case of </w:t>
      </w:r>
      <w:proofErr w:type="spellStart"/>
      <w:r w:rsidRPr="00DE22F3">
        <w:t>ipilimumab</w:t>
      </w:r>
      <w:proofErr w:type="spellEnd"/>
      <w:r w:rsidRPr="00DE22F3">
        <w:t xml:space="preserve">, </w:t>
      </w:r>
      <w:proofErr w:type="spellStart"/>
      <w:r w:rsidRPr="00DE22F3">
        <w:t>irAEs</w:t>
      </w:r>
      <w:proofErr w:type="spellEnd"/>
      <w:r w:rsidRPr="00DE22F3">
        <w:t xml:space="preserve"> are not necessarily reversible, and the same may apply for pembrolizumab.</w:t>
      </w:r>
      <w:r w:rsidR="00635167">
        <w:t xml:space="preserve"> </w:t>
      </w:r>
      <w:r w:rsidRPr="00DE22F3">
        <w:t>The sponsor provided a summary o</w:t>
      </w:r>
      <w:r w:rsidR="00881CA7">
        <w:t xml:space="preserve">f narratives for selected </w:t>
      </w:r>
      <w:proofErr w:type="spellStart"/>
      <w:r w:rsidR="00881CA7">
        <w:t>irAEs</w:t>
      </w:r>
      <w:proofErr w:type="spellEnd"/>
      <w:r w:rsidRPr="00DE22F3">
        <w:t xml:space="preserve"> but the characteristics mentioned above were not systematically addressed for </w:t>
      </w:r>
      <w:proofErr w:type="spellStart"/>
      <w:r w:rsidRPr="00DE22F3">
        <w:t>irAEs</w:t>
      </w:r>
      <w:proofErr w:type="spellEnd"/>
      <w:r w:rsidRPr="00DE22F3">
        <w:t xml:space="preserve"> in ea</w:t>
      </w:r>
      <w:r w:rsidR="005A3306">
        <w:t>ch organ system.</w:t>
      </w:r>
    </w:p>
    <w:p w:rsidR="00DE22F3" w:rsidRPr="00DE22F3" w:rsidRDefault="00DE22F3" w:rsidP="00DE22F3">
      <w:pPr>
        <w:pStyle w:val="Heading5"/>
      </w:pPr>
      <w:r w:rsidRPr="00DE22F3">
        <w:t>Overall benefit / risk and indications</w:t>
      </w:r>
    </w:p>
    <w:p w:rsidR="00DE22F3" w:rsidRPr="00DE22F3" w:rsidRDefault="00DE22F3" w:rsidP="00DE22F3">
      <w:r w:rsidRPr="00DE22F3">
        <w:t>The sponsor has asked for a broad indication in advanced melanoma, without reference to line of therapy.</w:t>
      </w:r>
      <w:r w:rsidR="00635167">
        <w:t xml:space="preserve"> </w:t>
      </w:r>
      <w:r w:rsidRPr="00DE22F3">
        <w:t xml:space="preserve">This is despite the lack of randomised trials of pembrolizumab using the proposed dose regimen against agents established as </w:t>
      </w:r>
      <w:r w:rsidR="00E76E0B">
        <w:t>first line</w:t>
      </w:r>
      <w:r w:rsidRPr="00DE22F3">
        <w:t xml:space="preserve"> options (dacarbazine, ipilimumab and the various </w:t>
      </w:r>
      <w:proofErr w:type="spellStart"/>
      <w:r w:rsidRPr="00DE22F3">
        <w:t>BRAFi</w:t>
      </w:r>
      <w:proofErr w:type="spellEnd"/>
      <w:r w:rsidRPr="00DE22F3">
        <w:t xml:space="preserve"> and </w:t>
      </w:r>
      <w:proofErr w:type="spellStart"/>
      <w:r w:rsidRPr="00DE22F3">
        <w:t>MEKi</w:t>
      </w:r>
      <w:proofErr w:type="spellEnd"/>
      <w:r w:rsidRPr="00DE22F3">
        <w:t xml:space="preserve"> in patients with BRAF mutant tumours).</w:t>
      </w:r>
    </w:p>
    <w:p w:rsidR="00DE22F3" w:rsidRPr="00DE22F3" w:rsidRDefault="00881CA7" w:rsidP="00DE22F3">
      <w:r>
        <w:t xml:space="preserve">Cross </w:t>
      </w:r>
      <w:r w:rsidR="00DE22F3" w:rsidRPr="00DE22F3">
        <w:t>study comparisons suggest ORRs are good relative to dacarbazine and IPI, and that responses are durable.</w:t>
      </w:r>
      <w:r w:rsidR="00635167">
        <w:t xml:space="preserve"> </w:t>
      </w:r>
      <w:r>
        <w:t xml:space="preserve">Top </w:t>
      </w:r>
      <w:r w:rsidR="00DE22F3" w:rsidRPr="00DE22F3">
        <w:t>line results of P006 strongly support the view that pembrolizumab is more efficacious than ipilimumab; but comparisons with BRAF / MEK inhibitors are difficult to make with the data at hand.</w:t>
      </w:r>
    </w:p>
    <w:p w:rsidR="00DE22F3" w:rsidRPr="00DE22F3" w:rsidRDefault="00DE22F3" w:rsidP="00DE22F3">
      <w:r w:rsidRPr="00DE22F3">
        <w:t>Pembrolizumab’s safety profile appears better than that of ipilimumab, but the detailed results of P006 will be useful to confirm this.</w:t>
      </w:r>
      <w:r w:rsidR="00635167">
        <w:t xml:space="preserve"> </w:t>
      </w:r>
      <w:r w:rsidRPr="00DE22F3">
        <w:t xml:space="preserve">There are several indications that the two agents will not have a dramatically different rate of </w:t>
      </w:r>
      <w:r w:rsidR="00987E81">
        <w:t>immune related</w:t>
      </w:r>
      <w:r w:rsidRPr="00DE22F3">
        <w:t xml:space="preserve"> AEs.</w:t>
      </w:r>
    </w:p>
    <w:p w:rsidR="00DE22F3" w:rsidRPr="00DE22F3" w:rsidRDefault="00DE22F3" w:rsidP="00DE22F3">
      <w:r w:rsidRPr="00DE22F3">
        <w:t xml:space="preserve">The comparison of safety with other agents (dacarbazine, BRAF and MEK inhibitors) is hampered by absence of </w:t>
      </w:r>
      <w:r w:rsidR="00881CA7">
        <w:t xml:space="preserve">randomised clinical trials, and the difficulty of cross </w:t>
      </w:r>
      <w:r w:rsidRPr="00DE22F3">
        <w:t>study comparison.</w:t>
      </w:r>
      <w:r w:rsidR="00635167">
        <w:t xml:space="preserve"> </w:t>
      </w:r>
      <w:r w:rsidRPr="00DE22F3">
        <w:t>There are serious safety concerns with BRAF / MEK inhibitors, and with pembrolizumab.</w:t>
      </w:r>
      <w:r w:rsidR="00635167">
        <w:t xml:space="preserve"> </w:t>
      </w:r>
      <w:r w:rsidRPr="00DE22F3">
        <w:t>Toxicity profiles are, however, fairly distinct.</w:t>
      </w:r>
    </w:p>
    <w:p w:rsidR="00DE22F3" w:rsidRPr="00DE22F3" w:rsidRDefault="00DE22F3" w:rsidP="00DE22F3">
      <w:r w:rsidRPr="00DE22F3">
        <w:t xml:space="preserve">One perspective regarding indication is that ipilimumab is used </w:t>
      </w:r>
      <w:r w:rsidR="00E76E0B">
        <w:t>first line</w:t>
      </w:r>
      <w:r w:rsidRPr="00DE22F3">
        <w:t xml:space="preserve"> for advanced melanoma, an</w:t>
      </w:r>
      <w:r w:rsidR="00881CA7">
        <w:t>d that based on indirect or top line but, in total</w:t>
      </w:r>
      <w:r w:rsidRPr="00DE22F3">
        <w:t xml:space="preserve"> sufficient evidence, pembrolizumab has a better benefit-risk profile than IPI.</w:t>
      </w:r>
      <w:r w:rsidR="00635167">
        <w:t xml:space="preserve"> </w:t>
      </w:r>
      <w:r w:rsidRPr="00DE22F3">
        <w:t>Similarly, dacarbazine has an indication that makes no reference to line of therapy.</w:t>
      </w:r>
    </w:p>
    <w:p w:rsidR="00DE22F3" w:rsidRPr="00DE22F3" w:rsidRDefault="00DE22F3" w:rsidP="00DE22F3">
      <w:r w:rsidRPr="00DE22F3">
        <w:t>A concern is whether pembrolizumab should be indicated regardless of whether BRAF and MEK inhibitors have been trialled in patients with BRAF mutant tumours.</w:t>
      </w:r>
      <w:r w:rsidR="00635167">
        <w:t xml:space="preserve"> </w:t>
      </w:r>
      <w:r w:rsidRPr="00DE22F3">
        <w:t>In those with PD-L1 negative tumours, the concern is magnified since pembrolizumab’s activity is substantially lower.</w:t>
      </w:r>
    </w:p>
    <w:p w:rsidR="00DE22F3" w:rsidRPr="00DE22F3" w:rsidRDefault="00DE22F3" w:rsidP="00DE22F3">
      <w:r w:rsidRPr="00DE22F3">
        <w:t xml:space="preserve">In the setting of </w:t>
      </w:r>
      <w:r w:rsidR="00E76E0B">
        <w:t>first line</w:t>
      </w:r>
      <w:r w:rsidRPr="00DE22F3">
        <w:t xml:space="preserve"> therapy, in patients with BRAF V600 mutant tumours, has an acceptable benefit / risk balance been establis</w:t>
      </w:r>
      <w:r w:rsidR="00881CA7">
        <w:t>hed?</w:t>
      </w:r>
    </w:p>
    <w:p w:rsidR="00DE22F3" w:rsidRPr="00DE22F3" w:rsidRDefault="00DE22F3" w:rsidP="00DE22F3">
      <w:pPr>
        <w:pStyle w:val="ListBullet"/>
      </w:pPr>
      <w:r w:rsidRPr="00DE22F3">
        <w:t>In thos</w:t>
      </w:r>
      <w:r w:rsidR="00881CA7">
        <w:t>e with PD-L1 positive tumours, the Delegate</w:t>
      </w:r>
      <w:r w:rsidRPr="00DE22F3">
        <w:t xml:space="preserve"> consider</w:t>
      </w:r>
      <w:r w:rsidR="00881CA7">
        <w:t>s</w:t>
      </w:r>
      <w:r w:rsidRPr="00DE22F3">
        <w:t xml:space="preserve"> that an acceptable benefit / risk balance has been established, based on ORRs and durability of responses seen in P001, and assuming that PD-L1 IHC status does not markedly affect outcomes of BRAF / MEK inhibition.</w:t>
      </w:r>
      <w:r w:rsidR="00635167">
        <w:t xml:space="preserve"> </w:t>
      </w:r>
      <w:r w:rsidRPr="00DE22F3">
        <w:t>Of note, safety outcomes were not analysed ac</w:t>
      </w:r>
      <w:r w:rsidR="00881CA7">
        <w:t>cording to tumour PD-L1 status.</w:t>
      </w:r>
      <w:r w:rsidR="00635167">
        <w:t xml:space="preserve"> </w:t>
      </w:r>
      <w:r w:rsidR="00881CA7">
        <w:t>The Delegate</w:t>
      </w:r>
      <w:r w:rsidRPr="00DE22F3">
        <w:t xml:space="preserve"> also note</w:t>
      </w:r>
      <w:r w:rsidR="00881CA7">
        <w:t>s</w:t>
      </w:r>
      <w:r w:rsidRPr="00DE22F3">
        <w:t xml:space="preserve"> that because safety profiles are distinct (not necessarily better one way or the other), it may be useful in the clinic to have the option of pembrolizumab for </w:t>
      </w:r>
      <w:r w:rsidR="00E76E0B">
        <w:t>first line</w:t>
      </w:r>
      <w:r w:rsidRPr="00DE22F3">
        <w:t xml:space="preserve"> treatment.</w:t>
      </w:r>
    </w:p>
    <w:p w:rsidR="00DE22F3" w:rsidRPr="00DE22F3" w:rsidRDefault="00DE22F3" w:rsidP="00DE22F3">
      <w:pPr>
        <w:pStyle w:val="ListBullet"/>
      </w:pPr>
      <w:r w:rsidRPr="00DE22F3">
        <w:t>In those with PD-L1 negative tumours, an acceptable benefit / risk balance is not clear.</w:t>
      </w:r>
      <w:r w:rsidR="00635167">
        <w:t xml:space="preserve"> </w:t>
      </w:r>
      <w:r w:rsidR="00881CA7">
        <w:t xml:space="preserve">Cross </w:t>
      </w:r>
      <w:r w:rsidRPr="00DE22F3">
        <w:t>study comparisons suggest lower activity for pembrolizumab than for BRAF and / or MEK inhibition, and a similar extent of important safety issues.</w:t>
      </w:r>
    </w:p>
    <w:p w:rsidR="00DE22F3" w:rsidRPr="00DE22F3" w:rsidRDefault="00DE22F3" w:rsidP="00DE22F3">
      <w:pPr>
        <w:pStyle w:val="ListBullet"/>
      </w:pPr>
      <w:r w:rsidRPr="00DE22F3">
        <w:t>It appears likely that tumour PD-L1 IHC status will be unknown, at least initially, in most or all patients, depending on local availability of a reliable assay.</w:t>
      </w:r>
      <w:r w:rsidR="00635167">
        <w:t xml:space="preserve"> </w:t>
      </w:r>
      <w:r w:rsidRPr="00DE22F3">
        <w:t xml:space="preserve">One take on this is that there is no ‘value’ raising concern about the low benefit / risk balance (in first </w:t>
      </w:r>
      <w:r w:rsidRPr="00DE22F3">
        <w:lastRenderedPageBreak/>
        <w:t xml:space="preserve">line, </w:t>
      </w:r>
      <w:r w:rsidR="001D4BB8">
        <w:t>that is</w:t>
      </w:r>
      <w:r w:rsidRPr="00DE22F3">
        <w:t xml:space="preserve"> relative to BRAF / MEK inhibition) of pembrolizumab in patients with BRAF mutant, PD-L1 negative tumours.</w:t>
      </w:r>
    </w:p>
    <w:p w:rsidR="00DE22F3" w:rsidRPr="00DE22F3" w:rsidRDefault="00881CA7" w:rsidP="00DE22F3">
      <w:pPr>
        <w:pStyle w:val="ListBullet"/>
      </w:pPr>
      <w:r>
        <w:t>Overall, the Delegate</w:t>
      </w:r>
      <w:r w:rsidR="00DE22F3" w:rsidRPr="00DE22F3">
        <w:t xml:space="preserve"> consider</w:t>
      </w:r>
      <w:r>
        <w:t>s</w:t>
      </w:r>
      <w:r w:rsidR="00DE22F3" w:rsidRPr="00DE22F3">
        <w:t xml:space="preserve"> that pembrolizumab does have acceptable evidence of efficacy and safety in a </w:t>
      </w:r>
      <w:r w:rsidR="00E76E0B">
        <w:t>first line</w:t>
      </w:r>
      <w:r w:rsidR="00DE22F3" w:rsidRPr="00DE22F3">
        <w:t xml:space="preserve"> setting in patients with BRAF V600 mutant tumours.</w:t>
      </w:r>
      <w:r w:rsidR="00635167">
        <w:t xml:space="preserve"> </w:t>
      </w:r>
      <w:r w:rsidR="00DE22F3" w:rsidRPr="00DE22F3">
        <w:t>Since it is possible that in-house assays may exist or be developed for PD-L1 IHC, the pembrolizumab PI must provide detailed information about the influence of tumour PD-L1 status on efficacy.</w:t>
      </w:r>
      <w:r w:rsidR="00635167">
        <w:t xml:space="preserve"> </w:t>
      </w:r>
      <w:r w:rsidR="00DE22F3" w:rsidRPr="00DE22F3">
        <w:t>This wi</w:t>
      </w:r>
      <w:r>
        <w:t xml:space="preserve">ll allow more informed decision </w:t>
      </w:r>
      <w:r w:rsidR="00DE22F3" w:rsidRPr="00DE22F3">
        <w:t xml:space="preserve">making about choice of </w:t>
      </w:r>
      <w:r w:rsidR="00E76E0B">
        <w:t>first line</w:t>
      </w:r>
      <w:r w:rsidR="00DE22F3" w:rsidRPr="00DE22F3">
        <w:t xml:space="preserve"> agent in people with BRAF mutant tumours.</w:t>
      </w:r>
    </w:p>
    <w:p w:rsidR="00DE22F3" w:rsidRPr="00DE22F3" w:rsidRDefault="00DE22F3" w:rsidP="00DE22F3">
      <w:r w:rsidRPr="00DE22F3">
        <w:t>The sponsor should be encouraged to commercialise valid PD-L1 IHC testing, to provide the clinician and patient with important information about the benefit / risk balance of pembrolizumab for the individual patient.</w:t>
      </w:r>
    </w:p>
    <w:p w:rsidR="00DE22F3" w:rsidRDefault="00DE22F3" w:rsidP="00DE22F3">
      <w:r w:rsidRPr="00DE22F3">
        <w:t>The indication of a drug sometimes specifies whether use as monotherapy is endorsed.</w:t>
      </w:r>
      <w:r w:rsidR="00635167">
        <w:t xml:space="preserve"> </w:t>
      </w:r>
      <w:r w:rsidRPr="00DE22F3">
        <w:t xml:space="preserve">It is relevant that no data were provided about concomitant use, </w:t>
      </w:r>
      <w:r w:rsidR="00B85B18">
        <w:t>for example</w:t>
      </w:r>
      <w:r w:rsidRPr="00DE22F3">
        <w:t xml:space="preserve"> with </w:t>
      </w:r>
      <w:proofErr w:type="spellStart"/>
      <w:r w:rsidRPr="00DE22F3">
        <w:t>BRAFi</w:t>
      </w:r>
      <w:proofErr w:type="spellEnd"/>
      <w:r w:rsidRPr="00DE22F3">
        <w:t xml:space="preserve"> / </w:t>
      </w:r>
      <w:proofErr w:type="spellStart"/>
      <w:r w:rsidRPr="00DE22F3">
        <w:t>MEKi</w:t>
      </w:r>
      <w:proofErr w:type="spellEnd"/>
      <w:r w:rsidRPr="00DE22F3">
        <w:t xml:space="preserve"> or with ipilimumab.</w:t>
      </w:r>
      <w:r w:rsidR="00635167">
        <w:t xml:space="preserve"> </w:t>
      </w:r>
      <w:r w:rsidRPr="00DE22F3">
        <w:t>It is premature to encourage concomitant use with such agents: it could be expected that significant safety issues may arise, and the benefit / risk balance is entirely unclear with such approaches.</w:t>
      </w:r>
    </w:p>
    <w:p w:rsidR="00DE22F3" w:rsidRDefault="00DE22F3" w:rsidP="00DE22F3">
      <w:pPr>
        <w:pStyle w:val="Heading4"/>
      </w:pPr>
      <w:r>
        <w:t xml:space="preserve">Summary of </w:t>
      </w:r>
      <w:r w:rsidR="00890D29">
        <w:t>i</w:t>
      </w:r>
      <w:r>
        <w:t>ssues</w:t>
      </w:r>
    </w:p>
    <w:p w:rsidR="00DE22F3" w:rsidRPr="00DE22F3" w:rsidRDefault="00881CA7" w:rsidP="00E219E5">
      <w:pPr>
        <w:pStyle w:val="Numberbullet0"/>
        <w:numPr>
          <w:ilvl w:val="0"/>
          <w:numId w:val="6"/>
        </w:numPr>
      </w:pPr>
      <w:r>
        <w:t>Study design</w:t>
      </w:r>
    </w:p>
    <w:p w:rsidR="00DE22F3" w:rsidRPr="00DE22F3" w:rsidRDefault="00DE22F3" w:rsidP="00890D29">
      <w:pPr>
        <w:pStyle w:val="ListBullet2"/>
      </w:pPr>
      <w:r w:rsidRPr="00DE22F3">
        <w:t xml:space="preserve">Lack of randomised comparison (at proposed dose / in all proposed populations) </w:t>
      </w:r>
      <w:r w:rsidR="00987E81">
        <w:t>versus</w:t>
      </w:r>
      <w:r w:rsidRPr="00DE22F3">
        <w:t xml:space="preserve"> ipilimumab (IPI), dacarb</w:t>
      </w:r>
      <w:r w:rsidR="00881CA7">
        <w:t>azine and BRAF ± MEK inhibitors</w:t>
      </w:r>
    </w:p>
    <w:p w:rsidR="00DE22F3" w:rsidRPr="00DE22F3" w:rsidRDefault="00881CA7" w:rsidP="00890D29">
      <w:pPr>
        <w:pStyle w:val="ListBullet2"/>
      </w:pPr>
      <w:r>
        <w:t xml:space="preserve">Use of ‘top </w:t>
      </w:r>
      <w:r w:rsidR="00DE22F3" w:rsidRPr="00DE22F3">
        <w:t>line’</w:t>
      </w:r>
      <w:r>
        <w:t xml:space="preserve"> data for studies P002 and P006</w:t>
      </w:r>
    </w:p>
    <w:p w:rsidR="00DE22F3" w:rsidRDefault="00881CA7" w:rsidP="00890D29">
      <w:pPr>
        <w:pStyle w:val="ListBullet2"/>
      </w:pPr>
      <w:r>
        <w:t xml:space="preserve">Role of cross </w:t>
      </w:r>
      <w:r w:rsidR="00DE22F3" w:rsidRPr="00DE22F3">
        <w:t>study / historical comparisons</w:t>
      </w:r>
      <w:r>
        <w:t>.</w:t>
      </w:r>
    </w:p>
    <w:p w:rsidR="00DE22F3" w:rsidRPr="00DE22F3" w:rsidRDefault="00881CA7" w:rsidP="00DE22F3">
      <w:pPr>
        <w:pStyle w:val="Numberbullet0"/>
      </w:pPr>
      <w:r>
        <w:t>Efficacy</w:t>
      </w:r>
    </w:p>
    <w:p w:rsidR="00DE22F3" w:rsidRPr="00DE22F3" w:rsidRDefault="00DE22F3" w:rsidP="00890D29">
      <w:pPr>
        <w:pStyle w:val="ListBullet2"/>
      </w:pPr>
      <w:r w:rsidRPr="00DE22F3">
        <w:t>The fraction of subjects with B</w:t>
      </w:r>
      <w:r w:rsidR="00881CA7">
        <w:t>RAF V600 mutant tumours was low</w:t>
      </w:r>
    </w:p>
    <w:p w:rsidR="00DE22F3" w:rsidRPr="00DE22F3" w:rsidRDefault="00DE22F3" w:rsidP="00890D29">
      <w:pPr>
        <w:pStyle w:val="ListBullet2"/>
      </w:pPr>
      <w:r w:rsidRPr="00DE22F3">
        <w:t xml:space="preserve">In P001, there </w:t>
      </w:r>
      <w:r w:rsidR="00804C85">
        <w:t>was an emphasis on objective response rate (ORR)</w:t>
      </w:r>
      <w:r w:rsidR="00881CA7">
        <w:t xml:space="preserve"> as an endpoint</w:t>
      </w:r>
    </w:p>
    <w:p w:rsidR="00DE22F3" w:rsidRPr="00DE22F3" w:rsidRDefault="00DE22F3" w:rsidP="00890D29">
      <w:pPr>
        <w:pStyle w:val="ListBullet2"/>
      </w:pPr>
      <w:r w:rsidRPr="00DE22F3">
        <w:t>The proposed dose regimen is 2 mg/kg Q3W but in P001, P002 and P006 a variety of dose regi</w:t>
      </w:r>
      <w:r w:rsidR="00881CA7">
        <w:t>mens was used for pembrolizumab</w:t>
      </w:r>
    </w:p>
    <w:p w:rsidR="00DE22F3" w:rsidRPr="00DE22F3" w:rsidRDefault="00DE22F3" w:rsidP="00890D29">
      <w:pPr>
        <w:pStyle w:val="ListBullet2"/>
      </w:pPr>
      <w:r w:rsidRPr="00DE22F3">
        <w:t>There was a large imbalance in efficacy (reflected by ORR) between subjects with PD-L1 positive and PD-L1 negative tumours in P001.</w:t>
      </w:r>
      <w:r w:rsidR="00635167">
        <w:t xml:space="preserve"> </w:t>
      </w:r>
      <w:r w:rsidRPr="00DE22F3">
        <w:t>A moderate imbalance was also seen in P002.</w:t>
      </w:r>
      <w:r w:rsidR="00635167">
        <w:t xml:space="preserve"> </w:t>
      </w:r>
      <w:r w:rsidRPr="00DE22F3">
        <w:t>Results in P006 are consistent with a moderate imbalance.</w:t>
      </w:r>
    </w:p>
    <w:p w:rsidR="00A16E1F" w:rsidRPr="00A16E1F" w:rsidRDefault="00A16E1F" w:rsidP="00A16E1F">
      <w:pPr>
        <w:pStyle w:val="Numberbullet0"/>
      </w:pPr>
      <w:r w:rsidRPr="00A16E1F">
        <w:t>Safety</w:t>
      </w:r>
    </w:p>
    <w:p w:rsidR="00A16E1F" w:rsidRPr="00A16E1F" w:rsidRDefault="00A16E1F" w:rsidP="00890D29">
      <w:pPr>
        <w:pStyle w:val="ListBullet2"/>
      </w:pPr>
      <w:r w:rsidRPr="00A16E1F">
        <w:t xml:space="preserve">Robustness of </w:t>
      </w:r>
      <w:r w:rsidR="00987E81">
        <w:t>immune related</w:t>
      </w:r>
      <w:r w:rsidRPr="00A16E1F">
        <w:t xml:space="preserve"> adverse e</w:t>
      </w:r>
      <w:r w:rsidR="000F76F4">
        <w:t>vent (</w:t>
      </w:r>
      <w:proofErr w:type="spellStart"/>
      <w:r w:rsidR="000F76F4">
        <w:t>irAE</w:t>
      </w:r>
      <w:proofErr w:type="spellEnd"/>
      <w:r w:rsidR="000F76F4">
        <w:t>) frequency estimates</w:t>
      </w:r>
    </w:p>
    <w:p w:rsidR="00A16E1F" w:rsidRPr="00A16E1F" w:rsidRDefault="00A16E1F" w:rsidP="00890D29">
      <w:pPr>
        <w:pStyle w:val="ListBullet2"/>
      </w:pPr>
      <w:r w:rsidRPr="00A16E1F">
        <w:t>Difficulty of comp</w:t>
      </w:r>
      <w:r w:rsidR="000F76F4">
        <w:t>arison with all relevant agents</w:t>
      </w:r>
    </w:p>
    <w:p w:rsidR="00A16E1F" w:rsidRPr="00A16E1F" w:rsidRDefault="00A16E1F" w:rsidP="00890D29">
      <w:pPr>
        <w:pStyle w:val="ListBullet2"/>
      </w:pPr>
      <w:r w:rsidRPr="00A16E1F">
        <w:t xml:space="preserve">Depth of characterisation of </w:t>
      </w:r>
      <w:proofErr w:type="spellStart"/>
      <w:r w:rsidRPr="00A16E1F">
        <w:t>irAEs</w:t>
      </w:r>
      <w:proofErr w:type="spellEnd"/>
      <w:r w:rsidRPr="00A16E1F">
        <w:t xml:space="preserve">, </w:t>
      </w:r>
      <w:r w:rsidR="00B85B18">
        <w:t>for example</w:t>
      </w:r>
      <w:r w:rsidRPr="00A16E1F">
        <w:t xml:space="preserve"> with regard to reversibility.</w:t>
      </w:r>
    </w:p>
    <w:p w:rsidR="00A16E1F" w:rsidRPr="000301EA" w:rsidRDefault="00A16E1F" w:rsidP="00A16E1F">
      <w:pPr>
        <w:pStyle w:val="Numberbullet0"/>
        <w:rPr>
          <w:u w:val="single"/>
        </w:rPr>
      </w:pPr>
      <w:r w:rsidRPr="00A16E1F">
        <w:t>Indication</w:t>
      </w:r>
      <w:r w:rsidRPr="000301EA">
        <w:t>.</w:t>
      </w:r>
    </w:p>
    <w:p w:rsidR="00A16E1F" w:rsidRPr="00A16E1F" w:rsidRDefault="00A16E1F" w:rsidP="00A16E1F">
      <w:r w:rsidRPr="00A16E1F">
        <w:t>Considerations include:</w:t>
      </w:r>
    </w:p>
    <w:p w:rsidR="00A16E1F" w:rsidRPr="00A16E1F" w:rsidRDefault="00A16E1F" w:rsidP="00890D29">
      <w:pPr>
        <w:pStyle w:val="ListBullet2"/>
      </w:pPr>
      <w:r w:rsidRPr="00A16E1F">
        <w:t>lower activity apparent against PD-L1 negative tumours;</w:t>
      </w:r>
    </w:p>
    <w:p w:rsidR="00A16E1F" w:rsidRPr="00A16E1F" w:rsidRDefault="00A16E1F" w:rsidP="00890D29">
      <w:pPr>
        <w:pStyle w:val="ListBullet2"/>
      </w:pPr>
      <w:r w:rsidRPr="00A16E1F">
        <w:t>the likelihood of better anti-tumour activity with BRAF ± MEK inhibitors in patients with BRAF V600 mutant, PD-L1 negative tumours (</w:t>
      </w:r>
      <w:r w:rsidR="00987E81">
        <w:t xml:space="preserve">approximately </w:t>
      </w:r>
      <w:r w:rsidR="000F76F4">
        <w:t xml:space="preserve">10 to </w:t>
      </w:r>
      <w:r w:rsidRPr="00A16E1F">
        <w:t>15% of advanced melanoma patients)</w:t>
      </w:r>
    </w:p>
    <w:p w:rsidR="00A16E1F" w:rsidRPr="00A16E1F" w:rsidRDefault="00A16E1F" w:rsidP="00890D29">
      <w:pPr>
        <w:pStyle w:val="ListBullet2"/>
      </w:pPr>
      <w:r w:rsidRPr="00A16E1F">
        <w:t>access to PD-L1 immunohistochemistry (many / all patients will have ‘unknown’ PD-L1 IHC status)</w:t>
      </w:r>
    </w:p>
    <w:p w:rsidR="00DE22F3" w:rsidRPr="00A16E1F" w:rsidRDefault="00A16E1F" w:rsidP="00890D29">
      <w:pPr>
        <w:pStyle w:val="ListBullet2"/>
      </w:pPr>
      <w:proofErr w:type="gramStart"/>
      <w:r w:rsidRPr="00A16E1F">
        <w:lastRenderedPageBreak/>
        <w:t>uncertainty</w:t>
      </w:r>
      <w:proofErr w:type="gramEnd"/>
      <w:r w:rsidRPr="00A16E1F">
        <w:t xml:space="preserve"> about use concomitant with other anti-cancer drugs</w:t>
      </w:r>
      <w:r w:rsidR="000F76F4">
        <w:t>.</w:t>
      </w:r>
    </w:p>
    <w:p w:rsidR="00D23139" w:rsidRDefault="00D23139" w:rsidP="00D23139">
      <w:pPr>
        <w:pStyle w:val="Heading4"/>
      </w:pPr>
      <w:r w:rsidRPr="00D23139">
        <w:t>Proposed action</w:t>
      </w:r>
    </w:p>
    <w:p w:rsidR="00DE22F3" w:rsidRPr="00DE22F3" w:rsidRDefault="005D7F4D" w:rsidP="00DE22F3">
      <w:r>
        <w:t>Given the above issues</w:t>
      </w:r>
      <w:r w:rsidR="005A3306">
        <w:t>, The Delegate</w:t>
      </w:r>
      <w:r w:rsidR="005A3306" w:rsidRPr="00DE22F3">
        <w:t xml:space="preserve"> </w:t>
      </w:r>
      <w:r w:rsidR="00DE22F3" w:rsidRPr="00DE22F3">
        <w:t>support</w:t>
      </w:r>
      <w:r w:rsidR="005A3306">
        <w:t>s</w:t>
      </w:r>
      <w:r w:rsidR="00DE22F3" w:rsidRPr="00DE22F3">
        <w:t xml:space="preserve"> the sponsor’s proposed broad indication, with the one modification being specification of monotherapy as follows:</w:t>
      </w:r>
    </w:p>
    <w:p w:rsidR="00DE22F3" w:rsidRPr="00A16E1F" w:rsidRDefault="00987E81" w:rsidP="00A16E1F">
      <w:pPr>
        <w:ind w:left="720"/>
        <w:rPr>
          <w:i/>
        </w:rPr>
      </w:pPr>
      <w:r>
        <w:rPr>
          <w:i/>
        </w:rPr>
        <w:t>Keytruda</w:t>
      </w:r>
      <w:r w:rsidR="00DE22F3" w:rsidRPr="00DE22F3">
        <w:rPr>
          <w:i/>
        </w:rPr>
        <w:t xml:space="preserve"> (pembrolizumab) is indicated as monotherapy for the treatment of unresectable or metastatic melanoma in adults.</w:t>
      </w:r>
    </w:p>
    <w:p w:rsidR="005A3306" w:rsidRPr="005A3306" w:rsidRDefault="000F76F4" w:rsidP="005A3306">
      <w:r>
        <w:t>The Delegate had</w:t>
      </w:r>
      <w:r w:rsidR="005A3306" w:rsidRPr="005A3306">
        <w:t xml:space="preserve"> no reason to say that the application should not be approved for registration, but </w:t>
      </w:r>
      <w:r>
        <w:t>the Delegate</w:t>
      </w:r>
      <w:r w:rsidR="005A3306" w:rsidRPr="005A3306">
        <w:t xml:space="preserve"> support</w:t>
      </w:r>
      <w:r>
        <w:t>s</w:t>
      </w:r>
      <w:r w:rsidR="005A3306" w:rsidRPr="005A3306">
        <w:t xml:space="preserve"> a modified indication.</w:t>
      </w:r>
    </w:p>
    <w:p w:rsidR="00D23139" w:rsidRDefault="00D23139" w:rsidP="00D23139">
      <w:pPr>
        <w:pStyle w:val="Heading4"/>
      </w:pPr>
      <w:r w:rsidRPr="00D23139">
        <w:t>Request for ACPM advice</w:t>
      </w:r>
    </w:p>
    <w:p w:rsidR="00A16E1F" w:rsidRPr="00A16E1F" w:rsidRDefault="00A16E1F" w:rsidP="00A16E1F">
      <w:r w:rsidRPr="00A16E1F">
        <w:t>The committee is requested to provide advice on any issues that it thinks may be relevant to a decision on whether or not to approve this application.</w:t>
      </w:r>
    </w:p>
    <w:p w:rsidR="00A16E1F" w:rsidRDefault="00A16E1F" w:rsidP="00CD4434">
      <w:pPr>
        <w:pStyle w:val="Heading4"/>
      </w:pPr>
      <w:r>
        <w:t xml:space="preserve">Response from </w:t>
      </w:r>
      <w:r w:rsidR="001D4BB8">
        <w:t>sponsor</w:t>
      </w:r>
    </w:p>
    <w:p w:rsidR="00A16E1F" w:rsidRPr="00A16E1F" w:rsidRDefault="00A16E1F" w:rsidP="00A16E1F">
      <w:r w:rsidRPr="00A16E1F">
        <w:t xml:space="preserve">Merck Sharp </w:t>
      </w:r>
      <w:r w:rsidR="00CD4434">
        <w:t>and</w:t>
      </w:r>
      <w:r w:rsidRPr="00A16E1F">
        <w:t xml:space="preserve"> Dohme (MSD) </w:t>
      </w:r>
      <w:proofErr w:type="gramStart"/>
      <w:r w:rsidRPr="00A16E1F">
        <w:t>has</w:t>
      </w:r>
      <w:proofErr w:type="gramEnd"/>
      <w:r w:rsidRPr="00A16E1F">
        <w:t xml:space="preserve"> submitted the first in a new class of agents for the treatment of melanoma, pembrolizumab. Pembrolizumab is a human</w:t>
      </w:r>
      <w:r w:rsidR="00987E81">
        <w:t>ise</w:t>
      </w:r>
      <w:r w:rsidRPr="00A16E1F">
        <w:t>d monoclonal antibody (IgG4/kappa isotype) against the cell surface rec</w:t>
      </w:r>
      <w:r w:rsidR="00527EC3">
        <w:t>eptor PD-1, which inhibits PD</w:t>
      </w:r>
      <w:r w:rsidR="00527EC3">
        <w:noBreakHyphen/>
        <w:t>1 </w:t>
      </w:r>
      <w:r w:rsidRPr="00A16E1F">
        <w:t xml:space="preserve">– PD-L signalling. MSD concurs with the Delegate’s proposed recommendation for approval of </w:t>
      </w:r>
      <w:r w:rsidR="00987E81">
        <w:t>Keytruda</w:t>
      </w:r>
      <w:r w:rsidRPr="00A16E1F">
        <w:t xml:space="preserve"> (pembrolizumab</w:t>
      </w:r>
      <w:r w:rsidR="00CD4434">
        <w:t>) for the following indication:</w:t>
      </w:r>
    </w:p>
    <w:p w:rsidR="00A16E1F" w:rsidRPr="00A16E1F" w:rsidRDefault="00987E81" w:rsidP="00CD4434">
      <w:pPr>
        <w:ind w:left="720"/>
      </w:pPr>
      <w:r>
        <w:rPr>
          <w:i/>
        </w:rPr>
        <w:t>Keytruda</w:t>
      </w:r>
      <w:r w:rsidR="00A16E1F" w:rsidRPr="00CD4434">
        <w:rPr>
          <w:i/>
        </w:rPr>
        <w:t xml:space="preserve"> (pembrolizumab) is indicated as monotherapy for the treatment of unresectable or</w:t>
      </w:r>
      <w:r w:rsidR="00CD4434">
        <w:rPr>
          <w:i/>
        </w:rPr>
        <w:t xml:space="preserve"> metastatic melanoma in adults.</w:t>
      </w:r>
    </w:p>
    <w:p w:rsidR="00A16E1F" w:rsidRDefault="00A16E1F" w:rsidP="00CD4434">
      <w:r w:rsidRPr="00A16E1F">
        <w:t>Furthermore, MSD notes that the PI s</w:t>
      </w:r>
      <w:r w:rsidR="001F725A">
        <w:t xml:space="preserve">upplied to the TGA Delegate on </w:t>
      </w:r>
      <w:r w:rsidRPr="00A16E1F">
        <w:t>5 March 2015 has addressed all of the recommendations made by the Delegate in the Delegate’s Overview, and that there are no outstanding issues relating to the evaluation. This response d</w:t>
      </w:r>
      <w:r w:rsidR="00CD4434">
        <w:t>ocument will focus on the summary of issues</w:t>
      </w:r>
      <w:r w:rsidR="00CD4434" w:rsidRPr="00A16E1F">
        <w:t xml:space="preserve"> </w:t>
      </w:r>
      <w:r w:rsidRPr="00A16E1F">
        <w:t xml:space="preserve">outlined in the Delegate’s </w:t>
      </w:r>
      <w:r w:rsidR="00CD4434" w:rsidRPr="00A16E1F">
        <w:t>o</w:t>
      </w:r>
      <w:r w:rsidR="00CD4434">
        <w:t>verview.</w:t>
      </w:r>
    </w:p>
    <w:p w:rsidR="00A16E1F" w:rsidRPr="00A16E1F" w:rsidRDefault="00CD4434" w:rsidP="00CD4434">
      <w:pPr>
        <w:pStyle w:val="Heading5"/>
      </w:pPr>
      <w:r>
        <w:t>Study design</w:t>
      </w:r>
    </w:p>
    <w:p w:rsidR="00A16E1F" w:rsidRPr="00CD4434" w:rsidRDefault="00A16E1F" w:rsidP="00A16E1F">
      <w:pPr>
        <w:rPr>
          <w:i/>
        </w:rPr>
      </w:pPr>
      <w:r w:rsidRPr="00CD4434">
        <w:rPr>
          <w:i/>
        </w:rPr>
        <w:t xml:space="preserve">Summary of </w:t>
      </w:r>
      <w:r w:rsidR="000F76F4">
        <w:rPr>
          <w:i/>
        </w:rPr>
        <w:t>i</w:t>
      </w:r>
      <w:r w:rsidR="00065364">
        <w:rPr>
          <w:i/>
        </w:rPr>
        <w:t xml:space="preserve">ssue from </w:t>
      </w:r>
      <w:r w:rsidR="00890D29">
        <w:rPr>
          <w:i/>
        </w:rPr>
        <w:t>d</w:t>
      </w:r>
      <w:r w:rsidR="00065364">
        <w:rPr>
          <w:i/>
        </w:rPr>
        <w:t>elegate’s overview:</w:t>
      </w:r>
    </w:p>
    <w:p w:rsidR="00A16E1F" w:rsidRPr="00A16E1F" w:rsidRDefault="00A16E1F" w:rsidP="00CD4434">
      <w:pPr>
        <w:pStyle w:val="ListBullet"/>
      </w:pPr>
      <w:r w:rsidRPr="00A16E1F">
        <w:t xml:space="preserve">Lack of randomised comparison (at proposed dose / in all proposed populations) </w:t>
      </w:r>
      <w:r w:rsidR="00987E81">
        <w:t>versus</w:t>
      </w:r>
      <w:r w:rsidR="00562005">
        <w:t xml:space="preserve"> ipilimumab</w:t>
      </w:r>
      <w:r w:rsidRPr="00A16E1F">
        <w:t>, dacarba</w:t>
      </w:r>
      <w:r w:rsidR="000F76F4">
        <w:t>zine and BRAF ± MEK inhibitors</w:t>
      </w:r>
    </w:p>
    <w:p w:rsidR="00A16E1F" w:rsidRPr="00A16E1F" w:rsidRDefault="000F76F4" w:rsidP="00CD4434">
      <w:pPr>
        <w:pStyle w:val="ListBullet"/>
      </w:pPr>
      <w:r>
        <w:t xml:space="preserve">Use of ‘top </w:t>
      </w:r>
      <w:r w:rsidR="00A16E1F" w:rsidRPr="00A16E1F">
        <w:t xml:space="preserve">line’ </w:t>
      </w:r>
      <w:r w:rsidR="00CD4434">
        <w:t>dat</w:t>
      </w:r>
      <w:r>
        <w:t>a for studies P002 and P006</w:t>
      </w:r>
    </w:p>
    <w:p w:rsidR="00A16E1F" w:rsidRPr="00A16E1F" w:rsidRDefault="00A16E1F" w:rsidP="00A16E1F">
      <w:pPr>
        <w:pStyle w:val="ListBullet"/>
      </w:pPr>
      <w:r w:rsidRPr="00A16E1F">
        <w:t xml:space="preserve">Role of </w:t>
      </w:r>
      <w:r w:rsidR="00E05E08">
        <w:t>cross study</w:t>
      </w:r>
      <w:r w:rsidR="00CD4434">
        <w:t xml:space="preserve"> / historical comparisons.</w:t>
      </w:r>
    </w:p>
    <w:p w:rsidR="00A16E1F" w:rsidRPr="00CD4434" w:rsidRDefault="00CD4434" w:rsidP="00A16E1F">
      <w:pPr>
        <w:rPr>
          <w:i/>
        </w:rPr>
      </w:pPr>
      <w:r w:rsidRPr="00CD4434">
        <w:rPr>
          <w:i/>
        </w:rPr>
        <w:t>Sponsor’s</w:t>
      </w:r>
      <w:r w:rsidR="00A16E1F" w:rsidRPr="00CD4434">
        <w:rPr>
          <w:i/>
        </w:rPr>
        <w:t xml:space="preserve"> </w:t>
      </w:r>
      <w:r w:rsidRPr="00CD4434">
        <w:rPr>
          <w:i/>
        </w:rPr>
        <w:t>response:</w:t>
      </w:r>
    </w:p>
    <w:p w:rsidR="00A16E1F" w:rsidRDefault="00A16E1F" w:rsidP="00CD4434">
      <w:r w:rsidRPr="00A16E1F">
        <w:t xml:space="preserve">The Delegate’s </w:t>
      </w:r>
      <w:r w:rsidR="00CD4434">
        <w:t>o</w:t>
      </w:r>
      <w:r w:rsidRPr="00A16E1F">
        <w:t xml:space="preserve">verview supports a broad indication for </w:t>
      </w:r>
      <w:r w:rsidR="00987E81">
        <w:t>Keytruda</w:t>
      </w:r>
      <w:r w:rsidRPr="00A16E1F">
        <w:t xml:space="preserve"> use in advanced melanoma, without reference to line of therapy. This support is based on the evidence for </w:t>
      </w:r>
      <w:r w:rsidR="00987E81">
        <w:t>Keytruda</w:t>
      </w:r>
      <w:r w:rsidRPr="00A16E1F">
        <w:t xml:space="preserve">, and as noted by the Delegate, </w:t>
      </w:r>
      <w:r w:rsidR="00987E81">
        <w:t>‘</w:t>
      </w:r>
      <w:r w:rsidRPr="00CD4434">
        <w:rPr>
          <w:i/>
        </w:rPr>
        <w:t>Comparison of results with ipilimumab is appropriate</w:t>
      </w:r>
      <w:r w:rsidR="00CD4434">
        <w:t>.</w:t>
      </w:r>
      <w:r w:rsidR="00987E81">
        <w:t>’</w:t>
      </w:r>
      <w:r w:rsidR="00CD4434">
        <w:t xml:space="preserve"> </w:t>
      </w:r>
      <w:r w:rsidRPr="00A16E1F">
        <w:t xml:space="preserve">Also as noted by the Delegate; </w:t>
      </w:r>
      <w:r w:rsidR="00987E81">
        <w:t>Keytruda</w:t>
      </w:r>
      <w:r w:rsidRPr="00A16E1F">
        <w:t xml:space="preserve"> has a better benefit-risk profile compared with ipilimumab, which is currently used </w:t>
      </w:r>
      <w:r w:rsidR="00E76E0B">
        <w:t>first line</w:t>
      </w:r>
      <w:r w:rsidRPr="00A16E1F">
        <w:t xml:space="preserve"> for advanced melanoma.</w:t>
      </w:r>
      <w:r w:rsidR="00CD4434">
        <w:t xml:space="preserve"> In brief, as described in the o</w:t>
      </w:r>
      <w:r w:rsidRPr="00A16E1F">
        <w:t>verview th</w:t>
      </w:r>
      <w:r w:rsidR="00CD4434">
        <w:t xml:space="preserve">is conclusion is based on cross </w:t>
      </w:r>
      <w:r w:rsidRPr="00A16E1F">
        <w:t>study comparisons relative to dacarbazine and ipilimumab with demonstrated overall response rates and durability strongly favouring pembrolizumab. The Delegate further observes that pembrolizumab’s safety profile seems very different and relatively good when compared to ipilimumab.</w:t>
      </w:r>
    </w:p>
    <w:p w:rsidR="00A16E1F" w:rsidRPr="00A16E1F" w:rsidRDefault="00CD4434" w:rsidP="00A16E1F">
      <w:r>
        <w:t>The Delegate’s o</w:t>
      </w:r>
      <w:r w:rsidR="00A16E1F" w:rsidRPr="00A16E1F">
        <w:t>verview of recent therapeutic advances in melanoma emphas</w:t>
      </w:r>
      <w:r w:rsidR="00987E81">
        <w:t>ise</w:t>
      </w:r>
      <w:r w:rsidR="00A16E1F" w:rsidRPr="00A16E1F">
        <w:t xml:space="preserve">s the significant unmet medical need potentially addressed by pembrolizumab. In brief, disease control by BRAF inhibitors is transient, only </w:t>
      </w:r>
      <w:r>
        <w:t xml:space="preserve">approximately </w:t>
      </w:r>
      <w:r w:rsidR="00A16E1F" w:rsidRPr="00A16E1F">
        <w:t xml:space="preserve">15% of patients of patients </w:t>
      </w:r>
      <w:r w:rsidR="00A16E1F" w:rsidRPr="00A16E1F">
        <w:lastRenderedPageBreak/>
        <w:t>treated with ipilimumab achieve responses, and average dacarbazine r</w:t>
      </w:r>
      <w:r>
        <w:t xml:space="preserve">esponse rates are 9% (range 6.0 to </w:t>
      </w:r>
      <w:r w:rsidR="00A16E1F" w:rsidRPr="00A16E1F">
        <w:t xml:space="preserve">12.1%). In consideration of this unmet medical need, and after acknowledging </w:t>
      </w:r>
      <w:r w:rsidR="00987E81">
        <w:rPr>
          <w:i/>
        </w:rPr>
        <w:t>‘</w:t>
      </w:r>
      <w:r w:rsidR="00A16E1F" w:rsidRPr="00CD4434">
        <w:rPr>
          <w:i/>
        </w:rPr>
        <w:t>that ICH E10 outlines many, major disadvantages with the use of historical controls</w:t>
      </w:r>
      <w:r w:rsidR="00987E81">
        <w:t>’</w:t>
      </w:r>
      <w:r w:rsidR="00A16E1F" w:rsidRPr="00A16E1F">
        <w:t>, the Deleg</w:t>
      </w:r>
      <w:r>
        <w:t>ate has used the principles of external c</w:t>
      </w:r>
      <w:r w:rsidR="000F76F4">
        <w:t>ontrols</w:t>
      </w:r>
      <w:r w:rsidR="00A16E1F" w:rsidRPr="00A16E1F">
        <w:t xml:space="preserve"> to compare </w:t>
      </w:r>
      <w:r w:rsidR="00987E81">
        <w:t>Keytruda</w:t>
      </w:r>
      <w:r>
        <w:t xml:space="preserve"> to other agents in his o</w:t>
      </w:r>
      <w:r w:rsidR="00A16E1F" w:rsidRPr="00A16E1F">
        <w:t>verview. The Guideline indicates that such comparisons</w:t>
      </w:r>
      <w:r w:rsidR="00A16E1F">
        <w:t xml:space="preserve"> </w:t>
      </w:r>
      <w:r w:rsidR="00A16E1F" w:rsidRPr="00A16E1F">
        <w:t xml:space="preserve">are reasonable when the effect is </w:t>
      </w:r>
      <w:r w:rsidR="00987E81">
        <w:t>‘</w:t>
      </w:r>
      <w:r w:rsidR="00A16E1F" w:rsidRPr="00A16E1F">
        <w:t>dramatic.</w:t>
      </w:r>
      <w:r w:rsidR="00987E81">
        <w:t>’</w:t>
      </w:r>
      <w:r w:rsidR="00A16E1F" w:rsidRPr="00A16E1F">
        <w:t xml:space="preserve"> The data supporting the favourable benefit:</w:t>
      </w:r>
      <w:r w:rsidR="002E600C">
        <w:t xml:space="preserve"> </w:t>
      </w:r>
      <w:r w:rsidR="00A16E1F" w:rsidRPr="00A16E1F">
        <w:t>risk ratio of pembrolizumab is summar</w:t>
      </w:r>
      <w:r w:rsidR="00987E81">
        <w:t>ise</w:t>
      </w:r>
      <w:r w:rsidR="00A16E1F" w:rsidRPr="00A16E1F">
        <w:t xml:space="preserve">d in the Delegate’s </w:t>
      </w:r>
      <w:r w:rsidR="002E600C">
        <w:t>overview.</w:t>
      </w:r>
    </w:p>
    <w:p w:rsidR="00A16E1F" w:rsidRDefault="00A16E1F" w:rsidP="00A16E1F">
      <w:r w:rsidRPr="00A16E1F">
        <w:t xml:space="preserve">Regarding the study design issues from the Delegates overview, MSD acknowledges that data comparing </w:t>
      </w:r>
      <w:r w:rsidR="00987E81">
        <w:t>Keytruda</w:t>
      </w:r>
      <w:r w:rsidRPr="00A16E1F">
        <w:t xml:space="preserve"> treatment to other oncological agents was not available at the time of dossier submission. However, given the results from P001, and in light of the unmet medical need, an application was submitted to enable registration of </w:t>
      </w:r>
      <w:r w:rsidR="00987E81">
        <w:t>Keytruda</w:t>
      </w:r>
      <w:r w:rsidRPr="00A16E1F">
        <w:t xml:space="preserve"> while additional study of the product was ongoing. MSD </w:t>
      </w:r>
      <w:r w:rsidR="000F76F4" w:rsidRPr="00A16E1F">
        <w:t>supplied</w:t>
      </w:r>
      <w:r w:rsidR="000F76F4">
        <w:t xml:space="preserve"> early results memos </w:t>
      </w:r>
      <w:r w:rsidR="002E600C">
        <w:t>(ERM) for S</w:t>
      </w:r>
      <w:r w:rsidRPr="00A16E1F">
        <w:t>tudies P002 (comparison to chemotherapy) and P006 (comparison to ipilimumab) to address the need for randomised comparison data during the review process. Although the ERM was provided during review the CSR</w:t>
      </w:r>
      <w:r w:rsidR="000F76F4">
        <w:t>s</w:t>
      </w:r>
      <w:r w:rsidRPr="00A16E1F">
        <w:t xml:space="preserve"> from these trials are now drafted, and the results and conclusions are not meaningfully different from the ERM. After finalization, these CSRs will be submitted to the TGA, after approval. The results from P002 and P006 confirm the results seen in Protocol 001, giving further support to the safety and efficacy of the product and the approvability of the application. The results from P002 and P006 confirm the favourable benefit-risk of </w:t>
      </w:r>
      <w:r w:rsidR="00987E81">
        <w:t>Keytruda</w:t>
      </w:r>
      <w:r w:rsidRPr="00A16E1F">
        <w:t xml:space="preserve"> in ipilimumab refractory and naïve patients. In summary, given the urgency of the current unmet medical need, and the favourable benefit:</w:t>
      </w:r>
      <w:r w:rsidR="002E600C">
        <w:t xml:space="preserve"> </w:t>
      </w:r>
      <w:r w:rsidRPr="00A16E1F">
        <w:t xml:space="preserve">risk profile the evidence supports a broad indication for </w:t>
      </w:r>
      <w:r w:rsidR="00987E81">
        <w:t>Keytruda</w:t>
      </w:r>
      <w:r w:rsidRPr="00A16E1F">
        <w:t>.</w:t>
      </w:r>
    </w:p>
    <w:p w:rsidR="00A16E1F" w:rsidRPr="00A16E1F" w:rsidRDefault="002E600C" w:rsidP="002E600C">
      <w:pPr>
        <w:pStyle w:val="Heading5"/>
      </w:pPr>
      <w:r>
        <w:t>Efficacy</w:t>
      </w:r>
    </w:p>
    <w:p w:rsidR="00A16E1F" w:rsidRPr="002E600C" w:rsidRDefault="00A16E1F" w:rsidP="00A16E1F">
      <w:pPr>
        <w:rPr>
          <w:i/>
        </w:rPr>
      </w:pPr>
      <w:r w:rsidRPr="002E600C">
        <w:rPr>
          <w:i/>
        </w:rPr>
        <w:t>Su</w:t>
      </w:r>
      <w:r w:rsidR="002E600C" w:rsidRPr="002E600C">
        <w:rPr>
          <w:i/>
        </w:rPr>
        <w:t xml:space="preserve">mmary of issue from </w:t>
      </w:r>
      <w:r w:rsidR="00890D29">
        <w:rPr>
          <w:i/>
        </w:rPr>
        <w:t>d</w:t>
      </w:r>
      <w:r w:rsidR="002E600C" w:rsidRPr="002E600C">
        <w:rPr>
          <w:i/>
        </w:rPr>
        <w:t>elegate’s overview:</w:t>
      </w:r>
    </w:p>
    <w:p w:rsidR="00A16E1F" w:rsidRPr="00A16E1F" w:rsidRDefault="00A16E1F" w:rsidP="002E600C">
      <w:pPr>
        <w:pStyle w:val="ListBullet"/>
      </w:pPr>
      <w:r w:rsidRPr="00A16E1F">
        <w:t>The fraction of subjects with BR</w:t>
      </w:r>
      <w:r w:rsidR="002E600C">
        <w:t>AF V600 mutant tumours was low.</w:t>
      </w:r>
    </w:p>
    <w:p w:rsidR="00A16E1F" w:rsidRPr="00A16E1F" w:rsidRDefault="00A16E1F" w:rsidP="002E600C">
      <w:pPr>
        <w:pStyle w:val="ListBullet"/>
      </w:pPr>
      <w:r w:rsidRPr="00A16E1F">
        <w:t>In P001, there was an emphasis on objective resp</w:t>
      </w:r>
      <w:r w:rsidR="002E600C">
        <w:t>onse rate (ORR) as an endpoint.</w:t>
      </w:r>
    </w:p>
    <w:p w:rsidR="00A16E1F" w:rsidRPr="00A16E1F" w:rsidRDefault="00A16E1F" w:rsidP="002E600C">
      <w:pPr>
        <w:pStyle w:val="ListBullet"/>
      </w:pPr>
      <w:r w:rsidRPr="00A16E1F">
        <w:t>The proposed dose regimen is 2 mg/kg Q3W but in P001, P002 and P006 a variety of dose regim</w:t>
      </w:r>
      <w:r w:rsidR="002E600C">
        <w:t>ens was used for pembrolizumab.</w:t>
      </w:r>
    </w:p>
    <w:p w:rsidR="00A16E1F" w:rsidRPr="00A16E1F" w:rsidRDefault="00A16E1F" w:rsidP="00A16E1F">
      <w:pPr>
        <w:pStyle w:val="ListBullet"/>
      </w:pPr>
      <w:r w:rsidRPr="00A16E1F">
        <w:t>There was a large imbalance in efficacy (reflected by ORR) between subjects with PD-L1 positive and PD-L1 negative tumours in P001. A moderate imbalance was also seen in P002. Results in P006 are consis</w:t>
      </w:r>
      <w:r w:rsidR="002E600C">
        <w:t>tent with a moderate imbalance.</w:t>
      </w:r>
    </w:p>
    <w:p w:rsidR="00A16E1F" w:rsidRPr="002E600C" w:rsidRDefault="002E600C" w:rsidP="00A16E1F">
      <w:pPr>
        <w:rPr>
          <w:i/>
        </w:rPr>
      </w:pPr>
      <w:r w:rsidRPr="002E600C">
        <w:rPr>
          <w:i/>
        </w:rPr>
        <w:t>Sponsor’s response:</w:t>
      </w:r>
    </w:p>
    <w:p w:rsidR="00A16E1F" w:rsidRPr="00A16E1F" w:rsidRDefault="00A16E1F" w:rsidP="00A16E1F">
      <w:r w:rsidRPr="00A16E1F">
        <w:t>While the Delegate’s overview describes overall support for a broad indication for pembrolizumab</w:t>
      </w:r>
      <w:r w:rsidR="002E600C">
        <w:t xml:space="preserve"> use in advanced melanoma, the D</w:t>
      </w:r>
      <w:r w:rsidRPr="00A16E1F">
        <w:t>elegate noted areas where additional advice is requested from the ACPM.</w:t>
      </w:r>
    </w:p>
    <w:p w:rsidR="00A16E1F" w:rsidRPr="00A16E1F" w:rsidRDefault="00A16E1F" w:rsidP="00A16E1F">
      <w:r w:rsidRPr="00A16E1F">
        <w:t xml:space="preserve">The Delegate observes that the fraction of patients with BRAF mutant tumours was low. To address the low fraction of BRAF mutant </w:t>
      </w:r>
      <w:r w:rsidR="002E600C" w:rsidRPr="00A16E1F">
        <w:t>tumours</w:t>
      </w:r>
      <w:r w:rsidRPr="00A16E1F">
        <w:t xml:space="preserve"> two observations could be considered. First, the low fraction of patients with BRAF mutant </w:t>
      </w:r>
      <w:r w:rsidR="002E600C" w:rsidRPr="00A16E1F">
        <w:t>tumours</w:t>
      </w:r>
      <w:r w:rsidRPr="00A16E1F">
        <w:t xml:space="preserve"> likely reflects the actual fraction of trial eligible patients with BRAF mutant </w:t>
      </w:r>
      <w:r w:rsidR="002E600C" w:rsidRPr="00A16E1F">
        <w:t>tumours</w:t>
      </w:r>
      <w:r w:rsidRPr="00A16E1F">
        <w:t xml:space="preserve">. In the first pivotal trial of a BRAF inhibitor (vemurafenib </w:t>
      </w:r>
      <w:r w:rsidR="00987E81">
        <w:t>versus</w:t>
      </w:r>
      <w:r w:rsidRPr="00A16E1F">
        <w:t xml:space="preserve"> dacarbazine), the study enrolled 32% of screened subjects (675 subjects enrolled out of 2,107 subjects screened), due to lack of BRAF V600E mutations in the screened population</w:t>
      </w:r>
      <w:r w:rsidR="00A34193">
        <w:t>.</w:t>
      </w:r>
      <w:r w:rsidR="00A34193">
        <w:rPr>
          <w:rStyle w:val="FootnoteReference"/>
        </w:rPr>
        <w:footnoteReference w:id="77"/>
      </w:r>
      <w:r w:rsidRPr="00A16E1F">
        <w:t xml:space="preserve"> Second, the low fraction also likely reflects the transience of response to BRAF targeted therapies, which is accompanied by rapid deterioration in patients failing BRAF inhibitor therapies. The median time to death after </w:t>
      </w:r>
      <w:r w:rsidRPr="00A16E1F">
        <w:lastRenderedPageBreak/>
        <w:t>discontinuing BRAF inhibitors is 3.0 months and only 12% of subjects go on to receive any</w:t>
      </w:r>
      <w:r>
        <w:t xml:space="preserve"> </w:t>
      </w:r>
      <w:r w:rsidRPr="00A16E1F">
        <w:t xml:space="preserve">subsequent line of therapy following BRAF inhibitor </w:t>
      </w:r>
      <w:r w:rsidR="00065364">
        <w:t>discontinuation</w:t>
      </w:r>
      <w:r w:rsidRPr="00065364">
        <w:t>.</w:t>
      </w:r>
      <w:r w:rsidRPr="00A16E1F">
        <w:t xml:space="preserve"> The median PFS for </w:t>
      </w:r>
      <w:proofErr w:type="spellStart"/>
      <w:r w:rsidRPr="00A16E1F">
        <w:t>ipilimumab</w:t>
      </w:r>
      <w:proofErr w:type="spellEnd"/>
      <w:r w:rsidRPr="00A16E1F">
        <w:t xml:space="preserve"> following </w:t>
      </w:r>
      <w:proofErr w:type="spellStart"/>
      <w:r w:rsidRPr="00A16E1F">
        <w:t>BRAFi</w:t>
      </w:r>
      <w:proofErr w:type="spellEnd"/>
      <w:r w:rsidRPr="00A16E1F">
        <w:t xml:space="preserve"> is 2.7 months and OS is 5.0 mont</w:t>
      </w:r>
      <w:r w:rsidR="00AE3746">
        <w:t xml:space="preserve">hs. Thus, patients who are BRAF </w:t>
      </w:r>
      <w:r w:rsidRPr="00A16E1F">
        <w:t xml:space="preserve">positive, and have failed BRAF/MEK inhibitor treatment, are typically very sick and were therefore not eligible for enrolment in P001 (which required an ECOG </w:t>
      </w:r>
      <w:r w:rsidR="007B720C" w:rsidRPr="00A16E1F">
        <w:t xml:space="preserve">performance status </w:t>
      </w:r>
      <w:r w:rsidR="00185D72">
        <w:t xml:space="preserve">of 0 to </w:t>
      </w:r>
      <w:r w:rsidRPr="00A16E1F">
        <w:t xml:space="preserve">1 for enrolment). Indeed the low fraction of subjects with BRAF V600 mutant </w:t>
      </w:r>
      <w:r w:rsidR="002E600C" w:rsidRPr="00A16E1F">
        <w:t>tumours</w:t>
      </w:r>
      <w:r w:rsidRPr="00A16E1F">
        <w:t xml:space="preserve"> eligible for later lines of therapy may actually reflect their importance as a subgroup with a high unmet medical need that could potentially be addressed by p</w:t>
      </w:r>
      <w:r w:rsidR="002E600C">
        <w:t>embrolizumab.</w:t>
      </w:r>
    </w:p>
    <w:p w:rsidR="00A16E1F" w:rsidRPr="00A16E1F" w:rsidRDefault="00A16E1F" w:rsidP="00A16E1F">
      <w:r w:rsidRPr="00A16E1F">
        <w:t>As suggested by the Delegate, to help prescribers to make informed decisions, informati</w:t>
      </w:r>
      <w:r w:rsidR="00AE3746">
        <w:t xml:space="preserve">on in BRAF mutant and BRAF wild </w:t>
      </w:r>
      <w:r w:rsidRPr="00A16E1F">
        <w:t xml:space="preserve">type tumours from P001 have now been included in the PI. Furthermore, the low fraction of BRAF mutant </w:t>
      </w:r>
      <w:r w:rsidR="002E600C" w:rsidRPr="00A16E1F">
        <w:t>tumours</w:t>
      </w:r>
      <w:r w:rsidRPr="00A16E1F">
        <w:t xml:space="preserve"> in P002 and P006 should be considered in the perspective of the higher proportion of BRAF mutant patients seen in P006 where similar overall efficacy and safety results for the BRAF subgroups is demonstrated. As described by the Delegate:</w:t>
      </w:r>
    </w:p>
    <w:p w:rsidR="00A16E1F" w:rsidRPr="00A16E1F" w:rsidRDefault="00987E81" w:rsidP="00A16E1F">
      <w:pPr>
        <w:ind w:left="720"/>
        <w:rPr>
          <w:i/>
        </w:rPr>
      </w:pPr>
      <w:r>
        <w:rPr>
          <w:i/>
        </w:rPr>
        <w:t>‘</w:t>
      </w:r>
      <w:r w:rsidR="00AE3746">
        <w:rPr>
          <w:i/>
        </w:rPr>
        <w:t xml:space="preserve">In P006, as revealed by top </w:t>
      </w:r>
      <w:r w:rsidR="00A16E1F" w:rsidRPr="00A16E1F">
        <w:rPr>
          <w:i/>
        </w:rPr>
        <w:t>line outcomes, tumour BRAF stat</w:t>
      </w:r>
      <w:r w:rsidR="002E600C">
        <w:rPr>
          <w:i/>
        </w:rPr>
        <w:t>us did not influence efficacy.</w:t>
      </w:r>
      <w:r>
        <w:rPr>
          <w:i/>
        </w:rPr>
        <w:t>’</w:t>
      </w:r>
    </w:p>
    <w:p w:rsidR="00A16E1F" w:rsidRPr="00A16E1F" w:rsidRDefault="00A16E1F" w:rsidP="00A16E1F">
      <w:r w:rsidRPr="00A16E1F">
        <w:t>The use of objective response rate (ORR) as an endpoint in P001 was raised by</w:t>
      </w:r>
      <w:r w:rsidR="002E600C">
        <w:t xml:space="preserve"> the Delegate. As a single arm Phase I</w:t>
      </w:r>
      <w:r w:rsidRPr="00A16E1F">
        <w:t xml:space="preserve"> trial, ORR was the most appropriate choice of efficacy endpoint for P001. For conditions with significant unmet medical need, ORR is an increasingly accepted, based on the track record of ORR as a surrogate efficacy endpoint. Although the emphasis on O</w:t>
      </w:r>
      <w:r w:rsidR="002E600C">
        <w:t>RR was appropriate for a single arm Phase I</w:t>
      </w:r>
      <w:r w:rsidRPr="00A16E1F">
        <w:t xml:space="preserve"> trial, the expansion of the study to explore issues of prior treatment and dose allowed for additional evaluations of response durability. The combination of ORR and response duration in P001 supported the overall positive view of the benefit:</w:t>
      </w:r>
      <w:r w:rsidR="002E600C">
        <w:t xml:space="preserve"> </w:t>
      </w:r>
      <w:r w:rsidRPr="00A16E1F">
        <w:t>risk ratio. At this time, the robust data from P001 are supported by results in P002 and P006.</w:t>
      </w:r>
    </w:p>
    <w:p w:rsidR="002E600C" w:rsidRDefault="00A16E1F" w:rsidP="00A16E1F">
      <w:r w:rsidRPr="00A16E1F">
        <w:t>MSD acknowledges that patients were treated with a dosage regimen that differed from that which is proposed (10 mg/kg Q2W/Q3W as opposed to 2 mg/kg Q3W). However, there are no significant differences in terms of efficacy or safety between any of the tested dosage regimens in any of the available melanoma studies. P001 has shown that 2 mg/kg Q3W and 10 mg/kg Q3W are thera</w:t>
      </w:r>
      <w:r w:rsidR="005074F1">
        <w:t>peutically equivalent based on:</w:t>
      </w:r>
    </w:p>
    <w:p w:rsidR="002E600C" w:rsidRDefault="00185D72" w:rsidP="005074F1">
      <w:pPr>
        <w:pStyle w:val="Numberbullet3"/>
      </w:pPr>
      <w:r>
        <w:t xml:space="preserve">P001 Part B2 (IPI </w:t>
      </w:r>
      <w:r w:rsidR="00A16E1F" w:rsidRPr="00A16E1F">
        <w:t>refractory melanoma) which directly compare</w:t>
      </w:r>
      <w:r w:rsidR="002E600C">
        <w:t xml:space="preserve">s 2 </w:t>
      </w:r>
      <w:r w:rsidR="00987E81">
        <w:t>versus</w:t>
      </w:r>
      <w:r w:rsidR="002E600C">
        <w:t xml:space="preserve"> 10 mg/kg Q3W in 173 p</w:t>
      </w:r>
      <w:r w:rsidR="00562005">
        <w:t>atien</w:t>
      </w:r>
      <w:r w:rsidR="002E600C">
        <w:t>ts;</w:t>
      </w:r>
    </w:p>
    <w:p w:rsidR="002E600C" w:rsidRDefault="00185D72" w:rsidP="005074F1">
      <w:pPr>
        <w:pStyle w:val="Numberbullet3"/>
      </w:pPr>
      <w:r>
        <w:t xml:space="preserve">P001 Part D (IPI </w:t>
      </w:r>
      <w:r w:rsidR="00A16E1F" w:rsidRPr="00A16E1F">
        <w:t xml:space="preserve">naïve melanoma), which directly compares 2 </w:t>
      </w:r>
      <w:r w:rsidR="00987E81">
        <w:t>versus</w:t>
      </w:r>
      <w:r>
        <w:t xml:space="preserve"> 10 </w:t>
      </w:r>
      <w:r w:rsidR="002E600C">
        <w:t xml:space="preserve">mg/kg Q3W in 103 </w:t>
      </w:r>
      <w:r w:rsidR="00562005">
        <w:t>patients</w:t>
      </w:r>
      <w:r w:rsidR="002E600C">
        <w:t>, and</w:t>
      </w:r>
    </w:p>
    <w:p w:rsidR="005074F1" w:rsidRDefault="00185D72" w:rsidP="005074F1">
      <w:pPr>
        <w:pStyle w:val="Numberbullet3"/>
      </w:pPr>
      <w:r>
        <w:t xml:space="preserve">P002 (IPI </w:t>
      </w:r>
      <w:r w:rsidR="00A16E1F" w:rsidRPr="00A16E1F">
        <w:t>refractory melanoma), which directly compare</w:t>
      </w:r>
      <w:r w:rsidR="005074F1">
        <w:t xml:space="preserve">s 2 </w:t>
      </w:r>
      <w:r w:rsidR="00987E81">
        <w:t>versus</w:t>
      </w:r>
      <w:r w:rsidR="005074F1">
        <w:t xml:space="preserve"> 10 mg/kg Q3W in 361 </w:t>
      </w:r>
      <w:r w:rsidR="00562005">
        <w:t>patients</w:t>
      </w:r>
      <w:r w:rsidR="005074F1">
        <w:t>.</w:t>
      </w:r>
    </w:p>
    <w:p w:rsidR="00A16E1F" w:rsidRPr="00A16E1F" w:rsidRDefault="00A16E1F" w:rsidP="00A16E1F">
      <w:r w:rsidRPr="00A16E1F">
        <w:t>Data from P001 Part B3 show that the dose interva</w:t>
      </w:r>
      <w:r w:rsidR="005074F1">
        <w:t>ls of 10 mg/kg</w:t>
      </w:r>
      <w:r w:rsidR="008F7F3A">
        <w:t xml:space="preserve"> Q3W and 10 </w:t>
      </w:r>
      <w:r w:rsidR="005074F1">
        <w:t>mg/kg </w:t>
      </w:r>
      <w:r w:rsidRPr="00A16E1F">
        <w:t>Q2W had comparable efficacy and safety. Taken together, 10 mg/kg Q3W is common to all random</w:t>
      </w:r>
      <w:r w:rsidR="00987E81">
        <w:t>ise</w:t>
      </w:r>
      <w:r w:rsidRPr="00A16E1F">
        <w:t>d comparisons, and we can conclude that if 2 mg/kg Q3W is therapeutically equivalent to 10 mg/kg Q3W and if 10 mg/kg Q3W is also t</w:t>
      </w:r>
      <w:r w:rsidR="005074F1">
        <w:t>herapeutically equivalent to 10 </w:t>
      </w:r>
      <w:r w:rsidRPr="00A16E1F">
        <w:t>mg/kg Q2W, we can conclude that 10 mg/kg Q3W is also therapeutically equivalent to 2 mg/kg Q3W. The equivalence of these doses and schedules is acknowledged by the Delegate sever</w:t>
      </w:r>
      <w:r w:rsidR="005074F1">
        <w:t>al times throughout the o</w:t>
      </w:r>
      <w:r w:rsidRPr="00A16E1F">
        <w:t>verview. For example the Delegate states:</w:t>
      </w:r>
    </w:p>
    <w:p w:rsidR="00A16E1F" w:rsidRPr="00A16E1F" w:rsidRDefault="00987E81" w:rsidP="00A16E1F">
      <w:pPr>
        <w:ind w:left="720"/>
        <w:rPr>
          <w:i/>
        </w:rPr>
      </w:pPr>
      <w:r>
        <w:rPr>
          <w:i/>
        </w:rPr>
        <w:t>‘</w:t>
      </w:r>
      <w:r w:rsidR="00A16E1F" w:rsidRPr="00A16E1F">
        <w:rPr>
          <w:i/>
        </w:rPr>
        <w:t>On balance, I agree with the view that no clinically relevant exposure-efficacy</w:t>
      </w:r>
      <w:r w:rsidR="005074F1">
        <w:rPr>
          <w:i/>
        </w:rPr>
        <w:t xml:space="preserve"> relationship has been found.</w:t>
      </w:r>
      <w:r>
        <w:rPr>
          <w:i/>
        </w:rPr>
        <w:t>’</w:t>
      </w:r>
    </w:p>
    <w:p w:rsidR="00A16E1F" w:rsidRPr="00A16E1F" w:rsidRDefault="00987E81" w:rsidP="00A16E1F">
      <w:pPr>
        <w:ind w:left="720"/>
        <w:rPr>
          <w:i/>
        </w:rPr>
      </w:pPr>
      <w:r>
        <w:rPr>
          <w:i/>
        </w:rPr>
        <w:t>‘</w:t>
      </w:r>
      <w:r w:rsidR="00A16E1F" w:rsidRPr="00A16E1F">
        <w:rPr>
          <w:i/>
        </w:rPr>
        <w:t>The sponsor’s view is suppor</w:t>
      </w:r>
      <w:r w:rsidR="00065364">
        <w:rPr>
          <w:i/>
        </w:rPr>
        <w:t>ted by summary safety findings -</w:t>
      </w:r>
      <w:r w:rsidR="00A16E1F" w:rsidRPr="00A16E1F">
        <w:rPr>
          <w:i/>
        </w:rPr>
        <w:t xml:space="preserve"> which showed no consistent picture of more toxicity in </w:t>
      </w:r>
      <w:r w:rsidR="005074F1">
        <w:rPr>
          <w:i/>
        </w:rPr>
        <w:t>arms with more intense dosing.</w:t>
      </w:r>
      <w:r>
        <w:rPr>
          <w:i/>
        </w:rPr>
        <w:t>’</w:t>
      </w:r>
    </w:p>
    <w:p w:rsidR="00A16E1F" w:rsidRPr="00A16E1F" w:rsidRDefault="00A16E1F" w:rsidP="00A16E1F">
      <w:r w:rsidRPr="00A16E1F">
        <w:lastRenderedPageBreak/>
        <w:t xml:space="preserve">MSD acknowledges the Delegate’s comment on the differences seen between PD-L1 positive </w:t>
      </w:r>
      <w:r w:rsidR="005074F1">
        <w:t>and</w:t>
      </w:r>
      <w:r w:rsidRPr="00A16E1F">
        <w:t xml:space="preserve"> negative patients through the tr</w:t>
      </w:r>
      <w:r w:rsidR="005074F1">
        <w:t>ials. Since the D</w:t>
      </w:r>
      <w:r w:rsidRPr="00A16E1F">
        <w:t>elegate indicated that the overall benefit:</w:t>
      </w:r>
      <w:r w:rsidR="005074F1">
        <w:t xml:space="preserve"> </w:t>
      </w:r>
      <w:r w:rsidRPr="00A16E1F">
        <w:t xml:space="preserve">risk ratio is acceptable for PD-L1 positive patients, the specific area for ACPM advice focuses on the PD-L1 negative population. As suggested by the Delegate, the difference in ORR between PD-L1 positive and negative patients is planned to be provided in the PI for prescribers to make informed treatment decisions. Although a moderate imbalance was observed in ORR between positive and negative subgroups, a positive </w:t>
      </w:r>
      <w:r w:rsidR="005074F1" w:rsidRPr="00A16E1F">
        <w:t>benefit:</w:t>
      </w:r>
      <w:r w:rsidR="005074F1">
        <w:t xml:space="preserve"> </w:t>
      </w:r>
      <w:r w:rsidR="005074F1" w:rsidRPr="00A16E1F">
        <w:t xml:space="preserve">risk </w:t>
      </w:r>
      <w:r w:rsidRPr="00A16E1F">
        <w:t xml:space="preserve">profile in PD-L1 negative patients is still seen and there have been no differences observed yet in terms of OS between the groups. It is also important to note that an IHC test will not be available commercially at this time, therefore the PD-L1 status will not be known for </w:t>
      </w:r>
      <w:r w:rsidR="005074F1">
        <w:t>most (if not all) patients.</w:t>
      </w:r>
    </w:p>
    <w:p w:rsidR="00A16E1F" w:rsidRPr="00A16E1F" w:rsidRDefault="005074F1" w:rsidP="005074F1">
      <w:pPr>
        <w:pStyle w:val="Heading5"/>
      </w:pPr>
      <w:r>
        <w:t>Safety</w:t>
      </w:r>
    </w:p>
    <w:p w:rsidR="005074F1" w:rsidRPr="002E600C" w:rsidRDefault="005074F1" w:rsidP="005074F1">
      <w:pPr>
        <w:rPr>
          <w:i/>
        </w:rPr>
      </w:pPr>
      <w:r w:rsidRPr="002E600C">
        <w:rPr>
          <w:i/>
        </w:rPr>
        <w:t>Summary of issue from Delegate’s overview:</w:t>
      </w:r>
    </w:p>
    <w:p w:rsidR="00A16E1F" w:rsidRPr="00A16E1F" w:rsidRDefault="00A16E1F" w:rsidP="005074F1">
      <w:pPr>
        <w:pStyle w:val="ListBullet"/>
      </w:pPr>
      <w:r w:rsidRPr="00A16E1F">
        <w:t xml:space="preserve">Robustness of </w:t>
      </w:r>
      <w:r w:rsidR="00987E81">
        <w:t>immune related</w:t>
      </w:r>
      <w:r w:rsidRPr="00A16E1F">
        <w:t xml:space="preserve"> adverse ev</w:t>
      </w:r>
      <w:r w:rsidR="005074F1">
        <w:t>ent (</w:t>
      </w:r>
      <w:proofErr w:type="spellStart"/>
      <w:r w:rsidR="005074F1">
        <w:t>irAE</w:t>
      </w:r>
      <w:proofErr w:type="spellEnd"/>
      <w:r w:rsidR="005074F1">
        <w:t>) frequency estimates.</w:t>
      </w:r>
    </w:p>
    <w:p w:rsidR="00A16E1F" w:rsidRPr="00A16E1F" w:rsidRDefault="00A16E1F" w:rsidP="005074F1">
      <w:pPr>
        <w:pStyle w:val="ListBullet"/>
      </w:pPr>
      <w:r w:rsidRPr="00A16E1F">
        <w:t>Difficulty of compa</w:t>
      </w:r>
      <w:r w:rsidR="005074F1">
        <w:t>rison with all relevant agents.</w:t>
      </w:r>
    </w:p>
    <w:p w:rsidR="00A16E1F" w:rsidRPr="00A16E1F" w:rsidRDefault="00A16E1F" w:rsidP="005074F1">
      <w:pPr>
        <w:pStyle w:val="ListBullet"/>
      </w:pPr>
      <w:r w:rsidRPr="00A16E1F">
        <w:t xml:space="preserve">Depth of characterisation of </w:t>
      </w:r>
      <w:proofErr w:type="spellStart"/>
      <w:r w:rsidRPr="00A16E1F">
        <w:t>irAEs</w:t>
      </w:r>
      <w:proofErr w:type="spellEnd"/>
      <w:r w:rsidRPr="00A16E1F">
        <w:t xml:space="preserve">, </w:t>
      </w:r>
      <w:r w:rsidR="00B85B18">
        <w:t>for example</w:t>
      </w:r>
      <w:r w:rsidRPr="00A16E1F">
        <w:t xml:space="preserve"> w</w:t>
      </w:r>
      <w:r w:rsidR="005074F1">
        <w:t>ith regard to reversibility.</w:t>
      </w:r>
    </w:p>
    <w:p w:rsidR="005074F1" w:rsidRPr="005074F1" w:rsidRDefault="005074F1" w:rsidP="005074F1">
      <w:pPr>
        <w:rPr>
          <w:i/>
        </w:rPr>
      </w:pPr>
      <w:r w:rsidRPr="005074F1">
        <w:rPr>
          <w:i/>
        </w:rPr>
        <w:t>Sponsor’s response:</w:t>
      </w:r>
    </w:p>
    <w:p w:rsidR="00A16E1F" w:rsidRPr="00A16E1F" w:rsidRDefault="00A16E1F" w:rsidP="00A16E1F">
      <w:r w:rsidRPr="00A16E1F">
        <w:t xml:space="preserve">The safety of </w:t>
      </w:r>
      <w:r w:rsidR="00987E81">
        <w:t>Keytruda</w:t>
      </w:r>
      <w:r w:rsidRPr="00A16E1F">
        <w:t xml:space="preserve"> is carefully assessed in P001, and throughout the clinical program. In addition to routine safety monitoring during the clinical program, </w:t>
      </w:r>
      <w:r w:rsidR="00F236AD">
        <w:t>AEOSIs</w:t>
      </w:r>
      <w:r w:rsidRPr="00A16E1F">
        <w:t xml:space="preserve"> were pre-specified as part of the study. Investigators reporting AEOSI occurring with the use of </w:t>
      </w:r>
      <w:r w:rsidR="00987E81">
        <w:t>Keytruda</w:t>
      </w:r>
      <w:r w:rsidRPr="00A16E1F">
        <w:t xml:space="preserve"> could also assess whether they were believed these AEs to be immune mediated were reviewed by the sponsor for causality. This review resulted in a quantitative assessment of AEOSIs from P001 and P002 and was further supported by a cross program safety assessment as of 31 Aug</w:t>
      </w:r>
      <w:r w:rsidR="00A34193">
        <w:t>ust</w:t>
      </w:r>
      <w:r w:rsidRPr="00A16E1F">
        <w:t xml:space="preserve"> 2014. This assessment identified new ADRs for pembrolizumab such as type 1 diabetes </w:t>
      </w:r>
      <w:r w:rsidR="00A34193" w:rsidRPr="00A16E1F">
        <w:t>mellitus;</w:t>
      </w:r>
      <w:r w:rsidRPr="00A16E1F">
        <w:t xml:space="preserve"> infusion related reactions and further character</w:t>
      </w:r>
      <w:r w:rsidR="00987E81">
        <w:t>ise</w:t>
      </w:r>
      <w:r w:rsidRPr="00A16E1F">
        <w:t xml:space="preserve">d AEOSIs for </w:t>
      </w:r>
      <w:r w:rsidR="00987E81">
        <w:t>Keytruda</w:t>
      </w:r>
      <w:r w:rsidRPr="00A16E1F">
        <w:t>. The data is included in the EU RMP v1.1 and provide a robust safety assessment of pembro</w:t>
      </w:r>
      <w:r w:rsidR="00A34193">
        <w:t>lizumab based on P001 and P002.</w:t>
      </w:r>
    </w:p>
    <w:p w:rsidR="00A16E1F" w:rsidRPr="00A16E1F" w:rsidRDefault="00A16E1F" w:rsidP="00A16E1F">
      <w:r w:rsidRPr="00A16E1F">
        <w:t>During P001, t</w:t>
      </w:r>
      <w:r w:rsidR="00A34193">
        <w:t xml:space="preserve">he highest proportion of </w:t>
      </w:r>
      <w:proofErr w:type="spellStart"/>
      <w:r w:rsidR="008F7F3A">
        <w:t>irAEs</w:t>
      </w:r>
      <w:proofErr w:type="spellEnd"/>
      <w:r w:rsidR="00A34193">
        <w:t xml:space="preserve"> for continuously </w:t>
      </w:r>
      <w:r w:rsidRPr="00A16E1F">
        <w:t>treated p</w:t>
      </w:r>
      <w:r w:rsidR="00A34193">
        <w:t xml:space="preserve">atients were observed 3 to 6 </w:t>
      </w:r>
      <w:r w:rsidRPr="00A16E1F">
        <w:t>months after initiation of treatment, and rates did not increase after this, sugg</w:t>
      </w:r>
      <w:r w:rsidR="00A34193">
        <w:t xml:space="preserve">esting that the rates of </w:t>
      </w:r>
      <w:proofErr w:type="spellStart"/>
      <w:r w:rsidR="008F7F3A">
        <w:t>ir</w:t>
      </w:r>
      <w:r w:rsidR="00A34193">
        <w:t>AEs</w:t>
      </w:r>
      <w:proofErr w:type="spellEnd"/>
      <w:r w:rsidR="00A34193">
        <w:t xml:space="preserve"> do not increase over time.</w:t>
      </w:r>
    </w:p>
    <w:p w:rsidR="00A16E1F" w:rsidRPr="00A16E1F" w:rsidRDefault="00A16E1F" w:rsidP="00A16E1F">
      <w:r w:rsidRPr="00A16E1F">
        <w:t>The Delegate’s comments on the ‘difficulty of comparison with all relevant agents’ is addressed above.</w:t>
      </w:r>
    </w:p>
    <w:p w:rsidR="00A16E1F" w:rsidRPr="00A16E1F" w:rsidRDefault="00A34193" w:rsidP="00A16E1F">
      <w:r>
        <w:t xml:space="preserve">Further information on immune </w:t>
      </w:r>
      <w:r w:rsidR="00A16E1F" w:rsidRPr="00A16E1F">
        <w:t>related AEs has been added to the PI to address the Delegate’s comment on the ‘depth of characterisati</w:t>
      </w:r>
      <w:r w:rsidR="008F7F3A">
        <w:t xml:space="preserve">on of </w:t>
      </w:r>
      <w:proofErr w:type="spellStart"/>
      <w:r w:rsidR="008F7F3A">
        <w:t>irAEs</w:t>
      </w:r>
      <w:proofErr w:type="spellEnd"/>
      <w:r>
        <w:t xml:space="preserve"> in the Delegate’s o</w:t>
      </w:r>
      <w:r w:rsidR="00A16E1F" w:rsidRPr="00A16E1F">
        <w:t>verview. Overall the outcome for the immune mediated events related to pembrolizumab from more than 1</w:t>
      </w:r>
      <w:r>
        <w:t>,</w:t>
      </w:r>
      <w:r w:rsidR="00A16E1F" w:rsidRPr="00A16E1F">
        <w:t xml:space="preserve">000 patients receiving pembrolizumab in P001 and 002, as described in the </w:t>
      </w:r>
      <w:r w:rsidR="008F7F3A" w:rsidRPr="00A16E1F">
        <w:t xml:space="preserve">warning and precautions </w:t>
      </w:r>
      <w:r w:rsidR="00A16E1F" w:rsidRPr="00A16E1F">
        <w:t>section of th</w:t>
      </w:r>
      <w:r>
        <w:t>e PI, was reported as resolved.</w:t>
      </w:r>
    </w:p>
    <w:p w:rsidR="00A16E1F" w:rsidRPr="00A16E1F" w:rsidRDefault="00A16E1F" w:rsidP="00A16E1F">
      <w:r w:rsidRPr="00A16E1F">
        <w:t xml:space="preserve">Additional information will be available in the educational materials provided to prescribers, outlining how to manage these adverse events. These educational materials will be developed in collaboration with physicians and nurses already experienced in the treatment of melanoma with both ipilimumab and </w:t>
      </w:r>
      <w:r w:rsidR="00987E81">
        <w:t>Keytruda</w:t>
      </w:r>
      <w:r w:rsidRPr="00A16E1F">
        <w:t xml:space="preserve">, though SAS programmes. Additional information will also be presented in the </w:t>
      </w:r>
      <w:r w:rsidR="008F7F3A">
        <w:t>CSRs</w:t>
      </w:r>
      <w:r w:rsidRPr="00A16E1F">
        <w:t xml:space="preserve"> for P001 (to be updated with further data) and P002.</w:t>
      </w:r>
    </w:p>
    <w:p w:rsidR="00A16E1F" w:rsidRPr="00A16E1F" w:rsidRDefault="00A34193" w:rsidP="00A34193">
      <w:pPr>
        <w:pStyle w:val="Heading5"/>
      </w:pPr>
      <w:r>
        <w:t>Indication</w:t>
      </w:r>
    </w:p>
    <w:p w:rsidR="00A34193" w:rsidRDefault="00A34193" w:rsidP="00A34193">
      <w:pPr>
        <w:rPr>
          <w:i/>
        </w:rPr>
      </w:pPr>
      <w:r>
        <w:rPr>
          <w:i/>
        </w:rPr>
        <w:t>Summary of issue from Delegate’s overview:</w:t>
      </w:r>
    </w:p>
    <w:p w:rsidR="00A16E1F" w:rsidRPr="00A16E1F" w:rsidRDefault="00A34193" w:rsidP="00A16E1F">
      <w:r>
        <w:t>Considerations include:</w:t>
      </w:r>
    </w:p>
    <w:p w:rsidR="00A16E1F" w:rsidRPr="00A34193" w:rsidRDefault="00A16E1F" w:rsidP="00A34193">
      <w:pPr>
        <w:pStyle w:val="ListBullet"/>
      </w:pPr>
      <w:r w:rsidRPr="00A34193">
        <w:t xml:space="preserve">lower activity apparent against </w:t>
      </w:r>
      <w:r w:rsidR="00A34193">
        <w:t>PD-L1 negative tumours</w:t>
      </w:r>
    </w:p>
    <w:p w:rsidR="00A16E1F" w:rsidRPr="00A34193" w:rsidRDefault="00A16E1F" w:rsidP="00A34193">
      <w:pPr>
        <w:pStyle w:val="ListBullet"/>
      </w:pPr>
      <w:r w:rsidRPr="00A34193">
        <w:lastRenderedPageBreak/>
        <w:t>the likelihood of better anti-tumour activity with BRAF ± MEK inhibitors in patients with BRAF V600 mutant, PD-L1 negative tumours (</w:t>
      </w:r>
      <w:r w:rsidR="00A34193">
        <w:t xml:space="preserve">approximately </w:t>
      </w:r>
      <w:r w:rsidR="008F7F3A">
        <w:t xml:space="preserve">10 to </w:t>
      </w:r>
      <w:r w:rsidRPr="00A34193">
        <w:t>15%</w:t>
      </w:r>
      <w:r w:rsidR="00A34193">
        <w:t xml:space="preserve"> of advanced melanoma patients)</w:t>
      </w:r>
    </w:p>
    <w:p w:rsidR="00A16E1F" w:rsidRPr="00A34193" w:rsidRDefault="00A16E1F" w:rsidP="00A34193">
      <w:pPr>
        <w:pStyle w:val="ListBullet"/>
      </w:pPr>
      <w:r w:rsidRPr="00A34193">
        <w:t>access to PD-L1 immunohistochemistry (many / all patients will h</w:t>
      </w:r>
      <w:r w:rsidR="008F7F3A">
        <w:t>ave ‘unknown’ PD</w:t>
      </w:r>
      <w:r w:rsidR="008F7F3A">
        <w:noBreakHyphen/>
      </w:r>
      <w:r w:rsidR="00A34193">
        <w:t>L1 IHC status)</w:t>
      </w:r>
    </w:p>
    <w:p w:rsidR="00A16E1F" w:rsidRPr="00A16E1F" w:rsidRDefault="00A16E1F" w:rsidP="00A16E1F">
      <w:pPr>
        <w:pStyle w:val="ListBullet"/>
      </w:pPr>
      <w:proofErr w:type="gramStart"/>
      <w:r w:rsidRPr="00A34193">
        <w:t>uncertainty</w:t>
      </w:r>
      <w:proofErr w:type="gramEnd"/>
      <w:r w:rsidRPr="00A34193">
        <w:t xml:space="preserve"> about use concomita</w:t>
      </w:r>
      <w:r w:rsidR="00A34193">
        <w:t>nt with other anti-cancer drugs.</w:t>
      </w:r>
    </w:p>
    <w:p w:rsidR="00A34193" w:rsidRPr="00A34193" w:rsidRDefault="00A34193" w:rsidP="00A34193">
      <w:pPr>
        <w:pStyle w:val="ListBullet"/>
        <w:numPr>
          <w:ilvl w:val="0"/>
          <w:numId w:val="0"/>
        </w:numPr>
        <w:rPr>
          <w:i/>
        </w:rPr>
      </w:pPr>
      <w:r w:rsidRPr="00A34193">
        <w:rPr>
          <w:i/>
        </w:rPr>
        <w:t>Sponsor’s response:</w:t>
      </w:r>
    </w:p>
    <w:p w:rsidR="00A16E1F" w:rsidRPr="00A16E1F" w:rsidRDefault="00A16E1F" w:rsidP="00A16E1F">
      <w:r w:rsidRPr="00A16E1F">
        <w:t xml:space="preserve">The Delegate has raised the issue of activity of </w:t>
      </w:r>
      <w:r w:rsidR="00987E81">
        <w:t>Keytruda</w:t>
      </w:r>
      <w:r w:rsidRPr="00A16E1F">
        <w:t xml:space="preserve"> against PD-L1 negative tumours. A response to this concern is provided above, with the main point being that </w:t>
      </w:r>
      <w:r w:rsidR="00987E81">
        <w:t>Keytruda</w:t>
      </w:r>
      <w:r w:rsidRPr="00A16E1F">
        <w:t xml:space="preserve"> still provides benefit to patients who are PD-L1 negative; and there is currently no difference in OS benefit between PD-L1 positive and negative subgroups at this time. Similarly, </w:t>
      </w:r>
      <w:r w:rsidR="00987E81">
        <w:t>Keytruda</w:t>
      </w:r>
      <w:r w:rsidRPr="00A16E1F">
        <w:t xml:space="preserve"> has a </w:t>
      </w:r>
      <w:r w:rsidR="00A34193" w:rsidRPr="00A16E1F">
        <w:t>positive benefit:</w:t>
      </w:r>
      <w:r w:rsidR="00A34193">
        <w:t xml:space="preserve"> </w:t>
      </w:r>
      <w:r w:rsidR="00A34193" w:rsidRPr="00A16E1F">
        <w:t xml:space="preserve">risk </w:t>
      </w:r>
      <w:r w:rsidRPr="00A16E1F">
        <w:t>profile in patients who</w:t>
      </w:r>
      <w:r w:rsidR="00A34193">
        <w:t xml:space="preserve"> have BRAF V600 mutations. The s</w:t>
      </w:r>
      <w:r w:rsidRPr="00A16E1F">
        <w:t xml:space="preserve">ponsor believes an option should be made available to prescribers if they feel that a given patient would likely benefit from </w:t>
      </w:r>
      <w:r w:rsidR="00987E81">
        <w:t>Keytruda</w:t>
      </w:r>
      <w:r w:rsidRPr="00A16E1F">
        <w:t xml:space="preserve"> therapy. The Delegat</w:t>
      </w:r>
      <w:r w:rsidR="00A34193">
        <w:t>e concurs with this assessment:</w:t>
      </w:r>
    </w:p>
    <w:p w:rsidR="00A16E1F" w:rsidRPr="00A34193" w:rsidRDefault="00987E81" w:rsidP="00A16E1F">
      <w:pPr>
        <w:ind w:left="720"/>
        <w:rPr>
          <w:i/>
        </w:rPr>
      </w:pPr>
      <w:r>
        <w:t>‘</w:t>
      </w:r>
      <w:r w:rsidR="00A16E1F" w:rsidRPr="00A34193">
        <w:rPr>
          <w:i/>
        </w:rPr>
        <w:t xml:space="preserve">Overall, I consider that pembrolizumab does have acceptable evidence of efficacy and safety in a </w:t>
      </w:r>
      <w:r w:rsidR="00E76E0B">
        <w:rPr>
          <w:i/>
        </w:rPr>
        <w:t>first line</w:t>
      </w:r>
      <w:r w:rsidR="00A16E1F" w:rsidRPr="00A34193">
        <w:rPr>
          <w:i/>
        </w:rPr>
        <w:t xml:space="preserve"> setting in patients </w:t>
      </w:r>
      <w:r w:rsidR="00A34193" w:rsidRPr="00A34193">
        <w:rPr>
          <w:i/>
        </w:rPr>
        <w:t>with BRAF V600 mutant tumours.</w:t>
      </w:r>
      <w:r>
        <w:rPr>
          <w:i/>
        </w:rPr>
        <w:t>’</w:t>
      </w:r>
    </w:p>
    <w:p w:rsidR="00A16E1F" w:rsidRPr="00A16E1F" w:rsidRDefault="00A16E1F" w:rsidP="00A16E1F">
      <w:r w:rsidRPr="00A16E1F">
        <w:t xml:space="preserve">As stated above, PD-L1 positive and negative patients derive benefit from </w:t>
      </w:r>
      <w:r w:rsidR="00987E81">
        <w:t>Keytruda</w:t>
      </w:r>
      <w:r w:rsidRPr="00A16E1F">
        <w:t>. In addition a commercial IHC test for PD-L1 in melanoma is not currently available. Therefore, the level of PD-L1 expression will not be known for most patients. As such, we believe restricting the indication based on PD-L1 status would be inappropriate. However, based on the suggestion from the Delegate</w:t>
      </w:r>
      <w:r w:rsidR="008F7F3A">
        <w:t>,</w:t>
      </w:r>
      <w:r w:rsidRPr="00A16E1F">
        <w:t xml:space="preserve"> MSD has agreed to provide efficacy results by PD-L1 status in the PI.</w:t>
      </w:r>
    </w:p>
    <w:p w:rsidR="00A34193" w:rsidRDefault="00A16E1F" w:rsidP="00A16E1F">
      <w:r w:rsidRPr="00A16E1F">
        <w:t xml:space="preserve">In regards to concomitant use with other agents, MSD has agreed to include ‘monotherapy’ as part of the indication, to reflect the clinical trial programme, which used </w:t>
      </w:r>
      <w:r w:rsidR="00987E81">
        <w:t>Keytruda</w:t>
      </w:r>
      <w:r w:rsidR="00A34193">
        <w:t xml:space="preserve"> as a single agent.</w:t>
      </w:r>
    </w:p>
    <w:p w:rsidR="00A16E1F" w:rsidRPr="00A16E1F" w:rsidRDefault="00A16E1F" w:rsidP="00A16E1F">
      <w:r w:rsidRPr="00A16E1F">
        <w:t xml:space="preserve">In conclusion, MSD concurs with the Delegate that the submitted data support the proposed dosing regimen and indication for </w:t>
      </w:r>
      <w:r w:rsidR="00987E81">
        <w:t>Keytruda</w:t>
      </w:r>
      <w:r w:rsidR="00A34193">
        <w:t>:</w:t>
      </w:r>
    </w:p>
    <w:p w:rsidR="00A16E1F" w:rsidRPr="00A16E1F" w:rsidRDefault="00987E81" w:rsidP="00A16E1F">
      <w:pPr>
        <w:ind w:left="720"/>
        <w:rPr>
          <w:i/>
        </w:rPr>
      </w:pPr>
      <w:r>
        <w:rPr>
          <w:i/>
        </w:rPr>
        <w:t>‘Keytruda</w:t>
      </w:r>
      <w:r w:rsidR="00A16E1F" w:rsidRPr="00A16E1F">
        <w:rPr>
          <w:i/>
        </w:rPr>
        <w:t xml:space="preserve"> (pembrolizumab) is indicated as monotherapy for the treatment of unresectable or metastatic melanoma in adults.</w:t>
      </w:r>
      <w:r>
        <w:rPr>
          <w:i/>
        </w:rPr>
        <w:t>’</w:t>
      </w:r>
    </w:p>
    <w:p w:rsidR="00A16E1F" w:rsidRPr="00A16E1F" w:rsidRDefault="004121E8" w:rsidP="00A16E1F">
      <w:r>
        <w:t>The sponsor trust’s</w:t>
      </w:r>
      <w:r w:rsidR="00A16E1F" w:rsidRPr="00A16E1F">
        <w:t xml:space="preserve"> that the </w:t>
      </w:r>
      <w:r w:rsidR="00185D72">
        <w:t>ACPM</w:t>
      </w:r>
      <w:r w:rsidR="00A16E1F" w:rsidRPr="00A16E1F">
        <w:t xml:space="preserve"> will concur with the Delegate and recommend approval of </w:t>
      </w:r>
      <w:r w:rsidR="00987E81">
        <w:t>Keytruda</w:t>
      </w:r>
      <w:r w:rsidR="00A34193">
        <w:t>.</w:t>
      </w:r>
    </w:p>
    <w:p w:rsidR="008E7846" w:rsidRPr="00A16E1F" w:rsidRDefault="008E7846" w:rsidP="00A16E1F">
      <w:pPr>
        <w:pStyle w:val="Heading4"/>
      </w:pPr>
      <w:r w:rsidRPr="00A16E1F">
        <w:t xml:space="preserve">Advisory </w:t>
      </w:r>
      <w:r w:rsidR="00774D78" w:rsidRPr="00A16E1F">
        <w:t>committee considerations</w:t>
      </w:r>
    </w:p>
    <w:p w:rsidR="00777C71" w:rsidRPr="00777C71" w:rsidRDefault="00777C71" w:rsidP="00777C71">
      <w:bookmarkStart w:id="193" w:name="_Toc247691532"/>
      <w:bookmarkStart w:id="194" w:name="_Toc314842516"/>
      <w:bookmarkEnd w:id="131"/>
      <w:bookmarkEnd w:id="191"/>
      <w:bookmarkEnd w:id="192"/>
      <w:r w:rsidRPr="00777C71">
        <w:t xml:space="preserve">The ACPM, taking into account the submitted evidence of pharmaceutical quality, safety and efficacy advised that </w:t>
      </w:r>
      <w:r w:rsidR="00987E81">
        <w:t>Keytruda</w:t>
      </w:r>
      <w:r w:rsidRPr="00777C71">
        <w:t>, 50 mg lyophil</w:t>
      </w:r>
      <w:r w:rsidR="00987E81">
        <w:t>ise</w:t>
      </w:r>
      <w:r w:rsidRPr="00777C71">
        <w:t>d powder, in vials for single use only, containing pembrolizumab has an overall positive benefit–risk profile for the following amended indication:</w:t>
      </w:r>
    </w:p>
    <w:p w:rsidR="00777C71" w:rsidRPr="00777C71" w:rsidRDefault="00987E81" w:rsidP="00777C71">
      <w:pPr>
        <w:ind w:left="720"/>
        <w:rPr>
          <w:i/>
        </w:rPr>
      </w:pPr>
      <w:r>
        <w:rPr>
          <w:i/>
        </w:rPr>
        <w:t>Keytruda</w:t>
      </w:r>
      <w:r w:rsidR="00777C71" w:rsidRPr="00777C71">
        <w:rPr>
          <w:i/>
        </w:rPr>
        <w:t xml:space="preserve"> (pembrolizumab) is indicated as monotherapy for the treatment of unresectable or metastatic melanoma in adults.</w:t>
      </w:r>
    </w:p>
    <w:p w:rsidR="00777C71" w:rsidRPr="00777C71" w:rsidRDefault="00777C71" w:rsidP="00777C71">
      <w:pPr>
        <w:pStyle w:val="Heading5"/>
        <w:rPr>
          <w:rFonts w:eastAsia="MS Mincho"/>
        </w:rPr>
      </w:pPr>
      <w:r w:rsidRPr="00777C71">
        <w:t>Proposed conditions of registration</w:t>
      </w:r>
    </w:p>
    <w:p w:rsidR="00777C71" w:rsidRPr="00777C71" w:rsidRDefault="00777C71" w:rsidP="00777C71">
      <w:r w:rsidRPr="00777C71">
        <w:t xml:space="preserve">The ACPM agreed </w:t>
      </w:r>
      <w:r w:rsidR="008F7F3A">
        <w:t>with the D</w:t>
      </w:r>
      <w:r w:rsidRPr="00777C71">
        <w:t>elegate on the proposed conditions of registration.</w:t>
      </w:r>
    </w:p>
    <w:p w:rsidR="00777C71" w:rsidRPr="00777C71" w:rsidRDefault="00777C71" w:rsidP="00777C71">
      <w:pPr>
        <w:pStyle w:val="Heading5"/>
        <w:rPr>
          <w:rFonts w:eastAsia="MS Mincho"/>
        </w:rPr>
      </w:pPr>
      <w:r w:rsidRPr="00777C71">
        <w:rPr>
          <w:rFonts w:eastAsia="MS Mincho"/>
        </w:rPr>
        <w:t>Proposed Product Information (PI)/Consumer Medicine Information (CMI) amendments</w:t>
      </w:r>
    </w:p>
    <w:p w:rsidR="00777C71" w:rsidRPr="00777C71" w:rsidRDefault="00777C71" w:rsidP="00777C71">
      <w:r w:rsidRPr="00777C71">
        <w:t>The ACPM specifically advised on the following:</w:t>
      </w:r>
    </w:p>
    <w:p w:rsidR="00777C71" w:rsidRPr="00777C71" w:rsidRDefault="00777C71" w:rsidP="00777C71">
      <w:pPr>
        <w:pStyle w:val="ListBullet"/>
      </w:pPr>
      <w:r w:rsidRPr="00777C71">
        <w:lastRenderedPageBreak/>
        <w:t xml:space="preserve">Review the information in Table 2 of the PI ‘Adverse Reactions in </w:t>
      </w:r>
      <w:r w:rsidR="00E5241D">
        <w:t xml:space="preserve">≥ 1 </w:t>
      </w:r>
      <w:r w:rsidRPr="00777C71">
        <w:t xml:space="preserve">% of </w:t>
      </w:r>
      <w:r w:rsidR="0017527B" w:rsidRPr="00777C71">
        <w:t>p</w:t>
      </w:r>
      <w:r w:rsidRPr="00777C71">
        <w:t xml:space="preserve">atients </w:t>
      </w:r>
      <w:r w:rsidR="0017527B" w:rsidRPr="00777C71">
        <w:t>with unresectable or metastatic melanom</w:t>
      </w:r>
      <w:r w:rsidRPr="00777C71">
        <w:t>a’ as it appears to be unduly long.</w:t>
      </w:r>
    </w:p>
    <w:p w:rsidR="00777C71" w:rsidRPr="00777C71" w:rsidRDefault="00777C71" w:rsidP="00777C71">
      <w:pPr>
        <w:pStyle w:val="ListBullet"/>
      </w:pPr>
      <w:r w:rsidRPr="00777C71">
        <w:t>Ensure that thyroid dysfunction is adequately described in the PI/CMI.</w:t>
      </w:r>
    </w:p>
    <w:p w:rsidR="00777C71" w:rsidRDefault="00777C71" w:rsidP="00777C71">
      <w:pPr>
        <w:pStyle w:val="Heading5"/>
      </w:pPr>
      <w:r w:rsidRPr="00777C71">
        <w:t>Specific advice</w:t>
      </w:r>
    </w:p>
    <w:p w:rsidR="00777C71" w:rsidRPr="00777C71" w:rsidRDefault="00777C71" w:rsidP="00777C71">
      <w:r w:rsidRPr="00777C71">
        <w:t>The ACPM advised the followi</w:t>
      </w:r>
      <w:r w:rsidR="00065364">
        <w:t>ng in response to the specific D</w:t>
      </w:r>
      <w:r w:rsidRPr="00777C71">
        <w:t>elegate’s questions on this submission:</w:t>
      </w:r>
    </w:p>
    <w:p w:rsidR="00777C71" w:rsidRPr="0021425F" w:rsidRDefault="00A23E73" w:rsidP="00777C71">
      <w:pPr>
        <w:rPr>
          <w:i/>
        </w:rPr>
      </w:pPr>
      <w:r>
        <w:rPr>
          <w:i/>
        </w:rPr>
        <w:t>Study Design</w:t>
      </w:r>
    </w:p>
    <w:p w:rsidR="00777C71" w:rsidRPr="00777C71" w:rsidRDefault="00777C71" w:rsidP="00777C71">
      <w:r w:rsidRPr="00777C71">
        <w:t>The ACPM noted that Studies P002 and P006 were not included in the dossier at the time of assessment by the clinical evaluator and were subsequently reviewed by the Delegate with both studies ongoing.</w:t>
      </w:r>
    </w:p>
    <w:p w:rsidR="00777C71" w:rsidRPr="00777C71" w:rsidRDefault="00777C71" w:rsidP="00777C71">
      <w:r w:rsidRPr="00777C71">
        <w:t>The ACPM advised that the dossier is complicated to assess and the data are quite premature. To assess issues such as patient selection and response rates properly, the complete data set is needed. However, the ACPM acknowledged that pembrolizumab seems to be m</w:t>
      </w:r>
      <w:r w:rsidR="00562005">
        <w:t>ore active than ipilimumab</w:t>
      </w:r>
      <w:r w:rsidRPr="00777C71">
        <w:t xml:space="preserve"> and less toxic.</w:t>
      </w:r>
    </w:p>
    <w:p w:rsidR="00777C71" w:rsidRPr="0021425F" w:rsidRDefault="00A23E73" w:rsidP="00777C71">
      <w:pPr>
        <w:rPr>
          <w:i/>
        </w:rPr>
      </w:pPr>
      <w:r>
        <w:rPr>
          <w:i/>
        </w:rPr>
        <w:t>Efficacy</w:t>
      </w:r>
    </w:p>
    <w:p w:rsidR="00777C71" w:rsidRPr="00777C71" w:rsidRDefault="00065364" w:rsidP="00777C71">
      <w:r>
        <w:t>The ACPM agreed with the D</w:t>
      </w:r>
      <w:r w:rsidR="00777C71" w:rsidRPr="00777C71">
        <w:t>elegate that the fraction of patients with BRAF V600 mutant tumours was low.</w:t>
      </w:r>
    </w:p>
    <w:p w:rsidR="00777C71" w:rsidRPr="00777C71" w:rsidRDefault="00777C71" w:rsidP="00777C71">
      <w:r w:rsidRPr="00777C71">
        <w:t>The ACPM did not consider that objective response rate (ORR) should be used to assess efficacy. However, with the addition of the results from Study P006, the ACPM advised that the effectiveness of pembrolizumab can be supported.</w:t>
      </w:r>
    </w:p>
    <w:p w:rsidR="00777C71" w:rsidRPr="00777C71" w:rsidRDefault="00777C71" w:rsidP="00777C71">
      <w:r w:rsidRPr="00777C71">
        <w:t>The ACPM noted that most of the data provided were at a higher dose than proposed, but advised that there did not appear to be a significant difference in outcome based on different doses, therefore, the 2 mg/kg dose selected appears to be supported.</w:t>
      </w:r>
    </w:p>
    <w:p w:rsidR="00777C71" w:rsidRPr="00777C71" w:rsidRDefault="00777C71" w:rsidP="00777C71">
      <w:r w:rsidRPr="00777C71">
        <w:t>The ACPM agreed with the Delegate that there is a large i</w:t>
      </w:r>
      <w:r w:rsidR="00A23E73">
        <w:t>mbalance in efficacy between PD</w:t>
      </w:r>
      <w:r w:rsidR="00A23E73">
        <w:noBreakHyphen/>
      </w:r>
      <w:r w:rsidRPr="00777C71">
        <w:t xml:space="preserve">L1 </w:t>
      </w:r>
      <w:r w:rsidR="00185D72">
        <w:t xml:space="preserve">positive /PD-L1 negative </w:t>
      </w:r>
      <w:r w:rsidRPr="00777C71">
        <w:t>tumours seen in Study P001, with a moderate imbalance seen in Studies P002 and P006. T</w:t>
      </w:r>
      <w:r w:rsidR="00065364">
        <w:t xml:space="preserve">he ACPM noted the sponsor’s pre </w:t>
      </w:r>
      <w:r w:rsidRPr="00777C71">
        <w:t xml:space="preserve">ACPM response which stated that an IHC test will not be available commercially </w:t>
      </w:r>
      <w:r w:rsidR="00185D72">
        <w:t>in the near future to detect PD</w:t>
      </w:r>
      <w:r w:rsidR="00185D72">
        <w:noBreakHyphen/>
      </w:r>
      <w:r w:rsidRPr="00777C71">
        <w:t>L1 status and therefore the PD-L1 status will not be known for most (if not all) patients. The ACPM advised that despite this, a positive benefit-risk profile in PD-L1 negative patients is still seen and that it is appropriate at this stage to allow access to both groups of patients.</w:t>
      </w:r>
    </w:p>
    <w:p w:rsidR="00777C71" w:rsidRPr="0021425F" w:rsidRDefault="00A23E73" w:rsidP="00777C71">
      <w:pPr>
        <w:rPr>
          <w:i/>
        </w:rPr>
      </w:pPr>
      <w:r>
        <w:rPr>
          <w:i/>
        </w:rPr>
        <w:t>Safety</w:t>
      </w:r>
    </w:p>
    <w:p w:rsidR="00777C71" w:rsidRPr="00777C71" w:rsidRDefault="00777C71" w:rsidP="00777C71">
      <w:r w:rsidRPr="00777C71">
        <w:t>The ACPM advised that there are insufficient safety data to make any firm conclusion regarding safety or to compare the safety of pembrolizumab with other similar agents. The ACPM advised that the results and analyses of Studies P002 and P006 will provide further insight into safety issues. At this time a boxed warning is not warranted until further toxicity data is available from Studies P002 and P006.</w:t>
      </w:r>
    </w:p>
    <w:p w:rsidR="00777C71" w:rsidRPr="0021425F" w:rsidRDefault="00A23E73" w:rsidP="00777C71">
      <w:pPr>
        <w:rPr>
          <w:i/>
        </w:rPr>
      </w:pPr>
      <w:r>
        <w:rPr>
          <w:i/>
        </w:rPr>
        <w:t>Indication</w:t>
      </w:r>
    </w:p>
    <w:p w:rsidR="00777C71" w:rsidRPr="00777C71" w:rsidRDefault="00777C71" w:rsidP="00777C71">
      <w:r w:rsidRPr="00777C71">
        <w:t xml:space="preserve">The ACPM advised that a </w:t>
      </w:r>
      <w:r w:rsidR="00E76E0B">
        <w:t>first line</w:t>
      </w:r>
      <w:r w:rsidRPr="00777C71">
        <w:t xml:space="preserve"> indication was appropriate and did not have an objection to the addition of the wording ‘</w:t>
      </w:r>
      <w:r w:rsidRPr="0021425F">
        <w:rPr>
          <w:i/>
        </w:rPr>
        <w:t>as monotherapy’</w:t>
      </w:r>
      <w:r w:rsidRPr="00777C71">
        <w:t xml:space="preserve"> to the indication proposed by the Delegate, based on the results of Study P001. The ACPM noted the sponsor has agreed to the proposed change.</w:t>
      </w:r>
    </w:p>
    <w:p w:rsidR="00777C71" w:rsidRPr="00777C71" w:rsidRDefault="00777C71" w:rsidP="00777C71">
      <w:r w:rsidRPr="00777C71">
        <w:t>The ACPM advised that there are insufficient data to be more specific about which subset of patients to treat with pembrolizumab and at this stage the decision should be left to the discretion of the prescriber until further information is available.</w:t>
      </w:r>
    </w:p>
    <w:p w:rsidR="00777C71" w:rsidRPr="004121E8" w:rsidRDefault="00777C71" w:rsidP="004121E8">
      <w:r w:rsidRPr="00777C71">
        <w:lastRenderedPageBreak/>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95" w:name="_Toc464545032"/>
      <w:r>
        <w:t>Outcome</w:t>
      </w:r>
      <w:bookmarkEnd w:id="193"/>
      <w:bookmarkEnd w:id="194"/>
      <w:bookmarkEnd w:id="195"/>
    </w:p>
    <w:p w:rsidR="00D23139" w:rsidRPr="00D23139" w:rsidRDefault="00D23139" w:rsidP="00D23139">
      <w:bookmarkStart w:id="196" w:name="_Toc247691533"/>
      <w:bookmarkStart w:id="197" w:name="_Toc314842517"/>
      <w:r w:rsidRPr="00D23139">
        <w:t>Based on a review of quality, safety and efficacy, TGA approved the registration of</w:t>
      </w:r>
      <w:r w:rsidR="004121E8">
        <w:t xml:space="preserve"> </w:t>
      </w:r>
      <w:proofErr w:type="spellStart"/>
      <w:r w:rsidR="00987E81">
        <w:t>Keytruda</w:t>
      </w:r>
      <w:proofErr w:type="spellEnd"/>
      <w:r w:rsidR="004121E8">
        <w:t xml:space="preserve"> </w:t>
      </w:r>
      <w:proofErr w:type="spellStart"/>
      <w:r w:rsidR="004121E8">
        <w:t>pembrolizumab</w:t>
      </w:r>
      <w:proofErr w:type="spellEnd"/>
      <w:r w:rsidR="004121E8">
        <w:t xml:space="preserve"> (</w:t>
      </w:r>
      <w:proofErr w:type="spellStart"/>
      <w:r w:rsidR="004121E8">
        <w:t>rch</w:t>
      </w:r>
      <w:proofErr w:type="spellEnd"/>
      <w:r w:rsidR="004121E8">
        <w:t>)</w:t>
      </w:r>
      <w:r w:rsidR="002C1B28">
        <w:t xml:space="preserve"> 50 mg powder for injection vial</w:t>
      </w:r>
      <w:r w:rsidR="004121E8">
        <w:t xml:space="preserve"> </w:t>
      </w:r>
      <w:r w:rsidRPr="00D23139">
        <w:t>indicated for:</w:t>
      </w:r>
    </w:p>
    <w:p w:rsidR="00D23139" w:rsidRPr="002C1B28" w:rsidRDefault="00987E81" w:rsidP="002C1B28">
      <w:pPr>
        <w:ind w:left="720"/>
        <w:rPr>
          <w:i/>
        </w:rPr>
      </w:pPr>
      <w:proofErr w:type="spellStart"/>
      <w:r>
        <w:rPr>
          <w:i/>
        </w:rPr>
        <w:t>Keytruda</w:t>
      </w:r>
      <w:proofErr w:type="spellEnd"/>
      <w:r w:rsidR="002C1B28" w:rsidRPr="002C1B28">
        <w:rPr>
          <w:i/>
        </w:rPr>
        <w:t xml:space="preserve"> (</w:t>
      </w:r>
      <w:proofErr w:type="spellStart"/>
      <w:r w:rsidR="002C1B28" w:rsidRPr="002C1B28">
        <w:rPr>
          <w:i/>
        </w:rPr>
        <w:t>pembrolizumab</w:t>
      </w:r>
      <w:proofErr w:type="spellEnd"/>
      <w:r w:rsidR="002C1B28" w:rsidRPr="002C1B28">
        <w:rPr>
          <w:i/>
        </w:rPr>
        <w:t xml:space="preserve"> (</w:t>
      </w:r>
      <w:proofErr w:type="spellStart"/>
      <w:r w:rsidR="002C1B28" w:rsidRPr="002C1B28">
        <w:rPr>
          <w:i/>
        </w:rPr>
        <w:t>rch</w:t>
      </w:r>
      <w:proofErr w:type="spellEnd"/>
      <w:r w:rsidR="002C1B28" w:rsidRPr="002C1B28">
        <w:rPr>
          <w:i/>
        </w:rPr>
        <w:t>)) is indicated as monotherapy for the treatment of unresectable or metastatic melanoma in adults.</w:t>
      </w:r>
    </w:p>
    <w:p w:rsidR="002C1B28" w:rsidRPr="00DF464F" w:rsidRDefault="00D23139" w:rsidP="00E37AD6">
      <w:pPr>
        <w:pStyle w:val="Heading4"/>
      </w:pPr>
      <w:r w:rsidRPr="00D23139">
        <w:t>Specific conditions of registration applying to these goods</w:t>
      </w:r>
    </w:p>
    <w:p w:rsidR="002C1B28" w:rsidRDefault="00987E81" w:rsidP="00DF464F">
      <w:pPr>
        <w:pStyle w:val="ListBullet"/>
      </w:pPr>
      <w:r>
        <w:t>Keytruda</w:t>
      </w:r>
      <w:r w:rsidR="002C1B28" w:rsidRPr="00DF464F">
        <w:t xml:space="preserve"> European Risk Management Plan</w:t>
      </w:r>
      <w:r w:rsidR="00DF464F">
        <w:t xml:space="preserve"> (version 1.1, dated 9 February </w:t>
      </w:r>
      <w:r w:rsidR="002C1B28" w:rsidRPr="00DF464F">
        <w:t>2015) with Australian Specific Annex, dated August 2014 and</w:t>
      </w:r>
      <w:r w:rsidR="00DF464F">
        <w:t xml:space="preserve"> revised to the satisfaction of </w:t>
      </w:r>
      <w:r w:rsidR="002C1B28" w:rsidRPr="00DF464F">
        <w:t>the TGA, or any updates to these documents that</w:t>
      </w:r>
      <w:r w:rsidR="00DF464F">
        <w:t xml:space="preserve"> are agreed by the TGA, must be </w:t>
      </w:r>
      <w:r w:rsidR="00E37AD6">
        <w:t>implemented.</w:t>
      </w:r>
    </w:p>
    <w:p w:rsidR="00DF464F" w:rsidRPr="00DF464F" w:rsidRDefault="001A0B0B" w:rsidP="00D61877">
      <w:pPr>
        <w:pStyle w:val="ListBullet"/>
      </w:pPr>
      <w:r w:rsidRPr="001A0B0B">
        <w:t>It is a condition of registration that, as a minimum, the first five independent batches of</w:t>
      </w:r>
      <w:r>
        <w:t xml:space="preserve"> </w:t>
      </w:r>
      <w:proofErr w:type="spellStart"/>
      <w:r w:rsidR="00987E81">
        <w:t>Keytruda</w:t>
      </w:r>
      <w:proofErr w:type="spellEnd"/>
      <w:r>
        <w:t xml:space="preserve"> </w:t>
      </w:r>
      <w:proofErr w:type="spellStart"/>
      <w:r>
        <w:t>pembrolizumab</w:t>
      </w:r>
      <w:proofErr w:type="spellEnd"/>
      <w:r>
        <w:t xml:space="preserve"> (</w:t>
      </w:r>
      <w:proofErr w:type="spellStart"/>
      <w:r>
        <w:t>rch</w:t>
      </w:r>
      <w:proofErr w:type="spellEnd"/>
      <w:r>
        <w:t xml:space="preserve">) 50 mg vial </w:t>
      </w:r>
      <w:r w:rsidRPr="001A0B0B">
        <w:t>imported into in Australia are not released fo</w:t>
      </w:r>
      <w:r>
        <w:t xml:space="preserve">r sale until samples and/or the </w:t>
      </w:r>
      <w:r w:rsidRPr="001A0B0B">
        <w:t>manufacturer's release data have been assessed and endorsed for release by the TGA</w:t>
      </w:r>
      <w:r>
        <w:t xml:space="preserve"> </w:t>
      </w:r>
      <w:r w:rsidRPr="001A0B0B">
        <w:t>Laboratories Branch (LB).</w:t>
      </w:r>
    </w:p>
    <w:p w:rsidR="008E7846" w:rsidRDefault="00A80B5B" w:rsidP="00D23139">
      <w:pPr>
        <w:pStyle w:val="Heading2"/>
      </w:pPr>
      <w:bookmarkStart w:id="198" w:name="_Toc464545033"/>
      <w:proofErr w:type="gramStart"/>
      <w:r>
        <w:t>Attachment 1.</w:t>
      </w:r>
      <w:proofErr w:type="gramEnd"/>
      <w:r>
        <w:t xml:space="preserve"> </w:t>
      </w:r>
      <w:r w:rsidR="008E7846">
        <w:t xml:space="preserve">Product </w:t>
      </w:r>
      <w:r w:rsidR="00AA0ED0">
        <w:t>I</w:t>
      </w:r>
      <w:r w:rsidR="008E7846">
        <w:t>nformation</w:t>
      </w:r>
      <w:bookmarkEnd w:id="196"/>
      <w:bookmarkEnd w:id="197"/>
      <w:bookmarkEnd w:id="198"/>
    </w:p>
    <w:p w:rsidR="00777C71" w:rsidRDefault="00777C71" w:rsidP="00777C71">
      <w:pPr>
        <w:rPr>
          <w:color w:val="000000"/>
          <w:lang w:eastAsia="en-AU"/>
        </w:rPr>
      </w:pPr>
      <w:r w:rsidRPr="002B3624">
        <w:t xml:space="preserve">The </w:t>
      </w:r>
      <w:r>
        <w:t>PI</w:t>
      </w:r>
      <w:r w:rsidRPr="002B3624">
        <w:t xml:space="preserve"> for </w:t>
      </w:r>
      <w:r w:rsidR="00987E81">
        <w:t>Keytruda</w:t>
      </w:r>
      <w:r w:rsidR="0021425F">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66" w:history="1">
        <w:r w:rsidRPr="007C6B9B">
          <w:rPr>
            <w:rStyle w:val="Hyperlink"/>
          </w:rPr>
          <w:t>https://www.tga.gov.au/product-information-pi</w:t>
        </w:r>
      </w:hyperlink>
      <w:r w:rsidR="00527EC3">
        <w:t>&gt;.</w:t>
      </w:r>
    </w:p>
    <w:p w:rsidR="00C80137" w:rsidRDefault="00C80137" w:rsidP="00C80137">
      <w:pPr>
        <w:pStyle w:val="Heading2"/>
        <w:rPr>
          <w:lang w:eastAsia="en-AU"/>
        </w:rPr>
      </w:pPr>
      <w:bookmarkStart w:id="199" w:name="_Toc464545034"/>
      <w:proofErr w:type="gramStart"/>
      <w:r>
        <w:rPr>
          <w:lang w:eastAsia="en-AU"/>
        </w:rPr>
        <w:t>Attachment 2.</w:t>
      </w:r>
      <w:proofErr w:type="gramEnd"/>
      <w:r w:rsidR="00A80B5B">
        <w:rPr>
          <w:lang w:eastAsia="en-AU"/>
        </w:rPr>
        <w:t xml:space="preserve"> </w:t>
      </w:r>
      <w:r>
        <w:rPr>
          <w:lang w:eastAsia="en-AU"/>
        </w:rPr>
        <w:t>Extract from the Clinical Evaluation Report</w:t>
      </w:r>
      <w:bookmarkEnd w:id="199"/>
    </w:p>
    <w:p w:rsidR="00291957" w:rsidRDefault="00291957" w:rsidP="0021425F">
      <w:pPr>
        <w:autoSpaceDE w:val="0"/>
        <w:autoSpaceDN w:val="0"/>
        <w:adjustRightInd w:val="0"/>
        <w:spacing w:after="0"/>
        <w:rPr>
          <w:lang w:eastAsia="ja-JP"/>
        </w:rPr>
      </w:pPr>
    </w:p>
    <w:p w:rsidR="00C80137" w:rsidRPr="001D043B" w:rsidRDefault="00C80137" w:rsidP="003A7F6C">
      <w:pPr>
        <w:pStyle w:val="TableTitle"/>
        <w:sectPr w:rsidR="00C80137" w:rsidRPr="001D043B" w:rsidSect="00AE5DB3">
          <w:headerReference w:type="even" r:id="rId67"/>
          <w:headerReference w:type="default" r:id="rId68"/>
          <w:headerReference w:type="first" r:id="rId69"/>
          <w:footerReference w:type="first" r:id="rId70"/>
          <w:pgSz w:w="11906" w:h="16838" w:code="9"/>
          <w:pgMar w:top="834" w:right="1701" w:bottom="1276"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71" w:history="1">
              <w:r w:rsidRPr="004C239D">
                <w:rPr>
                  <w:rStyle w:val="Hyperlink"/>
                </w:rPr>
                <w:t>info@tga.gov.au</w:t>
              </w:r>
            </w:hyperlink>
            <w:r w:rsidR="00635167">
              <w:t xml:space="preserve"> </w:t>
            </w:r>
            <w:r w:rsidRPr="00487162">
              <w:t>Phone: 1800 020 653</w:t>
            </w:r>
            <w:r w:rsidR="00635167">
              <w:t xml:space="preserve"> </w:t>
            </w:r>
            <w:r w:rsidRPr="00487162">
              <w:t>Fax: 02 6232 8605</w:t>
            </w:r>
          </w:p>
          <w:p w:rsidR="001C32CD" w:rsidRPr="004C239D" w:rsidRDefault="003926AA" w:rsidP="00A05FA4">
            <w:pPr>
              <w:pStyle w:val="Address"/>
              <w:spacing w:line="260" w:lineRule="atLeast"/>
              <w:rPr>
                <w:b/>
                <w:color w:val="0000FF"/>
                <w:u w:val="single"/>
              </w:rPr>
            </w:pPr>
            <w:hyperlink r:id="rId72" w:history="1">
              <w:r w:rsidR="007C6B9B" w:rsidRPr="007C6B9B">
                <w:rPr>
                  <w:rStyle w:val="Hyperlink"/>
                  <w:b/>
                </w:rPr>
                <w:t>https://www.tga.gov.au</w:t>
              </w:r>
            </w:hyperlink>
          </w:p>
        </w:tc>
      </w:tr>
    </w:tbl>
    <w:p w:rsidR="00774E1D" w:rsidRPr="008A5E0B" w:rsidRDefault="00774E1D" w:rsidP="00774D78"/>
    <w:sectPr w:rsidR="00774E1D" w:rsidRPr="008A5E0B" w:rsidSect="001C32CD">
      <w:headerReference w:type="even" r:id="rId73"/>
      <w:headerReference w:type="default" r:id="rId74"/>
      <w:footerReference w:type="default" r:id="rId75"/>
      <w:headerReference w:type="first" r:id="rId76"/>
      <w:footerReference w:type="first" r:id="rId7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84D" w:rsidRDefault="006E184D" w:rsidP="00C40A36">
      <w:pPr>
        <w:spacing w:after="0"/>
      </w:pPr>
      <w:r>
        <w:separator/>
      </w:r>
    </w:p>
  </w:endnote>
  <w:endnote w:type="continuationSeparator" w:id="0">
    <w:p w:rsidR="006E184D" w:rsidRDefault="006E184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Noto Sans">
    <w:altName w:val="Times New Roman"/>
    <w:charset w:val="00"/>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6E184D" w:rsidRPr="00487162" w:rsidTr="000C32A1">
      <w:trPr>
        <w:trHeight w:val="269"/>
      </w:trPr>
      <w:tc>
        <w:tcPr>
          <w:tcW w:w="7513" w:type="dxa"/>
          <w:tcMar>
            <w:top w:w="142" w:type="dxa"/>
            <w:bottom w:w="0" w:type="dxa"/>
          </w:tcMar>
        </w:tcPr>
        <w:p w:rsidR="006E184D" w:rsidRPr="00487162" w:rsidRDefault="006E184D" w:rsidP="00475F20">
          <w:pPr>
            <w:pStyle w:val="Footer"/>
          </w:pPr>
          <w:r w:rsidRPr="00487162">
            <w:t>AusPA</w:t>
          </w:r>
          <w:r>
            <w:t>R KEYTRUDA</w:t>
          </w:r>
          <w:r w:rsidRPr="00635167">
            <w:t xml:space="preserve"> - Merck Sharp &amp; Dohme (Australia) Pty Ltd - PM-2014-01928-1-4</w:t>
          </w:r>
          <w:r>
            <w:br/>
            <w:t>Final – 14 October 2016</w:t>
          </w:r>
        </w:p>
      </w:tc>
      <w:tc>
        <w:tcPr>
          <w:tcW w:w="1348" w:type="dxa"/>
          <w:tcMar>
            <w:top w:w="142" w:type="dxa"/>
            <w:bottom w:w="0" w:type="dxa"/>
          </w:tcMar>
        </w:tcPr>
        <w:p w:rsidR="006E184D" w:rsidRPr="00487162" w:rsidRDefault="006E184D" w:rsidP="00DB750B">
          <w:pPr>
            <w:pStyle w:val="Footer"/>
            <w:jc w:val="right"/>
          </w:pPr>
          <w:r w:rsidRPr="00487162">
            <w:t xml:space="preserve">Page </w:t>
          </w:r>
          <w:r>
            <w:fldChar w:fldCharType="begin"/>
          </w:r>
          <w:r>
            <w:instrText xml:space="preserve"> PAGE  \* Arabic </w:instrText>
          </w:r>
          <w:r>
            <w:fldChar w:fldCharType="separate"/>
          </w:r>
          <w:r w:rsidR="003926AA">
            <w:rPr>
              <w:noProof/>
            </w:rPr>
            <w:t>128</w:t>
          </w:r>
          <w:r>
            <w:fldChar w:fldCharType="end"/>
          </w:r>
          <w:r w:rsidRPr="00487162">
            <w:t xml:space="preserve"> of </w:t>
          </w:r>
          <w:fldSimple w:instr=" NUMPAGES  \* Arabic ">
            <w:r w:rsidR="003926AA">
              <w:rPr>
                <w:noProof/>
              </w:rPr>
              <w:t>128</w:t>
            </w:r>
          </w:fldSimple>
        </w:p>
      </w:tc>
    </w:tr>
  </w:tbl>
  <w:p w:rsidR="006E184D" w:rsidRDefault="006E184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E184D" w:rsidRPr="00487162" w:rsidTr="00E45619">
      <w:trPr>
        <w:trHeight w:val="269"/>
      </w:trPr>
      <w:tc>
        <w:tcPr>
          <w:tcW w:w="4519" w:type="dxa"/>
          <w:tcBorders>
            <w:top w:val="single" w:sz="4" w:space="0" w:color="auto"/>
          </w:tcBorders>
          <w:tcMar>
            <w:top w:w="142" w:type="dxa"/>
            <w:bottom w:w="0" w:type="dxa"/>
          </w:tcMar>
        </w:tcPr>
        <w:p w:rsidR="006E184D" w:rsidRPr="00487162" w:rsidRDefault="006E184D" w:rsidP="00FE1DEE">
          <w:pPr>
            <w:pStyle w:val="Footer"/>
          </w:pPr>
          <w:r w:rsidRPr="00487162">
            <w:t>Document title, Part #, Section # - Section title</w:t>
          </w:r>
        </w:p>
        <w:p w:rsidR="006E184D" w:rsidRPr="00487162" w:rsidRDefault="006E184D" w:rsidP="00FE1DEE">
          <w:pPr>
            <w:pStyle w:val="Footer"/>
          </w:pPr>
          <w:r w:rsidRPr="00487162">
            <w:t>V1.0 October 2010</w:t>
          </w:r>
        </w:p>
      </w:tc>
      <w:tc>
        <w:tcPr>
          <w:tcW w:w="4342" w:type="dxa"/>
          <w:tcBorders>
            <w:top w:val="single" w:sz="4" w:space="0" w:color="auto"/>
          </w:tcBorders>
          <w:tcMar>
            <w:top w:w="142" w:type="dxa"/>
            <w:bottom w:w="0" w:type="dxa"/>
          </w:tcMar>
        </w:tcPr>
        <w:p w:rsidR="006E184D" w:rsidRPr="00487162" w:rsidRDefault="006E184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6E184D" w:rsidRDefault="006E18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Pr="001C32CD" w:rsidRDefault="006E184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E184D" w:rsidTr="0010601F">
      <w:trPr>
        <w:trHeight w:val="108"/>
      </w:trPr>
      <w:tc>
        <w:tcPr>
          <w:tcW w:w="8875" w:type="dxa"/>
          <w:gridSpan w:val="2"/>
          <w:tcBorders>
            <w:bottom w:val="single" w:sz="4" w:space="0" w:color="auto"/>
          </w:tcBorders>
          <w:tcMar>
            <w:right w:w="284" w:type="dxa"/>
          </w:tcMar>
        </w:tcPr>
        <w:p w:rsidR="006E184D" w:rsidRDefault="006E184D" w:rsidP="006E08B3">
          <w:pPr>
            <w:pStyle w:val="Heading3"/>
          </w:pPr>
          <w:r>
            <w:t>Copyright</w:t>
          </w:r>
        </w:p>
        <w:p w:rsidR="006E184D" w:rsidRDefault="006E184D" w:rsidP="006E08B3">
          <w:r>
            <w:rPr>
              <w:rFonts w:cs="Arial"/>
            </w:rPr>
            <w:t>©</w:t>
          </w:r>
          <w:r>
            <w:t xml:space="preserve"> Commonwealth of Australia [add year]</w:t>
          </w:r>
        </w:p>
        <w:p w:rsidR="006E184D" w:rsidRDefault="006E184D" w:rsidP="006E08B3"/>
        <w:p w:rsidR="006E184D" w:rsidRDefault="006E184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E184D" w:rsidRDefault="006E184D" w:rsidP="006E08B3"/>
        <w:p w:rsidR="006E184D" w:rsidRDefault="006E184D" w:rsidP="006E08B3">
          <w:pPr>
            <w:pStyle w:val="Heading3"/>
          </w:pPr>
          <w:r>
            <w:t>Confidentiality</w:t>
          </w:r>
        </w:p>
        <w:p w:rsidR="006E184D" w:rsidRDefault="006E184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E184D" w:rsidRDefault="006E184D" w:rsidP="006E08B3"/>
        <w:p w:rsidR="006E184D" w:rsidRDefault="006E184D" w:rsidP="006E08B3">
          <w:r>
            <w:t>For submission made by individuals, all personal details, other than your name, will be removed from your submission before it is published on the TGA’s Internet site.</w:t>
          </w:r>
        </w:p>
        <w:p w:rsidR="006E184D" w:rsidRDefault="006E184D" w:rsidP="006E08B3"/>
        <w:p w:rsidR="006E184D" w:rsidRDefault="006E184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E184D" w:rsidTr="0010601F">
      <w:trPr>
        <w:trHeight w:val="417"/>
      </w:trPr>
      <w:tc>
        <w:tcPr>
          <w:tcW w:w="4519" w:type="dxa"/>
          <w:tcBorders>
            <w:top w:val="single" w:sz="4" w:space="0" w:color="auto"/>
          </w:tcBorders>
          <w:tcMar>
            <w:top w:w="142" w:type="dxa"/>
            <w:bottom w:w="0" w:type="dxa"/>
          </w:tcMar>
        </w:tcPr>
        <w:p w:rsidR="006E184D" w:rsidRDefault="006E184D" w:rsidP="006E08B3">
          <w:r>
            <w:t>Document title, Part #, Section # - Section title</w:t>
          </w:r>
        </w:p>
        <w:p w:rsidR="006E184D" w:rsidRDefault="006E184D" w:rsidP="006E08B3">
          <w:r>
            <w:t>V1.0 October 2010</w:t>
          </w:r>
        </w:p>
      </w:tc>
      <w:tc>
        <w:tcPr>
          <w:tcW w:w="4356" w:type="dxa"/>
          <w:tcBorders>
            <w:top w:val="single" w:sz="4" w:space="0" w:color="auto"/>
          </w:tcBorders>
          <w:tcMar>
            <w:top w:w="142" w:type="dxa"/>
            <w:bottom w:w="0" w:type="dxa"/>
          </w:tcMar>
        </w:tcPr>
        <w:p w:rsidR="006E184D" w:rsidRDefault="006E184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6E184D" w:rsidRDefault="006E18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84D" w:rsidRDefault="006E184D" w:rsidP="00C40A36">
      <w:pPr>
        <w:spacing w:after="0"/>
      </w:pPr>
      <w:r>
        <w:separator/>
      </w:r>
    </w:p>
  </w:footnote>
  <w:footnote w:type="continuationSeparator" w:id="0">
    <w:p w:rsidR="006E184D" w:rsidRDefault="006E184D" w:rsidP="00C40A36">
      <w:pPr>
        <w:spacing w:after="0"/>
      </w:pPr>
      <w:r>
        <w:continuationSeparator/>
      </w:r>
    </w:p>
  </w:footnote>
  <w:footnote w:id="1">
    <w:p w:rsidR="006E184D" w:rsidRDefault="006E184D" w:rsidP="004C1A99">
      <w:pPr>
        <w:pStyle w:val="FootnoteText"/>
      </w:pPr>
      <w:r>
        <w:rPr>
          <w:rStyle w:val="FootnoteReference"/>
        </w:rPr>
        <w:footnoteRef/>
      </w:r>
      <w:r>
        <w:t xml:space="preserve"> Previously referred to as MK-3475, SCH 900475 and </w:t>
      </w:r>
      <w:proofErr w:type="spellStart"/>
      <w:r>
        <w:t>lambrolizumab</w:t>
      </w:r>
      <w:proofErr w:type="spellEnd"/>
    </w:p>
  </w:footnote>
  <w:footnote w:id="2">
    <w:p w:rsidR="006E184D" w:rsidRPr="000F509B" w:rsidRDefault="006E184D" w:rsidP="0004095A">
      <w:pPr>
        <w:pStyle w:val="FootnoteText"/>
      </w:pPr>
      <w:r>
        <w:rPr>
          <w:rStyle w:val="FootnoteReference"/>
        </w:rPr>
        <w:footnoteRef/>
      </w:r>
      <w:r>
        <w:t xml:space="preserve"> IgG4 has lower affinity than IgG1 for </w:t>
      </w:r>
      <w:proofErr w:type="spellStart"/>
      <w:r>
        <w:t>FcɣRs</w:t>
      </w:r>
      <w:proofErr w:type="spellEnd"/>
      <w:r>
        <w:t>, but it binds to R1, RIIA, RIIB, RIIC and RIIIA</w:t>
      </w:r>
      <w:r>
        <w:rPr>
          <w:vertAlign w:val="subscript"/>
        </w:rPr>
        <w:t>V158</w:t>
      </w:r>
      <w:r>
        <w:t>, suggesting cell-mediated effects are possible (</w:t>
      </w:r>
      <w:proofErr w:type="spellStart"/>
      <w:r>
        <w:t>Bruhns</w:t>
      </w:r>
      <w:proofErr w:type="spellEnd"/>
      <w:r>
        <w:t xml:space="preserve"> P et al, 2009). IgG4 does not activate complement. Module 2.4, Section 2.1.1.4, suggests pembrolizumab is like IgG4 in this regard. This is affirmed in the NCER (page 5); the Module 3 Round 2 evaluator notes that “as the mechanism of action for MK-3475 is independent of the recruitment of other molecules through the Fc domain the characteristics and control of this domain is not critical to the efficacy of the product”.</w:t>
      </w:r>
    </w:p>
  </w:footnote>
  <w:footnote w:id="3">
    <w:p w:rsidR="006E184D" w:rsidRPr="00987E81" w:rsidRDefault="006E184D" w:rsidP="00BD2F06">
      <w:pPr>
        <w:pStyle w:val="FootnoteText"/>
      </w:pPr>
      <w:r>
        <w:rPr>
          <w:rStyle w:val="FootnoteReference"/>
        </w:rPr>
        <w:footnoteRef/>
      </w:r>
      <w:r>
        <w:t xml:space="preserve"> </w:t>
      </w:r>
      <w:proofErr w:type="spellStart"/>
      <w:r w:rsidRPr="00987E81">
        <w:t>Pardoll</w:t>
      </w:r>
      <w:proofErr w:type="spellEnd"/>
      <w:r w:rsidRPr="00987E81">
        <w:t xml:space="preserve"> DM </w:t>
      </w:r>
      <w:proofErr w:type="gramStart"/>
      <w:r w:rsidRPr="00987E81">
        <w:t>The</w:t>
      </w:r>
      <w:proofErr w:type="gramEnd"/>
      <w:r w:rsidRPr="00987E81">
        <w:t xml:space="preserve"> blockade of immune checkpoints in cancer</w:t>
      </w:r>
      <w:r>
        <w:t xml:space="preserve"> </w:t>
      </w:r>
      <w:r w:rsidRPr="00987E81">
        <w:t>immunotherapy. Nat Rev Cancer 2012;</w:t>
      </w:r>
      <w:r>
        <w:t xml:space="preserve"> </w:t>
      </w:r>
      <w:r w:rsidRPr="00987E81">
        <w:t>12:</w:t>
      </w:r>
      <w:r>
        <w:t xml:space="preserve"> </w:t>
      </w:r>
      <w:r w:rsidRPr="00987E81">
        <w:t>252-</w:t>
      </w:r>
      <w:r>
        <w:t>2</w:t>
      </w:r>
      <w:r w:rsidRPr="00987E81">
        <w:t>64</w:t>
      </w:r>
    </w:p>
  </w:footnote>
  <w:footnote w:id="4">
    <w:p w:rsidR="006E184D" w:rsidRPr="00260892" w:rsidRDefault="006E184D" w:rsidP="00485A77">
      <w:pPr>
        <w:pStyle w:val="FootnoteText"/>
        <w:rPr>
          <w:lang w:val="en-US"/>
        </w:rPr>
      </w:pPr>
      <w:r>
        <w:rPr>
          <w:rStyle w:val="FootnoteReference"/>
        </w:rPr>
        <w:footnoteRef/>
      </w:r>
      <w:r>
        <w:t xml:space="preserve"> Dong H et al.</w:t>
      </w:r>
      <w:r w:rsidRPr="00D32765">
        <w:rPr>
          <w:rFonts w:eastAsiaTheme="minorHAnsi"/>
        </w:rPr>
        <w:t xml:space="preserve"> </w:t>
      </w:r>
      <w:proofErr w:type="spellStart"/>
      <w:r w:rsidRPr="00D32765">
        <w:rPr>
          <w:rFonts w:eastAsiaTheme="minorHAnsi"/>
        </w:rPr>
        <w:t>Tumor</w:t>
      </w:r>
      <w:proofErr w:type="spellEnd"/>
      <w:r w:rsidRPr="00D32765">
        <w:rPr>
          <w:rFonts w:eastAsiaTheme="minorHAnsi"/>
        </w:rPr>
        <w:t>-associated B7-H1 promotes T-cell apoptosis: a potential mechanism of immune evasion.</w:t>
      </w:r>
      <w:r>
        <w:rPr>
          <w:rFonts w:eastAsiaTheme="minorHAnsi"/>
        </w:rPr>
        <w:t xml:space="preserve"> </w:t>
      </w:r>
      <w:proofErr w:type="gramStart"/>
      <w:r w:rsidRPr="00D32765">
        <w:rPr>
          <w:rFonts w:eastAsiaTheme="minorHAnsi"/>
          <w:i/>
        </w:rPr>
        <w:t>Nat. Med.</w:t>
      </w:r>
      <w:r w:rsidRPr="00D32765">
        <w:rPr>
          <w:rFonts w:eastAsiaTheme="minorHAnsi"/>
        </w:rPr>
        <w:t xml:space="preserve"> </w:t>
      </w:r>
      <w:r w:rsidRPr="00C64A78">
        <w:t>2002</w:t>
      </w:r>
      <w:r>
        <w:t xml:space="preserve">; </w:t>
      </w:r>
      <w:r w:rsidRPr="00F965EC">
        <w:rPr>
          <w:rFonts w:eastAsiaTheme="minorHAnsi"/>
        </w:rPr>
        <w:t>8</w:t>
      </w:r>
      <w:r w:rsidRPr="00D32765">
        <w:rPr>
          <w:rFonts w:eastAsiaTheme="minorHAnsi"/>
          <w:b/>
        </w:rPr>
        <w:t>:</w:t>
      </w:r>
      <w:r w:rsidRPr="00D32765">
        <w:rPr>
          <w:rFonts w:eastAsiaTheme="minorHAnsi"/>
          <w:w w:val="50"/>
        </w:rPr>
        <w:t xml:space="preserve"> </w:t>
      </w:r>
      <w:r w:rsidRPr="00D32765">
        <w:rPr>
          <w:rFonts w:eastAsiaTheme="minorHAnsi"/>
        </w:rPr>
        <w:t>793</w:t>
      </w:r>
      <w:r>
        <w:rPr>
          <w:rFonts w:eastAsiaTheme="minorHAnsi"/>
        </w:rPr>
        <w:t>–</w:t>
      </w:r>
      <w:r w:rsidRPr="00D32765">
        <w:rPr>
          <w:rFonts w:eastAsiaTheme="minorHAnsi"/>
        </w:rPr>
        <w:t>800</w:t>
      </w:r>
      <w:r>
        <w:rPr>
          <w:rFonts w:eastAsiaTheme="minorHAnsi"/>
        </w:rPr>
        <w:t>.</w:t>
      </w:r>
      <w:proofErr w:type="gramEnd"/>
    </w:p>
  </w:footnote>
  <w:footnote w:id="5">
    <w:p w:rsidR="006E184D" w:rsidRPr="00987E81" w:rsidRDefault="006E184D">
      <w:pPr>
        <w:pStyle w:val="FootnoteText"/>
        <w:rPr>
          <w:lang w:val="en-US"/>
        </w:rPr>
      </w:pPr>
      <w:r w:rsidRPr="00A92BB2">
        <w:rPr>
          <w:rStyle w:val="FootnoteReference"/>
        </w:rPr>
        <w:footnoteRef/>
      </w:r>
      <w:r w:rsidRPr="00A92BB2">
        <w:t xml:space="preserve"> </w:t>
      </w:r>
      <w:proofErr w:type="spellStart"/>
      <w:r w:rsidRPr="00A92BB2">
        <w:t>Wolchok</w:t>
      </w:r>
      <w:proofErr w:type="spellEnd"/>
      <w:r w:rsidRPr="00A92BB2">
        <w:t xml:space="preserve"> J and Chan T.</w:t>
      </w:r>
      <w:r>
        <w:t xml:space="preserve"> </w:t>
      </w:r>
      <w:r w:rsidRPr="00E26B1C">
        <w:rPr>
          <w:rFonts w:asciiTheme="minorHAnsi" w:hAnsiTheme="minorHAnsi"/>
          <w:szCs w:val="22"/>
        </w:rPr>
        <w:t xml:space="preserve">Cancer: </w:t>
      </w:r>
      <w:proofErr w:type="spellStart"/>
      <w:r w:rsidRPr="00E26B1C">
        <w:rPr>
          <w:rFonts w:asciiTheme="minorHAnsi" w:hAnsiTheme="minorHAnsi"/>
          <w:szCs w:val="22"/>
        </w:rPr>
        <w:t>an</w:t>
      </w:r>
      <w:r>
        <w:rPr>
          <w:rFonts w:asciiTheme="minorHAnsi" w:hAnsiTheme="minorHAnsi"/>
          <w:szCs w:val="22"/>
        </w:rPr>
        <w:t>titumour</w:t>
      </w:r>
      <w:proofErr w:type="spellEnd"/>
      <w:r>
        <w:rPr>
          <w:rFonts w:asciiTheme="minorHAnsi" w:hAnsiTheme="minorHAnsi"/>
          <w:szCs w:val="22"/>
        </w:rPr>
        <w:t xml:space="preserve"> immunity gets a boost.</w:t>
      </w:r>
      <w:r w:rsidRPr="00E26B1C">
        <w:rPr>
          <w:rFonts w:asciiTheme="minorHAnsi" w:hAnsiTheme="minorHAnsi"/>
          <w:szCs w:val="22"/>
        </w:rPr>
        <w:t xml:space="preserve"> </w:t>
      </w:r>
      <w:r w:rsidRPr="00A92BB2">
        <w:rPr>
          <w:rFonts w:asciiTheme="minorHAnsi" w:hAnsiTheme="minorHAnsi"/>
          <w:i/>
          <w:szCs w:val="22"/>
        </w:rPr>
        <w:t>Nature</w:t>
      </w:r>
      <w:r w:rsidRPr="00E26B1C">
        <w:rPr>
          <w:rFonts w:asciiTheme="minorHAnsi" w:hAnsiTheme="minorHAnsi"/>
          <w:szCs w:val="22"/>
        </w:rPr>
        <w:t xml:space="preserve"> 2014; 515: 496-498</w:t>
      </w:r>
    </w:p>
  </w:footnote>
  <w:footnote w:id="6">
    <w:p w:rsidR="006E184D" w:rsidRPr="00987E81" w:rsidRDefault="006E184D">
      <w:pPr>
        <w:pStyle w:val="FootnoteText"/>
        <w:rPr>
          <w:lang w:val="en-US"/>
        </w:rPr>
      </w:pPr>
      <w:r>
        <w:rPr>
          <w:rStyle w:val="FootnoteReference"/>
        </w:rPr>
        <w:footnoteRef/>
      </w:r>
      <w:r>
        <w:t xml:space="preserve"> </w:t>
      </w:r>
      <w:proofErr w:type="spellStart"/>
      <w:proofErr w:type="gramStart"/>
      <w:r w:rsidRPr="00A92BB2">
        <w:rPr>
          <w:rFonts w:asciiTheme="minorHAnsi" w:hAnsiTheme="minorHAnsi"/>
          <w:szCs w:val="22"/>
        </w:rPr>
        <w:t>Curti</w:t>
      </w:r>
      <w:proofErr w:type="spellEnd"/>
      <w:r w:rsidRPr="00A92BB2">
        <w:rPr>
          <w:rFonts w:asciiTheme="minorHAnsi" w:hAnsiTheme="minorHAnsi"/>
          <w:szCs w:val="22"/>
        </w:rPr>
        <w:t xml:space="preserve"> B</w:t>
      </w:r>
      <w:r>
        <w:rPr>
          <w:rFonts w:asciiTheme="minorHAnsi" w:hAnsiTheme="minorHAnsi"/>
          <w:szCs w:val="22"/>
        </w:rPr>
        <w:t>.</w:t>
      </w:r>
      <w:r w:rsidRPr="00A92BB2">
        <w:rPr>
          <w:rFonts w:asciiTheme="minorHAnsi" w:hAnsiTheme="minorHAnsi"/>
          <w:szCs w:val="22"/>
        </w:rPr>
        <w:t xml:space="preserve"> Rapid evolution of co</w:t>
      </w:r>
      <w:r>
        <w:rPr>
          <w:rFonts w:asciiTheme="minorHAnsi" w:hAnsiTheme="minorHAnsi"/>
          <w:szCs w:val="22"/>
        </w:rPr>
        <w:t>mbination therapy in melanoma.</w:t>
      </w:r>
      <w:proofErr w:type="gramEnd"/>
      <w:r>
        <w:rPr>
          <w:rFonts w:asciiTheme="minorHAnsi" w:hAnsiTheme="minorHAnsi"/>
          <w:szCs w:val="22"/>
        </w:rPr>
        <w:t xml:space="preserve"> </w:t>
      </w:r>
      <w:r w:rsidRPr="00A92BB2">
        <w:rPr>
          <w:rFonts w:asciiTheme="minorHAnsi" w:hAnsiTheme="minorHAnsi"/>
          <w:i/>
          <w:szCs w:val="22"/>
        </w:rPr>
        <w:t>NEJM</w:t>
      </w:r>
      <w:r w:rsidRPr="00A92BB2">
        <w:rPr>
          <w:rFonts w:asciiTheme="minorHAnsi" w:hAnsiTheme="minorHAnsi"/>
          <w:szCs w:val="22"/>
        </w:rPr>
        <w:t xml:space="preserve"> 2014; 371: 1929-1930</w:t>
      </w:r>
    </w:p>
  </w:footnote>
  <w:footnote w:id="7">
    <w:p w:rsidR="006E184D" w:rsidRPr="000E28C1" w:rsidRDefault="006E184D" w:rsidP="006207A9">
      <w:pPr>
        <w:pStyle w:val="FootnoteText"/>
      </w:pPr>
      <w:r w:rsidRPr="000E28C1">
        <w:rPr>
          <w:rStyle w:val="FootnoteReference"/>
        </w:rPr>
        <w:footnoteRef/>
      </w:r>
      <w:r w:rsidRPr="000E28C1">
        <w:t xml:space="preserve"> http://www.accessdata.fda.gov/drugsatfda_docs/appletter/2014/125514Orig1s000ltr.pdf</w:t>
      </w:r>
    </w:p>
  </w:footnote>
  <w:footnote w:id="8">
    <w:p w:rsidR="006E184D" w:rsidRDefault="006E184D" w:rsidP="006207A9">
      <w:pPr>
        <w:pStyle w:val="FootnoteText"/>
      </w:pPr>
      <w:r>
        <w:rPr>
          <w:rStyle w:val="FootnoteReference"/>
        </w:rPr>
        <w:footnoteRef/>
      </w:r>
      <w:r>
        <w:t xml:space="preserve"> MSD letter to TGA dated 5.11.2014 (</w:t>
      </w:r>
      <w:r w:rsidRPr="00B74352">
        <w:t>R14/1160665</w:t>
      </w:r>
      <w:r>
        <w:t>)</w:t>
      </w:r>
    </w:p>
  </w:footnote>
  <w:footnote w:id="9">
    <w:p w:rsidR="006E184D" w:rsidRPr="00260892" w:rsidRDefault="006E184D">
      <w:pPr>
        <w:pStyle w:val="FootnoteText"/>
        <w:rPr>
          <w:lang w:val="en-US"/>
        </w:rPr>
      </w:pPr>
      <w:r>
        <w:rPr>
          <w:rStyle w:val="FootnoteReference"/>
        </w:rPr>
        <w:footnoteRef/>
      </w:r>
      <w:r>
        <w:t xml:space="preserve"> </w:t>
      </w:r>
      <w:r>
        <w:rPr>
          <w:lang w:val="en"/>
        </w:rPr>
        <w:t>CHMP/ICH/731268/ 1998</w:t>
      </w:r>
      <w:r w:rsidRPr="00C64A78">
        <w:t>(ICH S6 [R1])</w:t>
      </w:r>
      <w:r>
        <w:t xml:space="preserve"> </w:t>
      </w:r>
      <w:r>
        <w:rPr>
          <w:lang w:val="en"/>
        </w:rPr>
        <w:t>Preclinical safety evaluation of biotechnology-derived pharmaceuticals</w:t>
      </w:r>
    </w:p>
  </w:footnote>
  <w:footnote w:id="10">
    <w:p w:rsidR="006E184D" w:rsidRPr="00260892" w:rsidRDefault="006E184D">
      <w:pPr>
        <w:pStyle w:val="FootnoteText"/>
        <w:rPr>
          <w:lang w:val="en-US"/>
        </w:rPr>
      </w:pPr>
      <w:r>
        <w:rPr>
          <w:rStyle w:val="FootnoteReference"/>
        </w:rPr>
        <w:footnoteRef/>
      </w:r>
      <w:r>
        <w:t xml:space="preserve"> </w:t>
      </w:r>
      <w:r w:rsidRPr="00C64A78">
        <w:t>(ICH S9)</w:t>
      </w:r>
      <w:r>
        <w:t xml:space="preserve"> Nonclinical evaluation for anticancer pharmaceuticals</w:t>
      </w:r>
    </w:p>
  </w:footnote>
  <w:footnote w:id="11">
    <w:p w:rsidR="006E184D" w:rsidRPr="00260892" w:rsidRDefault="006E184D">
      <w:pPr>
        <w:pStyle w:val="FootnoteText"/>
        <w:rPr>
          <w:lang w:val="en-US"/>
        </w:rPr>
      </w:pPr>
      <w:r>
        <w:rPr>
          <w:rStyle w:val="FootnoteReference"/>
        </w:rPr>
        <w:footnoteRef/>
      </w:r>
      <w:r>
        <w:t xml:space="preserve"> Dong H et al.</w:t>
      </w:r>
      <w:r w:rsidRPr="00D32765">
        <w:rPr>
          <w:rFonts w:eastAsiaTheme="minorHAnsi"/>
        </w:rPr>
        <w:t xml:space="preserve"> </w:t>
      </w:r>
      <w:proofErr w:type="spellStart"/>
      <w:r w:rsidRPr="00D32765">
        <w:rPr>
          <w:rFonts w:eastAsiaTheme="minorHAnsi"/>
        </w:rPr>
        <w:t>Tumor</w:t>
      </w:r>
      <w:proofErr w:type="spellEnd"/>
      <w:r w:rsidRPr="00D32765">
        <w:rPr>
          <w:rFonts w:eastAsiaTheme="minorHAnsi"/>
        </w:rPr>
        <w:t>-associated B7-H1 promotes T-cell apoptosis: a potential mechanism of immune evasion.</w:t>
      </w:r>
      <w:r>
        <w:rPr>
          <w:rFonts w:eastAsiaTheme="minorHAnsi"/>
        </w:rPr>
        <w:t xml:space="preserve"> </w:t>
      </w:r>
      <w:proofErr w:type="gramStart"/>
      <w:r w:rsidRPr="00D32765">
        <w:rPr>
          <w:rFonts w:eastAsiaTheme="minorHAnsi"/>
          <w:i/>
        </w:rPr>
        <w:t>Nat. Med.</w:t>
      </w:r>
      <w:r w:rsidRPr="00D32765">
        <w:rPr>
          <w:rFonts w:eastAsiaTheme="minorHAnsi"/>
        </w:rPr>
        <w:t xml:space="preserve"> </w:t>
      </w:r>
      <w:r w:rsidRPr="00C64A78">
        <w:t>2002</w:t>
      </w:r>
      <w:r>
        <w:t xml:space="preserve">; </w:t>
      </w:r>
      <w:r w:rsidRPr="00F965EC">
        <w:rPr>
          <w:rFonts w:eastAsiaTheme="minorHAnsi"/>
        </w:rPr>
        <w:t>8</w:t>
      </w:r>
      <w:r w:rsidRPr="00D32765">
        <w:rPr>
          <w:rFonts w:eastAsiaTheme="minorHAnsi"/>
          <w:b/>
        </w:rPr>
        <w:t>:</w:t>
      </w:r>
      <w:r w:rsidRPr="00D32765">
        <w:rPr>
          <w:rFonts w:eastAsiaTheme="minorHAnsi"/>
          <w:w w:val="50"/>
        </w:rPr>
        <w:t xml:space="preserve"> </w:t>
      </w:r>
      <w:r w:rsidRPr="00D32765">
        <w:rPr>
          <w:rFonts w:eastAsiaTheme="minorHAnsi"/>
        </w:rPr>
        <w:t>793</w:t>
      </w:r>
      <w:r>
        <w:rPr>
          <w:rFonts w:eastAsiaTheme="minorHAnsi"/>
        </w:rPr>
        <w:t>–</w:t>
      </w:r>
      <w:r w:rsidRPr="00D32765">
        <w:rPr>
          <w:rFonts w:eastAsiaTheme="minorHAnsi"/>
        </w:rPr>
        <w:t>800</w:t>
      </w:r>
      <w:r>
        <w:rPr>
          <w:rFonts w:eastAsiaTheme="minorHAnsi"/>
        </w:rPr>
        <w:t>.</w:t>
      </w:r>
      <w:proofErr w:type="gramEnd"/>
    </w:p>
  </w:footnote>
  <w:footnote w:id="12">
    <w:p w:rsidR="006E184D" w:rsidRPr="00260892" w:rsidRDefault="006E184D">
      <w:pPr>
        <w:pStyle w:val="FootnoteText"/>
        <w:rPr>
          <w:lang w:val="en-US"/>
        </w:rPr>
      </w:pPr>
      <w:r>
        <w:rPr>
          <w:rStyle w:val="FootnoteReference"/>
        </w:rPr>
        <w:footnoteRef/>
      </w:r>
      <w:r>
        <w:t xml:space="preserve"> </w:t>
      </w:r>
      <w:proofErr w:type="spellStart"/>
      <w:proofErr w:type="gramStart"/>
      <w:r w:rsidRPr="00C64A78">
        <w:t>Guleria</w:t>
      </w:r>
      <w:proofErr w:type="spellEnd"/>
      <w:r>
        <w:t xml:space="preserve"> I et al.</w:t>
      </w:r>
      <w:proofErr w:type="gramEnd"/>
      <w:r w:rsidRPr="00F965EC">
        <w:rPr>
          <w:rFonts w:eastAsiaTheme="minorHAnsi"/>
        </w:rPr>
        <w:t xml:space="preserve"> </w:t>
      </w:r>
      <w:proofErr w:type="gramStart"/>
      <w:r w:rsidRPr="00F35859">
        <w:rPr>
          <w:rFonts w:eastAsiaTheme="minorHAnsi"/>
        </w:rPr>
        <w:t xml:space="preserve">A critical role for the programmed death ligand 1 in </w:t>
      </w:r>
      <w:proofErr w:type="spellStart"/>
      <w:r w:rsidRPr="00F35859">
        <w:rPr>
          <w:rFonts w:eastAsiaTheme="minorHAnsi"/>
        </w:rPr>
        <w:t>fetomaternal</w:t>
      </w:r>
      <w:proofErr w:type="spellEnd"/>
      <w:r w:rsidRPr="00F35859">
        <w:rPr>
          <w:rFonts w:eastAsiaTheme="minorHAnsi"/>
        </w:rPr>
        <w:t xml:space="preserve"> tolerance.</w:t>
      </w:r>
      <w:proofErr w:type="gramEnd"/>
      <w:r>
        <w:rPr>
          <w:rFonts w:eastAsiaTheme="minorHAnsi"/>
        </w:rPr>
        <w:t xml:space="preserve"> </w:t>
      </w:r>
      <w:r w:rsidRPr="00F35859">
        <w:rPr>
          <w:rFonts w:eastAsiaTheme="minorHAnsi"/>
          <w:i/>
        </w:rPr>
        <w:t>J. Exp. Med.</w:t>
      </w:r>
      <w:r w:rsidRPr="00F35859">
        <w:rPr>
          <w:rFonts w:eastAsiaTheme="minorHAnsi"/>
        </w:rPr>
        <w:t xml:space="preserve"> </w:t>
      </w:r>
      <w:r w:rsidRPr="00C64A78">
        <w:t>2005</w:t>
      </w:r>
      <w:r>
        <w:t xml:space="preserve">; </w:t>
      </w:r>
      <w:r w:rsidRPr="00F965EC">
        <w:rPr>
          <w:rFonts w:eastAsiaTheme="minorHAnsi"/>
        </w:rPr>
        <w:t>202:</w:t>
      </w:r>
      <w:r w:rsidRPr="00F35859">
        <w:rPr>
          <w:rFonts w:eastAsiaTheme="minorHAnsi"/>
          <w:w w:val="50"/>
        </w:rPr>
        <w:t xml:space="preserve"> </w:t>
      </w:r>
      <w:r w:rsidRPr="00F35859">
        <w:rPr>
          <w:rFonts w:eastAsiaTheme="minorHAnsi"/>
        </w:rPr>
        <w:t>231</w:t>
      </w:r>
      <w:r>
        <w:rPr>
          <w:rFonts w:eastAsiaTheme="minorHAnsi"/>
        </w:rPr>
        <w:t>–23</w:t>
      </w:r>
      <w:r w:rsidRPr="00F35859">
        <w:rPr>
          <w:rFonts w:eastAsiaTheme="minorHAnsi"/>
        </w:rPr>
        <w:t>7</w:t>
      </w:r>
    </w:p>
  </w:footnote>
  <w:footnote w:id="13">
    <w:p w:rsidR="006E184D" w:rsidRPr="00260892" w:rsidRDefault="006E184D">
      <w:pPr>
        <w:pStyle w:val="FootnoteText"/>
        <w:rPr>
          <w:lang w:val="en-US"/>
        </w:rPr>
      </w:pPr>
      <w:r>
        <w:rPr>
          <w:rStyle w:val="FootnoteReference"/>
        </w:rPr>
        <w:footnoteRef/>
      </w:r>
      <w:r>
        <w:t xml:space="preserve"> </w:t>
      </w:r>
      <w:proofErr w:type="spellStart"/>
      <w:r w:rsidRPr="00C64A78">
        <w:t>Wafula</w:t>
      </w:r>
      <w:proofErr w:type="spellEnd"/>
      <w:r w:rsidRPr="00C64A78">
        <w:t xml:space="preserve"> </w:t>
      </w:r>
      <w:r>
        <w:t xml:space="preserve">PO </w:t>
      </w:r>
      <w:r w:rsidRPr="00C64A78">
        <w:t xml:space="preserve">et al., </w:t>
      </w:r>
      <w:r w:rsidRPr="00365899">
        <w:rPr>
          <w:rFonts w:eastAsiaTheme="minorHAnsi"/>
        </w:rPr>
        <w:t>PD-1 but not CTLA-4 blockage abrogates the protective effect of regulatory T cells in a pregnancy murine model.</w:t>
      </w:r>
      <w:r>
        <w:rPr>
          <w:rFonts w:eastAsiaTheme="minorHAnsi"/>
        </w:rPr>
        <w:t xml:space="preserve"> </w:t>
      </w:r>
      <w:r w:rsidRPr="00365899">
        <w:rPr>
          <w:rFonts w:eastAsiaTheme="minorHAnsi"/>
          <w:i/>
        </w:rPr>
        <w:t xml:space="preserve">Am. J. </w:t>
      </w:r>
      <w:proofErr w:type="spellStart"/>
      <w:r w:rsidRPr="00365899">
        <w:rPr>
          <w:rFonts w:eastAsiaTheme="minorHAnsi"/>
          <w:i/>
        </w:rPr>
        <w:t>Reprod</w:t>
      </w:r>
      <w:proofErr w:type="spellEnd"/>
      <w:r w:rsidRPr="00365899">
        <w:rPr>
          <w:rFonts w:eastAsiaTheme="minorHAnsi"/>
          <w:i/>
        </w:rPr>
        <w:t xml:space="preserve">. </w:t>
      </w:r>
      <w:proofErr w:type="spellStart"/>
      <w:proofErr w:type="gramStart"/>
      <w:r w:rsidRPr="00365899">
        <w:rPr>
          <w:rFonts w:eastAsiaTheme="minorHAnsi"/>
          <w:i/>
        </w:rPr>
        <w:t>Immunol</w:t>
      </w:r>
      <w:proofErr w:type="spellEnd"/>
      <w:r w:rsidRPr="00365899">
        <w:rPr>
          <w:rFonts w:eastAsiaTheme="minorHAnsi"/>
          <w:i/>
        </w:rPr>
        <w:t>.</w:t>
      </w:r>
      <w:proofErr w:type="gramEnd"/>
      <w:r w:rsidRPr="00365899">
        <w:rPr>
          <w:rFonts w:eastAsiaTheme="minorHAnsi"/>
        </w:rPr>
        <w:t xml:space="preserve"> </w:t>
      </w:r>
      <w:r w:rsidRPr="00C64A78">
        <w:t>2009</w:t>
      </w:r>
      <w:r w:rsidRPr="00F965EC">
        <w:t xml:space="preserve">; </w:t>
      </w:r>
      <w:r w:rsidRPr="00F965EC">
        <w:rPr>
          <w:rFonts w:eastAsiaTheme="minorHAnsi"/>
        </w:rPr>
        <w:t>62:</w:t>
      </w:r>
      <w:r w:rsidRPr="00F965EC">
        <w:rPr>
          <w:rFonts w:eastAsiaTheme="minorHAnsi"/>
          <w:w w:val="50"/>
        </w:rPr>
        <w:t xml:space="preserve"> </w:t>
      </w:r>
      <w:r w:rsidRPr="00F965EC">
        <w:rPr>
          <w:rFonts w:eastAsiaTheme="minorHAnsi"/>
        </w:rPr>
        <w:t>283</w:t>
      </w:r>
      <w:r>
        <w:rPr>
          <w:rFonts w:eastAsiaTheme="minorHAnsi"/>
        </w:rPr>
        <w:t>–2</w:t>
      </w:r>
      <w:r w:rsidRPr="00365899">
        <w:rPr>
          <w:rFonts w:eastAsiaTheme="minorHAnsi"/>
        </w:rPr>
        <w:t>92</w:t>
      </w:r>
    </w:p>
  </w:footnote>
  <w:footnote w:id="14">
    <w:p w:rsidR="006E184D" w:rsidRPr="00260892" w:rsidRDefault="006E184D">
      <w:pPr>
        <w:pStyle w:val="FootnoteText"/>
        <w:rPr>
          <w:lang w:val="en-US"/>
        </w:rPr>
      </w:pPr>
      <w:r>
        <w:rPr>
          <w:rStyle w:val="FootnoteReference"/>
        </w:rPr>
        <w:footnoteRef/>
      </w:r>
      <w:r>
        <w:t xml:space="preserve"> Pregnancy Category C is classified as </w:t>
      </w:r>
      <w:r w:rsidRPr="00126B2F">
        <w:rPr>
          <w:i/>
        </w:rPr>
        <w:t>Drugs which, owing to their pharmacological effects, have caused or may be suspected of causing, harmful effects on the human fetus or neonate without causing malformations. These effects may be reversible. Accompanying texts should be consulted for further details</w:t>
      </w:r>
      <w:r w:rsidRPr="00126B2F">
        <w:t>.</w:t>
      </w:r>
    </w:p>
  </w:footnote>
  <w:footnote w:id="15">
    <w:p w:rsidR="006E184D" w:rsidRPr="00260892" w:rsidRDefault="006E184D">
      <w:pPr>
        <w:pStyle w:val="FootnoteText"/>
        <w:rPr>
          <w:lang w:val="en-US"/>
        </w:rPr>
      </w:pPr>
      <w:r>
        <w:rPr>
          <w:rStyle w:val="FootnoteReference"/>
        </w:rPr>
        <w:footnoteRef/>
      </w:r>
      <w:r>
        <w:t xml:space="preserve"> Pregnancy Category D is classified as </w:t>
      </w:r>
      <w:r w:rsidRPr="00126B2F">
        <w:rPr>
          <w:i/>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r>
        <w:rPr>
          <w:rFonts w:ascii="Noto Sans" w:hAnsi="Noto Sans"/>
          <w:sz w:val="22"/>
          <w:szCs w:val="22"/>
          <w:lang w:val="en"/>
        </w:rPr>
        <w:t>.</w:t>
      </w:r>
    </w:p>
  </w:footnote>
  <w:footnote w:id="16">
    <w:p w:rsidR="006E184D" w:rsidRPr="005C1A6F" w:rsidRDefault="006E184D" w:rsidP="00100E03">
      <w:pPr>
        <w:pStyle w:val="FootnoteText"/>
        <w:rPr>
          <w:lang w:val="en-US"/>
        </w:rPr>
      </w:pPr>
      <w:r>
        <w:rPr>
          <w:rStyle w:val="FootnoteReference"/>
        </w:rPr>
        <w:footnoteRef/>
      </w:r>
      <w:r>
        <w:t xml:space="preserve"> </w:t>
      </w:r>
      <w:proofErr w:type="gramStart"/>
      <w:r>
        <w:t>Cancer Council Australia; 2014.</w:t>
      </w:r>
      <w:proofErr w:type="gramEnd"/>
      <w:r w:rsidRPr="00A96B4D">
        <w:t xml:space="preserve"> </w:t>
      </w:r>
      <w:r>
        <w:t>Melanoma; 2014 March 25 [cited 15 October 2014];</w:t>
      </w:r>
    </w:p>
  </w:footnote>
  <w:footnote w:id="17">
    <w:p w:rsidR="006E184D" w:rsidRPr="001D4BB8" w:rsidRDefault="006E184D" w:rsidP="001D4BB8">
      <w:pPr>
        <w:pStyle w:val="FootnoteText"/>
      </w:pPr>
      <w:r w:rsidRPr="001D4BB8">
        <w:rPr>
          <w:vertAlign w:val="superscript"/>
        </w:rPr>
        <w:footnoteRef/>
      </w:r>
      <w:r w:rsidRPr="001D4BB8">
        <w:t xml:space="preserve"> </w:t>
      </w:r>
      <w:proofErr w:type="spellStart"/>
      <w:proofErr w:type="gramStart"/>
      <w:r w:rsidRPr="001D4BB8">
        <w:t>Eggermont</w:t>
      </w:r>
      <w:proofErr w:type="spellEnd"/>
      <w:r w:rsidRPr="001D4BB8">
        <w:t xml:space="preserve"> AMM et al. Cutaneous melanoma</w:t>
      </w:r>
      <w:r w:rsidRPr="001D4BB8">
        <w:rPr>
          <w:i/>
        </w:rPr>
        <w:t>.</w:t>
      </w:r>
      <w:proofErr w:type="gramEnd"/>
      <w:r w:rsidRPr="001D4BB8">
        <w:rPr>
          <w:i/>
        </w:rPr>
        <w:t xml:space="preserve"> Lancet</w:t>
      </w:r>
      <w:r w:rsidRPr="001D4BB8">
        <w:t>; 2014; 383: 816–827</w:t>
      </w:r>
    </w:p>
  </w:footnote>
  <w:footnote w:id="18">
    <w:p w:rsidR="006E184D" w:rsidRPr="001D4BB8" w:rsidRDefault="006E184D" w:rsidP="001D4BB8">
      <w:pPr>
        <w:pStyle w:val="FootnoteText"/>
      </w:pPr>
      <w:r w:rsidRPr="001D4BB8">
        <w:rPr>
          <w:vertAlign w:val="superscript"/>
        </w:rPr>
        <w:footnoteRef/>
      </w:r>
      <w:r w:rsidRPr="001D4BB8">
        <w:t xml:space="preserve"> </w:t>
      </w:r>
      <w:proofErr w:type="gramStart"/>
      <w:r w:rsidRPr="001D4BB8">
        <w:t>McDermott DF and Atkins MB.</w:t>
      </w:r>
      <w:proofErr w:type="gramEnd"/>
      <w:r w:rsidRPr="001D4BB8">
        <w:t xml:space="preserve"> </w:t>
      </w:r>
      <w:proofErr w:type="gramStart"/>
      <w:r w:rsidRPr="001D4BB8">
        <w:t>PD-1 as a potential target in cancer therapy.</w:t>
      </w:r>
      <w:proofErr w:type="gramEnd"/>
      <w:r w:rsidRPr="001D4BB8">
        <w:t xml:space="preserve"> </w:t>
      </w:r>
      <w:proofErr w:type="gramStart"/>
      <w:r w:rsidRPr="001D4BB8">
        <w:rPr>
          <w:i/>
        </w:rPr>
        <w:t>Cancer Medicine</w:t>
      </w:r>
      <w:r w:rsidRPr="001D4BB8">
        <w:t>.</w:t>
      </w:r>
      <w:proofErr w:type="gramEnd"/>
      <w:r w:rsidRPr="001D4BB8">
        <w:t xml:space="preserve"> </w:t>
      </w:r>
      <w:proofErr w:type="gramStart"/>
      <w:r w:rsidRPr="001D4BB8">
        <w:t>2013; 2: 662–673.</w:t>
      </w:r>
      <w:proofErr w:type="gramEnd"/>
    </w:p>
  </w:footnote>
  <w:footnote w:id="19">
    <w:p w:rsidR="006E184D" w:rsidRPr="001D4BB8" w:rsidRDefault="006E184D" w:rsidP="001D4BB8">
      <w:pPr>
        <w:pStyle w:val="FootnoteText"/>
      </w:pPr>
      <w:r w:rsidRPr="001D4BB8">
        <w:rPr>
          <w:vertAlign w:val="superscript"/>
        </w:rPr>
        <w:footnoteRef/>
      </w:r>
      <w:r w:rsidRPr="001D4BB8">
        <w:t xml:space="preserve"> </w:t>
      </w:r>
      <w:proofErr w:type="spellStart"/>
      <w:r w:rsidRPr="001D4BB8">
        <w:t>Tykodi</w:t>
      </w:r>
      <w:proofErr w:type="spellEnd"/>
      <w:r w:rsidRPr="001D4BB8">
        <w:t xml:space="preserve"> SS. PD-1 as an emerging therapeutic target in renal cell carcinoma: current evidence. </w:t>
      </w:r>
      <w:proofErr w:type="spellStart"/>
      <w:proofErr w:type="gramStart"/>
      <w:r w:rsidRPr="001D4BB8">
        <w:t>Onco</w:t>
      </w:r>
      <w:proofErr w:type="spellEnd"/>
      <w:r w:rsidRPr="001D4BB8">
        <w:t xml:space="preserve"> Targets </w:t>
      </w:r>
      <w:proofErr w:type="spellStart"/>
      <w:r w:rsidRPr="001D4BB8">
        <w:t>Ther</w:t>
      </w:r>
      <w:proofErr w:type="spellEnd"/>
      <w:r w:rsidRPr="001D4BB8">
        <w:t>.</w:t>
      </w:r>
      <w:proofErr w:type="gramEnd"/>
      <w:r w:rsidRPr="001D4BB8">
        <w:t xml:space="preserve"> 2014; 7:1349-1359</w:t>
      </w:r>
    </w:p>
  </w:footnote>
  <w:footnote w:id="20">
    <w:p w:rsidR="006E184D" w:rsidRPr="001D4BB8" w:rsidRDefault="006E184D" w:rsidP="001D4BB8">
      <w:pPr>
        <w:pStyle w:val="FootnoteText"/>
      </w:pPr>
      <w:r w:rsidRPr="001D4BB8">
        <w:rPr>
          <w:vertAlign w:val="superscript"/>
        </w:rPr>
        <w:footnoteRef/>
      </w:r>
      <w:r w:rsidRPr="001D4BB8">
        <w:t xml:space="preserve"> Chen DS et al. Molecular Pathways: Next-Generation Immunotherapy- Inhibiting Programmed Death-Ligand 1 and Programmed Death-1. </w:t>
      </w:r>
      <w:proofErr w:type="spellStart"/>
      <w:r w:rsidRPr="001D4BB8">
        <w:rPr>
          <w:i/>
        </w:rPr>
        <w:t>Clin</w:t>
      </w:r>
      <w:proofErr w:type="spellEnd"/>
      <w:r w:rsidRPr="001D4BB8">
        <w:rPr>
          <w:i/>
        </w:rPr>
        <w:t xml:space="preserve"> Cancer Res</w:t>
      </w:r>
      <w:r w:rsidRPr="001D4BB8">
        <w:t>. 2012; 18: 6580-6587</w:t>
      </w:r>
    </w:p>
  </w:footnote>
  <w:footnote w:id="21">
    <w:p w:rsidR="006E184D" w:rsidRPr="00A92BB2" w:rsidRDefault="006E184D" w:rsidP="00100E03">
      <w:pPr>
        <w:pStyle w:val="FootnoteText"/>
      </w:pPr>
      <w:r w:rsidRPr="001D4BB8">
        <w:rPr>
          <w:vertAlign w:val="superscript"/>
        </w:rPr>
        <w:footnoteRef/>
      </w:r>
      <w:r w:rsidRPr="001D4BB8">
        <w:rPr>
          <w:vertAlign w:val="superscript"/>
        </w:rPr>
        <w:t xml:space="preserve"> </w:t>
      </w:r>
      <w:proofErr w:type="gramStart"/>
      <w:r w:rsidRPr="00A92BB2">
        <w:t>CPMP/EWP/205/95/Rev.4</w:t>
      </w:r>
      <w:r>
        <w:t xml:space="preserve"> European Medicines Agency.</w:t>
      </w:r>
      <w:proofErr w:type="gramEnd"/>
      <w:r>
        <w:t xml:space="preserve"> </w:t>
      </w:r>
      <w:r w:rsidRPr="00A92BB2">
        <w:t>Guideline On The Evaluation Of Anticancer Medicinal Products In Man</w:t>
      </w:r>
      <w:r>
        <w:t xml:space="preserve"> </w:t>
      </w:r>
      <w:r w:rsidRPr="00A92BB2">
        <w:t>2012</w:t>
      </w:r>
    </w:p>
  </w:footnote>
  <w:footnote w:id="22">
    <w:p w:rsidR="006E184D" w:rsidRPr="00A92BB2" w:rsidRDefault="006E184D" w:rsidP="00100E03">
      <w:pPr>
        <w:pStyle w:val="FootnoteText"/>
      </w:pPr>
      <w:r w:rsidRPr="001D4BB8">
        <w:rPr>
          <w:vertAlign w:val="superscript"/>
        </w:rPr>
        <w:footnoteRef/>
      </w:r>
      <w:r w:rsidRPr="001D4BB8">
        <w:rPr>
          <w:vertAlign w:val="superscript"/>
        </w:rPr>
        <w:t xml:space="preserve"> </w:t>
      </w:r>
      <w:proofErr w:type="gramStart"/>
      <w:r w:rsidRPr="00A92BB2">
        <w:t>CHMP/EWP/89249/2004</w:t>
      </w:r>
      <w:r>
        <w:t xml:space="preserve"> European Medicines Agency.</w:t>
      </w:r>
      <w:proofErr w:type="gramEnd"/>
      <w:r>
        <w:t xml:space="preserve"> </w:t>
      </w:r>
      <w:r w:rsidRPr="00A92BB2">
        <w:t>Guideline On The Clinical Investigation of The Pharmacokinetics Of Therapeutic Proteins</w:t>
      </w:r>
      <w:r>
        <w:t xml:space="preserve"> </w:t>
      </w:r>
      <w:r w:rsidRPr="00A92BB2">
        <w:t>2007</w:t>
      </w:r>
    </w:p>
  </w:footnote>
  <w:footnote w:id="23">
    <w:p w:rsidR="006E184D" w:rsidRPr="001D4BB8" w:rsidRDefault="006E184D">
      <w:pPr>
        <w:pStyle w:val="FootnoteText"/>
        <w:rPr>
          <w:lang w:val="en-US"/>
        </w:rPr>
      </w:pPr>
      <w:r>
        <w:rPr>
          <w:rStyle w:val="FootnoteReference"/>
        </w:rPr>
        <w:footnoteRef/>
      </w:r>
      <w:r>
        <w:t xml:space="preserve"> </w:t>
      </w:r>
      <w:proofErr w:type="gramStart"/>
      <w:r w:rsidRPr="00F26CC1">
        <w:t>CHMP/EWP/185990/06</w:t>
      </w:r>
      <w:r>
        <w:t>.</w:t>
      </w:r>
      <w:proofErr w:type="gramEnd"/>
      <w:r>
        <w:t xml:space="preserve"> G</w:t>
      </w:r>
      <w:r w:rsidRPr="00F26CC1">
        <w:t xml:space="preserve">uideline on Reporting the Results of population Pharmacokinetic Analyses </w:t>
      </w:r>
    </w:p>
  </w:footnote>
  <w:footnote w:id="24">
    <w:p w:rsidR="006E184D" w:rsidRPr="005C5A8B" w:rsidRDefault="006E184D" w:rsidP="00146F09">
      <w:pPr>
        <w:pStyle w:val="FootnoteText"/>
        <w:rPr>
          <w:lang w:val="en-US"/>
        </w:rPr>
      </w:pPr>
      <w:r>
        <w:rPr>
          <w:rStyle w:val="FootnoteReference"/>
        </w:rPr>
        <w:footnoteRef/>
      </w:r>
      <w:r>
        <w:t xml:space="preserve"> </w:t>
      </w:r>
      <w:r w:rsidRPr="00A92BB2">
        <w:t xml:space="preserve">Hodi FS et al. Improved Survival with Ipilimumab in Patients with Metastatic Melanoma. </w:t>
      </w:r>
      <w:r w:rsidRPr="00A92BB2">
        <w:rPr>
          <w:i/>
        </w:rPr>
        <w:t xml:space="preserve">N </w:t>
      </w:r>
      <w:proofErr w:type="spellStart"/>
      <w:r w:rsidRPr="00A92BB2">
        <w:rPr>
          <w:i/>
        </w:rPr>
        <w:t>Engl</w:t>
      </w:r>
      <w:proofErr w:type="spellEnd"/>
      <w:r w:rsidRPr="00A92BB2">
        <w:rPr>
          <w:i/>
        </w:rPr>
        <w:t xml:space="preserve"> J Med</w:t>
      </w:r>
      <w:r>
        <w:t xml:space="preserve"> </w:t>
      </w:r>
      <w:r w:rsidRPr="00A92BB2">
        <w:t>2010; 363:711-723.</w:t>
      </w:r>
    </w:p>
  </w:footnote>
  <w:footnote w:id="25">
    <w:p w:rsidR="006E184D" w:rsidRPr="00E47660" w:rsidRDefault="006E184D">
      <w:pPr>
        <w:pStyle w:val="FootnoteText"/>
        <w:rPr>
          <w:lang w:val="en-US"/>
        </w:rPr>
      </w:pPr>
      <w:r>
        <w:rPr>
          <w:rStyle w:val="FootnoteReference"/>
        </w:rPr>
        <w:footnoteRef/>
      </w:r>
      <w:r>
        <w:t xml:space="preserve"> EMA Guideline </w:t>
      </w:r>
      <w:r w:rsidRPr="00E47660">
        <w:rPr>
          <w:sz w:val="20"/>
        </w:rPr>
        <w:t>on good pharmacovigilance practices, module VII – period safety update report’ (EMA/816292/2011</w:t>
      </w:r>
      <w:r>
        <w:rPr>
          <w:sz w:val="20"/>
        </w:rPr>
        <w:t>)</w:t>
      </w:r>
    </w:p>
  </w:footnote>
  <w:footnote w:id="26">
    <w:p w:rsidR="006E184D" w:rsidRDefault="006E184D" w:rsidP="00B9682F">
      <w:pPr>
        <w:pStyle w:val="FootnoteText"/>
      </w:pPr>
      <w:r>
        <w:rPr>
          <w:rStyle w:val="FootnoteReference"/>
        </w:rPr>
        <w:footnoteRef/>
      </w:r>
      <w:r>
        <w:t xml:space="preserve"> Previously referred to as MK-3475, SCH 900475 and </w:t>
      </w:r>
      <w:proofErr w:type="spellStart"/>
      <w:r>
        <w:t>lambrolizumab</w:t>
      </w:r>
      <w:proofErr w:type="spellEnd"/>
    </w:p>
  </w:footnote>
  <w:footnote w:id="27">
    <w:p w:rsidR="006E184D" w:rsidRPr="00B700E1" w:rsidRDefault="006E184D">
      <w:pPr>
        <w:pStyle w:val="FootnoteText"/>
        <w:rPr>
          <w:lang w:val="en-US"/>
        </w:rPr>
      </w:pPr>
      <w:r>
        <w:rPr>
          <w:rStyle w:val="FootnoteReference"/>
        </w:rPr>
        <w:footnoteRef/>
      </w:r>
      <w:r>
        <w:t xml:space="preserve"> </w:t>
      </w:r>
      <w:r>
        <w:rPr>
          <w:rFonts w:asciiTheme="minorHAnsi" w:hAnsiTheme="minorHAnsi"/>
          <w:szCs w:val="22"/>
        </w:rPr>
        <w:t xml:space="preserve">Lo J and Fisher D. </w:t>
      </w:r>
      <w:r w:rsidRPr="00E26B1C">
        <w:rPr>
          <w:rFonts w:asciiTheme="minorHAnsi" w:hAnsiTheme="minorHAnsi"/>
          <w:szCs w:val="22"/>
        </w:rPr>
        <w:t xml:space="preserve">The melanoma revolution: from UV carcinogenesis to a new era in therapeutics.  </w:t>
      </w:r>
      <w:r w:rsidRPr="00B700E1">
        <w:rPr>
          <w:rFonts w:asciiTheme="minorHAnsi" w:hAnsiTheme="minorHAnsi"/>
          <w:i/>
          <w:szCs w:val="22"/>
        </w:rPr>
        <w:t>Science</w:t>
      </w:r>
      <w:r w:rsidRPr="00E26B1C">
        <w:rPr>
          <w:rFonts w:asciiTheme="minorHAnsi" w:hAnsiTheme="minorHAnsi"/>
          <w:szCs w:val="22"/>
        </w:rPr>
        <w:t xml:space="preserve"> 2014; 346: 945</w:t>
      </w:r>
    </w:p>
  </w:footnote>
  <w:footnote w:id="28">
    <w:p w:rsidR="006E184D" w:rsidRPr="00A92BB2" w:rsidRDefault="006E184D">
      <w:pPr>
        <w:pStyle w:val="FootnoteText"/>
        <w:rPr>
          <w:lang w:val="en-US"/>
        </w:rPr>
      </w:pPr>
      <w:r>
        <w:rPr>
          <w:rStyle w:val="FootnoteReference"/>
        </w:rPr>
        <w:footnoteRef/>
      </w:r>
      <w:r>
        <w:t xml:space="preserve"> </w:t>
      </w:r>
      <w:proofErr w:type="gramStart"/>
      <w:r>
        <w:rPr>
          <w:rFonts w:asciiTheme="minorHAnsi" w:hAnsiTheme="minorHAnsi"/>
          <w:szCs w:val="22"/>
        </w:rPr>
        <w:t>Clemente C et al.</w:t>
      </w:r>
      <w:r w:rsidRPr="00E26B1C">
        <w:rPr>
          <w:rFonts w:asciiTheme="minorHAnsi" w:hAnsiTheme="minorHAnsi"/>
          <w:szCs w:val="22"/>
        </w:rPr>
        <w:t xml:space="preserve"> Prognostic value of </w:t>
      </w:r>
      <w:proofErr w:type="spellStart"/>
      <w:r w:rsidRPr="00E26B1C">
        <w:rPr>
          <w:rFonts w:asciiTheme="minorHAnsi" w:hAnsiTheme="minorHAnsi"/>
          <w:szCs w:val="22"/>
        </w:rPr>
        <w:t>tumor</w:t>
      </w:r>
      <w:proofErr w:type="spellEnd"/>
      <w:r w:rsidRPr="00E26B1C">
        <w:rPr>
          <w:rFonts w:asciiTheme="minorHAnsi" w:hAnsiTheme="minorHAnsi"/>
          <w:szCs w:val="22"/>
        </w:rPr>
        <w:t xml:space="preserve"> infiltrating lymphocytes in the vertical growth phase of primary cutaneou</w:t>
      </w:r>
      <w:r>
        <w:rPr>
          <w:rFonts w:asciiTheme="minorHAnsi" w:hAnsiTheme="minorHAnsi"/>
          <w:szCs w:val="22"/>
        </w:rPr>
        <w:t>s melanoma</w:t>
      </w:r>
      <w:r w:rsidRPr="00AE4C46">
        <w:rPr>
          <w:rFonts w:asciiTheme="minorHAnsi" w:hAnsiTheme="minorHAnsi"/>
          <w:i/>
          <w:szCs w:val="22"/>
        </w:rPr>
        <w:t>.</w:t>
      </w:r>
      <w:proofErr w:type="gramEnd"/>
      <w:r w:rsidRPr="00AE4C46">
        <w:rPr>
          <w:rFonts w:asciiTheme="minorHAnsi" w:hAnsiTheme="minorHAnsi"/>
          <w:i/>
          <w:szCs w:val="22"/>
        </w:rPr>
        <w:t xml:space="preserve">  Cancer</w:t>
      </w:r>
      <w:r>
        <w:rPr>
          <w:rFonts w:asciiTheme="minorHAnsi" w:hAnsiTheme="minorHAnsi"/>
          <w:szCs w:val="22"/>
        </w:rPr>
        <w:t xml:space="preserve"> 1996; 77</w:t>
      </w:r>
      <w:r w:rsidRPr="00E26B1C">
        <w:rPr>
          <w:rFonts w:asciiTheme="minorHAnsi" w:hAnsiTheme="minorHAnsi"/>
          <w:szCs w:val="22"/>
        </w:rPr>
        <w:t>: 1303-</w:t>
      </w:r>
      <w:r>
        <w:rPr>
          <w:rFonts w:asciiTheme="minorHAnsi" w:hAnsiTheme="minorHAnsi"/>
          <w:szCs w:val="22"/>
        </w:rPr>
        <w:t>13</w:t>
      </w:r>
      <w:r w:rsidRPr="00E26B1C">
        <w:rPr>
          <w:rFonts w:asciiTheme="minorHAnsi" w:hAnsiTheme="minorHAnsi"/>
          <w:szCs w:val="22"/>
        </w:rPr>
        <w:t>10</w:t>
      </w:r>
    </w:p>
  </w:footnote>
  <w:footnote w:id="29">
    <w:p w:rsidR="006E184D" w:rsidRPr="00AE4C46" w:rsidRDefault="006E184D">
      <w:pPr>
        <w:pStyle w:val="FootnoteText"/>
        <w:rPr>
          <w:lang w:val="en-US"/>
        </w:rPr>
      </w:pPr>
      <w:r>
        <w:rPr>
          <w:rStyle w:val="FootnoteReference"/>
        </w:rPr>
        <w:footnoteRef/>
      </w:r>
      <w:r>
        <w:t xml:space="preserve"> </w:t>
      </w:r>
      <w:proofErr w:type="spellStart"/>
      <w:r>
        <w:rPr>
          <w:rFonts w:asciiTheme="minorHAnsi" w:hAnsiTheme="minorHAnsi"/>
          <w:szCs w:val="22"/>
        </w:rPr>
        <w:t>Azimi</w:t>
      </w:r>
      <w:proofErr w:type="spellEnd"/>
      <w:r>
        <w:rPr>
          <w:rFonts w:asciiTheme="minorHAnsi" w:hAnsiTheme="minorHAnsi"/>
          <w:szCs w:val="22"/>
        </w:rPr>
        <w:t xml:space="preserve"> F et al. </w:t>
      </w:r>
      <w:proofErr w:type="spellStart"/>
      <w:r w:rsidRPr="00E26B1C">
        <w:rPr>
          <w:rFonts w:asciiTheme="minorHAnsi" w:hAnsiTheme="minorHAnsi"/>
          <w:szCs w:val="22"/>
        </w:rPr>
        <w:t>Tumor</w:t>
      </w:r>
      <w:proofErr w:type="spellEnd"/>
      <w:r w:rsidRPr="00E26B1C">
        <w:rPr>
          <w:rFonts w:asciiTheme="minorHAnsi" w:hAnsiTheme="minorHAnsi"/>
          <w:szCs w:val="22"/>
        </w:rPr>
        <w:t>-infiltrating lymphocyte grade is an independent predictor of sentinel lymph node status and survival in patients with cutaneous melanoma</w:t>
      </w:r>
      <w:r>
        <w:rPr>
          <w:rFonts w:asciiTheme="minorHAnsi" w:hAnsiTheme="minorHAnsi"/>
          <w:i/>
          <w:szCs w:val="22"/>
        </w:rPr>
        <w:t xml:space="preserve">. </w:t>
      </w:r>
      <w:r w:rsidRPr="00AE4C46">
        <w:rPr>
          <w:rFonts w:asciiTheme="minorHAnsi" w:hAnsiTheme="minorHAnsi"/>
          <w:i/>
          <w:szCs w:val="22"/>
        </w:rPr>
        <w:t>JCO</w:t>
      </w:r>
      <w:r>
        <w:rPr>
          <w:rFonts w:asciiTheme="minorHAnsi" w:hAnsiTheme="minorHAnsi"/>
          <w:szCs w:val="22"/>
        </w:rPr>
        <w:t xml:space="preserve"> 2012; 30</w:t>
      </w:r>
      <w:r w:rsidRPr="00E26B1C">
        <w:rPr>
          <w:rFonts w:asciiTheme="minorHAnsi" w:hAnsiTheme="minorHAnsi"/>
          <w:szCs w:val="22"/>
        </w:rPr>
        <w:t>: 2678-</w:t>
      </w:r>
      <w:r>
        <w:rPr>
          <w:rFonts w:asciiTheme="minorHAnsi" w:hAnsiTheme="minorHAnsi"/>
          <w:szCs w:val="22"/>
        </w:rPr>
        <w:t>26</w:t>
      </w:r>
      <w:r w:rsidRPr="00E26B1C">
        <w:rPr>
          <w:rFonts w:asciiTheme="minorHAnsi" w:hAnsiTheme="minorHAnsi"/>
          <w:szCs w:val="22"/>
        </w:rPr>
        <w:t>83</w:t>
      </w:r>
    </w:p>
  </w:footnote>
  <w:footnote w:id="30">
    <w:p w:rsidR="006E184D" w:rsidRPr="00AE4C46" w:rsidRDefault="006E184D">
      <w:pPr>
        <w:pStyle w:val="FootnoteText"/>
        <w:rPr>
          <w:lang w:val="en-US"/>
        </w:rPr>
      </w:pPr>
      <w:r>
        <w:rPr>
          <w:rStyle w:val="FootnoteReference"/>
        </w:rPr>
        <w:footnoteRef/>
      </w:r>
      <w:r>
        <w:t xml:space="preserve"> </w:t>
      </w:r>
      <w:proofErr w:type="spellStart"/>
      <w:r w:rsidRPr="00E26B1C">
        <w:rPr>
          <w:rFonts w:asciiTheme="minorHAnsi" w:hAnsiTheme="minorHAnsi"/>
          <w:szCs w:val="22"/>
        </w:rPr>
        <w:t>Massi</w:t>
      </w:r>
      <w:proofErr w:type="spellEnd"/>
      <w:r w:rsidRPr="00E26B1C">
        <w:rPr>
          <w:rFonts w:asciiTheme="minorHAnsi" w:hAnsiTheme="minorHAnsi"/>
          <w:szCs w:val="22"/>
        </w:rPr>
        <w:t xml:space="preserve"> D et al.  PD-L1 marks a subset of melanomas with a shorter overall survival and distinct genetic and</w:t>
      </w:r>
      <w:r>
        <w:rPr>
          <w:rFonts w:asciiTheme="minorHAnsi" w:hAnsiTheme="minorHAnsi"/>
          <w:szCs w:val="22"/>
        </w:rPr>
        <w:t xml:space="preserve"> morphological characteristics.</w:t>
      </w:r>
      <w:r w:rsidRPr="00E26B1C">
        <w:rPr>
          <w:rFonts w:asciiTheme="minorHAnsi" w:hAnsiTheme="minorHAnsi"/>
          <w:szCs w:val="22"/>
        </w:rPr>
        <w:t xml:space="preserve"> </w:t>
      </w:r>
      <w:r w:rsidRPr="00AE4C46">
        <w:rPr>
          <w:rFonts w:asciiTheme="minorHAnsi" w:hAnsiTheme="minorHAnsi"/>
          <w:i/>
          <w:szCs w:val="22"/>
        </w:rPr>
        <w:t xml:space="preserve">Ann </w:t>
      </w:r>
      <w:proofErr w:type="spellStart"/>
      <w:r w:rsidRPr="00AE4C46">
        <w:rPr>
          <w:rFonts w:asciiTheme="minorHAnsi" w:hAnsiTheme="minorHAnsi"/>
          <w:i/>
          <w:szCs w:val="22"/>
        </w:rPr>
        <w:t>Onco</w:t>
      </w:r>
      <w:r w:rsidRPr="00E26B1C">
        <w:rPr>
          <w:rFonts w:asciiTheme="minorHAnsi" w:hAnsiTheme="minorHAnsi"/>
          <w:szCs w:val="22"/>
        </w:rPr>
        <w:t>l</w:t>
      </w:r>
      <w:proofErr w:type="spellEnd"/>
      <w:r w:rsidRPr="00E26B1C">
        <w:rPr>
          <w:rFonts w:asciiTheme="minorHAnsi" w:hAnsiTheme="minorHAnsi"/>
          <w:szCs w:val="22"/>
        </w:rPr>
        <w:t xml:space="preserve"> 2014 Sept 15 (</w:t>
      </w:r>
      <w:proofErr w:type="spellStart"/>
      <w:r w:rsidRPr="00E26B1C">
        <w:rPr>
          <w:rFonts w:asciiTheme="minorHAnsi" w:hAnsiTheme="minorHAnsi"/>
          <w:szCs w:val="22"/>
        </w:rPr>
        <w:t>epub</w:t>
      </w:r>
      <w:proofErr w:type="spellEnd"/>
      <w:r w:rsidRPr="00E26B1C">
        <w:rPr>
          <w:rFonts w:asciiTheme="minorHAnsi" w:hAnsiTheme="minorHAnsi"/>
          <w:szCs w:val="22"/>
        </w:rPr>
        <w:t>)</w:t>
      </w:r>
    </w:p>
  </w:footnote>
  <w:footnote w:id="31">
    <w:p w:rsidR="006E184D" w:rsidRPr="000F509B" w:rsidRDefault="006E184D" w:rsidP="00B9682F">
      <w:pPr>
        <w:pStyle w:val="FootnoteText"/>
      </w:pPr>
      <w:r>
        <w:rPr>
          <w:rStyle w:val="FootnoteReference"/>
        </w:rPr>
        <w:footnoteRef/>
      </w:r>
      <w:r>
        <w:t xml:space="preserve"> IgG4 has lower affinity than IgG1 for </w:t>
      </w:r>
      <w:proofErr w:type="spellStart"/>
      <w:r>
        <w:t>FcɣRs</w:t>
      </w:r>
      <w:proofErr w:type="spellEnd"/>
      <w:r>
        <w:t>, but it binds to R1, RIIA, RIIB, RIIC and RIIIA</w:t>
      </w:r>
      <w:r>
        <w:rPr>
          <w:vertAlign w:val="subscript"/>
        </w:rPr>
        <w:t>V158</w:t>
      </w:r>
      <w:r>
        <w:t>, suggesting cell-mediated effects are possible (</w:t>
      </w:r>
      <w:proofErr w:type="spellStart"/>
      <w:r>
        <w:t>Bruhns</w:t>
      </w:r>
      <w:proofErr w:type="spellEnd"/>
      <w:r>
        <w:t xml:space="preserve"> P et al, 2009). IgG4 does not activate complement. Module 2.4, Section 2.1.1.4, suggests pembrolizumab is like IgG4 in this regard. This is affirmed in the NCER (page 5); the Module 3 Round 2 evaluator notes that “as the mechanism of action for MK-3475 is independent of the recruitment of other molecules through the Fc domain the characteristics and control of this domain is not critical to the efficacy of the product”. </w:t>
      </w:r>
      <w:proofErr w:type="gramStart"/>
      <w:r>
        <w:t>[</w:t>
      </w:r>
      <w:proofErr w:type="spellStart"/>
      <w:r>
        <w:rPr>
          <w:rFonts w:asciiTheme="minorHAnsi" w:hAnsiTheme="minorHAnsi"/>
          <w:szCs w:val="22"/>
        </w:rPr>
        <w:t>Bruhns</w:t>
      </w:r>
      <w:proofErr w:type="spellEnd"/>
      <w:r>
        <w:rPr>
          <w:rFonts w:asciiTheme="minorHAnsi" w:hAnsiTheme="minorHAnsi"/>
          <w:szCs w:val="22"/>
        </w:rPr>
        <w:t xml:space="preserve"> P et al. </w:t>
      </w:r>
      <w:r w:rsidRPr="00E26B1C">
        <w:rPr>
          <w:rFonts w:asciiTheme="minorHAnsi" w:hAnsiTheme="minorHAnsi"/>
          <w:szCs w:val="22"/>
        </w:rPr>
        <w:t xml:space="preserve">Specificity and affinity of human </w:t>
      </w:r>
      <w:proofErr w:type="spellStart"/>
      <w:r w:rsidRPr="00E26B1C">
        <w:rPr>
          <w:rFonts w:asciiTheme="minorHAnsi" w:hAnsiTheme="minorHAnsi"/>
          <w:szCs w:val="22"/>
        </w:rPr>
        <w:t>Fcɣ</w:t>
      </w:r>
      <w:proofErr w:type="spellEnd"/>
      <w:r w:rsidRPr="00E26B1C">
        <w:rPr>
          <w:rFonts w:asciiTheme="minorHAnsi" w:hAnsiTheme="minorHAnsi"/>
          <w:szCs w:val="22"/>
        </w:rPr>
        <w:t xml:space="preserve"> receptors and their polymorphic variants for human IgG subclasse</w:t>
      </w:r>
      <w:r>
        <w:rPr>
          <w:rFonts w:asciiTheme="minorHAnsi" w:hAnsiTheme="minorHAnsi"/>
          <w:szCs w:val="22"/>
        </w:rPr>
        <w:t>s.</w:t>
      </w:r>
      <w:proofErr w:type="gramEnd"/>
      <w:r>
        <w:rPr>
          <w:rFonts w:asciiTheme="minorHAnsi" w:hAnsiTheme="minorHAnsi"/>
          <w:szCs w:val="22"/>
        </w:rPr>
        <w:t xml:space="preserve"> </w:t>
      </w:r>
      <w:r w:rsidRPr="00B700E1">
        <w:rPr>
          <w:rFonts w:asciiTheme="minorHAnsi" w:hAnsiTheme="minorHAnsi"/>
          <w:i/>
          <w:szCs w:val="22"/>
        </w:rPr>
        <w:t>Blood</w:t>
      </w:r>
      <w:r w:rsidRPr="00E26B1C">
        <w:rPr>
          <w:rFonts w:asciiTheme="minorHAnsi" w:hAnsiTheme="minorHAnsi"/>
          <w:szCs w:val="22"/>
        </w:rPr>
        <w:t xml:space="preserve"> 2009; 113: 3716-3725</w:t>
      </w:r>
      <w:r>
        <w:rPr>
          <w:rFonts w:asciiTheme="minorHAnsi" w:hAnsiTheme="minorHAnsi"/>
          <w:szCs w:val="22"/>
        </w:rPr>
        <w:t>]</w:t>
      </w:r>
    </w:p>
  </w:footnote>
  <w:footnote w:id="32">
    <w:p w:rsidR="006E184D" w:rsidRPr="00B700E1" w:rsidRDefault="006E184D">
      <w:pPr>
        <w:pStyle w:val="FootnoteText"/>
        <w:rPr>
          <w:lang w:val="en-US"/>
        </w:rPr>
      </w:pPr>
      <w:r>
        <w:rPr>
          <w:rStyle w:val="FootnoteReference"/>
        </w:rPr>
        <w:footnoteRef/>
      </w:r>
      <w:r>
        <w:t xml:space="preserve"> </w:t>
      </w:r>
      <w:proofErr w:type="spellStart"/>
      <w:proofErr w:type="gramStart"/>
      <w:r w:rsidRPr="00E26B1C">
        <w:rPr>
          <w:rFonts w:asciiTheme="minorHAnsi" w:hAnsiTheme="minorHAnsi"/>
          <w:szCs w:val="22"/>
        </w:rPr>
        <w:t>Pard</w:t>
      </w:r>
      <w:r>
        <w:rPr>
          <w:rFonts w:asciiTheme="minorHAnsi" w:hAnsiTheme="minorHAnsi"/>
          <w:szCs w:val="22"/>
        </w:rPr>
        <w:t>oll</w:t>
      </w:r>
      <w:proofErr w:type="spellEnd"/>
      <w:r>
        <w:rPr>
          <w:rFonts w:asciiTheme="minorHAnsi" w:hAnsiTheme="minorHAnsi"/>
          <w:szCs w:val="22"/>
        </w:rPr>
        <w:t xml:space="preserve"> D.</w:t>
      </w:r>
      <w:proofErr w:type="gramEnd"/>
      <w:r>
        <w:rPr>
          <w:rFonts w:asciiTheme="minorHAnsi" w:hAnsiTheme="minorHAnsi"/>
          <w:szCs w:val="22"/>
        </w:rPr>
        <w:t xml:space="preserve"> </w:t>
      </w:r>
      <w:proofErr w:type="gramStart"/>
      <w:r w:rsidRPr="00E26B1C">
        <w:rPr>
          <w:rFonts w:asciiTheme="minorHAnsi" w:hAnsiTheme="minorHAnsi"/>
          <w:szCs w:val="22"/>
        </w:rPr>
        <w:t>The blockade of immune checkpoints in cancer immunothe</w:t>
      </w:r>
      <w:r>
        <w:rPr>
          <w:rFonts w:asciiTheme="minorHAnsi" w:hAnsiTheme="minorHAnsi"/>
          <w:szCs w:val="22"/>
        </w:rPr>
        <w:t>rapy.</w:t>
      </w:r>
      <w:proofErr w:type="gramEnd"/>
      <w:r>
        <w:rPr>
          <w:rFonts w:asciiTheme="minorHAnsi" w:hAnsiTheme="minorHAnsi"/>
          <w:szCs w:val="22"/>
        </w:rPr>
        <w:t xml:space="preserve"> </w:t>
      </w:r>
      <w:r w:rsidRPr="00B700E1">
        <w:rPr>
          <w:rFonts w:asciiTheme="minorHAnsi" w:hAnsiTheme="minorHAnsi"/>
          <w:i/>
          <w:szCs w:val="22"/>
        </w:rPr>
        <w:t>Nature Reviews: Cancer</w:t>
      </w:r>
      <w:r>
        <w:rPr>
          <w:rFonts w:asciiTheme="minorHAnsi" w:hAnsiTheme="minorHAnsi"/>
          <w:szCs w:val="22"/>
        </w:rPr>
        <w:t xml:space="preserve">. </w:t>
      </w:r>
      <w:r w:rsidRPr="00E26B1C">
        <w:rPr>
          <w:rFonts w:asciiTheme="minorHAnsi" w:hAnsiTheme="minorHAnsi"/>
          <w:szCs w:val="22"/>
        </w:rPr>
        <w:t>2012; 12: 252-264</w:t>
      </w:r>
    </w:p>
  </w:footnote>
  <w:footnote w:id="33">
    <w:p w:rsidR="006E184D" w:rsidRPr="008402A2" w:rsidRDefault="006E184D" w:rsidP="00EA7406">
      <w:pPr>
        <w:pStyle w:val="FootnoteText"/>
      </w:pPr>
      <w:r>
        <w:rPr>
          <w:rStyle w:val="FootnoteReference"/>
        </w:rPr>
        <w:footnoteRef/>
      </w:r>
      <w:r>
        <w:t xml:space="preserve"> </w:t>
      </w:r>
      <w:r w:rsidRPr="00EA7406">
        <w:rPr>
          <w:szCs w:val="18"/>
        </w:rPr>
        <w:t>PD-L1 may be expressed on tumour infiltrating immune cells, and / or neoplastic cells themselves (not to mention native tissue stroma). See Taube J et al (2014</w:t>
      </w:r>
      <w:r w:rsidRPr="008402A2">
        <w:t>)</w:t>
      </w:r>
      <w:proofErr w:type="gramStart"/>
      <w:r w:rsidRPr="008402A2">
        <w:t>.[</w:t>
      </w:r>
      <w:proofErr w:type="gramEnd"/>
      <w:r w:rsidRPr="008402A2">
        <w:t xml:space="preserve"> </w:t>
      </w:r>
      <w:r>
        <w:t>Taube J et al.</w:t>
      </w:r>
      <w:r w:rsidRPr="008402A2">
        <w:t xml:space="preserve"> Association of PD-1, PD-1 ligands, and other features of the </w:t>
      </w:r>
      <w:proofErr w:type="spellStart"/>
      <w:r w:rsidRPr="008402A2">
        <w:t>tumor</w:t>
      </w:r>
      <w:proofErr w:type="spellEnd"/>
      <w:r w:rsidRPr="008402A2">
        <w:t xml:space="preserve"> immune microenvironment with response to anti-PD-1 </w:t>
      </w:r>
      <w:r>
        <w:t xml:space="preserve">therapy. </w:t>
      </w:r>
      <w:proofErr w:type="spellStart"/>
      <w:r w:rsidRPr="008402A2">
        <w:rPr>
          <w:i/>
        </w:rPr>
        <w:t>Clin</w:t>
      </w:r>
      <w:proofErr w:type="spellEnd"/>
      <w:r w:rsidRPr="008402A2">
        <w:rPr>
          <w:i/>
        </w:rPr>
        <w:t xml:space="preserve"> Cancer Res</w:t>
      </w:r>
      <w:r w:rsidRPr="008402A2">
        <w:t xml:space="preserve"> 2014</w:t>
      </w:r>
      <w:r>
        <w:t>]</w:t>
      </w:r>
    </w:p>
  </w:footnote>
  <w:footnote w:id="34">
    <w:p w:rsidR="006E184D" w:rsidRPr="00EA7406" w:rsidRDefault="006E184D" w:rsidP="00EA7406">
      <w:pPr>
        <w:autoSpaceDE w:val="0"/>
        <w:autoSpaceDN w:val="0"/>
        <w:spacing w:before="0" w:after="0" w:line="240" w:lineRule="auto"/>
        <w:rPr>
          <w:rFonts w:asciiTheme="minorHAnsi" w:eastAsia="TimesNewRoman" w:hAnsiTheme="minorHAnsi" w:cs="TimesNewRoman"/>
          <w:sz w:val="18"/>
          <w:szCs w:val="18"/>
        </w:rPr>
      </w:pPr>
      <w:r w:rsidRPr="00EA7406">
        <w:rPr>
          <w:rStyle w:val="FootnoteReference"/>
          <w:rFonts w:asciiTheme="minorHAnsi" w:hAnsiTheme="minorHAnsi"/>
          <w:sz w:val="18"/>
          <w:szCs w:val="18"/>
        </w:rPr>
        <w:footnoteRef/>
      </w:r>
      <w:r w:rsidRPr="00EA7406">
        <w:rPr>
          <w:rFonts w:asciiTheme="minorHAnsi" w:hAnsiTheme="minorHAnsi"/>
          <w:sz w:val="18"/>
          <w:szCs w:val="18"/>
        </w:rPr>
        <w:t xml:space="preserve"> Sponsor document 03wmv4 page 9. “…</w:t>
      </w:r>
      <w:r w:rsidRPr="00EA7406">
        <w:rPr>
          <w:rFonts w:asciiTheme="minorHAnsi" w:eastAsia="TimesNewRoman" w:hAnsiTheme="minorHAnsi" w:cs="TimesNewRoman"/>
          <w:sz w:val="18"/>
          <w:szCs w:val="18"/>
        </w:rPr>
        <w:t xml:space="preserve">many melanomas also contain mononuclear inflammatory cells which also express PD-L1 and which infiltrate the </w:t>
      </w:r>
      <w:proofErr w:type="spellStart"/>
      <w:r w:rsidRPr="00EA7406">
        <w:rPr>
          <w:rFonts w:asciiTheme="minorHAnsi" w:eastAsia="TimesNewRoman" w:hAnsiTheme="minorHAnsi" w:cs="TimesNewRoman"/>
          <w:sz w:val="18"/>
          <w:szCs w:val="18"/>
        </w:rPr>
        <w:t>tumor</w:t>
      </w:r>
      <w:proofErr w:type="spellEnd"/>
      <w:r w:rsidRPr="00EA7406">
        <w:rPr>
          <w:rFonts w:asciiTheme="minorHAnsi" w:eastAsia="TimesNewRoman" w:hAnsiTheme="minorHAnsi" w:cs="TimesNewRoman"/>
          <w:sz w:val="18"/>
          <w:szCs w:val="18"/>
        </w:rPr>
        <w:t xml:space="preserve"> nests. These inflammatory cells appear to be predominantly macrophages (but may include monocytes and large lymphocytes)…”</w:t>
      </w:r>
    </w:p>
  </w:footnote>
  <w:footnote w:id="35">
    <w:p w:rsidR="006E184D" w:rsidRPr="00EA7406" w:rsidRDefault="006E184D" w:rsidP="00EA7406">
      <w:pPr>
        <w:spacing w:before="0" w:after="0" w:line="240" w:lineRule="auto"/>
        <w:rPr>
          <w:rFonts w:asciiTheme="minorHAnsi" w:hAnsiTheme="minorHAnsi"/>
          <w:sz w:val="20"/>
        </w:rPr>
      </w:pPr>
      <w:r w:rsidRPr="00EA7406">
        <w:rPr>
          <w:rStyle w:val="FootnoteReference"/>
          <w:sz w:val="18"/>
          <w:szCs w:val="18"/>
        </w:rPr>
        <w:footnoteRef/>
      </w:r>
      <w:r w:rsidRPr="00EA7406">
        <w:rPr>
          <w:sz w:val="18"/>
          <w:szCs w:val="18"/>
        </w:rPr>
        <w:t xml:space="preserve"> </w:t>
      </w:r>
      <w:proofErr w:type="spellStart"/>
      <w:r w:rsidRPr="00EA7406">
        <w:rPr>
          <w:rFonts w:asciiTheme="minorHAnsi" w:hAnsiTheme="minorHAnsi"/>
          <w:sz w:val="18"/>
          <w:szCs w:val="18"/>
        </w:rPr>
        <w:t>Marchingo</w:t>
      </w:r>
      <w:proofErr w:type="spellEnd"/>
      <w:r w:rsidRPr="00EA7406">
        <w:rPr>
          <w:rFonts w:asciiTheme="minorHAnsi" w:hAnsiTheme="minorHAnsi"/>
          <w:sz w:val="18"/>
          <w:szCs w:val="18"/>
        </w:rPr>
        <w:t xml:space="preserve"> J et al. Antigen affinity, </w:t>
      </w:r>
      <w:proofErr w:type="spellStart"/>
      <w:r w:rsidRPr="00EA7406">
        <w:rPr>
          <w:rFonts w:asciiTheme="minorHAnsi" w:hAnsiTheme="minorHAnsi"/>
          <w:sz w:val="18"/>
          <w:szCs w:val="18"/>
        </w:rPr>
        <w:t>costimulation</w:t>
      </w:r>
      <w:proofErr w:type="spellEnd"/>
      <w:r w:rsidRPr="00EA7406">
        <w:rPr>
          <w:rFonts w:asciiTheme="minorHAnsi" w:hAnsiTheme="minorHAnsi"/>
          <w:sz w:val="18"/>
          <w:szCs w:val="18"/>
        </w:rPr>
        <w:t xml:space="preserve"> and cytokine inputs sum linearly to amplify T cell expansion. </w:t>
      </w:r>
      <w:r w:rsidRPr="00EA7406">
        <w:rPr>
          <w:rFonts w:asciiTheme="minorHAnsi" w:hAnsiTheme="minorHAnsi"/>
          <w:i/>
          <w:sz w:val="18"/>
          <w:szCs w:val="18"/>
        </w:rPr>
        <w:t xml:space="preserve">Science </w:t>
      </w:r>
      <w:r w:rsidRPr="00EA7406">
        <w:rPr>
          <w:rFonts w:asciiTheme="minorHAnsi" w:hAnsiTheme="minorHAnsi"/>
          <w:sz w:val="18"/>
          <w:szCs w:val="18"/>
        </w:rPr>
        <w:t>2014; 346: 1123-1127</w:t>
      </w:r>
    </w:p>
  </w:footnote>
  <w:footnote w:id="36">
    <w:p w:rsidR="006E184D" w:rsidRPr="00EA7406" w:rsidRDefault="006E184D">
      <w:pPr>
        <w:pStyle w:val="FootnoteText"/>
        <w:rPr>
          <w:lang w:val="en-US"/>
        </w:rPr>
      </w:pPr>
      <w:r>
        <w:rPr>
          <w:rStyle w:val="FootnoteReference"/>
        </w:rPr>
        <w:footnoteRef/>
      </w:r>
      <w:r>
        <w:t xml:space="preserve"> </w:t>
      </w:r>
      <w:r>
        <w:rPr>
          <w:rFonts w:asciiTheme="minorHAnsi" w:hAnsiTheme="minorHAnsi"/>
          <w:szCs w:val="22"/>
        </w:rPr>
        <w:t xml:space="preserve">Okazaki et al. </w:t>
      </w:r>
      <w:r w:rsidRPr="00E26B1C">
        <w:rPr>
          <w:rFonts w:asciiTheme="minorHAnsi" w:hAnsiTheme="minorHAnsi"/>
          <w:szCs w:val="22"/>
        </w:rPr>
        <w:t>A rheostat for immune responses: the unique properties of PD-1 and their advant</w:t>
      </w:r>
      <w:r>
        <w:rPr>
          <w:rFonts w:asciiTheme="minorHAnsi" w:hAnsiTheme="minorHAnsi"/>
          <w:szCs w:val="22"/>
        </w:rPr>
        <w:t xml:space="preserve">ages for clinical application. </w:t>
      </w:r>
      <w:r w:rsidRPr="00EA7406">
        <w:rPr>
          <w:rFonts w:asciiTheme="minorHAnsi" w:hAnsiTheme="minorHAnsi"/>
          <w:i/>
          <w:szCs w:val="22"/>
        </w:rPr>
        <w:t>Nature Immunology</w:t>
      </w:r>
      <w:r>
        <w:rPr>
          <w:rFonts w:asciiTheme="minorHAnsi" w:hAnsiTheme="minorHAnsi"/>
          <w:szCs w:val="22"/>
        </w:rPr>
        <w:t xml:space="preserve"> 2013; 14</w:t>
      </w:r>
      <w:r w:rsidRPr="00E26B1C">
        <w:rPr>
          <w:rFonts w:asciiTheme="minorHAnsi" w:hAnsiTheme="minorHAnsi"/>
          <w:szCs w:val="22"/>
        </w:rPr>
        <w:t>: 1212-1218</w:t>
      </w:r>
    </w:p>
  </w:footnote>
  <w:footnote w:id="37">
    <w:p w:rsidR="006E184D" w:rsidRPr="00B85B18" w:rsidRDefault="006E184D" w:rsidP="00B85B18">
      <w:pPr>
        <w:pStyle w:val="FootnoteText"/>
      </w:pPr>
      <w:r>
        <w:rPr>
          <w:rStyle w:val="FootnoteReference"/>
        </w:rPr>
        <w:footnoteRef/>
      </w:r>
      <w:r>
        <w:t xml:space="preserve"> </w:t>
      </w:r>
      <w:proofErr w:type="gramStart"/>
      <w:r>
        <w:t>Sharpe AH, Freeman GJ.</w:t>
      </w:r>
      <w:proofErr w:type="gramEnd"/>
      <w:r>
        <w:t xml:space="preserve"> </w:t>
      </w:r>
      <w:proofErr w:type="gramStart"/>
      <w:r>
        <w:t>The B7-CD28 superfamily.</w:t>
      </w:r>
      <w:proofErr w:type="gramEnd"/>
      <w:r>
        <w:t xml:space="preserve"> </w:t>
      </w:r>
      <w:r w:rsidRPr="00B85B18">
        <w:rPr>
          <w:i/>
        </w:rPr>
        <w:t>Nature</w:t>
      </w:r>
      <w:r>
        <w:t xml:space="preserve"> 2002;2:116-126</w:t>
      </w:r>
    </w:p>
  </w:footnote>
  <w:footnote w:id="38">
    <w:p w:rsidR="006E184D" w:rsidRPr="00B85B18" w:rsidRDefault="006E184D" w:rsidP="00B85B18">
      <w:pPr>
        <w:pStyle w:val="FootnoteText"/>
      </w:pPr>
      <w:r w:rsidRPr="00B85B18">
        <w:rPr>
          <w:rStyle w:val="FootnoteReference"/>
        </w:rPr>
        <w:footnoteRef/>
      </w:r>
      <w:r w:rsidRPr="00B85B18">
        <w:t xml:space="preserve"> Greenwald R et al</w:t>
      </w:r>
      <w:r>
        <w:t xml:space="preserve">. The B7 family revisited. </w:t>
      </w:r>
      <w:r w:rsidRPr="00B85B18">
        <w:rPr>
          <w:i/>
        </w:rPr>
        <w:t>Annual Review of Immunology</w:t>
      </w:r>
      <w:r w:rsidRPr="00B85B18">
        <w:t xml:space="preserve"> 2005; 23: 515-548</w:t>
      </w:r>
    </w:p>
  </w:footnote>
  <w:footnote w:id="39">
    <w:p w:rsidR="006E184D" w:rsidRPr="00B85B18" w:rsidRDefault="006E184D">
      <w:pPr>
        <w:pStyle w:val="FootnoteText"/>
      </w:pPr>
      <w:r>
        <w:rPr>
          <w:rStyle w:val="FootnoteReference"/>
        </w:rPr>
        <w:footnoteRef/>
      </w:r>
      <w:r>
        <w:t xml:space="preserve"> </w:t>
      </w:r>
      <w:r w:rsidRPr="00E26B1C">
        <w:t>Carter L et al</w:t>
      </w:r>
      <w:r>
        <w:t xml:space="preserve">. </w:t>
      </w:r>
      <w:r w:rsidRPr="00E26B1C">
        <w:t>PD-1</w:t>
      </w:r>
      <w:proofErr w:type="gramStart"/>
      <w:r w:rsidRPr="00E26B1C">
        <w:t>:PD</w:t>
      </w:r>
      <w:proofErr w:type="gramEnd"/>
      <w:r w:rsidRPr="00E26B1C">
        <w:t xml:space="preserve">-L inhibitory pathway affects both CD4(+) and CD8(+) T cells and is overcome by IL-2.  </w:t>
      </w:r>
      <w:proofErr w:type="spellStart"/>
      <w:r w:rsidRPr="00B85B18">
        <w:rPr>
          <w:i/>
        </w:rPr>
        <w:t>Eur</w:t>
      </w:r>
      <w:proofErr w:type="spellEnd"/>
      <w:r w:rsidRPr="00B85B18">
        <w:rPr>
          <w:i/>
        </w:rPr>
        <w:t xml:space="preserve"> J </w:t>
      </w:r>
      <w:proofErr w:type="spellStart"/>
      <w:r w:rsidRPr="00B85B18">
        <w:rPr>
          <w:i/>
        </w:rPr>
        <w:t>Immunol</w:t>
      </w:r>
      <w:proofErr w:type="spellEnd"/>
      <w:r>
        <w:t xml:space="preserve"> 2002; 32</w:t>
      </w:r>
      <w:r w:rsidRPr="00E26B1C">
        <w:t>: 634-</w:t>
      </w:r>
      <w:r>
        <w:t>6</w:t>
      </w:r>
      <w:r w:rsidRPr="00E26B1C">
        <w:t>43</w:t>
      </w:r>
    </w:p>
  </w:footnote>
  <w:footnote w:id="40">
    <w:p w:rsidR="006E184D" w:rsidRPr="00EA7406" w:rsidRDefault="006E184D">
      <w:pPr>
        <w:pStyle w:val="FootnoteText"/>
        <w:rPr>
          <w:lang w:val="en-US"/>
        </w:rPr>
      </w:pPr>
      <w:r>
        <w:rPr>
          <w:rStyle w:val="FootnoteReference"/>
        </w:rPr>
        <w:footnoteRef/>
      </w:r>
      <w:r>
        <w:t xml:space="preserve"> </w:t>
      </w:r>
      <w:r w:rsidRPr="00EA7406">
        <w:t>Sage P et al.</w:t>
      </w:r>
      <w:r>
        <w:t xml:space="preserve"> </w:t>
      </w:r>
      <w:r w:rsidRPr="00EA7406">
        <w:t>PD-1 controls lymph node and blood</w:t>
      </w:r>
      <w:r>
        <w:t xml:space="preserve"> T follicular regulatory cells.</w:t>
      </w:r>
      <w:r w:rsidRPr="00EA7406">
        <w:t xml:space="preserve"> </w:t>
      </w:r>
      <w:r w:rsidRPr="00EA7406">
        <w:rPr>
          <w:i/>
        </w:rPr>
        <w:t xml:space="preserve">Nat </w:t>
      </w:r>
      <w:proofErr w:type="spellStart"/>
      <w:r w:rsidRPr="00EA7406">
        <w:rPr>
          <w:i/>
        </w:rPr>
        <w:t>Immunol</w:t>
      </w:r>
      <w:proofErr w:type="spellEnd"/>
      <w:r w:rsidRPr="00EA7406">
        <w:t xml:space="preserve"> 2013; 14: 152-161</w:t>
      </w:r>
    </w:p>
  </w:footnote>
  <w:footnote w:id="41">
    <w:p w:rsidR="006E184D" w:rsidRPr="00EA7406" w:rsidRDefault="006E184D">
      <w:pPr>
        <w:pStyle w:val="FootnoteText"/>
        <w:rPr>
          <w:lang w:val="en-US"/>
        </w:rPr>
      </w:pPr>
      <w:r>
        <w:rPr>
          <w:rStyle w:val="FootnoteReference"/>
        </w:rPr>
        <w:footnoteRef/>
      </w:r>
      <w:r>
        <w:t xml:space="preserve"> </w:t>
      </w:r>
      <w:proofErr w:type="spellStart"/>
      <w:r>
        <w:t>Zinselmeyer</w:t>
      </w:r>
      <w:proofErr w:type="spellEnd"/>
      <w:r>
        <w:t xml:space="preserve"> B et al. </w:t>
      </w:r>
      <w:r w:rsidRPr="00EA7406">
        <w:t xml:space="preserve">PD-1 promotes immune exhaustion by inducing antiviral T cell motility paralysis.  </w:t>
      </w:r>
      <w:r w:rsidRPr="00EA7406">
        <w:rPr>
          <w:i/>
        </w:rPr>
        <w:t>JEM</w:t>
      </w:r>
      <w:r w:rsidRPr="00EA7406">
        <w:t xml:space="preserve"> 2013; 210: 757-774</w:t>
      </w:r>
    </w:p>
  </w:footnote>
  <w:footnote w:id="42">
    <w:p w:rsidR="006E184D" w:rsidRPr="00EA7406" w:rsidRDefault="006E184D">
      <w:pPr>
        <w:pStyle w:val="FootnoteText"/>
        <w:rPr>
          <w:lang w:val="en-US"/>
        </w:rPr>
      </w:pPr>
      <w:r>
        <w:rPr>
          <w:rStyle w:val="FootnoteReference"/>
        </w:rPr>
        <w:footnoteRef/>
      </w:r>
      <w:r>
        <w:t xml:space="preserve"> </w:t>
      </w:r>
      <w:proofErr w:type="spellStart"/>
      <w:r w:rsidRPr="00EA7406">
        <w:t>Patsoukis</w:t>
      </w:r>
      <w:proofErr w:type="spellEnd"/>
      <w:r w:rsidRPr="00EA7406">
        <w:t xml:space="preserve"> N et al.  Selective effects of PD-1 on </w:t>
      </w:r>
      <w:proofErr w:type="spellStart"/>
      <w:r w:rsidRPr="00EA7406">
        <w:t>Akt</w:t>
      </w:r>
      <w:proofErr w:type="spellEnd"/>
      <w:r w:rsidRPr="00EA7406">
        <w:t xml:space="preserve"> and </w:t>
      </w:r>
      <w:proofErr w:type="spellStart"/>
      <w:r w:rsidRPr="00EA7406">
        <w:t>Ras</w:t>
      </w:r>
      <w:proofErr w:type="spellEnd"/>
      <w:r w:rsidRPr="00EA7406">
        <w:t xml:space="preserve"> pathways regulate molecular components of the cell cycle and inhibit T cell proliferation</w:t>
      </w:r>
      <w:r>
        <w:rPr>
          <w:i/>
        </w:rPr>
        <w:t xml:space="preserve">. </w:t>
      </w:r>
      <w:proofErr w:type="spellStart"/>
      <w:r w:rsidRPr="00EA7406">
        <w:rPr>
          <w:i/>
        </w:rPr>
        <w:t>Sci</w:t>
      </w:r>
      <w:proofErr w:type="spellEnd"/>
      <w:r w:rsidRPr="00EA7406">
        <w:rPr>
          <w:i/>
        </w:rPr>
        <w:t xml:space="preserve"> Signalling</w:t>
      </w:r>
      <w:r w:rsidRPr="00EA7406">
        <w:t xml:space="preserve"> 2012; 5 (230) ra46</w:t>
      </w:r>
    </w:p>
  </w:footnote>
  <w:footnote w:id="43">
    <w:p w:rsidR="006E184D" w:rsidRPr="00EA7406" w:rsidRDefault="006E184D">
      <w:pPr>
        <w:pStyle w:val="FootnoteText"/>
        <w:rPr>
          <w:lang w:val="en-US"/>
        </w:rPr>
      </w:pPr>
      <w:r>
        <w:rPr>
          <w:rStyle w:val="FootnoteReference"/>
        </w:rPr>
        <w:footnoteRef/>
      </w:r>
      <w:r>
        <w:t xml:space="preserve"> </w:t>
      </w:r>
      <w:proofErr w:type="gramStart"/>
      <w:r>
        <w:rPr>
          <w:rFonts w:asciiTheme="minorHAnsi" w:hAnsiTheme="minorHAnsi"/>
          <w:szCs w:val="22"/>
        </w:rPr>
        <w:t xml:space="preserve">Robert C et al. </w:t>
      </w:r>
      <w:r w:rsidRPr="00E26B1C">
        <w:rPr>
          <w:rFonts w:asciiTheme="minorHAnsi" w:hAnsiTheme="minorHAnsi"/>
          <w:szCs w:val="22"/>
        </w:rPr>
        <w:t>Improved overall survival in melanoma with combined dabrafenib and trametinib.</w:t>
      </w:r>
      <w:proofErr w:type="gramEnd"/>
      <w:r w:rsidRPr="00E26B1C">
        <w:rPr>
          <w:rFonts w:asciiTheme="minorHAnsi" w:hAnsiTheme="minorHAnsi"/>
          <w:szCs w:val="22"/>
        </w:rPr>
        <w:t xml:space="preserve"> </w:t>
      </w:r>
      <w:r w:rsidRPr="00EA7406">
        <w:rPr>
          <w:rFonts w:asciiTheme="minorHAnsi" w:hAnsiTheme="minorHAnsi"/>
          <w:i/>
          <w:szCs w:val="22"/>
        </w:rPr>
        <w:t xml:space="preserve">NEJM </w:t>
      </w:r>
      <w:r w:rsidRPr="00E26B1C">
        <w:rPr>
          <w:rFonts w:asciiTheme="minorHAnsi" w:hAnsiTheme="minorHAnsi"/>
          <w:szCs w:val="22"/>
        </w:rPr>
        <w:t>2015; 372: 30-39</w:t>
      </w:r>
    </w:p>
  </w:footnote>
  <w:footnote w:id="44">
    <w:p w:rsidR="006E184D" w:rsidRPr="00EA7406" w:rsidRDefault="006E184D">
      <w:pPr>
        <w:pStyle w:val="FootnoteText"/>
        <w:rPr>
          <w:lang w:val="en-US"/>
        </w:rPr>
      </w:pPr>
      <w:r>
        <w:rPr>
          <w:rStyle w:val="FootnoteReference"/>
        </w:rPr>
        <w:footnoteRef/>
      </w:r>
      <w:r>
        <w:t xml:space="preserve"> </w:t>
      </w:r>
      <w:proofErr w:type="gramStart"/>
      <w:r w:rsidRPr="00EA7406">
        <w:t xml:space="preserve">Long G </w:t>
      </w:r>
      <w:r>
        <w:t xml:space="preserve">et al. </w:t>
      </w:r>
      <w:r w:rsidRPr="00EA7406">
        <w:t>Combined BRAF and MEK inhibition versus BRAF inhibition alone in melanoma.</w:t>
      </w:r>
      <w:proofErr w:type="gramEnd"/>
      <w:r w:rsidRPr="00EA7406">
        <w:t xml:space="preserve">  </w:t>
      </w:r>
      <w:r w:rsidRPr="00EA7406">
        <w:rPr>
          <w:i/>
        </w:rPr>
        <w:t>NEJM</w:t>
      </w:r>
      <w:r w:rsidRPr="00EA7406">
        <w:t xml:space="preserve"> 2014; 371: 1877-1888</w:t>
      </w:r>
    </w:p>
  </w:footnote>
  <w:footnote w:id="45">
    <w:p w:rsidR="006E184D" w:rsidRPr="00EA7406" w:rsidRDefault="006E184D" w:rsidP="00AE5DB3">
      <w:pPr>
        <w:pStyle w:val="FootnoteText"/>
        <w:ind w:right="-568"/>
        <w:rPr>
          <w:rFonts w:asciiTheme="minorHAnsi" w:hAnsiTheme="minorHAnsi"/>
          <w:szCs w:val="22"/>
        </w:rPr>
      </w:pPr>
      <w:r>
        <w:rPr>
          <w:rStyle w:val="FootnoteReference"/>
        </w:rPr>
        <w:footnoteRef/>
      </w:r>
      <w:r>
        <w:t xml:space="preserve"> </w:t>
      </w:r>
      <w:proofErr w:type="spellStart"/>
      <w:r w:rsidRPr="00E26B1C">
        <w:rPr>
          <w:rFonts w:asciiTheme="minorHAnsi" w:hAnsiTheme="minorHAnsi"/>
          <w:szCs w:val="22"/>
        </w:rPr>
        <w:t>Hauschild</w:t>
      </w:r>
      <w:proofErr w:type="spellEnd"/>
      <w:r w:rsidRPr="00E26B1C">
        <w:rPr>
          <w:rFonts w:asciiTheme="minorHAnsi" w:hAnsiTheme="minorHAnsi"/>
          <w:szCs w:val="22"/>
        </w:rPr>
        <w:t xml:space="preserve"> A et al</w:t>
      </w:r>
      <w:r>
        <w:rPr>
          <w:rFonts w:asciiTheme="minorHAnsi" w:hAnsiTheme="minorHAnsi"/>
          <w:szCs w:val="22"/>
        </w:rPr>
        <w:t xml:space="preserve">. </w:t>
      </w:r>
      <w:r w:rsidRPr="00E26B1C">
        <w:rPr>
          <w:rFonts w:asciiTheme="minorHAnsi" w:hAnsiTheme="minorHAnsi"/>
          <w:szCs w:val="22"/>
        </w:rPr>
        <w:t xml:space="preserve">Dabrafenib in BRAF-mutated metastatic melanoma: a multicentre, open-label, phase </w:t>
      </w:r>
      <w:r>
        <w:rPr>
          <w:rFonts w:asciiTheme="minorHAnsi" w:hAnsiTheme="minorHAnsi"/>
          <w:szCs w:val="22"/>
        </w:rPr>
        <w:t xml:space="preserve">3 randomised controlled </w:t>
      </w:r>
      <w:proofErr w:type="gramStart"/>
      <w:r>
        <w:rPr>
          <w:rFonts w:asciiTheme="minorHAnsi" w:hAnsiTheme="minorHAnsi"/>
          <w:szCs w:val="22"/>
        </w:rPr>
        <w:t>trial</w:t>
      </w:r>
      <w:proofErr w:type="gramEnd"/>
      <w:r>
        <w:rPr>
          <w:rFonts w:asciiTheme="minorHAnsi" w:hAnsiTheme="minorHAnsi"/>
          <w:szCs w:val="22"/>
        </w:rPr>
        <w:t xml:space="preserve">. </w:t>
      </w:r>
      <w:r w:rsidRPr="00F06CE7">
        <w:rPr>
          <w:rFonts w:asciiTheme="minorHAnsi" w:hAnsiTheme="minorHAnsi"/>
          <w:i/>
          <w:szCs w:val="22"/>
        </w:rPr>
        <w:t xml:space="preserve">Lancet </w:t>
      </w:r>
      <w:r w:rsidRPr="00E26B1C">
        <w:rPr>
          <w:rFonts w:asciiTheme="minorHAnsi" w:hAnsiTheme="minorHAnsi"/>
          <w:szCs w:val="22"/>
        </w:rPr>
        <w:t>2012; 380 (</w:t>
      </w:r>
      <w:r w:rsidRPr="00CB4B97">
        <w:t>9839</w:t>
      </w:r>
      <w:r w:rsidRPr="00E26B1C">
        <w:rPr>
          <w:rFonts w:asciiTheme="minorHAnsi" w:hAnsiTheme="minorHAnsi"/>
          <w:szCs w:val="22"/>
        </w:rPr>
        <w:t>): 358-</w:t>
      </w:r>
      <w:r>
        <w:rPr>
          <w:rFonts w:asciiTheme="minorHAnsi" w:hAnsiTheme="minorHAnsi"/>
          <w:szCs w:val="22"/>
        </w:rPr>
        <w:t>3</w:t>
      </w:r>
      <w:r w:rsidRPr="00E26B1C">
        <w:rPr>
          <w:rFonts w:asciiTheme="minorHAnsi" w:hAnsiTheme="minorHAnsi"/>
          <w:szCs w:val="22"/>
        </w:rPr>
        <w:t>65</w:t>
      </w:r>
      <w:r>
        <w:rPr>
          <w:rFonts w:asciiTheme="minorHAnsi" w:hAnsiTheme="minorHAnsi"/>
          <w:szCs w:val="22"/>
        </w:rPr>
        <w:t xml:space="preserve"> </w:t>
      </w:r>
    </w:p>
  </w:footnote>
  <w:footnote w:id="46">
    <w:p w:rsidR="006E184D" w:rsidRPr="00CB4B97" w:rsidRDefault="006E184D" w:rsidP="00CB4B97">
      <w:pPr>
        <w:pStyle w:val="FootnoteText"/>
      </w:pPr>
      <w:r w:rsidRPr="00CB4B97">
        <w:rPr>
          <w:rStyle w:val="FootnoteReference"/>
        </w:rPr>
        <w:footnoteRef/>
      </w:r>
      <w:r w:rsidRPr="00CB4B97">
        <w:t xml:space="preserve"> </w:t>
      </w:r>
      <w:proofErr w:type="gramStart"/>
      <w:r w:rsidRPr="00CB4B97">
        <w:t>Flaherty KT et al. Improved survival with MEK inhibition in BRAF-mutated melanoma.</w:t>
      </w:r>
      <w:proofErr w:type="gramEnd"/>
      <w:r w:rsidRPr="00CB4B97">
        <w:t xml:space="preserve"> N </w:t>
      </w:r>
      <w:proofErr w:type="spellStart"/>
      <w:r w:rsidRPr="00CB4B97">
        <w:t>Engl</w:t>
      </w:r>
      <w:proofErr w:type="spellEnd"/>
      <w:r w:rsidRPr="00CB4B97">
        <w:t xml:space="preserve"> J Med 2012:1-8.</w:t>
      </w:r>
    </w:p>
  </w:footnote>
  <w:footnote w:id="47">
    <w:p w:rsidR="006E184D" w:rsidRPr="00F06CE7" w:rsidRDefault="006E184D" w:rsidP="00F06CE7">
      <w:pPr>
        <w:autoSpaceDE w:val="0"/>
        <w:autoSpaceDN w:val="0"/>
        <w:adjustRightInd w:val="0"/>
        <w:spacing w:before="0" w:after="0" w:line="240" w:lineRule="auto"/>
        <w:rPr>
          <w:sz w:val="18"/>
          <w:szCs w:val="20"/>
        </w:rPr>
      </w:pPr>
      <w:r>
        <w:rPr>
          <w:rStyle w:val="FootnoteReference"/>
        </w:rPr>
        <w:footnoteRef/>
      </w:r>
      <w:r>
        <w:t xml:space="preserve"> </w:t>
      </w:r>
      <w:r w:rsidRPr="00E0283B">
        <w:rPr>
          <w:rStyle w:val="FootnoteTextChar"/>
        </w:rPr>
        <w:t xml:space="preserve">Patel PM et al. Extended schedule, escalated dose </w:t>
      </w:r>
      <w:proofErr w:type="spellStart"/>
      <w:r w:rsidRPr="00E0283B">
        <w:rPr>
          <w:rStyle w:val="FootnoteTextChar"/>
        </w:rPr>
        <w:t>temozolomide</w:t>
      </w:r>
      <w:proofErr w:type="spellEnd"/>
      <w:r w:rsidRPr="00E0283B">
        <w:rPr>
          <w:rStyle w:val="FootnoteTextChar"/>
        </w:rPr>
        <w:t xml:space="preserve"> versus </w:t>
      </w:r>
      <w:proofErr w:type="spellStart"/>
      <w:r w:rsidRPr="00E0283B">
        <w:rPr>
          <w:rStyle w:val="FootnoteTextChar"/>
        </w:rPr>
        <w:t>dacarbazine</w:t>
      </w:r>
      <w:proofErr w:type="spellEnd"/>
      <w:r w:rsidRPr="00E0283B">
        <w:rPr>
          <w:rStyle w:val="FootnoteTextChar"/>
        </w:rPr>
        <w:t xml:space="preserve"> in stage IV melanoma: Final results of a randomised phase III study (EORTC 18032). </w:t>
      </w:r>
      <w:proofErr w:type="spellStart"/>
      <w:r w:rsidRPr="00F06CE7">
        <w:rPr>
          <w:rStyle w:val="FootnoteTextChar"/>
          <w:i/>
        </w:rPr>
        <w:t>Eur</w:t>
      </w:r>
      <w:proofErr w:type="spellEnd"/>
      <w:r w:rsidRPr="00F06CE7">
        <w:rPr>
          <w:rStyle w:val="FootnoteTextChar"/>
          <w:i/>
        </w:rPr>
        <w:t xml:space="preserve"> J Cancer</w:t>
      </w:r>
      <w:r>
        <w:rPr>
          <w:rStyle w:val="FootnoteTextChar"/>
        </w:rPr>
        <w:t xml:space="preserve"> 2011</w:t>
      </w:r>
      <w:proofErr w:type="gramStart"/>
      <w:r>
        <w:rPr>
          <w:rStyle w:val="FootnoteTextChar"/>
        </w:rPr>
        <w:t>;47</w:t>
      </w:r>
      <w:r w:rsidRPr="00E0283B">
        <w:rPr>
          <w:rStyle w:val="FootnoteTextChar"/>
        </w:rPr>
        <w:t>:1476</w:t>
      </w:r>
      <w:proofErr w:type="gramEnd"/>
      <w:r w:rsidRPr="00E0283B">
        <w:rPr>
          <w:rStyle w:val="FootnoteTextChar"/>
        </w:rPr>
        <w:t>-</w:t>
      </w:r>
      <w:r>
        <w:rPr>
          <w:rStyle w:val="FootnoteTextChar"/>
        </w:rPr>
        <w:t>14</w:t>
      </w:r>
      <w:r w:rsidRPr="00E0283B">
        <w:rPr>
          <w:rStyle w:val="FootnoteTextChar"/>
        </w:rPr>
        <w:t>83.</w:t>
      </w:r>
    </w:p>
  </w:footnote>
  <w:footnote w:id="48">
    <w:p w:rsidR="006E184D" w:rsidRPr="00F06CE7" w:rsidRDefault="006E184D" w:rsidP="00F06CE7">
      <w:pPr>
        <w:autoSpaceDE w:val="0"/>
        <w:autoSpaceDN w:val="0"/>
        <w:adjustRightInd w:val="0"/>
        <w:spacing w:before="0" w:after="0" w:line="240" w:lineRule="auto"/>
        <w:rPr>
          <w:rStyle w:val="FootnoteTextChar"/>
        </w:rPr>
      </w:pPr>
      <w:r>
        <w:rPr>
          <w:rStyle w:val="FootnoteReference"/>
        </w:rPr>
        <w:footnoteRef/>
      </w:r>
      <w:r>
        <w:t xml:space="preserve"> </w:t>
      </w:r>
      <w:proofErr w:type="gramStart"/>
      <w:r w:rsidRPr="00F06CE7">
        <w:rPr>
          <w:rStyle w:val="FootnoteTextChar"/>
        </w:rPr>
        <w:t>Robert C et al. Ipilimumab plus dacarbazine for previously untreated metastatic melanoma.</w:t>
      </w:r>
      <w:proofErr w:type="gramEnd"/>
      <w:r w:rsidRPr="00F06CE7">
        <w:rPr>
          <w:rStyle w:val="FootnoteTextChar"/>
        </w:rPr>
        <w:t xml:space="preserve"> </w:t>
      </w:r>
      <w:r w:rsidRPr="0072717C">
        <w:rPr>
          <w:rStyle w:val="FootnoteTextChar"/>
          <w:i/>
        </w:rPr>
        <w:t xml:space="preserve">N </w:t>
      </w:r>
      <w:proofErr w:type="spellStart"/>
      <w:r w:rsidRPr="0072717C">
        <w:rPr>
          <w:rStyle w:val="FootnoteTextChar"/>
          <w:i/>
        </w:rPr>
        <w:t>Engl</w:t>
      </w:r>
      <w:proofErr w:type="spellEnd"/>
      <w:r w:rsidRPr="0072717C">
        <w:rPr>
          <w:rStyle w:val="FootnoteTextChar"/>
          <w:i/>
        </w:rPr>
        <w:t xml:space="preserve"> J Med</w:t>
      </w:r>
      <w:r w:rsidRPr="00F06CE7">
        <w:rPr>
          <w:rStyle w:val="FootnoteTextChar"/>
        </w:rPr>
        <w:t xml:space="preserve"> 2011</w:t>
      </w:r>
      <w:proofErr w:type="gramStart"/>
      <w:r w:rsidRPr="00F06CE7">
        <w:rPr>
          <w:rStyle w:val="FootnoteTextChar"/>
        </w:rPr>
        <w:t>;364</w:t>
      </w:r>
      <w:proofErr w:type="gramEnd"/>
      <w:r w:rsidRPr="00F06CE7">
        <w:rPr>
          <w:rStyle w:val="FootnoteTextChar"/>
        </w:rPr>
        <w:t>:</w:t>
      </w:r>
      <w:r>
        <w:rPr>
          <w:rStyle w:val="FootnoteTextChar"/>
        </w:rPr>
        <w:t xml:space="preserve"> </w:t>
      </w:r>
      <w:r w:rsidRPr="00F06CE7">
        <w:rPr>
          <w:rStyle w:val="FootnoteTextChar"/>
        </w:rPr>
        <w:t>2517-2526.</w:t>
      </w:r>
    </w:p>
  </w:footnote>
  <w:footnote w:id="49">
    <w:p w:rsidR="006E184D" w:rsidRPr="008D45F3" w:rsidRDefault="006E184D" w:rsidP="00F06CE7">
      <w:pPr>
        <w:pStyle w:val="FootnoteText"/>
      </w:pPr>
      <w:r>
        <w:rPr>
          <w:rStyle w:val="FootnoteReference"/>
        </w:rPr>
        <w:footnoteRef/>
      </w:r>
      <w:r>
        <w:t xml:space="preserve"> </w:t>
      </w:r>
      <w:r w:rsidRPr="0072717C">
        <w:t xml:space="preserve">Chapman PB et al. Updated overall survival (OS) results for BRIM-3, a phase III randomized, open-label, </w:t>
      </w:r>
      <w:proofErr w:type="spellStart"/>
      <w:r w:rsidRPr="0072717C">
        <w:t>multicenter</w:t>
      </w:r>
      <w:proofErr w:type="spellEnd"/>
      <w:r w:rsidRPr="0072717C">
        <w:t xml:space="preserve"> trial comparing BRAF inhibitor </w:t>
      </w:r>
      <w:proofErr w:type="spellStart"/>
      <w:r w:rsidRPr="0072717C">
        <w:t>vemurafenib</w:t>
      </w:r>
      <w:proofErr w:type="spellEnd"/>
      <w:r w:rsidRPr="0072717C">
        <w:t xml:space="preserve"> (</w:t>
      </w:r>
      <w:proofErr w:type="spellStart"/>
      <w:r w:rsidRPr="0072717C">
        <w:t>vem</w:t>
      </w:r>
      <w:proofErr w:type="spellEnd"/>
      <w:r w:rsidRPr="0072717C">
        <w:t xml:space="preserve">) with </w:t>
      </w:r>
      <w:proofErr w:type="spellStart"/>
      <w:r w:rsidRPr="0072717C">
        <w:t>dacarbazine</w:t>
      </w:r>
      <w:proofErr w:type="spellEnd"/>
      <w:r w:rsidRPr="0072717C">
        <w:t xml:space="preserve"> (DTIC) in previously untreated patients with BRAFV600E mutated melanoma [Abstract].</w:t>
      </w:r>
      <w:r>
        <w:t xml:space="preserve"> </w:t>
      </w:r>
      <w:r w:rsidRPr="008D45F3">
        <w:rPr>
          <w:i/>
        </w:rPr>
        <w:t xml:space="preserve">J </w:t>
      </w:r>
      <w:proofErr w:type="spellStart"/>
      <w:r w:rsidRPr="008D45F3">
        <w:rPr>
          <w:i/>
        </w:rPr>
        <w:t>Clin</w:t>
      </w:r>
      <w:proofErr w:type="spellEnd"/>
      <w:r w:rsidRPr="008D45F3">
        <w:rPr>
          <w:i/>
        </w:rPr>
        <w:t xml:space="preserve"> </w:t>
      </w:r>
      <w:proofErr w:type="spellStart"/>
      <w:r w:rsidRPr="008D45F3">
        <w:rPr>
          <w:i/>
        </w:rPr>
        <w:t>Oncol</w:t>
      </w:r>
      <w:proofErr w:type="spellEnd"/>
      <w:r w:rsidRPr="008D45F3">
        <w:t xml:space="preserve"> 2012</w:t>
      </w:r>
      <w:proofErr w:type="gramStart"/>
      <w:r w:rsidRPr="008D45F3">
        <w:t>;30:abstract</w:t>
      </w:r>
      <w:proofErr w:type="gramEnd"/>
      <w:r>
        <w:rPr>
          <w:rFonts w:ascii="Times New Roman" w:eastAsiaTheme="minorHAnsi" w:hAnsi="Times New Roman"/>
          <w:sz w:val="24"/>
          <w:szCs w:val="24"/>
        </w:rPr>
        <w:t xml:space="preserve"> </w:t>
      </w:r>
      <w:r w:rsidRPr="008D45F3">
        <w:t>8502</w:t>
      </w:r>
      <w:r>
        <w:rPr>
          <w:rFonts w:ascii="Times New Roman" w:eastAsiaTheme="minorHAnsi" w:hAnsi="Times New Roman"/>
          <w:sz w:val="24"/>
          <w:szCs w:val="24"/>
        </w:rPr>
        <w:t>.</w:t>
      </w:r>
    </w:p>
  </w:footnote>
  <w:footnote w:id="50">
    <w:p w:rsidR="006E184D" w:rsidRPr="008D45F3" w:rsidRDefault="006E184D" w:rsidP="008D45F3">
      <w:pPr>
        <w:pStyle w:val="FootnoteText"/>
      </w:pPr>
      <w:r>
        <w:rPr>
          <w:rStyle w:val="FootnoteReference"/>
        </w:rPr>
        <w:footnoteRef/>
      </w:r>
      <w:r>
        <w:t xml:space="preserve"> NICE 2012</w:t>
      </w:r>
      <w:r w:rsidRPr="008D45F3">
        <w:t xml:space="preserve"> </w:t>
      </w:r>
      <w:r>
        <w:t xml:space="preserve">National Institute for Health and Clinical Excellence. </w:t>
      </w:r>
      <w:proofErr w:type="gramStart"/>
      <w:r>
        <w:t xml:space="preserve">Vemurafenib for treating locally advanced or metastatic BRAF V600 </w:t>
      </w:r>
      <w:proofErr w:type="spellStart"/>
      <w:r>
        <w:t>mutationpositive</w:t>
      </w:r>
      <w:proofErr w:type="spellEnd"/>
      <w:r>
        <w:t xml:space="preserve"> malignant melanoma.</w:t>
      </w:r>
      <w:proofErr w:type="gramEnd"/>
      <w:r>
        <w:t xml:space="preserve"> 2012</w:t>
      </w:r>
    </w:p>
  </w:footnote>
  <w:footnote w:id="51">
    <w:p w:rsidR="006E184D" w:rsidRPr="00F06CE7" w:rsidRDefault="006E184D" w:rsidP="00F06CE7">
      <w:pPr>
        <w:pStyle w:val="FootnoteText"/>
      </w:pPr>
      <w:r>
        <w:rPr>
          <w:rStyle w:val="FootnoteReference"/>
        </w:rPr>
        <w:footnoteRef/>
      </w:r>
      <w:r>
        <w:t xml:space="preserve"> </w:t>
      </w:r>
      <w:proofErr w:type="spellStart"/>
      <w:r>
        <w:t>Bediken</w:t>
      </w:r>
      <w:proofErr w:type="spellEnd"/>
      <w:r>
        <w:t xml:space="preserve"> et al. Bcl-2 antisense (</w:t>
      </w:r>
      <w:proofErr w:type="spellStart"/>
      <w:r>
        <w:t>oblimersen</w:t>
      </w:r>
      <w:proofErr w:type="spellEnd"/>
      <w:r>
        <w:t xml:space="preserve"> sodium) plus </w:t>
      </w:r>
      <w:proofErr w:type="spellStart"/>
      <w:r>
        <w:t>dacarbazine</w:t>
      </w:r>
      <w:proofErr w:type="spellEnd"/>
      <w:r>
        <w:t xml:space="preserve"> in patients with advanced melanoma: The </w:t>
      </w:r>
      <w:proofErr w:type="spellStart"/>
      <w:r>
        <w:t>oblimersen</w:t>
      </w:r>
      <w:proofErr w:type="spellEnd"/>
      <w:r>
        <w:t xml:space="preserve"> melanoma study group. </w:t>
      </w:r>
      <w:r w:rsidRPr="00F06CE7">
        <w:rPr>
          <w:i/>
        </w:rPr>
        <w:t xml:space="preserve">J </w:t>
      </w:r>
      <w:proofErr w:type="spellStart"/>
      <w:r w:rsidRPr="00F06CE7">
        <w:rPr>
          <w:i/>
        </w:rPr>
        <w:t>Clin</w:t>
      </w:r>
      <w:proofErr w:type="spellEnd"/>
      <w:r w:rsidRPr="00F06CE7">
        <w:rPr>
          <w:i/>
        </w:rPr>
        <w:t xml:space="preserve"> </w:t>
      </w:r>
      <w:proofErr w:type="spellStart"/>
      <w:r w:rsidRPr="00F06CE7">
        <w:rPr>
          <w:i/>
        </w:rPr>
        <w:t>Oncol</w:t>
      </w:r>
      <w:proofErr w:type="spellEnd"/>
      <w:r>
        <w:t xml:space="preserve"> 2006; 24: 4738-4745</w:t>
      </w:r>
    </w:p>
  </w:footnote>
  <w:footnote w:id="52">
    <w:p w:rsidR="006E184D" w:rsidRPr="00F06CE7" w:rsidRDefault="006E184D" w:rsidP="00F06CE7">
      <w:pPr>
        <w:autoSpaceDE w:val="0"/>
        <w:autoSpaceDN w:val="0"/>
        <w:adjustRightInd w:val="0"/>
        <w:spacing w:before="0" w:after="0" w:line="240" w:lineRule="auto"/>
        <w:rPr>
          <w:sz w:val="18"/>
          <w:szCs w:val="20"/>
        </w:rPr>
      </w:pPr>
      <w:r>
        <w:rPr>
          <w:rStyle w:val="FootnoteReference"/>
        </w:rPr>
        <w:footnoteRef/>
      </w:r>
      <w:r>
        <w:t xml:space="preserve"> </w:t>
      </w:r>
      <w:r w:rsidRPr="00F06CE7">
        <w:rPr>
          <w:rStyle w:val="FootnoteTextChar"/>
        </w:rPr>
        <w:t xml:space="preserve">Avril MF et al. </w:t>
      </w:r>
      <w:proofErr w:type="spellStart"/>
      <w:r w:rsidRPr="00F06CE7">
        <w:rPr>
          <w:rStyle w:val="FootnoteTextChar"/>
        </w:rPr>
        <w:t>Fotemustine</w:t>
      </w:r>
      <w:proofErr w:type="spellEnd"/>
      <w:r w:rsidRPr="00F06CE7">
        <w:rPr>
          <w:rStyle w:val="FootnoteTextChar"/>
        </w:rPr>
        <w:t xml:space="preserve"> compared wi</w:t>
      </w:r>
      <w:r>
        <w:rPr>
          <w:rStyle w:val="FootnoteTextChar"/>
        </w:rPr>
        <w:t xml:space="preserve">th </w:t>
      </w:r>
      <w:proofErr w:type="spellStart"/>
      <w:r>
        <w:rPr>
          <w:rStyle w:val="FootnoteTextChar"/>
        </w:rPr>
        <w:t>dacarbazine</w:t>
      </w:r>
      <w:proofErr w:type="spellEnd"/>
      <w:r>
        <w:rPr>
          <w:rStyle w:val="FootnoteTextChar"/>
        </w:rPr>
        <w:t xml:space="preserve"> in patients with </w:t>
      </w:r>
      <w:r w:rsidRPr="00F06CE7">
        <w:rPr>
          <w:rStyle w:val="FootnoteTextChar"/>
        </w:rPr>
        <w:t xml:space="preserve">disseminated malignant melanoma: A phase III study. </w:t>
      </w:r>
      <w:r w:rsidRPr="00F06CE7">
        <w:rPr>
          <w:rStyle w:val="FootnoteTextChar"/>
          <w:i/>
        </w:rPr>
        <w:t xml:space="preserve">J </w:t>
      </w:r>
      <w:proofErr w:type="spellStart"/>
      <w:r w:rsidRPr="00F06CE7">
        <w:rPr>
          <w:rStyle w:val="FootnoteTextChar"/>
          <w:i/>
        </w:rPr>
        <w:t>Clin</w:t>
      </w:r>
      <w:proofErr w:type="spellEnd"/>
      <w:r w:rsidRPr="00F06CE7">
        <w:rPr>
          <w:rStyle w:val="FootnoteTextChar"/>
          <w:i/>
        </w:rPr>
        <w:t xml:space="preserve"> </w:t>
      </w:r>
      <w:proofErr w:type="spellStart"/>
      <w:r w:rsidRPr="00F06CE7">
        <w:rPr>
          <w:rStyle w:val="FootnoteTextChar"/>
          <w:i/>
        </w:rPr>
        <w:t>Oncol</w:t>
      </w:r>
      <w:proofErr w:type="spellEnd"/>
      <w:r w:rsidRPr="00F06CE7">
        <w:rPr>
          <w:rStyle w:val="FootnoteTextChar"/>
        </w:rPr>
        <w:t xml:space="preserve"> </w:t>
      </w:r>
      <w:r>
        <w:rPr>
          <w:rStyle w:val="FootnoteTextChar"/>
        </w:rPr>
        <w:t>2004</w:t>
      </w:r>
      <w:proofErr w:type="gramStart"/>
      <w:r>
        <w:rPr>
          <w:rStyle w:val="FootnoteTextChar"/>
        </w:rPr>
        <w:t>;22</w:t>
      </w:r>
      <w:r w:rsidRPr="00F06CE7">
        <w:rPr>
          <w:rStyle w:val="FootnoteTextChar"/>
        </w:rPr>
        <w:t>:1118</w:t>
      </w:r>
      <w:proofErr w:type="gramEnd"/>
      <w:r w:rsidRPr="00F06CE7">
        <w:rPr>
          <w:rStyle w:val="FootnoteTextChar"/>
        </w:rPr>
        <w:t>-</w:t>
      </w:r>
      <w:r>
        <w:rPr>
          <w:rStyle w:val="FootnoteTextChar"/>
        </w:rPr>
        <w:t>11</w:t>
      </w:r>
      <w:r w:rsidRPr="00F06CE7">
        <w:rPr>
          <w:rStyle w:val="FootnoteTextChar"/>
        </w:rPr>
        <w:t>25.</w:t>
      </w:r>
    </w:p>
  </w:footnote>
  <w:footnote w:id="53">
    <w:p w:rsidR="006E184D" w:rsidRPr="00F06CE7" w:rsidRDefault="006E184D" w:rsidP="00F06CE7">
      <w:pPr>
        <w:pStyle w:val="FootnoteText"/>
      </w:pPr>
      <w:r>
        <w:rPr>
          <w:rStyle w:val="FootnoteReference"/>
        </w:rPr>
        <w:footnoteRef/>
      </w:r>
      <w:r>
        <w:t xml:space="preserve"> Middleton MR et al. Randomized phase III study of </w:t>
      </w:r>
      <w:proofErr w:type="spellStart"/>
      <w:r>
        <w:t>temozolomide</w:t>
      </w:r>
      <w:proofErr w:type="spellEnd"/>
      <w:r>
        <w:t xml:space="preserve"> versus </w:t>
      </w:r>
      <w:proofErr w:type="spellStart"/>
      <w:r>
        <w:t>dacarbazine</w:t>
      </w:r>
      <w:proofErr w:type="spellEnd"/>
      <w:r>
        <w:t xml:space="preserve"> in the treatment of patients with advanced metastatic malignant melanoma. </w:t>
      </w:r>
      <w:r w:rsidRPr="00F06CE7">
        <w:rPr>
          <w:i/>
        </w:rPr>
        <w:t xml:space="preserve">J </w:t>
      </w:r>
      <w:proofErr w:type="spellStart"/>
      <w:r w:rsidRPr="00F06CE7">
        <w:rPr>
          <w:i/>
        </w:rPr>
        <w:t>Clin</w:t>
      </w:r>
      <w:proofErr w:type="spellEnd"/>
      <w:r w:rsidRPr="00F06CE7">
        <w:rPr>
          <w:i/>
        </w:rPr>
        <w:t xml:space="preserve"> </w:t>
      </w:r>
      <w:proofErr w:type="spellStart"/>
      <w:r w:rsidRPr="00F06CE7">
        <w:rPr>
          <w:i/>
        </w:rPr>
        <w:t>Oncol</w:t>
      </w:r>
      <w:proofErr w:type="spellEnd"/>
      <w:r>
        <w:t xml:space="preserve"> 2000</w:t>
      </w:r>
      <w:proofErr w:type="gramStart"/>
      <w:r>
        <w:t>;18:158</w:t>
      </w:r>
      <w:proofErr w:type="gramEnd"/>
      <w:r>
        <w:t>-166.</w:t>
      </w:r>
    </w:p>
  </w:footnote>
  <w:footnote w:id="54">
    <w:p w:rsidR="006E184D" w:rsidRPr="00F06CE7" w:rsidRDefault="006E184D" w:rsidP="00F06CE7">
      <w:pPr>
        <w:pStyle w:val="FootnoteText"/>
      </w:pPr>
      <w:r>
        <w:rPr>
          <w:rStyle w:val="FootnoteReference"/>
        </w:rPr>
        <w:footnoteRef/>
      </w:r>
      <w:r>
        <w:t xml:space="preserve"> Chapman PB et al. Phase III </w:t>
      </w:r>
      <w:proofErr w:type="spellStart"/>
      <w:r>
        <w:t>multicenter</w:t>
      </w:r>
      <w:proofErr w:type="spellEnd"/>
      <w:r>
        <w:t xml:space="preserve"> randomized trial of the </w:t>
      </w:r>
      <w:proofErr w:type="spellStart"/>
      <w:proofErr w:type="gramStart"/>
      <w:r>
        <w:t>dartmouth</w:t>
      </w:r>
      <w:proofErr w:type="spellEnd"/>
      <w:proofErr w:type="gramEnd"/>
      <w:r>
        <w:t xml:space="preserve"> regimen versus </w:t>
      </w:r>
      <w:proofErr w:type="spellStart"/>
      <w:r>
        <w:t>dacarbazine</w:t>
      </w:r>
      <w:proofErr w:type="spellEnd"/>
      <w:r>
        <w:t xml:space="preserve"> in patients with metastatic melanoma</w:t>
      </w:r>
      <w:r w:rsidRPr="00F06CE7">
        <w:rPr>
          <w:i/>
        </w:rPr>
        <w:t xml:space="preserve">. J </w:t>
      </w:r>
      <w:proofErr w:type="spellStart"/>
      <w:r w:rsidRPr="00F06CE7">
        <w:rPr>
          <w:i/>
        </w:rPr>
        <w:t>Clin</w:t>
      </w:r>
      <w:proofErr w:type="spellEnd"/>
      <w:r w:rsidRPr="00F06CE7">
        <w:rPr>
          <w:i/>
        </w:rPr>
        <w:t xml:space="preserve"> </w:t>
      </w:r>
      <w:proofErr w:type="spellStart"/>
      <w:r w:rsidRPr="00F06CE7">
        <w:rPr>
          <w:i/>
        </w:rPr>
        <w:t>Oncol</w:t>
      </w:r>
      <w:proofErr w:type="spellEnd"/>
      <w:r>
        <w:t xml:space="preserve"> 1999;17:2745-2751</w:t>
      </w:r>
    </w:p>
  </w:footnote>
  <w:footnote w:id="55">
    <w:p w:rsidR="006E184D" w:rsidRPr="00F06CE7" w:rsidRDefault="006E184D" w:rsidP="00F06CE7">
      <w:pPr>
        <w:pStyle w:val="FootnoteText"/>
      </w:pPr>
      <w:r>
        <w:rPr>
          <w:rStyle w:val="FootnoteReference"/>
        </w:rPr>
        <w:footnoteRef/>
      </w:r>
      <w:r>
        <w:t xml:space="preserve"> Atkins MB et al. High-dose recombinant interleukin 2 therapy for patients with metastatic melanoma: Analysis of 270 patients treated between 1985 and 1993. </w:t>
      </w:r>
      <w:r w:rsidRPr="00F06CE7">
        <w:rPr>
          <w:i/>
        </w:rPr>
        <w:t xml:space="preserve">J </w:t>
      </w:r>
      <w:proofErr w:type="spellStart"/>
      <w:r w:rsidRPr="00F06CE7">
        <w:rPr>
          <w:i/>
        </w:rPr>
        <w:t>Clin</w:t>
      </w:r>
      <w:proofErr w:type="spellEnd"/>
      <w:r w:rsidRPr="00F06CE7">
        <w:rPr>
          <w:i/>
        </w:rPr>
        <w:t xml:space="preserve"> </w:t>
      </w:r>
      <w:proofErr w:type="spellStart"/>
      <w:r w:rsidRPr="00F06CE7">
        <w:rPr>
          <w:i/>
        </w:rPr>
        <w:t>Oncol</w:t>
      </w:r>
      <w:proofErr w:type="spellEnd"/>
      <w:r>
        <w:t xml:space="preserve"> 1999</w:t>
      </w:r>
      <w:proofErr w:type="gramStart"/>
      <w:r>
        <w:t>;17:2105</w:t>
      </w:r>
      <w:proofErr w:type="gramEnd"/>
      <w:r>
        <w:t>-2116.</w:t>
      </w:r>
    </w:p>
  </w:footnote>
  <w:footnote w:id="56">
    <w:p w:rsidR="006E184D" w:rsidRPr="00F06CE7" w:rsidRDefault="006E184D" w:rsidP="00F06CE7">
      <w:pPr>
        <w:pStyle w:val="FootnoteText"/>
      </w:pPr>
      <w:r w:rsidRPr="00F06CE7">
        <w:rPr>
          <w:rStyle w:val="FootnoteReference"/>
        </w:rPr>
        <w:footnoteRef/>
      </w:r>
      <w:r w:rsidRPr="00F06CE7">
        <w:rPr>
          <w:rStyle w:val="FootnoteReference"/>
        </w:rPr>
        <w:t xml:space="preserve"> </w:t>
      </w:r>
      <w:proofErr w:type="spellStart"/>
      <w:r w:rsidRPr="00F06CE7">
        <w:t>Hauschild</w:t>
      </w:r>
      <w:proofErr w:type="spellEnd"/>
      <w:r w:rsidRPr="00F06CE7">
        <w:t xml:space="preserve"> A et al 2009 Results of a Phase III, Randomized, Placebo-Controlled</w:t>
      </w:r>
      <w:r>
        <w:t xml:space="preserve"> </w:t>
      </w:r>
      <w:r w:rsidRPr="00F06CE7">
        <w:t xml:space="preserve">Study of </w:t>
      </w:r>
      <w:proofErr w:type="spellStart"/>
      <w:r w:rsidRPr="00F06CE7">
        <w:t>Sorafenib</w:t>
      </w:r>
      <w:proofErr w:type="spellEnd"/>
      <w:r w:rsidRPr="00F06CE7">
        <w:t xml:space="preserve"> in C</w:t>
      </w:r>
      <w:r>
        <w:t xml:space="preserve">ombination With Carboplatin and </w:t>
      </w:r>
      <w:r w:rsidRPr="00F06CE7">
        <w:t>Paclitaxel As Second-Line Treatment in</w:t>
      </w:r>
      <w:r>
        <w:t xml:space="preserve"> Patients With </w:t>
      </w:r>
      <w:r w:rsidRPr="00F06CE7">
        <w:t xml:space="preserve">Unresectable Stage III or Stage IV Melanoma </w:t>
      </w:r>
      <w:r w:rsidRPr="00F06CE7">
        <w:rPr>
          <w:i/>
        </w:rPr>
        <w:t xml:space="preserve">J </w:t>
      </w:r>
      <w:proofErr w:type="spellStart"/>
      <w:r w:rsidRPr="00F06CE7">
        <w:rPr>
          <w:i/>
        </w:rPr>
        <w:t>Clin</w:t>
      </w:r>
      <w:proofErr w:type="spellEnd"/>
      <w:r w:rsidRPr="00F06CE7">
        <w:rPr>
          <w:i/>
        </w:rPr>
        <w:t xml:space="preserve"> </w:t>
      </w:r>
      <w:proofErr w:type="spellStart"/>
      <w:r w:rsidRPr="00F06CE7">
        <w:rPr>
          <w:i/>
        </w:rPr>
        <w:t>Oncol</w:t>
      </w:r>
      <w:proofErr w:type="spellEnd"/>
      <w:r>
        <w:t xml:space="preserve"> 2009;27</w:t>
      </w:r>
      <w:r w:rsidRPr="00F06CE7">
        <w:t>:2823-</w:t>
      </w:r>
      <w:r>
        <w:t>28</w:t>
      </w:r>
      <w:r w:rsidRPr="00F06CE7">
        <w:t>30.</w:t>
      </w:r>
    </w:p>
  </w:footnote>
  <w:footnote w:id="57">
    <w:p w:rsidR="006E184D" w:rsidRPr="006207A9" w:rsidRDefault="006E184D">
      <w:pPr>
        <w:pStyle w:val="FootnoteText"/>
        <w:rPr>
          <w:lang w:val="en-US"/>
        </w:rPr>
      </w:pPr>
      <w:r>
        <w:rPr>
          <w:rStyle w:val="FootnoteReference"/>
        </w:rPr>
        <w:footnoteRef/>
      </w:r>
      <w:r>
        <w:t xml:space="preserve"> </w:t>
      </w:r>
      <w:r>
        <w:rPr>
          <w:lang w:val="en-US"/>
        </w:rPr>
        <w:t xml:space="preserve">Pregnancy Category X; </w:t>
      </w:r>
      <w:r w:rsidRPr="006207A9">
        <w:rPr>
          <w:i/>
        </w:rPr>
        <w:t>Drugs which have such a high risk of causing permanent damage to the fetus that they should not be used in pregnancy or when there is a possibility of pregnancy.</w:t>
      </w:r>
    </w:p>
  </w:footnote>
  <w:footnote w:id="58">
    <w:p w:rsidR="006E184D" w:rsidRDefault="006E184D" w:rsidP="00605493">
      <w:pPr>
        <w:pStyle w:val="FootnoteText"/>
      </w:pPr>
      <w:r>
        <w:rPr>
          <w:rStyle w:val="FootnoteReference"/>
        </w:rPr>
        <w:footnoteRef/>
      </w:r>
      <w:r>
        <w:t xml:space="preserve"> The FDA Cross-Disciplinary Review states 82% M1c, after review of further information.</w:t>
      </w:r>
    </w:p>
  </w:footnote>
  <w:footnote w:id="59">
    <w:p w:rsidR="006E184D" w:rsidRPr="008D45F3" w:rsidRDefault="006E184D" w:rsidP="008D45F3">
      <w:pPr>
        <w:pStyle w:val="FootnoteText"/>
        <w:rPr>
          <w:lang w:val="en-US"/>
        </w:rPr>
      </w:pPr>
      <w:r>
        <w:rPr>
          <w:rStyle w:val="FootnoteReference"/>
        </w:rPr>
        <w:footnoteRef/>
      </w:r>
      <w:r>
        <w:t xml:space="preserve"> </w:t>
      </w:r>
      <w:r w:rsidRPr="00E26B1C">
        <w:t xml:space="preserve">Robert C </w:t>
      </w:r>
      <w:r>
        <w:t xml:space="preserve">et al. </w:t>
      </w:r>
      <w:r w:rsidRPr="00E26B1C">
        <w:t>Anti-programmed-death-receptor-1 treatment with pembrolizumab in ipilimumab-refractory advanced melanoma: a randomised dose-compari</w:t>
      </w:r>
      <w:r>
        <w:t xml:space="preserve">son cohort of a phase 1 trial. </w:t>
      </w:r>
      <w:r w:rsidRPr="008D45F3">
        <w:rPr>
          <w:i/>
        </w:rPr>
        <w:t xml:space="preserve">Lancet </w:t>
      </w:r>
      <w:r w:rsidRPr="00E26B1C">
        <w:t>2014; 384: 1109-</w:t>
      </w:r>
      <w:r>
        <w:t>11</w:t>
      </w:r>
      <w:r w:rsidRPr="00E26B1C">
        <w:t>17</w:t>
      </w:r>
    </w:p>
  </w:footnote>
  <w:footnote w:id="60">
    <w:p w:rsidR="006E184D" w:rsidRPr="00C22866" w:rsidRDefault="006E184D" w:rsidP="008D45F3">
      <w:pPr>
        <w:pStyle w:val="FootnoteText"/>
      </w:pPr>
      <w:r>
        <w:rPr>
          <w:rStyle w:val="FootnoteReference"/>
        </w:rPr>
        <w:footnoteRef/>
      </w:r>
      <w:r>
        <w:t xml:space="preserve"> </w:t>
      </w:r>
      <w:proofErr w:type="gramStart"/>
      <w:r>
        <w:t xml:space="preserve">Robert C et al. </w:t>
      </w:r>
      <w:r w:rsidRPr="00E26B1C">
        <w:t xml:space="preserve">Nivolumab in previously untreated </w:t>
      </w:r>
      <w:r>
        <w:t>melanoma without BRAF mutation.</w:t>
      </w:r>
      <w:proofErr w:type="gramEnd"/>
      <w:r w:rsidRPr="00E26B1C">
        <w:t xml:space="preserve"> </w:t>
      </w:r>
      <w:r w:rsidRPr="008D45F3">
        <w:rPr>
          <w:i/>
        </w:rPr>
        <w:t>NEJM</w:t>
      </w:r>
      <w:r>
        <w:t xml:space="preserve"> 2014; </w:t>
      </w:r>
    </w:p>
  </w:footnote>
  <w:footnote w:id="61">
    <w:p w:rsidR="006E184D" w:rsidRPr="00C22866" w:rsidRDefault="006E184D">
      <w:pPr>
        <w:pStyle w:val="FootnoteText"/>
        <w:rPr>
          <w:lang w:val="en-US"/>
        </w:rPr>
      </w:pPr>
      <w:r>
        <w:rPr>
          <w:rStyle w:val="FootnoteReference"/>
        </w:rPr>
        <w:footnoteRef/>
      </w:r>
      <w:r>
        <w:t xml:space="preserve"> </w:t>
      </w:r>
      <w:proofErr w:type="gramStart"/>
      <w:r w:rsidRPr="00C22866">
        <w:t>Chapman P et al. Improved survival with vemurafenib in melanoma with BRAF V600E mutation.</w:t>
      </w:r>
      <w:proofErr w:type="gramEnd"/>
      <w:r w:rsidRPr="00C22866">
        <w:t xml:space="preserve"> NEJM 2011; 364 (26): 2507-2516</w:t>
      </w:r>
    </w:p>
  </w:footnote>
  <w:footnote w:id="62">
    <w:p w:rsidR="006E184D" w:rsidRPr="00C22866" w:rsidRDefault="006E184D">
      <w:pPr>
        <w:pStyle w:val="FootnoteText"/>
        <w:rPr>
          <w:lang w:val="en-US"/>
        </w:rPr>
      </w:pPr>
      <w:r>
        <w:rPr>
          <w:rStyle w:val="FootnoteReference"/>
        </w:rPr>
        <w:footnoteRef/>
      </w:r>
      <w:r>
        <w:t xml:space="preserve"> </w:t>
      </w:r>
      <w:proofErr w:type="gramStart"/>
      <w:r w:rsidRPr="00C22866">
        <w:t xml:space="preserve">Larkin J et al. Combined </w:t>
      </w:r>
      <w:proofErr w:type="spellStart"/>
      <w:r w:rsidRPr="00C22866">
        <w:t>vemurafenib</w:t>
      </w:r>
      <w:proofErr w:type="spellEnd"/>
      <w:r w:rsidRPr="00C22866">
        <w:t xml:space="preserve"> and </w:t>
      </w:r>
      <w:proofErr w:type="spellStart"/>
      <w:r w:rsidRPr="00C22866">
        <w:t>cobimetinib</w:t>
      </w:r>
      <w:proofErr w:type="spellEnd"/>
      <w:r w:rsidRPr="00C22866">
        <w:t xml:space="preserve"> in BRAF-mutated melanoma.</w:t>
      </w:r>
      <w:proofErr w:type="gramEnd"/>
      <w:r w:rsidRPr="00C22866">
        <w:t xml:space="preserve"> </w:t>
      </w:r>
      <w:r w:rsidRPr="00C22866">
        <w:rPr>
          <w:i/>
        </w:rPr>
        <w:t xml:space="preserve">NEJM </w:t>
      </w:r>
      <w:r w:rsidRPr="00C22866">
        <w:t>2014; 371: 1867-1876.</w:t>
      </w:r>
    </w:p>
  </w:footnote>
  <w:footnote w:id="63">
    <w:p w:rsidR="006E184D" w:rsidRPr="008D45F3" w:rsidRDefault="006E184D" w:rsidP="008D45F3">
      <w:pPr>
        <w:tabs>
          <w:tab w:val="left" w:pos="1418"/>
          <w:tab w:val="right" w:pos="7088"/>
        </w:tabs>
        <w:spacing w:beforeLines="60" w:before="144" w:afterLines="60" w:after="144" w:line="240" w:lineRule="auto"/>
        <w:rPr>
          <w:rStyle w:val="FootnoteTextChar"/>
        </w:rPr>
      </w:pPr>
      <w:r>
        <w:rPr>
          <w:rStyle w:val="FootnoteReference"/>
        </w:rPr>
        <w:footnoteRef/>
      </w:r>
      <w:r>
        <w:t xml:space="preserve"> </w:t>
      </w:r>
      <w:proofErr w:type="spellStart"/>
      <w:r>
        <w:rPr>
          <w:rStyle w:val="FootnoteTextChar"/>
        </w:rPr>
        <w:t>Wolchok</w:t>
      </w:r>
      <w:proofErr w:type="spellEnd"/>
      <w:r>
        <w:rPr>
          <w:rStyle w:val="FootnoteTextChar"/>
        </w:rPr>
        <w:t xml:space="preserve"> J et al. </w:t>
      </w:r>
      <w:r w:rsidRPr="008D45F3">
        <w:rPr>
          <w:rStyle w:val="FootnoteTextChar"/>
        </w:rPr>
        <w:t>Guidelines for the evaluation of immune therapy activity in solid tumours: im</w:t>
      </w:r>
      <w:r>
        <w:rPr>
          <w:rStyle w:val="FootnoteTextChar"/>
        </w:rPr>
        <w:t>mune-related response criteria.</w:t>
      </w:r>
      <w:r w:rsidRPr="008D45F3">
        <w:rPr>
          <w:rStyle w:val="FootnoteTextChar"/>
        </w:rPr>
        <w:t xml:space="preserve"> </w:t>
      </w:r>
      <w:proofErr w:type="spellStart"/>
      <w:r w:rsidRPr="008D45F3">
        <w:rPr>
          <w:rStyle w:val="FootnoteTextChar"/>
          <w:i/>
        </w:rPr>
        <w:t>Clin</w:t>
      </w:r>
      <w:proofErr w:type="spellEnd"/>
      <w:r w:rsidRPr="008D45F3">
        <w:rPr>
          <w:rStyle w:val="FootnoteTextChar"/>
          <w:i/>
        </w:rPr>
        <w:t xml:space="preserve"> Cancer Res</w:t>
      </w:r>
      <w:r>
        <w:rPr>
          <w:rStyle w:val="FootnoteTextChar"/>
        </w:rPr>
        <w:t xml:space="preserve"> 2009; 15</w:t>
      </w:r>
      <w:r w:rsidRPr="008D45F3">
        <w:rPr>
          <w:rStyle w:val="FootnoteTextChar"/>
        </w:rPr>
        <w:t>: 7412-</w:t>
      </w:r>
      <w:r>
        <w:rPr>
          <w:rStyle w:val="FootnoteTextChar"/>
        </w:rPr>
        <w:t>74</w:t>
      </w:r>
      <w:r w:rsidRPr="008D45F3">
        <w:rPr>
          <w:rStyle w:val="FootnoteTextChar"/>
        </w:rPr>
        <w:t>20</w:t>
      </w:r>
    </w:p>
    <w:p w:rsidR="006E184D" w:rsidRPr="008D45F3" w:rsidRDefault="006E184D">
      <w:pPr>
        <w:pStyle w:val="FootnoteText"/>
        <w:rPr>
          <w:lang w:val="en-US"/>
        </w:rPr>
      </w:pPr>
    </w:p>
  </w:footnote>
  <w:footnote w:id="64">
    <w:p w:rsidR="006E184D" w:rsidRPr="00752748" w:rsidRDefault="006E184D" w:rsidP="00BB6D45">
      <w:pPr>
        <w:pStyle w:val="FootnoteText"/>
      </w:pPr>
      <w:r>
        <w:rPr>
          <w:rStyle w:val="FootnoteReference"/>
        </w:rPr>
        <w:footnoteRef/>
      </w:r>
      <w:r>
        <w:t xml:space="preserve"> That is, within the pooled analysis of the verification set and validation set, those subjects with a PD-L1 score </w:t>
      </w:r>
      <w:r>
        <w:rPr>
          <w:i/>
        </w:rPr>
        <w:t>and</w:t>
      </w:r>
      <w:r>
        <w:t xml:space="preserve"> one measurable lesion at baseline (“PD-L1 evaluable FAS population”)</w:t>
      </w:r>
    </w:p>
  </w:footnote>
  <w:footnote w:id="65">
    <w:p w:rsidR="006E184D" w:rsidRDefault="006E184D" w:rsidP="00BB6D45">
      <w:pPr>
        <w:pStyle w:val="FootnoteText"/>
      </w:pPr>
      <w:r>
        <w:rPr>
          <w:rStyle w:val="FootnoteReference"/>
        </w:rPr>
        <w:footnoteRef/>
      </w:r>
      <w:r>
        <w:t xml:space="preserve"> Sponsor’s response page 11/45 indicates 6/62 PD-L1 negative patients in B1+B2+D were responders; 5/6 had not progressed at time of the 18 April 2014 cut off analysis</w:t>
      </w:r>
    </w:p>
  </w:footnote>
  <w:footnote w:id="66">
    <w:p w:rsidR="006E184D" w:rsidRPr="001E1CF4" w:rsidRDefault="006E184D">
      <w:pPr>
        <w:pStyle w:val="FootnoteText"/>
        <w:rPr>
          <w:lang w:val="en-US"/>
        </w:rPr>
      </w:pPr>
      <w:r>
        <w:rPr>
          <w:rStyle w:val="FootnoteReference"/>
        </w:rPr>
        <w:footnoteRef/>
      </w:r>
      <w:r>
        <w:t xml:space="preserve"> </w:t>
      </w:r>
      <w:r>
        <w:rPr>
          <w:lang w:val="en-US"/>
        </w:rPr>
        <w:t xml:space="preserve">M1c is defined as </w:t>
      </w:r>
      <w:r>
        <w:t>metastases to all other visceral sites or distant metastases to any site combined with an elevated serum LDH level</w:t>
      </w:r>
    </w:p>
  </w:footnote>
  <w:footnote w:id="67">
    <w:p w:rsidR="006E184D" w:rsidRPr="00927B0E" w:rsidRDefault="006E184D">
      <w:pPr>
        <w:pStyle w:val="FootnoteText"/>
        <w:rPr>
          <w:lang w:val="en-US"/>
        </w:rPr>
      </w:pPr>
      <w:r>
        <w:rPr>
          <w:rStyle w:val="FootnoteReference"/>
        </w:rPr>
        <w:footnoteRef/>
      </w:r>
      <w:r>
        <w:t xml:space="preserve"> </w:t>
      </w:r>
      <w:r w:rsidRPr="002A3A8E">
        <w:t>ICH Topic E10: Choice of Control Groups in Clinical Trials</w:t>
      </w:r>
    </w:p>
  </w:footnote>
  <w:footnote w:id="68">
    <w:p w:rsidR="006E184D" w:rsidRDefault="006E184D" w:rsidP="002A3A8E">
      <w:pPr>
        <w:pStyle w:val="FootnoteText"/>
      </w:pPr>
      <w:r>
        <w:rPr>
          <w:rStyle w:val="FootnoteReference"/>
        </w:rPr>
        <w:footnoteRef/>
      </w:r>
      <w:r>
        <w:t xml:space="preserve"> </w:t>
      </w:r>
      <w:r w:rsidRPr="00F7619D">
        <w:t>pbs.gov.au/info/industry/listing/elements/pbac-meetings/psd/2012-11/ipilimumab</w:t>
      </w:r>
    </w:p>
  </w:footnote>
  <w:footnote w:id="69">
    <w:p w:rsidR="006E184D" w:rsidRPr="00664144" w:rsidRDefault="006E184D">
      <w:pPr>
        <w:pStyle w:val="FootnoteText"/>
        <w:rPr>
          <w:lang w:val="en-US"/>
        </w:rPr>
      </w:pPr>
      <w:r>
        <w:rPr>
          <w:rStyle w:val="FootnoteReference"/>
        </w:rPr>
        <w:footnoteRef/>
      </w:r>
      <w:r>
        <w:t xml:space="preserve"> </w:t>
      </w:r>
      <w:r>
        <w:rPr>
          <w:rFonts w:asciiTheme="minorHAnsi" w:hAnsiTheme="minorHAnsi"/>
          <w:szCs w:val="22"/>
        </w:rPr>
        <w:t xml:space="preserve">Menzies </w:t>
      </w:r>
      <w:proofErr w:type="gramStart"/>
      <w:r>
        <w:rPr>
          <w:rFonts w:asciiTheme="minorHAnsi" w:hAnsiTheme="minorHAnsi"/>
          <w:szCs w:val="22"/>
        </w:rPr>
        <w:t>A</w:t>
      </w:r>
      <w:proofErr w:type="gramEnd"/>
      <w:r>
        <w:rPr>
          <w:rFonts w:asciiTheme="minorHAnsi" w:hAnsiTheme="minorHAnsi"/>
          <w:szCs w:val="22"/>
        </w:rPr>
        <w:t xml:space="preserve"> et al. Distinguishing </w:t>
      </w:r>
      <w:proofErr w:type="spellStart"/>
      <w:r>
        <w:rPr>
          <w:rFonts w:asciiTheme="minorHAnsi" w:hAnsiTheme="minorHAnsi"/>
          <w:szCs w:val="22"/>
        </w:rPr>
        <w:t>clinicopathologic</w:t>
      </w:r>
      <w:proofErr w:type="spellEnd"/>
      <w:r>
        <w:rPr>
          <w:rFonts w:asciiTheme="minorHAnsi" w:hAnsiTheme="minorHAnsi"/>
          <w:szCs w:val="22"/>
        </w:rPr>
        <w:t xml:space="preserve"> features of patients with C600E and V600K BRAF-mutant metastatic melanoma. </w:t>
      </w:r>
      <w:proofErr w:type="spellStart"/>
      <w:r w:rsidRPr="00664144">
        <w:rPr>
          <w:rFonts w:asciiTheme="minorHAnsi" w:hAnsiTheme="minorHAnsi"/>
          <w:i/>
          <w:szCs w:val="22"/>
        </w:rPr>
        <w:t>Clin</w:t>
      </w:r>
      <w:proofErr w:type="spellEnd"/>
      <w:r w:rsidRPr="00664144">
        <w:rPr>
          <w:rFonts w:asciiTheme="minorHAnsi" w:hAnsiTheme="minorHAnsi"/>
          <w:i/>
          <w:szCs w:val="22"/>
        </w:rPr>
        <w:t xml:space="preserve"> Cancer Res</w:t>
      </w:r>
      <w:r>
        <w:rPr>
          <w:rFonts w:asciiTheme="minorHAnsi" w:hAnsiTheme="minorHAnsi"/>
          <w:szCs w:val="22"/>
        </w:rPr>
        <w:t xml:space="preserve"> 2012; 18: 3242 3249</w:t>
      </w:r>
    </w:p>
  </w:footnote>
  <w:footnote w:id="70">
    <w:p w:rsidR="006E184D" w:rsidRPr="00664144" w:rsidRDefault="006E184D">
      <w:pPr>
        <w:pStyle w:val="FootnoteText"/>
        <w:rPr>
          <w:lang w:val="en-US"/>
        </w:rPr>
      </w:pPr>
      <w:r>
        <w:rPr>
          <w:rStyle w:val="FootnoteReference"/>
        </w:rPr>
        <w:footnoteRef/>
      </w:r>
      <w:r>
        <w:t xml:space="preserve"> </w:t>
      </w:r>
      <w:proofErr w:type="spellStart"/>
      <w:r>
        <w:rPr>
          <w:rFonts w:asciiTheme="minorHAnsi" w:hAnsiTheme="minorHAnsi"/>
          <w:szCs w:val="22"/>
        </w:rPr>
        <w:t>Carlino</w:t>
      </w:r>
      <w:proofErr w:type="spellEnd"/>
      <w:r>
        <w:rPr>
          <w:rFonts w:asciiTheme="minorHAnsi" w:hAnsiTheme="minorHAnsi"/>
          <w:szCs w:val="22"/>
        </w:rPr>
        <w:t xml:space="preserve"> M et al. Correlation of BRAF and NRAS mutation status with outcome, site of distant metastasis and response to chemotherapy in metastatic melanoma. </w:t>
      </w:r>
      <w:r w:rsidRPr="00664144">
        <w:rPr>
          <w:rFonts w:asciiTheme="minorHAnsi" w:hAnsiTheme="minorHAnsi"/>
          <w:i/>
          <w:szCs w:val="22"/>
        </w:rPr>
        <w:t>Br J Cancer</w:t>
      </w:r>
      <w:r>
        <w:rPr>
          <w:rFonts w:asciiTheme="minorHAnsi" w:hAnsiTheme="minorHAnsi"/>
          <w:szCs w:val="22"/>
        </w:rPr>
        <w:t xml:space="preserve"> 2014; 111: 292-299</w:t>
      </w:r>
    </w:p>
  </w:footnote>
  <w:footnote w:id="71">
    <w:p w:rsidR="006E184D" w:rsidRPr="009738B2" w:rsidRDefault="006E184D">
      <w:pPr>
        <w:pStyle w:val="FootnoteText"/>
        <w:rPr>
          <w:lang w:val="en-US"/>
        </w:rPr>
      </w:pPr>
      <w:r>
        <w:rPr>
          <w:rStyle w:val="FootnoteReference"/>
        </w:rPr>
        <w:footnoteRef/>
      </w:r>
      <w:r>
        <w:t xml:space="preserve"> </w:t>
      </w:r>
      <w:proofErr w:type="gramStart"/>
      <w:r w:rsidRPr="00E26B1C">
        <w:rPr>
          <w:rFonts w:asciiTheme="minorHAnsi" w:hAnsiTheme="minorHAnsi"/>
          <w:szCs w:val="22"/>
        </w:rPr>
        <w:t xml:space="preserve">Larkin J et </w:t>
      </w:r>
      <w:r>
        <w:rPr>
          <w:rFonts w:asciiTheme="minorHAnsi" w:hAnsiTheme="minorHAnsi"/>
          <w:szCs w:val="22"/>
        </w:rPr>
        <w:t xml:space="preserve">al. </w:t>
      </w:r>
      <w:r w:rsidRPr="00E26B1C">
        <w:rPr>
          <w:rFonts w:asciiTheme="minorHAnsi" w:hAnsiTheme="minorHAnsi"/>
          <w:szCs w:val="22"/>
        </w:rPr>
        <w:t xml:space="preserve">Combined </w:t>
      </w:r>
      <w:proofErr w:type="spellStart"/>
      <w:r w:rsidRPr="00E26B1C">
        <w:rPr>
          <w:rFonts w:asciiTheme="minorHAnsi" w:hAnsiTheme="minorHAnsi"/>
          <w:szCs w:val="22"/>
        </w:rPr>
        <w:t>vemurafenib</w:t>
      </w:r>
      <w:proofErr w:type="spellEnd"/>
      <w:r w:rsidRPr="00E26B1C">
        <w:rPr>
          <w:rFonts w:asciiTheme="minorHAnsi" w:hAnsiTheme="minorHAnsi"/>
          <w:szCs w:val="22"/>
        </w:rPr>
        <w:t xml:space="preserve"> and </w:t>
      </w:r>
      <w:proofErr w:type="spellStart"/>
      <w:r w:rsidRPr="00E26B1C">
        <w:rPr>
          <w:rFonts w:asciiTheme="minorHAnsi" w:hAnsiTheme="minorHAnsi"/>
          <w:szCs w:val="22"/>
        </w:rPr>
        <w:t>cobimet</w:t>
      </w:r>
      <w:r>
        <w:rPr>
          <w:rFonts w:asciiTheme="minorHAnsi" w:hAnsiTheme="minorHAnsi"/>
          <w:szCs w:val="22"/>
        </w:rPr>
        <w:t>inib</w:t>
      </w:r>
      <w:proofErr w:type="spellEnd"/>
      <w:r>
        <w:rPr>
          <w:rFonts w:asciiTheme="minorHAnsi" w:hAnsiTheme="minorHAnsi"/>
          <w:szCs w:val="22"/>
        </w:rPr>
        <w:t xml:space="preserve"> in BRAF-mutated melanoma.</w:t>
      </w:r>
      <w:proofErr w:type="gramEnd"/>
      <w:r>
        <w:rPr>
          <w:rFonts w:asciiTheme="minorHAnsi" w:hAnsiTheme="minorHAnsi"/>
          <w:szCs w:val="22"/>
        </w:rPr>
        <w:t xml:space="preserve"> </w:t>
      </w:r>
      <w:r w:rsidRPr="009738B2">
        <w:rPr>
          <w:rFonts w:asciiTheme="minorHAnsi" w:hAnsiTheme="minorHAnsi"/>
          <w:i/>
          <w:szCs w:val="22"/>
        </w:rPr>
        <w:t>NEJM</w:t>
      </w:r>
      <w:r w:rsidRPr="00E26B1C">
        <w:rPr>
          <w:rFonts w:asciiTheme="minorHAnsi" w:hAnsiTheme="minorHAnsi"/>
          <w:szCs w:val="22"/>
        </w:rPr>
        <w:t xml:space="preserve"> 2014; 371: 1867-1876</w:t>
      </w:r>
    </w:p>
  </w:footnote>
  <w:footnote w:id="72">
    <w:p w:rsidR="006E184D" w:rsidRDefault="006E184D" w:rsidP="00C57D2B">
      <w:pPr>
        <w:pStyle w:val="FootnoteText"/>
      </w:pPr>
      <w:r>
        <w:rPr>
          <w:rStyle w:val="FootnoteReference"/>
        </w:rPr>
        <w:footnoteRef/>
      </w:r>
      <w:r>
        <w:t xml:space="preserve"> One report each of hyperglycaemia; insulin-resistant diabetes; and type 1 diabetes</w:t>
      </w:r>
    </w:p>
  </w:footnote>
  <w:footnote w:id="73">
    <w:p w:rsidR="006E184D" w:rsidRPr="00417AA6" w:rsidRDefault="006E184D">
      <w:pPr>
        <w:pStyle w:val="FootnoteText"/>
        <w:rPr>
          <w:lang w:val="en-US"/>
        </w:rPr>
      </w:pPr>
      <w:r>
        <w:rPr>
          <w:rStyle w:val="FootnoteReference"/>
        </w:rPr>
        <w:footnoteRef/>
      </w:r>
      <w:r>
        <w:t xml:space="preserve"> </w:t>
      </w:r>
      <w:proofErr w:type="spellStart"/>
      <w:r>
        <w:rPr>
          <w:rFonts w:asciiTheme="minorHAnsi" w:hAnsiTheme="minorHAnsi"/>
          <w:szCs w:val="22"/>
        </w:rPr>
        <w:t>Teulings</w:t>
      </w:r>
      <w:proofErr w:type="spellEnd"/>
      <w:r>
        <w:rPr>
          <w:rFonts w:asciiTheme="minorHAnsi" w:hAnsiTheme="minorHAnsi"/>
          <w:szCs w:val="22"/>
        </w:rPr>
        <w:t xml:space="preserve"> H et al.</w:t>
      </w:r>
      <w:r w:rsidRPr="00E26B1C">
        <w:rPr>
          <w:rFonts w:asciiTheme="minorHAnsi" w:hAnsiTheme="minorHAnsi"/>
          <w:szCs w:val="22"/>
        </w:rPr>
        <w:t xml:space="preserve"> Vitiligo-like depigmentation in patients with Stage III-IV melanoma receiving immunotherapy and its association with survival: a systematic review and meta-analysis. </w:t>
      </w:r>
      <w:r w:rsidRPr="00417AA6">
        <w:rPr>
          <w:rFonts w:asciiTheme="minorHAnsi" w:hAnsiTheme="minorHAnsi"/>
          <w:i/>
          <w:szCs w:val="22"/>
        </w:rPr>
        <w:t>JCO</w:t>
      </w:r>
      <w:r w:rsidRPr="00E26B1C">
        <w:rPr>
          <w:rFonts w:asciiTheme="minorHAnsi" w:hAnsiTheme="minorHAnsi"/>
          <w:szCs w:val="22"/>
        </w:rPr>
        <w:t xml:space="preserve"> online January 20, 2015</w:t>
      </w:r>
    </w:p>
  </w:footnote>
  <w:footnote w:id="74">
    <w:p w:rsidR="006E184D" w:rsidRPr="00E05E08" w:rsidRDefault="006E184D">
      <w:pPr>
        <w:pStyle w:val="FootnoteText"/>
        <w:rPr>
          <w:lang w:val="en-US"/>
        </w:rPr>
      </w:pPr>
      <w:r>
        <w:rPr>
          <w:rStyle w:val="FootnoteReference"/>
        </w:rPr>
        <w:footnoteRef/>
      </w:r>
      <w:r>
        <w:t xml:space="preserve"> </w:t>
      </w:r>
      <w:proofErr w:type="spellStart"/>
      <w:r w:rsidRPr="00E26B1C">
        <w:rPr>
          <w:rFonts w:asciiTheme="minorHAnsi" w:hAnsiTheme="minorHAnsi"/>
          <w:szCs w:val="22"/>
        </w:rPr>
        <w:t>Ascierto</w:t>
      </w:r>
      <w:proofErr w:type="spellEnd"/>
      <w:r>
        <w:rPr>
          <w:rFonts w:asciiTheme="minorHAnsi" w:hAnsiTheme="minorHAnsi"/>
          <w:szCs w:val="22"/>
        </w:rPr>
        <w:t xml:space="preserve"> P et al. </w:t>
      </w:r>
      <w:r w:rsidRPr="00E26B1C">
        <w:rPr>
          <w:rFonts w:asciiTheme="minorHAnsi" w:hAnsiTheme="minorHAnsi"/>
          <w:szCs w:val="22"/>
        </w:rPr>
        <w:t>Clinical experience with ipilimumab 3 mg/kg: real-world efficacy and safety data from an exp</w:t>
      </w:r>
      <w:r>
        <w:rPr>
          <w:rFonts w:asciiTheme="minorHAnsi" w:hAnsiTheme="minorHAnsi"/>
          <w:szCs w:val="22"/>
        </w:rPr>
        <w:t xml:space="preserve">anded access programme cohort. </w:t>
      </w:r>
      <w:r w:rsidRPr="00E05E08">
        <w:rPr>
          <w:rFonts w:asciiTheme="minorHAnsi" w:hAnsiTheme="minorHAnsi"/>
          <w:i/>
          <w:szCs w:val="22"/>
        </w:rPr>
        <w:t>J Translational Medicine</w:t>
      </w:r>
      <w:r w:rsidRPr="00E26B1C">
        <w:rPr>
          <w:rFonts w:asciiTheme="minorHAnsi" w:hAnsiTheme="minorHAnsi"/>
          <w:szCs w:val="22"/>
        </w:rPr>
        <w:t xml:space="preserve"> 2014; 12: 116</w:t>
      </w:r>
    </w:p>
  </w:footnote>
  <w:footnote w:id="75">
    <w:p w:rsidR="006E184D" w:rsidRPr="00F12BA2" w:rsidRDefault="006E184D">
      <w:pPr>
        <w:pStyle w:val="FootnoteText"/>
        <w:rPr>
          <w:lang w:val="en-US"/>
        </w:rPr>
      </w:pPr>
      <w:r>
        <w:rPr>
          <w:rStyle w:val="FootnoteReference"/>
        </w:rPr>
        <w:footnoteRef/>
      </w:r>
      <w:r>
        <w:t xml:space="preserve"> </w:t>
      </w:r>
      <w:proofErr w:type="gramStart"/>
      <w:r>
        <w:rPr>
          <w:lang w:val="en-US"/>
        </w:rPr>
        <w:t>Alexander M et al. Ipilimumab in pretreated patients with unresectable or metastatic cutaneous, uveal and mucosal melanoma</w:t>
      </w:r>
      <w:r w:rsidRPr="001F725A">
        <w:rPr>
          <w:i/>
          <w:lang w:val="en-US"/>
        </w:rPr>
        <w:t>.</w:t>
      </w:r>
      <w:proofErr w:type="gramEnd"/>
      <w:r w:rsidRPr="001F725A">
        <w:rPr>
          <w:i/>
          <w:lang w:val="en-US"/>
        </w:rPr>
        <w:t xml:space="preserve"> MJA</w:t>
      </w:r>
      <w:r>
        <w:rPr>
          <w:lang w:val="en-US"/>
        </w:rPr>
        <w:t xml:space="preserve"> 2014; 201: 49-53.</w:t>
      </w:r>
    </w:p>
  </w:footnote>
  <w:footnote w:id="76">
    <w:p w:rsidR="006E184D" w:rsidRPr="00881CA7" w:rsidRDefault="006E184D">
      <w:pPr>
        <w:pStyle w:val="FootnoteText"/>
        <w:rPr>
          <w:lang w:val="en-US"/>
        </w:rPr>
      </w:pPr>
      <w:r>
        <w:rPr>
          <w:rStyle w:val="FootnoteReference"/>
        </w:rPr>
        <w:footnoteRef/>
      </w:r>
      <w:r>
        <w:t xml:space="preserve"> </w:t>
      </w:r>
      <w:proofErr w:type="spellStart"/>
      <w:r w:rsidRPr="00881CA7">
        <w:t>Gyorki</w:t>
      </w:r>
      <w:proofErr w:type="spellEnd"/>
      <w:r w:rsidRPr="00881CA7">
        <w:t xml:space="preserve"> </w:t>
      </w:r>
      <w:r>
        <w:t xml:space="preserve">D et al. </w:t>
      </w:r>
      <w:proofErr w:type="gramStart"/>
      <w:r w:rsidRPr="00881CA7">
        <w:t>The delicate bal</w:t>
      </w:r>
      <w:r>
        <w:t>ance of melanoma immunotherapy.</w:t>
      </w:r>
      <w:proofErr w:type="gramEnd"/>
      <w:r w:rsidRPr="00881CA7">
        <w:t xml:space="preserve"> </w:t>
      </w:r>
      <w:proofErr w:type="gramStart"/>
      <w:r w:rsidRPr="00881CA7">
        <w:rPr>
          <w:i/>
        </w:rPr>
        <w:t>Clinical &amp; Translational Immunology</w:t>
      </w:r>
      <w:r>
        <w:t>.</w:t>
      </w:r>
      <w:proofErr w:type="gramEnd"/>
      <w:r>
        <w:t xml:space="preserve"> </w:t>
      </w:r>
      <w:r w:rsidRPr="00881CA7">
        <w:t>2013; 2: e5</w:t>
      </w:r>
    </w:p>
  </w:footnote>
  <w:footnote w:id="77">
    <w:p w:rsidR="006E184D" w:rsidRPr="00A16E1F" w:rsidRDefault="006E184D" w:rsidP="00A34193">
      <w:r>
        <w:rPr>
          <w:rStyle w:val="FootnoteReference"/>
        </w:rPr>
        <w:footnoteRef/>
      </w:r>
      <w:r>
        <w:t xml:space="preserve"> </w:t>
      </w:r>
      <w:proofErr w:type="gramStart"/>
      <w:r w:rsidRPr="00AE3746">
        <w:rPr>
          <w:rStyle w:val="FootnoteTextChar"/>
        </w:rPr>
        <w:t>Chapman PB et al. Improved survival with vemurafenib in melanoma with BRAF V600E mutation.</w:t>
      </w:r>
      <w:proofErr w:type="gramEnd"/>
      <w:r w:rsidRPr="00AE3746">
        <w:rPr>
          <w:rStyle w:val="FootnoteTextChar"/>
        </w:rPr>
        <w:t xml:space="preserve"> </w:t>
      </w:r>
      <w:r w:rsidRPr="00AE3746">
        <w:rPr>
          <w:rStyle w:val="FootnoteTextChar"/>
          <w:i/>
        </w:rPr>
        <w:t xml:space="preserve">N </w:t>
      </w:r>
      <w:proofErr w:type="spellStart"/>
      <w:r w:rsidRPr="00AE3746">
        <w:rPr>
          <w:rStyle w:val="FootnoteTextChar"/>
          <w:i/>
        </w:rPr>
        <w:t>Engl</w:t>
      </w:r>
      <w:proofErr w:type="spellEnd"/>
      <w:r w:rsidRPr="00AE3746">
        <w:rPr>
          <w:rStyle w:val="FootnoteTextChar"/>
          <w:i/>
        </w:rPr>
        <w:t xml:space="preserve"> J Med </w:t>
      </w:r>
      <w:r w:rsidRPr="00AE3746">
        <w:rPr>
          <w:rStyle w:val="FootnoteTextChar"/>
        </w:rPr>
        <w:t>2011: 364:2507-2516.</w:t>
      </w:r>
    </w:p>
    <w:p w:rsidR="006E184D" w:rsidRPr="00A34193" w:rsidRDefault="006E184D">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pPr>
      <w:rPr>
        <w:noProof/>
        <w:lang w:eastAsia="en-AU"/>
      </w:rPr>
    </w:pPr>
    <w:r w:rsidRPr="00347824">
      <w:rPr>
        <w:noProof/>
        <w:lang w:eastAsia="en-AU"/>
      </w:rPr>
      <w:drawing>
        <wp:anchor distT="0" distB="0" distL="114300" distR="114300" simplePos="0" relativeHeight="251659264" behindDoc="1" locked="0" layoutInCell="1" allowOverlap="1" wp14:anchorId="112D0086" wp14:editId="0679E202">
          <wp:simplePos x="0" y="0"/>
          <wp:positionH relativeFrom="column">
            <wp:posOffset>-1089660</wp:posOffset>
          </wp:positionH>
          <wp:positionV relativeFrom="paragraph">
            <wp:posOffset>-585470</wp:posOffset>
          </wp:positionV>
          <wp:extent cx="7572375" cy="10706100"/>
          <wp:effectExtent l="19050" t="0" r="0" b="0"/>
          <wp:wrapNone/>
          <wp:docPr id="5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E184D" w:rsidRDefault="006E184D" w:rsidP="00593AD1">
    <w:pPr>
      <w:pStyle w:val="HeaderNoLine"/>
    </w:pPr>
    <w:r>
      <w:rPr>
        <w:noProof/>
        <w:lang w:eastAsia="en-AU"/>
      </w:rPr>
      <w:drawing>
        <wp:inline distT="0" distB="0" distL="0" distR="0" wp14:anchorId="0CE02B97" wp14:editId="0EF4F090">
          <wp:extent cx="5400675" cy="7639050"/>
          <wp:effectExtent l="0" t="0" r="9525" b="0"/>
          <wp:docPr id="56" name="Picture 5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4D" w:rsidRDefault="006E184D" w:rsidP="006E08B3">
    <w:r>
      <w:t>Therapeutic Goods Administration</w:t>
    </w:r>
  </w:p>
  <w:p w:rsidR="006E184D" w:rsidRDefault="006E184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6041946"/>
    <w:multiLevelType w:val="hybridMultilevel"/>
    <w:tmpl w:val="9650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489B15D7"/>
    <w:multiLevelType w:val="hybridMultilevel"/>
    <w:tmpl w:val="9F8C67DA"/>
    <w:lvl w:ilvl="0" w:tplc="B352FA66">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6">
    <w:nsid w:val="73E0179C"/>
    <w:multiLevelType w:val="hybridMultilevel"/>
    <w:tmpl w:val="E43E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6"/>
  </w:num>
  <w:num w:numId="11">
    <w:abstractNumId w:val="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04B"/>
    <w:rsid w:val="00002031"/>
    <w:rsid w:val="00004734"/>
    <w:rsid w:val="00006B22"/>
    <w:rsid w:val="0001276A"/>
    <w:rsid w:val="00013DC5"/>
    <w:rsid w:val="000246AE"/>
    <w:rsid w:val="00025C67"/>
    <w:rsid w:val="0003098E"/>
    <w:rsid w:val="0004095A"/>
    <w:rsid w:val="00044772"/>
    <w:rsid w:val="000510CB"/>
    <w:rsid w:val="0005559E"/>
    <w:rsid w:val="000604D6"/>
    <w:rsid w:val="00065364"/>
    <w:rsid w:val="000734D8"/>
    <w:rsid w:val="00077775"/>
    <w:rsid w:val="00086F23"/>
    <w:rsid w:val="00090471"/>
    <w:rsid w:val="00095811"/>
    <w:rsid w:val="00096AA7"/>
    <w:rsid w:val="000A3AED"/>
    <w:rsid w:val="000B3532"/>
    <w:rsid w:val="000B3A75"/>
    <w:rsid w:val="000B5D4F"/>
    <w:rsid w:val="000C00C2"/>
    <w:rsid w:val="000C32A1"/>
    <w:rsid w:val="000C5AE4"/>
    <w:rsid w:val="000C690F"/>
    <w:rsid w:val="000D0563"/>
    <w:rsid w:val="000D1295"/>
    <w:rsid w:val="000D391B"/>
    <w:rsid w:val="000D3D6D"/>
    <w:rsid w:val="000D4ED0"/>
    <w:rsid w:val="000D4FC7"/>
    <w:rsid w:val="000D6716"/>
    <w:rsid w:val="000E38B4"/>
    <w:rsid w:val="000E6196"/>
    <w:rsid w:val="000F4869"/>
    <w:rsid w:val="000F5B42"/>
    <w:rsid w:val="000F6E6F"/>
    <w:rsid w:val="000F76F4"/>
    <w:rsid w:val="00100E03"/>
    <w:rsid w:val="0010601F"/>
    <w:rsid w:val="0010788A"/>
    <w:rsid w:val="00107A31"/>
    <w:rsid w:val="00110EA5"/>
    <w:rsid w:val="001114F3"/>
    <w:rsid w:val="00112F56"/>
    <w:rsid w:val="00113546"/>
    <w:rsid w:val="001142E0"/>
    <w:rsid w:val="001145D3"/>
    <w:rsid w:val="00125318"/>
    <w:rsid w:val="00126B2F"/>
    <w:rsid w:val="001305A2"/>
    <w:rsid w:val="00132BE6"/>
    <w:rsid w:val="00133238"/>
    <w:rsid w:val="00133A1B"/>
    <w:rsid w:val="0014197B"/>
    <w:rsid w:val="001447CD"/>
    <w:rsid w:val="00146F09"/>
    <w:rsid w:val="001516B1"/>
    <w:rsid w:val="00154EBB"/>
    <w:rsid w:val="0015565E"/>
    <w:rsid w:val="00156316"/>
    <w:rsid w:val="00161181"/>
    <w:rsid w:val="00162BAF"/>
    <w:rsid w:val="00162D14"/>
    <w:rsid w:val="00165389"/>
    <w:rsid w:val="0017193F"/>
    <w:rsid w:val="0017527B"/>
    <w:rsid w:val="0017693F"/>
    <w:rsid w:val="00177A85"/>
    <w:rsid w:val="0018110E"/>
    <w:rsid w:val="00181684"/>
    <w:rsid w:val="001843C6"/>
    <w:rsid w:val="001850E0"/>
    <w:rsid w:val="00185D72"/>
    <w:rsid w:val="001958CB"/>
    <w:rsid w:val="00196CF7"/>
    <w:rsid w:val="001A0421"/>
    <w:rsid w:val="001A0B0B"/>
    <w:rsid w:val="001A2158"/>
    <w:rsid w:val="001A525F"/>
    <w:rsid w:val="001A622E"/>
    <w:rsid w:val="001B09F9"/>
    <w:rsid w:val="001B38BD"/>
    <w:rsid w:val="001B5C90"/>
    <w:rsid w:val="001B6448"/>
    <w:rsid w:val="001C32CD"/>
    <w:rsid w:val="001D2984"/>
    <w:rsid w:val="001D4BB8"/>
    <w:rsid w:val="001E07CF"/>
    <w:rsid w:val="001E1CF4"/>
    <w:rsid w:val="001E59F1"/>
    <w:rsid w:val="001F2CEE"/>
    <w:rsid w:val="001F49EB"/>
    <w:rsid w:val="001F6CBA"/>
    <w:rsid w:val="001F725A"/>
    <w:rsid w:val="00201D4E"/>
    <w:rsid w:val="002076C9"/>
    <w:rsid w:val="00207B9D"/>
    <w:rsid w:val="0021425F"/>
    <w:rsid w:val="00220B8A"/>
    <w:rsid w:val="002257F3"/>
    <w:rsid w:val="00233456"/>
    <w:rsid w:val="002339A5"/>
    <w:rsid w:val="00250370"/>
    <w:rsid w:val="00257848"/>
    <w:rsid w:val="0026030D"/>
    <w:rsid w:val="00260892"/>
    <w:rsid w:val="00262D2D"/>
    <w:rsid w:val="0027084A"/>
    <w:rsid w:val="002832C6"/>
    <w:rsid w:val="00286434"/>
    <w:rsid w:val="00286C59"/>
    <w:rsid w:val="00291957"/>
    <w:rsid w:val="002942D1"/>
    <w:rsid w:val="0029501A"/>
    <w:rsid w:val="002A3721"/>
    <w:rsid w:val="002A3A8E"/>
    <w:rsid w:val="002B1638"/>
    <w:rsid w:val="002B3624"/>
    <w:rsid w:val="002C1B28"/>
    <w:rsid w:val="002D0952"/>
    <w:rsid w:val="002E40B3"/>
    <w:rsid w:val="002E4C9A"/>
    <w:rsid w:val="002E5229"/>
    <w:rsid w:val="002E600C"/>
    <w:rsid w:val="002F11F8"/>
    <w:rsid w:val="002F22C7"/>
    <w:rsid w:val="002F3F56"/>
    <w:rsid w:val="002F44B5"/>
    <w:rsid w:val="002F5E51"/>
    <w:rsid w:val="00311AC0"/>
    <w:rsid w:val="003176FC"/>
    <w:rsid w:val="00320007"/>
    <w:rsid w:val="0032583B"/>
    <w:rsid w:val="00327883"/>
    <w:rsid w:val="0033271B"/>
    <w:rsid w:val="003344DC"/>
    <w:rsid w:val="00335504"/>
    <w:rsid w:val="00340C18"/>
    <w:rsid w:val="003442FD"/>
    <w:rsid w:val="0034465F"/>
    <w:rsid w:val="00347824"/>
    <w:rsid w:val="00350567"/>
    <w:rsid w:val="003521E8"/>
    <w:rsid w:val="00370CE3"/>
    <w:rsid w:val="003728F3"/>
    <w:rsid w:val="0037496E"/>
    <w:rsid w:val="00383221"/>
    <w:rsid w:val="00386150"/>
    <w:rsid w:val="003874CE"/>
    <w:rsid w:val="0038769E"/>
    <w:rsid w:val="00387774"/>
    <w:rsid w:val="00390900"/>
    <w:rsid w:val="003926AA"/>
    <w:rsid w:val="003A7F6C"/>
    <w:rsid w:val="003B39FC"/>
    <w:rsid w:val="003B4D60"/>
    <w:rsid w:val="003B6B3F"/>
    <w:rsid w:val="003B7E39"/>
    <w:rsid w:val="003C39BE"/>
    <w:rsid w:val="003C58DC"/>
    <w:rsid w:val="003D1724"/>
    <w:rsid w:val="003D1E62"/>
    <w:rsid w:val="003D30C5"/>
    <w:rsid w:val="003E0B99"/>
    <w:rsid w:val="003E2486"/>
    <w:rsid w:val="003E3208"/>
    <w:rsid w:val="003E4369"/>
    <w:rsid w:val="003F0B04"/>
    <w:rsid w:val="0040134E"/>
    <w:rsid w:val="004121E8"/>
    <w:rsid w:val="00417AA6"/>
    <w:rsid w:val="00426673"/>
    <w:rsid w:val="004334C7"/>
    <w:rsid w:val="00440A2D"/>
    <w:rsid w:val="00441C3F"/>
    <w:rsid w:val="004538D9"/>
    <w:rsid w:val="004564A7"/>
    <w:rsid w:val="004617BF"/>
    <w:rsid w:val="00463658"/>
    <w:rsid w:val="004637A0"/>
    <w:rsid w:val="004722CC"/>
    <w:rsid w:val="00475F20"/>
    <w:rsid w:val="00483921"/>
    <w:rsid w:val="00485A77"/>
    <w:rsid w:val="00485EE2"/>
    <w:rsid w:val="004936E4"/>
    <w:rsid w:val="00494E60"/>
    <w:rsid w:val="00497487"/>
    <w:rsid w:val="004A06DB"/>
    <w:rsid w:val="004A6189"/>
    <w:rsid w:val="004A7390"/>
    <w:rsid w:val="004B4A67"/>
    <w:rsid w:val="004B5A48"/>
    <w:rsid w:val="004B7B76"/>
    <w:rsid w:val="004C1A99"/>
    <w:rsid w:val="004C239D"/>
    <w:rsid w:val="004C2DCA"/>
    <w:rsid w:val="004C3199"/>
    <w:rsid w:val="004C61D2"/>
    <w:rsid w:val="004D14CC"/>
    <w:rsid w:val="004E16C8"/>
    <w:rsid w:val="004F0C4A"/>
    <w:rsid w:val="004F0F38"/>
    <w:rsid w:val="004F47D6"/>
    <w:rsid w:val="00501921"/>
    <w:rsid w:val="00505E6C"/>
    <w:rsid w:val="005074F1"/>
    <w:rsid w:val="00527EC3"/>
    <w:rsid w:val="00530354"/>
    <w:rsid w:val="0053625B"/>
    <w:rsid w:val="00537558"/>
    <w:rsid w:val="005405A9"/>
    <w:rsid w:val="005434C6"/>
    <w:rsid w:val="00543B39"/>
    <w:rsid w:val="00546154"/>
    <w:rsid w:val="00550096"/>
    <w:rsid w:val="00555280"/>
    <w:rsid w:val="00555B76"/>
    <w:rsid w:val="00557FF9"/>
    <w:rsid w:val="00562005"/>
    <w:rsid w:val="0056204B"/>
    <w:rsid w:val="00562327"/>
    <w:rsid w:val="005711D5"/>
    <w:rsid w:val="00576378"/>
    <w:rsid w:val="00577130"/>
    <w:rsid w:val="00577945"/>
    <w:rsid w:val="00577E38"/>
    <w:rsid w:val="005806F5"/>
    <w:rsid w:val="00585322"/>
    <w:rsid w:val="005857C6"/>
    <w:rsid w:val="00592F6E"/>
    <w:rsid w:val="00593AD1"/>
    <w:rsid w:val="00597433"/>
    <w:rsid w:val="005A3306"/>
    <w:rsid w:val="005A68B6"/>
    <w:rsid w:val="005C5570"/>
    <w:rsid w:val="005C79A4"/>
    <w:rsid w:val="005D5442"/>
    <w:rsid w:val="005D7F4D"/>
    <w:rsid w:val="005E57DC"/>
    <w:rsid w:val="00603F32"/>
    <w:rsid w:val="00604859"/>
    <w:rsid w:val="00605493"/>
    <w:rsid w:val="00605AD4"/>
    <w:rsid w:val="0061009C"/>
    <w:rsid w:val="00616DBF"/>
    <w:rsid w:val="006207A9"/>
    <w:rsid w:val="00625A6E"/>
    <w:rsid w:val="00632398"/>
    <w:rsid w:val="00635167"/>
    <w:rsid w:val="00640FC3"/>
    <w:rsid w:val="00642020"/>
    <w:rsid w:val="006439F7"/>
    <w:rsid w:val="0065337B"/>
    <w:rsid w:val="0065419D"/>
    <w:rsid w:val="006604D8"/>
    <w:rsid w:val="00661B19"/>
    <w:rsid w:val="00664144"/>
    <w:rsid w:val="00664A5B"/>
    <w:rsid w:val="0066735C"/>
    <w:rsid w:val="006763D2"/>
    <w:rsid w:val="00680C08"/>
    <w:rsid w:val="00687EA0"/>
    <w:rsid w:val="0069054F"/>
    <w:rsid w:val="006916A0"/>
    <w:rsid w:val="006931B1"/>
    <w:rsid w:val="006A15C0"/>
    <w:rsid w:val="006C3E2A"/>
    <w:rsid w:val="006C642F"/>
    <w:rsid w:val="006D03E5"/>
    <w:rsid w:val="006D1D44"/>
    <w:rsid w:val="006D5D3E"/>
    <w:rsid w:val="006D5F27"/>
    <w:rsid w:val="006D7FCC"/>
    <w:rsid w:val="006E08B3"/>
    <w:rsid w:val="006E184D"/>
    <w:rsid w:val="006F17AC"/>
    <w:rsid w:val="006F25B8"/>
    <w:rsid w:val="006F572E"/>
    <w:rsid w:val="00702015"/>
    <w:rsid w:val="00703C92"/>
    <w:rsid w:val="007046D6"/>
    <w:rsid w:val="00705DB0"/>
    <w:rsid w:val="00722B57"/>
    <w:rsid w:val="0072717C"/>
    <w:rsid w:val="00730F8A"/>
    <w:rsid w:val="00735A18"/>
    <w:rsid w:val="00735A8C"/>
    <w:rsid w:val="00741C27"/>
    <w:rsid w:val="0074253D"/>
    <w:rsid w:val="0074429B"/>
    <w:rsid w:val="007615BC"/>
    <w:rsid w:val="00762F05"/>
    <w:rsid w:val="007652FF"/>
    <w:rsid w:val="00770CAC"/>
    <w:rsid w:val="00770EF1"/>
    <w:rsid w:val="00773EF7"/>
    <w:rsid w:val="00774D78"/>
    <w:rsid w:val="00774E1D"/>
    <w:rsid w:val="007765D8"/>
    <w:rsid w:val="0077675A"/>
    <w:rsid w:val="00777C71"/>
    <w:rsid w:val="00780355"/>
    <w:rsid w:val="007819FD"/>
    <w:rsid w:val="00785717"/>
    <w:rsid w:val="00785721"/>
    <w:rsid w:val="00787FD6"/>
    <w:rsid w:val="00793A59"/>
    <w:rsid w:val="007B6132"/>
    <w:rsid w:val="007B6E9F"/>
    <w:rsid w:val="007B720C"/>
    <w:rsid w:val="007C0506"/>
    <w:rsid w:val="007C1216"/>
    <w:rsid w:val="007C1AF7"/>
    <w:rsid w:val="007C23CC"/>
    <w:rsid w:val="007C6B9B"/>
    <w:rsid w:val="007C7511"/>
    <w:rsid w:val="007C77C8"/>
    <w:rsid w:val="007D10D7"/>
    <w:rsid w:val="007E1B99"/>
    <w:rsid w:val="007E34E3"/>
    <w:rsid w:val="007F12A4"/>
    <w:rsid w:val="007F3AA7"/>
    <w:rsid w:val="00801838"/>
    <w:rsid w:val="00804C85"/>
    <w:rsid w:val="00805D27"/>
    <w:rsid w:val="00806DCB"/>
    <w:rsid w:val="00821776"/>
    <w:rsid w:val="008321F5"/>
    <w:rsid w:val="00832369"/>
    <w:rsid w:val="00834660"/>
    <w:rsid w:val="00836BC2"/>
    <w:rsid w:val="008402A2"/>
    <w:rsid w:val="0085156D"/>
    <w:rsid w:val="0085409C"/>
    <w:rsid w:val="0085641B"/>
    <w:rsid w:val="00857136"/>
    <w:rsid w:val="008620C4"/>
    <w:rsid w:val="00875A6B"/>
    <w:rsid w:val="00881CA7"/>
    <w:rsid w:val="00885B11"/>
    <w:rsid w:val="00886D15"/>
    <w:rsid w:val="00887DD8"/>
    <w:rsid w:val="00890D29"/>
    <w:rsid w:val="00891BA9"/>
    <w:rsid w:val="00896018"/>
    <w:rsid w:val="008960DD"/>
    <w:rsid w:val="0089635C"/>
    <w:rsid w:val="008A2B9D"/>
    <w:rsid w:val="008A3D9F"/>
    <w:rsid w:val="008A45BF"/>
    <w:rsid w:val="008A5E0B"/>
    <w:rsid w:val="008A6D59"/>
    <w:rsid w:val="008B4B03"/>
    <w:rsid w:val="008B596F"/>
    <w:rsid w:val="008C159F"/>
    <w:rsid w:val="008C1623"/>
    <w:rsid w:val="008C1850"/>
    <w:rsid w:val="008C51A9"/>
    <w:rsid w:val="008C5B58"/>
    <w:rsid w:val="008D45F3"/>
    <w:rsid w:val="008E7846"/>
    <w:rsid w:val="008F02E5"/>
    <w:rsid w:val="008F1CCC"/>
    <w:rsid w:val="008F2967"/>
    <w:rsid w:val="008F6943"/>
    <w:rsid w:val="008F7F3A"/>
    <w:rsid w:val="00902A21"/>
    <w:rsid w:val="00920330"/>
    <w:rsid w:val="009219D7"/>
    <w:rsid w:val="00922D53"/>
    <w:rsid w:val="00923B70"/>
    <w:rsid w:val="00924222"/>
    <w:rsid w:val="00924482"/>
    <w:rsid w:val="00927B0E"/>
    <w:rsid w:val="00930237"/>
    <w:rsid w:val="00937C17"/>
    <w:rsid w:val="00940A89"/>
    <w:rsid w:val="00946EA5"/>
    <w:rsid w:val="00963C08"/>
    <w:rsid w:val="009738B2"/>
    <w:rsid w:val="009752A5"/>
    <w:rsid w:val="00977C84"/>
    <w:rsid w:val="0098585A"/>
    <w:rsid w:val="00987E81"/>
    <w:rsid w:val="009A4CED"/>
    <w:rsid w:val="009A690D"/>
    <w:rsid w:val="009B1D12"/>
    <w:rsid w:val="009B416B"/>
    <w:rsid w:val="009C3B29"/>
    <w:rsid w:val="009C4BD5"/>
    <w:rsid w:val="009D2A28"/>
    <w:rsid w:val="009D6214"/>
    <w:rsid w:val="009D7B77"/>
    <w:rsid w:val="009E0BB0"/>
    <w:rsid w:val="009E3FBB"/>
    <w:rsid w:val="009F7353"/>
    <w:rsid w:val="00A04F85"/>
    <w:rsid w:val="00A05FA4"/>
    <w:rsid w:val="00A102E4"/>
    <w:rsid w:val="00A12C42"/>
    <w:rsid w:val="00A13B92"/>
    <w:rsid w:val="00A14DF7"/>
    <w:rsid w:val="00A16E1F"/>
    <w:rsid w:val="00A23E73"/>
    <w:rsid w:val="00A3246D"/>
    <w:rsid w:val="00A32F89"/>
    <w:rsid w:val="00A34193"/>
    <w:rsid w:val="00A36FA7"/>
    <w:rsid w:val="00A421B3"/>
    <w:rsid w:val="00A44DDB"/>
    <w:rsid w:val="00A475B7"/>
    <w:rsid w:val="00A47AF7"/>
    <w:rsid w:val="00A47C3E"/>
    <w:rsid w:val="00A50226"/>
    <w:rsid w:val="00A56541"/>
    <w:rsid w:val="00A60BAD"/>
    <w:rsid w:val="00A636CF"/>
    <w:rsid w:val="00A66571"/>
    <w:rsid w:val="00A80B5B"/>
    <w:rsid w:val="00A84E36"/>
    <w:rsid w:val="00A90E3B"/>
    <w:rsid w:val="00A92BB2"/>
    <w:rsid w:val="00A964D1"/>
    <w:rsid w:val="00AA0ED0"/>
    <w:rsid w:val="00AC2B40"/>
    <w:rsid w:val="00AC2BB2"/>
    <w:rsid w:val="00AC2C3C"/>
    <w:rsid w:val="00AC49AC"/>
    <w:rsid w:val="00AC512D"/>
    <w:rsid w:val="00AD0083"/>
    <w:rsid w:val="00AD3935"/>
    <w:rsid w:val="00AE128D"/>
    <w:rsid w:val="00AE3746"/>
    <w:rsid w:val="00AE4C46"/>
    <w:rsid w:val="00AE5DB3"/>
    <w:rsid w:val="00AE65EB"/>
    <w:rsid w:val="00AE67A7"/>
    <w:rsid w:val="00AF1D94"/>
    <w:rsid w:val="00AF4DF5"/>
    <w:rsid w:val="00AF5E70"/>
    <w:rsid w:val="00AF60C5"/>
    <w:rsid w:val="00B009C6"/>
    <w:rsid w:val="00B01548"/>
    <w:rsid w:val="00B13EBD"/>
    <w:rsid w:val="00B15090"/>
    <w:rsid w:val="00B21A3A"/>
    <w:rsid w:val="00B21D29"/>
    <w:rsid w:val="00B25034"/>
    <w:rsid w:val="00B2530A"/>
    <w:rsid w:val="00B33588"/>
    <w:rsid w:val="00B33863"/>
    <w:rsid w:val="00B344F6"/>
    <w:rsid w:val="00B37D17"/>
    <w:rsid w:val="00B4175E"/>
    <w:rsid w:val="00B452CE"/>
    <w:rsid w:val="00B45CA1"/>
    <w:rsid w:val="00B50FFC"/>
    <w:rsid w:val="00B544D2"/>
    <w:rsid w:val="00B54C25"/>
    <w:rsid w:val="00B54D4E"/>
    <w:rsid w:val="00B700E1"/>
    <w:rsid w:val="00B76B91"/>
    <w:rsid w:val="00B77EB1"/>
    <w:rsid w:val="00B811C6"/>
    <w:rsid w:val="00B855B0"/>
    <w:rsid w:val="00B85B18"/>
    <w:rsid w:val="00B90086"/>
    <w:rsid w:val="00B92B13"/>
    <w:rsid w:val="00B92E08"/>
    <w:rsid w:val="00B9682F"/>
    <w:rsid w:val="00BA2CAC"/>
    <w:rsid w:val="00BB2D95"/>
    <w:rsid w:val="00BB6D45"/>
    <w:rsid w:val="00BB7301"/>
    <w:rsid w:val="00BC59DE"/>
    <w:rsid w:val="00BC622A"/>
    <w:rsid w:val="00BD2F06"/>
    <w:rsid w:val="00BD34CB"/>
    <w:rsid w:val="00BE0A78"/>
    <w:rsid w:val="00BE1D8B"/>
    <w:rsid w:val="00BE46C6"/>
    <w:rsid w:val="00BE79F0"/>
    <w:rsid w:val="00BF046D"/>
    <w:rsid w:val="00BF1190"/>
    <w:rsid w:val="00BF5D04"/>
    <w:rsid w:val="00C0003C"/>
    <w:rsid w:val="00C009AA"/>
    <w:rsid w:val="00C1164D"/>
    <w:rsid w:val="00C14200"/>
    <w:rsid w:val="00C1422A"/>
    <w:rsid w:val="00C16861"/>
    <w:rsid w:val="00C21724"/>
    <w:rsid w:val="00C22866"/>
    <w:rsid w:val="00C3330B"/>
    <w:rsid w:val="00C346AB"/>
    <w:rsid w:val="00C34CD4"/>
    <w:rsid w:val="00C35842"/>
    <w:rsid w:val="00C404A6"/>
    <w:rsid w:val="00C40A36"/>
    <w:rsid w:val="00C44419"/>
    <w:rsid w:val="00C45E7B"/>
    <w:rsid w:val="00C471B1"/>
    <w:rsid w:val="00C477D9"/>
    <w:rsid w:val="00C57D2B"/>
    <w:rsid w:val="00C60488"/>
    <w:rsid w:val="00C6316B"/>
    <w:rsid w:val="00C634A9"/>
    <w:rsid w:val="00C64586"/>
    <w:rsid w:val="00C64A78"/>
    <w:rsid w:val="00C70D53"/>
    <w:rsid w:val="00C73D0B"/>
    <w:rsid w:val="00C772FF"/>
    <w:rsid w:val="00C80137"/>
    <w:rsid w:val="00C801AF"/>
    <w:rsid w:val="00C80256"/>
    <w:rsid w:val="00C94CD4"/>
    <w:rsid w:val="00C9747E"/>
    <w:rsid w:val="00CB4B97"/>
    <w:rsid w:val="00CB6BC0"/>
    <w:rsid w:val="00CC1B7C"/>
    <w:rsid w:val="00CC57C2"/>
    <w:rsid w:val="00CC727F"/>
    <w:rsid w:val="00CD4434"/>
    <w:rsid w:val="00CF0F5E"/>
    <w:rsid w:val="00CF15C3"/>
    <w:rsid w:val="00CF2B6F"/>
    <w:rsid w:val="00CF2F3E"/>
    <w:rsid w:val="00CF58B6"/>
    <w:rsid w:val="00D0062D"/>
    <w:rsid w:val="00D017ED"/>
    <w:rsid w:val="00D040D3"/>
    <w:rsid w:val="00D04C65"/>
    <w:rsid w:val="00D05348"/>
    <w:rsid w:val="00D14E83"/>
    <w:rsid w:val="00D16E45"/>
    <w:rsid w:val="00D201D2"/>
    <w:rsid w:val="00D224FE"/>
    <w:rsid w:val="00D23139"/>
    <w:rsid w:val="00D425BB"/>
    <w:rsid w:val="00D453FA"/>
    <w:rsid w:val="00D5310B"/>
    <w:rsid w:val="00D61877"/>
    <w:rsid w:val="00D643D4"/>
    <w:rsid w:val="00D6493E"/>
    <w:rsid w:val="00D7195D"/>
    <w:rsid w:val="00D7301E"/>
    <w:rsid w:val="00D83AE1"/>
    <w:rsid w:val="00D855D4"/>
    <w:rsid w:val="00D87A83"/>
    <w:rsid w:val="00D902C9"/>
    <w:rsid w:val="00D93466"/>
    <w:rsid w:val="00D95C48"/>
    <w:rsid w:val="00DA1124"/>
    <w:rsid w:val="00DB6124"/>
    <w:rsid w:val="00DB750B"/>
    <w:rsid w:val="00DB75B7"/>
    <w:rsid w:val="00DC6A0D"/>
    <w:rsid w:val="00DC6E02"/>
    <w:rsid w:val="00DD28CD"/>
    <w:rsid w:val="00DE02AE"/>
    <w:rsid w:val="00DE22F3"/>
    <w:rsid w:val="00DE2828"/>
    <w:rsid w:val="00DF1D7F"/>
    <w:rsid w:val="00DF464F"/>
    <w:rsid w:val="00DF4BE4"/>
    <w:rsid w:val="00E0283B"/>
    <w:rsid w:val="00E02FB4"/>
    <w:rsid w:val="00E05E08"/>
    <w:rsid w:val="00E13FC7"/>
    <w:rsid w:val="00E20571"/>
    <w:rsid w:val="00E219E5"/>
    <w:rsid w:val="00E235F7"/>
    <w:rsid w:val="00E23659"/>
    <w:rsid w:val="00E239D4"/>
    <w:rsid w:val="00E26130"/>
    <w:rsid w:val="00E37AD6"/>
    <w:rsid w:val="00E40B22"/>
    <w:rsid w:val="00E44ED1"/>
    <w:rsid w:val="00E45619"/>
    <w:rsid w:val="00E4588F"/>
    <w:rsid w:val="00E46DA3"/>
    <w:rsid w:val="00E47660"/>
    <w:rsid w:val="00E51BB1"/>
    <w:rsid w:val="00E5241D"/>
    <w:rsid w:val="00E57016"/>
    <w:rsid w:val="00E61C93"/>
    <w:rsid w:val="00E624A5"/>
    <w:rsid w:val="00E64BA4"/>
    <w:rsid w:val="00E7344E"/>
    <w:rsid w:val="00E747E9"/>
    <w:rsid w:val="00E76E0B"/>
    <w:rsid w:val="00E82665"/>
    <w:rsid w:val="00EA34B8"/>
    <w:rsid w:val="00EA7406"/>
    <w:rsid w:val="00EB0798"/>
    <w:rsid w:val="00EB40AD"/>
    <w:rsid w:val="00EB586E"/>
    <w:rsid w:val="00EB5A47"/>
    <w:rsid w:val="00EB5FC8"/>
    <w:rsid w:val="00EC463D"/>
    <w:rsid w:val="00EC7A85"/>
    <w:rsid w:val="00EC7D92"/>
    <w:rsid w:val="00ED2922"/>
    <w:rsid w:val="00ED3CAD"/>
    <w:rsid w:val="00ED5A41"/>
    <w:rsid w:val="00EE1DE8"/>
    <w:rsid w:val="00EE27C2"/>
    <w:rsid w:val="00EF4BAD"/>
    <w:rsid w:val="00EF59DC"/>
    <w:rsid w:val="00F00211"/>
    <w:rsid w:val="00F033EC"/>
    <w:rsid w:val="00F04F68"/>
    <w:rsid w:val="00F06CE7"/>
    <w:rsid w:val="00F12670"/>
    <w:rsid w:val="00F12BA2"/>
    <w:rsid w:val="00F14B27"/>
    <w:rsid w:val="00F236AD"/>
    <w:rsid w:val="00F26CC1"/>
    <w:rsid w:val="00F3148D"/>
    <w:rsid w:val="00F325C5"/>
    <w:rsid w:val="00F32FE0"/>
    <w:rsid w:val="00F35298"/>
    <w:rsid w:val="00F47237"/>
    <w:rsid w:val="00F47333"/>
    <w:rsid w:val="00F47E37"/>
    <w:rsid w:val="00F53C07"/>
    <w:rsid w:val="00F54B65"/>
    <w:rsid w:val="00F640B6"/>
    <w:rsid w:val="00F66DF2"/>
    <w:rsid w:val="00F72F09"/>
    <w:rsid w:val="00F80E40"/>
    <w:rsid w:val="00F848D9"/>
    <w:rsid w:val="00F92586"/>
    <w:rsid w:val="00F9429F"/>
    <w:rsid w:val="00F965EC"/>
    <w:rsid w:val="00FA5B82"/>
    <w:rsid w:val="00FA639E"/>
    <w:rsid w:val="00FC1FCA"/>
    <w:rsid w:val="00FC25E4"/>
    <w:rsid w:val="00FC4BAC"/>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344F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35A1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C64A78"/>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64A78"/>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C64A78"/>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C64A78"/>
    <w:pPr>
      <w:spacing w:after="0"/>
    </w:pPr>
    <w:rPr>
      <w:sz w:val="16"/>
      <w:szCs w:val="16"/>
    </w:rPr>
  </w:style>
  <w:style w:type="paragraph" w:customStyle="1" w:styleId="AssessmentSubsection">
    <w:name w:val="Assessment Subsection"/>
    <w:basedOn w:val="Standard"/>
    <w:next w:val="Standard"/>
    <w:rsid w:val="00C64A78"/>
    <w:pPr>
      <w:keepNext/>
      <w:spacing w:after="110"/>
      <w:outlineLvl w:val="2"/>
    </w:pPr>
    <w:rPr>
      <w:b/>
      <w:i/>
    </w:rPr>
  </w:style>
  <w:style w:type="character" w:customStyle="1" w:styleId="WhiteSpaceChar">
    <w:name w:val="White Space Char"/>
    <w:basedOn w:val="DefaultParagraphFont"/>
    <w:link w:val="WhiteSpace"/>
    <w:rsid w:val="00C64A78"/>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C64A78"/>
    <w:pPr>
      <w:outlineLvl w:val="3"/>
    </w:pPr>
    <w:rPr>
      <w:b w:val="0"/>
    </w:rPr>
  </w:style>
  <w:style w:type="character" w:customStyle="1" w:styleId="TableTitleChar">
    <w:name w:val="Table Title Char"/>
    <w:basedOn w:val="StandardChar"/>
    <w:link w:val="TableTitle"/>
    <w:rsid w:val="00C64A78"/>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C64A78"/>
    <w:rPr>
      <w:rFonts w:ascii="Cambria" w:eastAsia="Cambria" w:hAnsi="Cambria" w:cs="Times New Roman"/>
      <w:sz w:val="19"/>
    </w:rPr>
  </w:style>
  <w:style w:type="paragraph" w:customStyle="1" w:styleId="TableHeader">
    <w:name w:val="Table Header"/>
    <w:basedOn w:val="Normal"/>
    <w:rsid w:val="00C64A78"/>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C64A78"/>
    <w:pPr>
      <w:spacing w:before="60" w:after="440" w:line="215" w:lineRule="exact"/>
      <w:ind w:left="170"/>
    </w:pPr>
    <w:rPr>
      <w:sz w:val="18"/>
      <w:szCs w:val="19"/>
    </w:rPr>
  </w:style>
  <w:style w:type="character" w:customStyle="1" w:styleId="TableCaptionChar">
    <w:name w:val="Table Caption Char"/>
    <w:basedOn w:val="TabletextChar"/>
    <w:link w:val="TableCaption"/>
    <w:rsid w:val="00C64A78"/>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B50FFC"/>
    <w:pPr>
      <w:outlineLvl w:val="1"/>
    </w:pPr>
    <w:rPr>
      <w:i w:val="0"/>
    </w:rPr>
  </w:style>
  <w:style w:type="paragraph" w:styleId="ListParagraph">
    <w:name w:val="List Paragraph"/>
    <w:basedOn w:val="Normal"/>
    <w:uiPriority w:val="34"/>
    <w:qFormat/>
    <w:rsid w:val="00B50FFC"/>
    <w:pPr>
      <w:adjustRightInd w:val="0"/>
      <w:snapToGrid w:val="0"/>
      <w:spacing w:before="0" w:after="0"/>
      <w:ind w:left="720"/>
      <w:contextualSpacing/>
    </w:pPr>
    <w:rPr>
      <w:rFonts w:eastAsia="MS Mincho"/>
      <w:szCs w:val="20"/>
      <w:lang w:eastAsia="ja-JP"/>
    </w:rPr>
  </w:style>
  <w:style w:type="paragraph" w:customStyle="1" w:styleId="CTD-P2">
    <w:name w:val="CTD-P2"/>
    <w:basedOn w:val="Heading2"/>
    <w:autoRedefine/>
    <w:rsid w:val="00B50FFC"/>
    <w:pPr>
      <w:keepLines w:val="0"/>
      <w:spacing w:before="0" w:after="0" w:line="240" w:lineRule="auto"/>
    </w:pPr>
    <w:rPr>
      <w:rFonts w:asciiTheme="minorHAnsi" w:eastAsia="MS Mincho" w:hAnsiTheme="minorHAnsi" w:cstheme="majorHAnsi"/>
      <w:bCs w:val="0"/>
      <w:color w:val="000000"/>
      <w:sz w:val="22"/>
      <w:szCs w:val="22"/>
      <w:lang w:eastAsia="en-AU"/>
    </w:rPr>
  </w:style>
  <w:style w:type="paragraph" w:customStyle="1" w:styleId="Default">
    <w:name w:val="Default"/>
    <w:rsid w:val="00A16E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3D30C5"/>
    <w:pPr>
      <w:keepNext/>
      <w:spacing w:after="180"/>
      <w:outlineLvl w:val="4"/>
    </w:pPr>
    <w:rPr>
      <w:rFonts w:cstheme="minorBidi"/>
      <w:b/>
    </w:rPr>
  </w:style>
  <w:style w:type="paragraph" w:customStyle="1" w:styleId="Bullet1">
    <w:name w:val="Bullet 1"/>
    <w:basedOn w:val="Normal"/>
    <w:rsid w:val="001142E0"/>
    <w:pPr>
      <w:numPr>
        <w:numId w:val="11"/>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185D72"/>
    <w:rPr>
      <w:b/>
      <w:bCs/>
      <w:i w:val="0"/>
      <w:iCs w:val="0"/>
    </w:rPr>
  </w:style>
  <w:style w:type="character" w:customStyle="1" w:styleId="st1">
    <w:name w:val="st1"/>
    <w:basedOn w:val="DefaultParagraphFont"/>
    <w:rsid w:val="00185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344F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35A1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C64A78"/>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64A78"/>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C64A78"/>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C64A78"/>
    <w:pPr>
      <w:spacing w:after="0"/>
    </w:pPr>
    <w:rPr>
      <w:sz w:val="16"/>
      <w:szCs w:val="16"/>
    </w:rPr>
  </w:style>
  <w:style w:type="paragraph" w:customStyle="1" w:styleId="AssessmentSubsection">
    <w:name w:val="Assessment Subsection"/>
    <w:basedOn w:val="Standard"/>
    <w:next w:val="Standard"/>
    <w:rsid w:val="00C64A78"/>
    <w:pPr>
      <w:keepNext/>
      <w:spacing w:after="110"/>
      <w:outlineLvl w:val="2"/>
    </w:pPr>
    <w:rPr>
      <w:b/>
      <w:i/>
    </w:rPr>
  </w:style>
  <w:style w:type="character" w:customStyle="1" w:styleId="WhiteSpaceChar">
    <w:name w:val="White Space Char"/>
    <w:basedOn w:val="DefaultParagraphFont"/>
    <w:link w:val="WhiteSpace"/>
    <w:rsid w:val="00C64A78"/>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C64A78"/>
    <w:pPr>
      <w:outlineLvl w:val="3"/>
    </w:pPr>
    <w:rPr>
      <w:b w:val="0"/>
    </w:rPr>
  </w:style>
  <w:style w:type="character" w:customStyle="1" w:styleId="TableTitleChar">
    <w:name w:val="Table Title Char"/>
    <w:basedOn w:val="StandardChar"/>
    <w:link w:val="TableTitle"/>
    <w:rsid w:val="00C64A78"/>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C64A78"/>
    <w:rPr>
      <w:rFonts w:ascii="Cambria" w:eastAsia="Cambria" w:hAnsi="Cambria" w:cs="Times New Roman"/>
      <w:sz w:val="19"/>
    </w:rPr>
  </w:style>
  <w:style w:type="paragraph" w:customStyle="1" w:styleId="TableHeader">
    <w:name w:val="Table Header"/>
    <w:basedOn w:val="Normal"/>
    <w:rsid w:val="00C64A78"/>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C64A78"/>
    <w:pPr>
      <w:spacing w:before="60" w:after="440" w:line="215" w:lineRule="exact"/>
      <w:ind w:left="170"/>
    </w:pPr>
    <w:rPr>
      <w:sz w:val="18"/>
      <w:szCs w:val="19"/>
    </w:rPr>
  </w:style>
  <w:style w:type="character" w:customStyle="1" w:styleId="TableCaptionChar">
    <w:name w:val="Table Caption Char"/>
    <w:basedOn w:val="TabletextChar"/>
    <w:link w:val="TableCaption"/>
    <w:rsid w:val="00C64A78"/>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B50FFC"/>
    <w:pPr>
      <w:outlineLvl w:val="1"/>
    </w:pPr>
    <w:rPr>
      <w:i w:val="0"/>
    </w:rPr>
  </w:style>
  <w:style w:type="paragraph" w:styleId="ListParagraph">
    <w:name w:val="List Paragraph"/>
    <w:basedOn w:val="Normal"/>
    <w:uiPriority w:val="34"/>
    <w:qFormat/>
    <w:rsid w:val="00B50FFC"/>
    <w:pPr>
      <w:adjustRightInd w:val="0"/>
      <w:snapToGrid w:val="0"/>
      <w:spacing w:before="0" w:after="0"/>
      <w:ind w:left="720"/>
      <w:contextualSpacing/>
    </w:pPr>
    <w:rPr>
      <w:rFonts w:eastAsia="MS Mincho"/>
      <w:szCs w:val="20"/>
      <w:lang w:eastAsia="ja-JP"/>
    </w:rPr>
  </w:style>
  <w:style w:type="paragraph" w:customStyle="1" w:styleId="CTD-P2">
    <w:name w:val="CTD-P2"/>
    <w:basedOn w:val="Heading2"/>
    <w:autoRedefine/>
    <w:rsid w:val="00B50FFC"/>
    <w:pPr>
      <w:keepLines w:val="0"/>
      <w:spacing w:before="0" w:after="0" w:line="240" w:lineRule="auto"/>
    </w:pPr>
    <w:rPr>
      <w:rFonts w:asciiTheme="minorHAnsi" w:eastAsia="MS Mincho" w:hAnsiTheme="minorHAnsi" w:cstheme="majorHAnsi"/>
      <w:bCs w:val="0"/>
      <w:color w:val="000000"/>
      <w:sz w:val="22"/>
      <w:szCs w:val="22"/>
      <w:lang w:eastAsia="en-AU"/>
    </w:rPr>
  </w:style>
  <w:style w:type="paragraph" w:customStyle="1" w:styleId="Default">
    <w:name w:val="Default"/>
    <w:rsid w:val="00A16E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3D30C5"/>
    <w:pPr>
      <w:keepNext/>
      <w:spacing w:after="180"/>
      <w:outlineLvl w:val="4"/>
    </w:pPr>
    <w:rPr>
      <w:rFonts w:cstheme="minorBidi"/>
      <w:b/>
    </w:rPr>
  </w:style>
  <w:style w:type="paragraph" w:customStyle="1" w:styleId="Bullet1">
    <w:name w:val="Bullet 1"/>
    <w:basedOn w:val="Normal"/>
    <w:rsid w:val="001142E0"/>
    <w:pPr>
      <w:numPr>
        <w:numId w:val="11"/>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185D72"/>
    <w:rPr>
      <w:b/>
      <w:bCs/>
      <w:i w:val="0"/>
      <w:iCs w:val="0"/>
    </w:rPr>
  </w:style>
  <w:style w:type="character" w:customStyle="1" w:styleId="st1">
    <w:name w:val="st1"/>
    <w:basedOn w:val="DefaultParagraphFont"/>
    <w:rsid w:val="00185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98354">
      <w:bodyDiv w:val="1"/>
      <w:marLeft w:val="0"/>
      <w:marRight w:val="0"/>
      <w:marTop w:val="0"/>
      <w:marBottom w:val="0"/>
      <w:divBdr>
        <w:top w:val="none" w:sz="0" w:space="0" w:color="auto"/>
        <w:left w:val="none" w:sz="0" w:space="0" w:color="auto"/>
        <w:bottom w:val="none" w:sz="0" w:space="0" w:color="auto"/>
        <w:right w:val="none" w:sz="0" w:space="0" w:color="auto"/>
      </w:divBdr>
    </w:div>
    <w:div w:id="842165195">
      <w:bodyDiv w:val="1"/>
      <w:marLeft w:val="0"/>
      <w:marRight w:val="0"/>
      <w:marTop w:val="0"/>
      <w:marBottom w:val="0"/>
      <w:divBdr>
        <w:top w:val="none" w:sz="0" w:space="0" w:color="auto"/>
        <w:left w:val="none" w:sz="0" w:space="0" w:color="auto"/>
        <w:bottom w:val="none" w:sz="0" w:space="0" w:color="auto"/>
        <w:right w:val="none" w:sz="0" w:space="0" w:color="auto"/>
      </w:divBdr>
    </w:div>
    <w:div w:id="1136991696">
      <w:bodyDiv w:val="1"/>
      <w:marLeft w:val="0"/>
      <w:marRight w:val="0"/>
      <w:marTop w:val="0"/>
      <w:marBottom w:val="0"/>
      <w:divBdr>
        <w:top w:val="none" w:sz="0" w:space="0" w:color="auto"/>
        <w:left w:val="none" w:sz="0" w:space="0" w:color="auto"/>
        <w:bottom w:val="none" w:sz="0" w:space="0" w:color="auto"/>
        <w:right w:val="none" w:sz="0" w:space="0" w:color="auto"/>
      </w:divBdr>
    </w:div>
    <w:div w:id="1215577533">
      <w:bodyDiv w:val="1"/>
      <w:marLeft w:val="0"/>
      <w:marRight w:val="0"/>
      <w:marTop w:val="0"/>
      <w:marBottom w:val="0"/>
      <w:divBdr>
        <w:top w:val="none" w:sz="0" w:space="0" w:color="auto"/>
        <w:left w:val="none" w:sz="0" w:space="0" w:color="auto"/>
        <w:bottom w:val="none" w:sz="0" w:space="0" w:color="auto"/>
        <w:right w:val="none" w:sz="0" w:space="0" w:color="auto"/>
      </w:divBdr>
    </w:div>
    <w:div w:id="203175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microsoft.com/office/2007/relationships/hdphoto" Target="media/hdphoto3.wdp"/><Relationship Id="rId63" Type="http://schemas.openxmlformats.org/officeDocument/2006/relationships/image" Target="media/image48.png"/><Relationship Id="rId68" Type="http://schemas.openxmlformats.org/officeDocument/2006/relationships/header" Target="header4.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s://www.tga.gov.au/product-information-pi" TargetMode="External"/><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png"/><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07/relationships/hdphoto" Target="media/hdphoto2.wdp"/><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6.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wdp"/><Relationship Id="rId57"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3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EF18-44B2-4640-BE1D-4C470E3E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203</TotalTime>
  <Pages>129</Pages>
  <Words>39725</Words>
  <Characters>214122</Characters>
  <Application>Microsoft Office Word</Application>
  <DocSecurity>0</DocSecurity>
  <Lines>6297</Lines>
  <Paragraphs>2759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251088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Pembrolizumab (rch)</dc:title>
  <dc:subject>prescription medicines</dc:subject>
  <dc:creator> Therapeutic Goods Administration</dc:creator>
  <cp:keywords>AusPARs</cp:keywords>
  <cp:lastModifiedBy>Lack, Janet</cp:lastModifiedBy>
  <cp:revision>6</cp:revision>
  <cp:lastPrinted>2016-08-10T07:40:00Z</cp:lastPrinted>
  <dcterms:created xsi:type="dcterms:W3CDTF">2016-10-17T04:35:00Z</dcterms:created>
  <dcterms:modified xsi:type="dcterms:W3CDTF">2016-10-17T23:54:00Z</dcterms:modified>
  <cp:category/>
</cp:coreProperties>
</file>