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1C" w:rsidRPr="001D71DE" w:rsidRDefault="003A6F1C">
      <w:pPr>
        <w:pStyle w:val="Heading1"/>
        <w:spacing w:before="0" w:after="0"/>
        <w:jc w:val="center"/>
        <w:rPr>
          <w:rFonts w:cs="Arial"/>
        </w:rPr>
      </w:pPr>
      <w:r w:rsidRPr="001D71DE">
        <w:rPr>
          <w:rFonts w:cs="Arial"/>
        </w:rPr>
        <w:t>PRODUCT INFORMATION</w:t>
      </w:r>
    </w:p>
    <w:p w:rsidR="003A6F1C" w:rsidRPr="001D71DE" w:rsidRDefault="00384E9C">
      <w:pPr>
        <w:pStyle w:val="Heading1"/>
        <w:spacing w:before="0" w:after="0"/>
        <w:jc w:val="center"/>
        <w:rPr>
          <w:rFonts w:cs="Arial"/>
        </w:rPr>
      </w:pPr>
      <w:r w:rsidRPr="001D71DE">
        <w:rPr>
          <w:rFonts w:cs="Arial"/>
        </w:rPr>
        <w:t>KEYTRUDA</w:t>
      </w:r>
      <w:r w:rsidR="003A6F1C" w:rsidRPr="001D71DE">
        <w:rPr>
          <w:rFonts w:cs="Arial"/>
          <w:vertAlign w:val="superscript"/>
        </w:rPr>
        <w:t>®</w:t>
      </w:r>
    </w:p>
    <w:p w:rsidR="003A6F1C" w:rsidRPr="001D71DE" w:rsidRDefault="00AB11C5">
      <w:pPr>
        <w:jc w:val="center"/>
        <w:rPr>
          <w:rFonts w:cs="Arial"/>
          <w:b/>
          <w:sz w:val="28"/>
          <w:szCs w:val="28"/>
        </w:rPr>
      </w:pPr>
      <w:r w:rsidRPr="001D71DE">
        <w:rPr>
          <w:rFonts w:cs="Arial"/>
          <w:b/>
          <w:sz w:val="28"/>
          <w:szCs w:val="28"/>
        </w:rPr>
        <w:t>(</w:t>
      </w:r>
      <w:proofErr w:type="spellStart"/>
      <w:proofErr w:type="gramStart"/>
      <w:r w:rsidR="00384E9C" w:rsidRPr="001D71DE">
        <w:rPr>
          <w:rFonts w:cs="Arial"/>
          <w:b/>
          <w:sz w:val="28"/>
          <w:szCs w:val="28"/>
        </w:rPr>
        <w:t>pembrolizumab</w:t>
      </w:r>
      <w:proofErr w:type="spellEnd"/>
      <w:proofErr w:type="gramEnd"/>
      <w:r w:rsidR="00A818AD" w:rsidRPr="001D71DE">
        <w:rPr>
          <w:rFonts w:cs="Arial"/>
          <w:b/>
          <w:sz w:val="28"/>
          <w:szCs w:val="28"/>
        </w:rPr>
        <w:t>)</w:t>
      </w:r>
    </w:p>
    <w:p w:rsidR="00A818AD" w:rsidRPr="001D71DE" w:rsidRDefault="0029535D">
      <w:pPr>
        <w:jc w:val="center"/>
        <w:rPr>
          <w:rFonts w:cs="Arial"/>
          <w:b/>
          <w:sz w:val="28"/>
          <w:szCs w:val="28"/>
        </w:rPr>
      </w:pPr>
      <w:proofErr w:type="gramStart"/>
      <w:r w:rsidRPr="001D71DE">
        <w:rPr>
          <w:rFonts w:cs="Arial"/>
          <w:b/>
          <w:sz w:val="28"/>
          <w:szCs w:val="28"/>
        </w:rPr>
        <w:t>powder</w:t>
      </w:r>
      <w:proofErr w:type="gramEnd"/>
      <w:r w:rsidRPr="001D71DE">
        <w:rPr>
          <w:rFonts w:cs="Arial"/>
          <w:b/>
          <w:sz w:val="28"/>
          <w:szCs w:val="28"/>
        </w:rPr>
        <w:t xml:space="preserve"> for </w:t>
      </w:r>
      <w:r w:rsidR="009B5786">
        <w:rPr>
          <w:rFonts w:cs="Arial"/>
          <w:b/>
          <w:sz w:val="28"/>
          <w:szCs w:val="28"/>
        </w:rPr>
        <w:t>solution for</w:t>
      </w:r>
      <w:r w:rsidR="00384E9C" w:rsidRPr="001D71DE">
        <w:rPr>
          <w:rFonts w:cs="Arial"/>
          <w:b/>
          <w:sz w:val="28"/>
          <w:szCs w:val="28"/>
        </w:rPr>
        <w:t xml:space="preserve"> infusion</w:t>
      </w:r>
    </w:p>
    <w:p w:rsidR="003A6F1C" w:rsidRPr="003345BB" w:rsidRDefault="00491C60">
      <w:pPr>
        <w:pStyle w:val="Heading1"/>
        <w:rPr>
          <w:rFonts w:cs="Arial"/>
        </w:rPr>
      </w:pPr>
      <w:r w:rsidRPr="003345BB">
        <w:rPr>
          <w:rFonts w:cs="Arial"/>
        </w:rPr>
        <w:t>NAME OF THE MEDICINE</w:t>
      </w:r>
    </w:p>
    <w:p w:rsidR="00195AC4" w:rsidRPr="003345BB" w:rsidRDefault="00EA73BB">
      <w:pPr>
        <w:rPr>
          <w:rFonts w:cs="Arial"/>
        </w:rPr>
      </w:pPr>
      <w:proofErr w:type="spellStart"/>
      <w:proofErr w:type="gramStart"/>
      <w:r w:rsidRPr="003345BB">
        <w:rPr>
          <w:rFonts w:cs="Arial"/>
        </w:rPr>
        <w:t>p</w:t>
      </w:r>
      <w:r w:rsidR="00384E9C" w:rsidRPr="003345BB">
        <w:rPr>
          <w:rFonts w:cs="Arial"/>
        </w:rPr>
        <w:t>embrolizumab</w:t>
      </w:r>
      <w:proofErr w:type="spellEnd"/>
      <w:proofErr w:type="gramEnd"/>
    </w:p>
    <w:p w:rsidR="00EA73BB" w:rsidRPr="003345BB" w:rsidRDefault="00EA73BB">
      <w:pPr>
        <w:rPr>
          <w:rFonts w:cs="Arial"/>
        </w:rPr>
      </w:pPr>
    </w:p>
    <w:p w:rsidR="00EA73BB" w:rsidRPr="003345BB" w:rsidRDefault="00EA73BB">
      <w:pPr>
        <w:rPr>
          <w:rFonts w:cs="Arial"/>
        </w:rPr>
      </w:pPr>
      <w:r w:rsidRPr="003345BB">
        <w:rPr>
          <w:rFonts w:cs="Arial"/>
        </w:rPr>
        <w:t xml:space="preserve">CAS No.: </w:t>
      </w:r>
      <w:r w:rsidR="00EB2EF5" w:rsidRPr="003345BB">
        <w:rPr>
          <w:rFonts w:cs="Arial"/>
        </w:rPr>
        <w:t>1374853-91-4</w:t>
      </w:r>
    </w:p>
    <w:p w:rsidR="003A6F1C" w:rsidRPr="003345BB" w:rsidRDefault="003A6F1C">
      <w:pPr>
        <w:rPr>
          <w:rFonts w:cs="Arial"/>
        </w:rPr>
      </w:pPr>
    </w:p>
    <w:p w:rsidR="00704668" w:rsidRPr="003345BB" w:rsidRDefault="00704668" w:rsidP="00704668">
      <w:pPr>
        <w:rPr>
          <w:rFonts w:cs="Arial"/>
        </w:rPr>
      </w:pPr>
      <w:proofErr w:type="spellStart"/>
      <w:r w:rsidRPr="003345BB">
        <w:rPr>
          <w:rFonts w:cs="Arial"/>
        </w:rPr>
        <w:t>Pharmacotherapeutic</w:t>
      </w:r>
      <w:proofErr w:type="spellEnd"/>
      <w:r w:rsidRPr="003345BB">
        <w:rPr>
          <w:rFonts w:cs="Arial"/>
        </w:rPr>
        <w:t xml:space="preserve"> group: Antineoplastic agents, monoclonal antibodies</w:t>
      </w:r>
    </w:p>
    <w:p w:rsidR="00704668" w:rsidRPr="003345BB" w:rsidRDefault="00704668" w:rsidP="00704668">
      <w:pPr>
        <w:rPr>
          <w:rFonts w:cs="Arial"/>
        </w:rPr>
      </w:pPr>
      <w:r w:rsidRPr="003345BB">
        <w:rPr>
          <w:rFonts w:cs="Arial"/>
        </w:rPr>
        <w:t>ATC code: Not yet assigned.</w:t>
      </w:r>
    </w:p>
    <w:p w:rsidR="00491C60" w:rsidRPr="003345BB" w:rsidRDefault="00491C60" w:rsidP="00A818AD">
      <w:pPr>
        <w:pStyle w:val="Heading1"/>
        <w:rPr>
          <w:rFonts w:cs="Arial"/>
        </w:rPr>
      </w:pPr>
      <w:r w:rsidRPr="003345BB">
        <w:rPr>
          <w:rFonts w:cs="Arial"/>
        </w:rPr>
        <w:t>DESCRIPTION</w:t>
      </w:r>
    </w:p>
    <w:p w:rsidR="00D46F08" w:rsidRPr="003345BB" w:rsidRDefault="00D46F08" w:rsidP="00D46F08">
      <w:pPr>
        <w:rPr>
          <w:rFonts w:cs="Arial"/>
        </w:rPr>
      </w:pPr>
      <w:r w:rsidRPr="003345BB">
        <w:rPr>
          <w:rFonts w:cs="Arial"/>
        </w:rPr>
        <w:t xml:space="preserve">One vial contains 50 mg of </w:t>
      </w:r>
      <w:proofErr w:type="spellStart"/>
      <w:r w:rsidRPr="003345BB">
        <w:rPr>
          <w:rFonts w:cs="Arial"/>
        </w:rPr>
        <w:t>pembrolizumab</w:t>
      </w:r>
      <w:proofErr w:type="spellEnd"/>
      <w:r w:rsidRPr="003345BB">
        <w:rPr>
          <w:rFonts w:cs="Arial"/>
        </w:rPr>
        <w:t xml:space="preserve">. </w:t>
      </w:r>
    </w:p>
    <w:p w:rsidR="00D46F08" w:rsidRPr="003345BB" w:rsidRDefault="00D46F08" w:rsidP="00D46F08">
      <w:pPr>
        <w:rPr>
          <w:rFonts w:cs="Arial"/>
        </w:rPr>
      </w:pPr>
    </w:p>
    <w:p w:rsidR="00D46F08" w:rsidRPr="003345BB" w:rsidRDefault="00D46F08" w:rsidP="00D46F08">
      <w:pPr>
        <w:rPr>
          <w:rFonts w:cs="Arial"/>
        </w:rPr>
      </w:pPr>
      <w:r w:rsidRPr="003345BB">
        <w:rPr>
          <w:rFonts w:cs="Arial"/>
        </w:rPr>
        <w:t xml:space="preserve">After reconstitution, 1 mL of solution contains 25 mg of </w:t>
      </w:r>
      <w:proofErr w:type="spellStart"/>
      <w:r w:rsidRPr="003345BB">
        <w:rPr>
          <w:rFonts w:cs="Arial"/>
        </w:rPr>
        <w:t>pembrolizumab</w:t>
      </w:r>
      <w:proofErr w:type="spellEnd"/>
      <w:r w:rsidRPr="003345BB">
        <w:rPr>
          <w:rFonts w:cs="Arial"/>
        </w:rPr>
        <w:t>.</w:t>
      </w:r>
    </w:p>
    <w:p w:rsidR="00D46F08" w:rsidRPr="003345BB" w:rsidRDefault="00D46F08" w:rsidP="00D46F08">
      <w:pPr>
        <w:rPr>
          <w:rFonts w:cs="Arial"/>
        </w:rPr>
      </w:pPr>
    </w:p>
    <w:p w:rsidR="007B4A4F" w:rsidRPr="003345BB" w:rsidRDefault="007B4A4F" w:rsidP="00DD4C7E">
      <w:pPr>
        <w:rPr>
          <w:color w:val="000000"/>
          <w:szCs w:val="22"/>
        </w:rPr>
      </w:pPr>
      <w:r w:rsidRPr="003345BB">
        <w:rPr>
          <w:color w:val="000000"/>
          <w:szCs w:val="22"/>
        </w:rPr>
        <w:t>KEYTRUDA (</w:t>
      </w:r>
      <w:proofErr w:type="spellStart"/>
      <w:r w:rsidRPr="003345BB">
        <w:rPr>
          <w:color w:val="000000"/>
          <w:szCs w:val="22"/>
        </w:rPr>
        <w:t>pembrolizumab</w:t>
      </w:r>
      <w:proofErr w:type="spellEnd"/>
      <w:r w:rsidRPr="003345BB">
        <w:rPr>
          <w:color w:val="000000"/>
          <w:szCs w:val="22"/>
        </w:rPr>
        <w:t xml:space="preserve">) is a selective humanized monoclonal antibody designed to block the interaction between PD-1 and its ligands, PD-L1 and PD-L2. </w:t>
      </w:r>
      <w:proofErr w:type="spellStart"/>
      <w:r w:rsidRPr="003345BB">
        <w:rPr>
          <w:color w:val="000000"/>
          <w:szCs w:val="22"/>
        </w:rPr>
        <w:t>Pembrolizumab</w:t>
      </w:r>
      <w:proofErr w:type="spellEnd"/>
      <w:r w:rsidRPr="003345BB">
        <w:rPr>
          <w:color w:val="000000"/>
          <w:szCs w:val="22"/>
        </w:rPr>
        <w:t xml:space="preserve"> is an IgG4 kappa immunoglobulin with an approximate molecular weight of 149 </w:t>
      </w:r>
      <w:proofErr w:type="spellStart"/>
      <w:r w:rsidRPr="003345BB">
        <w:rPr>
          <w:color w:val="000000"/>
          <w:szCs w:val="22"/>
        </w:rPr>
        <w:t>kDa</w:t>
      </w:r>
      <w:proofErr w:type="spellEnd"/>
      <w:r w:rsidRPr="003345BB">
        <w:rPr>
          <w:color w:val="000000"/>
          <w:szCs w:val="22"/>
        </w:rPr>
        <w:t>.</w:t>
      </w:r>
      <w:r w:rsidR="00DD4C7E" w:rsidRPr="00DD4C7E">
        <w:t xml:space="preserve"> </w:t>
      </w:r>
      <w:proofErr w:type="spellStart"/>
      <w:r w:rsidR="002579A0" w:rsidRPr="002579A0">
        <w:t>Pembrolizumab</w:t>
      </w:r>
      <w:proofErr w:type="spellEnd"/>
      <w:r w:rsidR="002579A0" w:rsidRPr="002579A0">
        <w:t xml:space="preserve"> is produced in Chinese hamster ovary cells by recombinant DNA technology.</w:t>
      </w:r>
    </w:p>
    <w:p w:rsidR="00D46F08" w:rsidRPr="003345BB" w:rsidRDefault="00D46F08" w:rsidP="00D46F08">
      <w:pPr>
        <w:rPr>
          <w:rFonts w:cs="Arial"/>
        </w:rPr>
      </w:pPr>
    </w:p>
    <w:p w:rsidR="00D46F08" w:rsidRPr="003345BB" w:rsidRDefault="00D46F08" w:rsidP="00D46F08">
      <w:pPr>
        <w:rPr>
          <w:rFonts w:cs="Arial"/>
        </w:rPr>
      </w:pPr>
      <w:r w:rsidRPr="003345BB">
        <w:rPr>
          <w:rFonts w:cs="Arial"/>
        </w:rPr>
        <w:t xml:space="preserve">KEYTRUDA is a sterile, preservative-free, </w:t>
      </w:r>
      <w:proofErr w:type="gramStart"/>
      <w:r w:rsidRPr="003345BB">
        <w:rPr>
          <w:rFonts w:cs="Arial"/>
        </w:rPr>
        <w:t>white</w:t>
      </w:r>
      <w:proofErr w:type="gramEnd"/>
      <w:r w:rsidRPr="003345BB">
        <w:rPr>
          <w:rFonts w:cs="Arial"/>
        </w:rPr>
        <w:t xml:space="preserve"> to off-white lyophilized powder. It is reconstituted and diluted for intravenous infusion.</w:t>
      </w:r>
    </w:p>
    <w:p w:rsidR="00B146C5" w:rsidRPr="003345BB" w:rsidRDefault="00B146C5" w:rsidP="00D46F08">
      <w:pPr>
        <w:rPr>
          <w:rFonts w:cs="Arial"/>
        </w:rPr>
      </w:pPr>
    </w:p>
    <w:p w:rsidR="00D46F08" w:rsidRPr="003345BB" w:rsidRDefault="00D46F08" w:rsidP="00D46F08">
      <w:pPr>
        <w:rPr>
          <w:rFonts w:cs="Arial"/>
          <w:b/>
          <w:i/>
          <w:sz w:val="24"/>
        </w:rPr>
      </w:pPr>
      <w:r w:rsidRPr="003345BB">
        <w:rPr>
          <w:rFonts w:cs="Arial"/>
          <w:b/>
          <w:i/>
          <w:sz w:val="24"/>
        </w:rPr>
        <w:t>List of excipients</w:t>
      </w:r>
    </w:p>
    <w:p w:rsidR="00D46F08" w:rsidRPr="00D46F08" w:rsidRDefault="00D46F08" w:rsidP="00D46F08">
      <w:pPr>
        <w:rPr>
          <w:rFonts w:cs="Arial"/>
        </w:rPr>
      </w:pPr>
      <w:r w:rsidRPr="003345BB">
        <w:rPr>
          <w:rFonts w:cs="Arial"/>
        </w:rPr>
        <w:t>L-histidine</w:t>
      </w:r>
    </w:p>
    <w:p w:rsidR="00D46F08" w:rsidRPr="00D46F08" w:rsidRDefault="00D46F08" w:rsidP="00D46F08">
      <w:pPr>
        <w:rPr>
          <w:rFonts w:cs="Arial"/>
        </w:rPr>
      </w:pPr>
      <w:r w:rsidRPr="00D46F08">
        <w:rPr>
          <w:rFonts w:cs="Arial"/>
        </w:rPr>
        <w:t>Sucrose</w:t>
      </w:r>
    </w:p>
    <w:p w:rsidR="00D46F08" w:rsidRPr="004B7C8E" w:rsidRDefault="00D46F08" w:rsidP="00D46F08">
      <w:pPr>
        <w:rPr>
          <w:rFonts w:cs="Arial"/>
        </w:rPr>
      </w:pPr>
      <w:r w:rsidRPr="004B7C8E">
        <w:rPr>
          <w:rFonts w:cs="Arial"/>
        </w:rPr>
        <w:t>Polysorbate-80</w:t>
      </w:r>
    </w:p>
    <w:p w:rsidR="00FF4074" w:rsidRDefault="00FF4074" w:rsidP="00D46F08">
      <w:pPr>
        <w:rPr>
          <w:rFonts w:cs="Arial"/>
        </w:rPr>
      </w:pPr>
    </w:p>
    <w:p w:rsidR="003A6F1C" w:rsidRPr="001D71DE" w:rsidRDefault="00491C60">
      <w:pPr>
        <w:pStyle w:val="Heading1"/>
        <w:rPr>
          <w:rFonts w:cs="Arial"/>
        </w:rPr>
      </w:pPr>
      <w:r w:rsidRPr="001D71DE">
        <w:rPr>
          <w:rFonts w:cs="Arial"/>
        </w:rPr>
        <w:t>PHARMACOLOGY</w:t>
      </w:r>
    </w:p>
    <w:p w:rsidR="000B179B" w:rsidRPr="001D71DE" w:rsidRDefault="000B179B">
      <w:pPr>
        <w:rPr>
          <w:rFonts w:cs="Arial"/>
          <w:b/>
          <w:i/>
          <w:sz w:val="24"/>
        </w:rPr>
      </w:pPr>
      <w:r w:rsidRPr="001D71DE">
        <w:rPr>
          <w:rFonts w:cs="Arial"/>
          <w:b/>
          <w:i/>
          <w:sz w:val="24"/>
        </w:rPr>
        <w:t>Pharmacology and pharmacological actions</w:t>
      </w:r>
    </w:p>
    <w:p w:rsidR="00EA73BB" w:rsidRDefault="00440A35" w:rsidP="000B179B">
      <w:pPr>
        <w:rPr>
          <w:rFonts w:cs="Arial"/>
        </w:rPr>
      </w:pPr>
      <w:r w:rsidRPr="00440A35">
        <w:rPr>
          <w:rFonts w:cs="Arial"/>
        </w:rPr>
        <w:t>PD-1 is an immune-checkpoint receptor that limits the activity of T lymphocytes in peripheral tissues. The PD-1 pathway is an immune control checkpoint that may be engaged by tumour cells to inhibit active T-cell immune surveillance. KEYTRUDA is a high affinity antibody against PD-1, which exerts dual ligand blockade of the PD-1 pathway, including PD-L1 and PD-L2, on antigen presenting or tumour cells. By inhibiting the PD-1 receptor from binding to its ligands, KEYTRUDA reactivates tumour-specific cytotoxic T lymphocytes in the tumour microenvironment and reactivates anti-tumour immunity.</w:t>
      </w:r>
    </w:p>
    <w:p w:rsidR="00440A35" w:rsidRDefault="00440A35" w:rsidP="000B179B">
      <w:pPr>
        <w:rPr>
          <w:rFonts w:cs="Arial"/>
        </w:rPr>
      </w:pPr>
    </w:p>
    <w:p w:rsidR="00440A35" w:rsidRDefault="00440A35" w:rsidP="000B179B">
      <w:pPr>
        <w:rPr>
          <w:rFonts w:cs="Arial"/>
        </w:rPr>
      </w:pPr>
      <w:r w:rsidRPr="00440A35">
        <w:rPr>
          <w:rFonts w:cs="Arial"/>
        </w:rPr>
        <w:t>In peripheral blood of patients with advanced melanoma who received KEYTRUDA 2 mg/kg every 3 weeks or 10 mg/kg every 2 weeks or 3 weeks, an increased percentage of activated (i.e., HLA-DR+) CD4+ and CD8+ T-cells was observed after treatment at all doses and schedules without an increase in the circulating T-lymphocyte number.</w:t>
      </w:r>
    </w:p>
    <w:p w:rsidR="00440A35" w:rsidRPr="001D71DE" w:rsidRDefault="00440A35" w:rsidP="000B179B">
      <w:pPr>
        <w:rPr>
          <w:rFonts w:cs="Arial"/>
        </w:rPr>
      </w:pPr>
    </w:p>
    <w:p w:rsidR="00EA73BB" w:rsidRPr="001D71DE" w:rsidRDefault="00F73353" w:rsidP="008476E9">
      <w:pPr>
        <w:keepNext/>
        <w:rPr>
          <w:rFonts w:cs="Arial"/>
          <w:b/>
          <w:i/>
          <w:sz w:val="24"/>
        </w:rPr>
      </w:pPr>
      <w:r w:rsidRPr="001D71DE">
        <w:rPr>
          <w:rFonts w:cs="Arial"/>
          <w:b/>
          <w:i/>
          <w:sz w:val="24"/>
        </w:rPr>
        <w:lastRenderedPageBreak/>
        <w:t>Pharmacokinetics</w:t>
      </w:r>
    </w:p>
    <w:p w:rsidR="00EA73BB" w:rsidRDefault="00440A35" w:rsidP="008476E9">
      <w:pPr>
        <w:pStyle w:val="Body"/>
        <w:keepNext/>
        <w:keepLines/>
        <w:ind w:firstLine="0"/>
        <w:jc w:val="both"/>
        <w:rPr>
          <w:rFonts w:eastAsia="Times New Roman" w:cs="Arial"/>
          <w:sz w:val="22"/>
          <w:lang w:val="en-AU" w:eastAsia="en-AU"/>
        </w:rPr>
      </w:pPr>
      <w:r w:rsidRPr="00440A35">
        <w:rPr>
          <w:rFonts w:eastAsia="Times New Roman" w:cs="Arial"/>
          <w:sz w:val="22"/>
          <w:lang w:val="en-AU" w:eastAsia="en-AU"/>
        </w:rPr>
        <w:t xml:space="preserve">The pharmacokinetics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w:t>
      </w:r>
      <w:proofErr w:type="gramStart"/>
      <w:r w:rsidRPr="00440A35">
        <w:rPr>
          <w:rFonts w:eastAsia="Times New Roman" w:cs="Arial"/>
          <w:sz w:val="22"/>
          <w:lang w:val="en-AU" w:eastAsia="en-AU"/>
        </w:rPr>
        <w:t>were</w:t>
      </w:r>
      <w:proofErr w:type="gramEnd"/>
      <w:r w:rsidRPr="00440A35">
        <w:rPr>
          <w:rFonts w:eastAsia="Times New Roman" w:cs="Arial"/>
          <w:sz w:val="22"/>
          <w:lang w:val="en-AU" w:eastAsia="en-AU"/>
        </w:rPr>
        <w:t xml:space="preserve"> studied in 479 patients with metastatic or </w:t>
      </w:r>
      <w:proofErr w:type="spellStart"/>
      <w:r w:rsidRPr="00440A35">
        <w:rPr>
          <w:rFonts w:eastAsia="Times New Roman" w:cs="Arial"/>
          <w:sz w:val="22"/>
          <w:lang w:val="en-AU" w:eastAsia="en-AU"/>
        </w:rPr>
        <w:t>unresectable</w:t>
      </w:r>
      <w:proofErr w:type="spellEnd"/>
      <w:r w:rsidRPr="00440A35">
        <w:rPr>
          <w:rFonts w:eastAsia="Times New Roman" w:cs="Arial"/>
          <w:sz w:val="22"/>
          <w:lang w:val="en-AU" w:eastAsia="en-AU"/>
        </w:rPr>
        <w:t xml:space="preserve"> melanoma or carcinoma who received doses in the range of 1 to 10 mg/kg every 2 or 3 weeks.</w:t>
      </w:r>
    </w:p>
    <w:p w:rsidR="00440A35" w:rsidRPr="001D71DE" w:rsidRDefault="00440A35" w:rsidP="008476E9">
      <w:pPr>
        <w:pStyle w:val="Body"/>
        <w:ind w:firstLine="0"/>
        <w:jc w:val="both"/>
        <w:rPr>
          <w:rFonts w:cs="Arial"/>
          <w:b/>
        </w:rPr>
      </w:pPr>
    </w:p>
    <w:p w:rsidR="00427333" w:rsidRPr="001D71DE" w:rsidRDefault="00427333" w:rsidP="008476E9">
      <w:pPr>
        <w:rPr>
          <w:rFonts w:cs="Arial"/>
          <w:b/>
        </w:rPr>
      </w:pPr>
      <w:r w:rsidRPr="001D71DE">
        <w:rPr>
          <w:rFonts w:cs="Arial"/>
          <w:b/>
        </w:rPr>
        <w:t>Absorption</w:t>
      </w:r>
    </w:p>
    <w:p w:rsidR="00440A35" w:rsidRPr="00440A35" w:rsidRDefault="00440A35" w:rsidP="008476E9">
      <w:pPr>
        <w:pStyle w:val="Body"/>
        <w:ind w:firstLine="0"/>
        <w:jc w:val="both"/>
        <w:rPr>
          <w:rFonts w:eastAsia="Times New Roman" w:cs="Arial"/>
          <w:sz w:val="22"/>
          <w:lang w:val="en-AU" w:eastAsia="en-AU"/>
        </w:rPr>
      </w:pPr>
      <w:r w:rsidRPr="00440A35">
        <w:rPr>
          <w:rFonts w:eastAsia="Times New Roman" w:cs="Arial"/>
          <w:sz w:val="22"/>
          <w:lang w:val="en-AU" w:eastAsia="en-AU"/>
        </w:rPr>
        <w:t>KEYTRUDA is dosed via the IV route and therefore is immediately and completely bioavailable.</w:t>
      </w:r>
    </w:p>
    <w:p w:rsidR="00440A35" w:rsidRPr="00440A35" w:rsidRDefault="00440A35" w:rsidP="008476E9">
      <w:pPr>
        <w:pStyle w:val="Body"/>
        <w:ind w:firstLine="0"/>
        <w:jc w:val="both"/>
        <w:rPr>
          <w:rFonts w:eastAsia="Times New Roman" w:cs="Arial"/>
          <w:sz w:val="22"/>
          <w:lang w:val="en-AU" w:eastAsia="en-AU"/>
        </w:rPr>
      </w:pPr>
    </w:p>
    <w:p w:rsidR="00440A35" w:rsidRPr="00440A35" w:rsidRDefault="00440A35" w:rsidP="008476E9">
      <w:pPr>
        <w:rPr>
          <w:rFonts w:cs="Arial"/>
          <w:b/>
        </w:rPr>
      </w:pPr>
      <w:r w:rsidRPr="00440A35">
        <w:rPr>
          <w:rFonts w:cs="Arial"/>
          <w:b/>
        </w:rPr>
        <w:t>Distribution</w:t>
      </w:r>
    </w:p>
    <w:p w:rsidR="00440A35" w:rsidRPr="00440A35" w:rsidRDefault="00440A35" w:rsidP="008476E9">
      <w:pPr>
        <w:pStyle w:val="Body"/>
        <w:ind w:firstLine="0"/>
        <w:jc w:val="both"/>
        <w:rPr>
          <w:rFonts w:eastAsia="Times New Roman" w:cs="Arial"/>
          <w:sz w:val="22"/>
          <w:lang w:val="en-AU" w:eastAsia="en-AU"/>
        </w:rPr>
      </w:pPr>
      <w:r w:rsidRPr="00440A35">
        <w:rPr>
          <w:rFonts w:eastAsia="Times New Roman" w:cs="Arial"/>
          <w:sz w:val="22"/>
          <w:lang w:val="en-AU" w:eastAsia="en-AU"/>
        </w:rPr>
        <w:t xml:space="preserve">Consistent with a limited extravascular distribution, the volume of distribution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at steady state is small (~7.7 L; CV: 14%). As an antibody,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w:t>
      </w:r>
      <w:r w:rsidR="008F0962">
        <w:rPr>
          <w:rFonts w:eastAsia="Times New Roman" w:cs="Arial"/>
          <w:sz w:val="22"/>
          <w:lang w:val="en-AU" w:eastAsia="en-AU"/>
        </w:rPr>
        <w:t>is not expected to</w:t>
      </w:r>
      <w:r w:rsidRPr="00440A35">
        <w:rPr>
          <w:rFonts w:eastAsia="Times New Roman" w:cs="Arial"/>
          <w:sz w:val="22"/>
          <w:lang w:val="en-AU" w:eastAsia="en-AU"/>
        </w:rPr>
        <w:t xml:space="preserve"> bind to plasma proteins in a specific manner.</w:t>
      </w:r>
    </w:p>
    <w:p w:rsidR="00440A35" w:rsidRPr="00440A35" w:rsidRDefault="00440A35" w:rsidP="008476E9">
      <w:pPr>
        <w:pStyle w:val="Body"/>
        <w:ind w:firstLine="0"/>
        <w:jc w:val="both"/>
        <w:rPr>
          <w:rFonts w:eastAsia="Times New Roman" w:cs="Arial"/>
          <w:sz w:val="22"/>
          <w:lang w:val="en-AU" w:eastAsia="en-AU"/>
        </w:rPr>
      </w:pPr>
    </w:p>
    <w:p w:rsidR="00440A35" w:rsidRPr="00440A35" w:rsidRDefault="00440A35" w:rsidP="008476E9">
      <w:pPr>
        <w:rPr>
          <w:rFonts w:cs="Arial"/>
          <w:b/>
        </w:rPr>
      </w:pPr>
      <w:r w:rsidRPr="00440A35">
        <w:rPr>
          <w:rFonts w:cs="Arial"/>
          <w:b/>
        </w:rPr>
        <w:t>Metabolism</w:t>
      </w:r>
    </w:p>
    <w:p w:rsidR="00440A35" w:rsidRPr="00440A35" w:rsidRDefault="00440A35" w:rsidP="008476E9">
      <w:pPr>
        <w:pStyle w:val="Body"/>
        <w:ind w:firstLine="0"/>
        <w:jc w:val="both"/>
        <w:rPr>
          <w:rFonts w:eastAsia="Times New Roman" w:cs="Arial"/>
          <w:sz w:val="22"/>
          <w:lang w:val="en-AU" w:eastAsia="en-AU"/>
        </w:rPr>
      </w:pP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is catabolised through non-specific pathways; metabolism does not contribute to its clearance.</w:t>
      </w:r>
    </w:p>
    <w:p w:rsidR="00440A35" w:rsidRPr="00440A35" w:rsidRDefault="00440A35" w:rsidP="008476E9">
      <w:pPr>
        <w:rPr>
          <w:rFonts w:cs="Arial"/>
          <w:b/>
        </w:rPr>
      </w:pPr>
    </w:p>
    <w:p w:rsidR="00440A35" w:rsidRPr="00440A35" w:rsidRDefault="00440A35" w:rsidP="008476E9">
      <w:pPr>
        <w:rPr>
          <w:rFonts w:cs="Arial"/>
          <w:b/>
        </w:rPr>
      </w:pPr>
      <w:r w:rsidRPr="00440A35">
        <w:rPr>
          <w:rFonts w:cs="Arial"/>
          <w:b/>
        </w:rPr>
        <w:t>Elimination</w:t>
      </w:r>
    </w:p>
    <w:p w:rsidR="00440A35" w:rsidRPr="00440A35" w:rsidRDefault="00440A35" w:rsidP="008476E9">
      <w:pPr>
        <w:pStyle w:val="Body"/>
        <w:ind w:firstLine="0"/>
        <w:jc w:val="both"/>
        <w:rPr>
          <w:rFonts w:eastAsia="Times New Roman" w:cs="Arial"/>
          <w:sz w:val="22"/>
          <w:lang w:val="en-AU" w:eastAsia="en-AU"/>
        </w:rPr>
      </w:pPr>
      <w:r w:rsidRPr="00440A35">
        <w:rPr>
          <w:rFonts w:eastAsia="Times New Roman" w:cs="Arial"/>
          <w:sz w:val="22"/>
          <w:lang w:val="en-AU" w:eastAsia="en-AU"/>
        </w:rPr>
        <w:t xml:space="preserve">The systemic clearance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is ~0.2 L/day (CV: 28%) and the terminal half-life (t</w:t>
      </w:r>
      <w:r w:rsidRPr="008476E9">
        <w:rPr>
          <w:rFonts w:eastAsia="Times New Roman" w:cs="Arial"/>
          <w:sz w:val="22"/>
          <w:vertAlign w:val="subscript"/>
          <w:lang w:val="en-AU" w:eastAsia="en-AU"/>
        </w:rPr>
        <w:t>½</w:t>
      </w:r>
      <w:r w:rsidRPr="00440A35">
        <w:rPr>
          <w:rFonts w:eastAsia="Times New Roman" w:cs="Arial"/>
          <w:sz w:val="22"/>
          <w:lang w:val="en-AU" w:eastAsia="en-AU"/>
        </w:rPr>
        <w:t>) is ~26 days (CV: 24%).</w:t>
      </w:r>
    </w:p>
    <w:p w:rsidR="00F00824" w:rsidRDefault="00F00824" w:rsidP="008476E9">
      <w:pPr>
        <w:pStyle w:val="Body"/>
        <w:ind w:firstLine="0"/>
        <w:jc w:val="both"/>
        <w:rPr>
          <w:rFonts w:eastAsia="Times New Roman" w:cs="Arial"/>
          <w:sz w:val="22"/>
          <w:lang w:val="en-AU" w:eastAsia="en-AU"/>
        </w:rPr>
      </w:pPr>
    </w:p>
    <w:p w:rsidR="00F00824" w:rsidRPr="00440A35" w:rsidRDefault="00F00824" w:rsidP="008476E9">
      <w:pPr>
        <w:pStyle w:val="Body"/>
        <w:ind w:firstLine="0"/>
        <w:jc w:val="both"/>
        <w:rPr>
          <w:rFonts w:eastAsia="Times New Roman" w:cs="Arial"/>
          <w:sz w:val="22"/>
          <w:lang w:val="en-AU" w:eastAsia="en-AU"/>
        </w:rPr>
      </w:pPr>
      <w:r w:rsidRPr="00440A35">
        <w:rPr>
          <w:rFonts w:eastAsia="Times New Roman" w:cs="Arial"/>
          <w:sz w:val="22"/>
          <w:lang w:val="en-AU" w:eastAsia="en-AU"/>
        </w:rPr>
        <w:t xml:space="preserve">Exposure to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as expressed by peak concentration (</w:t>
      </w:r>
      <w:proofErr w:type="spellStart"/>
      <w:r w:rsidRPr="00440A35">
        <w:rPr>
          <w:rFonts w:eastAsia="Times New Roman" w:cs="Arial"/>
          <w:sz w:val="22"/>
          <w:lang w:val="en-AU" w:eastAsia="en-AU"/>
        </w:rPr>
        <w:t>C</w:t>
      </w:r>
      <w:r w:rsidRPr="00440A35">
        <w:rPr>
          <w:rFonts w:eastAsia="Times New Roman" w:cs="Arial"/>
          <w:sz w:val="22"/>
          <w:vertAlign w:val="subscript"/>
          <w:lang w:val="en-AU" w:eastAsia="en-AU"/>
        </w:rPr>
        <w:t>max</w:t>
      </w:r>
      <w:proofErr w:type="spellEnd"/>
      <w:r w:rsidRPr="00440A35">
        <w:rPr>
          <w:rFonts w:eastAsia="Times New Roman" w:cs="Arial"/>
          <w:sz w:val="22"/>
          <w:lang w:val="en-AU" w:eastAsia="en-AU"/>
        </w:rPr>
        <w:t xml:space="preserve">) or area under the plasma concentration time curve (AUC) increased dose proportionally within the dose range for efficacy. Upon repeated dosing, the clearance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was found to be independent of time, and systemic accumulation was approximately 2.1-fold when administered every 3 weeks. Steady-state concentrations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were reached by 18 weeks; the mean </w:t>
      </w:r>
      <w:proofErr w:type="spellStart"/>
      <w:r w:rsidRPr="00440A35">
        <w:rPr>
          <w:rFonts w:eastAsia="Times New Roman" w:cs="Arial"/>
          <w:sz w:val="22"/>
          <w:lang w:val="en-AU" w:eastAsia="en-AU"/>
        </w:rPr>
        <w:t>C</w:t>
      </w:r>
      <w:r w:rsidRPr="00440A35">
        <w:rPr>
          <w:rFonts w:eastAsia="Times New Roman" w:cs="Arial"/>
          <w:sz w:val="22"/>
          <w:vertAlign w:val="subscript"/>
          <w:lang w:val="en-AU" w:eastAsia="en-AU"/>
        </w:rPr>
        <w:t>min</w:t>
      </w:r>
      <w:proofErr w:type="spellEnd"/>
      <w:r>
        <w:rPr>
          <w:rFonts w:eastAsia="Times New Roman" w:cs="Arial"/>
          <w:sz w:val="22"/>
          <w:lang w:val="en-AU" w:eastAsia="en-AU"/>
        </w:rPr>
        <w:t xml:space="preserve"> at steady-state was </w:t>
      </w:r>
      <w:proofErr w:type="gramStart"/>
      <w:r>
        <w:rPr>
          <w:rFonts w:eastAsia="Times New Roman" w:cs="Arial"/>
          <w:sz w:val="22"/>
          <w:lang w:val="en-AU" w:eastAsia="en-AU"/>
        </w:rPr>
        <w:t>23 µ</w:t>
      </w:r>
      <w:r w:rsidRPr="00440A35">
        <w:rPr>
          <w:rFonts w:eastAsia="Times New Roman" w:cs="Arial"/>
          <w:sz w:val="22"/>
          <w:lang w:val="en-AU" w:eastAsia="en-AU"/>
        </w:rPr>
        <w:t>g/mL</w:t>
      </w:r>
      <w:proofErr w:type="gramEnd"/>
      <w:r w:rsidRPr="00440A35">
        <w:rPr>
          <w:rFonts w:eastAsia="Times New Roman" w:cs="Arial"/>
          <w:sz w:val="22"/>
          <w:lang w:val="en-AU" w:eastAsia="en-AU"/>
        </w:rPr>
        <w:t xml:space="preserve"> during a regimen of 2 mg/kg every 3 weeks. </w:t>
      </w:r>
    </w:p>
    <w:p w:rsidR="00440A35" w:rsidRPr="00440A35" w:rsidRDefault="00440A35" w:rsidP="008476E9">
      <w:pPr>
        <w:pStyle w:val="Body"/>
        <w:ind w:firstLine="0"/>
        <w:jc w:val="both"/>
        <w:rPr>
          <w:rFonts w:eastAsia="Times New Roman" w:cs="Arial"/>
          <w:sz w:val="22"/>
          <w:lang w:val="en-AU" w:eastAsia="en-AU"/>
        </w:rPr>
      </w:pPr>
    </w:p>
    <w:p w:rsidR="00440A35" w:rsidRPr="00440A35" w:rsidRDefault="00440A35" w:rsidP="008476E9">
      <w:pPr>
        <w:rPr>
          <w:rFonts w:cs="Arial"/>
          <w:b/>
        </w:rPr>
      </w:pPr>
      <w:r w:rsidRPr="00440A35">
        <w:rPr>
          <w:rFonts w:cs="Arial"/>
          <w:b/>
        </w:rPr>
        <w:t>Special populations</w:t>
      </w:r>
    </w:p>
    <w:p w:rsidR="00440A35" w:rsidRPr="00440A35" w:rsidRDefault="00440A35" w:rsidP="008476E9">
      <w:pPr>
        <w:pStyle w:val="Body"/>
        <w:ind w:firstLine="0"/>
        <w:jc w:val="both"/>
        <w:rPr>
          <w:rFonts w:eastAsia="Times New Roman" w:cs="Arial"/>
          <w:sz w:val="22"/>
          <w:lang w:val="en-AU" w:eastAsia="en-AU"/>
        </w:rPr>
      </w:pPr>
      <w:r w:rsidRPr="00440A35">
        <w:rPr>
          <w:rFonts w:eastAsia="Times New Roman" w:cs="Arial"/>
          <w:sz w:val="22"/>
          <w:lang w:val="en-AU" w:eastAsia="en-AU"/>
        </w:rPr>
        <w:t xml:space="preserve">The effects of various covariates on the pharmacokinetics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were assessed in population pharmacokinetic analyses. The clearance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xml:space="preserve"> increased with increasing body weight; resulting exposure differences are adequately addressed by administration on </w:t>
      </w:r>
      <w:proofErr w:type="gramStart"/>
      <w:r w:rsidRPr="00440A35">
        <w:rPr>
          <w:rFonts w:eastAsia="Times New Roman" w:cs="Arial"/>
          <w:sz w:val="22"/>
          <w:lang w:val="en-AU" w:eastAsia="en-AU"/>
        </w:rPr>
        <w:t>a</w:t>
      </w:r>
      <w:proofErr w:type="gramEnd"/>
      <w:r w:rsidRPr="00440A35">
        <w:rPr>
          <w:rFonts w:eastAsia="Times New Roman" w:cs="Arial"/>
          <w:sz w:val="22"/>
          <w:lang w:val="en-AU" w:eastAsia="en-AU"/>
        </w:rPr>
        <w:t xml:space="preserve"> mg/kg basis. The following factors had no clinically important effect on the clearance of </w:t>
      </w:r>
      <w:proofErr w:type="spellStart"/>
      <w:r w:rsidRPr="00440A35">
        <w:rPr>
          <w:rFonts w:eastAsia="Times New Roman" w:cs="Arial"/>
          <w:sz w:val="22"/>
          <w:lang w:val="en-AU" w:eastAsia="en-AU"/>
        </w:rPr>
        <w:t>pembrolizumab</w:t>
      </w:r>
      <w:proofErr w:type="spellEnd"/>
      <w:r w:rsidRPr="00440A35">
        <w:rPr>
          <w:rFonts w:eastAsia="Times New Roman" w:cs="Arial"/>
          <w:sz w:val="22"/>
          <w:lang w:val="en-AU" w:eastAsia="en-AU"/>
        </w:rPr>
        <w:t>: age (range 18-94 years), gender, mild or moderate renal impairment, mild hepatic impairment, and tumour burden. The effect of race could not be assessed due to limited data available in non-Caucasian ethnic groups.</w:t>
      </w:r>
    </w:p>
    <w:p w:rsidR="00440A35" w:rsidRPr="00440A35" w:rsidRDefault="00440A35" w:rsidP="008476E9">
      <w:pPr>
        <w:pStyle w:val="Body"/>
        <w:ind w:firstLine="0"/>
        <w:jc w:val="both"/>
        <w:rPr>
          <w:rFonts w:eastAsia="Times New Roman" w:cs="Arial"/>
          <w:sz w:val="22"/>
          <w:lang w:val="en-AU" w:eastAsia="en-AU"/>
        </w:rPr>
      </w:pPr>
    </w:p>
    <w:p w:rsidR="00440A35" w:rsidRPr="00440A35" w:rsidRDefault="00440A35" w:rsidP="008476E9">
      <w:pPr>
        <w:rPr>
          <w:rFonts w:cs="Arial"/>
          <w:b/>
        </w:rPr>
      </w:pPr>
      <w:r w:rsidRPr="00440A35">
        <w:rPr>
          <w:rFonts w:cs="Arial"/>
          <w:b/>
        </w:rPr>
        <w:t>Renal Impairment</w:t>
      </w:r>
    </w:p>
    <w:p w:rsidR="00440A35" w:rsidRDefault="007B4A4F" w:rsidP="008476E9">
      <w:pPr>
        <w:pStyle w:val="Body"/>
        <w:ind w:firstLine="0"/>
        <w:jc w:val="both"/>
        <w:rPr>
          <w:rFonts w:eastAsia="Times New Roman" w:cs="Arial"/>
          <w:sz w:val="22"/>
          <w:lang w:val="en-AU" w:eastAsia="en-AU"/>
        </w:rPr>
      </w:pPr>
      <w:r w:rsidRPr="007B4A4F">
        <w:rPr>
          <w:rFonts w:eastAsia="Times New Roman" w:cs="Arial"/>
          <w:sz w:val="22"/>
          <w:lang w:val="en-AU" w:eastAsia="en-AU"/>
        </w:rPr>
        <w:t xml:space="preserve">The effect of renal impairment on the clearance of </w:t>
      </w:r>
      <w:proofErr w:type="spellStart"/>
      <w:r w:rsidRPr="007B4A4F">
        <w:rPr>
          <w:rFonts w:eastAsia="Times New Roman" w:cs="Arial"/>
          <w:sz w:val="22"/>
          <w:lang w:val="en-AU" w:eastAsia="en-AU"/>
        </w:rPr>
        <w:t>pembrolizumab</w:t>
      </w:r>
      <w:proofErr w:type="spellEnd"/>
      <w:r w:rsidRPr="007B4A4F">
        <w:rPr>
          <w:rFonts w:eastAsia="Times New Roman" w:cs="Arial"/>
          <w:sz w:val="22"/>
          <w:lang w:val="en-AU" w:eastAsia="en-AU"/>
        </w:rPr>
        <w:t xml:space="preserve"> was evaluated by population pharmacokinetic analyses in patients with mild (GFR &lt;90 and ≥60 mL/min/1.73 m</w:t>
      </w:r>
      <w:r w:rsidRPr="007B4A4F">
        <w:rPr>
          <w:rFonts w:eastAsia="Times New Roman" w:cs="Arial"/>
          <w:sz w:val="22"/>
          <w:vertAlign w:val="superscript"/>
          <w:lang w:val="en-AU" w:eastAsia="en-AU"/>
        </w:rPr>
        <w:t>2</w:t>
      </w:r>
      <w:r w:rsidRPr="007B4A4F">
        <w:rPr>
          <w:rFonts w:eastAsia="Times New Roman" w:cs="Arial"/>
          <w:sz w:val="22"/>
          <w:lang w:val="en-AU" w:eastAsia="en-AU"/>
        </w:rPr>
        <w:t>; n=210) or moderate (GFR &lt;60 and ≥30 mL/min/1.73 m</w:t>
      </w:r>
      <w:r w:rsidRPr="007B4A4F">
        <w:rPr>
          <w:rFonts w:eastAsia="Times New Roman" w:cs="Arial"/>
          <w:sz w:val="22"/>
          <w:vertAlign w:val="superscript"/>
          <w:lang w:val="en-AU" w:eastAsia="en-AU"/>
        </w:rPr>
        <w:t>2</w:t>
      </w:r>
      <w:r w:rsidRPr="007B4A4F">
        <w:rPr>
          <w:rFonts w:eastAsia="Times New Roman" w:cs="Arial"/>
          <w:sz w:val="22"/>
          <w:lang w:val="en-AU" w:eastAsia="en-AU"/>
        </w:rPr>
        <w:t>; n=43) renal impairment compared to patients with normal (GFR ≥90 mL/min/1.73 m</w:t>
      </w:r>
      <w:r w:rsidRPr="007B4A4F">
        <w:rPr>
          <w:rFonts w:eastAsia="Times New Roman" w:cs="Arial"/>
          <w:sz w:val="22"/>
          <w:vertAlign w:val="superscript"/>
          <w:lang w:val="en-AU" w:eastAsia="en-AU"/>
        </w:rPr>
        <w:t>2</w:t>
      </w:r>
      <w:r w:rsidRPr="007B4A4F">
        <w:rPr>
          <w:rFonts w:eastAsia="Times New Roman" w:cs="Arial"/>
          <w:sz w:val="22"/>
          <w:lang w:val="en-AU" w:eastAsia="en-AU"/>
        </w:rPr>
        <w:t xml:space="preserve">; n=221) renal function. No clinically important differences in the clearance of </w:t>
      </w:r>
      <w:proofErr w:type="spellStart"/>
      <w:r w:rsidRPr="007B4A4F">
        <w:rPr>
          <w:rFonts w:eastAsia="Times New Roman" w:cs="Arial"/>
          <w:sz w:val="22"/>
          <w:lang w:val="en-AU" w:eastAsia="en-AU"/>
        </w:rPr>
        <w:t>pembrolizumab</w:t>
      </w:r>
      <w:proofErr w:type="spellEnd"/>
      <w:r w:rsidRPr="007B4A4F">
        <w:rPr>
          <w:rFonts w:eastAsia="Times New Roman" w:cs="Arial"/>
          <w:sz w:val="22"/>
          <w:lang w:val="en-AU" w:eastAsia="en-AU"/>
        </w:rPr>
        <w:t xml:space="preserve"> were found between patients with mild or moderate renal impairment and patients with normal renal function. KEYTRUDA has not been studied in patients with severe (GFR &lt;30 and ≥15 mL/min/1.73 m</w:t>
      </w:r>
      <w:r w:rsidRPr="007B4A4F">
        <w:rPr>
          <w:rFonts w:eastAsia="Times New Roman" w:cs="Arial"/>
          <w:sz w:val="22"/>
          <w:vertAlign w:val="superscript"/>
          <w:lang w:val="en-AU" w:eastAsia="en-AU"/>
        </w:rPr>
        <w:t>2</w:t>
      </w:r>
      <w:r w:rsidRPr="007B4A4F">
        <w:rPr>
          <w:rFonts w:eastAsia="Times New Roman" w:cs="Arial"/>
          <w:sz w:val="22"/>
          <w:lang w:val="en-AU" w:eastAsia="en-AU"/>
        </w:rPr>
        <w:t xml:space="preserve">) renal impairment </w:t>
      </w:r>
      <w:r w:rsidRPr="007B4A4F">
        <w:rPr>
          <w:rFonts w:eastAsia="Times New Roman" w:cs="Arial"/>
          <w:i/>
          <w:sz w:val="22"/>
          <w:lang w:val="en-AU" w:eastAsia="en-AU"/>
        </w:rPr>
        <w:t>[See DOSAGE AND ADMINISTRATION]</w:t>
      </w:r>
      <w:r>
        <w:rPr>
          <w:rFonts w:eastAsia="Times New Roman" w:cs="Arial"/>
          <w:sz w:val="22"/>
          <w:lang w:val="en-AU" w:eastAsia="en-AU"/>
        </w:rPr>
        <w:t>.</w:t>
      </w:r>
      <w:r w:rsidR="00440A35" w:rsidRPr="00440A35">
        <w:rPr>
          <w:rFonts w:eastAsia="Times New Roman" w:cs="Arial"/>
          <w:sz w:val="22"/>
          <w:lang w:val="en-AU" w:eastAsia="en-AU"/>
        </w:rPr>
        <w:tab/>
      </w:r>
    </w:p>
    <w:p w:rsidR="007B4A4F" w:rsidRPr="00440A35" w:rsidRDefault="007B4A4F" w:rsidP="008476E9">
      <w:pPr>
        <w:pStyle w:val="Body"/>
        <w:ind w:firstLine="0"/>
        <w:jc w:val="both"/>
        <w:rPr>
          <w:rFonts w:eastAsia="Times New Roman" w:cs="Arial"/>
          <w:sz w:val="22"/>
          <w:lang w:val="en-AU" w:eastAsia="en-AU"/>
        </w:rPr>
      </w:pPr>
    </w:p>
    <w:p w:rsidR="00440A35" w:rsidRPr="00440A35" w:rsidRDefault="00440A35" w:rsidP="008476E9">
      <w:pPr>
        <w:rPr>
          <w:rFonts w:cs="Arial"/>
          <w:b/>
        </w:rPr>
      </w:pPr>
      <w:r w:rsidRPr="00440A35">
        <w:rPr>
          <w:rFonts w:cs="Arial"/>
          <w:b/>
        </w:rPr>
        <w:t>Hepatic Impairment</w:t>
      </w:r>
    </w:p>
    <w:p w:rsidR="00D058F6" w:rsidRDefault="007B4A4F" w:rsidP="008476E9">
      <w:pPr>
        <w:pStyle w:val="Body"/>
        <w:ind w:firstLine="0"/>
        <w:jc w:val="both"/>
        <w:rPr>
          <w:rFonts w:eastAsia="Times New Roman" w:cs="Arial"/>
          <w:sz w:val="22"/>
          <w:lang w:val="en-AU" w:eastAsia="en-AU"/>
        </w:rPr>
      </w:pPr>
      <w:r w:rsidRPr="007B4A4F">
        <w:rPr>
          <w:rFonts w:eastAsia="Times New Roman" w:cs="Arial"/>
          <w:sz w:val="22"/>
          <w:lang w:val="en-AU" w:eastAsia="en-AU"/>
        </w:rPr>
        <w:t xml:space="preserve">The effect of hepatic impairment on the clearance of </w:t>
      </w:r>
      <w:proofErr w:type="spellStart"/>
      <w:r w:rsidRPr="007B4A4F">
        <w:rPr>
          <w:rFonts w:eastAsia="Times New Roman" w:cs="Arial"/>
          <w:sz w:val="22"/>
          <w:lang w:val="en-AU" w:eastAsia="en-AU"/>
        </w:rPr>
        <w:t>pembrolizumab</w:t>
      </w:r>
      <w:proofErr w:type="spellEnd"/>
      <w:r w:rsidRPr="007B4A4F">
        <w:rPr>
          <w:rFonts w:eastAsia="Times New Roman" w:cs="Arial"/>
          <w:sz w:val="22"/>
          <w:lang w:val="en-AU" w:eastAsia="en-AU"/>
        </w:rPr>
        <w:t xml:space="preserve"> was evaluated by population pharmacokinetic analyses in patients with mild hepatic impairment (total bilirubin (TB) 1.0 to 1.5 x ULN or AST &gt;ULN as defined using the National Cancer Institute criteria of hepatic dysfunction; n=59) compared to patients with normal hepatic function (TB and AST ≤ULN; n=410). No clinically </w:t>
      </w:r>
      <w:r w:rsidRPr="007B4A4F">
        <w:rPr>
          <w:rFonts w:eastAsia="Times New Roman" w:cs="Arial"/>
          <w:sz w:val="22"/>
          <w:lang w:val="en-AU" w:eastAsia="en-AU"/>
        </w:rPr>
        <w:lastRenderedPageBreak/>
        <w:t xml:space="preserve">important differences in the clearance of </w:t>
      </w:r>
      <w:proofErr w:type="spellStart"/>
      <w:r w:rsidRPr="007B4A4F">
        <w:rPr>
          <w:rFonts w:eastAsia="Times New Roman" w:cs="Arial"/>
          <w:sz w:val="22"/>
          <w:lang w:val="en-AU" w:eastAsia="en-AU"/>
        </w:rPr>
        <w:t>pembrolizumab</w:t>
      </w:r>
      <w:proofErr w:type="spellEnd"/>
      <w:r w:rsidRPr="007B4A4F">
        <w:rPr>
          <w:rFonts w:eastAsia="Times New Roman" w:cs="Arial"/>
          <w:sz w:val="22"/>
          <w:lang w:val="en-AU" w:eastAsia="en-AU"/>
        </w:rPr>
        <w:t xml:space="preserve"> were found between patients with mild hepatic impairment and normal hepatic function. KEYTRUDA has not been studied in patients with moderate (TB &gt;1.5 to 3 x ULN and any AST) or severe (TB &gt;3 x ULN and any AST) hepatic impairment </w:t>
      </w:r>
      <w:r w:rsidRPr="007B4A4F">
        <w:rPr>
          <w:rFonts w:eastAsia="Times New Roman" w:cs="Arial"/>
          <w:i/>
          <w:sz w:val="22"/>
          <w:lang w:val="en-AU" w:eastAsia="en-AU"/>
        </w:rPr>
        <w:t>[See DOSAGE AND ADMINISTRATION]</w:t>
      </w:r>
      <w:r w:rsidR="00BE663E" w:rsidRPr="00BE663E">
        <w:rPr>
          <w:rFonts w:eastAsia="Times New Roman" w:cs="Arial"/>
          <w:sz w:val="22"/>
          <w:lang w:val="en-AU" w:eastAsia="en-AU"/>
        </w:rPr>
        <w:t>.</w:t>
      </w:r>
    </w:p>
    <w:p w:rsidR="003A6F1C" w:rsidRPr="001D71DE" w:rsidRDefault="00491C60" w:rsidP="00491C60">
      <w:pPr>
        <w:pStyle w:val="Heading1"/>
        <w:rPr>
          <w:rFonts w:cs="Arial"/>
        </w:rPr>
      </w:pPr>
      <w:r w:rsidRPr="001D71DE">
        <w:rPr>
          <w:rFonts w:cs="Arial"/>
        </w:rPr>
        <w:t>CLINICAL TRIALS</w:t>
      </w:r>
    </w:p>
    <w:p w:rsidR="00D058F6" w:rsidRPr="00D2086F" w:rsidRDefault="00D058F6" w:rsidP="00D2086F">
      <w:pPr>
        <w:pStyle w:val="Heading2"/>
        <w:spacing w:before="0" w:after="0"/>
        <w:rPr>
          <w:rFonts w:ascii="Arial" w:hAnsi="Arial" w:cs="Arial"/>
        </w:rPr>
      </w:pPr>
      <w:r w:rsidRPr="00D2086F">
        <w:rPr>
          <w:rFonts w:ascii="Arial" w:hAnsi="Arial" w:cs="Arial"/>
        </w:rPr>
        <w:t xml:space="preserve">Clinical Studies in </w:t>
      </w:r>
      <w:proofErr w:type="spellStart"/>
      <w:r w:rsidRPr="00D2086F">
        <w:rPr>
          <w:rFonts w:ascii="Arial" w:hAnsi="Arial" w:cs="Arial"/>
        </w:rPr>
        <w:t>Unresectable</w:t>
      </w:r>
      <w:proofErr w:type="spellEnd"/>
      <w:r w:rsidRPr="00D2086F">
        <w:rPr>
          <w:rFonts w:ascii="Arial" w:hAnsi="Arial" w:cs="Arial"/>
        </w:rPr>
        <w:t xml:space="preserve"> or Metastatic Melanoma</w:t>
      </w:r>
    </w:p>
    <w:p w:rsidR="000903B2" w:rsidRPr="000903B2" w:rsidRDefault="000903B2" w:rsidP="00555F36">
      <w:pPr>
        <w:pStyle w:val="BodyText1"/>
        <w:ind w:firstLine="0"/>
        <w:jc w:val="both"/>
        <w:rPr>
          <w:rFonts w:ascii="Arial" w:hAnsi="Arial" w:cs="Arial"/>
          <w:sz w:val="22"/>
          <w:szCs w:val="22"/>
        </w:rPr>
      </w:pPr>
      <w:r w:rsidRPr="000903B2">
        <w:rPr>
          <w:rFonts w:ascii="Arial" w:hAnsi="Arial" w:cs="Arial"/>
          <w:sz w:val="22"/>
          <w:szCs w:val="22"/>
        </w:rPr>
        <w:t xml:space="preserve">The safety and efficacy of KEYTRUDA were investigated in an uncontrolled, open-label study for the treatment of </w:t>
      </w:r>
      <w:proofErr w:type="spellStart"/>
      <w:r w:rsidRPr="000903B2">
        <w:rPr>
          <w:rFonts w:ascii="Arial" w:hAnsi="Arial" w:cs="Arial"/>
          <w:sz w:val="22"/>
          <w:szCs w:val="22"/>
        </w:rPr>
        <w:t>unresectable</w:t>
      </w:r>
      <w:proofErr w:type="spellEnd"/>
      <w:r w:rsidRPr="000903B2">
        <w:rPr>
          <w:rFonts w:ascii="Arial" w:hAnsi="Arial" w:cs="Arial"/>
          <w:sz w:val="22"/>
          <w:szCs w:val="22"/>
        </w:rPr>
        <w:t xml:space="preserve"> or metastatic melanoma. Efficacy was evaluated for 411 patients from three of the defined cohorts of P001 who were previously treated with </w:t>
      </w:r>
      <w:proofErr w:type="spellStart"/>
      <w:r w:rsidRPr="000903B2">
        <w:rPr>
          <w:rFonts w:ascii="Arial" w:hAnsi="Arial" w:cs="Arial"/>
          <w:sz w:val="22"/>
          <w:szCs w:val="22"/>
        </w:rPr>
        <w:t>ipilimumab</w:t>
      </w:r>
      <w:proofErr w:type="spellEnd"/>
      <w:r w:rsidRPr="000903B2">
        <w:rPr>
          <w:rFonts w:ascii="Arial" w:hAnsi="Arial" w:cs="Arial"/>
          <w:sz w:val="22"/>
          <w:szCs w:val="22"/>
        </w:rPr>
        <w:t xml:space="preserve"> or naïve to treatment with </w:t>
      </w:r>
      <w:proofErr w:type="spellStart"/>
      <w:r w:rsidRPr="000903B2">
        <w:rPr>
          <w:rFonts w:ascii="Arial" w:hAnsi="Arial" w:cs="Arial"/>
          <w:sz w:val="22"/>
          <w:szCs w:val="22"/>
        </w:rPr>
        <w:t>ipilimumab</w:t>
      </w:r>
      <w:proofErr w:type="spellEnd"/>
      <w:r w:rsidRPr="000903B2">
        <w:rPr>
          <w:rFonts w:ascii="Arial" w:hAnsi="Arial" w:cs="Arial"/>
          <w:sz w:val="22"/>
          <w:szCs w:val="22"/>
        </w:rPr>
        <w:t xml:space="preserve"> and received KEYTRUDA at a dose of 2 mg/kg every 3 weeks (n=162), 10 mg/kg every 3 weeks (n=192) or 10 mg/kg every 2 weeks (n=57). </w:t>
      </w:r>
      <w:r w:rsidRPr="00010E35">
        <w:rPr>
          <w:rFonts w:ascii="Arial" w:hAnsi="Arial" w:cs="Arial"/>
          <w:sz w:val="22"/>
          <w:szCs w:val="22"/>
        </w:rPr>
        <w:t xml:space="preserve">The study excluded patients </w:t>
      </w:r>
      <w:r w:rsidR="00C37383" w:rsidRPr="00C37383">
        <w:rPr>
          <w:rFonts w:ascii="Arial" w:hAnsi="Arial" w:cs="Arial"/>
          <w:sz w:val="22"/>
          <w:szCs w:val="22"/>
        </w:rPr>
        <w:t xml:space="preserve">with autoimmune disease; medical conditions that required immunosuppression; a history of severe immune-mediated adverse reactions with </w:t>
      </w:r>
      <w:proofErr w:type="spellStart"/>
      <w:r w:rsidR="00C37383" w:rsidRPr="00C37383">
        <w:rPr>
          <w:rFonts w:ascii="Arial" w:hAnsi="Arial" w:cs="Arial"/>
          <w:sz w:val="22"/>
          <w:szCs w:val="22"/>
        </w:rPr>
        <w:t>ipilimumab</w:t>
      </w:r>
      <w:proofErr w:type="spellEnd"/>
      <w:r w:rsidR="00C37383" w:rsidRPr="00C37383">
        <w:rPr>
          <w:rFonts w:ascii="Arial" w:hAnsi="Arial" w:cs="Arial"/>
          <w:sz w:val="22"/>
          <w:szCs w:val="22"/>
        </w:rPr>
        <w:t>, defined as any Grade 4 toxicity requiring treatment with corticosteroids or Grade 3 toxicity requiring corticosteroid treatment (greater than 10 mg/day prednisone or equivalent dose) for greater than 12 weeks; medical conditions that required systemic corticosteroids or other immunosuppressive medication; a history of pneumonitis or interstitial lung disease; or any active infection requiring therapy, including HIV, HBV or HCV.</w:t>
      </w:r>
      <w:r w:rsidR="00C37383">
        <w:rPr>
          <w:rFonts w:ascii="Arial" w:hAnsi="Arial" w:cs="Arial"/>
          <w:sz w:val="22"/>
          <w:szCs w:val="22"/>
        </w:rPr>
        <w:t xml:space="preserve"> </w:t>
      </w:r>
      <w:r w:rsidRPr="000903B2">
        <w:rPr>
          <w:rFonts w:ascii="Arial" w:hAnsi="Arial" w:cs="Arial"/>
          <w:sz w:val="22"/>
          <w:szCs w:val="22"/>
        </w:rPr>
        <w:t xml:space="preserve">Patients were treated with KEYTRUDA until disease progression </w:t>
      </w:r>
      <w:r w:rsidR="00C37383" w:rsidRPr="00C37383">
        <w:rPr>
          <w:rFonts w:ascii="Arial" w:hAnsi="Arial" w:cs="Arial"/>
          <w:sz w:val="22"/>
          <w:szCs w:val="22"/>
        </w:rPr>
        <w:t xml:space="preserve">that was symptomatic, was rapidly progressive, required urgent intervention, </w:t>
      </w:r>
      <w:r w:rsidR="006645E8">
        <w:rPr>
          <w:rFonts w:ascii="Arial" w:hAnsi="Arial" w:cs="Arial"/>
          <w:sz w:val="22"/>
          <w:szCs w:val="22"/>
        </w:rPr>
        <w:t xml:space="preserve">or </w:t>
      </w:r>
      <w:r w:rsidR="00C37383" w:rsidRPr="00C37383">
        <w:rPr>
          <w:rFonts w:ascii="Arial" w:hAnsi="Arial" w:cs="Arial"/>
          <w:sz w:val="22"/>
          <w:szCs w:val="22"/>
        </w:rPr>
        <w:t>occurred with a decline in performance status</w:t>
      </w:r>
      <w:r w:rsidR="009957BD">
        <w:rPr>
          <w:rFonts w:ascii="Arial" w:hAnsi="Arial" w:cs="Arial"/>
          <w:sz w:val="22"/>
          <w:szCs w:val="22"/>
        </w:rPr>
        <w:t>,</w:t>
      </w:r>
      <w:r w:rsidR="006645E8">
        <w:rPr>
          <w:rFonts w:ascii="Arial" w:hAnsi="Arial" w:cs="Arial"/>
          <w:sz w:val="22"/>
          <w:szCs w:val="22"/>
        </w:rPr>
        <w:t xml:space="preserve"> at the discretion of the investigator, </w:t>
      </w:r>
      <w:r w:rsidR="009957BD">
        <w:rPr>
          <w:rFonts w:ascii="Arial" w:hAnsi="Arial" w:cs="Arial"/>
          <w:sz w:val="22"/>
          <w:szCs w:val="22"/>
        </w:rPr>
        <w:t>based on</w:t>
      </w:r>
      <w:r w:rsidR="006645E8">
        <w:rPr>
          <w:rFonts w:ascii="Arial" w:hAnsi="Arial" w:cs="Arial"/>
          <w:sz w:val="22"/>
          <w:szCs w:val="22"/>
        </w:rPr>
        <w:t xml:space="preserve"> clinical judgment. Patients were also discontinued if disease progression </w:t>
      </w:r>
      <w:r w:rsidR="00C37383" w:rsidRPr="00C37383">
        <w:rPr>
          <w:rFonts w:ascii="Arial" w:hAnsi="Arial" w:cs="Arial"/>
          <w:sz w:val="22"/>
          <w:szCs w:val="22"/>
        </w:rPr>
        <w:t>was confirmed at 4</w:t>
      </w:r>
      <w:r w:rsidR="00C37383">
        <w:rPr>
          <w:rFonts w:ascii="Arial" w:hAnsi="Arial" w:cs="Arial"/>
          <w:sz w:val="22"/>
          <w:szCs w:val="22"/>
        </w:rPr>
        <w:t xml:space="preserve"> to 6 weeks with repeat imaging</w:t>
      </w:r>
      <w:r w:rsidR="00C37383" w:rsidRPr="00C37383">
        <w:rPr>
          <w:rFonts w:ascii="Arial" w:hAnsi="Arial" w:cs="Arial"/>
          <w:sz w:val="22"/>
          <w:szCs w:val="22"/>
        </w:rPr>
        <w:t xml:space="preserve"> </w:t>
      </w:r>
      <w:r w:rsidRPr="000903B2">
        <w:rPr>
          <w:rFonts w:ascii="Arial" w:hAnsi="Arial" w:cs="Arial"/>
          <w:sz w:val="22"/>
          <w:szCs w:val="22"/>
        </w:rPr>
        <w:t xml:space="preserve">or </w:t>
      </w:r>
      <w:r w:rsidR="006645E8">
        <w:rPr>
          <w:rFonts w:ascii="Arial" w:hAnsi="Arial" w:cs="Arial"/>
          <w:sz w:val="22"/>
          <w:szCs w:val="22"/>
        </w:rPr>
        <w:t xml:space="preserve">there was </w:t>
      </w:r>
      <w:r w:rsidRPr="000903B2">
        <w:rPr>
          <w:rFonts w:ascii="Arial" w:hAnsi="Arial" w:cs="Arial"/>
          <w:sz w:val="22"/>
          <w:szCs w:val="22"/>
        </w:rPr>
        <w:t xml:space="preserve">unacceptable toxicity. </w:t>
      </w:r>
    </w:p>
    <w:p w:rsidR="000903B2" w:rsidRPr="000903B2" w:rsidRDefault="000903B2" w:rsidP="00010E35">
      <w:pPr>
        <w:pStyle w:val="BodyText1"/>
        <w:ind w:firstLine="0"/>
        <w:jc w:val="both"/>
        <w:rPr>
          <w:rFonts w:ascii="Arial" w:hAnsi="Arial" w:cs="Arial"/>
          <w:sz w:val="22"/>
          <w:szCs w:val="22"/>
        </w:rPr>
      </w:pPr>
    </w:p>
    <w:p w:rsidR="000903B2" w:rsidRPr="000903B2" w:rsidRDefault="000903B2" w:rsidP="00010E35">
      <w:pPr>
        <w:pStyle w:val="BodyText1"/>
        <w:ind w:firstLine="0"/>
        <w:jc w:val="both"/>
        <w:rPr>
          <w:rFonts w:ascii="Arial" w:hAnsi="Arial" w:cs="Arial"/>
          <w:sz w:val="22"/>
          <w:szCs w:val="22"/>
        </w:rPr>
      </w:pPr>
      <w:r w:rsidRPr="000903B2">
        <w:rPr>
          <w:rFonts w:ascii="Arial" w:hAnsi="Arial" w:cs="Arial"/>
          <w:sz w:val="22"/>
          <w:szCs w:val="22"/>
        </w:rPr>
        <w:t xml:space="preserve">Of the 162 patients receiving 2 mg/kg of KEYTRUDA, </w:t>
      </w:r>
      <w:r w:rsidR="0056564C">
        <w:rPr>
          <w:rFonts w:ascii="Arial" w:hAnsi="Arial" w:cs="Arial"/>
          <w:sz w:val="22"/>
          <w:szCs w:val="22"/>
        </w:rPr>
        <w:t>57</w:t>
      </w:r>
      <w:r w:rsidRPr="000903B2">
        <w:rPr>
          <w:rFonts w:ascii="Arial" w:hAnsi="Arial" w:cs="Arial"/>
          <w:sz w:val="22"/>
          <w:szCs w:val="22"/>
        </w:rPr>
        <w:t xml:space="preserve">% were male, 35% were ≥65 years of age and the median age was 60 years (range 18-88). All but three patients were white. </w:t>
      </w:r>
      <w:r w:rsidR="008F0962">
        <w:rPr>
          <w:rFonts w:ascii="Arial" w:hAnsi="Arial" w:cs="Arial"/>
          <w:sz w:val="22"/>
          <w:szCs w:val="22"/>
        </w:rPr>
        <w:t>Seventy-eight</w:t>
      </w:r>
      <w:r w:rsidRPr="000903B2">
        <w:rPr>
          <w:rFonts w:ascii="Arial" w:hAnsi="Arial" w:cs="Arial"/>
          <w:sz w:val="22"/>
          <w:szCs w:val="22"/>
        </w:rPr>
        <w:t xml:space="preserve"> percent had M1c stage and 6% of patients had a history of brain metastases. </w:t>
      </w:r>
      <w:r w:rsidR="005F5122">
        <w:rPr>
          <w:rFonts w:ascii="Arial" w:hAnsi="Arial" w:cs="Arial"/>
          <w:sz w:val="22"/>
          <w:szCs w:val="22"/>
        </w:rPr>
        <w:t>Twenty-two percent of patients received no prior systemic therapy, while</w:t>
      </w:r>
      <w:r w:rsidR="005F5122" w:rsidRPr="000903B2">
        <w:rPr>
          <w:rFonts w:ascii="Arial" w:hAnsi="Arial" w:cs="Arial"/>
          <w:sz w:val="22"/>
          <w:szCs w:val="22"/>
        </w:rPr>
        <w:t xml:space="preserve"> </w:t>
      </w:r>
      <w:r w:rsidR="005F5122">
        <w:rPr>
          <w:rFonts w:ascii="Arial" w:hAnsi="Arial" w:cs="Arial"/>
          <w:sz w:val="22"/>
          <w:szCs w:val="22"/>
        </w:rPr>
        <w:t>48%</w:t>
      </w:r>
      <w:r w:rsidRPr="000903B2">
        <w:rPr>
          <w:rFonts w:ascii="Arial" w:hAnsi="Arial" w:cs="Arial"/>
          <w:sz w:val="22"/>
          <w:szCs w:val="22"/>
        </w:rPr>
        <w:t xml:space="preserve"> had at least two and 20% of patients had three or more prior systemic therapies for advanced melanoma. BRAF mutations were reported in 24% of the study population.</w:t>
      </w:r>
    </w:p>
    <w:p w:rsidR="000903B2" w:rsidRPr="000903B2" w:rsidRDefault="000903B2" w:rsidP="008476E9">
      <w:pPr>
        <w:pStyle w:val="BodyText1"/>
        <w:ind w:firstLine="0"/>
        <w:rPr>
          <w:rFonts w:ascii="Arial" w:hAnsi="Arial" w:cs="Arial"/>
          <w:sz w:val="22"/>
          <w:szCs w:val="22"/>
        </w:rPr>
      </w:pPr>
    </w:p>
    <w:p w:rsidR="000903B2" w:rsidRDefault="000903B2" w:rsidP="00D058F6">
      <w:pPr>
        <w:pStyle w:val="BodyText1"/>
        <w:ind w:firstLine="0"/>
        <w:jc w:val="both"/>
        <w:rPr>
          <w:rFonts w:ascii="Arial" w:hAnsi="Arial" w:cs="Arial"/>
          <w:sz w:val="22"/>
          <w:szCs w:val="22"/>
        </w:rPr>
      </w:pPr>
      <w:r w:rsidRPr="000903B2">
        <w:rPr>
          <w:rFonts w:ascii="Arial" w:hAnsi="Arial" w:cs="Arial"/>
          <w:sz w:val="22"/>
          <w:szCs w:val="22"/>
        </w:rPr>
        <w:t>The primary efficacy outcome measure was overall response rate (ORR) as assessed by independent review using confirmed responses and Response Evaluation Criteria in Solid Tumors (RECIST 1.1). Secondary efficacy outcome measures were response duration,</w:t>
      </w:r>
      <w:r w:rsidR="007B4A4F">
        <w:rPr>
          <w:rFonts w:ascii="Arial" w:hAnsi="Arial" w:cs="Arial"/>
          <w:sz w:val="22"/>
          <w:szCs w:val="22"/>
        </w:rPr>
        <w:t xml:space="preserve"> disease control rate (DCR),</w:t>
      </w:r>
      <w:r w:rsidRPr="000903B2">
        <w:rPr>
          <w:rFonts w:ascii="Arial" w:hAnsi="Arial" w:cs="Arial"/>
          <w:sz w:val="22"/>
          <w:szCs w:val="22"/>
        </w:rPr>
        <w:t xml:space="preserve"> overall survival (OS) and progression free survival (PFS). </w:t>
      </w:r>
      <w:proofErr w:type="spellStart"/>
      <w:r w:rsidRPr="000903B2">
        <w:rPr>
          <w:rFonts w:ascii="Arial" w:hAnsi="Arial" w:cs="Arial"/>
          <w:sz w:val="22"/>
          <w:szCs w:val="22"/>
        </w:rPr>
        <w:t>Tumour</w:t>
      </w:r>
      <w:proofErr w:type="spellEnd"/>
      <w:r w:rsidRPr="000903B2">
        <w:rPr>
          <w:rFonts w:ascii="Arial" w:hAnsi="Arial" w:cs="Arial"/>
          <w:sz w:val="22"/>
          <w:szCs w:val="22"/>
        </w:rPr>
        <w:t xml:space="preserve"> response was assessed at 12-week intervals. Overall response is presented in patients who had at least one measurable lesion at baseline by independent review. Objective responses were reported in patients with and without BRAF mutations. See Table </w:t>
      </w:r>
      <w:r w:rsidR="002E3F6C">
        <w:rPr>
          <w:rFonts w:ascii="Arial" w:hAnsi="Arial" w:cs="Arial"/>
          <w:sz w:val="22"/>
          <w:szCs w:val="22"/>
        </w:rPr>
        <w:t>1</w:t>
      </w:r>
      <w:r w:rsidRPr="000903B2">
        <w:rPr>
          <w:rFonts w:ascii="Arial" w:hAnsi="Arial" w:cs="Arial"/>
          <w:sz w:val="22"/>
          <w:szCs w:val="22"/>
        </w:rPr>
        <w:t xml:space="preserve"> for a summary of key efficacy measures in patients previously treated or naïve to treatment with</w:t>
      </w:r>
      <w:r w:rsidR="000B5DAF" w:rsidRPr="000B5DAF">
        <w:t xml:space="preserve"> </w:t>
      </w:r>
      <w:proofErr w:type="spellStart"/>
      <w:r w:rsidR="000B5DAF" w:rsidRPr="000B5DAF">
        <w:rPr>
          <w:rFonts w:ascii="Arial" w:hAnsi="Arial" w:cs="Arial"/>
          <w:sz w:val="22"/>
          <w:szCs w:val="22"/>
        </w:rPr>
        <w:t>ipilimumab</w:t>
      </w:r>
      <w:proofErr w:type="spellEnd"/>
      <w:r w:rsidR="000B5DAF" w:rsidRPr="000B5DAF">
        <w:rPr>
          <w:rFonts w:ascii="Arial" w:hAnsi="Arial" w:cs="Arial"/>
          <w:sz w:val="22"/>
          <w:szCs w:val="22"/>
        </w:rPr>
        <w:t>, receiving</w:t>
      </w:r>
      <w:r w:rsidRPr="000903B2">
        <w:rPr>
          <w:rFonts w:ascii="Arial" w:hAnsi="Arial" w:cs="Arial"/>
          <w:sz w:val="22"/>
          <w:szCs w:val="22"/>
        </w:rPr>
        <w:t xml:space="preserve"> KEYTRUDA at the recommended dose.</w:t>
      </w:r>
    </w:p>
    <w:p w:rsidR="000903B2" w:rsidRDefault="000903B2" w:rsidP="00D058F6">
      <w:pPr>
        <w:pStyle w:val="BodyText1"/>
        <w:ind w:firstLine="0"/>
        <w:jc w:val="both"/>
        <w:rPr>
          <w:rFonts w:ascii="Arial" w:hAnsi="Arial" w:cs="Arial"/>
          <w:sz w:val="22"/>
          <w:szCs w:val="22"/>
        </w:rPr>
      </w:pPr>
    </w:p>
    <w:p w:rsidR="000903B2" w:rsidRPr="00690AE2" w:rsidRDefault="000903B2" w:rsidP="0053450C">
      <w:pPr>
        <w:keepNext/>
        <w:autoSpaceDE w:val="0"/>
        <w:autoSpaceDN w:val="0"/>
        <w:adjustRightInd w:val="0"/>
        <w:jc w:val="center"/>
        <w:rPr>
          <w:b/>
          <w:szCs w:val="22"/>
        </w:rPr>
      </w:pPr>
      <w:r w:rsidRPr="00AB4F5F">
        <w:rPr>
          <w:b/>
          <w:szCs w:val="22"/>
        </w:rPr>
        <w:lastRenderedPageBreak/>
        <w:t xml:space="preserve">Table </w:t>
      </w:r>
      <w:r w:rsidR="002E3F6C">
        <w:rPr>
          <w:b/>
          <w:szCs w:val="22"/>
        </w:rPr>
        <w:t>1</w:t>
      </w:r>
      <w:r w:rsidRPr="00AB4F5F">
        <w:rPr>
          <w:b/>
          <w:szCs w:val="22"/>
        </w:rPr>
        <w:t>: Response to KEYTRUDA 2</w:t>
      </w:r>
      <w:r w:rsidRPr="00D74785">
        <w:rPr>
          <w:b/>
          <w:szCs w:val="22"/>
        </w:rPr>
        <w:t xml:space="preserve"> mg/kg every 3 Weeks </w:t>
      </w:r>
      <w:r>
        <w:rPr>
          <w:b/>
          <w:szCs w:val="22"/>
        </w:rPr>
        <w:br/>
      </w:r>
      <w:r w:rsidRPr="00690AE2">
        <w:rPr>
          <w:b/>
          <w:szCs w:val="22"/>
        </w:rPr>
        <w:t xml:space="preserve">in Patients with </w:t>
      </w:r>
      <w:proofErr w:type="spellStart"/>
      <w:r w:rsidRPr="00690AE2">
        <w:rPr>
          <w:b/>
          <w:szCs w:val="22"/>
        </w:rPr>
        <w:t>Unresectable</w:t>
      </w:r>
      <w:proofErr w:type="spellEnd"/>
      <w:r w:rsidRPr="00690AE2">
        <w:rPr>
          <w:b/>
          <w:szCs w:val="22"/>
        </w:rPr>
        <w:t xml:space="preserve"> or Metastatic Melanoma</w:t>
      </w:r>
    </w:p>
    <w:p w:rsidR="000903B2" w:rsidRPr="00690AE2" w:rsidRDefault="000903B2" w:rsidP="0053450C">
      <w:pPr>
        <w:keepNext/>
        <w:autoSpaceDE w:val="0"/>
        <w:autoSpaceDN w:val="0"/>
        <w:adjustRightInd w:val="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4"/>
        <w:gridCol w:w="2370"/>
        <w:gridCol w:w="2376"/>
      </w:tblGrid>
      <w:tr w:rsidR="000903B2" w:rsidRPr="007B4A4F" w:rsidTr="00855A57">
        <w:trPr>
          <w:jc w:val="center"/>
        </w:trPr>
        <w:tc>
          <w:tcPr>
            <w:tcW w:w="3574" w:type="dxa"/>
            <w:shd w:val="clear" w:color="auto" w:fill="auto"/>
          </w:tcPr>
          <w:p w:rsidR="000903B2" w:rsidRPr="007B4A4F" w:rsidRDefault="000903B2" w:rsidP="0053450C">
            <w:pPr>
              <w:keepNext/>
              <w:autoSpaceDE w:val="0"/>
              <w:autoSpaceDN w:val="0"/>
              <w:adjustRightInd w:val="0"/>
              <w:rPr>
                <w:b/>
                <w:szCs w:val="22"/>
              </w:rPr>
            </w:pPr>
            <w:r w:rsidRPr="007B4A4F">
              <w:rPr>
                <w:b/>
                <w:bCs/>
                <w:szCs w:val="22"/>
              </w:rPr>
              <w:t>Endpoint</w:t>
            </w:r>
          </w:p>
        </w:tc>
        <w:tc>
          <w:tcPr>
            <w:tcW w:w="2370" w:type="dxa"/>
          </w:tcPr>
          <w:p w:rsidR="007B4A4F" w:rsidRPr="007B4A4F" w:rsidRDefault="007B4A4F" w:rsidP="0053450C">
            <w:pPr>
              <w:keepNext/>
              <w:autoSpaceDE w:val="0"/>
              <w:autoSpaceDN w:val="0"/>
              <w:adjustRightInd w:val="0"/>
              <w:jc w:val="center"/>
              <w:rPr>
                <w:b/>
                <w:szCs w:val="22"/>
              </w:rPr>
            </w:pPr>
            <w:r w:rsidRPr="007B4A4F">
              <w:rPr>
                <w:b/>
                <w:szCs w:val="22"/>
              </w:rPr>
              <w:t>KEYTRUDA</w:t>
            </w:r>
          </w:p>
          <w:p w:rsidR="000903B2" w:rsidRPr="007B4A4F" w:rsidRDefault="000903B2" w:rsidP="0053450C">
            <w:pPr>
              <w:keepNext/>
              <w:autoSpaceDE w:val="0"/>
              <w:autoSpaceDN w:val="0"/>
              <w:adjustRightInd w:val="0"/>
              <w:jc w:val="center"/>
              <w:rPr>
                <w:b/>
                <w:szCs w:val="22"/>
              </w:rPr>
            </w:pPr>
            <w:r w:rsidRPr="007B4A4F">
              <w:rPr>
                <w:b/>
                <w:szCs w:val="22"/>
              </w:rPr>
              <w:t xml:space="preserve">2 mg/kg every 3 weeks in patients previously treated with </w:t>
            </w:r>
            <w:proofErr w:type="spellStart"/>
            <w:r w:rsidRPr="007B4A4F">
              <w:rPr>
                <w:b/>
                <w:szCs w:val="22"/>
              </w:rPr>
              <w:t>ipilimumab</w:t>
            </w:r>
            <w:proofErr w:type="spellEnd"/>
          </w:p>
        </w:tc>
        <w:tc>
          <w:tcPr>
            <w:tcW w:w="2376" w:type="dxa"/>
          </w:tcPr>
          <w:p w:rsidR="007B4A4F" w:rsidRPr="007B4A4F" w:rsidRDefault="007B4A4F" w:rsidP="0053450C">
            <w:pPr>
              <w:keepNext/>
              <w:autoSpaceDE w:val="0"/>
              <w:autoSpaceDN w:val="0"/>
              <w:adjustRightInd w:val="0"/>
              <w:jc w:val="center"/>
              <w:rPr>
                <w:b/>
                <w:szCs w:val="22"/>
              </w:rPr>
            </w:pPr>
            <w:r w:rsidRPr="007B4A4F">
              <w:rPr>
                <w:b/>
                <w:szCs w:val="22"/>
              </w:rPr>
              <w:t>KEYTRUDA</w:t>
            </w:r>
          </w:p>
          <w:p w:rsidR="000903B2" w:rsidRPr="007B4A4F" w:rsidRDefault="000903B2" w:rsidP="0053450C">
            <w:pPr>
              <w:keepNext/>
              <w:autoSpaceDE w:val="0"/>
              <w:autoSpaceDN w:val="0"/>
              <w:adjustRightInd w:val="0"/>
              <w:jc w:val="center"/>
              <w:rPr>
                <w:b/>
                <w:szCs w:val="22"/>
              </w:rPr>
            </w:pPr>
            <w:r w:rsidRPr="007B4A4F">
              <w:rPr>
                <w:b/>
                <w:szCs w:val="22"/>
              </w:rPr>
              <w:t xml:space="preserve">2 mg/kg every 3 weeks in patients naïve to treatment with </w:t>
            </w:r>
            <w:proofErr w:type="spellStart"/>
            <w:r w:rsidRPr="007B4A4F">
              <w:rPr>
                <w:b/>
                <w:szCs w:val="22"/>
              </w:rPr>
              <w:t>ipilimumab</w:t>
            </w:r>
            <w:proofErr w:type="spellEnd"/>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rPr>
                <w:szCs w:val="22"/>
              </w:rPr>
            </w:pPr>
            <w:r w:rsidRPr="00690AE2">
              <w:rPr>
                <w:b/>
                <w:bCs/>
                <w:szCs w:val="22"/>
              </w:rPr>
              <w:t>Best Overall Response</w:t>
            </w:r>
            <w:r w:rsidRPr="00690AE2">
              <w:rPr>
                <w:bCs/>
                <w:szCs w:val="22"/>
              </w:rPr>
              <w:t>*</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n=81</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n=65</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szCs w:val="22"/>
              </w:rPr>
            </w:pPr>
            <w:r w:rsidRPr="00690AE2">
              <w:rPr>
                <w:bCs/>
                <w:szCs w:val="22"/>
              </w:rPr>
              <w:t>ORR %, (95% CI)</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26% (17, 37)</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37% (25, 50)</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szCs w:val="22"/>
              </w:rPr>
            </w:pPr>
            <w:r w:rsidRPr="00690AE2">
              <w:rPr>
                <w:bCs/>
                <w:szCs w:val="22"/>
              </w:rPr>
              <w:t>Disease Control % (95% CI)</w:t>
            </w:r>
            <w:r w:rsidRPr="00690AE2">
              <w:rPr>
                <w:bCs/>
                <w:szCs w:val="22"/>
                <w:vertAlign w:val="superscript"/>
              </w:rPr>
              <w:t>†</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51% (39, 62)</w:t>
            </w:r>
            <w:r w:rsidR="00E749B9" w:rsidRPr="00213A88">
              <w:rPr>
                <w:rFonts w:cs="Arial"/>
                <w:sz w:val="18"/>
                <w:szCs w:val="18"/>
                <w:vertAlign w:val="superscript"/>
              </w:rPr>
              <w:t xml:space="preserve"> ‡</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51% (38, 63)</w:t>
            </w:r>
            <w:r w:rsidR="00E749B9" w:rsidRPr="00213A88">
              <w:rPr>
                <w:rFonts w:cs="Arial"/>
                <w:sz w:val="18"/>
                <w:szCs w:val="18"/>
                <w:vertAlign w:val="superscript"/>
              </w:rPr>
              <w:t xml:space="preserve"> §</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rPr>
                <w:bCs/>
                <w:szCs w:val="22"/>
              </w:rPr>
            </w:pPr>
            <w:r w:rsidRPr="00690AE2">
              <w:rPr>
                <w:b/>
                <w:bCs/>
                <w:szCs w:val="22"/>
              </w:rPr>
              <w:t>Response Duration</w:t>
            </w:r>
            <w:r w:rsidR="00E749B9" w:rsidRPr="00807989">
              <w:rPr>
                <w:rFonts w:cs="Arial"/>
                <w:sz w:val="18"/>
                <w:szCs w:val="18"/>
                <w:vertAlign w:val="superscript"/>
              </w:rPr>
              <w:t>¶</w:t>
            </w:r>
            <w:r w:rsidRPr="00690AE2">
              <w:rPr>
                <w:bCs/>
                <w:szCs w:val="22"/>
                <w:vertAlign w:val="superscript"/>
              </w:rPr>
              <w:t>‡</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n=21</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n=26</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bCs/>
                <w:szCs w:val="22"/>
              </w:rPr>
            </w:pPr>
            <w:r w:rsidRPr="00690AE2">
              <w:rPr>
                <w:bCs/>
                <w:szCs w:val="22"/>
              </w:rPr>
              <w:t>Median in weeks (range)</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Not reached (6+, 37+)</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Not reached (7+, 60+)</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bCs/>
                <w:szCs w:val="22"/>
              </w:rPr>
            </w:pPr>
            <w:r w:rsidRPr="00690AE2">
              <w:rPr>
                <w:bCs/>
                <w:szCs w:val="22"/>
              </w:rPr>
              <w:t>% ongoing</w:t>
            </w:r>
          </w:p>
        </w:tc>
        <w:tc>
          <w:tcPr>
            <w:tcW w:w="2370" w:type="dxa"/>
          </w:tcPr>
          <w:p w:rsidR="000903B2" w:rsidRPr="00690AE2" w:rsidRDefault="000903B2" w:rsidP="0053450C">
            <w:pPr>
              <w:keepNext/>
              <w:tabs>
                <w:tab w:val="left" w:pos="1120"/>
              </w:tabs>
              <w:autoSpaceDE w:val="0"/>
              <w:autoSpaceDN w:val="0"/>
              <w:adjustRightInd w:val="0"/>
              <w:jc w:val="center"/>
              <w:rPr>
                <w:bCs/>
                <w:szCs w:val="22"/>
              </w:rPr>
            </w:pPr>
            <w:r w:rsidRPr="00690AE2">
              <w:rPr>
                <w:bCs/>
                <w:szCs w:val="22"/>
              </w:rPr>
              <w:t>86%</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92%</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rPr>
                <w:b/>
                <w:bCs/>
                <w:szCs w:val="22"/>
              </w:rPr>
            </w:pPr>
            <w:r w:rsidRPr="00690AE2">
              <w:rPr>
                <w:b/>
                <w:bCs/>
                <w:szCs w:val="22"/>
              </w:rPr>
              <w:t>PFS</w:t>
            </w:r>
            <w:r w:rsidR="00E749B9" w:rsidRPr="00E749B9">
              <w:rPr>
                <w:rFonts w:cs="Arial"/>
                <w:sz w:val="18"/>
                <w:szCs w:val="18"/>
                <w:vertAlign w:val="superscript"/>
              </w:rPr>
              <w:t>#</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n=89</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n=73</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bCs/>
                <w:szCs w:val="22"/>
              </w:rPr>
            </w:pPr>
            <w:r w:rsidRPr="00690AE2">
              <w:rPr>
                <w:bCs/>
                <w:szCs w:val="22"/>
              </w:rPr>
              <w:t>Median in weeks (95% CI)</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22 (12, 36)</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36 (12, not available)</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bCs/>
                <w:szCs w:val="22"/>
              </w:rPr>
            </w:pPr>
            <w:r w:rsidRPr="00690AE2">
              <w:rPr>
                <w:bCs/>
                <w:szCs w:val="22"/>
              </w:rPr>
              <w:t>24-week PFS rate</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45%</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52%</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rPr>
                <w:b/>
                <w:bCs/>
                <w:szCs w:val="22"/>
              </w:rPr>
            </w:pPr>
            <w:r w:rsidRPr="00690AE2">
              <w:rPr>
                <w:b/>
                <w:bCs/>
                <w:szCs w:val="22"/>
              </w:rPr>
              <w:t>OS</w:t>
            </w:r>
            <w:r w:rsidRPr="00690AE2">
              <w:rPr>
                <w:bCs/>
                <w:szCs w:val="22"/>
                <w:vertAlign w:val="superscript"/>
              </w:rPr>
              <w:t>§</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n=89</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n=73</w:t>
            </w:r>
          </w:p>
        </w:tc>
      </w:tr>
      <w:tr w:rsidR="000903B2" w:rsidRPr="00690AE2" w:rsidTr="00855A57">
        <w:trPr>
          <w:jc w:val="center"/>
        </w:trPr>
        <w:tc>
          <w:tcPr>
            <w:tcW w:w="3574" w:type="dxa"/>
            <w:shd w:val="clear" w:color="auto" w:fill="auto"/>
          </w:tcPr>
          <w:p w:rsidR="000903B2" w:rsidRPr="00690AE2" w:rsidRDefault="000903B2" w:rsidP="0053450C">
            <w:pPr>
              <w:keepNext/>
              <w:autoSpaceDE w:val="0"/>
              <w:autoSpaceDN w:val="0"/>
              <w:adjustRightInd w:val="0"/>
              <w:ind w:left="150"/>
              <w:rPr>
                <w:bCs/>
                <w:szCs w:val="22"/>
              </w:rPr>
            </w:pPr>
            <w:r w:rsidRPr="00690AE2">
              <w:rPr>
                <w:bCs/>
                <w:szCs w:val="22"/>
              </w:rPr>
              <w:t>6-month OS rate</w:t>
            </w:r>
          </w:p>
        </w:tc>
        <w:tc>
          <w:tcPr>
            <w:tcW w:w="2370" w:type="dxa"/>
          </w:tcPr>
          <w:p w:rsidR="000903B2" w:rsidRPr="00690AE2" w:rsidRDefault="000903B2" w:rsidP="0053450C">
            <w:pPr>
              <w:keepNext/>
              <w:autoSpaceDE w:val="0"/>
              <w:autoSpaceDN w:val="0"/>
              <w:adjustRightInd w:val="0"/>
              <w:jc w:val="center"/>
              <w:rPr>
                <w:bCs/>
                <w:szCs w:val="22"/>
              </w:rPr>
            </w:pPr>
            <w:r w:rsidRPr="00690AE2">
              <w:rPr>
                <w:bCs/>
                <w:szCs w:val="22"/>
              </w:rPr>
              <w:t>79%</w:t>
            </w:r>
          </w:p>
        </w:tc>
        <w:tc>
          <w:tcPr>
            <w:tcW w:w="2376" w:type="dxa"/>
          </w:tcPr>
          <w:p w:rsidR="000903B2" w:rsidRPr="00690AE2" w:rsidRDefault="000903B2" w:rsidP="0053450C">
            <w:pPr>
              <w:keepNext/>
              <w:autoSpaceDE w:val="0"/>
              <w:autoSpaceDN w:val="0"/>
              <w:adjustRightInd w:val="0"/>
              <w:jc w:val="center"/>
              <w:rPr>
                <w:bCs/>
                <w:szCs w:val="22"/>
              </w:rPr>
            </w:pPr>
            <w:r w:rsidRPr="00690AE2">
              <w:rPr>
                <w:bCs/>
                <w:szCs w:val="22"/>
              </w:rPr>
              <w:t>83%</w:t>
            </w:r>
          </w:p>
        </w:tc>
      </w:tr>
    </w:tbl>
    <w:p w:rsidR="000903B2" w:rsidRDefault="000903B2" w:rsidP="0053450C">
      <w:pPr>
        <w:keepNext/>
        <w:autoSpaceDE w:val="0"/>
        <w:autoSpaceDN w:val="0"/>
        <w:adjustRightInd w:val="0"/>
        <w:ind w:left="1080" w:hanging="360"/>
        <w:rPr>
          <w:bCs/>
          <w:sz w:val="18"/>
          <w:szCs w:val="18"/>
        </w:rPr>
      </w:pPr>
      <w:r w:rsidRPr="00690AE2">
        <w:rPr>
          <w:bCs/>
          <w:sz w:val="18"/>
          <w:szCs w:val="18"/>
        </w:rPr>
        <w:t>*</w:t>
      </w:r>
      <w:r w:rsidRPr="00690AE2">
        <w:rPr>
          <w:bCs/>
          <w:sz w:val="18"/>
          <w:szCs w:val="18"/>
        </w:rPr>
        <w:tab/>
        <w:t>Based on patients with measurable disease by independent review and RECIST 1.1</w:t>
      </w:r>
    </w:p>
    <w:p w:rsidR="00E749B9" w:rsidRPr="00690AE2" w:rsidRDefault="00E749B9" w:rsidP="0053450C">
      <w:pPr>
        <w:keepNext/>
        <w:autoSpaceDE w:val="0"/>
        <w:autoSpaceDN w:val="0"/>
        <w:adjustRightInd w:val="0"/>
        <w:ind w:left="1080" w:hanging="360"/>
        <w:rPr>
          <w:bCs/>
          <w:sz w:val="18"/>
          <w:szCs w:val="18"/>
        </w:rPr>
      </w:pPr>
      <w:r w:rsidRPr="009F2FB2">
        <w:rPr>
          <w:bCs/>
          <w:sz w:val="18"/>
          <w:szCs w:val="18"/>
          <w:vertAlign w:val="superscript"/>
        </w:rPr>
        <w:t>†</w:t>
      </w:r>
      <w:r w:rsidRPr="009F2FB2">
        <w:rPr>
          <w:bCs/>
          <w:sz w:val="18"/>
          <w:szCs w:val="18"/>
        </w:rPr>
        <w:tab/>
      </w:r>
      <w:r w:rsidRPr="009F2FB2">
        <w:rPr>
          <w:sz w:val="18"/>
          <w:szCs w:val="18"/>
        </w:rPr>
        <w:t>Based on best response of stable disease or better</w:t>
      </w:r>
    </w:p>
    <w:p w:rsidR="000903B2" w:rsidRPr="00377A90" w:rsidRDefault="00E749B9" w:rsidP="0053450C">
      <w:pPr>
        <w:keepNext/>
        <w:autoSpaceDE w:val="0"/>
        <w:autoSpaceDN w:val="0"/>
        <w:adjustRightInd w:val="0"/>
        <w:ind w:left="1080" w:hanging="360"/>
        <w:rPr>
          <w:bCs/>
          <w:sz w:val="18"/>
          <w:szCs w:val="18"/>
        </w:rPr>
      </w:pPr>
      <w:r w:rsidRPr="00807989">
        <w:rPr>
          <w:rFonts w:cs="Arial"/>
          <w:sz w:val="18"/>
          <w:szCs w:val="18"/>
          <w:vertAlign w:val="superscript"/>
        </w:rPr>
        <w:t>‡</w:t>
      </w:r>
      <w:r w:rsidR="000903B2" w:rsidRPr="00690AE2">
        <w:rPr>
          <w:bCs/>
          <w:sz w:val="18"/>
          <w:szCs w:val="18"/>
        </w:rPr>
        <w:tab/>
      </w:r>
      <w:r w:rsidR="000903B2" w:rsidRPr="00377A90">
        <w:rPr>
          <w:bCs/>
          <w:sz w:val="18"/>
          <w:szCs w:val="18"/>
        </w:rPr>
        <w:t>1% of patients had a complete response, 25% had a partial response, and 25% had stable disease.</w:t>
      </w:r>
    </w:p>
    <w:p w:rsidR="000903B2" w:rsidRPr="00377A90" w:rsidRDefault="00E749B9" w:rsidP="0053450C">
      <w:pPr>
        <w:keepNext/>
        <w:autoSpaceDE w:val="0"/>
        <w:autoSpaceDN w:val="0"/>
        <w:adjustRightInd w:val="0"/>
        <w:ind w:left="1080" w:hanging="360"/>
        <w:rPr>
          <w:bCs/>
          <w:sz w:val="18"/>
          <w:szCs w:val="18"/>
        </w:rPr>
      </w:pPr>
      <w:r w:rsidRPr="00807989">
        <w:rPr>
          <w:rFonts w:cs="Arial"/>
          <w:sz w:val="18"/>
          <w:szCs w:val="18"/>
          <w:vertAlign w:val="superscript"/>
        </w:rPr>
        <w:t>§</w:t>
      </w:r>
      <w:r w:rsidR="000903B2" w:rsidRPr="00377A90">
        <w:rPr>
          <w:bCs/>
          <w:sz w:val="18"/>
          <w:szCs w:val="18"/>
        </w:rPr>
        <w:tab/>
        <w:t>6% of patients had a complete response, 31% had a partial response, and 14% had stable disease.</w:t>
      </w:r>
    </w:p>
    <w:p w:rsidR="000903B2" w:rsidRPr="00690AE2" w:rsidRDefault="00E749B9" w:rsidP="0053450C">
      <w:pPr>
        <w:keepNext/>
        <w:autoSpaceDE w:val="0"/>
        <w:autoSpaceDN w:val="0"/>
        <w:adjustRightInd w:val="0"/>
        <w:ind w:left="1080" w:hanging="360"/>
        <w:rPr>
          <w:bCs/>
          <w:sz w:val="18"/>
          <w:szCs w:val="18"/>
        </w:rPr>
      </w:pPr>
      <w:r w:rsidRPr="00807989">
        <w:rPr>
          <w:rFonts w:cs="Arial"/>
          <w:sz w:val="18"/>
          <w:szCs w:val="18"/>
          <w:vertAlign w:val="superscript"/>
        </w:rPr>
        <w:t>¶</w:t>
      </w:r>
      <w:r w:rsidR="000903B2" w:rsidRPr="00690AE2">
        <w:rPr>
          <w:bCs/>
          <w:sz w:val="18"/>
          <w:szCs w:val="18"/>
        </w:rPr>
        <w:tab/>
      </w:r>
      <w:proofErr w:type="gramStart"/>
      <w:r w:rsidR="000903B2" w:rsidRPr="00690AE2">
        <w:rPr>
          <w:bCs/>
          <w:sz w:val="18"/>
          <w:szCs w:val="18"/>
        </w:rPr>
        <w:t>Based</w:t>
      </w:r>
      <w:proofErr w:type="gramEnd"/>
      <w:r w:rsidR="000903B2" w:rsidRPr="00690AE2">
        <w:rPr>
          <w:bCs/>
          <w:sz w:val="18"/>
          <w:szCs w:val="18"/>
        </w:rPr>
        <w:t xml:space="preserve"> on patients with a confirmed response by independent review </w:t>
      </w:r>
    </w:p>
    <w:p w:rsidR="000903B2" w:rsidRPr="00690AE2" w:rsidRDefault="00E749B9" w:rsidP="000903B2">
      <w:pPr>
        <w:autoSpaceDE w:val="0"/>
        <w:autoSpaceDN w:val="0"/>
        <w:adjustRightInd w:val="0"/>
        <w:ind w:left="1080" w:hanging="360"/>
        <w:rPr>
          <w:bCs/>
          <w:sz w:val="18"/>
          <w:szCs w:val="18"/>
        </w:rPr>
      </w:pPr>
      <w:r w:rsidRPr="00807989">
        <w:rPr>
          <w:rFonts w:cs="Arial"/>
          <w:sz w:val="18"/>
          <w:szCs w:val="18"/>
          <w:vertAlign w:val="superscript"/>
        </w:rPr>
        <w:t>#</w:t>
      </w:r>
      <w:r w:rsidR="000903B2" w:rsidRPr="00690AE2">
        <w:rPr>
          <w:b/>
          <w:bCs/>
          <w:sz w:val="18"/>
          <w:szCs w:val="18"/>
        </w:rPr>
        <w:tab/>
      </w:r>
      <w:proofErr w:type="gramStart"/>
      <w:r w:rsidR="000903B2" w:rsidRPr="00690AE2">
        <w:rPr>
          <w:bCs/>
          <w:sz w:val="18"/>
          <w:szCs w:val="18"/>
        </w:rPr>
        <w:t>Based</w:t>
      </w:r>
      <w:proofErr w:type="gramEnd"/>
      <w:r w:rsidR="000903B2" w:rsidRPr="00690AE2">
        <w:rPr>
          <w:bCs/>
          <w:sz w:val="18"/>
          <w:szCs w:val="18"/>
        </w:rPr>
        <w:t xml:space="preserve"> on all treated patients</w:t>
      </w:r>
    </w:p>
    <w:p w:rsidR="003345BB" w:rsidRDefault="003345BB" w:rsidP="000903B2">
      <w:pPr>
        <w:autoSpaceDE w:val="0"/>
        <w:autoSpaceDN w:val="0"/>
        <w:adjustRightInd w:val="0"/>
        <w:rPr>
          <w:szCs w:val="22"/>
        </w:rPr>
      </w:pPr>
    </w:p>
    <w:p w:rsidR="00E749B9" w:rsidRPr="00E749B9" w:rsidRDefault="00E749B9" w:rsidP="00E749B9">
      <w:pPr>
        <w:autoSpaceDE w:val="0"/>
        <w:autoSpaceDN w:val="0"/>
        <w:adjustRightInd w:val="0"/>
        <w:rPr>
          <w:szCs w:val="22"/>
        </w:rPr>
      </w:pPr>
      <w:r w:rsidRPr="00E749B9">
        <w:rPr>
          <w:szCs w:val="22"/>
        </w:rPr>
        <w:t xml:space="preserve">BRAF mutation status was recorded at baseline. In patients previously treated with </w:t>
      </w:r>
      <w:proofErr w:type="spellStart"/>
      <w:r w:rsidRPr="00E749B9">
        <w:rPr>
          <w:szCs w:val="22"/>
        </w:rPr>
        <w:t>ipilimumab</w:t>
      </w:r>
      <w:proofErr w:type="spellEnd"/>
      <w:r w:rsidRPr="00E749B9">
        <w:rPr>
          <w:szCs w:val="22"/>
        </w:rPr>
        <w:t xml:space="preserve"> who had BRAF wild-type tumours (n=163) or who had BRAF mutant tumours (n=34), the ORR in patients with measurable disease was 31% (95% confidence interval (CI): 24, 39) and 15% (95% CI: 5, 31), respectively, across all doses. All but 5 patients with BRAF mutant tumours received treatment with a BRAF inhibitor before study </w:t>
      </w:r>
      <w:proofErr w:type="spellStart"/>
      <w:r w:rsidRPr="00E749B9">
        <w:rPr>
          <w:szCs w:val="22"/>
        </w:rPr>
        <w:t>enrollment</w:t>
      </w:r>
      <w:proofErr w:type="spellEnd"/>
      <w:r w:rsidRPr="00E749B9">
        <w:rPr>
          <w:szCs w:val="22"/>
        </w:rPr>
        <w:t xml:space="preserve">. In patients who were naïve to </w:t>
      </w:r>
      <w:proofErr w:type="spellStart"/>
      <w:r w:rsidRPr="00E749B9">
        <w:rPr>
          <w:szCs w:val="22"/>
        </w:rPr>
        <w:t>ipilimumab</w:t>
      </w:r>
      <w:proofErr w:type="spellEnd"/>
      <w:r w:rsidRPr="00E749B9">
        <w:rPr>
          <w:szCs w:val="22"/>
        </w:rPr>
        <w:t xml:space="preserve"> who had BRAF wild-type tumours (n=168), had BRAF mutant tumours but no prior BRAF inhibitor treatment (n=25), or had BRAF mutant tumours and who received prior treatment with a BRAF inhibitor (n=26), the ORR was 43% (95% CI: 34, 53), 37% (95% CI: 18, 58), and 27% (95% CI: 12, 48), respectively.</w:t>
      </w:r>
    </w:p>
    <w:p w:rsidR="00E749B9" w:rsidRPr="00E749B9" w:rsidRDefault="00E749B9" w:rsidP="00E749B9">
      <w:pPr>
        <w:autoSpaceDE w:val="0"/>
        <w:autoSpaceDN w:val="0"/>
        <w:adjustRightInd w:val="0"/>
        <w:rPr>
          <w:szCs w:val="22"/>
        </w:rPr>
      </w:pPr>
    </w:p>
    <w:p w:rsidR="00E749B9" w:rsidRDefault="00E749B9" w:rsidP="00E749B9">
      <w:pPr>
        <w:autoSpaceDE w:val="0"/>
        <w:autoSpaceDN w:val="0"/>
        <w:adjustRightInd w:val="0"/>
        <w:rPr>
          <w:szCs w:val="22"/>
        </w:rPr>
      </w:pPr>
      <w:r w:rsidRPr="00E749B9">
        <w:rPr>
          <w:szCs w:val="22"/>
        </w:rPr>
        <w:t xml:space="preserve">PD-L1 expression was tested retrospectively by immunohistochemistry research assay with the 22C3 anti-PD-L1 antibody. Of the 275 PD-L1 evaluable patients, 77% were PD-L1 positive (defined as membrane staining of at least 1% of neoplastic or inflammatory cells within the tumour nests). In patients previously treated with </w:t>
      </w:r>
      <w:proofErr w:type="spellStart"/>
      <w:r w:rsidRPr="00E749B9">
        <w:rPr>
          <w:szCs w:val="22"/>
        </w:rPr>
        <w:t>ipilimumab</w:t>
      </w:r>
      <w:proofErr w:type="spellEnd"/>
      <w:r w:rsidRPr="00E749B9">
        <w:rPr>
          <w:szCs w:val="22"/>
        </w:rPr>
        <w:t xml:space="preserve"> who were PD-L1 positive (n=118) and PD-L1 negative (n=23), the ORR in patients with measurable disease was 36% (95% CI: 27, 45) and 9% (95% CI: 1, 28), respectively, across all doses. In patients who were naïve to </w:t>
      </w:r>
      <w:proofErr w:type="spellStart"/>
      <w:r w:rsidRPr="00E749B9">
        <w:rPr>
          <w:szCs w:val="22"/>
        </w:rPr>
        <w:t>ipilimumab</w:t>
      </w:r>
      <w:proofErr w:type="spellEnd"/>
      <w:r w:rsidRPr="00E749B9">
        <w:rPr>
          <w:szCs w:val="22"/>
        </w:rPr>
        <w:t xml:space="preserve"> who were PD-L1 positive (n=76) and PD-L1 negative (n=31), the ORR was 51% (95% CI: 40, 63%) and 10% (95% CI: 2, 26), respectively. The median response duration has not been reached in any PD-L1 subgroup.</w:t>
      </w:r>
    </w:p>
    <w:p w:rsidR="00E749B9" w:rsidRDefault="00E749B9" w:rsidP="000903B2">
      <w:pPr>
        <w:autoSpaceDE w:val="0"/>
        <w:autoSpaceDN w:val="0"/>
        <w:adjustRightInd w:val="0"/>
        <w:rPr>
          <w:szCs w:val="22"/>
        </w:rPr>
      </w:pPr>
    </w:p>
    <w:p w:rsidR="000903B2" w:rsidRPr="00D74785" w:rsidRDefault="000903B2" w:rsidP="008476E9">
      <w:pPr>
        <w:autoSpaceDE w:val="0"/>
        <w:autoSpaceDN w:val="0"/>
        <w:adjustRightInd w:val="0"/>
        <w:rPr>
          <w:strike/>
          <w:szCs w:val="22"/>
        </w:rPr>
      </w:pPr>
      <w:r w:rsidRPr="00690AE2">
        <w:rPr>
          <w:szCs w:val="22"/>
        </w:rPr>
        <w:t xml:space="preserve">Results for patients previously treated with </w:t>
      </w:r>
      <w:proofErr w:type="spellStart"/>
      <w:r w:rsidRPr="00690AE2">
        <w:rPr>
          <w:szCs w:val="22"/>
        </w:rPr>
        <w:t>ipilimumab</w:t>
      </w:r>
      <w:proofErr w:type="spellEnd"/>
      <w:r w:rsidRPr="00690AE2">
        <w:rPr>
          <w:szCs w:val="22"/>
        </w:rPr>
        <w:t xml:space="preserve"> (n=116) and naïve to treatment with </w:t>
      </w:r>
      <w:proofErr w:type="spellStart"/>
      <w:r w:rsidRPr="00690AE2">
        <w:rPr>
          <w:szCs w:val="22"/>
        </w:rPr>
        <w:t>ipilimumab</w:t>
      </w:r>
      <w:proofErr w:type="spellEnd"/>
      <w:r w:rsidRPr="00690AE2">
        <w:rPr>
          <w:szCs w:val="22"/>
        </w:rPr>
        <w:t xml:space="preserve"> (n=76) who received 10 mg/kg of KEYTRUDA every 3 weeks were similar to those seen in patients who received </w:t>
      </w:r>
      <w:r>
        <w:rPr>
          <w:szCs w:val="22"/>
        </w:rPr>
        <w:t>2 mg/kg of KEYTRUDA every 3 </w:t>
      </w:r>
      <w:r w:rsidRPr="00690AE2">
        <w:rPr>
          <w:szCs w:val="22"/>
        </w:rPr>
        <w:t>weeks.</w:t>
      </w:r>
      <w:r w:rsidRPr="00D74785">
        <w:rPr>
          <w:szCs w:val="22"/>
        </w:rPr>
        <w:t xml:space="preserve"> </w:t>
      </w:r>
    </w:p>
    <w:p w:rsidR="000903B2" w:rsidRDefault="000903B2" w:rsidP="00A74F3F">
      <w:pPr>
        <w:pStyle w:val="BodyText1"/>
        <w:ind w:firstLine="0"/>
        <w:jc w:val="both"/>
        <w:rPr>
          <w:rFonts w:ascii="Arial" w:hAnsi="Arial" w:cs="Arial"/>
          <w:sz w:val="22"/>
          <w:szCs w:val="22"/>
        </w:rPr>
      </w:pPr>
    </w:p>
    <w:p w:rsidR="00D058F6" w:rsidRPr="001D71DE" w:rsidRDefault="00D058F6" w:rsidP="009E3288">
      <w:pPr>
        <w:pStyle w:val="BodyText1"/>
        <w:pageBreakBefore/>
        <w:ind w:firstLine="0"/>
        <w:jc w:val="both"/>
        <w:rPr>
          <w:rFonts w:ascii="Arial" w:hAnsi="Arial" w:cs="Arial"/>
          <w:b/>
          <w:sz w:val="22"/>
          <w:szCs w:val="22"/>
        </w:rPr>
      </w:pPr>
      <w:r w:rsidRPr="001D71DE">
        <w:rPr>
          <w:rFonts w:ascii="Arial" w:hAnsi="Arial" w:cs="Arial"/>
          <w:b/>
          <w:sz w:val="22"/>
          <w:szCs w:val="22"/>
        </w:rPr>
        <w:lastRenderedPageBreak/>
        <w:t>Immunogenicity</w:t>
      </w:r>
    </w:p>
    <w:p w:rsidR="000903B2" w:rsidRDefault="000903B2" w:rsidP="00555F36">
      <w:pPr>
        <w:pStyle w:val="Heading1"/>
        <w:spacing w:before="0" w:after="0"/>
        <w:rPr>
          <w:b w:val="0"/>
          <w:sz w:val="22"/>
          <w:szCs w:val="22"/>
        </w:rPr>
      </w:pPr>
      <w:r w:rsidRPr="000903B2">
        <w:rPr>
          <w:b w:val="0"/>
          <w:sz w:val="22"/>
          <w:szCs w:val="22"/>
        </w:rPr>
        <w:t xml:space="preserve">In clinical studies, one (0.8%) of 130 evaluable patients tested positive for binding antibodies against </w:t>
      </w:r>
      <w:proofErr w:type="spellStart"/>
      <w:r w:rsidRPr="000903B2">
        <w:rPr>
          <w:b w:val="0"/>
          <w:sz w:val="22"/>
          <w:szCs w:val="22"/>
        </w:rPr>
        <w:t>pembrolizumab</w:t>
      </w:r>
      <w:proofErr w:type="spellEnd"/>
      <w:r w:rsidRPr="000903B2">
        <w:rPr>
          <w:b w:val="0"/>
          <w:sz w:val="22"/>
          <w:szCs w:val="22"/>
        </w:rPr>
        <w:t xml:space="preserve"> during treatment with KEYTRUDA. In this one case, the antibodies were found to be neutralizing against </w:t>
      </w:r>
      <w:proofErr w:type="spellStart"/>
      <w:r w:rsidRPr="000903B2">
        <w:rPr>
          <w:b w:val="0"/>
          <w:sz w:val="22"/>
          <w:szCs w:val="22"/>
        </w:rPr>
        <w:t>pembrolizumab</w:t>
      </w:r>
      <w:proofErr w:type="spellEnd"/>
      <w:r w:rsidRPr="000903B2">
        <w:rPr>
          <w:b w:val="0"/>
          <w:sz w:val="22"/>
          <w:szCs w:val="22"/>
        </w:rPr>
        <w:t xml:space="preserve"> without apparent clinical sequelae.</w:t>
      </w:r>
    </w:p>
    <w:p w:rsidR="000903B2" w:rsidRDefault="000903B2" w:rsidP="00555F36"/>
    <w:p w:rsidR="007B4A4F" w:rsidRPr="000903B2" w:rsidRDefault="007B4A4F" w:rsidP="00555F36">
      <w:r w:rsidRPr="007B4A4F">
        <w:t xml:space="preserve">In the subgroup of patients treated with the dose regimen of 2 mg/kg every 3 weeks, none of the 97 evaluable patients tested positive for binding antibodies to </w:t>
      </w:r>
      <w:proofErr w:type="spellStart"/>
      <w:r w:rsidRPr="007B4A4F">
        <w:t>pembrolizumab</w:t>
      </w:r>
      <w:proofErr w:type="spellEnd"/>
      <w:r w:rsidRPr="007B4A4F">
        <w:t xml:space="preserve"> during treatment with KEYTRUDA.</w:t>
      </w:r>
    </w:p>
    <w:p w:rsidR="003A6F1C" w:rsidRPr="001D71DE" w:rsidRDefault="003A6F1C" w:rsidP="00616E61">
      <w:pPr>
        <w:pStyle w:val="Heading1"/>
        <w:rPr>
          <w:rFonts w:cs="Arial"/>
        </w:rPr>
      </w:pPr>
      <w:r w:rsidRPr="00F00824">
        <w:rPr>
          <w:rFonts w:cs="Arial"/>
        </w:rPr>
        <w:t>INDICATIONS</w:t>
      </w:r>
    </w:p>
    <w:p w:rsidR="00D058F6" w:rsidRDefault="00D058F6" w:rsidP="00616E61">
      <w:pPr>
        <w:pStyle w:val="Heading1"/>
        <w:spacing w:before="0" w:after="0"/>
        <w:rPr>
          <w:rFonts w:cs="Arial"/>
          <w:b w:val="0"/>
          <w:sz w:val="22"/>
        </w:rPr>
      </w:pPr>
      <w:r w:rsidRPr="003345BB">
        <w:rPr>
          <w:rFonts w:cs="Arial"/>
          <w:b w:val="0"/>
          <w:sz w:val="22"/>
        </w:rPr>
        <w:t>KEYTRUDA</w:t>
      </w:r>
      <w:r w:rsidRPr="003345BB">
        <w:rPr>
          <w:rFonts w:cs="Arial"/>
          <w:b w:val="0"/>
          <w:sz w:val="22"/>
          <w:vertAlign w:val="superscript"/>
        </w:rPr>
        <w:t>®</w:t>
      </w:r>
      <w:r w:rsidRPr="003345BB">
        <w:rPr>
          <w:rFonts w:cs="Arial"/>
          <w:b w:val="0"/>
          <w:sz w:val="22"/>
        </w:rPr>
        <w:t xml:space="preserve"> (</w:t>
      </w:r>
      <w:proofErr w:type="spellStart"/>
      <w:r w:rsidRPr="003345BB">
        <w:rPr>
          <w:rFonts w:cs="Arial"/>
          <w:b w:val="0"/>
          <w:sz w:val="22"/>
        </w:rPr>
        <w:t>pembrolizumab</w:t>
      </w:r>
      <w:proofErr w:type="spellEnd"/>
      <w:r w:rsidRPr="003345BB">
        <w:rPr>
          <w:rFonts w:cs="Arial"/>
          <w:b w:val="0"/>
          <w:sz w:val="22"/>
        </w:rPr>
        <w:t xml:space="preserve">) is indicated </w:t>
      </w:r>
      <w:r w:rsidR="00687073">
        <w:rPr>
          <w:rFonts w:cs="Arial"/>
          <w:b w:val="0"/>
          <w:sz w:val="22"/>
        </w:rPr>
        <w:t xml:space="preserve">as monotherapy </w:t>
      </w:r>
      <w:r w:rsidRPr="003345BB">
        <w:rPr>
          <w:rFonts w:cs="Arial"/>
          <w:b w:val="0"/>
          <w:sz w:val="22"/>
        </w:rPr>
        <w:t xml:space="preserve">for the treatment of </w:t>
      </w:r>
      <w:proofErr w:type="spellStart"/>
      <w:r w:rsidRPr="003345BB">
        <w:rPr>
          <w:rFonts w:cs="Arial"/>
          <w:b w:val="0"/>
          <w:sz w:val="22"/>
        </w:rPr>
        <w:t>unresectable</w:t>
      </w:r>
      <w:proofErr w:type="spellEnd"/>
      <w:r w:rsidRPr="003345BB">
        <w:rPr>
          <w:rFonts w:cs="Arial"/>
          <w:b w:val="0"/>
          <w:sz w:val="22"/>
        </w:rPr>
        <w:t xml:space="preserve"> or metastatic</w:t>
      </w:r>
      <w:r w:rsidRPr="001D71DE">
        <w:rPr>
          <w:rFonts w:cs="Arial"/>
          <w:b w:val="0"/>
          <w:sz w:val="22"/>
        </w:rPr>
        <w:t xml:space="preserve"> melanoma</w:t>
      </w:r>
      <w:r w:rsidR="00FF4074">
        <w:rPr>
          <w:rFonts w:cs="Arial"/>
          <w:b w:val="0"/>
          <w:sz w:val="22"/>
        </w:rPr>
        <w:t xml:space="preserve"> in adults</w:t>
      </w:r>
      <w:r w:rsidRPr="001D71DE">
        <w:rPr>
          <w:rFonts w:cs="Arial"/>
          <w:b w:val="0"/>
          <w:sz w:val="22"/>
        </w:rPr>
        <w:t>.</w:t>
      </w:r>
    </w:p>
    <w:p w:rsidR="003A6F1C" w:rsidRPr="001D71DE" w:rsidRDefault="003A6F1C" w:rsidP="00C37383">
      <w:pPr>
        <w:pStyle w:val="Heading1"/>
        <w:rPr>
          <w:rFonts w:cs="Arial"/>
          <w:b w:val="0"/>
          <w:sz w:val="22"/>
        </w:rPr>
      </w:pPr>
      <w:r w:rsidRPr="001D71DE">
        <w:rPr>
          <w:rFonts w:cs="Arial"/>
        </w:rPr>
        <w:t>CONTRAINDICATIONS</w:t>
      </w:r>
    </w:p>
    <w:p w:rsidR="00D058F6" w:rsidRPr="000903B2" w:rsidRDefault="00B244FE" w:rsidP="00C37383">
      <w:pPr>
        <w:pStyle w:val="BodyText1"/>
        <w:spacing w:before="0"/>
        <w:ind w:firstLine="0"/>
        <w:jc w:val="both"/>
        <w:rPr>
          <w:rFonts w:ascii="Arial" w:hAnsi="Arial" w:cs="Arial"/>
          <w:sz w:val="22"/>
          <w:szCs w:val="20"/>
        </w:rPr>
      </w:pPr>
      <w:r w:rsidRPr="00B244FE">
        <w:rPr>
          <w:rFonts w:ascii="Arial" w:hAnsi="Arial" w:cs="Arial"/>
          <w:color w:val="000000"/>
          <w:sz w:val="22"/>
          <w:szCs w:val="20"/>
        </w:rPr>
        <w:t xml:space="preserve">KEYTRUDA is contraindicated in patients with hypersensitivity to </w:t>
      </w:r>
      <w:proofErr w:type="spellStart"/>
      <w:r w:rsidRPr="00B244FE">
        <w:rPr>
          <w:rFonts w:ascii="Arial" w:hAnsi="Arial" w:cs="Arial"/>
          <w:color w:val="000000"/>
          <w:sz w:val="22"/>
          <w:szCs w:val="20"/>
        </w:rPr>
        <w:t>pembrolizumab</w:t>
      </w:r>
      <w:proofErr w:type="spellEnd"/>
      <w:r w:rsidRPr="00B244FE">
        <w:rPr>
          <w:rFonts w:ascii="Arial" w:hAnsi="Arial" w:cs="Arial"/>
          <w:color w:val="000000"/>
          <w:sz w:val="22"/>
          <w:szCs w:val="20"/>
        </w:rPr>
        <w:t xml:space="preserve"> or any of the inactive ingredients </w:t>
      </w:r>
      <w:r w:rsidR="000903B2" w:rsidRPr="000903B2">
        <w:rPr>
          <w:rFonts w:ascii="Arial" w:hAnsi="Arial" w:cs="Arial"/>
          <w:i/>
          <w:color w:val="000000"/>
          <w:sz w:val="22"/>
          <w:szCs w:val="20"/>
        </w:rPr>
        <w:t>[See DESCRIPTION]</w:t>
      </w:r>
      <w:r w:rsidR="000903B2">
        <w:rPr>
          <w:rFonts w:ascii="Arial" w:hAnsi="Arial" w:cs="Arial"/>
          <w:color w:val="000000"/>
          <w:sz w:val="22"/>
          <w:szCs w:val="20"/>
        </w:rPr>
        <w:t>.</w:t>
      </w:r>
    </w:p>
    <w:p w:rsidR="003A6F1C" w:rsidRPr="001D71DE" w:rsidRDefault="003A6F1C" w:rsidP="00C37383">
      <w:pPr>
        <w:pStyle w:val="Heading1"/>
        <w:rPr>
          <w:rFonts w:cs="Arial"/>
        </w:rPr>
      </w:pPr>
      <w:r w:rsidRPr="001D71DE">
        <w:rPr>
          <w:rFonts w:cs="Arial"/>
        </w:rPr>
        <w:t>PRECAUTIONS</w:t>
      </w:r>
    </w:p>
    <w:p w:rsidR="00D058F6" w:rsidRPr="001D71DE" w:rsidRDefault="00D058F6" w:rsidP="00C37383">
      <w:pPr>
        <w:pStyle w:val="Heading2"/>
        <w:spacing w:before="0" w:after="0"/>
        <w:rPr>
          <w:rFonts w:ascii="Arial" w:hAnsi="Arial" w:cs="Arial"/>
        </w:rPr>
      </w:pPr>
      <w:r w:rsidRPr="001D71DE">
        <w:rPr>
          <w:rFonts w:ascii="Arial" w:hAnsi="Arial" w:cs="Arial"/>
        </w:rPr>
        <w:t>Immune-mediated Adverse Reactions</w:t>
      </w:r>
    </w:p>
    <w:p w:rsidR="000903B2" w:rsidRPr="000903B2" w:rsidRDefault="000903B2" w:rsidP="008476E9">
      <w:pPr>
        <w:pStyle w:val="BodyText1"/>
        <w:ind w:firstLine="0"/>
        <w:jc w:val="both"/>
        <w:rPr>
          <w:rFonts w:ascii="Arial" w:hAnsi="Arial" w:cs="Arial"/>
          <w:sz w:val="22"/>
          <w:szCs w:val="20"/>
        </w:rPr>
      </w:pPr>
      <w:r w:rsidRPr="000903B2">
        <w:rPr>
          <w:rFonts w:ascii="Arial" w:hAnsi="Arial" w:cs="Arial"/>
          <w:sz w:val="22"/>
          <w:szCs w:val="20"/>
        </w:rPr>
        <w:t>Immune-mediated adverse reactions occurred in patients receiving KEYTRUDA. In clinical trials, most immune-mediated adverse reactions</w:t>
      </w:r>
      <w:r w:rsidR="00CC39C0">
        <w:rPr>
          <w:rFonts w:ascii="Arial" w:hAnsi="Arial" w:cs="Arial"/>
          <w:sz w:val="22"/>
          <w:szCs w:val="20"/>
        </w:rPr>
        <w:t xml:space="preserve"> occurred during treatment,</w:t>
      </w:r>
      <w:r w:rsidRPr="000903B2">
        <w:rPr>
          <w:rFonts w:ascii="Arial" w:hAnsi="Arial" w:cs="Arial"/>
          <w:sz w:val="22"/>
          <w:szCs w:val="20"/>
        </w:rPr>
        <w:t xml:space="preserve"> were reversible and managed with interruptions of KEYTRUDA, administration of corticosteroids and</w:t>
      </w:r>
      <w:r w:rsidR="005B08D4">
        <w:rPr>
          <w:rFonts w:ascii="Arial" w:hAnsi="Arial" w:cs="Arial"/>
          <w:sz w:val="22"/>
          <w:szCs w:val="20"/>
        </w:rPr>
        <w:t>/or</w:t>
      </w:r>
      <w:r w:rsidRPr="000903B2">
        <w:rPr>
          <w:rFonts w:ascii="Arial" w:hAnsi="Arial" w:cs="Arial"/>
          <w:sz w:val="22"/>
          <w:szCs w:val="20"/>
        </w:rPr>
        <w:t xml:space="preserve"> supportive care.</w:t>
      </w:r>
      <w:r w:rsidR="00CC39C0">
        <w:rPr>
          <w:rFonts w:ascii="Arial" w:hAnsi="Arial" w:cs="Arial"/>
          <w:sz w:val="22"/>
          <w:szCs w:val="20"/>
        </w:rPr>
        <w:t xml:space="preserve"> </w:t>
      </w:r>
      <w:r w:rsidR="00CC39C0" w:rsidRPr="00CC39C0">
        <w:rPr>
          <w:rFonts w:ascii="Arial" w:hAnsi="Arial" w:cs="Arial"/>
          <w:sz w:val="22"/>
          <w:szCs w:val="20"/>
        </w:rPr>
        <w:t>Immune-related adverse reactions have also occurred after the last dose of KEYTRUDA.</w:t>
      </w:r>
    </w:p>
    <w:p w:rsidR="000903B2" w:rsidRPr="000903B2" w:rsidRDefault="000903B2" w:rsidP="008476E9">
      <w:pPr>
        <w:pStyle w:val="BodyText1"/>
        <w:ind w:firstLine="0"/>
        <w:jc w:val="both"/>
        <w:rPr>
          <w:rFonts w:ascii="Arial" w:hAnsi="Arial" w:cs="Arial"/>
          <w:sz w:val="22"/>
          <w:szCs w:val="20"/>
        </w:rPr>
      </w:pPr>
    </w:p>
    <w:p w:rsidR="000903B2" w:rsidRPr="000903B2" w:rsidRDefault="000903B2" w:rsidP="008476E9">
      <w:pPr>
        <w:pStyle w:val="BodyText1"/>
        <w:ind w:firstLine="0"/>
        <w:jc w:val="both"/>
        <w:rPr>
          <w:rFonts w:ascii="Arial" w:hAnsi="Arial" w:cs="Arial"/>
          <w:sz w:val="22"/>
          <w:szCs w:val="20"/>
        </w:rPr>
      </w:pPr>
      <w:r w:rsidRPr="000903B2">
        <w:rPr>
          <w:rFonts w:ascii="Arial" w:hAnsi="Arial" w:cs="Arial"/>
          <w:sz w:val="22"/>
          <w:szCs w:val="20"/>
        </w:rPr>
        <w:t>For suspected immune-mediated adverse reactions, ensure adequate evaluation to confirm etiology or exclude other causes. Based on the severity of the adverse reaction, withhold KEYTRUDA and administer corticosteroids (see below). Upon improvement to Grade 1 or less, initiate corticosteroid taper and continue to taper over at least 1 month. Restart KEYTRUDA if the adverse reaction remains at Grade 1 or less</w:t>
      </w:r>
      <w:r w:rsidR="00E749B9">
        <w:rPr>
          <w:rFonts w:ascii="Arial" w:hAnsi="Arial" w:cs="Arial"/>
          <w:sz w:val="22"/>
          <w:szCs w:val="20"/>
        </w:rPr>
        <w:t xml:space="preserve"> </w:t>
      </w:r>
      <w:r w:rsidR="00E749B9" w:rsidRPr="00E749B9">
        <w:rPr>
          <w:rFonts w:ascii="Arial" w:hAnsi="Arial" w:cs="Arial"/>
          <w:sz w:val="22"/>
          <w:szCs w:val="20"/>
        </w:rPr>
        <w:t>within 12 weeks after the last dose of KEYTRUDA and with a corticosteroid dose of ≤10 mg prednisone or equivalent per day</w:t>
      </w:r>
      <w:r w:rsidRPr="000903B2">
        <w:rPr>
          <w:rFonts w:ascii="Arial" w:hAnsi="Arial" w:cs="Arial"/>
          <w:sz w:val="22"/>
          <w:szCs w:val="20"/>
        </w:rPr>
        <w:t>. If another episode of a severe adverse reaction occurs, permanently discontinue KEYTRUDA</w:t>
      </w:r>
      <w:r w:rsidR="00BE663E">
        <w:rPr>
          <w:rFonts w:ascii="Arial" w:hAnsi="Arial" w:cs="Arial"/>
          <w:sz w:val="22"/>
          <w:szCs w:val="20"/>
        </w:rPr>
        <w:t xml:space="preserve"> </w:t>
      </w:r>
      <w:r w:rsidR="00BE663E" w:rsidRPr="00BE663E">
        <w:rPr>
          <w:rFonts w:cs="Arial"/>
          <w:i/>
          <w:sz w:val="22"/>
          <w:lang w:val="en-AU" w:eastAsia="en-AU"/>
        </w:rPr>
        <w:t>[See DOSAGE AND ADMINISTRATION</w:t>
      </w:r>
      <w:r w:rsidR="00BE663E">
        <w:rPr>
          <w:rFonts w:cs="Arial"/>
          <w:i/>
          <w:sz w:val="22"/>
          <w:lang w:val="en-AU" w:eastAsia="en-AU"/>
        </w:rPr>
        <w:t xml:space="preserve"> and ADVERSE EFFECTS</w:t>
      </w:r>
      <w:r w:rsidR="00BE663E" w:rsidRPr="00BE663E">
        <w:rPr>
          <w:rFonts w:cs="Arial"/>
          <w:i/>
          <w:sz w:val="22"/>
          <w:lang w:val="en-AU" w:eastAsia="en-AU"/>
        </w:rPr>
        <w:t>]</w:t>
      </w:r>
      <w:r w:rsidR="00BE663E" w:rsidRPr="00BE663E">
        <w:rPr>
          <w:rFonts w:cs="Arial"/>
          <w:sz w:val="22"/>
          <w:lang w:val="en-AU" w:eastAsia="en-AU"/>
        </w:rPr>
        <w:t>.</w:t>
      </w:r>
    </w:p>
    <w:p w:rsidR="000903B2" w:rsidRPr="000903B2" w:rsidRDefault="000903B2" w:rsidP="008476E9">
      <w:pPr>
        <w:pStyle w:val="BodyText1"/>
        <w:ind w:firstLine="0"/>
        <w:jc w:val="both"/>
        <w:rPr>
          <w:rFonts w:ascii="Arial" w:hAnsi="Arial" w:cs="Arial"/>
          <w:sz w:val="22"/>
          <w:szCs w:val="20"/>
        </w:rPr>
      </w:pPr>
    </w:p>
    <w:p w:rsidR="000903B2" w:rsidRPr="000903B2" w:rsidRDefault="000903B2" w:rsidP="008476E9">
      <w:pPr>
        <w:pStyle w:val="Heading2"/>
        <w:spacing w:before="0" w:after="0"/>
        <w:rPr>
          <w:rFonts w:ascii="Arial" w:hAnsi="Arial" w:cs="Arial"/>
        </w:rPr>
      </w:pPr>
      <w:r w:rsidRPr="000903B2">
        <w:rPr>
          <w:rFonts w:ascii="Arial" w:hAnsi="Arial" w:cs="Arial"/>
        </w:rPr>
        <w:t>Immune-mediated pneumonitis</w:t>
      </w:r>
    </w:p>
    <w:p w:rsidR="00CC39C0" w:rsidRDefault="00CC39C0" w:rsidP="008476E9">
      <w:pPr>
        <w:pStyle w:val="BodyText1"/>
        <w:ind w:firstLine="0"/>
        <w:jc w:val="both"/>
        <w:rPr>
          <w:rFonts w:ascii="Arial" w:hAnsi="Arial" w:cs="Arial"/>
          <w:sz w:val="22"/>
          <w:szCs w:val="20"/>
        </w:rPr>
      </w:pPr>
      <w:r w:rsidRPr="00CC39C0">
        <w:rPr>
          <w:rFonts w:ascii="Arial" w:hAnsi="Arial" w:cs="Arial"/>
          <w:sz w:val="22"/>
          <w:szCs w:val="20"/>
        </w:rPr>
        <w:t>Pneumonitis occurred in 12 (2.9%) of 411 melanoma patients, including Grade 2 or 3 cases in 8 (1.9%) and 1 (0.2%) patients, respectively, receiving KEYTRUDA in P001. The median time to development of pneumonitis was 5 months (range 0.3 weeks-9.9 months). The median duration was 4.9 months (range 1 week-14.4 months). Five of eight patients with Grade 2 and the one patient with Grade 3 pneumonitis required initial treatment with high-dose systemic corticosteroids (greater than or equal to 40 mg prednisone or equivalent per day) followed by a corticosteroid taper. The median initial dose of high-dose corticosteroid treatment was 63.4 mg/day of prednisone or equivalent with a median duration of treatment of 3 days (range 1-34) followed by a corticosteroid taper. Pneumonitis led to discontinuation of KEYTRUDA in 3 (0.7%) patients. Pneumonitis completely resolved in seven of the nine patients with Grade 2-3 pneumonitis.</w:t>
      </w:r>
    </w:p>
    <w:p w:rsidR="00CC39C0" w:rsidRDefault="00CC39C0" w:rsidP="008476E9">
      <w:pPr>
        <w:pStyle w:val="BodyText1"/>
        <w:ind w:firstLine="0"/>
        <w:jc w:val="both"/>
        <w:rPr>
          <w:rFonts w:ascii="Arial" w:hAnsi="Arial" w:cs="Arial"/>
          <w:sz w:val="22"/>
          <w:szCs w:val="20"/>
        </w:rPr>
      </w:pPr>
    </w:p>
    <w:p w:rsidR="003E3ACF" w:rsidRPr="000903B2" w:rsidRDefault="000903B2" w:rsidP="003E3ACF">
      <w:pPr>
        <w:pStyle w:val="BodyText1"/>
        <w:ind w:firstLine="0"/>
        <w:jc w:val="both"/>
        <w:rPr>
          <w:rFonts w:ascii="Arial" w:hAnsi="Arial" w:cs="Arial"/>
          <w:sz w:val="22"/>
          <w:szCs w:val="20"/>
        </w:rPr>
      </w:pPr>
      <w:r w:rsidRPr="000903B2">
        <w:rPr>
          <w:rFonts w:ascii="Arial" w:hAnsi="Arial" w:cs="Arial"/>
          <w:sz w:val="22"/>
          <w:szCs w:val="20"/>
        </w:rPr>
        <w:t>Monitor patients for signs and symptoms of pneumonitis. If pneumonitis is suspected, evaluate with radiographic imaging</w:t>
      </w:r>
      <w:r w:rsidR="00CC39C0">
        <w:rPr>
          <w:rFonts w:ascii="Arial" w:hAnsi="Arial" w:cs="Arial"/>
          <w:sz w:val="22"/>
          <w:szCs w:val="20"/>
        </w:rPr>
        <w:t xml:space="preserve"> and e</w:t>
      </w:r>
      <w:r w:rsidRPr="000903B2">
        <w:rPr>
          <w:rFonts w:ascii="Arial" w:hAnsi="Arial" w:cs="Arial"/>
          <w:sz w:val="22"/>
          <w:szCs w:val="20"/>
        </w:rPr>
        <w:t>xclude other causes of pneumonitis. Administer corticosteroids</w:t>
      </w:r>
      <w:r w:rsidR="00CC39C0">
        <w:rPr>
          <w:rFonts w:ascii="Arial" w:hAnsi="Arial" w:cs="Arial"/>
          <w:sz w:val="22"/>
          <w:szCs w:val="20"/>
        </w:rPr>
        <w:t xml:space="preserve"> for Grade 2 or greater pneumonitis</w:t>
      </w:r>
      <w:r w:rsidRPr="000903B2">
        <w:rPr>
          <w:rFonts w:ascii="Arial" w:hAnsi="Arial" w:cs="Arial"/>
          <w:sz w:val="22"/>
          <w:szCs w:val="20"/>
        </w:rPr>
        <w:t xml:space="preserve">, withhold KEYTRUDA for moderate (Grade 2) pneumonitis, and permanently discontinue KEYTRUDA for severe (Grade 3) or life-threatening (Grade 4) </w:t>
      </w:r>
      <w:r w:rsidRPr="000903B2">
        <w:rPr>
          <w:rFonts w:ascii="Arial" w:hAnsi="Arial" w:cs="Arial"/>
          <w:sz w:val="22"/>
          <w:szCs w:val="20"/>
        </w:rPr>
        <w:lastRenderedPageBreak/>
        <w:t>pneumonitis</w:t>
      </w:r>
      <w:r w:rsidR="00BE663E">
        <w:rPr>
          <w:rFonts w:ascii="Arial" w:hAnsi="Arial" w:cs="Arial"/>
          <w:sz w:val="22"/>
          <w:szCs w:val="20"/>
        </w:rPr>
        <w:t xml:space="preserve"> </w:t>
      </w:r>
      <w:r w:rsidR="00BE663E" w:rsidRPr="00BE663E">
        <w:rPr>
          <w:rFonts w:cs="Arial"/>
          <w:i/>
          <w:sz w:val="22"/>
          <w:lang w:val="en-AU" w:eastAsia="en-AU"/>
        </w:rPr>
        <w:t>[See DOSAGE AND ADMINISTRATION</w:t>
      </w:r>
      <w:r w:rsidR="00CC39C0">
        <w:rPr>
          <w:rFonts w:cs="Arial"/>
          <w:i/>
          <w:sz w:val="22"/>
          <w:lang w:val="en-AU" w:eastAsia="en-AU"/>
        </w:rPr>
        <w:t>, ADVERSE EFFECTS</w:t>
      </w:r>
      <w:r w:rsidR="003345BB">
        <w:rPr>
          <w:rFonts w:cs="Arial"/>
          <w:i/>
          <w:sz w:val="22"/>
          <w:lang w:val="en-AU" w:eastAsia="en-AU"/>
        </w:rPr>
        <w:t xml:space="preserve"> and Immune-mediated Adverse Reactions above</w:t>
      </w:r>
      <w:r w:rsidR="00BE663E" w:rsidRPr="00BE663E">
        <w:rPr>
          <w:rFonts w:cs="Arial"/>
          <w:i/>
          <w:sz w:val="22"/>
          <w:lang w:val="en-AU" w:eastAsia="en-AU"/>
        </w:rPr>
        <w:t>]</w:t>
      </w:r>
      <w:r w:rsidR="00BE663E" w:rsidRPr="00BE663E">
        <w:rPr>
          <w:rFonts w:cs="Arial"/>
          <w:sz w:val="22"/>
          <w:lang w:val="en-AU" w:eastAsia="en-AU"/>
        </w:rPr>
        <w:t>.</w:t>
      </w:r>
    </w:p>
    <w:p w:rsidR="000903B2" w:rsidRPr="000903B2" w:rsidRDefault="000903B2" w:rsidP="008476E9">
      <w:pPr>
        <w:pStyle w:val="BodyText1"/>
        <w:jc w:val="both"/>
        <w:rPr>
          <w:rFonts w:ascii="Arial" w:hAnsi="Arial" w:cs="Arial"/>
          <w:sz w:val="22"/>
          <w:szCs w:val="20"/>
        </w:rPr>
      </w:pPr>
    </w:p>
    <w:p w:rsidR="000903B2" w:rsidRPr="000903B2" w:rsidRDefault="000903B2" w:rsidP="008476E9">
      <w:pPr>
        <w:pStyle w:val="Heading2"/>
        <w:spacing w:before="0" w:after="0"/>
        <w:rPr>
          <w:rFonts w:ascii="Arial" w:hAnsi="Arial" w:cs="Arial"/>
        </w:rPr>
      </w:pPr>
      <w:r w:rsidRPr="000903B2">
        <w:rPr>
          <w:rFonts w:ascii="Arial" w:hAnsi="Arial" w:cs="Arial"/>
        </w:rPr>
        <w:t>Immune-mediated colitis</w:t>
      </w:r>
    </w:p>
    <w:p w:rsidR="00CC39C0" w:rsidRDefault="00CC39C0" w:rsidP="00010E35">
      <w:pPr>
        <w:pStyle w:val="BodyText1"/>
        <w:ind w:firstLine="0"/>
        <w:jc w:val="both"/>
        <w:rPr>
          <w:rFonts w:ascii="Arial" w:hAnsi="Arial" w:cs="Arial"/>
          <w:sz w:val="22"/>
          <w:szCs w:val="20"/>
        </w:rPr>
      </w:pPr>
      <w:r w:rsidRPr="00CC39C0">
        <w:rPr>
          <w:rFonts w:ascii="Arial" w:hAnsi="Arial" w:cs="Arial"/>
          <w:sz w:val="22"/>
          <w:szCs w:val="20"/>
        </w:rPr>
        <w:t>Colitis (including microscopic colitis) occurred in 4 (1%) of 411 patients, including Grade 2 or 3 cases in 1 (0.2%) and 2 (0.5%) patients, respectively, receiving KEYTRUDA in in P001. The median time to onset of colitis was 6.5 months (range 2.3-9.8). The median duration was 2.6 months (range 0.6 weeks-3.6 months). All three patients with Grade 2 or 3 colitis were treated with high-dose corticosteroids (greater than or equal to 40 mg prednisone or equivalent per day) with a median initial dose of 70 mg/day of prednisone or equivalent; the median duration of initial treatment was 7 days (range 4-41), followed by a corticosteroid taper. One patient (0.2%) required permanent discontinuation of KEYTRUDA due to colitis. All four patients with colitis experienced complete resolution of the event.</w:t>
      </w:r>
    </w:p>
    <w:p w:rsidR="00CC39C0" w:rsidRDefault="00CC39C0" w:rsidP="00010E35">
      <w:pPr>
        <w:pStyle w:val="BodyText1"/>
        <w:ind w:firstLine="0"/>
        <w:jc w:val="both"/>
        <w:rPr>
          <w:rFonts w:ascii="Arial" w:hAnsi="Arial" w:cs="Arial"/>
          <w:sz w:val="22"/>
          <w:szCs w:val="20"/>
        </w:rPr>
      </w:pPr>
    </w:p>
    <w:p w:rsidR="00010E35" w:rsidRDefault="000903B2" w:rsidP="00010E35">
      <w:pPr>
        <w:pStyle w:val="BodyText1"/>
        <w:ind w:firstLine="0"/>
        <w:jc w:val="both"/>
        <w:rPr>
          <w:rFonts w:cs="Arial"/>
          <w:sz w:val="22"/>
          <w:lang w:val="en-AU" w:eastAsia="en-AU"/>
        </w:rPr>
      </w:pPr>
      <w:r w:rsidRPr="000903B2">
        <w:rPr>
          <w:rFonts w:ascii="Arial" w:hAnsi="Arial" w:cs="Arial"/>
          <w:sz w:val="22"/>
          <w:szCs w:val="20"/>
        </w:rPr>
        <w:t>Monitor patients for signs and symptoms of colitis</w:t>
      </w:r>
      <w:r w:rsidR="00CC39C0">
        <w:rPr>
          <w:rFonts w:ascii="Arial" w:hAnsi="Arial" w:cs="Arial"/>
          <w:sz w:val="22"/>
          <w:szCs w:val="20"/>
        </w:rPr>
        <w:t xml:space="preserve"> and e</w:t>
      </w:r>
      <w:r w:rsidRPr="000903B2">
        <w:rPr>
          <w:rFonts w:ascii="Arial" w:hAnsi="Arial" w:cs="Arial"/>
          <w:sz w:val="22"/>
          <w:szCs w:val="20"/>
        </w:rPr>
        <w:t>xclude other causes of colitis. Administer corticosteroids</w:t>
      </w:r>
      <w:r w:rsidR="00CC39C0">
        <w:rPr>
          <w:rFonts w:ascii="Arial" w:hAnsi="Arial" w:cs="Arial"/>
          <w:sz w:val="22"/>
          <w:szCs w:val="20"/>
        </w:rPr>
        <w:t xml:space="preserve"> for Grade 2 or greater colitis</w:t>
      </w:r>
      <w:r w:rsidRPr="000903B2">
        <w:rPr>
          <w:rFonts w:ascii="Arial" w:hAnsi="Arial" w:cs="Arial"/>
          <w:sz w:val="22"/>
          <w:szCs w:val="20"/>
        </w:rPr>
        <w:t>, withhold KEYTRUDA for moderate (Grade 2) or severe (Grade 3) colitis, and permanently discontinue KEYTRUDA for life-threatening (Grade 4) colitis</w:t>
      </w:r>
      <w:r w:rsidR="00BE663E">
        <w:rPr>
          <w:rFonts w:ascii="Arial" w:hAnsi="Arial" w:cs="Arial"/>
          <w:sz w:val="22"/>
          <w:szCs w:val="20"/>
        </w:rPr>
        <w:t xml:space="preserve"> </w:t>
      </w:r>
      <w:r w:rsidR="00BE663E" w:rsidRPr="00BE663E">
        <w:rPr>
          <w:rFonts w:cs="Arial"/>
          <w:i/>
          <w:sz w:val="22"/>
          <w:lang w:val="en-AU" w:eastAsia="en-AU"/>
        </w:rPr>
        <w:t>[See DOSAGE AND ADMINISTRATION</w:t>
      </w:r>
      <w:r w:rsidR="00CC39C0">
        <w:rPr>
          <w:rFonts w:cs="Arial"/>
          <w:i/>
          <w:sz w:val="22"/>
          <w:lang w:val="en-AU" w:eastAsia="en-AU"/>
        </w:rPr>
        <w:t>, ADVERSE EFFECTS</w:t>
      </w:r>
      <w:r w:rsidR="003345BB">
        <w:rPr>
          <w:rFonts w:cs="Arial"/>
          <w:i/>
          <w:sz w:val="22"/>
          <w:lang w:val="en-AU" w:eastAsia="en-AU"/>
        </w:rPr>
        <w:t xml:space="preserve"> and Immune-mediated Adverse Reactions above</w:t>
      </w:r>
      <w:r w:rsidR="00BE663E" w:rsidRPr="00BE663E">
        <w:rPr>
          <w:rFonts w:cs="Arial"/>
          <w:i/>
          <w:sz w:val="22"/>
          <w:lang w:val="en-AU" w:eastAsia="en-AU"/>
        </w:rPr>
        <w:t>]</w:t>
      </w:r>
      <w:r w:rsidR="00BE663E" w:rsidRPr="00BE663E">
        <w:rPr>
          <w:rFonts w:cs="Arial"/>
          <w:sz w:val="22"/>
          <w:lang w:val="en-AU" w:eastAsia="en-AU"/>
        </w:rPr>
        <w:t>.</w:t>
      </w:r>
      <w:r w:rsidR="00BE663E">
        <w:rPr>
          <w:rFonts w:cs="Arial"/>
          <w:sz w:val="22"/>
          <w:lang w:val="en-AU" w:eastAsia="en-AU"/>
        </w:rPr>
        <w:t xml:space="preserve"> </w:t>
      </w:r>
    </w:p>
    <w:p w:rsidR="00BE663E" w:rsidRPr="000903B2" w:rsidRDefault="00BE663E" w:rsidP="008476E9">
      <w:pPr>
        <w:pStyle w:val="BodyText1"/>
        <w:ind w:firstLine="0"/>
        <w:jc w:val="both"/>
        <w:rPr>
          <w:rFonts w:ascii="Arial" w:hAnsi="Arial" w:cs="Arial"/>
          <w:sz w:val="22"/>
          <w:szCs w:val="20"/>
        </w:rPr>
      </w:pPr>
    </w:p>
    <w:p w:rsidR="000903B2" w:rsidRPr="000903B2" w:rsidRDefault="000903B2" w:rsidP="008476E9">
      <w:pPr>
        <w:pStyle w:val="Heading2"/>
        <w:spacing w:before="0" w:after="0"/>
        <w:rPr>
          <w:rFonts w:ascii="Arial" w:hAnsi="Arial" w:cs="Arial"/>
        </w:rPr>
      </w:pPr>
      <w:r w:rsidRPr="000903B2">
        <w:rPr>
          <w:rFonts w:ascii="Arial" w:hAnsi="Arial" w:cs="Arial"/>
        </w:rPr>
        <w:t>Immune-mediated hepatitis</w:t>
      </w:r>
    </w:p>
    <w:p w:rsidR="00CC39C0" w:rsidRDefault="00CC39C0" w:rsidP="00010E35">
      <w:pPr>
        <w:pStyle w:val="BodyText1"/>
        <w:ind w:firstLine="0"/>
        <w:jc w:val="both"/>
        <w:rPr>
          <w:rFonts w:ascii="Arial" w:hAnsi="Arial" w:cs="Arial"/>
          <w:sz w:val="22"/>
          <w:szCs w:val="20"/>
        </w:rPr>
      </w:pPr>
      <w:r w:rsidRPr="00CC39C0">
        <w:rPr>
          <w:rFonts w:ascii="Arial" w:hAnsi="Arial" w:cs="Arial"/>
          <w:sz w:val="22"/>
          <w:szCs w:val="20"/>
        </w:rPr>
        <w:t>Hepatitis (including autoimmune hepatitis) occurred in 2 (0.5%) of 411 patients, including a Grade 4 case in 1 (0.2%) patient, receiving KEYTRUDA in P001. The time to onset was 22 days for the case of Grade 4 hepatitis which lasted 1.1 months. The patient with Grade 4 hepatitis permanently discontinued KEYTRUDA and was treated with high-dose (greater than or equal to 40 mg prednisone or equivalent per day) systemic corticosteroids followed by a corticosteroid taper. Both patients with hepatitis experienced complete resolution of the event.</w:t>
      </w:r>
    </w:p>
    <w:p w:rsidR="00CC39C0" w:rsidRDefault="00CC39C0" w:rsidP="00010E35">
      <w:pPr>
        <w:pStyle w:val="BodyText1"/>
        <w:ind w:firstLine="0"/>
        <w:jc w:val="both"/>
        <w:rPr>
          <w:rFonts w:ascii="Arial" w:hAnsi="Arial" w:cs="Arial"/>
          <w:sz w:val="22"/>
          <w:szCs w:val="20"/>
        </w:rPr>
      </w:pPr>
    </w:p>
    <w:p w:rsidR="00010E35" w:rsidRDefault="000903B2" w:rsidP="00010E35">
      <w:pPr>
        <w:pStyle w:val="BodyText1"/>
        <w:ind w:firstLine="0"/>
        <w:jc w:val="both"/>
        <w:rPr>
          <w:rFonts w:cs="Arial"/>
          <w:sz w:val="22"/>
          <w:lang w:val="en-AU" w:eastAsia="en-AU"/>
        </w:rPr>
      </w:pPr>
      <w:r w:rsidRPr="000903B2">
        <w:rPr>
          <w:rFonts w:ascii="Arial" w:hAnsi="Arial" w:cs="Arial"/>
          <w:sz w:val="22"/>
          <w:szCs w:val="20"/>
        </w:rPr>
        <w:t>Monitor patients for changes in liver function (at the start of treatment, periodically during treatment and as indicated based on clinical evaluation) and symptoms of hepatitis</w:t>
      </w:r>
      <w:r w:rsidR="00CC39C0">
        <w:rPr>
          <w:rFonts w:ascii="Arial" w:hAnsi="Arial" w:cs="Arial"/>
          <w:sz w:val="22"/>
          <w:szCs w:val="20"/>
        </w:rPr>
        <w:t xml:space="preserve"> and e</w:t>
      </w:r>
      <w:r w:rsidRPr="000903B2">
        <w:rPr>
          <w:rFonts w:ascii="Arial" w:hAnsi="Arial" w:cs="Arial"/>
          <w:sz w:val="22"/>
          <w:szCs w:val="20"/>
        </w:rPr>
        <w:t>xclude other causes. Administer corticosteroids</w:t>
      </w:r>
      <w:r w:rsidR="00CC39C0">
        <w:rPr>
          <w:rFonts w:ascii="Arial" w:hAnsi="Arial" w:cs="Arial"/>
          <w:sz w:val="22"/>
          <w:szCs w:val="20"/>
        </w:rPr>
        <w:t xml:space="preserve"> for Grade 2 or greater hepatitis</w:t>
      </w:r>
      <w:r w:rsidRPr="000903B2">
        <w:rPr>
          <w:rFonts w:ascii="Arial" w:hAnsi="Arial" w:cs="Arial"/>
          <w:sz w:val="22"/>
          <w:szCs w:val="20"/>
        </w:rPr>
        <w:t xml:space="preserve"> and, based on severity of liver enzyme elevations, withhold or discontinue KEYTRUDA</w:t>
      </w:r>
      <w:r w:rsidR="00EA5B09">
        <w:rPr>
          <w:rFonts w:ascii="Arial" w:hAnsi="Arial" w:cs="Arial"/>
          <w:sz w:val="22"/>
          <w:szCs w:val="20"/>
        </w:rPr>
        <w:t xml:space="preserve"> </w:t>
      </w:r>
      <w:r w:rsidR="00EA5B09" w:rsidRPr="00BE663E">
        <w:rPr>
          <w:rFonts w:cs="Arial"/>
          <w:i/>
          <w:sz w:val="22"/>
          <w:lang w:val="en-AU" w:eastAsia="en-AU"/>
        </w:rPr>
        <w:t>[See DOSAGE AND ADMINISTRATION</w:t>
      </w:r>
      <w:r w:rsidR="00CC39C0">
        <w:rPr>
          <w:rFonts w:cs="Arial"/>
          <w:i/>
          <w:sz w:val="22"/>
          <w:lang w:val="en-AU" w:eastAsia="en-AU"/>
        </w:rPr>
        <w:t>, ADVERSE EFFECTS</w:t>
      </w:r>
      <w:r w:rsidR="003345BB" w:rsidRPr="003345BB">
        <w:rPr>
          <w:rFonts w:cs="Arial"/>
          <w:i/>
          <w:sz w:val="22"/>
          <w:lang w:val="en-AU" w:eastAsia="en-AU"/>
        </w:rPr>
        <w:t xml:space="preserve"> </w:t>
      </w:r>
      <w:r w:rsidR="003345BB">
        <w:rPr>
          <w:rFonts w:cs="Arial"/>
          <w:i/>
          <w:sz w:val="22"/>
          <w:lang w:val="en-AU" w:eastAsia="en-AU"/>
        </w:rPr>
        <w:t>and Immune-mediated Adverse Reactions above</w:t>
      </w:r>
      <w:r w:rsidR="00EA5B09" w:rsidRPr="00BE663E">
        <w:rPr>
          <w:rFonts w:cs="Arial"/>
          <w:i/>
          <w:sz w:val="22"/>
          <w:lang w:val="en-AU" w:eastAsia="en-AU"/>
        </w:rPr>
        <w:t>]</w:t>
      </w:r>
      <w:r w:rsidR="00EA5B09" w:rsidRPr="00BE663E">
        <w:rPr>
          <w:rFonts w:cs="Arial"/>
          <w:sz w:val="22"/>
          <w:lang w:val="en-AU" w:eastAsia="en-AU"/>
        </w:rPr>
        <w:t>.</w:t>
      </w:r>
    </w:p>
    <w:p w:rsidR="00EA5B09" w:rsidRDefault="00EA5B09" w:rsidP="008476E9">
      <w:pPr>
        <w:pStyle w:val="BodyText1"/>
        <w:ind w:firstLine="0"/>
        <w:jc w:val="both"/>
        <w:rPr>
          <w:rFonts w:ascii="Arial" w:hAnsi="Arial" w:cs="Arial"/>
          <w:sz w:val="22"/>
          <w:szCs w:val="20"/>
        </w:rPr>
      </w:pPr>
    </w:p>
    <w:p w:rsidR="005B08D4" w:rsidRPr="005B08D4" w:rsidRDefault="005B08D4" w:rsidP="008476E9">
      <w:pPr>
        <w:pStyle w:val="BodyText1"/>
        <w:ind w:firstLine="0"/>
        <w:jc w:val="both"/>
        <w:rPr>
          <w:rFonts w:ascii="Arial" w:hAnsi="Arial" w:cs="Arial"/>
          <w:b/>
          <w:i/>
          <w:sz w:val="22"/>
          <w:szCs w:val="20"/>
        </w:rPr>
      </w:pPr>
      <w:r w:rsidRPr="005B08D4">
        <w:rPr>
          <w:rFonts w:ascii="Arial" w:hAnsi="Arial" w:cs="Arial"/>
          <w:b/>
          <w:i/>
          <w:sz w:val="22"/>
          <w:szCs w:val="20"/>
        </w:rPr>
        <w:t>Immune-mediated nephritis</w:t>
      </w:r>
    </w:p>
    <w:p w:rsidR="00CC39C0" w:rsidRDefault="00CC39C0" w:rsidP="00CC39C0">
      <w:pPr>
        <w:pStyle w:val="BodyText1"/>
        <w:ind w:firstLine="0"/>
        <w:jc w:val="both"/>
        <w:rPr>
          <w:rFonts w:ascii="Arial" w:hAnsi="Arial" w:cs="Arial"/>
          <w:sz w:val="22"/>
          <w:szCs w:val="20"/>
        </w:rPr>
      </w:pPr>
      <w:r w:rsidRPr="008C203A">
        <w:rPr>
          <w:rFonts w:ascii="Arial" w:hAnsi="Arial" w:cs="Arial"/>
          <w:sz w:val="22"/>
          <w:szCs w:val="20"/>
        </w:rPr>
        <w:t>Nephritis occurred in 3 (0.7%) patients, consisting of one case of Grade 2 autoimmune nephritis (0.2%) and two cases of interstitial nephritis with renal failure (0.5%), one Grade 3 and one Grade 4. The time to onset of autoimmune nephritis was 11.6 months after the first dose of KEYTRUDA (5 months after the last dose) and lasted 3.2 months; this patient did not have a biopsy. Acute interstitial nephritis was confirmed by renal biopsy in two patients with Grades 3-4 renal failure. All three patients fully recovered renal function with treatment with high-dose corticosteroids (greater than or equal to 40 mg prednisone or equivalent per day) followed by a corticosteroid taper.</w:t>
      </w:r>
    </w:p>
    <w:p w:rsidR="00CC39C0" w:rsidRDefault="00CC39C0" w:rsidP="008476E9">
      <w:pPr>
        <w:pStyle w:val="BodyText1"/>
        <w:ind w:firstLine="0"/>
        <w:jc w:val="both"/>
        <w:rPr>
          <w:rFonts w:ascii="Arial" w:hAnsi="Arial" w:cs="Arial"/>
          <w:sz w:val="22"/>
          <w:szCs w:val="20"/>
        </w:rPr>
      </w:pPr>
    </w:p>
    <w:p w:rsidR="00010E35" w:rsidRPr="005B08D4" w:rsidRDefault="005B08D4" w:rsidP="00010E35">
      <w:pPr>
        <w:pStyle w:val="BodyText1"/>
        <w:ind w:firstLine="0"/>
        <w:jc w:val="both"/>
        <w:rPr>
          <w:rFonts w:ascii="Arial" w:hAnsi="Arial" w:cs="Arial"/>
          <w:sz w:val="22"/>
          <w:szCs w:val="20"/>
        </w:rPr>
      </w:pPr>
      <w:r w:rsidRPr="005B08D4">
        <w:rPr>
          <w:rFonts w:ascii="Arial" w:hAnsi="Arial" w:cs="Arial"/>
          <w:sz w:val="22"/>
          <w:szCs w:val="20"/>
        </w:rPr>
        <w:t>Monitor patients for changes in renal function</w:t>
      </w:r>
      <w:r w:rsidR="00943006">
        <w:rPr>
          <w:rFonts w:ascii="Arial" w:hAnsi="Arial" w:cs="Arial"/>
          <w:sz w:val="22"/>
          <w:szCs w:val="20"/>
        </w:rPr>
        <w:t xml:space="preserve"> and e</w:t>
      </w:r>
      <w:r w:rsidRPr="005B08D4">
        <w:rPr>
          <w:rFonts w:ascii="Arial" w:hAnsi="Arial" w:cs="Arial"/>
          <w:sz w:val="22"/>
          <w:szCs w:val="20"/>
        </w:rPr>
        <w:t>xclude other causes of nephritis. Administer corticosteroids</w:t>
      </w:r>
      <w:r w:rsidR="00943006">
        <w:rPr>
          <w:rFonts w:ascii="Arial" w:hAnsi="Arial" w:cs="Arial"/>
          <w:sz w:val="22"/>
          <w:szCs w:val="20"/>
        </w:rPr>
        <w:t xml:space="preserve"> for Grade 2 or greater nephritis</w:t>
      </w:r>
      <w:r w:rsidRPr="005B08D4">
        <w:rPr>
          <w:rFonts w:ascii="Arial" w:hAnsi="Arial" w:cs="Arial"/>
          <w:sz w:val="22"/>
          <w:szCs w:val="20"/>
        </w:rPr>
        <w:t>, withhold KEYTRUDA for moderate (Grade 2), and permanently discontinue KEYTRUDA for severe (Grade 3) or life-threatening (Grade 4) nephrit</w:t>
      </w:r>
      <w:r w:rsidR="00D00F32">
        <w:rPr>
          <w:rFonts w:ascii="Arial" w:hAnsi="Arial" w:cs="Arial"/>
          <w:sz w:val="22"/>
          <w:szCs w:val="20"/>
        </w:rPr>
        <w:t>i</w:t>
      </w:r>
      <w:r w:rsidRPr="005B08D4">
        <w:rPr>
          <w:rFonts w:ascii="Arial" w:hAnsi="Arial" w:cs="Arial"/>
          <w:sz w:val="22"/>
          <w:szCs w:val="20"/>
        </w:rPr>
        <w:t xml:space="preserve">s. </w:t>
      </w:r>
      <w:r w:rsidRPr="00BE663E">
        <w:rPr>
          <w:rFonts w:cs="Arial"/>
          <w:i/>
          <w:sz w:val="22"/>
          <w:lang w:val="en-AU" w:eastAsia="en-AU"/>
        </w:rPr>
        <w:t>[See DOSAGE AND ADMINISTRATION</w:t>
      </w:r>
      <w:r w:rsidR="00943006">
        <w:rPr>
          <w:rFonts w:cs="Arial"/>
          <w:i/>
          <w:sz w:val="22"/>
          <w:lang w:val="en-AU" w:eastAsia="en-AU"/>
        </w:rPr>
        <w:t>, ADVERSE EFFECTS</w:t>
      </w:r>
      <w:r>
        <w:rPr>
          <w:rFonts w:cs="Arial"/>
          <w:i/>
          <w:sz w:val="22"/>
          <w:lang w:val="en-AU" w:eastAsia="en-AU"/>
        </w:rPr>
        <w:t xml:space="preserve"> and Immune-mediated Adverse Reactions above</w:t>
      </w:r>
      <w:r w:rsidRPr="00BE663E">
        <w:rPr>
          <w:rFonts w:cs="Arial"/>
          <w:i/>
          <w:sz w:val="22"/>
          <w:lang w:val="en-AU" w:eastAsia="en-AU"/>
        </w:rPr>
        <w:t>]</w:t>
      </w:r>
      <w:r w:rsidRPr="00BE663E">
        <w:rPr>
          <w:rFonts w:cs="Arial"/>
          <w:sz w:val="22"/>
          <w:lang w:val="en-AU" w:eastAsia="en-AU"/>
        </w:rPr>
        <w:t>.</w:t>
      </w:r>
    </w:p>
    <w:p w:rsidR="005B08D4" w:rsidRPr="005B08D4" w:rsidRDefault="005B08D4" w:rsidP="008476E9">
      <w:pPr>
        <w:pStyle w:val="BodyText1"/>
        <w:ind w:firstLine="0"/>
        <w:jc w:val="both"/>
        <w:rPr>
          <w:rFonts w:ascii="Arial" w:hAnsi="Arial" w:cs="Arial"/>
          <w:sz w:val="22"/>
          <w:szCs w:val="20"/>
        </w:rPr>
      </w:pPr>
    </w:p>
    <w:p w:rsidR="005B08D4" w:rsidRPr="005B08D4" w:rsidRDefault="005B08D4" w:rsidP="009E3288">
      <w:pPr>
        <w:pStyle w:val="BodyText1"/>
        <w:pageBreakBefore/>
        <w:ind w:firstLine="0"/>
        <w:jc w:val="both"/>
        <w:rPr>
          <w:rFonts w:ascii="Arial" w:hAnsi="Arial" w:cs="Arial"/>
          <w:b/>
          <w:i/>
          <w:sz w:val="22"/>
          <w:szCs w:val="20"/>
        </w:rPr>
      </w:pPr>
      <w:bookmarkStart w:id="0" w:name="_GoBack"/>
      <w:bookmarkEnd w:id="0"/>
      <w:r w:rsidRPr="005B08D4">
        <w:rPr>
          <w:rFonts w:ascii="Arial" w:hAnsi="Arial" w:cs="Arial"/>
          <w:b/>
          <w:i/>
          <w:sz w:val="22"/>
          <w:szCs w:val="20"/>
        </w:rPr>
        <w:lastRenderedPageBreak/>
        <w:t xml:space="preserve">Immune-mediated </w:t>
      </w:r>
      <w:proofErr w:type="spellStart"/>
      <w:r w:rsidRPr="005B08D4">
        <w:rPr>
          <w:rFonts w:ascii="Arial" w:hAnsi="Arial" w:cs="Arial"/>
          <w:b/>
          <w:i/>
          <w:sz w:val="22"/>
          <w:szCs w:val="20"/>
        </w:rPr>
        <w:t>endocrinopathies</w:t>
      </w:r>
      <w:proofErr w:type="spellEnd"/>
    </w:p>
    <w:p w:rsidR="00943006" w:rsidRPr="00072BAC" w:rsidRDefault="00943006" w:rsidP="00943006">
      <w:pPr>
        <w:pStyle w:val="BodyText1"/>
        <w:ind w:firstLine="0"/>
        <w:jc w:val="both"/>
        <w:rPr>
          <w:rFonts w:ascii="Arial" w:hAnsi="Arial" w:cs="Arial"/>
          <w:sz w:val="22"/>
          <w:szCs w:val="22"/>
        </w:rPr>
      </w:pPr>
      <w:proofErr w:type="spellStart"/>
      <w:r w:rsidRPr="00072BAC">
        <w:rPr>
          <w:rFonts w:ascii="Arial" w:hAnsi="Arial" w:cs="Arial"/>
          <w:sz w:val="22"/>
          <w:szCs w:val="22"/>
        </w:rPr>
        <w:t>Hypophysitis</w:t>
      </w:r>
      <w:proofErr w:type="spellEnd"/>
      <w:r w:rsidRPr="00072BAC">
        <w:rPr>
          <w:rFonts w:ascii="Arial" w:hAnsi="Arial" w:cs="Arial"/>
          <w:sz w:val="22"/>
          <w:szCs w:val="22"/>
        </w:rPr>
        <w:t xml:space="preserve"> occurred in 2 (0.5%) of 411 patients, consisting of one Grade 2 and one Grade 4 case (0.2% each), in patients receiving KEYTRUDA in </w:t>
      </w:r>
      <w:r w:rsidRPr="00072BAC">
        <w:rPr>
          <w:rFonts w:ascii="Arial" w:hAnsi="Arial" w:cs="Arial"/>
          <w:sz w:val="22"/>
          <w:szCs w:val="20"/>
        </w:rPr>
        <w:t>P001</w:t>
      </w:r>
      <w:r w:rsidRPr="00072BAC">
        <w:rPr>
          <w:rFonts w:ascii="Arial" w:hAnsi="Arial" w:cs="Arial"/>
          <w:sz w:val="22"/>
          <w:szCs w:val="22"/>
        </w:rPr>
        <w:t xml:space="preserve">. The time to onset was 1.7 months for the patient with Grade 4 </w:t>
      </w:r>
      <w:proofErr w:type="spellStart"/>
      <w:r w:rsidRPr="00072BAC">
        <w:rPr>
          <w:rFonts w:ascii="Arial" w:hAnsi="Arial" w:cs="Arial"/>
          <w:sz w:val="22"/>
          <w:szCs w:val="22"/>
        </w:rPr>
        <w:t>hypophysitis</w:t>
      </w:r>
      <w:proofErr w:type="spellEnd"/>
      <w:r w:rsidRPr="00072BAC">
        <w:rPr>
          <w:rFonts w:ascii="Arial" w:hAnsi="Arial" w:cs="Arial"/>
          <w:sz w:val="22"/>
          <w:szCs w:val="22"/>
        </w:rPr>
        <w:t xml:space="preserve"> and 1.3 months for the patient with Grade 2 </w:t>
      </w:r>
      <w:proofErr w:type="spellStart"/>
      <w:r w:rsidRPr="00072BAC">
        <w:rPr>
          <w:rFonts w:ascii="Arial" w:hAnsi="Arial" w:cs="Arial"/>
          <w:sz w:val="22"/>
          <w:szCs w:val="22"/>
        </w:rPr>
        <w:t>hypophysitis</w:t>
      </w:r>
      <w:proofErr w:type="spellEnd"/>
      <w:r w:rsidRPr="00072BAC">
        <w:rPr>
          <w:rFonts w:ascii="Arial" w:hAnsi="Arial" w:cs="Arial"/>
          <w:sz w:val="22"/>
          <w:szCs w:val="22"/>
        </w:rPr>
        <w:t>. Both patients were treated with high-dose (greater than or equal to 40 mg prednisone or equivalent per day) corticosteroids followed by a corticosteroid taper and remained on a physiologic replacement dose.</w:t>
      </w:r>
    </w:p>
    <w:p w:rsidR="00943006" w:rsidRDefault="00943006" w:rsidP="00010E35">
      <w:pPr>
        <w:pStyle w:val="BodyText1"/>
        <w:ind w:firstLine="0"/>
        <w:jc w:val="both"/>
        <w:rPr>
          <w:rFonts w:ascii="Arial" w:hAnsi="Arial" w:cs="Arial"/>
          <w:sz w:val="22"/>
          <w:szCs w:val="20"/>
        </w:rPr>
      </w:pPr>
    </w:p>
    <w:p w:rsidR="00010E35" w:rsidRPr="005B08D4" w:rsidRDefault="005B08D4" w:rsidP="00010E35">
      <w:pPr>
        <w:pStyle w:val="BodyText1"/>
        <w:ind w:firstLine="0"/>
        <w:jc w:val="both"/>
        <w:rPr>
          <w:rFonts w:ascii="Arial" w:hAnsi="Arial" w:cs="Arial"/>
          <w:sz w:val="22"/>
          <w:szCs w:val="20"/>
        </w:rPr>
      </w:pPr>
      <w:r w:rsidRPr="005B08D4">
        <w:rPr>
          <w:rFonts w:ascii="Arial" w:hAnsi="Arial" w:cs="Arial"/>
          <w:sz w:val="22"/>
          <w:szCs w:val="20"/>
        </w:rPr>
        <w:t xml:space="preserve">Monitor patients for signs and symptoms of </w:t>
      </w:r>
      <w:proofErr w:type="spellStart"/>
      <w:r w:rsidRPr="005B08D4">
        <w:rPr>
          <w:rFonts w:ascii="Arial" w:hAnsi="Arial" w:cs="Arial"/>
          <w:sz w:val="22"/>
          <w:szCs w:val="20"/>
        </w:rPr>
        <w:t>hypophysitis</w:t>
      </w:r>
      <w:proofErr w:type="spellEnd"/>
      <w:r w:rsidRPr="005B08D4">
        <w:rPr>
          <w:rFonts w:ascii="Arial" w:hAnsi="Arial" w:cs="Arial"/>
          <w:sz w:val="22"/>
          <w:szCs w:val="20"/>
        </w:rPr>
        <w:t xml:space="preserve"> (including hypopituitarism and secondary adrenal insufficiency)</w:t>
      </w:r>
      <w:r w:rsidR="00943006">
        <w:rPr>
          <w:rFonts w:ascii="Arial" w:hAnsi="Arial" w:cs="Arial"/>
          <w:sz w:val="22"/>
          <w:szCs w:val="20"/>
        </w:rPr>
        <w:t xml:space="preserve"> and e</w:t>
      </w:r>
      <w:r w:rsidRPr="005B08D4">
        <w:rPr>
          <w:rFonts w:ascii="Arial" w:hAnsi="Arial" w:cs="Arial"/>
          <w:sz w:val="22"/>
          <w:szCs w:val="20"/>
        </w:rPr>
        <w:t xml:space="preserve">xclude other causes of </w:t>
      </w:r>
      <w:proofErr w:type="spellStart"/>
      <w:r w:rsidRPr="005B08D4">
        <w:rPr>
          <w:rFonts w:ascii="Arial" w:hAnsi="Arial" w:cs="Arial"/>
          <w:sz w:val="22"/>
          <w:szCs w:val="20"/>
        </w:rPr>
        <w:t>hypophysitis</w:t>
      </w:r>
      <w:proofErr w:type="spellEnd"/>
      <w:r w:rsidRPr="005B08D4">
        <w:rPr>
          <w:rFonts w:ascii="Arial" w:hAnsi="Arial" w:cs="Arial"/>
          <w:sz w:val="22"/>
          <w:szCs w:val="20"/>
        </w:rPr>
        <w:t xml:space="preserve">. Administer corticosteroids, withhold KEYTRUDA for moderate (Grade 2), withhold or discontinue KEYTRUDA for severe (Grade 3) and </w:t>
      </w:r>
      <w:r w:rsidR="00061A3F">
        <w:rPr>
          <w:rFonts w:ascii="Arial" w:hAnsi="Arial" w:cs="Arial"/>
          <w:sz w:val="22"/>
          <w:szCs w:val="20"/>
        </w:rPr>
        <w:t xml:space="preserve">discontinue </w:t>
      </w:r>
      <w:r w:rsidRPr="005B08D4">
        <w:rPr>
          <w:rFonts w:ascii="Arial" w:hAnsi="Arial" w:cs="Arial"/>
          <w:sz w:val="22"/>
          <w:szCs w:val="20"/>
        </w:rPr>
        <w:t xml:space="preserve">for life-threatening (Grade 4) </w:t>
      </w:r>
      <w:proofErr w:type="spellStart"/>
      <w:r w:rsidRPr="005B08D4">
        <w:rPr>
          <w:rFonts w:ascii="Arial" w:hAnsi="Arial" w:cs="Arial"/>
          <w:sz w:val="22"/>
          <w:szCs w:val="20"/>
        </w:rPr>
        <w:t>hypophysitis</w:t>
      </w:r>
      <w:proofErr w:type="spellEnd"/>
      <w:r w:rsidRPr="005B08D4">
        <w:rPr>
          <w:rFonts w:ascii="Arial" w:hAnsi="Arial" w:cs="Arial"/>
          <w:sz w:val="22"/>
          <w:szCs w:val="20"/>
        </w:rPr>
        <w:t xml:space="preserve">. </w:t>
      </w:r>
      <w:r w:rsidRPr="00BE663E">
        <w:rPr>
          <w:rFonts w:cs="Arial"/>
          <w:i/>
          <w:sz w:val="22"/>
          <w:lang w:val="en-AU" w:eastAsia="en-AU"/>
        </w:rPr>
        <w:t>[See DOSAGE AND ADMINISTRATION</w:t>
      </w:r>
      <w:r w:rsidR="00943006">
        <w:rPr>
          <w:rFonts w:cs="Arial"/>
          <w:i/>
          <w:sz w:val="22"/>
          <w:lang w:val="en-AU" w:eastAsia="en-AU"/>
        </w:rPr>
        <w:t>, ADVERSE EFFECTS</w:t>
      </w:r>
      <w:r>
        <w:rPr>
          <w:rFonts w:cs="Arial"/>
          <w:i/>
          <w:sz w:val="22"/>
          <w:lang w:val="en-AU" w:eastAsia="en-AU"/>
        </w:rPr>
        <w:t xml:space="preserve"> and Immune-mediated Adverse Reactions above</w:t>
      </w:r>
      <w:r w:rsidRPr="00BE663E">
        <w:rPr>
          <w:rFonts w:cs="Arial"/>
          <w:i/>
          <w:sz w:val="22"/>
          <w:lang w:val="en-AU" w:eastAsia="en-AU"/>
        </w:rPr>
        <w:t>]</w:t>
      </w:r>
      <w:r w:rsidRPr="00BE663E">
        <w:rPr>
          <w:rFonts w:cs="Arial"/>
          <w:sz w:val="22"/>
          <w:lang w:val="en-AU" w:eastAsia="en-AU"/>
        </w:rPr>
        <w:t>.</w:t>
      </w:r>
    </w:p>
    <w:p w:rsidR="005B08D4" w:rsidRPr="005B08D4" w:rsidRDefault="005B08D4" w:rsidP="008476E9">
      <w:pPr>
        <w:pStyle w:val="BodyText1"/>
        <w:ind w:firstLine="0"/>
        <w:jc w:val="both"/>
        <w:rPr>
          <w:rFonts w:ascii="Arial" w:hAnsi="Arial" w:cs="Arial"/>
          <w:sz w:val="22"/>
          <w:szCs w:val="20"/>
        </w:rPr>
      </w:pPr>
    </w:p>
    <w:p w:rsidR="005B08D4" w:rsidRDefault="005B08D4" w:rsidP="008476E9">
      <w:pPr>
        <w:pStyle w:val="BodyText1"/>
        <w:ind w:firstLine="0"/>
        <w:jc w:val="both"/>
        <w:rPr>
          <w:rFonts w:ascii="Arial" w:hAnsi="Arial" w:cs="Arial"/>
          <w:sz w:val="22"/>
          <w:szCs w:val="20"/>
        </w:rPr>
      </w:pPr>
      <w:r w:rsidRPr="005B08D4">
        <w:rPr>
          <w:rFonts w:ascii="Arial" w:hAnsi="Arial" w:cs="Arial"/>
          <w:sz w:val="22"/>
          <w:szCs w:val="20"/>
        </w:rPr>
        <w:t>Type 1 diabetes mellitus, including diabetic ketoacidosis, has been reported in patients receiving KEYTRUDA. Monitor patients for hyperglycemia or other signs and symptoms of diabetes. Exclude other causes of diabetes. Administer insulin for type 1 diabetes, and withhold KEYTRUDA in cases of severe hyperglycemia until metabolic control is achieved.</w:t>
      </w:r>
    </w:p>
    <w:p w:rsidR="005B08D4" w:rsidRPr="000903B2" w:rsidRDefault="005B08D4" w:rsidP="008476E9">
      <w:pPr>
        <w:pStyle w:val="BodyText1"/>
        <w:ind w:firstLine="0"/>
        <w:jc w:val="both"/>
        <w:rPr>
          <w:rFonts w:ascii="Arial" w:hAnsi="Arial" w:cs="Arial"/>
          <w:sz w:val="22"/>
          <w:szCs w:val="20"/>
        </w:rPr>
      </w:pPr>
    </w:p>
    <w:p w:rsidR="00943006" w:rsidRPr="008C203A" w:rsidRDefault="00943006" w:rsidP="00943006">
      <w:pPr>
        <w:pStyle w:val="BodyText1"/>
        <w:ind w:firstLine="0"/>
        <w:jc w:val="both"/>
        <w:rPr>
          <w:rFonts w:ascii="Arial" w:hAnsi="Arial" w:cs="Arial"/>
          <w:sz w:val="22"/>
          <w:szCs w:val="22"/>
        </w:rPr>
      </w:pPr>
      <w:r w:rsidRPr="008C203A">
        <w:rPr>
          <w:rFonts w:ascii="Arial" w:hAnsi="Arial" w:cs="Arial"/>
          <w:sz w:val="22"/>
          <w:szCs w:val="22"/>
        </w:rPr>
        <w:t xml:space="preserve">Hyperthyroidism occurred in 5 (1.2%) of 411 patients, including Grade 2 or 3 cases in 2 (0.5%) and 1 (0.2%) patients, respectively, receiving KEYTRUDA in </w:t>
      </w:r>
      <w:r>
        <w:rPr>
          <w:rFonts w:ascii="Arial" w:hAnsi="Arial" w:cs="Arial"/>
          <w:sz w:val="22"/>
          <w:szCs w:val="20"/>
        </w:rPr>
        <w:t>P001</w:t>
      </w:r>
      <w:r w:rsidRPr="008C203A">
        <w:rPr>
          <w:rFonts w:ascii="Arial" w:hAnsi="Arial" w:cs="Arial"/>
          <w:sz w:val="22"/>
          <w:szCs w:val="22"/>
        </w:rPr>
        <w:t>. The median time to onset was 1.5 months (range 0.5-2.1). The median duration was 2.8 months (range 0.9 to 6.1). One of two patients with Grade 2 and the one patient with Grade 3 hyperthyroidism required initial treatment with high-dose corticosteroids (greater than or equal to 40 mg prednisone or equivalent per day) followed by a corticosteroid taper. One patient (0.2%) required permanent discontinuation of KEYTRUDA due to hyperthyroidism. All five patients with hyperthyroidism experienced complete resolution of the event.</w:t>
      </w:r>
    </w:p>
    <w:p w:rsidR="00943006" w:rsidRPr="008C203A" w:rsidRDefault="00943006" w:rsidP="00943006">
      <w:pPr>
        <w:pStyle w:val="BodyText1"/>
        <w:ind w:firstLine="0"/>
        <w:jc w:val="both"/>
        <w:rPr>
          <w:rFonts w:ascii="Arial" w:hAnsi="Arial" w:cs="Arial"/>
          <w:sz w:val="22"/>
          <w:szCs w:val="22"/>
        </w:rPr>
      </w:pPr>
    </w:p>
    <w:p w:rsidR="00943006" w:rsidRPr="008C203A" w:rsidRDefault="00943006" w:rsidP="00943006">
      <w:pPr>
        <w:pStyle w:val="BodyText1"/>
        <w:ind w:firstLine="0"/>
        <w:jc w:val="both"/>
        <w:rPr>
          <w:rFonts w:ascii="Arial" w:hAnsi="Arial" w:cs="Arial"/>
          <w:sz w:val="22"/>
          <w:szCs w:val="22"/>
        </w:rPr>
      </w:pPr>
      <w:r w:rsidRPr="008C203A">
        <w:rPr>
          <w:rFonts w:ascii="Arial" w:hAnsi="Arial" w:cs="Arial"/>
          <w:sz w:val="22"/>
          <w:szCs w:val="22"/>
        </w:rPr>
        <w:t xml:space="preserve">Hypothyroidism occurred in 34 (8.3%) of 411 patients, including a Grade 3 case in 1 (0.2%) patient, receiving KEYTRUDA in </w:t>
      </w:r>
      <w:r>
        <w:rPr>
          <w:rFonts w:ascii="Arial" w:hAnsi="Arial" w:cs="Arial"/>
          <w:sz w:val="22"/>
          <w:szCs w:val="20"/>
        </w:rPr>
        <w:t>P001</w:t>
      </w:r>
      <w:r w:rsidRPr="008C203A">
        <w:rPr>
          <w:rFonts w:ascii="Arial" w:hAnsi="Arial" w:cs="Arial"/>
          <w:sz w:val="22"/>
          <w:szCs w:val="22"/>
        </w:rPr>
        <w:t>. The median time to onset of hypothyroidism was 3.5 months (range 0.7 weeks-19 months). All but two of the patients with hypothyroidism were treated with long-term thyroid hormone replacement therapy. The other two patients only required short-term thyroid hormone replacement therapy. No patient received corticosteroids or discontinued KEYTRUDA for management of hypothyroidism.</w:t>
      </w:r>
    </w:p>
    <w:p w:rsidR="00943006" w:rsidRDefault="00943006" w:rsidP="00AE6DEA">
      <w:pPr>
        <w:pStyle w:val="BodyText1"/>
        <w:ind w:firstLine="0"/>
        <w:jc w:val="both"/>
        <w:rPr>
          <w:rFonts w:ascii="Arial" w:hAnsi="Arial" w:cs="Arial"/>
          <w:sz w:val="22"/>
          <w:szCs w:val="20"/>
        </w:rPr>
      </w:pPr>
    </w:p>
    <w:p w:rsidR="00AE6DEA" w:rsidRDefault="000903B2" w:rsidP="00AE6DEA">
      <w:pPr>
        <w:pStyle w:val="BodyText1"/>
        <w:ind w:firstLine="0"/>
        <w:jc w:val="both"/>
        <w:rPr>
          <w:rFonts w:ascii="Arial" w:hAnsi="Arial" w:cs="Arial"/>
          <w:sz w:val="22"/>
          <w:szCs w:val="20"/>
        </w:rPr>
      </w:pPr>
      <w:r w:rsidRPr="000903B2">
        <w:rPr>
          <w:rFonts w:ascii="Arial" w:hAnsi="Arial" w:cs="Arial"/>
          <w:sz w:val="22"/>
          <w:szCs w:val="20"/>
        </w:rPr>
        <w:t>Thyroid disorders can occur at any time during treatment</w:t>
      </w:r>
      <w:r w:rsidR="00943006">
        <w:rPr>
          <w:rFonts w:ascii="Arial" w:hAnsi="Arial" w:cs="Arial"/>
          <w:sz w:val="22"/>
          <w:szCs w:val="20"/>
        </w:rPr>
        <w:t>. M</w:t>
      </w:r>
      <w:r w:rsidRPr="000903B2">
        <w:rPr>
          <w:rFonts w:ascii="Arial" w:hAnsi="Arial" w:cs="Arial"/>
          <w:sz w:val="22"/>
          <w:szCs w:val="20"/>
        </w:rPr>
        <w:t>onitor patients for changes in thyroid function (at the start of treatment, periodically during treatment and as indicated based on clinical evaluation) and clinical signs and symptoms of thyroid disorders. Administer corticosteroids</w:t>
      </w:r>
      <w:r w:rsidR="00943006">
        <w:rPr>
          <w:rFonts w:ascii="Arial" w:hAnsi="Arial" w:cs="Arial"/>
          <w:sz w:val="22"/>
          <w:szCs w:val="20"/>
        </w:rPr>
        <w:t xml:space="preserve"> for Grade 3 or greater hyperthyroidism</w:t>
      </w:r>
      <w:r w:rsidRPr="000903B2">
        <w:rPr>
          <w:rFonts w:ascii="Arial" w:hAnsi="Arial" w:cs="Arial"/>
          <w:sz w:val="22"/>
          <w:szCs w:val="20"/>
        </w:rPr>
        <w:t>, withhold KEYTRUDA for severe (Grade 3) hyperthyroidism, and permanently discontinue KEYTRUDA for life-threatening (Grade 4) hyperthyroidism. Treat symptoms of hyperthyroidism as appropriate</w:t>
      </w:r>
      <w:r w:rsidR="00EA5B09">
        <w:rPr>
          <w:rFonts w:ascii="Arial" w:hAnsi="Arial" w:cs="Arial"/>
          <w:sz w:val="22"/>
          <w:szCs w:val="20"/>
        </w:rPr>
        <w:t xml:space="preserve"> </w:t>
      </w:r>
      <w:r w:rsidR="00EA5B09" w:rsidRPr="00BE663E">
        <w:rPr>
          <w:rFonts w:cs="Arial"/>
          <w:i/>
          <w:sz w:val="22"/>
          <w:lang w:val="en-AU" w:eastAsia="en-AU"/>
        </w:rPr>
        <w:t>[See DOSAGE AND ADMINISTRATION</w:t>
      </w:r>
      <w:r w:rsidR="003345BB">
        <w:rPr>
          <w:rFonts w:cs="Arial"/>
          <w:i/>
          <w:sz w:val="22"/>
          <w:lang w:val="en-AU" w:eastAsia="en-AU"/>
        </w:rPr>
        <w:t>,</w:t>
      </w:r>
      <w:r w:rsidR="00EA5B09">
        <w:rPr>
          <w:rFonts w:cs="Arial"/>
          <w:i/>
          <w:sz w:val="22"/>
          <w:lang w:val="en-AU" w:eastAsia="en-AU"/>
        </w:rPr>
        <w:t xml:space="preserve"> ADVERSE EFFECTS</w:t>
      </w:r>
      <w:r w:rsidR="003345BB" w:rsidRPr="003345BB">
        <w:rPr>
          <w:rFonts w:cs="Arial"/>
          <w:i/>
          <w:sz w:val="22"/>
          <w:lang w:val="en-AU" w:eastAsia="en-AU"/>
        </w:rPr>
        <w:t xml:space="preserve"> </w:t>
      </w:r>
      <w:r w:rsidR="003345BB">
        <w:rPr>
          <w:rFonts w:cs="Arial"/>
          <w:i/>
          <w:sz w:val="22"/>
          <w:lang w:val="en-AU" w:eastAsia="en-AU"/>
        </w:rPr>
        <w:t>and Immune-mediated Adverse Reactions above</w:t>
      </w:r>
      <w:r w:rsidR="00EA5B09" w:rsidRPr="00BE663E">
        <w:rPr>
          <w:rFonts w:cs="Arial"/>
          <w:i/>
          <w:sz w:val="22"/>
          <w:lang w:val="en-AU" w:eastAsia="en-AU"/>
        </w:rPr>
        <w:t>]</w:t>
      </w:r>
      <w:r w:rsidR="00EA5B09" w:rsidRPr="00BE663E">
        <w:rPr>
          <w:rFonts w:cs="Arial"/>
          <w:sz w:val="22"/>
          <w:lang w:val="en-AU" w:eastAsia="en-AU"/>
        </w:rPr>
        <w:t>.</w:t>
      </w:r>
      <w:r w:rsidR="00EA5B09">
        <w:rPr>
          <w:rFonts w:cs="Arial"/>
          <w:sz w:val="22"/>
          <w:lang w:val="en-AU" w:eastAsia="en-AU"/>
        </w:rPr>
        <w:t xml:space="preserve"> </w:t>
      </w:r>
      <w:r w:rsidRPr="000903B2">
        <w:rPr>
          <w:rFonts w:ascii="Arial" w:hAnsi="Arial" w:cs="Arial"/>
          <w:sz w:val="22"/>
          <w:szCs w:val="20"/>
        </w:rPr>
        <w:t xml:space="preserve">Isolated hypothyroidism may be managed with replacement therapy without treatment interruption and without corticosteroids. </w:t>
      </w:r>
    </w:p>
    <w:p w:rsidR="005B08D4" w:rsidRPr="005B08D4" w:rsidRDefault="005B08D4" w:rsidP="008476E9">
      <w:pPr>
        <w:pStyle w:val="BodyText1"/>
        <w:ind w:firstLine="0"/>
        <w:jc w:val="both"/>
        <w:rPr>
          <w:rFonts w:cs="Arial"/>
          <w:sz w:val="22"/>
          <w:lang w:val="en-AU" w:eastAsia="en-AU"/>
        </w:rPr>
      </w:pPr>
    </w:p>
    <w:p w:rsidR="005B08D4" w:rsidRPr="005B08D4" w:rsidRDefault="005B08D4" w:rsidP="008476E9">
      <w:pPr>
        <w:pStyle w:val="BodyText1"/>
        <w:ind w:firstLine="0"/>
        <w:jc w:val="both"/>
        <w:rPr>
          <w:rFonts w:cs="Arial"/>
          <w:b/>
          <w:i/>
          <w:sz w:val="22"/>
          <w:lang w:val="en-AU" w:eastAsia="en-AU"/>
        </w:rPr>
      </w:pPr>
      <w:r w:rsidRPr="005B08D4">
        <w:rPr>
          <w:rFonts w:cs="Arial"/>
          <w:b/>
          <w:i/>
          <w:sz w:val="22"/>
          <w:lang w:val="en-AU" w:eastAsia="en-AU"/>
        </w:rPr>
        <w:t>Other immune-mediated adverse events</w:t>
      </w:r>
    </w:p>
    <w:p w:rsidR="005B08D4" w:rsidRPr="005B08D4" w:rsidRDefault="005B08D4" w:rsidP="00AE6DEA">
      <w:pPr>
        <w:pStyle w:val="BodyText1"/>
        <w:ind w:firstLine="0"/>
        <w:jc w:val="both"/>
        <w:rPr>
          <w:rFonts w:cs="Arial"/>
          <w:sz w:val="22"/>
          <w:lang w:val="en-AU" w:eastAsia="en-AU"/>
        </w:rPr>
      </w:pPr>
      <w:r w:rsidRPr="005B08D4">
        <w:rPr>
          <w:rFonts w:cs="Arial"/>
          <w:sz w:val="22"/>
          <w:lang w:val="en-AU" w:eastAsia="en-AU"/>
        </w:rPr>
        <w:t>Across clinical studies with KEYTRUDA in approximately 5000 patients, the following additional clinically significant, immune-mediated adverse reactions were reported in less than 1% of patients: uveitis</w:t>
      </w:r>
      <w:r w:rsidR="00631009">
        <w:rPr>
          <w:rFonts w:cs="Arial"/>
          <w:sz w:val="22"/>
          <w:lang w:val="en-AU" w:eastAsia="en-AU"/>
        </w:rPr>
        <w:t>, myositis</w:t>
      </w:r>
      <w:r w:rsidRPr="005B08D4">
        <w:rPr>
          <w:rFonts w:cs="Arial"/>
          <w:sz w:val="22"/>
          <w:lang w:val="en-AU" w:eastAsia="en-AU"/>
        </w:rPr>
        <w:t xml:space="preserve"> and severe skin reactions.</w:t>
      </w:r>
    </w:p>
    <w:p w:rsidR="005B08D4" w:rsidRPr="005B08D4" w:rsidRDefault="005B08D4" w:rsidP="008476E9">
      <w:pPr>
        <w:pStyle w:val="BodyText1"/>
        <w:ind w:firstLine="0"/>
        <w:jc w:val="both"/>
        <w:rPr>
          <w:rFonts w:cs="Arial"/>
          <w:sz w:val="22"/>
          <w:lang w:val="en-AU" w:eastAsia="en-AU"/>
        </w:rPr>
      </w:pPr>
    </w:p>
    <w:p w:rsidR="005B08D4" w:rsidRPr="005B08D4" w:rsidRDefault="005B08D4" w:rsidP="008476E9">
      <w:pPr>
        <w:pStyle w:val="BodyText1"/>
        <w:keepNext/>
        <w:ind w:firstLine="0"/>
        <w:jc w:val="both"/>
        <w:rPr>
          <w:rFonts w:cs="Arial"/>
          <w:b/>
          <w:i/>
          <w:sz w:val="22"/>
          <w:lang w:val="en-AU" w:eastAsia="en-AU"/>
        </w:rPr>
      </w:pPr>
      <w:r w:rsidRPr="005B08D4">
        <w:rPr>
          <w:rFonts w:cs="Arial"/>
          <w:b/>
          <w:i/>
          <w:sz w:val="22"/>
          <w:lang w:val="en-AU" w:eastAsia="en-AU"/>
        </w:rPr>
        <w:lastRenderedPageBreak/>
        <w:t>Infusion-related reactions</w:t>
      </w:r>
    </w:p>
    <w:p w:rsidR="005B08D4" w:rsidRPr="00EA5B09" w:rsidRDefault="005B08D4" w:rsidP="008476E9">
      <w:pPr>
        <w:pStyle w:val="BodyText1"/>
        <w:ind w:firstLine="0"/>
        <w:jc w:val="both"/>
        <w:rPr>
          <w:rFonts w:cs="Arial"/>
          <w:sz w:val="22"/>
          <w:lang w:val="en-AU" w:eastAsia="en-AU"/>
        </w:rPr>
      </w:pPr>
      <w:r w:rsidRPr="005B08D4">
        <w:rPr>
          <w:rFonts w:cs="Arial"/>
          <w:sz w:val="22"/>
          <w:lang w:val="en-AU" w:eastAsia="en-AU"/>
        </w:rPr>
        <w:t xml:space="preserve">Across clinical studies with KEYTRUDA in approximately 5000 patients, severe infusion-related reactions have been reported in less than 0.1% of patients. For severe infusion reactions, stop infusion and permanently discontinue KEYTRUDA </w:t>
      </w:r>
      <w:r w:rsidRPr="00BE663E">
        <w:rPr>
          <w:rFonts w:cs="Arial"/>
          <w:i/>
          <w:sz w:val="22"/>
          <w:lang w:val="en-AU" w:eastAsia="en-AU"/>
        </w:rPr>
        <w:t>[See DOSAGE AND ADMINISTRATION]</w:t>
      </w:r>
      <w:r w:rsidRPr="00BE663E">
        <w:rPr>
          <w:rFonts w:cs="Arial"/>
          <w:sz w:val="22"/>
          <w:lang w:val="en-AU" w:eastAsia="en-AU"/>
        </w:rPr>
        <w:t>.</w:t>
      </w:r>
      <w:r w:rsidRPr="005B08D4">
        <w:rPr>
          <w:rFonts w:cs="Arial"/>
          <w:sz w:val="22"/>
          <w:lang w:val="en-AU" w:eastAsia="en-AU"/>
        </w:rPr>
        <w:t xml:space="preserve"> Patients with mild or moderate infusion reaction may continue to receive KEYTRUDA with close monitoring; premedication with antipyretic and antihistamine may be considered.</w:t>
      </w:r>
      <w:r w:rsidR="00E77671">
        <w:rPr>
          <w:rFonts w:cs="Arial"/>
          <w:sz w:val="22"/>
          <w:lang w:val="en-AU" w:eastAsia="en-AU"/>
        </w:rPr>
        <w:t xml:space="preserve"> </w:t>
      </w:r>
    </w:p>
    <w:p w:rsidR="00406042" w:rsidRDefault="00406042" w:rsidP="008476E9">
      <w:pPr>
        <w:pStyle w:val="BodyText1"/>
        <w:spacing w:before="0"/>
        <w:ind w:firstLine="0"/>
        <w:jc w:val="both"/>
        <w:rPr>
          <w:rFonts w:ascii="Arial" w:hAnsi="Arial" w:cs="Arial"/>
          <w:noProof/>
          <w:sz w:val="22"/>
          <w:szCs w:val="20"/>
        </w:rPr>
      </w:pPr>
    </w:p>
    <w:p w:rsidR="00E749B9" w:rsidRPr="00E749B9" w:rsidRDefault="00E749B9" w:rsidP="00E749B9">
      <w:pPr>
        <w:pStyle w:val="BodyText1"/>
        <w:ind w:firstLine="0"/>
        <w:jc w:val="both"/>
        <w:rPr>
          <w:rFonts w:ascii="Arial" w:hAnsi="Arial" w:cs="Arial"/>
          <w:b/>
          <w:i/>
          <w:noProof/>
          <w:sz w:val="22"/>
          <w:szCs w:val="20"/>
        </w:rPr>
      </w:pPr>
      <w:r w:rsidRPr="00E749B9">
        <w:rPr>
          <w:rFonts w:ascii="Arial" w:hAnsi="Arial" w:cs="Arial"/>
          <w:b/>
          <w:i/>
          <w:noProof/>
          <w:sz w:val="22"/>
          <w:szCs w:val="20"/>
        </w:rPr>
        <w:t>Patients excluded from clinical trials</w:t>
      </w:r>
    </w:p>
    <w:p w:rsidR="00E749B9" w:rsidRPr="00E749B9" w:rsidRDefault="00E749B9" w:rsidP="00E749B9">
      <w:pPr>
        <w:pStyle w:val="BodyText1"/>
        <w:ind w:firstLine="0"/>
        <w:jc w:val="both"/>
        <w:rPr>
          <w:rFonts w:ascii="Arial" w:hAnsi="Arial" w:cs="Arial"/>
          <w:noProof/>
          <w:sz w:val="22"/>
          <w:szCs w:val="20"/>
        </w:rPr>
      </w:pPr>
      <w:r w:rsidRPr="00E749B9">
        <w:rPr>
          <w:rFonts w:ascii="Arial" w:hAnsi="Arial" w:cs="Arial"/>
          <w:noProof/>
          <w:sz w:val="22"/>
          <w:szCs w:val="20"/>
        </w:rPr>
        <w:t xml:space="preserve">Patients with HIV, HBV, HCV, other active infections requiring therapy; and patients with a history of severe immune-mediated adverse reactions with ipilimumab, defined as any Grade 4 toxicity requiring treatment with corticosteroids or Grade 3 toxicity requiring corticosteroid treatment (greater than 10 mg/day prednisone or equivalent dose) for greater than 12 weeks. No clinical data is available. Caution should be used in these patient populations. </w:t>
      </w:r>
    </w:p>
    <w:p w:rsidR="00E749B9" w:rsidRPr="00E749B9" w:rsidRDefault="00E749B9" w:rsidP="00E749B9">
      <w:pPr>
        <w:pStyle w:val="BodyText1"/>
        <w:ind w:firstLine="0"/>
        <w:rPr>
          <w:rFonts w:ascii="Arial" w:hAnsi="Arial" w:cs="Arial"/>
          <w:noProof/>
          <w:sz w:val="22"/>
          <w:szCs w:val="20"/>
        </w:rPr>
      </w:pPr>
    </w:p>
    <w:p w:rsidR="00E749B9" w:rsidRDefault="00E749B9" w:rsidP="00E749B9">
      <w:pPr>
        <w:pStyle w:val="BodyText1"/>
        <w:spacing w:before="0"/>
        <w:ind w:firstLine="0"/>
        <w:jc w:val="both"/>
        <w:rPr>
          <w:rFonts w:ascii="Arial" w:hAnsi="Arial" w:cs="Arial"/>
          <w:noProof/>
          <w:sz w:val="22"/>
          <w:szCs w:val="20"/>
        </w:rPr>
      </w:pPr>
      <w:r w:rsidRPr="00E749B9">
        <w:rPr>
          <w:rFonts w:ascii="Arial" w:hAnsi="Arial" w:cs="Arial"/>
          <w:noProof/>
          <w:sz w:val="22"/>
          <w:szCs w:val="20"/>
        </w:rPr>
        <w:t>Patients who experienced less severe adverse reactions (including immune-mediated) on ipilimumab that resolved or improved to Grade 0-1 and ≤10 mg/day prednisone (or equivalent dose) for immune-mediated adverse events. for at least two weeks prior to first dose of KEYTRUDA were included in the clinical trial. Caution should be used in this patient population.</w:t>
      </w:r>
    </w:p>
    <w:p w:rsidR="00E749B9" w:rsidRPr="001D71DE" w:rsidRDefault="00E749B9" w:rsidP="008476E9">
      <w:pPr>
        <w:pStyle w:val="BodyText1"/>
        <w:spacing w:before="0"/>
        <w:ind w:firstLine="0"/>
        <w:jc w:val="both"/>
        <w:rPr>
          <w:rFonts w:ascii="Arial" w:hAnsi="Arial" w:cs="Arial"/>
          <w:noProof/>
          <w:sz w:val="22"/>
          <w:szCs w:val="20"/>
        </w:rPr>
      </w:pPr>
    </w:p>
    <w:p w:rsidR="003A6F1C" w:rsidRPr="001D71DE" w:rsidRDefault="00491C60" w:rsidP="003E3ACF">
      <w:pPr>
        <w:pStyle w:val="Heading2"/>
        <w:spacing w:before="0" w:after="0"/>
        <w:rPr>
          <w:rFonts w:ascii="Arial" w:hAnsi="Arial" w:cs="Arial"/>
        </w:rPr>
      </w:pPr>
      <w:r w:rsidRPr="001D71DE">
        <w:rPr>
          <w:rFonts w:ascii="Arial" w:hAnsi="Arial" w:cs="Arial"/>
        </w:rPr>
        <w:t>Effects on</w:t>
      </w:r>
      <w:r w:rsidR="003A6F1C" w:rsidRPr="001D71DE">
        <w:rPr>
          <w:rFonts w:ascii="Arial" w:hAnsi="Arial" w:cs="Arial"/>
        </w:rPr>
        <w:t xml:space="preserve"> Fertility</w:t>
      </w:r>
    </w:p>
    <w:p w:rsidR="00704668" w:rsidRPr="001D71DE" w:rsidRDefault="00E77671" w:rsidP="00010E35">
      <w:pPr>
        <w:rPr>
          <w:rFonts w:cs="Arial"/>
          <w:sz w:val="24"/>
        </w:rPr>
      </w:pPr>
      <w:r w:rsidRPr="00E77671">
        <w:t xml:space="preserve"> </w:t>
      </w:r>
      <w:r w:rsidRPr="00E77671">
        <w:rPr>
          <w:rFonts w:cs="Arial"/>
          <w:lang w:val="en-US" w:eastAsia="en-US"/>
        </w:rPr>
        <w:t xml:space="preserve">Fertility studies have not been conducted with </w:t>
      </w:r>
      <w:proofErr w:type="spellStart"/>
      <w:r w:rsidRPr="00E77671">
        <w:rPr>
          <w:rFonts w:cs="Arial"/>
          <w:lang w:val="en-US" w:eastAsia="en-US"/>
        </w:rPr>
        <w:t>pembrolizumab</w:t>
      </w:r>
      <w:proofErr w:type="spellEnd"/>
      <w:r w:rsidRPr="00E77671">
        <w:rPr>
          <w:rFonts w:cs="Arial"/>
          <w:lang w:val="en-US" w:eastAsia="en-US"/>
        </w:rPr>
        <w:t xml:space="preserve">. There were no notable effects on male and female reproductive organs observed in general repeat-dose toxicity studies conducted with </w:t>
      </w:r>
      <w:proofErr w:type="spellStart"/>
      <w:r w:rsidRPr="00E77671">
        <w:rPr>
          <w:rFonts w:cs="Arial"/>
          <w:lang w:val="en-US" w:eastAsia="en-US"/>
        </w:rPr>
        <w:t>pembrolizumab</w:t>
      </w:r>
      <w:proofErr w:type="spellEnd"/>
      <w:r w:rsidRPr="00E77671">
        <w:rPr>
          <w:rFonts w:cs="Arial"/>
          <w:lang w:val="en-US" w:eastAsia="en-US"/>
        </w:rPr>
        <w:t xml:space="preserve"> in </w:t>
      </w:r>
      <w:proofErr w:type="spellStart"/>
      <w:r w:rsidRPr="00E77671">
        <w:rPr>
          <w:rFonts w:cs="Arial"/>
          <w:lang w:val="en-US" w:eastAsia="en-US"/>
        </w:rPr>
        <w:t>Cynomolgus</w:t>
      </w:r>
      <w:proofErr w:type="spellEnd"/>
      <w:r w:rsidRPr="00E77671">
        <w:rPr>
          <w:rFonts w:cs="Arial"/>
          <w:lang w:val="en-US" w:eastAsia="en-US"/>
        </w:rPr>
        <w:t xml:space="preserve"> monkeys, involving IV administration at doses up to 200 mg/kg once a week for 1 month or once every two weeks for 6 months, yielding more than </w:t>
      </w:r>
      <w:r w:rsidR="00A22F20">
        <w:rPr>
          <w:rFonts w:cs="Arial"/>
          <w:lang w:val="en-US" w:eastAsia="en-US"/>
        </w:rPr>
        <w:t>94</w:t>
      </w:r>
      <w:r w:rsidRPr="00E77671">
        <w:rPr>
          <w:rFonts w:cs="Arial"/>
          <w:lang w:val="en-US" w:eastAsia="en-US"/>
        </w:rPr>
        <w:t xml:space="preserve"> times the exposure in humans at the recommended clinica</w:t>
      </w:r>
      <w:r>
        <w:rPr>
          <w:rFonts w:cs="Arial"/>
          <w:lang w:val="en-US" w:eastAsia="en-US"/>
        </w:rPr>
        <w:t>l dose (2 mg/kg every 3 weeks).</w:t>
      </w:r>
    </w:p>
    <w:p w:rsidR="003A6F1C" w:rsidRPr="001D71DE" w:rsidRDefault="003A6F1C" w:rsidP="00010E35">
      <w:pPr>
        <w:pStyle w:val="Heading2"/>
        <w:spacing w:before="0" w:after="0"/>
        <w:rPr>
          <w:rFonts w:ascii="Arial" w:hAnsi="Arial" w:cs="Arial"/>
        </w:rPr>
      </w:pPr>
      <w:r w:rsidRPr="001D71DE">
        <w:rPr>
          <w:rFonts w:ascii="Arial" w:hAnsi="Arial" w:cs="Arial"/>
        </w:rPr>
        <w:t xml:space="preserve">Use in Pregnancy (Category </w:t>
      </w:r>
      <w:r w:rsidR="00E77671">
        <w:rPr>
          <w:rFonts w:ascii="Arial" w:hAnsi="Arial" w:cs="Arial"/>
        </w:rPr>
        <w:t>D</w:t>
      </w:r>
      <w:r w:rsidR="00277E66" w:rsidRPr="001D71DE">
        <w:rPr>
          <w:rFonts w:ascii="Arial" w:hAnsi="Arial" w:cs="Arial"/>
        </w:rPr>
        <w:t>)</w:t>
      </w:r>
    </w:p>
    <w:p w:rsidR="007816C9" w:rsidRDefault="00CF772C" w:rsidP="008E1321">
      <w:pPr>
        <w:rPr>
          <w:rFonts w:cs="Arial"/>
          <w:noProof/>
          <w:lang w:val="en-US" w:eastAsia="en-US"/>
        </w:rPr>
      </w:pPr>
      <w:r w:rsidRPr="00CF772C">
        <w:rPr>
          <w:rFonts w:cs="Arial"/>
          <w:noProof/>
          <w:lang w:val="en-US" w:eastAsia="en-US"/>
        </w:rPr>
        <w:t xml:space="preserve">There are no data on the use of pembrolizumab in pregnant women. Animal reproduction studies have not been conducted with pembrolizumab; however, blockade of </w:t>
      </w:r>
      <w:r w:rsidR="00E77671">
        <w:rPr>
          <w:rFonts w:cs="Arial"/>
          <w:noProof/>
          <w:lang w:val="en-US" w:eastAsia="en-US"/>
        </w:rPr>
        <w:t>the PD-1 pathway</w:t>
      </w:r>
      <w:r w:rsidRPr="00CF772C">
        <w:rPr>
          <w:rFonts w:cs="Arial"/>
          <w:noProof/>
          <w:lang w:val="en-US" w:eastAsia="en-US"/>
        </w:rPr>
        <w:t xml:space="preserve"> has been shown in </w:t>
      </w:r>
      <w:r w:rsidR="00E77671">
        <w:rPr>
          <w:rFonts w:cs="Arial"/>
          <w:noProof/>
          <w:lang w:val="en-US" w:eastAsia="en-US"/>
        </w:rPr>
        <w:t>mouse</w:t>
      </w:r>
      <w:r w:rsidR="00E77671" w:rsidRPr="00CF772C">
        <w:rPr>
          <w:rFonts w:cs="Arial"/>
          <w:noProof/>
          <w:lang w:val="en-US" w:eastAsia="en-US"/>
        </w:rPr>
        <w:t xml:space="preserve"> </w:t>
      </w:r>
      <w:r w:rsidRPr="00CF772C">
        <w:rPr>
          <w:rFonts w:cs="Arial"/>
          <w:noProof/>
          <w:lang w:val="en-US" w:eastAsia="en-US"/>
        </w:rPr>
        <w:t xml:space="preserve">models of pregnancy to disrupt tolerance to the </w:t>
      </w:r>
      <w:r w:rsidR="00E77671">
        <w:rPr>
          <w:rFonts w:cs="Arial"/>
          <w:noProof/>
          <w:lang w:val="en-US" w:eastAsia="en-US"/>
        </w:rPr>
        <w:t>fetus</w:t>
      </w:r>
      <w:r w:rsidR="00E77671" w:rsidRPr="00CF772C">
        <w:rPr>
          <w:rFonts w:cs="Arial"/>
          <w:noProof/>
          <w:lang w:val="en-US" w:eastAsia="en-US"/>
        </w:rPr>
        <w:t xml:space="preserve"> </w:t>
      </w:r>
      <w:r w:rsidRPr="00CF772C">
        <w:rPr>
          <w:rFonts w:cs="Arial"/>
          <w:noProof/>
          <w:lang w:val="en-US" w:eastAsia="en-US"/>
        </w:rPr>
        <w:t xml:space="preserve">and to result in an increase in </w:t>
      </w:r>
      <w:r w:rsidR="00E77671">
        <w:rPr>
          <w:rFonts w:cs="Arial"/>
          <w:noProof/>
          <w:lang w:val="en-US" w:eastAsia="en-US"/>
        </w:rPr>
        <w:t>fetal</w:t>
      </w:r>
      <w:r w:rsidR="00E77671" w:rsidRPr="00CF772C">
        <w:rPr>
          <w:rFonts w:cs="Arial"/>
          <w:noProof/>
          <w:lang w:val="en-US" w:eastAsia="en-US"/>
        </w:rPr>
        <w:t xml:space="preserve"> </w:t>
      </w:r>
      <w:r w:rsidRPr="00CF772C">
        <w:rPr>
          <w:rFonts w:cs="Arial"/>
          <w:noProof/>
          <w:lang w:val="en-US" w:eastAsia="en-US"/>
        </w:rPr>
        <w:t xml:space="preserve">loss. These results indicate </w:t>
      </w:r>
      <w:r w:rsidR="005B08D4" w:rsidRPr="005B08D4">
        <w:rPr>
          <w:rFonts w:cs="Arial"/>
          <w:noProof/>
          <w:lang w:val="en-US" w:eastAsia="en-US"/>
        </w:rPr>
        <w:t xml:space="preserve">that, based on its mechanism of action, </w:t>
      </w:r>
      <w:r w:rsidRPr="00CF772C">
        <w:rPr>
          <w:rFonts w:cs="Arial"/>
          <w:noProof/>
          <w:lang w:val="en-US" w:eastAsia="en-US"/>
        </w:rPr>
        <w:t xml:space="preserve">a potential risk that administration of KEYTRUDA during pregnancy could cause </w:t>
      </w:r>
      <w:r w:rsidR="00E77671">
        <w:rPr>
          <w:rFonts w:cs="Arial"/>
          <w:noProof/>
          <w:lang w:val="en-US" w:eastAsia="en-US"/>
        </w:rPr>
        <w:t>fetal</w:t>
      </w:r>
      <w:r w:rsidR="00E77671" w:rsidRPr="00CF772C">
        <w:rPr>
          <w:rFonts w:cs="Arial"/>
          <w:noProof/>
          <w:lang w:val="en-US" w:eastAsia="en-US"/>
        </w:rPr>
        <w:t xml:space="preserve"> </w:t>
      </w:r>
      <w:r w:rsidRPr="00CF772C">
        <w:rPr>
          <w:rFonts w:cs="Arial"/>
          <w:noProof/>
          <w:lang w:val="en-US" w:eastAsia="en-US"/>
        </w:rPr>
        <w:t xml:space="preserve">harm, including increased rates of abortion or stillbirth. Human IgG4 (immunoglobulin) is known to cross the placental barrier and pembrolizumab is an IgG4; therefore, pembrolizumab has the potential to be transmitted from the mother to the developing </w:t>
      </w:r>
      <w:r w:rsidR="00E77671">
        <w:rPr>
          <w:rFonts w:cs="Arial"/>
          <w:noProof/>
          <w:lang w:val="en-US" w:eastAsia="en-US"/>
        </w:rPr>
        <w:t>fetus</w:t>
      </w:r>
      <w:r w:rsidRPr="00CF772C">
        <w:rPr>
          <w:rFonts w:cs="Arial"/>
          <w:noProof/>
          <w:lang w:val="en-US" w:eastAsia="en-US"/>
        </w:rPr>
        <w:t xml:space="preserve">. KEYTRUDA is not recommended during pregnancy unless the clinical benefit outweighs the potential risk to the </w:t>
      </w:r>
      <w:r w:rsidR="00E77671">
        <w:rPr>
          <w:rFonts w:cs="Arial"/>
          <w:noProof/>
          <w:lang w:val="en-US" w:eastAsia="en-US"/>
        </w:rPr>
        <w:t>fetus</w:t>
      </w:r>
      <w:r w:rsidRPr="00CF772C">
        <w:rPr>
          <w:rFonts w:cs="Arial"/>
          <w:noProof/>
          <w:lang w:val="en-US" w:eastAsia="en-US"/>
        </w:rPr>
        <w:t>. Women of childbearing potential should use effective contraception</w:t>
      </w:r>
      <w:r w:rsidR="008E1321">
        <w:rPr>
          <w:rFonts w:cs="Arial"/>
          <w:noProof/>
          <w:lang w:val="en-US" w:eastAsia="en-US"/>
        </w:rPr>
        <w:t xml:space="preserve"> </w:t>
      </w:r>
      <w:r w:rsidR="008E1321" w:rsidRPr="008E1321">
        <w:rPr>
          <w:rFonts w:cs="Arial"/>
          <w:noProof/>
          <w:lang w:val="en-US" w:eastAsia="en-US"/>
        </w:rPr>
        <w:t>during treatment with KEYTRUDA and for at</w:t>
      </w:r>
      <w:r w:rsidR="008E1321">
        <w:rPr>
          <w:rFonts w:cs="Arial"/>
          <w:noProof/>
          <w:lang w:val="en-US" w:eastAsia="en-US"/>
        </w:rPr>
        <w:t xml:space="preserve"> </w:t>
      </w:r>
      <w:r w:rsidR="008E1321" w:rsidRPr="008E1321">
        <w:rPr>
          <w:rFonts w:cs="Arial"/>
          <w:noProof/>
          <w:lang w:val="en-US" w:eastAsia="en-US"/>
        </w:rPr>
        <w:t>least 4 months following the last dose of pembrolizumab</w:t>
      </w:r>
      <w:r w:rsidRPr="00CF772C">
        <w:rPr>
          <w:rFonts w:cs="Arial"/>
          <w:noProof/>
          <w:lang w:val="en-US" w:eastAsia="en-US"/>
        </w:rPr>
        <w:t>.</w:t>
      </w:r>
    </w:p>
    <w:p w:rsidR="00CF772C" w:rsidRPr="00704668" w:rsidRDefault="00CF772C" w:rsidP="00010E35">
      <w:pPr>
        <w:rPr>
          <w:rFonts w:cs="Arial"/>
          <w:noProof/>
          <w:lang w:val="en-US" w:eastAsia="en-US"/>
        </w:rPr>
      </w:pPr>
    </w:p>
    <w:p w:rsidR="003A6F1C" w:rsidRPr="001D71DE" w:rsidRDefault="003A6F1C" w:rsidP="00010E35">
      <w:pPr>
        <w:pStyle w:val="Heading2"/>
        <w:spacing w:before="0" w:after="0"/>
        <w:rPr>
          <w:rFonts w:ascii="Arial" w:hAnsi="Arial" w:cs="Arial"/>
        </w:rPr>
      </w:pPr>
      <w:r w:rsidRPr="001D71DE">
        <w:rPr>
          <w:rFonts w:ascii="Arial" w:hAnsi="Arial" w:cs="Arial"/>
        </w:rPr>
        <w:t>Use in Lactation</w:t>
      </w:r>
    </w:p>
    <w:p w:rsidR="007816C9" w:rsidRDefault="00CF772C" w:rsidP="00AE6DEA">
      <w:pPr>
        <w:rPr>
          <w:rFonts w:cs="Arial"/>
          <w:lang w:val="en-US" w:eastAsia="en-US"/>
        </w:rPr>
      </w:pPr>
      <w:r w:rsidRPr="00CF772C">
        <w:rPr>
          <w:rFonts w:cs="Arial"/>
          <w:lang w:val="en-US" w:eastAsia="en-US"/>
        </w:rPr>
        <w:t>It is unknown whether KEYTRUDA is secreted in human milk. Because many drugs are secreted in human milk, a decision should be made whether to discontinue breast-feeding or to discontinue KEYTRUDA, taking int</w:t>
      </w:r>
      <w:r w:rsidR="003345BB">
        <w:rPr>
          <w:rFonts w:cs="Arial"/>
          <w:lang w:val="en-US" w:eastAsia="en-US"/>
        </w:rPr>
        <w:t>o account the benefit of breast-</w:t>
      </w:r>
      <w:r w:rsidRPr="00CF772C">
        <w:rPr>
          <w:rFonts w:cs="Arial"/>
          <w:lang w:val="en-US" w:eastAsia="en-US"/>
        </w:rPr>
        <w:t>feeding for the child and the benefit of</w:t>
      </w:r>
      <w:r>
        <w:rPr>
          <w:rFonts w:cs="Arial"/>
          <w:lang w:val="en-US" w:eastAsia="en-US"/>
        </w:rPr>
        <w:t xml:space="preserve"> KEYTRUDA therapy for the woman.</w:t>
      </w:r>
    </w:p>
    <w:p w:rsidR="00CF772C" w:rsidRPr="001D71DE" w:rsidRDefault="00CF772C" w:rsidP="00AE6DEA">
      <w:pPr>
        <w:rPr>
          <w:rFonts w:cs="Arial"/>
          <w:sz w:val="24"/>
        </w:rPr>
      </w:pPr>
    </w:p>
    <w:p w:rsidR="003A6F1C" w:rsidRPr="001D71DE" w:rsidRDefault="00C25BB6" w:rsidP="00AE6DEA">
      <w:pPr>
        <w:pStyle w:val="Heading2"/>
        <w:spacing w:before="0" w:after="0"/>
        <w:rPr>
          <w:rFonts w:ascii="Arial" w:hAnsi="Arial" w:cs="Arial"/>
        </w:rPr>
      </w:pPr>
      <w:r w:rsidRPr="001D71DE">
        <w:rPr>
          <w:rFonts w:ascii="Arial" w:hAnsi="Arial" w:cs="Arial"/>
        </w:rPr>
        <w:t>Paediatric Use</w:t>
      </w:r>
    </w:p>
    <w:p w:rsidR="00C25BB6" w:rsidRDefault="00CF772C" w:rsidP="00AE6DEA">
      <w:pPr>
        <w:rPr>
          <w:rFonts w:cs="Arial"/>
          <w:lang w:val="en-US" w:eastAsia="en-US"/>
        </w:rPr>
      </w:pPr>
      <w:r w:rsidRPr="00CF772C">
        <w:rPr>
          <w:rFonts w:cs="Arial"/>
          <w:lang w:val="en-US" w:eastAsia="en-US"/>
        </w:rPr>
        <w:t>Safety and efficacy of KEYTRUDA in children below 18 years of age have not yet been established.</w:t>
      </w:r>
    </w:p>
    <w:p w:rsidR="00CF772C" w:rsidRPr="001D71DE" w:rsidRDefault="00CF772C" w:rsidP="00AE6DEA">
      <w:pPr>
        <w:rPr>
          <w:rFonts w:cs="Arial"/>
          <w:sz w:val="24"/>
        </w:rPr>
      </w:pPr>
    </w:p>
    <w:p w:rsidR="007816C9" w:rsidRPr="001D71DE" w:rsidRDefault="007816C9" w:rsidP="00AE6DEA">
      <w:pPr>
        <w:pStyle w:val="Heading2"/>
        <w:spacing w:before="0" w:after="0"/>
        <w:rPr>
          <w:rFonts w:ascii="Arial" w:hAnsi="Arial" w:cs="Arial"/>
        </w:rPr>
      </w:pPr>
      <w:r w:rsidRPr="001D71DE">
        <w:rPr>
          <w:rFonts w:ascii="Arial" w:hAnsi="Arial" w:cs="Arial"/>
        </w:rPr>
        <w:lastRenderedPageBreak/>
        <w:t>Use in the elderly</w:t>
      </w:r>
    </w:p>
    <w:p w:rsidR="007816C9" w:rsidRDefault="00CF772C" w:rsidP="00AE6DEA">
      <w:pPr>
        <w:rPr>
          <w:rFonts w:cs="Arial"/>
          <w:lang w:val="en-US" w:eastAsia="en-US"/>
        </w:rPr>
      </w:pPr>
      <w:r w:rsidRPr="00CF772C">
        <w:rPr>
          <w:rFonts w:cs="Arial"/>
          <w:lang w:val="en-US" w:eastAsia="en-US"/>
        </w:rPr>
        <w:t>No overall differences in safety or efficacy were reported between elderly patients (65 years and over) and younger patients (less than 65 years). No dose adjustment is necessary in this population.</w:t>
      </w:r>
    </w:p>
    <w:p w:rsidR="00CF772C" w:rsidRPr="001D71DE" w:rsidRDefault="00CF772C" w:rsidP="008E1321">
      <w:pPr>
        <w:rPr>
          <w:rFonts w:cs="Arial"/>
          <w:sz w:val="24"/>
        </w:rPr>
      </w:pPr>
    </w:p>
    <w:p w:rsidR="00C25BB6" w:rsidRPr="003345BB" w:rsidRDefault="00C25BB6" w:rsidP="00A74F3F">
      <w:pPr>
        <w:pStyle w:val="Heading2"/>
        <w:spacing w:before="0" w:after="0"/>
        <w:rPr>
          <w:rFonts w:ascii="Arial" w:hAnsi="Arial" w:cs="Arial"/>
        </w:rPr>
      </w:pPr>
      <w:r w:rsidRPr="003345BB">
        <w:rPr>
          <w:rFonts w:ascii="Arial" w:hAnsi="Arial" w:cs="Arial"/>
        </w:rPr>
        <w:t>Genotoxicity</w:t>
      </w:r>
    </w:p>
    <w:p w:rsidR="00DD4C7E" w:rsidRPr="003345BB" w:rsidRDefault="00D058F6" w:rsidP="00921EAB">
      <w:pPr>
        <w:pStyle w:val="BodyText1"/>
        <w:ind w:firstLine="0"/>
        <w:jc w:val="both"/>
        <w:rPr>
          <w:rFonts w:ascii="Arial" w:hAnsi="Arial" w:cs="Arial"/>
          <w:sz w:val="22"/>
          <w:szCs w:val="20"/>
        </w:rPr>
      </w:pPr>
      <w:r w:rsidRPr="003345BB">
        <w:rPr>
          <w:rFonts w:ascii="Arial" w:hAnsi="Arial" w:cs="Arial"/>
          <w:sz w:val="22"/>
          <w:szCs w:val="20"/>
        </w:rPr>
        <w:t xml:space="preserve">The genotoxic potential of </w:t>
      </w:r>
      <w:proofErr w:type="spellStart"/>
      <w:r w:rsidRPr="003345BB">
        <w:rPr>
          <w:rFonts w:ascii="Arial" w:hAnsi="Arial" w:cs="Arial"/>
          <w:sz w:val="22"/>
          <w:szCs w:val="20"/>
        </w:rPr>
        <w:t>pembrolizumab</w:t>
      </w:r>
      <w:proofErr w:type="spellEnd"/>
      <w:r w:rsidRPr="003345BB">
        <w:rPr>
          <w:rFonts w:ascii="Arial" w:hAnsi="Arial" w:cs="Arial"/>
          <w:sz w:val="22"/>
          <w:szCs w:val="20"/>
        </w:rPr>
        <w:t xml:space="preserve"> has not been evaluated.</w:t>
      </w:r>
      <w:r w:rsidR="00E77671">
        <w:rPr>
          <w:rFonts w:ascii="Arial" w:hAnsi="Arial" w:cs="Arial"/>
          <w:sz w:val="22"/>
          <w:szCs w:val="20"/>
        </w:rPr>
        <w:t xml:space="preserve"> As a large protein molecule, </w:t>
      </w:r>
      <w:proofErr w:type="spellStart"/>
      <w:r w:rsidR="00E77671">
        <w:rPr>
          <w:rFonts w:ascii="Arial" w:hAnsi="Arial" w:cs="Arial"/>
          <w:sz w:val="22"/>
          <w:szCs w:val="20"/>
        </w:rPr>
        <w:t>pembrolizumab</w:t>
      </w:r>
      <w:proofErr w:type="spellEnd"/>
      <w:r w:rsidR="00E77671">
        <w:rPr>
          <w:rFonts w:ascii="Arial" w:hAnsi="Arial" w:cs="Arial"/>
          <w:sz w:val="22"/>
          <w:szCs w:val="20"/>
        </w:rPr>
        <w:t xml:space="preserve"> is not expected to interact directly with DNA or other chromosomal material.</w:t>
      </w:r>
    </w:p>
    <w:p w:rsidR="00B433DB" w:rsidRPr="003345BB" w:rsidRDefault="00B433DB" w:rsidP="00555F36">
      <w:pPr>
        <w:rPr>
          <w:rFonts w:cs="Arial"/>
          <w:sz w:val="24"/>
        </w:rPr>
      </w:pPr>
    </w:p>
    <w:p w:rsidR="00B433DB" w:rsidRPr="003345BB" w:rsidRDefault="00B433DB" w:rsidP="00555F36">
      <w:pPr>
        <w:pStyle w:val="Heading2"/>
        <w:spacing w:before="0" w:after="0"/>
        <w:rPr>
          <w:rFonts w:ascii="Arial" w:hAnsi="Arial" w:cs="Arial"/>
        </w:rPr>
      </w:pPr>
      <w:r w:rsidRPr="003345BB">
        <w:rPr>
          <w:rFonts w:ascii="Arial" w:hAnsi="Arial" w:cs="Arial"/>
        </w:rPr>
        <w:t>Ca</w:t>
      </w:r>
      <w:r w:rsidR="006C613D" w:rsidRPr="003345BB">
        <w:rPr>
          <w:rFonts w:ascii="Arial" w:hAnsi="Arial" w:cs="Arial"/>
        </w:rPr>
        <w:t>rcinogenicity</w:t>
      </w:r>
    </w:p>
    <w:p w:rsidR="00D058F6" w:rsidRPr="003345BB" w:rsidRDefault="00D058F6" w:rsidP="00555F36">
      <w:pPr>
        <w:pStyle w:val="BodyText1"/>
        <w:ind w:firstLine="0"/>
        <w:jc w:val="both"/>
        <w:rPr>
          <w:rFonts w:ascii="Arial" w:hAnsi="Arial" w:cs="Arial"/>
          <w:sz w:val="22"/>
          <w:szCs w:val="20"/>
        </w:rPr>
      </w:pPr>
      <w:r w:rsidRPr="003345BB">
        <w:rPr>
          <w:rFonts w:ascii="Arial" w:hAnsi="Arial" w:cs="Arial"/>
          <w:sz w:val="22"/>
          <w:szCs w:val="20"/>
        </w:rPr>
        <w:t xml:space="preserve">The carcinogenic potential of </w:t>
      </w:r>
      <w:proofErr w:type="spellStart"/>
      <w:r w:rsidRPr="003345BB">
        <w:rPr>
          <w:rFonts w:ascii="Arial" w:hAnsi="Arial" w:cs="Arial"/>
          <w:sz w:val="22"/>
          <w:szCs w:val="20"/>
        </w:rPr>
        <w:t>pembrolizumab</w:t>
      </w:r>
      <w:proofErr w:type="spellEnd"/>
      <w:r w:rsidRPr="003345BB">
        <w:rPr>
          <w:rFonts w:ascii="Arial" w:hAnsi="Arial" w:cs="Arial"/>
          <w:sz w:val="22"/>
          <w:szCs w:val="20"/>
        </w:rPr>
        <w:t xml:space="preserve"> has not been evaluated in long-term animal studies.</w:t>
      </w:r>
    </w:p>
    <w:p w:rsidR="00D058F6" w:rsidRPr="003345BB" w:rsidRDefault="00D058F6" w:rsidP="00555F36">
      <w:pPr>
        <w:pStyle w:val="BodyText1"/>
        <w:ind w:firstLine="0"/>
        <w:jc w:val="both"/>
        <w:rPr>
          <w:rFonts w:ascii="Arial" w:hAnsi="Arial" w:cs="Arial"/>
          <w:sz w:val="22"/>
          <w:szCs w:val="20"/>
        </w:rPr>
      </w:pPr>
    </w:p>
    <w:p w:rsidR="00406042" w:rsidRPr="003345BB" w:rsidRDefault="00406042" w:rsidP="00555F36">
      <w:pPr>
        <w:pStyle w:val="Heading2"/>
        <w:spacing w:before="0" w:after="0"/>
        <w:rPr>
          <w:rFonts w:ascii="Arial" w:hAnsi="Arial" w:cs="Arial"/>
        </w:rPr>
      </w:pPr>
      <w:r w:rsidRPr="003345BB">
        <w:rPr>
          <w:rFonts w:ascii="Arial" w:hAnsi="Arial" w:cs="Arial"/>
        </w:rPr>
        <w:t>Effect on Laboratory Tests</w:t>
      </w:r>
    </w:p>
    <w:p w:rsidR="00406042" w:rsidRDefault="00406042" w:rsidP="00555F36">
      <w:pPr>
        <w:pStyle w:val="BodyText1"/>
        <w:spacing w:before="0"/>
        <w:ind w:firstLine="0"/>
        <w:jc w:val="both"/>
        <w:rPr>
          <w:rFonts w:ascii="Arial" w:hAnsi="Arial" w:cs="Arial"/>
          <w:i/>
          <w:noProof/>
          <w:sz w:val="22"/>
          <w:szCs w:val="20"/>
        </w:rPr>
      </w:pPr>
      <w:r w:rsidRPr="003345BB">
        <w:rPr>
          <w:rFonts w:ascii="Arial" w:hAnsi="Arial" w:cs="Arial"/>
          <w:noProof/>
          <w:sz w:val="22"/>
          <w:szCs w:val="20"/>
        </w:rPr>
        <w:t xml:space="preserve">Thyroid and liver </w:t>
      </w:r>
      <w:r w:rsidRPr="003345BB">
        <w:rPr>
          <w:rFonts w:ascii="Arial" w:hAnsi="Arial" w:cs="Arial"/>
          <w:sz w:val="22"/>
          <w:szCs w:val="20"/>
          <w:lang w:val="en-GB"/>
        </w:rPr>
        <w:t xml:space="preserve">(hepatic transaminase and bilirubin levels) </w:t>
      </w:r>
      <w:r w:rsidRPr="003345BB">
        <w:rPr>
          <w:rFonts w:ascii="Arial" w:hAnsi="Arial" w:cs="Arial"/>
          <w:noProof/>
          <w:sz w:val="22"/>
          <w:szCs w:val="20"/>
        </w:rPr>
        <w:t xml:space="preserve">function tests should be performed at the start of treatment, periodically during treatment and as indicated based on clinical evaluation </w:t>
      </w:r>
      <w:r w:rsidRPr="003345BB">
        <w:rPr>
          <w:rFonts w:ascii="Arial" w:hAnsi="Arial" w:cs="Arial"/>
          <w:i/>
          <w:noProof/>
          <w:sz w:val="22"/>
          <w:szCs w:val="20"/>
        </w:rPr>
        <w:t>[</w:t>
      </w:r>
      <w:r w:rsidR="000A0CD2" w:rsidRPr="003345BB">
        <w:rPr>
          <w:rFonts w:ascii="Arial" w:hAnsi="Arial" w:cs="Arial"/>
          <w:i/>
          <w:sz w:val="22"/>
          <w:szCs w:val="20"/>
        </w:rPr>
        <w:t xml:space="preserve">see </w:t>
      </w:r>
      <w:r w:rsidR="003345BB" w:rsidRPr="003345BB">
        <w:rPr>
          <w:rFonts w:ascii="Arial" w:hAnsi="Arial" w:cs="Arial"/>
          <w:i/>
          <w:sz w:val="22"/>
          <w:szCs w:val="20"/>
        </w:rPr>
        <w:t xml:space="preserve">PRECAUTIONS and </w:t>
      </w:r>
      <w:r w:rsidR="000A0CD2" w:rsidRPr="003345BB">
        <w:rPr>
          <w:rFonts w:ascii="Arial" w:hAnsi="Arial" w:cs="Arial"/>
          <w:i/>
          <w:sz w:val="22"/>
          <w:szCs w:val="20"/>
        </w:rPr>
        <w:t>DOSAGE AND ADMINISTRATON</w:t>
      </w:r>
      <w:r w:rsidRPr="003345BB">
        <w:rPr>
          <w:rFonts w:ascii="Arial" w:hAnsi="Arial" w:cs="Arial"/>
          <w:i/>
          <w:noProof/>
          <w:sz w:val="22"/>
          <w:szCs w:val="20"/>
        </w:rPr>
        <w:t>]</w:t>
      </w:r>
      <w:r w:rsidR="00D45C9B" w:rsidRPr="003345BB">
        <w:rPr>
          <w:rFonts w:ascii="Arial" w:hAnsi="Arial" w:cs="Arial"/>
          <w:i/>
          <w:noProof/>
          <w:sz w:val="22"/>
          <w:szCs w:val="20"/>
        </w:rPr>
        <w:t>.</w:t>
      </w:r>
    </w:p>
    <w:p w:rsidR="00406042" w:rsidRPr="001D71DE" w:rsidRDefault="00406042" w:rsidP="00555F36">
      <w:pPr>
        <w:pStyle w:val="BodyText1"/>
        <w:ind w:firstLine="0"/>
        <w:jc w:val="both"/>
        <w:rPr>
          <w:rFonts w:ascii="Arial" w:hAnsi="Arial" w:cs="Arial"/>
          <w:sz w:val="22"/>
          <w:szCs w:val="20"/>
        </w:rPr>
      </w:pPr>
    </w:p>
    <w:p w:rsidR="003A6F1C" w:rsidRPr="001D71DE" w:rsidRDefault="00C25BB6" w:rsidP="00555F36">
      <w:pPr>
        <w:pStyle w:val="Heading1"/>
        <w:rPr>
          <w:rFonts w:cs="Arial"/>
          <w:strike/>
        </w:rPr>
      </w:pPr>
      <w:r w:rsidRPr="001D71DE">
        <w:rPr>
          <w:rFonts w:cs="Arial"/>
        </w:rPr>
        <w:t>INTERACTIONS WITH OTHER MEDICINES</w:t>
      </w:r>
    </w:p>
    <w:p w:rsidR="00CF772C" w:rsidRPr="00CF772C" w:rsidRDefault="00CF772C" w:rsidP="008476E9">
      <w:pPr>
        <w:pStyle w:val="Body"/>
        <w:ind w:firstLine="0"/>
        <w:jc w:val="both"/>
        <w:rPr>
          <w:rFonts w:eastAsia="Times New Roman" w:cs="Arial"/>
          <w:sz w:val="22"/>
          <w:lang w:eastAsia="en-US"/>
        </w:rPr>
      </w:pPr>
      <w:r w:rsidRPr="00CF772C">
        <w:rPr>
          <w:rFonts w:eastAsia="Times New Roman" w:cs="Arial"/>
          <w:sz w:val="22"/>
          <w:lang w:eastAsia="en-US"/>
        </w:rPr>
        <w:t>No formal pharmacokinetic drug interaction studies have been</w:t>
      </w:r>
      <w:r>
        <w:rPr>
          <w:rFonts w:eastAsia="Times New Roman" w:cs="Arial"/>
          <w:sz w:val="22"/>
          <w:lang w:eastAsia="en-US"/>
        </w:rPr>
        <w:t xml:space="preserve"> conducted with KEYTRUDA. Since </w:t>
      </w:r>
      <w:proofErr w:type="spellStart"/>
      <w:r w:rsidRPr="00CF772C">
        <w:rPr>
          <w:rFonts w:eastAsia="Times New Roman" w:cs="Arial"/>
          <w:sz w:val="22"/>
          <w:lang w:eastAsia="en-US"/>
        </w:rPr>
        <w:t>pembrolizumab</w:t>
      </w:r>
      <w:proofErr w:type="spellEnd"/>
      <w:r w:rsidRPr="00CF772C">
        <w:rPr>
          <w:rFonts w:eastAsia="Times New Roman" w:cs="Arial"/>
          <w:sz w:val="22"/>
          <w:lang w:eastAsia="en-US"/>
        </w:rPr>
        <w:t xml:space="preserve"> is cleared from the circulation through catabolism, no metabolic drug-drug interactions are expected. </w:t>
      </w:r>
    </w:p>
    <w:p w:rsidR="00CF772C" w:rsidRPr="00CF772C" w:rsidRDefault="00CF772C" w:rsidP="008476E9">
      <w:pPr>
        <w:pStyle w:val="Body"/>
        <w:tabs>
          <w:tab w:val="left" w:pos="540"/>
        </w:tabs>
        <w:ind w:left="547" w:hanging="547"/>
        <w:jc w:val="both"/>
        <w:rPr>
          <w:rFonts w:eastAsia="Times New Roman" w:cs="Arial"/>
          <w:sz w:val="22"/>
          <w:lang w:eastAsia="en-US"/>
        </w:rPr>
      </w:pPr>
    </w:p>
    <w:p w:rsidR="007F434B" w:rsidRPr="000A0CD2" w:rsidRDefault="00CF772C" w:rsidP="008476E9">
      <w:pPr>
        <w:pStyle w:val="Body"/>
        <w:ind w:firstLine="0"/>
        <w:jc w:val="both"/>
        <w:rPr>
          <w:rFonts w:cs="Arial"/>
          <w:b/>
          <w:sz w:val="24"/>
        </w:rPr>
      </w:pPr>
      <w:r w:rsidRPr="00CF772C">
        <w:rPr>
          <w:rFonts w:eastAsia="Times New Roman" w:cs="Arial"/>
          <w:sz w:val="22"/>
          <w:lang w:eastAsia="en-US"/>
        </w:rPr>
        <w:t xml:space="preserve">The use of systemic corticosteroids or </w:t>
      </w:r>
      <w:proofErr w:type="spellStart"/>
      <w:r w:rsidRPr="00CF772C">
        <w:rPr>
          <w:rFonts w:eastAsia="Times New Roman" w:cs="Arial"/>
          <w:sz w:val="22"/>
          <w:lang w:eastAsia="en-US"/>
        </w:rPr>
        <w:t>immunosuppressants</w:t>
      </w:r>
      <w:proofErr w:type="spellEnd"/>
      <w:r w:rsidRPr="00CF772C">
        <w:rPr>
          <w:rFonts w:eastAsia="Times New Roman" w:cs="Arial"/>
          <w:sz w:val="22"/>
          <w:lang w:eastAsia="en-US"/>
        </w:rPr>
        <w:t xml:space="preserve"> before starting KEYTRUDA should be avoided because of their potential interference with the </w:t>
      </w:r>
      <w:proofErr w:type="spellStart"/>
      <w:r w:rsidRPr="00CF772C">
        <w:rPr>
          <w:rFonts w:eastAsia="Times New Roman" w:cs="Arial"/>
          <w:sz w:val="22"/>
          <w:lang w:eastAsia="en-US"/>
        </w:rPr>
        <w:t>pharmacodynamic</w:t>
      </w:r>
      <w:proofErr w:type="spellEnd"/>
      <w:r w:rsidRPr="00CF772C">
        <w:rPr>
          <w:rFonts w:eastAsia="Times New Roman" w:cs="Arial"/>
          <w:sz w:val="22"/>
          <w:lang w:eastAsia="en-US"/>
        </w:rPr>
        <w:t xml:space="preserve"> activity and efficacy of KEYTRUDA. However, systemic corticosteroids or other </w:t>
      </w:r>
      <w:proofErr w:type="spellStart"/>
      <w:r w:rsidRPr="00CF772C">
        <w:rPr>
          <w:rFonts w:eastAsia="Times New Roman" w:cs="Arial"/>
          <w:sz w:val="22"/>
          <w:lang w:eastAsia="en-US"/>
        </w:rPr>
        <w:t>immunosuppressants</w:t>
      </w:r>
      <w:proofErr w:type="spellEnd"/>
      <w:r w:rsidRPr="00CF772C">
        <w:rPr>
          <w:rFonts w:eastAsia="Times New Roman" w:cs="Arial"/>
          <w:sz w:val="22"/>
          <w:lang w:eastAsia="en-US"/>
        </w:rPr>
        <w:t xml:space="preserve"> can be used after starting KEYTRUDA to treat immune-mediated adverse reactions</w:t>
      </w:r>
      <w:r w:rsidR="00EA5B09">
        <w:rPr>
          <w:rFonts w:cs="Arial"/>
          <w:sz w:val="22"/>
        </w:rPr>
        <w:t xml:space="preserve"> </w:t>
      </w:r>
      <w:r w:rsidR="00EA5B09" w:rsidRPr="00BE663E">
        <w:rPr>
          <w:rFonts w:eastAsia="Times New Roman" w:cs="Arial"/>
          <w:i/>
          <w:sz w:val="22"/>
          <w:lang w:val="en-AU" w:eastAsia="en-AU"/>
        </w:rPr>
        <w:t>[See</w:t>
      </w:r>
      <w:r w:rsidR="00EA5B09">
        <w:rPr>
          <w:rFonts w:eastAsia="Times New Roman" w:cs="Arial"/>
          <w:i/>
          <w:sz w:val="22"/>
          <w:lang w:val="en-AU" w:eastAsia="en-AU"/>
        </w:rPr>
        <w:t xml:space="preserve"> PRECAUTIONS</w:t>
      </w:r>
      <w:r w:rsidR="00EA5B09" w:rsidRPr="00BE663E">
        <w:rPr>
          <w:rFonts w:eastAsia="Times New Roman" w:cs="Arial"/>
          <w:i/>
          <w:sz w:val="22"/>
          <w:lang w:val="en-AU" w:eastAsia="en-AU"/>
        </w:rPr>
        <w:t>]</w:t>
      </w:r>
      <w:r w:rsidR="00EA5B09" w:rsidRPr="00BE663E">
        <w:rPr>
          <w:rFonts w:eastAsia="Times New Roman" w:cs="Arial"/>
          <w:sz w:val="22"/>
          <w:lang w:val="en-AU" w:eastAsia="en-AU"/>
        </w:rPr>
        <w:t>.</w:t>
      </w:r>
    </w:p>
    <w:p w:rsidR="003A6F1C" w:rsidRPr="000A0CD2" w:rsidRDefault="003A6F1C" w:rsidP="008476E9">
      <w:pPr>
        <w:pStyle w:val="Heading1"/>
        <w:rPr>
          <w:rFonts w:cs="Arial"/>
        </w:rPr>
      </w:pPr>
      <w:r w:rsidRPr="000A0CD2">
        <w:rPr>
          <w:rFonts w:cs="Arial"/>
        </w:rPr>
        <w:t xml:space="preserve">ADVERSE </w:t>
      </w:r>
      <w:r w:rsidR="00C25BB6" w:rsidRPr="000A0CD2">
        <w:rPr>
          <w:rFonts w:cs="Arial"/>
        </w:rPr>
        <w:t>EFFECTS</w:t>
      </w:r>
    </w:p>
    <w:p w:rsidR="00CF772C" w:rsidRPr="00CF772C" w:rsidRDefault="003345BB" w:rsidP="008476E9">
      <w:pPr>
        <w:pStyle w:val="SubSectionHeadings"/>
        <w:tabs>
          <w:tab w:val="left" w:pos="540"/>
        </w:tabs>
        <w:jc w:val="both"/>
        <w:rPr>
          <w:rFonts w:eastAsia="Times New Roman" w:cs="Arial"/>
          <w:b/>
          <w:sz w:val="24"/>
          <w:lang w:val="en-AU" w:eastAsia="en-AU"/>
        </w:rPr>
      </w:pPr>
      <w:r>
        <w:rPr>
          <w:rFonts w:eastAsia="Times New Roman" w:cs="Arial"/>
          <w:b/>
          <w:sz w:val="24"/>
          <w:lang w:val="en-AU" w:eastAsia="en-AU"/>
        </w:rPr>
        <w:t>Clinical trials experience</w:t>
      </w:r>
    </w:p>
    <w:p w:rsidR="00CF772C" w:rsidRPr="00CF772C" w:rsidRDefault="00CF772C" w:rsidP="008E1321">
      <w:pPr>
        <w:pStyle w:val="BodyText1"/>
        <w:ind w:firstLine="0"/>
        <w:jc w:val="both"/>
        <w:rPr>
          <w:rFonts w:ascii="Arial" w:hAnsi="Arial" w:cs="Arial"/>
          <w:noProof/>
          <w:sz w:val="22"/>
          <w:szCs w:val="20"/>
        </w:rPr>
      </w:pPr>
      <w:r w:rsidRPr="00CF772C">
        <w:rPr>
          <w:rFonts w:ascii="Arial" w:hAnsi="Arial" w:cs="Arial"/>
          <w:noProof/>
          <w:sz w:val="22"/>
          <w:szCs w:val="20"/>
        </w:rPr>
        <w:t xml:space="preserve">The safety and efficacy of KEYTRUDA were investigated in an uncontrolled, open-label study (three defined cohorts of P001) for the treatment of unresectable or metastatic melanoma. Safety is described for a pooled population of 411 patients (studied across three doses; 2 mg/kg every 3 weeks and 10 mg/kg every 2 or 3 weeks) who were previously treated with ipilimumab (n=221) or naïve to treatment with ipilimumab (n=190). </w:t>
      </w:r>
      <w:r w:rsidR="008E1321" w:rsidRPr="008E1321">
        <w:rPr>
          <w:rFonts w:ascii="Arial" w:hAnsi="Arial" w:cs="Arial"/>
          <w:noProof/>
          <w:sz w:val="22"/>
          <w:szCs w:val="20"/>
        </w:rPr>
        <w:t xml:space="preserve">This cohort of </w:t>
      </w:r>
      <w:r w:rsidR="008E1321">
        <w:rPr>
          <w:rFonts w:ascii="Arial" w:hAnsi="Arial" w:cs="Arial"/>
          <w:noProof/>
          <w:sz w:val="22"/>
          <w:szCs w:val="20"/>
        </w:rPr>
        <w:t>P00</w:t>
      </w:r>
      <w:r w:rsidR="008E1321" w:rsidRPr="008E1321">
        <w:rPr>
          <w:rFonts w:ascii="Arial" w:hAnsi="Arial" w:cs="Arial"/>
          <w:noProof/>
          <w:sz w:val="22"/>
          <w:szCs w:val="20"/>
        </w:rPr>
        <w:t>1 excluded patients with severe immune-related</w:t>
      </w:r>
      <w:r w:rsidR="008E1321">
        <w:rPr>
          <w:rFonts w:ascii="Arial" w:hAnsi="Arial" w:cs="Arial"/>
          <w:noProof/>
          <w:sz w:val="22"/>
          <w:szCs w:val="20"/>
        </w:rPr>
        <w:t xml:space="preserve"> </w:t>
      </w:r>
      <w:r w:rsidR="008E1321" w:rsidRPr="008E1321">
        <w:rPr>
          <w:rFonts w:ascii="Arial" w:hAnsi="Arial" w:cs="Arial"/>
          <w:noProof/>
          <w:sz w:val="22"/>
          <w:szCs w:val="20"/>
        </w:rPr>
        <w:t>toxicity related to ipilimumab, defined as any Grade 4 toxicity requiring treatment with corticosteroids or</w:t>
      </w:r>
      <w:r w:rsidR="008E1321">
        <w:rPr>
          <w:rFonts w:ascii="Arial" w:hAnsi="Arial" w:cs="Arial"/>
          <w:noProof/>
          <w:sz w:val="22"/>
          <w:szCs w:val="20"/>
        </w:rPr>
        <w:t xml:space="preserve"> </w:t>
      </w:r>
      <w:r w:rsidR="008E1321" w:rsidRPr="008E1321">
        <w:rPr>
          <w:rFonts w:ascii="Arial" w:hAnsi="Arial" w:cs="Arial"/>
          <w:noProof/>
          <w:sz w:val="22"/>
          <w:szCs w:val="20"/>
        </w:rPr>
        <w:t>Grade 3 toxicity requiring corticosteroid treatment (greater than 10 mg/day prednisone or equivalent</w:t>
      </w:r>
      <w:r w:rsidR="008E1321">
        <w:rPr>
          <w:rFonts w:ascii="Arial" w:hAnsi="Arial" w:cs="Arial"/>
          <w:noProof/>
          <w:sz w:val="22"/>
          <w:szCs w:val="20"/>
        </w:rPr>
        <w:t xml:space="preserve"> </w:t>
      </w:r>
      <w:r w:rsidR="008E1321" w:rsidRPr="008E1321">
        <w:rPr>
          <w:rFonts w:ascii="Arial" w:hAnsi="Arial" w:cs="Arial"/>
          <w:noProof/>
          <w:sz w:val="22"/>
          <w:szCs w:val="20"/>
        </w:rPr>
        <w:t>dose) for greater than 12 weeks</w:t>
      </w:r>
      <w:r w:rsidR="008E1321">
        <w:rPr>
          <w:rFonts w:ascii="Arial" w:hAnsi="Arial" w:cs="Arial"/>
          <w:noProof/>
          <w:sz w:val="22"/>
          <w:szCs w:val="20"/>
        </w:rPr>
        <w:t xml:space="preserve">. </w:t>
      </w:r>
      <w:r w:rsidRPr="00CF772C">
        <w:rPr>
          <w:rFonts w:ascii="Arial" w:hAnsi="Arial" w:cs="Arial"/>
          <w:noProof/>
          <w:sz w:val="22"/>
          <w:szCs w:val="20"/>
        </w:rPr>
        <w:t xml:space="preserve">The average treatment duration was 239 days (range 1-750 days) including 115 patients treated for greater than one year. </w:t>
      </w:r>
    </w:p>
    <w:p w:rsidR="00CF772C" w:rsidRPr="00CF772C" w:rsidRDefault="00CF772C" w:rsidP="008476E9">
      <w:pPr>
        <w:pStyle w:val="BodyText1"/>
        <w:jc w:val="both"/>
        <w:rPr>
          <w:rFonts w:ascii="Arial" w:hAnsi="Arial" w:cs="Arial"/>
          <w:noProof/>
          <w:sz w:val="22"/>
          <w:szCs w:val="20"/>
        </w:rPr>
      </w:pPr>
    </w:p>
    <w:p w:rsidR="00CF772C" w:rsidRPr="00CF772C" w:rsidRDefault="00CF772C" w:rsidP="008476E9">
      <w:pPr>
        <w:pStyle w:val="BodyText1"/>
        <w:ind w:firstLine="0"/>
        <w:jc w:val="both"/>
        <w:rPr>
          <w:rFonts w:ascii="Arial" w:hAnsi="Arial" w:cs="Arial"/>
          <w:noProof/>
          <w:sz w:val="22"/>
          <w:szCs w:val="20"/>
        </w:rPr>
      </w:pPr>
      <w:r w:rsidRPr="00CF772C">
        <w:rPr>
          <w:rFonts w:ascii="Arial" w:hAnsi="Arial" w:cs="Arial"/>
          <w:noProof/>
          <w:sz w:val="22"/>
          <w:szCs w:val="20"/>
        </w:rPr>
        <w:t xml:space="preserve">KEYTRUDA was discontinued for </w:t>
      </w:r>
      <w:r w:rsidR="008E1321">
        <w:rPr>
          <w:rFonts w:ascii="Arial" w:hAnsi="Arial" w:cs="Arial"/>
          <w:noProof/>
          <w:sz w:val="22"/>
          <w:szCs w:val="20"/>
        </w:rPr>
        <w:t xml:space="preserve">adverse events in </w:t>
      </w:r>
      <w:r w:rsidR="00A22F20">
        <w:rPr>
          <w:rFonts w:ascii="Arial" w:hAnsi="Arial" w:cs="Arial"/>
          <w:noProof/>
          <w:sz w:val="22"/>
          <w:szCs w:val="20"/>
        </w:rPr>
        <w:t>5</w:t>
      </w:r>
      <w:r w:rsidR="008E1321">
        <w:rPr>
          <w:rFonts w:ascii="Arial" w:hAnsi="Arial" w:cs="Arial"/>
          <w:noProof/>
          <w:sz w:val="22"/>
          <w:szCs w:val="20"/>
        </w:rPr>
        <w:t xml:space="preserve">% of patients receiving a dose of 2 mg/kg every 3 weeks, and for </w:t>
      </w:r>
      <w:r w:rsidRPr="00CF772C">
        <w:rPr>
          <w:rFonts w:ascii="Arial" w:hAnsi="Arial" w:cs="Arial"/>
          <w:noProof/>
          <w:sz w:val="22"/>
          <w:szCs w:val="20"/>
        </w:rPr>
        <w:t>treatment-related adverse reactions in 3% of patients.</w:t>
      </w:r>
    </w:p>
    <w:p w:rsidR="00CF772C" w:rsidRPr="00CF772C" w:rsidRDefault="00CF772C" w:rsidP="008476E9">
      <w:pPr>
        <w:pStyle w:val="BodyText1"/>
        <w:jc w:val="both"/>
        <w:rPr>
          <w:rFonts w:ascii="Arial" w:hAnsi="Arial" w:cs="Arial"/>
          <w:noProof/>
          <w:sz w:val="22"/>
          <w:szCs w:val="20"/>
        </w:rPr>
      </w:pPr>
    </w:p>
    <w:p w:rsidR="00CF772C" w:rsidRPr="00CF772C" w:rsidRDefault="00CF772C" w:rsidP="008476E9">
      <w:pPr>
        <w:pStyle w:val="BodyText1"/>
        <w:ind w:firstLine="0"/>
        <w:jc w:val="both"/>
        <w:rPr>
          <w:rFonts w:ascii="Arial" w:hAnsi="Arial" w:cs="Arial"/>
          <w:noProof/>
          <w:sz w:val="22"/>
          <w:szCs w:val="20"/>
        </w:rPr>
      </w:pPr>
      <w:r w:rsidRPr="00CF772C">
        <w:rPr>
          <w:rFonts w:ascii="Arial" w:hAnsi="Arial" w:cs="Arial"/>
          <w:noProof/>
          <w:sz w:val="22"/>
          <w:szCs w:val="20"/>
        </w:rPr>
        <w:t>Treatment-related serious adverse events (SAEs) reported up to 90 days after the last dose occurred in 10% of patients receiving KEYTRUDA at a dose of 2 mg/kg every 3 weeks. Of these treatment-related SAEs, those occurring in more than one patient (out of 162) were: hypophysitis (n=2) and colitis (n=2). The most common treatment-related adverse reactions (reported in &gt;10% of patients) included arthralgia</w:t>
      </w:r>
      <w:r w:rsidR="00A22F20">
        <w:rPr>
          <w:rFonts w:ascii="Arial" w:hAnsi="Arial" w:cs="Arial"/>
          <w:noProof/>
          <w:sz w:val="22"/>
          <w:szCs w:val="20"/>
        </w:rPr>
        <w:t xml:space="preserve"> (14.8%)</w:t>
      </w:r>
      <w:r w:rsidRPr="00CF772C">
        <w:rPr>
          <w:rFonts w:ascii="Arial" w:hAnsi="Arial" w:cs="Arial"/>
          <w:noProof/>
          <w:sz w:val="22"/>
          <w:szCs w:val="20"/>
        </w:rPr>
        <w:t>, diarrhoea</w:t>
      </w:r>
      <w:r w:rsidR="00A22F20">
        <w:rPr>
          <w:rFonts w:ascii="Arial" w:hAnsi="Arial" w:cs="Arial"/>
          <w:noProof/>
          <w:sz w:val="22"/>
          <w:szCs w:val="20"/>
        </w:rPr>
        <w:t xml:space="preserve"> (14.8%)</w:t>
      </w:r>
      <w:r w:rsidRPr="00CF772C">
        <w:rPr>
          <w:rFonts w:ascii="Arial" w:hAnsi="Arial" w:cs="Arial"/>
          <w:noProof/>
          <w:sz w:val="22"/>
          <w:szCs w:val="20"/>
        </w:rPr>
        <w:t>, fatigue</w:t>
      </w:r>
      <w:r w:rsidR="00A22F20">
        <w:rPr>
          <w:rFonts w:ascii="Arial" w:hAnsi="Arial" w:cs="Arial"/>
          <w:noProof/>
          <w:sz w:val="22"/>
          <w:szCs w:val="20"/>
        </w:rPr>
        <w:t xml:space="preserve"> (30.2%)</w:t>
      </w:r>
      <w:r w:rsidRPr="00CF772C">
        <w:rPr>
          <w:rFonts w:ascii="Arial" w:hAnsi="Arial" w:cs="Arial"/>
          <w:noProof/>
          <w:sz w:val="22"/>
          <w:szCs w:val="20"/>
        </w:rPr>
        <w:t>, nausea</w:t>
      </w:r>
      <w:r w:rsidR="00A22F20">
        <w:rPr>
          <w:rFonts w:ascii="Arial" w:hAnsi="Arial" w:cs="Arial"/>
          <w:noProof/>
          <w:sz w:val="22"/>
          <w:szCs w:val="20"/>
        </w:rPr>
        <w:t xml:space="preserve"> (10%)</w:t>
      </w:r>
      <w:r w:rsidRPr="00CF772C">
        <w:rPr>
          <w:rFonts w:ascii="Arial" w:hAnsi="Arial" w:cs="Arial"/>
          <w:noProof/>
          <w:sz w:val="22"/>
          <w:szCs w:val="20"/>
        </w:rPr>
        <w:t>, pruritus</w:t>
      </w:r>
      <w:r w:rsidR="00A22F20">
        <w:rPr>
          <w:rFonts w:ascii="Arial" w:hAnsi="Arial" w:cs="Arial"/>
          <w:noProof/>
          <w:sz w:val="22"/>
          <w:szCs w:val="20"/>
        </w:rPr>
        <w:t xml:space="preserve"> (22.8%)</w:t>
      </w:r>
      <w:r w:rsidR="00E77671">
        <w:rPr>
          <w:rFonts w:ascii="Arial" w:hAnsi="Arial" w:cs="Arial"/>
          <w:noProof/>
          <w:sz w:val="22"/>
          <w:szCs w:val="20"/>
        </w:rPr>
        <w:t>, cough</w:t>
      </w:r>
      <w:r w:rsidR="00A22F20">
        <w:rPr>
          <w:rFonts w:ascii="Arial" w:hAnsi="Arial" w:cs="Arial"/>
          <w:noProof/>
          <w:sz w:val="22"/>
          <w:szCs w:val="20"/>
        </w:rPr>
        <w:t xml:space="preserve"> (11.1%)</w:t>
      </w:r>
      <w:r w:rsidRPr="00CF772C">
        <w:rPr>
          <w:rFonts w:ascii="Arial" w:hAnsi="Arial" w:cs="Arial"/>
          <w:noProof/>
          <w:sz w:val="22"/>
          <w:szCs w:val="20"/>
        </w:rPr>
        <w:t xml:space="preserve"> and rash</w:t>
      </w:r>
      <w:r w:rsidR="00A22F20">
        <w:rPr>
          <w:rFonts w:ascii="Arial" w:hAnsi="Arial" w:cs="Arial"/>
          <w:noProof/>
          <w:sz w:val="22"/>
          <w:szCs w:val="20"/>
        </w:rPr>
        <w:t xml:space="preserve"> (19.8%)</w:t>
      </w:r>
      <w:r w:rsidRPr="00CF772C">
        <w:rPr>
          <w:rFonts w:ascii="Arial" w:hAnsi="Arial" w:cs="Arial"/>
          <w:noProof/>
          <w:sz w:val="22"/>
          <w:szCs w:val="20"/>
        </w:rPr>
        <w:t>.</w:t>
      </w:r>
    </w:p>
    <w:p w:rsidR="00CF772C" w:rsidRPr="00CF772C" w:rsidRDefault="00CF772C" w:rsidP="008476E9">
      <w:pPr>
        <w:pStyle w:val="BodyText1"/>
        <w:jc w:val="both"/>
        <w:rPr>
          <w:rFonts w:ascii="Arial" w:hAnsi="Arial" w:cs="Arial"/>
          <w:noProof/>
          <w:sz w:val="22"/>
          <w:szCs w:val="20"/>
        </w:rPr>
      </w:pPr>
    </w:p>
    <w:p w:rsidR="00CF772C" w:rsidRPr="00A12C09" w:rsidRDefault="00CF772C" w:rsidP="008476E9">
      <w:pPr>
        <w:pStyle w:val="SubSectionHeadings"/>
        <w:tabs>
          <w:tab w:val="left" w:pos="540"/>
        </w:tabs>
        <w:jc w:val="both"/>
        <w:rPr>
          <w:rFonts w:eastAsia="Times New Roman" w:cs="Arial"/>
          <w:b/>
          <w:sz w:val="24"/>
          <w:lang w:val="en-AU" w:eastAsia="en-AU"/>
        </w:rPr>
      </w:pPr>
      <w:r w:rsidRPr="00A12C09">
        <w:rPr>
          <w:rFonts w:eastAsia="Times New Roman" w:cs="Arial"/>
          <w:b/>
          <w:sz w:val="24"/>
          <w:lang w:val="en-AU" w:eastAsia="en-AU"/>
        </w:rPr>
        <w:t>Tabulated list of adverse reactions</w:t>
      </w:r>
    </w:p>
    <w:p w:rsidR="00CF772C" w:rsidRDefault="00A22F20" w:rsidP="008476E9">
      <w:pPr>
        <w:pStyle w:val="BodyText1"/>
        <w:ind w:firstLine="0"/>
        <w:jc w:val="both"/>
        <w:rPr>
          <w:rFonts w:ascii="Arial" w:hAnsi="Arial" w:cs="Arial"/>
          <w:noProof/>
          <w:sz w:val="22"/>
          <w:szCs w:val="20"/>
        </w:rPr>
      </w:pPr>
      <w:r>
        <w:rPr>
          <w:rFonts w:ascii="Arial" w:hAnsi="Arial" w:cs="Arial"/>
          <w:noProof/>
          <w:sz w:val="22"/>
          <w:szCs w:val="20"/>
        </w:rPr>
        <w:t>Treatment-</w:t>
      </w:r>
      <w:r w:rsidR="003F02D5">
        <w:rPr>
          <w:rFonts w:ascii="Arial" w:hAnsi="Arial" w:cs="Arial"/>
          <w:noProof/>
          <w:sz w:val="22"/>
          <w:szCs w:val="20"/>
        </w:rPr>
        <w:t>emergent and treatment-</w:t>
      </w:r>
      <w:r>
        <w:rPr>
          <w:rFonts w:ascii="Arial" w:hAnsi="Arial" w:cs="Arial"/>
          <w:noProof/>
          <w:sz w:val="22"/>
          <w:szCs w:val="20"/>
        </w:rPr>
        <w:t>related a</w:t>
      </w:r>
      <w:r w:rsidR="00CF772C" w:rsidRPr="00A12C09">
        <w:rPr>
          <w:rFonts w:ascii="Arial" w:hAnsi="Arial" w:cs="Arial"/>
          <w:noProof/>
          <w:sz w:val="22"/>
          <w:szCs w:val="20"/>
        </w:rPr>
        <w:t>dverse reactions</w:t>
      </w:r>
      <w:r w:rsidR="00CF772C" w:rsidRPr="00CF772C">
        <w:rPr>
          <w:rFonts w:ascii="Arial" w:hAnsi="Arial" w:cs="Arial"/>
          <w:noProof/>
          <w:sz w:val="22"/>
          <w:szCs w:val="20"/>
        </w:rPr>
        <w:t xml:space="preserve"> reported in </w:t>
      </w:r>
      <w:r w:rsidR="00A121EE">
        <w:rPr>
          <w:rFonts w:ascii="Arial" w:hAnsi="Arial" w:cs="Arial"/>
          <w:noProof/>
          <w:sz w:val="22"/>
          <w:szCs w:val="20"/>
        </w:rPr>
        <w:sym w:font="Symbol" w:char="F0B3"/>
      </w:r>
      <w:r w:rsidR="00A121EE">
        <w:rPr>
          <w:rFonts w:ascii="Arial" w:hAnsi="Arial" w:cs="Arial"/>
          <w:noProof/>
          <w:sz w:val="22"/>
          <w:szCs w:val="20"/>
        </w:rPr>
        <w:t>10% of patients</w:t>
      </w:r>
      <w:r w:rsidR="00CF772C" w:rsidRPr="00CF772C">
        <w:rPr>
          <w:rFonts w:ascii="Arial" w:hAnsi="Arial" w:cs="Arial"/>
          <w:noProof/>
          <w:sz w:val="22"/>
          <w:szCs w:val="20"/>
        </w:rPr>
        <w:t xml:space="preserve"> with advanced melanoma treated with pembrolizumab 2 mg/kg every 3 weeks (</w:t>
      </w:r>
      <w:r w:rsidR="002E3F6C">
        <w:rPr>
          <w:rFonts w:ascii="Arial" w:hAnsi="Arial" w:cs="Arial"/>
          <w:noProof/>
          <w:sz w:val="22"/>
          <w:szCs w:val="20"/>
        </w:rPr>
        <w:t>n= 162) are presented in Table 2</w:t>
      </w:r>
      <w:r w:rsidR="00CF772C" w:rsidRPr="00CF772C">
        <w:rPr>
          <w:rFonts w:ascii="Arial" w:hAnsi="Arial" w:cs="Arial"/>
          <w:noProof/>
          <w:sz w:val="22"/>
          <w:szCs w:val="20"/>
        </w:rPr>
        <w:t xml:space="preserve">. These reactions are presented by system organ class and by frequency. </w:t>
      </w:r>
    </w:p>
    <w:p w:rsidR="00CF772C" w:rsidRDefault="00CF772C" w:rsidP="008476E9">
      <w:pPr>
        <w:pStyle w:val="BodyText1"/>
        <w:ind w:firstLine="0"/>
        <w:jc w:val="both"/>
        <w:rPr>
          <w:rFonts w:ascii="Arial" w:hAnsi="Arial" w:cs="Arial"/>
          <w:noProof/>
          <w:sz w:val="22"/>
          <w:szCs w:val="20"/>
        </w:rPr>
      </w:pPr>
    </w:p>
    <w:p w:rsidR="003F02D5" w:rsidRPr="009F2FB2" w:rsidRDefault="003F02D5" w:rsidP="003F02D5">
      <w:pPr>
        <w:pStyle w:val="BodyText1"/>
        <w:keepNext/>
        <w:keepLines/>
        <w:ind w:firstLine="0"/>
        <w:jc w:val="center"/>
        <w:rPr>
          <w:rFonts w:ascii="Arial" w:hAnsi="Arial" w:cs="Arial"/>
          <w:b/>
          <w:sz w:val="20"/>
          <w:szCs w:val="20"/>
        </w:rPr>
      </w:pPr>
      <w:r w:rsidRPr="009F2FB2">
        <w:rPr>
          <w:rFonts w:ascii="Arial" w:hAnsi="Arial" w:cs="Arial"/>
          <w:b/>
          <w:sz w:val="20"/>
          <w:szCs w:val="20"/>
        </w:rPr>
        <w:t xml:space="preserve">Table </w:t>
      </w:r>
      <w:r>
        <w:rPr>
          <w:rFonts w:ascii="Arial" w:hAnsi="Arial" w:cs="Arial"/>
          <w:b/>
          <w:sz w:val="20"/>
          <w:szCs w:val="20"/>
        </w:rPr>
        <w:t>2</w:t>
      </w:r>
      <w:r w:rsidRPr="009F2FB2">
        <w:rPr>
          <w:rFonts w:ascii="Arial" w:hAnsi="Arial" w:cs="Arial"/>
          <w:b/>
          <w:sz w:val="20"/>
          <w:szCs w:val="20"/>
        </w:rPr>
        <w:t>: Adverse Reactions in ≥1</w:t>
      </w:r>
      <w:r w:rsidR="009D5E18">
        <w:rPr>
          <w:rFonts w:ascii="Arial" w:hAnsi="Arial" w:cs="Arial"/>
          <w:b/>
          <w:sz w:val="20"/>
          <w:szCs w:val="20"/>
        </w:rPr>
        <w:t>0</w:t>
      </w:r>
      <w:r w:rsidRPr="009F2FB2">
        <w:rPr>
          <w:rFonts w:ascii="Arial" w:hAnsi="Arial" w:cs="Arial"/>
          <w:b/>
          <w:sz w:val="20"/>
          <w:szCs w:val="20"/>
        </w:rPr>
        <w:t xml:space="preserve">% of Patients with </w:t>
      </w:r>
      <w:proofErr w:type="spellStart"/>
      <w:r w:rsidRPr="009F2FB2">
        <w:rPr>
          <w:rFonts w:ascii="Arial" w:hAnsi="Arial" w:cs="Arial"/>
          <w:b/>
          <w:sz w:val="20"/>
          <w:szCs w:val="20"/>
        </w:rPr>
        <w:t>Unresectable</w:t>
      </w:r>
      <w:proofErr w:type="spellEnd"/>
      <w:r w:rsidRPr="009F2FB2">
        <w:rPr>
          <w:rFonts w:ascii="Arial" w:hAnsi="Arial" w:cs="Arial"/>
          <w:b/>
          <w:sz w:val="20"/>
          <w:szCs w:val="20"/>
        </w:rPr>
        <w:t xml:space="preserve"> or Metastatic Melanoma</w:t>
      </w:r>
    </w:p>
    <w:p w:rsidR="003F02D5" w:rsidRDefault="003F02D5" w:rsidP="003F02D5">
      <w:pPr>
        <w:pStyle w:val="BodyText1"/>
        <w:keepNext/>
        <w:ind w:firstLine="0"/>
        <w:jc w:val="both"/>
        <w:rPr>
          <w:rFonts w:ascii="Arial" w:hAnsi="Arial" w:cs="Arial"/>
          <w:noProof/>
          <w:sz w:val="22"/>
          <w:szCs w:val="20"/>
        </w:rPr>
      </w:pPr>
    </w:p>
    <w:tbl>
      <w:tblPr>
        <w:tblW w:w="6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149"/>
        <w:gridCol w:w="1164"/>
      </w:tblGrid>
      <w:tr w:rsidR="003F02D5" w:rsidRPr="001A1099" w:rsidTr="00ED3C41">
        <w:trPr>
          <w:tblHeader/>
          <w:jc w:val="center"/>
        </w:trPr>
        <w:tc>
          <w:tcPr>
            <w:tcW w:w="4518" w:type="dxa"/>
            <w:shd w:val="clear" w:color="auto" w:fill="auto"/>
          </w:tcPr>
          <w:p w:rsidR="003F02D5" w:rsidRDefault="003F02D5" w:rsidP="00ED3C41">
            <w:pPr>
              <w:pStyle w:val="BodyText1"/>
              <w:keepNext/>
              <w:keepLines/>
              <w:ind w:firstLine="0"/>
              <w:rPr>
                <w:rFonts w:ascii="Arial" w:hAnsi="Arial" w:cs="Arial"/>
                <w:b/>
                <w:noProof/>
                <w:szCs w:val="16"/>
              </w:rPr>
            </w:pPr>
          </w:p>
        </w:tc>
        <w:tc>
          <w:tcPr>
            <w:tcW w:w="2313" w:type="dxa"/>
            <w:gridSpan w:val="2"/>
            <w:shd w:val="clear" w:color="auto" w:fill="auto"/>
          </w:tcPr>
          <w:p w:rsidR="003F02D5" w:rsidRPr="00B24BE5" w:rsidRDefault="003F02D5" w:rsidP="00ED3C41">
            <w:pPr>
              <w:pStyle w:val="BodyText1"/>
              <w:keepNext/>
              <w:keepLines/>
              <w:ind w:firstLine="0"/>
              <w:jc w:val="center"/>
              <w:rPr>
                <w:rFonts w:ascii="Arial" w:hAnsi="Arial" w:cs="Arial"/>
                <w:b/>
                <w:noProof/>
                <w:szCs w:val="16"/>
              </w:rPr>
            </w:pPr>
            <w:r w:rsidRPr="00B24BE5">
              <w:rPr>
                <w:rFonts w:ascii="Arial" w:hAnsi="Arial" w:cs="Arial"/>
                <w:b/>
                <w:noProof/>
                <w:szCs w:val="16"/>
              </w:rPr>
              <w:t>KEYTRUDA</w:t>
            </w:r>
          </w:p>
          <w:p w:rsidR="003F02D5" w:rsidRDefault="003F02D5" w:rsidP="00ED3C41">
            <w:pPr>
              <w:pStyle w:val="BodyText1"/>
              <w:keepNext/>
              <w:keepLines/>
              <w:ind w:firstLine="0"/>
              <w:jc w:val="center"/>
              <w:rPr>
                <w:rFonts w:ascii="Arial" w:hAnsi="Arial" w:cs="Arial"/>
                <w:b/>
                <w:noProof/>
                <w:szCs w:val="16"/>
              </w:rPr>
            </w:pPr>
            <w:r w:rsidRPr="00B24BE5">
              <w:rPr>
                <w:rFonts w:ascii="Arial" w:hAnsi="Arial" w:cs="Arial"/>
                <w:b/>
                <w:noProof/>
                <w:szCs w:val="16"/>
              </w:rPr>
              <w:t xml:space="preserve">2 mg/kg every </w:t>
            </w:r>
            <w:r>
              <w:rPr>
                <w:rFonts w:ascii="Arial" w:hAnsi="Arial" w:cs="Arial"/>
                <w:b/>
                <w:noProof/>
                <w:szCs w:val="16"/>
              </w:rPr>
              <w:t>3 weeks</w:t>
            </w:r>
          </w:p>
          <w:p w:rsidR="003F02D5" w:rsidRPr="00B24BE5" w:rsidRDefault="003F02D5" w:rsidP="00ED3C41">
            <w:pPr>
              <w:pStyle w:val="BodyText1"/>
              <w:keepNext/>
              <w:keepLines/>
              <w:ind w:firstLine="0"/>
              <w:jc w:val="center"/>
              <w:rPr>
                <w:rFonts w:ascii="Arial" w:hAnsi="Arial" w:cs="Arial"/>
                <w:b/>
                <w:noProof/>
                <w:szCs w:val="16"/>
              </w:rPr>
            </w:pPr>
            <w:r>
              <w:rPr>
                <w:rFonts w:ascii="Arial" w:hAnsi="Arial" w:cs="Arial"/>
                <w:b/>
                <w:noProof/>
                <w:szCs w:val="16"/>
              </w:rPr>
              <w:t>(%) n=162</w:t>
            </w:r>
          </w:p>
        </w:tc>
      </w:tr>
      <w:tr w:rsidR="003F02D5" w:rsidRPr="001A1099" w:rsidTr="00ED3C41">
        <w:trPr>
          <w:tblHeader/>
          <w:jc w:val="center"/>
        </w:trPr>
        <w:tc>
          <w:tcPr>
            <w:tcW w:w="4518" w:type="dxa"/>
            <w:shd w:val="clear" w:color="auto" w:fill="auto"/>
          </w:tcPr>
          <w:p w:rsidR="003F02D5" w:rsidRPr="00B24BE5" w:rsidRDefault="003F02D5" w:rsidP="00ED3C41">
            <w:pPr>
              <w:pStyle w:val="BodyText1"/>
              <w:keepNext/>
              <w:keepLines/>
              <w:ind w:firstLine="0"/>
              <w:rPr>
                <w:rFonts w:ascii="Arial" w:hAnsi="Arial" w:cs="Arial"/>
                <w:b/>
                <w:bCs/>
                <w:szCs w:val="16"/>
              </w:rPr>
            </w:pPr>
          </w:p>
        </w:tc>
        <w:tc>
          <w:tcPr>
            <w:tcW w:w="1149" w:type="dxa"/>
            <w:shd w:val="clear" w:color="auto" w:fill="auto"/>
          </w:tcPr>
          <w:p w:rsidR="003F02D5" w:rsidRPr="005618D0" w:rsidRDefault="003F02D5" w:rsidP="00ED3C41">
            <w:pPr>
              <w:pStyle w:val="BodyText1"/>
              <w:keepNext/>
              <w:keepLines/>
              <w:ind w:firstLine="0"/>
              <w:jc w:val="center"/>
              <w:rPr>
                <w:rFonts w:ascii="Arial" w:hAnsi="Arial" w:cs="Arial"/>
                <w:noProof/>
                <w:szCs w:val="16"/>
              </w:rPr>
            </w:pPr>
            <w:r>
              <w:rPr>
                <w:rFonts w:ascii="Arial" w:hAnsi="Arial" w:cs="Arial"/>
                <w:noProof/>
                <w:szCs w:val="16"/>
              </w:rPr>
              <w:t>Treatment-Emergent</w:t>
            </w:r>
          </w:p>
        </w:tc>
        <w:tc>
          <w:tcPr>
            <w:tcW w:w="1164" w:type="dxa"/>
            <w:shd w:val="clear" w:color="auto" w:fill="auto"/>
          </w:tcPr>
          <w:p w:rsidR="003F02D5" w:rsidRPr="00CA6C20" w:rsidRDefault="003F02D5" w:rsidP="00ED3C41">
            <w:pPr>
              <w:pStyle w:val="BodyText1"/>
              <w:keepNext/>
              <w:keepLines/>
              <w:ind w:firstLine="0"/>
              <w:jc w:val="center"/>
              <w:rPr>
                <w:rFonts w:ascii="Arial" w:hAnsi="Arial" w:cs="Arial"/>
                <w:noProof/>
                <w:szCs w:val="16"/>
              </w:rPr>
            </w:pPr>
            <w:r>
              <w:rPr>
                <w:rFonts w:ascii="Arial" w:hAnsi="Arial" w:cs="Arial"/>
                <w:noProof/>
                <w:szCs w:val="16"/>
              </w:rPr>
              <w:t>Treatment-Related</w:t>
            </w:r>
          </w:p>
        </w:tc>
      </w:tr>
      <w:tr w:rsidR="003F02D5" w:rsidRPr="00184C47" w:rsidTr="00ED3C41">
        <w:trPr>
          <w:jc w:val="center"/>
        </w:trPr>
        <w:tc>
          <w:tcPr>
            <w:tcW w:w="6831" w:type="dxa"/>
            <w:gridSpan w:val="3"/>
            <w:shd w:val="clear" w:color="auto" w:fill="auto"/>
          </w:tcPr>
          <w:p w:rsidR="003F02D5" w:rsidRPr="009A7A72" w:rsidRDefault="003F02D5" w:rsidP="003F02D5">
            <w:pPr>
              <w:pStyle w:val="BodyText1"/>
              <w:keepNext/>
              <w:keepLines/>
              <w:ind w:firstLine="0"/>
              <w:rPr>
                <w:rFonts w:ascii="Arial" w:hAnsi="Arial" w:cs="Arial"/>
                <w:b/>
                <w:noProof/>
                <w:szCs w:val="16"/>
              </w:rPr>
            </w:pPr>
            <w:r>
              <w:rPr>
                <w:rFonts w:ascii="Arial" w:hAnsi="Arial" w:cs="Arial"/>
                <w:b/>
                <w:noProof/>
                <w:szCs w:val="16"/>
              </w:rPr>
              <w:t>Infections and Infestations</w:t>
            </w:r>
          </w:p>
        </w:tc>
      </w:tr>
      <w:tr w:rsidR="003F02D5" w:rsidRPr="00EF5658" w:rsidTr="00ED3C41">
        <w:trPr>
          <w:jc w:val="center"/>
        </w:trPr>
        <w:tc>
          <w:tcPr>
            <w:tcW w:w="4518" w:type="dxa"/>
            <w:shd w:val="clear" w:color="auto" w:fill="auto"/>
          </w:tcPr>
          <w:p w:rsidR="003F02D5" w:rsidRPr="009E7372" w:rsidRDefault="003F02D5" w:rsidP="00ED3C41">
            <w:pPr>
              <w:pStyle w:val="BodyText1"/>
              <w:keepNext/>
              <w:keepLines/>
              <w:ind w:left="248" w:firstLine="0"/>
              <w:rPr>
                <w:rFonts w:ascii="Arial" w:hAnsi="Arial" w:cs="Arial"/>
                <w:noProof/>
                <w:szCs w:val="16"/>
              </w:rPr>
            </w:pPr>
            <w:r w:rsidRPr="009E7372">
              <w:rPr>
                <w:rFonts w:ascii="Arial" w:hAnsi="Arial" w:cs="Arial"/>
                <w:noProof/>
                <w:szCs w:val="16"/>
              </w:rPr>
              <w:t>Nasopharyngitis</w:t>
            </w:r>
          </w:p>
        </w:tc>
        <w:tc>
          <w:tcPr>
            <w:tcW w:w="1149" w:type="dxa"/>
            <w:shd w:val="clear" w:color="auto" w:fill="auto"/>
          </w:tcPr>
          <w:p w:rsidR="003F02D5" w:rsidRPr="009E7372" w:rsidRDefault="003F02D5" w:rsidP="00ED3C41">
            <w:pPr>
              <w:pStyle w:val="BodyText1"/>
              <w:keepNext/>
              <w:keepLines/>
              <w:ind w:firstLine="0"/>
              <w:jc w:val="center"/>
              <w:rPr>
                <w:rFonts w:ascii="Arial" w:hAnsi="Arial" w:cs="Arial"/>
                <w:noProof/>
                <w:szCs w:val="16"/>
              </w:rPr>
            </w:pPr>
            <w:r w:rsidRPr="009E7372">
              <w:rPr>
                <w:rFonts w:ascii="Arial" w:hAnsi="Arial" w:cs="Arial"/>
                <w:noProof/>
                <w:szCs w:val="16"/>
              </w:rPr>
              <w:t>11</w:t>
            </w:r>
          </w:p>
        </w:tc>
        <w:tc>
          <w:tcPr>
            <w:tcW w:w="1164" w:type="dxa"/>
            <w:shd w:val="clear" w:color="auto" w:fill="auto"/>
          </w:tcPr>
          <w:p w:rsidR="003F02D5" w:rsidRPr="005539EC" w:rsidRDefault="003F02D5" w:rsidP="00ED3C41">
            <w:pPr>
              <w:pStyle w:val="BodyText1"/>
              <w:keepNext/>
              <w:keepLines/>
              <w:ind w:firstLine="0"/>
              <w:jc w:val="center"/>
              <w:rPr>
                <w:rFonts w:ascii="Arial" w:hAnsi="Arial" w:cs="Arial"/>
                <w:noProof/>
                <w:szCs w:val="16"/>
              </w:rPr>
            </w:pPr>
            <w:r>
              <w:rPr>
                <w:rFonts w:ascii="Arial" w:hAnsi="Arial" w:cs="Arial"/>
                <w:noProof/>
                <w:szCs w:val="16"/>
              </w:rPr>
              <w:t>2</w:t>
            </w:r>
          </w:p>
        </w:tc>
      </w:tr>
      <w:tr w:rsidR="003F02D5" w:rsidRPr="00EF5658" w:rsidTr="00ED3C41">
        <w:trPr>
          <w:jc w:val="center"/>
        </w:trPr>
        <w:tc>
          <w:tcPr>
            <w:tcW w:w="4518" w:type="dxa"/>
            <w:shd w:val="clear" w:color="auto" w:fill="auto"/>
          </w:tcPr>
          <w:p w:rsidR="003F02D5" w:rsidRPr="009E7372" w:rsidRDefault="003F02D5" w:rsidP="00ED3C41">
            <w:pPr>
              <w:pStyle w:val="BodyText1"/>
              <w:keepNext/>
              <w:keepLines/>
              <w:ind w:left="248" w:firstLine="0"/>
              <w:rPr>
                <w:rFonts w:ascii="Arial" w:hAnsi="Arial" w:cs="Arial"/>
                <w:noProof/>
                <w:szCs w:val="16"/>
              </w:rPr>
            </w:pPr>
            <w:r w:rsidRPr="009E7372">
              <w:rPr>
                <w:rFonts w:ascii="Arial" w:hAnsi="Arial" w:cs="Arial"/>
                <w:noProof/>
                <w:szCs w:val="16"/>
              </w:rPr>
              <w:t>Upper respiratory tract infection</w:t>
            </w:r>
          </w:p>
        </w:tc>
        <w:tc>
          <w:tcPr>
            <w:tcW w:w="1149" w:type="dxa"/>
            <w:shd w:val="clear" w:color="auto" w:fill="auto"/>
          </w:tcPr>
          <w:p w:rsidR="003F02D5" w:rsidRPr="009E7372" w:rsidRDefault="003F02D5" w:rsidP="00ED3C41">
            <w:pPr>
              <w:pStyle w:val="BodyText1"/>
              <w:keepNext/>
              <w:keepLines/>
              <w:ind w:firstLine="0"/>
              <w:jc w:val="center"/>
              <w:rPr>
                <w:rFonts w:ascii="Arial" w:hAnsi="Arial" w:cs="Arial"/>
                <w:noProof/>
                <w:szCs w:val="16"/>
              </w:rPr>
            </w:pPr>
            <w:r w:rsidRPr="009E7372">
              <w:rPr>
                <w:rFonts w:ascii="Arial" w:hAnsi="Arial" w:cs="Arial"/>
                <w:noProof/>
                <w:szCs w:val="16"/>
              </w:rPr>
              <w:t>11</w:t>
            </w:r>
          </w:p>
        </w:tc>
        <w:tc>
          <w:tcPr>
            <w:tcW w:w="1164" w:type="dxa"/>
            <w:shd w:val="clear" w:color="auto" w:fill="auto"/>
          </w:tcPr>
          <w:p w:rsidR="003F02D5" w:rsidRDefault="003F02D5" w:rsidP="00ED3C41">
            <w:pPr>
              <w:pStyle w:val="BodyText1"/>
              <w:keepNext/>
              <w:keepLines/>
              <w:ind w:firstLine="0"/>
              <w:jc w:val="center"/>
              <w:rPr>
                <w:rFonts w:ascii="Arial" w:hAnsi="Arial" w:cs="Arial"/>
                <w:noProof/>
                <w:szCs w:val="16"/>
              </w:rPr>
            </w:pPr>
          </w:p>
        </w:tc>
      </w:tr>
      <w:tr w:rsidR="003F02D5" w:rsidRPr="000E2446" w:rsidTr="00ED3C41">
        <w:trPr>
          <w:jc w:val="center"/>
        </w:trPr>
        <w:tc>
          <w:tcPr>
            <w:tcW w:w="6831" w:type="dxa"/>
            <w:gridSpan w:val="3"/>
            <w:shd w:val="clear" w:color="auto" w:fill="auto"/>
          </w:tcPr>
          <w:p w:rsidR="003F02D5" w:rsidRPr="009E7372" w:rsidRDefault="003F02D5" w:rsidP="00ED3C41">
            <w:pPr>
              <w:pStyle w:val="BodyText1"/>
              <w:keepNext/>
              <w:keepLines/>
              <w:ind w:firstLine="0"/>
              <w:rPr>
                <w:rFonts w:ascii="Arial" w:hAnsi="Arial" w:cs="Arial"/>
                <w:noProof/>
                <w:szCs w:val="16"/>
              </w:rPr>
            </w:pPr>
            <w:r w:rsidRPr="009E7372">
              <w:rPr>
                <w:rFonts w:ascii="Arial" w:hAnsi="Arial" w:cs="Arial"/>
                <w:b/>
                <w:noProof/>
                <w:szCs w:val="16"/>
              </w:rPr>
              <w:t>Blood and Lymphatic System Disorders</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Anaemia</w:t>
            </w:r>
          </w:p>
        </w:tc>
        <w:tc>
          <w:tcPr>
            <w:tcW w:w="1149" w:type="dxa"/>
            <w:shd w:val="clear" w:color="auto" w:fill="auto"/>
          </w:tcPr>
          <w:p w:rsidR="003F02D5" w:rsidRPr="009E7372" w:rsidRDefault="003F02D5" w:rsidP="00ED3C41">
            <w:pPr>
              <w:pStyle w:val="BodyText1"/>
              <w:keepNext/>
              <w:keepLines/>
              <w:ind w:firstLine="0"/>
              <w:jc w:val="center"/>
              <w:rPr>
                <w:rFonts w:ascii="Arial" w:hAnsi="Arial" w:cs="Arial"/>
                <w:noProof/>
                <w:szCs w:val="16"/>
              </w:rPr>
            </w:pPr>
            <w:r w:rsidRPr="009E7372">
              <w:rPr>
                <w:rFonts w:ascii="Arial" w:hAnsi="Arial" w:cs="Arial"/>
                <w:noProof/>
                <w:szCs w:val="16"/>
              </w:rPr>
              <w:t>15</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5</w:t>
            </w:r>
          </w:p>
        </w:tc>
      </w:tr>
      <w:tr w:rsidR="003F02D5" w:rsidRPr="000E2446" w:rsidTr="00ED3C41">
        <w:trPr>
          <w:jc w:val="center"/>
        </w:trPr>
        <w:tc>
          <w:tcPr>
            <w:tcW w:w="6831" w:type="dxa"/>
            <w:gridSpan w:val="3"/>
            <w:shd w:val="clear" w:color="auto" w:fill="auto"/>
          </w:tcPr>
          <w:p w:rsidR="003F02D5" w:rsidRPr="00CC07AC" w:rsidRDefault="003F02D5" w:rsidP="003F02D5">
            <w:pPr>
              <w:pStyle w:val="BodyText1"/>
              <w:keepNext/>
              <w:keepLines/>
              <w:ind w:firstLine="0"/>
              <w:rPr>
                <w:rFonts w:ascii="Arial" w:hAnsi="Arial" w:cs="Arial"/>
                <w:noProof/>
                <w:szCs w:val="16"/>
              </w:rPr>
            </w:pPr>
            <w:r w:rsidRPr="009E7372">
              <w:rPr>
                <w:rFonts w:ascii="Arial" w:hAnsi="Arial" w:cs="Arial"/>
                <w:b/>
                <w:bCs/>
                <w:noProof/>
                <w:szCs w:val="16"/>
              </w:rPr>
              <w:t>Metabolism and Nutrition Disorders</w:t>
            </w:r>
            <w:r w:rsidRPr="009E7372">
              <w:rPr>
                <w:rFonts w:ascii="Arial" w:hAnsi="Arial" w:cs="Arial"/>
                <w:b/>
                <w:noProof/>
                <w:szCs w:val="16"/>
              </w:rPr>
              <w:t xml:space="preserve"> </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Decreased appetite</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20</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9</w:t>
            </w:r>
          </w:p>
        </w:tc>
      </w:tr>
      <w:tr w:rsidR="003F02D5" w:rsidRPr="000E2446" w:rsidTr="00ED3C41">
        <w:trPr>
          <w:jc w:val="center"/>
        </w:trPr>
        <w:tc>
          <w:tcPr>
            <w:tcW w:w="6831" w:type="dxa"/>
            <w:gridSpan w:val="3"/>
            <w:shd w:val="clear" w:color="auto" w:fill="auto"/>
          </w:tcPr>
          <w:p w:rsidR="003F02D5" w:rsidRPr="00CC07AC" w:rsidRDefault="003F02D5" w:rsidP="003F02D5">
            <w:pPr>
              <w:pStyle w:val="BodyText1"/>
              <w:keepNext/>
              <w:keepLines/>
              <w:ind w:firstLine="0"/>
              <w:rPr>
                <w:rFonts w:ascii="Arial" w:hAnsi="Arial" w:cs="Arial"/>
                <w:noProof/>
                <w:szCs w:val="16"/>
              </w:rPr>
            </w:pPr>
            <w:r w:rsidRPr="003F02D5">
              <w:rPr>
                <w:rFonts w:ascii="Arial" w:hAnsi="Arial" w:cs="Arial"/>
                <w:b/>
                <w:bCs/>
                <w:noProof/>
                <w:szCs w:val="16"/>
              </w:rPr>
              <w:t>Psychiatric disorders</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Insomnia</w:t>
            </w:r>
          </w:p>
        </w:tc>
        <w:tc>
          <w:tcPr>
            <w:tcW w:w="1149" w:type="dxa"/>
            <w:shd w:val="clear" w:color="auto" w:fill="auto"/>
          </w:tcPr>
          <w:p w:rsidR="003F02D5" w:rsidRPr="00EA2EE1" w:rsidRDefault="003F02D5" w:rsidP="00ED3C41">
            <w:pPr>
              <w:pStyle w:val="BodyText1"/>
              <w:keepNext/>
              <w:keepLines/>
              <w:ind w:firstLine="0"/>
              <w:jc w:val="center"/>
              <w:rPr>
                <w:rFonts w:ascii="Arial" w:hAnsi="Arial" w:cs="Arial"/>
                <w:noProof/>
                <w:szCs w:val="16"/>
              </w:rPr>
            </w:pPr>
            <w:r w:rsidRPr="00EA2EE1">
              <w:rPr>
                <w:rFonts w:ascii="Arial" w:hAnsi="Arial" w:cs="Arial"/>
                <w:noProof/>
                <w:szCs w:val="16"/>
              </w:rPr>
              <w:t>10</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p>
        </w:tc>
      </w:tr>
      <w:tr w:rsidR="003F02D5" w:rsidRPr="000E2446" w:rsidTr="00ED3C41">
        <w:trPr>
          <w:jc w:val="center"/>
        </w:trPr>
        <w:tc>
          <w:tcPr>
            <w:tcW w:w="6831" w:type="dxa"/>
            <w:gridSpan w:val="3"/>
            <w:shd w:val="clear" w:color="auto" w:fill="auto"/>
          </w:tcPr>
          <w:p w:rsidR="003F02D5" w:rsidRPr="00CC07AC" w:rsidRDefault="003F02D5" w:rsidP="003F02D5">
            <w:pPr>
              <w:pStyle w:val="BodyText1"/>
              <w:keepNext/>
              <w:keepLines/>
              <w:ind w:firstLine="0"/>
              <w:rPr>
                <w:rFonts w:ascii="Arial" w:hAnsi="Arial" w:cs="Arial"/>
                <w:noProof/>
                <w:szCs w:val="16"/>
              </w:rPr>
            </w:pPr>
            <w:r w:rsidRPr="009E7372">
              <w:rPr>
                <w:rFonts w:ascii="Arial" w:hAnsi="Arial" w:cs="Arial"/>
                <w:b/>
                <w:bCs/>
                <w:noProof/>
                <w:szCs w:val="16"/>
              </w:rPr>
              <w:t>Nervous System Disorders</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Dizziness</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10</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2</w:t>
            </w:r>
          </w:p>
        </w:tc>
      </w:tr>
      <w:tr w:rsidR="003F02D5" w:rsidRPr="000E2446" w:rsidTr="00ED3C41">
        <w:trPr>
          <w:jc w:val="center"/>
        </w:trPr>
        <w:tc>
          <w:tcPr>
            <w:tcW w:w="4518" w:type="dxa"/>
            <w:shd w:val="clear" w:color="auto" w:fill="auto"/>
          </w:tcPr>
          <w:p w:rsidR="003F02D5" w:rsidRPr="009E7372" w:rsidDel="009654AF"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Headache</w:t>
            </w:r>
          </w:p>
        </w:tc>
        <w:tc>
          <w:tcPr>
            <w:tcW w:w="1149" w:type="dxa"/>
            <w:shd w:val="clear" w:color="auto" w:fill="auto"/>
          </w:tcPr>
          <w:p w:rsidR="003F02D5" w:rsidRPr="003F02D5" w:rsidDel="009654AF"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15</w:t>
            </w:r>
          </w:p>
        </w:tc>
        <w:tc>
          <w:tcPr>
            <w:tcW w:w="1164" w:type="dxa"/>
            <w:shd w:val="clear" w:color="auto" w:fill="auto"/>
          </w:tcPr>
          <w:p w:rsidR="003F02D5" w:rsidRPr="009A7A72" w:rsidDel="009654AF" w:rsidRDefault="003F02D5" w:rsidP="00ED3C41">
            <w:pPr>
              <w:pStyle w:val="BodyText1"/>
              <w:keepNext/>
              <w:keepLines/>
              <w:ind w:firstLine="0"/>
              <w:jc w:val="center"/>
              <w:rPr>
                <w:rFonts w:ascii="Arial" w:hAnsi="Arial" w:cs="Arial"/>
                <w:noProof/>
                <w:szCs w:val="16"/>
              </w:rPr>
            </w:pPr>
            <w:r>
              <w:rPr>
                <w:rFonts w:ascii="Arial" w:hAnsi="Arial" w:cs="Arial"/>
                <w:noProof/>
                <w:szCs w:val="16"/>
              </w:rPr>
              <w:t>6</w:t>
            </w:r>
          </w:p>
        </w:tc>
      </w:tr>
      <w:tr w:rsidR="003F02D5" w:rsidRPr="000E2446" w:rsidTr="00ED3C41">
        <w:trPr>
          <w:jc w:val="center"/>
        </w:trPr>
        <w:tc>
          <w:tcPr>
            <w:tcW w:w="6831" w:type="dxa"/>
            <w:gridSpan w:val="3"/>
            <w:shd w:val="clear" w:color="auto" w:fill="auto"/>
          </w:tcPr>
          <w:p w:rsidR="003F02D5" w:rsidRPr="000E2446" w:rsidRDefault="003F02D5" w:rsidP="003F02D5">
            <w:pPr>
              <w:pStyle w:val="BodyText1"/>
              <w:keepNext/>
              <w:keepLines/>
              <w:ind w:firstLine="0"/>
              <w:rPr>
                <w:rFonts w:ascii="Arial" w:hAnsi="Arial" w:cs="Arial"/>
                <w:noProof/>
                <w:szCs w:val="16"/>
              </w:rPr>
            </w:pPr>
            <w:r w:rsidRPr="009E7372">
              <w:rPr>
                <w:rFonts w:ascii="Arial" w:hAnsi="Arial" w:cs="Arial"/>
                <w:b/>
                <w:bCs/>
                <w:noProof/>
                <w:szCs w:val="16"/>
              </w:rPr>
              <w:t>Respiratory, Thoracic and Mediastinal Disorders</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Cough</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28</w:t>
            </w:r>
          </w:p>
        </w:tc>
        <w:tc>
          <w:tcPr>
            <w:tcW w:w="1164" w:type="dxa"/>
            <w:shd w:val="clear" w:color="auto" w:fill="auto"/>
          </w:tcPr>
          <w:p w:rsidR="003F02D5" w:rsidRPr="000E2446" w:rsidRDefault="003F02D5" w:rsidP="00ED3C41">
            <w:pPr>
              <w:pStyle w:val="BodyText1"/>
              <w:keepNext/>
              <w:keepLines/>
              <w:ind w:firstLine="0"/>
              <w:jc w:val="center"/>
              <w:rPr>
                <w:rFonts w:ascii="Arial" w:hAnsi="Arial" w:cs="Arial"/>
                <w:noProof/>
                <w:szCs w:val="16"/>
              </w:rPr>
            </w:pPr>
            <w:r>
              <w:rPr>
                <w:rFonts w:ascii="Arial" w:hAnsi="Arial" w:cs="Arial"/>
                <w:noProof/>
                <w:szCs w:val="16"/>
              </w:rPr>
              <w:t>10</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Dyspnoea</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17</w:t>
            </w:r>
          </w:p>
        </w:tc>
        <w:tc>
          <w:tcPr>
            <w:tcW w:w="1164" w:type="dxa"/>
            <w:shd w:val="clear" w:color="auto" w:fill="auto"/>
          </w:tcPr>
          <w:p w:rsidR="003F02D5" w:rsidRPr="000E2446" w:rsidRDefault="003F02D5" w:rsidP="00ED3C41">
            <w:pPr>
              <w:pStyle w:val="BodyText1"/>
              <w:keepNext/>
              <w:keepLines/>
              <w:ind w:firstLine="0"/>
              <w:jc w:val="center"/>
              <w:rPr>
                <w:rFonts w:ascii="Arial" w:hAnsi="Arial" w:cs="Arial"/>
                <w:noProof/>
                <w:szCs w:val="16"/>
              </w:rPr>
            </w:pPr>
            <w:r>
              <w:rPr>
                <w:rFonts w:ascii="Arial" w:hAnsi="Arial" w:cs="Arial"/>
                <w:noProof/>
                <w:szCs w:val="16"/>
              </w:rPr>
              <w:t>7</w:t>
            </w:r>
          </w:p>
        </w:tc>
      </w:tr>
      <w:tr w:rsidR="003F02D5" w:rsidRPr="00D20CE6" w:rsidTr="00ED3C41">
        <w:trPr>
          <w:jc w:val="center"/>
        </w:trPr>
        <w:tc>
          <w:tcPr>
            <w:tcW w:w="6831" w:type="dxa"/>
            <w:gridSpan w:val="3"/>
            <w:shd w:val="clear" w:color="auto" w:fill="auto"/>
          </w:tcPr>
          <w:p w:rsidR="003F02D5" w:rsidRPr="009E7372" w:rsidRDefault="003F02D5" w:rsidP="00ED3C41">
            <w:pPr>
              <w:pStyle w:val="BodyText1"/>
              <w:keepNext/>
              <w:keepLines/>
              <w:ind w:firstLine="0"/>
              <w:rPr>
                <w:rFonts w:ascii="Arial" w:hAnsi="Arial" w:cs="Arial"/>
                <w:noProof/>
                <w:szCs w:val="16"/>
              </w:rPr>
            </w:pPr>
            <w:r w:rsidRPr="009E7372">
              <w:rPr>
                <w:rFonts w:ascii="Arial" w:hAnsi="Arial" w:cs="Arial"/>
                <w:b/>
                <w:noProof/>
                <w:szCs w:val="16"/>
              </w:rPr>
              <w:t>Gastrointestinal Disorders</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tabs>
                <w:tab w:val="left" w:pos="390"/>
              </w:tabs>
              <w:ind w:left="270" w:firstLine="0"/>
              <w:rPr>
                <w:rFonts w:ascii="Arial" w:hAnsi="Arial" w:cs="Arial"/>
                <w:noProof/>
                <w:szCs w:val="16"/>
              </w:rPr>
            </w:pPr>
            <w:r w:rsidRPr="009E7372">
              <w:rPr>
                <w:rFonts w:ascii="Arial" w:hAnsi="Arial" w:cs="Arial"/>
                <w:noProof/>
                <w:szCs w:val="16"/>
              </w:rPr>
              <w:t>Abdominal pain</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12</w:t>
            </w:r>
          </w:p>
        </w:tc>
        <w:tc>
          <w:tcPr>
            <w:tcW w:w="1164" w:type="dxa"/>
            <w:shd w:val="clear" w:color="auto" w:fill="auto"/>
          </w:tcPr>
          <w:p w:rsidR="003F02D5" w:rsidRPr="00D20CE6" w:rsidRDefault="003F02D5" w:rsidP="00ED3C41">
            <w:pPr>
              <w:pStyle w:val="BodyText1"/>
              <w:keepNext/>
              <w:keepLines/>
              <w:ind w:firstLine="0"/>
              <w:jc w:val="center"/>
              <w:rPr>
                <w:rFonts w:ascii="Arial" w:hAnsi="Arial" w:cs="Arial"/>
                <w:noProof/>
                <w:szCs w:val="16"/>
              </w:rPr>
            </w:pPr>
            <w:r>
              <w:rPr>
                <w:rFonts w:ascii="Arial" w:hAnsi="Arial" w:cs="Arial"/>
                <w:noProof/>
                <w:szCs w:val="16"/>
              </w:rPr>
              <w:t>3</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tabs>
                <w:tab w:val="left" w:pos="390"/>
              </w:tabs>
              <w:ind w:left="270" w:firstLine="0"/>
              <w:rPr>
                <w:rFonts w:ascii="Arial" w:hAnsi="Arial" w:cs="Arial"/>
                <w:noProof/>
                <w:szCs w:val="16"/>
              </w:rPr>
            </w:pPr>
            <w:r w:rsidRPr="009E7372">
              <w:rPr>
                <w:rFonts w:ascii="Arial" w:hAnsi="Arial" w:cs="Arial"/>
                <w:noProof/>
                <w:szCs w:val="16"/>
              </w:rPr>
              <w:t>Constipation</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20</w:t>
            </w:r>
          </w:p>
        </w:tc>
        <w:tc>
          <w:tcPr>
            <w:tcW w:w="1164" w:type="dxa"/>
            <w:shd w:val="clear" w:color="auto" w:fill="auto"/>
          </w:tcPr>
          <w:p w:rsidR="003F02D5" w:rsidRPr="00D20CE6" w:rsidRDefault="003F02D5" w:rsidP="00ED3C41">
            <w:pPr>
              <w:pStyle w:val="BodyText1"/>
              <w:keepNext/>
              <w:keepLines/>
              <w:ind w:firstLine="0"/>
              <w:jc w:val="center"/>
              <w:rPr>
                <w:rFonts w:ascii="Arial" w:hAnsi="Arial" w:cs="Arial"/>
                <w:noProof/>
                <w:szCs w:val="16"/>
              </w:rPr>
            </w:pPr>
            <w:r>
              <w:rPr>
                <w:rFonts w:ascii="Arial" w:hAnsi="Arial" w:cs="Arial"/>
                <w:noProof/>
                <w:szCs w:val="16"/>
              </w:rPr>
              <w:t>4</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tabs>
                <w:tab w:val="left" w:pos="390"/>
              </w:tabs>
              <w:ind w:left="270" w:firstLine="0"/>
              <w:rPr>
                <w:rFonts w:ascii="Arial" w:hAnsi="Arial" w:cs="Arial"/>
                <w:noProof/>
                <w:szCs w:val="16"/>
              </w:rPr>
            </w:pPr>
            <w:r w:rsidRPr="009E7372">
              <w:rPr>
                <w:rFonts w:ascii="Arial" w:hAnsi="Arial" w:cs="Arial"/>
                <w:noProof/>
                <w:szCs w:val="16"/>
              </w:rPr>
              <w:t>Diarrhoea</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27</w:t>
            </w:r>
          </w:p>
        </w:tc>
        <w:tc>
          <w:tcPr>
            <w:tcW w:w="1164" w:type="dxa"/>
            <w:shd w:val="clear" w:color="auto" w:fill="auto"/>
          </w:tcPr>
          <w:p w:rsidR="003F02D5" w:rsidRPr="00D20CE6" w:rsidRDefault="003F02D5" w:rsidP="00ED3C41">
            <w:pPr>
              <w:pStyle w:val="BodyText1"/>
              <w:keepNext/>
              <w:keepLines/>
              <w:ind w:firstLine="0"/>
              <w:jc w:val="center"/>
              <w:rPr>
                <w:rFonts w:ascii="Arial" w:hAnsi="Arial" w:cs="Arial"/>
                <w:noProof/>
                <w:szCs w:val="16"/>
              </w:rPr>
            </w:pPr>
            <w:r>
              <w:rPr>
                <w:rFonts w:ascii="Arial" w:hAnsi="Arial" w:cs="Arial"/>
                <w:noProof/>
                <w:szCs w:val="16"/>
              </w:rPr>
              <w:t>15</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tabs>
                <w:tab w:val="left" w:pos="390"/>
              </w:tabs>
              <w:ind w:left="270" w:firstLine="0"/>
              <w:rPr>
                <w:rFonts w:ascii="Arial" w:hAnsi="Arial" w:cs="Arial"/>
                <w:noProof/>
                <w:szCs w:val="16"/>
              </w:rPr>
            </w:pPr>
            <w:r w:rsidRPr="009E7372">
              <w:rPr>
                <w:rFonts w:ascii="Arial" w:hAnsi="Arial" w:cs="Arial"/>
                <w:noProof/>
                <w:szCs w:val="16"/>
              </w:rPr>
              <w:t>Nausea</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30</w:t>
            </w:r>
          </w:p>
        </w:tc>
        <w:tc>
          <w:tcPr>
            <w:tcW w:w="1164" w:type="dxa"/>
            <w:shd w:val="clear" w:color="auto" w:fill="auto"/>
          </w:tcPr>
          <w:p w:rsidR="003F02D5" w:rsidRPr="00D20CE6" w:rsidRDefault="003F02D5" w:rsidP="00ED3C41">
            <w:pPr>
              <w:pStyle w:val="BodyText1"/>
              <w:keepNext/>
              <w:keepLines/>
              <w:ind w:firstLine="0"/>
              <w:jc w:val="center"/>
              <w:rPr>
                <w:rFonts w:ascii="Arial" w:hAnsi="Arial" w:cs="Arial"/>
                <w:noProof/>
                <w:szCs w:val="16"/>
              </w:rPr>
            </w:pPr>
            <w:r>
              <w:rPr>
                <w:rFonts w:ascii="Arial" w:hAnsi="Arial" w:cs="Arial"/>
                <w:noProof/>
                <w:szCs w:val="16"/>
              </w:rPr>
              <w:t>10</w:t>
            </w:r>
          </w:p>
        </w:tc>
      </w:tr>
      <w:tr w:rsidR="003F02D5" w:rsidRPr="00D20CE6" w:rsidTr="00ED3C41">
        <w:trPr>
          <w:jc w:val="center"/>
        </w:trPr>
        <w:tc>
          <w:tcPr>
            <w:tcW w:w="4518" w:type="dxa"/>
            <w:shd w:val="clear" w:color="auto" w:fill="auto"/>
          </w:tcPr>
          <w:p w:rsidR="003F02D5" w:rsidRPr="009E7372" w:rsidRDefault="003F02D5" w:rsidP="00ED3C41">
            <w:pPr>
              <w:pStyle w:val="BodyText1"/>
              <w:keepNext/>
              <w:keepLines/>
              <w:tabs>
                <w:tab w:val="left" w:pos="390"/>
              </w:tabs>
              <w:ind w:left="270" w:firstLine="0"/>
              <w:rPr>
                <w:rFonts w:ascii="Arial" w:hAnsi="Arial" w:cs="Arial"/>
                <w:noProof/>
                <w:szCs w:val="16"/>
              </w:rPr>
            </w:pPr>
            <w:r w:rsidRPr="009E7372">
              <w:rPr>
                <w:rFonts w:ascii="Arial" w:hAnsi="Arial" w:cs="Arial"/>
                <w:noProof/>
                <w:szCs w:val="16"/>
              </w:rPr>
              <w:t>Vomiting</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16</w:t>
            </w:r>
          </w:p>
        </w:tc>
        <w:tc>
          <w:tcPr>
            <w:tcW w:w="1164" w:type="dxa"/>
            <w:shd w:val="clear" w:color="auto" w:fill="auto"/>
          </w:tcPr>
          <w:p w:rsidR="003F02D5" w:rsidRPr="00D20CE6" w:rsidRDefault="003F02D5" w:rsidP="00ED3C41">
            <w:pPr>
              <w:pStyle w:val="BodyText1"/>
              <w:keepNext/>
              <w:keepLines/>
              <w:ind w:firstLine="0"/>
              <w:jc w:val="center"/>
              <w:rPr>
                <w:rFonts w:ascii="Arial" w:hAnsi="Arial" w:cs="Arial"/>
                <w:noProof/>
                <w:szCs w:val="16"/>
              </w:rPr>
            </w:pPr>
            <w:r>
              <w:rPr>
                <w:rFonts w:ascii="Arial" w:hAnsi="Arial" w:cs="Arial"/>
                <w:noProof/>
                <w:szCs w:val="16"/>
              </w:rPr>
              <w:t>6</w:t>
            </w:r>
          </w:p>
        </w:tc>
      </w:tr>
      <w:tr w:rsidR="003F02D5" w:rsidRPr="000E2446" w:rsidTr="00ED3C41">
        <w:trPr>
          <w:jc w:val="center"/>
        </w:trPr>
        <w:tc>
          <w:tcPr>
            <w:tcW w:w="6831" w:type="dxa"/>
            <w:gridSpan w:val="3"/>
            <w:shd w:val="clear" w:color="auto" w:fill="auto"/>
          </w:tcPr>
          <w:p w:rsidR="003F02D5" w:rsidRPr="000E2446" w:rsidRDefault="003F02D5" w:rsidP="003F02D5">
            <w:pPr>
              <w:pStyle w:val="BodyText1"/>
              <w:keepNext/>
              <w:keepLines/>
              <w:ind w:firstLine="0"/>
              <w:rPr>
                <w:rFonts w:ascii="Arial" w:hAnsi="Arial" w:cs="Arial"/>
                <w:noProof/>
                <w:szCs w:val="16"/>
              </w:rPr>
            </w:pPr>
            <w:r w:rsidRPr="009E7372">
              <w:rPr>
                <w:rFonts w:ascii="Arial" w:hAnsi="Arial" w:cs="Arial"/>
                <w:b/>
                <w:bCs/>
                <w:noProof/>
                <w:szCs w:val="16"/>
              </w:rPr>
              <w:t>Skin and Subcutaneous Tissue Disorders</w:t>
            </w:r>
          </w:p>
        </w:tc>
      </w:tr>
      <w:tr w:rsidR="003F02D5" w:rsidRPr="001A1099" w:rsidTr="00ED3C41">
        <w:trPr>
          <w:jc w:val="center"/>
        </w:trPr>
        <w:tc>
          <w:tcPr>
            <w:tcW w:w="4518" w:type="dxa"/>
            <w:tcBorders>
              <w:bottom w:val="single" w:sz="4" w:space="0" w:color="auto"/>
            </w:tcBorders>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Pruritus</w:t>
            </w:r>
          </w:p>
        </w:tc>
        <w:tc>
          <w:tcPr>
            <w:tcW w:w="1149" w:type="dxa"/>
            <w:tcBorders>
              <w:bottom w:val="single" w:sz="4" w:space="0" w:color="auto"/>
            </w:tcBorders>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26</w:t>
            </w:r>
          </w:p>
        </w:tc>
        <w:tc>
          <w:tcPr>
            <w:tcW w:w="1164" w:type="dxa"/>
            <w:tcBorders>
              <w:bottom w:val="single" w:sz="4" w:space="0" w:color="auto"/>
            </w:tcBorders>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23</w:t>
            </w:r>
          </w:p>
        </w:tc>
      </w:tr>
      <w:tr w:rsidR="003F02D5" w:rsidRPr="001A1099" w:rsidTr="00ED3C41">
        <w:trPr>
          <w:jc w:val="center"/>
        </w:trPr>
        <w:tc>
          <w:tcPr>
            <w:tcW w:w="4518" w:type="dxa"/>
            <w:tcBorders>
              <w:bottom w:val="single" w:sz="4" w:space="0" w:color="auto"/>
            </w:tcBorders>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Rash</w:t>
            </w:r>
          </w:p>
        </w:tc>
        <w:tc>
          <w:tcPr>
            <w:tcW w:w="1149" w:type="dxa"/>
            <w:tcBorders>
              <w:bottom w:val="single" w:sz="4" w:space="0" w:color="auto"/>
            </w:tcBorders>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23</w:t>
            </w:r>
          </w:p>
        </w:tc>
        <w:tc>
          <w:tcPr>
            <w:tcW w:w="1164" w:type="dxa"/>
            <w:tcBorders>
              <w:bottom w:val="single" w:sz="4" w:space="0" w:color="auto"/>
            </w:tcBorders>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20</w:t>
            </w:r>
          </w:p>
        </w:tc>
      </w:tr>
      <w:tr w:rsidR="003F02D5" w:rsidRPr="001A1099" w:rsidTr="00ED3C41">
        <w:trPr>
          <w:jc w:val="center"/>
        </w:trPr>
        <w:tc>
          <w:tcPr>
            <w:tcW w:w="4518" w:type="dxa"/>
            <w:tcBorders>
              <w:bottom w:val="single" w:sz="4" w:space="0" w:color="auto"/>
            </w:tcBorders>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Vitiligo</w:t>
            </w:r>
          </w:p>
        </w:tc>
        <w:tc>
          <w:tcPr>
            <w:tcW w:w="1149" w:type="dxa"/>
            <w:tcBorders>
              <w:bottom w:val="single" w:sz="4" w:space="0" w:color="auto"/>
            </w:tcBorders>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10</w:t>
            </w:r>
          </w:p>
        </w:tc>
        <w:tc>
          <w:tcPr>
            <w:tcW w:w="1164" w:type="dxa"/>
            <w:tcBorders>
              <w:bottom w:val="single" w:sz="4" w:space="0" w:color="auto"/>
            </w:tcBorders>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9</w:t>
            </w:r>
          </w:p>
        </w:tc>
      </w:tr>
      <w:tr w:rsidR="003F02D5" w:rsidRPr="000E2446" w:rsidTr="00ED3C41">
        <w:trPr>
          <w:jc w:val="center"/>
        </w:trPr>
        <w:tc>
          <w:tcPr>
            <w:tcW w:w="6831" w:type="dxa"/>
            <w:gridSpan w:val="3"/>
            <w:shd w:val="clear" w:color="auto" w:fill="auto"/>
          </w:tcPr>
          <w:p w:rsidR="003F02D5" w:rsidRPr="000E2446" w:rsidRDefault="003F02D5" w:rsidP="003F02D5">
            <w:pPr>
              <w:pStyle w:val="BodyText1"/>
              <w:keepNext/>
              <w:keepLines/>
              <w:ind w:firstLine="0"/>
              <w:rPr>
                <w:rFonts w:ascii="Arial" w:hAnsi="Arial" w:cs="Arial"/>
                <w:noProof/>
                <w:szCs w:val="16"/>
              </w:rPr>
            </w:pPr>
            <w:r w:rsidRPr="009E7372">
              <w:rPr>
                <w:rFonts w:ascii="Arial" w:hAnsi="Arial" w:cs="Arial"/>
                <w:b/>
                <w:bCs/>
                <w:noProof/>
                <w:szCs w:val="16"/>
              </w:rPr>
              <w:t>Musculoskeletal and Connective Tissue Disorders</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Arthralgia</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23</w:t>
            </w:r>
          </w:p>
        </w:tc>
        <w:tc>
          <w:tcPr>
            <w:tcW w:w="1164" w:type="dxa"/>
            <w:shd w:val="clear" w:color="auto" w:fill="auto"/>
          </w:tcPr>
          <w:p w:rsidR="003F02D5" w:rsidRPr="000E2446" w:rsidRDefault="003F02D5" w:rsidP="00ED3C41">
            <w:pPr>
              <w:pStyle w:val="BodyText1"/>
              <w:keepNext/>
              <w:keepLines/>
              <w:ind w:firstLine="0"/>
              <w:jc w:val="center"/>
              <w:rPr>
                <w:rFonts w:ascii="Arial" w:hAnsi="Arial" w:cs="Arial"/>
                <w:noProof/>
                <w:szCs w:val="16"/>
              </w:rPr>
            </w:pPr>
            <w:r>
              <w:rPr>
                <w:rFonts w:ascii="Arial" w:hAnsi="Arial" w:cs="Arial"/>
                <w:noProof/>
                <w:szCs w:val="16"/>
              </w:rPr>
              <w:t>15</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Back pain</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12</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2</w:t>
            </w:r>
          </w:p>
        </w:tc>
      </w:tr>
      <w:tr w:rsidR="003F02D5" w:rsidRPr="00CC2CE9"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Myalgia</w:t>
            </w:r>
          </w:p>
        </w:tc>
        <w:tc>
          <w:tcPr>
            <w:tcW w:w="1149" w:type="dxa"/>
            <w:shd w:val="clear" w:color="auto" w:fill="auto"/>
          </w:tcPr>
          <w:p w:rsidR="003F02D5" w:rsidRPr="003F02D5" w:rsidDel="00D80F12"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11</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6</w:t>
            </w:r>
          </w:p>
        </w:tc>
      </w:tr>
      <w:tr w:rsidR="003F02D5" w:rsidRPr="00CC2CE9"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Pain in extremity</w:t>
            </w:r>
          </w:p>
        </w:tc>
        <w:tc>
          <w:tcPr>
            <w:tcW w:w="1149" w:type="dxa"/>
            <w:shd w:val="clear" w:color="auto" w:fill="auto"/>
          </w:tcPr>
          <w:p w:rsidR="003F02D5" w:rsidRPr="003F02D5" w:rsidDel="00D80F12"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17</w:t>
            </w:r>
          </w:p>
        </w:tc>
        <w:tc>
          <w:tcPr>
            <w:tcW w:w="1164" w:type="dxa"/>
            <w:shd w:val="clear" w:color="auto" w:fill="auto"/>
          </w:tcPr>
          <w:p w:rsidR="003F02D5" w:rsidRPr="00CC07AC" w:rsidRDefault="003F02D5" w:rsidP="00ED3C41">
            <w:pPr>
              <w:pStyle w:val="BodyText1"/>
              <w:keepNext/>
              <w:keepLines/>
              <w:ind w:firstLine="0"/>
              <w:jc w:val="center"/>
              <w:rPr>
                <w:rFonts w:ascii="Arial" w:hAnsi="Arial" w:cs="Arial"/>
                <w:noProof/>
                <w:szCs w:val="16"/>
              </w:rPr>
            </w:pPr>
            <w:r>
              <w:rPr>
                <w:rFonts w:ascii="Arial" w:hAnsi="Arial" w:cs="Arial"/>
                <w:noProof/>
                <w:szCs w:val="16"/>
              </w:rPr>
              <w:t>2</w:t>
            </w:r>
          </w:p>
        </w:tc>
      </w:tr>
      <w:tr w:rsidR="003F02D5" w:rsidRPr="000E2446" w:rsidTr="00ED3C41">
        <w:trPr>
          <w:jc w:val="center"/>
        </w:trPr>
        <w:tc>
          <w:tcPr>
            <w:tcW w:w="6831" w:type="dxa"/>
            <w:gridSpan w:val="3"/>
            <w:shd w:val="clear" w:color="auto" w:fill="auto"/>
          </w:tcPr>
          <w:p w:rsidR="003F02D5" w:rsidRPr="009E7372" w:rsidRDefault="003F02D5" w:rsidP="00ED3C41">
            <w:pPr>
              <w:pStyle w:val="BodyText1"/>
              <w:keepNext/>
              <w:keepLines/>
              <w:ind w:firstLine="0"/>
              <w:rPr>
                <w:rFonts w:ascii="Arial" w:hAnsi="Arial" w:cs="Arial"/>
                <w:noProof/>
                <w:szCs w:val="16"/>
              </w:rPr>
            </w:pPr>
            <w:r w:rsidRPr="009E7372">
              <w:rPr>
                <w:rFonts w:ascii="Arial" w:hAnsi="Arial" w:cs="Arial"/>
                <w:b/>
                <w:bCs/>
                <w:noProof/>
                <w:szCs w:val="16"/>
              </w:rPr>
              <w:t>General Disorders and Administration Site Conditions</w:t>
            </w:r>
            <w:r w:rsidRPr="009E7372">
              <w:rPr>
                <w:rFonts w:ascii="Arial" w:hAnsi="Arial" w:cs="Arial"/>
                <w:noProof/>
                <w:szCs w:val="16"/>
              </w:rPr>
              <w:t xml:space="preserve"> </w:t>
            </w:r>
          </w:p>
        </w:tc>
      </w:tr>
      <w:tr w:rsidR="003F02D5" w:rsidRPr="000E2446"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Asthenia</w:t>
            </w:r>
          </w:p>
        </w:tc>
        <w:tc>
          <w:tcPr>
            <w:tcW w:w="1149" w:type="dxa"/>
            <w:shd w:val="clear" w:color="auto" w:fill="auto"/>
          </w:tcPr>
          <w:p w:rsidR="003F02D5" w:rsidRPr="003F02D5"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10</w:t>
            </w:r>
          </w:p>
        </w:tc>
        <w:tc>
          <w:tcPr>
            <w:tcW w:w="1164" w:type="dxa"/>
            <w:shd w:val="clear" w:color="auto" w:fill="auto"/>
          </w:tcPr>
          <w:p w:rsidR="003F02D5" w:rsidRPr="000E2446" w:rsidRDefault="003F02D5" w:rsidP="00ED3C41">
            <w:pPr>
              <w:pStyle w:val="BodyText1"/>
              <w:keepNext/>
              <w:keepLines/>
              <w:ind w:firstLine="0"/>
              <w:jc w:val="center"/>
              <w:rPr>
                <w:rFonts w:ascii="Arial" w:hAnsi="Arial" w:cs="Arial"/>
                <w:noProof/>
                <w:szCs w:val="16"/>
              </w:rPr>
            </w:pPr>
            <w:r>
              <w:rPr>
                <w:rFonts w:ascii="Arial" w:hAnsi="Arial" w:cs="Arial"/>
                <w:noProof/>
                <w:szCs w:val="16"/>
              </w:rPr>
              <w:t>6</w:t>
            </w:r>
          </w:p>
        </w:tc>
      </w:tr>
      <w:tr w:rsidR="003F02D5" w:rsidRPr="00D20CE6" w:rsidDel="00E907BF"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Fatigue</w:t>
            </w:r>
          </w:p>
        </w:tc>
        <w:tc>
          <w:tcPr>
            <w:tcW w:w="1149" w:type="dxa"/>
            <w:shd w:val="clear" w:color="auto" w:fill="auto"/>
          </w:tcPr>
          <w:p w:rsidR="003F02D5" w:rsidRPr="003F02D5" w:rsidDel="00D80F12"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42</w:t>
            </w:r>
          </w:p>
        </w:tc>
        <w:tc>
          <w:tcPr>
            <w:tcW w:w="1164" w:type="dxa"/>
            <w:shd w:val="clear" w:color="auto" w:fill="auto"/>
          </w:tcPr>
          <w:p w:rsidR="003F02D5" w:rsidRPr="00D20CE6" w:rsidDel="00E907BF" w:rsidRDefault="003F02D5" w:rsidP="00ED3C41">
            <w:pPr>
              <w:pStyle w:val="BodyText1"/>
              <w:keepNext/>
              <w:keepLines/>
              <w:ind w:firstLine="0"/>
              <w:jc w:val="center"/>
              <w:rPr>
                <w:rFonts w:ascii="Arial" w:hAnsi="Arial" w:cs="Arial"/>
                <w:noProof/>
                <w:szCs w:val="16"/>
              </w:rPr>
            </w:pPr>
            <w:r>
              <w:rPr>
                <w:rFonts w:ascii="Arial" w:hAnsi="Arial" w:cs="Arial"/>
                <w:noProof/>
                <w:szCs w:val="16"/>
              </w:rPr>
              <w:t>30</w:t>
            </w:r>
          </w:p>
        </w:tc>
      </w:tr>
      <w:tr w:rsidR="003F02D5" w:rsidRPr="00D20CE6" w:rsidDel="00E907BF"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Oedema peripheral</w:t>
            </w:r>
          </w:p>
        </w:tc>
        <w:tc>
          <w:tcPr>
            <w:tcW w:w="1149" w:type="dxa"/>
            <w:shd w:val="clear" w:color="auto" w:fill="auto"/>
          </w:tcPr>
          <w:p w:rsidR="003F02D5" w:rsidRPr="003F02D5" w:rsidDel="00D80F12"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14</w:t>
            </w:r>
          </w:p>
        </w:tc>
        <w:tc>
          <w:tcPr>
            <w:tcW w:w="1164" w:type="dxa"/>
            <w:shd w:val="clear" w:color="auto" w:fill="auto"/>
          </w:tcPr>
          <w:p w:rsidR="003F02D5" w:rsidRPr="00D20CE6" w:rsidDel="00E907BF" w:rsidRDefault="003F02D5" w:rsidP="00ED3C41">
            <w:pPr>
              <w:pStyle w:val="BodyText1"/>
              <w:keepNext/>
              <w:keepLines/>
              <w:ind w:firstLine="0"/>
              <w:jc w:val="center"/>
              <w:rPr>
                <w:rFonts w:ascii="Arial" w:hAnsi="Arial" w:cs="Arial"/>
                <w:noProof/>
                <w:szCs w:val="16"/>
              </w:rPr>
            </w:pPr>
            <w:r>
              <w:rPr>
                <w:rFonts w:ascii="Arial" w:hAnsi="Arial" w:cs="Arial"/>
                <w:noProof/>
                <w:szCs w:val="16"/>
              </w:rPr>
              <w:t>3</w:t>
            </w:r>
          </w:p>
        </w:tc>
      </w:tr>
      <w:tr w:rsidR="003F02D5" w:rsidRPr="00D20CE6" w:rsidDel="00E907BF" w:rsidTr="00ED3C41">
        <w:trPr>
          <w:jc w:val="center"/>
        </w:trPr>
        <w:tc>
          <w:tcPr>
            <w:tcW w:w="4518" w:type="dxa"/>
            <w:shd w:val="clear" w:color="auto" w:fill="auto"/>
          </w:tcPr>
          <w:p w:rsidR="003F02D5" w:rsidRPr="009E7372" w:rsidRDefault="003F02D5" w:rsidP="00ED3C41">
            <w:pPr>
              <w:pStyle w:val="BodyText1"/>
              <w:keepNext/>
              <w:keepLines/>
              <w:ind w:left="270" w:firstLine="0"/>
              <w:rPr>
                <w:rFonts w:ascii="Arial" w:hAnsi="Arial" w:cs="Arial"/>
                <w:noProof/>
                <w:szCs w:val="16"/>
              </w:rPr>
            </w:pPr>
            <w:r w:rsidRPr="009E7372">
              <w:rPr>
                <w:rFonts w:ascii="Arial" w:hAnsi="Arial" w:cs="Arial"/>
                <w:noProof/>
                <w:szCs w:val="16"/>
              </w:rPr>
              <w:t>Pyrexia</w:t>
            </w:r>
          </w:p>
        </w:tc>
        <w:tc>
          <w:tcPr>
            <w:tcW w:w="1149" w:type="dxa"/>
            <w:shd w:val="clear" w:color="auto" w:fill="auto"/>
          </w:tcPr>
          <w:p w:rsidR="003F02D5" w:rsidRPr="003F02D5" w:rsidDel="00D80F12" w:rsidRDefault="003F02D5" w:rsidP="00ED3C41">
            <w:pPr>
              <w:pStyle w:val="BodyText1"/>
              <w:keepNext/>
              <w:keepLines/>
              <w:ind w:firstLine="0"/>
              <w:jc w:val="center"/>
              <w:rPr>
                <w:rFonts w:ascii="Arial" w:hAnsi="Arial" w:cs="Arial"/>
                <w:noProof/>
                <w:szCs w:val="16"/>
              </w:rPr>
            </w:pPr>
            <w:r w:rsidRPr="003F02D5">
              <w:rPr>
                <w:rFonts w:ascii="Arial" w:hAnsi="Arial" w:cs="Arial"/>
                <w:noProof/>
                <w:szCs w:val="16"/>
              </w:rPr>
              <w:t>10</w:t>
            </w:r>
          </w:p>
        </w:tc>
        <w:tc>
          <w:tcPr>
            <w:tcW w:w="1164" w:type="dxa"/>
            <w:shd w:val="clear" w:color="auto" w:fill="auto"/>
          </w:tcPr>
          <w:p w:rsidR="003F02D5" w:rsidRPr="00D20CE6" w:rsidDel="00E907BF" w:rsidRDefault="003F02D5" w:rsidP="00ED3C41">
            <w:pPr>
              <w:pStyle w:val="BodyText1"/>
              <w:keepNext/>
              <w:keepLines/>
              <w:ind w:firstLine="0"/>
              <w:jc w:val="center"/>
              <w:rPr>
                <w:rFonts w:ascii="Arial" w:hAnsi="Arial" w:cs="Arial"/>
                <w:noProof/>
                <w:szCs w:val="16"/>
              </w:rPr>
            </w:pPr>
            <w:r>
              <w:rPr>
                <w:rFonts w:ascii="Arial" w:hAnsi="Arial" w:cs="Arial"/>
                <w:noProof/>
                <w:szCs w:val="16"/>
              </w:rPr>
              <w:t>2</w:t>
            </w:r>
          </w:p>
        </w:tc>
      </w:tr>
    </w:tbl>
    <w:p w:rsidR="00CF772C" w:rsidRDefault="00CF772C" w:rsidP="00CF772C">
      <w:pPr>
        <w:pStyle w:val="BodyText1"/>
        <w:ind w:firstLine="0"/>
        <w:rPr>
          <w:rFonts w:ascii="Arial" w:hAnsi="Arial" w:cs="Arial"/>
          <w:noProof/>
          <w:sz w:val="22"/>
          <w:szCs w:val="20"/>
        </w:rPr>
      </w:pPr>
    </w:p>
    <w:p w:rsidR="006645E8" w:rsidRDefault="006645E8" w:rsidP="0099595E">
      <w:pPr>
        <w:pStyle w:val="BodyText1"/>
        <w:ind w:firstLine="0"/>
        <w:jc w:val="both"/>
        <w:rPr>
          <w:rFonts w:ascii="Arial" w:hAnsi="Arial" w:cs="Arial"/>
          <w:noProof/>
          <w:sz w:val="22"/>
          <w:szCs w:val="20"/>
        </w:rPr>
      </w:pPr>
      <w:r>
        <w:rPr>
          <w:rFonts w:ascii="Arial" w:hAnsi="Arial" w:cs="Arial"/>
          <w:noProof/>
          <w:sz w:val="22"/>
          <w:szCs w:val="20"/>
        </w:rPr>
        <w:t xml:space="preserve">Treatment-related adverse reactions that were reported at a frequency </w:t>
      </w:r>
      <w:r w:rsidR="001250D5">
        <w:rPr>
          <w:rFonts w:ascii="Arial" w:hAnsi="Arial" w:cs="Arial"/>
          <w:noProof/>
          <w:sz w:val="22"/>
          <w:szCs w:val="20"/>
        </w:rPr>
        <w:sym w:font="Symbol" w:char="F0B3"/>
      </w:r>
      <w:r w:rsidR="001250D5">
        <w:rPr>
          <w:rFonts w:ascii="Arial" w:hAnsi="Arial" w:cs="Arial"/>
          <w:noProof/>
          <w:sz w:val="22"/>
          <w:szCs w:val="20"/>
        </w:rPr>
        <w:t xml:space="preserve">5% and </w:t>
      </w:r>
      <w:r w:rsidR="001250D5">
        <w:rPr>
          <w:rFonts w:ascii="Arial" w:hAnsi="Arial" w:cs="Arial"/>
          <w:noProof/>
          <w:sz w:val="22"/>
          <w:szCs w:val="20"/>
        </w:rPr>
        <w:sym w:font="Symbol" w:char="F0A3"/>
      </w:r>
      <w:r w:rsidR="001250D5">
        <w:rPr>
          <w:rFonts w:ascii="Arial" w:hAnsi="Arial" w:cs="Arial"/>
          <w:noProof/>
          <w:sz w:val="22"/>
          <w:szCs w:val="20"/>
        </w:rPr>
        <w:t xml:space="preserve">10% </w:t>
      </w:r>
      <w:r>
        <w:rPr>
          <w:rFonts w:ascii="Arial" w:hAnsi="Arial" w:cs="Arial"/>
          <w:noProof/>
          <w:sz w:val="22"/>
          <w:szCs w:val="20"/>
        </w:rPr>
        <w:t>included: hypothyroidism (9</w:t>
      </w:r>
      <w:r w:rsidR="001250D5">
        <w:rPr>
          <w:rFonts w:ascii="Arial" w:hAnsi="Arial" w:cs="Arial"/>
          <w:noProof/>
          <w:sz w:val="22"/>
          <w:szCs w:val="20"/>
        </w:rPr>
        <w:t xml:space="preserve">%), </w:t>
      </w:r>
      <w:r w:rsidR="0099595E">
        <w:rPr>
          <w:rFonts w:ascii="Arial" w:hAnsi="Arial" w:cs="Arial"/>
          <w:noProof/>
          <w:sz w:val="22"/>
          <w:szCs w:val="20"/>
        </w:rPr>
        <w:t xml:space="preserve">erythema (6%), </w:t>
      </w:r>
      <w:r w:rsidR="001250D5">
        <w:rPr>
          <w:rFonts w:ascii="Arial" w:hAnsi="Arial" w:cs="Arial"/>
          <w:noProof/>
          <w:sz w:val="22"/>
          <w:szCs w:val="20"/>
        </w:rPr>
        <w:t>chills (6%)</w:t>
      </w:r>
      <w:r w:rsidR="009957BD">
        <w:rPr>
          <w:rFonts w:ascii="Arial" w:hAnsi="Arial" w:cs="Arial"/>
          <w:noProof/>
          <w:sz w:val="22"/>
          <w:szCs w:val="20"/>
        </w:rPr>
        <w:t>.</w:t>
      </w:r>
    </w:p>
    <w:p w:rsidR="006645E8" w:rsidRDefault="006645E8" w:rsidP="00CF772C">
      <w:pPr>
        <w:pStyle w:val="BodyText1"/>
        <w:ind w:firstLine="0"/>
        <w:rPr>
          <w:rFonts w:ascii="Arial" w:hAnsi="Arial" w:cs="Arial"/>
          <w:noProof/>
          <w:sz w:val="22"/>
          <w:szCs w:val="20"/>
        </w:rPr>
      </w:pPr>
    </w:p>
    <w:p w:rsidR="00A22F20" w:rsidRDefault="00A22F20" w:rsidP="00A22F20">
      <w:pPr>
        <w:pStyle w:val="BodyText1"/>
        <w:ind w:firstLine="0"/>
        <w:jc w:val="both"/>
        <w:rPr>
          <w:rFonts w:ascii="Arial" w:hAnsi="Arial" w:cs="Arial"/>
          <w:noProof/>
          <w:sz w:val="22"/>
          <w:szCs w:val="20"/>
        </w:rPr>
      </w:pPr>
      <w:r w:rsidRPr="00A22F20">
        <w:rPr>
          <w:rFonts w:ascii="Arial" w:hAnsi="Arial" w:cs="Arial"/>
          <w:noProof/>
          <w:sz w:val="22"/>
          <w:szCs w:val="20"/>
        </w:rPr>
        <w:t xml:space="preserve">Laboratory values that worsenend from baseline were reported in the pooled population of 411 patients. Laboratory values that worsened from baseline in ≥ 20% of patients were: increased alanine aminotransferase (23.6%; 1% Grade 3, 0.2% Grade 4), decreased albumin (36.7%; 0.5% Grade 3), increased alkaline phosphatase (22.6%, 0.7% Grade 3), increased aspartate aminotransferase (27.7%, 1.2% Grade 3, 0.5% Grade 4), decreased calcium (28.5%, 0.5% Grade 3, 0.2% Grade 4), cholesterol (23.1%, 0.2% Grade 3), increased glucose (46%, 2.7% Grade 3, 0.5% Grade 4), decreased hemoglobin (51.6%, 4.1% Grade 3, 0.5% Grade 4), decreased </w:t>
      </w:r>
      <w:r w:rsidRPr="00A22F20">
        <w:rPr>
          <w:rFonts w:ascii="Arial" w:hAnsi="Arial" w:cs="Arial"/>
          <w:noProof/>
          <w:sz w:val="22"/>
          <w:szCs w:val="20"/>
        </w:rPr>
        <w:lastRenderedPageBreak/>
        <w:t>lymphocytes (28.2%, 7.1% Grade 3, 0.2% Grade 4), decreased sodium (32.6%, 5.1% Grade 3), triglycerides (33.3%, 0% Grade 3 or 4).</w:t>
      </w:r>
    </w:p>
    <w:p w:rsidR="00A22F20" w:rsidRDefault="00A22F20" w:rsidP="00CF772C">
      <w:pPr>
        <w:pStyle w:val="BodyText1"/>
        <w:ind w:firstLine="0"/>
        <w:rPr>
          <w:rFonts w:ascii="Arial" w:hAnsi="Arial" w:cs="Arial"/>
          <w:noProof/>
          <w:sz w:val="22"/>
          <w:szCs w:val="20"/>
        </w:rPr>
      </w:pPr>
    </w:p>
    <w:p w:rsidR="00CF772C" w:rsidRPr="00CF772C" w:rsidRDefault="00CF772C" w:rsidP="00CF772C">
      <w:pPr>
        <w:pStyle w:val="SubSectionHeadings"/>
        <w:tabs>
          <w:tab w:val="left" w:pos="540"/>
        </w:tabs>
        <w:jc w:val="both"/>
        <w:rPr>
          <w:rFonts w:eastAsia="Times New Roman" w:cs="Arial"/>
          <w:b/>
          <w:sz w:val="24"/>
          <w:lang w:val="en-AU" w:eastAsia="en-AU"/>
        </w:rPr>
      </w:pPr>
      <w:r w:rsidRPr="00CF772C">
        <w:rPr>
          <w:rFonts w:eastAsia="Times New Roman" w:cs="Arial"/>
          <w:b/>
          <w:sz w:val="24"/>
          <w:lang w:val="en-AU" w:eastAsia="en-AU"/>
        </w:rPr>
        <w:t>All studied doses</w:t>
      </w:r>
    </w:p>
    <w:p w:rsidR="00CF772C" w:rsidRPr="00CF772C" w:rsidRDefault="00CF772C" w:rsidP="00010E35">
      <w:pPr>
        <w:pStyle w:val="BodyText1"/>
        <w:ind w:firstLine="0"/>
        <w:jc w:val="both"/>
        <w:rPr>
          <w:rFonts w:ascii="Arial" w:hAnsi="Arial" w:cs="Arial"/>
          <w:noProof/>
          <w:sz w:val="22"/>
          <w:szCs w:val="20"/>
        </w:rPr>
      </w:pPr>
      <w:r w:rsidRPr="00CF772C">
        <w:rPr>
          <w:rFonts w:ascii="Arial" w:hAnsi="Arial" w:cs="Arial"/>
          <w:noProof/>
          <w:sz w:val="22"/>
          <w:szCs w:val="20"/>
        </w:rPr>
        <w:t xml:space="preserve">In 411 patients studied across three doses (2 mg/kg every 3 weeks and 10 mg/kg every 2 or 3 weeks), the pooled safety profile was generally similar to that seen for the subset of patients receiving the recommended dose of 2 mg/kg every 3 weeks. In this pooled dose population, KEYTRUDA was discontinued for treatment-related adverse reactions in 4% of patients and treatment-related serious adverse events (SAEs) reported up to 90 days after the last dose occurred in 9% of patients. Of these treatment-related SAEs, those occurring in more than 1 patient were: hyperthyroidism (n=2), hypophysitis (n=2), colitis (including colitis microscopic) (n=5), nausea (n=2), vomiting (n=2), pyrexia (n=4), dehydration (n=2), confusional state (n=2), renal failure (including acute renal failure) (n=4), dyspnea (n=2) and pneumonitis (n=3). </w:t>
      </w:r>
    </w:p>
    <w:p w:rsidR="00CF772C" w:rsidRPr="00CF772C" w:rsidRDefault="00CF772C" w:rsidP="00010E35">
      <w:pPr>
        <w:pStyle w:val="BodyText1"/>
        <w:jc w:val="both"/>
        <w:rPr>
          <w:rFonts w:ascii="Arial" w:hAnsi="Arial" w:cs="Arial"/>
          <w:noProof/>
          <w:sz w:val="22"/>
          <w:szCs w:val="20"/>
        </w:rPr>
      </w:pPr>
    </w:p>
    <w:p w:rsidR="00CF772C" w:rsidRPr="00CF772C" w:rsidRDefault="00CF772C" w:rsidP="00010E35">
      <w:pPr>
        <w:pStyle w:val="BodyText1"/>
        <w:ind w:firstLine="0"/>
        <w:jc w:val="both"/>
        <w:rPr>
          <w:rFonts w:ascii="Arial" w:hAnsi="Arial" w:cs="Arial"/>
          <w:noProof/>
          <w:sz w:val="22"/>
          <w:szCs w:val="20"/>
        </w:rPr>
      </w:pPr>
      <w:r w:rsidRPr="00CF772C">
        <w:rPr>
          <w:rFonts w:ascii="Arial" w:hAnsi="Arial" w:cs="Arial"/>
          <w:noProof/>
          <w:sz w:val="22"/>
          <w:szCs w:val="20"/>
        </w:rPr>
        <w:t xml:space="preserve">Overall, the safety profile was similar between patients previously treated with ipilimumab and patients naïve to treatment with ipilimumab. </w:t>
      </w:r>
    </w:p>
    <w:p w:rsidR="00CF772C" w:rsidRPr="00CF772C" w:rsidRDefault="00CF772C" w:rsidP="00010E35">
      <w:pPr>
        <w:pStyle w:val="BodyText1"/>
        <w:jc w:val="both"/>
        <w:rPr>
          <w:rFonts w:ascii="Arial" w:hAnsi="Arial" w:cs="Arial"/>
          <w:noProof/>
          <w:sz w:val="22"/>
          <w:szCs w:val="20"/>
        </w:rPr>
      </w:pPr>
    </w:p>
    <w:p w:rsidR="00CF772C" w:rsidRPr="00CF772C" w:rsidRDefault="00CF772C" w:rsidP="00010E35">
      <w:pPr>
        <w:pStyle w:val="SubSectionHeadings"/>
        <w:tabs>
          <w:tab w:val="left" w:pos="540"/>
        </w:tabs>
        <w:jc w:val="both"/>
        <w:rPr>
          <w:rFonts w:eastAsia="Times New Roman" w:cs="Arial"/>
          <w:b/>
          <w:sz w:val="24"/>
          <w:lang w:val="en-AU" w:eastAsia="en-AU"/>
        </w:rPr>
      </w:pPr>
      <w:r w:rsidRPr="00CF772C">
        <w:rPr>
          <w:rFonts w:eastAsia="Times New Roman" w:cs="Arial"/>
          <w:b/>
          <w:sz w:val="24"/>
          <w:lang w:val="en-AU" w:eastAsia="en-AU"/>
        </w:rPr>
        <w:t xml:space="preserve">Select potential immune-mediated adverse reactions </w:t>
      </w:r>
    </w:p>
    <w:p w:rsidR="00CF772C" w:rsidRPr="00CF772C" w:rsidRDefault="002E3F6C" w:rsidP="00010E35">
      <w:pPr>
        <w:pStyle w:val="BodyText1"/>
        <w:ind w:firstLine="0"/>
        <w:jc w:val="both"/>
        <w:rPr>
          <w:rFonts w:ascii="Arial" w:hAnsi="Arial" w:cs="Arial"/>
          <w:noProof/>
          <w:sz w:val="22"/>
          <w:szCs w:val="20"/>
        </w:rPr>
      </w:pPr>
      <w:r>
        <w:rPr>
          <w:rFonts w:ascii="Arial" w:hAnsi="Arial" w:cs="Arial"/>
          <w:noProof/>
          <w:sz w:val="22"/>
          <w:szCs w:val="20"/>
        </w:rPr>
        <w:t>Table 3</w:t>
      </w:r>
      <w:r w:rsidR="00CF772C" w:rsidRPr="00CF772C">
        <w:rPr>
          <w:rFonts w:ascii="Arial" w:hAnsi="Arial" w:cs="Arial"/>
          <w:noProof/>
          <w:sz w:val="22"/>
          <w:szCs w:val="20"/>
        </w:rPr>
        <w:t xml:space="preserve"> presents select treatment-related, potential immune-mediated adverse reactions that occurred in patients receiving KEYTRUDA</w:t>
      </w:r>
      <w:r w:rsidR="005B08D4" w:rsidRPr="005B08D4">
        <w:rPr>
          <w:rFonts w:ascii="Arial" w:hAnsi="Arial" w:cs="Arial"/>
          <w:noProof/>
          <w:sz w:val="22"/>
          <w:szCs w:val="20"/>
        </w:rPr>
        <w:t xml:space="preserve"> In addition, across clinical studies with KEYTRUDA in approximately 5000 patients, type 1 diabetes mellitus has been reported in 0.1% of patients.</w:t>
      </w:r>
      <w:r w:rsidR="00CF772C" w:rsidRPr="00CF772C">
        <w:rPr>
          <w:rFonts w:ascii="Arial" w:hAnsi="Arial" w:cs="Arial"/>
          <w:noProof/>
          <w:sz w:val="22"/>
          <w:szCs w:val="20"/>
        </w:rPr>
        <w:t xml:space="preserve"> </w:t>
      </w:r>
      <w:proofErr w:type="gramStart"/>
      <w:r w:rsidR="00526B45" w:rsidRPr="00BE663E">
        <w:rPr>
          <w:rFonts w:cs="Arial"/>
          <w:i/>
          <w:sz w:val="22"/>
          <w:lang w:val="en-AU" w:eastAsia="en-AU"/>
        </w:rPr>
        <w:t>[See</w:t>
      </w:r>
      <w:r w:rsidR="003345BB">
        <w:rPr>
          <w:rFonts w:cs="Arial"/>
          <w:i/>
          <w:sz w:val="22"/>
          <w:lang w:val="en-AU" w:eastAsia="en-AU"/>
        </w:rPr>
        <w:t xml:space="preserve"> DOSAGE AND ADMINISTRATION and</w:t>
      </w:r>
      <w:r w:rsidR="00526B45">
        <w:rPr>
          <w:rFonts w:cs="Arial"/>
          <w:i/>
          <w:sz w:val="22"/>
          <w:lang w:val="en-AU" w:eastAsia="en-AU"/>
        </w:rPr>
        <w:t xml:space="preserve"> PRECAUTIONS</w:t>
      </w:r>
      <w:r w:rsidR="00526B45" w:rsidRPr="00BE663E">
        <w:rPr>
          <w:rFonts w:cs="Arial"/>
          <w:i/>
          <w:sz w:val="22"/>
          <w:lang w:val="en-AU" w:eastAsia="en-AU"/>
        </w:rPr>
        <w:t>]</w:t>
      </w:r>
      <w:r w:rsidR="00526B45" w:rsidRPr="00BE663E">
        <w:rPr>
          <w:rFonts w:cs="Arial"/>
          <w:sz w:val="22"/>
          <w:lang w:val="en-AU" w:eastAsia="en-AU"/>
        </w:rPr>
        <w:t>.</w:t>
      </w:r>
      <w:proofErr w:type="gramEnd"/>
    </w:p>
    <w:p w:rsidR="00CF772C" w:rsidRPr="00CF772C" w:rsidRDefault="00CF772C" w:rsidP="00CF772C">
      <w:pPr>
        <w:pStyle w:val="BodyText1"/>
        <w:ind w:firstLine="0"/>
        <w:rPr>
          <w:rFonts w:ascii="Arial" w:hAnsi="Arial" w:cs="Arial"/>
          <w:noProof/>
          <w:sz w:val="22"/>
          <w:szCs w:val="20"/>
        </w:rPr>
      </w:pPr>
    </w:p>
    <w:p w:rsidR="00CF772C" w:rsidRPr="00410B4B" w:rsidRDefault="00CF772C" w:rsidP="00CF772C">
      <w:pPr>
        <w:keepNext/>
        <w:spacing w:before="4"/>
        <w:ind w:firstLine="540"/>
        <w:jc w:val="center"/>
        <w:rPr>
          <w:noProof/>
          <w:szCs w:val="22"/>
        </w:rPr>
      </w:pPr>
      <w:r w:rsidRPr="00410B4B">
        <w:rPr>
          <w:b/>
          <w:szCs w:val="22"/>
        </w:rPr>
        <w:t xml:space="preserve">Table </w:t>
      </w:r>
      <w:r w:rsidR="002E3F6C">
        <w:rPr>
          <w:b/>
          <w:szCs w:val="22"/>
        </w:rPr>
        <w:t>3</w:t>
      </w:r>
      <w:r w:rsidRPr="00410B4B">
        <w:rPr>
          <w:b/>
          <w:szCs w:val="22"/>
        </w:rPr>
        <w:t>: Select Treatment-related, Potential Immune-mediated Adverse Reactions</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1186"/>
        <w:gridCol w:w="1187"/>
        <w:gridCol w:w="1187"/>
        <w:gridCol w:w="1186"/>
        <w:gridCol w:w="1187"/>
        <w:gridCol w:w="1187"/>
      </w:tblGrid>
      <w:tr w:rsidR="00CF772C" w:rsidRPr="00410B4B" w:rsidTr="00855A57">
        <w:trPr>
          <w:jc w:val="center"/>
        </w:trPr>
        <w:tc>
          <w:tcPr>
            <w:tcW w:w="2384" w:type="dxa"/>
            <w:shd w:val="clear" w:color="auto" w:fill="auto"/>
          </w:tcPr>
          <w:p w:rsidR="00CF772C" w:rsidRPr="00410B4B" w:rsidRDefault="00CF772C" w:rsidP="00855A57">
            <w:pPr>
              <w:keepNext/>
              <w:spacing w:before="4"/>
              <w:rPr>
                <w:b/>
                <w:bCs/>
                <w:szCs w:val="22"/>
              </w:rPr>
            </w:pPr>
          </w:p>
        </w:tc>
        <w:tc>
          <w:tcPr>
            <w:tcW w:w="3560" w:type="dxa"/>
            <w:gridSpan w:val="3"/>
            <w:shd w:val="clear" w:color="auto" w:fill="auto"/>
          </w:tcPr>
          <w:p w:rsidR="00CF772C" w:rsidRPr="00410B4B" w:rsidRDefault="00CF772C" w:rsidP="00855A57">
            <w:pPr>
              <w:keepNext/>
              <w:spacing w:before="4"/>
              <w:jc w:val="center"/>
              <w:rPr>
                <w:b/>
                <w:noProof/>
                <w:szCs w:val="22"/>
              </w:rPr>
            </w:pPr>
            <w:r w:rsidRPr="00410B4B">
              <w:rPr>
                <w:b/>
                <w:noProof/>
                <w:szCs w:val="22"/>
              </w:rPr>
              <w:t>KEYTRUDA</w:t>
            </w:r>
          </w:p>
          <w:p w:rsidR="00CF772C" w:rsidRPr="00410B4B" w:rsidRDefault="00CF772C" w:rsidP="00855A57">
            <w:pPr>
              <w:keepNext/>
              <w:spacing w:before="4"/>
              <w:jc w:val="center"/>
              <w:rPr>
                <w:b/>
                <w:noProof/>
                <w:szCs w:val="22"/>
              </w:rPr>
            </w:pPr>
            <w:r w:rsidRPr="00410B4B">
              <w:rPr>
                <w:b/>
                <w:noProof/>
                <w:szCs w:val="22"/>
              </w:rPr>
              <w:t>2 mg/kg every 3 weeks</w:t>
            </w:r>
          </w:p>
          <w:p w:rsidR="00CF772C" w:rsidRPr="00410B4B" w:rsidRDefault="00CF772C" w:rsidP="00855A57">
            <w:pPr>
              <w:keepNext/>
              <w:spacing w:before="4"/>
              <w:jc w:val="center"/>
              <w:rPr>
                <w:noProof/>
                <w:szCs w:val="22"/>
              </w:rPr>
            </w:pPr>
            <w:r w:rsidRPr="00410B4B">
              <w:rPr>
                <w:b/>
                <w:noProof/>
                <w:szCs w:val="22"/>
              </w:rPr>
              <w:t>n=162</w:t>
            </w:r>
          </w:p>
        </w:tc>
        <w:tc>
          <w:tcPr>
            <w:tcW w:w="3560" w:type="dxa"/>
            <w:gridSpan w:val="3"/>
          </w:tcPr>
          <w:p w:rsidR="00CF772C" w:rsidRPr="00410B4B" w:rsidRDefault="00CF772C" w:rsidP="00855A57">
            <w:pPr>
              <w:keepNext/>
              <w:spacing w:before="4"/>
              <w:jc w:val="center"/>
              <w:rPr>
                <w:b/>
                <w:noProof/>
                <w:szCs w:val="22"/>
              </w:rPr>
            </w:pPr>
            <w:r w:rsidRPr="00410B4B">
              <w:rPr>
                <w:b/>
                <w:noProof/>
                <w:szCs w:val="22"/>
              </w:rPr>
              <w:t>KEYTRUDA</w:t>
            </w:r>
          </w:p>
          <w:p w:rsidR="00CF772C" w:rsidRPr="00410B4B" w:rsidRDefault="00CF772C" w:rsidP="00855A57">
            <w:pPr>
              <w:keepNext/>
              <w:spacing w:before="4"/>
              <w:jc w:val="center"/>
              <w:rPr>
                <w:b/>
                <w:noProof/>
                <w:szCs w:val="22"/>
              </w:rPr>
            </w:pPr>
            <w:r w:rsidRPr="00410B4B">
              <w:rPr>
                <w:b/>
                <w:noProof/>
                <w:szCs w:val="22"/>
              </w:rPr>
              <w:t xml:space="preserve">2 mg/kg every 3 weeks or </w:t>
            </w:r>
            <w:r w:rsidRPr="00410B4B">
              <w:rPr>
                <w:b/>
                <w:noProof/>
                <w:szCs w:val="22"/>
              </w:rPr>
              <w:br/>
              <w:t>10 mg/kg every 2 or 3 weeks</w:t>
            </w:r>
          </w:p>
          <w:p w:rsidR="00CF772C" w:rsidRPr="00410B4B" w:rsidRDefault="00CF772C" w:rsidP="00855A57">
            <w:pPr>
              <w:keepNext/>
              <w:spacing w:before="4"/>
              <w:jc w:val="center"/>
              <w:rPr>
                <w:noProof/>
                <w:szCs w:val="22"/>
              </w:rPr>
            </w:pPr>
            <w:r w:rsidRPr="00410B4B">
              <w:rPr>
                <w:b/>
                <w:noProof/>
                <w:szCs w:val="22"/>
              </w:rPr>
              <w:t>n=411</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b/>
                <w:bCs/>
                <w:szCs w:val="22"/>
              </w:rPr>
            </w:pPr>
            <w:r w:rsidRPr="00410B4B">
              <w:rPr>
                <w:b/>
                <w:bCs/>
                <w:szCs w:val="22"/>
              </w:rPr>
              <w:t>Adverse Reaction</w:t>
            </w:r>
          </w:p>
        </w:tc>
        <w:tc>
          <w:tcPr>
            <w:tcW w:w="1186" w:type="dxa"/>
            <w:shd w:val="clear" w:color="auto" w:fill="auto"/>
          </w:tcPr>
          <w:p w:rsidR="00CF772C" w:rsidRPr="00410B4B" w:rsidRDefault="00CF772C" w:rsidP="00855A57">
            <w:pPr>
              <w:keepNext/>
              <w:spacing w:before="4"/>
              <w:jc w:val="center"/>
              <w:rPr>
                <w:noProof/>
                <w:szCs w:val="22"/>
              </w:rPr>
            </w:pPr>
            <w:r w:rsidRPr="00410B4B">
              <w:rPr>
                <w:noProof/>
                <w:szCs w:val="22"/>
              </w:rPr>
              <w:t>All Grades</w:t>
            </w:r>
          </w:p>
          <w:p w:rsidR="00CF772C" w:rsidRPr="00410B4B" w:rsidRDefault="00CF772C" w:rsidP="00855A57">
            <w:pPr>
              <w:keepNext/>
              <w:spacing w:before="4"/>
              <w:jc w:val="center"/>
              <w:rPr>
                <w:noProof/>
                <w:szCs w:val="22"/>
              </w:rPr>
            </w:pPr>
            <w:r w:rsidRPr="00410B4B">
              <w:rPr>
                <w:noProof/>
                <w:szCs w:val="22"/>
              </w:rPr>
              <w:t>(%)</w:t>
            </w:r>
          </w:p>
        </w:tc>
        <w:tc>
          <w:tcPr>
            <w:tcW w:w="1187" w:type="dxa"/>
            <w:shd w:val="clear" w:color="auto" w:fill="auto"/>
          </w:tcPr>
          <w:p w:rsidR="00CF772C" w:rsidRPr="00410B4B" w:rsidRDefault="00CF772C" w:rsidP="00855A57">
            <w:pPr>
              <w:keepNext/>
              <w:spacing w:before="4"/>
              <w:jc w:val="center"/>
              <w:rPr>
                <w:noProof/>
                <w:szCs w:val="22"/>
              </w:rPr>
            </w:pPr>
            <w:r w:rsidRPr="00410B4B">
              <w:rPr>
                <w:noProof/>
                <w:szCs w:val="22"/>
              </w:rPr>
              <w:t>Grade 3</w:t>
            </w:r>
          </w:p>
          <w:p w:rsidR="00CF772C" w:rsidRPr="00410B4B" w:rsidRDefault="00CF772C" w:rsidP="00855A57">
            <w:pPr>
              <w:keepNext/>
              <w:spacing w:before="4"/>
              <w:jc w:val="center"/>
              <w:rPr>
                <w:noProof/>
                <w:szCs w:val="22"/>
              </w:rPr>
            </w:pPr>
            <w:r w:rsidRPr="00410B4B">
              <w:rPr>
                <w:noProof/>
                <w:szCs w:val="22"/>
              </w:rPr>
              <w:t>(%)</w:t>
            </w:r>
          </w:p>
        </w:tc>
        <w:tc>
          <w:tcPr>
            <w:tcW w:w="1187" w:type="dxa"/>
          </w:tcPr>
          <w:p w:rsidR="00CF772C" w:rsidRPr="00410B4B" w:rsidRDefault="00CF772C" w:rsidP="00855A57">
            <w:pPr>
              <w:keepNext/>
              <w:spacing w:before="4"/>
              <w:jc w:val="center"/>
              <w:rPr>
                <w:noProof/>
                <w:szCs w:val="22"/>
              </w:rPr>
            </w:pPr>
            <w:r w:rsidRPr="00410B4B">
              <w:rPr>
                <w:noProof/>
                <w:szCs w:val="22"/>
              </w:rPr>
              <w:t>Grade 4*</w:t>
            </w:r>
          </w:p>
          <w:p w:rsidR="00CF772C" w:rsidRPr="00410B4B" w:rsidRDefault="00CF772C" w:rsidP="00855A57">
            <w:pPr>
              <w:keepNext/>
              <w:spacing w:before="4"/>
              <w:jc w:val="center"/>
              <w:rPr>
                <w:noProof/>
                <w:szCs w:val="22"/>
              </w:rPr>
            </w:pPr>
            <w:r w:rsidRPr="00410B4B">
              <w:rPr>
                <w:noProof/>
                <w:szCs w:val="22"/>
              </w:rPr>
              <w:t>(%)</w:t>
            </w:r>
          </w:p>
        </w:tc>
        <w:tc>
          <w:tcPr>
            <w:tcW w:w="1186" w:type="dxa"/>
          </w:tcPr>
          <w:p w:rsidR="00CF772C" w:rsidRPr="00377A90" w:rsidRDefault="00CF772C" w:rsidP="00855A57">
            <w:pPr>
              <w:keepNext/>
              <w:spacing w:before="4"/>
              <w:jc w:val="center"/>
              <w:rPr>
                <w:noProof/>
                <w:szCs w:val="22"/>
              </w:rPr>
            </w:pPr>
            <w:r w:rsidRPr="00377A90">
              <w:rPr>
                <w:noProof/>
                <w:szCs w:val="22"/>
              </w:rPr>
              <w:t>All Grades</w:t>
            </w:r>
          </w:p>
          <w:p w:rsidR="00CF772C" w:rsidRPr="00377A90" w:rsidRDefault="00CF772C" w:rsidP="00855A57">
            <w:pPr>
              <w:keepNext/>
              <w:spacing w:before="4"/>
              <w:jc w:val="center"/>
              <w:rPr>
                <w:noProof/>
                <w:szCs w:val="22"/>
              </w:rPr>
            </w:pPr>
            <w:r w:rsidRPr="00377A90">
              <w:rPr>
                <w:noProof/>
                <w:szCs w:val="22"/>
              </w:rPr>
              <w:t>(%)</w:t>
            </w:r>
          </w:p>
        </w:tc>
        <w:tc>
          <w:tcPr>
            <w:tcW w:w="1187" w:type="dxa"/>
          </w:tcPr>
          <w:p w:rsidR="00CF772C" w:rsidRPr="00377A90" w:rsidRDefault="00CF772C" w:rsidP="00855A57">
            <w:pPr>
              <w:keepNext/>
              <w:spacing w:before="4"/>
              <w:jc w:val="center"/>
              <w:rPr>
                <w:noProof/>
                <w:szCs w:val="22"/>
              </w:rPr>
            </w:pPr>
            <w:r w:rsidRPr="00377A90">
              <w:rPr>
                <w:noProof/>
                <w:szCs w:val="22"/>
              </w:rPr>
              <w:t>Grade 3</w:t>
            </w:r>
          </w:p>
          <w:p w:rsidR="00CF772C" w:rsidRPr="00377A90" w:rsidRDefault="00CF772C" w:rsidP="00855A57">
            <w:pPr>
              <w:keepNext/>
              <w:spacing w:before="4"/>
              <w:jc w:val="center"/>
              <w:rPr>
                <w:noProof/>
                <w:szCs w:val="22"/>
              </w:rPr>
            </w:pPr>
            <w:r w:rsidRPr="00377A90">
              <w:rPr>
                <w:noProof/>
                <w:szCs w:val="22"/>
              </w:rPr>
              <w:t>(%)</w:t>
            </w:r>
          </w:p>
        </w:tc>
        <w:tc>
          <w:tcPr>
            <w:tcW w:w="1187" w:type="dxa"/>
          </w:tcPr>
          <w:p w:rsidR="00CF772C" w:rsidRPr="00410B4B" w:rsidRDefault="00CF772C" w:rsidP="00855A57">
            <w:pPr>
              <w:keepNext/>
              <w:spacing w:before="4"/>
              <w:jc w:val="center"/>
              <w:rPr>
                <w:noProof/>
                <w:szCs w:val="22"/>
              </w:rPr>
            </w:pPr>
            <w:r w:rsidRPr="00410B4B">
              <w:rPr>
                <w:noProof/>
                <w:szCs w:val="22"/>
              </w:rPr>
              <w:t>Grade 4*</w:t>
            </w:r>
          </w:p>
          <w:p w:rsidR="00CF772C" w:rsidRPr="00410B4B" w:rsidRDefault="00CF772C" w:rsidP="00855A57">
            <w:pPr>
              <w:keepNext/>
              <w:spacing w:before="4"/>
              <w:jc w:val="center"/>
              <w:rPr>
                <w:noProof/>
                <w:szCs w:val="22"/>
              </w:rPr>
            </w:pPr>
            <w:r w:rsidRPr="00410B4B">
              <w:rPr>
                <w:noProof/>
                <w:szCs w:val="22"/>
              </w:rPr>
              <w:t>(%)</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b/>
                <w:noProof/>
                <w:szCs w:val="22"/>
              </w:rPr>
            </w:pPr>
            <w:r w:rsidRPr="00410B4B">
              <w:rPr>
                <w:b/>
                <w:bCs/>
                <w:noProof/>
                <w:szCs w:val="22"/>
              </w:rPr>
              <w:t>Colitis</w:t>
            </w:r>
            <w:r w:rsidRPr="00410B4B">
              <w:rPr>
                <w:noProof/>
                <w:szCs w:val="22"/>
                <w:vertAlign w:val="superscript"/>
              </w:rPr>
              <w:t>†</w:t>
            </w:r>
          </w:p>
        </w:tc>
        <w:tc>
          <w:tcPr>
            <w:tcW w:w="1186" w:type="dxa"/>
            <w:shd w:val="clear" w:color="auto" w:fill="auto"/>
          </w:tcPr>
          <w:p w:rsidR="00CF772C" w:rsidRPr="00410B4B" w:rsidRDefault="00CF772C" w:rsidP="00855A57">
            <w:pPr>
              <w:keepNext/>
              <w:spacing w:before="4"/>
              <w:jc w:val="center"/>
              <w:rPr>
                <w:noProof/>
                <w:szCs w:val="22"/>
              </w:rPr>
            </w:pPr>
            <w:r w:rsidRPr="00410B4B">
              <w:rPr>
                <w:noProof/>
                <w:szCs w:val="22"/>
              </w:rPr>
              <w:t>1.2</w:t>
            </w:r>
          </w:p>
        </w:tc>
        <w:tc>
          <w:tcPr>
            <w:tcW w:w="1187" w:type="dxa"/>
            <w:shd w:val="clear" w:color="auto" w:fill="auto"/>
          </w:tcPr>
          <w:p w:rsidR="00CF772C" w:rsidRPr="00410B4B" w:rsidRDefault="00CF772C" w:rsidP="00855A57">
            <w:pPr>
              <w:keepNext/>
              <w:spacing w:before="4"/>
              <w:jc w:val="center"/>
              <w:rPr>
                <w:noProof/>
                <w:szCs w:val="22"/>
              </w:rPr>
            </w:pPr>
            <w:r w:rsidRPr="00410B4B">
              <w:rPr>
                <w:noProof/>
                <w:szCs w:val="22"/>
              </w:rPr>
              <w:t>1.2</w:t>
            </w:r>
          </w:p>
        </w:tc>
        <w:tc>
          <w:tcPr>
            <w:tcW w:w="1187" w:type="dxa"/>
          </w:tcPr>
          <w:p w:rsidR="00CF772C" w:rsidRPr="00410B4B" w:rsidRDefault="00CF772C" w:rsidP="00855A57">
            <w:pPr>
              <w:keepNext/>
              <w:spacing w:before="4"/>
              <w:jc w:val="center"/>
              <w:rPr>
                <w:noProof/>
                <w:szCs w:val="22"/>
              </w:rPr>
            </w:pPr>
            <w:r w:rsidRPr="00410B4B">
              <w:rPr>
                <w:noProof/>
                <w:szCs w:val="22"/>
              </w:rPr>
              <w:t>0</w:t>
            </w:r>
          </w:p>
        </w:tc>
        <w:tc>
          <w:tcPr>
            <w:tcW w:w="1186" w:type="dxa"/>
          </w:tcPr>
          <w:p w:rsidR="00CF772C" w:rsidRPr="00377A90" w:rsidRDefault="00CF772C" w:rsidP="00855A57">
            <w:pPr>
              <w:keepNext/>
              <w:spacing w:before="4"/>
              <w:jc w:val="center"/>
              <w:rPr>
                <w:noProof/>
                <w:szCs w:val="22"/>
              </w:rPr>
            </w:pPr>
            <w:r w:rsidRPr="00377A90">
              <w:rPr>
                <w:noProof/>
                <w:szCs w:val="22"/>
              </w:rPr>
              <w:t>1.0</w:t>
            </w:r>
          </w:p>
        </w:tc>
        <w:tc>
          <w:tcPr>
            <w:tcW w:w="1187" w:type="dxa"/>
          </w:tcPr>
          <w:p w:rsidR="00CF772C" w:rsidRPr="00377A90" w:rsidRDefault="00CF772C" w:rsidP="00855A57">
            <w:pPr>
              <w:keepNext/>
              <w:spacing w:before="4"/>
              <w:jc w:val="center"/>
              <w:rPr>
                <w:noProof/>
                <w:szCs w:val="22"/>
              </w:rPr>
            </w:pPr>
            <w:r w:rsidRPr="00377A90">
              <w:rPr>
                <w:noProof/>
                <w:szCs w:val="22"/>
              </w:rPr>
              <w:t>0.5</w:t>
            </w:r>
          </w:p>
        </w:tc>
        <w:tc>
          <w:tcPr>
            <w:tcW w:w="1187" w:type="dxa"/>
          </w:tcPr>
          <w:p w:rsidR="00CF772C" w:rsidRPr="00410B4B" w:rsidRDefault="00CF772C" w:rsidP="00855A57">
            <w:pPr>
              <w:keepNext/>
              <w:spacing w:before="4"/>
              <w:jc w:val="center"/>
              <w:rPr>
                <w:noProof/>
                <w:szCs w:val="22"/>
              </w:rPr>
            </w:pPr>
            <w:r w:rsidRPr="00410B4B">
              <w:rPr>
                <w:noProof/>
                <w:szCs w:val="22"/>
              </w:rPr>
              <w:t>0</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b/>
                <w:noProof/>
                <w:szCs w:val="22"/>
              </w:rPr>
            </w:pPr>
            <w:r w:rsidRPr="00410B4B">
              <w:rPr>
                <w:b/>
                <w:noProof/>
                <w:szCs w:val="22"/>
              </w:rPr>
              <w:t>Hepatitis</w:t>
            </w:r>
            <w:r w:rsidRPr="00410B4B">
              <w:rPr>
                <w:noProof/>
                <w:szCs w:val="22"/>
                <w:vertAlign w:val="superscript"/>
              </w:rPr>
              <w:t>‡</w:t>
            </w:r>
          </w:p>
        </w:tc>
        <w:tc>
          <w:tcPr>
            <w:tcW w:w="1186" w:type="dxa"/>
            <w:shd w:val="clear" w:color="auto" w:fill="auto"/>
            <w:vAlign w:val="center"/>
          </w:tcPr>
          <w:p w:rsidR="00CF772C" w:rsidRPr="00410B4B" w:rsidRDefault="00CF772C" w:rsidP="00855A57">
            <w:pPr>
              <w:keepNext/>
              <w:spacing w:before="4"/>
              <w:jc w:val="center"/>
              <w:rPr>
                <w:noProof/>
                <w:szCs w:val="22"/>
              </w:rPr>
            </w:pPr>
            <w:r w:rsidRPr="00410B4B">
              <w:rPr>
                <w:noProof/>
                <w:szCs w:val="22"/>
              </w:rPr>
              <w:t>1.2</w:t>
            </w:r>
          </w:p>
        </w:tc>
        <w:tc>
          <w:tcPr>
            <w:tcW w:w="1187" w:type="dxa"/>
            <w:shd w:val="clear" w:color="auto" w:fill="auto"/>
            <w:vAlign w:val="center"/>
          </w:tcPr>
          <w:p w:rsidR="00CF772C" w:rsidRPr="00410B4B" w:rsidRDefault="00CF772C" w:rsidP="00855A57">
            <w:pPr>
              <w:keepNext/>
              <w:spacing w:before="4"/>
              <w:jc w:val="center"/>
              <w:rPr>
                <w:noProof/>
                <w:szCs w:val="22"/>
              </w:rPr>
            </w:pPr>
            <w:r w:rsidRPr="00410B4B">
              <w:rPr>
                <w:noProof/>
                <w:szCs w:val="22"/>
              </w:rPr>
              <w:t>0</w:t>
            </w:r>
          </w:p>
        </w:tc>
        <w:tc>
          <w:tcPr>
            <w:tcW w:w="1187" w:type="dxa"/>
          </w:tcPr>
          <w:p w:rsidR="00CF772C" w:rsidRPr="00410B4B" w:rsidRDefault="00CF772C" w:rsidP="00855A57">
            <w:pPr>
              <w:keepNext/>
              <w:spacing w:before="4"/>
              <w:jc w:val="center"/>
              <w:rPr>
                <w:noProof/>
                <w:szCs w:val="22"/>
              </w:rPr>
            </w:pPr>
            <w:r w:rsidRPr="00410B4B">
              <w:rPr>
                <w:noProof/>
                <w:szCs w:val="22"/>
              </w:rPr>
              <w:t>0.6</w:t>
            </w:r>
          </w:p>
        </w:tc>
        <w:tc>
          <w:tcPr>
            <w:tcW w:w="1186" w:type="dxa"/>
          </w:tcPr>
          <w:p w:rsidR="00CF772C" w:rsidRPr="00377A90" w:rsidRDefault="00CF772C" w:rsidP="00855A57">
            <w:pPr>
              <w:keepNext/>
              <w:spacing w:before="4"/>
              <w:jc w:val="center"/>
              <w:rPr>
                <w:noProof/>
                <w:szCs w:val="22"/>
              </w:rPr>
            </w:pPr>
            <w:r w:rsidRPr="00377A90">
              <w:rPr>
                <w:noProof/>
                <w:szCs w:val="22"/>
              </w:rPr>
              <w:t>0.5</w:t>
            </w:r>
          </w:p>
        </w:tc>
        <w:tc>
          <w:tcPr>
            <w:tcW w:w="1187" w:type="dxa"/>
          </w:tcPr>
          <w:p w:rsidR="00CF772C" w:rsidRPr="00377A90" w:rsidRDefault="00CF772C" w:rsidP="00855A57">
            <w:pPr>
              <w:keepNext/>
              <w:spacing w:before="4"/>
              <w:jc w:val="center"/>
              <w:rPr>
                <w:noProof/>
                <w:szCs w:val="22"/>
              </w:rPr>
            </w:pPr>
            <w:r w:rsidRPr="00377A90">
              <w:rPr>
                <w:noProof/>
                <w:szCs w:val="22"/>
              </w:rPr>
              <w:t>0</w:t>
            </w:r>
          </w:p>
        </w:tc>
        <w:tc>
          <w:tcPr>
            <w:tcW w:w="1187" w:type="dxa"/>
          </w:tcPr>
          <w:p w:rsidR="00CF772C" w:rsidRPr="00410B4B" w:rsidRDefault="00CF772C" w:rsidP="00855A57">
            <w:pPr>
              <w:keepNext/>
              <w:spacing w:before="4"/>
              <w:jc w:val="center"/>
              <w:rPr>
                <w:noProof/>
                <w:szCs w:val="22"/>
              </w:rPr>
            </w:pPr>
            <w:r w:rsidRPr="00410B4B">
              <w:rPr>
                <w:noProof/>
                <w:szCs w:val="22"/>
              </w:rPr>
              <w:t>0.2</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b/>
                <w:noProof/>
                <w:szCs w:val="22"/>
              </w:rPr>
            </w:pPr>
            <w:r w:rsidRPr="00410B4B">
              <w:rPr>
                <w:b/>
                <w:bCs/>
                <w:noProof/>
                <w:szCs w:val="22"/>
              </w:rPr>
              <w:t>Hyperthyroidism</w:t>
            </w:r>
          </w:p>
        </w:tc>
        <w:tc>
          <w:tcPr>
            <w:tcW w:w="1186" w:type="dxa"/>
            <w:shd w:val="clear" w:color="auto" w:fill="auto"/>
            <w:vAlign w:val="center"/>
          </w:tcPr>
          <w:p w:rsidR="00CF772C" w:rsidRPr="00377A90" w:rsidRDefault="00CF772C" w:rsidP="00855A57">
            <w:pPr>
              <w:keepNext/>
              <w:spacing w:before="4"/>
              <w:jc w:val="center"/>
              <w:rPr>
                <w:noProof/>
                <w:szCs w:val="22"/>
              </w:rPr>
            </w:pPr>
            <w:r w:rsidRPr="00377A90">
              <w:rPr>
                <w:noProof/>
                <w:szCs w:val="22"/>
              </w:rPr>
              <w:t>0.6</w:t>
            </w:r>
          </w:p>
        </w:tc>
        <w:tc>
          <w:tcPr>
            <w:tcW w:w="1187" w:type="dxa"/>
            <w:shd w:val="clear" w:color="auto" w:fill="auto"/>
            <w:vAlign w:val="center"/>
          </w:tcPr>
          <w:p w:rsidR="00CF772C" w:rsidRPr="00377A90" w:rsidRDefault="00CF772C" w:rsidP="00855A57">
            <w:pPr>
              <w:keepNext/>
              <w:spacing w:before="4"/>
              <w:jc w:val="center"/>
              <w:rPr>
                <w:noProof/>
                <w:szCs w:val="22"/>
              </w:rPr>
            </w:pPr>
            <w:r w:rsidRPr="00377A90">
              <w:rPr>
                <w:noProof/>
                <w:szCs w:val="22"/>
              </w:rPr>
              <w:t>0</w:t>
            </w:r>
          </w:p>
        </w:tc>
        <w:tc>
          <w:tcPr>
            <w:tcW w:w="1187" w:type="dxa"/>
          </w:tcPr>
          <w:p w:rsidR="00CF772C" w:rsidRPr="00377A90" w:rsidRDefault="00CF772C" w:rsidP="00855A57">
            <w:pPr>
              <w:keepNext/>
              <w:spacing w:before="4"/>
              <w:jc w:val="center"/>
              <w:rPr>
                <w:noProof/>
                <w:szCs w:val="22"/>
              </w:rPr>
            </w:pPr>
            <w:r w:rsidRPr="00377A90">
              <w:rPr>
                <w:noProof/>
                <w:szCs w:val="22"/>
              </w:rPr>
              <w:t>0</w:t>
            </w:r>
          </w:p>
        </w:tc>
        <w:tc>
          <w:tcPr>
            <w:tcW w:w="1186" w:type="dxa"/>
          </w:tcPr>
          <w:p w:rsidR="00CF772C" w:rsidRPr="00377A90" w:rsidRDefault="00CF772C" w:rsidP="00855A57">
            <w:pPr>
              <w:keepNext/>
              <w:spacing w:before="4"/>
              <w:jc w:val="center"/>
              <w:rPr>
                <w:noProof/>
                <w:szCs w:val="22"/>
              </w:rPr>
            </w:pPr>
            <w:r w:rsidRPr="00377A90">
              <w:rPr>
                <w:noProof/>
                <w:szCs w:val="22"/>
              </w:rPr>
              <w:t>1.0</w:t>
            </w:r>
          </w:p>
        </w:tc>
        <w:tc>
          <w:tcPr>
            <w:tcW w:w="1187" w:type="dxa"/>
          </w:tcPr>
          <w:p w:rsidR="00CF772C" w:rsidRPr="00377A90" w:rsidRDefault="00CF772C" w:rsidP="00855A57">
            <w:pPr>
              <w:keepNext/>
              <w:spacing w:before="4"/>
              <w:jc w:val="center"/>
              <w:rPr>
                <w:noProof/>
                <w:szCs w:val="22"/>
              </w:rPr>
            </w:pPr>
            <w:r w:rsidRPr="00377A90">
              <w:rPr>
                <w:noProof/>
                <w:szCs w:val="22"/>
              </w:rPr>
              <w:t>0.2</w:t>
            </w:r>
          </w:p>
        </w:tc>
        <w:tc>
          <w:tcPr>
            <w:tcW w:w="1187" w:type="dxa"/>
          </w:tcPr>
          <w:p w:rsidR="00CF772C" w:rsidRPr="00410B4B" w:rsidRDefault="00CF772C" w:rsidP="00855A57">
            <w:pPr>
              <w:keepNext/>
              <w:spacing w:before="4"/>
              <w:jc w:val="center"/>
              <w:rPr>
                <w:noProof/>
                <w:szCs w:val="22"/>
              </w:rPr>
            </w:pPr>
            <w:r w:rsidRPr="00410B4B">
              <w:rPr>
                <w:noProof/>
                <w:szCs w:val="22"/>
              </w:rPr>
              <w:t>0</w:t>
            </w:r>
          </w:p>
        </w:tc>
      </w:tr>
      <w:tr w:rsidR="000B5DAF" w:rsidRPr="00410B4B" w:rsidTr="00855A57">
        <w:trPr>
          <w:jc w:val="center"/>
        </w:trPr>
        <w:tc>
          <w:tcPr>
            <w:tcW w:w="2384" w:type="dxa"/>
            <w:shd w:val="clear" w:color="auto" w:fill="auto"/>
          </w:tcPr>
          <w:p w:rsidR="000B5DAF" w:rsidRPr="00410B4B" w:rsidRDefault="000B5DAF" w:rsidP="00855A57">
            <w:pPr>
              <w:keepNext/>
              <w:spacing w:before="4"/>
              <w:rPr>
                <w:b/>
                <w:bCs/>
                <w:noProof/>
                <w:szCs w:val="22"/>
              </w:rPr>
            </w:pPr>
            <w:r>
              <w:rPr>
                <w:b/>
                <w:bCs/>
                <w:noProof/>
                <w:szCs w:val="22"/>
              </w:rPr>
              <w:t>Hypophysitis</w:t>
            </w:r>
          </w:p>
        </w:tc>
        <w:tc>
          <w:tcPr>
            <w:tcW w:w="1186" w:type="dxa"/>
            <w:shd w:val="clear" w:color="auto" w:fill="auto"/>
            <w:vAlign w:val="center"/>
          </w:tcPr>
          <w:p w:rsidR="000B5DAF" w:rsidRPr="00377A90" w:rsidRDefault="000B5DAF" w:rsidP="00855A57">
            <w:pPr>
              <w:keepNext/>
              <w:spacing w:before="4"/>
              <w:jc w:val="center"/>
              <w:rPr>
                <w:noProof/>
                <w:szCs w:val="22"/>
              </w:rPr>
            </w:pPr>
            <w:r>
              <w:rPr>
                <w:noProof/>
                <w:szCs w:val="22"/>
              </w:rPr>
              <w:t>1.2</w:t>
            </w:r>
          </w:p>
        </w:tc>
        <w:tc>
          <w:tcPr>
            <w:tcW w:w="1187" w:type="dxa"/>
            <w:shd w:val="clear" w:color="auto" w:fill="auto"/>
            <w:vAlign w:val="center"/>
          </w:tcPr>
          <w:p w:rsidR="000B5DAF" w:rsidRPr="00377A90" w:rsidRDefault="000B5DAF" w:rsidP="00855A57">
            <w:pPr>
              <w:keepNext/>
              <w:spacing w:before="4"/>
              <w:jc w:val="center"/>
              <w:rPr>
                <w:noProof/>
                <w:szCs w:val="22"/>
              </w:rPr>
            </w:pPr>
            <w:r>
              <w:rPr>
                <w:noProof/>
                <w:szCs w:val="22"/>
              </w:rPr>
              <w:t>0</w:t>
            </w:r>
          </w:p>
        </w:tc>
        <w:tc>
          <w:tcPr>
            <w:tcW w:w="1187" w:type="dxa"/>
          </w:tcPr>
          <w:p w:rsidR="000B5DAF" w:rsidRPr="00377A90" w:rsidRDefault="000B5DAF" w:rsidP="00855A57">
            <w:pPr>
              <w:keepNext/>
              <w:spacing w:before="4"/>
              <w:jc w:val="center"/>
              <w:rPr>
                <w:noProof/>
                <w:szCs w:val="22"/>
              </w:rPr>
            </w:pPr>
            <w:r>
              <w:rPr>
                <w:noProof/>
                <w:szCs w:val="22"/>
              </w:rPr>
              <w:t>0.6</w:t>
            </w:r>
          </w:p>
        </w:tc>
        <w:tc>
          <w:tcPr>
            <w:tcW w:w="1186" w:type="dxa"/>
          </w:tcPr>
          <w:p w:rsidR="000B5DAF" w:rsidRPr="00377A90" w:rsidRDefault="000B5DAF" w:rsidP="00855A57">
            <w:pPr>
              <w:keepNext/>
              <w:spacing w:before="4"/>
              <w:jc w:val="center"/>
              <w:rPr>
                <w:noProof/>
                <w:szCs w:val="22"/>
              </w:rPr>
            </w:pPr>
            <w:r>
              <w:rPr>
                <w:noProof/>
                <w:szCs w:val="22"/>
              </w:rPr>
              <w:t>0.5</w:t>
            </w:r>
          </w:p>
        </w:tc>
        <w:tc>
          <w:tcPr>
            <w:tcW w:w="1187" w:type="dxa"/>
          </w:tcPr>
          <w:p w:rsidR="000B5DAF" w:rsidRPr="00377A90" w:rsidRDefault="000B5DAF" w:rsidP="00855A57">
            <w:pPr>
              <w:keepNext/>
              <w:spacing w:before="4"/>
              <w:jc w:val="center"/>
              <w:rPr>
                <w:noProof/>
                <w:szCs w:val="22"/>
              </w:rPr>
            </w:pPr>
            <w:r>
              <w:rPr>
                <w:noProof/>
                <w:szCs w:val="22"/>
              </w:rPr>
              <w:t>0</w:t>
            </w:r>
          </w:p>
        </w:tc>
        <w:tc>
          <w:tcPr>
            <w:tcW w:w="1187" w:type="dxa"/>
          </w:tcPr>
          <w:p w:rsidR="000B5DAF" w:rsidRPr="00410B4B" w:rsidRDefault="000B5DAF" w:rsidP="00855A57">
            <w:pPr>
              <w:keepNext/>
              <w:spacing w:before="4"/>
              <w:jc w:val="center"/>
              <w:rPr>
                <w:noProof/>
                <w:szCs w:val="22"/>
              </w:rPr>
            </w:pPr>
            <w:r>
              <w:rPr>
                <w:noProof/>
                <w:szCs w:val="22"/>
              </w:rPr>
              <w:t>0.2</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noProof/>
                <w:szCs w:val="22"/>
              </w:rPr>
            </w:pPr>
            <w:r w:rsidRPr="00410B4B">
              <w:rPr>
                <w:b/>
                <w:bCs/>
                <w:noProof/>
                <w:szCs w:val="22"/>
              </w:rPr>
              <w:t>Hypothyroidism</w:t>
            </w:r>
          </w:p>
        </w:tc>
        <w:tc>
          <w:tcPr>
            <w:tcW w:w="1186" w:type="dxa"/>
            <w:shd w:val="clear" w:color="auto" w:fill="auto"/>
            <w:vAlign w:val="center"/>
          </w:tcPr>
          <w:p w:rsidR="00CF772C" w:rsidRPr="00377A90" w:rsidRDefault="00CF772C" w:rsidP="00855A57">
            <w:pPr>
              <w:keepNext/>
              <w:spacing w:before="4"/>
              <w:jc w:val="center"/>
              <w:rPr>
                <w:noProof/>
                <w:szCs w:val="22"/>
              </w:rPr>
            </w:pPr>
            <w:r w:rsidRPr="00377A90">
              <w:rPr>
                <w:noProof/>
                <w:szCs w:val="22"/>
              </w:rPr>
              <w:t>9.3</w:t>
            </w:r>
          </w:p>
        </w:tc>
        <w:tc>
          <w:tcPr>
            <w:tcW w:w="1187" w:type="dxa"/>
            <w:shd w:val="clear" w:color="auto" w:fill="auto"/>
            <w:vAlign w:val="center"/>
          </w:tcPr>
          <w:p w:rsidR="00CF772C" w:rsidRPr="00377A90" w:rsidRDefault="00CF772C" w:rsidP="00855A57">
            <w:pPr>
              <w:keepNext/>
              <w:spacing w:before="4"/>
              <w:jc w:val="center"/>
              <w:rPr>
                <w:noProof/>
                <w:szCs w:val="22"/>
              </w:rPr>
            </w:pPr>
            <w:r w:rsidRPr="00377A90">
              <w:rPr>
                <w:noProof/>
                <w:szCs w:val="22"/>
              </w:rPr>
              <w:t>0</w:t>
            </w:r>
          </w:p>
        </w:tc>
        <w:tc>
          <w:tcPr>
            <w:tcW w:w="1187" w:type="dxa"/>
          </w:tcPr>
          <w:p w:rsidR="00CF772C" w:rsidRPr="00377A90" w:rsidRDefault="00CF772C" w:rsidP="00855A57">
            <w:pPr>
              <w:keepNext/>
              <w:spacing w:before="4"/>
              <w:jc w:val="center"/>
              <w:rPr>
                <w:noProof/>
                <w:szCs w:val="22"/>
              </w:rPr>
            </w:pPr>
            <w:r w:rsidRPr="00377A90">
              <w:rPr>
                <w:noProof/>
                <w:szCs w:val="22"/>
              </w:rPr>
              <w:t>0</w:t>
            </w:r>
          </w:p>
        </w:tc>
        <w:tc>
          <w:tcPr>
            <w:tcW w:w="1186" w:type="dxa"/>
          </w:tcPr>
          <w:p w:rsidR="00CF772C" w:rsidRPr="00377A90" w:rsidRDefault="00CF772C" w:rsidP="00855A57">
            <w:pPr>
              <w:keepNext/>
              <w:spacing w:before="4"/>
              <w:jc w:val="center"/>
              <w:rPr>
                <w:noProof/>
                <w:szCs w:val="22"/>
              </w:rPr>
            </w:pPr>
            <w:r w:rsidRPr="00377A90">
              <w:rPr>
                <w:noProof/>
                <w:szCs w:val="22"/>
              </w:rPr>
              <w:t>8.3</w:t>
            </w:r>
          </w:p>
        </w:tc>
        <w:tc>
          <w:tcPr>
            <w:tcW w:w="1187" w:type="dxa"/>
          </w:tcPr>
          <w:p w:rsidR="00CF772C" w:rsidRPr="00377A90" w:rsidRDefault="00CF772C" w:rsidP="00855A57">
            <w:pPr>
              <w:keepNext/>
              <w:spacing w:before="4"/>
              <w:jc w:val="center"/>
              <w:rPr>
                <w:noProof/>
                <w:szCs w:val="22"/>
              </w:rPr>
            </w:pPr>
            <w:r w:rsidRPr="00377A90">
              <w:rPr>
                <w:noProof/>
                <w:szCs w:val="22"/>
              </w:rPr>
              <w:t>0.2</w:t>
            </w:r>
          </w:p>
        </w:tc>
        <w:tc>
          <w:tcPr>
            <w:tcW w:w="1187" w:type="dxa"/>
          </w:tcPr>
          <w:p w:rsidR="00CF772C" w:rsidRPr="00410B4B" w:rsidRDefault="00CF772C" w:rsidP="00855A57">
            <w:pPr>
              <w:keepNext/>
              <w:spacing w:before="4"/>
              <w:jc w:val="center"/>
              <w:rPr>
                <w:noProof/>
                <w:szCs w:val="22"/>
              </w:rPr>
            </w:pPr>
            <w:r w:rsidRPr="00410B4B">
              <w:rPr>
                <w:noProof/>
                <w:szCs w:val="22"/>
              </w:rPr>
              <w:t>0</w:t>
            </w:r>
          </w:p>
        </w:tc>
      </w:tr>
      <w:tr w:rsidR="000B5DAF" w:rsidRPr="00410B4B" w:rsidTr="00855A57">
        <w:trPr>
          <w:jc w:val="center"/>
        </w:trPr>
        <w:tc>
          <w:tcPr>
            <w:tcW w:w="2384" w:type="dxa"/>
            <w:shd w:val="clear" w:color="auto" w:fill="auto"/>
          </w:tcPr>
          <w:p w:rsidR="000B5DAF" w:rsidRPr="00410B4B" w:rsidRDefault="000B5DAF" w:rsidP="00855A57">
            <w:pPr>
              <w:keepNext/>
              <w:spacing w:before="4"/>
              <w:rPr>
                <w:b/>
                <w:bCs/>
                <w:noProof/>
                <w:szCs w:val="22"/>
              </w:rPr>
            </w:pPr>
            <w:r>
              <w:rPr>
                <w:b/>
                <w:bCs/>
                <w:noProof/>
                <w:szCs w:val="22"/>
              </w:rPr>
              <w:t>Nephritis</w:t>
            </w:r>
            <w:r w:rsidRPr="000B5DAF">
              <w:rPr>
                <w:noProof/>
                <w:sz w:val="18"/>
                <w:szCs w:val="18"/>
                <w:vertAlign w:val="superscript"/>
              </w:rPr>
              <w:t>§</w:t>
            </w:r>
          </w:p>
        </w:tc>
        <w:tc>
          <w:tcPr>
            <w:tcW w:w="1186" w:type="dxa"/>
            <w:shd w:val="clear" w:color="auto" w:fill="auto"/>
            <w:vAlign w:val="center"/>
          </w:tcPr>
          <w:p w:rsidR="000B5DAF" w:rsidRPr="00377A90" w:rsidRDefault="000B5DAF" w:rsidP="00855A57">
            <w:pPr>
              <w:keepNext/>
              <w:spacing w:before="4"/>
              <w:jc w:val="center"/>
              <w:rPr>
                <w:noProof/>
                <w:szCs w:val="22"/>
              </w:rPr>
            </w:pPr>
            <w:r>
              <w:rPr>
                <w:noProof/>
                <w:szCs w:val="22"/>
              </w:rPr>
              <w:t>0</w:t>
            </w:r>
          </w:p>
        </w:tc>
        <w:tc>
          <w:tcPr>
            <w:tcW w:w="1187" w:type="dxa"/>
            <w:shd w:val="clear" w:color="auto" w:fill="auto"/>
            <w:vAlign w:val="center"/>
          </w:tcPr>
          <w:p w:rsidR="000B5DAF" w:rsidRPr="00377A90" w:rsidRDefault="000B5DAF" w:rsidP="00855A57">
            <w:pPr>
              <w:keepNext/>
              <w:spacing w:before="4"/>
              <w:jc w:val="center"/>
              <w:rPr>
                <w:noProof/>
                <w:szCs w:val="22"/>
              </w:rPr>
            </w:pPr>
            <w:r>
              <w:rPr>
                <w:noProof/>
                <w:szCs w:val="22"/>
              </w:rPr>
              <w:t>0</w:t>
            </w:r>
          </w:p>
        </w:tc>
        <w:tc>
          <w:tcPr>
            <w:tcW w:w="1187" w:type="dxa"/>
          </w:tcPr>
          <w:p w:rsidR="000B5DAF" w:rsidRPr="00377A90" w:rsidRDefault="000B5DAF" w:rsidP="00855A57">
            <w:pPr>
              <w:keepNext/>
              <w:spacing w:before="4"/>
              <w:jc w:val="center"/>
              <w:rPr>
                <w:noProof/>
                <w:szCs w:val="22"/>
              </w:rPr>
            </w:pPr>
            <w:r>
              <w:rPr>
                <w:noProof/>
                <w:szCs w:val="22"/>
              </w:rPr>
              <w:t>0</w:t>
            </w:r>
          </w:p>
        </w:tc>
        <w:tc>
          <w:tcPr>
            <w:tcW w:w="1186" w:type="dxa"/>
          </w:tcPr>
          <w:p w:rsidR="000B5DAF" w:rsidRPr="00377A90" w:rsidRDefault="000B5DAF" w:rsidP="00855A57">
            <w:pPr>
              <w:keepNext/>
              <w:spacing w:before="4"/>
              <w:jc w:val="center"/>
              <w:rPr>
                <w:noProof/>
                <w:szCs w:val="22"/>
              </w:rPr>
            </w:pPr>
            <w:r>
              <w:rPr>
                <w:noProof/>
                <w:szCs w:val="22"/>
              </w:rPr>
              <w:t>0.7</w:t>
            </w:r>
          </w:p>
        </w:tc>
        <w:tc>
          <w:tcPr>
            <w:tcW w:w="1187" w:type="dxa"/>
          </w:tcPr>
          <w:p w:rsidR="000B5DAF" w:rsidRPr="00377A90" w:rsidRDefault="000B5DAF" w:rsidP="00855A57">
            <w:pPr>
              <w:keepNext/>
              <w:spacing w:before="4"/>
              <w:jc w:val="center"/>
              <w:rPr>
                <w:noProof/>
                <w:szCs w:val="22"/>
              </w:rPr>
            </w:pPr>
            <w:r>
              <w:rPr>
                <w:noProof/>
                <w:szCs w:val="22"/>
              </w:rPr>
              <w:t>0.2</w:t>
            </w:r>
          </w:p>
        </w:tc>
        <w:tc>
          <w:tcPr>
            <w:tcW w:w="1187" w:type="dxa"/>
          </w:tcPr>
          <w:p w:rsidR="000B5DAF" w:rsidRPr="00410B4B" w:rsidRDefault="000B5DAF" w:rsidP="00855A57">
            <w:pPr>
              <w:keepNext/>
              <w:spacing w:before="4"/>
              <w:jc w:val="center"/>
              <w:rPr>
                <w:noProof/>
                <w:szCs w:val="22"/>
              </w:rPr>
            </w:pPr>
            <w:r>
              <w:rPr>
                <w:noProof/>
                <w:szCs w:val="22"/>
              </w:rPr>
              <w:t>0.2</w:t>
            </w:r>
          </w:p>
        </w:tc>
      </w:tr>
      <w:tr w:rsidR="00CF772C" w:rsidRPr="00410B4B" w:rsidTr="00855A57">
        <w:trPr>
          <w:jc w:val="center"/>
        </w:trPr>
        <w:tc>
          <w:tcPr>
            <w:tcW w:w="2384" w:type="dxa"/>
            <w:shd w:val="clear" w:color="auto" w:fill="auto"/>
          </w:tcPr>
          <w:p w:rsidR="00CF772C" w:rsidRPr="00410B4B" w:rsidRDefault="00CF772C" w:rsidP="00855A57">
            <w:pPr>
              <w:keepNext/>
              <w:spacing w:before="4"/>
              <w:rPr>
                <w:noProof/>
                <w:szCs w:val="22"/>
              </w:rPr>
            </w:pPr>
            <w:r w:rsidRPr="00410B4B">
              <w:rPr>
                <w:b/>
                <w:noProof/>
                <w:szCs w:val="22"/>
              </w:rPr>
              <w:t>Pneumonitis</w:t>
            </w:r>
          </w:p>
        </w:tc>
        <w:tc>
          <w:tcPr>
            <w:tcW w:w="1186" w:type="dxa"/>
            <w:shd w:val="clear" w:color="auto" w:fill="auto"/>
            <w:vAlign w:val="center"/>
          </w:tcPr>
          <w:p w:rsidR="00CF772C" w:rsidRPr="00410B4B" w:rsidRDefault="00CF772C" w:rsidP="00855A57">
            <w:pPr>
              <w:keepNext/>
              <w:spacing w:before="4"/>
              <w:jc w:val="center"/>
              <w:rPr>
                <w:noProof/>
                <w:szCs w:val="22"/>
              </w:rPr>
            </w:pPr>
            <w:r w:rsidRPr="00410B4B">
              <w:rPr>
                <w:noProof/>
                <w:szCs w:val="22"/>
              </w:rPr>
              <w:t>1.2</w:t>
            </w:r>
          </w:p>
        </w:tc>
        <w:tc>
          <w:tcPr>
            <w:tcW w:w="1187" w:type="dxa"/>
            <w:shd w:val="clear" w:color="auto" w:fill="auto"/>
            <w:vAlign w:val="center"/>
          </w:tcPr>
          <w:p w:rsidR="00CF772C" w:rsidRPr="00410B4B" w:rsidRDefault="00CF772C" w:rsidP="00855A57">
            <w:pPr>
              <w:keepNext/>
              <w:spacing w:before="4"/>
              <w:jc w:val="center"/>
              <w:rPr>
                <w:noProof/>
                <w:szCs w:val="22"/>
              </w:rPr>
            </w:pPr>
            <w:r w:rsidRPr="00410B4B">
              <w:rPr>
                <w:noProof/>
                <w:szCs w:val="22"/>
              </w:rPr>
              <w:t>0.6</w:t>
            </w:r>
          </w:p>
        </w:tc>
        <w:tc>
          <w:tcPr>
            <w:tcW w:w="1187" w:type="dxa"/>
          </w:tcPr>
          <w:p w:rsidR="00CF772C" w:rsidRPr="00410B4B" w:rsidRDefault="00CF772C" w:rsidP="00855A57">
            <w:pPr>
              <w:keepNext/>
              <w:spacing w:before="4"/>
              <w:jc w:val="center"/>
              <w:rPr>
                <w:noProof/>
                <w:szCs w:val="22"/>
              </w:rPr>
            </w:pPr>
            <w:r w:rsidRPr="00410B4B">
              <w:rPr>
                <w:noProof/>
                <w:szCs w:val="22"/>
              </w:rPr>
              <w:t>0</w:t>
            </w:r>
          </w:p>
        </w:tc>
        <w:tc>
          <w:tcPr>
            <w:tcW w:w="1186" w:type="dxa"/>
          </w:tcPr>
          <w:p w:rsidR="00CF772C" w:rsidRPr="00410B4B" w:rsidRDefault="00CF772C" w:rsidP="00855A57">
            <w:pPr>
              <w:keepNext/>
              <w:spacing w:before="4"/>
              <w:jc w:val="center"/>
              <w:rPr>
                <w:noProof/>
                <w:szCs w:val="22"/>
              </w:rPr>
            </w:pPr>
            <w:r w:rsidRPr="00410B4B">
              <w:rPr>
                <w:noProof/>
                <w:szCs w:val="22"/>
              </w:rPr>
              <w:t xml:space="preserve">2.7 </w:t>
            </w:r>
          </w:p>
        </w:tc>
        <w:tc>
          <w:tcPr>
            <w:tcW w:w="1187" w:type="dxa"/>
          </w:tcPr>
          <w:p w:rsidR="00CF772C" w:rsidRPr="00410B4B" w:rsidRDefault="00CF772C" w:rsidP="00855A57">
            <w:pPr>
              <w:keepNext/>
              <w:spacing w:before="4"/>
              <w:jc w:val="center"/>
              <w:rPr>
                <w:noProof/>
                <w:szCs w:val="22"/>
              </w:rPr>
            </w:pPr>
            <w:r w:rsidRPr="00410B4B">
              <w:rPr>
                <w:noProof/>
                <w:szCs w:val="22"/>
              </w:rPr>
              <w:t>0.2</w:t>
            </w:r>
          </w:p>
        </w:tc>
        <w:tc>
          <w:tcPr>
            <w:tcW w:w="1187" w:type="dxa"/>
          </w:tcPr>
          <w:p w:rsidR="00CF772C" w:rsidRPr="00410B4B" w:rsidRDefault="00CF772C" w:rsidP="00855A57">
            <w:pPr>
              <w:keepNext/>
              <w:spacing w:before="4"/>
              <w:jc w:val="center"/>
              <w:rPr>
                <w:noProof/>
                <w:szCs w:val="22"/>
              </w:rPr>
            </w:pPr>
            <w:r w:rsidRPr="00410B4B">
              <w:rPr>
                <w:noProof/>
                <w:szCs w:val="22"/>
              </w:rPr>
              <w:t>0</w:t>
            </w:r>
          </w:p>
        </w:tc>
      </w:tr>
    </w:tbl>
    <w:p w:rsidR="00CF772C" w:rsidRPr="00410B4B" w:rsidRDefault="00CF772C" w:rsidP="00CF772C">
      <w:pPr>
        <w:keepNext/>
        <w:spacing w:before="4"/>
        <w:ind w:left="540" w:hanging="360"/>
        <w:rPr>
          <w:noProof/>
          <w:sz w:val="18"/>
          <w:szCs w:val="18"/>
        </w:rPr>
      </w:pPr>
      <w:r w:rsidRPr="00410B4B">
        <w:rPr>
          <w:noProof/>
          <w:sz w:val="18"/>
          <w:szCs w:val="18"/>
        </w:rPr>
        <w:t>*</w:t>
      </w:r>
      <w:r w:rsidRPr="00410B4B">
        <w:rPr>
          <w:noProof/>
          <w:sz w:val="18"/>
          <w:szCs w:val="18"/>
        </w:rPr>
        <w:tab/>
        <w:t>There were no Grade 5 treatment-related potential immune-mediated adverse reactions reported with KEYTRUDA.</w:t>
      </w:r>
    </w:p>
    <w:p w:rsidR="00CF772C" w:rsidRPr="00410B4B" w:rsidRDefault="00CF772C" w:rsidP="00CF772C">
      <w:pPr>
        <w:keepNext/>
        <w:spacing w:before="4"/>
        <w:ind w:left="540" w:hanging="360"/>
        <w:rPr>
          <w:noProof/>
          <w:sz w:val="18"/>
          <w:szCs w:val="18"/>
        </w:rPr>
      </w:pPr>
      <w:r w:rsidRPr="00410B4B">
        <w:rPr>
          <w:noProof/>
          <w:sz w:val="18"/>
          <w:szCs w:val="18"/>
          <w:vertAlign w:val="superscript"/>
        </w:rPr>
        <w:t>†</w:t>
      </w:r>
      <w:r w:rsidRPr="00410B4B">
        <w:rPr>
          <w:noProof/>
          <w:sz w:val="18"/>
          <w:szCs w:val="18"/>
        </w:rPr>
        <w:tab/>
        <w:t>Includes colitis microscopic</w:t>
      </w:r>
    </w:p>
    <w:p w:rsidR="00CF772C" w:rsidRDefault="00CF772C" w:rsidP="00CF772C">
      <w:pPr>
        <w:keepNext/>
        <w:spacing w:before="4"/>
        <w:ind w:left="540" w:hanging="360"/>
        <w:rPr>
          <w:noProof/>
          <w:sz w:val="18"/>
          <w:szCs w:val="18"/>
        </w:rPr>
      </w:pPr>
      <w:r w:rsidRPr="00410B4B">
        <w:rPr>
          <w:noProof/>
          <w:sz w:val="18"/>
          <w:szCs w:val="18"/>
          <w:vertAlign w:val="superscript"/>
        </w:rPr>
        <w:t>‡</w:t>
      </w:r>
      <w:r w:rsidRPr="00410B4B">
        <w:rPr>
          <w:noProof/>
          <w:sz w:val="18"/>
          <w:szCs w:val="18"/>
          <w:vertAlign w:val="superscript"/>
        </w:rPr>
        <w:tab/>
      </w:r>
      <w:r w:rsidRPr="00410B4B">
        <w:rPr>
          <w:noProof/>
          <w:sz w:val="18"/>
          <w:szCs w:val="18"/>
        </w:rPr>
        <w:t>Includes autoimmune hepatitis</w:t>
      </w:r>
    </w:p>
    <w:p w:rsidR="000B5DAF" w:rsidRPr="00410B4B" w:rsidRDefault="00A121EE" w:rsidP="00CF772C">
      <w:pPr>
        <w:keepNext/>
        <w:spacing w:before="4"/>
        <w:ind w:left="540" w:hanging="360"/>
        <w:rPr>
          <w:noProof/>
          <w:sz w:val="18"/>
          <w:szCs w:val="18"/>
        </w:rPr>
      </w:pPr>
      <w:r w:rsidRPr="000B5DAF">
        <w:rPr>
          <w:noProof/>
          <w:sz w:val="18"/>
          <w:szCs w:val="18"/>
          <w:vertAlign w:val="superscript"/>
        </w:rPr>
        <w:t>§</w:t>
      </w:r>
      <w:r w:rsidR="000B5DAF" w:rsidRPr="000B5DAF">
        <w:rPr>
          <w:noProof/>
          <w:sz w:val="18"/>
          <w:szCs w:val="18"/>
        </w:rPr>
        <w:tab/>
        <w:t>Includes autoimmune nephritis and renal failure with evidence of interstitital nephritis</w:t>
      </w:r>
    </w:p>
    <w:p w:rsidR="003A6F1C" w:rsidRDefault="003A6F1C">
      <w:pPr>
        <w:pStyle w:val="Heading1"/>
        <w:rPr>
          <w:rFonts w:cs="Arial"/>
        </w:rPr>
      </w:pPr>
      <w:r w:rsidRPr="001D71DE">
        <w:rPr>
          <w:rFonts w:cs="Arial"/>
        </w:rPr>
        <w:t>DOSAGE AND ADMINISTRATION</w:t>
      </w:r>
    </w:p>
    <w:p w:rsidR="00615ECC" w:rsidRPr="00615ECC" w:rsidRDefault="00615ECC" w:rsidP="00615ECC">
      <w:r>
        <w:t xml:space="preserve">Treatment must be initiated and supervised by healthcare professionals experienced in the treatment of cancer. </w:t>
      </w:r>
      <w:r>
        <w:cr/>
      </w:r>
    </w:p>
    <w:p w:rsidR="00C169A1" w:rsidRPr="00C169A1" w:rsidRDefault="00C169A1" w:rsidP="00C169A1">
      <w:pPr>
        <w:pStyle w:val="SubSectionHeadings"/>
        <w:tabs>
          <w:tab w:val="left" w:pos="540"/>
        </w:tabs>
        <w:jc w:val="both"/>
        <w:rPr>
          <w:rFonts w:eastAsia="Times New Roman" w:cs="Arial"/>
          <w:b/>
          <w:sz w:val="24"/>
          <w:lang w:val="en-AU" w:eastAsia="en-AU"/>
        </w:rPr>
      </w:pPr>
      <w:r w:rsidRPr="00C169A1">
        <w:rPr>
          <w:rFonts w:eastAsia="Times New Roman" w:cs="Arial"/>
          <w:b/>
          <w:sz w:val="24"/>
          <w:lang w:val="en-AU" w:eastAsia="en-AU"/>
        </w:rPr>
        <w:t>Recommended Dosing</w:t>
      </w:r>
    </w:p>
    <w:p w:rsidR="00C169A1" w:rsidRDefault="00CF772C" w:rsidP="00A74F3F">
      <w:pPr>
        <w:pStyle w:val="BodyText1"/>
        <w:spacing w:before="0"/>
        <w:ind w:firstLine="0"/>
        <w:jc w:val="both"/>
        <w:rPr>
          <w:rFonts w:ascii="Arial" w:hAnsi="Arial" w:cs="Arial"/>
          <w:sz w:val="22"/>
          <w:szCs w:val="20"/>
        </w:rPr>
      </w:pPr>
      <w:r w:rsidRPr="00CF772C">
        <w:rPr>
          <w:rFonts w:ascii="Arial" w:hAnsi="Arial" w:cs="Arial"/>
          <w:sz w:val="22"/>
          <w:szCs w:val="20"/>
        </w:rPr>
        <w:t xml:space="preserve">The recommended dose of KEYTRUDA is 2 mg/kg administered intravenously over 30 minutes every 3 weeks. Patients should be treated with KEYTRUDA until disease progression or </w:t>
      </w:r>
      <w:r w:rsidRPr="00CF772C">
        <w:rPr>
          <w:rFonts w:ascii="Arial" w:hAnsi="Arial" w:cs="Arial"/>
          <w:sz w:val="22"/>
          <w:szCs w:val="20"/>
        </w:rPr>
        <w:lastRenderedPageBreak/>
        <w:t xml:space="preserve">unacceptable toxicity. Atypical responses (i.e., an initial transient increase in </w:t>
      </w:r>
      <w:proofErr w:type="spellStart"/>
      <w:r w:rsidRPr="00CF772C">
        <w:rPr>
          <w:rFonts w:ascii="Arial" w:hAnsi="Arial" w:cs="Arial"/>
          <w:sz w:val="22"/>
          <w:szCs w:val="20"/>
        </w:rPr>
        <w:t>tumour</w:t>
      </w:r>
      <w:proofErr w:type="spellEnd"/>
      <w:r w:rsidRPr="00CF772C">
        <w:rPr>
          <w:rFonts w:ascii="Arial" w:hAnsi="Arial" w:cs="Arial"/>
          <w:sz w:val="22"/>
          <w:szCs w:val="20"/>
        </w:rPr>
        <w:t xml:space="preserve"> size or small new lesions within the first few months followed by </w:t>
      </w:r>
      <w:proofErr w:type="spellStart"/>
      <w:r w:rsidRPr="00CF772C">
        <w:rPr>
          <w:rFonts w:ascii="Arial" w:hAnsi="Arial" w:cs="Arial"/>
          <w:sz w:val="22"/>
          <w:szCs w:val="20"/>
        </w:rPr>
        <w:t>tumour</w:t>
      </w:r>
      <w:proofErr w:type="spellEnd"/>
      <w:r w:rsidRPr="00CF772C">
        <w:rPr>
          <w:rFonts w:ascii="Arial" w:hAnsi="Arial" w:cs="Arial"/>
          <w:sz w:val="22"/>
          <w:szCs w:val="20"/>
        </w:rPr>
        <w:t xml:space="preserve"> shrinkage) have been observed. </w:t>
      </w:r>
      <w:r w:rsidR="00FF3D6C" w:rsidRPr="00FF3D6C">
        <w:rPr>
          <w:rFonts w:ascii="Arial" w:hAnsi="Arial" w:cs="Arial"/>
          <w:sz w:val="22"/>
          <w:szCs w:val="20"/>
        </w:rPr>
        <w:t>Clinically stable patients with initial evidence of disease progression can under some circumstances remain on treatment until disease progression is confirmed (see CLINICAL TRIALS section for a description of the circumstances where such continued treatment was allowed in the pivotal study)</w:t>
      </w:r>
      <w:r w:rsidR="00FF3D6C">
        <w:rPr>
          <w:rFonts w:ascii="Arial" w:hAnsi="Arial" w:cs="Arial"/>
          <w:sz w:val="22"/>
          <w:szCs w:val="20"/>
        </w:rPr>
        <w:t>.</w:t>
      </w:r>
    </w:p>
    <w:p w:rsidR="00CF772C" w:rsidRPr="001A1099" w:rsidRDefault="00CF772C" w:rsidP="00C169A1">
      <w:pPr>
        <w:pStyle w:val="BodyText1"/>
        <w:spacing w:before="0"/>
        <w:ind w:firstLine="0"/>
        <w:jc w:val="both"/>
        <w:rPr>
          <w:rFonts w:ascii="Arial" w:hAnsi="Arial" w:cs="Arial"/>
          <w:sz w:val="20"/>
          <w:szCs w:val="20"/>
        </w:rPr>
      </w:pPr>
    </w:p>
    <w:p w:rsidR="00C169A1" w:rsidRPr="00597398" w:rsidRDefault="00C169A1" w:rsidP="00597398">
      <w:pPr>
        <w:pStyle w:val="Heading2"/>
        <w:spacing w:before="0" w:after="0"/>
        <w:rPr>
          <w:rFonts w:ascii="Arial" w:hAnsi="Arial" w:cs="Arial"/>
        </w:rPr>
      </w:pPr>
      <w:r w:rsidRPr="00597398">
        <w:rPr>
          <w:rFonts w:ascii="Arial" w:hAnsi="Arial" w:cs="Arial"/>
        </w:rPr>
        <w:t>Dose Modifications</w:t>
      </w:r>
    </w:p>
    <w:p w:rsidR="00CF772C" w:rsidRPr="00CF772C" w:rsidRDefault="00526B45" w:rsidP="00CF772C">
      <w:pPr>
        <w:pStyle w:val="BodyText1"/>
        <w:spacing w:before="0"/>
        <w:ind w:firstLine="0"/>
        <w:rPr>
          <w:rFonts w:ascii="Arial" w:hAnsi="Arial" w:cs="Arial"/>
          <w:i/>
          <w:sz w:val="22"/>
          <w:szCs w:val="20"/>
        </w:rPr>
      </w:pPr>
      <w:r>
        <w:rPr>
          <w:rFonts w:ascii="Arial" w:hAnsi="Arial" w:cs="Arial"/>
          <w:i/>
          <w:sz w:val="22"/>
          <w:szCs w:val="20"/>
        </w:rPr>
        <w:t>[</w:t>
      </w:r>
      <w:proofErr w:type="gramStart"/>
      <w:r>
        <w:rPr>
          <w:rFonts w:ascii="Arial" w:hAnsi="Arial" w:cs="Arial"/>
          <w:i/>
          <w:sz w:val="22"/>
          <w:szCs w:val="20"/>
        </w:rPr>
        <w:t>also</w:t>
      </w:r>
      <w:proofErr w:type="gramEnd"/>
      <w:r>
        <w:rPr>
          <w:rFonts w:ascii="Arial" w:hAnsi="Arial" w:cs="Arial"/>
          <w:i/>
          <w:sz w:val="22"/>
          <w:szCs w:val="20"/>
        </w:rPr>
        <w:t xml:space="preserve"> see PRECAUTIONS]</w:t>
      </w:r>
    </w:p>
    <w:p w:rsidR="00CF772C" w:rsidRDefault="00CF772C" w:rsidP="00CF772C">
      <w:pPr>
        <w:pStyle w:val="BodyText1"/>
        <w:spacing w:before="0"/>
        <w:ind w:firstLine="0"/>
        <w:rPr>
          <w:rFonts w:ascii="Times New Roman" w:hAnsi="Times New Roman"/>
          <w:b/>
          <w:sz w:val="22"/>
          <w:szCs w:val="22"/>
        </w:rPr>
      </w:pPr>
    </w:p>
    <w:p w:rsidR="00CF772C" w:rsidRPr="00CF772C" w:rsidRDefault="00CF772C" w:rsidP="00CF772C">
      <w:pPr>
        <w:pStyle w:val="BodyText1"/>
        <w:spacing w:before="0"/>
        <w:ind w:firstLine="0"/>
        <w:jc w:val="both"/>
        <w:rPr>
          <w:rFonts w:ascii="Arial" w:hAnsi="Arial" w:cs="Arial"/>
          <w:b/>
          <w:sz w:val="22"/>
          <w:szCs w:val="20"/>
        </w:rPr>
      </w:pPr>
      <w:r w:rsidRPr="00CF772C">
        <w:rPr>
          <w:rFonts w:ascii="Arial" w:hAnsi="Arial" w:cs="Arial"/>
          <w:b/>
          <w:sz w:val="22"/>
          <w:szCs w:val="20"/>
        </w:rPr>
        <w:t>Withhold KEYTRUDA for potential immune-mediated adverse reactions including:</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Pneumonitis - moderate (Grade 2; US National Cancer Institute-Common Terminology Criteria for Adverse Events (NCI-CTCAE v.3)) </w:t>
      </w:r>
    </w:p>
    <w:p w:rsid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Colitis - moderate or severe (Grade 2 or 3)</w:t>
      </w:r>
    </w:p>
    <w:p w:rsidR="006D0EB2" w:rsidRPr="006D0EB2" w:rsidRDefault="006D0EB2" w:rsidP="006D0EB2">
      <w:pPr>
        <w:pStyle w:val="BodyText1"/>
        <w:numPr>
          <w:ilvl w:val="0"/>
          <w:numId w:val="11"/>
        </w:numPr>
        <w:ind w:left="426"/>
        <w:rPr>
          <w:rFonts w:ascii="Arial" w:hAnsi="Arial" w:cs="Arial"/>
          <w:sz w:val="22"/>
          <w:szCs w:val="20"/>
        </w:rPr>
      </w:pPr>
      <w:r w:rsidRPr="006D0EB2">
        <w:rPr>
          <w:rFonts w:ascii="Arial" w:hAnsi="Arial" w:cs="Arial"/>
          <w:sz w:val="22"/>
          <w:szCs w:val="20"/>
        </w:rPr>
        <w:t xml:space="preserve">Symptomatic </w:t>
      </w:r>
      <w:proofErr w:type="spellStart"/>
      <w:r w:rsidRPr="006D0EB2">
        <w:rPr>
          <w:rFonts w:ascii="Arial" w:hAnsi="Arial" w:cs="Arial"/>
          <w:sz w:val="22"/>
          <w:szCs w:val="20"/>
        </w:rPr>
        <w:t>hypophysitis</w:t>
      </w:r>
      <w:proofErr w:type="spellEnd"/>
    </w:p>
    <w:p w:rsidR="006D0EB2" w:rsidRPr="006D0EB2" w:rsidRDefault="006D0EB2" w:rsidP="006D0EB2">
      <w:pPr>
        <w:pStyle w:val="BodyText1"/>
        <w:numPr>
          <w:ilvl w:val="0"/>
          <w:numId w:val="11"/>
        </w:numPr>
        <w:ind w:left="426"/>
        <w:rPr>
          <w:rFonts w:ascii="Arial" w:hAnsi="Arial" w:cs="Arial"/>
          <w:sz w:val="22"/>
          <w:szCs w:val="20"/>
        </w:rPr>
      </w:pPr>
      <w:r w:rsidRPr="006D0EB2">
        <w:rPr>
          <w:rFonts w:ascii="Arial" w:hAnsi="Arial" w:cs="Arial"/>
          <w:sz w:val="22"/>
          <w:szCs w:val="20"/>
        </w:rPr>
        <w:t>Nephritis - moderate (Grade 2)</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Hyperthyroidism - severe (Grade 3) </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Hepatitis associated with:</w:t>
      </w:r>
    </w:p>
    <w:p w:rsidR="00A74F3F" w:rsidRPr="00A74F3F" w:rsidRDefault="00CF772C" w:rsidP="00017EF1">
      <w:pPr>
        <w:pStyle w:val="BodyText1"/>
        <w:numPr>
          <w:ilvl w:val="1"/>
          <w:numId w:val="11"/>
        </w:numPr>
        <w:spacing w:before="0"/>
        <w:ind w:left="993"/>
        <w:jc w:val="both"/>
        <w:rPr>
          <w:rFonts w:ascii="Arial" w:hAnsi="Arial" w:cs="Arial"/>
          <w:sz w:val="22"/>
          <w:szCs w:val="20"/>
        </w:rPr>
      </w:pPr>
      <w:r w:rsidRPr="00CF772C">
        <w:rPr>
          <w:rFonts w:ascii="Arial" w:hAnsi="Arial" w:cs="Arial"/>
          <w:sz w:val="22"/>
          <w:szCs w:val="20"/>
        </w:rPr>
        <w:t>Aspartate aminotransferase (AST) or alanine aminotransferase (ALT) &gt;3 to 5 times upper limit of normal (ULN) or total bilirubin &gt;1.5 to 3 times ULN</w:t>
      </w:r>
    </w:p>
    <w:p w:rsidR="00CF772C" w:rsidRPr="00017EF1" w:rsidRDefault="00CF772C" w:rsidP="00CF772C">
      <w:pPr>
        <w:pStyle w:val="BodyText1"/>
        <w:spacing w:before="0"/>
        <w:ind w:firstLine="0"/>
        <w:jc w:val="both"/>
        <w:rPr>
          <w:rFonts w:ascii="Arial" w:hAnsi="Arial" w:cs="Arial"/>
          <w:b/>
          <w:sz w:val="22"/>
          <w:szCs w:val="22"/>
        </w:rPr>
      </w:pPr>
      <w:r w:rsidRPr="00017EF1">
        <w:rPr>
          <w:rFonts w:ascii="Arial" w:hAnsi="Arial" w:cs="Arial"/>
          <w:b/>
          <w:sz w:val="22"/>
          <w:szCs w:val="22"/>
        </w:rPr>
        <w:t>Resume KEYTRUDA in patients whose adverse reactions recover to Grade 0-1</w:t>
      </w:r>
      <w:r w:rsidR="00E749B9">
        <w:rPr>
          <w:rFonts w:ascii="Arial" w:hAnsi="Arial" w:cs="Arial"/>
          <w:b/>
          <w:sz w:val="22"/>
          <w:szCs w:val="22"/>
        </w:rPr>
        <w:t xml:space="preserve"> </w:t>
      </w:r>
      <w:r w:rsidR="00E749B9" w:rsidRPr="00E749B9">
        <w:rPr>
          <w:rFonts w:ascii="Arial" w:hAnsi="Arial" w:cs="Arial"/>
          <w:b/>
          <w:sz w:val="22"/>
          <w:szCs w:val="22"/>
        </w:rPr>
        <w:t>within 12 weeks after the last dose of KEYTRUDA and with a corticosteroid dose of ≤10 mg prednisone or equivalent per day</w:t>
      </w:r>
      <w:r w:rsidRPr="00017EF1">
        <w:rPr>
          <w:rFonts w:ascii="Arial" w:hAnsi="Arial" w:cs="Arial"/>
          <w:b/>
          <w:sz w:val="22"/>
          <w:szCs w:val="22"/>
        </w:rPr>
        <w:t>.</w:t>
      </w:r>
    </w:p>
    <w:p w:rsidR="00CF772C" w:rsidRPr="00017EF1" w:rsidRDefault="00CF772C" w:rsidP="00CF772C">
      <w:pPr>
        <w:pStyle w:val="BodyText1"/>
        <w:spacing w:before="0"/>
        <w:ind w:firstLine="0"/>
        <w:jc w:val="both"/>
        <w:rPr>
          <w:rFonts w:ascii="Arial" w:hAnsi="Arial" w:cs="Arial"/>
          <w:sz w:val="22"/>
          <w:szCs w:val="22"/>
        </w:rPr>
      </w:pPr>
    </w:p>
    <w:p w:rsidR="00017EF1" w:rsidRPr="00017EF1" w:rsidRDefault="00017EF1" w:rsidP="00CF772C">
      <w:pPr>
        <w:pStyle w:val="BodyText1"/>
        <w:spacing w:before="0"/>
        <w:ind w:firstLine="0"/>
        <w:jc w:val="both"/>
        <w:rPr>
          <w:rFonts w:ascii="Arial" w:hAnsi="Arial" w:cs="Arial"/>
          <w:sz w:val="22"/>
          <w:szCs w:val="22"/>
        </w:rPr>
      </w:pPr>
      <w:r>
        <w:rPr>
          <w:rFonts w:ascii="Arial" w:hAnsi="Arial" w:cs="Arial"/>
          <w:sz w:val="22"/>
          <w:szCs w:val="22"/>
        </w:rPr>
        <w:t xml:space="preserve">Withhold KEYTRUDA for </w:t>
      </w:r>
      <w:r w:rsidRPr="00017EF1">
        <w:rPr>
          <w:rFonts w:ascii="Arial" w:hAnsi="Arial" w:cs="Arial"/>
          <w:sz w:val="22"/>
          <w:szCs w:val="22"/>
        </w:rPr>
        <w:t>any other severe or Grade 3 treatment-related adverse reaction.</w:t>
      </w:r>
    </w:p>
    <w:p w:rsidR="00017EF1" w:rsidRPr="00017EF1" w:rsidRDefault="00017EF1" w:rsidP="00CF772C">
      <w:pPr>
        <w:pStyle w:val="BodyText1"/>
        <w:spacing w:before="0"/>
        <w:ind w:firstLine="0"/>
        <w:jc w:val="both"/>
        <w:rPr>
          <w:rFonts w:ascii="Arial" w:hAnsi="Arial" w:cs="Arial"/>
          <w:sz w:val="22"/>
          <w:szCs w:val="22"/>
        </w:rPr>
      </w:pPr>
    </w:p>
    <w:p w:rsidR="00CF772C" w:rsidRPr="00017EF1" w:rsidRDefault="00CF772C" w:rsidP="00CF772C">
      <w:pPr>
        <w:pStyle w:val="BodyText1"/>
        <w:spacing w:before="0"/>
        <w:ind w:firstLine="0"/>
        <w:jc w:val="both"/>
        <w:rPr>
          <w:rFonts w:ascii="Arial" w:hAnsi="Arial" w:cs="Arial"/>
          <w:b/>
          <w:sz w:val="22"/>
          <w:szCs w:val="22"/>
        </w:rPr>
      </w:pPr>
      <w:r w:rsidRPr="00017EF1">
        <w:rPr>
          <w:rFonts w:ascii="Arial" w:hAnsi="Arial" w:cs="Arial"/>
          <w:b/>
          <w:sz w:val="22"/>
          <w:szCs w:val="22"/>
        </w:rPr>
        <w:t>Permanently discontinue KEYTRUDA:</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If corticosteroid dosing cannot be reduced to ≤10 mg prednisone or equivalent per day</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If a treatment-related toxicity does not resolve to Grade 0-1 within 12 weeks after last dose of KEYTRUDA</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If another episode of any severe toxicity occurs</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For adverse reactions including:</w:t>
      </w:r>
    </w:p>
    <w:p w:rsidR="00CF772C" w:rsidRPr="00CF772C" w:rsidRDefault="00CF772C" w:rsidP="00CF772C">
      <w:pPr>
        <w:pStyle w:val="BodyText1"/>
        <w:numPr>
          <w:ilvl w:val="1"/>
          <w:numId w:val="11"/>
        </w:numPr>
        <w:spacing w:before="0"/>
        <w:ind w:left="993"/>
        <w:jc w:val="both"/>
        <w:rPr>
          <w:rFonts w:ascii="Arial" w:hAnsi="Arial" w:cs="Arial"/>
          <w:sz w:val="22"/>
          <w:szCs w:val="20"/>
        </w:rPr>
      </w:pPr>
      <w:r w:rsidRPr="00CF772C">
        <w:rPr>
          <w:rFonts w:ascii="Arial" w:hAnsi="Arial" w:cs="Arial"/>
          <w:sz w:val="22"/>
          <w:szCs w:val="20"/>
        </w:rPr>
        <w:t>Life-threatening (Grade 4) toxicity</w:t>
      </w:r>
    </w:p>
    <w:p w:rsidR="00CF772C" w:rsidRDefault="00CF772C" w:rsidP="00CF772C">
      <w:pPr>
        <w:pStyle w:val="BodyText1"/>
        <w:numPr>
          <w:ilvl w:val="1"/>
          <w:numId w:val="11"/>
        </w:numPr>
        <w:spacing w:before="0"/>
        <w:ind w:left="993"/>
        <w:jc w:val="both"/>
        <w:rPr>
          <w:rFonts w:ascii="Arial" w:hAnsi="Arial" w:cs="Arial"/>
          <w:sz w:val="22"/>
          <w:szCs w:val="20"/>
        </w:rPr>
      </w:pPr>
      <w:r w:rsidRPr="00CF772C">
        <w:rPr>
          <w:rFonts w:ascii="Arial" w:hAnsi="Arial" w:cs="Arial"/>
          <w:sz w:val="22"/>
          <w:szCs w:val="20"/>
        </w:rPr>
        <w:t>Potential immune-mediated pneumonitis - severe or life-threatening (Grade 3 or 4)</w:t>
      </w:r>
    </w:p>
    <w:p w:rsidR="006D0EB2" w:rsidRPr="006D0EB2" w:rsidRDefault="006D0EB2" w:rsidP="006D0EB2">
      <w:pPr>
        <w:numPr>
          <w:ilvl w:val="1"/>
          <w:numId w:val="11"/>
        </w:numPr>
        <w:tabs>
          <w:tab w:val="clear" w:pos="-720"/>
          <w:tab w:val="clear" w:pos="4513"/>
          <w:tab w:val="clear" w:pos="10348"/>
        </w:tabs>
        <w:ind w:left="993"/>
        <w:rPr>
          <w:rFonts w:cs="Arial"/>
        </w:rPr>
      </w:pPr>
      <w:r w:rsidRPr="006D0EB2">
        <w:rPr>
          <w:rFonts w:cs="Arial"/>
          <w:lang w:val="en-US" w:eastAsia="en-US"/>
        </w:rPr>
        <w:t>Potential immune-mediated nephritis - severe or life-threatening (Grade 3 or 4)</w:t>
      </w:r>
    </w:p>
    <w:p w:rsidR="00CF772C" w:rsidRPr="00CF772C" w:rsidRDefault="00CF772C" w:rsidP="00CF772C">
      <w:pPr>
        <w:pStyle w:val="BodyText1"/>
        <w:numPr>
          <w:ilvl w:val="1"/>
          <w:numId w:val="11"/>
        </w:numPr>
        <w:spacing w:before="0"/>
        <w:ind w:left="993"/>
        <w:jc w:val="both"/>
        <w:rPr>
          <w:rFonts w:ascii="Arial" w:hAnsi="Arial" w:cs="Arial"/>
          <w:sz w:val="22"/>
          <w:szCs w:val="20"/>
        </w:rPr>
      </w:pPr>
      <w:r w:rsidRPr="00CF772C">
        <w:rPr>
          <w:rFonts w:ascii="Arial" w:hAnsi="Arial" w:cs="Arial"/>
          <w:sz w:val="22"/>
          <w:szCs w:val="20"/>
        </w:rPr>
        <w:t>Potential immune-mediated hepatitis associated with:</w:t>
      </w:r>
    </w:p>
    <w:p w:rsidR="00CF772C" w:rsidRPr="00CF772C" w:rsidRDefault="00CF772C" w:rsidP="00CF772C">
      <w:pPr>
        <w:pStyle w:val="BodyText1"/>
        <w:numPr>
          <w:ilvl w:val="2"/>
          <w:numId w:val="11"/>
        </w:numPr>
        <w:spacing w:before="0"/>
        <w:ind w:left="1418"/>
        <w:jc w:val="both"/>
        <w:rPr>
          <w:rFonts w:ascii="Arial" w:hAnsi="Arial" w:cs="Arial"/>
          <w:sz w:val="22"/>
          <w:szCs w:val="20"/>
        </w:rPr>
      </w:pPr>
      <w:r w:rsidRPr="00CF772C">
        <w:rPr>
          <w:rFonts w:ascii="Arial" w:hAnsi="Arial" w:cs="Arial"/>
          <w:sz w:val="22"/>
          <w:szCs w:val="20"/>
        </w:rPr>
        <w:t>AST or ALT &gt;5 times ULN or total bilirubin &gt;3 times ULN</w:t>
      </w:r>
    </w:p>
    <w:p w:rsidR="00CF772C" w:rsidRPr="00CF772C" w:rsidRDefault="00CF772C" w:rsidP="00CF772C">
      <w:pPr>
        <w:pStyle w:val="BodyText1"/>
        <w:numPr>
          <w:ilvl w:val="2"/>
          <w:numId w:val="11"/>
        </w:numPr>
        <w:spacing w:before="0"/>
        <w:ind w:left="1418"/>
        <w:jc w:val="both"/>
        <w:rPr>
          <w:rFonts w:ascii="Arial" w:hAnsi="Arial" w:cs="Arial"/>
          <w:sz w:val="22"/>
          <w:szCs w:val="20"/>
        </w:rPr>
      </w:pPr>
      <w:r w:rsidRPr="00CF772C">
        <w:rPr>
          <w:rFonts w:ascii="Arial" w:hAnsi="Arial" w:cs="Arial"/>
          <w:sz w:val="22"/>
          <w:szCs w:val="20"/>
        </w:rPr>
        <w:t>For patients with liver metastasis who begin treatment with moderate (Grade 2) elevation of AST or ALT, if AST or ALT increases ≥50% relative to baseline and lasts ≥1 week</w:t>
      </w:r>
    </w:p>
    <w:p w:rsidR="00CF772C" w:rsidRPr="00CF772C" w:rsidRDefault="00CF772C" w:rsidP="00CF772C">
      <w:pPr>
        <w:pStyle w:val="BodyText1"/>
        <w:numPr>
          <w:ilvl w:val="1"/>
          <w:numId w:val="11"/>
        </w:numPr>
        <w:spacing w:before="0"/>
        <w:ind w:left="993"/>
        <w:jc w:val="both"/>
        <w:rPr>
          <w:rFonts w:ascii="Arial" w:hAnsi="Arial" w:cs="Arial"/>
          <w:sz w:val="22"/>
          <w:szCs w:val="20"/>
        </w:rPr>
      </w:pPr>
      <w:r w:rsidRPr="00CF772C">
        <w:rPr>
          <w:rFonts w:ascii="Arial" w:hAnsi="Arial" w:cs="Arial"/>
          <w:sz w:val="22"/>
          <w:szCs w:val="20"/>
        </w:rPr>
        <w:t>Infusion-related reactions - severe or life-threatening (Grade 3 or 4)</w:t>
      </w:r>
    </w:p>
    <w:p w:rsidR="00C169A1" w:rsidRPr="00195AC4" w:rsidRDefault="00C169A1" w:rsidP="00C169A1">
      <w:pPr>
        <w:pStyle w:val="BodyText1"/>
        <w:spacing w:before="0"/>
        <w:ind w:firstLine="0"/>
        <w:jc w:val="both"/>
        <w:rPr>
          <w:rFonts w:ascii="Arial" w:hAnsi="Arial" w:cs="Arial"/>
          <w:sz w:val="22"/>
          <w:szCs w:val="22"/>
        </w:rPr>
      </w:pPr>
    </w:p>
    <w:p w:rsidR="00C169A1" w:rsidRPr="003345BB" w:rsidRDefault="00C169A1" w:rsidP="003345BB">
      <w:pPr>
        <w:pStyle w:val="Heading2"/>
        <w:spacing w:before="0" w:after="0"/>
        <w:rPr>
          <w:rFonts w:ascii="Arial" w:hAnsi="Arial" w:cs="Arial"/>
        </w:rPr>
      </w:pPr>
      <w:r w:rsidRPr="003345BB">
        <w:rPr>
          <w:rFonts w:ascii="Arial" w:hAnsi="Arial" w:cs="Arial"/>
        </w:rPr>
        <w:t>Preparation and Administration</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Prior to reconstitution, the vial of </w:t>
      </w:r>
      <w:proofErr w:type="spellStart"/>
      <w:r w:rsidRPr="00CF772C">
        <w:rPr>
          <w:rFonts w:ascii="Arial" w:hAnsi="Arial" w:cs="Arial"/>
          <w:sz w:val="22"/>
          <w:szCs w:val="20"/>
        </w:rPr>
        <w:t>lyophilised</w:t>
      </w:r>
      <w:proofErr w:type="spellEnd"/>
      <w:r w:rsidRPr="00CF772C">
        <w:rPr>
          <w:rFonts w:ascii="Arial" w:hAnsi="Arial" w:cs="Arial"/>
          <w:sz w:val="22"/>
          <w:szCs w:val="20"/>
        </w:rPr>
        <w:t xml:space="preserve"> powder can be out of refrigeration (temperatures at or below 25°C) for up to 24 hours.</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Aseptically add 2.3 mL of sterile water for injection to yield a 25 mg/mL (pH 5.2-5.8) solution of KEYTRUDA.</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To avoid foaming, deliver the water along the walls of the vial and not directly on the </w:t>
      </w:r>
      <w:proofErr w:type="spellStart"/>
      <w:r w:rsidRPr="00CF772C">
        <w:rPr>
          <w:rFonts w:ascii="Arial" w:hAnsi="Arial" w:cs="Arial"/>
          <w:sz w:val="22"/>
          <w:szCs w:val="20"/>
        </w:rPr>
        <w:t>lyophilised</w:t>
      </w:r>
      <w:proofErr w:type="spellEnd"/>
      <w:r w:rsidRPr="00CF772C">
        <w:rPr>
          <w:rFonts w:ascii="Arial" w:hAnsi="Arial" w:cs="Arial"/>
          <w:sz w:val="22"/>
          <w:szCs w:val="20"/>
        </w:rPr>
        <w:t xml:space="preserve"> powder.</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lastRenderedPageBreak/>
        <w:t xml:space="preserve">Slowly swirl the vial to allow reconstitution of the </w:t>
      </w:r>
      <w:proofErr w:type="spellStart"/>
      <w:r w:rsidRPr="00CF772C">
        <w:rPr>
          <w:rFonts w:ascii="Arial" w:hAnsi="Arial" w:cs="Arial"/>
          <w:sz w:val="22"/>
          <w:szCs w:val="20"/>
        </w:rPr>
        <w:t>lyophilised</w:t>
      </w:r>
      <w:proofErr w:type="spellEnd"/>
      <w:r w:rsidRPr="00CF772C">
        <w:rPr>
          <w:rFonts w:ascii="Arial" w:hAnsi="Arial" w:cs="Arial"/>
          <w:sz w:val="22"/>
          <w:szCs w:val="20"/>
        </w:rPr>
        <w:t xml:space="preserve"> powder. Allow up to 5 minutes for the bubbles to clear. Do not shake the vials.</w:t>
      </w:r>
    </w:p>
    <w:p w:rsidR="00CF772C" w:rsidRPr="00CF772C" w:rsidRDefault="00CF772C" w:rsidP="005B08D4">
      <w:pPr>
        <w:pStyle w:val="BodyText1"/>
        <w:numPr>
          <w:ilvl w:val="0"/>
          <w:numId w:val="11"/>
        </w:numPr>
        <w:spacing w:before="0"/>
        <w:jc w:val="both"/>
        <w:rPr>
          <w:rFonts w:ascii="Arial" w:hAnsi="Arial" w:cs="Arial"/>
          <w:sz w:val="22"/>
          <w:szCs w:val="20"/>
        </w:rPr>
      </w:pPr>
      <w:r w:rsidRPr="00CF772C">
        <w:rPr>
          <w:rFonts w:ascii="Arial" w:hAnsi="Arial" w:cs="Arial"/>
          <w:sz w:val="22"/>
          <w:szCs w:val="20"/>
        </w:rPr>
        <w:t xml:space="preserve">Parenteral drug products should be inspected visually for particulate matter and discoloration prior to administration. Reconstituted KEYTRUDA is a clear to slightly opalescent, colorless to slightly yellow solution. </w:t>
      </w:r>
      <w:r w:rsidR="005B08D4" w:rsidRPr="005B08D4">
        <w:rPr>
          <w:rFonts w:ascii="Arial" w:hAnsi="Arial" w:cs="Arial"/>
          <w:sz w:val="22"/>
          <w:szCs w:val="20"/>
        </w:rPr>
        <w:t>Discard the vial if visible particles are observed.</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Withdraw the required volume up to 2 mL (50 mg) of KEYTRUDA and transfer into an intravenous bag containing 0.9% </w:t>
      </w:r>
      <w:r w:rsidR="005B08D4">
        <w:rPr>
          <w:rFonts w:ascii="Arial" w:hAnsi="Arial" w:cs="Arial"/>
          <w:sz w:val="22"/>
          <w:szCs w:val="20"/>
        </w:rPr>
        <w:t>sodium chloride</w:t>
      </w:r>
      <w:r w:rsidRPr="00CF772C">
        <w:rPr>
          <w:rFonts w:ascii="Arial" w:hAnsi="Arial" w:cs="Arial"/>
          <w:sz w:val="22"/>
          <w:szCs w:val="20"/>
        </w:rPr>
        <w:t xml:space="preserve"> or 5% glucose (dextrose) to prepare a diluted solution with a final concentration ranging from 1 to 10 mg/</w:t>
      </w:r>
      <w:proofErr w:type="spellStart"/>
      <w:r w:rsidRPr="00CF772C">
        <w:rPr>
          <w:rFonts w:ascii="Arial" w:hAnsi="Arial" w:cs="Arial"/>
          <w:sz w:val="22"/>
          <w:szCs w:val="20"/>
        </w:rPr>
        <w:t>mL.</w:t>
      </w:r>
      <w:proofErr w:type="spellEnd"/>
      <w:r w:rsidRPr="00CF772C">
        <w:rPr>
          <w:rFonts w:ascii="Arial" w:hAnsi="Arial" w:cs="Arial"/>
          <w:sz w:val="22"/>
          <w:szCs w:val="20"/>
        </w:rPr>
        <w:t xml:space="preserve"> Mix diluted solution by gentle inversion.</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Do not freeze the infusion solution.</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 xml:space="preserve">The product does not contain preservative. The reconstituted and/or diluted product should be used immediately. If not used immediately, reconstituted and diluted solutions of KEYTRUDA solutions </w:t>
      </w:r>
      <w:r w:rsidRPr="00CF772C">
        <w:rPr>
          <w:rFonts w:ascii="Arial" w:hAnsi="Arial" w:cs="Arial"/>
          <w:sz w:val="22"/>
          <w:szCs w:val="20"/>
        </w:rPr>
        <w:tab/>
        <w:t xml:space="preserve">may be stored at room temperature for a cumulative time of up to </w:t>
      </w:r>
      <w:r w:rsidR="003B03A0">
        <w:rPr>
          <w:rFonts w:ascii="Arial" w:hAnsi="Arial" w:cs="Arial"/>
          <w:sz w:val="22"/>
          <w:szCs w:val="20"/>
        </w:rPr>
        <w:t>6</w:t>
      </w:r>
      <w:r w:rsidR="003B03A0" w:rsidRPr="00CF772C">
        <w:rPr>
          <w:rFonts w:ascii="Arial" w:hAnsi="Arial" w:cs="Arial"/>
          <w:sz w:val="22"/>
          <w:szCs w:val="20"/>
        </w:rPr>
        <w:t> </w:t>
      </w:r>
      <w:r w:rsidRPr="00CF772C">
        <w:rPr>
          <w:rFonts w:ascii="Arial" w:hAnsi="Arial" w:cs="Arial"/>
          <w:sz w:val="22"/>
          <w:szCs w:val="20"/>
        </w:rPr>
        <w:t xml:space="preserve">hours. Reconstituted and diluted solutions of KEYTRUDA may also be stored under refrigeration at 2°C to 8°C; however, the total time from reconstitution of KEYTRUDA to completion of infusion should not exceed 24 hours. If </w:t>
      </w:r>
      <w:r w:rsidRPr="00CF772C">
        <w:rPr>
          <w:rFonts w:ascii="Arial" w:hAnsi="Arial" w:cs="Arial"/>
          <w:sz w:val="22"/>
          <w:szCs w:val="20"/>
        </w:rPr>
        <w:tab/>
        <w:t>refrigerated, allow the vials and/or IV bags to come to room temperature prior to use.</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Administer infusion solution intravenously over 30 minutes using a sterile, non-pyrogenic, low-protein binding 0.2 to 5 µm in-line or add-on filter.</w:t>
      </w:r>
    </w:p>
    <w:p w:rsidR="00CF772C" w:rsidRPr="00CF772C" w:rsidRDefault="00CF772C" w:rsidP="00CF772C">
      <w:pPr>
        <w:pStyle w:val="BodyText1"/>
        <w:numPr>
          <w:ilvl w:val="0"/>
          <w:numId w:val="11"/>
        </w:numPr>
        <w:spacing w:before="0"/>
        <w:ind w:left="426"/>
        <w:jc w:val="both"/>
        <w:rPr>
          <w:rFonts w:ascii="Arial" w:hAnsi="Arial" w:cs="Arial"/>
          <w:sz w:val="22"/>
          <w:szCs w:val="20"/>
        </w:rPr>
      </w:pPr>
      <w:r w:rsidRPr="00CF772C">
        <w:rPr>
          <w:rFonts w:ascii="Arial" w:hAnsi="Arial" w:cs="Arial"/>
          <w:sz w:val="22"/>
          <w:szCs w:val="20"/>
        </w:rPr>
        <w:t>Do not co-administer other drugs through the same infusion line.</w:t>
      </w:r>
    </w:p>
    <w:p w:rsidR="00CF772C" w:rsidRPr="00CF772C" w:rsidRDefault="00580E6B"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Product is for single use in one patient only, Discard any residue.</w:t>
      </w:r>
    </w:p>
    <w:p w:rsidR="00CF772C" w:rsidRPr="00377A90" w:rsidRDefault="00CF772C" w:rsidP="00CF772C">
      <w:pPr>
        <w:rPr>
          <w:szCs w:val="22"/>
        </w:rPr>
      </w:pPr>
    </w:p>
    <w:p w:rsidR="003345BB" w:rsidRPr="003345BB" w:rsidRDefault="003345BB" w:rsidP="003345BB">
      <w:pPr>
        <w:pStyle w:val="SubSectionHeadings"/>
        <w:tabs>
          <w:tab w:val="left" w:pos="540"/>
        </w:tabs>
        <w:jc w:val="both"/>
        <w:rPr>
          <w:rFonts w:eastAsia="Times New Roman" w:cs="Arial"/>
          <w:b/>
          <w:sz w:val="24"/>
          <w:lang w:val="en-AU" w:eastAsia="en-AU"/>
        </w:rPr>
      </w:pPr>
      <w:r w:rsidRPr="003345BB">
        <w:rPr>
          <w:rFonts w:eastAsia="Times New Roman" w:cs="Arial"/>
          <w:b/>
          <w:sz w:val="24"/>
          <w:lang w:val="en-AU" w:eastAsia="en-AU"/>
        </w:rPr>
        <w:t>Paediatric Patients</w:t>
      </w:r>
    </w:p>
    <w:p w:rsidR="003345BB" w:rsidRDefault="003345BB" w:rsidP="003345BB">
      <w:r>
        <w:t>Safety and efficacy of KEYTRUDA in children below 18 years of age have not yet been established.</w:t>
      </w:r>
    </w:p>
    <w:p w:rsidR="003345BB" w:rsidRDefault="003345BB" w:rsidP="003345BB"/>
    <w:p w:rsidR="003345BB" w:rsidRPr="003345BB" w:rsidRDefault="003345BB" w:rsidP="003345BB">
      <w:pPr>
        <w:pStyle w:val="SubSectionHeadings"/>
        <w:tabs>
          <w:tab w:val="left" w:pos="540"/>
        </w:tabs>
        <w:jc w:val="both"/>
        <w:rPr>
          <w:rFonts w:eastAsia="Times New Roman" w:cs="Arial"/>
          <w:b/>
          <w:sz w:val="24"/>
          <w:lang w:val="en-AU" w:eastAsia="en-AU"/>
        </w:rPr>
      </w:pPr>
      <w:r w:rsidRPr="003345BB">
        <w:rPr>
          <w:rFonts w:eastAsia="Times New Roman" w:cs="Arial"/>
          <w:b/>
          <w:sz w:val="24"/>
          <w:lang w:val="en-AU" w:eastAsia="en-AU"/>
        </w:rPr>
        <w:t>Geriatric Patients</w:t>
      </w:r>
    </w:p>
    <w:p w:rsidR="00CF772C" w:rsidRDefault="003345BB" w:rsidP="003345BB">
      <w:r>
        <w:t>No overall differences in safety or efficacy were reported between elderly patients (65 years and over) and younger patients (less than 65 years). No dose adjustment is necessary in this population.</w:t>
      </w:r>
    </w:p>
    <w:p w:rsidR="003345BB" w:rsidRPr="00D74785" w:rsidRDefault="003345BB" w:rsidP="00CF772C"/>
    <w:p w:rsidR="00C169A1" w:rsidRPr="001D71DE" w:rsidRDefault="00C169A1" w:rsidP="00C169A1">
      <w:pPr>
        <w:pStyle w:val="SubSectionHeadings"/>
        <w:tabs>
          <w:tab w:val="left" w:pos="540"/>
        </w:tabs>
        <w:jc w:val="both"/>
        <w:rPr>
          <w:rFonts w:eastAsia="Times New Roman" w:cs="Arial"/>
          <w:b/>
          <w:sz w:val="24"/>
          <w:lang w:val="en-AU" w:eastAsia="en-AU"/>
        </w:rPr>
      </w:pPr>
      <w:r w:rsidRPr="001D71DE">
        <w:rPr>
          <w:rFonts w:eastAsia="Times New Roman" w:cs="Arial"/>
          <w:b/>
          <w:sz w:val="24"/>
          <w:lang w:val="en-AU" w:eastAsia="en-AU"/>
        </w:rPr>
        <w:t>Renal Insufficiency</w:t>
      </w:r>
    </w:p>
    <w:p w:rsidR="00406042" w:rsidRPr="00D45C9B" w:rsidRDefault="00406042" w:rsidP="00C169A1">
      <w:pPr>
        <w:pStyle w:val="BodyText1"/>
        <w:spacing w:before="0"/>
        <w:ind w:firstLine="0"/>
        <w:jc w:val="both"/>
        <w:rPr>
          <w:rFonts w:ascii="Arial" w:hAnsi="Arial" w:cs="Arial"/>
          <w:i/>
          <w:sz w:val="22"/>
          <w:szCs w:val="20"/>
        </w:rPr>
      </w:pPr>
      <w:r w:rsidRPr="00195AC4">
        <w:rPr>
          <w:rFonts w:ascii="Arial" w:hAnsi="Arial" w:cs="Arial"/>
          <w:sz w:val="22"/>
          <w:szCs w:val="20"/>
        </w:rPr>
        <w:t xml:space="preserve">No dose adjustment is needed for patients with mild or moderate renal impairment. KEYTRUDA </w:t>
      </w:r>
      <w:r w:rsidRPr="00D45C9B">
        <w:rPr>
          <w:rFonts w:ascii="Arial" w:hAnsi="Arial" w:cs="Arial"/>
          <w:sz w:val="22"/>
          <w:szCs w:val="20"/>
        </w:rPr>
        <w:t xml:space="preserve">has not been studied in patients with severe renal impairment </w:t>
      </w:r>
      <w:r w:rsidRPr="00D45C9B">
        <w:rPr>
          <w:rFonts w:ascii="Arial" w:hAnsi="Arial" w:cs="Arial"/>
          <w:i/>
          <w:sz w:val="22"/>
          <w:szCs w:val="20"/>
        </w:rPr>
        <w:t>[See</w:t>
      </w:r>
      <w:r w:rsidR="0076351F" w:rsidRPr="00D45C9B">
        <w:rPr>
          <w:rFonts w:ascii="Arial" w:hAnsi="Arial" w:cs="Arial"/>
          <w:i/>
          <w:sz w:val="22"/>
          <w:szCs w:val="20"/>
        </w:rPr>
        <w:t xml:space="preserve"> PHARMACOLOGY</w:t>
      </w:r>
      <w:r w:rsidRPr="00D45C9B">
        <w:rPr>
          <w:rFonts w:ascii="Arial" w:hAnsi="Arial" w:cs="Arial"/>
          <w:i/>
          <w:sz w:val="22"/>
          <w:szCs w:val="20"/>
        </w:rPr>
        <w:t>]</w:t>
      </w:r>
      <w:r w:rsidR="00D45C9B">
        <w:rPr>
          <w:rFonts w:ascii="Arial" w:hAnsi="Arial" w:cs="Arial"/>
          <w:i/>
          <w:sz w:val="22"/>
          <w:szCs w:val="20"/>
        </w:rPr>
        <w:t>.</w:t>
      </w:r>
    </w:p>
    <w:p w:rsidR="00C169A1" w:rsidRPr="00D45C9B" w:rsidRDefault="00C169A1" w:rsidP="00C169A1">
      <w:pPr>
        <w:pStyle w:val="BodyText1"/>
        <w:spacing w:before="0"/>
        <w:ind w:firstLine="0"/>
        <w:jc w:val="both"/>
        <w:rPr>
          <w:rFonts w:ascii="Arial" w:hAnsi="Arial" w:cs="Arial"/>
          <w:sz w:val="22"/>
          <w:szCs w:val="20"/>
        </w:rPr>
      </w:pPr>
    </w:p>
    <w:p w:rsidR="00C169A1" w:rsidRPr="00D45C9B" w:rsidRDefault="00C169A1" w:rsidP="00C169A1">
      <w:pPr>
        <w:pStyle w:val="SubSectionHeadings"/>
        <w:tabs>
          <w:tab w:val="left" w:pos="540"/>
        </w:tabs>
        <w:jc w:val="both"/>
        <w:rPr>
          <w:rFonts w:eastAsia="Times New Roman" w:cs="Arial"/>
          <w:b/>
          <w:sz w:val="24"/>
          <w:lang w:val="en-AU" w:eastAsia="en-AU"/>
        </w:rPr>
      </w:pPr>
      <w:r w:rsidRPr="00D45C9B">
        <w:rPr>
          <w:rFonts w:eastAsia="Times New Roman" w:cs="Arial"/>
          <w:b/>
          <w:sz w:val="24"/>
          <w:lang w:val="en-AU" w:eastAsia="en-AU"/>
        </w:rPr>
        <w:t>Hepatic Insufficiency</w:t>
      </w:r>
    </w:p>
    <w:p w:rsidR="00406042" w:rsidRPr="00195AC4" w:rsidRDefault="00406042" w:rsidP="00C169A1">
      <w:pPr>
        <w:pStyle w:val="BodyText1"/>
        <w:spacing w:before="0"/>
        <w:ind w:firstLine="0"/>
        <w:jc w:val="both"/>
        <w:rPr>
          <w:rFonts w:ascii="Arial" w:hAnsi="Arial" w:cs="Arial"/>
          <w:i/>
          <w:sz w:val="22"/>
          <w:szCs w:val="20"/>
        </w:rPr>
      </w:pPr>
      <w:r w:rsidRPr="00D45C9B">
        <w:rPr>
          <w:rFonts w:ascii="Arial" w:hAnsi="Arial" w:cs="Arial"/>
          <w:sz w:val="22"/>
          <w:szCs w:val="20"/>
        </w:rPr>
        <w:t>No dose adjustment is needed for patients with mild hepatic impairment. KEYTRUDA has not been studied in patients with modera</w:t>
      </w:r>
      <w:r w:rsidR="00FD3D95">
        <w:rPr>
          <w:rFonts w:ascii="Arial" w:hAnsi="Arial" w:cs="Arial"/>
          <w:sz w:val="22"/>
          <w:szCs w:val="20"/>
        </w:rPr>
        <w:t>te or severe hepatic impairment</w:t>
      </w:r>
      <w:r w:rsidRPr="00D45C9B">
        <w:rPr>
          <w:rFonts w:ascii="Arial" w:hAnsi="Arial" w:cs="Arial"/>
          <w:sz w:val="22"/>
          <w:szCs w:val="20"/>
        </w:rPr>
        <w:t xml:space="preserve"> </w:t>
      </w:r>
      <w:r w:rsidRPr="00D45C9B">
        <w:rPr>
          <w:rFonts w:ascii="Arial" w:hAnsi="Arial" w:cs="Arial"/>
          <w:i/>
          <w:sz w:val="22"/>
          <w:szCs w:val="20"/>
        </w:rPr>
        <w:t xml:space="preserve">[See </w:t>
      </w:r>
      <w:r w:rsidR="0076351F" w:rsidRPr="00D45C9B">
        <w:rPr>
          <w:rFonts w:ascii="Arial" w:hAnsi="Arial" w:cs="Arial"/>
          <w:i/>
          <w:sz w:val="22"/>
          <w:szCs w:val="20"/>
        </w:rPr>
        <w:t>PHARMACOLOGY</w:t>
      </w:r>
      <w:r w:rsidRPr="00D45C9B">
        <w:rPr>
          <w:rFonts w:ascii="Arial" w:hAnsi="Arial" w:cs="Arial"/>
          <w:i/>
          <w:sz w:val="22"/>
          <w:szCs w:val="20"/>
        </w:rPr>
        <w:t>]</w:t>
      </w:r>
      <w:r w:rsidR="00D45C9B">
        <w:rPr>
          <w:rFonts w:ascii="Arial" w:hAnsi="Arial" w:cs="Arial"/>
          <w:i/>
          <w:sz w:val="22"/>
          <w:szCs w:val="20"/>
        </w:rPr>
        <w:t>.</w:t>
      </w:r>
    </w:p>
    <w:p w:rsidR="00D90014" w:rsidRDefault="00D90014" w:rsidP="00D90014">
      <w:pPr>
        <w:rPr>
          <w:rFonts w:cs="Arial"/>
          <w:bCs/>
        </w:rPr>
      </w:pPr>
    </w:p>
    <w:p w:rsidR="003A6F1C" w:rsidRPr="001D71DE" w:rsidRDefault="003A6F1C">
      <w:pPr>
        <w:pStyle w:val="Heading1"/>
        <w:rPr>
          <w:rFonts w:cs="Arial"/>
        </w:rPr>
      </w:pPr>
      <w:r w:rsidRPr="001D71DE">
        <w:rPr>
          <w:rFonts w:cs="Arial"/>
        </w:rPr>
        <w:t>OVERDOSAGE</w:t>
      </w:r>
    </w:p>
    <w:p w:rsidR="00704668" w:rsidRDefault="00704668" w:rsidP="00704668">
      <w:r>
        <w:t xml:space="preserve">There is no information on </w:t>
      </w:r>
      <w:proofErr w:type="spellStart"/>
      <w:r>
        <w:t>overdosage</w:t>
      </w:r>
      <w:proofErr w:type="spellEnd"/>
      <w:r>
        <w:t xml:space="preserve"> with KEYTRUDA. The maximum tolerated dose of KEYTRUDA has not been determined. In clinical trials, patients received up to 10 mg/kg with a similar safety profile to that seen in patients receiving 2 mg/kg.</w:t>
      </w:r>
    </w:p>
    <w:p w:rsidR="00704668" w:rsidRDefault="00704668" w:rsidP="00704668"/>
    <w:p w:rsidR="001D71DE" w:rsidRDefault="00704668" w:rsidP="00704668">
      <w:r>
        <w:t>In case of overdose, patients must be closely monitored for signs or symptoms of adverse reactions, and appropriate symptomatic treatment instituted.</w:t>
      </w:r>
    </w:p>
    <w:p w:rsidR="003345BB" w:rsidRPr="001D71DE" w:rsidRDefault="003345BB" w:rsidP="00704668">
      <w:pPr>
        <w:rPr>
          <w:lang w:val="en-US" w:eastAsia="en-US"/>
        </w:rPr>
      </w:pPr>
    </w:p>
    <w:p w:rsidR="003A6F1C" w:rsidRPr="001D71DE" w:rsidRDefault="003A6F1C">
      <w:pPr>
        <w:pStyle w:val="Heading1"/>
        <w:rPr>
          <w:rFonts w:cs="Arial"/>
        </w:rPr>
      </w:pPr>
      <w:r w:rsidRPr="001D71DE">
        <w:rPr>
          <w:rFonts w:cs="Arial"/>
        </w:rPr>
        <w:lastRenderedPageBreak/>
        <w:t>PRESENTATION</w:t>
      </w:r>
      <w:r w:rsidR="00C25BB6" w:rsidRPr="001D71DE">
        <w:rPr>
          <w:rFonts w:cs="Arial"/>
        </w:rPr>
        <w:t xml:space="preserve"> AND STORAGE CONDITIONS</w:t>
      </w:r>
    </w:p>
    <w:p w:rsidR="0053709B" w:rsidRDefault="0053709B" w:rsidP="0053709B">
      <w:r>
        <w:t>Carton of one 50 mg single-use vial</w:t>
      </w:r>
    </w:p>
    <w:p w:rsidR="0053709B" w:rsidRDefault="0053709B" w:rsidP="0053709B"/>
    <w:p w:rsidR="0053709B" w:rsidRDefault="0053709B" w:rsidP="0053709B">
      <w:proofErr w:type="gramStart"/>
      <w:r w:rsidRPr="0053709B">
        <w:t>Store in a refrigerator (2°C to 8°C).</w:t>
      </w:r>
      <w:proofErr w:type="gramEnd"/>
    </w:p>
    <w:p w:rsidR="0053709B" w:rsidRDefault="0053709B" w:rsidP="0053709B"/>
    <w:p w:rsidR="003345BB" w:rsidRDefault="003345BB" w:rsidP="003345BB">
      <w:r w:rsidRPr="003345BB">
        <w:t xml:space="preserve">For storage conditions after reconstitution or dilution of the medicinal product, </w:t>
      </w:r>
      <w:r w:rsidRPr="003345BB">
        <w:rPr>
          <w:i/>
        </w:rPr>
        <w:t>see DOSAGE AND ADMINISTRATION</w:t>
      </w:r>
      <w:r w:rsidRPr="003345BB">
        <w:t>.</w:t>
      </w:r>
    </w:p>
    <w:p w:rsidR="003345BB" w:rsidRPr="003345BB" w:rsidRDefault="003345BB" w:rsidP="003345BB"/>
    <w:p w:rsidR="003A6F1C" w:rsidRPr="001D71DE" w:rsidRDefault="00C25BB6">
      <w:pPr>
        <w:pStyle w:val="Heading1"/>
        <w:rPr>
          <w:rFonts w:cs="Arial"/>
        </w:rPr>
      </w:pPr>
      <w:r w:rsidRPr="001D71DE">
        <w:rPr>
          <w:rFonts w:cs="Arial"/>
        </w:rPr>
        <w:t xml:space="preserve">NAME AND ADDRESS OF THE </w:t>
      </w:r>
      <w:r w:rsidR="003A6F1C" w:rsidRPr="001D71DE">
        <w:rPr>
          <w:rFonts w:cs="Arial"/>
        </w:rPr>
        <w:t>SPONSOR</w:t>
      </w:r>
    </w:p>
    <w:p w:rsidR="007D12E0" w:rsidRDefault="007D12E0" w:rsidP="00597398">
      <w:r w:rsidRPr="00597398">
        <w:t>Merck Sharp &amp; Dohme (Australia) Pty Limited</w:t>
      </w:r>
    </w:p>
    <w:p w:rsidR="00580E6B" w:rsidRDefault="00580E6B" w:rsidP="00597398">
      <w:r>
        <w:t>Level 1, Building A, 26 Talavera Road</w:t>
      </w:r>
    </w:p>
    <w:p w:rsidR="00580E6B" w:rsidRPr="00597398" w:rsidRDefault="00580E6B" w:rsidP="00597398">
      <w:r>
        <w:t>Macquarie Park, NSW 2113, Australia</w:t>
      </w:r>
    </w:p>
    <w:p w:rsidR="003345BB" w:rsidRPr="00597398" w:rsidRDefault="003345BB" w:rsidP="00597398"/>
    <w:p w:rsidR="00C25BB6" w:rsidRPr="001D71DE" w:rsidRDefault="00C25BB6" w:rsidP="00C25BB6">
      <w:pPr>
        <w:pStyle w:val="Heading1"/>
        <w:rPr>
          <w:rFonts w:cs="Arial"/>
        </w:rPr>
      </w:pPr>
      <w:r w:rsidRPr="001D71DE">
        <w:rPr>
          <w:rFonts w:cs="Arial"/>
        </w:rPr>
        <w:t>POISON SCHEDULE OF THE MEDICINE</w:t>
      </w:r>
    </w:p>
    <w:p w:rsidR="00C25BB6" w:rsidRPr="001D71DE" w:rsidRDefault="00C25BB6" w:rsidP="00C25BB6">
      <w:pPr>
        <w:rPr>
          <w:rFonts w:cs="Arial"/>
        </w:rPr>
      </w:pPr>
      <w:r w:rsidRPr="001D71DE">
        <w:rPr>
          <w:rFonts w:cs="Arial"/>
        </w:rPr>
        <w:t>Prescription only medicine (Schedule 4)</w:t>
      </w:r>
    </w:p>
    <w:p w:rsidR="00C25BB6" w:rsidRPr="001D71DE" w:rsidRDefault="00C25BB6" w:rsidP="00C25BB6">
      <w:pPr>
        <w:rPr>
          <w:rFonts w:cs="Arial"/>
        </w:rPr>
      </w:pPr>
    </w:p>
    <w:p w:rsidR="00C25BB6" w:rsidRPr="001D71DE" w:rsidRDefault="00C25BB6" w:rsidP="00C25BB6">
      <w:pPr>
        <w:pStyle w:val="Heading1"/>
        <w:rPr>
          <w:rFonts w:cs="Arial"/>
        </w:rPr>
      </w:pPr>
      <w:r w:rsidRPr="001D71DE">
        <w:rPr>
          <w:rFonts w:cs="Arial"/>
        </w:rPr>
        <w:t>DATE OF FIRST INCLUSION IN THE AUSTRALIAN REGISTER OF THERAPEUTIC GOODS (the ARTG)</w:t>
      </w:r>
    </w:p>
    <w:p w:rsidR="00C25BB6" w:rsidRPr="001D71DE" w:rsidRDefault="008714EA" w:rsidP="00C25BB6">
      <w:pPr>
        <w:rPr>
          <w:rFonts w:cs="Arial"/>
        </w:rPr>
      </w:pPr>
      <w:r>
        <w:rPr>
          <w:rFonts w:cs="Arial"/>
        </w:rPr>
        <w:t>16 April 2015</w:t>
      </w:r>
    </w:p>
    <w:p w:rsidR="00C25BB6" w:rsidRPr="001D71DE" w:rsidRDefault="00C25BB6" w:rsidP="00C25BB6">
      <w:pPr>
        <w:rPr>
          <w:rFonts w:cs="Arial"/>
        </w:rPr>
      </w:pPr>
    </w:p>
    <w:p w:rsidR="003A6F1C" w:rsidRPr="001D71DE" w:rsidRDefault="003A6F1C">
      <w:pPr>
        <w:rPr>
          <w:rFonts w:cs="Arial"/>
        </w:rPr>
      </w:pPr>
    </w:p>
    <w:sectPr w:rsidR="003A6F1C" w:rsidRPr="001D71DE" w:rsidSect="00597398">
      <w:headerReference w:type="default" r:id="rId12"/>
      <w:footerReference w:type="default" r:id="rId13"/>
      <w:footnotePr>
        <w:numFmt w:val="chicago"/>
      </w:footnotePr>
      <w:endnotePr>
        <w:numFmt w:val="decimal"/>
      </w:endnotePr>
      <w:pgSz w:w="11907" w:h="16840" w:code="9"/>
      <w:pgMar w:top="1418" w:right="1134" w:bottom="1418" w:left="1134" w:header="124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77" w:rsidRDefault="00382777">
      <w:r>
        <w:separator/>
      </w:r>
    </w:p>
  </w:endnote>
  <w:endnote w:type="continuationSeparator" w:id="0">
    <w:p w:rsidR="00382777" w:rsidRDefault="0038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32" w:rsidRDefault="00580E6B" w:rsidP="00D90014">
    <w:pPr>
      <w:pStyle w:val="FootnoteText"/>
      <w:tabs>
        <w:tab w:val="clear" w:pos="4513"/>
        <w:tab w:val="clear" w:pos="10348"/>
        <w:tab w:val="left" w:pos="7371"/>
        <w:tab w:val="right" w:pos="8080"/>
      </w:tabs>
      <w:spacing w:before="140"/>
      <w:rPr>
        <w:lang w:val="fr-FR"/>
      </w:rPr>
    </w:pPr>
    <w:r>
      <w:rPr>
        <w:lang w:val="fr-FR"/>
      </w:rPr>
      <w:t>KEYTRUDA</w:t>
    </w:r>
    <w:r w:rsidR="00D90014">
      <w:rPr>
        <w:lang w:val="fr-FR"/>
      </w:rPr>
      <w:t>_</w:t>
    </w:r>
    <w:r w:rsidR="009D5E18">
      <w:rPr>
        <w:lang w:val="fr-FR"/>
      </w:rPr>
      <w:t>AU_</w:t>
    </w:r>
    <w:r w:rsidR="00D90014">
      <w:rPr>
        <w:lang w:val="fr-FR"/>
      </w:rPr>
      <w:t>PI_D</w:t>
    </w:r>
    <w:r w:rsidR="00FE618F">
      <w:rPr>
        <w:lang w:val="fr-FR"/>
      </w:rPr>
      <w:t>15041</w:t>
    </w:r>
    <w:r w:rsidR="00A121EE">
      <w:rPr>
        <w:lang w:val="fr-FR"/>
      </w:rPr>
      <w:t>6</w:t>
    </w:r>
    <w:r w:rsidR="008F0962">
      <w:rPr>
        <w:lang w:val="fr-FR"/>
      </w:rPr>
      <w:t>v</w:t>
    </w:r>
    <w:r w:rsidR="00A121EE">
      <w:rPr>
        <w:lang w:val="fr-FR"/>
      </w:rPr>
      <w:t>1</w:t>
    </w:r>
    <w:r w:rsidR="008F0962">
      <w:rPr>
        <w:lang w:val="fr-FR"/>
      </w:rPr>
      <w:t>.</w:t>
    </w:r>
    <w:r w:rsidR="00A121EE">
      <w:rPr>
        <w:lang w:val="fr-FR"/>
      </w:rPr>
      <w:t>0</w:t>
    </w:r>
    <w:r w:rsidR="00D17B32">
      <w:rPr>
        <w:lang w:val="fr-FR"/>
      </w:rPr>
      <w:tab/>
    </w:r>
    <w:r w:rsidR="00D17B32">
      <w:rPr>
        <w:lang w:val="fr-FR"/>
      </w:rPr>
      <w:tab/>
    </w:r>
    <w:r w:rsidR="00D17B32">
      <w:rPr>
        <w:lang w:val="fr-FR"/>
      </w:rPr>
      <w:tab/>
      <w:t xml:space="preserve">PAGE </w:t>
    </w:r>
    <w:r w:rsidR="00D17B32">
      <w:rPr>
        <w:rStyle w:val="PageNumber"/>
        <w:sz w:val="22"/>
      </w:rPr>
      <w:fldChar w:fldCharType="begin"/>
    </w:r>
    <w:r w:rsidR="00D17B32">
      <w:rPr>
        <w:rStyle w:val="PageNumber"/>
        <w:sz w:val="22"/>
        <w:lang w:val="fr-FR"/>
      </w:rPr>
      <w:instrText xml:space="preserve"> PAGE </w:instrText>
    </w:r>
    <w:r w:rsidR="00D17B32">
      <w:rPr>
        <w:rStyle w:val="PageNumber"/>
        <w:sz w:val="22"/>
      </w:rPr>
      <w:fldChar w:fldCharType="separate"/>
    </w:r>
    <w:r w:rsidR="009E3288">
      <w:rPr>
        <w:rStyle w:val="PageNumber"/>
        <w:noProof/>
        <w:sz w:val="22"/>
        <w:lang w:val="fr-FR"/>
      </w:rPr>
      <w:t>13</w:t>
    </w:r>
    <w:r w:rsidR="00D17B32">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77" w:rsidRDefault="00382777">
      <w:r>
        <w:separator/>
      </w:r>
    </w:p>
  </w:footnote>
  <w:footnote w:type="continuationSeparator" w:id="0">
    <w:p w:rsidR="00382777" w:rsidRDefault="0038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E3288" w:rsidRPr="009E3288" w:rsidTr="009E3288">
      <w:tc>
        <w:tcPr>
          <w:tcW w:w="8720" w:type="dxa"/>
          <w:shd w:val="clear" w:color="auto" w:fill="E4F2E0"/>
        </w:tcPr>
        <w:p w:rsidR="009E3288" w:rsidRPr="009E3288" w:rsidRDefault="009E3288" w:rsidP="009E3288">
          <w:pPr>
            <w:spacing w:before="40" w:after="40"/>
            <w:jc w:val="left"/>
            <w:rPr>
              <w:rFonts w:ascii="Cambria" w:hAnsi="Cambria"/>
              <w:b/>
              <w:sz w:val="20"/>
            </w:rPr>
          </w:pPr>
          <w:r w:rsidRPr="009E3288">
            <w:rPr>
              <w:rFonts w:ascii="Cambria" w:hAnsi="Cambria"/>
              <w:b/>
              <w:sz w:val="20"/>
            </w:rPr>
            <w:t>Attachment 1: Product information for AusPAR KEYTRUDA - Merck Sharp &amp; Dohme (Australia) Pty Ltd - PM-2014-01928-1-4 Final – 14 October 2016. This Product Information was approved at the time this AusPAR was published.</w:t>
          </w:r>
        </w:p>
      </w:tc>
    </w:tr>
  </w:tbl>
  <w:p w:rsidR="009E3288" w:rsidRDefault="009E3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5C"/>
    <w:multiLevelType w:val="hybridMultilevel"/>
    <w:tmpl w:val="4E1AB8D2"/>
    <w:lvl w:ilvl="0" w:tplc="ACA83F28">
      <w:start w:val="76"/>
      <w:numFmt w:val="bullet"/>
      <w:lvlText w:val=""/>
      <w:lvlJc w:val="left"/>
      <w:pPr>
        <w:ind w:left="3375" w:hanging="30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26D77"/>
    <w:multiLevelType w:val="hybridMultilevel"/>
    <w:tmpl w:val="983A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1606E"/>
    <w:multiLevelType w:val="hybridMultilevel"/>
    <w:tmpl w:val="57B2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7F0CD9A">
      <w:start w:val="5"/>
      <w:numFmt w:val="bullet"/>
      <w:lvlText w:val="-"/>
      <w:lvlJc w:val="left"/>
      <w:pPr>
        <w:ind w:left="2160" w:hanging="36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61AF1"/>
    <w:multiLevelType w:val="hybridMultilevel"/>
    <w:tmpl w:val="ADB8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82513"/>
    <w:multiLevelType w:val="hybridMultilevel"/>
    <w:tmpl w:val="098ED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E89318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6">
    <w:nsid w:val="33F90DA5"/>
    <w:multiLevelType w:val="hybridMultilevel"/>
    <w:tmpl w:val="568ED89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B8635E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8">
    <w:nsid w:val="470B3FE3"/>
    <w:multiLevelType w:val="hybridMultilevel"/>
    <w:tmpl w:val="419A25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0D81C80"/>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10">
    <w:nsid w:val="61F11AF3"/>
    <w:multiLevelType w:val="hybridMultilevel"/>
    <w:tmpl w:val="4A12E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690B20"/>
    <w:multiLevelType w:val="hybridMultilevel"/>
    <w:tmpl w:val="F2682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9"/>
  </w:num>
  <w:num w:numId="3">
    <w:abstractNumId w:val="7"/>
  </w:num>
  <w:num w:numId="4">
    <w:abstractNumId w:val="11"/>
  </w:num>
  <w:num w:numId="5">
    <w:abstractNumId w:val="4"/>
  </w:num>
  <w:num w:numId="6">
    <w:abstractNumId w:val="6"/>
  </w:num>
  <w:num w:numId="7">
    <w:abstractNumId w:val="8"/>
  </w:num>
  <w:num w:numId="8">
    <w:abstractNumId w:val="3"/>
  </w:num>
  <w:num w:numId="9">
    <w:abstractNumId w:val="2"/>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E"/>
    <w:rsid w:val="00010E35"/>
    <w:rsid w:val="00017EF1"/>
    <w:rsid w:val="00061A3F"/>
    <w:rsid w:val="0008143A"/>
    <w:rsid w:val="00084CCF"/>
    <w:rsid w:val="00086BDA"/>
    <w:rsid w:val="000903B2"/>
    <w:rsid w:val="00094ED9"/>
    <w:rsid w:val="000A0CD2"/>
    <w:rsid w:val="000B179B"/>
    <w:rsid w:val="000B5DAF"/>
    <w:rsid w:val="000E6159"/>
    <w:rsid w:val="00102126"/>
    <w:rsid w:val="00107027"/>
    <w:rsid w:val="001250D5"/>
    <w:rsid w:val="001357A8"/>
    <w:rsid w:val="00144B5C"/>
    <w:rsid w:val="00150D7E"/>
    <w:rsid w:val="00174861"/>
    <w:rsid w:val="00185512"/>
    <w:rsid w:val="00186E9C"/>
    <w:rsid w:val="0019220C"/>
    <w:rsid w:val="00195AC4"/>
    <w:rsid w:val="001A3236"/>
    <w:rsid w:val="001A5F0A"/>
    <w:rsid w:val="001B565B"/>
    <w:rsid w:val="001C5717"/>
    <w:rsid w:val="001C69C7"/>
    <w:rsid w:val="001D56EB"/>
    <w:rsid w:val="001D71DE"/>
    <w:rsid w:val="00206839"/>
    <w:rsid w:val="002351DD"/>
    <w:rsid w:val="0023576E"/>
    <w:rsid w:val="00257277"/>
    <w:rsid w:val="002579A0"/>
    <w:rsid w:val="00263559"/>
    <w:rsid w:val="00273FB3"/>
    <w:rsid w:val="00277E66"/>
    <w:rsid w:val="00281FD0"/>
    <w:rsid w:val="0029535D"/>
    <w:rsid w:val="00295DE5"/>
    <w:rsid w:val="002E0A45"/>
    <w:rsid w:val="002E3F6C"/>
    <w:rsid w:val="002F62A3"/>
    <w:rsid w:val="003345BB"/>
    <w:rsid w:val="00334C97"/>
    <w:rsid w:val="003543FC"/>
    <w:rsid w:val="00382777"/>
    <w:rsid w:val="00384E9C"/>
    <w:rsid w:val="003853D4"/>
    <w:rsid w:val="003A6F1C"/>
    <w:rsid w:val="003B03A0"/>
    <w:rsid w:val="003B54CC"/>
    <w:rsid w:val="003E3ACF"/>
    <w:rsid w:val="003F02D5"/>
    <w:rsid w:val="003F33AE"/>
    <w:rsid w:val="003F6BDF"/>
    <w:rsid w:val="00406042"/>
    <w:rsid w:val="00420ACA"/>
    <w:rsid w:val="00427333"/>
    <w:rsid w:val="00440A35"/>
    <w:rsid w:val="00443255"/>
    <w:rsid w:val="00472DE5"/>
    <w:rsid w:val="00491C60"/>
    <w:rsid w:val="004B72DC"/>
    <w:rsid w:val="004B7C8E"/>
    <w:rsid w:val="004F7435"/>
    <w:rsid w:val="00507AF4"/>
    <w:rsid w:val="00511DA8"/>
    <w:rsid w:val="00526B45"/>
    <w:rsid w:val="0053450C"/>
    <w:rsid w:val="005360EB"/>
    <w:rsid w:val="0053709B"/>
    <w:rsid w:val="00542761"/>
    <w:rsid w:val="00555F36"/>
    <w:rsid w:val="00556B82"/>
    <w:rsid w:val="0056564C"/>
    <w:rsid w:val="0057427A"/>
    <w:rsid w:val="00576272"/>
    <w:rsid w:val="00580E6B"/>
    <w:rsid w:val="00595153"/>
    <w:rsid w:val="00597398"/>
    <w:rsid w:val="005B08D4"/>
    <w:rsid w:val="005E18F3"/>
    <w:rsid w:val="005F5122"/>
    <w:rsid w:val="0060507C"/>
    <w:rsid w:val="00615ECC"/>
    <w:rsid w:val="00616762"/>
    <w:rsid w:val="00616E61"/>
    <w:rsid w:val="00631009"/>
    <w:rsid w:val="0063623E"/>
    <w:rsid w:val="006645E8"/>
    <w:rsid w:val="006771BF"/>
    <w:rsid w:val="00687073"/>
    <w:rsid w:val="006A7794"/>
    <w:rsid w:val="006B4611"/>
    <w:rsid w:val="006C613D"/>
    <w:rsid w:val="006D0EB2"/>
    <w:rsid w:val="00704668"/>
    <w:rsid w:val="007459A0"/>
    <w:rsid w:val="007579E3"/>
    <w:rsid w:val="0076351F"/>
    <w:rsid w:val="007816C9"/>
    <w:rsid w:val="0079617D"/>
    <w:rsid w:val="007B0313"/>
    <w:rsid w:val="007B4A4F"/>
    <w:rsid w:val="007D12E0"/>
    <w:rsid w:val="007F434B"/>
    <w:rsid w:val="008360E5"/>
    <w:rsid w:val="00836C6E"/>
    <w:rsid w:val="008476E9"/>
    <w:rsid w:val="00851EBF"/>
    <w:rsid w:val="00855A57"/>
    <w:rsid w:val="008714EA"/>
    <w:rsid w:val="00877711"/>
    <w:rsid w:val="00890FC1"/>
    <w:rsid w:val="008A7BC8"/>
    <w:rsid w:val="008B153D"/>
    <w:rsid w:val="008C49D3"/>
    <w:rsid w:val="008C50BD"/>
    <w:rsid w:val="008E1321"/>
    <w:rsid w:val="008E50BB"/>
    <w:rsid w:val="008F0962"/>
    <w:rsid w:val="009007F9"/>
    <w:rsid w:val="00921EAB"/>
    <w:rsid w:val="00925396"/>
    <w:rsid w:val="00941ABA"/>
    <w:rsid w:val="00943006"/>
    <w:rsid w:val="00951D3C"/>
    <w:rsid w:val="009633CC"/>
    <w:rsid w:val="00971E26"/>
    <w:rsid w:val="009720BF"/>
    <w:rsid w:val="00980FB3"/>
    <w:rsid w:val="00984E65"/>
    <w:rsid w:val="00994BA6"/>
    <w:rsid w:val="009957BD"/>
    <w:rsid w:val="0099595E"/>
    <w:rsid w:val="009A1E8F"/>
    <w:rsid w:val="009A2676"/>
    <w:rsid w:val="009A3CB0"/>
    <w:rsid w:val="009B3737"/>
    <w:rsid w:val="009B5786"/>
    <w:rsid w:val="009D5E18"/>
    <w:rsid w:val="009E3288"/>
    <w:rsid w:val="00A121EE"/>
    <w:rsid w:val="00A12C09"/>
    <w:rsid w:val="00A22F20"/>
    <w:rsid w:val="00A339A6"/>
    <w:rsid w:val="00A737EE"/>
    <w:rsid w:val="00A74F3F"/>
    <w:rsid w:val="00A818AD"/>
    <w:rsid w:val="00AB11C5"/>
    <w:rsid w:val="00AB74ED"/>
    <w:rsid w:val="00AD0BD2"/>
    <w:rsid w:val="00AD20AD"/>
    <w:rsid w:val="00AE2709"/>
    <w:rsid w:val="00AE6DEA"/>
    <w:rsid w:val="00AF02ED"/>
    <w:rsid w:val="00B146C5"/>
    <w:rsid w:val="00B206FE"/>
    <w:rsid w:val="00B215D8"/>
    <w:rsid w:val="00B244FE"/>
    <w:rsid w:val="00B433DB"/>
    <w:rsid w:val="00B524E3"/>
    <w:rsid w:val="00B54580"/>
    <w:rsid w:val="00B57749"/>
    <w:rsid w:val="00BA3B47"/>
    <w:rsid w:val="00BA6D2E"/>
    <w:rsid w:val="00BB0021"/>
    <w:rsid w:val="00BC6BAE"/>
    <w:rsid w:val="00BD6472"/>
    <w:rsid w:val="00BE663E"/>
    <w:rsid w:val="00C169A1"/>
    <w:rsid w:val="00C25BB6"/>
    <w:rsid w:val="00C33934"/>
    <w:rsid w:val="00C37383"/>
    <w:rsid w:val="00C37C7A"/>
    <w:rsid w:val="00C90402"/>
    <w:rsid w:val="00CA38B8"/>
    <w:rsid w:val="00CB383D"/>
    <w:rsid w:val="00CC09DA"/>
    <w:rsid w:val="00CC39C0"/>
    <w:rsid w:val="00CF2C98"/>
    <w:rsid w:val="00CF772C"/>
    <w:rsid w:val="00D00F32"/>
    <w:rsid w:val="00D040D5"/>
    <w:rsid w:val="00D058F6"/>
    <w:rsid w:val="00D0743F"/>
    <w:rsid w:val="00D11BDA"/>
    <w:rsid w:val="00D122A6"/>
    <w:rsid w:val="00D1772D"/>
    <w:rsid w:val="00D17B32"/>
    <w:rsid w:val="00D2086F"/>
    <w:rsid w:val="00D31A9A"/>
    <w:rsid w:val="00D34004"/>
    <w:rsid w:val="00D43C2F"/>
    <w:rsid w:val="00D44390"/>
    <w:rsid w:val="00D45C9B"/>
    <w:rsid w:val="00D46F08"/>
    <w:rsid w:val="00D61E6C"/>
    <w:rsid w:val="00D6676B"/>
    <w:rsid w:val="00D7307F"/>
    <w:rsid w:val="00D829D0"/>
    <w:rsid w:val="00D90014"/>
    <w:rsid w:val="00DB6E13"/>
    <w:rsid w:val="00DD16BE"/>
    <w:rsid w:val="00DD4C7E"/>
    <w:rsid w:val="00DD7CA8"/>
    <w:rsid w:val="00DF7941"/>
    <w:rsid w:val="00E055D2"/>
    <w:rsid w:val="00E30476"/>
    <w:rsid w:val="00E3265C"/>
    <w:rsid w:val="00E45EEF"/>
    <w:rsid w:val="00E50B54"/>
    <w:rsid w:val="00E5163F"/>
    <w:rsid w:val="00E51C8E"/>
    <w:rsid w:val="00E626B5"/>
    <w:rsid w:val="00E72137"/>
    <w:rsid w:val="00E749B9"/>
    <w:rsid w:val="00E77671"/>
    <w:rsid w:val="00EA5B09"/>
    <w:rsid w:val="00EA73BB"/>
    <w:rsid w:val="00EB2EF5"/>
    <w:rsid w:val="00EC59E2"/>
    <w:rsid w:val="00EC5BAD"/>
    <w:rsid w:val="00ED3C41"/>
    <w:rsid w:val="00ED492B"/>
    <w:rsid w:val="00EF6CFB"/>
    <w:rsid w:val="00F00824"/>
    <w:rsid w:val="00F05AB6"/>
    <w:rsid w:val="00F1729C"/>
    <w:rsid w:val="00F2676F"/>
    <w:rsid w:val="00F36A27"/>
    <w:rsid w:val="00F73353"/>
    <w:rsid w:val="00F964AD"/>
    <w:rsid w:val="00F9712D"/>
    <w:rsid w:val="00FB455D"/>
    <w:rsid w:val="00FB5FC7"/>
    <w:rsid w:val="00FD374C"/>
    <w:rsid w:val="00FD3D95"/>
    <w:rsid w:val="00FE618F"/>
    <w:rsid w:val="00FF3D6C"/>
    <w:rsid w:val="00FF4074"/>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pPr>
      <w:keepNext/>
      <w:spacing w:before="240" w:after="120"/>
      <w:outlineLvl w:val="0"/>
    </w:pPr>
    <w:rPr>
      <w:b/>
      <w:sz w:val="28"/>
    </w:rPr>
  </w:style>
  <w:style w:type="paragraph" w:styleId="Heading2">
    <w:name w:val="heading 2"/>
    <w:basedOn w:val="Normal"/>
    <w:next w:val="Normal"/>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pPr>
      <w:keepNext/>
      <w:spacing w:before="240" w:after="120"/>
      <w:outlineLvl w:val="0"/>
    </w:pPr>
    <w:rPr>
      <w:b/>
      <w:sz w:val="28"/>
    </w:rPr>
  </w:style>
  <w:style w:type="paragraph" w:styleId="Heading2">
    <w:name w:val="heading 2"/>
    <w:basedOn w:val="Normal"/>
    <w:next w:val="Normal"/>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773D07CF36714586415F34D94EB11C" ma:contentTypeVersion="0" ma:contentTypeDescription="Create a new document." ma:contentTypeScope="" ma:versionID="f1886ec645c3ef4bb7801725a00e984f">
  <xsd:schema xmlns:xsd="http://www.w3.org/2001/XMLSchema" xmlns:p="http://schemas.microsoft.com/office/2006/metadata/properties" targetNamespace="http://schemas.microsoft.com/office/2006/metadata/properties" ma:root="true" ma:fieldsID="40d746e8c3a3288f9bcc4e4e684adb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0317-F6CE-46B4-A8CE-0B53F0B37EF7}">
  <ds:schemaRefs>
    <ds:schemaRef ds:uri="http://schemas.microsoft.com/sharepoint/v3/contenttype/forms"/>
  </ds:schemaRefs>
</ds:datastoreItem>
</file>

<file path=customXml/itemProps2.xml><?xml version="1.0" encoding="utf-8"?>
<ds:datastoreItem xmlns:ds="http://schemas.openxmlformats.org/officeDocument/2006/customXml" ds:itemID="{F40C381C-5CAC-46B6-85AA-46EDDC1D3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E67FC9-F2DB-48B0-B684-DFFE88668781}">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4925851-D9E5-41BF-8AED-33079871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5616</Words>
  <Characters>32221</Characters>
  <Application>Microsoft Office Word</Application>
  <DocSecurity>0</DocSecurity>
  <Lines>631</Lines>
  <Paragraphs>356</Paragraphs>
  <ScaleCrop>false</ScaleCrop>
  <HeadingPairs>
    <vt:vector size="2" baseType="variant">
      <vt:variant>
        <vt:lpstr>Title</vt:lpstr>
      </vt:variant>
      <vt:variant>
        <vt:i4>1</vt:i4>
      </vt:variant>
    </vt:vector>
  </HeadingPairs>
  <TitlesOfParts>
    <vt:vector size="1" baseType="lpstr">
      <vt:lpstr>PRODUCT INFORMATION</vt:lpstr>
    </vt:vector>
  </TitlesOfParts>
  <Company>Merck Sharp and Dohme (Australia) Pty Ltd</Company>
  <LinksUpToDate>false</LinksUpToDate>
  <CharactersWithSpaces>37481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Pembrolizumab (rch)</dc:title>
  <dc:subject>prescription medicines</dc:subject>
  <dc:creator>Eagleton</dc:creator>
  <cp:keywords>AusPARs</cp:keywords>
  <cp:lastModifiedBy>Lack, Janet</cp:lastModifiedBy>
  <cp:revision>3</cp:revision>
  <cp:lastPrinted>2014-04-08T04:56:00Z</cp:lastPrinted>
  <dcterms:created xsi:type="dcterms:W3CDTF">2016-10-17T02:53:00Z</dcterms:created>
  <dcterms:modified xsi:type="dcterms:W3CDTF">2016-10-17T04:49:00Z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