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2C158" w14:textId="69F8BF0A" w:rsidR="005D24BA" w:rsidRDefault="005425D3" w:rsidP="0030085C">
      <w:pPr>
        <w:spacing w:after="200" w:line="276" w:lineRule="auto"/>
        <w:rPr>
          <w:rFonts w:eastAsia="Calibri"/>
          <w:szCs w:val="22"/>
        </w:rPr>
      </w:pPr>
      <w:r>
        <w:rPr>
          <w:noProof/>
          <w:szCs w:val="24"/>
          <w:lang w:eastAsia="en-AU"/>
        </w:rPr>
        <mc:AlternateContent>
          <mc:Choice Requires="wps">
            <w:drawing>
              <wp:anchor distT="45720" distB="45720" distL="114300" distR="114300" simplePos="0" relativeHeight="251659264" behindDoc="0" locked="0" layoutInCell="1" allowOverlap="1" wp14:anchorId="19E4F080" wp14:editId="6F5F6E34">
                <wp:simplePos x="0" y="0"/>
                <wp:positionH relativeFrom="margin">
                  <wp:align>left</wp:align>
                </wp:positionH>
                <wp:positionV relativeFrom="paragraph">
                  <wp:posOffset>769477</wp:posOffset>
                </wp:positionV>
                <wp:extent cx="5556250" cy="2164080"/>
                <wp:effectExtent l="0" t="0" r="25400" b="2667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164198"/>
                        </a:xfrm>
                        <a:prstGeom prst="rect">
                          <a:avLst/>
                        </a:prstGeom>
                        <a:solidFill>
                          <a:srgbClr val="FFFFFF"/>
                        </a:solidFill>
                        <a:ln w="9525">
                          <a:solidFill>
                            <a:srgbClr val="000000"/>
                          </a:solidFill>
                          <a:miter lim="800000"/>
                          <a:headEnd/>
                          <a:tailEnd/>
                        </a:ln>
                      </wps:spPr>
                      <wps:txbx>
                        <w:txbxContent>
                          <w:p w14:paraId="0C5FF194" w14:textId="42E1F960" w:rsidR="002B7ABA" w:rsidRDefault="002B7ABA" w:rsidP="00650ED4">
                            <w:pPr>
                              <w:pStyle w:val="ListParagraph"/>
                              <w:widowControl w:val="0"/>
                              <w:numPr>
                                <w:ilvl w:val="0"/>
                                <w:numId w:val="17"/>
                              </w:numPr>
                              <w:autoSpaceDE w:val="0"/>
                              <w:autoSpaceDN w:val="0"/>
                              <w:spacing w:after="0"/>
                              <w:contextualSpacing w:val="0"/>
                            </w:pPr>
                            <w:r>
                              <w:t xml:space="preserve">Acute systemic </w:t>
                            </w:r>
                            <w:r w:rsidRPr="002642E0">
                              <w:t xml:space="preserve">hypersensitivity </w:t>
                            </w:r>
                            <w:r>
                              <w:t>reaction has been reported after administration of PALYNZIQ</w:t>
                            </w:r>
                            <w:r>
                              <w:rPr>
                                <w:spacing w:val="-9"/>
                              </w:rPr>
                              <w:t xml:space="preserve"> </w:t>
                            </w:r>
                            <w:r>
                              <w:t>and may occur at any stage during treatment</w:t>
                            </w:r>
                          </w:p>
                          <w:p w14:paraId="57C37AFA" w14:textId="7228B65B" w:rsidR="002B7ABA" w:rsidRDefault="002B7ABA" w:rsidP="00650ED4">
                            <w:pPr>
                              <w:pStyle w:val="ListParagraph"/>
                              <w:widowControl w:val="0"/>
                              <w:numPr>
                                <w:ilvl w:val="0"/>
                                <w:numId w:val="17"/>
                              </w:numPr>
                              <w:autoSpaceDE w:val="0"/>
                              <w:autoSpaceDN w:val="0"/>
                              <w:spacing w:after="0"/>
                              <w:contextualSpacing w:val="0"/>
                            </w:pPr>
                            <w:r>
                              <w:t xml:space="preserve">The first dose should be administered in a medical facility capable of managing acute systemic hypersensitivity </w:t>
                            </w:r>
                            <w:r w:rsidRPr="008B0B86">
                              <w:t>reactions</w:t>
                            </w:r>
                            <w:r>
                              <w:t>, patients should be monitored for 60 minutes after the dose</w:t>
                            </w:r>
                          </w:p>
                          <w:p w14:paraId="0151BC37" w14:textId="6292D5C7" w:rsidR="002B7ABA" w:rsidRDefault="002B7ABA" w:rsidP="00650ED4">
                            <w:pPr>
                              <w:pStyle w:val="ListParagraph"/>
                              <w:widowControl w:val="0"/>
                              <w:numPr>
                                <w:ilvl w:val="0"/>
                                <w:numId w:val="17"/>
                              </w:numPr>
                              <w:autoSpaceDE w:val="0"/>
                              <w:autoSpaceDN w:val="0"/>
                              <w:spacing w:after="0"/>
                              <w:contextualSpacing w:val="0"/>
                            </w:pPr>
                            <w:r>
                              <w:t xml:space="preserve">It is recommended that ongoing doses be supervised by a trained observer who has been educated about the recognition and treatment of acute systemic hypersensitivity </w:t>
                            </w:r>
                            <w:r w:rsidRPr="008B0B86">
                              <w:t>reaction</w:t>
                            </w:r>
                            <w:r>
                              <w:t>, including the use of an adrenaline auto-injector</w:t>
                            </w:r>
                          </w:p>
                          <w:p w14:paraId="37AE32F8" w14:textId="362018BF" w:rsidR="002B7ABA" w:rsidRDefault="002B7ABA" w:rsidP="00650ED4">
                            <w:pPr>
                              <w:pStyle w:val="ListParagraph"/>
                              <w:widowControl w:val="0"/>
                              <w:numPr>
                                <w:ilvl w:val="0"/>
                                <w:numId w:val="17"/>
                              </w:numPr>
                              <w:autoSpaceDE w:val="0"/>
                              <w:autoSpaceDN w:val="0"/>
                              <w:spacing w:after="0"/>
                              <w:contextualSpacing w:val="0"/>
                            </w:pPr>
                            <w:r>
                              <w:t xml:space="preserve">Patients should be prescribed an adrenaline auto-injector to carry with them in case of acute systemic hypersensitivity </w:t>
                            </w:r>
                            <w:r w:rsidRPr="008B0B86">
                              <w:t>reactions</w:t>
                            </w:r>
                          </w:p>
                          <w:p w14:paraId="30E61549" w14:textId="77777777" w:rsidR="002B7ABA" w:rsidRDefault="002B7ABA" w:rsidP="00650ED4">
                            <w:pPr>
                              <w:pStyle w:val="ListParagraph"/>
                              <w:widowControl w:val="0"/>
                              <w:numPr>
                                <w:ilvl w:val="0"/>
                                <w:numId w:val="17"/>
                              </w:numPr>
                              <w:autoSpaceDE w:val="0"/>
                              <w:autoSpaceDN w:val="0"/>
                              <w:spacing w:after="0"/>
                              <w:contextualSpacing w:val="0"/>
                            </w:pPr>
                            <w:r>
                              <w:t>See sections 4.2 and 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E4F080" id="_x0000_t202" coordsize="21600,21600" o:spt="202" path="m,l,21600r21600,l21600,xe">
                <v:stroke joinstyle="miter"/>
                <v:path gradientshapeok="t" o:connecttype="rect"/>
              </v:shapetype>
              <v:shape id="Text Box 2" o:spid="_x0000_s1026" type="#_x0000_t202" alt="&quot;&quot;" style="position:absolute;margin-left:0;margin-top:60.6pt;width:437.5pt;height:170.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">
                <v:textbox>
                  <w:txbxContent>
                    <w:p w14:paraId="0C5FF194" w14:textId="42E1F960" w:rsidR="002B7ABA" w:rsidRDefault="002B7ABA" w:rsidP="00650ED4">
                      <w:pPr>
                        <w:pStyle w:val="ListParagraph"/>
                        <w:widowControl w:val="0"/>
                        <w:numPr>
                          <w:ilvl w:val="0"/>
                          <w:numId w:val="17"/>
                        </w:numPr>
                        <w:autoSpaceDE w:val="0"/>
                        <w:autoSpaceDN w:val="0"/>
                        <w:spacing w:after="0"/>
                        <w:contextualSpacing w:val="0"/>
                      </w:pPr>
                      <w:r>
                        <w:t xml:space="preserve">Acute systemic </w:t>
                      </w:r>
                      <w:r w:rsidRPr="002642E0">
                        <w:t xml:space="preserve">hypersensitivity </w:t>
                      </w:r>
                      <w:r>
                        <w:t>reaction has been reported after administration of PALYNZIQ</w:t>
                      </w:r>
                      <w:r>
                        <w:rPr>
                          <w:spacing w:val="-9"/>
                        </w:rPr>
                        <w:t xml:space="preserve"> </w:t>
                      </w:r>
                      <w:r>
                        <w:t>and may occur at any stage during treatment</w:t>
                      </w:r>
                    </w:p>
                    <w:p w14:paraId="57C37AFA" w14:textId="7228B65B" w:rsidR="002B7ABA" w:rsidRDefault="002B7ABA" w:rsidP="00650ED4">
                      <w:pPr>
                        <w:pStyle w:val="ListParagraph"/>
                        <w:widowControl w:val="0"/>
                        <w:numPr>
                          <w:ilvl w:val="0"/>
                          <w:numId w:val="17"/>
                        </w:numPr>
                        <w:autoSpaceDE w:val="0"/>
                        <w:autoSpaceDN w:val="0"/>
                        <w:spacing w:after="0"/>
                        <w:contextualSpacing w:val="0"/>
                      </w:pPr>
                      <w:r>
                        <w:t xml:space="preserve">The first dose should be administered in a medical facility capable of managing acute systemic hypersensitivity </w:t>
                      </w:r>
                      <w:r w:rsidRPr="008B0B86">
                        <w:t>reactions</w:t>
                      </w:r>
                      <w:r>
                        <w:t>, patients should be monitored for 60 minutes after the dose</w:t>
                      </w:r>
                    </w:p>
                    <w:p w14:paraId="0151BC37" w14:textId="6292D5C7" w:rsidR="002B7ABA" w:rsidRDefault="002B7ABA" w:rsidP="00650ED4">
                      <w:pPr>
                        <w:pStyle w:val="ListParagraph"/>
                        <w:widowControl w:val="0"/>
                        <w:numPr>
                          <w:ilvl w:val="0"/>
                          <w:numId w:val="17"/>
                        </w:numPr>
                        <w:autoSpaceDE w:val="0"/>
                        <w:autoSpaceDN w:val="0"/>
                        <w:spacing w:after="0"/>
                        <w:contextualSpacing w:val="0"/>
                      </w:pPr>
                      <w:r>
                        <w:t xml:space="preserve">It is recommended that ongoing doses be supervised by a trained observer who has been educated about the recognition and treatment of acute systemic hypersensitivity </w:t>
                      </w:r>
                      <w:r w:rsidRPr="008B0B86">
                        <w:t>reaction</w:t>
                      </w:r>
                      <w:r>
                        <w:t>, including the use of an adrenaline auto-injector</w:t>
                      </w:r>
                    </w:p>
                    <w:p w14:paraId="37AE32F8" w14:textId="362018BF" w:rsidR="002B7ABA" w:rsidRDefault="002B7ABA" w:rsidP="00650ED4">
                      <w:pPr>
                        <w:pStyle w:val="ListParagraph"/>
                        <w:widowControl w:val="0"/>
                        <w:numPr>
                          <w:ilvl w:val="0"/>
                          <w:numId w:val="17"/>
                        </w:numPr>
                        <w:autoSpaceDE w:val="0"/>
                        <w:autoSpaceDN w:val="0"/>
                        <w:spacing w:after="0"/>
                        <w:contextualSpacing w:val="0"/>
                      </w:pPr>
                      <w:r>
                        <w:t xml:space="preserve">Patients should be prescribed an adrenaline auto-injector to carry with them in case of acute systemic hypersensitivity </w:t>
                      </w:r>
                      <w:r w:rsidRPr="008B0B86">
                        <w:t>reactions</w:t>
                      </w:r>
                    </w:p>
                    <w:p w14:paraId="30E61549" w14:textId="77777777" w:rsidR="002B7ABA" w:rsidRDefault="002B7ABA" w:rsidP="00650ED4">
                      <w:pPr>
                        <w:pStyle w:val="ListParagraph"/>
                        <w:widowControl w:val="0"/>
                        <w:numPr>
                          <w:ilvl w:val="0"/>
                          <w:numId w:val="17"/>
                        </w:numPr>
                        <w:autoSpaceDE w:val="0"/>
                        <w:autoSpaceDN w:val="0"/>
                        <w:spacing w:after="0"/>
                        <w:contextualSpacing w:val="0"/>
                      </w:pPr>
                      <w:r>
                        <w:t>See sections 4.2 and 4.3</w:t>
                      </w:r>
                    </w:p>
                  </w:txbxContent>
                </v:textbox>
                <w10:wrap type="square" anchorx="margin"/>
              </v:shape>
            </w:pict>
          </mc:Fallback>
        </mc:AlternateContent>
      </w:r>
      <w:r w:rsidR="004A3D54">
        <w:pict w14:anchorId="04534515">
          <v:shape id="_x0000_i1026" type="#_x0000_t75" alt="Image decorative" style="width:13.8pt;height:13.8pt;visibility:visible;mso-wrap-style:square">
            <v:imagedata r:id="rId11" o:title=""/>
          </v:shape>
        </w:pict>
      </w:r>
      <w:r w:rsidR="0030085C" w:rsidRPr="0030085C">
        <w:rPr>
          <w:rFonts w:eastAsia="Calibri"/>
          <w:szCs w:val="22"/>
        </w:rPr>
        <w:t xml:space="preserve"> This medicinal product is subject to additional monitoring in Australia. This will allow quick identification of new safety information. Healthcare professionals are asked to report any suspected adverse events at </w:t>
      </w:r>
      <w:hyperlink r:id="rId12" w:history="1">
        <w:r w:rsidR="0030085C" w:rsidRPr="0030085C">
          <w:rPr>
            <w:rFonts w:eastAsia="Calibri"/>
            <w:color w:val="0000FF"/>
            <w:szCs w:val="22"/>
            <w:u w:val="single"/>
          </w:rPr>
          <w:t>www.tga.gov.au/reporting-problems</w:t>
        </w:r>
      </w:hyperlink>
      <w:r w:rsidR="0030085C" w:rsidRPr="0030085C">
        <w:rPr>
          <w:rFonts w:eastAsia="Calibri"/>
          <w:szCs w:val="22"/>
        </w:rPr>
        <w:t>.</w:t>
      </w:r>
    </w:p>
    <w:p w14:paraId="6FCC3FCE" w14:textId="597B6F08" w:rsidR="008C3E31" w:rsidRDefault="00A74E71" w:rsidP="002062A3">
      <w:pPr>
        <w:pStyle w:val="0MainTitle"/>
        <w:spacing w:before="720"/>
      </w:pPr>
      <w:r w:rsidRPr="00E2530E">
        <w:t xml:space="preserve">AUSTRALIAN PRODUCT INFORMATION - </w:t>
      </w:r>
      <w:r w:rsidR="00D001E4">
        <w:t>palynziq</w:t>
      </w:r>
      <w:r w:rsidRPr="00E2530E">
        <w:t xml:space="preserve"> </w:t>
      </w:r>
    </w:p>
    <w:p w14:paraId="7D8D0D90" w14:textId="6A8B524A" w:rsidR="00A74E71" w:rsidRDefault="00A74E71" w:rsidP="008C3E31">
      <w:pPr>
        <w:pStyle w:val="Subtitle-activeingredient"/>
      </w:pPr>
      <w:r w:rsidRPr="008C3E31">
        <w:t>(</w:t>
      </w:r>
      <w:proofErr w:type="spellStart"/>
      <w:r w:rsidR="00D001E4">
        <w:t>pegvaliase</w:t>
      </w:r>
      <w:proofErr w:type="spellEnd"/>
      <w:r w:rsidRPr="008C3E31">
        <w:t>)</w:t>
      </w:r>
    </w:p>
    <w:p w14:paraId="29AFB28B" w14:textId="715BED42" w:rsidR="004A6F6E" w:rsidRPr="008450DE" w:rsidRDefault="004A6F6E" w:rsidP="00236810">
      <w:pPr>
        <w:pStyle w:val="Heading1"/>
        <w:numPr>
          <w:ilvl w:val="0"/>
          <w:numId w:val="10"/>
        </w:numPr>
      </w:pPr>
      <w:r w:rsidRPr="008450DE">
        <w:t>Name</w:t>
      </w:r>
      <w:r w:rsidR="00C372C1">
        <w:t xml:space="preserve"> of the Medicine</w:t>
      </w:r>
    </w:p>
    <w:p w14:paraId="5461405B" w14:textId="1011E876" w:rsidR="00242B21" w:rsidRPr="00E2530E" w:rsidRDefault="0050639E" w:rsidP="00E2530E">
      <w:pPr>
        <w:pStyle w:val="BodyText1"/>
      </w:pPr>
      <w:r>
        <w:t>Pegvaliase</w:t>
      </w:r>
      <w:r w:rsidR="00010915">
        <w:t>.</w:t>
      </w:r>
    </w:p>
    <w:p w14:paraId="31EED64D" w14:textId="60A4F82F" w:rsidR="004A6F6E" w:rsidRDefault="004A6F6E" w:rsidP="00236810">
      <w:pPr>
        <w:pStyle w:val="Heading1"/>
        <w:numPr>
          <w:ilvl w:val="0"/>
          <w:numId w:val="10"/>
        </w:numPr>
      </w:pPr>
      <w:r w:rsidRPr="00F45885">
        <w:t>Qualitative and Quantitative Composition</w:t>
      </w:r>
    </w:p>
    <w:p w14:paraId="6F286B4B" w14:textId="39DBC65A" w:rsidR="003E002C" w:rsidRPr="00E738B7" w:rsidRDefault="003E002C" w:rsidP="00DC4C2E">
      <w:pPr>
        <w:widowControl w:val="0"/>
        <w:spacing w:after="120"/>
        <w:rPr>
          <w:szCs w:val="22"/>
        </w:rPr>
      </w:pPr>
      <w:r w:rsidRPr="00E738B7">
        <w:rPr>
          <w:szCs w:val="22"/>
        </w:rPr>
        <w:t>Each 2.5 mg pre-filled syringe contains 2.5 mg pegvaliase in 0.5 </w:t>
      </w:r>
      <w:r w:rsidR="00C71372">
        <w:rPr>
          <w:szCs w:val="22"/>
        </w:rPr>
        <w:t>mL</w:t>
      </w:r>
      <w:r w:rsidR="00C71372" w:rsidRPr="00E738B7">
        <w:rPr>
          <w:szCs w:val="22"/>
        </w:rPr>
        <w:t xml:space="preserve"> </w:t>
      </w:r>
      <w:r w:rsidRPr="00E738B7">
        <w:rPr>
          <w:szCs w:val="22"/>
        </w:rPr>
        <w:t>solution.</w:t>
      </w:r>
    </w:p>
    <w:p w14:paraId="7CA91CD2" w14:textId="3F553507" w:rsidR="003E002C" w:rsidRPr="00E738B7" w:rsidRDefault="003E002C" w:rsidP="00DC4C2E">
      <w:pPr>
        <w:widowControl w:val="0"/>
        <w:spacing w:after="120"/>
        <w:rPr>
          <w:szCs w:val="22"/>
        </w:rPr>
      </w:pPr>
      <w:r w:rsidRPr="00E738B7">
        <w:rPr>
          <w:szCs w:val="22"/>
        </w:rPr>
        <w:t>Each 10 mg pre-filled syringe contains 10 mg pegvaliase in 0.5 </w:t>
      </w:r>
      <w:r w:rsidR="00C71372">
        <w:rPr>
          <w:szCs w:val="22"/>
        </w:rPr>
        <w:t>mL</w:t>
      </w:r>
      <w:r w:rsidR="00C71372" w:rsidRPr="00E738B7">
        <w:rPr>
          <w:szCs w:val="22"/>
        </w:rPr>
        <w:t xml:space="preserve"> </w:t>
      </w:r>
      <w:r w:rsidRPr="00E738B7">
        <w:rPr>
          <w:szCs w:val="22"/>
        </w:rPr>
        <w:t>solution.</w:t>
      </w:r>
    </w:p>
    <w:p w14:paraId="7EC398CD" w14:textId="42E01699" w:rsidR="003E002C" w:rsidRPr="00E738B7" w:rsidRDefault="003E002C" w:rsidP="003E002C">
      <w:pPr>
        <w:widowControl w:val="0"/>
        <w:rPr>
          <w:szCs w:val="22"/>
        </w:rPr>
      </w:pPr>
      <w:r w:rsidRPr="00E738B7">
        <w:rPr>
          <w:szCs w:val="22"/>
        </w:rPr>
        <w:t>Each 20 mg pre-filled syringe contains 20 mg pegvaliase in 1 </w:t>
      </w:r>
      <w:r w:rsidR="00C71372">
        <w:rPr>
          <w:szCs w:val="22"/>
        </w:rPr>
        <w:t>mL</w:t>
      </w:r>
      <w:r w:rsidR="00C71372" w:rsidRPr="00E738B7">
        <w:rPr>
          <w:szCs w:val="22"/>
        </w:rPr>
        <w:t xml:space="preserve"> </w:t>
      </w:r>
      <w:r w:rsidRPr="00E738B7">
        <w:rPr>
          <w:szCs w:val="22"/>
        </w:rPr>
        <w:t>solution.</w:t>
      </w:r>
    </w:p>
    <w:p w14:paraId="10244C32" w14:textId="43D0726B" w:rsidR="003E002C" w:rsidRPr="00E738B7" w:rsidRDefault="003E002C" w:rsidP="003E002C">
      <w:pPr>
        <w:widowControl w:val="0"/>
        <w:rPr>
          <w:szCs w:val="22"/>
        </w:rPr>
      </w:pPr>
      <w:r w:rsidRPr="00E738B7">
        <w:rPr>
          <w:bCs/>
          <w:szCs w:val="22"/>
        </w:rPr>
        <w:t>The strength indicates the quantity of the phenylalanine ammonia lyase (</w:t>
      </w:r>
      <w:proofErr w:type="spellStart"/>
      <w:r w:rsidRPr="00E738B7">
        <w:rPr>
          <w:bCs/>
          <w:szCs w:val="22"/>
        </w:rPr>
        <w:t>rAvPAL</w:t>
      </w:r>
      <w:proofErr w:type="spellEnd"/>
      <w:r w:rsidRPr="00E738B7">
        <w:rPr>
          <w:bCs/>
          <w:szCs w:val="22"/>
        </w:rPr>
        <w:t xml:space="preserve">) moiety of </w:t>
      </w:r>
      <w:proofErr w:type="spellStart"/>
      <w:r w:rsidRPr="00E738B7">
        <w:rPr>
          <w:bCs/>
          <w:szCs w:val="22"/>
        </w:rPr>
        <w:t>pegvaliase</w:t>
      </w:r>
      <w:proofErr w:type="spellEnd"/>
      <w:r w:rsidRPr="00E738B7">
        <w:rPr>
          <w:bCs/>
          <w:szCs w:val="22"/>
        </w:rPr>
        <w:t xml:space="preserve"> without consideration of the PEGylation.</w:t>
      </w:r>
    </w:p>
    <w:p w14:paraId="1C8827D3" w14:textId="466BCD48" w:rsidR="003E002C" w:rsidRPr="00E738B7" w:rsidRDefault="003E002C" w:rsidP="003E002C">
      <w:pPr>
        <w:widowControl w:val="0"/>
        <w:rPr>
          <w:bCs/>
          <w:szCs w:val="22"/>
        </w:rPr>
      </w:pPr>
      <w:r w:rsidRPr="00E738B7">
        <w:rPr>
          <w:bCs/>
          <w:szCs w:val="22"/>
        </w:rPr>
        <w:t>The active substance is a covalent conjugate of the protein phenylalanine ammonia lyase (</w:t>
      </w:r>
      <w:proofErr w:type="spellStart"/>
      <w:r w:rsidRPr="00E738B7">
        <w:rPr>
          <w:bCs/>
          <w:szCs w:val="22"/>
        </w:rPr>
        <w:t>rAvPAL</w:t>
      </w:r>
      <w:proofErr w:type="spellEnd"/>
      <w:r w:rsidRPr="00E738B7">
        <w:rPr>
          <w:bCs/>
          <w:szCs w:val="22"/>
        </w:rPr>
        <w:t>)* with NHS</w:t>
      </w:r>
      <w:r w:rsidRPr="00E738B7">
        <w:rPr>
          <w:bCs/>
          <w:szCs w:val="22"/>
        </w:rPr>
        <w:noBreakHyphen/>
      </w:r>
      <w:proofErr w:type="spellStart"/>
      <w:r w:rsidRPr="00E738B7">
        <w:rPr>
          <w:bCs/>
          <w:szCs w:val="22"/>
        </w:rPr>
        <w:t>methoxypolyethylene</w:t>
      </w:r>
      <w:proofErr w:type="spellEnd"/>
      <w:r w:rsidRPr="00E738B7">
        <w:rPr>
          <w:bCs/>
          <w:szCs w:val="22"/>
        </w:rPr>
        <w:t xml:space="preserve"> glycol (NHS</w:t>
      </w:r>
      <w:r w:rsidRPr="00E738B7">
        <w:rPr>
          <w:bCs/>
          <w:szCs w:val="22"/>
        </w:rPr>
        <w:noBreakHyphen/>
        <w:t>PEG).</w:t>
      </w:r>
    </w:p>
    <w:p w14:paraId="12AD30CD" w14:textId="7907966D" w:rsidR="003E002C" w:rsidRPr="00E738B7" w:rsidRDefault="003E002C" w:rsidP="003E002C">
      <w:pPr>
        <w:widowControl w:val="0"/>
        <w:rPr>
          <w:szCs w:val="22"/>
        </w:rPr>
      </w:pPr>
      <w:r w:rsidRPr="00E738B7">
        <w:rPr>
          <w:bCs/>
          <w:szCs w:val="22"/>
        </w:rPr>
        <w:t xml:space="preserve">* </w:t>
      </w:r>
      <w:r w:rsidRPr="00E738B7">
        <w:rPr>
          <w:bCs/>
          <w:i/>
          <w:szCs w:val="22"/>
        </w:rPr>
        <w:t>Anabaena variabilis</w:t>
      </w:r>
      <w:r w:rsidRPr="00E738B7">
        <w:rPr>
          <w:bCs/>
          <w:szCs w:val="22"/>
        </w:rPr>
        <w:t xml:space="preserve"> </w:t>
      </w:r>
      <w:proofErr w:type="spellStart"/>
      <w:r w:rsidRPr="00E738B7">
        <w:rPr>
          <w:bCs/>
          <w:szCs w:val="22"/>
        </w:rPr>
        <w:t>rAvPAL</w:t>
      </w:r>
      <w:proofErr w:type="spellEnd"/>
      <w:r w:rsidRPr="00E738B7">
        <w:rPr>
          <w:bCs/>
          <w:szCs w:val="22"/>
        </w:rPr>
        <w:t xml:space="preserve"> produced by recombinant DNA technology in </w:t>
      </w:r>
      <w:r w:rsidRPr="00E738B7">
        <w:rPr>
          <w:bCs/>
          <w:i/>
          <w:szCs w:val="22"/>
        </w:rPr>
        <w:t>Escherichia coli.</w:t>
      </w:r>
    </w:p>
    <w:p w14:paraId="44B66EC2" w14:textId="27D03920" w:rsidR="003E002C" w:rsidRPr="00E738B7" w:rsidRDefault="003E002C" w:rsidP="009E1CBE">
      <w:pPr>
        <w:autoSpaceDE w:val="0"/>
        <w:autoSpaceDN w:val="0"/>
        <w:adjustRightInd w:val="0"/>
        <w:rPr>
          <w:szCs w:val="22"/>
        </w:rPr>
      </w:pPr>
      <w:r w:rsidRPr="00E738B7">
        <w:rPr>
          <w:bCs/>
          <w:szCs w:val="22"/>
        </w:rPr>
        <w:t>The potency of this medicinal product should not be compared to any other PEGylated or non</w:t>
      </w:r>
      <w:r w:rsidRPr="00E738B7">
        <w:rPr>
          <w:bCs/>
          <w:szCs w:val="22"/>
        </w:rPr>
        <w:noBreakHyphen/>
        <w:t>PEGylated protein</w:t>
      </w:r>
      <w:r w:rsidR="00A278B7">
        <w:rPr>
          <w:bCs/>
          <w:szCs w:val="22"/>
        </w:rPr>
        <w:t>s</w:t>
      </w:r>
      <w:r w:rsidRPr="00E738B7">
        <w:rPr>
          <w:bCs/>
          <w:szCs w:val="22"/>
        </w:rPr>
        <w:t xml:space="preserve"> of the same therapeutic class.</w:t>
      </w:r>
    </w:p>
    <w:p w14:paraId="2945265B" w14:textId="5D7AFC62" w:rsidR="00DA7109" w:rsidRDefault="003E002C" w:rsidP="00413411">
      <w:r w:rsidRPr="00E738B7">
        <w:t>For the full list of excipients, see section 6.1</w:t>
      </w:r>
      <w:r w:rsidR="00DF70AE">
        <w:t xml:space="preserve"> List of excipients</w:t>
      </w:r>
      <w:r w:rsidR="008450DE">
        <w:t xml:space="preserve">. </w:t>
      </w:r>
    </w:p>
    <w:p w14:paraId="4D92A334" w14:textId="3F6F80BE" w:rsidR="004A6F6E" w:rsidRDefault="00242B21" w:rsidP="00236810">
      <w:pPr>
        <w:pStyle w:val="Heading1"/>
        <w:numPr>
          <w:ilvl w:val="0"/>
          <w:numId w:val="10"/>
        </w:numPr>
      </w:pPr>
      <w:r>
        <w:t>Pharmaceutical Form</w:t>
      </w:r>
    </w:p>
    <w:p w14:paraId="700EA946" w14:textId="0DD04C4F" w:rsidR="00566527" w:rsidRPr="00E738B7" w:rsidRDefault="00566527" w:rsidP="00566527">
      <w:pPr>
        <w:rPr>
          <w:szCs w:val="22"/>
        </w:rPr>
      </w:pPr>
      <w:r w:rsidRPr="00E738B7">
        <w:rPr>
          <w:szCs w:val="22"/>
        </w:rPr>
        <w:lastRenderedPageBreak/>
        <w:t>Solution for injection.</w:t>
      </w:r>
    </w:p>
    <w:p w14:paraId="7D80DA3D" w14:textId="77777777" w:rsidR="00566527" w:rsidRPr="00E738B7" w:rsidRDefault="00566527" w:rsidP="00566527">
      <w:pPr>
        <w:rPr>
          <w:szCs w:val="22"/>
        </w:rPr>
      </w:pPr>
      <w:r w:rsidRPr="00E738B7">
        <w:rPr>
          <w:szCs w:val="22"/>
        </w:rPr>
        <w:t>Colourless to pale yellow, clear to slightly opalescent solution with pH 6.6 – 7.4.</w:t>
      </w:r>
    </w:p>
    <w:p w14:paraId="096AA444" w14:textId="77777777" w:rsidR="00566527" w:rsidRPr="00E738B7" w:rsidRDefault="00566527" w:rsidP="00566527">
      <w:pPr>
        <w:keepNext/>
        <w:rPr>
          <w:szCs w:val="22"/>
          <w:u w:val="single"/>
        </w:rPr>
      </w:pPr>
      <w:r w:rsidRPr="00E738B7">
        <w:rPr>
          <w:szCs w:val="22"/>
          <w:u w:val="single"/>
        </w:rPr>
        <w:t>2.5 mg pre</w:t>
      </w:r>
      <w:r w:rsidRPr="00E738B7">
        <w:rPr>
          <w:szCs w:val="22"/>
          <w:u w:val="single"/>
        </w:rPr>
        <w:noBreakHyphen/>
        <w:t>filled syringe:</w:t>
      </w:r>
    </w:p>
    <w:p w14:paraId="523103B9" w14:textId="4ABEECE7" w:rsidR="00566527" w:rsidRPr="00E738B7" w:rsidRDefault="00566527" w:rsidP="00566527">
      <w:pPr>
        <w:rPr>
          <w:szCs w:val="22"/>
        </w:rPr>
      </w:pPr>
      <w:r w:rsidRPr="00E738B7">
        <w:rPr>
          <w:szCs w:val="22"/>
        </w:rPr>
        <w:t>Osmolality: 260 – 290 </w:t>
      </w:r>
      <w:proofErr w:type="spellStart"/>
      <w:r w:rsidRPr="00E738B7">
        <w:rPr>
          <w:szCs w:val="22"/>
        </w:rPr>
        <w:t>mOsm</w:t>
      </w:r>
      <w:proofErr w:type="spellEnd"/>
      <w:r w:rsidRPr="00E738B7">
        <w:rPr>
          <w:szCs w:val="22"/>
        </w:rPr>
        <w:t>/kg</w:t>
      </w:r>
    </w:p>
    <w:p w14:paraId="3D689F08" w14:textId="77777777" w:rsidR="00566527" w:rsidRPr="00E738B7" w:rsidRDefault="00566527" w:rsidP="00566527">
      <w:pPr>
        <w:keepNext/>
        <w:rPr>
          <w:szCs w:val="22"/>
          <w:u w:val="single"/>
        </w:rPr>
      </w:pPr>
      <w:r w:rsidRPr="00E738B7">
        <w:rPr>
          <w:szCs w:val="22"/>
          <w:u w:val="single"/>
        </w:rPr>
        <w:t>10 mg and 20 mg pre</w:t>
      </w:r>
      <w:r w:rsidRPr="00E738B7">
        <w:rPr>
          <w:szCs w:val="22"/>
          <w:u w:val="single"/>
        </w:rPr>
        <w:noBreakHyphen/>
        <w:t>filled syringe:</w:t>
      </w:r>
    </w:p>
    <w:p w14:paraId="629F0C52" w14:textId="71A9D30A" w:rsidR="00C372C1" w:rsidRPr="00C372C1" w:rsidRDefault="00566527" w:rsidP="00566527">
      <w:pPr>
        <w:pStyle w:val="BodyText1"/>
        <w:rPr>
          <w:highlight w:val="yellow"/>
        </w:rPr>
      </w:pPr>
      <w:r w:rsidRPr="00E738B7">
        <w:rPr>
          <w:szCs w:val="22"/>
        </w:rPr>
        <w:t>Osmolality: 285 – 315 </w:t>
      </w:r>
      <w:proofErr w:type="spellStart"/>
      <w:r w:rsidRPr="00E738B7">
        <w:rPr>
          <w:szCs w:val="22"/>
        </w:rPr>
        <w:t>mOsm</w:t>
      </w:r>
      <w:proofErr w:type="spellEnd"/>
      <w:r w:rsidRPr="00E738B7">
        <w:rPr>
          <w:szCs w:val="22"/>
        </w:rPr>
        <w:t>/kg, viscous solution</w:t>
      </w:r>
    </w:p>
    <w:p w14:paraId="4C4DC604" w14:textId="44C55D74" w:rsidR="00242B21" w:rsidRDefault="008450DE" w:rsidP="00C372C1">
      <w:pPr>
        <w:pStyle w:val="Heading1"/>
      </w:pPr>
      <w:r>
        <w:t xml:space="preserve">4. </w:t>
      </w:r>
      <w:r w:rsidR="00242B21">
        <w:t>Clinical Particulars</w:t>
      </w:r>
    </w:p>
    <w:p w14:paraId="5EB25E25" w14:textId="4A1C048A" w:rsidR="00242B21" w:rsidRPr="008450DE" w:rsidRDefault="008450DE" w:rsidP="005C682D">
      <w:pPr>
        <w:pStyle w:val="Heading2"/>
      </w:pPr>
      <w:r w:rsidRPr="008450DE">
        <w:t xml:space="preserve">4.1 </w:t>
      </w:r>
      <w:r w:rsidR="00B959F0">
        <w:t>Therapeutic i</w:t>
      </w:r>
      <w:r w:rsidR="00242B21" w:rsidRPr="008450DE">
        <w:t>ndications</w:t>
      </w:r>
    </w:p>
    <w:p w14:paraId="581EF05A" w14:textId="6E526318" w:rsidR="00361478" w:rsidRDefault="008706E4" w:rsidP="00D621B2">
      <w:pPr>
        <w:pStyle w:val="BodyText1"/>
      </w:pPr>
      <w:r>
        <w:rPr>
          <w:bCs/>
          <w:szCs w:val="22"/>
        </w:rPr>
        <w:t>PALYNZIQ</w:t>
      </w:r>
      <w:r w:rsidR="00BC463A" w:rsidRPr="00E738B7">
        <w:rPr>
          <w:bCs/>
          <w:szCs w:val="22"/>
        </w:rPr>
        <w:t xml:space="preserve"> is indicated for the treatment of patients with phenylketonuria (PKU) aged 16 years and older who have inadequate blood phenylalanine </w:t>
      </w:r>
      <w:proofErr w:type="gramStart"/>
      <w:r w:rsidR="00BC463A" w:rsidRPr="00E738B7">
        <w:rPr>
          <w:bCs/>
          <w:szCs w:val="22"/>
        </w:rPr>
        <w:t>control  despite</w:t>
      </w:r>
      <w:proofErr w:type="gramEnd"/>
      <w:r w:rsidR="00BC463A" w:rsidRPr="00E738B7">
        <w:rPr>
          <w:bCs/>
          <w:szCs w:val="22"/>
        </w:rPr>
        <w:t xml:space="preserve"> prior management with available treatment options.</w:t>
      </w:r>
    </w:p>
    <w:p w14:paraId="416C8B42" w14:textId="681E78BD" w:rsidR="00242B21" w:rsidRDefault="008450DE" w:rsidP="005C682D">
      <w:pPr>
        <w:pStyle w:val="Heading2"/>
      </w:pPr>
      <w:r>
        <w:t xml:space="preserve">4.2 </w:t>
      </w:r>
      <w:r w:rsidR="00D86907">
        <w:t xml:space="preserve">Dose and </w:t>
      </w:r>
      <w:r w:rsidR="00B959F0">
        <w:t xml:space="preserve">method of </w:t>
      </w:r>
      <w:r w:rsidR="009F0747">
        <w:t>administration</w:t>
      </w:r>
    </w:p>
    <w:p w14:paraId="61FDB0A9" w14:textId="6EB20EEB" w:rsidR="00B252E4" w:rsidRPr="00E738B7" w:rsidRDefault="00B252E4" w:rsidP="00D72499">
      <w:pPr>
        <w:pStyle w:val="BodyText1"/>
      </w:pPr>
      <w:r w:rsidRPr="00E738B7">
        <w:t xml:space="preserve">Treatment with </w:t>
      </w:r>
      <w:r w:rsidR="008706E4">
        <w:t>PALYNZIQ</w:t>
      </w:r>
      <w:r w:rsidRPr="00E738B7">
        <w:t xml:space="preserve"> should be directed by physicians experienced in the management of PKU</w:t>
      </w:r>
      <w:r w:rsidR="00F4705A">
        <w:t xml:space="preserve"> and in the context of a multidisciplinary team, including dietician</w:t>
      </w:r>
      <w:r w:rsidRPr="00E738B7">
        <w:t>.</w:t>
      </w:r>
    </w:p>
    <w:p w14:paraId="14D1002F" w14:textId="7B9DD98F" w:rsidR="00EF3571" w:rsidRDefault="00B252E4" w:rsidP="00EF3571">
      <w:pPr>
        <w:pStyle w:val="BodyText"/>
        <w:spacing w:before="121"/>
      </w:pPr>
      <w:r w:rsidRPr="00E738B7">
        <w:t xml:space="preserve">Before initiating treatment, blood phenylalanine level must be obtained. </w:t>
      </w:r>
      <w:bookmarkStart w:id="0" w:name="_Hlk534007921"/>
      <w:r w:rsidRPr="00E738B7">
        <w:t xml:space="preserve">Monitoring of blood phenylalanine level is recommended </w:t>
      </w:r>
      <w:r w:rsidR="00AE5D2D">
        <w:rPr>
          <w:spacing w:val="-2"/>
        </w:rPr>
        <w:t xml:space="preserve">at least </w:t>
      </w:r>
      <w:r w:rsidRPr="00E738B7">
        <w:t>once a month</w:t>
      </w:r>
      <w:bookmarkEnd w:id="0"/>
      <w:r w:rsidRPr="00E738B7">
        <w:t>.</w:t>
      </w:r>
      <w:r w:rsidR="00A71CFD">
        <w:t xml:space="preserve"> </w:t>
      </w:r>
      <w:r w:rsidR="00EF3571">
        <w:t xml:space="preserve">More frequent monitoring is recommended (e.g. weekly) when there are dose adjustments. </w:t>
      </w:r>
    </w:p>
    <w:p w14:paraId="740AEB9C" w14:textId="3100C6A5" w:rsidR="00B252E4" w:rsidRPr="00B252E4" w:rsidRDefault="00B252E4" w:rsidP="00D72499">
      <w:pPr>
        <w:pStyle w:val="BodyText1"/>
      </w:pPr>
      <w:r w:rsidRPr="00E738B7">
        <w:t>Dietary phenylalanine intake should remain consistent until a maintenance dose is established.</w:t>
      </w:r>
      <w:r w:rsidR="002D45B4">
        <w:t xml:space="preserve"> Dietary advice should be obtained if blood phenylalanine drops below 120 </w:t>
      </w:r>
      <w:proofErr w:type="spellStart"/>
      <w:r w:rsidR="002D45B4">
        <w:t>micromol</w:t>
      </w:r>
      <w:proofErr w:type="spellEnd"/>
      <w:r w:rsidR="002D45B4">
        <w:t>/L.</w:t>
      </w:r>
    </w:p>
    <w:p w14:paraId="598679B6" w14:textId="0E995DA7" w:rsidR="00EF0489" w:rsidRPr="00F95E9C" w:rsidRDefault="00EF0489" w:rsidP="00EF0489">
      <w:pPr>
        <w:pStyle w:val="Heading3"/>
      </w:pPr>
      <w:r w:rsidRPr="00F95E9C">
        <w:t>Dos</w:t>
      </w:r>
      <w:r w:rsidR="00566FC5">
        <w:t>age</w:t>
      </w:r>
    </w:p>
    <w:p w14:paraId="6BD41B64" w14:textId="3F3A1364" w:rsidR="00783CD7" w:rsidRPr="00783CD7" w:rsidRDefault="00783CD7" w:rsidP="00D72499">
      <w:pPr>
        <w:pStyle w:val="BodyText1"/>
        <w:rPr>
          <w:lang w:val="en-GB"/>
        </w:rPr>
      </w:pPr>
      <w:r w:rsidRPr="00B2322B">
        <w:rPr>
          <w:u w:val="single"/>
          <w:lang w:val="en-GB"/>
        </w:rPr>
        <w:t>Induction</w:t>
      </w:r>
      <w:r w:rsidR="00954056">
        <w:rPr>
          <w:u w:val="single"/>
          <w:lang w:val="en-GB"/>
        </w:rPr>
        <w:br/>
      </w:r>
      <w:r w:rsidRPr="00783CD7">
        <w:rPr>
          <w:lang w:val="en-GB"/>
        </w:rPr>
        <w:t xml:space="preserve">The recommended starting dose of </w:t>
      </w:r>
      <w:r w:rsidR="008706E4">
        <w:rPr>
          <w:lang w:val="en-GB"/>
        </w:rPr>
        <w:t>PALYNZIQ</w:t>
      </w:r>
      <w:r w:rsidRPr="00783CD7">
        <w:rPr>
          <w:lang w:val="en-GB"/>
        </w:rPr>
        <w:t xml:space="preserve"> is 2.5 mg administered once per week for 4 weeks.</w:t>
      </w:r>
    </w:p>
    <w:p w14:paraId="04CA1D31" w14:textId="2A9F6F55" w:rsidR="00783CD7" w:rsidRPr="00783CD7" w:rsidRDefault="00783CD7" w:rsidP="00D72499">
      <w:pPr>
        <w:pStyle w:val="BodyText1"/>
        <w:rPr>
          <w:lang w:val="en-GB"/>
        </w:rPr>
      </w:pPr>
      <w:r w:rsidRPr="00954056">
        <w:rPr>
          <w:u w:val="single"/>
          <w:lang w:val="en-GB"/>
        </w:rPr>
        <w:t>Titration</w:t>
      </w:r>
      <w:r w:rsidR="00954056">
        <w:rPr>
          <w:lang w:val="en-GB"/>
        </w:rPr>
        <w:br/>
      </w:r>
      <w:r w:rsidRPr="00783CD7">
        <w:rPr>
          <w:lang w:val="en-GB"/>
        </w:rPr>
        <w:t>The dose should be escalated gradually based on tolerability to the daily maintenance dose required to achieve blood phenylalanine level of 120 to 600 </w:t>
      </w:r>
      <w:proofErr w:type="spellStart"/>
      <w:r w:rsidR="009D51CD">
        <w:rPr>
          <w:lang w:val="en-GB"/>
        </w:rPr>
        <w:t>micromol</w:t>
      </w:r>
      <w:proofErr w:type="spellEnd"/>
      <w:r w:rsidR="009D51CD">
        <w:rPr>
          <w:lang w:val="en-GB"/>
        </w:rPr>
        <w:t>/L</w:t>
      </w:r>
      <w:r w:rsidRPr="00783CD7">
        <w:rPr>
          <w:lang w:val="en-GB"/>
        </w:rPr>
        <w:t xml:space="preserve"> according to </w:t>
      </w:r>
      <w:r w:rsidR="00236810">
        <w:rPr>
          <w:lang w:val="en-GB"/>
        </w:rPr>
        <w:fldChar w:fldCharType="begin"/>
      </w:r>
      <w:r w:rsidR="00236810">
        <w:rPr>
          <w:lang w:val="en-GB"/>
        </w:rPr>
        <w:instrText xml:space="preserve"> REF _Ref32826128 \h </w:instrText>
      </w:r>
      <w:r w:rsidR="00236810">
        <w:rPr>
          <w:lang w:val="en-GB"/>
        </w:rPr>
      </w:r>
      <w:r w:rsidR="00236810">
        <w:rPr>
          <w:lang w:val="en-GB"/>
        </w:rPr>
        <w:fldChar w:fldCharType="separate"/>
      </w:r>
      <w:r w:rsidR="004970E9">
        <w:t xml:space="preserve">Table </w:t>
      </w:r>
      <w:r w:rsidR="004970E9">
        <w:rPr>
          <w:noProof/>
        </w:rPr>
        <w:t>1</w:t>
      </w:r>
      <w:r w:rsidR="00236810">
        <w:rPr>
          <w:lang w:val="en-GB"/>
        </w:rPr>
        <w:fldChar w:fldCharType="end"/>
      </w:r>
      <w:r w:rsidRPr="00783CD7">
        <w:rPr>
          <w:lang w:val="en-GB"/>
        </w:rPr>
        <w:t xml:space="preserve">. </w:t>
      </w:r>
    </w:p>
    <w:p w14:paraId="16F829B7" w14:textId="76930017" w:rsidR="00EF0489" w:rsidRDefault="00783CD7" w:rsidP="00D72499">
      <w:pPr>
        <w:pStyle w:val="BodyText1"/>
        <w:rPr>
          <w:lang w:val="en-GB"/>
        </w:rPr>
      </w:pPr>
      <w:r w:rsidRPr="00954056">
        <w:rPr>
          <w:u w:val="single"/>
          <w:lang w:val="en-GB"/>
        </w:rPr>
        <w:t>Maintenance</w:t>
      </w:r>
      <w:r w:rsidR="00954056" w:rsidRPr="00954056">
        <w:rPr>
          <w:lang w:val="en-GB"/>
        </w:rPr>
        <w:br/>
      </w:r>
      <w:r w:rsidRPr="00783CD7">
        <w:rPr>
          <w:lang w:val="en-GB"/>
        </w:rPr>
        <w:t>The maintenance dose is individualised to achieve patient’s blood phenylalanine control (i.e., a phenylalanine level between 120 to 600 </w:t>
      </w:r>
      <w:proofErr w:type="spellStart"/>
      <w:r w:rsidR="009D51CD">
        <w:rPr>
          <w:lang w:val="en-GB"/>
        </w:rPr>
        <w:t>micromol</w:t>
      </w:r>
      <w:proofErr w:type="spellEnd"/>
      <w:r w:rsidR="009D51CD">
        <w:rPr>
          <w:lang w:val="en-GB"/>
        </w:rPr>
        <w:t>/L</w:t>
      </w:r>
      <w:r w:rsidRPr="00783CD7">
        <w:rPr>
          <w:lang w:val="en-GB"/>
        </w:rPr>
        <w:t xml:space="preserve">) taking into account patient tolerability to </w:t>
      </w:r>
      <w:r w:rsidR="008706E4">
        <w:rPr>
          <w:lang w:val="en-GB"/>
        </w:rPr>
        <w:t>PALYNZIQ</w:t>
      </w:r>
      <w:r w:rsidRPr="00783CD7">
        <w:rPr>
          <w:lang w:val="en-GB"/>
        </w:rPr>
        <w:t xml:space="preserve"> and dietary protein intake (see </w:t>
      </w:r>
      <w:r w:rsidR="00236810">
        <w:rPr>
          <w:lang w:val="en-GB"/>
        </w:rPr>
        <w:fldChar w:fldCharType="begin"/>
      </w:r>
      <w:r w:rsidR="00236810">
        <w:rPr>
          <w:lang w:val="en-GB"/>
        </w:rPr>
        <w:instrText xml:space="preserve"> REF _Ref32826128 \h </w:instrText>
      </w:r>
      <w:r w:rsidR="00236810">
        <w:rPr>
          <w:lang w:val="en-GB"/>
        </w:rPr>
      </w:r>
      <w:r w:rsidR="00236810">
        <w:rPr>
          <w:lang w:val="en-GB"/>
        </w:rPr>
        <w:fldChar w:fldCharType="separate"/>
      </w:r>
      <w:r w:rsidR="004970E9">
        <w:t xml:space="preserve">Table </w:t>
      </w:r>
      <w:r w:rsidR="004970E9">
        <w:rPr>
          <w:noProof/>
        </w:rPr>
        <w:t>1</w:t>
      </w:r>
      <w:r w:rsidR="00236810">
        <w:rPr>
          <w:lang w:val="en-GB"/>
        </w:rPr>
        <w:fldChar w:fldCharType="end"/>
      </w:r>
      <w:r w:rsidRPr="00783CD7">
        <w:rPr>
          <w:lang w:val="en-GB"/>
        </w:rPr>
        <w:t>).</w:t>
      </w:r>
    </w:p>
    <w:p w14:paraId="52CA2FED" w14:textId="72EE2DE7" w:rsidR="001003C1" w:rsidRPr="00236810" w:rsidRDefault="00236810" w:rsidP="006518B2">
      <w:pPr>
        <w:pStyle w:val="Table-Heading1"/>
        <w:keepNext/>
      </w:pPr>
      <w:bookmarkStart w:id="1" w:name="_Ref32826128"/>
      <w:r>
        <w:lastRenderedPageBreak/>
        <w:t xml:space="preserve">Table </w:t>
      </w:r>
      <w:fldSimple w:instr=" SEQ Table \* ARABIC ">
        <w:r w:rsidR="004970E9">
          <w:rPr>
            <w:noProof/>
          </w:rPr>
          <w:t>1</w:t>
        </w:r>
      </w:fldSimple>
      <w:bookmarkEnd w:id="1"/>
      <w:r>
        <w:t>: Recommended dosing regimen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3844"/>
        <w:gridCol w:w="3756"/>
      </w:tblGrid>
      <w:tr w:rsidR="00035B45" w:rsidRPr="00035B45" w14:paraId="089A57EC" w14:textId="77777777" w:rsidTr="009D51CD">
        <w:trPr>
          <w:trHeight w:val="58"/>
          <w:jc w:val="center"/>
        </w:trPr>
        <w:tc>
          <w:tcPr>
            <w:tcW w:w="785" w:type="pct"/>
          </w:tcPr>
          <w:p w14:paraId="7D61FF85" w14:textId="77777777" w:rsidR="00035B45" w:rsidRPr="00035B45" w:rsidRDefault="00035B45" w:rsidP="00BA36EE">
            <w:pPr>
              <w:keepNext/>
              <w:tabs>
                <w:tab w:val="left" w:pos="567"/>
              </w:tabs>
              <w:spacing w:before="60" w:after="60"/>
              <w:rPr>
                <w:rFonts w:eastAsia="Times New Roman"/>
                <w:b/>
                <w:bCs/>
                <w:sz w:val="22"/>
                <w:szCs w:val="22"/>
                <w:lang w:val="en-GB"/>
              </w:rPr>
            </w:pPr>
          </w:p>
        </w:tc>
        <w:tc>
          <w:tcPr>
            <w:tcW w:w="2132" w:type="pct"/>
            <w:shd w:val="clear" w:color="auto" w:fill="auto"/>
          </w:tcPr>
          <w:p w14:paraId="6700FD3B" w14:textId="3DDB9D5C"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b/>
                <w:bCs/>
                <w:sz w:val="22"/>
                <w:szCs w:val="22"/>
                <w:lang w:val="en-GB"/>
              </w:rPr>
              <w:t>Dose</w:t>
            </w:r>
            <w:r w:rsidRPr="00035B45">
              <w:rPr>
                <w:rFonts w:eastAsia="Times New Roman"/>
                <w:bCs/>
                <w:sz w:val="22"/>
                <w:szCs w:val="22"/>
                <w:vertAlign w:val="superscript"/>
                <w:lang w:val="en-GB"/>
              </w:rPr>
              <w:t>1</w:t>
            </w:r>
            <w:r w:rsidRPr="00035B45">
              <w:rPr>
                <w:rFonts w:eastAsia="Times New Roman"/>
                <w:bCs/>
                <w:sz w:val="22"/>
                <w:szCs w:val="22"/>
                <w:lang w:val="en-GB"/>
              </w:rPr>
              <w:t xml:space="preserve"> </w:t>
            </w:r>
            <w:r w:rsidRPr="00035B45">
              <w:rPr>
                <w:rFonts w:eastAsia="Times New Roman"/>
                <w:b/>
                <w:bCs/>
                <w:sz w:val="22"/>
                <w:szCs w:val="22"/>
                <w:lang w:val="en-GB"/>
              </w:rPr>
              <w:t>administered subcutaneously</w:t>
            </w:r>
          </w:p>
        </w:tc>
        <w:tc>
          <w:tcPr>
            <w:tcW w:w="2083" w:type="pct"/>
            <w:shd w:val="clear" w:color="auto" w:fill="auto"/>
          </w:tcPr>
          <w:p w14:paraId="2BFF9F98"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b/>
                <w:bCs/>
                <w:sz w:val="22"/>
                <w:szCs w:val="22"/>
                <w:lang w:val="en-GB"/>
              </w:rPr>
              <w:t>Duration prior to next dose increase</w:t>
            </w:r>
            <w:r w:rsidRPr="00035B45">
              <w:rPr>
                <w:rFonts w:eastAsia="Times New Roman"/>
                <w:bCs/>
                <w:sz w:val="22"/>
                <w:szCs w:val="22"/>
                <w:vertAlign w:val="superscript"/>
                <w:lang w:val="en-GB"/>
              </w:rPr>
              <w:t xml:space="preserve"> </w:t>
            </w:r>
          </w:p>
        </w:tc>
      </w:tr>
      <w:tr w:rsidR="00035B45" w:rsidRPr="00035B45" w14:paraId="0439BE2C" w14:textId="77777777" w:rsidTr="009D51CD">
        <w:trPr>
          <w:trHeight w:val="35"/>
          <w:jc w:val="center"/>
        </w:trPr>
        <w:tc>
          <w:tcPr>
            <w:tcW w:w="785" w:type="pct"/>
          </w:tcPr>
          <w:p w14:paraId="242BBA13" w14:textId="77777777" w:rsidR="00035B45" w:rsidRPr="00035B45" w:rsidDel="00F000DF" w:rsidRDefault="00035B45" w:rsidP="00BA36EE">
            <w:pPr>
              <w:keepNext/>
              <w:tabs>
                <w:tab w:val="left" w:pos="567"/>
              </w:tabs>
              <w:spacing w:before="60" w:after="60"/>
              <w:rPr>
                <w:rFonts w:eastAsia="Times New Roman"/>
                <w:bCs/>
                <w:sz w:val="22"/>
                <w:szCs w:val="22"/>
                <w:lang w:val="en-GB"/>
              </w:rPr>
            </w:pPr>
            <w:r w:rsidRPr="00035B45">
              <w:rPr>
                <w:rFonts w:eastAsia="Times New Roman"/>
                <w:bCs/>
                <w:sz w:val="22"/>
                <w:szCs w:val="22"/>
                <w:lang w:val="en-GB"/>
              </w:rPr>
              <w:t>Induction</w:t>
            </w:r>
          </w:p>
        </w:tc>
        <w:tc>
          <w:tcPr>
            <w:tcW w:w="2132" w:type="pct"/>
            <w:shd w:val="clear" w:color="auto" w:fill="auto"/>
          </w:tcPr>
          <w:p w14:paraId="3C8E2D5D"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bCs/>
                <w:sz w:val="22"/>
                <w:szCs w:val="22"/>
                <w:lang w:val="en-GB"/>
              </w:rPr>
              <w:t>2.5 mg once weekly</w:t>
            </w:r>
            <w:r w:rsidRPr="00035B45">
              <w:rPr>
                <w:rFonts w:eastAsia="Times New Roman"/>
                <w:bCs/>
                <w:sz w:val="22"/>
                <w:szCs w:val="22"/>
                <w:vertAlign w:val="superscript"/>
                <w:lang w:val="en-GB"/>
              </w:rPr>
              <w:t xml:space="preserve"> </w:t>
            </w:r>
          </w:p>
        </w:tc>
        <w:tc>
          <w:tcPr>
            <w:tcW w:w="2083" w:type="pct"/>
            <w:shd w:val="clear" w:color="auto" w:fill="auto"/>
          </w:tcPr>
          <w:p w14:paraId="356F270C"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sz w:val="22"/>
                <w:szCs w:val="22"/>
                <w:lang w:val="en-GB"/>
              </w:rPr>
              <w:t>4 weeks</w:t>
            </w:r>
            <w:r w:rsidRPr="00035B45">
              <w:rPr>
                <w:rFonts w:eastAsia="Times New Roman"/>
                <w:bCs/>
                <w:sz w:val="22"/>
                <w:szCs w:val="22"/>
                <w:vertAlign w:val="superscript"/>
                <w:lang w:val="en-GB"/>
              </w:rPr>
              <w:t>2</w:t>
            </w:r>
          </w:p>
        </w:tc>
      </w:tr>
      <w:tr w:rsidR="00035B45" w:rsidRPr="00035B45" w14:paraId="4AFDEE9C" w14:textId="77777777" w:rsidTr="009D51CD">
        <w:trPr>
          <w:trHeight w:val="47"/>
          <w:jc w:val="center"/>
        </w:trPr>
        <w:tc>
          <w:tcPr>
            <w:tcW w:w="785" w:type="pct"/>
            <w:vMerge w:val="restart"/>
          </w:tcPr>
          <w:p w14:paraId="3641440D" w14:textId="77777777" w:rsidR="00035B45" w:rsidRPr="00035B45" w:rsidRDefault="00035B45" w:rsidP="00BA36EE">
            <w:pPr>
              <w:keepNext/>
              <w:tabs>
                <w:tab w:val="left" w:pos="567"/>
              </w:tabs>
              <w:spacing w:before="60" w:after="60"/>
              <w:rPr>
                <w:rFonts w:eastAsia="Times New Roman"/>
                <w:bCs/>
                <w:sz w:val="22"/>
                <w:szCs w:val="22"/>
                <w:lang w:val="en-GB"/>
              </w:rPr>
            </w:pPr>
            <w:r w:rsidRPr="00035B45">
              <w:rPr>
                <w:rFonts w:eastAsia="Times New Roman"/>
                <w:bCs/>
                <w:sz w:val="22"/>
                <w:szCs w:val="22"/>
                <w:lang w:val="en-GB"/>
              </w:rPr>
              <w:t>Titration</w:t>
            </w:r>
          </w:p>
        </w:tc>
        <w:tc>
          <w:tcPr>
            <w:tcW w:w="2132" w:type="pct"/>
            <w:shd w:val="clear" w:color="auto" w:fill="auto"/>
          </w:tcPr>
          <w:p w14:paraId="00DC64B1"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bCs/>
                <w:sz w:val="22"/>
                <w:szCs w:val="22"/>
                <w:lang w:val="en-GB"/>
              </w:rPr>
              <w:t>2.5 mg twice weekly</w:t>
            </w:r>
          </w:p>
        </w:tc>
        <w:tc>
          <w:tcPr>
            <w:tcW w:w="2083" w:type="pct"/>
            <w:shd w:val="clear" w:color="auto" w:fill="auto"/>
          </w:tcPr>
          <w:p w14:paraId="220F9619"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sz w:val="22"/>
                <w:szCs w:val="22"/>
                <w:lang w:val="en-GB"/>
              </w:rPr>
              <w:t>1 week</w:t>
            </w:r>
            <w:r w:rsidRPr="00035B45">
              <w:rPr>
                <w:rFonts w:eastAsia="Times New Roman"/>
                <w:bCs/>
                <w:sz w:val="22"/>
                <w:szCs w:val="22"/>
                <w:vertAlign w:val="superscript"/>
                <w:lang w:val="en-GB"/>
              </w:rPr>
              <w:t>2</w:t>
            </w:r>
          </w:p>
        </w:tc>
      </w:tr>
      <w:tr w:rsidR="00035B45" w:rsidRPr="00035B45" w14:paraId="1D983F08" w14:textId="77777777" w:rsidTr="009D51CD">
        <w:trPr>
          <w:trHeight w:val="47"/>
          <w:jc w:val="center"/>
        </w:trPr>
        <w:tc>
          <w:tcPr>
            <w:tcW w:w="785" w:type="pct"/>
            <w:vMerge/>
          </w:tcPr>
          <w:p w14:paraId="0AB7BE7D" w14:textId="77777777" w:rsidR="00035B45" w:rsidRPr="00035B45" w:rsidRDefault="00035B45" w:rsidP="00BA36EE">
            <w:pPr>
              <w:keepNext/>
              <w:tabs>
                <w:tab w:val="left" w:pos="567"/>
              </w:tabs>
              <w:spacing w:before="60" w:after="60"/>
              <w:rPr>
                <w:rFonts w:eastAsia="Times New Roman"/>
                <w:bCs/>
                <w:sz w:val="22"/>
                <w:szCs w:val="22"/>
                <w:lang w:val="en-GB"/>
              </w:rPr>
            </w:pPr>
          </w:p>
        </w:tc>
        <w:tc>
          <w:tcPr>
            <w:tcW w:w="2132" w:type="pct"/>
            <w:shd w:val="clear" w:color="auto" w:fill="auto"/>
          </w:tcPr>
          <w:p w14:paraId="46137B1B"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bCs/>
                <w:sz w:val="22"/>
                <w:szCs w:val="22"/>
                <w:lang w:val="en-GB"/>
              </w:rPr>
              <w:t>10 mg once weekly</w:t>
            </w:r>
          </w:p>
        </w:tc>
        <w:tc>
          <w:tcPr>
            <w:tcW w:w="2083" w:type="pct"/>
            <w:shd w:val="clear" w:color="auto" w:fill="auto"/>
          </w:tcPr>
          <w:p w14:paraId="74668F66"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sz w:val="22"/>
                <w:szCs w:val="22"/>
                <w:lang w:val="en-GB"/>
              </w:rPr>
              <w:t>1 week</w:t>
            </w:r>
            <w:r w:rsidRPr="00035B45">
              <w:rPr>
                <w:rFonts w:eastAsia="Times New Roman"/>
                <w:bCs/>
                <w:sz w:val="22"/>
                <w:szCs w:val="22"/>
                <w:vertAlign w:val="superscript"/>
                <w:lang w:val="en-GB"/>
              </w:rPr>
              <w:t>2</w:t>
            </w:r>
          </w:p>
        </w:tc>
      </w:tr>
      <w:tr w:rsidR="00035B45" w:rsidRPr="00035B45" w14:paraId="5860EEF9" w14:textId="77777777" w:rsidTr="009D51CD">
        <w:trPr>
          <w:trHeight w:val="47"/>
          <w:jc w:val="center"/>
        </w:trPr>
        <w:tc>
          <w:tcPr>
            <w:tcW w:w="785" w:type="pct"/>
            <w:vMerge/>
          </w:tcPr>
          <w:p w14:paraId="74B6DCDC" w14:textId="77777777" w:rsidR="00035B45" w:rsidRPr="00035B45" w:rsidRDefault="00035B45" w:rsidP="00BA36EE">
            <w:pPr>
              <w:keepNext/>
              <w:tabs>
                <w:tab w:val="left" w:pos="567"/>
              </w:tabs>
              <w:spacing w:before="60" w:after="60"/>
              <w:rPr>
                <w:rFonts w:eastAsia="Times New Roman"/>
                <w:bCs/>
                <w:sz w:val="22"/>
                <w:szCs w:val="22"/>
                <w:lang w:val="en-GB"/>
              </w:rPr>
            </w:pPr>
          </w:p>
        </w:tc>
        <w:tc>
          <w:tcPr>
            <w:tcW w:w="2132" w:type="pct"/>
            <w:shd w:val="clear" w:color="auto" w:fill="auto"/>
          </w:tcPr>
          <w:p w14:paraId="2643E4A7"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bCs/>
                <w:sz w:val="22"/>
                <w:szCs w:val="22"/>
                <w:lang w:val="en-GB"/>
              </w:rPr>
              <w:t>10 mg twice weekly</w:t>
            </w:r>
          </w:p>
        </w:tc>
        <w:tc>
          <w:tcPr>
            <w:tcW w:w="2083" w:type="pct"/>
            <w:shd w:val="clear" w:color="auto" w:fill="auto"/>
          </w:tcPr>
          <w:p w14:paraId="15A7908B"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sz w:val="22"/>
                <w:szCs w:val="22"/>
                <w:lang w:val="en-GB"/>
              </w:rPr>
              <w:t>1 week</w:t>
            </w:r>
            <w:r w:rsidRPr="00035B45">
              <w:rPr>
                <w:rFonts w:eastAsia="Times New Roman"/>
                <w:bCs/>
                <w:sz w:val="22"/>
                <w:szCs w:val="22"/>
                <w:vertAlign w:val="superscript"/>
                <w:lang w:val="en-GB"/>
              </w:rPr>
              <w:t>2</w:t>
            </w:r>
          </w:p>
        </w:tc>
      </w:tr>
      <w:tr w:rsidR="00035B45" w:rsidRPr="00035B45" w14:paraId="04CC1658" w14:textId="77777777" w:rsidTr="009D51CD">
        <w:trPr>
          <w:trHeight w:val="47"/>
          <w:jc w:val="center"/>
        </w:trPr>
        <w:tc>
          <w:tcPr>
            <w:tcW w:w="785" w:type="pct"/>
            <w:vMerge/>
          </w:tcPr>
          <w:p w14:paraId="19BCB56E" w14:textId="77777777" w:rsidR="00035B45" w:rsidRPr="00035B45" w:rsidRDefault="00035B45" w:rsidP="00BA36EE">
            <w:pPr>
              <w:keepNext/>
              <w:tabs>
                <w:tab w:val="left" w:pos="567"/>
              </w:tabs>
              <w:spacing w:before="60" w:after="60"/>
              <w:rPr>
                <w:rFonts w:eastAsia="Times New Roman"/>
                <w:bCs/>
                <w:sz w:val="22"/>
                <w:szCs w:val="22"/>
                <w:lang w:val="en-GB"/>
              </w:rPr>
            </w:pPr>
          </w:p>
        </w:tc>
        <w:tc>
          <w:tcPr>
            <w:tcW w:w="2132" w:type="pct"/>
            <w:shd w:val="clear" w:color="auto" w:fill="auto"/>
          </w:tcPr>
          <w:p w14:paraId="7788F0CF"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bCs/>
                <w:sz w:val="22"/>
                <w:szCs w:val="22"/>
                <w:lang w:val="en-GB"/>
              </w:rPr>
              <w:t>10 mg four times a week</w:t>
            </w:r>
          </w:p>
        </w:tc>
        <w:tc>
          <w:tcPr>
            <w:tcW w:w="2083" w:type="pct"/>
            <w:shd w:val="clear" w:color="auto" w:fill="auto"/>
          </w:tcPr>
          <w:p w14:paraId="5B8B29B6"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sz w:val="22"/>
                <w:szCs w:val="22"/>
                <w:lang w:val="en-GB"/>
              </w:rPr>
              <w:t>1 week</w:t>
            </w:r>
            <w:r w:rsidRPr="00035B45">
              <w:rPr>
                <w:rFonts w:eastAsia="Times New Roman"/>
                <w:bCs/>
                <w:sz w:val="22"/>
                <w:szCs w:val="22"/>
                <w:vertAlign w:val="superscript"/>
                <w:lang w:val="en-GB"/>
              </w:rPr>
              <w:t>2</w:t>
            </w:r>
          </w:p>
        </w:tc>
      </w:tr>
      <w:tr w:rsidR="00035B45" w:rsidRPr="00035B45" w14:paraId="33C61B53" w14:textId="77777777" w:rsidTr="009D51CD">
        <w:trPr>
          <w:trHeight w:val="47"/>
          <w:jc w:val="center"/>
        </w:trPr>
        <w:tc>
          <w:tcPr>
            <w:tcW w:w="785" w:type="pct"/>
            <w:vMerge/>
          </w:tcPr>
          <w:p w14:paraId="2481DEAD" w14:textId="77777777" w:rsidR="00035B45" w:rsidRPr="00035B45" w:rsidRDefault="00035B45" w:rsidP="00BA36EE">
            <w:pPr>
              <w:keepNext/>
              <w:tabs>
                <w:tab w:val="left" w:pos="567"/>
              </w:tabs>
              <w:spacing w:before="60" w:after="60"/>
              <w:rPr>
                <w:rFonts w:eastAsia="Times New Roman"/>
                <w:bCs/>
                <w:sz w:val="22"/>
                <w:szCs w:val="22"/>
                <w:lang w:val="en-GB"/>
              </w:rPr>
            </w:pPr>
          </w:p>
        </w:tc>
        <w:tc>
          <w:tcPr>
            <w:tcW w:w="2132" w:type="pct"/>
            <w:shd w:val="clear" w:color="auto" w:fill="auto"/>
          </w:tcPr>
          <w:p w14:paraId="254848DF"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bCs/>
                <w:sz w:val="22"/>
                <w:szCs w:val="22"/>
                <w:lang w:val="en-GB"/>
              </w:rPr>
              <w:t>10 mg daily</w:t>
            </w:r>
          </w:p>
        </w:tc>
        <w:tc>
          <w:tcPr>
            <w:tcW w:w="2083" w:type="pct"/>
            <w:shd w:val="clear" w:color="auto" w:fill="auto"/>
          </w:tcPr>
          <w:p w14:paraId="61206B6D"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sz w:val="22"/>
                <w:szCs w:val="22"/>
                <w:lang w:val="en-GB"/>
              </w:rPr>
              <w:t>1 week</w:t>
            </w:r>
            <w:r w:rsidRPr="00035B45">
              <w:rPr>
                <w:rFonts w:eastAsia="Times New Roman"/>
                <w:bCs/>
                <w:sz w:val="22"/>
                <w:szCs w:val="22"/>
                <w:vertAlign w:val="superscript"/>
                <w:lang w:val="en-GB"/>
              </w:rPr>
              <w:t>2</w:t>
            </w:r>
          </w:p>
        </w:tc>
      </w:tr>
      <w:tr w:rsidR="00035B45" w:rsidRPr="00035B45" w14:paraId="0EE5DB9B" w14:textId="77777777" w:rsidTr="009D51CD">
        <w:trPr>
          <w:trHeight w:val="47"/>
          <w:jc w:val="center"/>
        </w:trPr>
        <w:tc>
          <w:tcPr>
            <w:tcW w:w="785" w:type="pct"/>
            <w:vMerge w:val="restart"/>
          </w:tcPr>
          <w:p w14:paraId="52131A1D" w14:textId="77777777" w:rsidR="00035B45" w:rsidRPr="00035B45" w:rsidRDefault="00035B45" w:rsidP="00BA36EE">
            <w:pPr>
              <w:keepNext/>
              <w:tabs>
                <w:tab w:val="left" w:pos="567"/>
              </w:tabs>
              <w:spacing w:before="60" w:after="60"/>
              <w:rPr>
                <w:rFonts w:eastAsia="Times New Roman"/>
                <w:bCs/>
                <w:sz w:val="22"/>
                <w:szCs w:val="22"/>
                <w:lang w:val="en-GB"/>
              </w:rPr>
            </w:pPr>
            <w:r w:rsidRPr="00035B45">
              <w:rPr>
                <w:rFonts w:eastAsia="Times New Roman"/>
                <w:bCs/>
                <w:sz w:val="22"/>
                <w:szCs w:val="22"/>
                <w:lang w:val="en-GB"/>
              </w:rPr>
              <w:t>Maintenance</w:t>
            </w:r>
            <w:r w:rsidRPr="00035B45">
              <w:rPr>
                <w:rFonts w:eastAsia="Times New Roman"/>
                <w:bCs/>
                <w:sz w:val="22"/>
                <w:szCs w:val="22"/>
                <w:vertAlign w:val="superscript"/>
                <w:lang w:val="en-GB"/>
              </w:rPr>
              <w:t>3</w:t>
            </w:r>
          </w:p>
        </w:tc>
        <w:tc>
          <w:tcPr>
            <w:tcW w:w="2132" w:type="pct"/>
            <w:shd w:val="clear" w:color="auto" w:fill="auto"/>
          </w:tcPr>
          <w:p w14:paraId="41DDB801"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bCs/>
                <w:sz w:val="22"/>
                <w:szCs w:val="22"/>
                <w:lang w:val="en-GB"/>
              </w:rPr>
              <w:t>20 mg daily</w:t>
            </w:r>
          </w:p>
        </w:tc>
        <w:tc>
          <w:tcPr>
            <w:tcW w:w="2083" w:type="pct"/>
            <w:shd w:val="clear" w:color="auto" w:fill="auto"/>
          </w:tcPr>
          <w:p w14:paraId="71E8E6A9"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sz w:val="22"/>
                <w:szCs w:val="22"/>
                <w:lang w:val="en-GB"/>
              </w:rPr>
              <w:t>12 weeks to 24 weeks</w:t>
            </w:r>
            <w:r w:rsidRPr="00035B45">
              <w:rPr>
                <w:rFonts w:eastAsia="Times New Roman"/>
                <w:bCs/>
                <w:sz w:val="22"/>
                <w:szCs w:val="22"/>
                <w:vertAlign w:val="superscript"/>
                <w:lang w:val="en-GB"/>
              </w:rPr>
              <w:t>2</w:t>
            </w:r>
            <w:r w:rsidRPr="00035B45">
              <w:rPr>
                <w:rFonts w:eastAsia="Times New Roman"/>
                <w:sz w:val="22"/>
                <w:szCs w:val="22"/>
                <w:lang w:val="en-GB"/>
              </w:rPr>
              <w:t> </w:t>
            </w:r>
          </w:p>
        </w:tc>
      </w:tr>
      <w:tr w:rsidR="00035B45" w:rsidRPr="00035B45" w14:paraId="0F841A82" w14:textId="77777777" w:rsidTr="009D51CD">
        <w:trPr>
          <w:trHeight w:val="65"/>
          <w:jc w:val="center"/>
        </w:trPr>
        <w:tc>
          <w:tcPr>
            <w:tcW w:w="785" w:type="pct"/>
            <w:vMerge/>
          </w:tcPr>
          <w:p w14:paraId="232686AD" w14:textId="77777777" w:rsidR="00035B45" w:rsidRPr="00035B45" w:rsidRDefault="00035B45" w:rsidP="00BA36EE">
            <w:pPr>
              <w:keepNext/>
              <w:tabs>
                <w:tab w:val="left" w:pos="567"/>
              </w:tabs>
              <w:spacing w:before="60" w:after="60"/>
              <w:rPr>
                <w:rFonts w:eastAsia="Times New Roman"/>
                <w:bCs/>
                <w:sz w:val="22"/>
                <w:szCs w:val="22"/>
                <w:lang w:val="en-GB"/>
              </w:rPr>
            </w:pPr>
          </w:p>
        </w:tc>
        <w:tc>
          <w:tcPr>
            <w:tcW w:w="2132" w:type="pct"/>
            <w:shd w:val="clear" w:color="auto" w:fill="auto"/>
          </w:tcPr>
          <w:p w14:paraId="18096BA0" w14:textId="77777777" w:rsidR="00035B45" w:rsidRPr="00035B45" w:rsidRDefault="00035B45" w:rsidP="00BA36EE">
            <w:pPr>
              <w:keepNext/>
              <w:tabs>
                <w:tab w:val="left" w:pos="567"/>
              </w:tabs>
              <w:spacing w:before="60" w:after="60"/>
              <w:rPr>
                <w:rFonts w:eastAsia="Times New Roman"/>
                <w:bCs/>
                <w:sz w:val="22"/>
                <w:szCs w:val="22"/>
                <w:lang w:val="en-GB"/>
              </w:rPr>
            </w:pPr>
            <w:r w:rsidRPr="00035B45">
              <w:rPr>
                <w:rFonts w:eastAsia="Times New Roman"/>
                <w:bCs/>
                <w:sz w:val="22"/>
                <w:szCs w:val="22"/>
                <w:lang w:val="en-GB"/>
              </w:rPr>
              <w:t>40 mg daily</w:t>
            </w:r>
          </w:p>
          <w:p w14:paraId="3C728542" w14:textId="77777777" w:rsidR="00035B45" w:rsidRPr="00035B45" w:rsidRDefault="00035B45" w:rsidP="00BA36EE">
            <w:pPr>
              <w:keepNext/>
              <w:tabs>
                <w:tab w:val="left" w:pos="567"/>
              </w:tabs>
              <w:spacing w:before="60" w:after="60"/>
              <w:rPr>
                <w:rFonts w:eastAsia="Times New Roman"/>
                <w:sz w:val="22"/>
                <w:szCs w:val="22"/>
                <w:vertAlign w:val="superscript"/>
                <w:lang w:val="en-GB"/>
              </w:rPr>
            </w:pPr>
            <w:r w:rsidRPr="00035B45">
              <w:rPr>
                <w:rFonts w:eastAsia="Times New Roman"/>
                <w:bCs/>
                <w:sz w:val="22"/>
                <w:szCs w:val="22"/>
                <w:lang w:val="en-GB"/>
              </w:rPr>
              <w:t>(2 consecutive injections of 20 mg pre</w:t>
            </w:r>
            <w:r w:rsidRPr="00035B45">
              <w:rPr>
                <w:rFonts w:eastAsia="Times New Roman"/>
                <w:bCs/>
                <w:sz w:val="22"/>
                <w:szCs w:val="22"/>
                <w:lang w:val="en-GB"/>
              </w:rPr>
              <w:noBreakHyphen/>
              <w:t>filled syringe)</w:t>
            </w:r>
            <w:r w:rsidRPr="00035B45">
              <w:rPr>
                <w:rFonts w:eastAsia="Times New Roman"/>
                <w:bCs/>
                <w:sz w:val="22"/>
                <w:szCs w:val="22"/>
                <w:vertAlign w:val="superscript"/>
                <w:lang w:val="en-GB"/>
              </w:rPr>
              <w:t>4</w:t>
            </w:r>
          </w:p>
        </w:tc>
        <w:tc>
          <w:tcPr>
            <w:tcW w:w="2083" w:type="pct"/>
            <w:shd w:val="clear" w:color="auto" w:fill="auto"/>
          </w:tcPr>
          <w:p w14:paraId="106F0E4B"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sz w:val="22"/>
                <w:szCs w:val="22"/>
                <w:lang w:val="en-GB"/>
              </w:rPr>
              <w:t>16 weeks</w:t>
            </w:r>
            <w:r w:rsidRPr="00035B45">
              <w:rPr>
                <w:rFonts w:eastAsia="Times New Roman"/>
                <w:bCs/>
                <w:sz w:val="22"/>
                <w:szCs w:val="22"/>
                <w:vertAlign w:val="superscript"/>
                <w:lang w:val="en-GB"/>
              </w:rPr>
              <w:t>2</w:t>
            </w:r>
            <w:r w:rsidRPr="00035B45">
              <w:rPr>
                <w:rFonts w:eastAsia="Times New Roman"/>
                <w:sz w:val="22"/>
                <w:szCs w:val="22"/>
                <w:lang w:val="en-GB"/>
              </w:rPr>
              <w:t xml:space="preserve"> </w:t>
            </w:r>
          </w:p>
        </w:tc>
      </w:tr>
      <w:tr w:rsidR="00035B45" w:rsidRPr="00035B45" w14:paraId="63B90993" w14:textId="77777777" w:rsidTr="009D51CD">
        <w:trPr>
          <w:trHeight w:val="65"/>
          <w:jc w:val="center"/>
        </w:trPr>
        <w:tc>
          <w:tcPr>
            <w:tcW w:w="785" w:type="pct"/>
            <w:vMerge/>
          </w:tcPr>
          <w:p w14:paraId="59F996BC" w14:textId="77777777" w:rsidR="00035B45" w:rsidRPr="00035B45" w:rsidRDefault="00035B45" w:rsidP="00BA36EE">
            <w:pPr>
              <w:keepNext/>
              <w:tabs>
                <w:tab w:val="left" w:pos="567"/>
              </w:tabs>
              <w:spacing w:before="60" w:after="60"/>
              <w:rPr>
                <w:rFonts w:eastAsia="Times New Roman"/>
                <w:bCs/>
                <w:sz w:val="22"/>
                <w:szCs w:val="22"/>
                <w:lang w:val="en-GB"/>
              </w:rPr>
            </w:pPr>
          </w:p>
        </w:tc>
        <w:tc>
          <w:tcPr>
            <w:tcW w:w="2132" w:type="pct"/>
            <w:shd w:val="clear" w:color="auto" w:fill="auto"/>
          </w:tcPr>
          <w:p w14:paraId="57189C43" w14:textId="77777777" w:rsidR="00035B45" w:rsidRPr="00035B45" w:rsidRDefault="00035B45" w:rsidP="00BA36EE">
            <w:pPr>
              <w:keepNext/>
              <w:tabs>
                <w:tab w:val="left" w:pos="567"/>
              </w:tabs>
              <w:spacing w:before="60" w:after="60"/>
              <w:rPr>
                <w:rFonts w:eastAsia="Times New Roman"/>
                <w:bCs/>
                <w:sz w:val="22"/>
                <w:szCs w:val="22"/>
                <w:lang w:val="en-GB"/>
              </w:rPr>
            </w:pPr>
            <w:r w:rsidRPr="00035B45">
              <w:rPr>
                <w:rFonts w:eastAsia="Times New Roman"/>
                <w:bCs/>
                <w:sz w:val="22"/>
                <w:szCs w:val="22"/>
                <w:lang w:val="en-GB"/>
              </w:rPr>
              <w:t xml:space="preserve">60 mg daily </w:t>
            </w:r>
          </w:p>
          <w:p w14:paraId="662F9ABE" w14:textId="77777777" w:rsidR="00035B45" w:rsidRPr="00035B45" w:rsidRDefault="00035B45" w:rsidP="00BA36EE">
            <w:pPr>
              <w:keepNext/>
              <w:tabs>
                <w:tab w:val="left" w:pos="567"/>
              </w:tabs>
              <w:spacing w:before="60" w:after="60"/>
              <w:rPr>
                <w:rFonts w:eastAsia="Times New Roman"/>
                <w:bCs/>
                <w:sz w:val="22"/>
                <w:szCs w:val="22"/>
                <w:lang w:val="en-GB"/>
              </w:rPr>
            </w:pPr>
            <w:r w:rsidRPr="00035B45">
              <w:rPr>
                <w:rFonts w:eastAsia="Times New Roman"/>
                <w:bCs/>
                <w:sz w:val="22"/>
                <w:szCs w:val="22"/>
                <w:lang w:val="en-GB"/>
              </w:rPr>
              <w:t>(3 consecutive injections of 20 mg pre</w:t>
            </w:r>
            <w:r w:rsidRPr="00035B45">
              <w:rPr>
                <w:rFonts w:eastAsia="Times New Roman"/>
                <w:bCs/>
                <w:sz w:val="22"/>
                <w:szCs w:val="22"/>
                <w:lang w:val="en-GB"/>
              </w:rPr>
              <w:noBreakHyphen/>
              <w:t>filled syringe)</w:t>
            </w:r>
            <w:r w:rsidRPr="00035B45">
              <w:rPr>
                <w:rFonts w:eastAsia="Times New Roman"/>
                <w:bCs/>
                <w:sz w:val="22"/>
                <w:szCs w:val="22"/>
                <w:vertAlign w:val="superscript"/>
                <w:lang w:val="en-GB"/>
              </w:rPr>
              <w:t>4</w:t>
            </w:r>
          </w:p>
        </w:tc>
        <w:tc>
          <w:tcPr>
            <w:tcW w:w="2083" w:type="pct"/>
            <w:shd w:val="clear" w:color="auto" w:fill="auto"/>
          </w:tcPr>
          <w:p w14:paraId="4B505426" w14:textId="77777777" w:rsidR="00035B45" w:rsidRPr="00035B45" w:rsidRDefault="00035B45" w:rsidP="00BA36EE">
            <w:pPr>
              <w:keepNext/>
              <w:tabs>
                <w:tab w:val="left" w:pos="567"/>
              </w:tabs>
              <w:spacing w:before="60" w:after="60"/>
              <w:rPr>
                <w:rFonts w:eastAsia="Times New Roman"/>
                <w:sz w:val="22"/>
                <w:szCs w:val="22"/>
                <w:lang w:val="en-GB"/>
              </w:rPr>
            </w:pPr>
            <w:r w:rsidRPr="00035B45">
              <w:rPr>
                <w:rFonts w:eastAsia="Times New Roman"/>
                <w:sz w:val="22"/>
                <w:szCs w:val="22"/>
                <w:lang w:val="en-GB"/>
              </w:rPr>
              <w:t>Maximum recommended dose</w:t>
            </w:r>
          </w:p>
        </w:tc>
      </w:tr>
    </w:tbl>
    <w:p w14:paraId="33E22CEA" w14:textId="71B04399" w:rsidR="00185A54" w:rsidRPr="00185A54" w:rsidRDefault="00185A54" w:rsidP="00185A54">
      <w:pPr>
        <w:pStyle w:val="Table-Heading1"/>
        <w:spacing w:after="60"/>
        <w:rPr>
          <w:b w:val="0"/>
          <w:iCs/>
          <w:sz w:val="20"/>
          <w:szCs w:val="20"/>
          <w:lang w:val="en-GB"/>
        </w:rPr>
      </w:pPr>
      <w:r w:rsidRPr="00185A54">
        <w:rPr>
          <w:b w:val="0"/>
          <w:sz w:val="20"/>
          <w:szCs w:val="20"/>
          <w:vertAlign w:val="superscript"/>
          <w:lang w:val="en-GB"/>
        </w:rPr>
        <w:t>1</w:t>
      </w:r>
      <w:r w:rsidRPr="00185A54">
        <w:rPr>
          <w:b w:val="0"/>
          <w:sz w:val="20"/>
          <w:szCs w:val="20"/>
          <w:lang w:val="en-GB"/>
        </w:rPr>
        <w:t> </w:t>
      </w:r>
      <w:r w:rsidRPr="00185A54">
        <w:rPr>
          <w:b w:val="0"/>
          <w:iCs/>
          <w:sz w:val="20"/>
          <w:szCs w:val="20"/>
          <w:lang w:val="en-GB"/>
        </w:rPr>
        <w:t>If blood phenylalanine levels are below 30 </w:t>
      </w:r>
      <w:proofErr w:type="spellStart"/>
      <w:r w:rsidR="009D51CD">
        <w:rPr>
          <w:b w:val="0"/>
          <w:iCs/>
          <w:sz w:val="20"/>
          <w:szCs w:val="20"/>
          <w:lang w:val="en-GB"/>
        </w:rPr>
        <w:t>micromol</w:t>
      </w:r>
      <w:proofErr w:type="spellEnd"/>
      <w:r w:rsidR="009D51CD">
        <w:rPr>
          <w:b w:val="0"/>
          <w:iCs/>
          <w:sz w:val="20"/>
          <w:szCs w:val="20"/>
          <w:lang w:val="en-GB"/>
        </w:rPr>
        <w:t>/L</w:t>
      </w:r>
      <w:r w:rsidRPr="00185A54">
        <w:rPr>
          <w:b w:val="0"/>
          <w:iCs/>
          <w:sz w:val="20"/>
          <w:szCs w:val="20"/>
          <w:lang w:val="en-GB"/>
        </w:rPr>
        <w:t xml:space="preserve">, </w:t>
      </w:r>
      <w:r w:rsidRPr="00185A54">
        <w:rPr>
          <w:b w:val="0"/>
          <w:sz w:val="20"/>
          <w:szCs w:val="20"/>
          <w:lang w:val="en-GB"/>
        </w:rPr>
        <w:t xml:space="preserve">dietary protein intake should be increased to appropriate levels, and then, if needed, the dose of </w:t>
      </w:r>
      <w:r w:rsidR="008706E4">
        <w:rPr>
          <w:b w:val="0"/>
          <w:sz w:val="20"/>
          <w:szCs w:val="20"/>
          <w:lang w:val="en-GB"/>
        </w:rPr>
        <w:t>PALYNZIQ</w:t>
      </w:r>
      <w:r w:rsidRPr="00185A54">
        <w:rPr>
          <w:b w:val="0"/>
          <w:sz w:val="20"/>
          <w:szCs w:val="20"/>
          <w:lang w:val="en-GB"/>
        </w:rPr>
        <w:t xml:space="preserve"> should be reduced</w:t>
      </w:r>
      <w:r w:rsidRPr="00185A54">
        <w:rPr>
          <w:b w:val="0"/>
          <w:iCs/>
          <w:sz w:val="20"/>
          <w:szCs w:val="20"/>
          <w:lang w:val="en-GB"/>
        </w:rPr>
        <w:t xml:space="preserve"> (see section 4.4</w:t>
      </w:r>
      <w:r w:rsidR="00277C40">
        <w:rPr>
          <w:b w:val="0"/>
          <w:iCs/>
          <w:sz w:val="20"/>
          <w:szCs w:val="20"/>
          <w:lang w:val="en-GB"/>
        </w:rPr>
        <w:t xml:space="preserve"> Special warnings and precautions for use - </w:t>
      </w:r>
      <w:proofErr w:type="spellStart"/>
      <w:r w:rsidRPr="00185A54">
        <w:rPr>
          <w:b w:val="0"/>
          <w:iCs/>
          <w:sz w:val="20"/>
          <w:szCs w:val="20"/>
          <w:lang w:val="en-GB"/>
        </w:rPr>
        <w:t>Hypophenylalanin</w:t>
      </w:r>
      <w:r w:rsidR="005F750B">
        <w:rPr>
          <w:b w:val="0"/>
          <w:iCs/>
          <w:sz w:val="20"/>
          <w:szCs w:val="20"/>
          <w:lang w:val="en-GB"/>
        </w:rPr>
        <w:t>a</w:t>
      </w:r>
      <w:r w:rsidRPr="00185A54">
        <w:rPr>
          <w:b w:val="0"/>
          <w:iCs/>
          <w:sz w:val="20"/>
          <w:szCs w:val="20"/>
          <w:lang w:val="en-GB"/>
        </w:rPr>
        <w:t>emia</w:t>
      </w:r>
      <w:proofErr w:type="spellEnd"/>
      <w:r w:rsidRPr="00185A54">
        <w:rPr>
          <w:b w:val="0"/>
          <w:iCs/>
          <w:sz w:val="20"/>
          <w:szCs w:val="20"/>
          <w:lang w:val="en-GB"/>
        </w:rPr>
        <w:t>).</w:t>
      </w:r>
      <w:r w:rsidR="005F750B" w:rsidRPr="00E56E85">
        <w:rPr>
          <w:b w:val="0"/>
          <w:bCs/>
          <w:iCs/>
          <w:sz w:val="20"/>
          <w:szCs w:val="20"/>
          <w:lang w:val="en-GB"/>
        </w:rPr>
        <w:t xml:space="preserve"> </w:t>
      </w:r>
      <w:r w:rsidR="00E56E85" w:rsidRPr="00E56E85">
        <w:rPr>
          <w:b w:val="0"/>
          <w:bCs/>
          <w:sz w:val="20"/>
        </w:rPr>
        <w:t>Weekly monitoring is required until phenylalanine levels are within a clinically acceptable range.</w:t>
      </w:r>
      <w:r w:rsidR="00E56E85">
        <w:rPr>
          <w:sz w:val="20"/>
        </w:rPr>
        <w:t xml:space="preserve"> </w:t>
      </w:r>
    </w:p>
    <w:p w14:paraId="06E1EB92" w14:textId="57FC8A04" w:rsidR="00185A54" w:rsidRPr="00185A54" w:rsidRDefault="00185A54" w:rsidP="00185A54">
      <w:pPr>
        <w:pStyle w:val="Table-Heading1"/>
        <w:spacing w:after="60"/>
        <w:rPr>
          <w:b w:val="0"/>
          <w:iCs/>
          <w:sz w:val="20"/>
          <w:szCs w:val="20"/>
          <w:lang w:val="en-GB"/>
        </w:rPr>
      </w:pPr>
      <w:r w:rsidRPr="00185A54">
        <w:rPr>
          <w:b w:val="0"/>
          <w:sz w:val="20"/>
          <w:szCs w:val="20"/>
          <w:vertAlign w:val="superscript"/>
          <w:lang w:val="en-GB"/>
        </w:rPr>
        <w:t>2</w:t>
      </w:r>
      <w:r w:rsidRPr="00185A54">
        <w:rPr>
          <w:b w:val="0"/>
          <w:sz w:val="20"/>
          <w:szCs w:val="20"/>
          <w:lang w:val="en-GB"/>
        </w:rPr>
        <w:t> </w:t>
      </w:r>
      <w:r w:rsidRPr="00185A54">
        <w:rPr>
          <w:b w:val="0"/>
          <w:iCs/>
          <w:sz w:val="20"/>
          <w:szCs w:val="20"/>
          <w:lang w:val="en-GB"/>
        </w:rPr>
        <w:t xml:space="preserve">Additional time may be required prior to each dose escalation based on patient tolerability with </w:t>
      </w:r>
      <w:r w:rsidR="008706E4">
        <w:rPr>
          <w:b w:val="0"/>
          <w:iCs/>
          <w:sz w:val="20"/>
          <w:szCs w:val="20"/>
          <w:lang w:val="en-GB"/>
        </w:rPr>
        <w:t>PALYNZIQ</w:t>
      </w:r>
      <w:r w:rsidRPr="00185A54">
        <w:rPr>
          <w:b w:val="0"/>
          <w:iCs/>
          <w:sz w:val="20"/>
          <w:szCs w:val="20"/>
          <w:lang w:val="en-GB"/>
        </w:rPr>
        <w:t>.</w:t>
      </w:r>
    </w:p>
    <w:p w14:paraId="2416FC5C" w14:textId="4D04E722" w:rsidR="00185A54" w:rsidRPr="00185A54" w:rsidRDefault="00185A54" w:rsidP="00185A54">
      <w:pPr>
        <w:pStyle w:val="Table-Heading1"/>
        <w:spacing w:after="60"/>
        <w:rPr>
          <w:b w:val="0"/>
          <w:sz w:val="20"/>
          <w:szCs w:val="20"/>
          <w:lang w:val="en-GB"/>
        </w:rPr>
      </w:pPr>
      <w:r w:rsidRPr="00185A54">
        <w:rPr>
          <w:b w:val="0"/>
          <w:sz w:val="20"/>
          <w:szCs w:val="20"/>
          <w:vertAlign w:val="superscript"/>
          <w:lang w:val="en-GB"/>
        </w:rPr>
        <w:t>3</w:t>
      </w:r>
      <w:r w:rsidRPr="00185A54">
        <w:rPr>
          <w:b w:val="0"/>
          <w:sz w:val="20"/>
          <w:szCs w:val="20"/>
          <w:lang w:val="en-GB"/>
        </w:rPr>
        <w:t> The maintenance dose is individualised to achieve blood phenylalanine levels between 120 to 600 </w:t>
      </w:r>
      <w:proofErr w:type="spellStart"/>
      <w:r w:rsidR="009D51CD">
        <w:rPr>
          <w:b w:val="0"/>
          <w:sz w:val="20"/>
          <w:szCs w:val="20"/>
          <w:lang w:val="en-GB"/>
        </w:rPr>
        <w:t>micromol</w:t>
      </w:r>
      <w:proofErr w:type="spellEnd"/>
      <w:r w:rsidR="009D51CD">
        <w:rPr>
          <w:b w:val="0"/>
          <w:sz w:val="20"/>
          <w:szCs w:val="20"/>
          <w:lang w:val="en-GB"/>
        </w:rPr>
        <w:t>/L</w:t>
      </w:r>
      <w:r w:rsidRPr="00185A54">
        <w:rPr>
          <w:b w:val="0"/>
          <w:sz w:val="20"/>
          <w:szCs w:val="20"/>
          <w:lang w:val="en-GB"/>
        </w:rPr>
        <w:t>.</w:t>
      </w:r>
    </w:p>
    <w:p w14:paraId="20DC115E" w14:textId="77777777" w:rsidR="00185A54" w:rsidRPr="00185A54" w:rsidRDefault="00185A54" w:rsidP="00185A54">
      <w:pPr>
        <w:pStyle w:val="Table-Heading1"/>
        <w:spacing w:after="60"/>
        <w:rPr>
          <w:b w:val="0"/>
          <w:sz w:val="20"/>
          <w:szCs w:val="20"/>
          <w:lang w:val="en-GB"/>
        </w:rPr>
      </w:pPr>
      <w:r w:rsidRPr="00185A54">
        <w:rPr>
          <w:b w:val="0"/>
          <w:sz w:val="20"/>
          <w:szCs w:val="20"/>
          <w:vertAlign w:val="superscript"/>
          <w:lang w:val="en-GB"/>
        </w:rPr>
        <w:t>4</w:t>
      </w:r>
      <w:r w:rsidRPr="00185A54">
        <w:rPr>
          <w:b w:val="0"/>
          <w:sz w:val="20"/>
          <w:szCs w:val="20"/>
          <w:lang w:val="en-GB"/>
        </w:rPr>
        <w:t> If multiple injections are needed for a single dose, injections should be administered at the same time of day and injection sites should be at least 5 cm away from each other. Doses should not be divided over the course of the day (see Method of administration).</w:t>
      </w:r>
    </w:p>
    <w:p w14:paraId="496508DA" w14:textId="77777777" w:rsidR="00EF0489" w:rsidRPr="007973EA" w:rsidRDefault="00EF0489" w:rsidP="00EF0489">
      <w:pPr>
        <w:pStyle w:val="Heading3"/>
      </w:pPr>
      <w:r w:rsidRPr="007973EA">
        <w:t>Method of administration</w:t>
      </w:r>
    </w:p>
    <w:p w14:paraId="4501109E" w14:textId="24FA5E4D" w:rsidR="006D527C" w:rsidRPr="00E738B7" w:rsidRDefault="006D527C" w:rsidP="003B55AB">
      <w:pPr>
        <w:pStyle w:val="BodyText1"/>
      </w:pPr>
      <w:r w:rsidRPr="00E738B7">
        <w:t>Subcutaneous use.</w:t>
      </w:r>
      <w:r w:rsidR="006260E0">
        <w:t xml:space="preserve"> Product is for single use in one patient only. Discard any residue.</w:t>
      </w:r>
      <w:r w:rsidRPr="00E738B7">
        <w:t xml:space="preserve"> </w:t>
      </w:r>
    </w:p>
    <w:p w14:paraId="485E441A" w14:textId="6BB2DA10" w:rsidR="006D527C" w:rsidRPr="00E738B7" w:rsidRDefault="006D527C" w:rsidP="003B55AB">
      <w:pPr>
        <w:pStyle w:val="BodyText1"/>
      </w:pPr>
      <w:bookmarkStart w:id="2" w:name="_Hlk531978862"/>
      <w:r w:rsidRPr="00E738B7">
        <w:t>Due to the potential for an acute systemic hypersensitivity reaction, premedication prior to each dose is required during induction and titration (</w:t>
      </w:r>
      <w:r w:rsidRPr="00E738B7">
        <w:rPr>
          <w:bCs/>
        </w:rPr>
        <w:t>time prior to reaching</w:t>
      </w:r>
      <w:r w:rsidRPr="00E738B7">
        <w:t xml:space="preserve"> blood phenylalanine levels less than 600 </w:t>
      </w:r>
      <w:proofErr w:type="spellStart"/>
      <w:r w:rsidR="009D51CD">
        <w:t>micromol</w:t>
      </w:r>
      <w:proofErr w:type="spellEnd"/>
      <w:r w:rsidR="009D51CD">
        <w:t>/L</w:t>
      </w:r>
      <w:r w:rsidRPr="00E738B7">
        <w:t xml:space="preserve"> while on a stable dose; see section 4.8</w:t>
      </w:r>
      <w:bookmarkStart w:id="3" w:name="_Hlk1296129"/>
      <w:r w:rsidR="003B55AB">
        <w:t xml:space="preserve"> Adverse effects</w:t>
      </w:r>
      <w:r w:rsidRPr="00E738B7">
        <w:t>). Patients should be instructed to pre</w:t>
      </w:r>
      <w:r w:rsidRPr="00E738B7">
        <w:noBreakHyphen/>
        <w:t>medicate with an H1</w:t>
      </w:r>
      <w:r w:rsidRPr="00E738B7">
        <w:noBreakHyphen/>
        <w:t>receptor antagonist, H2</w:t>
      </w:r>
      <w:r w:rsidRPr="00E738B7">
        <w:noBreakHyphen/>
        <w:t>receptor antagonist</w:t>
      </w:r>
      <w:r w:rsidR="00DC6E58">
        <w:t>,</w:t>
      </w:r>
      <w:r w:rsidRPr="00E738B7">
        <w:t xml:space="preserve"> and antipyretic. </w:t>
      </w:r>
      <w:bookmarkEnd w:id="3"/>
      <w:r w:rsidRPr="00E738B7">
        <w:t xml:space="preserve">During maintenance, premedication may be reconsidered for subsequent injections based on patient tolerability to </w:t>
      </w:r>
      <w:r w:rsidR="008706E4">
        <w:t>PALYNZIQ</w:t>
      </w:r>
      <w:r w:rsidRPr="00E738B7">
        <w:t>.</w:t>
      </w:r>
    </w:p>
    <w:bookmarkEnd w:id="2"/>
    <w:p w14:paraId="12B5E995" w14:textId="0FF5B153" w:rsidR="006D527C" w:rsidRPr="00E738B7" w:rsidRDefault="006D527C" w:rsidP="003B55AB">
      <w:pPr>
        <w:pStyle w:val="BodyText1"/>
      </w:pPr>
      <w:r w:rsidRPr="00E738B7">
        <w:t xml:space="preserve">Initial administration(s) should be performed under supervision of a healthcare professional and patients should be closely observed for at least 60 minutes following each of these initial injection(s) (see sections 4.4 </w:t>
      </w:r>
      <w:r w:rsidR="003B55AB">
        <w:t xml:space="preserve">Special warnings and precautions for use </w:t>
      </w:r>
      <w:r w:rsidRPr="00E738B7">
        <w:t>and 4.8</w:t>
      </w:r>
      <w:r w:rsidR="003B55AB">
        <w:t xml:space="preserve"> Adverse effects</w:t>
      </w:r>
      <w:r w:rsidRPr="00E738B7">
        <w:t>).</w:t>
      </w:r>
    </w:p>
    <w:p w14:paraId="0089936C" w14:textId="4099A2EF" w:rsidR="006D527C" w:rsidRPr="00E738B7" w:rsidRDefault="006D527C" w:rsidP="003B55AB">
      <w:pPr>
        <w:pStyle w:val="BodyText1"/>
      </w:pPr>
      <w:r w:rsidRPr="00E738B7">
        <w:t xml:space="preserve">Prior to first dose of </w:t>
      </w:r>
      <w:r w:rsidR="008706E4">
        <w:t>PALYNZIQ</w:t>
      </w:r>
      <w:r w:rsidRPr="00E738B7">
        <w:t>, the patient should be trained on the signs and symptoms of an acute systemic hypersensitivity reaction and to seek immediate medical care if a reaction occurs, and how to properly administer adrenaline injection device (auto</w:t>
      </w:r>
      <w:r w:rsidRPr="00E738B7">
        <w:noBreakHyphen/>
        <w:t>injector or pre</w:t>
      </w:r>
      <w:r w:rsidRPr="00E738B7">
        <w:noBreakHyphen/>
        <w:t>filled syringe/pen).</w:t>
      </w:r>
    </w:p>
    <w:p w14:paraId="683682DE" w14:textId="1C34A2D8" w:rsidR="006D527C" w:rsidRPr="00E738B7" w:rsidRDefault="006D527C" w:rsidP="003B55AB">
      <w:pPr>
        <w:pStyle w:val="BodyText1"/>
      </w:pPr>
      <w:bookmarkStart w:id="4" w:name="_Hlk534008800"/>
      <w:r w:rsidRPr="00E738B7">
        <w:t xml:space="preserve">Patients </w:t>
      </w:r>
      <w:proofErr w:type="gramStart"/>
      <w:r w:rsidRPr="00E738B7">
        <w:t xml:space="preserve">should be instructed to carry </w:t>
      </w:r>
      <w:r w:rsidR="00AD2C8B">
        <w:t xml:space="preserve">an </w:t>
      </w:r>
      <w:r w:rsidRPr="00E738B7">
        <w:t>adrenaline injection device with them at all times</w:t>
      </w:r>
      <w:proofErr w:type="gramEnd"/>
      <w:r w:rsidRPr="00E738B7">
        <w:t xml:space="preserve"> during </w:t>
      </w:r>
      <w:r w:rsidR="008706E4">
        <w:t>PALYNZIQ</w:t>
      </w:r>
      <w:r w:rsidRPr="00E738B7">
        <w:t xml:space="preserve"> treatment. </w:t>
      </w:r>
    </w:p>
    <w:p w14:paraId="6408EED6" w14:textId="77777777" w:rsidR="006D527C" w:rsidRPr="00E738B7" w:rsidRDefault="006D527C" w:rsidP="003B55AB">
      <w:pPr>
        <w:pStyle w:val="BodyText1"/>
      </w:pPr>
      <w:bookmarkStart w:id="5" w:name="_Hlk534623861"/>
      <w:bookmarkEnd w:id="4"/>
      <w:r w:rsidRPr="00E738B7">
        <w:t xml:space="preserve">For at least the first 6 months of treatment when the patient is self-injecting (i.e. when administration is not under healthcare professional supervision), </w:t>
      </w:r>
      <w:bookmarkEnd w:id="5"/>
      <w:r w:rsidRPr="00E738B7">
        <w:t>an observer must be present during and for at least 60 minutes after each administration.</w:t>
      </w:r>
      <w:r w:rsidRPr="00E738B7">
        <w:rPr>
          <w:i/>
          <w:iCs/>
        </w:rPr>
        <w:t xml:space="preserve"> </w:t>
      </w:r>
      <w:r w:rsidRPr="00E738B7">
        <w:t xml:space="preserve">An observer is someone who: </w:t>
      </w:r>
    </w:p>
    <w:p w14:paraId="45BF7536" w14:textId="65D274BB" w:rsidR="006D527C" w:rsidRPr="00E738B7" w:rsidRDefault="006D527C" w:rsidP="00236810">
      <w:pPr>
        <w:numPr>
          <w:ilvl w:val="0"/>
          <w:numId w:val="11"/>
        </w:numPr>
        <w:tabs>
          <w:tab w:val="left" w:pos="567"/>
        </w:tabs>
        <w:spacing w:after="0"/>
        <w:ind w:left="567" w:hanging="567"/>
        <w:rPr>
          <w:bCs/>
          <w:szCs w:val="22"/>
        </w:rPr>
      </w:pPr>
      <w:r w:rsidRPr="00E738B7">
        <w:rPr>
          <w:bCs/>
          <w:szCs w:val="22"/>
        </w:rPr>
        <w:t xml:space="preserve">would be present with the patient during and after </w:t>
      </w:r>
      <w:r w:rsidR="008706E4">
        <w:rPr>
          <w:bCs/>
          <w:szCs w:val="22"/>
        </w:rPr>
        <w:t>PALYNZIQ</w:t>
      </w:r>
      <w:r w:rsidRPr="00E738B7">
        <w:rPr>
          <w:bCs/>
          <w:szCs w:val="22"/>
        </w:rPr>
        <w:t xml:space="preserve"> administration, </w:t>
      </w:r>
    </w:p>
    <w:p w14:paraId="5D0080EA" w14:textId="77777777" w:rsidR="006D527C" w:rsidRPr="00E738B7" w:rsidRDefault="006D527C" w:rsidP="00236810">
      <w:pPr>
        <w:numPr>
          <w:ilvl w:val="0"/>
          <w:numId w:val="11"/>
        </w:numPr>
        <w:tabs>
          <w:tab w:val="left" w:pos="567"/>
        </w:tabs>
        <w:spacing w:after="0"/>
        <w:ind w:left="567" w:hanging="567"/>
        <w:rPr>
          <w:bCs/>
          <w:szCs w:val="22"/>
        </w:rPr>
      </w:pPr>
      <w:proofErr w:type="gramStart"/>
      <w:r w:rsidRPr="00E738B7">
        <w:rPr>
          <w:bCs/>
          <w:szCs w:val="22"/>
        </w:rPr>
        <w:lastRenderedPageBreak/>
        <w:t>is able to</w:t>
      </w:r>
      <w:proofErr w:type="gramEnd"/>
      <w:r w:rsidRPr="00E738B7">
        <w:rPr>
          <w:bCs/>
          <w:szCs w:val="22"/>
        </w:rPr>
        <w:t xml:space="preserve"> recognise the signs and symptoms of an acute systemic hypersensitivity reaction, </w:t>
      </w:r>
    </w:p>
    <w:p w14:paraId="775E8B36" w14:textId="77777777" w:rsidR="006D527C" w:rsidRPr="00E738B7" w:rsidRDefault="006D527C" w:rsidP="00236810">
      <w:pPr>
        <w:numPr>
          <w:ilvl w:val="0"/>
          <w:numId w:val="11"/>
        </w:numPr>
        <w:tabs>
          <w:tab w:val="left" w:pos="567"/>
        </w:tabs>
        <w:ind w:left="567" w:hanging="567"/>
        <w:rPr>
          <w:bCs/>
          <w:szCs w:val="22"/>
        </w:rPr>
      </w:pPr>
      <w:r w:rsidRPr="00E738B7">
        <w:rPr>
          <w:bCs/>
          <w:szCs w:val="22"/>
        </w:rPr>
        <w:t xml:space="preserve">can call for emergency medical support and administer adrenaline, if warranted. </w:t>
      </w:r>
    </w:p>
    <w:p w14:paraId="4F92572B" w14:textId="6C8AC039" w:rsidR="006D527C" w:rsidRPr="00E738B7" w:rsidRDefault="006D527C" w:rsidP="003B55AB">
      <w:pPr>
        <w:pStyle w:val="BodyText1"/>
      </w:pPr>
      <w:r w:rsidRPr="00E738B7">
        <w:t xml:space="preserve">After 6 months of </w:t>
      </w:r>
      <w:r w:rsidR="008706E4">
        <w:t>PALYNZIQ</w:t>
      </w:r>
      <w:r w:rsidRPr="00E738B7">
        <w:t xml:space="preserve"> treatment, the need for an observer may be reconsidered.</w:t>
      </w:r>
    </w:p>
    <w:p w14:paraId="3CFF2783" w14:textId="77777777" w:rsidR="006D527C" w:rsidRPr="00E738B7" w:rsidRDefault="006D527C" w:rsidP="003B55AB">
      <w:pPr>
        <w:pStyle w:val="BodyText1"/>
      </w:pPr>
      <w:r w:rsidRPr="00E738B7">
        <w:t>Prior to independent self</w:t>
      </w:r>
      <w:r w:rsidRPr="00E738B7">
        <w:noBreakHyphen/>
        <w:t>injection, a healthcare professional should:</w:t>
      </w:r>
    </w:p>
    <w:p w14:paraId="239B901A" w14:textId="77777777" w:rsidR="006D527C" w:rsidRPr="00E738B7" w:rsidRDefault="006D527C" w:rsidP="00236810">
      <w:pPr>
        <w:numPr>
          <w:ilvl w:val="0"/>
          <w:numId w:val="11"/>
        </w:numPr>
        <w:tabs>
          <w:tab w:val="left" w:pos="567"/>
        </w:tabs>
        <w:spacing w:after="0"/>
        <w:ind w:left="567" w:hanging="567"/>
        <w:rPr>
          <w:bCs/>
          <w:szCs w:val="22"/>
        </w:rPr>
      </w:pPr>
      <w:r w:rsidRPr="00E738B7">
        <w:rPr>
          <w:bCs/>
          <w:szCs w:val="22"/>
        </w:rPr>
        <w:t>train the patient and assess patient competency on proper self</w:t>
      </w:r>
      <w:r w:rsidRPr="00E738B7">
        <w:rPr>
          <w:bCs/>
          <w:szCs w:val="22"/>
        </w:rPr>
        <w:noBreakHyphen/>
        <w:t xml:space="preserve">administration of this medicinal product. </w:t>
      </w:r>
    </w:p>
    <w:p w14:paraId="21F4022D" w14:textId="77777777" w:rsidR="006D527C" w:rsidRPr="00E738B7" w:rsidRDefault="006D527C" w:rsidP="00236810">
      <w:pPr>
        <w:numPr>
          <w:ilvl w:val="0"/>
          <w:numId w:val="11"/>
        </w:numPr>
        <w:tabs>
          <w:tab w:val="left" w:pos="567"/>
        </w:tabs>
        <w:ind w:left="567" w:hanging="567"/>
        <w:rPr>
          <w:bCs/>
          <w:szCs w:val="22"/>
        </w:rPr>
      </w:pPr>
      <w:r w:rsidRPr="00E738B7">
        <w:rPr>
          <w:bCs/>
          <w:szCs w:val="22"/>
        </w:rPr>
        <w:t>train the observer to recognise signs and symptoms of an acute systemic hypersensitivity reaction and to seek immediate medical care if a reaction occurs, and how to properly administer adrenaline injection device (auto</w:t>
      </w:r>
      <w:r w:rsidRPr="00E738B7">
        <w:rPr>
          <w:bCs/>
          <w:szCs w:val="22"/>
        </w:rPr>
        <w:noBreakHyphen/>
        <w:t>injector or pre</w:t>
      </w:r>
      <w:r w:rsidRPr="00E738B7">
        <w:rPr>
          <w:bCs/>
          <w:szCs w:val="22"/>
        </w:rPr>
        <w:noBreakHyphen/>
        <w:t>filled syringe/pen).</w:t>
      </w:r>
    </w:p>
    <w:p w14:paraId="6FE2BC8A" w14:textId="30ABE9DD" w:rsidR="006D527C" w:rsidRPr="00E738B7" w:rsidRDefault="006D527C" w:rsidP="003B55AB">
      <w:pPr>
        <w:pStyle w:val="BodyText1"/>
      </w:pPr>
      <w:r w:rsidRPr="00E738B7">
        <w:t>Re</w:t>
      </w:r>
      <w:r w:rsidR="00BF4D2B">
        <w:t>-</w:t>
      </w:r>
      <w:r w:rsidRPr="00E738B7">
        <w:t>administration following mild to moderate acute systemic hypersensitivity reactions: The prescribing physician should consider the risks and benefits of readministering the medicinal product following resolution of the first mild to moderate acute systemic hypersensitivity reaction (see sections 4.3</w:t>
      </w:r>
      <w:r w:rsidR="003B55AB">
        <w:t xml:space="preserve"> Contraindications</w:t>
      </w:r>
      <w:r w:rsidRPr="00E738B7">
        <w:t xml:space="preserve"> and 4.4</w:t>
      </w:r>
      <w:r w:rsidR="003B55AB" w:rsidRPr="003B55AB">
        <w:t xml:space="preserve"> </w:t>
      </w:r>
      <w:r w:rsidR="003B55AB">
        <w:t>Special warnings and precautions for use</w:t>
      </w:r>
      <w:r w:rsidRPr="00E738B7">
        <w:t>). Re</w:t>
      </w:r>
      <w:r w:rsidR="00BF4D2B">
        <w:t>-</w:t>
      </w:r>
      <w:r w:rsidRPr="00E738B7">
        <w:t xml:space="preserve">administration for the first dose must be done under supervision of a healthcare professional with the ability to manage acute systemic hypersensitivity reactions. </w:t>
      </w:r>
    </w:p>
    <w:p w14:paraId="6867EEB8" w14:textId="77777777" w:rsidR="006D527C" w:rsidRPr="00E738B7" w:rsidRDefault="006D527C" w:rsidP="003B55AB">
      <w:pPr>
        <w:pStyle w:val="BodyText1"/>
      </w:pPr>
      <w:r w:rsidRPr="00E738B7">
        <w:t xml:space="preserve">The recommended injection sites on the body </w:t>
      </w:r>
      <w:proofErr w:type="gramStart"/>
      <w:r w:rsidRPr="00E738B7">
        <w:t>are:</w:t>
      </w:r>
      <w:proofErr w:type="gramEnd"/>
      <w:r w:rsidRPr="00E738B7">
        <w:t xml:space="preserve"> the front middle of the thighs and the lower part of the abdomen except for 5 cm directly around the navel. If a caregiver is giving the injection, the top of the buttocks and the back of the upper arms are also appropriate injection sites.</w:t>
      </w:r>
    </w:p>
    <w:p w14:paraId="42D17B58" w14:textId="0A35E0BE" w:rsidR="006D527C" w:rsidRPr="00E738B7" w:rsidRDefault="008706E4" w:rsidP="003B55AB">
      <w:pPr>
        <w:pStyle w:val="BodyText1"/>
      </w:pPr>
      <w:r>
        <w:t>PALYNZIQ</w:t>
      </w:r>
      <w:r w:rsidR="006D527C" w:rsidRPr="00E738B7">
        <w:t xml:space="preserve"> should not be injected into moles, scars, birthmarks, bruises, rashes, or areas where the skin is hard, tender, red, damaged, burned, inflamed, or tattooed. The injection site should be checked for redness, swelling, or tenderness.</w:t>
      </w:r>
    </w:p>
    <w:p w14:paraId="3553A275" w14:textId="77777777" w:rsidR="006D527C" w:rsidRPr="00E738B7" w:rsidRDefault="006D527C" w:rsidP="003B55AB">
      <w:pPr>
        <w:pStyle w:val="BodyText1"/>
      </w:pPr>
      <w:r w:rsidRPr="00E738B7">
        <w:t xml:space="preserve">Patients or caregiver should be advised to rotate sites for subcutaneous injections. If more than one injection is needed for a single dose, each injection site should be at least 5 cm away from another injection site. </w:t>
      </w:r>
    </w:p>
    <w:p w14:paraId="441175F3" w14:textId="7F3E8832" w:rsidR="00EF0489" w:rsidRPr="008E17DD" w:rsidRDefault="008706E4" w:rsidP="003B55AB">
      <w:pPr>
        <w:pStyle w:val="BodyText1"/>
        <w:rPr>
          <w:highlight w:val="yellow"/>
        </w:rPr>
      </w:pPr>
      <w:r>
        <w:t>PALYNZIQ</w:t>
      </w:r>
      <w:r w:rsidR="006D527C" w:rsidRPr="00E738B7">
        <w:t xml:space="preserve"> is a clear to slightly opalescent, colourless to pale yellow solution. The solution should not be used if discoloured or cloudy or if visible particles are present.</w:t>
      </w:r>
    </w:p>
    <w:p w14:paraId="6E7506ED" w14:textId="042E96E0" w:rsidR="00EF0489" w:rsidRPr="007D0F82" w:rsidRDefault="00EF0489" w:rsidP="00126740">
      <w:pPr>
        <w:pStyle w:val="Heading3"/>
        <w:keepNext/>
      </w:pPr>
      <w:r>
        <w:t>Dosage adjustment</w:t>
      </w:r>
    </w:p>
    <w:p w14:paraId="538FF405" w14:textId="2D8F6CC9" w:rsidR="00802652" w:rsidRPr="00802652" w:rsidRDefault="00802652" w:rsidP="009D51CD">
      <w:pPr>
        <w:pStyle w:val="BodyText1"/>
        <w:rPr>
          <w:bCs/>
          <w:iCs/>
          <w:lang w:val="en-GB"/>
        </w:rPr>
      </w:pPr>
      <w:r w:rsidRPr="00802652">
        <w:rPr>
          <w:bCs/>
          <w:iCs/>
          <w:lang w:val="en-GB"/>
        </w:rPr>
        <w:t xml:space="preserve">During titration and maintenance of </w:t>
      </w:r>
      <w:r w:rsidR="008706E4">
        <w:rPr>
          <w:bCs/>
          <w:iCs/>
          <w:lang w:val="en-GB"/>
        </w:rPr>
        <w:t>PALYNZIQ</w:t>
      </w:r>
      <w:r w:rsidRPr="00802652">
        <w:rPr>
          <w:bCs/>
          <w:iCs/>
          <w:lang w:val="en-GB"/>
        </w:rPr>
        <w:t xml:space="preserve"> treatment, patients may develop blood phenylalanine levels below 30 </w:t>
      </w:r>
      <w:proofErr w:type="spellStart"/>
      <w:r w:rsidR="009D51CD">
        <w:rPr>
          <w:bCs/>
          <w:iCs/>
          <w:lang w:val="en-GB"/>
        </w:rPr>
        <w:t>micromol</w:t>
      </w:r>
      <w:proofErr w:type="spellEnd"/>
      <w:r w:rsidR="009D51CD">
        <w:rPr>
          <w:bCs/>
          <w:iCs/>
          <w:lang w:val="en-GB"/>
        </w:rPr>
        <w:t>/L</w:t>
      </w:r>
      <w:r w:rsidRPr="00802652">
        <w:rPr>
          <w:bCs/>
          <w:iCs/>
          <w:lang w:val="en-GB"/>
        </w:rPr>
        <w:t xml:space="preserve">. To manage </w:t>
      </w:r>
      <w:proofErr w:type="spellStart"/>
      <w:r w:rsidRPr="00802652">
        <w:rPr>
          <w:bCs/>
          <w:iCs/>
          <w:lang w:val="en-GB"/>
        </w:rPr>
        <w:t>hypophenylalaninaemia</w:t>
      </w:r>
      <w:proofErr w:type="spellEnd"/>
      <w:r w:rsidRPr="00802652">
        <w:rPr>
          <w:bCs/>
          <w:iCs/>
          <w:lang w:val="en-GB"/>
        </w:rPr>
        <w:t xml:space="preserve">, dietary protein intake should be increased to appropriate levels, and then, if needed, the dose of </w:t>
      </w:r>
      <w:r w:rsidR="008706E4">
        <w:rPr>
          <w:bCs/>
          <w:iCs/>
          <w:lang w:val="en-GB"/>
        </w:rPr>
        <w:t>PALYNZIQ</w:t>
      </w:r>
      <w:r w:rsidRPr="00802652">
        <w:rPr>
          <w:bCs/>
          <w:iCs/>
          <w:lang w:val="en-GB"/>
        </w:rPr>
        <w:t xml:space="preserve"> should be reduced. In patients experiencing </w:t>
      </w:r>
      <w:proofErr w:type="spellStart"/>
      <w:r w:rsidRPr="00802652">
        <w:rPr>
          <w:bCs/>
          <w:iCs/>
          <w:lang w:val="en-GB"/>
        </w:rPr>
        <w:t>hypophenylalaninaemia</w:t>
      </w:r>
      <w:proofErr w:type="spellEnd"/>
      <w:r w:rsidRPr="00802652">
        <w:rPr>
          <w:bCs/>
          <w:iCs/>
          <w:lang w:val="en-GB"/>
        </w:rPr>
        <w:t xml:space="preserve"> despite appropriate levels of protein intake, dose reductions are expected to be most </w:t>
      </w:r>
      <w:bookmarkStart w:id="6" w:name="_Hlk534700914"/>
      <w:r w:rsidRPr="00802652">
        <w:rPr>
          <w:bCs/>
          <w:iCs/>
          <w:lang w:val="en-GB"/>
        </w:rPr>
        <w:t xml:space="preserve">effective in managing </w:t>
      </w:r>
      <w:proofErr w:type="spellStart"/>
      <w:r w:rsidRPr="00802652">
        <w:rPr>
          <w:bCs/>
          <w:iCs/>
          <w:lang w:val="en-GB"/>
        </w:rPr>
        <w:t>hypophenylalaninaemia</w:t>
      </w:r>
      <w:proofErr w:type="spellEnd"/>
      <w:r w:rsidRPr="00802652">
        <w:rPr>
          <w:bCs/>
          <w:iCs/>
          <w:lang w:val="en-GB"/>
        </w:rPr>
        <w:t xml:space="preserve"> </w:t>
      </w:r>
      <w:bookmarkEnd w:id="6"/>
      <w:r w:rsidRPr="00802652">
        <w:rPr>
          <w:bCs/>
          <w:iCs/>
          <w:lang w:val="en-GB"/>
        </w:rPr>
        <w:t>(see section 5.2, Exposure-effect). Patients should be monitored every week until blood phenylalanine levels are within a clinically acceptable range (see section 4.4</w:t>
      </w:r>
      <w:r w:rsidR="00DA7594">
        <w:rPr>
          <w:bCs/>
          <w:iCs/>
          <w:lang w:val="en-GB"/>
        </w:rPr>
        <w:t xml:space="preserve"> </w:t>
      </w:r>
      <w:r w:rsidR="00DA7594">
        <w:t>Special warnings and precautions for use</w:t>
      </w:r>
      <w:r w:rsidR="00CC5BB4">
        <w:t xml:space="preserve"> </w:t>
      </w:r>
      <w:proofErr w:type="gramStart"/>
      <w:r w:rsidR="00CC5BB4">
        <w:t xml:space="preserve">- </w:t>
      </w:r>
      <w:r w:rsidRPr="00802652">
        <w:rPr>
          <w:bCs/>
          <w:iCs/>
          <w:lang w:val="en-GB"/>
        </w:rPr>
        <w:t xml:space="preserve"> </w:t>
      </w:r>
      <w:proofErr w:type="spellStart"/>
      <w:r w:rsidRPr="00802652">
        <w:rPr>
          <w:bCs/>
          <w:iCs/>
          <w:lang w:val="en-GB"/>
        </w:rPr>
        <w:t>Hypophenylalaninaemia</w:t>
      </w:r>
      <w:proofErr w:type="spellEnd"/>
      <w:proofErr w:type="gramEnd"/>
      <w:r w:rsidRPr="00802652">
        <w:rPr>
          <w:bCs/>
          <w:iCs/>
          <w:lang w:val="en-GB"/>
        </w:rPr>
        <w:t xml:space="preserve">). </w:t>
      </w:r>
    </w:p>
    <w:p w14:paraId="6DA8627C" w14:textId="77777777" w:rsidR="00062429" w:rsidRDefault="00802652" w:rsidP="000D23FA">
      <w:pPr>
        <w:pStyle w:val="BodyText1"/>
        <w:spacing w:after="240"/>
        <w:rPr>
          <w:bCs/>
          <w:iCs/>
          <w:lang w:val="en-GB"/>
        </w:rPr>
      </w:pPr>
      <w:r w:rsidRPr="00802652">
        <w:rPr>
          <w:bCs/>
          <w:iCs/>
          <w:lang w:val="en-GB"/>
        </w:rPr>
        <w:t xml:space="preserve">If </w:t>
      </w:r>
      <w:proofErr w:type="spellStart"/>
      <w:r w:rsidRPr="00802652">
        <w:rPr>
          <w:bCs/>
          <w:iCs/>
          <w:lang w:val="en-GB"/>
        </w:rPr>
        <w:t>hypophenylalaninaemia</w:t>
      </w:r>
      <w:proofErr w:type="spellEnd"/>
      <w:r w:rsidRPr="00802652">
        <w:rPr>
          <w:bCs/>
          <w:iCs/>
          <w:lang w:val="en-GB"/>
        </w:rPr>
        <w:t xml:space="preserve"> develops prior to reaching daily dosing, the dose may be reduced to the previous titration dose. If </w:t>
      </w:r>
      <w:proofErr w:type="spellStart"/>
      <w:r w:rsidRPr="00802652">
        <w:rPr>
          <w:bCs/>
          <w:iCs/>
          <w:lang w:val="en-GB"/>
        </w:rPr>
        <w:t>hypophenylalaninaemia</w:t>
      </w:r>
      <w:proofErr w:type="spellEnd"/>
      <w:r w:rsidRPr="00802652">
        <w:rPr>
          <w:bCs/>
          <w:iCs/>
          <w:lang w:val="en-GB"/>
        </w:rPr>
        <w:t xml:space="preserve"> develops once daily dosing is reached, the dose may be reduced by at least 10 mg decrements to achieve and maintain blood phenylalanine levels in the clinically acceptable range. In patients experiencing </w:t>
      </w:r>
      <w:proofErr w:type="spellStart"/>
      <w:r w:rsidRPr="00802652">
        <w:rPr>
          <w:bCs/>
          <w:iCs/>
          <w:lang w:val="en-GB"/>
        </w:rPr>
        <w:t>hypophenylalaninaemia</w:t>
      </w:r>
      <w:proofErr w:type="spellEnd"/>
      <w:r w:rsidRPr="00802652">
        <w:rPr>
          <w:bCs/>
          <w:iCs/>
          <w:lang w:val="en-GB"/>
        </w:rPr>
        <w:t xml:space="preserve"> on 10 mg/day, the dose may be reduced to 5 mg/day.</w:t>
      </w:r>
    </w:p>
    <w:p w14:paraId="4EBBB6E0" w14:textId="0E10700A" w:rsidR="009F0747" w:rsidRPr="00482275" w:rsidRDefault="008450DE" w:rsidP="005C682D">
      <w:pPr>
        <w:pStyle w:val="Heading2"/>
      </w:pPr>
      <w:r w:rsidRPr="00482275">
        <w:t xml:space="preserve">4.3 </w:t>
      </w:r>
      <w:r w:rsidR="008E17DD" w:rsidRPr="00482275">
        <w:t>Contraindications</w:t>
      </w:r>
    </w:p>
    <w:p w14:paraId="547B90E1" w14:textId="23466582" w:rsidR="00D621B2" w:rsidRPr="00D621B2" w:rsidRDefault="00482275" w:rsidP="00D621B2">
      <w:pPr>
        <w:pStyle w:val="BodyText1"/>
      </w:pPr>
      <w:bookmarkStart w:id="7" w:name="_Ref471291968"/>
      <w:r w:rsidRPr="00482275">
        <w:rPr>
          <w:lang w:val="en-GB"/>
        </w:rPr>
        <w:t>Severe systemic hypersensitivity reaction or recurrence of a mild to moderate acute systemic hypersensitivity reaction to pegvaliase, any of the excipients listed in section 6.1, or another PEGylated medicinal product (see section 4.4</w:t>
      </w:r>
      <w:r>
        <w:rPr>
          <w:lang w:val="en-GB"/>
        </w:rPr>
        <w:t xml:space="preserve"> Special warmings and precautions for use</w:t>
      </w:r>
      <w:r w:rsidRPr="00482275">
        <w:rPr>
          <w:lang w:val="en-GB"/>
        </w:rPr>
        <w:t>).</w:t>
      </w:r>
      <w:r w:rsidR="00D621B2" w:rsidRPr="00D621B2">
        <w:t xml:space="preserve"> </w:t>
      </w:r>
    </w:p>
    <w:p w14:paraId="3F94A771" w14:textId="5B50DA59" w:rsidR="008E17DD" w:rsidRDefault="008450DE" w:rsidP="005C682D">
      <w:pPr>
        <w:pStyle w:val="Heading2"/>
      </w:pPr>
      <w:r>
        <w:lastRenderedPageBreak/>
        <w:t xml:space="preserve">4.4 </w:t>
      </w:r>
      <w:bookmarkEnd w:id="7"/>
      <w:r w:rsidR="00B959F0">
        <w:t>Special warnings and p</w:t>
      </w:r>
      <w:r w:rsidR="00D86907">
        <w:t>recautions</w:t>
      </w:r>
      <w:r w:rsidR="00B959F0">
        <w:t xml:space="preserve"> for use</w:t>
      </w:r>
    </w:p>
    <w:p w14:paraId="74618815" w14:textId="77777777" w:rsidR="00907E7D" w:rsidRPr="00907E7D" w:rsidRDefault="00907E7D" w:rsidP="00907E7D">
      <w:pPr>
        <w:pStyle w:val="Heading3"/>
        <w:rPr>
          <w:lang w:val="en-GB"/>
        </w:rPr>
      </w:pPr>
      <w:r w:rsidRPr="00907E7D">
        <w:rPr>
          <w:lang w:val="en-GB"/>
        </w:rPr>
        <w:t>Hypersensitivity reactions</w:t>
      </w:r>
    </w:p>
    <w:p w14:paraId="2B428711" w14:textId="73F02DC8" w:rsidR="00907E7D" w:rsidRDefault="00907E7D" w:rsidP="00CC5BB4">
      <w:pPr>
        <w:pStyle w:val="BodyText1"/>
        <w:rPr>
          <w:lang w:val="en-GB"/>
        </w:rPr>
      </w:pPr>
      <w:r w:rsidRPr="00907E7D">
        <w:rPr>
          <w:lang w:val="en-GB"/>
        </w:rPr>
        <w:t>Hypersensitivity reactions</w:t>
      </w:r>
      <w:r w:rsidR="00BF738D">
        <w:rPr>
          <w:lang w:val="en-GB"/>
        </w:rPr>
        <w:t xml:space="preserve"> </w:t>
      </w:r>
      <w:r w:rsidR="00BF738D">
        <w:rPr>
          <w:szCs w:val="22"/>
        </w:rPr>
        <w:t>cover a group of terms that comprises</w:t>
      </w:r>
      <w:r w:rsidRPr="00907E7D">
        <w:rPr>
          <w:lang w:val="en-GB"/>
        </w:rPr>
        <w:t xml:space="preserve"> acute systemic hypersensitivity reactions, </w:t>
      </w:r>
      <w:r w:rsidR="00A359A1">
        <w:rPr>
          <w:szCs w:val="22"/>
        </w:rPr>
        <w:t xml:space="preserve">other systemic hypersensitivity reactions such as </w:t>
      </w:r>
      <w:r w:rsidRPr="00907E7D">
        <w:rPr>
          <w:lang w:val="en-GB"/>
        </w:rPr>
        <w:t>angioedema and serum sickness</w:t>
      </w:r>
      <w:r w:rsidR="00A359A1">
        <w:rPr>
          <w:lang w:val="en-GB"/>
        </w:rPr>
        <w:t xml:space="preserve"> </w:t>
      </w:r>
      <w:r w:rsidR="00A359A1">
        <w:rPr>
          <w:szCs w:val="22"/>
        </w:rPr>
        <w:t>which may have an acute or chronic presentation</w:t>
      </w:r>
      <w:r w:rsidR="00A359A1" w:rsidRPr="00E738B7">
        <w:rPr>
          <w:szCs w:val="22"/>
        </w:rPr>
        <w:t xml:space="preserve">, </w:t>
      </w:r>
      <w:r w:rsidR="00A359A1">
        <w:rPr>
          <w:szCs w:val="22"/>
        </w:rPr>
        <w:t>and local hypersensitivity reactions such as injection site reactions or other skin reactions. Hypersensitivity reactions</w:t>
      </w:r>
      <w:r w:rsidR="003A3487">
        <w:rPr>
          <w:szCs w:val="22"/>
        </w:rPr>
        <w:t>,</w:t>
      </w:r>
      <w:r w:rsidRPr="00907E7D">
        <w:rPr>
          <w:lang w:val="en-GB"/>
        </w:rPr>
        <w:t xml:space="preserve"> </w:t>
      </w:r>
      <w:r w:rsidR="00D45A27">
        <w:rPr>
          <w:lang w:val="en-GB"/>
        </w:rPr>
        <w:t>including anaphylaxis</w:t>
      </w:r>
      <w:r w:rsidR="003A3487">
        <w:rPr>
          <w:lang w:val="en-GB"/>
        </w:rPr>
        <w:t>,</w:t>
      </w:r>
      <w:r w:rsidR="00D45A27">
        <w:rPr>
          <w:lang w:val="en-GB"/>
        </w:rPr>
        <w:t xml:space="preserve"> </w:t>
      </w:r>
      <w:r w:rsidRPr="00907E7D">
        <w:rPr>
          <w:lang w:val="en-GB"/>
        </w:rPr>
        <w:t xml:space="preserve">have been reported in patients treated with </w:t>
      </w:r>
      <w:r w:rsidR="008706E4">
        <w:rPr>
          <w:lang w:val="en-GB"/>
        </w:rPr>
        <w:t>PALYNZIQ</w:t>
      </w:r>
      <w:r w:rsidRPr="00907E7D">
        <w:rPr>
          <w:lang w:val="en-GB"/>
        </w:rPr>
        <w:t xml:space="preserve"> and can occur at any time during treatment. </w:t>
      </w:r>
      <w:r w:rsidR="008706E4">
        <w:rPr>
          <w:lang w:val="en-GB"/>
        </w:rPr>
        <w:t>PALYNZIQ</w:t>
      </w:r>
      <w:r w:rsidRPr="00907E7D">
        <w:rPr>
          <w:lang w:val="en-GB"/>
        </w:rPr>
        <w:t xml:space="preserve"> may also increase hypersensitivity to other PEGylated injectable medicinal products (see Effect of </w:t>
      </w:r>
      <w:r w:rsidR="008706E4">
        <w:rPr>
          <w:lang w:val="en-GB"/>
        </w:rPr>
        <w:t>PALYNZIQ</w:t>
      </w:r>
      <w:r w:rsidRPr="00907E7D">
        <w:rPr>
          <w:lang w:val="en-GB"/>
        </w:rPr>
        <w:t xml:space="preserve"> on other PEGylated injectable medicinal products). </w:t>
      </w:r>
    </w:p>
    <w:p w14:paraId="22B19C85" w14:textId="77777777" w:rsidR="00A359A1" w:rsidRPr="00A81E9B" w:rsidRDefault="00A359A1" w:rsidP="00A359A1">
      <w:pPr>
        <w:rPr>
          <w:szCs w:val="22"/>
        </w:rPr>
      </w:pPr>
      <w:r w:rsidRPr="00A81E9B">
        <w:rPr>
          <w:szCs w:val="22"/>
        </w:rPr>
        <w:t>The risk of a hypersensitivity reactions is 2.6</w:t>
      </w:r>
      <w:r w:rsidRPr="00A81E9B">
        <w:rPr>
          <w:szCs w:val="22"/>
        </w:rPr>
        <w:noBreakHyphen/>
        <w:t xml:space="preserve">fold higher in induction/titration phase compared to the maintenance phase. </w:t>
      </w:r>
    </w:p>
    <w:p w14:paraId="10B0693B" w14:textId="4C2D8239" w:rsidR="00A359A1" w:rsidRPr="00A81E9B" w:rsidRDefault="00A359A1" w:rsidP="00A359A1">
      <w:pPr>
        <w:rPr>
          <w:szCs w:val="22"/>
        </w:rPr>
      </w:pPr>
      <w:r w:rsidRPr="00E738B7">
        <w:rPr>
          <w:bCs/>
          <w:szCs w:val="22"/>
        </w:rPr>
        <w:t>Management of hypersensitivity reactions should be based on the severity of the reaction; in clinical trials, this has included dose adjustment, treatment interruption</w:t>
      </w:r>
      <w:r w:rsidR="00D45A27">
        <w:rPr>
          <w:bCs/>
          <w:szCs w:val="22"/>
        </w:rPr>
        <w:t xml:space="preserve"> or discontinuation</w:t>
      </w:r>
      <w:r w:rsidRPr="00E738B7">
        <w:rPr>
          <w:bCs/>
          <w:szCs w:val="22"/>
        </w:rPr>
        <w:t>, additional antihistamines, antipyretics, corticosteroids</w:t>
      </w:r>
      <w:r>
        <w:rPr>
          <w:bCs/>
          <w:szCs w:val="22"/>
        </w:rPr>
        <w:t xml:space="preserve">, </w:t>
      </w:r>
      <w:r w:rsidR="00D45A27">
        <w:rPr>
          <w:bCs/>
          <w:szCs w:val="22"/>
        </w:rPr>
        <w:t xml:space="preserve">adrenaline, </w:t>
      </w:r>
      <w:r w:rsidRPr="00A81E9B">
        <w:rPr>
          <w:szCs w:val="22"/>
        </w:rPr>
        <w:t>and/or oxygen (see sections 4.2, method of administration and 4.8).</w:t>
      </w:r>
    </w:p>
    <w:p w14:paraId="395C3D8A" w14:textId="62E410B0" w:rsidR="00A359A1" w:rsidRPr="00650ED4" w:rsidRDefault="00A359A1" w:rsidP="00CC5BB4">
      <w:pPr>
        <w:pStyle w:val="BodyText1"/>
        <w:rPr>
          <w:u w:val="single"/>
          <w:lang w:val="en-GB"/>
        </w:rPr>
      </w:pPr>
      <w:r w:rsidRPr="00650ED4">
        <w:rPr>
          <w:u w:val="single"/>
          <w:lang w:val="en-GB"/>
        </w:rPr>
        <w:t>Acute systemic hypersensitivity reactions (Type III)</w:t>
      </w:r>
    </w:p>
    <w:p w14:paraId="04F8ABEA" w14:textId="7E26DD9D" w:rsidR="00907E7D" w:rsidRPr="00907E7D" w:rsidRDefault="00907E7D" w:rsidP="00CC5BB4">
      <w:pPr>
        <w:pStyle w:val="BodyText1"/>
        <w:rPr>
          <w:lang w:val="en-GB"/>
        </w:rPr>
      </w:pPr>
      <w:r w:rsidRPr="00907E7D">
        <w:rPr>
          <w:bCs/>
          <w:lang w:val="en-GB"/>
        </w:rPr>
        <w:t>The underlying mechanism for acute systemic hypersensitivity reactions observed in clinical trials was non</w:t>
      </w:r>
      <w:r w:rsidRPr="00907E7D">
        <w:rPr>
          <w:bCs/>
          <w:lang w:val="en-GB"/>
        </w:rPr>
        <w:noBreakHyphen/>
      </w:r>
      <w:proofErr w:type="spellStart"/>
      <w:r w:rsidRPr="00907E7D">
        <w:rPr>
          <w:bCs/>
          <w:lang w:val="en-GB"/>
        </w:rPr>
        <w:t>IgE</w:t>
      </w:r>
      <w:proofErr w:type="spellEnd"/>
      <w:r w:rsidRPr="00907E7D">
        <w:rPr>
          <w:bCs/>
          <w:lang w:val="en-GB"/>
        </w:rPr>
        <w:t xml:space="preserve"> mediated Type III (immune</w:t>
      </w:r>
      <w:r w:rsidRPr="00907E7D">
        <w:rPr>
          <w:bCs/>
          <w:lang w:val="en-GB"/>
        </w:rPr>
        <w:noBreakHyphen/>
        <w:t>complex mediated) hypersensitivity (see section</w:t>
      </w:r>
      <w:r w:rsidR="00A359A1">
        <w:rPr>
          <w:bCs/>
          <w:lang w:val="en-GB"/>
        </w:rPr>
        <w:t>s 4.3 Contraindications and</w:t>
      </w:r>
      <w:r w:rsidRPr="00907E7D">
        <w:rPr>
          <w:bCs/>
          <w:lang w:val="en-GB"/>
        </w:rPr>
        <w:t> 4.8</w:t>
      </w:r>
      <w:r w:rsidR="00107897">
        <w:rPr>
          <w:bCs/>
          <w:lang w:val="en-GB"/>
        </w:rPr>
        <w:t xml:space="preserve"> Adverse effects</w:t>
      </w:r>
      <w:r w:rsidRPr="00907E7D">
        <w:rPr>
          <w:bCs/>
          <w:lang w:val="en-GB"/>
        </w:rPr>
        <w:t>).</w:t>
      </w:r>
    </w:p>
    <w:p w14:paraId="0CF3C9E9" w14:textId="77777777" w:rsidR="00A359A1" w:rsidRPr="005F5924" w:rsidRDefault="00A359A1" w:rsidP="00A359A1">
      <w:pPr>
        <w:tabs>
          <w:tab w:val="num" w:pos="2160"/>
        </w:tabs>
        <w:rPr>
          <w:szCs w:val="22"/>
        </w:rPr>
      </w:pPr>
      <w:r w:rsidRPr="004B562A">
        <w:rPr>
          <w:bCs/>
          <w:szCs w:val="22"/>
        </w:rPr>
        <w:t xml:space="preserve">Manifestations of acute </w:t>
      </w:r>
      <w:r>
        <w:rPr>
          <w:bCs/>
          <w:szCs w:val="22"/>
        </w:rPr>
        <w:t xml:space="preserve">systemic </w:t>
      </w:r>
      <w:r w:rsidRPr="004B562A">
        <w:rPr>
          <w:bCs/>
          <w:szCs w:val="22"/>
        </w:rPr>
        <w:t>hypersensitivity reactions included a combination of the following acute signs and symptoms: syncope, hypotension, hypoxia, dyspnoea, wheezing, chest discomfort/chest tightness, tachycardia, angioedema (swelling of face, lips, eyes, and tongue), flushing, rash, urticaria, pruritus, and gastroi</w:t>
      </w:r>
      <w:r w:rsidRPr="00DD20BB">
        <w:rPr>
          <w:bCs/>
          <w:szCs w:val="22"/>
        </w:rPr>
        <w:t xml:space="preserve">ntestinal symptoms (vomiting, nausea, and diarrhoea). Acute systemic hypersensitivity reactions were </w:t>
      </w:r>
      <w:r w:rsidRPr="001C2B15">
        <w:rPr>
          <w:bCs/>
          <w:szCs w:val="22"/>
        </w:rPr>
        <w:t>considered severe based on the presence of cyanosis or oxygen saturation (SpO</w:t>
      </w:r>
      <w:r w:rsidRPr="001C2B15">
        <w:rPr>
          <w:bCs/>
          <w:szCs w:val="22"/>
          <w:vertAlign w:val="subscript"/>
        </w:rPr>
        <w:t>2</w:t>
      </w:r>
      <w:r w:rsidRPr="001C2B15">
        <w:rPr>
          <w:bCs/>
          <w:szCs w:val="22"/>
        </w:rPr>
        <w:t>) less than or equal to 92%, hypotension (systolic blood pressure below 90 mm Hg in adults) or syncope.</w:t>
      </w:r>
      <w:r>
        <w:rPr>
          <w:bCs/>
          <w:szCs w:val="22"/>
        </w:rPr>
        <w:t xml:space="preserve"> </w:t>
      </w:r>
      <w:r w:rsidRPr="00A81E9B">
        <w:rPr>
          <w:szCs w:val="22"/>
        </w:rPr>
        <w:t xml:space="preserve">Four out of 16 (1%, 4/285) patients experienced a total of 5 episodes of acute systemic hypersensitivity reactions that were considered severe. </w:t>
      </w:r>
      <w:r w:rsidRPr="00E738B7">
        <w:rPr>
          <w:szCs w:val="22"/>
        </w:rPr>
        <w:t xml:space="preserve">The risk of an acute systemic hypersensitivity reaction occurring is </w:t>
      </w:r>
      <w:r>
        <w:rPr>
          <w:szCs w:val="22"/>
        </w:rPr>
        <w:t>6</w:t>
      </w:r>
      <w:r w:rsidRPr="00E738B7">
        <w:rPr>
          <w:szCs w:val="22"/>
        </w:rPr>
        <w:noBreakHyphen/>
        <w:t>fold higher in induction/titration phase compared to maintenance phase.</w:t>
      </w:r>
    </w:p>
    <w:p w14:paraId="7072AEE3" w14:textId="724D2E56" w:rsidR="00907E7D" w:rsidRPr="00650ED4" w:rsidRDefault="00907E7D" w:rsidP="00CC5BB4">
      <w:pPr>
        <w:pStyle w:val="BodyText1"/>
        <w:rPr>
          <w:b/>
          <w:bCs/>
          <w:lang w:val="en-GB"/>
        </w:rPr>
      </w:pPr>
      <w:r w:rsidRPr="00650ED4">
        <w:rPr>
          <w:b/>
          <w:lang w:val="en-GB"/>
        </w:rPr>
        <w:t>Acute systemic hypersensitivity reactions require treatment with adrenaline and immediate medical care. An adrenaline injection device (auto</w:t>
      </w:r>
      <w:r w:rsidRPr="00650ED4">
        <w:rPr>
          <w:b/>
          <w:lang w:val="en-GB"/>
        </w:rPr>
        <w:noBreakHyphen/>
        <w:t>injector or pre</w:t>
      </w:r>
      <w:r w:rsidRPr="00650ED4">
        <w:rPr>
          <w:b/>
          <w:lang w:val="en-GB"/>
        </w:rPr>
        <w:noBreakHyphen/>
        <w:t xml:space="preserve">filled syringe/pen) should be prescribed to patients receiving this medicinal product. Patients </w:t>
      </w:r>
      <w:proofErr w:type="gramStart"/>
      <w:r w:rsidRPr="00650ED4">
        <w:rPr>
          <w:b/>
          <w:lang w:val="en-GB"/>
        </w:rPr>
        <w:t>should be instructed to carry an adrenaline injection device with them at all times</w:t>
      </w:r>
      <w:proofErr w:type="gramEnd"/>
      <w:r w:rsidRPr="00650ED4">
        <w:rPr>
          <w:b/>
          <w:lang w:val="en-GB"/>
        </w:rPr>
        <w:t xml:space="preserve"> during </w:t>
      </w:r>
      <w:r w:rsidR="008706E4" w:rsidRPr="00650ED4">
        <w:rPr>
          <w:b/>
          <w:lang w:val="en-GB"/>
        </w:rPr>
        <w:t>PALYNZIQ</w:t>
      </w:r>
      <w:r w:rsidRPr="00650ED4">
        <w:rPr>
          <w:b/>
          <w:lang w:val="en-GB"/>
        </w:rPr>
        <w:t xml:space="preserve"> treatment. Patients and the observer should be instructed to recognise the signs and symptoms of acute systemic hypersensitivity reactions, in the proper emergency use of the adrenaline injection device, and the requirement to seek immediate medical care.</w:t>
      </w:r>
      <w:r w:rsidRPr="00907E7D">
        <w:rPr>
          <w:bCs/>
          <w:lang w:val="en-GB"/>
        </w:rPr>
        <w:t xml:space="preserve"> The risks associated with adrenaline use should be considered when prescribing </w:t>
      </w:r>
      <w:r w:rsidR="008706E4">
        <w:rPr>
          <w:bCs/>
          <w:lang w:val="en-GB"/>
        </w:rPr>
        <w:t>PALYNZIQ</w:t>
      </w:r>
      <w:r w:rsidRPr="00907E7D">
        <w:rPr>
          <w:bCs/>
          <w:lang w:val="en-GB"/>
        </w:rPr>
        <w:t xml:space="preserve">. Refer to adrenaline product information for complete information. </w:t>
      </w:r>
      <w:r w:rsidR="00A359A1">
        <w:rPr>
          <w:szCs w:val="22"/>
        </w:rPr>
        <w:t>F</w:t>
      </w:r>
      <w:r w:rsidR="00A359A1" w:rsidRPr="00E738B7">
        <w:rPr>
          <w:bCs/>
          <w:szCs w:val="22"/>
        </w:rPr>
        <w:t>or recurrence of a mild to moderate acute systemic hypersensitivity reaction</w:t>
      </w:r>
      <w:r w:rsidR="00A359A1">
        <w:rPr>
          <w:bCs/>
          <w:szCs w:val="22"/>
        </w:rPr>
        <w:t xml:space="preserve"> </w:t>
      </w:r>
      <w:r w:rsidR="00A359A1" w:rsidRPr="00E738B7">
        <w:rPr>
          <w:bCs/>
          <w:szCs w:val="22"/>
        </w:rPr>
        <w:t xml:space="preserve">patients should seek immediate medical care and Palynziq should be permanently discontinued (see section 4.3). </w:t>
      </w:r>
      <w:r w:rsidR="00A359A1" w:rsidRPr="00E81158">
        <w:rPr>
          <w:szCs w:val="22"/>
        </w:rPr>
        <w:t xml:space="preserve"> </w:t>
      </w:r>
      <w:r w:rsidRPr="00650ED4">
        <w:rPr>
          <w:b/>
          <w:bCs/>
          <w:lang w:val="en-GB"/>
        </w:rPr>
        <w:t>Due to the potential for acute systemic hypersensitivity reaction</w:t>
      </w:r>
      <w:r w:rsidR="00A359A1" w:rsidRPr="00650ED4">
        <w:rPr>
          <w:b/>
          <w:bCs/>
          <w:lang w:val="en-GB"/>
        </w:rPr>
        <w:t>s</w:t>
      </w:r>
      <w:r w:rsidRPr="00650ED4">
        <w:rPr>
          <w:b/>
          <w:bCs/>
          <w:lang w:val="en-GB"/>
        </w:rPr>
        <w:t>, premedication prior to each dose is required during induction and titration (see section 4.2</w:t>
      </w:r>
      <w:r w:rsidR="003A51F8" w:rsidRPr="00650ED4">
        <w:rPr>
          <w:b/>
          <w:bCs/>
          <w:lang w:val="en-GB"/>
        </w:rPr>
        <w:t xml:space="preserve"> Dose and m</w:t>
      </w:r>
      <w:r w:rsidRPr="00650ED4">
        <w:rPr>
          <w:b/>
          <w:bCs/>
          <w:lang w:val="en-GB"/>
        </w:rPr>
        <w:t>ethod of administration). Patients should be instructed to pre</w:t>
      </w:r>
      <w:r w:rsidRPr="00650ED4">
        <w:rPr>
          <w:b/>
          <w:bCs/>
          <w:lang w:val="en-GB"/>
        </w:rPr>
        <w:noBreakHyphen/>
        <w:t>medicate with an H1</w:t>
      </w:r>
      <w:r w:rsidRPr="00650ED4">
        <w:rPr>
          <w:b/>
          <w:bCs/>
          <w:lang w:val="en-GB"/>
        </w:rPr>
        <w:noBreakHyphen/>
        <w:t>receptor antagonist, H2</w:t>
      </w:r>
      <w:r w:rsidRPr="00650ED4">
        <w:rPr>
          <w:b/>
          <w:bCs/>
          <w:lang w:val="en-GB"/>
        </w:rPr>
        <w:noBreakHyphen/>
        <w:t xml:space="preserve">receptor antagonist, and antipyretic. During maintenance, premedication may be considered for subsequent injections based on patient tolerability to </w:t>
      </w:r>
      <w:r w:rsidR="008706E4" w:rsidRPr="00650ED4">
        <w:rPr>
          <w:b/>
          <w:bCs/>
          <w:lang w:val="en-GB"/>
        </w:rPr>
        <w:t>PALYNZIQ</w:t>
      </w:r>
      <w:r w:rsidRPr="00650ED4">
        <w:rPr>
          <w:b/>
          <w:bCs/>
          <w:lang w:val="en-GB"/>
        </w:rPr>
        <w:t>. For at least the first 6 months of treatment when the patient is self</w:t>
      </w:r>
      <w:r w:rsidRPr="00650ED4">
        <w:rPr>
          <w:b/>
          <w:bCs/>
          <w:lang w:val="en-GB"/>
        </w:rPr>
        <w:noBreakHyphen/>
        <w:t xml:space="preserve">injecting (i.e. when administration is not under </w:t>
      </w:r>
      <w:r w:rsidRPr="00650ED4">
        <w:rPr>
          <w:b/>
          <w:bCs/>
          <w:lang w:val="en-GB"/>
        </w:rPr>
        <w:lastRenderedPageBreak/>
        <w:t>healthcare professional supervision), an observer must be present during and for at least 60 minutes after each administration (see section 4.2</w:t>
      </w:r>
      <w:r w:rsidR="003A51F8" w:rsidRPr="00650ED4">
        <w:rPr>
          <w:b/>
          <w:bCs/>
          <w:lang w:val="en-GB"/>
        </w:rPr>
        <w:t xml:space="preserve"> Dose and m</w:t>
      </w:r>
      <w:r w:rsidRPr="00650ED4">
        <w:rPr>
          <w:b/>
          <w:bCs/>
          <w:lang w:val="en-GB"/>
        </w:rPr>
        <w:t xml:space="preserve">ethod of administration). </w:t>
      </w:r>
    </w:p>
    <w:p w14:paraId="190FB65E" w14:textId="66209741" w:rsidR="00A359A1" w:rsidRPr="00650ED4" w:rsidRDefault="00A359A1" w:rsidP="00CC5BB4">
      <w:pPr>
        <w:pStyle w:val="BodyText1"/>
        <w:rPr>
          <w:bCs/>
          <w:u w:val="single"/>
          <w:lang w:val="en-GB"/>
        </w:rPr>
      </w:pPr>
      <w:r w:rsidRPr="00650ED4">
        <w:rPr>
          <w:bCs/>
          <w:u w:val="single"/>
          <w:lang w:val="en-GB"/>
        </w:rPr>
        <w:t>Other systemic hypersensitivity reactions</w:t>
      </w:r>
    </w:p>
    <w:p w14:paraId="617407F7" w14:textId="4156FCDE" w:rsidR="00A359A1" w:rsidRDefault="00907E7D" w:rsidP="00CC5BB4">
      <w:pPr>
        <w:pStyle w:val="BodyText1"/>
        <w:rPr>
          <w:bCs/>
          <w:lang w:val="en-GB"/>
        </w:rPr>
      </w:pPr>
      <w:r w:rsidRPr="00907E7D">
        <w:rPr>
          <w:bCs/>
          <w:lang w:val="en-GB"/>
        </w:rPr>
        <w:t xml:space="preserve">For </w:t>
      </w:r>
      <w:r w:rsidR="00A359A1">
        <w:rPr>
          <w:bCs/>
          <w:lang w:val="en-GB"/>
        </w:rPr>
        <w:t xml:space="preserve">other </w:t>
      </w:r>
      <w:r w:rsidRPr="00907E7D">
        <w:rPr>
          <w:lang w:val="en-GB"/>
        </w:rPr>
        <w:t>severe</w:t>
      </w:r>
      <w:r w:rsidRPr="00907E7D">
        <w:rPr>
          <w:bCs/>
          <w:lang w:val="en-GB"/>
        </w:rPr>
        <w:t xml:space="preserve"> systemic hypersensitivity reactions</w:t>
      </w:r>
      <w:r w:rsidR="00A359A1">
        <w:rPr>
          <w:bCs/>
          <w:lang w:val="en-GB"/>
        </w:rPr>
        <w:t xml:space="preserve"> (e.g., </w:t>
      </w:r>
      <w:r w:rsidR="00A359A1" w:rsidRPr="00084BEE">
        <w:rPr>
          <w:bCs/>
          <w:lang w:val="en-GB"/>
        </w:rPr>
        <w:t>anaphylaxis,</w:t>
      </w:r>
      <w:r w:rsidR="00A359A1">
        <w:rPr>
          <w:bCs/>
          <w:lang w:val="en-GB"/>
        </w:rPr>
        <w:t xml:space="preserve"> severe angioedema, severe serum sickness)</w:t>
      </w:r>
      <w:r w:rsidRPr="00907E7D">
        <w:rPr>
          <w:bCs/>
          <w:lang w:val="en-GB"/>
        </w:rPr>
        <w:t xml:space="preserve"> patients should seek immediate medical care and </w:t>
      </w:r>
      <w:r w:rsidR="008706E4">
        <w:rPr>
          <w:bCs/>
          <w:lang w:val="en-GB"/>
        </w:rPr>
        <w:t>PALYNZIQ</w:t>
      </w:r>
      <w:r w:rsidRPr="00907E7D">
        <w:rPr>
          <w:bCs/>
          <w:lang w:val="en-GB"/>
        </w:rPr>
        <w:t xml:space="preserve"> should be permanently discontinued (see section 4.3</w:t>
      </w:r>
      <w:r w:rsidR="003A51F8">
        <w:rPr>
          <w:bCs/>
          <w:lang w:val="en-GB"/>
        </w:rPr>
        <w:t xml:space="preserve"> Contraindications</w:t>
      </w:r>
      <w:r w:rsidRPr="00907E7D">
        <w:rPr>
          <w:bCs/>
          <w:lang w:val="en-GB"/>
        </w:rPr>
        <w:t xml:space="preserve">). </w:t>
      </w:r>
    </w:p>
    <w:p w14:paraId="4AB12AEF" w14:textId="5914A342" w:rsidR="00A359A1" w:rsidRDefault="00A359A1" w:rsidP="00CC5BB4">
      <w:pPr>
        <w:pStyle w:val="BodyText1"/>
        <w:rPr>
          <w:bCs/>
          <w:lang w:val="en-GB"/>
        </w:rPr>
      </w:pPr>
      <w:r>
        <w:rPr>
          <w:bCs/>
          <w:lang w:val="en-GB"/>
        </w:rPr>
        <w:t>Re-administering following an acute systemic hypersensitivity reaction</w:t>
      </w:r>
    </w:p>
    <w:p w14:paraId="3D0E66ED" w14:textId="3B6271B6" w:rsidR="00907E7D" w:rsidRPr="00907E7D" w:rsidRDefault="00907E7D" w:rsidP="00CC5BB4">
      <w:pPr>
        <w:pStyle w:val="BodyText1"/>
        <w:rPr>
          <w:bCs/>
          <w:lang w:val="en-GB"/>
        </w:rPr>
      </w:pPr>
      <w:r w:rsidRPr="00907E7D">
        <w:rPr>
          <w:bCs/>
          <w:lang w:val="en-GB"/>
        </w:rPr>
        <w:t>The prescribing physician should consider the risks and benefits of re</w:t>
      </w:r>
      <w:r w:rsidR="00861786">
        <w:rPr>
          <w:bCs/>
          <w:lang w:val="en-GB"/>
        </w:rPr>
        <w:t>-</w:t>
      </w:r>
      <w:r w:rsidRPr="00907E7D">
        <w:rPr>
          <w:bCs/>
          <w:lang w:val="en-GB"/>
        </w:rPr>
        <w:t>administering the medicinal product following resolution of the first mild to moderate acute systemic hypersensitivity reaction. Upon re</w:t>
      </w:r>
      <w:r w:rsidR="00861786">
        <w:rPr>
          <w:bCs/>
          <w:lang w:val="en-GB"/>
        </w:rPr>
        <w:t>-</w:t>
      </w:r>
      <w:r w:rsidRPr="00907E7D">
        <w:rPr>
          <w:bCs/>
          <w:lang w:val="en-GB"/>
        </w:rPr>
        <w:t xml:space="preserve">administration, the first dose must be administered with premedication under the supervision of a healthcare professional with the ability to manage acute systemic hypersensitivity reactions. </w:t>
      </w:r>
      <w:r w:rsidR="00861786">
        <w:rPr>
          <w:bCs/>
          <w:lang w:val="en-GB"/>
        </w:rPr>
        <w:t>The p</w:t>
      </w:r>
      <w:r w:rsidRPr="00907E7D">
        <w:rPr>
          <w:bCs/>
          <w:lang w:val="en-GB"/>
        </w:rPr>
        <w:t>rescribing physician should continue or consider resuming use of premedication.</w:t>
      </w:r>
    </w:p>
    <w:p w14:paraId="550FE927" w14:textId="77777777" w:rsidR="00907E7D" w:rsidRPr="00907E7D" w:rsidRDefault="00907E7D" w:rsidP="00907E7D">
      <w:pPr>
        <w:pStyle w:val="Heading3"/>
        <w:rPr>
          <w:lang w:val="en-GB"/>
        </w:rPr>
      </w:pPr>
      <w:r w:rsidRPr="00907E7D">
        <w:rPr>
          <w:lang w:val="en-GB"/>
        </w:rPr>
        <w:t>Dose titration and time to achieve response</w:t>
      </w:r>
    </w:p>
    <w:p w14:paraId="299093F2" w14:textId="2E4A38D3" w:rsidR="00907E7D" w:rsidRPr="00907E7D" w:rsidRDefault="00907E7D" w:rsidP="00861786">
      <w:pPr>
        <w:pStyle w:val="BodyText1"/>
        <w:rPr>
          <w:lang w:val="en-GB"/>
        </w:rPr>
      </w:pPr>
      <w:bookmarkStart w:id="8" w:name="_Hlk531964997"/>
      <w:r w:rsidRPr="00907E7D">
        <w:rPr>
          <w:lang w:val="en-GB"/>
        </w:rPr>
        <w:t>Time to response (achieving blood phenylalanine levels ≤ 600 </w:t>
      </w:r>
      <w:proofErr w:type="spellStart"/>
      <w:r w:rsidR="009D51CD">
        <w:rPr>
          <w:lang w:val="en-GB"/>
        </w:rPr>
        <w:t>micromol</w:t>
      </w:r>
      <w:proofErr w:type="spellEnd"/>
      <w:r w:rsidR="009D51CD">
        <w:rPr>
          <w:lang w:val="en-GB"/>
        </w:rPr>
        <w:t>/L</w:t>
      </w:r>
      <w:r w:rsidRPr="00907E7D">
        <w:rPr>
          <w:lang w:val="en-GB"/>
        </w:rPr>
        <w:t xml:space="preserve">) varies among patients. The time to reach a response ranged from 0.5 to </w:t>
      </w:r>
      <w:r w:rsidR="00A359A1">
        <w:rPr>
          <w:lang w:val="en-GB"/>
        </w:rPr>
        <w:t>54</w:t>
      </w:r>
      <w:r w:rsidRPr="00907E7D">
        <w:rPr>
          <w:lang w:val="en-GB"/>
        </w:rPr>
        <w:t xml:space="preserve"> months. </w:t>
      </w:r>
      <w:proofErr w:type="gramStart"/>
      <w:r w:rsidRPr="00907E7D">
        <w:rPr>
          <w:lang w:val="en-GB"/>
        </w:rPr>
        <w:t>The majority of</w:t>
      </w:r>
      <w:proofErr w:type="gramEnd"/>
      <w:r w:rsidRPr="00907E7D">
        <w:rPr>
          <w:lang w:val="en-GB"/>
        </w:rPr>
        <w:t xml:space="preserve"> patients (</w:t>
      </w:r>
      <w:r w:rsidR="00A359A1">
        <w:rPr>
          <w:lang w:val="en-GB"/>
        </w:rPr>
        <w:t>67</w:t>
      </w:r>
      <w:r w:rsidRPr="00907E7D">
        <w:rPr>
          <w:lang w:val="en-GB"/>
        </w:rPr>
        <w:t xml:space="preserve">%) reached a response by 18 months of total treatment. An additional </w:t>
      </w:r>
      <w:r w:rsidR="00A359A1">
        <w:rPr>
          <w:lang w:val="en-GB"/>
        </w:rPr>
        <w:t>8</w:t>
      </w:r>
      <w:r w:rsidRPr="00907E7D">
        <w:rPr>
          <w:lang w:val="en-GB"/>
        </w:rPr>
        <w:t xml:space="preserve">% of patients responded to </w:t>
      </w:r>
      <w:r w:rsidR="008706E4">
        <w:rPr>
          <w:lang w:val="en-GB"/>
        </w:rPr>
        <w:t>PALYNZIQ</w:t>
      </w:r>
      <w:r w:rsidRPr="00907E7D">
        <w:rPr>
          <w:lang w:val="en-GB"/>
        </w:rPr>
        <w:t xml:space="preserve"> after 18 months of treatment. If a patient does not reach a clinically relevant blood phenylalanine reduction after 18 months of treatment, continuation should be reconsidered. The physician may decide, with the patient, to continue </w:t>
      </w:r>
      <w:r w:rsidR="008706E4">
        <w:rPr>
          <w:lang w:val="en-GB"/>
        </w:rPr>
        <w:t>PALYNZIQ</w:t>
      </w:r>
      <w:r w:rsidRPr="00907E7D">
        <w:rPr>
          <w:lang w:val="en-GB"/>
        </w:rPr>
        <w:t xml:space="preserve"> treatment in those patients who show other beneficial effects (e.g. ability to increase protein intake from intact food or improvement of neurocognitive symptoms).</w:t>
      </w:r>
      <w:bookmarkEnd w:id="8"/>
    </w:p>
    <w:p w14:paraId="2A888521" w14:textId="5141F979" w:rsidR="00907E7D" w:rsidRPr="00907E7D" w:rsidRDefault="00907E7D" w:rsidP="0082659E">
      <w:pPr>
        <w:pStyle w:val="Heading3"/>
        <w:rPr>
          <w:lang w:val="en-GB"/>
        </w:rPr>
      </w:pPr>
      <w:r w:rsidRPr="00907E7D">
        <w:rPr>
          <w:lang w:val="en-GB"/>
        </w:rPr>
        <w:t xml:space="preserve">Effect of </w:t>
      </w:r>
      <w:r w:rsidR="008706E4">
        <w:rPr>
          <w:lang w:val="en-GB"/>
        </w:rPr>
        <w:t>PALYNZIQ</w:t>
      </w:r>
      <w:r w:rsidRPr="00907E7D">
        <w:rPr>
          <w:lang w:val="en-GB"/>
        </w:rPr>
        <w:t xml:space="preserve"> on other PEGylated injectable medicinal products</w:t>
      </w:r>
    </w:p>
    <w:p w14:paraId="5A1F2C62" w14:textId="08925607" w:rsidR="00907E7D" w:rsidRPr="00907E7D" w:rsidRDefault="00907E7D" w:rsidP="00B37389">
      <w:pPr>
        <w:pStyle w:val="BodyText1"/>
        <w:rPr>
          <w:lang w:val="en-GB"/>
        </w:rPr>
      </w:pPr>
      <w:r w:rsidRPr="00907E7D">
        <w:rPr>
          <w:lang w:val="en-GB"/>
        </w:rPr>
        <w:t xml:space="preserve">PEGylated proteins have the potential to elicit an immune response. Because antibodies bind to the PEG portion of pegvaliase, there may be potential for binding with other PEGylated therapeutics and increased hypersensitivity to other PEGylated injectables. In a single dose study of </w:t>
      </w:r>
      <w:r w:rsidR="008706E4">
        <w:rPr>
          <w:lang w:val="en-GB"/>
        </w:rPr>
        <w:t>PALYNZIQ</w:t>
      </w:r>
      <w:r w:rsidRPr="00907E7D">
        <w:rPr>
          <w:lang w:val="en-GB"/>
        </w:rPr>
        <w:t xml:space="preserve"> in adult patients with PKU, two patients receiving concomitant injections of medroxyprogesterone acetate suspension containing PEG experienced hypersensitivity reactions. One of the two patients experienced a hypersensitivity reaction on day 15 after a single </w:t>
      </w:r>
      <w:r w:rsidR="008706E4">
        <w:rPr>
          <w:lang w:val="en-GB"/>
        </w:rPr>
        <w:t>PALYNZIQ</w:t>
      </w:r>
      <w:r w:rsidRPr="00907E7D">
        <w:rPr>
          <w:lang w:val="en-GB"/>
        </w:rPr>
        <w:t xml:space="preserve"> dose within 15 minutes following medroxyprogesterone acetate, and subsequently experienced an acute systemic hypersensitivity reaction on day 89 within 30 minutes after the next dose of medroxyprogesterone acetate injectable suspension. The second patient experienced a hypersensitivity reaction on day 40 after a single </w:t>
      </w:r>
      <w:r w:rsidR="008706E4">
        <w:rPr>
          <w:lang w:val="en-GB"/>
        </w:rPr>
        <w:t>PALYNZIQ</w:t>
      </w:r>
      <w:r w:rsidRPr="00907E7D">
        <w:rPr>
          <w:lang w:val="en-GB"/>
        </w:rPr>
        <w:t xml:space="preserve"> dose within 10 minutes following medroxyprogesterone acetate injectable suspension. In </w:t>
      </w:r>
      <w:r w:rsidR="008706E4">
        <w:rPr>
          <w:lang w:val="en-GB"/>
        </w:rPr>
        <w:t>PALYNZIQ</w:t>
      </w:r>
      <w:r w:rsidRPr="00907E7D">
        <w:rPr>
          <w:lang w:val="en-GB"/>
        </w:rPr>
        <w:t xml:space="preserve"> clinical trials, </w:t>
      </w:r>
      <w:proofErr w:type="gramStart"/>
      <w:r w:rsidRPr="00907E7D">
        <w:rPr>
          <w:lang w:val="en-GB"/>
        </w:rPr>
        <w:t>the majority of</w:t>
      </w:r>
      <w:proofErr w:type="gramEnd"/>
      <w:r w:rsidRPr="00907E7D">
        <w:rPr>
          <w:lang w:val="en-GB"/>
        </w:rPr>
        <w:t xml:space="preserve"> patients developed anti</w:t>
      </w:r>
      <w:r w:rsidRPr="00907E7D">
        <w:rPr>
          <w:lang w:val="en-GB"/>
        </w:rPr>
        <w:noBreakHyphen/>
        <w:t xml:space="preserve">PEG IgM and IgG antibodies after treatment with </w:t>
      </w:r>
      <w:r w:rsidR="008706E4">
        <w:rPr>
          <w:lang w:val="en-GB"/>
        </w:rPr>
        <w:t>PALYNZIQ</w:t>
      </w:r>
      <w:r w:rsidRPr="00907E7D">
        <w:rPr>
          <w:lang w:val="en-GB"/>
        </w:rPr>
        <w:t xml:space="preserve"> (see section 4.8). The impact of anti</w:t>
      </w:r>
      <w:r w:rsidRPr="00907E7D">
        <w:rPr>
          <w:lang w:val="en-GB"/>
        </w:rPr>
        <w:noBreakHyphen/>
        <w:t>PEG antibodies on the clinical effects of other PEG</w:t>
      </w:r>
      <w:r w:rsidRPr="00907E7D">
        <w:rPr>
          <w:lang w:val="en-GB"/>
        </w:rPr>
        <w:noBreakHyphen/>
        <w:t>containing medicinal products is unknown.</w:t>
      </w:r>
    </w:p>
    <w:p w14:paraId="78F68C2E" w14:textId="77777777" w:rsidR="00907E7D" w:rsidRPr="00907E7D" w:rsidRDefault="00907E7D" w:rsidP="0082659E">
      <w:pPr>
        <w:pStyle w:val="Heading3"/>
        <w:rPr>
          <w:lang w:val="en-GB"/>
        </w:rPr>
      </w:pPr>
      <w:proofErr w:type="spellStart"/>
      <w:r w:rsidRPr="00907E7D">
        <w:rPr>
          <w:lang w:val="en-GB"/>
        </w:rPr>
        <w:t>Hypophenylalaninaemia</w:t>
      </w:r>
      <w:proofErr w:type="spellEnd"/>
      <w:r w:rsidRPr="00907E7D">
        <w:rPr>
          <w:lang w:val="en-GB"/>
        </w:rPr>
        <w:t xml:space="preserve"> </w:t>
      </w:r>
    </w:p>
    <w:p w14:paraId="61D4DB77" w14:textId="5EB497AC" w:rsidR="00A359A1" w:rsidRPr="00E738B7" w:rsidRDefault="00A359A1" w:rsidP="00A359A1">
      <w:pPr>
        <w:autoSpaceDE w:val="0"/>
        <w:autoSpaceDN w:val="0"/>
        <w:rPr>
          <w:iCs/>
          <w:szCs w:val="22"/>
        </w:rPr>
      </w:pPr>
      <w:r w:rsidRPr="00E738B7">
        <w:rPr>
          <w:iCs/>
          <w:szCs w:val="22"/>
        </w:rPr>
        <w:t xml:space="preserve">In clinical trials, </w:t>
      </w:r>
      <w:r>
        <w:rPr>
          <w:iCs/>
          <w:szCs w:val="22"/>
        </w:rPr>
        <w:t>46</w:t>
      </w:r>
      <w:r w:rsidRPr="00E738B7">
        <w:rPr>
          <w:iCs/>
          <w:szCs w:val="22"/>
        </w:rPr>
        <w:t>%</w:t>
      </w:r>
      <w:r>
        <w:rPr>
          <w:iCs/>
          <w:szCs w:val="22"/>
        </w:rPr>
        <w:t xml:space="preserve"> of the </w:t>
      </w:r>
      <w:r w:rsidRPr="00E738B7">
        <w:rPr>
          <w:iCs/>
          <w:szCs w:val="22"/>
        </w:rPr>
        <w:t xml:space="preserve">patients developed </w:t>
      </w:r>
      <w:proofErr w:type="spellStart"/>
      <w:r w:rsidRPr="00E738B7">
        <w:rPr>
          <w:iCs/>
          <w:szCs w:val="22"/>
        </w:rPr>
        <w:t>hypophenylalaninaemia</w:t>
      </w:r>
      <w:proofErr w:type="spellEnd"/>
      <w:r w:rsidRPr="00E738B7">
        <w:rPr>
          <w:iCs/>
          <w:szCs w:val="22"/>
        </w:rPr>
        <w:t xml:space="preserve"> (blood phenylalanine levels below 30 </w:t>
      </w:r>
      <w:proofErr w:type="spellStart"/>
      <w:r w:rsidRPr="00E738B7">
        <w:rPr>
          <w:iCs/>
          <w:szCs w:val="22"/>
        </w:rPr>
        <w:t>micromol</w:t>
      </w:r>
      <w:proofErr w:type="spellEnd"/>
      <w:r w:rsidRPr="00E738B7">
        <w:rPr>
          <w:iCs/>
          <w:szCs w:val="22"/>
        </w:rPr>
        <w:t>/l on two consecutive measurements).</w:t>
      </w:r>
      <w:r>
        <w:rPr>
          <w:iCs/>
          <w:szCs w:val="22"/>
        </w:rPr>
        <w:t xml:space="preserve"> The risk of </w:t>
      </w:r>
      <w:proofErr w:type="spellStart"/>
      <w:r>
        <w:rPr>
          <w:iCs/>
          <w:szCs w:val="22"/>
        </w:rPr>
        <w:t>hypophenylalaninaemia</w:t>
      </w:r>
      <w:proofErr w:type="spellEnd"/>
      <w:r>
        <w:rPr>
          <w:iCs/>
          <w:szCs w:val="22"/>
        </w:rPr>
        <w:t xml:space="preserve"> occurring is 2.1</w:t>
      </w:r>
      <w:r w:rsidR="003520A5">
        <w:rPr>
          <w:iCs/>
          <w:szCs w:val="22"/>
        </w:rPr>
        <w:t>-</w:t>
      </w:r>
      <w:r>
        <w:rPr>
          <w:iCs/>
          <w:szCs w:val="22"/>
        </w:rPr>
        <w:t xml:space="preserve">fold higher in the maintenance phase compared to the induction/titration phase (see section 4.8). </w:t>
      </w:r>
    </w:p>
    <w:p w14:paraId="64736E29" w14:textId="66BB366A" w:rsidR="00907E7D" w:rsidRPr="00907E7D" w:rsidRDefault="00907E7D" w:rsidP="00830A33">
      <w:pPr>
        <w:pStyle w:val="BodyText1"/>
        <w:rPr>
          <w:lang w:val="en-GB"/>
        </w:rPr>
      </w:pPr>
      <w:r w:rsidRPr="00907E7D">
        <w:rPr>
          <w:lang w:val="en-GB"/>
        </w:rPr>
        <w:t xml:space="preserve">Monitoring of blood phenylalanine level is recommended </w:t>
      </w:r>
      <w:r w:rsidR="00286042">
        <w:rPr>
          <w:lang w:val="en-GB"/>
        </w:rPr>
        <w:t xml:space="preserve">at least </w:t>
      </w:r>
      <w:r w:rsidRPr="00907E7D">
        <w:rPr>
          <w:lang w:val="en-GB"/>
        </w:rPr>
        <w:t xml:space="preserve">once a month. </w:t>
      </w:r>
      <w:bookmarkStart w:id="9" w:name="_Hlk534009196"/>
      <w:r w:rsidR="00A359A1">
        <w:rPr>
          <w:lang w:val="en-GB"/>
        </w:rPr>
        <w:t xml:space="preserve">In case of </w:t>
      </w:r>
      <w:proofErr w:type="spellStart"/>
      <w:r w:rsidR="00A359A1">
        <w:rPr>
          <w:lang w:val="en-GB"/>
        </w:rPr>
        <w:t>hypophenylal</w:t>
      </w:r>
      <w:r w:rsidR="00084BEE">
        <w:rPr>
          <w:lang w:val="en-GB"/>
        </w:rPr>
        <w:t>aninaemia</w:t>
      </w:r>
      <w:proofErr w:type="spellEnd"/>
      <w:r w:rsidR="00084BEE">
        <w:rPr>
          <w:lang w:val="en-GB"/>
        </w:rPr>
        <w:t xml:space="preserve">, </w:t>
      </w:r>
      <w:r w:rsidRPr="00907E7D">
        <w:rPr>
          <w:lang w:val="en-GB"/>
        </w:rPr>
        <w:t xml:space="preserve">dietary protein intake should be increased to appropriate levels, and then, if needed, the dose of </w:t>
      </w:r>
      <w:r w:rsidR="008706E4">
        <w:rPr>
          <w:lang w:val="en-GB"/>
        </w:rPr>
        <w:t>PALYNZIQ</w:t>
      </w:r>
      <w:r w:rsidRPr="00907E7D">
        <w:rPr>
          <w:lang w:val="en-GB"/>
        </w:rPr>
        <w:t xml:space="preserve"> should be reduced</w:t>
      </w:r>
      <w:bookmarkEnd w:id="9"/>
      <w:r w:rsidRPr="00907E7D" w:rsidDel="00E672EA">
        <w:rPr>
          <w:iCs/>
          <w:lang w:val="en-GB"/>
        </w:rPr>
        <w:t xml:space="preserve"> </w:t>
      </w:r>
      <w:r w:rsidRPr="00907E7D">
        <w:rPr>
          <w:iCs/>
          <w:lang w:val="en-GB"/>
        </w:rPr>
        <w:t>(see section 4.2</w:t>
      </w:r>
      <w:bookmarkStart w:id="10" w:name="_Hlk534009121"/>
      <w:r w:rsidR="00830A33">
        <w:rPr>
          <w:iCs/>
          <w:lang w:val="en-GB"/>
        </w:rPr>
        <w:t xml:space="preserve"> Dose and method of administration</w:t>
      </w:r>
      <w:r w:rsidRPr="00907E7D">
        <w:rPr>
          <w:iCs/>
          <w:lang w:val="en-GB"/>
        </w:rPr>
        <w:t>).</w:t>
      </w:r>
      <w:bookmarkStart w:id="11" w:name="_Hlk534009034"/>
      <w:r w:rsidRPr="00907E7D">
        <w:rPr>
          <w:iCs/>
          <w:lang w:val="en-GB"/>
        </w:rPr>
        <w:t xml:space="preserve"> In patients experiencing </w:t>
      </w:r>
      <w:proofErr w:type="spellStart"/>
      <w:r w:rsidRPr="00907E7D">
        <w:rPr>
          <w:iCs/>
          <w:lang w:val="en-GB"/>
        </w:rPr>
        <w:t>hypophenylalaninaemia</w:t>
      </w:r>
      <w:proofErr w:type="spellEnd"/>
      <w:r w:rsidRPr="00907E7D">
        <w:rPr>
          <w:iCs/>
          <w:lang w:val="en-GB"/>
        </w:rPr>
        <w:t xml:space="preserve"> despite appropriate levels of protein intake, dose reductions are expected to be most effective </w:t>
      </w:r>
      <w:r w:rsidRPr="00907E7D">
        <w:rPr>
          <w:lang w:val="en-GB"/>
        </w:rPr>
        <w:t xml:space="preserve">in managing </w:t>
      </w:r>
      <w:proofErr w:type="spellStart"/>
      <w:r w:rsidRPr="00907E7D">
        <w:rPr>
          <w:lang w:val="en-GB"/>
        </w:rPr>
        <w:t>hypophenylalaninaemia</w:t>
      </w:r>
      <w:proofErr w:type="spellEnd"/>
      <w:r w:rsidRPr="00907E7D">
        <w:rPr>
          <w:iCs/>
          <w:lang w:val="en-GB"/>
        </w:rPr>
        <w:t>. P</w:t>
      </w:r>
      <w:bookmarkEnd w:id="10"/>
      <w:bookmarkEnd w:id="11"/>
      <w:r w:rsidRPr="00907E7D">
        <w:rPr>
          <w:iCs/>
          <w:lang w:val="en-GB"/>
        </w:rPr>
        <w:t xml:space="preserve">atients who develop </w:t>
      </w:r>
      <w:proofErr w:type="spellStart"/>
      <w:r w:rsidRPr="00907E7D">
        <w:rPr>
          <w:iCs/>
          <w:lang w:val="en-GB"/>
        </w:rPr>
        <w:t>hypophenylalaninaemia</w:t>
      </w:r>
      <w:proofErr w:type="spellEnd"/>
      <w:r w:rsidRPr="00907E7D">
        <w:rPr>
          <w:iCs/>
          <w:lang w:val="en-GB"/>
        </w:rPr>
        <w:t xml:space="preserve"> should be monitored every 2 weeks until blood phenylalanine level is within a clinically acceptable range. The long</w:t>
      </w:r>
      <w:r w:rsidRPr="00907E7D">
        <w:rPr>
          <w:iCs/>
          <w:lang w:val="en-GB"/>
        </w:rPr>
        <w:noBreakHyphen/>
        <w:t xml:space="preserve">term clinical consequences of chronic </w:t>
      </w:r>
      <w:proofErr w:type="spellStart"/>
      <w:r w:rsidRPr="00907E7D">
        <w:rPr>
          <w:iCs/>
          <w:lang w:val="en-GB"/>
        </w:rPr>
        <w:t>hypophenylalaninaemia</w:t>
      </w:r>
      <w:proofErr w:type="spellEnd"/>
      <w:r w:rsidRPr="00907E7D">
        <w:rPr>
          <w:iCs/>
          <w:lang w:val="en-GB"/>
        </w:rPr>
        <w:t xml:space="preserve"> are unknown. </w:t>
      </w:r>
    </w:p>
    <w:p w14:paraId="6D526E2E" w14:textId="14178F29" w:rsidR="00907E7D" w:rsidRPr="00907E7D" w:rsidRDefault="00907E7D" w:rsidP="00BB3272">
      <w:pPr>
        <w:pStyle w:val="BodyText1"/>
        <w:rPr>
          <w:lang w:val="en-GB"/>
        </w:rPr>
      </w:pPr>
      <w:r w:rsidRPr="00907E7D">
        <w:rPr>
          <w:lang w:val="en-GB"/>
        </w:rPr>
        <w:lastRenderedPageBreak/>
        <w:t xml:space="preserve">Based on animal studies, </w:t>
      </w:r>
      <w:proofErr w:type="spellStart"/>
      <w:r w:rsidRPr="00907E7D">
        <w:rPr>
          <w:lang w:val="en-GB"/>
        </w:rPr>
        <w:t>hypophenylalaninaemia</w:t>
      </w:r>
      <w:proofErr w:type="spellEnd"/>
      <w:r w:rsidRPr="00907E7D">
        <w:rPr>
          <w:lang w:val="en-GB"/>
        </w:rPr>
        <w:t xml:space="preserve"> in pregnant women with PKU treated with </w:t>
      </w:r>
      <w:r w:rsidR="008706E4">
        <w:rPr>
          <w:lang w:val="en-GB"/>
        </w:rPr>
        <w:t>PALYNZIQ</w:t>
      </w:r>
      <w:r w:rsidRPr="00907E7D">
        <w:rPr>
          <w:lang w:val="en-GB"/>
        </w:rPr>
        <w:t xml:space="preserve"> may be associated with adverse </w:t>
      </w:r>
      <w:proofErr w:type="spellStart"/>
      <w:r w:rsidRPr="00907E7D">
        <w:rPr>
          <w:lang w:val="en-GB"/>
        </w:rPr>
        <w:t>fetal</w:t>
      </w:r>
      <w:proofErr w:type="spellEnd"/>
      <w:r w:rsidRPr="00907E7D">
        <w:rPr>
          <w:lang w:val="en-GB"/>
        </w:rPr>
        <w:t xml:space="preserve"> outcomes (see sections 4.6</w:t>
      </w:r>
      <w:r w:rsidR="00A45307">
        <w:rPr>
          <w:lang w:val="en-GB"/>
        </w:rPr>
        <w:t xml:space="preserve"> Fert</w:t>
      </w:r>
      <w:r w:rsidR="00E551DF">
        <w:rPr>
          <w:lang w:val="en-GB"/>
        </w:rPr>
        <w:t xml:space="preserve">ility, </w:t>
      </w:r>
      <w:proofErr w:type="gramStart"/>
      <w:r w:rsidR="00E551DF">
        <w:rPr>
          <w:lang w:val="en-GB"/>
        </w:rPr>
        <w:t>pregnancy</w:t>
      </w:r>
      <w:proofErr w:type="gramEnd"/>
      <w:r w:rsidR="00E551DF">
        <w:rPr>
          <w:lang w:val="en-GB"/>
        </w:rPr>
        <w:t xml:space="preserve"> and lactation</w:t>
      </w:r>
      <w:r w:rsidRPr="00907E7D">
        <w:rPr>
          <w:lang w:val="en-GB"/>
        </w:rPr>
        <w:t xml:space="preserve">). Blood phenylalanine levels should be monitored more frequently prior to and during pregnancy. </w:t>
      </w:r>
    </w:p>
    <w:p w14:paraId="1D6FEF09" w14:textId="77777777" w:rsidR="00B959F0" w:rsidRPr="00507C95" w:rsidRDefault="00B959F0" w:rsidP="00D86907">
      <w:pPr>
        <w:pStyle w:val="Heading3"/>
      </w:pPr>
      <w:bookmarkStart w:id="12" w:name="_Hlk496086231"/>
      <w:r w:rsidRPr="00507C95">
        <w:t>Use in the elderly</w:t>
      </w:r>
    </w:p>
    <w:p w14:paraId="017BE433" w14:textId="674ED53F" w:rsidR="00851A85" w:rsidRPr="00507C95" w:rsidRDefault="00851A85" w:rsidP="00851A85">
      <w:pPr>
        <w:pStyle w:val="BodyText1"/>
      </w:pPr>
      <w:r w:rsidRPr="00507C95">
        <w:t>No data available.</w:t>
      </w:r>
    </w:p>
    <w:p w14:paraId="517428ED" w14:textId="694BB7B2" w:rsidR="00D86907" w:rsidRPr="00507C95" w:rsidRDefault="00D86907" w:rsidP="00D86907">
      <w:pPr>
        <w:pStyle w:val="Heading3"/>
      </w:pPr>
      <w:r w:rsidRPr="00507C95">
        <w:t>Paediatric use</w:t>
      </w:r>
    </w:p>
    <w:p w14:paraId="2005766D" w14:textId="33270BCA" w:rsidR="00851A85" w:rsidRPr="00507C95" w:rsidRDefault="00851A85" w:rsidP="00851A85">
      <w:pPr>
        <w:pStyle w:val="BodyText1"/>
      </w:pPr>
      <w:r w:rsidRPr="00507C95">
        <w:t>No data available.</w:t>
      </w:r>
    </w:p>
    <w:p w14:paraId="39AA7E93" w14:textId="4DEC2935" w:rsidR="00D86907" w:rsidRPr="00507C95" w:rsidRDefault="00D86907" w:rsidP="00D86907">
      <w:pPr>
        <w:pStyle w:val="Heading3"/>
      </w:pPr>
      <w:r w:rsidRPr="00507C95">
        <w:t>Effects on</w:t>
      </w:r>
      <w:r w:rsidR="00B959F0" w:rsidRPr="00507C95">
        <w:t xml:space="preserve"> </w:t>
      </w:r>
      <w:r w:rsidRPr="00507C95">
        <w:t>laboratory tests</w:t>
      </w:r>
    </w:p>
    <w:bookmarkEnd w:id="12"/>
    <w:p w14:paraId="4F7B2457" w14:textId="0EE467A1" w:rsidR="00851A85" w:rsidRPr="00507C95" w:rsidRDefault="00851A85" w:rsidP="00851A85">
      <w:pPr>
        <w:pStyle w:val="BodyText1"/>
      </w:pPr>
      <w:r w:rsidRPr="00507C95">
        <w:t>No data available.</w:t>
      </w:r>
    </w:p>
    <w:p w14:paraId="31DE62E8" w14:textId="24789153" w:rsidR="008E17DD" w:rsidRPr="005C682D" w:rsidRDefault="008450DE" w:rsidP="005C682D">
      <w:pPr>
        <w:pStyle w:val="Heading2"/>
      </w:pPr>
      <w:r w:rsidRPr="005C682D">
        <w:t xml:space="preserve">4.5 </w:t>
      </w:r>
      <w:r w:rsidR="00746D0B" w:rsidRPr="005C682D">
        <w:t>Interactions with other medicines and other forms of interaction</w:t>
      </w:r>
      <w:r w:rsidR="00DF3D6B" w:rsidRPr="005C682D">
        <w:t>s</w:t>
      </w:r>
    </w:p>
    <w:p w14:paraId="5C748976" w14:textId="0F7CE1FB" w:rsidR="00D2336B" w:rsidRDefault="00D2336B" w:rsidP="00A47D08">
      <w:pPr>
        <w:pStyle w:val="BodyText1"/>
      </w:pPr>
      <w:r>
        <w:t>No interaction studies have been performed</w:t>
      </w:r>
      <w:r w:rsidR="00C32744">
        <w:t>.</w:t>
      </w:r>
    </w:p>
    <w:p w14:paraId="2ECABCB7" w14:textId="4C9DCAA9" w:rsidR="00CA2640" w:rsidRPr="00846DB1" w:rsidRDefault="00CA2640" w:rsidP="00846DB1">
      <w:pPr>
        <w:pStyle w:val="Heading3"/>
        <w:contextualSpacing w:val="0"/>
      </w:pPr>
      <w:r w:rsidRPr="00846DB1">
        <w:t xml:space="preserve">Effects of </w:t>
      </w:r>
      <w:r w:rsidR="001128D1" w:rsidRPr="00846DB1">
        <w:t>PALYNZIQ</w:t>
      </w:r>
      <w:r w:rsidRPr="00846DB1">
        <w:t xml:space="preserve"> on other </w:t>
      </w:r>
      <w:r w:rsidR="00CC4D92" w:rsidRPr="00846DB1">
        <w:t>PEGylated injectable medicinal products</w:t>
      </w:r>
    </w:p>
    <w:p w14:paraId="7AE70DA6" w14:textId="15F798D9" w:rsidR="00746D0B" w:rsidRDefault="00B71946" w:rsidP="00A47D08">
      <w:pPr>
        <w:pStyle w:val="BodyText1"/>
      </w:pPr>
      <w:r w:rsidRPr="00846DB1">
        <w:rPr>
          <w:lang w:val="en-GB"/>
        </w:rPr>
        <w:t>PEGylated proteins have the potential to elicit an immune response. Because antibodies bind to the PEG portion of pegvaliase, there may be potential for binding with other PEGylated therapeutics and increased hypersensitivity to other PEGylated injectables.</w:t>
      </w:r>
      <w:r w:rsidR="00846DB1">
        <w:rPr>
          <w:lang w:val="en-GB"/>
        </w:rPr>
        <w:t xml:space="preserve"> </w:t>
      </w:r>
      <w:r w:rsidR="00947B19">
        <w:rPr>
          <w:lang w:val="en-GB"/>
        </w:rPr>
        <w:t xml:space="preserve">Refer to Section 4.4 Special </w:t>
      </w:r>
      <w:r w:rsidR="00AD4B6E">
        <w:rPr>
          <w:lang w:val="en-GB"/>
        </w:rPr>
        <w:t>warnings and precautions for use</w:t>
      </w:r>
      <w:r w:rsidR="00DA6B08">
        <w:rPr>
          <w:lang w:val="en-GB"/>
        </w:rPr>
        <w:t>.</w:t>
      </w:r>
      <w:r w:rsidR="004358A1">
        <w:rPr>
          <w:lang w:val="en-GB"/>
        </w:rPr>
        <w:t xml:space="preserve"> </w:t>
      </w:r>
      <w:r w:rsidR="002A1BB3">
        <w:t xml:space="preserve">Examples of PEGylated injectable products include medroxyprogesterone acetate (used for contraception) and some mRNA COVID-19 vaccines. </w:t>
      </w:r>
    </w:p>
    <w:p w14:paraId="0D038488" w14:textId="4CACF287" w:rsidR="00746D0B" w:rsidRDefault="008450DE" w:rsidP="005C682D">
      <w:pPr>
        <w:pStyle w:val="Heading2"/>
      </w:pPr>
      <w:r>
        <w:t xml:space="preserve">4.6 </w:t>
      </w:r>
      <w:r w:rsidR="00287AFF">
        <w:t>Fertility, pregnancy and lactation</w:t>
      </w:r>
    </w:p>
    <w:p w14:paraId="4C7C0B02" w14:textId="77777777" w:rsidR="00D86907" w:rsidRDefault="00D86907" w:rsidP="007D0F82">
      <w:pPr>
        <w:pStyle w:val="Heading3"/>
      </w:pPr>
      <w:r>
        <w:t>Effects on fertility</w:t>
      </w:r>
    </w:p>
    <w:p w14:paraId="731DA4FB" w14:textId="07548848" w:rsidR="00126740" w:rsidRPr="00851A85" w:rsidRDefault="008A2A8C" w:rsidP="00A47D08">
      <w:pPr>
        <w:pStyle w:val="BodyText1"/>
        <w:rPr>
          <w:highlight w:val="yellow"/>
        </w:rPr>
      </w:pPr>
      <w:r w:rsidRPr="00E738B7">
        <w:t>No human data are available.</w:t>
      </w:r>
      <w:r w:rsidR="00307071">
        <w:t xml:space="preserve"> In a rat fertility and embryofetal development study, male fertility was unaffected at subcutaneous doses up to 20 mg/kg/day (17 times the MHRD). However, </w:t>
      </w:r>
      <w:r w:rsidR="004D2B84">
        <w:t xml:space="preserve">at doses up to 20 mg/kg/day, </w:t>
      </w:r>
      <w:r w:rsidR="00307071">
        <w:t>impaired female fertility was</w:t>
      </w:r>
      <w:r w:rsidR="003155CC">
        <w:t xml:space="preserve"> noted</w:t>
      </w:r>
      <w:r w:rsidR="00307071">
        <w:t>, as indicated by lower numbers of corpo</w:t>
      </w:r>
      <w:r w:rsidR="00851A12">
        <w:t>r</w:t>
      </w:r>
      <w:r w:rsidR="00307071">
        <w:t>a lutea and implantations, and a reduced litter size</w:t>
      </w:r>
      <w:r w:rsidR="00851A12">
        <w:t>. These effects were associated with toxicity (decreased body weight, ovarian weight, and food consumption). No effects on female fertility were seen at 8 mg/kg/day SC (7 times the MRHD).</w:t>
      </w:r>
    </w:p>
    <w:p w14:paraId="1BFAE536" w14:textId="77777777" w:rsidR="00126740" w:rsidRDefault="00D86907" w:rsidP="007D0F82">
      <w:pPr>
        <w:pStyle w:val="Heading3"/>
      </w:pPr>
      <w:r>
        <w:t>Use in pregnancy</w:t>
      </w:r>
      <w:r w:rsidR="00D621B2">
        <w:t xml:space="preserve"> </w:t>
      </w:r>
    </w:p>
    <w:p w14:paraId="0F286504" w14:textId="50FCF3B8" w:rsidR="001E1110" w:rsidRPr="00126740" w:rsidRDefault="00D621B2" w:rsidP="00126740">
      <w:pPr>
        <w:pStyle w:val="BodyText1"/>
        <w:rPr>
          <w:b/>
          <w:bCs/>
        </w:rPr>
      </w:pPr>
      <w:r w:rsidRPr="00126740">
        <w:rPr>
          <w:b/>
          <w:bCs/>
        </w:rPr>
        <w:t>Category</w:t>
      </w:r>
      <w:r w:rsidR="00B504AA">
        <w:rPr>
          <w:b/>
          <w:bCs/>
        </w:rPr>
        <w:t xml:space="preserve"> </w:t>
      </w:r>
      <w:r w:rsidR="00307071">
        <w:rPr>
          <w:b/>
          <w:bCs/>
        </w:rPr>
        <w:t>D</w:t>
      </w:r>
    </w:p>
    <w:p w14:paraId="5953B2BB" w14:textId="128E1F54" w:rsidR="00DD6FB1" w:rsidRDefault="00DD6FB1" w:rsidP="00A47D08">
      <w:pPr>
        <w:pStyle w:val="BodyText1"/>
      </w:pPr>
      <w:r w:rsidRPr="00E738B7">
        <w:t xml:space="preserve">There are no or limited amount of data from the use of </w:t>
      </w:r>
      <w:r w:rsidR="008706E4">
        <w:t>PALYNZIQ</w:t>
      </w:r>
      <w:r w:rsidRPr="00E738B7">
        <w:t xml:space="preserve"> in pregnant women. Animal studies have shown maternal reproductive toxicity that </w:t>
      </w:r>
      <w:r w:rsidR="00851A12">
        <w:t>may have been</w:t>
      </w:r>
      <w:r w:rsidR="00851A12" w:rsidRPr="00E738B7">
        <w:t xml:space="preserve"> </w:t>
      </w:r>
      <w:r w:rsidRPr="00E738B7">
        <w:t>associated with decreased blood phenylalanine concentrations below normal levels.</w:t>
      </w:r>
    </w:p>
    <w:p w14:paraId="441A8D08" w14:textId="556D83EC" w:rsidR="00851A12" w:rsidRDefault="00851A12" w:rsidP="00A47D08">
      <w:pPr>
        <w:pStyle w:val="BodyText1"/>
      </w:pPr>
      <w:r>
        <w:t xml:space="preserve">In a rabbit embryofetal development study, embryofetal lethality, lower </w:t>
      </w:r>
      <w:proofErr w:type="spellStart"/>
      <w:r>
        <w:t>fetal</w:t>
      </w:r>
      <w:proofErr w:type="spellEnd"/>
      <w:r>
        <w:t xml:space="preserve"> weights and multiple </w:t>
      </w:r>
      <w:proofErr w:type="spellStart"/>
      <w:r>
        <w:t>fetal</w:t>
      </w:r>
      <w:proofErr w:type="spellEnd"/>
      <w:r>
        <w:t xml:space="preserve"> malformations</w:t>
      </w:r>
      <w:r w:rsidR="002F4467">
        <w:t xml:space="preserve"> and/or variations (throughout the skeletal system, and in kidneys, lungs, and eyes) were noted at </w:t>
      </w:r>
      <w:proofErr w:type="spellStart"/>
      <w:r w:rsidR="002F4467">
        <w:t>maternotoxic</w:t>
      </w:r>
      <w:proofErr w:type="spellEnd"/>
      <w:r w:rsidR="002F4467">
        <w:t xml:space="preserve"> doses ≥ 2 mg/kg/day SC (marginally above the MRHD). No </w:t>
      </w:r>
      <w:proofErr w:type="spellStart"/>
      <w:r w:rsidR="002F4467">
        <w:t>fetal</w:t>
      </w:r>
      <w:proofErr w:type="spellEnd"/>
      <w:r w:rsidR="002F4467">
        <w:t xml:space="preserve"> malformations were seen in rats; however, an increased incidence in skeletal variations was seen at </w:t>
      </w:r>
      <w:proofErr w:type="spellStart"/>
      <w:r w:rsidR="002F4467">
        <w:t>maternotoxic</w:t>
      </w:r>
      <w:proofErr w:type="spellEnd"/>
      <w:r w:rsidR="002F4467">
        <w:t xml:space="preserve"> doses ≥ 8 mg/kg/day SC (NOAEL 2 mg/kg/day, marginally above the MRHD).</w:t>
      </w:r>
    </w:p>
    <w:p w14:paraId="47F5E34E" w14:textId="5780321A" w:rsidR="00DD6FB1" w:rsidRPr="00E738B7" w:rsidRDefault="00DD6FB1" w:rsidP="00A47D08">
      <w:pPr>
        <w:pStyle w:val="BodyText1"/>
      </w:pPr>
      <w:r w:rsidRPr="00E738B7">
        <w:t>Uncontrolled blood phenylalanine levels (</w:t>
      </w:r>
      <w:proofErr w:type="spellStart"/>
      <w:r w:rsidRPr="00E738B7">
        <w:t>hyperphenylalaninaemia</w:t>
      </w:r>
      <w:proofErr w:type="spellEnd"/>
      <w:r w:rsidRPr="00E738B7">
        <w:t xml:space="preserve">) before and during pregnancy are associated with increased risk for miscarriage, major birth defects (including microcephaly and major cardiac malformations), intrauterine </w:t>
      </w:r>
      <w:proofErr w:type="spellStart"/>
      <w:r w:rsidRPr="00E738B7">
        <w:t>fetal</w:t>
      </w:r>
      <w:proofErr w:type="spellEnd"/>
      <w:r w:rsidRPr="00E738B7">
        <w:t xml:space="preserve"> growth retardation and future intellectual disability with low IQ. In case of </w:t>
      </w:r>
      <w:proofErr w:type="spellStart"/>
      <w:r w:rsidRPr="00E738B7">
        <w:t>hypophenylalaninaemia</w:t>
      </w:r>
      <w:proofErr w:type="spellEnd"/>
      <w:r w:rsidRPr="00E738B7">
        <w:t xml:space="preserve"> during pregnancy, </w:t>
      </w:r>
      <w:bookmarkStart w:id="13" w:name="_Hlk534009634"/>
      <w:r w:rsidRPr="00E738B7">
        <w:t xml:space="preserve">there is a risk of intrauterine </w:t>
      </w:r>
      <w:proofErr w:type="spellStart"/>
      <w:r w:rsidRPr="00E738B7">
        <w:t>fetal</w:t>
      </w:r>
      <w:proofErr w:type="spellEnd"/>
      <w:r w:rsidRPr="00E738B7">
        <w:t xml:space="preserve"> growth retardatio</w:t>
      </w:r>
      <w:bookmarkEnd w:id="13"/>
      <w:r w:rsidRPr="00E738B7">
        <w:t xml:space="preserve">n. Additional risk to the unborn child due to </w:t>
      </w:r>
      <w:proofErr w:type="spellStart"/>
      <w:r w:rsidRPr="00E738B7">
        <w:t>hypophenylalaninaemia</w:t>
      </w:r>
      <w:proofErr w:type="spellEnd"/>
      <w:r w:rsidRPr="00E738B7">
        <w:t xml:space="preserve"> is not established.</w:t>
      </w:r>
    </w:p>
    <w:p w14:paraId="31DF42D3" w14:textId="42D0B3CE" w:rsidR="00126740" w:rsidRPr="001710E6" w:rsidRDefault="00DD6FB1" w:rsidP="00A47D08">
      <w:pPr>
        <w:pStyle w:val="BodyText1"/>
        <w:rPr>
          <w:highlight w:val="yellow"/>
        </w:rPr>
      </w:pPr>
      <w:r w:rsidRPr="00E738B7">
        <w:lastRenderedPageBreak/>
        <w:t>Maternal blood phenylalanine levels must be strictly controlled between 120 and 360 </w:t>
      </w:r>
      <w:proofErr w:type="spellStart"/>
      <w:r w:rsidR="009D51CD">
        <w:t>micromol</w:t>
      </w:r>
      <w:proofErr w:type="spellEnd"/>
      <w:r w:rsidR="009D51CD">
        <w:t>/L</w:t>
      </w:r>
      <w:r w:rsidRPr="00E738B7">
        <w:t xml:space="preserve"> both before and during pregnancy. P</w:t>
      </w:r>
      <w:r w:rsidR="0002661B">
        <w:t>ALYNZIQ</w:t>
      </w:r>
      <w:r w:rsidRPr="00E738B7">
        <w:t xml:space="preserve"> is not recommended during pregnancy, unless the clinical condition of the woman requires treatment with pegvaliase and alternative strategies to control phenylalanine levels have been exhausted.</w:t>
      </w:r>
    </w:p>
    <w:p w14:paraId="0D6C6F15" w14:textId="6D1F28EE" w:rsidR="001E1110" w:rsidRDefault="00D86907" w:rsidP="007D0F82">
      <w:pPr>
        <w:pStyle w:val="Heading3"/>
      </w:pPr>
      <w:r>
        <w:t>Use in lactation</w:t>
      </w:r>
    </w:p>
    <w:p w14:paraId="5D136C0C" w14:textId="188A6015" w:rsidR="00126740" w:rsidRPr="00DF0F90" w:rsidRDefault="00DF0F90" w:rsidP="00A02CA2">
      <w:pPr>
        <w:pStyle w:val="BodyText1"/>
      </w:pPr>
      <w:r w:rsidRPr="00DF0F90">
        <w:rPr>
          <w:bCs/>
          <w:lang w:val="en-GB"/>
        </w:rPr>
        <w:t xml:space="preserve">It is unknown whether pegvaliase is excreted in human milk. </w:t>
      </w:r>
      <w:r w:rsidRPr="00DF0F90">
        <w:rPr>
          <w:lang w:val="en-GB"/>
        </w:rPr>
        <w:t xml:space="preserve">Available data in animals have shown excretion of pegvaliase in milk. In the pups of these animals, systemic exposure of pegvaliase was not detected. A risk to infants </w:t>
      </w:r>
      <w:r w:rsidRPr="00A02CA2">
        <w:t>cannot</w:t>
      </w:r>
      <w:r w:rsidRPr="00DF0F90">
        <w:rPr>
          <w:lang w:val="en-GB"/>
        </w:rPr>
        <w:t xml:space="preserve"> be excluded. Due to lack of human data, P</w:t>
      </w:r>
      <w:r w:rsidR="00165878">
        <w:rPr>
          <w:lang w:val="en-GB"/>
        </w:rPr>
        <w:t>ALYNZIQ</w:t>
      </w:r>
      <w:r w:rsidRPr="00DF0F90">
        <w:rPr>
          <w:lang w:val="en-GB"/>
        </w:rPr>
        <w:t xml:space="preserve"> should only be administered to breast-feeding women if the potential benefit is considered to outweigh the potential risk to the infant.</w:t>
      </w:r>
    </w:p>
    <w:p w14:paraId="2F0C3147" w14:textId="0C0970C6" w:rsidR="00007085" w:rsidRPr="00D43A44" w:rsidRDefault="008450DE" w:rsidP="005C682D">
      <w:pPr>
        <w:pStyle w:val="Heading2"/>
      </w:pPr>
      <w:r w:rsidRPr="00D43A44">
        <w:t xml:space="preserve">4.7 </w:t>
      </w:r>
      <w:r w:rsidR="00007085" w:rsidRPr="00D43A44">
        <w:t>Effects on ability to drive and use machines</w:t>
      </w:r>
    </w:p>
    <w:p w14:paraId="7D4D6D22" w14:textId="7CDC10D4" w:rsidR="00287AFF" w:rsidRPr="00D43A44" w:rsidRDefault="00D9432A" w:rsidP="00287AFF">
      <w:pPr>
        <w:pStyle w:val="BodyText1"/>
      </w:pPr>
      <w:r w:rsidRPr="00D43A44">
        <w:rPr>
          <w:lang w:val="en-GB"/>
        </w:rPr>
        <w:t>P</w:t>
      </w:r>
      <w:r w:rsidR="00D43A44">
        <w:rPr>
          <w:lang w:val="en-GB"/>
        </w:rPr>
        <w:t>ALYNZIQ</w:t>
      </w:r>
      <w:r w:rsidRPr="00D43A44">
        <w:rPr>
          <w:lang w:val="en-GB"/>
        </w:rPr>
        <w:t xml:space="preserve"> has a minor influence on the ability to drive and use machines. Hypersensitivity reactions that include symptoms such as dizziness or syncope may affect the ability to drive and use machines.</w:t>
      </w:r>
    </w:p>
    <w:p w14:paraId="7D4F8A00" w14:textId="214C561C" w:rsidR="00994C1D" w:rsidRDefault="008450DE" w:rsidP="00F17012">
      <w:pPr>
        <w:pStyle w:val="Heading2"/>
        <w:keepNext/>
        <w:keepLines/>
      </w:pPr>
      <w:r>
        <w:t xml:space="preserve">4.8 </w:t>
      </w:r>
      <w:r w:rsidR="00D86907">
        <w:t>Adverse</w:t>
      </w:r>
      <w:r w:rsidR="00994C1D">
        <w:t xml:space="preserve"> effects</w:t>
      </w:r>
      <w:r w:rsidR="00B959F0">
        <w:t xml:space="preserve"> (Undesirable effects)</w:t>
      </w:r>
    </w:p>
    <w:p w14:paraId="53AE8F6F" w14:textId="77777777" w:rsidR="00945D43" w:rsidRPr="00945D43" w:rsidRDefault="00945D43" w:rsidP="00147924">
      <w:pPr>
        <w:pStyle w:val="Heading3"/>
        <w:rPr>
          <w:lang w:val="en-GB"/>
        </w:rPr>
      </w:pPr>
      <w:r w:rsidRPr="00945D43">
        <w:rPr>
          <w:lang w:val="en-GB"/>
        </w:rPr>
        <w:t>Summary of the safety profile</w:t>
      </w:r>
    </w:p>
    <w:p w14:paraId="5C138EA4" w14:textId="0A4B43D6" w:rsidR="00945D43" w:rsidRPr="00945D43" w:rsidRDefault="00945D43" w:rsidP="00945D43">
      <w:pPr>
        <w:pStyle w:val="BodyText1"/>
        <w:rPr>
          <w:lang w:val="en-GB"/>
        </w:rPr>
      </w:pPr>
      <w:r w:rsidRPr="00945D43">
        <w:rPr>
          <w:lang w:val="en-GB"/>
        </w:rPr>
        <w:t xml:space="preserve">In clinical trials, </w:t>
      </w:r>
      <w:proofErr w:type="gramStart"/>
      <w:r w:rsidRPr="00945D43">
        <w:rPr>
          <w:lang w:val="en-GB"/>
        </w:rPr>
        <w:t>the majority of</w:t>
      </w:r>
      <w:proofErr w:type="gramEnd"/>
      <w:r w:rsidRPr="00945D43">
        <w:rPr>
          <w:lang w:val="en-GB"/>
        </w:rPr>
        <w:t xml:space="preserve"> patients experienced injection site reactions (93%), </w:t>
      </w:r>
      <w:r w:rsidRPr="00B53EC3">
        <w:rPr>
          <w:lang w:val="en-GB"/>
        </w:rPr>
        <w:t>arthralgia (8</w:t>
      </w:r>
      <w:r w:rsidR="00D42D1F" w:rsidRPr="00B53EC3">
        <w:rPr>
          <w:lang w:val="en-GB"/>
        </w:rPr>
        <w:t>5</w:t>
      </w:r>
      <w:r w:rsidRPr="00B53EC3">
        <w:rPr>
          <w:lang w:val="en-GB"/>
        </w:rPr>
        <w:t>%),</w:t>
      </w:r>
      <w:r w:rsidRPr="00945D43">
        <w:rPr>
          <w:lang w:val="en-GB"/>
        </w:rPr>
        <w:t xml:space="preserve"> and hypersensitivity reactions (75%). The most clinically significant hypersensitivity reactions include acute systemic hypersensitivity reaction (6%), angioedema (7%), and serum sickness (2%) (see sections 4.3 </w:t>
      </w:r>
      <w:r w:rsidR="00652537">
        <w:rPr>
          <w:lang w:val="en-GB"/>
        </w:rPr>
        <w:t xml:space="preserve">Contraindications </w:t>
      </w:r>
      <w:r w:rsidRPr="00945D43">
        <w:rPr>
          <w:lang w:val="en-GB"/>
        </w:rPr>
        <w:t>and 4.4</w:t>
      </w:r>
      <w:r w:rsidR="00652537">
        <w:rPr>
          <w:lang w:val="en-GB"/>
        </w:rPr>
        <w:t xml:space="preserve"> </w:t>
      </w:r>
      <w:r w:rsidR="004168E5">
        <w:rPr>
          <w:lang w:val="en-GB"/>
        </w:rPr>
        <w:t>Special warnings and precautions for use</w:t>
      </w:r>
      <w:r w:rsidRPr="00945D43">
        <w:rPr>
          <w:lang w:val="en-GB"/>
        </w:rPr>
        <w:t xml:space="preserve">). </w:t>
      </w:r>
    </w:p>
    <w:p w14:paraId="34530330" w14:textId="0E78E03B" w:rsidR="00945D43" w:rsidRPr="00945D43" w:rsidRDefault="00945D43" w:rsidP="00945D43">
      <w:pPr>
        <w:pStyle w:val="BodyText1"/>
        <w:rPr>
          <w:bCs/>
          <w:lang w:val="en-GB"/>
        </w:rPr>
      </w:pPr>
      <w:r w:rsidRPr="00945D43">
        <w:rPr>
          <w:lang w:val="en-GB"/>
        </w:rPr>
        <w:t xml:space="preserve">In clinical trials, </w:t>
      </w:r>
      <w:r w:rsidRPr="00945D43">
        <w:rPr>
          <w:bCs/>
          <w:lang w:val="en-GB"/>
        </w:rPr>
        <w:t>adverse reaction rates were highest in induction and titration phases (time prior to reaching</w:t>
      </w:r>
      <w:r w:rsidRPr="00945D43">
        <w:rPr>
          <w:lang w:val="en-GB"/>
        </w:rPr>
        <w:t xml:space="preserve"> blood phenylalanine levels less than 600 </w:t>
      </w:r>
      <w:proofErr w:type="spellStart"/>
      <w:r w:rsidR="009D51CD">
        <w:rPr>
          <w:lang w:val="en-GB"/>
        </w:rPr>
        <w:t>micromol</w:t>
      </w:r>
      <w:proofErr w:type="spellEnd"/>
      <w:r w:rsidR="009D51CD">
        <w:rPr>
          <w:lang w:val="en-GB"/>
        </w:rPr>
        <w:t>/L</w:t>
      </w:r>
      <w:r w:rsidRPr="00945D43">
        <w:rPr>
          <w:lang w:val="en-GB"/>
        </w:rPr>
        <w:t xml:space="preserve"> while on a stable dose) </w:t>
      </w:r>
      <w:r w:rsidRPr="00945D43">
        <w:rPr>
          <w:bCs/>
          <w:lang w:val="en-GB"/>
        </w:rPr>
        <w:t>coinciding with the period when titres of IgM and anti</w:t>
      </w:r>
      <w:r w:rsidRPr="00945D43">
        <w:rPr>
          <w:bCs/>
          <w:lang w:val="en-GB"/>
        </w:rPr>
        <w:noBreakHyphen/>
        <w:t xml:space="preserve">PEG antibodies were highest. Rates decreased over time as the immune response matured (see Description of selected adverse reactions section). </w:t>
      </w:r>
    </w:p>
    <w:p w14:paraId="06C78B12" w14:textId="6D3C9A85" w:rsidR="00945D43" w:rsidRPr="00945D43" w:rsidRDefault="00945D43" w:rsidP="00147924">
      <w:pPr>
        <w:pStyle w:val="Heading3"/>
        <w:rPr>
          <w:lang w:val="en-GB"/>
        </w:rPr>
      </w:pPr>
      <w:r w:rsidRPr="00945D43">
        <w:rPr>
          <w:lang w:val="en-GB"/>
        </w:rPr>
        <w:t>Tabulated list of adverse reactions</w:t>
      </w:r>
    </w:p>
    <w:p w14:paraId="140305E2" w14:textId="2CC7064E" w:rsidR="00945D43" w:rsidRPr="00945D43" w:rsidRDefault="00236810" w:rsidP="00945D43">
      <w:pPr>
        <w:pStyle w:val="BodyText1"/>
        <w:rPr>
          <w:lang w:val="en-GB"/>
        </w:rPr>
      </w:pPr>
      <w:r>
        <w:rPr>
          <w:lang w:val="en-GB"/>
        </w:rPr>
        <w:fldChar w:fldCharType="begin"/>
      </w:r>
      <w:r>
        <w:rPr>
          <w:lang w:val="en-GB"/>
        </w:rPr>
        <w:instrText xml:space="preserve"> REF _Ref32826285 \h </w:instrText>
      </w:r>
      <w:r>
        <w:rPr>
          <w:lang w:val="en-GB"/>
        </w:rPr>
      </w:r>
      <w:r>
        <w:rPr>
          <w:lang w:val="en-GB"/>
        </w:rPr>
        <w:fldChar w:fldCharType="separate"/>
      </w:r>
      <w:r w:rsidR="004970E9">
        <w:t xml:space="preserve">Table </w:t>
      </w:r>
      <w:r w:rsidR="004970E9">
        <w:rPr>
          <w:noProof/>
        </w:rPr>
        <w:t>2</w:t>
      </w:r>
      <w:r>
        <w:rPr>
          <w:lang w:val="en-GB"/>
        </w:rPr>
        <w:fldChar w:fldCharType="end"/>
      </w:r>
      <w:r>
        <w:rPr>
          <w:lang w:val="en-GB"/>
        </w:rPr>
        <w:t xml:space="preserve"> </w:t>
      </w:r>
      <w:r w:rsidR="00945D43" w:rsidRPr="00945D43">
        <w:rPr>
          <w:lang w:val="en-GB"/>
        </w:rPr>
        <w:t xml:space="preserve">provides adverse reactions in patients treated with </w:t>
      </w:r>
      <w:r w:rsidR="008706E4">
        <w:rPr>
          <w:lang w:val="en-GB"/>
        </w:rPr>
        <w:t>PALYNZIQ</w:t>
      </w:r>
      <w:r w:rsidR="00945D43" w:rsidRPr="00945D43">
        <w:rPr>
          <w:lang w:val="en-GB"/>
        </w:rPr>
        <w:t>.</w:t>
      </w:r>
    </w:p>
    <w:p w14:paraId="1394B78F" w14:textId="730E757C" w:rsidR="00945D43" w:rsidRDefault="00945D43" w:rsidP="00945D43">
      <w:pPr>
        <w:pStyle w:val="BodyText1"/>
        <w:rPr>
          <w:bCs/>
          <w:iCs/>
          <w:u w:val="single"/>
          <w:lang w:val="en-GB"/>
        </w:rPr>
      </w:pPr>
      <w:r w:rsidRPr="00945D43">
        <w:rPr>
          <w:bCs/>
          <w:lang w:val="en-GB"/>
        </w:rPr>
        <w:t>Frequencies are defined as: very common (≥ 1/10), common (≥ 1/100 to &lt; 1/10), uncommon (≥ 1/1000 to &lt; 1/100),</w:t>
      </w:r>
      <w:r w:rsidRPr="00945D43">
        <w:rPr>
          <w:lang w:val="en-GB"/>
        </w:rPr>
        <w:t xml:space="preserve"> rare (≥ 1/10,000 to &lt; 1/1,000), very rare (&lt; 1/10,000) and not known (cannot be estimated from the available data)</w:t>
      </w:r>
      <w:r w:rsidRPr="00945D43">
        <w:rPr>
          <w:bCs/>
          <w:lang w:val="en-GB"/>
        </w:rPr>
        <w:t>. Within each frequency grouping, adverse reactions are presented in order of decreasing seriousness</w:t>
      </w:r>
      <w:r w:rsidRPr="00945D43">
        <w:rPr>
          <w:bCs/>
          <w:i/>
          <w:lang w:val="en-GB"/>
        </w:rPr>
        <w:t>.</w:t>
      </w:r>
    </w:p>
    <w:p w14:paraId="3A61DD9E" w14:textId="01AFA3F8" w:rsidR="00945D43" w:rsidRPr="00236810" w:rsidRDefault="00236810" w:rsidP="00236810">
      <w:pPr>
        <w:pStyle w:val="Table-Heading1"/>
        <w:rPr>
          <w:bCs/>
          <w:u w:val="single"/>
          <w:lang w:val="en-GB"/>
        </w:rPr>
      </w:pPr>
      <w:bookmarkStart w:id="14" w:name="_Ref32826285"/>
      <w:r>
        <w:t xml:space="preserve">Table </w:t>
      </w:r>
      <w:fldSimple w:instr=" SEQ Table \* ARABIC ">
        <w:r w:rsidR="004970E9">
          <w:rPr>
            <w:noProof/>
          </w:rPr>
          <w:t>2</w:t>
        </w:r>
      </w:fldSimple>
      <w:bookmarkEnd w:id="14"/>
      <w:r>
        <w:t xml:space="preserve">: </w:t>
      </w:r>
      <w:r w:rsidRPr="006928AA">
        <w:t xml:space="preserve">Adverse reactions in patients treated with </w:t>
      </w:r>
      <w:r w:rsidR="008706E4">
        <w:t>PALYNZIQ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2380"/>
        <w:gridCol w:w="2057"/>
        <w:gridCol w:w="1874"/>
      </w:tblGrid>
      <w:tr w:rsidR="00945D43" w:rsidRPr="00945D43" w:rsidDel="00CA4B95" w14:paraId="5021D288" w14:textId="77777777" w:rsidTr="003A3487">
        <w:trPr>
          <w:trHeight w:val="62"/>
          <w:tblHeader/>
        </w:trPr>
        <w:tc>
          <w:tcPr>
            <w:tcW w:w="1500" w:type="pct"/>
            <w:tcBorders>
              <w:top w:val="single" w:sz="4" w:space="0" w:color="auto"/>
              <w:left w:val="single" w:sz="4" w:space="0" w:color="auto"/>
              <w:bottom w:val="single" w:sz="4" w:space="0" w:color="auto"/>
              <w:right w:val="single" w:sz="4" w:space="0" w:color="auto"/>
            </w:tcBorders>
            <w:shd w:val="clear" w:color="auto" w:fill="auto"/>
          </w:tcPr>
          <w:p w14:paraId="577FC034" w14:textId="77777777" w:rsidR="00945D43" w:rsidRPr="00945D43" w:rsidRDefault="00945D43" w:rsidP="00D066DD">
            <w:pPr>
              <w:pStyle w:val="BodyText1"/>
              <w:spacing w:before="60" w:after="60"/>
              <w:rPr>
                <w:b/>
                <w:sz w:val="22"/>
                <w:szCs w:val="22"/>
                <w:lang w:val="en-GB"/>
              </w:rPr>
            </w:pPr>
            <w:r w:rsidRPr="00945D43">
              <w:rPr>
                <w:b/>
                <w:sz w:val="22"/>
                <w:szCs w:val="22"/>
                <w:lang w:val="en-GB"/>
              </w:rPr>
              <w:t>System organ class</w:t>
            </w:r>
          </w:p>
        </w:tc>
        <w:tc>
          <w:tcPr>
            <w:tcW w:w="1320" w:type="pct"/>
            <w:tcBorders>
              <w:top w:val="single" w:sz="4" w:space="0" w:color="auto"/>
              <w:left w:val="single" w:sz="4" w:space="0" w:color="auto"/>
              <w:bottom w:val="single" w:sz="4" w:space="0" w:color="auto"/>
              <w:right w:val="single" w:sz="4" w:space="0" w:color="auto"/>
            </w:tcBorders>
            <w:shd w:val="clear" w:color="auto" w:fill="auto"/>
          </w:tcPr>
          <w:p w14:paraId="5AFD6182" w14:textId="77777777" w:rsidR="00945D43" w:rsidRPr="00945D43" w:rsidRDefault="00945D43" w:rsidP="00D066DD">
            <w:pPr>
              <w:pStyle w:val="BodyText1"/>
              <w:spacing w:before="60" w:after="60"/>
              <w:rPr>
                <w:b/>
                <w:sz w:val="22"/>
                <w:szCs w:val="22"/>
                <w:lang w:val="en-GB"/>
              </w:rPr>
            </w:pPr>
            <w:r w:rsidRPr="00945D43">
              <w:rPr>
                <w:b/>
                <w:sz w:val="22"/>
                <w:szCs w:val="22"/>
                <w:lang w:val="en-GB"/>
              </w:rPr>
              <w:t>Adverse reaction(s)</w:t>
            </w:r>
          </w:p>
        </w:tc>
        <w:tc>
          <w:tcPr>
            <w:tcW w:w="1141" w:type="pct"/>
            <w:tcBorders>
              <w:top w:val="single" w:sz="4" w:space="0" w:color="auto"/>
              <w:left w:val="single" w:sz="4" w:space="0" w:color="auto"/>
              <w:bottom w:val="single" w:sz="4" w:space="0" w:color="auto"/>
              <w:right w:val="single" w:sz="4" w:space="0" w:color="auto"/>
            </w:tcBorders>
          </w:tcPr>
          <w:p w14:paraId="4592912B" w14:textId="77777777" w:rsidR="00945D43" w:rsidRPr="00945D43" w:rsidRDefault="00945D43" w:rsidP="00D066DD">
            <w:pPr>
              <w:pStyle w:val="BodyText1"/>
              <w:spacing w:before="60" w:after="60"/>
              <w:rPr>
                <w:b/>
                <w:sz w:val="22"/>
                <w:szCs w:val="22"/>
                <w:lang w:val="en-GB"/>
              </w:rPr>
            </w:pPr>
            <w:r w:rsidRPr="00945D43">
              <w:rPr>
                <w:b/>
                <w:sz w:val="22"/>
                <w:szCs w:val="22"/>
                <w:lang w:val="en-GB"/>
              </w:rPr>
              <w:t>Induction/Titration</w:t>
            </w:r>
            <w:r w:rsidRPr="00945D43">
              <w:rPr>
                <w:sz w:val="22"/>
                <w:szCs w:val="22"/>
                <w:vertAlign w:val="superscript"/>
                <w:lang w:val="en-GB"/>
              </w:rPr>
              <w:t>1</w:t>
            </w:r>
          </w:p>
        </w:tc>
        <w:tc>
          <w:tcPr>
            <w:tcW w:w="1040" w:type="pct"/>
            <w:tcBorders>
              <w:top w:val="single" w:sz="4" w:space="0" w:color="auto"/>
              <w:left w:val="single" w:sz="4" w:space="0" w:color="auto"/>
              <w:bottom w:val="single" w:sz="4" w:space="0" w:color="auto"/>
              <w:right w:val="single" w:sz="4" w:space="0" w:color="auto"/>
            </w:tcBorders>
          </w:tcPr>
          <w:p w14:paraId="22D7E967" w14:textId="77777777" w:rsidR="00945D43" w:rsidRPr="00945D43" w:rsidRDefault="00945D43" w:rsidP="00D066DD">
            <w:pPr>
              <w:pStyle w:val="BodyText1"/>
              <w:spacing w:before="60" w:after="60"/>
              <w:rPr>
                <w:b/>
                <w:sz w:val="22"/>
                <w:szCs w:val="22"/>
                <w:lang w:val="en-GB"/>
              </w:rPr>
            </w:pPr>
            <w:r w:rsidRPr="00945D43">
              <w:rPr>
                <w:b/>
                <w:sz w:val="22"/>
                <w:szCs w:val="22"/>
                <w:lang w:val="en-GB"/>
              </w:rPr>
              <w:t>Maintenance</w:t>
            </w:r>
          </w:p>
        </w:tc>
      </w:tr>
      <w:tr w:rsidR="00945D43" w:rsidRPr="00945D43" w:rsidDel="00CA4B95" w14:paraId="1E58D97A" w14:textId="77777777" w:rsidTr="003A3487">
        <w:tc>
          <w:tcPr>
            <w:tcW w:w="1500" w:type="pct"/>
            <w:tcBorders>
              <w:top w:val="single" w:sz="4" w:space="0" w:color="auto"/>
              <w:left w:val="single" w:sz="4" w:space="0" w:color="auto"/>
              <w:bottom w:val="single" w:sz="4" w:space="0" w:color="auto"/>
              <w:right w:val="single" w:sz="4" w:space="0" w:color="auto"/>
            </w:tcBorders>
            <w:shd w:val="clear" w:color="auto" w:fill="auto"/>
          </w:tcPr>
          <w:p w14:paraId="3C969B80" w14:textId="77777777" w:rsidR="00945D43" w:rsidRPr="00945D43" w:rsidRDefault="00945D43" w:rsidP="00D066DD">
            <w:pPr>
              <w:pStyle w:val="BodyText1"/>
              <w:spacing w:before="60" w:after="60"/>
              <w:rPr>
                <w:sz w:val="22"/>
                <w:szCs w:val="22"/>
                <w:lang w:val="en-GB"/>
              </w:rPr>
            </w:pPr>
            <w:r w:rsidRPr="00945D43">
              <w:rPr>
                <w:sz w:val="22"/>
                <w:szCs w:val="22"/>
                <w:lang w:val="en-GB"/>
              </w:rPr>
              <w:t>Blood and lymphatic system disorders</w:t>
            </w:r>
          </w:p>
        </w:tc>
        <w:tc>
          <w:tcPr>
            <w:tcW w:w="1320" w:type="pct"/>
            <w:tcBorders>
              <w:top w:val="single" w:sz="4" w:space="0" w:color="auto"/>
              <w:left w:val="single" w:sz="4" w:space="0" w:color="auto"/>
              <w:bottom w:val="single" w:sz="4" w:space="0" w:color="auto"/>
              <w:right w:val="single" w:sz="4" w:space="0" w:color="auto"/>
            </w:tcBorders>
            <w:shd w:val="clear" w:color="auto" w:fill="auto"/>
          </w:tcPr>
          <w:p w14:paraId="78D84D25" w14:textId="77777777" w:rsidR="00945D43" w:rsidRPr="00945D43" w:rsidRDefault="00945D43" w:rsidP="00637FC6">
            <w:pPr>
              <w:pStyle w:val="BodyText1"/>
              <w:spacing w:before="60" w:after="60"/>
              <w:jc w:val="left"/>
              <w:rPr>
                <w:sz w:val="22"/>
                <w:szCs w:val="22"/>
                <w:lang w:val="en-GB"/>
              </w:rPr>
            </w:pPr>
            <w:r w:rsidRPr="00945D43">
              <w:rPr>
                <w:sz w:val="22"/>
                <w:szCs w:val="22"/>
                <w:lang w:val="en-GB"/>
              </w:rPr>
              <w:t>Lymphadenopathy</w:t>
            </w:r>
          </w:p>
          <w:p w14:paraId="1D1487DE" w14:textId="77777777" w:rsidR="00945D43" w:rsidRPr="00945D43" w:rsidRDefault="00945D43" w:rsidP="00637FC6">
            <w:pPr>
              <w:pStyle w:val="BodyText1"/>
              <w:spacing w:before="60" w:after="60"/>
              <w:jc w:val="left"/>
              <w:rPr>
                <w:sz w:val="22"/>
                <w:szCs w:val="22"/>
                <w:lang w:val="en-GB"/>
              </w:rPr>
            </w:pPr>
          </w:p>
        </w:tc>
        <w:tc>
          <w:tcPr>
            <w:tcW w:w="1141" w:type="pct"/>
            <w:tcBorders>
              <w:top w:val="single" w:sz="4" w:space="0" w:color="auto"/>
              <w:left w:val="single" w:sz="4" w:space="0" w:color="auto"/>
              <w:bottom w:val="single" w:sz="4" w:space="0" w:color="auto"/>
              <w:right w:val="single" w:sz="4" w:space="0" w:color="auto"/>
            </w:tcBorders>
          </w:tcPr>
          <w:p w14:paraId="37AD1A34" w14:textId="77777777" w:rsidR="00945D43" w:rsidRPr="00945D43" w:rsidRDefault="00945D43" w:rsidP="00637FC6">
            <w:pPr>
              <w:pStyle w:val="BodyText1"/>
              <w:spacing w:before="60" w:after="60"/>
              <w:jc w:val="left"/>
              <w:rPr>
                <w:sz w:val="22"/>
                <w:szCs w:val="22"/>
                <w:lang w:val="en-GB"/>
              </w:rPr>
            </w:pPr>
            <w:r w:rsidRPr="00945D43">
              <w:rPr>
                <w:sz w:val="22"/>
                <w:szCs w:val="22"/>
                <w:lang w:val="en-GB"/>
              </w:rPr>
              <w:t>Common</w:t>
            </w:r>
          </w:p>
          <w:p w14:paraId="06D30C78" w14:textId="77777777" w:rsidR="00945D43" w:rsidRPr="00945D43" w:rsidRDefault="00945D43" w:rsidP="00637FC6">
            <w:pPr>
              <w:pStyle w:val="BodyText1"/>
              <w:spacing w:before="60" w:after="60"/>
              <w:jc w:val="left"/>
              <w:rPr>
                <w:sz w:val="22"/>
                <w:szCs w:val="22"/>
                <w:lang w:val="en-GB"/>
              </w:rPr>
            </w:pPr>
            <w:r w:rsidRPr="00945D43">
              <w:rPr>
                <w:sz w:val="22"/>
                <w:szCs w:val="22"/>
                <w:lang w:val="en-GB"/>
              </w:rPr>
              <w:t>(9.8%)</w:t>
            </w:r>
          </w:p>
        </w:tc>
        <w:tc>
          <w:tcPr>
            <w:tcW w:w="1040" w:type="pct"/>
            <w:tcBorders>
              <w:top w:val="single" w:sz="4" w:space="0" w:color="auto"/>
              <w:left w:val="single" w:sz="4" w:space="0" w:color="auto"/>
              <w:bottom w:val="single" w:sz="4" w:space="0" w:color="auto"/>
              <w:right w:val="single" w:sz="4" w:space="0" w:color="auto"/>
            </w:tcBorders>
          </w:tcPr>
          <w:p w14:paraId="69920752" w14:textId="77777777" w:rsidR="00945D43" w:rsidRPr="00945D43" w:rsidRDefault="00945D43" w:rsidP="00637FC6">
            <w:pPr>
              <w:pStyle w:val="BodyText1"/>
              <w:spacing w:before="60" w:after="60"/>
              <w:jc w:val="left"/>
              <w:rPr>
                <w:sz w:val="22"/>
                <w:szCs w:val="22"/>
                <w:lang w:val="en-GB"/>
              </w:rPr>
            </w:pPr>
            <w:r w:rsidRPr="00945D43">
              <w:rPr>
                <w:sz w:val="22"/>
                <w:szCs w:val="22"/>
                <w:lang w:val="en-GB"/>
              </w:rPr>
              <w:t>Very common</w:t>
            </w:r>
          </w:p>
          <w:p w14:paraId="222FC9AE" w14:textId="5AA76EC9" w:rsidR="00945D43" w:rsidRPr="00945D43" w:rsidRDefault="00945D43" w:rsidP="00637FC6">
            <w:pPr>
              <w:pStyle w:val="BodyText1"/>
              <w:spacing w:before="60" w:after="60"/>
              <w:jc w:val="left"/>
              <w:rPr>
                <w:sz w:val="22"/>
                <w:szCs w:val="22"/>
                <w:lang w:val="en-GB"/>
              </w:rPr>
            </w:pPr>
            <w:r w:rsidRPr="00945D43">
              <w:rPr>
                <w:sz w:val="22"/>
                <w:szCs w:val="22"/>
                <w:lang w:val="en-GB"/>
              </w:rPr>
              <w:t>(</w:t>
            </w:r>
            <w:r w:rsidR="00084BEE">
              <w:rPr>
                <w:sz w:val="22"/>
                <w:szCs w:val="22"/>
                <w:lang w:val="en-GB"/>
              </w:rPr>
              <w:t>16</w:t>
            </w:r>
            <w:r w:rsidRPr="00945D43">
              <w:rPr>
                <w:sz w:val="22"/>
                <w:szCs w:val="22"/>
                <w:lang w:val="en-GB"/>
              </w:rPr>
              <w:t>%)</w:t>
            </w:r>
          </w:p>
        </w:tc>
      </w:tr>
      <w:tr w:rsidR="003A3487" w:rsidRPr="00945D43" w:rsidDel="00CA4B95" w14:paraId="39587CB2" w14:textId="77777777" w:rsidTr="003A3487">
        <w:trPr>
          <w:trHeight w:val="30"/>
        </w:trPr>
        <w:tc>
          <w:tcPr>
            <w:tcW w:w="1500" w:type="pct"/>
            <w:vMerge w:val="restart"/>
            <w:tcBorders>
              <w:top w:val="single" w:sz="4" w:space="0" w:color="auto"/>
              <w:left w:val="single" w:sz="4" w:space="0" w:color="auto"/>
              <w:right w:val="single" w:sz="4" w:space="0" w:color="auto"/>
            </w:tcBorders>
            <w:shd w:val="clear" w:color="auto" w:fill="auto"/>
          </w:tcPr>
          <w:p w14:paraId="519BD8D0" w14:textId="77777777" w:rsidR="003A3487" w:rsidRPr="00945D43" w:rsidRDefault="003A3487" w:rsidP="00D066DD">
            <w:pPr>
              <w:pStyle w:val="BodyText1"/>
              <w:spacing w:before="60" w:after="60"/>
              <w:rPr>
                <w:sz w:val="22"/>
                <w:szCs w:val="22"/>
                <w:lang w:val="en-GB"/>
              </w:rPr>
            </w:pPr>
            <w:r w:rsidRPr="00945D43">
              <w:rPr>
                <w:sz w:val="22"/>
                <w:szCs w:val="22"/>
                <w:lang w:val="en-GB"/>
              </w:rPr>
              <w:t>Immune system disorders</w:t>
            </w:r>
          </w:p>
        </w:tc>
        <w:tc>
          <w:tcPr>
            <w:tcW w:w="1320" w:type="pct"/>
            <w:tcBorders>
              <w:top w:val="single" w:sz="4" w:space="0" w:color="auto"/>
              <w:left w:val="single" w:sz="4" w:space="0" w:color="auto"/>
              <w:right w:val="single" w:sz="4" w:space="0" w:color="auto"/>
            </w:tcBorders>
            <w:shd w:val="clear" w:color="auto" w:fill="auto"/>
          </w:tcPr>
          <w:p w14:paraId="62D985F1" w14:textId="77777777" w:rsidR="003A3487" w:rsidRPr="00945D43" w:rsidRDefault="003A3487" w:rsidP="00637FC6">
            <w:pPr>
              <w:pStyle w:val="BodyText1"/>
              <w:spacing w:before="60" w:after="60"/>
              <w:jc w:val="left"/>
              <w:rPr>
                <w:sz w:val="22"/>
                <w:szCs w:val="22"/>
                <w:vertAlign w:val="superscript"/>
                <w:lang w:val="en-GB"/>
              </w:rPr>
            </w:pPr>
            <w:r w:rsidRPr="00945D43">
              <w:rPr>
                <w:sz w:val="22"/>
                <w:szCs w:val="22"/>
                <w:lang w:val="en-GB"/>
              </w:rPr>
              <w:t>Hypersensitivity reaction</w:t>
            </w:r>
            <w:r w:rsidRPr="00945D43">
              <w:rPr>
                <w:sz w:val="22"/>
                <w:szCs w:val="22"/>
                <w:vertAlign w:val="superscript"/>
                <w:lang w:val="en-GB"/>
              </w:rPr>
              <w:t>2</w:t>
            </w:r>
          </w:p>
        </w:tc>
        <w:tc>
          <w:tcPr>
            <w:tcW w:w="1141" w:type="pct"/>
            <w:tcBorders>
              <w:top w:val="single" w:sz="4" w:space="0" w:color="auto"/>
              <w:left w:val="single" w:sz="4" w:space="0" w:color="auto"/>
              <w:right w:val="single" w:sz="4" w:space="0" w:color="auto"/>
            </w:tcBorders>
          </w:tcPr>
          <w:p w14:paraId="4DF45B59"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Very common</w:t>
            </w:r>
          </w:p>
          <w:p w14:paraId="32613548"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(65%)</w:t>
            </w:r>
          </w:p>
        </w:tc>
        <w:tc>
          <w:tcPr>
            <w:tcW w:w="1040" w:type="pct"/>
            <w:tcBorders>
              <w:top w:val="single" w:sz="4" w:space="0" w:color="auto"/>
              <w:left w:val="single" w:sz="4" w:space="0" w:color="auto"/>
              <w:right w:val="single" w:sz="4" w:space="0" w:color="auto"/>
            </w:tcBorders>
          </w:tcPr>
          <w:p w14:paraId="5645DDBA"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Very common</w:t>
            </w:r>
          </w:p>
          <w:p w14:paraId="515808DA" w14:textId="6451FBE5" w:rsidR="003A3487" w:rsidRPr="00945D43" w:rsidRDefault="003A3487" w:rsidP="00637FC6">
            <w:pPr>
              <w:pStyle w:val="BodyText1"/>
              <w:spacing w:before="60" w:after="60"/>
              <w:jc w:val="left"/>
              <w:rPr>
                <w:sz w:val="22"/>
                <w:szCs w:val="22"/>
                <w:lang w:val="en-GB"/>
              </w:rPr>
            </w:pPr>
            <w:r w:rsidRPr="00945D43">
              <w:rPr>
                <w:sz w:val="22"/>
                <w:szCs w:val="22"/>
                <w:lang w:val="en-GB"/>
              </w:rPr>
              <w:t>(</w:t>
            </w:r>
            <w:r>
              <w:rPr>
                <w:sz w:val="22"/>
                <w:szCs w:val="22"/>
                <w:lang w:val="en-GB"/>
              </w:rPr>
              <w:t>60</w:t>
            </w:r>
            <w:r w:rsidRPr="00945D43">
              <w:rPr>
                <w:sz w:val="22"/>
                <w:szCs w:val="22"/>
                <w:lang w:val="en-GB"/>
              </w:rPr>
              <w:t>%)</w:t>
            </w:r>
          </w:p>
        </w:tc>
      </w:tr>
      <w:tr w:rsidR="003A3487" w:rsidRPr="00945D43" w:rsidDel="00274847" w14:paraId="1525F2F2" w14:textId="77777777" w:rsidTr="003A3487">
        <w:trPr>
          <w:trHeight w:val="30"/>
        </w:trPr>
        <w:tc>
          <w:tcPr>
            <w:tcW w:w="1500" w:type="pct"/>
            <w:vMerge/>
            <w:tcBorders>
              <w:left w:val="single" w:sz="4" w:space="0" w:color="auto"/>
              <w:right w:val="single" w:sz="4" w:space="0" w:color="auto"/>
            </w:tcBorders>
            <w:shd w:val="clear" w:color="auto" w:fill="auto"/>
          </w:tcPr>
          <w:p w14:paraId="12B488EA" w14:textId="77777777" w:rsidR="003A3487" w:rsidRPr="00945D43" w:rsidRDefault="003A3487" w:rsidP="00D066DD">
            <w:pPr>
              <w:pStyle w:val="BodyText1"/>
              <w:spacing w:before="60" w:after="60"/>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32F54117"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Acute systemic hypersensitivity reaction</w:t>
            </w:r>
            <w:r w:rsidRPr="00945D43">
              <w:rPr>
                <w:sz w:val="22"/>
                <w:szCs w:val="22"/>
                <w:vertAlign w:val="superscript"/>
                <w:lang w:val="en-GB"/>
              </w:rPr>
              <w:t>3</w:t>
            </w:r>
          </w:p>
        </w:tc>
        <w:tc>
          <w:tcPr>
            <w:tcW w:w="1141" w:type="pct"/>
            <w:tcBorders>
              <w:top w:val="single" w:sz="4" w:space="0" w:color="auto"/>
              <w:left w:val="single" w:sz="4" w:space="0" w:color="auto"/>
              <w:right w:val="single" w:sz="4" w:space="0" w:color="auto"/>
            </w:tcBorders>
          </w:tcPr>
          <w:p w14:paraId="05CEDF28"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Common</w:t>
            </w:r>
          </w:p>
          <w:p w14:paraId="6C53C62A"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(4.6%)</w:t>
            </w:r>
          </w:p>
        </w:tc>
        <w:tc>
          <w:tcPr>
            <w:tcW w:w="1040" w:type="pct"/>
            <w:tcBorders>
              <w:top w:val="single" w:sz="4" w:space="0" w:color="auto"/>
              <w:left w:val="single" w:sz="4" w:space="0" w:color="auto"/>
              <w:right w:val="single" w:sz="4" w:space="0" w:color="auto"/>
            </w:tcBorders>
          </w:tcPr>
          <w:p w14:paraId="64E621C8"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Common</w:t>
            </w:r>
          </w:p>
          <w:p w14:paraId="6BAADE7B"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(1.7%)</w:t>
            </w:r>
          </w:p>
        </w:tc>
      </w:tr>
      <w:tr w:rsidR="003A3487" w:rsidRPr="00945D43" w:rsidDel="00274847" w14:paraId="2DB283CD" w14:textId="77777777" w:rsidTr="003A3487">
        <w:trPr>
          <w:trHeight w:val="30"/>
        </w:trPr>
        <w:tc>
          <w:tcPr>
            <w:tcW w:w="1500" w:type="pct"/>
            <w:vMerge/>
            <w:tcBorders>
              <w:left w:val="single" w:sz="4" w:space="0" w:color="auto"/>
              <w:right w:val="single" w:sz="4" w:space="0" w:color="auto"/>
            </w:tcBorders>
            <w:shd w:val="clear" w:color="auto" w:fill="auto"/>
          </w:tcPr>
          <w:p w14:paraId="6BE5F4DE" w14:textId="77777777" w:rsidR="003A3487" w:rsidRPr="00945D43" w:rsidRDefault="003A3487" w:rsidP="00D066DD">
            <w:pPr>
              <w:pStyle w:val="BodyText1"/>
              <w:spacing w:before="60" w:after="60"/>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6FEFE95F"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Angioedema</w:t>
            </w:r>
            <w:r w:rsidRPr="00945D43">
              <w:rPr>
                <w:sz w:val="22"/>
                <w:szCs w:val="22"/>
                <w:vertAlign w:val="superscript"/>
                <w:lang w:val="en-GB"/>
              </w:rPr>
              <w:t>3</w:t>
            </w:r>
          </w:p>
          <w:p w14:paraId="61D8E41C" w14:textId="77777777" w:rsidR="003A3487" w:rsidRPr="00945D43" w:rsidRDefault="003A3487" w:rsidP="00637FC6">
            <w:pPr>
              <w:pStyle w:val="BodyText1"/>
              <w:spacing w:before="60" w:after="60"/>
              <w:jc w:val="left"/>
              <w:rPr>
                <w:sz w:val="22"/>
                <w:szCs w:val="22"/>
                <w:lang w:val="en-GB"/>
              </w:rPr>
            </w:pPr>
          </w:p>
        </w:tc>
        <w:tc>
          <w:tcPr>
            <w:tcW w:w="1141" w:type="pct"/>
            <w:tcBorders>
              <w:top w:val="single" w:sz="4" w:space="0" w:color="auto"/>
              <w:left w:val="single" w:sz="4" w:space="0" w:color="auto"/>
              <w:right w:val="single" w:sz="4" w:space="0" w:color="auto"/>
            </w:tcBorders>
          </w:tcPr>
          <w:p w14:paraId="58B3F716"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Common</w:t>
            </w:r>
          </w:p>
          <w:p w14:paraId="0B1AFCEF"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(5.6%)</w:t>
            </w:r>
          </w:p>
        </w:tc>
        <w:tc>
          <w:tcPr>
            <w:tcW w:w="1040" w:type="pct"/>
            <w:tcBorders>
              <w:top w:val="single" w:sz="4" w:space="0" w:color="auto"/>
              <w:left w:val="single" w:sz="4" w:space="0" w:color="auto"/>
              <w:right w:val="single" w:sz="4" w:space="0" w:color="auto"/>
            </w:tcBorders>
          </w:tcPr>
          <w:p w14:paraId="25660C8E"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Common</w:t>
            </w:r>
          </w:p>
          <w:p w14:paraId="56FC721C" w14:textId="38396918" w:rsidR="003A3487" w:rsidRPr="00945D43" w:rsidRDefault="003A3487" w:rsidP="00637FC6">
            <w:pPr>
              <w:pStyle w:val="BodyText1"/>
              <w:spacing w:before="60" w:after="60"/>
              <w:jc w:val="left"/>
              <w:rPr>
                <w:sz w:val="22"/>
                <w:szCs w:val="22"/>
                <w:lang w:val="en-GB"/>
              </w:rPr>
            </w:pPr>
            <w:r w:rsidRPr="00945D43">
              <w:rPr>
                <w:sz w:val="22"/>
                <w:szCs w:val="22"/>
                <w:lang w:val="en-GB"/>
              </w:rPr>
              <w:t>(</w:t>
            </w:r>
            <w:r>
              <w:rPr>
                <w:sz w:val="22"/>
                <w:szCs w:val="22"/>
                <w:lang w:val="en-GB"/>
              </w:rPr>
              <w:t>2.8</w:t>
            </w:r>
            <w:r w:rsidRPr="00945D43">
              <w:rPr>
                <w:sz w:val="22"/>
                <w:szCs w:val="22"/>
                <w:lang w:val="en-GB"/>
              </w:rPr>
              <w:t>%)</w:t>
            </w:r>
          </w:p>
        </w:tc>
      </w:tr>
      <w:tr w:rsidR="003A3487" w:rsidRPr="00945D43" w:rsidDel="00274847" w14:paraId="28F5FF51" w14:textId="77777777" w:rsidTr="003A3487">
        <w:trPr>
          <w:trHeight w:val="30"/>
        </w:trPr>
        <w:tc>
          <w:tcPr>
            <w:tcW w:w="1500" w:type="pct"/>
            <w:vMerge/>
            <w:tcBorders>
              <w:left w:val="single" w:sz="4" w:space="0" w:color="auto"/>
              <w:right w:val="single" w:sz="4" w:space="0" w:color="auto"/>
            </w:tcBorders>
            <w:shd w:val="clear" w:color="auto" w:fill="auto"/>
          </w:tcPr>
          <w:p w14:paraId="34770AF7" w14:textId="77777777" w:rsidR="003A3487" w:rsidRPr="00945D43" w:rsidRDefault="003A3487" w:rsidP="00D066DD">
            <w:pPr>
              <w:pStyle w:val="BodyText1"/>
              <w:spacing w:before="60" w:after="60"/>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55EC881C" w14:textId="77777777" w:rsidR="003A3487" w:rsidRPr="00945D43" w:rsidRDefault="003A3487" w:rsidP="00637FC6">
            <w:pPr>
              <w:pStyle w:val="BodyText1"/>
              <w:spacing w:before="60" w:after="60"/>
              <w:jc w:val="left"/>
              <w:rPr>
                <w:sz w:val="22"/>
                <w:szCs w:val="22"/>
                <w:vertAlign w:val="superscript"/>
                <w:lang w:val="en-GB"/>
              </w:rPr>
            </w:pPr>
            <w:r w:rsidRPr="00945D43">
              <w:rPr>
                <w:sz w:val="22"/>
                <w:szCs w:val="22"/>
                <w:lang w:val="en-GB"/>
              </w:rPr>
              <w:t>Serum sickness</w:t>
            </w:r>
            <w:r w:rsidRPr="00945D43">
              <w:rPr>
                <w:sz w:val="22"/>
                <w:szCs w:val="22"/>
                <w:vertAlign w:val="superscript"/>
                <w:lang w:val="en-GB"/>
              </w:rPr>
              <w:t>3</w:t>
            </w:r>
          </w:p>
          <w:p w14:paraId="6E2E86F7" w14:textId="77777777" w:rsidR="003A3487" w:rsidRPr="00945D43" w:rsidRDefault="003A3487" w:rsidP="00637FC6">
            <w:pPr>
              <w:pStyle w:val="BodyText1"/>
              <w:spacing w:before="60" w:after="60"/>
              <w:jc w:val="left"/>
              <w:rPr>
                <w:sz w:val="22"/>
                <w:szCs w:val="22"/>
                <w:lang w:val="en-GB"/>
              </w:rPr>
            </w:pPr>
          </w:p>
        </w:tc>
        <w:tc>
          <w:tcPr>
            <w:tcW w:w="1141" w:type="pct"/>
            <w:tcBorders>
              <w:top w:val="single" w:sz="4" w:space="0" w:color="auto"/>
              <w:left w:val="single" w:sz="4" w:space="0" w:color="auto"/>
              <w:right w:val="single" w:sz="4" w:space="0" w:color="auto"/>
            </w:tcBorders>
          </w:tcPr>
          <w:p w14:paraId="09FCA80C"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Common</w:t>
            </w:r>
          </w:p>
          <w:p w14:paraId="3CC780A4"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(2.1%)</w:t>
            </w:r>
          </w:p>
        </w:tc>
        <w:tc>
          <w:tcPr>
            <w:tcW w:w="1040" w:type="pct"/>
            <w:tcBorders>
              <w:top w:val="single" w:sz="4" w:space="0" w:color="auto"/>
              <w:left w:val="single" w:sz="4" w:space="0" w:color="auto"/>
              <w:right w:val="single" w:sz="4" w:space="0" w:color="auto"/>
            </w:tcBorders>
          </w:tcPr>
          <w:p w14:paraId="4C9EFAD4"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Uncommon</w:t>
            </w:r>
          </w:p>
          <w:p w14:paraId="0A097C66" w14:textId="77777777" w:rsidR="003A3487" w:rsidRPr="00945D43" w:rsidRDefault="003A3487" w:rsidP="00637FC6">
            <w:pPr>
              <w:pStyle w:val="BodyText1"/>
              <w:spacing w:before="60" w:after="60"/>
              <w:jc w:val="left"/>
              <w:rPr>
                <w:sz w:val="22"/>
                <w:szCs w:val="22"/>
                <w:lang w:val="en-GB"/>
              </w:rPr>
            </w:pPr>
            <w:r w:rsidRPr="00945D43">
              <w:rPr>
                <w:sz w:val="22"/>
                <w:szCs w:val="22"/>
                <w:lang w:val="en-GB"/>
              </w:rPr>
              <w:t>(0.6%)</w:t>
            </w:r>
          </w:p>
        </w:tc>
      </w:tr>
      <w:tr w:rsidR="003A3487" w:rsidRPr="00945D43" w:rsidDel="00274847" w14:paraId="2716BCAA" w14:textId="77777777" w:rsidTr="003A3487">
        <w:trPr>
          <w:trHeight w:val="30"/>
        </w:trPr>
        <w:tc>
          <w:tcPr>
            <w:tcW w:w="1500" w:type="pct"/>
            <w:vMerge/>
            <w:tcBorders>
              <w:left w:val="single" w:sz="4" w:space="0" w:color="auto"/>
              <w:bottom w:val="single" w:sz="4" w:space="0" w:color="auto"/>
              <w:right w:val="single" w:sz="4" w:space="0" w:color="auto"/>
            </w:tcBorders>
            <w:shd w:val="clear" w:color="auto" w:fill="auto"/>
          </w:tcPr>
          <w:p w14:paraId="1D58AE7F" w14:textId="77777777" w:rsidR="003A3487" w:rsidRPr="00945D43" w:rsidRDefault="003A3487" w:rsidP="00D066DD">
            <w:pPr>
              <w:pStyle w:val="BodyText1"/>
              <w:spacing w:before="60" w:after="60"/>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6E2AFDE6" w14:textId="75AF8646" w:rsidR="003A3487" w:rsidRPr="00945D43" w:rsidRDefault="003A3487" w:rsidP="00637FC6">
            <w:pPr>
              <w:pStyle w:val="BodyText1"/>
              <w:spacing w:before="60" w:after="60"/>
              <w:jc w:val="left"/>
              <w:rPr>
                <w:sz w:val="22"/>
                <w:szCs w:val="22"/>
                <w:lang w:val="en-GB"/>
              </w:rPr>
            </w:pPr>
            <w:r>
              <w:rPr>
                <w:sz w:val="22"/>
                <w:szCs w:val="22"/>
                <w:lang w:val="en-GB"/>
              </w:rPr>
              <w:t>Anaphylaxis</w:t>
            </w:r>
            <w:r w:rsidRPr="00272013">
              <w:rPr>
                <w:sz w:val="22"/>
                <w:szCs w:val="22"/>
                <w:vertAlign w:val="superscript"/>
                <w:lang w:val="en-GB"/>
              </w:rPr>
              <w:t>4</w:t>
            </w:r>
          </w:p>
        </w:tc>
        <w:tc>
          <w:tcPr>
            <w:tcW w:w="1141" w:type="pct"/>
            <w:tcBorders>
              <w:top w:val="single" w:sz="4" w:space="0" w:color="auto"/>
              <w:left w:val="single" w:sz="4" w:space="0" w:color="auto"/>
              <w:right w:val="single" w:sz="4" w:space="0" w:color="auto"/>
            </w:tcBorders>
          </w:tcPr>
          <w:p w14:paraId="025B5080" w14:textId="14547D29" w:rsidR="003A3487" w:rsidRPr="00945D43" w:rsidRDefault="003A3487" w:rsidP="00637FC6">
            <w:pPr>
              <w:pStyle w:val="BodyText1"/>
              <w:spacing w:before="60" w:after="60"/>
              <w:jc w:val="left"/>
              <w:rPr>
                <w:sz w:val="22"/>
                <w:szCs w:val="22"/>
                <w:lang w:val="en-GB"/>
              </w:rPr>
            </w:pPr>
            <w:r>
              <w:rPr>
                <w:sz w:val="22"/>
                <w:szCs w:val="22"/>
                <w:lang w:val="en-GB"/>
              </w:rPr>
              <w:t>Unknown</w:t>
            </w:r>
          </w:p>
        </w:tc>
        <w:tc>
          <w:tcPr>
            <w:tcW w:w="1040" w:type="pct"/>
            <w:tcBorders>
              <w:top w:val="single" w:sz="4" w:space="0" w:color="auto"/>
              <w:left w:val="single" w:sz="4" w:space="0" w:color="auto"/>
              <w:right w:val="single" w:sz="4" w:space="0" w:color="auto"/>
            </w:tcBorders>
          </w:tcPr>
          <w:p w14:paraId="042C005E" w14:textId="40682064" w:rsidR="003A3487" w:rsidRPr="00945D43" w:rsidRDefault="003A3487" w:rsidP="00637FC6">
            <w:pPr>
              <w:pStyle w:val="BodyText1"/>
              <w:spacing w:before="60" w:after="60"/>
              <w:jc w:val="left"/>
              <w:rPr>
                <w:sz w:val="22"/>
                <w:szCs w:val="22"/>
                <w:lang w:val="en-GB"/>
              </w:rPr>
            </w:pPr>
            <w:r>
              <w:rPr>
                <w:sz w:val="22"/>
                <w:szCs w:val="22"/>
                <w:lang w:val="en-GB"/>
              </w:rPr>
              <w:t>Unknown</w:t>
            </w:r>
          </w:p>
        </w:tc>
      </w:tr>
      <w:tr w:rsidR="00945D43" w:rsidRPr="00945D43" w:rsidDel="00CA4B95" w14:paraId="698669B5" w14:textId="77777777" w:rsidTr="003A3487">
        <w:trPr>
          <w:trHeight w:val="143"/>
        </w:trPr>
        <w:tc>
          <w:tcPr>
            <w:tcW w:w="1500" w:type="pct"/>
            <w:tcBorders>
              <w:top w:val="single" w:sz="4" w:space="0" w:color="auto"/>
              <w:left w:val="single" w:sz="4" w:space="0" w:color="auto"/>
              <w:bottom w:val="single" w:sz="4" w:space="0" w:color="auto"/>
              <w:right w:val="single" w:sz="4" w:space="0" w:color="auto"/>
            </w:tcBorders>
            <w:shd w:val="clear" w:color="auto" w:fill="auto"/>
          </w:tcPr>
          <w:p w14:paraId="00508AFD"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Nervous system disorders</w:t>
            </w:r>
          </w:p>
        </w:tc>
        <w:tc>
          <w:tcPr>
            <w:tcW w:w="1320" w:type="pct"/>
            <w:tcBorders>
              <w:top w:val="single" w:sz="4" w:space="0" w:color="auto"/>
              <w:left w:val="single" w:sz="4" w:space="0" w:color="auto"/>
              <w:bottom w:val="single" w:sz="4" w:space="0" w:color="auto"/>
              <w:right w:val="single" w:sz="4" w:space="0" w:color="auto"/>
            </w:tcBorders>
            <w:shd w:val="clear" w:color="auto" w:fill="auto"/>
          </w:tcPr>
          <w:p w14:paraId="2CF0C71B" w14:textId="77777777" w:rsidR="00945D43" w:rsidRPr="00945D43" w:rsidRDefault="00945D43" w:rsidP="00637FC6">
            <w:pPr>
              <w:pStyle w:val="BodyText1"/>
              <w:spacing w:before="60" w:after="60"/>
              <w:jc w:val="left"/>
              <w:rPr>
                <w:sz w:val="22"/>
                <w:szCs w:val="22"/>
                <w:lang w:val="en-GB"/>
              </w:rPr>
            </w:pPr>
            <w:r w:rsidRPr="00945D43">
              <w:rPr>
                <w:sz w:val="22"/>
                <w:szCs w:val="22"/>
                <w:lang w:val="en-GB"/>
              </w:rPr>
              <w:t>Headache</w:t>
            </w:r>
          </w:p>
          <w:p w14:paraId="2C131D52" w14:textId="77777777" w:rsidR="00945D43" w:rsidRPr="00945D43" w:rsidRDefault="00945D43" w:rsidP="00637FC6">
            <w:pPr>
              <w:pStyle w:val="BodyText1"/>
              <w:spacing w:before="60" w:after="60"/>
              <w:jc w:val="left"/>
              <w:rPr>
                <w:sz w:val="22"/>
                <w:szCs w:val="22"/>
                <w:lang w:val="en-GB"/>
              </w:rPr>
            </w:pPr>
          </w:p>
        </w:tc>
        <w:tc>
          <w:tcPr>
            <w:tcW w:w="1141" w:type="pct"/>
            <w:tcBorders>
              <w:top w:val="single" w:sz="4" w:space="0" w:color="auto"/>
              <w:left w:val="single" w:sz="4" w:space="0" w:color="auto"/>
              <w:bottom w:val="single" w:sz="4" w:space="0" w:color="auto"/>
              <w:right w:val="single" w:sz="4" w:space="0" w:color="auto"/>
            </w:tcBorders>
          </w:tcPr>
          <w:p w14:paraId="745891BA" w14:textId="77777777" w:rsidR="00945D43" w:rsidRPr="00945D43" w:rsidRDefault="00945D43" w:rsidP="00637FC6">
            <w:pPr>
              <w:pStyle w:val="BodyText1"/>
              <w:spacing w:before="60" w:after="60"/>
              <w:jc w:val="left"/>
              <w:rPr>
                <w:sz w:val="22"/>
                <w:szCs w:val="22"/>
                <w:lang w:val="en-GB"/>
              </w:rPr>
            </w:pPr>
            <w:r w:rsidRPr="00945D43">
              <w:rPr>
                <w:sz w:val="22"/>
                <w:szCs w:val="22"/>
                <w:lang w:val="en-GB"/>
              </w:rPr>
              <w:t>Very common</w:t>
            </w:r>
          </w:p>
          <w:p w14:paraId="04DB7C98" w14:textId="77777777" w:rsidR="00945D43" w:rsidRPr="00945D43" w:rsidRDefault="00945D43" w:rsidP="00637FC6">
            <w:pPr>
              <w:pStyle w:val="BodyText1"/>
              <w:spacing w:before="60" w:after="60"/>
              <w:jc w:val="left"/>
              <w:rPr>
                <w:sz w:val="22"/>
                <w:szCs w:val="22"/>
                <w:lang w:val="en-GB"/>
              </w:rPr>
            </w:pPr>
            <w:r w:rsidRPr="00945D43">
              <w:rPr>
                <w:sz w:val="22"/>
                <w:szCs w:val="22"/>
                <w:lang w:val="en-GB"/>
              </w:rPr>
              <w:t>(42%)</w:t>
            </w:r>
          </w:p>
        </w:tc>
        <w:tc>
          <w:tcPr>
            <w:tcW w:w="1040" w:type="pct"/>
            <w:tcBorders>
              <w:top w:val="single" w:sz="4" w:space="0" w:color="auto"/>
              <w:left w:val="single" w:sz="4" w:space="0" w:color="auto"/>
              <w:bottom w:val="single" w:sz="4" w:space="0" w:color="auto"/>
              <w:right w:val="single" w:sz="4" w:space="0" w:color="auto"/>
            </w:tcBorders>
          </w:tcPr>
          <w:p w14:paraId="7347759C" w14:textId="77777777" w:rsidR="00945D43" w:rsidRPr="00945D43" w:rsidRDefault="00945D43" w:rsidP="00637FC6">
            <w:pPr>
              <w:pStyle w:val="BodyText1"/>
              <w:spacing w:before="60" w:after="60"/>
              <w:jc w:val="left"/>
              <w:rPr>
                <w:sz w:val="22"/>
                <w:szCs w:val="22"/>
                <w:lang w:val="en-GB"/>
              </w:rPr>
            </w:pPr>
            <w:r w:rsidRPr="00945D43">
              <w:rPr>
                <w:sz w:val="22"/>
                <w:szCs w:val="22"/>
                <w:lang w:val="en-GB"/>
              </w:rPr>
              <w:t>Very common</w:t>
            </w:r>
          </w:p>
          <w:p w14:paraId="1777C9D3" w14:textId="3B95492E" w:rsidR="00945D43" w:rsidRPr="00945D43" w:rsidRDefault="00945D43" w:rsidP="00637FC6">
            <w:pPr>
              <w:pStyle w:val="BodyText1"/>
              <w:spacing w:before="60" w:after="60"/>
              <w:jc w:val="left"/>
              <w:rPr>
                <w:sz w:val="22"/>
                <w:szCs w:val="22"/>
                <w:lang w:val="en-GB"/>
              </w:rPr>
            </w:pPr>
            <w:r w:rsidRPr="00945D43">
              <w:rPr>
                <w:sz w:val="22"/>
                <w:szCs w:val="22"/>
                <w:lang w:val="en-GB"/>
              </w:rPr>
              <w:t>(</w:t>
            </w:r>
            <w:r w:rsidR="00084BEE">
              <w:rPr>
                <w:sz w:val="22"/>
                <w:szCs w:val="22"/>
                <w:lang w:val="en-GB"/>
              </w:rPr>
              <w:t>47</w:t>
            </w:r>
            <w:r w:rsidRPr="00945D43">
              <w:rPr>
                <w:sz w:val="22"/>
                <w:szCs w:val="22"/>
                <w:lang w:val="en-GB"/>
              </w:rPr>
              <w:t>%)</w:t>
            </w:r>
          </w:p>
        </w:tc>
      </w:tr>
      <w:tr w:rsidR="00945D43" w:rsidRPr="00945D43" w:rsidDel="00CA4B95" w14:paraId="0885E5FD" w14:textId="77777777" w:rsidTr="003A3487">
        <w:trPr>
          <w:trHeight w:val="98"/>
        </w:trPr>
        <w:tc>
          <w:tcPr>
            <w:tcW w:w="1500" w:type="pct"/>
            <w:tcBorders>
              <w:top w:val="single" w:sz="4" w:space="0" w:color="auto"/>
              <w:left w:val="single" w:sz="4" w:space="0" w:color="auto"/>
              <w:bottom w:val="single" w:sz="4" w:space="0" w:color="auto"/>
              <w:right w:val="single" w:sz="4" w:space="0" w:color="auto"/>
            </w:tcBorders>
            <w:shd w:val="clear" w:color="auto" w:fill="auto"/>
          </w:tcPr>
          <w:p w14:paraId="64923E96"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 xml:space="preserve">Respiratory, </w:t>
            </w:r>
            <w:proofErr w:type="gramStart"/>
            <w:r w:rsidRPr="00945D43">
              <w:rPr>
                <w:sz w:val="22"/>
                <w:szCs w:val="22"/>
                <w:lang w:val="en-GB"/>
              </w:rPr>
              <w:t>thoracic</w:t>
            </w:r>
            <w:proofErr w:type="gramEnd"/>
            <w:r w:rsidRPr="00945D43">
              <w:rPr>
                <w:sz w:val="22"/>
                <w:szCs w:val="22"/>
                <w:lang w:val="en-GB"/>
              </w:rPr>
              <w:t xml:space="preserve"> and mediastinal disorders</w:t>
            </w:r>
          </w:p>
        </w:tc>
        <w:tc>
          <w:tcPr>
            <w:tcW w:w="1320" w:type="pct"/>
            <w:tcBorders>
              <w:top w:val="single" w:sz="4" w:space="0" w:color="auto"/>
              <w:left w:val="single" w:sz="4" w:space="0" w:color="auto"/>
              <w:bottom w:val="single" w:sz="4" w:space="0" w:color="auto"/>
              <w:right w:val="single" w:sz="4" w:space="0" w:color="auto"/>
            </w:tcBorders>
            <w:shd w:val="clear" w:color="auto" w:fill="auto"/>
          </w:tcPr>
          <w:p w14:paraId="5977E7AB" w14:textId="77777777" w:rsidR="00945D43" w:rsidRPr="00945D43" w:rsidRDefault="00945D43" w:rsidP="00EF3180">
            <w:pPr>
              <w:pStyle w:val="BodyText1"/>
              <w:spacing w:before="60" w:after="60"/>
              <w:jc w:val="left"/>
              <w:rPr>
                <w:sz w:val="22"/>
                <w:szCs w:val="22"/>
                <w:vertAlign w:val="superscript"/>
                <w:lang w:val="en-GB"/>
              </w:rPr>
            </w:pPr>
            <w:r w:rsidRPr="00945D43">
              <w:rPr>
                <w:sz w:val="22"/>
                <w:szCs w:val="22"/>
                <w:lang w:val="en-GB"/>
              </w:rPr>
              <w:t>Cough</w:t>
            </w:r>
            <w:r w:rsidRPr="00945D43">
              <w:rPr>
                <w:sz w:val="22"/>
                <w:szCs w:val="22"/>
                <w:vertAlign w:val="superscript"/>
                <w:lang w:val="en-GB"/>
              </w:rPr>
              <w:t>2</w:t>
            </w:r>
          </w:p>
          <w:p w14:paraId="67FF6987"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bottom w:val="single" w:sz="4" w:space="0" w:color="auto"/>
              <w:right w:val="single" w:sz="4" w:space="0" w:color="auto"/>
            </w:tcBorders>
          </w:tcPr>
          <w:p w14:paraId="4C805B26"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7335AB5A"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(19%)</w:t>
            </w:r>
          </w:p>
        </w:tc>
        <w:tc>
          <w:tcPr>
            <w:tcW w:w="1040" w:type="pct"/>
            <w:tcBorders>
              <w:top w:val="single" w:sz="4" w:space="0" w:color="auto"/>
              <w:left w:val="single" w:sz="4" w:space="0" w:color="auto"/>
              <w:bottom w:val="single" w:sz="4" w:space="0" w:color="auto"/>
              <w:right w:val="single" w:sz="4" w:space="0" w:color="auto"/>
            </w:tcBorders>
          </w:tcPr>
          <w:p w14:paraId="6CFB80C5"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0788071F" w14:textId="53A92065"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084BEE">
              <w:rPr>
                <w:sz w:val="22"/>
                <w:szCs w:val="22"/>
                <w:lang w:val="en-GB"/>
              </w:rPr>
              <w:t>24</w:t>
            </w:r>
            <w:r w:rsidRPr="00945D43">
              <w:rPr>
                <w:sz w:val="22"/>
                <w:szCs w:val="22"/>
                <w:lang w:val="en-GB"/>
              </w:rPr>
              <w:t>%)</w:t>
            </w:r>
          </w:p>
        </w:tc>
      </w:tr>
      <w:tr w:rsidR="00945D43" w:rsidRPr="00945D43" w:rsidDel="00CA4B95" w14:paraId="2CFE6439" w14:textId="77777777" w:rsidTr="003A3487">
        <w:trPr>
          <w:trHeight w:val="377"/>
        </w:trPr>
        <w:tc>
          <w:tcPr>
            <w:tcW w:w="1500" w:type="pct"/>
            <w:vMerge w:val="restart"/>
            <w:tcBorders>
              <w:top w:val="single" w:sz="4" w:space="0" w:color="auto"/>
              <w:left w:val="single" w:sz="4" w:space="0" w:color="auto"/>
              <w:right w:val="single" w:sz="4" w:space="0" w:color="auto"/>
            </w:tcBorders>
            <w:shd w:val="clear" w:color="auto" w:fill="auto"/>
          </w:tcPr>
          <w:p w14:paraId="13D4D775"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Gastrointestinal disorders</w:t>
            </w:r>
          </w:p>
        </w:tc>
        <w:tc>
          <w:tcPr>
            <w:tcW w:w="1320" w:type="pct"/>
            <w:tcBorders>
              <w:top w:val="single" w:sz="4" w:space="0" w:color="auto"/>
              <w:left w:val="single" w:sz="4" w:space="0" w:color="auto"/>
              <w:right w:val="single" w:sz="4" w:space="0" w:color="auto"/>
            </w:tcBorders>
            <w:shd w:val="clear" w:color="auto" w:fill="auto"/>
          </w:tcPr>
          <w:p w14:paraId="675A4DFC" w14:textId="1A4CB69C" w:rsidR="00945D43" w:rsidRPr="00945D43" w:rsidRDefault="00945D43" w:rsidP="00EF3180">
            <w:pPr>
              <w:pStyle w:val="BodyText1"/>
              <w:spacing w:before="60" w:after="60"/>
              <w:jc w:val="left"/>
              <w:rPr>
                <w:sz w:val="22"/>
                <w:szCs w:val="22"/>
                <w:lang w:val="en-GB"/>
              </w:rPr>
            </w:pPr>
            <w:r w:rsidRPr="00945D43">
              <w:rPr>
                <w:sz w:val="22"/>
                <w:szCs w:val="22"/>
                <w:lang w:val="en-GB"/>
              </w:rPr>
              <w:t>Abdominal pain</w:t>
            </w:r>
            <w:r w:rsidRPr="00945D43">
              <w:rPr>
                <w:sz w:val="22"/>
                <w:szCs w:val="22"/>
                <w:vertAlign w:val="superscript"/>
                <w:lang w:val="en-GB"/>
              </w:rPr>
              <w:t>2,</w:t>
            </w:r>
            <w:r w:rsidR="003A3487">
              <w:rPr>
                <w:sz w:val="22"/>
                <w:szCs w:val="22"/>
                <w:vertAlign w:val="superscript"/>
                <w:lang w:val="en-GB"/>
              </w:rPr>
              <w:t>5</w:t>
            </w:r>
          </w:p>
          <w:p w14:paraId="0E6EBC61"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right w:val="single" w:sz="4" w:space="0" w:color="auto"/>
            </w:tcBorders>
          </w:tcPr>
          <w:p w14:paraId="493D8411"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58006E2B"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(19%)</w:t>
            </w:r>
          </w:p>
        </w:tc>
        <w:tc>
          <w:tcPr>
            <w:tcW w:w="1040" w:type="pct"/>
            <w:tcBorders>
              <w:top w:val="single" w:sz="4" w:space="0" w:color="auto"/>
              <w:left w:val="single" w:sz="4" w:space="0" w:color="auto"/>
              <w:right w:val="single" w:sz="4" w:space="0" w:color="auto"/>
            </w:tcBorders>
          </w:tcPr>
          <w:p w14:paraId="238F5A57"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4D89729A" w14:textId="0C063214"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084BEE">
              <w:rPr>
                <w:sz w:val="22"/>
                <w:szCs w:val="22"/>
                <w:lang w:val="en-GB"/>
              </w:rPr>
              <w:t>30</w:t>
            </w:r>
            <w:r w:rsidRPr="00945D43">
              <w:rPr>
                <w:sz w:val="22"/>
                <w:szCs w:val="22"/>
                <w:lang w:val="en-GB"/>
              </w:rPr>
              <w:t>%)</w:t>
            </w:r>
          </w:p>
        </w:tc>
      </w:tr>
      <w:tr w:rsidR="00945D43" w:rsidRPr="00945D43" w:rsidDel="00274847" w14:paraId="7C327424" w14:textId="77777777" w:rsidTr="003A3487">
        <w:trPr>
          <w:trHeight w:val="287"/>
        </w:trPr>
        <w:tc>
          <w:tcPr>
            <w:tcW w:w="1500" w:type="pct"/>
            <w:vMerge/>
            <w:tcBorders>
              <w:left w:val="single" w:sz="4" w:space="0" w:color="auto"/>
              <w:right w:val="single" w:sz="4" w:space="0" w:color="auto"/>
            </w:tcBorders>
            <w:shd w:val="clear" w:color="auto" w:fill="auto"/>
          </w:tcPr>
          <w:p w14:paraId="3657B639"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5DF6888A"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Nausea</w:t>
            </w:r>
          </w:p>
          <w:p w14:paraId="55E0FC2F"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right w:val="single" w:sz="4" w:space="0" w:color="auto"/>
            </w:tcBorders>
          </w:tcPr>
          <w:p w14:paraId="3337800D"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7338388E"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(25%)</w:t>
            </w:r>
          </w:p>
        </w:tc>
        <w:tc>
          <w:tcPr>
            <w:tcW w:w="1040" w:type="pct"/>
            <w:tcBorders>
              <w:top w:val="single" w:sz="4" w:space="0" w:color="auto"/>
              <w:left w:val="single" w:sz="4" w:space="0" w:color="auto"/>
              <w:right w:val="single" w:sz="4" w:space="0" w:color="auto"/>
            </w:tcBorders>
          </w:tcPr>
          <w:p w14:paraId="4EDE8484"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498E8934" w14:textId="13CB90D2"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084BEE">
              <w:rPr>
                <w:sz w:val="22"/>
                <w:szCs w:val="22"/>
                <w:lang w:val="en-GB"/>
              </w:rPr>
              <w:t>28</w:t>
            </w:r>
            <w:r w:rsidRPr="00945D43">
              <w:rPr>
                <w:sz w:val="22"/>
                <w:szCs w:val="22"/>
                <w:lang w:val="en-GB"/>
              </w:rPr>
              <w:t>%)</w:t>
            </w:r>
          </w:p>
        </w:tc>
      </w:tr>
      <w:tr w:rsidR="00945D43" w:rsidRPr="00945D43" w:rsidDel="00274847" w14:paraId="0C0A64DE" w14:textId="77777777" w:rsidTr="003A3487">
        <w:trPr>
          <w:trHeight w:val="287"/>
        </w:trPr>
        <w:tc>
          <w:tcPr>
            <w:tcW w:w="1500" w:type="pct"/>
            <w:vMerge/>
            <w:tcBorders>
              <w:left w:val="single" w:sz="4" w:space="0" w:color="auto"/>
              <w:bottom w:val="single" w:sz="4" w:space="0" w:color="auto"/>
              <w:right w:val="single" w:sz="4" w:space="0" w:color="auto"/>
            </w:tcBorders>
            <w:shd w:val="clear" w:color="auto" w:fill="auto"/>
          </w:tcPr>
          <w:p w14:paraId="369E8AA1"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7B391E92"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Vomiting</w:t>
            </w:r>
          </w:p>
          <w:p w14:paraId="5956D04E"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right w:val="single" w:sz="4" w:space="0" w:color="auto"/>
            </w:tcBorders>
          </w:tcPr>
          <w:p w14:paraId="7282378B"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0899CF54"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(19%)</w:t>
            </w:r>
          </w:p>
        </w:tc>
        <w:tc>
          <w:tcPr>
            <w:tcW w:w="1040" w:type="pct"/>
            <w:tcBorders>
              <w:top w:val="single" w:sz="4" w:space="0" w:color="auto"/>
              <w:left w:val="single" w:sz="4" w:space="0" w:color="auto"/>
              <w:right w:val="single" w:sz="4" w:space="0" w:color="auto"/>
            </w:tcBorders>
          </w:tcPr>
          <w:p w14:paraId="0FB37880"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732275B4" w14:textId="50AFB25A"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084BEE">
              <w:rPr>
                <w:sz w:val="22"/>
                <w:szCs w:val="22"/>
                <w:lang w:val="en-GB"/>
              </w:rPr>
              <w:t>27</w:t>
            </w:r>
            <w:r w:rsidRPr="00945D43">
              <w:rPr>
                <w:sz w:val="22"/>
                <w:szCs w:val="22"/>
                <w:lang w:val="en-GB"/>
              </w:rPr>
              <w:t>%)</w:t>
            </w:r>
          </w:p>
        </w:tc>
      </w:tr>
      <w:tr w:rsidR="00945D43" w:rsidRPr="00945D43" w:rsidDel="00CA4B95" w14:paraId="4FEDB4D3" w14:textId="77777777" w:rsidTr="003A3487">
        <w:trPr>
          <w:trHeight w:val="470"/>
        </w:trPr>
        <w:tc>
          <w:tcPr>
            <w:tcW w:w="1500" w:type="pct"/>
            <w:vMerge w:val="restart"/>
            <w:tcBorders>
              <w:top w:val="single" w:sz="4" w:space="0" w:color="auto"/>
              <w:left w:val="single" w:sz="4" w:space="0" w:color="auto"/>
              <w:bottom w:val="single" w:sz="4" w:space="0" w:color="auto"/>
              <w:right w:val="single" w:sz="4" w:space="0" w:color="auto"/>
            </w:tcBorders>
            <w:shd w:val="clear" w:color="auto" w:fill="auto"/>
          </w:tcPr>
          <w:p w14:paraId="05CC5079"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Skin and subcutaneous tissue disorders</w:t>
            </w:r>
          </w:p>
          <w:p w14:paraId="0A37F1CD"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1F43EFA9"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Alopecia</w:t>
            </w:r>
          </w:p>
          <w:p w14:paraId="0C4DE3FD"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right w:val="single" w:sz="4" w:space="0" w:color="auto"/>
            </w:tcBorders>
          </w:tcPr>
          <w:p w14:paraId="2330203A"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 xml:space="preserve">Common </w:t>
            </w:r>
          </w:p>
          <w:p w14:paraId="08511735"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(6.7%)</w:t>
            </w:r>
          </w:p>
        </w:tc>
        <w:tc>
          <w:tcPr>
            <w:tcW w:w="1040" w:type="pct"/>
            <w:tcBorders>
              <w:top w:val="single" w:sz="4" w:space="0" w:color="auto"/>
              <w:left w:val="single" w:sz="4" w:space="0" w:color="auto"/>
              <w:right w:val="single" w:sz="4" w:space="0" w:color="auto"/>
            </w:tcBorders>
          </w:tcPr>
          <w:p w14:paraId="29F40055"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10BD7993" w14:textId="3BD60DCD"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084BEE">
              <w:rPr>
                <w:sz w:val="22"/>
                <w:szCs w:val="22"/>
                <w:lang w:val="en-GB"/>
              </w:rPr>
              <w:t>21</w:t>
            </w:r>
            <w:r w:rsidRPr="00945D43">
              <w:rPr>
                <w:sz w:val="22"/>
                <w:szCs w:val="22"/>
                <w:lang w:val="en-GB"/>
              </w:rPr>
              <w:t>%)</w:t>
            </w:r>
          </w:p>
        </w:tc>
      </w:tr>
      <w:tr w:rsidR="00945D43" w:rsidRPr="00945D43" w:rsidDel="00CA4B95" w14:paraId="3A175AE6" w14:textId="77777777" w:rsidTr="003A3487">
        <w:trPr>
          <w:trHeight w:val="98"/>
        </w:trPr>
        <w:tc>
          <w:tcPr>
            <w:tcW w:w="1500" w:type="pct"/>
            <w:vMerge/>
            <w:tcBorders>
              <w:top w:val="single" w:sz="4" w:space="0" w:color="auto"/>
              <w:left w:val="single" w:sz="4" w:space="0" w:color="auto"/>
              <w:bottom w:val="single" w:sz="4" w:space="0" w:color="auto"/>
              <w:right w:val="single" w:sz="4" w:space="0" w:color="auto"/>
            </w:tcBorders>
            <w:shd w:val="clear" w:color="auto" w:fill="auto"/>
          </w:tcPr>
          <w:p w14:paraId="6D3ED3DF"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1E530E52"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Urticaria</w:t>
            </w:r>
          </w:p>
          <w:p w14:paraId="73592073"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right w:val="single" w:sz="4" w:space="0" w:color="auto"/>
            </w:tcBorders>
          </w:tcPr>
          <w:p w14:paraId="3D3ED29D"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2E22AE2C"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(25%)</w:t>
            </w:r>
          </w:p>
        </w:tc>
        <w:tc>
          <w:tcPr>
            <w:tcW w:w="1040" w:type="pct"/>
            <w:tcBorders>
              <w:top w:val="single" w:sz="4" w:space="0" w:color="auto"/>
              <w:left w:val="single" w:sz="4" w:space="0" w:color="auto"/>
              <w:right w:val="single" w:sz="4" w:space="0" w:color="auto"/>
            </w:tcBorders>
          </w:tcPr>
          <w:p w14:paraId="03809F5C"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786E49EF" w14:textId="29197887"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084BEE">
              <w:rPr>
                <w:sz w:val="22"/>
                <w:szCs w:val="22"/>
                <w:lang w:val="en-GB"/>
              </w:rPr>
              <w:t>24</w:t>
            </w:r>
            <w:r w:rsidRPr="00945D43">
              <w:rPr>
                <w:sz w:val="22"/>
                <w:szCs w:val="22"/>
                <w:lang w:val="en-GB"/>
              </w:rPr>
              <w:t>%)</w:t>
            </w:r>
          </w:p>
        </w:tc>
      </w:tr>
      <w:tr w:rsidR="00945D43" w:rsidRPr="00945D43" w:rsidDel="00CA4B95" w14:paraId="1EF3F70F" w14:textId="77777777" w:rsidTr="003A3487">
        <w:trPr>
          <w:trHeight w:val="98"/>
        </w:trPr>
        <w:tc>
          <w:tcPr>
            <w:tcW w:w="1500" w:type="pct"/>
            <w:vMerge/>
            <w:tcBorders>
              <w:top w:val="single" w:sz="4" w:space="0" w:color="auto"/>
              <w:left w:val="single" w:sz="4" w:space="0" w:color="auto"/>
              <w:bottom w:val="single" w:sz="4" w:space="0" w:color="auto"/>
              <w:right w:val="single" w:sz="4" w:space="0" w:color="auto"/>
            </w:tcBorders>
            <w:shd w:val="clear" w:color="auto" w:fill="auto"/>
          </w:tcPr>
          <w:p w14:paraId="2D06F3CF"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7EC42642"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Rash</w:t>
            </w:r>
          </w:p>
          <w:p w14:paraId="45FCBEEB"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right w:val="single" w:sz="4" w:space="0" w:color="auto"/>
            </w:tcBorders>
          </w:tcPr>
          <w:p w14:paraId="0C350A7A"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69DF9A46"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(33%)</w:t>
            </w:r>
          </w:p>
        </w:tc>
        <w:tc>
          <w:tcPr>
            <w:tcW w:w="1040" w:type="pct"/>
            <w:tcBorders>
              <w:top w:val="single" w:sz="4" w:space="0" w:color="auto"/>
              <w:left w:val="single" w:sz="4" w:space="0" w:color="auto"/>
              <w:right w:val="single" w:sz="4" w:space="0" w:color="auto"/>
            </w:tcBorders>
          </w:tcPr>
          <w:p w14:paraId="422E52DC"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062D9D30" w14:textId="7624956A"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084BEE">
              <w:rPr>
                <w:sz w:val="22"/>
                <w:szCs w:val="22"/>
                <w:lang w:val="en-GB"/>
              </w:rPr>
              <w:t>24</w:t>
            </w:r>
            <w:r w:rsidRPr="00945D43">
              <w:rPr>
                <w:sz w:val="22"/>
                <w:szCs w:val="22"/>
                <w:lang w:val="en-GB"/>
              </w:rPr>
              <w:t>%)</w:t>
            </w:r>
          </w:p>
        </w:tc>
      </w:tr>
      <w:tr w:rsidR="00945D43" w:rsidRPr="00945D43" w:rsidDel="00CA4B95" w14:paraId="5ED057EC" w14:textId="77777777" w:rsidTr="003A3487">
        <w:trPr>
          <w:trHeight w:val="98"/>
        </w:trPr>
        <w:tc>
          <w:tcPr>
            <w:tcW w:w="1500" w:type="pct"/>
            <w:vMerge/>
            <w:tcBorders>
              <w:top w:val="single" w:sz="4" w:space="0" w:color="auto"/>
              <w:left w:val="single" w:sz="4" w:space="0" w:color="auto"/>
              <w:bottom w:val="single" w:sz="4" w:space="0" w:color="auto"/>
              <w:right w:val="single" w:sz="4" w:space="0" w:color="auto"/>
            </w:tcBorders>
            <w:shd w:val="clear" w:color="auto" w:fill="auto"/>
          </w:tcPr>
          <w:p w14:paraId="1059ABE8"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5B249243"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Pruritus</w:t>
            </w:r>
          </w:p>
          <w:p w14:paraId="250BE9E9"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right w:val="single" w:sz="4" w:space="0" w:color="auto"/>
            </w:tcBorders>
          </w:tcPr>
          <w:p w14:paraId="551953C1"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47AEF139"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(25%)</w:t>
            </w:r>
          </w:p>
        </w:tc>
        <w:tc>
          <w:tcPr>
            <w:tcW w:w="1040" w:type="pct"/>
            <w:tcBorders>
              <w:top w:val="single" w:sz="4" w:space="0" w:color="auto"/>
              <w:left w:val="single" w:sz="4" w:space="0" w:color="auto"/>
              <w:right w:val="single" w:sz="4" w:space="0" w:color="auto"/>
            </w:tcBorders>
          </w:tcPr>
          <w:p w14:paraId="1D68F6F1"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5ED65038" w14:textId="7484F386"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084BEE">
              <w:rPr>
                <w:sz w:val="22"/>
                <w:szCs w:val="22"/>
                <w:lang w:val="en-GB"/>
              </w:rPr>
              <w:t>23</w:t>
            </w:r>
            <w:r w:rsidRPr="00945D43">
              <w:rPr>
                <w:sz w:val="22"/>
                <w:szCs w:val="22"/>
                <w:lang w:val="en-GB"/>
              </w:rPr>
              <w:t>%)</w:t>
            </w:r>
          </w:p>
        </w:tc>
      </w:tr>
      <w:tr w:rsidR="00945D43" w:rsidRPr="00945D43" w:rsidDel="00CA4B95" w14:paraId="4633F67F" w14:textId="77777777" w:rsidTr="003A3487">
        <w:trPr>
          <w:trHeight w:val="98"/>
        </w:trPr>
        <w:tc>
          <w:tcPr>
            <w:tcW w:w="1500" w:type="pct"/>
            <w:vMerge/>
            <w:tcBorders>
              <w:top w:val="single" w:sz="4" w:space="0" w:color="auto"/>
              <w:left w:val="single" w:sz="4" w:space="0" w:color="auto"/>
              <w:bottom w:val="single" w:sz="4" w:space="0" w:color="auto"/>
              <w:right w:val="single" w:sz="4" w:space="0" w:color="auto"/>
            </w:tcBorders>
            <w:shd w:val="clear" w:color="auto" w:fill="auto"/>
          </w:tcPr>
          <w:p w14:paraId="79C9E1EE"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50ED6890" w14:textId="77777777" w:rsidR="00945D43" w:rsidRPr="00945D43" w:rsidRDefault="00945D43" w:rsidP="00EF3180">
            <w:pPr>
              <w:pStyle w:val="BodyText1"/>
              <w:spacing w:before="60" w:after="60"/>
              <w:jc w:val="left"/>
              <w:rPr>
                <w:sz w:val="22"/>
                <w:szCs w:val="22"/>
                <w:vertAlign w:val="superscript"/>
                <w:lang w:val="en-GB"/>
              </w:rPr>
            </w:pPr>
            <w:r w:rsidRPr="00945D43">
              <w:rPr>
                <w:sz w:val="22"/>
                <w:szCs w:val="22"/>
                <w:lang w:val="en-GB"/>
              </w:rPr>
              <w:t>Erythema</w:t>
            </w:r>
          </w:p>
          <w:p w14:paraId="3ED134F4"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right w:val="single" w:sz="4" w:space="0" w:color="auto"/>
            </w:tcBorders>
          </w:tcPr>
          <w:p w14:paraId="7AE949E8"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62C53E3E"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(11%)</w:t>
            </w:r>
          </w:p>
        </w:tc>
        <w:tc>
          <w:tcPr>
            <w:tcW w:w="1040" w:type="pct"/>
            <w:tcBorders>
              <w:top w:val="single" w:sz="4" w:space="0" w:color="auto"/>
              <w:left w:val="single" w:sz="4" w:space="0" w:color="auto"/>
              <w:right w:val="single" w:sz="4" w:space="0" w:color="auto"/>
            </w:tcBorders>
          </w:tcPr>
          <w:p w14:paraId="43F1BF31"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Common</w:t>
            </w:r>
          </w:p>
          <w:p w14:paraId="2C409F82" w14:textId="4D655C56"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383AE5">
              <w:rPr>
                <w:sz w:val="22"/>
                <w:szCs w:val="22"/>
                <w:lang w:val="en-GB"/>
              </w:rPr>
              <w:t>6.7</w:t>
            </w:r>
            <w:r w:rsidRPr="00945D43">
              <w:rPr>
                <w:sz w:val="22"/>
                <w:szCs w:val="22"/>
                <w:lang w:val="en-GB"/>
              </w:rPr>
              <w:t>%)</w:t>
            </w:r>
          </w:p>
        </w:tc>
      </w:tr>
      <w:tr w:rsidR="00945D43" w:rsidRPr="00945D43" w:rsidDel="00CA4B95" w14:paraId="2FFFED79" w14:textId="77777777" w:rsidTr="003A3487">
        <w:trPr>
          <w:trHeight w:val="98"/>
        </w:trPr>
        <w:tc>
          <w:tcPr>
            <w:tcW w:w="1500" w:type="pct"/>
            <w:vMerge/>
            <w:tcBorders>
              <w:top w:val="single" w:sz="4" w:space="0" w:color="auto"/>
              <w:left w:val="single" w:sz="4" w:space="0" w:color="auto"/>
              <w:bottom w:val="single" w:sz="4" w:space="0" w:color="auto"/>
              <w:right w:val="single" w:sz="4" w:space="0" w:color="auto"/>
            </w:tcBorders>
            <w:shd w:val="clear" w:color="auto" w:fill="auto"/>
          </w:tcPr>
          <w:p w14:paraId="52844FC9"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38F5B035"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Skin exfoliation</w:t>
            </w:r>
          </w:p>
          <w:p w14:paraId="4475A118"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right w:val="single" w:sz="4" w:space="0" w:color="auto"/>
            </w:tcBorders>
          </w:tcPr>
          <w:p w14:paraId="6FB1E644"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Uncommon</w:t>
            </w:r>
          </w:p>
          <w:p w14:paraId="16DBA2A9"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(0.4%)</w:t>
            </w:r>
          </w:p>
        </w:tc>
        <w:tc>
          <w:tcPr>
            <w:tcW w:w="1040" w:type="pct"/>
            <w:tcBorders>
              <w:top w:val="single" w:sz="4" w:space="0" w:color="auto"/>
              <w:left w:val="single" w:sz="4" w:space="0" w:color="auto"/>
              <w:right w:val="single" w:sz="4" w:space="0" w:color="auto"/>
            </w:tcBorders>
          </w:tcPr>
          <w:p w14:paraId="02FBECDD"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Common</w:t>
            </w:r>
          </w:p>
          <w:p w14:paraId="15BA87FF"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(1.7%)</w:t>
            </w:r>
          </w:p>
        </w:tc>
      </w:tr>
      <w:tr w:rsidR="00945D43" w:rsidRPr="00945D43" w:rsidDel="00CA4B95" w14:paraId="123661EE" w14:textId="77777777" w:rsidTr="003A3487">
        <w:trPr>
          <w:trHeight w:val="470"/>
        </w:trPr>
        <w:tc>
          <w:tcPr>
            <w:tcW w:w="15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8460F68"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02C9B119" w14:textId="77777777" w:rsidR="00945D43" w:rsidRPr="00945D43" w:rsidRDefault="00945D43" w:rsidP="00EF3180">
            <w:pPr>
              <w:pStyle w:val="BodyText1"/>
              <w:spacing w:before="60" w:after="60"/>
              <w:jc w:val="left"/>
              <w:rPr>
                <w:sz w:val="22"/>
                <w:szCs w:val="22"/>
                <w:vertAlign w:val="superscript"/>
                <w:lang w:val="en-GB"/>
              </w:rPr>
            </w:pPr>
            <w:r w:rsidRPr="00945D43">
              <w:rPr>
                <w:sz w:val="22"/>
                <w:szCs w:val="22"/>
                <w:lang w:val="en-GB"/>
              </w:rPr>
              <w:t>Maculo</w:t>
            </w:r>
            <w:r w:rsidRPr="00945D43">
              <w:rPr>
                <w:sz w:val="22"/>
                <w:szCs w:val="22"/>
                <w:lang w:val="en-GB"/>
              </w:rPr>
              <w:noBreakHyphen/>
              <w:t>papular rash</w:t>
            </w:r>
          </w:p>
          <w:p w14:paraId="0E9BB4EC"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right w:val="single" w:sz="4" w:space="0" w:color="auto"/>
            </w:tcBorders>
          </w:tcPr>
          <w:p w14:paraId="067874FE"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Common</w:t>
            </w:r>
          </w:p>
          <w:p w14:paraId="562CE1AE"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(3.5%)</w:t>
            </w:r>
          </w:p>
        </w:tc>
        <w:tc>
          <w:tcPr>
            <w:tcW w:w="1040" w:type="pct"/>
            <w:tcBorders>
              <w:top w:val="single" w:sz="4" w:space="0" w:color="auto"/>
              <w:left w:val="single" w:sz="4" w:space="0" w:color="auto"/>
              <w:right w:val="single" w:sz="4" w:space="0" w:color="auto"/>
            </w:tcBorders>
          </w:tcPr>
          <w:p w14:paraId="12DAACE6"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Common</w:t>
            </w:r>
          </w:p>
          <w:p w14:paraId="6A27C17A" w14:textId="44941C1E"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383AE5">
              <w:rPr>
                <w:sz w:val="22"/>
                <w:szCs w:val="22"/>
                <w:lang w:val="en-GB"/>
              </w:rPr>
              <w:t>1.7</w:t>
            </w:r>
            <w:r w:rsidR="00C81C72">
              <w:rPr>
                <w:sz w:val="22"/>
                <w:szCs w:val="22"/>
                <w:lang w:val="en-GB"/>
              </w:rPr>
              <w:t>9</w:t>
            </w:r>
            <w:r w:rsidRPr="00945D43">
              <w:rPr>
                <w:sz w:val="22"/>
                <w:szCs w:val="22"/>
                <w:lang w:val="en-GB"/>
              </w:rPr>
              <w:t>%)</w:t>
            </w:r>
          </w:p>
        </w:tc>
      </w:tr>
      <w:tr w:rsidR="00945D43" w:rsidRPr="00945D43" w:rsidDel="00CA4B95" w14:paraId="3C149767" w14:textId="77777777" w:rsidTr="003A3487">
        <w:trPr>
          <w:trHeight w:val="470"/>
        </w:trPr>
        <w:tc>
          <w:tcPr>
            <w:tcW w:w="1500" w:type="pct"/>
            <w:vMerge w:val="restart"/>
            <w:tcBorders>
              <w:top w:val="single" w:sz="4" w:space="0" w:color="auto"/>
              <w:left w:val="single" w:sz="4" w:space="0" w:color="auto"/>
              <w:bottom w:val="single" w:sz="4" w:space="0" w:color="auto"/>
              <w:right w:val="single" w:sz="4" w:space="0" w:color="auto"/>
            </w:tcBorders>
            <w:shd w:val="clear" w:color="auto" w:fill="auto"/>
          </w:tcPr>
          <w:p w14:paraId="4B579D8F"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Musculoskeletal and connective tissue disorders</w:t>
            </w:r>
          </w:p>
        </w:tc>
        <w:tc>
          <w:tcPr>
            <w:tcW w:w="1320" w:type="pct"/>
            <w:tcBorders>
              <w:top w:val="single" w:sz="4" w:space="0" w:color="auto"/>
              <w:left w:val="single" w:sz="4" w:space="0" w:color="auto"/>
              <w:right w:val="single" w:sz="4" w:space="0" w:color="auto"/>
            </w:tcBorders>
            <w:shd w:val="clear" w:color="auto" w:fill="auto"/>
          </w:tcPr>
          <w:p w14:paraId="7B445654" w14:textId="77777777" w:rsidR="00945D43" w:rsidRPr="00945D43" w:rsidRDefault="00945D43" w:rsidP="00EF3180">
            <w:pPr>
              <w:pStyle w:val="BodyText1"/>
              <w:spacing w:before="60" w:after="60"/>
              <w:jc w:val="left"/>
              <w:rPr>
                <w:sz w:val="22"/>
                <w:szCs w:val="22"/>
                <w:vertAlign w:val="superscript"/>
                <w:lang w:val="en-GB"/>
              </w:rPr>
            </w:pPr>
            <w:r w:rsidRPr="00945D43">
              <w:rPr>
                <w:sz w:val="22"/>
                <w:szCs w:val="22"/>
                <w:lang w:val="en-GB"/>
              </w:rPr>
              <w:t>Arthralgia</w:t>
            </w:r>
            <w:r w:rsidRPr="00945D43">
              <w:rPr>
                <w:sz w:val="22"/>
                <w:szCs w:val="22"/>
                <w:vertAlign w:val="superscript"/>
                <w:lang w:val="en-GB"/>
              </w:rPr>
              <w:t>3</w:t>
            </w:r>
          </w:p>
          <w:p w14:paraId="07B0DD7D"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right w:val="single" w:sz="4" w:space="0" w:color="auto"/>
            </w:tcBorders>
          </w:tcPr>
          <w:p w14:paraId="272DB963" w14:textId="77777777" w:rsidR="00945D43" w:rsidRPr="00BB7E7B" w:rsidRDefault="00945D43" w:rsidP="00EF3180">
            <w:pPr>
              <w:pStyle w:val="BodyText1"/>
              <w:spacing w:before="60" w:after="60"/>
              <w:jc w:val="left"/>
              <w:rPr>
                <w:sz w:val="22"/>
                <w:szCs w:val="22"/>
                <w:lang w:val="en-GB"/>
              </w:rPr>
            </w:pPr>
            <w:r w:rsidRPr="00BB7E7B">
              <w:rPr>
                <w:sz w:val="22"/>
                <w:szCs w:val="22"/>
                <w:lang w:val="en-GB"/>
              </w:rPr>
              <w:t>Very common</w:t>
            </w:r>
          </w:p>
          <w:p w14:paraId="202DCE8D" w14:textId="010792AE" w:rsidR="00945D43" w:rsidRPr="00BB7E7B" w:rsidRDefault="00945D43" w:rsidP="00EF3180">
            <w:pPr>
              <w:pStyle w:val="BodyText1"/>
              <w:spacing w:before="60" w:after="60"/>
              <w:jc w:val="left"/>
              <w:rPr>
                <w:sz w:val="22"/>
                <w:szCs w:val="22"/>
                <w:lang w:val="en-GB"/>
              </w:rPr>
            </w:pPr>
            <w:r w:rsidRPr="00BB7E7B">
              <w:rPr>
                <w:sz w:val="22"/>
                <w:szCs w:val="22"/>
                <w:lang w:val="en-GB"/>
              </w:rPr>
              <w:t>(7</w:t>
            </w:r>
            <w:r w:rsidR="005D6559" w:rsidRPr="00BB7E7B">
              <w:rPr>
                <w:sz w:val="22"/>
                <w:szCs w:val="22"/>
                <w:lang w:val="en-GB"/>
              </w:rPr>
              <w:t>9</w:t>
            </w:r>
            <w:r w:rsidRPr="00BB7E7B">
              <w:rPr>
                <w:sz w:val="22"/>
                <w:szCs w:val="22"/>
                <w:lang w:val="en-GB"/>
              </w:rPr>
              <w:t>%)</w:t>
            </w:r>
          </w:p>
        </w:tc>
        <w:tc>
          <w:tcPr>
            <w:tcW w:w="1040" w:type="pct"/>
            <w:tcBorders>
              <w:top w:val="single" w:sz="4" w:space="0" w:color="auto"/>
              <w:left w:val="single" w:sz="4" w:space="0" w:color="auto"/>
              <w:right w:val="single" w:sz="4" w:space="0" w:color="auto"/>
            </w:tcBorders>
          </w:tcPr>
          <w:p w14:paraId="1859CAEC"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47CA6F17" w14:textId="0AE73DF0"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383AE5">
              <w:rPr>
                <w:sz w:val="22"/>
                <w:szCs w:val="22"/>
                <w:lang w:val="en-GB"/>
              </w:rPr>
              <w:t>67</w:t>
            </w:r>
            <w:r w:rsidRPr="00945D43">
              <w:rPr>
                <w:sz w:val="22"/>
                <w:szCs w:val="22"/>
                <w:lang w:val="en-GB"/>
              </w:rPr>
              <w:t>%)</w:t>
            </w:r>
          </w:p>
        </w:tc>
      </w:tr>
      <w:tr w:rsidR="00945D43" w:rsidRPr="00945D43" w:rsidDel="00CA4B95" w14:paraId="54A664B1" w14:textId="77777777" w:rsidTr="003A3487">
        <w:trPr>
          <w:trHeight w:val="470"/>
        </w:trPr>
        <w:tc>
          <w:tcPr>
            <w:tcW w:w="1500" w:type="pct"/>
            <w:vMerge/>
            <w:tcBorders>
              <w:top w:val="single" w:sz="4" w:space="0" w:color="auto"/>
              <w:left w:val="single" w:sz="4" w:space="0" w:color="auto"/>
              <w:bottom w:val="single" w:sz="4" w:space="0" w:color="auto"/>
              <w:right w:val="single" w:sz="4" w:space="0" w:color="auto"/>
            </w:tcBorders>
            <w:shd w:val="clear" w:color="auto" w:fill="auto"/>
          </w:tcPr>
          <w:p w14:paraId="7D012048"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2F407081" w14:textId="77777777" w:rsidR="00945D43" w:rsidRPr="00945D43" w:rsidRDefault="00945D43" w:rsidP="00EF3180">
            <w:pPr>
              <w:pStyle w:val="BodyText1"/>
              <w:spacing w:before="60" w:after="60"/>
              <w:jc w:val="left"/>
              <w:rPr>
                <w:sz w:val="22"/>
                <w:szCs w:val="22"/>
                <w:vertAlign w:val="superscript"/>
                <w:lang w:val="en-GB"/>
              </w:rPr>
            </w:pPr>
            <w:r w:rsidRPr="00945D43">
              <w:rPr>
                <w:sz w:val="22"/>
                <w:szCs w:val="22"/>
                <w:lang w:val="en-GB"/>
              </w:rPr>
              <w:t>Myalgia</w:t>
            </w:r>
          </w:p>
          <w:p w14:paraId="5628D290"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right w:val="single" w:sz="4" w:space="0" w:color="auto"/>
            </w:tcBorders>
          </w:tcPr>
          <w:p w14:paraId="7722C603" w14:textId="77777777" w:rsidR="00945D43" w:rsidRPr="00BB7E7B" w:rsidRDefault="00945D43" w:rsidP="00EF3180">
            <w:pPr>
              <w:pStyle w:val="BodyText1"/>
              <w:spacing w:before="60" w:after="60"/>
              <w:jc w:val="left"/>
              <w:rPr>
                <w:sz w:val="22"/>
                <w:szCs w:val="22"/>
                <w:lang w:val="en-GB"/>
              </w:rPr>
            </w:pPr>
            <w:r w:rsidRPr="00BB7E7B">
              <w:rPr>
                <w:sz w:val="22"/>
                <w:szCs w:val="22"/>
                <w:lang w:val="en-GB"/>
              </w:rPr>
              <w:t>Very common</w:t>
            </w:r>
          </w:p>
          <w:p w14:paraId="0C1349EB" w14:textId="77777777" w:rsidR="00945D43" w:rsidRPr="00BB7E7B" w:rsidRDefault="00945D43" w:rsidP="00EF3180">
            <w:pPr>
              <w:pStyle w:val="BodyText1"/>
              <w:spacing w:before="60" w:after="60"/>
              <w:jc w:val="left"/>
              <w:rPr>
                <w:sz w:val="22"/>
                <w:szCs w:val="22"/>
                <w:lang w:val="en-GB"/>
              </w:rPr>
            </w:pPr>
            <w:r w:rsidRPr="00BB7E7B">
              <w:rPr>
                <w:sz w:val="22"/>
                <w:szCs w:val="22"/>
                <w:lang w:val="en-GB"/>
              </w:rPr>
              <w:t>(11%)</w:t>
            </w:r>
          </w:p>
        </w:tc>
        <w:tc>
          <w:tcPr>
            <w:tcW w:w="1040" w:type="pct"/>
            <w:tcBorders>
              <w:top w:val="single" w:sz="4" w:space="0" w:color="auto"/>
              <w:left w:val="single" w:sz="4" w:space="0" w:color="auto"/>
              <w:right w:val="single" w:sz="4" w:space="0" w:color="auto"/>
            </w:tcBorders>
          </w:tcPr>
          <w:p w14:paraId="5B077457"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480721BF" w14:textId="7E956EC7"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383AE5">
              <w:rPr>
                <w:sz w:val="22"/>
                <w:szCs w:val="22"/>
                <w:lang w:val="en-GB"/>
              </w:rPr>
              <w:t>12</w:t>
            </w:r>
            <w:r w:rsidRPr="00945D43">
              <w:rPr>
                <w:sz w:val="22"/>
                <w:szCs w:val="22"/>
                <w:lang w:val="en-GB"/>
              </w:rPr>
              <w:t>%)</w:t>
            </w:r>
          </w:p>
        </w:tc>
      </w:tr>
      <w:tr w:rsidR="00945D43" w:rsidRPr="00945D43" w:rsidDel="00CA4B95" w14:paraId="74BFB628" w14:textId="77777777" w:rsidTr="003A3487">
        <w:trPr>
          <w:trHeight w:val="470"/>
        </w:trPr>
        <w:tc>
          <w:tcPr>
            <w:tcW w:w="1500" w:type="pct"/>
            <w:vMerge/>
            <w:tcBorders>
              <w:top w:val="single" w:sz="4" w:space="0" w:color="auto"/>
              <w:left w:val="single" w:sz="4" w:space="0" w:color="auto"/>
              <w:bottom w:val="single" w:sz="4" w:space="0" w:color="auto"/>
              <w:right w:val="single" w:sz="4" w:space="0" w:color="auto"/>
            </w:tcBorders>
            <w:shd w:val="clear" w:color="auto" w:fill="auto"/>
          </w:tcPr>
          <w:p w14:paraId="0E71BF02"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3CB96800"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Joint swelling</w:t>
            </w:r>
          </w:p>
        </w:tc>
        <w:tc>
          <w:tcPr>
            <w:tcW w:w="1141" w:type="pct"/>
            <w:tcBorders>
              <w:top w:val="single" w:sz="4" w:space="0" w:color="auto"/>
              <w:left w:val="single" w:sz="4" w:space="0" w:color="auto"/>
              <w:right w:val="single" w:sz="4" w:space="0" w:color="auto"/>
            </w:tcBorders>
          </w:tcPr>
          <w:p w14:paraId="2FD78B49" w14:textId="77777777" w:rsidR="00945D43" w:rsidRPr="00BB7E7B" w:rsidRDefault="00945D43" w:rsidP="00EF3180">
            <w:pPr>
              <w:pStyle w:val="BodyText1"/>
              <w:spacing w:before="60" w:after="60"/>
              <w:jc w:val="left"/>
              <w:rPr>
                <w:sz w:val="22"/>
                <w:szCs w:val="22"/>
                <w:lang w:val="en-GB"/>
              </w:rPr>
            </w:pPr>
            <w:r w:rsidRPr="00BB7E7B">
              <w:rPr>
                <w:sz w:val="22"/>
                <w:szCs w:val="22"/>
                <w:lang w:val="en-GB"/>
              </w:rPr>
              <w:t>Common</w:t>
            </w:r>
          </w:p>
          <w:p w14:paraId="7B074DB3" w14:textId="77777777" w:rsidR="00945D43" w:rsidRPr="00BB7E7B" w:rsidRDefault="00945D43" w:rsidP="00EF3180">
            <w:pPr>
              <w:pStyle w:val="BodyText1"/>
              <w:spacing w:before="60" w:after="60"/>
              <w:jc w:val="left"/>
              <w:rPr>
                <w:sz w:val="22"/>
                <w:szCs w:val="22"/>
                <w:lang w:val="en-GB"/>
              </w:rPr>
            </w:pPr>
            <w:r w:rsidRPr="00BB7E7B">
              <w:rPr>
                <w:sz w:val="22"/>
                <w:szCs w:val="22"/>
                <w:lang w:val="en-GB"/>
              </w:rPr>
              <w:t>(6.0%)</w:t>
            </w:r>
          </w:p>
        </w:tc>
        <w:tc>
          <w:tcPr>
            <w:tcW w:w="1040" w:type="pct"/>
            <w:tcBorders>
              <w:top w:val="single" w:sz="4" w:space="0" w:color="auto"/>
              <w:left w:val="single" w:sz="4" w:space="0" w:color="auto"/>
              <w:right w:val="single" w:sz="4" w:space="0" w:color="auto"/>
            </w:tcBorders>
          </w:tcPr>
          <w:p w14:paraId="623CD897"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Common</w:t>
            </w:r>
          </w:p>
          <w:p w14:paraId="534E0FC4" w14:textId="1AF0B2A5"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383AE5">
              <w:rPr>
                <w:sz w:val="22"/>
                <w:szCs w:val="22"/>
                <w:lang w:val="en-GB"/>
              </w:rPr>
              <w:t>3.9</w:t>
            </w:r>
            <w:r w:rsidRPr="00945D43">
              <w:rPr>
                <w:sz w:val="22"/>
                <w:szCs w:val="22"/>
                <w:lang w:val="en-GB"/>
              </w:rPr>
              <w:t>%)</w:t>
            </w:r>
          </w:p>
        </w:tc>
      </w:tr>
      <w:tr w:rsidR="00945D43" w:rsidRPr="00945D43" w:rsidDel="00CA4B95" w14:paraId="408BFA34" w14:textId="77777777" w:rsidTr="003A3487">
        <w:trPr>
          <w:trHeight w:val="152"/>
        </w:trPr>
        <w:tc>
          <w:tcPr>
            <w:tcW w:w="1500" w:type="pct"/>
            <w:vMerge/>
            <w:tcBorders>
              <w:top w:val="single" w:sz="4" w:space="0" w:color="auto"/>
              <w:left w:val="single" w:sz="4" w:space="0" w:color="auto"/>
              <w:bottom w:val="single" w:sz="4" w:space="0" w:color="auto"/>
              <w:right w:val="single" w:sz="4" w:space="0" w:color="auto"/>
            </w:tcBorders>
            <w:shd w:val="clear" w:color="auto" w:fill="auto"/>
          </w:tcPr>
          <w:p w14:paraId="79BC0235"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3CAD97D3"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Musculoskeletal stiffness</w:t>
            </w:r>
          </w:p>
        </w:tc>
        <w:tc>
          <w:tcPr>
            <w:tcW w:w="1141" w:type="pct"/>
            <w:tcBorders>
              <w:top w:val="single" w:sz="4" w:space="0" w:color="auto"/>
              <w:left w:val="single" w:sz="4" w:space="0" w:color="auto"/>
              <w:right w:val="single" w:sz="4" w:space="0" w:color="auto"/>
            </w:tcBorders>
          </w:tcPr>
          <w:p w14:paraId="6AA65B22" w14:textId="77777777" w:rsidR="00945D43" w:rsidRPr="00BB7E7B" w:rsidRDefault="00945D43" w:rsidP="00EF3180">
            <w:pPr>
              <w:pStyle w:val="BodyText1"/>
              <w:spacing w:before="60" w:after="60"/>
              <w:jc w:val="left"/>
              <w:rPr>
                <w:sz w:val="22"/>
                <w:szCs w:val="22"/>
                <w:lang w:val="en-GB"/>
              </w:rPr>
            </w:pPr>
            <w:r w:rsidRPr="00BB7E7B">
              <w:rPr>
                <w:sz w:val="22"/>
                <w:szCs w:val="22"/>
                <w:lang w:val="en-GB"/>
              </w:rPr>
              <w:t>Common</w:t>
            </w:r>
          </w:p>
          <w:p w14:paraId="0B030D42" w14:textId="77777777" w:rsidR="00945D43" w:rsidRPr="00BB7E7B" w:rsidRDefault="00945D43" w:rsidP="00EF3180">
            <w:pPr>
              <w:pStyle w:val="BodyText1"/>
              <w:spacing w:before="60" w:after="60"/>
              <w:jc w:val="left"/>
              <w:rPr>
                <w:sz w:val="22"/>
                <w:szCs w:val="22"/>
                <w:lang w:val="en-GB"/>
              </w:rPr>
            </w:pPr>
            <w:r w:rsidRPr="00BB7E7B">
              <w:rPr>
                <w:sz w:val="22"/>
                <w:szCs w:val="22"/>
                <w:lang w:val="en-GB"/>
              </w:rPr>
              <w:t>(4.2%)</w:t>
            </w:r>
          </w:p>
        </w:tc>
        <w:tc>
          <w:tcPr>
            <w:tcW w:w="1040" w:type="pct"/>
            <w:tcBorders>
              <w:top w:val="single" w:sz="4" w:space="0" w:color="auto"/>
              <w:left w:val="single" w:sz="4" w:space="0" w:color="auto"/>
              <w:right w:val="single" w:sz="4" w:space="0" w:color="auto"/>
            </w:tcBorders>
          </w:tcPr>
          <w:p w14:paraId="0F2051A8"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Common</w:t>
            </w:r>
          </w:p>
          <w:p w14:paraId="65E941BE" w14:textId="2F7CC7B5"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383AE5">
              <w:rPr>
                <w:sz w:val="22"/>
                <w:szCs w:val="22"/>
                <w:lang w:val="en-GB"/>
              </w:rPr>
              <w:t>5.6</w:t>
            </w:r>
            <w:r w:rsidRPr="00945D43">
              <w:rPr>
                <w:sz w:val="22"/>
                <w:szCs w:val="22"/>
                <w:lang w:val="en-GB"/>
              </w:rPr>
              <w:t>%)</w:t>
            </w:r>
          </w:p>
        </w:tc>
      </w:tr>
      <w:tr w:rsidR="00945D43" w:rsidRPr="00945D43" w:rsidDel="00CA4B95" w14:paraId="6157F683" w14:textId="77777777" w:rsidTr="003A3487">
        <w:trPr>
          <w:trHeight w:val="29"/>
        </w:trPr>
        <w:tc>
          <w:tcPr>
            <w:tcW w:w="15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0A711C"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0CA21F4F"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Joint stiffness</w:t>
            </w:r>
          </w:p>
          <w:p w14:paraId="4297CEE6"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right w:val="single" w:sz="4" w:space="0" w:color="auto"/>
            </w:tcBorders>
          </w:tcPr>
          <w:p w14:paraId="54E9260B" w14:textId="77777777" w:rsidR="00945D43" w:rsidRPr="00BB7E7B" w:rsidRDefault="00945D43" w:rsidP="00EF3180">
            <w:pPr>
              <w:pStyle w:val="BodyText1"/>
              <w:spacing w:before="60" w:after="60"/>
              <w:jc w:val="left"/>
              <w:rPr>
                <w:sz w:val="22"/>
                <w:szCs w:val="22"/>
                <w:lang w:val="en-GB"/>
              </w:rPr>
            </w:pPr>
            <w:r w:rsidRPr="00BB7E7B">
              <w:rPr>
                <w:sz w:val="22"/>
                <w:szCs w:val="22"/>
                <w:lang w:val="en-GB"/>
              </w:rPr>
              <w:t>Common</w:t>
            </w:r>
          </w:p>
          <w:p w14:paraId="0F6561B2" w14:textId="77777777" w:rsidR="00945D43" w:rsidRPr="00BB7E7B" w:rsidRDefault="00945D43" w:rsidP="00EF3180">
            <w:pPr>
              <w:pStyle w:val="BodyText1"/>
              <w:spacing w:before="60" w:after="60"/>
              <w:jc w:val="left"/>
              <w:rPr>
                <w:sz w:val="22"/>
                <w:szCs w:val="22"/>
                <w:lang w:val="en-GB"/>
              </w:rPr>
            </w:pPr>
            <w:r w:rsidRPr="00BB7E7B">
              <w:rPr>
                <w:sz w:val="22"/>
                <w:szCs w:val="22"/>
                <w:lang w:val="en-GB"/>
              </w:rPr>
              <w:t>(6.3%)</w:t>
            </w:r>
          </w:p>
        </w:tc>
        <w:tc>
          <w:tcPr>
            <w:tcW w:w="1040" w:type="pct"/>
            <w:tcBorders>
              <w:top w:val="single" w:sz="4" w:space="0" w:color="auto"/>
              <w:left w:val="single" w:sz="4" w:space="0" w:color="auto"/>
              <w:right w:val="single" w:sz="4" w:space="0" w:color="auto"/>
            </w:tcBorders>
          </w:tcPr>
          <w:p w14:paraId="3F619A25"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Common</w:t>
            </w:r>
          </w:p>
          <w:p w14:paraId="1E6344ED" w14:textId="4599CE63"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383AE5">
              <w:rPr>
                <w:sz w:val="22"/>
                <w:szCs w:val="22"/>
                <w:lang w:val="en-GB"/>
              </w:rPr>
              <w:t>2.2</w:t>
            </w:r>
            <w:r w:rsidRPr="00945D43">
              <w:rPr>
                <w:sz w:val="22"/>
                <w:szCs w:val="22"/>
                <w:lang w:val="en-GB"/>
              </w:rPr>
              <w:t>%)</w:t>
            </w:r>
          </w:p>
        </w:tc>
      </w:tr>
      <w:tr w:rsidR="00945D43" w:rsidRPr="00945D43" w:rsidDel="00CA4B95" w14:paraId="6D30025B" w14:textId="77777777" w:rsidTr="003A3487">
        <w:trPr>
          <w:trHeight w:val="46"/>
        </w:trPr>
        <w:tc>
          <w:tcPr>
            <w:tcW w:w="1500" w:type="pct"/>
            <w:tcBorders>
              <w:top w:val="single" w:sz="4" w:space="0" w:color="auto"/>
              <w:left w:val="single" w:sz="4" w:space="0" w:color="auto"/>
              <w:bottom w:val="single" w:sz="4" w:space="0" w:color="auto"/>
              <w:right w:val="single" w:sz="4" w:space="0" w:color="auto"/>
            </w:tcBorders>
            <w:shd w:val="clear" w:color="auto" w:fill="auto"/>
          </w:tcPr>
          <w:p w14:paraId="0698E532"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General disorders and administration site conditions</w:t>
            </w:r>
          </w:p>
        </w:tc>
        <w:tc>
          <w:tcPr>
            <w:tcW w:w="1320" w:type="pct"/>
            <w:tcBorders>
              <w:top w:val="single" w:sz="4" w:space="0" w:color="auto"/>
              <w:left w:val="single" w:sz="4" w:space="0" w:color="auto"/>
              <w:bottom w:val="single" w:sz="4" w:space="0" w:color="auto"/>
              <w:right w:val="single" w:sz="4" w:space="0" w:color="auto"/>
            </w:tcBorders>
            <w:shd w:val="clear" w:color="auto" w:fill="auto"/>
          </w:tcPr>
          <w:p w14:paraId="329D6E54" w14:textId="77777777" w:rsidR="00945D43" w:rsidRPr="00945D43" w:rsidRDefault="00945D43" w:rsidP="00EF3180">
            <w:pPr>
              <w:pStyle w:val="BodyText1"/>
              <w:spacing w:before="60" w:after="60"/>
              <w:jc w:val="left"/>
              <w:rPr>
                <w:sz w:val="22"/>
                <w:szCs w:val="22"/>
                <w:vertAlign w:val="superscript"/>
                <w:lang w:val="en-GB"/>
              </w:rPr>
            </w:pPr>
            <w:r w:rsidRPr="00945D43">
              <w:rPr>
                <w:sz w:val="22"/>
                <w:szCs w:val="22"/>
                <w:lang w:val="en-GB"/>
              </w:rPr>
              <w:t>Injection site reaction</w:t>
            </w:r>
            <w:r w:rsidRPr="00945D43">
              <w:rPr>
                <w:sz w:val="22"/>
                <w:szCs w:val="22"/>
                <w:vertAlign w:val="superscript"/>
                <w:lang w:val="en-GB"/>
              </w:rPr>
              <w:t>3</w:t>
            </w:r>
          </w:p>
          <w:p w14:paraId="5C9E6B13"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bottom w:val="single" w:sz="4" w:space="0" w:color="auto"/>
              <w:right w:val="single" w:sz="4" w:space="0" w:color="auto"/>
            </w:tcBorders>
          </w:tcPr>
          <w:p w14:paraId="447E9A95" w14:textId="77777777" w:rsidR="00945D43" w:rsidRPr="00BB7E7B" w:rsidRDefault="00945D43" w:rsidP="00EF3180">
            <w:pPr>
              <w:pStyle w:val="BodyText1"/>
              <w:spacing w:before="60" w:after="60"/>
              <w:jc w:val="left"/>
              <w:rPr>
                <w:sz w:val="22"/>
                <w:szCs w:val="22"/>
                <w:lang w:val="en-GB"/>
              </w:rPr>
            </w:pPr>
            <w:r w:rsidRPr="00BB7E7B">
              <w:rPr>
                <w:sz w:val="22"/>
                <w:szCs w:val="22"/>
                <w:lang w:val="en-GB"/>
              </w:rPr>
              <w:t>Very common</w:t>
            </w:r>
          </w:p>
          <w:p w14:paraId="47FD286F" w14:textId="388F7E89" w:rsidR="00945D43" w:rsidRPr="00BB7E7B" w:rsidRDefault="00945D43" w:rsidP="00EF3180">
            <w:pPr>
              <w:pStyle w:val="BodyText1"/>
              <w:spacing w:before="60" w:after="60"/>
              <w:jc w:val="left"/>
              <w:rPr>
                <w:sz w:val="22"/>
                <w:szCs w:val="22"/>
                <w:lang w:val="en-GB"/>
              </w:rPr>
            </w:pPr>
            <w:r w:rsidRPr="00BB7E7B">
              <w:rPr>
                <w:sz w:val="22"/>
                <w:szCs w:val="22"/>
                <w:lang w:val="en-GB"/>
              </w:rPr>
              <w:t>(9</w:t>
            </w:r>
            <w:r w:rsidR="00D64D17" w:rsidRPr="00BB7E7B">
              <w:rPr>
                <w:sz w:val="22"/>
                <w:szCs w:val="22"/>
                <w:lang w:val="en-GB"/>
              </w:rPr>
              <w:t>3</w:t>
            </w:r>
            <w:r w:rsidRPr="00BB7E7B">
              <w:rPr>
                <w:sz w:val="22"/>
                <w:szCs w:val="22"/>
                <w:lang w:val="en-GB"/>
              </w:rPr>
              <w:t>%)</w:t>
            </w:r>
          </w:p>
        </w:tc>
        <w:tc>
          <w:tcPr>
            <w:tcW w:w="1040" w:type="pct"/>
            <w:tcBorders>
              <w:top w:val="single" w:sz="4" w:space="0" w:color="auto"/>
              <w:left w:val="single" w:sz="4" w:space="0" w:color="auto"/>
              <w:bottom w:val="single" w:sz="4" w:space="0" w:color="auto"/>
              <w:right w:val="single" w:sz="4" w:space="0" w:color="auto"/>
            </w:tcBorders>
          </w:tcPr>
          <w:p w14:paraId="56051027"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1B497C3D" w14:textId="46519239"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383AE5">
              <w:rPr>
                <w:sz w:val="22"/>
                <w:szCs w:val="22"/>
                <w:lang w:val="en-GB"/>
              </w:rPr>
              <w:t>66</w:t>
            </w:r>
            <w:r w:rsidRPr="00945D43">
              <w:rPr>
                <w:sz w:val="22"/>
                <w:szCs w:val="22"/>
                <w:lang w:val="en-GB"/>
              </w:rPr>
              <w:t>%)</w:t>
            </w:r>
          </w:p>
        </w:tc>
      </w:tr>
      <w:tr w:rsidR="00945D43" w:rsidRPr="00945D43" w:rsidDel="00CA4B95" w14:paraId="69F9CF3F" w14:textId="77777777" w:rsidTr="003A3487">
        <w:trPr>
          <w:trHeight w:val="29"/>
        </w:trPr>
        <w:tc>
          <w:tcPr>
            <w:tcW w:w="1500" w:type="pct"/>
            <w:vMerge w:val="restart"/>
            <w:tcBorders>
              <w:top w:val="single" w:sz="4" w:space="0" w:color="auto"/>
              <w:left w:val="single" w:sz="4" w:space="0" w:color="auto"/>
              <w:right w:val="single" w:sz="4" w:space="0" w:color="auto"/>
            </w:tcBorders>
            <w:shd w:val="clear" w:color="auto" w:fill="auto"/>
          </w:tcPr>
          <w:p w14:paraId="65D740DC"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Investigations</w:t>
            </w:r>
          </w:p>
        </w:tc>
        <w:tc>
          <w:tcPr>
            <w:tcW w:w="1320" w:type="pct"/>
            <w:tcBorders>
              <w:top w:val="single" w:sz="4" w:space="0" w:color="auto"/>
              <w:left w:val="single" w:sz="4" w:space="0" w:color="auto"/>
              <w:bottom w:val="single" w:sz="4" w:space="0" w:color="auto"/>
              <w:right w:val="single" w:sz="4" w:space="0" w:color="auto"/>
            </w:tcBorders>
            <w:shd w:val="clear" w:color="auto" w:fill="auto"/>
          </w:tcPr>
          <w:p w14:paraId="0DE03608" w14:textId="77777777" w:rsidR="00945D43" w:rsidRPr="00945D43" w:rsidRDefault="00945D43" w:rsidP="00EF3180">
            <w:pPr>
              <w:pStyle w:val="BodyText1"/>
              <w:spacing w:before="60" w:after="60"/>
              <w:jc w:val="left"/>
              <w:rPr>
                <w:sz w:val="22"/>
                <w:szCs w:val="22"/>
                <w:lang w:val="en-GB"/>
              </w:rPr>
            </w:pPr>
            <w:proofErr w:type="spellStart"/>
            <w:r w:rsidRPr="00945D43">
              <w:rPr>
                <w:sz w:val="22"/>
                <w:szCs w:val="22"/>
                <w:lang w:val="en-GB"/>
              </w:rPr>
              <w:t>Hypophenylalaninaemia</w:t>
            </w:r>
            <w:proofErr w:type="spellEnd"/>
          </w:p>
          <w:p w14:paraId="6D8578EA" w14:textId="77777777" w:rsidR="00945D43" w:rsidRPr="00945D43" w:rsidRDefault="00945D43" w:rsidP="00EF3180">
            <w:pPr>
              <w:pStyle w:val="BodyText1"/>
              <w:spacing w:before="60" w:after="60"/>
              <w:jc w:val="left"/>
              <w:rPr>
                <w:sz w:val="22"/>
                <w:szCs w:val="22"/>
                <w:lang w:val="en-GB"/>
              </w:rPr>
            </w:pPr>
          </w:p>
        </w:tc>
        <w:tc>
          <w:tcPr>
            <w:tcW w:w="1141" w:type="pct"/>
            <w:tcBorders>
              <w:top w:val="single" w:sz="4" w:space="0" w:color="auto"/>
              <w:left w:val="single" w:sz="4" w:space="0" w:color="auto"/>
              <w:bottom w:val="single" w:sz="4" w:space="0" w:color="auto"/>
              <w:right w:val="single" w:sz="4" w:space="0" w:color="auto"/>
            </w:tcBorders>
          </w:tcPr>
          <w:p w14:paraId="347CA910"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2D6E8EA0"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(15%)</w:t>
            </w:r>
          </w:p>
        </w:tc>
        <w:tc>
          <w:tcPr>
            <w:tcW w:w="1040" w:type="pct"/>
            <w:tcBorders>
              <w:top w:val="single" w:sz="4" w:space="0" w:color="auto"/>
              <w:left w:val="single" w:sz="4" w:space="0" w:color="auto"/>
              <w:bottom w:val="single" w:sz="4" w:space="0" w:color="auto"/>
              <w:right w:val="single" w:sz="4" w:space="0" w:color="auto"/>
            </w:tcBorders>
          </w:tcPr>
          <w:p w14:paraId="0562525E"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27FE8324" w14:textId="7A24D315"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383AE5">
              <w:rPr>
                <w:sz w:val="22"/>
                <w:szCs w:val="22"/>
                <w:lang w:val="en-GB"/>
              </w:rPr>
              <w:t>65</w:t>
            </w:r>
            <w:r w:rsidRPr="00945D43">
              <w:rPr>
                <w:sz w:val="22"/>
                <w:szCs w:val="22"/>
                <w:lang w:val="en-GB"/>
              </w:rPr>
              <w:t>%)</w:t>
            </w:r>
          </w:p>
        </w:tc>
      </w:tr>
      <w:tr w:rsidR="00945D43" w:rsidRPr="00945D43" w:rsidDel="00CA4B95" w14:paraId="247F2087" w14:textId="77777777" w:rsidTr="003A3487">
        <w:trPr>
          <w:trHeight w:val="29"/>
        </w:trPr>
        <w:tc>
          <w:tcPr>
            <w:tcW w:w="1500" w:type="pct"/>
            <w:vMerge/>
            <w:tcBorders>
              <w:left w:val="single" w:sz="4" w:space="0" w:color="auto"/>
              <w:right w:val="single" w:sz="4" w:space="0" w:color="auto"/>
            </w:tcBorders>
            <w:shd w:val="clear" w:color="auto" w:fill="auto"/>
          </w:tcPr>
          <w:p w14:paraId="2F90958E"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bottom w:val="single" w:sz="4" w:space="0" w:color="auto"/>
              <w:right w:val="single" w:sz="4" w:space="0" w:color="auto"/>
            </w:tcBorders>
            <w:shd w:val="clear" w:color="auto" w:fill="auto"/>
          </w:tcPr>
          <w:p w14:paraId="58C6311E" w14:textId="57B7AA74" w:rsidR="00945D43" w:rsidRPr="00945D43" w:rsidRDefault="00945D43" w:rsidP="00EF3180">
            <w:pPr>
              <w:pStyle w:val="BodyText1"/>
              <w:spacing w:before="60" w:after="60"/>
              <w:jc w:val="left"/>
              <w:rPr>
                <w:sz w:val="22"/>
                <w:szCs w:val="22"/>
                <w:lang w:val="en-GB"/>
              </w:rPr>
            </w:pPr>
            <w:r w:rsidRPr="00945D43">
              <w:rPr>
                <w:sz w:val="22"/>
                <w:szCs w:val="22"/>
                <w:lang w:val="en-GB"/>
              </w:rPr>
              <w:t>Complement factor C3 </w:t>
            </w:r>
            <w:r w:rsidR="003A3487" w:rsidRPr="00945D43">
              <w:rPr>
                <w:sz w:val="22"/>
                <w:szCs w:val="22"/>
                <w:lang w:val="en-GB"/>
              </w:rPr>
              <w:t>decreased</w:t>
            </w:r>
            <w:r w:rsidR="003A3487">
              <w:rPr>
                <w:sz w:val="22"/>
                <w:szCs w:val="22"/>
                <w:vertAlign w:val="superscript"/>
                <w:lang w:val="en-GB"/>
              </w:rPr>
              <w:t>6</w:t>
            </w:r>
          </w:p>
        </w:tc>
        <w:tc>
          <w:tcPr>
            <w:tcW w:w="1141" w:type="pct"/>
            <w:tcBorders>
              <w:top w:val="single" w:sz="4" w:space="0" w:color="auto"/>
              <w:left w:val="single" w:sz="4" w:space="0" w:color="auto"/>
              <w:bottom w:val="single" w:sz="4" w:space="0" w:color="auto"/>
              <w:right w:val="single" w:sz="4" w:space="0" w:color="auto"/>
            </w:tcBorders>
          </w:tcPr>
          <w:p w14:paraId="46571F25"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1752A0B7"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(66%)</w:t>
            </w:r>
          </w:p>
        </w:tc>
        <w:tc>
          <w:tcPr>
            <w:tcW w:w="1040" w:type="pct"/>
            <w:tcBorders>
              <w:top w:val="single" w:sz="4" w:space="0" w:color="auto"/>
              <w:left w:val="single" w:sz="4" w:space="0" w:color="auto"/>
              <w:bottom w:val="single" w:sz="4" w:space="0" w:color="auto"/>
              <w:right w:val="single" w:sz="4" w:space="0" w:color="auto"/>
            </w:tcBorders>
          </w:tcPr>
          <w:p w14:paraId="57EC50E4"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1FE80E73"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(73%)</w:t>
            </w:r>
          </w:p>
        </w:tc>
      </w:tr>
      <w:tr w:rsidR="00945D43" w:rsidRPr="00945D43" w:rsidDel="00CA4B95" w14:paraId="4EC48AD2" w14:textId="77777777" w:rsidTr="003A3487">
        <w:trPr>
          <w:trHeight w:val="29"/>
        </w:trPr>
        <w:tc>
          <w:tcPr>
            <w:tcW w:w="1500" w:type="pct"/>
            <w:vMerge/>
            <w:tcBorders>
              <w:left w:val="single" w:sz="4" w:space="0" w:color="auto"/>
              <w:right w:val="single" w:sz="4" w:space="0" w:color="auto"/>
            </w:tcBorders>
            <w:shd w:val="clear" w:color="auto" w:fill="auto"/>
          </w:tcPr>
          <w:p w14:paraId="3C0FB136"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bottom w:val="single" w:sz="4" w:space="0" w:color="auto"/>
              <w:right w:val="single" w:sz="4" w:space="0" w:color="auto"/>
            </w:tcBorders>
            <w:shd w:val="clear" w:color="auto" w:fill="auto"/>
          </w:tcPr>
          <w:p w14:paraId="410E3A1C" w14:textId="42E7F25A" w:rsidR="00945D43" w:rsidRPr="00945D43" w:rsidRDefault="00945D43" w:rsidP="00EF3180">
            <w:pPr>
              <w:pStyle w:val="BodyText1"/>
              <w:spacing w:before="60" w:after="60"/>
              <w:jc w:val="left"/>
              <w:rPr>
                <w:sz w:val="22"/>
                <w:szCs w:val="22"/>
                <w:lang w:val="en-GB"/>
              </w:rPr>
            </w:pPr>
            <w:r w:rsidRPr="00945D43">
              <w:rPr>
                <w:sz w:val="22"/>
                <w:szCs w:val="22"/>
                <w:lang w:val="en-GB"/>
              </w:rPr>
              <w:t>Complement factor C4 </w:t>
            </w:r>
            <w:r w:rsidR="003A3487" w:rsidRPr="00945D43">
              <w:rPr>
                <w:sz w:val="22"/>
                <w:szCs w:val="22"/>
                <w:lang w:val="en-GB"/>
              </w:rPr>
              <w:t>decreased</w:t>
            </w:r>
            <w:r w:rsidR="003A3487">
              <w:rPr>
                <w:sz w:val="22"/>
                <w:szCs w:val="22"/>
                <w:vertAlign w:val="superscript"/>
                <w:lang w:val="en-GB"/>
              </w:rPr>
              <w:t>6</w:t>
            </w:r>
          </w:p>
        </w:tc>
        <w:tc>
          <w:tcPr>
            <w:tcW w:w="1141" w:type="pct"/>
            <w:tcBorders>
              <w:top w:val="single" w:sz="4" w:space="0" w:color="auto"/>
              <w:left w:val="single" w:sz="4" w:space="0" w:color="auto"/>
              <w:bottom w:val="single" w:sz="4" w:space="0" w:color="auto"/>
              <w:right w:val="single" w:sz="4" w:space="0" w:color="auto"/>
            </w:tcBorders>
          </w:tcPr>
          <w:p w14:paraId="59D827AD"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5476FA14"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(64%)</w:t>
            </w:r>
          </w:p>
        </w:tc>
        <w:tc>
          <w:tcPr>
            <w:tcW w:w="1040" w:type="pct"/>
            <w:tcBorders>
              <w:top w:val="single" w:sz="4" w:space="0" w:color="auto"/>
              <w:left w:val="single" w:sz="4" w:space="0" w:color="auto"/>
              <w:bottom w:val="single" w:sz="4" w:space="0" w:color="auto"/>
              <w:right w:val="single" w:sz="4" w:space="0" w:color="auto"/>
            </w:tcBorders>
          </w:tcPr>
          <w:p w14:paraId="7364B01F"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78C593D0" w14:textId="2F4C244E"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383AE5">
              <w:rPr>
                <w:sz w:val="22"/>
                <w:szCs w:val="22"/>
                <w:lang w:val="en-GB"/>
              </w:rPr>
              <w:t>39</w:t>
            </w:r>
            <w:r w:rsidRPr="00945D43">
              <w:rPr>
                <w:sz w:val="22"/>
                <w:szCs w:val="22"/>
                <w:lang w:val="en-GB"/>
              </w:rPr>
              <w:t>%)</w:t>
            </w:r>
          </w:p>
        </w:tc>
      </w:tr>
      <w:tr w:rsidR="00945D43" w:rsidRPr="00945D43" w:rsidDel="00CA4B95" w14:paraId="293E29FE" w14:textId="77777777" w:rsidTr="003A3487">
        <w:trPr>
          <w:trHeight w:val="29"/>
        </w:trPr>
        <w:tc>
          <w:tcPr>
            <w:tcW w:w="1500" w:type="pct"/>
            <w:vMerge/>
            <w:tcBorders>
              <w:left w:val="single" w:sz="4" w:space="0" w:color="auto"/>
              <w:right w:val="single" w:sz="4" w:space="0" w:color="auto"/>
            </w:tcBorders>
            <w:shd w:val="clear" w:color="auto" w:fill="auto"/>
          </w:tcPr>
          <w:p w14:paraId="650E88A8" w14:textId="77777777" w:rsidR="00945D43" w:rsidRPr="00945D43" w:rsidRDefault="00945D43" w:rsidP="00EF3180">
            <w:pPr>
              <w:pStyle w:val="BodyText1"/>
              <w:spacing w:before="60" w:after="60"/>
              <w:jc w:val="left"/>
              <w:rPr>
                <w:sz w:val="22"/>
                <w:szCs w:val="22"/>
                <w:lang w:val="en-GB"/>
              </w:rPr>
            </w:pPr>
          </w:p>
        </w:tc>
        <w:tc>
          <w:tcPr>
            <w:tcW w:w="1320" w:type="pct"/>
            <w:tcBorders>
              <w:top w:val="single" w:sz="4" w:space="0" w:color="auto"/>
              <w:left w:val="single" w:sz="4" w:space="0" w:color="auto"/>
              <w:right w:val="single" w:sz="4" w:space="0" w:color="auto"/>
            </w:tcBorders>
            <w:shd w:val="clear" w:color="auto" w:fill="auto"/>
          </w:tcPr>
          <w:p w14:paraId="799D8439" w14:textId="4CE7353E" w:rsidR="00945D43" w:rsidRPr="00945D43" w:rsidRDefault="00945D43" w:rsidP="00EF3180">
            <w:pPr>
              <w:pStyle w:val="BodyText1"/>
              <w:spacing w:before="60" w:after="60"/>
              <w:jc w:val="left"/>
              <w:rPr>
                <w:sz w:val="22"/>
                <w:szCs w:val="22"/>
                <w:lang w:val="en-GB"/>
              </w:rPr>
            </w:pPr>
            <w:r w:rsidRPr="00945D43">
              <w:rPr>
                <w:sz w:val="22"/>
                <w:szCs w:val="22"/>
                <w:lang w:val="en-GB"/>
              </w:rPr>
              <w:t xml:space="preserve">High sensitivity CRP levels </w:t>
            </w:r>
            <w:r w:rsidR="003A3487" w:rsidRPr="00945D43">
              <w:rPr>
                <w:sz w:val="22"/>
                <w:szCs w:val="22"/>
                <w:lang w:val="en-GB"/>
              </w:rPr>
              <w:t>increased</w:t>
            </w:r>
            <w:r w:rsidR="003A3487">
              <w:rPr>
                <w:sz w:val="22"/>
                <w:szCs w:val="22"/>
                <w:vertAlign w:val="superscript"/>
                <w:lang w:val="en-GB"/>
              </w:rPr>
              <w:t>7</w:t>
            </w:r>
          </w:p>
        </w:tc>
        <w:tc>
          <w:tcPr>
            <w:tcW w:w="1141" w:type="pct"/>
            <w:tcBorders>
              <w:top w:val="single" w:sz="4" w:space="0" w:color="auto"/>
              <w:left w:val="single" w:sz="4" w:space="0" w:color="auto"/>
              <w:right w:val="single" w:sz="4" w:space="0" w:color="auto"/>
            </w:tcBorders>
          </w:tcPr>
          <w:p w14:paraId="2AE66DD4"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Very common</w:t>
            </w:r>
          </w:p>
          <w:p w14:paraId="65101FE0" w14:textId="77777777" w:rsidR="00945D43" w:rsidRPr="00945D43" w:rsidRDefault="00945D43" w:rsidP="00EF3180">
            <w:pPr>
              <w:pStyle w:val="BodyText1"/>
              <w:spacing w:before="60" w:after="60"/>
              <w:jc w:val="left"/>
              <w:rPr>
                <w:sz w:val="22"/>
                <w:szCs w:val="22"/>
                <w:lang w:val="en-GB"/>
              </w:rPr>
            </w:pPr>
            <w:r w:rsidRPr="00945D43">
              <w:rPr>
                <w:sz w:val="22"/>
                <w:szCs w:val="22"/>
                <w:lang w:val="en-GB"/>
              </w:rPr>
              <w:t>(17%)</w:t>
            </w:r>
          </w:p>
        </w:tc>
        <w:tc>
          <w:tcPr>
            <w:tcW w:w="1040" w:type="pct"/>
            <w:tcBorders>
              <w:top w:val="single" w:sz="4" w:space="0" w:color="auto"/>
              <w:left w:val="single" w:sz="4" w:space="0" w:color="auto"/>
              <w:right w:val="single" w:sz="4" w:space="0" w:color="auto"/>
            </w:tcBorders>
          </w:tcPr>
          <w:p w14:paraId="36A3C79E" w14:textId="5CF2728C" w:rsidR="00945D43" w:rsidRPr="00945D43" w:rsidRDefault="00383AE5" w:rsidP="00EF3180">
            <w:pPr>
              <w:pStyle w:val="BodyText1"/>
              <w:spacing w:before="60" w:after="60"/>
              <w:jc w:val="left"/>
              <w:rPr>
                <w:sz w:val="22"/>
                <w:szCs w:val="22"/>
                <w:lang w:val="en-GB"/>
              </w:rPr>
            </w:pPr>
            <w:r>
              <w:rPr>
                <w:sz w:val="22"/>
                <w:szCs w:val="22"/>
                <w:lang w:val="en-GB"/>
              </w:rPr>
              <w:t>Very c</w:t>
            </w:r>
            <w:r w:rsidR="00945D43" w:rsidRPr="00945D43">
              <w:rPr>
                <w:sz w:val="22"/>
                <w:szCs w:val="22"/>
                <w:lang w:val="en-GB"/>
              </w:rPr>
              <w:t>ommon</w:t>
            </w:r>
          </w:p>
          <w:p w14:paraId="442DB9D0" w14:textId="5C215BB2" w:rsidR="00945D43" w:rsidRPr="00945D43" w:rsidRDefault="00945D43" w:rsidP="00EF3180">
            <w:pPr>
              <w:pStyle w:val="BodyText1"/>
              <w:spacing w:before="60" w:after="60"/>
              <w:jc w:val="left"/>
              <w:rPr>
                <w:sz w:val="22"/>
                <w:szCs w:val="22"/>
                <w:lang w:val="en-GB"/>
              </w:rPr>
            </w:pPr>
            <w:r w:rsidRPr="00945D43">
              <w:rPr>
                <w:sz w:val="22"/>
                <w:szCs w:val="22"/>
                <w:lang w:val="en-GB"/>
              </w:rPr>
              <w:t>(</w:t>
            </w:r>
            <w:r w:rsidR="00383AE5">
              <w:rPr>
                <w:sz w:val="22"/>
                <w:szCs w:val="22"/>
                <w:lang w:val="en-GB"/>
              </w:rPr>
              <w:t>13</w:t>
            </w:r>
            <w:r w:rsidRPr="00945D43">
              <w:rPr>
                <w:sz w:val="22"/>
                <w:szCs w:val="22"/>
                <w:lang w:val="en-GB"/>
              </w:rPr>
              <w:t>%)</w:t>
            </w:r>
          </w:p>
        </w:tc>
      </w:tr>
    </w:tbl>
    <w:p w14:paraId="50DDCF69" w14:textId="7DDB113A" w:rsidR="00945D43" w:rsidRPr="00945D43" w:rsidRDefault="00945D43" w:rsidP="0072514A">
      <w:pPr>
        <w:pStyle w:val="BodyText1"/>
        <w:spacing w:after="60"/>
        <w:jc w:val="left"/>
        <w:rPr>
          <w:sz w:val="20"/>
          <w:vertAlign w:val="superscript"/>
          <w:lang w:val="en-GB"/>
        </w:rPr>
      </w:pPr>
      <w:r w:rsidRPr="00262CEC">
        <w:rPr>
          <w:sz w:val="20"/>
          <w:vertAlign w:val="superscript"/>
          <w:lang w:val="en-GB"/>
        </w:rPr>
        <w:t>1</w:t>
      </w:r>
      <w:r w:rsidRPr="00945D43">
        <w:rPr>
          <w:lang w:val="en-GB"/>
        </w:rPr>
        <w:t> </w:t>
      </w:r>
      <w:r w:rsidRPr="00945D43">
        <w:rPr>
          <w:bCs/>
          <w:sz w:val="20"/>
          <w:lang w:val="en-GB"/>
        </w:rPr>
        <w:t>Induction and titration phase reflects the time prior to reaching</w:t>
      </w:r>
      <w:r w:rsidRPr="00945D43">
        <w:rPr>
          <w:sz w:val="20"/>
          <w:lang w:val="en-GB"/>
        </w:rPr>
        <w:t xml:space="preserve"> blood phenylalanine levels less than 600 </w:t>
      </w:r>
      <w:proofErr w:type="spellStart"/>
      <w:r w:rsidR="009D51CD">
        <w:rPr>
          <w:sz w:val="20"/>
          <w:lang w:val="en-GB"/>
        </w:rPr>
        <w:t>micromol</w:t>
      </w:r>
      <w:proofErr w:type="spellEnd"/>
      <w:r w:rsidR="009D51CD">
        <w:rPr>
          <w:sz w:val="20"/>
          <w:lang w:val="en-GB"/>
        </w:rPr>
        <w:t>/L</w:t>
      </w:r>
      <w:r w:rsidRPr="00945D43">
        <w:rPr>
          <w:sz w:val="20"/>
          <w:lang w:val="en-GB"/>
        </w:rPr>
        <w:t xml:space="preserve"> while on a stable dose. </w:t>
      </w:r>
      <w:bookmarkStart w:id="15" w:name="_Hlk534624468"/>
      <w:r w:rsidRPr="00945D43">
        <w:rPr>
          <w:sz w:val="20"/>
          <w:lang w:val="en-GB"/>
        </w:rPr>
        <w:t>Once blood phenylalanine levels less than 600 </w:t>
      </w:r>
      <w:proofErr w:type="spellStart"/>
      <w:r w:rsidR="009D51CD">
        <w:rPr>
          <w:sz w:val="20"/>
          <w:lang w:val="en-GB"/>
        </w:rPr>
        <w:t>micromol</w:t>
      </w:r>
      <w:proofErr w:type="spellEnd"/>
      <w:r w:rsidR="009D51CD">
        <w:rPr>
          <w:sz w:val="20"/>
          <w:lang w:val="en-GB"/>
        </w:rPr>
        <w:t>/L</w:t>
      </w:r>
      <w:r w:rsidRPr="00945D43">
        <w:rPr>
          <w:sz w:val="20"/>
          <w:lang w:val="en-GB"/>
        </w:rPr>
        <w:t xml:space="preserve"> on stable dose was reached, patients </w:t>
      </w:r>
      <w:proofErr w:type="gramStart"/>
      <w:r w:rsidRPr="00945D43">
        <w:rPr>
          <w:sz w:val="20"/>
          <w:lang w:val="en-GB"/>
        </w:rPr>
        <w:t>were considered to be</w:t>
      </w:r>
      <w:proofErr w:type="gramEnd"/>
      <w:r w:rsidRPr="00945D43">
        <w:rPr>
          <w:sz w:val="20"/>
          <w:lang w:val="en-GB"/>
        </w:rPr>
        <w:t xml:space="preserve"> in the maintenance phase thereafter.</w:t>
      </w:r>
      <w:bookmarkEnd w:id="15"/>
    </w:p>
    <w:p w14:paraId="686ADCB0" w14:textId="77777777" w:rsidR="00945D43" w:rsidRPr="00945D43" w:rsidRDefault="00945D43" w:rsidP="0072514A">
      <w:pPr>
        <w:pStyle w:val="BodyText1"/>
        <w:spacing w:after="60"/>
        <w:rPr>
          <w:sz w:val="20"/>
          <w:lang w:val="en-GB"/>
        </w:rPr>
      </w:pPr>
      <w:r w:rsidRPr="00945D43">
        <w:rPr>
          <w:sz w:val="20"/>
          <w:vertAlign w:val="superscript"/>
          <w:lang w:val="en-GB"/>
        </w:rPr>
        <w:t>2</w:t>
      </w:r>
      <w:r w:rsidRPr="00945D43">
        <w:rPr>
          <w:sz w:val="20"/>
          <w:lang w:val="en-GB"/>
        </w:rPr>
        <w:t> Hypersensitivity reactions cover a group of terms, including acute systemic hypersensitivity reactions, and can manifest as a range of symptoms including angioedema, serum sickness, rash, and urticaria.</w:t>
      </w:r>
    </w:p>
    <w:p w14:paraId="66A13B34" w14:textId="3238021B" w:rsidR="00945D43" w:rsidRPr="00945D43" w:rsidRDefault="00945D43" w:rsidP="0072514A">
      <w:pPr>
        <w:pStyle w:val="BodyText1"/>
        <w:spacing w:after="60"/>
        <w:rPr>
          <w:sz w:val="20"/>
          <w:lang w:val="en-GB"/>
        </w:rPr>
      </w:pPr>
      <w:r w:rsidRPr="00945D43">
        <w:rPr>
          <w:sz w:val="20"/>
          <w:vertAlign w:val="superscript"/>
          <w:lang w:val="en-GB"/>
        </w:rPr>
        <w:t>3</w:t>
      </w:r>
      <w:r w:rsidRPr="00945D43">
        <w:rPr>
          <w:sz w:val="20"/>
          <w:lang w:val="en-GB"/>
        </w:rPr>
        <w:t xml:space="preserve"> Refer </w:t>
      </w:r>
      <w:r w:rsidR="002F570D">
        <w:rPr>
          <w:sz w:val="20"/>
          <w:lang w:val="en-GB"/>
        </w:rPr>
        <w:t xml:space="preserve">to </w:t>
      </w:r>
      <w:r w:rsidR="00383AE5">
        <w:rPr>
          <w:sz w:val="20"/>
          <w:lang w:val="en-GB"/>
        </w:rPr>
        <w:t>Warnings and Precautions</w:t>
      </w:r>
      <w:r w:rsidRPr="00945D43">
        <w:rPr>
          <w:sz w:val="20"/>
          <w:lang w:val="en-GB"/>
        </w:rPr>
        <w:t>.</w:t>
      </w:r>
    </w:p>
    <w:p w14:paraId="4EFA158F" w14:textId="7BBA5E85" w:rsidR="003A3487" w:rsidRDefault="00945D43" w:rsidP="0072514A">
      <w:pPr>
        <w:pStyle w:val="BodyText1"/>
        <w:spacing w:after="60"/>
        <w:rPr>
          <w:sz w:val="20"/>
          <w:lang w:val="en-GB"/>
        </w:rPr>
      </w:pPr>
      <w:r w:rsidRPr="00945D43">
        <w:rPr>
          <w:sz w:val="20"/>
          <w:vertAlign w:val="superscript"/>
          <w:lang w:val="en-GB"/>
        </w:rPr>
        <w:t>4</w:t>
      </w:r>
      <w:r w:rsidRPr="00945D43">
        <w:rPr>
          <w:sz w:val="20"/>
          <w:lang w:val="en-GB"/>
        </w:rPr>
        <w:t> </w:t>
      </w:r>
      <w:r w:rsidR="003A3487">
        <w:rPr>
          <w:sz w:val="20"/>
          <w:lang w:val="en-GB"/>
        </w:rPr>
        <w:t>The frequency of anaphylaxis in the post-marketing setting cannot be determined.</w:t>
      </w:r>
    </w:p>
    <w:p w14:paraId="52692FFA" w14:textId="4B9B2AAA" w:rsidR="00945D43" w:rsidRPr="00945D43" w:rsidRDefault="003A3487" w:rsidP="0072514A">
      <w:pPr>
        <w:pStyle w:val="BodyText1"/>
        <w:spacing w:after="60"/>
        <w:rPr>
          <w:sz w:val="20"/>
          <w:lang w:val="en-GB"/>
        </w:rPr>
      </w:pPr>
      <w:r w:rsidRPr="00262CEC">
        <w:rPr>
          <w:sz w:val="20"/>
          <w:vertAlign w:val="superscript"/>
          <w:lang w:val="en-GB"/>
        </w:rPr>
        <w:t>5</w:t>
      </w:r>
      <w:r>
        <w:rPr>
          <w:sz w:val="20"/>
          <w:lang w:val="en-GB"/>
        </w:rPr>
        <w:t xml:space="preserve"> </w:t>
      </w:r>
      <w:r w:rsidR="00945D43" w:rsidRPr="00945D43">
        <w:rPr>
          <w:sz w:val="20"/>
          <w:lang w:val="en-GB"/>
        </w:rPr>
        <w:t>Abdominal pain reflects the following terms: abdominal pain, abdominal pain upper and abdominal discomfort.</w:t>
      </w:r>
    </w:p>
    <w:p w14:paraId="28626DDA" w14:textId="34B817A3" w:rsidR="00945D43" w:rsidRPr="00945D43" w:rsidRDefault="003A3487" w:rsidP="0072514A">
      <w:pPr>
        <w:pStyle w:val="BodyText1"/>
        <w:spacing w:after="60"/>
        <w:rPr>
          <w:sz w:val="20"/>
          <w:lang w:val="en-GB"/>
        </w:rPr>
      </w:pPr>
      <w:r>
        <w:rPr>
          <w:sz w:val="20"/>
          <w:vertAlign w:val="superscript"/>
          <w:lang w:val="en-GB"/>
        </w:rPr>
        <w:t>6</w:t>
      </w:r>
      <w:r w:rsidRPr="00945D43">
        <w:rPr>
          <w:sz w:val="20"/>
          <w:lang w:val="en-GB"/>
        </w:rPr>
        <w:t> </w:t>
      </w:r>
      <w:r w:rsidR="00945D43" w:rsidRPr="00945D43">
        <w:rPr>
          <w:sz w:val="20"/>
          <w:lang w:val="en-GB"/>
        </w:rPr>
        <w:t xml:space="preserve">Complement factor C3/C4 decrease is defined </w:t>
      </w:r>
      <w:r w:rsidR="00383AE5">
        <w:rPr>
          <w:sz w:val="20"/>
          <w:lang w:val="en-GB"/>
        </w:rPr>
        <w:t xml:space="preserve">by </w:t>
      </w:r>
      <w:r w:rsidR="00945D43" w:rsidRPr="00945D43">
        <w:rPr>
          <w:sz w:val="20"/>
          <w:lang w:val="en-GB"/>
        </w:rPr>
        <w:t>changing from normal or high baseline complement value to low post</w:t>
      </w:r>
      <w:r w:rsidR="00945D43" w:rsidRPr="00945D43">
        <w:rPr>
          <w:sz w:val="20"/>
          <w:lang w:val="en-GB"/>
        </w:rPr>
        <w:noBreakHyphen/>
        <w:t>baseline complement value.</w:t>
      </w:r>
    </w:p>
    <w:p w14:paraId="6C27D2B1" w14:textId="7561137F" w:rsidR="00945D43" w:rsidRPr="00945D43" w:rsidRDefault="003A3487" w:rsidP="0072514A">
      <w:pPr>
        <w:pStyle w:val="BodyText1"/>
        <w:spacing w:after="60"/>
        <w:rPr>
          <w:lang w:val="en-GB"/>
        </w:rPr>
      </w:pPr>
      <w:r>
        <w:rPr>
          <w:sz w:val="20"/>
          <w:vertAlign w:val="superscript"/>
          <w:lang w:val="en-GB"/>
        </w:rPr>
        <w:t>7</w:t>
      </w:r>
      <w:r w:rsidRPr="00945D43">
        <w:rPr>
          <w:sz w:val="20"/>
          <w:lang w:val="en-GB"/>
        </w:rPr>
        <w:t> </w:t>
      </w:r>
      <w:r w:rsidR="00945D43" w:rsidRPr="00945D43">
        <w:rPr>
          <w:sz w:val="20"/>
          <w:lang w:val="en-GB"/>
        </w:rPr>
        <w:t>Reflects high sensitivity CRP (</w:t>
      </w:r>
      <w:proofErr w:type="spellStart"/>
      <w:r w:rsidR="00945D43" w:rsidRPr="00945D43">
        <w:rPr>
          <w:sz w:val="20"/>
          <w:lang w:val="en-GB"/>
        </w:rPr>
        <w:t>hsCRP</w:t>
      </w:r>
      <w:proofErr w:type="spellEnd"/>
      <w:r w:rsidR="00945D43" w:rsidRPr="00945D43">
        <w:rPr>
          <w:sz w:val="20"/>
          <w:lang w:val="en-GB"/>
        </w:rPr>
        <w:t xml:space="preserve">) levels above upper limit of normal (greater than 0.287 mg/dl) over a </w:t>
      </w:r>
      <w:proofErr w:type="gramStart"/>
      <w:r w:rsidR="00945D43" w:rsidRPr="00945D43">
        <w:rPr>
          <w:sz w:val="20"/>
          <w:lang w:val="en-GB"/>
        </w:rPr>
        <w:t>6 month</w:t>
      </w:r>
      <w:proofErr w:type="gramEnd"/>
      <w:r w:rsidR="00945D43" w:rsidRPr="00945D43">
        <w:rPr>
          <w:sz w:val="20"/>
          <w:lang w:val="en-GB"/>
        </w:rPr>
        <w:t xml:space="preserve"> period.</w:t>
      </w:r>
    </w:p>
    <w:p w14:paraId="55D314DA" w14:textId="1F8B032D" w:rsidR="00945D43" w:rsidRPr="00945D43" w:rsidRDefault="00945D43" w:rsidP="00103B9E">
      <w:pPr>
        <w:pStyle w:val="Heading3"/>
        <w:rPr>
          <w:i/>
          <w:lang w:val="en-GB"/>
        </w:rPr>
      </w:pPr>
      <w:r w:rsidRPr="00945D43">
        <w:rPr>
          <w:lang w:val="en-GB"/>
        </w:rPr>
        <w:t>Description of selected adverse reactions</w:t>
      </w:r>
    </w:p>
    <w:p w14:paraId="7B9109F1" w14:textId="77777777" w:rsidR="00945D43" w:rsidRPr="00945D43" w:rsidRDefault="00945D43" w:rsidP="002C71B4">
      <w:pPr>
        <w:pStyle w:val="Heading4"/>
      </w:pPr>
      <w:r w:rsidRPr="00945D43">
        <w:t>Arthralgia and other joint related signs and symptoms</w:t>
      </w:r>
    </w:p>
    <w:p w14:paraId="06374EC0" w14:textId="59B572B3" w:rsidR="00945D43" w:rsidRPr="00945D43" w:rsidRDefault="00945D43" w:rsidP="00945D43">
      <w:pPr>
        <w:pStyle w:val="BodyText1"/>
        <w:rPr>
          <w:lang w:val="en-GB"/>
        </w:rPr>
      </w:pPr>
      <w:r w:rsidRPr="00945D43">
        <w:rPr>
          <w:bCs/>
          <w:lang w:val="en-GB"/>
        </w:rPr>
        <w:t>In clinical trials</w:t>
      </w:r>
      <w:r w:rsidR="002F570D">
        <w:rPr>
          <w:bCs/>
          <w:lang w:val="en-GB"/>
        </w:rPr>
        <w:t xml:space="preserve"> </w:t>
      </w:r>
      <w:r w:rsidR="00383AE5">
        <w:rPr>
          <w:bCs/>
          <w:lang w:val="en-GB"/>
        </w:rPr>
        <w:t>86</w:t>
      </w:r>
      <w:r w:rsidRPr="00945D43">
        <w:rPr>
          <w:bCs/>
          <w:lang w:val="en-GB"/>
        </w:rPr>
        <w:t>%</w:t>
      </w:r>
      <w:r w:rsidR="00383AE5">
        <w:rPr>
          <w:bCs/>
          <w:lang w:val="en-GB"/>
        </w:rPr>
        <w:t xml:space="preserve"> of</w:t>
      </w:r>
      <w:r w:rsidRPr="00945D43">
        <w:rPr>
          <w:bCs/>
          <w:lang w:val="en-GB"/>
        </w:rPr>
        <w:t xml:space="preserve"> patients experienced episodes consistent with arthralgia (including back pain, musculoskeletal pain, pain in extremity, and neck pain). Arthralgia occurred as early as the first dose and can occur at any time during treatment. </w:t>
      </w:r>
      <w:r w:rsidRPr="00945D43">
        <w:rPr>
          <w:lang w:val="en-GB"/>
        </w:rPr>
        <w:t xml:space="preserve">The risk of arthralgia occurring is </w:t>
      </w:r>
      <w:r w:rsidR="00383AE5">
        <w:rPr>
          <w:lang w:val="en-GB"/>
        </w:rPr>
        <w:t>3.1</w:t>
      </w:r>
      <w:r w:rsidRPr="00945D43">
        <w:rPr>
          <w:lang w:val="en-GB"/>
        </w:rPr>
        <w:noBreakHyphen/>
        <w:t>fold higher in induction/titration phase compared to maintenance phase.</w:t>
      </w:r>
      <w:r w:rsidRPr="00945D43">
        <w:rPr>
          <w:bCs/>
          <w:lang w:val="en-GB"/>
        </w:rPr>
        <w:t xml:space="preserve"> </w:t>
      </w:r>
    </w:p>
    <w:p w14:paraId="3AE44B3B" w14:textId="7C368CC0" w:rsidR="00945D43" w:rsidRPr="00945D43" w:rsidRDefault="00945D43" w:rsidP="00945D43">
      <w:pPr>
        <w:pStyle w:val="BodyText1"/>
        <w:rPr>
          <w:bCs/>
          <w:lang w:val="en-GB"/>
        </w:rPr>
      </w:pPr>
      <w:r w:rsidRPr="00945D43">
        <w:rPr>
          <w:lang w:val="en-GB"/>
        </w:rPr>
        <w:t>Severe arthralgia (severe pain limiting self</w:t>
      </w:r>
      <w:r w:rsidRPr="00945D43">
        <w:rPr>
          <w:lang w:val="en-GB"/>
        </w:rPr>
        <w:noBreakHyphen/>
        <w:t>care activities of daily living) was experienced in 5%</w:t>
      </w:r>
      <w:r w:rsidR="00383AE5">
        <w:rPr>
          <w:lang w:val="en-GB"/>
        </w:rPr>
        <w:t xml:space="preserve"> of</w:t>
      </w:r>
      <w:r w:rsidRPr="00945D43">
        <w:rPr>
          <w:lang w:val="en-GB"/>
        </w:rPr>
        <w:t xml:space="preserve"> patients. Arthralgia episodes were managed with concomitant medicinal products (e.g., nonsteroidal anti</w:t>
      </w:r>
      <w:r w:rsidRPr="00945D43">
        <w:rPr>
          <w:lang w:val="en-GB"/>
        </w:rPr>
        <w:noBreakHyphen/>
        <w:t xml:space="preserve">inflammatory drugs, glucocorticoids, and/or antipyretic), dose reduction, treatment interruption, or treatment withdrawal, and 97% of arthralgia episodes resolved by the time of </w:t>
      </w:r>
      <w:r w:rsidR="00383AE5">
        <w:rPr>
          <w:lang w:val="en-GB"/>
        </w:rPr>
        <w:t>study completion</w:t>
      </w:r>
      <w:r w:rsidRPr="00945D43">
        <w:rPr>
          <w:lang w:val="en-GB"/>
        </w:rPr>
        <w:t>.</w:t>
      </w:r>
    </w:p>
    <w:p w14:paraId="68AE55A9" w14:textId="019F4979" w:rsidR="00945D43" w:rsidRPr="00945D43" w:rsidRDefault="00945D43" w:rsidP="00945D43">
      <w:pPr>
        <w:pStyle w:val="BodyText1"/>
        <w:rPr>
          <w:u w:val="single"/>
          <w:lang w:val="en-GB"/>
        </w:rPr>
      </w:pPr>
      <w:r w:rsidRPr="00945D43">
        <w:rPr>
          <w:bCs/>
          <w:lang w:val="en-GB"/>
        </w:rPr>
        <w:t>Persistent arthralgia (lasting at least 6 months) occurred in 7%</w:t>
      </w:r>
      <w:r w:rsidR="00383AE5">
        <w:rPr>
          <w:bCs/>
          <w:lang w:val="en-GB"/>
        </w:rPr>
        <w:t xml:space="preserve"> of</w:t>
      </w:r>
      <w:r w:rsidRPr="00945D43">
        <w:rPr>
          <w:bCs/>
          <w:lang w:val="en-GB"/>
        </w:rPr>
        <w:t xml:space="preserve"> patients</w:t>
      </w:r>
      <w:r w:rsidR="00383AE5">
        <w:rPr>
          <w:bCs/>
          <w:lang w:val="en-GB"/>
        </w:rPr>
        <w:t>.</w:t>
      </w:r>
      <w:r w:rsidRPr="00945D43">
        <w:rPr>
          <w:bCs/>
          <w:lang w:val="en-GB"/>
        </w:rPr>
        <w:t xml:space="preserve"> Dose was not changed for 96%</w:t>
      </w:r>
      <w:r w:rsidR="00383AE5">
        <w:rPr>
          <w:bCs/>
          <w:lang w:val="en-GB"/>
        </w:rPr>
        <w:t xml:space="preserve"> of</w:t>
      </w:r>
      <w:r w:rsidRPr="00945D43">
        <w:rPr>
          <w:bCs/>
          <w:lang w:val="en-GB"/>
        </w:rPr>
        <w:t xml:space="preserve"> episodes and </w:t>
      </w:r>
      <w:r w:rsidR="00383AE5">
        <w:rPr>
          <w:bCs/>
          <w:lang w:val="en-GB"/>
        </w:rPr>
        <w:t>all</w:t>
      </w:r>
      <w:r w:rsidRPr="00945D43">
        <w:rPr>
          <w:bCs/>
          <w:lang w:val="en-GB"/>
        </w:rPr>
        <w:t xml:space="preserve"> persistent arthralgia episodes resolved without sequelae.</w:t>
      </w:r>
    </w:p>
    <w:p w14:paraId="031913DB" w14:textId="77777777" w:rsidR="00945D43" w:rsidRPr="00945D43" w:rsidRDefault="00945D43" w:rsidP="002C71B4">
      <w:pPr>
        <w:pStyle w:val="Heading4"/>
      </w:pPr>
      <w:r w:rsidRPr="00945D43">
        <w:t>Injection site reactions</w:t>
      </w:r>
    </w:p>
    <w:p w14:paraId="5D680BC9" w14:textId="253C98F6" w:rsidR="00945D43" w:rsidRPr="00945D43" w:rsidRDefault="00945D43" w:rsidP="0047120C">
      <w:pPr>
        <w:pStyle w:val="BodyText1"/>
        <w:rPr>
          <w:lang w:val="en-GB"/>
        </w:rPr>
      </w:pPr>
      <w:r w:rsidRPr="00945D43">
        <w:rPr>
          <w:lang w:val="en-GB"/>
        </w:rPr>
        <w:t>Injection site reactions were reported in 93%</w:t>
      </w:r>
      <w:r w:rsidR="00383AE5">
        <w:rPr>
          <w:lang w:val="en-GB"/>
        </w:rPr>
        <w:t xml:space="preserve"> of</w:t>
      </w:r>
      <w:r w:rsidRPr="00945D43">
        <w:rPr>
          <w:lang w:val="en-GB"/>
        </w:rPr>
        <w:t xml:space="preserve"> patients. The most common injection site reactions (occurring in at least 10% of patients) were reaction, erythema, </w:t>
      </w:r>
      <w:r w:rsidRPr="0047120C">
        <w:t>bruising</w:t>
      </w:r>
      <w:r w:rsidRPr="00945D43">
        <w:rPr>
          <w:lang w:val="en-GB"/>
        </w:rPr>
        <w:t xml:space="preserve">, pruritus, pain, swelling, rash, induration, and urticaria. The risk of injection site reactions occurring is </w:t>
      </w:r>
      <w:r w:rsidR="00383AE5">
        <w:rPr>
          <w:lang w:val="en-GB"/>
        </w:rPr>
        <w:t>5.2</w:t>
      </w:r>
      <w:r w:rsidRPr="00945D43">
        <w:rPr>
          <w:lang w:val="en-GB"/>
        </w:rPr>
        <w:noBreakHyphen/>
        <w:t>fold higher in induction/titration phase compared to maintenance phase.</w:t>
      </w:r>
      <w:r w:rsidR="007E4BE7" w:rsidRPr="00945D43">
        <w:rPr>
          <w:lang w:val="en-GB"/>
        </w:rPr>
        <w:t xml:space="preserve"> </w:t>
      </w:r>
    </w:p>
    <w:p w14:paraId="36978287" w14:textId="1000AB01" w:rsidR="00945D43" w:rsidRPr="00945D43" w:rsidRDefault="00945D43" w:rsidP="0047120C">
      <w:pPr>
        <w:pStyle w:val="BodyText1"/>
        <w:rPr>
          <w:lang w:val="en-GB"/>
        </w:rPr>
      </w:pPr>
      <w:r w:rsidRPr="00945D43">
        <w:rPr>
          <w:lang w:val="en-GB"/>
        </w:rPr>
        <w:t xml:space="preserve">Injection site reactions occurred as early as the first dose and can occur at any time during treatment. The mean duration of injection site reaction was </w:t>
      </w:r>
      <w:r w:rsidR="00BA0B09">
        <w:rPr>
          <w:lang w:val="en-GB"/>
        </w:rPr>
        <w:t>9</w:t>
      </w:r>
      <w:r w:rsidRPr="00945D43">
        <w:rPr>
          <w:lang w:val="en-GB"/>
        </w:rPr>
        <w:t xml:space="preserve"> days, and 99% of injection site reactions resolved by the time of </w:t>
      </w:r>
      <w:r w:rsidR="00383AE5">
        <w:rPr>
          <w:lang w:val="en-GB"/>
        </w:rPr>
        <w:t>study completion</w:t>
      </w:r>
      <w:r w:rsidRPr="00945D43">
        <w:rPr>
          <w:lang w:val="en-GB"/>
        </w:rPr>
        <w:t xml:space="preserve">. </w:t>
      </w:r>
    </w:p>
    <w:p w14:paraId="10ECB5E3" w14:textId="4E00E15F" w:rsidR="00945D43" w:rsidRPr="00945D43" w:rsidRDefault="00945D43" w:rsidP="0047120C">
      <w:pPr>
        <w:pStyle w:val="BodyText1"/>
        <w:rPr>
          <w:lang w:val="en-GB"/>
        </w:rPr>
      </w:pPr>
      <w:r w:rsidRPr="00945D43">
        <w:rPr>
          <w:lang w:val="en-GB"/>
        </w:rPr>
        <w:t xml:space="preserve">Three injection site reactions consistent with granulomatous skin lesions were </w:t>
      </w:r>
      <w:r w:rsidRPr="0047120C">
        <w:t>reported</w:t>
      </w:r>
      <w:r w:rsidRPr="00945D43">
        <w:rPr>
          <w:lang w:val="en-GB"/>
        </w:rPr>
        <w:t xml:space="preserve"> (each reaction occurring in one patient): granulomatous dermatitis (occurred 15 months after </w:t>
      </w:r>
      <w:r w:rsidR="008706E4">
        <w:rPr>
          <w:lang w:val="en-GB"/>
        </w:rPr>
        <w:t>PALYNZIQ</w:t>
      </w:r>
      <w:r w:rsidRPr="00945D43">
        <w:rPr>
          <w:lang w:val="en-GB"/>
        </w:rPr>
        <w:t xml:space="preserve"> treatment and lasted 16 days), </w:t>
      </w:r>
      <w:proofErr w:type="spellStart"/>
      <w:r w:rsidRPr="00945D43">
        <w:rPr>
          <w:lang w:val="en-GB"/>
        </w:rPr>
        <w:t>xanthogranuloma</w:t>
      </w:r>
      <w:proofErr w:type="spellEnd"/>
      <w:r w:rsidRPr="00945D43">
        <w:rPr>
          <w:lang w:val="en-GB"/>
        </w:rPr>
        <w:t xml:space="preserve"> (occurred 12 months after </w:t>
      </w:r>
      <w:r w:rsidR="008706E4">
        <w:rPr>
          <w:lang w:val="en-GB"/>
        </w:rPr>
        <w:t>PALYNZIQ</w:t>
      </w:r>
      <w:r w:rsidRPr="00945D43">
        <w:rPr>
          <w:lang w:val="en-GB"/>
        </w:rPr>
        <w:t xml:space="preserve"> treatment and lasted 21 months), and necrobiosis </w:t>
      </w:r>
      <w:proofErr w:type="spellStart"/>
      <w:r w:rsidRPr="00945D43">
        <w:rPr>
          <w:lang w:val="en-GB"/>
        </w:rPr>
        <w:t>lipoidica</w:t>
      </w:r>
      <w:proofErr w:type="spellEnd"/>
      <w:r w:rsidRPr="00945D43">
        <w:rPr>
          <w:lang w:val="en-GB"/>
        </w:rPr>
        <w:t xml:space="preserve"> </w:t>
      </w:r>
      <w:proofErr w:type="spellStart"/>
      <w:r w:rsidRPr="00945D43">
        <w:rPr>
          <w:lang w:val="en-GB"/>
        </w:rPr>
        <w:t>diabeticorum</w:t>
      </w:r>
      <w:proofErr w:type="spellEnd"/>
      <w:r w:rsidRPr="00945D43">
        <w:rPr>
          <w:lang w:val="en-GB"/>
        </w:rPr>
        <w:t xml:space="preserve"> (occurred 9 months after </w:t>
      </w:r>
      <w:r w:rsidR="008706E4">
        <w:rPr>
          <w:lang w:val="en-GB"/>
        </w:rPr>
        <w:t>PALYNZIQ</w:t>
      </w:r>
      <w:r w:rsidRPr="00945D43">
        <w:rPr>
          <w:lang w:val="en-GB"/>
        </w:rPr>
        <w:t xml:space="preserve"> treatment and lasted 9 months). Necrobiosis </w:t>
      </w:r>
      <w:proofErr w:type="spellStart"/>
      <w:r w:rsidRPr="00945D43">
        <w:rPr>
          <w:lang w:val="en-GB"/>
        </w:rPr>
        <w:t>lipoidica</w:t>
      </w:r>
      <w:proofErr w:type="spellEnd"/>
      <w:r w:rsidRPr="00945D43">
        <w:rPr>
          <w:lang w:val="en-GB"/>
        </w:rPr>
        <w:t xml:space="preserve"> </w:t>
      </w:r>
      <w:proofErr w:type="spellStart"/>
      <w:r w:rsidRPr="00945D43">
        <w:rPr>
          <w:lang w:val="en-GB"/>
        </w:rPr>
        <w:t>diabeticorum</w:t>
      </w:r>
      <w:proofErr w:type="spellEnd"/>
      <w:r w:rsidRPr="00945D43">
        <w:rPr>
          <w:lang w:val="en-GB"/>
        </w:rPr>
        <w:t xml:space="preserve"> was treated with steroid injections and complicated by </w:t>
      </w:r>
      <w:r w:rsidRPr="00945D43">
        <w:rPr>
          <w:i/>
          <w:lang w:val="en-GB"/>
        </w:rPr>
        <w:t>Pseudomonas</w:t>
      </w:r>
      <w:r w:rsidRPr="00945D43">
        <w:rPr>
          <w:lang w:val="en-GB"/>
        </w:rPr>
        <w:t xml:space="preserve"> infection. </w:t>
      </w:r>
      <w:proofErr w:type="gramStart"/>
      <w:r w:rsidRPr="00945D43">
        <w:rPr>
          <w:lang w:val="en-GB"/>
        </w:rPr>
        <w:t>All of</w:t>
      </w:r>
      <w:proofErr w:type="gramEnd"/>
      <w:r w:rsidRPr="00945D43">
        <w:rPr>
          <w:lang w:val="en-GB"/>
        </w:rPr>
        <w:t xml:space="preserve"> these injection site reactions resolved. One patient reported soft tissue infection associated with mesenteric panniculitis, which resulted in treatment discontinuation.</w:t>
      </w:r>
    </w:p>
    <w:p w14:paraId="640A7724" w14:textId="77777777" w:rsidR="00945D43" w:rsidRPr="00945D43" w:rsidRDefault="00945D43" w:rsidP="007E4BE7">
      <w:pPr>
        <w:pStyle w:val="Heading4"/>
      </w:pPr>
      <w:r w:rsidRPr="00945D43">
        <w:lastRenderedPageBreak/>
        <w:t>Cutaneous reactions (not limited to the injection site) lasting ≥ 14 days</w:t>
      </w:r>
    </w:p>
    <w:p w14:paraId="378C81B9" w14:textId="23E93C90" w:rsidR="00945D43" w:rsidRPr="00945D43" w:rsidRDefault="00945D43" w:rsidP="00945D43">
      <w:pPr>
        <w:pStyle w:val="BodyText1"/>
        <w:rPr>
          <w:lang w:val="en-GB"/>
        </w:rPr>
      </w:pPr>
      <w:r w:rsidRPr="00945D43">
        <w:rPr>
          <w:bCs/>
          <w:lang w:val="en-GB"/>
        </w:rPr>
        <w:t>In clinical trials, 47%</w:t>
      </w:r>
      <w:r w:rsidR="00383AE5">
        <w:rPr>
          <w:bCs/>
          <w:lang w:val="en-GB"/>
        </w:rPr>
        <w:t xml:space="preserve"> of</w:t>
      </w:r>
      <w:r w:rsidRPr="00945D43">
        <w:rPr>
          <w:bCs/>
          <w:lang w:val="en-GB"/>
        </w:rPr>
        <w:t xml:space="preserve"> patients treated with </w:t>
      </w:r>
      <w:r w:rsidR="008706E4">
        <w:rPr>
          <w:bCs/>
          <w:lang w:val="en-GB"/>
        </w:rPr>
        <w:t>PALYNZIQ</w:t>
      </w:r>
      <w:r w:rsidRPr="00945D43">
        <w:rPr>
          <w:bCs/>
          <w:lang w:val="en-GB"/>
        </w:rPr>
        <w:t xml:space="preserve"> experienced cutaneous reactions (not limited to the injection site) lasting at least 14 days. </w:t>
      </w:r>
      <w:r w:rsidRPr="00945D43">
        <w:rPr>
          <w:lang w:val="en-GB"/>
        </w:rPr>
        <w:t>The risk of cutaneous reactions lasting at least 14 days occurring is 1.5</w:t>
      </w:r>
      <w:r w:rsidRPr="00945D43">
        <w:rPr>
          <w:lang w:val="en-GB"/>
        </w:rPr>
        <w:noBreakHyphen/>
        <w:t xml:space="preserve">fold higher in induction/titration phase compared to maintenance phase. </w:t>
      </w:r>
    </w:p>
    <w:p w14:paraId="1315DD10" w14:textId="5E283C6B" w:rsidR="00945D43" w:rsidRPr="00945D43" w:rsidRDefault="00945D43" w:rsidP="00945D43">
      <w:pPr>
        <w:pStyle w:val="BodyText1"/>
        <w:rPr>
          <w:b/>
          <w:i/>
          <w:lang w:val="en-GB"/>
        </w:rPr>
      </w:pPr>
      <w:r w:rsidRPr="00945D43">
        <w:rPr>
          <w:bCs/>
          <w:lang w:val="en-GB"/>
        </w:rPr>
        <w:t>The most common cutaneous reactions (at least 5% of patients) reported were pruritus, rash, erythema, and urticaria. Other reactions reported included skin exfoliation, generalised rash, erythematous rash, maculo</w:t>
      </w:r>
      <w:r w:rsidRPr="00945D43">
        <w:rPr>
          <w:bCs/>
          <w:lang w:val="en-GB"/>
        </w:rPr>
        <w:noBreakHyphen/>
        <w:t xml:space="preserve">papular rash, and pruritic rash. The mean (SD) duration of these reactions was </w:t>
      </w:r>
      <w:r w:rsidR="00383AE5">
        <w:rPr>
          <w:bCs/>
          <w:lang w:val="en-GB"/>
        </w:rPr>
        <w:t>63</w:t>
      </w:r>
      <w:r w:rsidR="00383AE5" w:rsidRPr="00945D43">
        <w:rPr>
          <w:bCs/>
          <w:lang w:val="en-GB"/>
        </w:rPr>
        <w:t xml:space="preserve"> </w:t>
      </w:r>
      <w:r w:rsidRPr="00945D43">
        <w:rPr>
          <w:bCs/>
          <w:lang w:val="en-GB"/>
        </w:rPr>
        <w:t>(</w:t>
      </w:r>
      <w:r w:rsidR="00383AE5">
        <w:rPr>
          <w:bCs/>
          <w:lang w:val="en-GB"/>
        </w:rPr>
        <w:t>76</w:t>
      </w:r>
      <w:r w:rsidRPr="00945D43">
        <w:rPr>
          <w:bCs/>
          <w:lang w:val="en-GB"/>
        </w:rPr>
        <w:t xml:space="preserve">) days, and 86% of these reactions resolved by the time of </w:t>
      </w:r>
      <w:r w:rsidR="00383AE5">
        <w:rPr>
          <w:bCs/>
          <w:lang w:val="en-GB"/>
        </w:rPr>
        <w:t>study completion</w:t>
      </w:r>
      <w:r w:rsidRPr="00945D43">
        <w:rPr>
          <w:bCs/>
          <w:lang w:val="en-GB"/>
        </w:rPr>
        <w:t>.</w:t>
      </w:r>
    </w:p>
    <w:p w14:paraId="48CE6E94" w14:textId="77777777" w:rsidR="00945D43" w:rsidRPr="00945D43" w:rsidRDefault="00945D43" w:rsidP="007E4BE7">
      <w:pPr>
        <w:pStyle w:val="Heading4"/>
      </w:pPr>
      <w:r w:rsidRPr="00945D43">
        <w:t>Immunogenicity</w:t>
      </w:r>
    </w:p>
    <w:p w14:paraId="16E0584D" w14:textId="2562C221" w:rsidR="00945D43" w:rsidRPr="00945D43" w:rsidRDefault="00945D43" w:rsidP="00945D43">
      <w:pPr>
        <w:pStyle w:val="BodyText1"/>
        <w:rPr>
          <w:bCs/>
          <w:lang w:val="en-GB"/>
        </w:rPr>
      </w:pPr>
      <w:r w:rsidRPr="00945D43">
        <w:rPr>
          <w:bCs/>
          <w:lang w:val="en-GB"/>
        </w:rPr>
        <w:t xml:space="preserve">All patients treated with </w:t>
      </w:r>
      <w:r w:rsidR="008706E4">
        <w:rPr>
          <w:bCs/>
          <w:lang w:val="en-GB"/>
        </w:rPr>
        <w:t>PALYNZIQ</w:t>
      </w:r>
      <w:r w:rsidRPr="00945D43">
        <w:rPr>
          <w:bCs/>
          <w:lang w:val="en-GB"/>
        </w:rPr>
        <w:t xml:space="preserve"> developed a sustained total anti</w:t>
      </w:r>
      <w:r w:rsidRPr="00945D43">
        <w:rPr>
          <w:bCs/>
          <w:lang w:val="en-GB"/>
        </w:rPr>
        <w:noBreakHyphen/>
      </w:r>
      <w:proofErr w:type="spellStart"/>
      <w:r w:rsidRPr="00945D43">
        <w:rPr>
          <w:bCs/>
          <w:lang w:val="en-GB"/>
        </w:rPr>
        <w:t>pegvaliase</w:t>
      </w:r>
      <w:proofErr w:type="spellEnd"/>
      <w:r w:rsidRPr="00945D43">
        <w:rPr>
          <w:bCs/>
          <w:lang w:val="en-GB"/>
        </w:rPr>
        <w:t xml:space="preserve"> antibody (</w:t>
      </w:r>
      <w:proofErr w:type="spellStart"/>
      <w:r w:rsidRPr="00945D43">
        <w:rPr>
          <w:bCs/>
          <w:lang w:val="en-GB"/>
        </w:rPr>
        <w:t>TAb</w:t>
      </w:r>
      <w:proofErr w:type="spellEnd"/>
      <w:r w:rsidRPr="00945D43">
        <w:rPr>
          <w:bCs/>
          <w:lang w:val="en-GB"/>
        </w:rPr>
        <w:t xml:space="preserve">) response with </w:t>
      </w:r>
      <w:r w:rsidR="00383AE5">
        <w:rPr>
          <w:bCs/>
          <w:lang w:val="en-GB"/>
        </w:rPr>
        <w:t>nearly all</w:t>
      </w:r>
      <w:r w:rsidRPr="00945D43">
        <w:rPr>
          <w:bCs/>
          <w:lang w:val="en-GB"/>
        </w:rPr>
        <w:t xml:space="preserve"> patients becoming positive by Week 4. Mean </w:t>
      </w:r>
      <w:proofErr w:type="spellStart"/>
      <w:r w:rsidRPr="00945D43">
        <w:rPr>
          <w:bCs/>
          <w:lang w:val="en-GB"/>
        </w:rPr>
        <w:t>TAb</w:t>
      </w:r>
      <w:proofErr w:type="spellEnd"/>
      <w:r w:rsidRPr="00945D43">
        <w:rPr>
          <w:bCs/>
          <w:lang w:val="en-GB"/>
        </w:rPr>
        <w:t xml:space="preserve"> titres were sustained through long</w:t>
      </w:r>
      <w:r w:rsidRPr="00945D43">
        <w:rPr>
          <w:bCs/>
          <w:lang w:val="en-GB"/>
        </w:rPr>
        <w:noBreakHyphen/>
        <w:t xml:space="preserve">term treatment (greater than </w:t>
      </w:r>
      <w:r w:rsidR="0047611B">
        <w:rPr>
          <w:bCs/>
          <w:lang w:val="en-GB"/>
        </w:rPr>
        <w:t>3</w:t>
      </w:r>
      <w:r w:rsidRPr="00945D43">
        <w:rPr>
          <w:bCs/>
          <w:lang w:val="en-GB"/>
        </w:rPr>
        <w:t> year</w:t>
      </w:r>
      <w:r w:rsidR="0047611B">
        <w:rPr>
          <w:bCs/>
          <w:lang w:val="en-GB"/>
        </w:rPr>
        <w:t>s</w:t>
      </w:r>
      <w:r w:rsidRPr="00945D43">
        <w:rPr>
          <w:bCs/>
          <w:lang w:val="en-GB"/>
        </w:rPr>
        <w:t xml:space="preserve"> after treatment initiation). Anti</w:t>
      </w:r>
      <w:r w:rsidRPr="00945D43">
        <w:rPr>
          <w:bCs/>
          <w:lang w:val="en-GB"/>
        </w:rPr>
        <w:noBreakHyphen/>
        <w:t xml:space="preserve">phenylalanine ammonia lyase (PAL) IgM was detected in </w:t>
      </w:r>
      <w:r w:rsidR="0047611B">
        <w:rPr>
          <w:bCs/>
          <w:lang w:val="en-GB"/>
        </w:rPr>
        <w:t xml:space="preserve">nearly </w:t>
      </w:r>
      <w:r w:rsidR="00BA0B09">
        <w:rPr>
          <w:bCs/>
          <w:lang w:val="en-GB"/>
        </w:rPr>
        <w:t xml:space="preserve">all </w:t>
      </w:r>
      <w:r w:rsidR="0047611B">
        <w:rPr>
          <w:bCs/>
          <w:lang w:val="en-GB"/>
        </w:rPr>
        <w:t xml:space="preserve">treated </w:t>
      </w:r>
      <w:r w:rsidR="00BA0B09">
        <w:rPr>
          <w:bCs/>
          <w:lang w:val="en-GB"/>
        </w:rPr>
        <w:t xml:space="preserve">patients </w:t>
      </w:r>
      <w:r w:rsidRPr="00945D43">
        <w:rPr>
          <w:bCs/>
          <w:lang w:val="en-GB"/>
        </w:rPr>
        <w:t>by 2 months</w:t>
      </w:r>
      <w:r w:rsidR="0047611B">
        <w:rPr>
          <w:bCs/>
          <w:lang w:val="en-GB"/>
        </w:rPr>
        <w:t xml:space="preserve"> by 2 months after treatment initiation, with incidence and mean titres gradually decreasing over time</w:t>
      </w:r>
      <w:r w:rsidRPr="00945D43">
        <w:rPr>
          <w:lang w:val="en-US"/>
        </w:rPr>
        <w:t>.</w:t>
      </w:r>
      <w:r w:rsidRPr="00945D43">
        <w:rPr>
          <w:bCs/>
          <w:lang w:val="en-GB"/>
        </w:rPr>
        <w:t xml:space="preserve"> Anti</w:t>
      </w:r>
      <w:r w:rsidRPr="00945D43">
        <w:rPr>
          <w:bCs/>
          <w:lang w:val="en-GB"/>
        </w:rPr>
        <w:noBreakHyphen/>
        <w:t xml:space="preserve">PAL IgG was detected in </w:t>
      </w:r>
      <w:r w:rsidR="0047611B">
        <w:rPr>
          <w:bCs/>
          <w:lang w:val="en-GB"/>
        </w:rPr>
        <w:t xml:space="preserve">nearly </w:t>
      </w:r>
      <w:r w:rsidRPr="00945D43">
        <w:rPr>
          <w:bCs/>
          <w:lang w:val="en-GB"/>
        </w:rPr>
        <w:t>all patients by 4 months</w:t>
      </w:r>
      <w:r w:rsidR="0047611B">
        <w:rPr>
          <w:bCs/>
          <w:lang w:val="en-GB"/>
        </w:rPr>
        <w:t xml:space="preserve"> and mean titres </w:t>
      </w:r>
      <w:r w:rsidRPr="00945D43">
        <w:rPr>
          <w:bCs/>
          <w:lang w:val="en-GB"/>
        </w:rPr>
        <w:t>were relatively stable through long</w:t>
      </w:r>
      <w:r w:rsidRPr="00945D43">
        <w:rPr>
          <w:bCs/>
          <w:lang w:val="en-GB"/>
        </w:rPr>
        <w:noBreakHyphen/>
        <w:t>term treatment. Pegvaliase induced anti</w:t>
      </w:r>
      <w:r w:rsidRPr="00945D43">
        <w:rPr>
          <w:bCs/>
          <w:lang w:val="en-GB"/>
        </w:rPr>
        <w:noBreakHyphen/>
        <w:t xml:space="preserve">PEG IgM and IgG responses were detected in </w:t>
      </w:r>
      <w:r w:rsidR="0047611B">
        <w:rPr>
          <w:bCs/>
          <w:lang w:val="en-GB"/>
        </w:rPr>
        <w:t>nearly all</w:t>
      </w:r>
      <w:r w:rsidRPr="00945D43">
        <w:rPr>
          <w:bCs/>
          <w:lang w:val="en-GB"/>
        </w:rPr>
        <w:t xml:space="preserve"> patients</w:t>
      </w:r>
      <w:r w:rsidR="0047611B">
        <w:rPr>
          <w:bCs/>
          <w:lang w:val="en-GB"/>
        </w:rPr>
        <w:t>,</w:t>
      </w:r>
      <w:r w:rsidR="003520A5">
        <w:rPr>
          <w:bCs/>
          <w:lang w:val="en-GB"/>
        </w:rPr>
        <w:t xml:space="preserve"> </w:t>
      </w:r>
      <w:r w:rsidR="0047611B">
        <w:rPr>
          <w:bCs/>
          <w:lang w:val="en-GB"/>
        </w:rPr>
        <w:t>with mean</w:t>
      </w:r>
      <w:r w:rsidRPr="00945D43">
        <w:rPr>
          <w:bCs/>
          <w:lang w:val="en-GB"/>
        </w:rPr>
        <w:t xml:space="preserve"> titres peak</w:t>
      </w:r>
      <w:r w:rsidR="0047611B">
        <w:rPr>
          <w:bCs/>
          <w:lang w:val="en-GB"/>
        </w:rPr>
        <w:t>ing</w:t>
      </w:r>
      <w:r w:rsidRPr="00945D43">
        <w:rPr>
          <w:bCs/>
          <w:lang w:val="en-GB"/>
        </w:rPr>
        <w:t xml:space="preserve"> at 1 to 3 months after treatment initiation and return</w:t>
      </w:r>
      <w:r w:rsidR="0047611B">
        <w:rPr>
          <w:bCs/>
          <w:lang w:val="en-GB"/>
        </w:rPr>
        <w:t>ing</w:t>
      </w:r>
      <w:r w:rsidRPr="00945D43">
        <w:rPr>
          <w:bCs/>
          <w:lang w:val="en-GB"/>
        </w:rPr>
        <w:t xml:space="preserve"> to baseline levels in most patients by 6 to 9 months after treatment initiation. Neutralising antibodies (</w:t>
      </w:r>
      <w:proofErr w:type="spellStart"/>
      <w:r w:rsidRPr="00945D43">
        <w:rPr>
          <w:bCs/>
          <w:lang w:val="en-GB"/>
        </w:rPr>
        <w:t>NAb</w:t>
      </w:r>
      <w:proofErr w:type="spellEnd"/>
      <w:r w:rsidRPr="00945D43">
        <w:rPr>
          <w:bCs/>
          <w:lang w:val="en-GB"/>
        </w:rPr>
        <w:t xml:space="preserve">) capable of inhibiting PAL enzyme activity were detected in </w:t>
      </w:r>
      <w:proofErr w:type="gramStart"/>
      <w:r w:rsidRPr="00945D43">
        <w:rPr>
          <w:bCs/>
          <w:lang w:val="en-GB"/>
        </w:rPr>
        <w:t>a majority of</w:t>
      </w:r>
      <w:proofErr w:type="gramEnd"/>
      <w:r w:rsidRPr="00945D43">
        <w:rPr>
          <w:bCs/>
          <w:lang w:val="en-GB"/>
        </w:rPr>
        <w:t xml:space="preserve"> patients </w:t>
      </w:r>
      <w:r w:rsidR="0047611B">
        <w:rPr>
          <w:bCs/>
          <w:lang w:val="en-GB"/>
        </w:rPr>
        <w:t>by</w:t>
      </w:r>
      <w:r w:rsidRPr="00945D43">
        <w:rPr>
          <w:bCs/>
          <w:lang w:val="en-GB"/>
        </w:rPr>
        <w:t xml:space="preserve"> one year after treatment initiation and </w:t>
      </w:r>
      <w:r w:rsidR="0047611B">
        <w:rPr>
          <w:bCs/>
          <w:lang w:val="en-GB"/>
        </w:rPr>
        <w:t xml:space="preserve">mean titres were relatively </w:t>
      </w:r>
      <w:r w:rsidRPr="00945D43">
        <w:rPr>
          <w:bCs/>
          <w:lang w:val="en-GB"/>
        </w:rPr>
        <w:t>stable through long</w:t>
      </w:r>
      <w:r w:rsidRPr="00945D43">
        <w:rPr>
          <w:bCs/>
          <w:lang w:val="en-GB"/>
        </w:rPr>
        <w:noBreakHyphen/>
        <w:t xml:space="preserve">term treatment. </w:t>
      </w:r>
    </w:p>
    <w:p w14:paraId="4E6A282B" w14:textId="242AA0CA" w:rsidR="00945D43" w:rsidRPr="00945D43" w:rsidRDefault="00945D43" w:rsidP="00945D43">
      <w:pPr>
        <w:pStyle w:val="BodyText1"/>
        <w:rPr>
          <w:bCs/>
          <w:lang w:val="en-GB"/>
        </w:rPr>
      </w:pPr>
      <w:r w:rsidRPr="00945D43">
        <w:rPr>
          <w:bCs/>
          <w:lang w:val="en-GB"/>
        </w:rPr>
        <w:t xml:space="preserve">All 16 patients who experienced acute systemic hypersensitivity reactions tested negative for </w:t>
      </w:r>
      <w:proofErr w:type="spellStart"/>
      <w:r w:rsidRPr="00945D43">
        <w:rPr>
          <w:bCs/>
          <w:lang w:val="en-GB"/>
        </w:rPr>
        <w:t>pegvaliase</w:t>
      </w:r>
      <w:proofErr w:type="spellEnd"/>
      <w:r w:rsidRPr="00945D43">
        <w:rPr>
          <w:bCs/>
          <w:lang w:val="en-GB"/>
        </w:rPr>
        <w:noBreakHyphen/>
        <w:t xml:space="preserve">specific </w:t>
      </w:r>
      <w:proofErr w:type="spellStart"/>
      <w:r w:rsidRPr="00945D43">
        <w:rPr>
          <w:bCs/>
          <w:lang w:val="en-GB"/>
        </w:rPr>
        <w:t>IgE</w:t>
      </w:r>
      <w:proofErr w:type="spellEnd"/>
      <w:r w:rsidRPr="00945D43">
        <w:rPr>
          <w:bCs/>
          <w:lang w:val="en-GB"/>
        </w:rPr>
        <w:t xml:space="preserve"> at or near the time of the acute systemic hypersensitivity reactions episode. These reactions were consistent with a Type III immune</w:t>
      </w:r>
      <w:r w:rsidRPr="00945D43">
        <w:rPr>
          <w:bCs/>
          <w:lang w:val="en-GB"/>
        </w:rPr>
        <w:noBreakHyphen/>
        <w:t>complex mediated hypersensitivity mechanism and were most frequent in the early phases of treatment (during the induction and titration periods) when the early immune response was dominated by PEG IgM, PEG IgG and PAL IgM responses and C3/C4 levels were at their lowest.</w:t>
      </w:r>
      <w:r w:rsidRPr="00945D43">
        <w:rPr>
          <w:lang w:val="en-GB"/>
        </w:rPr>
        <w:t xml:space="preserve"> </w:t>
      </w:r>
      <w:r w:rsidRPr="00945D43">
        <w:rPr>
          <w:bCs/>
          <w:lang w:val="en-GB"/>
        </w:rPr>
        <w:t>Hypersensitivity reactions decreased over time in maintenance as the incidence of these antibodies decreased, and C3/C4</w:t>
      </w:r>
      <w:r w:rsidR="00B356B7">
        <w:rPr>
          <w:bCs/>
          <w:lang w:val="en-GB"/>
        </w:rPr>
        <w:t xml:space="preserve"> levels</w:t>
      </w:r>
      <w:r w:rsidRPr="00945D43">
        <w:rPr>
          <w:bCs/>
          <w:lang w:val="en-GB"/>
        </w:rPr>
        <w:t xml:space="preserve"> returned towards baseline. Presence of antibody titres was not predictive of hypersensitivity reactions. </w:t>
      </w:r>
    </w:p>
    <w:p w14:paraId="183DDADE" w14:textId="603219C9" w:rsidR="00945D43" w:rsidRPr="00945D43" w:rsidRDefault="00945D43" w:rsidP="00945D43">
      <w:pPr>
        <w:pStyle w:val="BodyText1"/>
        <w:rPr>
          <w:lang w:val="en-GB"/>
        </w:rPr>
      </w:pPr>
      <w:r w:rsidRPr="00945D43">
        <w:rPr>
          <w:bCs/>
          <w:lang w:val="en-GB"/>
        </w:rPr>
        <w:t xml:space="preserve">In clinical trials, a direct correlation between pegvaliase plasma exposure and blood phenylalanine reduction was observed. Pegvaliase plasma exposure was primarily driven by immune response to pegvaliase. </w:t>
      </w:r>
      <w:bookmarkStart w:id="16" w:name="_Hlk534009743"/>
      <w:r w:rsidRPr="00945D43">
        <w:rPr>
          <w:bCs/>
          <w:lang w:val="en-GB"/>
        </w:rPr>
        <w:t xml:space="preserve">Patients with lower antibody titres for all antibody analytes including </w:t>
      </w:r>
      <w:proofErr w:type="spellStart"/>
      <w:r w:rsidRPr="00945D43">
        <w:rPr>
          <w:bCs/>
          <w:lang w:val="en-GB"/>
        </w:rPr>
        <w:t>NAb</w:t>
      </w:r>
      <w:proofErr w:type="spellEnd"/>
      <w:r w:rsidRPr="00945D43">
        <w:rPr>
          <w:bCs/>
          <w:lang w:val="en-GB"/>
        </w:rPr>
        <w:t xml:space="preserve"> had higher </w:t>
      </w:r>
      <w:proofErr w:type="spellStart"/>
      <w:r w:rsidRPr="00945D43">
        <w:rPr>
          <w:bCs/>
          <w:lang w:val="en-GB"/>
        </w:rPr>
        <w:t>pegvaliase</w:t>
      </w:r>
      <w:proofErr w:type="spellEnd"/>
      <w:r w:rsidRPr="00945D43">
        <w:rPr>
          <w:bCs/>
          <w:lang w:val="en-GB"/>
        </w:rPr>
        <w:t xml:space="preserve"> concentrations due to less immune</w:t>
      </w:r>
      <w:r w:rsidRPr="00945D43">
        <w:rPr>
          <w:bCs/>
          <w:lang w:val="en-GB"/>
        </w:rPr>
        <w:noBreakHyphen/>
        <w:t xml:space="preserve">mediated pegvaliase clearance. </w:t>
      </w:r>
      <w:proofErr w:type="gramStart"/>
      <w:r w:rsidRPr="00945D43">
        <w:rPr>
          <w:bCs/>
          <w:lang w:val="en-GB"/>
        </w:rPr>
        <w:t>As a consequence</w:t>
      </w:r>
      <w:proofErr w:type="gramEnd"/>
      <w:r w:rsidRPr="00945D43">
        <w:rPr>
          <w:bCs/>
          <w:lang w:val="en-GB"/>
        </w:rPr>
        <w:t xml:space="preserve">, these patients were more likely to develop </w:t>
      </w:r>
      <w:proofErr w:type="spellStart"/>
      <w:r w:rsidRPr="00945D43">
        <w:rPr>
          <w:bCs/>
          <w:lang w:val="en-GB"/>
        </w:rPr>
        <w:t>hypophenylalaninaemia</w:t>
      </w:r>
      <w:proofErr w:type="spellEnd"/>
      <w:r w:rsidRPr="00945D43">
        <w:rPr>
          <w:bCs/>
          <w:lang w:val="en-GB"/>
        </w:rPr>
        <w:t xml:space="preserve">. </w:t>
      </w:r>
      <w:bookmarkEnd w:id="16"/>
      <w:r w:rsidRPr="00945D43">
        <w:rPr>
          <w:bCs/>
          <w:lang w:val="en-GB"/>
        </w:rPr>
        <w:t xml:space="preserve">Patients with higher antibody titres required higher doses to overcome clearance and achieve blood phenylalanine reduction. However, due to the substantial variability in antibody titres between patients, no specific antibody titre was predictive of pegvaliase dose required to reach substantial blood phenylalanine reduction, or the development of </w:t>
      </w:r>
      <w:proofErr w:type="spellStart"/>
      <w:r w:rsidRPr="00945D43">
        <w:rPr>
          <w:bCs/>
          <w:lang w:val="en-GB"/>
        </w:rPr>
        <w:t>hypophenylalaninaemia</w:t>
      </w:r>
      <w:proofErr w:type="spellEnd"/>
      <w:r w:rsidRPr="00945D43">
        <w:rPr>
          <w:bCs/>
          <w:lang w:val="en-GB"/>
        </w:rPr>
        <w:t xml:space="preserve">. During early treatment (less than 6 months after </w:t>
      </w:r>
      <w:r w:rsidR="008706E4">
        <w:rPr>
          <w:bCs/>
          <w:lang w:val="en-GB"/>
        </w:rPr>
        <w:t>PALYNZIQ</w:t>
      </w:r>
      <w:r w:rsidRPr="00945D43">
        <w:rPr>
          <w:bCs/>
          <w:lang w:val="en-GB"/>
        </w:rPr>
        <w:t xml:space="preserve"> administration) when immune</w:t>
      </w:r>
      <w:r w:rsidRPr="00945D43">
        <w:rPr>
          <w:bCs/>
          <w:lang w:val="en-GB"/>
        </w:rPr>
        <w:noBreakHyphen/>
        <w:t xml:space="preserve">mediated clearance was high and doses were low, patients with higher antibody titres achieved less blood phenylalanine reduction. Following maturation of the early immune response (more than 6 months after </w:t>
      </w:r>
      <w:r w:rsidR="008706E4">
        <w:rPr>
          <w:bCs/>
          <w:lang w:val="en-GB"/>
        </w:rPr>
        <w:t>PALYNZIQ</w:t>
      </w:r>
      <w:r w:rsidRPr="00945D43">
        <w:rPr>
          <w:bCs/>
          <w:lang w:val="en-GB"/>
        </w:rPr>
        <w:t xml:space="preserve"> administration) and dose adjustment for managing blood phenylalanine control in long</w:t>
      </w:r>
      <w:r w:rsidRPr="00945D43">
        <w:rPr>
          <w:bCs/>
          <w:lang w:val="en-GB"/>
        </w:rPr>
        <w:noBreakHyphen/>
        <w:t>term treatment, mean blood phenylalanine levels continued to decrease in patients who continued treatment (see section 5.1</w:t>
      </w:r>
      <w:r w:rsidR="007F2A08">
        <w:rPr>
          <w:bCs/>
          <w:lang w:val="en-GB"/>
        </w:rPr>
        <w:t xml:space="preserve"> Pharmacodynamic properties </w:t>
      </w:r>
      <w:r w:rsidR="00F912C5">
        <w:rPr>
          <w:bCs/>
          <w:lang w:val="en-GB"/>
        </w:rPr>
        <w:t>–</w:t>
      </w:r>
      <w:r w:rsidR="007F2A08">
        <w:rPr>
          <w:bCs/>
          <w:lang w:val="en-GB"/>
        </w:rPr>
        <w:t xml:space="preserve"> </w:t>
      </w:r>
      <w:r w:rsidR="00F912C5">
        <w:rPr>
          <w:bCs/>
          <w:lang w:val="en-GB"/>
        </w:rPr>
        <w:t>clinical trials</w:t>
      </w:r>
      <w:r w:rsidRPr="00945D43">
        <w:rPr>
          <w:bCs/>
          <w:lang w:val="en-GB"/>
        </w:rPr>
        <w:t>). Antibody titres were stable with long</w:t>
      </w:r>
      <w:r w:rsidRPr="00945D43">
        <w:rPr>
          <w:bCs/>
          <w:lang w:val="en-GB"/>
        </w:rPr>
        <w:noBreakHyphen/>
        <w:t>term treatment and dose increases were not associated with increased antibody titres. Thus, mean dose levels also stabilized with long</w:t>
      </w:r>
      <w:r w:rsidRPr="00945D43">
        <w:rPr>
          <w:bCs/>
          <w:lang w:val="en-GB"/>
        </w:rPr>
        <w:noBreakHyphen/>
        <w:t>term treatment with sustained therapeutic effect.</w:t>
      </w:r>
    </w:p>
    <w:p w14:paraId="18023BCF" w14:textId="77777777" w:rsidR="00945D43" w:rsidRPr="00945D43" w:rsidRDefault="00945D43" w:rsidP="007E4BE7">
      <w:pPr>
        <w:pStyle w:val="Heading4"/>
      </w:pPr>
      <w:r w:rsidRPr="00945D43">
        <w:t>Paediatric population</w:t>
      </w:r>
    </w:p>
    <w:p w14:paraId="7F6ADE31" w14:textId="77777777" w:rsidR="00945D43" w:rsidRPr="00945D43" w:rsidRDefault="00945D43" w:rsidP="00945D43">
      <w:pPr>
        <w:pStyle w:val="BodyText1"/>
        <w:rPr>
          <w:bCs/>
          <w:iCs/>
          <w:lang w:val="en-GB"/>
        </w:rPr>
      </w:pPr>
      <w:r w:rsidRPr="00945D43">
        <w:rPr>
          <w:bCs/>
          <w:iCs/>
          <w:lang w:val="en-GB"/>
        </w:rPr>
        <w:t xml:space="preserve">No data are available in paediatric patients less than 16 years of age. </w:t>
      </w:r>
    </w:p>
    <w:p w14:paraId="11C26A63" w14:textId="65D49FA6" w:rsidR="00F17012" w:rsidRPr="00F17012" w:rsidRDefault="00945D43" w:rsidP="00945D43">
      <w:pPr>
        <w:pStyle w:val="BodyText1"/>
        <w:rPr>
          <w:highlight w:val="yellow"/>
        </w:rPr>
      </w:pPr>
      <w:r w:rsidRPr="00BB3257">
        <w:rPr>
          <w:bCs/>
          <w:iCs/>
          <w:lang w:val="en-GB"/>
        </w:rPr>
        <w:lastRenderedPageBreak/>
        <w:t xml:space="preserve">Twelve patients (11 patients from Study 301) aged 16 up to 18 years received </w:t>
      </w:r>
      <w:r w:rsidR="008706E4">
        <w:rPr>
          <w:bCs/>
          <w:iCs/>
          <w:lang w:val="en-GB"/>
        </w:rPr>
        <w:t>PALYNZIQ</w:t>
      </w:r>
      <w:r w:rsidRPr="00BB3257">
        <w:rPr>
          <w:bCs/>
          <w:iCs/>
          <w:lang w:val="en-GB"/>
        </w:rPr>
        <w:t xml:space="preserve"> treatment. Adverse reactions were similar in type and frequency to that of adult patients.</w:t>
      </w:r>
      <w:r w:rsidR="00F17012" w:rsidRPr="00F17012">
        <w:rPr>
          <w:highlight w:val="yellow"/>
        </w:rPr>
        <w:t xml:space="preserve"> </w:t>
      </w:r>
    </w:p>
    <w:p w14:paraId="65A3342A" w14:textId="77777777" w:rsidR="005C682D" w:rsidRPr="005C682D" w:rsidRDefault="005C682D" w:rsidP="00126740">
      <w:pPr>
        <w:pStyle w:val="Heading3"/>
        <w:keepNext/>
      </w:pPr>
      <w:r w:rsidRPr="005C682D">
        <w:t>Reporting suspected adverse effects</w:t>
      </w:r>
    </w:p>
    <w:p w14:paraId="1618DAD7" w14:textId="518E0EA6" w:rsidR="005C682D" w:rsidRPr="005C682D" w:rsidRDefault="005C682D" w:rsidP="00126740">
      <w:pPr>
        <w:pStyle w:val="BodyText1"/>
        <w:keepNext/>
      </w:pPr>
      <w:r w:rsidRPr="005C682D">
        <w:t>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5C682D">
          <w:t>www.tga.gov.au/reporting-problems</w:t>
        </w:r>
      </w:hyperlink>
      <w:r w:rsidR="00126740">
        <w:t xml:space="preserve">. </w:t>
      </w:r>
    </w:p>
    <w:p w14:paraId="194EF9E2" w14:textId="6951BD70" w:rsidR="00710964" w:rsidRDefault="008450DE" w:rsidP="005C682D">
      <w:pPr>
        <w:pStyle w:val="Heading2"/>
      </w:pPr>
      <w:r>
        <w:t xml:space="preserve">4.9 </w:t>
      </w:r>
      <w:r w:rsidR="00710964">
        <w:t>Overdose</w:t>
      </w:r>
    </w:p>
    <w:p w14:paraId="47CF4AE4" w14:textId="3ABD5FFA" w:rsidR="003E0649" w:rsidRPr="005C682D" w:rsidRDefault="00A9684D" w:rsidP="00710964">
      <w:pPr>
        <w:pStyle w:val="BodyText1"/>
      </w:pPr>
      <w:r w:rsidRPr="00A9684D">
        <w:rPr>
          <w:iCs/>
          <w:lang w:val="en-GB"/>
        </w:rPr>
        <w:t>In clinical trials, doses of pegvaliase were explored up to 150 mg/day and no specific signs or symptoms were identified following these higher doses. No differences in the safety profile were observed. For management of adverse reactions, see sections 4.4</w:t>
      </w:r>
      <w:r w:rsidR="00AF11EA">
        <w:rPr>
          <w:iCs/>
          <w:lang w:val="en-GB"/>
        </w:rPr>
        <w:t xml:space="preserve"> </w:t>
      </w:r>
      <w:r w:rsidR="007062B1">
        <w:rPr>
          <w:iCs/>
          <w:lang w:val="en-GB"/>
        </w:rPr>
        <w:t xml:space="preserve">Special warnings and precautions for use </w:t>
      </w:r>
      <w:r w:rsidRPr="00A9684D">
        <w:rPr>
          <w:iCs/>
          <w:lang w:val="en-GB"/>
        </w:rPr>
        <w:t>and 4.8</w:t>
      </w:r>
      <w:r w:rsidR="00C40587">
        <w:rPr>
          <w:iCs/>
          <w:lang w:val="en-GB"/>
        </w:rPr>
        <w:t xml:space="preserve"> Adverse effects</w:t>
      </w:r>
      <w:r w:rsidRPr="00A9684D">
        <w:rPr>
          <w:iCs/>
          <w:lang w:val="en-GB"/>
        </w:rPr>
        <w:t>.</w:t>
      </w:r>
    </w:p>
    <w:p w14:paraId="6A824160" w14:textId="6346058A" w:rsidR="003E0649" w:rsidRDefault="003E0649" w:rsidP="003E0649">
      <w:pPr>
        <w:pStyle w:val="BodyText1"/>
        <w:spacing w:before="120"/>
      </w:pPr>
      <w:r>
        <w:t xml:space="preserve">For </w:t>
      </w:r>
      <w:r w:rsidR="00BE417E">
        <w:t xml:space="preserve">further </w:t>
      </w:r>
      <w:r>
        <w:t>information on the management of overdose, contact the Poison Information Centre on 131126 (Australia).</w:t>
      </w:r>
    </w:p>
    <w:p w14:paraId="5B00062F" w14:textId="677E69EE" w:rsidR="00242B21" w:rsidRDefault="008450DE" w:rsidP="008450DE">
      <w:pPr>
        <w:pStyle w:val="Heading1"/>
      </w:pPr>
      <w:r>
        <w:t xml:space="preserve">5. </w:t>
      </w:r>
      <w:r w:rsidR="00242B21">
        <w:t>Pharmacolog</w:t>
      </w:r>
      <w:r w:rsidR="00B959F0">
        <w:t>ical Properties</w:t>
      </w:r>
    </w:p>
    <w:p w14:paraId="208B1E79" w14:textId="404EEAA1" w:rsidR="005C62FE" w:rsidRDefault="008450DE" w:rsidP="005C682D">
      <w:pPr>
        <w:pStyle w:val="Heading2"/>
      </w:pPr>
      <w:r>
        <w:t xml:space="preserve">5.1 </w:t>
      </w:r>
      <w:r w:rsidR="005C62FE">
        <w:t>Pharmacodynamic properties</w:t>
      </w:r>
    </w:p>
    <w:p w14:paraId="2E8BEE04" w14:textId="21184ADF" w:rsidR="00922CD2" w:rsidRPr="00922CD2" w:rsidRDefault="00415C64" w:rsidP="00520D4C">
      <w:pPr>
        <w:pStyle w:val="BodyText1"/>
      </w:pPr>
      <w:r w:rsidRPr="00415C64">
        <w:rPr>
          <w:bCs/>
          <w:lang w:val="en-GB"/>
        </w:rPr>
        <w:t>Pharmacotherapeutic</w:t>
      </w:r>
      <w:r w:rsidRPr="00415C64">
        <w:rPr>
          <w:lang w:val="en-GB"/>
        </w:rPr>
        <w:t xml:space="preserve"> group: Other alimentary tract and metabolism products, Enzymes, ATC code: </w:t>
      </w:r>
      <w:r w:rsidRPr="00415C64">
        <w:rPr>
          <w:bCs/>
          <w:lang w:val="en-GB"/>
        </w:rPr>
        <w:t>A16AB19</w:t>
      </w:r>
    </w:p>
    <w:p w14:paraId="63A7F550" w14:textId="2B4F63EA" w:rsidR="005C62FE" w:rsidRDefault="005C62FE" w:rsidP="006E3D38">
      <w:pPr>
        <w:pStyle w:val="Heading3"/>
      </w:pPr>
      <w:r>
        <w:t>Mechanism of action</w:t>
      </w:r>
    </w:p>
    <w:p w14:paraId="61E43FB0" w14:textId="63F88527" w:rsidR="00126740" w:rsidRDefault="000E18DB" w:rsidP="00126740">
      <w:pPr>
        <w:pStyle w:val="BodyText1"/>
      </w:pPr>
      <w:r w:rsidRPr="00E738B7">
        <w:rPr>
          <w:szCs w:val="22"/>
        </w:rPr>
        <w:t>Pegvaliase is a PEGylated recombinant phenylalanine ammonia lyase enzyme that converts phenylalanine to ammonia and cinnamic acid that are primarily eliminated by liver metabolism.</w:t>
      </w:r>
      <w:r w:rsidR="00126740">
        <w:rPr>
          <w:highlight w:val="yellow"/>
        </w:rPr>
        <w:t xml:space="preserve"> </w:t>
      </w:r>
    </w:p>
    <w:p w14:paraId="1FB8C6F3" w14:textId="530780C7" w:rsidR="005C62FE" w:rsidRDefault="00D86907" w:rsidP="00126740">
      <w:pPr>
        <w:pStyle w:val="Heading3"/>
      </w:pPr>
      <w:r>
        <w:t>Clinical trials</w:t>
      </w:r>
    </w:p>
    <w:p w14:paraId="22792A74" w14:textId="3DD167FA" w:rsidR="006560EB" w:rsidRPr="006560EB" w:rsidRDefault="006560EB" w:rsidP="006560EB">
      <w:pPr>
        <w:pStyle w:val="BodyText1"/>
        <w:rPr>
          <w:bCs/>
          <w:lang w:val="en-GB"/>
        </w:rPr>
      </w:pPr>
      <w:r w:rsidRPr="006560EB">
        <w:rPr>
          <w:bCs/>
          <w:lang w:val="en-GB"/>
        </w:rPr>
        <w:t xml:space="preserve">The effects of </w:t>
      </w:r>
      <w:r w:rsidR="008706E4">
        <w:rPr>
          <w:bCs/>
          <w:lang w:val="en-GB"/>
        </w:rPr>
        <w:t>PALYNZIQ</w:t>
      </w:r>
      <w:r w:rsidRPr="006560EB">
        <w:rPr>
          <w:bCs/>
          <w:lang w:val="en-GB"/>
        </w:rPr>
        <w:t xml:space="preserve"> in the treatment of PKU have been demonstrated in patients with phenylketonuria in Study 301, an open</w:t>
      </w:r>
      <w:r w:rsidRPr="006560EB">
        <w:rPr>
          <w:bCs/>
          <w:lang w:val="en-GB"/>
        </w:rPr>
        <w:noBreakHyphen/>
        <w:t xml:space="preserve">label study to initiate </w:t>
      </w:r>
      <w:r w:rsidR="008706E4">
        <w:rPr>
          <w:bCs/>
          <w:lang w:val="en-GB"/>
        </w:rPr>
        <w:t>PALYNZIQ</w:t>
      </w:r>
      <w:r w:rsidRPr="006560EB">
        <w:rPr>
          <w:bCs/>
          <w:lang w:val="en-GB"/>
        </w:rPr>
        <w:t xml:space="preserve"> treatment, and Study 302, a follow</w:t>
      </w:r>
      <w:r w:rsidRPr="006560EB">
        <w:rPr>
          <w:bCs/>
          <w:lang w:val="en-GB"/>
        </w:rPr>
        <w:noBreakHyphen/>
        <w:t>on study for efficacy assessment.</w:t>
      </w:r>
    </w:p>
    <w:p w14:paraId="05194F3C" w14:textId="77777777" w:rsidR="00F10A0D" w:rsidRPr="00650ED4" w:rsidRDefault="00F10A0D" w:rsidP="006560EB">
      <w:pPr>
        <w:pStyle w:val="Heading4"/>
      </w:pPr>
      <w:r w:rsidRPr="00650ED4">
        <w:t>Study design</w:t>
      </w:r>
    </w:p>
    <w:p w14:paraId="68CC8169" w14:textId="2DB28410" w:rsidR="006560EB" w:rsidRPr="006560EB" w:rsidRDefault="006560EB" w:rsidP="0047120C">
      <w:pPr>
        <w:pStyle w:val="BodyText1"/>
        <w:rPr>
          <w:lang w:val="en-GB"/>
        </w:rPr>
      </w:pPr>
      <w:r w:rsidRPr="00650ED4">
        <w:rPr>
          <w:b/>
          <w:bCs/>
          <w:lang w:val="en-GB"/>
        </w:rPr>
        <w:t>Study 301</w:t>
      </w:r>
      <w:r w:rsidRPr="006560EB">
        <w:rPr>
          <w:lang w:val="en-GB"/>
        </w:rPr>
        <w:t xml:space="preserve"> an open</w:t>
      </w:r>
      <w:r w:rsidRPr="006560EB">
        <w:rPr>
          <w:lang w:val="en-GB"/>
        </w:rPr>
        <w:noBreakHyphen/>
        <w:t>label randomised (1:1), multi</w:t>
      </w:r>
      <w:r w:rsidRPr="006560EB">
        <w:rPr>
          <w:lang w:val="en-GB"/>
        </w:rPr>
        <w:noBreakHyphen/>
        <w:t>centre study of patients with PKU to assess the safety and tolerability of self</w:t>
      </w:r>
      <w:r w:rsidRPr="006560EB">
        <w:rPr>
          <w:lang w:val="en-GB"/>
        </w:rPr>
        <w:noBreakHyphen/>
        <w:t xml:space="preserve">administered </w:t>
      </w:r>
      <w:r w:rsidR="008706E4">
        <w:rPr>
          <w:lang w:val="en-GB"/>
        </w:rPr>
        <w:t>PALYNZIQ</w:t>
      </w:r>
      <w:r w:rsidRPr="006560EB">
        <w:rPr>
          <w:lang w:val="en-GB"/>
        </w:rPr>
        <w:t xml:space="preserve"> in an induction/titration/maintenance dose regimen. The 261 enrolled patients were aged 16 to 55 years (mean: 29 years) and had a baseline mean blood phenylalanine of 1233 </w:t>
      </w:r>
      <w:proofErr w:type="spellStart"/>
      <w:r w:rsidR="009D51CD">
        <w:rPr>
          <w:lang w:val="en-GB"/>
        </w:rPr>
        <w:t>micromol</w:t>
      </w:r>
      <w:proofErr w:type="spellEnd"/>
      <w:r w:rsidR="009D51CD">
        <w:rPr>
          <w:lang w:val="en-GB"/>
        </w:rPr>
        <w:t>/L</w:t>
      </w:r>
      <w:r w:rsidRPr="006560EB">
        <w:rPr>
          <w:lang w:val="en-GB"/>
        </w:rPr>
        <w:t>. At treatment initiation, 253 (97%) patients had inadequate blood phenylalanine control (blood phenylalanine levels above 600 </w:t>
      </w:r>
      <w:proofErr w:type="spellStart"/>
      <w:r w:rsidR="009D51CD">
        <w:rPr>
          <w:lang w:val="en-GB"/>
        </w:rPr>
        <w:t>micromol</w:t>
      </w:r>
      <w:proofErr w:type="spellEnd"/>
      <w:r w:rsidR="009D51CD">
        <w:rPr>
          <w:lang w:val="en-GB"/>
        </w:rPr>
        <w:t>/L</w:t>
      </w:r>
      <w:r w:rsidRPr="006560EB">
        <w:rPr>
          <w:lang w:val="en-GB"/>
        </w:rPr>
        <w:t>) and 8 patients had blood phenylalanine levels less than or equal to 600 </w:t>
      </w:r>
      <w:proofErr w:type="spellStart"/>
      <w:r w:rsidR="009D51CD">
        <w:rPr>
          <w:lang w:val="en-GB"/>
        </w:rPr>
        <w:t>micromol</w:t>
      </w:r>
      <w:proofErr w:type="spellEnd"/>
      <w:r w:rsidR="009D51CD">
        <w:rPr>
          <w:lang w:val="en-GB"/>
        </w:rPr>
        <w:t>/L</w:t>
      </w:r>
      <w:r w:rsidRPr="006560EB">
        <w:rPr>
          <w:lang w:val="en-GB"/>
        </w:rPr>
        <w:t xml:space="preserve">. Patients previously treated with </w:t>
      </w:r>
      <w:proofErr w:type="spellStart"/>
      <w:r w:rsidRPr="006560EB">
        <w:rPr>
          <w:lang w:val="en-GB"/>
        </w:rPr>
        <w:t>sapropterin</w:t>
      </w:r>
      <w:proofErr w:type="spellEnd"/>
      <w:r w:rsidRPr="006560EB">
        <w:rPr>
          <w:lang w:val="en-GB"/>
        </w:rPr>
        <w:t xml:space="preserve"> were required to discontinue treatment at least 14 days prior to first dose of </w:t>
      </w:r>
      <w:r w:rsidR="008706E4">
        <w:rPr>
          <w:lang w:val="en-GB"/>
        </w:rPr>
        <w:t>PALYNZIQ</w:t>
      </w:r>
      <w:r w:rsidRPr="006560EB">
        <w:rPr>
          <w:lang w:val="en-GB"/>
        </w:rPr>
        <w:t>. At baseline, 149 (57%) patients were receiving part of their total protein intake from medical food and 41 out of 261 (16%) patients were on a phenylalanine</w:t>
      </w:r>
      <w:r w:rsidRPr="006560EB">
        <w:rPr>
          <w:lang w:val="en-GB"/>
        </w:rPr>
        <w:noBreakHyphen/>
        <w:t xml:space="preserve">restricted diet (defined as receiving greater than 75% of total protein intake from medical food). Patients initiated </w:t>
      </w:r>
      <w:r w:rsidR="008706E4">
        <w:rPr>
          <w:lang w:val="en-GB"/>
        </w:rPr>
        <w:t>PALYNZIQ</w:t>
      </w:r>
      <w:r w:rsidRPr="006560EB">
        <w:rPr>
          <w:lang w:val="en-GB"/>
        </w:rPr>
        <w:t xml:space="preserve"> treatment with an induction regimen (2.5 mg once </w:t>
      </w:r>
      <w:r w:rsidR="008A794A">
        <w:rPr>
          <w:lang w:val="en-GB"/>
        </w:rPr>
        <w:t xml:space="preserve">a </w:t>
      </w:r>
      <w:r w:rsidRPr="006560EB">
        <w:rPr>
          <w:lang w:val="en-GB"/>
        </w:rPr>
        <w:t xml:space="preserve">week for 4 weeks) and were titrated in a stepwise manner (increased dose and frequency) to reach their randomised target dose of 20 mg once daily or 40 mg once daily. The duration of titration varied among patients and was based on patient tolerability (up to 30 weeks). For this study, the maintenance period was defined as at least 3 weeks dosing at randomised 20 mg or 40 mg once daily. </w:t>
      </w:r>
    </w:p>
    <w:p w14:paraId="3ACDC22D" w14:textId="0F50DF46" w:rsidR="006560EB" w:rsidRPr="006560EB" w:rsidRDefault="006560EB" w:rsidP="0047120C">
      <w:pPr>
        <w:pStyle w:val="BodyText1"/>
        <w:rPr>
          <w:lang w:val="en-GB"/>
        </w:rPr>
      </w:pPr>
      <w:r w:rsidRPr="006560EB">
        <w:rPr>
          <w:lang w:val="en-GB"/>
        </w:rPr>
        <w:t xml:space="preserve">Of the 261 enrolled patients, 195 (75%) patients reached their randomised maintenance dose (103 patients in the 20 mg once daily arm, 92 patients in the 40 mg once daily arm). Patients in the 20 mg once daily randomised arm reached their maintenance dose at a median time of 10 weeks (range: 9 to 29 weeks) and patients in the 40 mg once daily arm reached their maintenance dose at a median time of </w:t>
      </w:r>
      <w:r w:rsidRPr="006560EB">
        <w:rPr>
          <w:lang w:val="en-GB"/>
        </w:rPr>
        <w:lastRenderedPageBreak/>
        <w:t>11 weeks (range: 10 to 33 weeks). Of the 261 patients who enrolled in Study 301, 152 patients continued to the eligibility period of Study 302, and 51 </w:t>
      </w:r>
      <w:r w:rsidRPr="0047120C">
        <w:t>patients</w:t>
      </w:r>
      <w:r w:rsidRPr="006560EB">
        <w:rPr>
          <w:lang w:val="en-GB"/>
        </w:rPr>
        <w:t xml:space="preserve"> continued directly from Study 301 into the long</w:t>
      </w:r>
      <w:r w:rsidRPr="006560EB">
        <w:rPr>
          <w:lang w:val="en-GB"/>
        </w:rPr>
        <w:noBreakHyphen/>
        <w:t>term extension</w:t>
      </w:r>
      <w:r w:rsidRPr="006560EB">
        <w:rPr>
          <w:i/>
          <w:lang w:val="en-GB"/>
        </w:rPr>
        <w:t xml:space="preserve"> </w:t>
      </w:r>
      <w:r w:rsidRPr="006560EB">
        <w:rPr>
          <w:lang w:val="en-GB"/>
        </w:rPr>
        <w:t>period of Study 302.</w:t>
      </w:r>
    </w:p>
    <w:p w14:paraId="3B1FA89A" w14:textId="087405AC" w:rsidR="006560EB" w:rsidRPr="006560EB" w:rsidRDefault="006560EB" w:rsidP="006560EB">
      <w:pPr>
        <w:pStyle w:val="BodyText1"/>
        <w:rPr>
          <w:bCs/>
          <w:i/>
          <w:lang w:val="en-GB"/>
        </w:rPr>
      </w:pPr>
      <w:r w:rsidRPr="00650ED4">
        <w:rPr>
          <w:b/>
          <w:lang w:val="en-GB"/>
        </w:rPr>
        <w:t>Study 302</w:t>
      </w:r>
      <w:r w:rsidRPr="006560EB">
        <w:rPr>
          <w:bCs/>
          <w:lang w:val="en-GB"/>
        </w:rPr>
        <w:t xml:space="preserve"> was a follow</w:t>
      </w:r>
      <w:r w:rsidRPr="006560EB">
        <w:rPr>
          <w:bCs/>
          <w:lang w:val="en-GB"/>
        </w:rPr>
        <w:noBreakHyphen/>
        <w:t>on study (from Study 301) and included: an open label eligibility period; a double</w:t>
      </w:r>
      <w:r w:rsidRPr="006560EB">
        <w:rPr>
          <w:bCs/>
          <w:lang w:val="en-GB"/>
        </w:rPr>
        <w:noBreakHyphen/>
        <w:t>blind, placebo</w:t>
      </w:r>
      <w:r w:rsidRPr="006560EB">
        <w:rPr>
          <w:bCs/>
          <w:lang w:val="en-GB"/>
        </w:rPr>
        <w:noBreakHyphen/>
        <w:t>controlled randomised discontinuation trial period (RDT), and a long</w:t>
      </w:r>
      <w:r w:rsidRPr="006560EB">
        <w:rPr>
          <w:bCs/>
          <w:lang w:val="en-GB"/>
        </w:rPr>
        <w:noBreakHyphen/>
        <w:t>term open</w:t>
      </w:r>
      <w:r w:rsidRPr="006560EB">
        <w:rPr>
          <w:bCs/>
          <w:lang w:val="en-GB"/>
        </w:rPr>
        <w:noBreakHyphen/>
        <w:t xml:space="preserve">label extension period. </w:t>
      </w:r>
    </w:p>
    <w:p w14:paraId="4893EB25" w14:textId="77777777" w:rsidR="006560EB" w:rsidRPr="00220A70" w:rsidRDefault="006560EB" w:rsidP="006560EB">
      <w:pPr>
        <w:pStyle w:val="BodyText1"/>
        <w:rPr>
          <w:i/>
          <w:iCs/>
          <w:lang w:val="en-GB"/>
        </w:rPr>
      </w:pPr>
      <w:r w:rsidRPr="00220A70">
        <w:rPr>
          <w:i/>
          <w:iCs/>
          <w:lang w:val="en-GB"/>
        </w:rPr>
        <w:t xml:space="preserve">Eligibility period </w:t>
      </w:r>
    </w:p>
    <w:p w14:paraId="315E3038" w14:textId="7E4D8FC4" w:rsidR="006560EB" w:rsidRPr="006560EB" w:rsidRDefault="006560EB" w:rsidP="006560EB">
      <w:pPr>
        <w:pStyle w:val="BodyText1"/>
        <w:rPr>
          <w:lang w:val="en-GB"/>
        </w:rPr>
      </w:pPr>
      <w:r w:rsidRPr="006560EB">
        <w:rPr>
          <w:lang w:val="en-GB"/>
        </w:rPr>
        <w:t>A total of 164 previously</w:t>
      </w:r>
      <w:r w:rsidRPr="006560EB">
        <w:rPr>
          <w:lang w:val="en-GB"/>
        </w:rPr>
        <w:noBreakHyphen/>
        <w:t xml:space="preserve">treated </w:t>
      </w:r>
      <w:r w:rsidR="008706E4">
        <w:rPr>
          <w:lang w:val="en-GB"/>
        </w:rPr>
        <w:t>PALYNZIQ</w:t>
      </w:r>
      <w:r w:rsidRPr="006560EB">
        <w:rPr>
          <w:lang w:val="en-GB"/>
        </w:rPr>
        <w:t xml:space="preserve"> patients (152 patients from Study 301, and 12 patients from other </w:t>
      </w:r>
      <w:r w:rsidR="008706E4">
        <w:rPr>
          <w:lang w:val="en-GB"/>
        </w:rPr>
        <w:t>PALYNZIQ</w:t>
      </w:r>
      <w:r w:rsidRPr="006560EB">
        <w:rPr>
          <w:lang w:val="en-GB"/>
        </w:rPr>
        <w:t xml:space="preserve"> trials) continued treatment for up to 13 weeks. </w:t>
      </w:r>
    </w:p>
    <w:p w14:paraId="316F4045" w14:textId="638600C5" w:rsidR="006560EB" w:rsidRPr="006560EB" w:rsidRDefault="006560EB" w:rsidP="006560EB">
      <w:pPr>
        <w:pStyle w:val="BodyText1"/>
        <w:rPr>
          <w:i/>
          <w:iCs/>
          <w:u w:val="single"/>
          <w:lang w:val="en-GB"/>
        </w:rPr>
      </w:pPr>
      <w:r w:rsidRPr="006560EB">
        <w:rPr>
          <w:lang w:val="en-GB"/>
        </w:rPr>
        <w:t>Of the 164 patients that entered the eligibility period of Study 302, 86 patients met the eligibility criterion (achieved at least 20% mean blood phenylalanine reduction from pre</w:t>
      </w:r>
      <w:r w:rsidRPr="006560EB">
        <w:rPr>
          <w:lang w:val="en-GB"/>
        </w:rPr>
        <w:noBreakHyphen/>
        <w:t xml:space="preserve">treatment baseline at their randomised dose within 13 weeks) and continued to the RDT, 12 patients discontinued treatment, and 57 patients did not enter the RDT and continued </w:t>
      </w:r>
      <w:r w:rsidR="008706E4">
        <w:rPr>
          <w:lang w:val="en-GB"/>
        </w:rPr>
        <w:t>PALYNZIQ</w:t>
      </w:r>
      <w:r w:rsidRPr="006560EB">
        <w:rPr>
          <w:lang w:val="en-GB"/>
        </w:rPr>
        <w:t xml:space="preserve"> treatment in the long</w:t>
      </w:r>
      <w:r w:rsidRPr="006560EB">
        <w:rPr>
          <w:lang w:val="en-GB"/>
        </w:rPr>
        <w:noBreakHyphen/>
        <w:t>term extension period of Study 302, where they were allowed to increase dose.</w:t>
      </w:r>
    </w:p>
    <w:p w14:paraId="343947C1" w14:textId="52BBAC55" w:rsidR="00DE49D9" w:rsidRPr="00383798" w:rsidRDefault="00DE49D9" w:rsidP="00DE49D9">
      <w:pPr>
        <w:pStyle w:val="BodyText1"/>
        <w:rPr>
          <w:i/>
          <w:iCs/>
          <w:lang w:val="en-GB"/>
        </w:rPr>
      </w:pPr>
      <w:r w:rsidRPr="00383798">
        <w:rPr>
          <w:i/>
          <w:iCs/>
          <w:lang w:val="en-GB"/>
        </w:rPr>
        <w:t>Results</w:t>
      </w:r>
    </w:p>
    <w:p w14:paraId="4F022A28" w14:textId="77777777" w:rsidR="00BB2271" w:rsidRPr="006560EB" w:rsidRDefault="00BB2271" w:rsidP="00BB2271">
      <w:pPr>
        <w:pStyle w:val="BodyText1"/>
        <w:rPr>
          <w:bCs/>
          <w:i/>
          <w:u w:val="single"/>
          <w:lang w:val="en-GB"/>
        </w:rPr>
      </w:pPr>
      <w:r w:rsidRPr="006560EB">
        <w:rPr>
          <w:bCs/>
          <w:i/>
          <w:u w:val="single"/>
          <w:lang w:val="en-GB"/>
        </w:rPr>
        <w:t>Overall treatment experience from Study 301 and Study 302</w:t>
      </w:r>
    </w:p>
    <w:p w14:paraId="211828C2" w14:textId="77777777" w:rsidR="00BB2271" w:rsidRPr="006560EB" w:rsidRDefault="00BB2271" w:rsidP="00BB2271">
      <w:pPr>
        <w:pStyle w:val="BodyText1"/>
        <w:rPr>
          <w:lang w:val="en-GB"/>
        </w:rPr>
      </w:pPr>
      <w:r w:rsidRPr="006560EB">
        <w:rPr>
          <w:bCs/>
          <w:lang w:val="en-GB"/>
        </w:rPr>
        <w:t xml:space="preserve">At the time of </w:t>
      </w:r>
      <w:r>
        <w:rPr>
          <w:bCs/>
          <w:lang w:val="en-GB"/>
        </w:rPr>
        <w:t>completion of the studies</w:t>
      </w:r>
      <w:r w:rsidRPr="006560EB">
        <w:rPr>
          <w:bCs/>
          <w:lang w:val="en-GB"/>
        </w:rPr>
        <w:t xml:space="preserve">, 188 out of the 261 patients received treatment for at least 1 year, 4 patients completed treatment, and 69 discontinued treatment in the first year. Of these 188 patients, </w:t>
      </w:r>
      <w:r>
        <w:rPr>
          <w:bCs/>
          <w:lang w:val="en-GB"/>
        </w:rPr>
        <w:t>165</w:t>
      </w:r>
      <w:r w:rsidRPr="006560EB">
        <w:rPr>
          <w:bCs/>
          <w:lang w:val="en-GB"/>
        </w:rPr>
        <w:t> patients received treatment for at least 2 years,</w:t>
      </w:r>
      <w:r w:rsidRPr="003A3442">
        <w:rPr>
          <w:rFonts w:ascii="Times New Roman" w:eastAsia="Times New Roman" w:hAnsi="Times New Roman"/>
          <w:bCs/>
          <w:sz w:val="22"/>
          <w:szCs w:val="22"/>
          <w:lang w:val="en-GB"/>
        </w:rPr>
        <w:t xml:space="preserve"> </w:t>
      </w:r>
      <w:r w:rsidRPr="006560EB">
        <w:rPr>
          <w:bCs/>
          <w:lang w:val="en-GB"/>
        </w:rPr>
        <w:t>22 patients discontinued in the second year, and 9 patients discontinued after 2 years of treatment. Of the 100 patients who discontinued treatment, 40 patients discontinued due to an adverse event, 29 patients discontinued due to patient decision, 10 patients discontinued due to physician decision, and 21 patients discontinued to other reasons (e.g. lost to follow</w:t>
      </w:r>
      <w:r w:rsidRPr="006560EB">
        <w:rPr>
          <w:bCs/>
          <w:lang w:val="en-GB"/>
        </w:rPr>
        <w:noBreakHyphen/>
        <w:t>up, pregnancy, or protocol deviation).</w:t>
      </w:r>
    </w:p>
    <w:p w14:paraId="36E0675B" w14:textId="6B9C3F28" w:rsidR="00BB2271" w:rsidRPr="006560EB" w:rsidRDefault="00BB2271" w:rsidP="00BB2271">
      <w:pPr>
        <w:pStyle w:val="BodyText1"/>
        <w:rPr>
          <w:lang w:val="en-GB"/>
        </w:rPr>
      </w:pPr>
      <w:r w:rsidRPr="006560EB">
        <w:rPr>
          <w:lang w:val="en-GB"/>
        </w:rPr>
        <w:t xml:space="preserve">Efficacy results over time are presented in </w:t>
      </w:r>
      <w:r>
        <w:rPr>
          <w:lang w:val="en-GB"/>
        </w:rPr>
        <w:fldChar w:fldCharType="begin"/>
      </w:r>
      <w:r>
        <w:rPr>
          <w:lang w:val="en-GB"/>
        </w:rPr>
        <w:instrText xml:space="preserve"> REF _Ref32827066 \h </w:instrText>
      </w:r>
      <w:r>
        <w:rPr>
          <w:lang w:val="en-GB"/>
        </w:rPr>
      </w:r>
      <w:r>
        <w:rPr>
          <w:lang w:val="en-GB"/>
        </w:rPr>
        <w:fldChar w:fldCharType="separate"/>
      </w:r>
      <w:r w:rsidR="004970E9">
        <w:t xml:space="preserve">Table </w:t>
      </w:r>
      <w:r w:rsidR="004970E9">
        <w:rPr>
          <w:noProof/>
        </w:rPr>
        <w:t>4</w:t>
      </w:r>
      <w:r>
        <w:rPr>
          <w:lang w:val="en-GB"/>
        </w:rPr>
        <w:fldChar w:fldCharType="end"/>
      </w:r>
      <w:r w:rsidRPr="006560EB">
        <w:rPr>
          <w:lang w:val="en-GB"/>
        </w:rPr>
        <w:t xml:space="preserve"> and </w:t>
      </w:r>
      <w:r w:rsidR="00A77008">
        <w:rPr>
          <w:lang w:val="en-GB"/>
        </w:rPr>
        <w:fldChar w:fldCharType="begin"/>
      </w:r>
      <w:r w:rsidR="00A77008">
        <w:rPr>
          <w:lang w:val="en-GB"/>
        </w:rPr>
        <w:instrText xml:space="preserve"> REF _Ref76471531 \h </w:instrText>
      </w:r>
      <w:r w:rsidR="00A77008">
        <w:rPr>
          <w:lang w:val="en-GB"/>
        </w:rPr>
      </w:r>
      <w:r w:rsidR="00A77008">
        <w:rPr>
          <w:lang w:val="en-GB"/>
        </w:rPr>
        <w:fldChar w:fldCharType="separate"/>
      </w:r>
      <w:r w:rsidR="004970E9">
        <w:t xml:space="preserve">Figure </w:t>
      </w:r>
      <w:r w:rsidR="004970E9">
        <w:rPr>
          <w:noProof/>
        </w:rPr>
        <w:t>1</w:t>
      </w:r>
      <w:r w:rsidR="00A77008">
        <w:rPr>
          <w:lang w:val="en-GB"/>
        </w:rPr>
        <w:fldChar w:fldCharType="end"/>
      </w:r>
      <w:r w:rsidRPr="006560EB">
        <w:rPr>
          <w:lang w:val="en-GB"/>
        </w:rPr>
        <w:t xml:space="preserve">. </w:t>
      </w:r>
    </w:p>
    <w:p w14:paraId="59E9CF78" w14:textId="77777777" w:rsidR="00BB2271" w:rsidRPr="003F2738" w:rsidRDefault="00BB2271" w:rsidP="00BB2271">
      <w:pPr>
        <w:pStyle w:val="BodyText1"/>
        <w:rPr>
          <w:i/>
          <w:u w:val="single"/>
          <w:lang w:val="en-GB"/>
        </w:rPr>
      </w:pPr>
      <w:r w:rsidRPr="003F2738">
        <w:rPr>
          <w:i/>
          <w:u w:val="single"/>
          <w:lang w:val="en-GB"/>
        </w:rPr>
        <w:t>Phenylalanine levels over time</w:t>
      </w:r>
    </w:p>
    <w:p w14:paraId="79C91E62" w14:textId="40D6F9C2" w:rsidR="00BB2271" w:rsidRDefault="00BB2271" w:rsidP="00BB2271">
      <w:pPr>
        <w:pStyle w:val="BodyText1"/>
        <w:rPr>
          <w:bCs/>
          <w:lang w:val="en-GB"/>
        </w:rPr>
      </w:pPr>
      <w:r w:rsidRPr="006560EB">
        <w:rPr>
          <w:lang w:val="en-GB"/>
        </w:rPr>
        <w:t>Mean blood phenylalanine levels reduced from 1233 </w:t>
      </w:r>
      <w:proofErr w:type="spellStart"/>
      <w:r>
        <w:rPr>
          <w:lang w:val="en-GB"/>
        </w:rPr>
        <w:t>micromol</w:t>
      </w:r>
      <w:proofErr w:type="spellEnd"/>
      <w:r>
        <w:rPr>
          <w:lang w:val="en-GB"/>
        </w:rPr>
        <w:t>/L</w:t>
      </w:r>
      <w:r w:rsidRPr="006560EB">
        <w:rPr>
          <w:lang w:val="en-GB"/>
        </w:rPr>
        <w:t xml:space="preserve"> at baseline to</w:t>
      </w:r>
      <w:r w:rsidRPr="006560EB">
        <w:rPr>
          <w:bCs/>
          <w:lang w:val="en-GB"/>
        </w:rPr>
        <w:t xml:space="preserve"> </w:t>
      </w:r>
      <w:r w:rsidRPr="006560EB">
        <w:rPr>
          <w:lang w:val="en-GB"/>
        </w:rPr>
        <w:t>565 </w:t>
      </w:r>
      <w:proofErr w:type="spellStart"/>
      <w:r>
        <w:rPr>
          <w:lang w:val="en-GB"/>
        </w:rPr>
        <w:t>micromol</w:t>
      </w:r>
      <w:proofErr w:type="spellEnd"/>
      <w:r>
        <w:rPr>
          <w:lang w:val="en-GB"/>
        </w:rPr>
        <w:t>/L</w:t>
      </w:r>
      <w:r w:rsidRPr="006560EB">
        <w:rPr>
          <w:lang w:val="en-GB"/>
        </w:rPr>
        <w:t xml:space="preserve"> at Month 12 (n=164) and </w:t>
      </w:r>
      <w:r>
        <w:rPr>
          <w:lang w:val="en-GB"/>
        </w:rPr>
        <w:t>333</w:t>
      </w:r>
      <w:r w:rsidRPr="006560EB">
        <w:rPr>
          <w:lang w:val="en-GB"/>
        </w:rPr>
        <w:t> </w:t>
      </w:r>
      <w:proofErr w:type="spellStart"/>
      <w:r>
        <w:rPr>
          <w:lang w:val="en-GB"/>
        </w:rPr>
        <w:t>micromol</w:t>
      </w:r>
      <w:proofErr w:type="spellEnd"/>
      <w:r>
        <w:rPr>
          <w:lang w:val="en-GB"/>
        </w:rPr>
        <w:t>/L</w:t>
      </w:r>
      <w:r w:rsidRPr="006560EB">
        <w:rPr>
          <w:lang w:val="en-GB"/>
        </w:rPr>
        <w:t xml:space="preserve"> at Month 24 (n=</w:t>
      </w:r>
      <w:r>
        <w:rPr>
          <w:lang w:val="en-GB"/>
        </w:rPr>
        <w:t>89</w:t>
      </w:r>
      <w:r w:rsidRPr="006560EB">
        <w:rPr>
          <w:lang w:val="en-GB"/>
        </w:rPr>
        <w:t xml:space="preserve">), and these reductions in mean blood phenylalanine levels were </w:t>
      </w:r>
      <w:r w:rsidRPr="006560EB">
        <w:rPr>
          <w:bCs/>
          <w:lang w:val="en-GB"/>
        </w:rPr>
        <w:t>maintained through Month 36 (</w:t>
      </w:r>
      <w:r>
        <w:rPr>
          <w:lang w:val="en-GB"/>
        </w:rPr>
        <w:t>371</w:t>
      </w:r>
      <w:r w:rsidRPr="006560EB">
        <w:rPr>
          <w:lang w:val="en-GB"/>
        </w:rPr>
        <w:t> </w:t>
      </w:r>
      <w:proofErr w:type="spellStart"/>
      <w:r>
        <w:rPr>
          <w:lang w:val="en-GB"/>
        </w:rPr>
        <w:t>micromol</w:t>
      </w:r>
      <w:proofErr w:type="spellEnd"/>
      <w:r>
        <w:rPr>
          <w:lang w:val="en-GB"/>
        </w:rPr>
        <w:t>/L</w:t>
      </w:r>
      <w:r w:rsidRPr="006560EB">
        <w:rPr>
          <w:lang w:val="en-GB"/>
        </w:rPr>
        <w:t xml:space="preserve">; </w:t>
      </w:r>
      <w:r w:rsidRPr="006560EB">
        <w:rPr>
          <w:bCs/>
          <w:lang w:val="en-GB"/>
        </w:rPr>
        <w:t>n=</w:t>
      </w:r>
      <w:r>
        <w:rPr>
          <w:bCs/>
          <w:lang w:val="en-GB"/>
        </w:rPr>
        <w:t>84</w:t>
      </w:r>
      <w:r w:rsidRPr="006560EB">
        <w:rPr>
          <w:bCs/>
          <w:lang w:val="en-GB"/>
        </w:rPr>
        <w:t xml:space="preserve">) (see </w:t>
      </w:r>
      <w:r>
        <w:rPr>
          <w:bCs/>
          <w:lang w:val="en-GB"/>
        </w:rPr>
        <w:fldChar w:fldCharType="begin"/>
      </w:r>
      <w:r>
        <w:rPr>
          <w:bCs/>
          <w:lang w:val="en-GB"/>
        </w:rPr>
        <w:instrText xml:space="preserve"> REF _Ref32827066 \h </w:instrText>
      </w:r>
      <w:r>
        <w:rPr>
          <w:bCs/>
          <w:lang w:val="en-GB"/>
        </w:rPr>
      </w:r>
      <w:r>
        <w:rPr>
          <w:bCs/>
          <w:lang w:val="en-GB"/>
        </w:rPr>
        <w:fldChar w:fldCharType="separate"/>
      </w:r>
      <w:r w:rsidR="004970E9">
        <w:t xml:space="preserve">Table </w:t>
      </w:r>
      <w:r w:rsidR="004970E9">
        <w:rPr>
          <w:noProof/>
        </w:rPr>
        <w:t>4</w:t>
      </w:r>
      <w:r>
        <w:rPr>
          <w:bCs/>
          <w:lang w:val="en-GB"/>
        </w:rPr>
        <w:fldChar w:fldCharType="end"/>
      </w:r>
      <w:r w:rsidRPr="006560EB">
        <w:rPr>
          <w:bCs/>
          <w:lang w:val="en-GB"/>
        </w:rPr>
        <w:t xml:space="preserve"> and </w:t>
      </w:r>
      <w:r w:rsidR="00A77008">
        <w:rPr>
          <w:lang w:val="en-GB"/>
        </w:rPr>
        <w:fldChar w:fldCharType="begin"/>
      </w:r>
      <w:r w:rsidR="00A77008">
        <w:rPr>
          <w:lang w:val="en-GB"/>
        </w:rPr>
        <w:instrText xml:space="preserve"> REF _Ref76471531 \h </w:instrText>
      </w:r>
      <w:r w:rsidR="00A77008">
        <w:rPr>
          <w:lang w:val="en-GB"/>
        </w:rPr>
      </w:r>
      <w:r w:rsidR="00A77008">
        <w:rPr>
          <w:lang w:val="en-GB"/>
        </w:rPr>
        <w:fldChar w:fldCharType="separate"/>
      </w:r>
      <w:r w:rsidR="004970E9">
        <w:t xml:space="preserve">Figure </w:t>
      </w:r>
      <w:r w:rsidR="004970E9">
        <w:rPr>
          <w:noProof/>
        </w:rPr>
        <w:t>1</w:t>
      </w:r>
      <w:r w:rsidR="00A77008">
        <w:rPr>
          <w:lang w:val="en-GB"/>
        </w:rPr>
        <w:fldChar w:fldCharType="end"/>
      </w:r>
      <w:r w:rsidRPr="006560EB">
        <w:rPr>
          <w:bCs/>
          <w:lang w:val="en-GB"/>
        </w:rPr>
        <w:t xml:space="preserve">). Median change from baseline was </w:t>
      </w:r>
      <w:r w:rsidRPr="006560EB">
        <w:rPr>
          <w:bCs/>
          <w:lang w:val="en-GB"/>
        </w:rPr>
        <w:noBreakHyphen/>
        <w:t>634 </w:t>
      </w:r>
      <w:proofErr w:type="spellStart"/>
      <w:r>
        <w:rPr>
          <w:bCs/>
          <w:lang w:val="en-GB"/>
        </w:rPr>
        <w:t>micromol</w:t>
      </w:r>
      <w:proofErr w:type="spellEnd"/>
      <w:r>
        <w:rPr>
          <w:bCs/>
          <w:lang w:val="en-GB"/>
        </w:rPr>
        <w:t>/L</w:t>
      </w:r>
      <w:r w:rsidRPr="006560EB">
        <w:rPr>
          <w:bCs/>
          <w:lang w:val="en-GB"/>
        </w:rPr>
        <w:t xml:space="preserve"> at Month 12, </w:t>
      </w:r>
      <w:r>
        <w:rPr>
          <w:bCs/>
          <w:lang w:val="en-GB"/>
        </w:rPr>
        <w:t>-968</w:t>
      </w:r>
      <w:r w:rsidRPr="006560EB">
        <w:rPr>
          <w:bCs/>
          <w:lang w:val="en-GB"/>
        </w:rPr>
        <w:t> </w:t>
      </w:r>
      <w:proofErr w:type="spellStart"/>
      <w:r>
        <w:rPr>
          <w:bCs/>
          <w:lang w:val="en-GB"/>
        </w:rPr>
        <w:t>micromol</w:t>
      </w:r>
      <w:proofErr w:type="spellEnd"/>
      <w:r>
        <w:rPr>
          <w:bCs/>
          <w:lang w:val="en-GB"/>
        </w:rPr>
        <w:t>/L</w:t>
      </w:r>
      <w:r w:rsidRPr="006560EB">
        <w:rPr>
          <w:bCs/>
          <w:lang w:val="en-GB"/>
        </w:rPr>
        <w:t xml:space="preserve"> at Month 24, and </w:t>
      </w:r>
      <w:r w:rsidR="00332C7A">
        <w:rPr>
          <w:bCs/>
          <w:lang w:val="en-GB"/>
        </w:rPr>
        <w:br/>
      </w:r>
      <w:r>
        <w:rPr>
          <w:bCs/>
          <w:lang w:val="en-GB"/>
        </w:rPr>
        <w:t>-895</w:t>
      </w:r>
      <w:r w:rsidRPr="006560EB">
        <w:rPr>
          <w:bCs/>
          <w:lang w:val="en-GB"/>
        </w:rPr>
        <w:t xml:space="preserve"> </w:t>
      </w:r>
      <w:proofErr w:type="spellStart"/>
      <w:r>
        <w:rPr>
          <w:bCs/>
          <w:lang w:val="en-GB"/>
        </w:rPr>
        <w:t>micromol</w:t>
      </w:r>
      <w:proofErr w:type="spellEnd"/>
      <w:r>
        <w:rPr>
          <w:bCs/>
          <w:lang w:val="en-GB"/>
        </w:rPr>
        <w:t>/L</w:t>
      </w:r>
      <w:r w:rsidRPr="006560EB">
        <w:rPr>
          <w:bCs/>
          <w:lang w:val="en-GB"/>
        </w:rPr>
        <w:t xml:space="preserve"> at Month 36.</w:t>
      </w:r>
    </w:p>
    <w:p w14:paraId="339F961B" w14:textId="77777777" w:rsidR="00BB2271" w:rsidRPr="006560EB" w:rsidRDefault="00BB2271" w:rsidP="00BB2271">
      <w:pPr>
        <w:pStyle w:val="BodyText1"/>
        <w:rPr>
          <w:lang w:val="en-GB"/>
        </w:rPr>
      </w:pPr>
      <w:r w:rsidRPr="006560EB">
        <w:rPr>
          <w:lang w:val="en-GB"/>
        </w:rPr>
        <w:t>Of 253 patients who had inadequate blood phenylalanine control (blood phenylalanine levels above 600 </w:t>
      </w:r>
      <w:proofErr w:type="spellStart"/>
      <w:r>
        <w:rPr>
          <w:lang w:val="en-GB"/>
        </w:rPr>
        <w:t>micromol</w:t>
      </w:r>
      <w:proofErr w:type="spellEnd"/>
      <w:r>
        <w:rPr>
          <w:lang w:val="en-GB"/>
        </w:rPr>
        <w:t>/L</w:t>
      </w:r>
      <w:r w:rsidRPr="006560EB">
        <w:rPr>
          <w:lang w:val="en-GB"/>
        </w:rPr>
        <w:t>) at baseline in Study 301:</w:t>
      </w:r>
    </w:p>
    <w:p w14:paraId="0C4E5112" w14:textId="77777777" w:rsidR="00BB2271" w:rsidRPr="006560EB" w:rsidRDefault="00BB2271" w:rsidP="00BB2271">
      <w:pPr>
        <w:pStyle w:val="BodyText1"/>
        <w:numPr>
          <w:ilvl w:val="0"/>
          <w:numId w:val="13"/>
        </w:numPr>
        <w:rPr>
          <w:lang w:val="en-GB"/>
        </w:rPr>
      </w:pPr>
      <w:r w:rsidRPr="006560EB">
        <w:rPr>
          <w:lang w:val="en-GB"/>
        </w:rPr>
        <w:t>54% of patients, 69% of patients, and 72% of patients reached blood phenylalanine level ≤ 600 </w:t>
      </w:r>
      <w:proofErr w:type="spellStart"/>
      <w:r>
        <w:rPr>
          <w:lang w:val="en-GB"/>
        </w:rPr>
        <w:t>micromol</w:t>
      </w:r>
      <w:proofErr w:type="spellEnd"/>
      <w:r>
        <w:rPr>
          <w:lang w:val="en-GB"/>
        </w:rPr>
        <w:t>/L</w:t>
      </w:r>
      <w:r w:rsidRPr="006560EB">
        <w:rPr>
          <w:lang w:val="en-GB"/>
        </w:rPr>
        <w:t xml:space="preserve"> by 12 months, 24 months, and 36 months, </w:t>
      </w:r>
      <w:proofErr w:type="gramStart"/>
      <w:r w:rsidRPr="006560EB">
        <w:rPr>
          <w:lang w:val="en-GB"/>
        </w:rPr>
        <w:t>respectively;</w:t>
      </w:r>
      <w:proofErr w:type="gramEnd"/>
      <w:r w:rsidRPr="006560EB">
        <w:rPr>
          <w:lang w:val="en-GB"/>
        </w:rPr>
        <w:t> </w:t>
      </w:r>
    </w:p>
    <w:p w14:paraId="4C5DC239" w14:textId="734C1FF3" w:rsidR="00E226C9" w:rsidRPr="000649AA" w:rsidRDefault="00BB2271" w:rsidP="007B2D8A">
      <w:pPr>
        <w:pStyle w:val="BodyText1"/>
        <w:ind w:left="360"/>
        <w:rPr>
          <w:bCs/>
          <w:iCs/>
          <w:lang w:val="en-GB"/>
        </w:rPr>
      </w:pPr>
      <w:r w:rsidRPr="0049779A">
        <w:rPr>
          <w:lang w:val="en-GB"/>
        </w:rPr>
        <w:t xml:space="preserve">44% of patients, 62% of patients, and </w:t>
      </w:r>
      <w:r>
        <w:rPr>
          <w:lang w:val="en-GB"/>
        </w:rPr>
        <w:t>67</w:t>
      </w:r>
      <w:r w:rsidRPr="0049779A">
        <w:rPr>
          <w:lang w:val="en-GB"/>
        </w:rPr>
        <w:t>% of patients reached blood phenylalanine level ≤ 360 </w:t>
      </w:r>
      <w:proofErr w:type="spellStart"/>
      <w:r w:rsidRPr="0049779A">
        <w:rPr>
          <w:lang w:val="en-GB"/>
        </w:rPr>
        <w:t>micromol</w:t>
      </w:r>
      <w:proofErr w:type="spellEnd"/>
      <w:r w:rsidRPr="0049779A">
        <w:rPr>
          <w:lang w:val="en-GB"/>
        </w:rPr>
        <w:t>/L by 12 months, 24 months, and 36 months, respectively.</w:t>
      </w:r>
    </w:p>
    <w:p w14:paraId="7049781C" w14:textId="705C231D" w:rsidR="00E226C9" w:rsidRDefault="00E226C9" w:rsidP="00E226C9">
      <w:pPr>
        <w:pStyle w:val="Table-Heading1"/>
        <w:keepNext/>
      </w:pPr>
      <w:bookmarkStart w:id="17" w:name="_Ref76471531"/>
      <w:r>
        <w:lastRenderedPageBreak/>
        <w:t xml:space="preserve">Figure </w:t>
      </w:r>
      <w:fldSimple w:instr=" SEQ Figure \* ARABIC ">
        <w:r w:rsidR="004970E9">
          <w:rPr>
            <w:noProof/>
          </w:rPr>
          <w:t>1</w:t>
        </w:r>
      </w:fldSimple>
      <w:bookmarkEnd w:id="17"/>
      <w:r>
        <w:t xml:space="preserve">: </w:t>
      </w:r>
      <w:r w:rsidRPr="0026718B">
        <w:t>Mean (SE) phenylalanine levels over time</w:t>
      </w:r>
      <w:r>
        <w:t xml:space="preserve"> </w:t>
      </w:r>
    </w:p>
    <w:p w14:paraId="6DF66C12" w14:textId="77777777" w:rsidR="00E226C9" w:rsidRPr="006560EB" w:rsidRDefault="00E226C9" w:rsidP="00E226C9">
      <w:pPr>
        <w:pStyle w:val="Table-Heading1"/>
        <w:keepNext/>
        <w:rPr>
          <w:lang w:val="en-GB"/>
        </w:rPr>
      </w:pPr>
      <w:r w:rsidRPr="00632562">
        <w:rPr>
          <w:noProof/>
        </w:rPr>
        <w:drawing>
          <wp:inline distT="0" distB="0" distL="0" distR="0" wp14:anchorId="219CD365" wp14:editId="1866900D">
            <wp:extent cx="5731510" cy="2839085"/>
            <wp:effectExtent l="0" t="0" r="254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839085"/>
                    </a:xfrm>
                    <a:prstGeom prst="rect">
                      <a:avLst/>
                    </a:prstGeom>
                    <a:noFill/>
                    <a:ln>
                      <a:noFill/>
                    </a:ln>
                  </pic:spPr>
                </pic:pic>
              </a:graphicData>
            </a:graphic>
          </wp:inline>
        </w:drawing>
      </w:r>
    </w:p>
    <w:p w14:paraId="14016944" w14:textId="34DE39D7" w:rsidR="006560EB" w:rsidRPr="00650ED4" w:rsidRDefault="006560EB" w:rsidP="006560EB">
      <w:pPr>
        <w:pStyle w:val="BodyText1"/>
        <w:rPr>
          <w:bCs/>
          <w:iCs/>
          <w:lang w:val="en-GB"/>
        </w:rPr>
      </w:pPr>
      <w:r w:rsidRPr="00650ED4">
        <w:rPr>
          <w:bCs/>
          <w:iCs/>
          <w:lang w:val="en-GB"/>
        </w:rPr>
        <w:t>Randomised discontinuation trial (RDT) period</w:t>
      </w:r>
    </w:p>
    <w:p w14:paraId="15301326" w14:textId="77777777" w:rsidR="006560EB" w:rsidRPr="006560EB" w:rsidRDefault="006560EB" w:rsidP="006560EB">
      <w:pPr>
        <w:pStyle w:val="BodyText1"/>
        <w:rPr>
          <w:lang w:val="en-GB"/>
        </w:rPr>
      </w:pPr>
      <w:r w:rsidRPr="006560EB">
        <w:rPr>
          <w:lang w:val="en-GB"/>
        </w:rPr>
        <w:t>In the double</w:t>
      </w:r>
      <w:r w:rsidRPr="006560EB">
        <w:rPr>
          <w:lang w:val="en-GB"/>
        </w:rPr>
        <w:noBreakHyphen/>
        <w:t>blind, placebo</w:t>
      </w:r>
      <w:r w:rsidRPr="006560EB">
        <w:rPr>
          <w:lang w:val="en-GB"/>
        </w:rPr>
        <w:noBreakHyphen/>
        <w:t>controlled RDT, patients were randomised in a 2:1 ratio to either continue their randomised dosing (20 mg/day or 40 mg/day) or receive matching placebo for 8 weeks.</w:t>
      </w:r>
    </w:p>
    <w:p w14:paraId="36D9049E" w14:textId="4DA1A7EC" w:rsidR="006560EB" w:rsidRPr="006560EB" w:rsidRDefault="006560EB" w:rsidP="006560EB">
      <w:pPr>
        <w:pStyle w:val="BodyText1"/>
        <w:rPr>
          <w:lang w:val="en-GB"/>
        </w:rPr>
      </w:pPr>
      <w:r w:rsidRPr="006560EB">
        <w:rPr>
          <w:bCs/>
          <w:lang w:val="en-GB"/>
        </w:rPr>
        <w:t xml:space="preserve">The primary endpoint was change from </w:t>
      </w:r>
      <w:bookmarkStart w:id="18" w:name="_Hlk533674747"/>
      <w:r w:rsidRPr="006560EB">
        <w:rPr>
          <w:bCs/>
          <w:lang w:val="en-GB"/>
        </w:rPr>
        <w:t>RDT</w:t>
      </w:r>
      <w:bookmarkEnd w:id="18"/>
      <w:r w:rsidRPr="006560EB">
        <w:rPr>
          <w:bCs/>
          <w:lang w:val="en-GB"/>
        </w:rPr>
        <w:t xml:space="preserve"> baseline to RDT Week 8 in blood phenylalanine levels. </w:t>
      </w:r>
      <w:r w:rsidR="008706E4">
        <w:rPr>
          <w:bCs/>
          <w:lang w:val="en-GB"/>
        </w:rPr>
        <w:t>PALYNZIQ</w:t>
      </w:r>
      <w:r w:rsidRPr="006560EB">
        <w:rPr>
          <w:bCs/>
          <w:lang w:val="en-GB"/>
        </w:rPr>
        <w:noBreakHyphen/>
        <w:t>treated patients were able to maintain their blood phenylalanine reductions compared to the placebo patients whose blood phenylalanine levels returned to their pre</w:t>
      </w:r>
      <w:r w:rsidRPr="006560EB">
        <w:rPr>
          <w:bCs/>
          <w:lang w:val="en-GB"/>
        </w:rPr>
        <w:noBreakHyphen/>
        <w:t>treatment baseline levels after 8 weeks (p &lt; 0.0001, see </w:t>
      </w:r>
      <w:r w:rsidR="00236810">
        <w:rPr>
          <w:bCs/>
          <w:lang w:val="en-GB"/>
        </w:rPr>
        <w:fldChar w:fldCharType="begin"/>
      </w:r>
      <w:r w:rsidR="00236810">
        <w:rPr>
          <w:bCs/>
          <w:lang w:val="en-GB"/>
        </w:rPr>
        <w:instrText xml:space="preserve"> REF _Ref32826361 \h </w:instrText>
      </w:r>
      <w:r w:rsidR="00236810">
        <w:rPr>
          <w:bCs/>
          <w:lang w:val="en-GB"/>
        </w:rPr>
      </w:r>
      <w:r w:rsidR="00236810">
        <w:rPr>
          <w:bCs/>
          <w:lang w:val="en-GB"/>
        </w:rPr>
        <w:fldChar w:fldCharType="separate"/>
      </w:r>
      <w:r w:rsidR="004970E9">
        <w:t xml:space="preserve">Table </w:t>
      </w:r>
      <w:r w:rsidR="004970E9">
        <w:rPr>
          <w:noProof/>
        </w:rPr>
        <w:t>3</w:t>
      </w:r>
      <w:r w:rsidR="00236810">
        <w:rPr>
          <w:bCs/>
          <w:lang w:val="en-GB"/>
        </w:rPr>
        <w:fldChar w:fldCharType="end"/>
      </w:r>
      <w:r w:rsidRPr="006560EB">
        <w:rPr>
          <w:bCs/>
          <w:lang w:val="en-GB"/>
        </w:rPr>
        <w:t xml:space="preserve">). </w:t>
      </w:r>
    </w:p>
    <w:p w14:paraId="2686B2CD" w14:textId="0CFAB499" w:rsidR="006560EB" w:rsidRPr="006560EB" w:rsidRDefault="00236810" w:rsidP="00236810">
      <w:pPr>
        <w:pStyle w:val="Table-Heading1"/>
        <w:rPr>
          <w:bCs/>
          <w:lang w:val="en-GB"/>
        </w:rPr>
      </w:pPr>
      <w:bookmarkStart w:id="19" w:name="_Ref32826361"/>
      <w:r>
        <w:t xml:space="preserve">Table </w:t>
      </w:r>
      <w:fldSimple w:instr=" SEQ Table \* ARABIC ">
        <w:r w:rsidR="004970E9">
          <w:rPr>
            <w:noProof/>
          </w:rPr>
          <w:t>3</w:t>
        </w:r>
      </w:fldSimple>
      <w:bookmarkEnd w:id="19"/>
      <w:r>
        <w:t xml:space="preserve">: </w:t>
      </w:r>
      <w:r w:rsidRPr="009D52E8">
        <w:t>LS Mean change from RDT baseline in blood phenylalanine concentration (</w:t>
      </w:r>
      <w:proofErr w:type="spellStart"/>
      <w:r w:rsidRPr="009D52E8">
        <w:t>micromol</w:t>
      </w:r>
      <w:proofErr w:type="spellEnd"/>
      <w:r w:rsidRPr="009D52E8">
        <w:t>/L) at RDT Week 8 in patients with PKU (Study 302)</w:t>
      </w:r>
    </w:p>
    <w:tbl>
      <w:tblPr>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390"/>
        <w:gridCol w:w="1351"/>
        <w:gridCol w:w="1390"/>
        <w:gridCol w:w="1440"/>
        <w:gridCol w:w="1560"/>
      </w:tblGrid>
      <w:tr w:rsidR="006560EB" w:rsidRPr="006560EB" w14:paraId="5B3D5B21" w14:textId="77777777" w:rsidTr="009D51CD">
        <w:trPr>
          <w:tblHeader/>
        </w:trPr>
        <w:tc>
          <w:tcPr>
            <w:tcW w:w="843" w:type="pct"/>
            <w:vMerge w:val="restart"/>
          </w:tcPr>
          <w:p w14:paraId="18862C94" w14:textId="77777777" w:rsidR="006560EB" w:rsidRPr="006560EB" w:rsidRDefault="006560EB" w:rsidP="009D51CD">
            <w:pPr>
              <w:pStyle w:val="BodyText1"/>
              <w:spacing w:before="60" w:after="60"/>
              <w:rPr>
                <w:b/>
                <w:bCs/>
                <w:sz w:val="22"/>
                <w:szCs w:val="22"/>
                <w:lang w:val="en-GB"/>
              </w:rPr>
            </w:pPr>
            <w:r w:rsidRPr="006560EB">
              <w:rPr>
                <w:b/>
                <w:bCs/>
                <w:sz w:val="22"/>
                <w:szCs w:val="22"/>
                <w:lang w:val="en-GB"/>
              </w:rPr>
              <w:t>Randomised study arm</w:t>
            </w:r>
          </w:p>
        </w:tc>
        <w:tc>
          <w:tcPr>
            <w:tcW w:w="2421" w:type="pct"/>
            <w:gridSpan w:val="3"/>
          </w:tcPr>
          <w:p w14:paraId="42D1DE27" w14:textId="77777777" w:rsidR="009D51CD" w:rsidRDefault="006560EB" w:rsidP="009D51CD">
            <w:pPr>
              <w:pStyle w:val="BodyText1"/>
              <w:spacing w:before="60" w:after="60"/>
              <w:jc w:val="center"/>
              <w:rPr>
                <w:b/>
                <w:bCs/>
                <w:sz w:val="22"/>
                <w:szCs w:val="22"/>
                <w:lang w:val="en-GB"/>
              </w:rPr>
            </w:pPr>
            <w:r w:rsidRPr="006560EB">
              <w:rPr>
                <w:b/>
                <w:bCs/>
                <w:sz w:val="22"/>
                <w:szCs w:val="22"/>
                <w:lang w:val="en-GB"/>
              </w:rPr>
              <w:t>Blood phenylalanine concentration (</w:t>
            </w:r>
            <w:proofErr w:type="spellStart"/>
            <w:r w:rsidR="009D51CD" w:rsidRPr="009D51CD">
              <w:rPr>
                <w:b/>
                <w:bCs/>
                <w:sz w:val="22"/>
                <w:szCs w:val="22"/>
                <w:lang w:val="en-GB"/>
              </w:rPr>
              <w:t>micromol</w:t>
            </w:r>
            <w:proofErr w:type="spellEnd"/>
            <w:r w:rsidR="009D51CD" w:rsidRPr="009D51CD">
              <w:rPr>
                <w:b/>
                <w:bCs/>
                <w:sz w:val="22"/>
                <w:szCs w:val="22"/>
                <w:lang w:val="en-GB"/>
              </w:rPr>
              <w:t>/L</w:t>
            </w:r>
            <w:r w:rsidRPr="006560EB">
              <w:rPr>
                <w:b/>
                <w:bCs/>
                <w:sz w:val="22"/>
                <w:szCs w:val="22"/>
                <w:lang w:val="en-GB"/>
              </w:rPr>
              <w:t>)</w:t>
            </w:r>
          </w:p>
          <w:p w14:paraId="4BAE1AA6" w14:textId="44030489" w:rsidR="006560EB" w:rsidRPr="006560EB" w:rsidRDefault="006560EB" w:rsidP="009D51CD">
            <w:pPr>
              <w:pStyle w:val="BodyText1"/>
              <w:spacing w:before="60" w:after="60"/>
              <w:jc w:val="center"/>
              <w:rPr>
                <w:b/>
                <w:bCs/>
                <w:sz w:val="22"/>
                <w:szCs w:val="22"/>
                <w:lang w:val="en-GB"/>
              </w:rPr>
            </w:pPr>
            <w:r w:rsidRPr="006560EB">
              <w:rPr>
                <w:b/>
                <w:bCs/>
                <w:sz w:val="22"/>
                <w:szCs w:val="22"/>
                <w:lang w:val="en-GB"/>
              </w:rPr>
              <w:t>Mean (SD)</w:t>
            </w:r>
          </w:p>
        </w:tc>
        <w:tc>
          <w:tcPr>
            <w:tcW w:w="837" w:type="pct"/>
            <w:vMerge w:val="restart"/>
            <w:tcMar>
              <w:top w:w="0" w:type="dxa"/>
              <w:left w:w="108" w:type="dxa"/>
              <w:bottom w:w="0" w:type="dxa"/>
              <w:right w:w="108" w:type="dxa"/>
            </w:tcMar>
          </w:tcPr>
          <w:p w14:paraId="71411EA7" w14:textId="0844449B" w:rsidR="006560EB" w:rsidRPr="006560EB" w:rsidRDefault="006560EB" w:rsidP="009D51CD">
            <w:pPr>
              <w:pStyle w:val="BodyText1"/>
              <w:spacing w:before="60" w:after="60"/>
              <w:jc w:val="center"/>
              <w:rPr>
                <w:b/>
                <w:bCs/>
                <w:sz w:val="22"/>
                <w:szCs w:val="22"/>
                <w:lang w:val="en-GB"/>
              </w:rPr>
            </w:pPr>
            <w:r w:rsidRPr="006560EB">
              <w:rPr>
                <w:b/>
                <w:bCs/>
                <w:sz w:val="22"/>
                <w:szCs w:val="22"/>
                <w:lang w:val="en-GB"/>
              </w:rPr>
              <w:t>LS mean change from</w:t>
            </w:r>
          </w:p>
          <w:p w14:paraId="6A41F064" w14:textId="3E0897E5" w:rsidR="006560EB" w:rsidRPr="006560EB" w:rsidRDefault="006560EB" w:rsidP="009D51CD">
            <w:pPr>
              <w:pStyle w:val="BodyText1"/>
              <w:spacing w:before="60" w:after="60"/>
              <w:jc w:val="center"/>
              <w:rPr>
                <w:b/>
                <w:bCs/>
                <w:sz w:val="22"/>
                <w:szCs w:val="22"/>
                <w:lang w:val="en-GB"/>
              </w:rPr>
            </w:pPr>
            <w:r w:rsidRPr="006560EB">
              <w:rPr>
                <w:b/>
                <w:bCs/>
                <w:sz w:val="22"/>
                <w:szCs w:val="22"/>
                <w:lang w:val="en-GB"/>
              </w:rPr>
              <w:t>Study 302 RDT baseline to Week 8</w:t>
            </w:r>
          </w:p>
          <w:p w14:paraId="7EB012C0" w14:textId="77777777" w:rsidR="006560EB" w:rsidRPr="006560EB" w:rsidRDefault="006560EB" w:rsidP="009D51CD">
            <w:pPr>
              <w:pStyle w:val="BodyText1"/>
              <w:spacing w:before="60" w:after="60"/>
              <w:jc w:val="center"/>
              <w:rPr>
                <w:b/>
                <w:bCs/>
                <w:sz w:val="22"/>
                <w:szCs w:val="22"/>
                <w:lang w:val="en-GB"/>
              </w:rPr>
            </w:pPr>
            <w:r w:rsidRPr="006560EB">
              <w:rPr>
                <w:b/>
                <w:bCs/>
                <w:sz w:val="22"/>
                <w:szCs w:val="22"/>
                <w:lang w:val="en-GB"/>
              </w:rPr>
              <w:t>(95% CI)</w:t>
            </w:r>
          </w:p>
        </w:tc>
        <w:tc>
          <w:tcPr>
            <w:tcW w:w="900" w:type="pct"/>
            <w:vMerge w:val="restart"/>
            <w:tcMar>
              <w:top w:w="0" w:type="dxa"/>
              <w:left w:w="108" w:type="dxa"/>
              <w:bottom w:w="0" w:type="dxa"/>
              <w:right w:w="108" w:type="dxa"/>
            </w:tcMar>
          </w:tcPr>
          <w:p w14:paraId="43CC5B91" w14:textId="6AB7FEC3" w:rsidR="006560EB" w:rsidRPr="006560EB" w:rsidRDefault="006560EB" w:rsidP="009D51CD">
            <w:pPr>
              <w:pStyle w:val="BodyText1"/>
              <w:spacing w:before="60" w:after="60"/>
              <w:jc w:val="center"/>
              <w:rPr>
                <w:b/>
                <w:bCs/>
                <w:sz w:val="22"/>
                <w:szCs w:val="22"/>
                <w:lang w:val="en-GB"/>
              </w:rPr>
            </w:pPr>
            <w:r w:rsidRPr="006560EB">
              <w:rPr>
                <w:b/>
                <w:bCs/>
                <w:sz w:val="22"/>
                <w:szCs w:val="22"/>
                <w:lang w:val="en-GB"/>
              </w:rPr>
              <w:t>Treatment</w:t>
            </w:r>
          </w:p>
          <w:p w14:paraId="11E1A16C" w14:textId="2FB55F20" w:rsidR="006560EB" w:rsidRPr="006560EB" w:rsidRDefault="006560EB" w:rsidP="009D51CD">
            <w:pPr>
              <w:pStyle w:val="BodyText1"/>
              <w:spacing w:before="60" w:after="60"/>
              <w:jc w:val="center"/>
              <w:rPr>
                <w:b/>
                <w:bCs/>
                <w:sz w:val="22"/>
                <w:szCs w:val="22"/>
                <w:lang w:val="en-GB"/>
              </w:rPr>
            </w:pPr>
            <w:r w:rsidRPr="006560EB">
              <w:rPr>
                <w:b/>
                <w:bCs/>
                <w:sz w:val="22"/>
                <w:szCs w:val="22"/>
                <w:lang w:val="en-GB"/>
              </w:rPr>
              <w:t>difference</w:t>
            </w:r>
          </w:p>
          <w:p w14:paraId="17FA5440" w14:textId="77777777" w:rsidR="006560EB" w:rsidRPr="006560EB" w:rsidRDefault="006560EB" w:rsidP="009D51CD">
            <w:pPr>
              <w:pStyle w:val="BodyText1"/>
              <w:spacing w:before="60" w:after="60"/>
              <w:jc w:val="center"/>
              <w:rPr>
                <w:b/>
                <w:bCs/>
                <w:sz w:val="22"/>
                <w:szCs w:val="22"/>
                <w:lang w:val="en-GB"/>
              </w:rPr>
            </w:pPr>
            <w:r w:rsidRPr="006560EB">
              <w:rPr>
                <w:b/>
                <w:bCs/>
                <w:sz w:val="22"/>
                <w:szCs w:val="22"/>
                <w:lang w:val="en-GB"/>
              </w:rPr>
              <w:t>in LS mean change</w:t>
            </w:r>
          </w:p>
          <w:p w14:paraId="797ECE93" w14:textId="5C0F11C2" w:rsidR="006560EB" w:rsidRPr="006560EB" w:rsidRDefault="006560EB" w:rsidP="009D51CD">
            <w:pPr>
              <w:pStyle w:val="BodyText1"/>
              <w:spacing w:before="60" w:after="60"/>
              <w:jc w:val="center"/>
              <w:rPr>
                <w:b/>
                <w:bCs/>
                <w:sz w:val="22"/>
                <w:szCs w:val="22"/>
                <w:lang w:val="en-GB"/>
              </w:rPr>
            </w:pPr>
            <w:r w:rsidRPr="006560EB">
              <w:rPr>
                <w:b/>
                <w:bCs/>
                <w:sz w:val="22"/>
                <w:szCs w:val="22"/>
                <w:lang w:val="en-GB"/>
              </w:rPr>
              <w:t>(95% CI)</w:t>
            </w:r>
          </w:p>
          <w:p w14:paraId="10C7C781" w14:textId="77777777" w:rsidR="006560EB" w:rsidRPr="006560EB" w:rsidRDefault="006560EB" w:rsidP="009D51CD">
            <w:pPr>
              <w:pStyle w:val="BodyText1"/>
              <w:spacing w:before="60" w:after="60"/>
              <w:jc w:val="center"/>
              <w:rPr>
                <w:b/>
                <w:bCs/>
                <w:sz w:val="22"/>
                <w:szCs w:val="22"/>
                <w:lang w:val="en-GB"/>
              </w:rPr>
            </w:pPr>
            <w:r w:rsidRPr="006560EB">
              <w:rPr>
                <w:b/>
                <w:bCs/>
                <w:sz w:val="22"/>
                <w:szCs w:val="22"/>
                <w:lang w:val="en-GB"/>
              </w:rPr>
              <w:t>P-value</w:t>
            </w:r>
            <w:r w:rsidRPr="006560EB">
              <w:rPr>
                <w:b/>
                <w:bCs/>
                <w:sz w:val="22"/>
                <w:szCs w:val="22"/>
                <w:vertAlign w:val="superscript"/>
                <w:lang w:val="en-GB"/>
              </w:rPr>
              <w:t>2</w:t>
            </w:r>
          </w:p>
        </w:tc>
      </w:tr>
      <w:tr w:rsidR="006560EB" w:rsidRPr="006560EB" w14:paraId="3DD8ACAA" w14:textId="77777777" w:rsidTr="009D51CD">
        <w:trPr>
          <w:tblHeader/>
        </w:trPr>
        <w:tc>
          <w:tcPr>
            <w:tcW w:w="843" w:type="pct"/>
            <w:vMerge/>
          </w:tcPr>
          <w:p w14:paraId="5BDDF4D3" w14:textId="77777777" w:rsidR="006560EB" w:rsidRPr="006560EB" w:rsidRDefault="006560EB" w:rsidP="009D51CD">
            <w:pPr>
              <w:pStyle w:val="BodyText1"/>
              <w:spacing w:before="60" w:after="60"/>
              <w:rPr>
                <w:b/>
                <w:bCs/>
                <w:sz w:val="22"/>
                <w:szCs w:val="22"/>
                <w:lang w:val="en-GB"/>
              </w:rPr>
            </w:pPr>
          </w:p>
        </w:tc>
        <w:tc>
          <w:tcPr>
            <w:tcW w:w="807" w:type="pct"/>
          </w:tcPr>
          <w:p w14:paraId="6D063BCF" w14:textId="77777777" w:rsidR="006560EB" w:rsidRPr="006560EB" w:rsidRDefault="006560EB" w:rsidP="009D51CD">
            <w:pPr>
              <w:pStyle w:val="BodyText1"/>
              <w:spacing w:before="60" w:after="60"/>
              <w:jc w:val="center"/>
              <w:rPr>
                <w:b/>
                <w:bCs/>
                <w:sz w:val="22"/>
                <w:szCs w:val="22"/>
                <w:lang w:val="en-GB"/>
              </w:rPr>
            </w:pPr>
            <w:r w:rsidRPr="006560EB">
              <w:rPr>
                <w:b/>
                <w:bCs/>
                <w:sz w:val="22"/>
                <w:szCs w:val="22"/>
                <w:lang w:val="en-GB"/>
              </w:rPr>
              <w:t>Pre-treatment</w:t>
            </w:r>
          </w:p>
          <w:p w14:paraId="23316964" w14:textId="77777777" w:rsidR="006560EB" w:rsidRPr="006560EB" w:rsidRDefault="006560EB" w:rsidP="009D51CD">
            <w:pPr>
              <w:pStyle w:val="BodyText1"/>
              <w:spacing w:before="60" w:after="60"/>
              <w:jc w:val="center"/>
              <w:rPr>
                <w:b/>
                <w:bCs/>
                <w:sz w:val="22"/>
                <w:szCs w:val="22"/>
                <w:lang w:val="en-GB"/>
              </w:rPr>
            </w:pPr>
            <w:r w:rsidRPr="006560EB">
              <w:rPr>
                <w:b/>
                <w:bCs/>
                <w:sz w:val="22"/>
                <w:szCs w:val="22"/>
                <w:lang w:val="en-GB"/>
              </w:rPr>
              <w:t>baseline</w:t>
            </w:r>
            <w:r w:rsidRPr="006560EB">
              <w:rPr>
                <w:b/>
                <w:bCs/>
                <w:sz w:val="22"/>
                <w:szCs w:val="22"/>
                <w:vertAlign w:val="superscript"/>
                <w:lang w:val="en-GB"/>
              </w:rPr>
              <w:t>1</w:t>
            </w:r>
          </w:p>
          <w:p w14:paraId="39A4D81A" w14:textId="77777777" w:rsidR="006560EB" w:rsidRPr="006560EB" w:rsidRDefault="006560EB" w:rsidP="009D51CD">
            <w:pPr>
              <w:pStyle w:val="BodyText1"/>
              <w:spacing w:before="60" w:after="60"/>
              <w:jc w:val="center"/>
              <w:rPr>
                <w:b/>
                <w:bCs/>
                <w:sz w:val="22"/>
                <w:szCs w:val="22"/>
                <w:lang w:val="en-GB"/>
              </w:rPr>
            </w:pPr>
          </w:p>
        </w:tc>
        <w:tc>
          <w:tcPr>
            <w:tcW w:w="807" w:type="pct"/>
            <w:tcMar>
              <w:top w:w="0" w:type="dxa"/>
              <w:left w:w="108" w:type="dxa"/>
              <w:bottom w:w="0" w:type="dxa"/>
              <w:right w:w="108" w:type="dxa"/>
            </w:tcMar>
          </w:tcPr>
          <w:p w14:paraId="04032ED2" w14:textId="77777777" w:rsidR="006560EB" w:rsidRPr="006560EB" w:rsidRDefault="006560EB" w:rsidP="009D51CD">
            <w:pPr>
              <w:pStyle w:val="BodyText1"/>
              <w:spacing w:before="60" w:after="60"/>
              <w:jc w:val="center"/>
              <w:rPr>
                <w:b/>
                <w:bCs/>
                <w:sz w:val="22"/>
                <w:szCs w:val="22"/>
                <w:lang w:val="en-GB"/>
              </w:rPr>
            </w:pPr>
            <w:r w:rsidRPr="006560EB">
              <w:rPr>
                <w:b/>
                <w:bCs/>
                <w:sz w:val="22"/>
                <w:szCs w:val="22"/>
                <w:lang w:val="en-GB"/>
              </w:rPr>
              <w:t>Study 302</w:t>
            </w:r>
          </w:p>
          <w:p w14:paraId="0927EBCF" w14:textId="7BFD500B" w:rsidR="006560EB" w:rsidRPr="006560EB" w:rsidRDefault="006560EB" w:rsidP="009D51CD">
            <w:pPr>
              <w:pStyle w:val="BodyText1"/>
              <w:spacing w:before="60" w:after="60"/>
              <w:jc w:val="center"/>
              <w:rPr>
                <w:b/>
                <w:bCs/>
                <w:sz w:val="22"/>
                <w:szCs w:val="22"/>
                <w:lang w:val="en-GB"/>
              </w:rPr>
            </w:pPr>
            <w:r w:rsidRPr="006560EB">
              <w:rPr>
                <w:b/>
                <w:bCs/>
                <w:sz w:val="22"/>
                <w:szCs w:val="22"/>
                <w:lang w:val="en-GB"/>
              </w:rPr>
              <w:t>RDT baseline</w:t>
            </w:r>
          </w:p>
        </w:tc>
        <w:tc>
          <w:tcPr>
            <w:tcW w:w="807" w:type="pct"/>
            <w:tcMar>
              <w:top w:w="0" w:type="dxa"/>
              <w:left w:w="108" w:type="dxa"/>
              <w:bottom w:w="0" w:type="dxa"/>
              <w:right w:w="108" w:type="dxa"/>
            </w:tcMar>
          </w:tcPr>
          <w:p w14:paraId="5B8E1C8B" w14:textId="00D8107E" w:rsidR="006560EB" w:rsidRPr="006560EB" w:rsidRDefault="006560EB" w:rsidP="009D51CD">
            <w:pPr>
              <w:pStyle w:val="BodyText1"/>
              <w:spacing w:before="60" w:after="60"/>
              <w:jc w:val="center"/>
              <w:rPr>
                <w:b/>
                <w:bCs/>
                <w:sz w:val="22"/>
                <w:szCs w:val="22"/>
                <w:lang w:val="en-GB"/>
              </w:rPr>
            </w:pPr>
            <w:r w:rsidRPr="006560EB">
              <w:rPr>
                <w:b/>
                <w:bCs/>
                <w:sz w:val="22"/>
                <w:szCs w:val="22"/>
                <w:lang w:val="en-GB"/>
              </w:rPr>
              <w:t>Study 302</w:t>
            </w:r>
          </w:p>
          <w:p w14:paraId="75E9F11C" w14:textId="3FF49E86" w:rsidR="006560EB" w:rsidRPr="006560EB" w:rsidRDefault="006560EB" w:rsidP="009D51CD">
            <w:pPr>
              <w:pStyle w:val="BodyText1"/>
              <w:spacing w:before="60" w:after="60"/>
              <w:jc w:val="center"/>
              <w:rPr>
                <w:b/>
                <w:bCs/>
                <w:sz w:val="22"/>
                <w:szCs w:val="22"/>
                <w:lang w:val="en-GB"/>
              </w:rPr>
            </w:pPr>
            <w:r w:rsidRPr="006560EB">
              <w:rPr>
                <w:b/>
                <w:bCs/>
                <w:sz w:val="22"/>
                <w:szCs w:val="22"/>
                <w:lang w:val="en-GB"/>
              </w:rPr>
              <w:t>RDT Week 8</w:t>
            </w:r>
          </w:p>
        </w:tc>
        <w:tc>
          <w:tcPr>
            <w:tcW w:w="837" w:type="pct"/>
            <w:vMerge/>
            <w:tcMar>
              <w:top w:w="0" w:type="dxa"/>
              <w:left w:w="108" w:type="dxa"/>
              <w:bottom w:w="0" w:type="dxa"/>
              <w:right w:w="108" w:type="dxa"/>
            </w:tcMar>
            <w:vAlign w:val="center"/>
          </w:tcPr>
          <w:p w14:paraId="2AD3BF9A" w14:textId="77777777" w:rsidR="006560EB" w:rsidRPr="006560EB" w:rsidRDefault="006560EB" w:rsidP="009D51CD">
            <w:pPr>
              <w:pStyle w:val="BodyText1"/>
              <w:spacing w:before="60" w:after="60"/>
              <w:jc w:val="center"/>
              <w:rPr>
                <w:b/>
                <w:bCs/>
                <w:sz w:val="22"/>
                <w:szCs w:val="22"/>
                <w:lang w:val="en-GB"/>
              </w:rPr>
            </w:pPr>
          </w:p>
        </w:tc>
        <w:tc>
          <w:tcPr>
            <w:tcW w:w="900" w:type="pct"/>
            <w:vMerge/>
            <w:tcMar>
              <w:top w:w="0" w:type="dxa"/>
              <w:left w:w="108" w:type="dxa"/>
              <w:bottom w:w="0" w:type="dxa"/>
              <w:right w:w="108" w:type="dxa"/>
            </w:tcMar>
          </w:tcPr>
          <w:p w14:paraId="186A3750" w14:textId="77777777" w:rsidR="006560EB" w:rsidRPr="006560EB" w:rsidRDefault="006560EB" w:rsidP="009D51CD">
            <w:pPr>
              <w:pStyle w:val="BodyText1"/>
              <w:spacing w:before="60" w:after="60"/>
              <w:jc w:val="center"/>
              <w:rPr>
                <w:b/>
                <w:bCs/>
                <w:sz w:val="22"/>
                <w:szCs w:val="22"/>
                <w:lang w:val="en-GB"/>
              </w:rPr>
            </w:pPr>
          </w:p>
        </w:tc>
      </w:tr>
      <w:tr w:rsidR="006560EB" w:rsidRPr="006560EB" w14:paraId="4A36072A" w14:textId="77777777" w:rsidTr="009D51CD">
        <w:tc>
          <w:tcPr>
            <w:tcW w:w="843" w:type="pct"/>
          </w:tcPr>
          <w:p w14:paraId="3C64BCDE" w14:textId="6AB69F7C" w:rsidR="006560EB" w:rsidRPr="006560EB" w:rsidRDefault="008706E4" w:rsidP="009D51CD">
            <w:pPr>
              <w:pStyle w:val="BodyText1"/>
              <w:spacing w:before="60" w:after="60"/>
              <w:rPr>
                <w:bCs/>
                <w:sz w:val="22"/>
                <w:szCs w:val="22"/>
                <w:lang w:val="en-GB"/>
              </w:rPr>
            </w:pPr>
            <w:r>
              <w:rPr>
                <w:bCs/>
                <w:sz w:val="22"/>
                <w:szCs w:val="22"/>
                <w:lang w:val="en-GB"/>
              </w:rPr>
              <w:t>PALYNZIQ</w:t>
            </w:r>
            <w:r w:rsidR="006560EB" w:rsidRPr="006560EB">
              <w:rPr>
                <w:bCs/>
                <w:sz w:val="22"/>
                <w:szCs w:val="22"/>
                <w:lang w:val="en-GB"/>
              </w:rPr>
              <w:t xml:space="preserve"> 20 mg once daily</w:t>
            </w:r>
            <w:r w:rsidR="006560EB" w:rsidRPr="006560EB">
              <w:rPr>
                <w:sz w:val="22"/>
                <w:szCs w:val="22"/>
                <w:vertAlign w:val="superscript"/>
                <w:lang w:val="en-GB"/>
              </w:rPr>
              <w:t>3</w:t>
            </w:r>
          </w:p>
        </w:tc>
        <w:tc>
          <w:tcPr>
            <w:tcW w:w="807" w:type="pct"/>
          </w:tcPr>
          <w:p w14:paraId="7FAE5295"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1450.2 (310.5)</w:t>
            </w:r>
          </w:p>
          <w:p w14:paraId="5DA31856"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n = 29</w:t>
            </w:r>
          </w:p>
        </w:tc>
        <w:tc>
          <w:tcPr>
            <w:tcW w:w="807" w:type="pct"/>
            <w:tcMar>
              <w:top w:w="0" w:type="dxa"/>
              <w:left w:w="108" w:type="dxa"/>
              <w:bottom w:w="0" w:type="dxa"/>
              <w:right w:w="108" w:type="dxa"/>
            </w:tcMar>
          </w:tcPr>
          <w:p w14:paraId="54E97EF9"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596.8 (582.8)</w:t>
            </w:r>
          </w:p>
          <w:p w14:paraId="1CB8E73B"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n = 29</w:t>
            </w:r>
          </w:p>
        </w:tc>
        <w:tc>
          <w:tcPr>
            <w:tcW w:w="807" w:type="pct"/>
            <w:tcMar>
              <w:top w:w="0" w:type="dxa"/>
              <w:left w:w="108" w:type="dxa"/>
              <w:bottom w:w="0" w:type="dxa"/>
              <w:right w:w="108" w:type="dxa"/>
            </w:tcMar>
          </w:tcPr>
          <w:p w14:paraId="7C8B94ED"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553.0 (582.4)</w:t>
            </w:r>
          </w:p>
          <w:p w14:paraId="11DD47C7"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n = 26</w:t>
            </w:r>
          </w:p>
        </w:tc>
        <w:tc>
          <w:tcPr>
            <w:tcW w:w="837" w:type="pct"/>
            <w:shd w:val="clear" w:color="auto" w:fill="auto"/>
            <w:tcMar>
              <w:top w:w="0" w:type="dxa"/>
              <w:left w:w="108" w:type="dxa"/>
              <w:bottom w:w="0" w:type="dxa"/>
              <w:right w:w="108" w:type="dxa"/>
            </w:tcMar>
          </w:tcPr>
          <w:p w14:paraId="7117648C"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-23.3</w:t>
            </w:r>
          </w:p>
          <w:p w14:paraId="29794519" w14:textId="77777777" w:rsidR="006560EB" w:rsidRPr="006560EB" w:rsidRDefault="006560EB" w:rsidP="009D51CD">
            <w:pPr>
              <w:pStyle w:val="BodyText1"/>
              <w:spacing w:before="60" w:after="60"/>
              <w:jc w:val="center"/>
              <w:rPr>
                <w:bCs/>
                <w:sz w:val="22"/>
                <w:szCs w:val="22"/>
                <w:lang w:val="en-GB"/>
              </w:rPr>
            </w:pPr>
            <w:r w:rsidRPr="006560EB">
              <w:rPr>
                <w:sz w:val="22"/>
                <w:szCs w:val="22"/>
                <w:lang w:val="en-GB"/>
              </w:rPr>
              <w:t>(</w:t>
            </w:r>
            <w:r w:rsidRPr="006560EB">
              <w:rPr>
                <w:sz w:val="22"/>
                <w:szCs w:val="22"/>
                <w:lang w:val="en-GB"/>
              </w:rPr>
              <w:noBreakHyphen/>
              <w:t>156.2, 109.7)</w:t>
            </w:r>
          </w:p>
        </w:tc>
        <w:tc>
          <w:tcPr>
            <w:tcW w:w="900" w:type="pct"/>
            <w:vMerge w:val="restart"/>
            <w:tcMar>
              <w:top w:w="0" w:type="dxa"/>
              <w:left w:w="108" w:type="dxa"/>
              <w:bottom w:w="0" w:type="dxa"/>
              <w:right w:w="108" w:type="dxa"/>
            </w:tcMar>
            <w:vAlign w:val="center"/>
          </w:tcPr>
          <w:p w14:paraId="2C5C9BD6"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-973.0</w:t>
            </w:r>
          </w:p>
          <w:p w14:paraId="77D32CB7"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w:t>
            </w:r>
            <w:r w:rsidRPr="006560EB">
              <w:rPr>
                <w:sz w:val="22"/>
                <w:szCs w:val="22"/>
                <w:lang w:val="en-GB"/>
              </w:rPr>
              <w:noBreakHyphen/>
              <w:t>1204.2, </w:t>
            </w:r>
            <w:r w:rsidRPr="006560EB">
              <w:rPr>
                <w:sz w:val="22"/>
                <w:szCs w:val="22"/>
                <w:lang w:val="en-GB"/>
              </w:rPr>
              <w:noBreakHyphen/>
              <w:t>741.9)</w:t>
            </w:r>
          </w:p>
          <w:p w14:paraId="7B676FB9"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p &lt; 0.0001</w:t>
            </w:r>
          </w:p>
        </w:tc>
      </w:tr>
      <w:tr w:rsidR="006560EB" w:rsidRPr="006560EB" w14:paraId="73BF82F2" w14:textId="77777777" w:rsidTr="009D51CD">
        <w:trPr>
          <w:trHeight w:val="359"/>
        </w:trPr>
        <w:tc>
          <w:tcPr>
            <w:tcW w:w="843" w:type="pct"/>
          </w:tcPr>
          <w:p w14:paraId="15BDB2F2" w14:textId="77777777" w:rsidR="006560EB" w:rsidRPr="006560EB" w:rsidRDefault="006560EB" w:rsidP="009D51CD">
            <w:pPr>
              <w:pStyle w:val="BodyText1"/>
              <w:spacing w:before="60" w:after="60"/>
              <w:rPr>
                <w:bCs/>
                <w:sz w:val="22"/>
                <w:szCs w:val="22"/>
                <w:lang w:val="en-GB"/>
              </w:rPr>
            </w:pPr>
            <w:r w:rsidRPr="006560EB">
              <w:rPr>
                <w:bCs/>
                <w:sz w:val="22"/>
                <w:szCs w:val="22"/>
                <w:lang w:val="en-GB"/>
              </w:rPr>
              <w:t>Placebo 20 mg once daily</w:t>
            </w:r>
            <w:r w:rsidRPr="006560EB">
              <w:rPr>
                <w:sz w:val="22"/>
                <w:szCs w:val="22"/>
                <w:vertAlign w:val="superscript"/>
                <w:lang w:val="en-GB"/>
              </w:rPr>
              <w:t>4</w:t>
            </w:r>
          </w:p>
        </w:tc>
        <w:tc>
          <w:tcPr>
            <w:tcW w:w="807" w:type="pct"/>
          </w:tcPr>
          <w:p w14:paraId="2986BBD7"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1459.1 (354.7)</w:t>
            </w:r>
          </w:p>
          <w:p w14:paraId="30E0FD59"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n = 14</w:t>
            </w:r>
          </w:p>
        </w:tc>
        <w:tc>
          <w:tcPr>
            <w:tcW w:w="807" w:type="pct"/>
            <w:tcMar>
              <w:top w:w="0" w:type="dxa"/>
              <w:left w:w="108" w:type="dxa"/>
              <w:bottom w:w="0" w:type="dxa"/>
              <w:right w:w="108" w:type="dxa"/>
            </w:tcMar>
          </w:tcPr>
          <w:p w14:paraId="42641BCB"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563.9 (504.6) n = 14</w:t>
            </w:r>
          </w:p>
        </w:tc>
        <w:tc>
          <w:tcPr>
            <w:tcW w:w="807" w:type="pct"/>
            <w:tcMar>
              <w:top w:w="0" w:type="dxa"/>
              <w:left w:w="108" w:type="dxa"/>
              <w:bottom w:w="0" w:type="dxa"/>
              <w:right w:w="108" w:type="dxa"/>
            </w:tcMar>
          </w:tcPr>
          <w:p w14:paraId="158B1A22"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1509.0 (372.6)</w:t>
            </w:r>
          </w:p>
          <w:p w14:paraId="14764699"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n = 13</w:t>
            </w:r>
          </w:p>
        </w:tc>
        <w:tc>
          <w:tcPr>
            <w:tcW w:w="837" w:type="pct"/>
            <w:shd w:val="clear" w:color="auto" w:fill="auto"/>
            <w:tcMar>
              <w:top w:w="0" w:type="dxa"/>
              <w:left w:w="108" w:type="dxa"/>
              <w:bottom w:w="0" w:type="dxa"/>
              <w:right w:w="108" w:type="dxa"/>
            </w:tcMar>
          </w:tcPr>
          <w:p w14:paraId="187F108F"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949.8</w:t>
            </w:r>
          </w:p>
          <w:p w14:paraId="5DAB0188"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(760.4, 1139.1)</w:t>
            </w:r>
          </w:p>
        </w:tc>
        <w:tc>
          <w:tcPr>
            <w:tcW w:w="900" w:type="pct"/>
            <w:vMerge/>
            <w:vAlign w:val="center"/>
          </w:tcPr>
          <w:p w14:paraId="0466B878" w14:textId="77777777" w:rsidR="006560EB" w:rsidRPr="006560EB" w:rsidRDefault="006560EB" w:rsidP="009D51CD">
            <w:pPr>
              <w:pStyle w:val="BodyText1"/>
              <w:spacing w:before="60" w:after="60"/>
              <w:jc w:val="center"/>
              <w:rPr>
                <w:sz w:val="22"/>
                <w:szCs w:val="22"/>
                <w:lang w:val="en-GB"/>
              </w:rPr>
            </w:pPr>
          </w:p>
        </w:tc>
      </w:tr>
      <w:tr w:rsidR="006560EB" w:rsidRPr="006560EB" w14:paraId="12BC4CD8" w14:textId="77777777" w:rsidTr="009D51CD">
        <w:trPr>
          <w:trHeight w:val="116"/>
        </w:trPr>
        <w:tc>
          <w:tcPr>
            <w:tcW w:w="843" w:type="pct"/>
          </w:tcPr>
          <w:p w14:paraId="150F7654" w14:textId="6350E279" w:rsidR="006560EB" w:rsidRPr="006560EB" w:rsidRDefault="008706E4" w:rsidP="009D51CD">
            <w:pPr>
              <w:pStyle w:val="BodyText1"/>
              <w:spacing w:before="60" w:after="60"/>
              <w:rPr>
                <w:bCs/>
                <w:sz w:val="22"/>
                <w:szCs w:val="22"/>
                <w:lang w:val="en-GB"/>
              </w:rPr>
            </w:pPr>
            <w:r>
              <w:rPr>
                <w:bCs/>
                <w:sz w:val="22"/>
                <w:szCs w:val="22"/>
                <w:lang w:val="en-GB"/>
              </w:rPr>
              <w:t>PALYNZIQ</w:t>
            </w:r>
            <w:r w:rsidR="006560EB" w:rsidRPr="006560EB">
              <w:rPr>
                <w:bCs/>
                <w:sz w:val="22"/>
                <w:szCs w:val="22"/>
                <w:lang w:val="en-GB"/>
              </w:rPr>
              <w:t xml:space="preserve"> 40 mg once daily</w:t>
            </w:r>
            <w:r w:rsidR="006560EB" w:rsidRPr="006560EB">
              <w:rPr>
                <w:sz w:val="22"/>
                <w:szCs w:val="22"/>
                <w:vertAlign w:val="superscript"/>
                <w:lang w:val="en-GB"/>
              </w:rPr>
              <w:t>3</w:t>
            </w:r>
          </w:p>
        </w:tc>
        <w:tc>
          <w:tcPr>
            <w:tcW w:w="807" w:type="pct"/>
          </w:tcPr>
          <w:p w14:paraId="0D3B2419"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1185.8 (344.0)</w:t>
            </w:r>
          </w:p>
          <w:p w14:paraId="30E493AC"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n = 29</w:t>
            </w:r>
          </w:p>
        </w:tc>
        <w:tc>
          <w:tcPr>
            <w:tcW w:w="807" w:type="pct"/>
            <w:tcMar>
              <w:top w:w="0" w:type="dxa"/>
              <w:left w:w="108" w:type="dxa"/>
              <w:bottom w:w="0" w:type="dxa"/>
              <w:right w:w="108" w:type="dxa"/>
            </w:tcMar>
          </w:tcPr>
          <w:p w14:paraId="4C01F6FD"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410.9 (440.0)</w:t>
            </w:r>
          </w:p>
          <w:p w14:paraId="026D2905"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n = 29</w:t>
            </w:r>
          </w:p>
        </w:tc>
        <w:tc>
          <w:tcPr>
            <w:tcW w:w="807" w:type="pct"/>
            <w:tcMar>
              <w:top w:w="0" w:type="dxa"/>
              <w:left w:w="108" w:type="dxa"/>
              <w:bottom w:w="0" w:type="dxa"/>
              <w:right w:w="108" w:type="dxa"/>
            </w:tcMar>
          </w:tcPr>
          <w:p w14:paraId="30CB67E1"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566.3 (567.5)</w:t>
            </w:r>
          </w:p>
          <w:p w14:paraId="065CEC06"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n = 23</w:t>
            </w:r>
          </w:p>
        </w:tc>
        <w:tc>
          <w:tcPr>
            <w:tcW w:w="837" w:type="pct"/>
            <w:shd w:val="clear" w:color="auto" w:fill="auto"/>
            <w:tcMar>
              <w:top w:w="0" w:type="dxa"/>
              <w:left w:w="108" w:type="dxa"/>
              <w:bottom w:w="0" w:type="dxa"/>
              <w:right w:w="108" w:type="dxa"/>
            </w:tcMar>
          </w:tcPr>
          <w:p w14:paraId="35D75F06"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76.3</w:t>
            </w:r>
          </w:p>
          <w:p w14:paraId="22652F8A"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w:t>
            </w:r>
            <w:r w:rsidRPr="006560EB">
              <w:rPr>
                <w:sz w:val="22"/>
                <w:szCs w:val="22"/>
                <w:lang w:val="en-GB"/>
              </w:rPr>
              <w:noBreakHyphen/>
              <w:t>60.2, 212.8)</w:t>
            </w:r>
          </w:p>
        </w:tc>
        <w:tc>
          <w:tcPr>
            <w:tcW w:w="900" w:type="pct"/>
            <w:vMerge w:val="restart"/>
            <w:vAlign w:val="center"/>
          </w:tcPr>
          <w:p w14:paraId="1EDD8A1E" w14:textId="49293616" w:rsidR="006560EB" w:rsidRPr="006560EB" w:rsidRDefault="006560EB" w:rsidP="009D51CD">
            <w:pPr>
              <w:pStyle w:val="BodyText1"/>
              <w:spacing w:before="60" w:after="60"/>
              <w:jc w:val="center"/>
              <w:rPr>
                <w:sz w:val="22"/>
                <w:szCs w:val="22"/>
                <w:lang w:val="en-GB"/>
              </w:rPr>
            </w:pPr>
            <w:r w:rsidRPr="006560EB">
              <w:rPr>
                <w:sz w:val="22"/>
                <w:szCs w:val="22"/>
                <w:lang w:val="en-GB"/>
              </w:rPr>
              <w:t>-588.5</w:t>
            </w:r>
          </w:p>
          <w:p w14:paraId="3408513A"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w:t>
            </w:r>
            <w:r w:rsidRPr="006560EB">
              <w:rPr>
                <w:sz w:val="22"/>
                <w:szCs w:val="22"/>
                <w:lang w:val="en-GB"/>
              </w:rPr>
              <w:noBreakHyphen/>
              <w:t>830.1, </w:t>
            </w:r>
            <w:r w:rsidRPr="006560EB">
              <w:rPr>
                <w:sz w:val="22"/>
                <w:szCs w:val="22"/>
                <w:lang w:val="en-GB"/>
              </w:rPr>
              <w:noBreakHyphen/>
              <w:t>346.9)</w:t>
            </w:r>
          </w:p>
          <w:p w14:paraId="3E20FDFB"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p &lt; 0.0001</w:t>
            </w:r>
          </w:p>
        </w:tc>
      </w:tr>
      <w:tr w:rsidR="006560EB" w:rsidRPr="006560EB" w14:paraId="2F3FF90D" w14:textId="77777777" w:rsidTr="009D51CD">
        <w:tc>
          <w:tcPr>
            <w:tcW w:w="843" w:type="pct"/>
          </w:tcPr>
          <w:p w14:paraId="5CDCB8F5" w14:textId="77777777" w:rsidR="006560EB" w:rsidRPr="006560EB" w:rsidRDefault="006560EB" w:rsidP="009D51CD">
            <w:pPr>
              <w:pStyle w:val="BodyText1"/>
              <w:spacing w:before="60" w:after="60"/>
              <w:rPr>
                <w:bCs/>
                <w:sz w:val="22"/>
                <w:szCs w:val="22"/>
                <w:lang w:val="en-GB"/>
              </w:rPr>
            </w:pPr>
            <w:r w:rsidRPr="006560EB">
              <w:rPr>
                <w:bCs/>
                <w:sz w:val="22"/>
                <w:szCs w:val="22"/>
                <w:lang w:val="en-GB"/>
              </w:rPr>
              <w:t>Placebo 40 mg once daily</w:t>
            </w:r>
            <w:r w:rsidRPr="006560EB">
              <w:rPr>
                <w:sz w:val="22"/>
                <w:szCs w:val="22"/>
                <w:vertAlign w:val="superscript"/>
                <w:lang w:val="en-GB"/>
              </w:rPr>
              <w:t>4</w:t>
            </w:r>
          </w:p>
        </w:tc>
        <w:tc>
          <w:tcPr>
            <w:tcW w:w="807" w:type="pct"/>
          </w:tcPr>
          <w:p w14:paraId="1AB07B94"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1108.9 (266.8)</w:t>
            </w:r>
          </w:p>
          <w:p w14:paraId="7F8197CE"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n = 14</w:t>
            </w:r>
          </w:p>
        </w:tc>
        <w:tc>
          <w:tcPr>
            <w:tcW w:w="807" w:type="pct"/>
            <w:tcMar>
              <w:top w:w="0" w:type="dxa"/>
              <w:left w:w="108" w:type="dxa"/>
              <w:bottom w:w="0" w:type="dxa"/>
              <w:right w:w="108" w:type="dxa"/>
            </w:tcMar>
          </w:tcPr>
          <w:p w14:paraId="29A9BF23"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508.2 (363.7) n = 14</w:t>
            </w:r>
          </w:p>
        </w:tc>
        <w:tc>
          <w:tcPr>
            <w:tcW w:w="807" w:type="pct"/>
            <w:tcMar>
              <w:top w:w="0" w:type="dxa"/>
              <w:left w:w="108" w:type="dxa"/>
              <w:bottom w:w="0" w:type="dxa"/>
              <w:right w:w="108" w:type="dxa"/>
            </w:tcMar>
          </w:tcPr>
          <w:p w14:paraId="70165A95"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1164.4 (343.3) n = 10</w:t>
            </w:r>
          </w:p>
        </w:tc>
        <w:tc>
          <w:tcPr>
            <w:tcW w:w="837" w:type="pct"/>
            <w:shd w:val="clear" w:color="auto" w:fill="auto"/>
            <w:tcMar>
              <w:top w:w="0" w:type="dxa"/>
              <w:left w:w="108" w:type="dxa"/>
              <w:bottom w:w="0" w:type="dxa"/>
              <w:right w:w="108" w:type="dxa"/>
            </w:tcMar>
          </w:tcPr>
          <w:p w14:paraId="249E012A" w14:textId="4D0CD870" w:rsidR="006560EB" w:rsidRPr="006560EB" w:rsidRDefault="006560EB" w:rsidP="009D51CD">
            <w:pPr>
              <w:pStyle w:val="BodyText1"/>
              <w:spacing w:before="60" w:after="60"/>
              <w:jc w:val="center"/>
              <w:rPr>
                <w:sz w:val="22"/>
                <w:szCs w:val="22"/>
                <w:lang w:val="en-GB"/>
              </w:rPr>
            </w:pPr>
            <w:r w:rsidRPr="006560EB">
              <w:rPr>
                <w:sz w:val="22"/>
                <w:szCs w:val="22"/>
                <w:lang w:val="en-GB"/>
              </w:rPr>
              <w:t>664.8</w:t>
            </w:r>
          </w:p>
          <w:p w14:paraId="5C9F659F" w14:textId="77777777" w:rsidR="006560EB" w:rsidRPr="006560EB" w:rsidRDefault="006560EB" w:rsidP="009D51CD">
            <w:pPr>
              <w:pStyle w:val="BodyText1"/>
              <w:spacing w:before="60" w:after="60"/>
              <w:jc w:val="center"/>
              <w:rPr>
                <w:sz w:val="22"/>
                <w:szCs w:val="22"/>
                <w:lang w:val="en-GB"/>
              </w:rPr>
            </w:pPr>
            <w:r w:rsidRPr="006560EB">
              <w:rPr>
                <w:sz w:val="22"/>
                <w:szCs w:val="22"/>
                <w:lang w:val="en-GB"/>
              </w:rPr>
              <w:t>(465.5, 864.1)</w:t>
            </w:r>
          </w:p>
        </w:tc>
        <w:tc>
          <w:tcPr>
            <w:tcW w:w="900" w:type="pct"/>
            <w:vMerge/>
          </w:tcPr>
          <w:p w14:paraId="6A0A7BE5" w14:textId="77777777" w:rsidR="006560EB" w:rsidRPr="006560EB" w:rsidRDefault="006560EB" w:rsidP="009D51CD">
            <w:pPr>
              <w:pStyle w:val="BodyText1"/>
              <w:spacing w:before="60" w:after="60"/>
              <w:rPr>
                <w:sz w:val="22"/>
                <w:szCs w:val="22"/>
                <w:lang w:val="en-GB"/>
              </w:rPr>
            </w:pPr>
          </w:p>
        </w:tc>
      </w:tr>
    </w:tbl>
    <w:p w14:paraId="4442410A" w14:textId="5FA7F228" w:rsidR="006560EB" w:rsidRPr="006560EB" w:rsidRDefault="006560EB" w:rsidP="003F7894">
      <w:pPr>
        <w:pStyle w:val="BodyText1"/>
        <w:spacing w:after="60"/>
        <w:rPr>
          <w:sz w:val="20"/>
          <w:lang w:val="en-GB"/>
        </w:rPr>
      </w:pPr>
      <w:r w:rsidRPr="006560EB">
        <w:rPr>
          <w:vertAlign w:val="superscript"/>
          <w:lang w:val="en-GB"/>
        </w:rPr>
        <w:t>1</w:t>
      </w:r>
      <w:r w:rsidRPr="006560EB">
        <w:rPr>
          <w:lang w:val="en-GB"/>
        </w:rPr>
        <w:t> </w:t>
      </w:r>
      <w:r w:rsidRPr="006560EB">
        <w:rPr>
          <w:sz w:val="20"/>
          <w:lang w:val="en-GB"/>
        </w:rPr>
        <w:t xml:space="preserve">Blood phenylalanine level prior to initiating treatment with </w:t>
      </w:r>
      <w:r w:rsidR="008706E4">
        <w:rPr>
          <w:sz w:val="20"/>
          <w:lang w:val="en-GB"/>
        </w:rPr>
        <w:t>PALYNZIQ</w:t>
      </w:r>
      <w:r w:rsidRPr="006560EB">
        <w:rPr>
          <w:sz w:val="20"/>
          <w:lang w:val="en-GB"/>
        </w:rPr>
        <w:t>.</w:t>
      </w:r>
    </w:p>
    <w:p w14:paraId="3CC5E3E4" w14:textId="77777777" w:rsidR="006560EB" w:rsidRPr="006560EB" w:rsidRDefault="006560EB" w:rsidP="003F7894">
      <w:pPr>
        <w:pStyle w:val="BodyText1"/>
        <w:spacing w:after="60"/>
        <w:rPr>
          <w:bCs/>
          <w:sz w:val="20"/>
          <w:lang w:val="en-GB"/>
        </w:rPr>
      </w:pPr>
      <w:r w:rsidRPr="006560EB">
        <w:rPr>
          <w:sz w:val="20"/>
          <w:vertAlign w:val="superscript"/>
          <w:lang w:val="en-GB"/>
        </w:rPr>
        <w:lastRenderedPageBreak/>
        <w:t>2</w:t>
      </w:r>
      <w:r w:rsidRPr="006560EB">
        <w:rPr>
          <w:bCs/>
          <w:sz w:val="20"/>
          <w:lang w:val="en-GB"/>
        </w:rPr>
        <w:t> </w:t>
      </w:r>
      <w:r w:rsidRPr="006560EB">
        <w:rPr>
          <w:sz w:val="20"/>
          <w:lang w:val="en-GB"/>
        </w:rPr>
        <w:t>Based on the mixed model repeated measures (MMRM) method, with treatment arm, visit, and treatment arm</w:t>
      </w:r>
      <w:r w:rsidRPr="006560EB">
        <w:rPr>
          <w:sz w:val="20"/>
          <w:lang w:val="en-GB"/>
        </w:rPr>
        <w:noBreakHyphen/>
        <w:t>by</w:t>
      </w:r>
      <w:r w:rsidRPr="006560EB">
        <w:rPr>
          <w:sz w:val="20"/>
          <w:lang w:val="en-GB"/>
        </w:rPr>
        <w:noBreakHyphen/>
        <w:t>visit interaction (the time profile of blood phenylalanine changes is assessed separately for each treatment arm) as factors adjusting for baseline blood phenylalanine concentration.</w:t>
      </w:r>
    </w:p>
    <w:p w14:paraId="0EC471B4" w14:textId="668725C8" w:rsidR="006560EB" w:rsidRPr="006560EB" w:rsidRDefault="006560EB" w:rsidP="003F7894">
      <w:pPr>
        <w:pStyle w:val="BodyText1"/>
        <w:spacing w:after="60"/>
        <w:rPr>
          <w:sz w:val="20"/>
          <w:lang w:val="en-GB"/>
        </w:rPr>
      </w:pPr>
      <w:r w:rsidRPr="006560EB">
        <w:rPr>
          <w:sz w:val="20"/>
          <w:vertAlign w:val="superscript"/>
          <w:lang w:val="en-GB"/>
        </w:rPr>
        <w:t>3</w:t>
      </w:r>
      <w:r w:rsidRPr="006560EB">
        <w:rPr>
          <w:bCs/>
          <w:sz w:val="20"/>
          <w:lang w:val="en-GB"/>
        </w:rPr>
        <w:t xml:space="preserve"> Nine patients were excluded from the Week 8 analysis from the </w:t>
      </w:r>
      <w:r w:rsidR="008706E4">
        <w:rPr>
          <w:bCs/>
          <w:sz w:val="20"/>
          <w:lang w:val="en-GB"/>
        </w:rPr>
        <w:t>PALYNZIQ</w:t>
      </w:r>
      <w:r w:rsidRPr="006560EB">
        <w:rPr>
          <w:bCs/>
          <w:sz w:val="20"/>
          <w:lang w:val="en-GB"/>
        </w:rPr>
        <w:t xml:space="preserve"> treatment arms (20 mg/day or 40 mg/day): 4 patients did not complete the RDT due to adverse events (1 patient discontinued treatment and 3 patients transitioned to the long</w:t>
      </w:r>
      <w:r w:rsidRPr="006560EB">
        <w:rPr>
          <w:bCs/>
          <w:sz w:val="20"/>
          <w:lang w:val="en-GB"/>
        </w:rPr>
        <w:noBreakHyphen/>
        <w:t xml:space="preserve">term extension period) and the remaining 5 patients who did not complete phenylalanine assessment within the window for Week 8 (Day 43 to 56). </w:t>
      </w:r>
    </w:p>
    <w:p w14:paraId="214AD1FF" w14:textId="77777777" w:rsidR="006560EB" w:rsidRPr="006560EB" w:rsidRDefault="006560EB" w:rsidP="009D51CD">
      <w:pPr>
        <w:pStyle w:val="BodyText1"/>
        <w:rPr>
          <w:bCs/>
          <w:sz w:val="20"/>
          <w:lang w:val="en-GB"/>
        </w:rPr>
      </w:pPr>
      <w:r w:rsidRPr="006560EB">
        <w:rPr>
          <w:sz w:val="20"/>
          <w:vertAlign w:val="superscript"/>
          <w:lang w:val="en-GB"/>
        </w:rPr>
        <w:t>4</w:t>
      </w:r>
      <w:r w:rsidRPr="006560EB">
        <w:rPr>
          <w:bCs/>
          <w:sz w:val="20"/>
          <w:lang w:val="en-GB"/>
        </w:rPr>
        <w:t xml:space="preserve"> Five patients were excluded from the Week 8 analysis from the placebo arms (20 mg/day or 40 mg/day): </w:t>
      </w:r>
      <w:r w:rsidRPr="006560EB">
        <w:rPr>
          <w:bCs/>
          <w:sz w:val="20"/>
          <w:lang w:val="en-GB"/>
        </w:rPr>
        <w:br/>
        <w:t>1 patient did not complete the RDT due to adverse event transitioned to the long</w:t>
      </w:r>
      <w:r w:rsidRPr="006560EB">
        <w:rPr>
          <w:bCs/>
          <w:sz w:val="20"/>
          <w:lang w:val="en-GB"/>
        </w:rPr>
        <w:noBreakHyphen/>
        <w:t>term extension period and the remaining 4 patients who did not complete phenylalanine assessment within the window for Week 8 (Day 43 to 56).</w:t>
      </w:r>
    </w:p>
    <w:p w14:paraId="1DCF2E3B" w14:textId="38A89564" w:rsidR="006560EB" w:rsidRPr="006560EB" w:rsidRDefault="006560EB" w:rsidP="006560EB">
      <w:pPr>
        <w:pStyle w:val="BodyText1"/>
        <w:rPr>
          <w:bCs/>
          <w:i/>
          <w:u w:val="single"/>
          <w:lang w:val="en-GB"/>
        </w:rPr>
      </w:pPr>
      <w:r w:rsidRPr="006560EB">
        <w:rPr>
          <w:lang w:val="en-GB"/>
        </w:rPr>
        <w:t xml:space="preserve">Symptoms of inattention and mood were also evaluated during this period. No differences were observed in inattention and mood between patients randomised to placebo versus those randomised to </w:t>
      </w:r>
      <w:r w:rsidR="008706E4">
        <w:rPr>
          <w:lang w:val="en-GB"/>
        </w:rPr>
        <w:t>PALYNZIQ</w:t>
      </w:r>
      <w:r w:rsidRPr="006560EB">
        <w:rPr>
          <w:lang w:val="en-GB"/>
        </w:rPr>
        <w:t xml:space="preserve"> during this 8-week duration. </w:t>
      </w:r>
    </w:p>
    <w:p w14:paraId="302D43C2" w14:textId="77777777" w:rsidR="006560EB" w:rsidRPr="006560EB" w:rsidRDefault="006560EB" w:rsidP="006560EB">
      <w:pPr>
        <w:pStyle w:val="BodyText1"/>
        <w:rPr>
          <w:bCs/>
          <w:i/>
          <w:u w:val="single"/>
          <w:lang w:val="en-GB"/>
        </w:rPr>
      </w:pPr>
      <w:r w:rsidRPr="006560EB">
        <w:rPr>
          <w:bCs/>
          <w:i/>
          <w:u w:val="single"/>
          <w:lang w:val="en-GB"/>
        </w:rPr>
        <w:t>Long</w:t>
      </w:r>
      <w:r w:rsidRPr="006560EB">
        <w:rPr>
          <w:bCs/>
          <w:i/>
          <w:u w:val="single"/>
          <w:lang w:val="en-GB"/>
        </w:rPr>
        <w:noBreakHyphen/>
        <w:t>term extension period</w:t>
      </w:r>
    </w:p>
    <w:p w14:paraId="6B9340A8" w14:textId="348E3011" w:rsidR="006560EB" w:rsidRPr="006560EB" w:rsidRDefault="006560EB" w:rsidP="006560EB">
      <w:pPr>
        <w:pStyle w:val="BodyText1"/>
        <w:rPr>
          <w:bCs/>
          <w:lang w:val="en-GB"/>
        </w:rPr>
      </w:pPr>
      <w:r w:rsidRPr="006560EB">
        <w:rPr>
          <w:bCs/>
          <w:lang w:val="en-GB"/>
        </w:rPr>
        <w:t xml:space="preserve">Patients continued </w:t>
      </w:r>
      <w:r w:rsidR="008706E4">
        <w:rPr>
          <w:bCs/>
          <w:lang w:val="en-GB"/>
        </w:rPr>
        <w:t>PALYNZIQ</w:t>
      </w:r>
      <w:r w:rsidRPr="006560EB">
        <w:rPr>
          <w:bCs/>
          <w:lang w:val="en-GB"/>
        </w:rPr>
        <w:t xml:space="preserve"> treatment in the long</w:t>
      </w:r>
      <w:r w:rsidRPr="006560EB">
        <w:rPr>
          <w:bCs/>
          <w:lang w:val="en-GB"/>
        </w:rPr>
        <w:noBreakHyphen/>
        <w:t>term open</w:t>
      </w:r>
      <w:r w:rsidRPr="006560EB">
        <w:rPr>
          <w:bCs/>
          <w:lang w:val="en-GB"/>
        </w:rPr>
        <w:noBreakHyphen/>
        <w:t xml:space="preserve">label extension period and dose was adjusted (5, 10, 20, 40 and 60 mg/day) by the physician to achieve further blood phenylalanine reductions and maintain previously achieved phenylalanine levels. </w:t>
      </w:r>
      <w:bookmarkStart w:id="20" w:name="_Hlk522628513"/>
    </w:p>
    <w:bookmarkEnd w:id="20"/>
    <w:p w14:paraId="7C4A780F" w14:textId="77777777" w:rsidR="00541751" w:rsidRPr="003F2738" w:rsidRDefault="00541751" w:rsidP="00541751">
      <w:pPr>
        <w:pStyle w:val="BodyText1"/>
        <w:rPr>
          <w:i/>
          <w:u w:val="single"/>
          <w:lang w:val="en-GB"/>
        </w:rPr>
      </w:pPr>
      <w:r w:rsidRPr="003F2738">
        <w:rPr>
          <w:i/>
          <w:u w:val="single"/>
          <w:lang w:val="en-GB"/>
        </w:rPr>
        <w:t>ADHD inattention and PKU</w:t>
      </w:r>
      <w:r w:rsidRPr="003F2738">
        <w:rPr>
          <w:i/>
          <w:u w:val="single"/>
          <w:lang w:val="en-GB"/>
        </w:rPr>
        <w:noBreakHyphen/>
        <w:t>POMS confusion over time</w:t>
      </w:r>
    </w:p>
    <w:p w14:paraId="4FECC717" w14:textId="446EA48A" w:rsidR="00541751" w:rsidRPr="006560EB" w:rsidRDefault="00541751" w:rsidP="00541751">
      <w:pPr>
        <w:pStyle w:val="BodyText1"/>
        <w:rPr>
          <w:b/>
          <w:lang w:val="en-GB"/>
        </w:rPr>
      </w:pPr>
      <w:r w:rsidRPr="006560EB">
        <w:rPr>
          <w:lang w:val="en-GB"/>
        </w:rPr>
        <w:t>Symptoms of inattention were assessed using the inattention subscale of the investigator-rated Attention Deficient Hyperactivity Disorder Rating Scale (ADHD</w:t>
      </w:r>
      <w:r w:rsidRPr="006560EB">
        <w:rPr>
          <w:lang w:val="en-GB"/>
        </w:rPr>
        <w:noBreakHyphen/>
        <w:t>RS IV). The ADHD</w:t>
      </w:r>
      <w:r w:rsidRPr="006560EB">
        <w:rPr>
          <w:lang w:val="en-GB"/>
        </w:rPr>
        <w:noBreakHyphen/>
        <w:t xml:space="preserve">RS IV inattention subscale ranges from 0 to 27, higher scores indicate a greater degree of impairment, and a score below 9 indicates that the patient is asymptomatic (i.e. has a score that is in the normative range). Results for ADHD inattention subscale over time are shown in </w:t>
      </w:r>
      <w:r w:rsidRPr="004756E8">
        <w:rPr>
          <w:bCs/>
          <w:lang w:val="en-GB"/>
        </w:rPr>
        <w:fldChar w:fldCharType="begin"/>
      </w:r>
      <w:r w:rsidRPr="004756E8">
        <w:rPr>
          <w:bCs/>
          <w:lang w:val="en-GB"/>
        </w:rPr>
        <w:instrText xml:space="preserve"> REF _Ref32827066 \h </w:instrText>
      </w:r>
      <w:r w:rsidRPr="004756E8">
        <w:rPr>
          <w:bCs/>
          <w:lang w:val="en-GB"/>
        </w:rPr>
      </w:r>
      <w:r w:rsidRPr="004756E8">
        <w:rPr>
          <w:bCs/>
          <w:lang w:val="en-GB"/>
        </w:rPr>
        <w:fldChar w:fldCharType="separate"/>
      </w:r>
      <w:r w:rsidR="004970E9">
        <w:t xml:space="preserve">Table </w:t>
      </w:r>
      <w:r w:rsidR="004970E9">
        <w:rPr>
          <w:noProof/>
        </w:rPr>
        <w:t>4</w:t>
      </w:r>
      <w:r w:rsidRPr="004756E8">
        <w:rPr>
          <w:lang w:val="en-GB"/>
        </w:rPr>
        <w:fldChar w:fldCharType="end"/>
      </w:r>
      <w:r w:rsidRPr="006560EB">
        <w:rPr>
          <w:lang w:val="en-GB"/>
        </w:rPr>
        <w:t>. Mean r</w:t>
      </w:r>
      <w:r w:rsidRPr="006560EB">
        <w:rPr>
          <w:bCs/>
          <w:lang w:val="en-GB"/>
        </w:rPr>
        <w:t>eduction</w:t>
      </w:r>
      <w:r w:rsidRPr="006560EB">
        <w:rPr>
          <w:lang w:val="en-GB"/>
        </w:rPr>
        <w:t xml:space="preserve"> (suggesting improvement) from baseline ADHD</w:t>
      </w:r>
      <w:r w:rsidRPr="006560EB">
        <w:rPr>
          <w:lang w:val="en-GB"/>
        </w:rPr>
        <w:noBreakHyphen/>
        <w:t>RS inattention was above the minimally clinically important difference (MCID) for adults with ADHD (defined as a reduction of at least 5.2) at Month 18 (n=168; a reduction of 5.3), Month 24 (n=</w:t>
      </w:r>
      <w:r>
        <w:rPr>
          <w:lang w:val="en-GB"/>
        </w:rPr>
        <w:t>159</w:t>
      </w:r>
      <w:r w:rsidRPr="006560EB">
        <w:rPr>
          <w:lang w:val="en-GB"/>
        </w:rPr>
        <w:t>; a reduction of 5.9) and Month 36 (n=</w:t>
      </w:r>
      <w:r>
        <w:rPr>
          <w:lang w:val="en-GB"/>
        </w:rPr>
        <w:t>142</w:t>
      </w:r>
      <w:r w:rsidRPr="006560EB">
        <w:rPr>
          <w:lang w:val="en-GB"/>
        </w:rPr>
        <w:t xml:space="preserve">; a reduction of </w:t>
      </w:r>
      <w:r>
        <w:rPr>
          <w:lang w:val="en-GB"/>
        </w:rPr>
        <w:t>6.6</w:t>
      </w:r>
      <w:r w:rsidRPr="006560EB">
        <w:rPr>
          <w:lang w:val="en-GB"/>
        </w:rPr>
        <w:t>). In patients with baseline ADHD inattention scores &gt; 9 (suggesting symptoms of inattention at baseline), mean r</w:t>
      </w:r>
      <w:r w:rsidRPr="006560EB">
        <w:rPr>
          <w:bCs/>
          <w:lang w:val="en-GB"/>
        </w:rPr>
        <w:t>eduction</w:t>
      </w:r>
      <w:r w:rsidRPr="006560EB">
        <w:rPr>
          <w:lang w:val="en-GB"/>
        </w:rPr>
        <w:t xml:space="preserve"> in ADHD inattention score from baseline (suggesting improvement) was above the MCID estimated for adults with ADHD at Month 12 (n=80; a reduction of 7.8), Month 18 (n=78; a reduction of 8.9), Month 24 (n=76; a reduction of 9.6) and Month 36 (n=</w:t>
      </w:r>
      <w:r>
        <w:rPr>
          <w:lang w:val="en-GB"/>
        </w:rPr>
        <w:t>66</w:t>
      </w:r>
      <w:r w:rsidRPr="006560EB">
        <w:rPr>
          <w:lang w:val="en-GB"/>
        </w:rPr>
        <w:t xml:space="preserve">; a reduction of </w:t>
      </w:r>
      <w:r>
        <w:rPr>
          <w:lang w:val="en-GB"/>
        </w:rPr>
        <w:t>10.7</w:t>
      </w:r>
      <w:r w:rsidRPr="006560EB">
        <w:rPr>
          <w:lang w:val="en-GB"/>
        </w:rPr>
        <w:t xml:space="preserve">). </w:t>
      </w:r>
    </w:p>
    <w:p w14:paraId="499EB012" w14:textId="6E44BED5" w:rsidR="00541751" w:rsidRPr="006560EB" w:rsidRDefault="00541751" w:rsidP="00541751">
      <w:pPr>
        <w:pStyle w:val="BodyText1"/>
        <w:rPr>
          <w:bCs/>
          <w:lang w:val="en-GB"/>
        </w:rPr>
      </w:pPr>
      <w:r w:rsidRPr="006560EB">
        <w:rPr>
          <w:lang w:val="en-GB"/>
        </w:rPr>
        <w:t>Symptoms of mood (confusion, fatigue, depression, tension</w:t>
      </w:r>
      <w:r w:rsidRPr="006560EB">
        <w:rPr>
          <w:lang w:val="en-GB"/>
        </w:rPr>
        <w:noBreakHyphen/>
        <w:t>anxiety, vigour, and anger domains) were evaluated using the Profile of Mood States (POMS) tool that has been modified to be specific to PKU (PKU</w:t>
      </w:r>
      <w:r w:rsidRPr="006560EB">
        <w:rPr>
          <w:lang w:val="en-GB"/>
        </w:rPr>
        <w:noBreakHyphen/>
        <w:t>POMS). The PKU</w:t>
      </w:r>
      <w:r w:rsidRPr="006560EB">
        <w:rPr>
          <w:lang w:val="en-GB"/>
        </w:rPr>
        <w:noBreakHyphen/>
        <w:t>POMS confusion subscale (ranging from 0 to 12 points with higher scores indicating greater degree of impairment) was considered most sensitive to changes in blood phenylalanine levels. Results for PKU</w:t>
      </w:r>
      <w:r w:rsidRPr="006560EB">
        <w:rPr>
          <w:lang w:val="en-GB"/>
        </w:rPr>
        <w:noBreakHyphen/>
        <w:t xml:space="preserve">POMS confusion subscale over time are shown in </w:t>
      </w:r>
      <w:r w:rsidRPr="0009068F">
        <w:rPr>
          <w:bCs/>
          <w:lang w:val="en-GB"/>
        </w:rPr>
        <w:fldChar w:fldCharType="begin"/>
      </w:r>
      <w:r w:rsidRPr="0009068F">
        <w:rPr>
          <w:bCs/>
          <w:lang w:val="en-GB"/>
        </w:rPr>
        <w:instrText xml:space="preserve"> REF _Ref32827066 \h </w:instrText>
      </w:r>
      <w:r w:rsidRPr="0009068F">
        <w:rPr>
          <w:bCs/>
          <w:lang w:val="en-GB"/>
        </w:rPr>
      </w:r>
      <w:r w:rsidRPr="0009068F">
        <w:rPr>
          <w:bCs/>
          <w:lang w:val="en-GB"/>
        </w:rPr>
        <w:fldChar w:fldCharType="separate"/>
      </w:r>
      <w:r w:rsidR="004970E9">
        <w:t xml:space="preserve">Table </w:t>
      </w:r>
      <w:r w:rsidR="004970E9">
        <w:rPr>
          <w:noProof/>
        </w:rPr>
        <w:t>4</w:t>
      </w:r>
      <w:r w:rsidRPr="0009068F">
        <w:rPr>
          <w:lang w:val="en-GB"/>
        </w:rPr>
        <w:fldChar w:fldCharType="end"/>
      </w:r>
      <w:r w:rsidRPr="006560EB">
        <w:rPr>
          <w:lang w:val="en-GB"/>
        </w:rPr>
        <w:t>. Mean change from baseline PKU</w:t>
      </w:r>
      <w:r w:rsidRPr="006560EB">
        <w:rPr>
          <w:lang w:val="en-GB"/>
        </w:rPr>
        <w:noBreakHyphen/>
        <w:t>POMS confusion subscale (suggesting improvement) was above MCID (defined as a reduction of at least 1) at Month 12 (n=130; a reduction of 1.6), Month 18 (n=123; a reduction of 2), Month 24 (n=</w:t>
      </w:r>
      <w:r>
        <w:rPr>
          <w:lang w:val="en-GB"/>
        </w:rPr>
        <w:t>116</w:t>
      </w:r>
      <w:r w:rsidRPr="006560EB">
        <w:rPr>
          <w:lang w:val="en-GB"/>
        </w:rPr>
        <w:t>; a reduction of 2.2) and Month 36 (n=</w:t>
      </w:r>
      <w:r>
        <w:rPr>
          <w:lang w:val="en-GB"/>
        </w:rPr>
        <w:t>103</w:t>
      </w:r>
      <w:r w:rsidRPr="006560EB">
        <w:rPr>
          <w:lang w:val="en-GB"/>
        </w:rPr>
        <w:t>; a reduction of 2.2).</w:t>
      </w:r>
      <w:r w:rsidRPr="006560EB">
        <w:rPr>
          <w:bCs/>
          <w:lang w:val="en-GB"/>
        </w:rPr>
        <w:t xml:space="preserve"> </w:t>
      </w:r>
    </w:p>
    <w:p w14:paraId="67D57FE6" w14:textId="77777777" w:rsidR="00541751" w:rsidRPr="003F2738" w:rsidRDefault="00541751" w:rsidP="00541751">
      <w:pPr>
        <w:pStyle w:val="BodyText1"/>
        <w:rPr>
          <w:bCs/>
          <w:i/>
          <w:u w:val="single"/>
          <w:lang w:val="en-GB"/>
        </w:rPr>
      </w:pPr>
      <w:r w:rsidRPr="003F2738">
        <w:rPr>
          <w:bCs/>
          <w:i/>
          <w:u w:val="single"/>
          <w:lang w:val="en-GB"/>
        </w:rPr>
        <w:t>Changes in protein intake from intact food over time</w:t>
      </w:r>
    </w:p>
    <w:p w14:paraId="049880D6" w14:textId="77777777" w:rsidR="00541751" w:rsidRPr="006560EB" w:rsidRDefault="00541751" w:rsidP="00541751">
      <w:pPr>
        <w:pStyle w:val="BodyText1"/>
        <w:rPr>
          <w:lang w:val="en-GB"/>
        </w:rPr>
      </w:pPr>
      <w:r w:rsidRPr="006560EB">
        <w:rPr>
          <w:lang w:val="en-GB"/>
        </w:rPr>
        <w:t>Median protein intake from intact food increased at Month 12 (4 g increase from baseline), Month 24 (14 g increase from baseline) and Month 36 (</w:t>
      </w:r>
      <w:r>
        <w:rPr>
          <w:lang w:val="en-GB"/>
        </w:rPr>
        <w:t>20</w:t>
      </w:r>
      <w:r w:rsidRPr="006560EB">
        <w:rPr>
          <w:lang w:val="en-GB"/>
        </w:rPr>
        <w:t> g increase from baseline).</w:t>
      </w:r>
    </w:p>
    <w:p w14:paraId="5322F4DF" w14:textId="77777777" w:rsidR="00E057BB" w:rsidRPr="006560EB" w:rsidRDefault="00E057BB" w:rsidP="006560EB">
      <w:pPr>
        <w:pStyle w:val="BodyText1"/>
        <w:rPr>
          <w:bCs/>
          <w:lang w:val="en-GB"/>
        </w:rPr>
      </w:pPr>
    </w:p>
    <w:p w14:paraId="3615934B" w14:textId="4B33E79D" w:rsidR="006560EB" w:rsidRPr="006560EB" w:rsidRDefault="00F22FD0" w:rsidP="00F22FD0">
      <w:pPr>
        <w:pStyle w:val="Table-Heading1"/>
        <w:rPr>
          <w:lang w:val="en-GB"/>
        </w:rPr>
      </w:pPr>
      <w:bookmarkStart w:id="21" w:name="_Ref32827066"/>
      <w:r>
        <w:t xml:space="preserve">Table </w:t>
      </w:r>
      <w:fldSimple w:instr=" SEQ Table \* ARABIC ">
        <w:r w:rsidR="004970E9">
          <w:rPr>
            <w:noProof/>
          </w:rPr>
          <w:t>4</w:t>
        </w:r>
      </w:fldSimple>
      <w:bookmarkEnd w:id="21"/>
      <w:r w:rsidRPr="002C336A">
        <w:t xml:space="preserve">: Efficacy results at Month 12, Month 18, Month </w:t>
      </w:r>
      <w:proofErr w:type="gramStart"/>
      <w:r w:rsidRPr="002C336A">
        <w:t>24</w:t>
      </w:r>
      <w:proofErr w:type="gramEnd"/>
      <w:r w:rsidRPr="002C336A">
        <w:t xml:space="preserve"> and Month 36 in </w:t>
      </w:r>
      <w:r w:rsidR="008706E4">
        <w:t>PALYNZIQ</w:t>
      </w:r>
      <w:r w:rsidRPr="002C336A">
        <w:t>-treated 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1154"/>
        <w:gridCol w:w="1152"/>
        <w:gridCol w:w="1154"/>
        <w:gridCol w:w="1152"/>
        <w:gridCol w:w="1152"/>
      </w:tblGrid>
      <w:tr w:rsidR="006560EB" w:rsidRPr="00D15332" w14:paraId="5E3DDCA1" w14:textId="77777777" w:rsidTr="009D51CD">
        <w:trPr>
          <w:tblHeader/>
        </w:trPr>
        <w:tc>
          <w:tcPr>
            <w:tcW w:w="1803" w:type="pct"/>
          </w:tcPr>
          <w:p w14:paraId="74C078FD" w14:textId="77777777" w:rsidR="006560EB" w:rsidRPr="00D15332" w:rsidRDefault="006560EB" w:rsidP="00D15332">
            <w:pPr>
              <w:pStyle w:val="BodyText1"/>
              <w:spacing w:before="60" w:after="60"/>
              <w:rPr>
                <w:b/>
                <w:bCs/>
                <w:sz w:val="22"/>
                <w:szCs w:val="22"/>
                <w:lang w:val="en-GB"/>
              </w:rPr>
            </w:pPr>
          </w:p>
        </w:tc>
        <w:tc>
          <w:tcPr>
            <w:tcW w:w="640" w:type="pct"/>
          </w:tcPr>
          <w:p w14:paraId="16EE6C76" w14:textId="77777777" w:rsidR="006560EB" w:rsidRPr="00D15332" w:rsidRDefault="006560EB" w:rsidP="00D15332">
            <w:pPr>
              <w:pStyle w:val="BodyText1"/>
              <w:spacing w:before="60" w:after="60"/>
              <w:jc w:val="center"/>
              <w:rPr>
                <w:b/>
                <w:bCs/>
                <w:sz w:val="22"/>
                <w:szCs w:val="22"/>
                <w:lang w:val="en-GB"/>
              </w:rPr>
            </w:pPr>
            <w:r w:rsidRPr="00D15332">
              <w:rPr>
                <w:b/>
                <w:bCs/>
                <w:sz w:val="22"/>
                <w:szCs w:val="22"/>
                <w:lang w:val="en-GB"/>
              </w:rPr>
              <w:t>Baseline</w:t>
            </w:r>
          </w:p>
        </w:tc>
        <w:tc>
          <w:tcPr>
            <w:tcW w:w="639" w:type="pct"/>
          </w:tcPr>
          <w:p w14:paraId="53C3A9BB" w14:textId="77777777" w:rsidR="006560EB" w:rsidRPr="00D15332" w:rsidRDefault="006560EB" w:rsidP="00D15332">
            <w:pPr>
              <w:pStyle w:val="BodyText1"/>
              <w:spacing w:before="60" w:after="60"/>
              <w:jc w:val="center"/>
              <w:rPr>
                <w:b/>
                <w:bCs/>
                <w:sz w:val="22"/>
                <w:szCs w:val="22"/>
                <w:lang w:val="en-GB"/>
              </w:rPr>
            </w:pPr>
            <w:r w:rsidRPr="00D15332">
              <w:rPr>
                <w:b/>
                <w:bCs/>
                <w:sz w:val="22"/>
                <w:szCs w:val="22"/>
                <w:lang w:val="en-GB"/>
              </w:rPr>
              <w:t>Month 12</w:t>
            </w:r>
          </w:p>
        </w:tc>
        <w:tc>
          <w:tcPr>
            <w:tcW w:w="640" w:type="pct"/>
          </w:tcPr>
          <w:p w14:paraId="145353FC" w14:textId="77777777" w:rsidR="006560EB" w:rsidRPr="00D15332" w:rsidRDefault="006560EB" w:rsidP="00D15332">
            <w:pPr>
              <w:pStyle w:val="BodyText1"/>
              <w:spacing w:before="60" w:after="60"/>
              <w:jc w:val="center"/>
              <w:rPr>
                <w:b/>
                <w:bCs/>
                <w:sz w:val="22"/>
                <w:szCs w:val="22"/>
                <w:lang w:val="en-GB"/>
              </w:rPr>
            </w:pPr>
            <w:r w:rsidRPr="00D15332">
              <w:rPr>
                <w:b/>
                <w:bCs/>
                <w:sz w:val="22"/>
                <w:szCs w:val="22"/>
                <w:lang w:val="en-GB"/>
              </w:rPr>
              <w:t>Month 18</w:t>
            </w:r>
          </w:p>
        </w:tc>
        <w:tc>
          <w:tcPr>
            <w:tcW w:w="639" w:type="pct"/>
            <w:tcMar>
              <w:top w:w="0" w:type="dxa"/>
              <w:left w:w="108" w:type="dxa"/>
              <w:bottom w:w="0" w:type="dxa"/>
              <w:right w:w="108" w:type="dxa"/>
            </w:tcMar>
          </w:tcPr>
          <w:p w14:paraId="5BC9B759" w14:textId="77777777" w:rsidR="006560EB" w:rsidRPr="00D15332" w:rsidRDefault="006560EB" w:rsidP="00D15332">
            <w:pPr>
              <w:pStyle w:val="BodyText1"/>
              <w:spacing w:before="60" w:after="60"/>
              <w:jc w:val="center"/>
              <w:rPr>
                <w:b/>
                <w:bCs/>
                <w:sz w:val="22"/>
                <w:szCs w:val="22"/>
                <w:lang w:val="en-GB"/>
              </w:rPr>
            </w:pPr>
            <w:r w:rsidRPr="00D15332">
              <w:rPr>
                <w:b/>
                <w:bCs/>
                <w:sz w:val="22"/>
                <w:szCs w:val="22"/>
                <w:lang w:val="en-GB"/>
              </w:rPr>
              <w:t>Month 24</w:t>
            </w:r>
          </w:p>
        </w:tc>
        <w:tc>
          <w:tcPr>
            <w:tcW w:w="639" w:type="pct"/>
            <w:tcMar>
              <w:top w:w="0" w:type="dxa"/>
              <w:left w:w="108" w:type="dxa"/>
              <w:bottom w:w="0" w:type="dxa"/>
              <w:right w:w="108" w:type="dxa"/>
            </w:tcMar>
          </w:tcPr>
          <w:p w14:paraId="648BB223" w14:textId="77777777" w:rsidR="006560EB" w:rsidRPr="00D15332" w:rsidRDefault="006560EB" w:rsidP="00D15332">
            <w:pPr>
              <w:pStyle w:val="BodyText1"/>
              <w:spacing w:before="60" w:after="60"/>
              <w:jc w:val="center"/>
              <w:rPr>
                <w:b/>
                <w:bCs/>
                <w:sz w:val="22"/>
                <w:szCs w:val="22"/>
                <w:lang w:val="en-GB"/>
              </w:rPr>
            </w:pPr>
            <w:r w:rsidRPr="00D15332">
              <w:rPr>
                <w:b/>
                <w:bCs/>
                <w:sz w:val="22"/>
                <w:szCs w:val="22"/>
                <w:lang w:val="en-GB"/>
              </w:rPr>
              <w:t>Month 36</w:t>
            </w:r>
          </w:p>
        </w:tc>
      </w:tr>
      <w:tr w:rsidR="006560EB" w:rsidRPr="00D15332" w14:paraId="429F1651" w14:textId="77777777" w:rsidTr="009D51CD">
        <w:tc>
          <w:tcPr>
            <w:tcW w:w="5000" w:type="pct"/>
            <w:gridSpan w:val="6"/>
            <w:tcMar>
              <w:top w:w="0" w:type="dxa"/>
              <w:left w:w="108" w:type="dxa"/>
              <w:bottom w:w="0" w:type="dxa"/>
              <w:right w:w="108" w:type="dxa"/>
            </w:tcMar>
          </w:tcPr>
          <w:p w14:paraId="0645E642" w14:textId="77777777" w:rsidR="006560EB" w:rsidRPr="00D15332" w:rsidRDefault="006560EB" w:rsidP="00D15332">
            <w:pPr>
              <w:pStyle w:val="BodyText1"/>
              <w:spacing w:before="60" w:after="60"/>
              <w:rPr>
                <w:b/>
                <w:bCs/>
                <w:sz w:val="22"/>
                <w:szCs w:val="22"/>
                <w:lang w:val="en-GB"/>
              </w:rPr>
            </w:pPr>
            <w:r w:rsidRPr="00D15332">
              <w:rPr>
                <w:b/>
                <w:bCs/>
                <w:sz w:val="22"/>
                <w:szCs w:val="22"/>
                <w:lang w:val="en-GB"/>
              </w:rPr>
              <w:t>Blood phenylalanine</w:t>
            </w:r>
            <w:r w:rsidRPr="00D15332">
              <w:rPr>
                <w:b/>
                <w:bCs/>
                <w:sz w:val="22"/>
                <w:szCs w:val="22"/>
                <w:vertAlign w:val="superscript"/>
                <w:lang w:val="en-GB"/>
              </w:rPr>
              <w:t>1</w:t>
            </w:r>
          </w:p>
        </w:tc>
      </w:tr>
      <w:tr w:rsidR="006560EB" w:rsidRPr="00D15332" w14:paraId="07CF70D4" w14:textId="77777777" w:rsidTr="009D51CD">
        <w:tc>
          <w:tcPr>
            <w:tcW w:w="1803" w:type="pct"/>
          </w:tcPr>
          <w:p w14:paraId="6C27FEEF" w14:textId="77777777" w:rsidR="006560EB" w:rsidRPr="00D15332" w:rsidRDefault="006560EB" w:rsidP="00D15332">
            <w:pPr>
              <w:pStyle w:val="BodyText1"/>
              <w:spacing w:before="60" w:after="60"/>
              <w:rPr>
                <w:sz w:val="22"/>
                <w:szCs w:val="22"/>
                <w:lang w:val="en-GB"/>
              </w:rPr>
            </w:pPr>
            <w:r w:rsidRPr="00D15332">
              <w:rPr>
                <w:sz w:val="22"/>
                <w:szCs w:val="22"/>
                <w:lang w:val="en-GB"/>
              </w:rPr>
              <w:lastRenderedPageBreak/>
              <w:t>N</w:t>
            </w:r>
          </w:p>
        </w:tc>
        <w:tc>
          <w:tcPr>
            <w:tcW w:w="640" w:type="pct"/>
          </w:tcPr>
          <w:p w14:paraId="556C0B09"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261</w:t>
            </w:r>
          </w:p>
        </w:tc>
        <w:tc>
          <w:tcPr>
            <w:tcW w:w="639" w:type="pct"/>
          </w:tcPr>
          <w:p w14:paraId="2CF04DFC"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164</w:t>
            </w:r>
            <w:r w:rsidRPr="00D15332">
              <w:rPr>
                <w:sz w:val="22"/>
                <w:szCs w:val="22"/>
                <w:vertAlign w:val="superscript"/>
                <w:lang w:val="en-GB"/>
              </w:rPr>
              <w:t>2</w:t>
            </w:r>
          </w:p>
        </w:tc>
        <w:tc>
          <w:tcPr>
            <w:tcW w:w="640" w:type="pct"/>
          </w:tcPr>
          <w:p w14:paraId="19EC7DBD"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125</w:t>
            </w:r>
            <w:r w:rsidRPr="00D15332">
              <w:rPr>
                <w:sz w:val="22"/>
                <w:szCs w:val="22"/>
                <w:vertAlign w:val="superscript"/>
                <w:lang w:val="en-GB"/>
              </w:rPr>
              <w:t>2</w:t>
            </w:r>
          </w:p>
        </w:tc>
        <w:tc>
          <w:tcPr>
            <w:tcW w:w="639" w:type="pct"/>
            <w:tcMar>
              <w:top w:w="0" w:type="dxa"/>
              <w:left w:w="108" w:type="dxa"/>
              <w:bottom w:w="0" w:type="dxa"/>
              <w:right w:w="108" w:type="dxa"/>
            </w:tcMar>
          </w:tcPr>
          <w:p w14:paraId="20A07030" w14:textId="4425C9DE" w:rsidR="006560EB" w:rsidRPr="00D15332" w:rsidRDefault="00B356B7" w:rsidP="00D15332">
            <w:pPr>
              <w:pStyle w:val="BodyText1"/>
              <w:spacing w:before="60" w:after="60"/>
              <w:jc w:val="center"/>
              <w:rPr>
                <w:sz w:val="22"/>
                <w:szCs w:val="22"/>
                <w:lang w:val="en-GB"/>
              </w:rPr>
            </w:pPr>
            <w:r>
              <w:rPr>
                <w:sz w:val="22"/>
                <w:szCs w:val="22"/>
                <w:lang w:val="en-GB"/>
              </w:rPr>
              <w:t>89</w:t>
            </w:r>
            <w:r w:rsidR="006560EB" w:rsidRPr="00D15332">
              <w:rPr>
                <w:sz w:val="22"/>
                <w:szCs w:val="22"/>
                <w:vertAlign w:val="superscript"/>
                <w:lang w:val="en-GB"/>
              </w:rPr>
              <w:t>2</w:t>
            </w:r>
          </w:p>
        </w:tc>
        <w:tc>
          <w:tcPr>
            <w:tcW w:w="639" w:type="pct"/>
            <w:tcMar>
              <w:top w:w="0" w:type="dxa"/>
              <w:left w:w="108" w:type="dxa"/>
              <w:bottom w:w="0" w:type="dxa"/>
              <w:right w:w="108" w:type="dxa"/>
            </w:tcMar>
          </w:tcPr>
          <w:p w14:paraId="45FCA193" w14:textId="78BE188C" w:rsidR="006560EB" w:rsidRPr="00D15332" w:rsidRDefault="00B356B7" w:rsidP="00D15332">
            <w:pPr>
              <w:pStyle w:val="BodyText1"/>
              <w:spacing w:before="60" w:after="60"/>
              <w:jc w:val="center"/>
              <w:rPr>
                <w:sz w:val="22"/>
                <w:szCs w:val="22"/>
                <w:lang w:val="en-GB"/>
              </w:rPr>
            </w:pPr>
            <w:r>
              <w:rPr>
                <w:sz w:val="22"/>
                <w:szCs w:val="22"/>
                <w:lang w:val="en-GB"/>
              </w:rPr>
              <w:t>84</w:t>
            </w:r>
            <w:r w:rsidR="006560EB" w:rsidRPr="00D15332">
              <w:rPr>
                <w:sz w:val="22"/>
                <w:szCs w:val="22"/>
                <w:vertAlign w:val="superscript"/>
                <w:lang w:val="en-GB"/>
              </w:rPr>
              <w:t>2</w:t>
            </w:r>
          </w:p>
        </w:tc>
      </w:tr>
      <w:tr w:rsidR="006560EB" w:rsidRPr="00D15332" w14:paraId="40378F6C" w14:textId="77777777" w:rsidTr="009D51CD">
        <w:trPr>
          <w:trHeight w:val="33"/>
        </w:trPr>
        <w:tc>
          <w:tcPr>
            <w:tcW w:w="1803" w:type="pct"/>
          </w:tcPr>
          <w:p w14:paraId="3C28221F" w14:textId="46EEDCA4" w:rsidR="006560EB" w:rsidRPr="00D15332" w:rsidRDefault="006560EB" w:rsidP="00D15332">
            <w:pPr>
              <w:pStyle w:val="BodyText1"/>
              <w:spacing w:before="60" w:after="60"/>
              <w:rPr>
                <w:sz w:val="22"/>
                <w:szCs w:val="22"/>
                <w:lang w:val="en-GB"/>
              </w:rPr>
            </w:pPr>
            <w:r w:rsidRPr="00D15332">
              <w:rPr>
                <w:sz w:val="22"/>
                <w:szCs w:val="22"/>
                <w:lang w:val="en-GB"/>
              </w:rPr>
              <w:t>Mean (SD) blood phenylalanine (</w:t>
            </w:r>
            <w:proofErr w:type="spellStart"/>
            <w:r w:rsidR="009D51CD" w:rsidRPr="00D15332">
              <w:rPr>
                <w:sz w:val="22"/>
                <w:szCs w:val="22"/>
                <w:lang w:val="en-GB"/>
              </w:rPr>
              <w:t>micromol</w:t>
            </w:r>
            <w:proofErr w:type="spellEnd"/>
            <w:r w:rsidR="009D51CD" w:rsidRPr="00D15332">
              <w:rPr>
                <w:sz w:val="22"/>
                <w:szCs w:val="22"/>
                <w:lang w:val="en-GB"/>
              </w:rPr>
              <w:t>/L</w:t>
            </w:r>
            <w:r w:rsidRPr="00D15332">
              <w:rPr>
                <w:sz w:val="22"/>
                <w:szCs w:val="22"/>
                <w:lang w:val="en-GB"/>
              </w:rPr>
              <w:t>)</w:t>
            </w:r>
          </w:p>
        </w:tc>
        <w:tc>
          <w:tcPr>
            <w:tcW w:w="640" w:type="pct"/>
          </w:tcPr>
          <w:p w14:paraId="6AB1E670"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1233 (386)</w:t>
            </w:r>
          </w:p>
        </w:tc>
        <w:tc>
          <w:tcPr>
            <w:tcW w:w="639" w:type="pct"/>
          </w:tcPr>
          <w:p w14:paraId="45E23519"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565 (531)</w:t>
            </w:r>
          </w:p>
        </w:tc>
        <w:tc>
          <w:tcPr>
            <w:tcW w:w="640" w:type="pct"/>
          </w:tcPr>
          <w:p w14:paraId="121BD4D4"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390 (469)</w:t>
            </w:r>
          </w:p>
        </w:tc>
        <w:tc>
          <w:tcPr>
            <w:tcW w:w="639" w:type="pct"/>
            <w:tcMar>
              <w:top w:w="0" w:type="dxa"/>
              <w:left w:w="108" w:type="dxa"/>
              <w:bottom w:w="0" w:type="dxa"/>
              <w:right w:w="108" w:type="dxa"/>
            </w:tcMar>
          </w:tcPr>
          <w:p w14:paraId="50C08D33" w14:textId="0DDEC75B" w:rsidR="006560EB" w:rsidRPr="00D15332" w:rsidRDefault="00B356B7" w:rsidP="00D15332">
            <w:pPr>
              <w:pStyle w:val="BodyText1"/>
              <w:spacing w:before="60" w:after="60"/>
              <w:jc w:val="center"/>
              <w:rPr>
                <w:sz w:val="22"/>
                <w:szCs w:val="22"/>
                <w:lang w:val="en-GB"/>
              </w:rPr>
            </w:pPr>
            <w:r>
              <w:rPr>
                <w:sz w:val="22"/>
                <w:szCs w:val="22"/>
                <w:lang w:val="en-GB"/>
              </w:rPr>
              <w:t>333</w:t>
            </w:r>
            <w:r w:rsidR="006560EB" w:rsidRPr="00D15332">
              <w:rPr>
                <w:sz w:val="22"/>
                <w:szCs w:val="22"/>
                <w:lang w:val="en-GB"/>
              </w:rPr>
              <w:t> (</w:t>
            </w:r>
            <w:r>
              <w:rPr>
                <w:sz w:val="22"/>
                <w:szCs w:val="22"/>
                <w:lang w:val="en-GB"/>
              </w:rPr>
              <w:t>441</w:t>
            </w:r>
            <w:r w:rsidR="006560EB" w:rsidRPr="00D15332">
              <w:rPr>
                <w:sz w:val="22"/>
                <w:szCs w:val="22"/>
                <w:lang w:val="en-GB"/>
              </w:rPr>
              <w:t>)</w:t>
            </w:r>
          </w:p>
        </w:tc>
        <w:tc>
          <w:tcPr>
            <w:tcW w:w="639" w:type="pct"/>
            <w:tcMar>
              <w:top w:w="0" w:type="dxa"/>
              <w:left w:w="108" w:type="dxa"/>
              <w:bottom w:w="0" w:type="dxa"/>
              <w:right w:w="108" w:type="dxa"/>
            </w:tcMar>
          </w:tcPr>
          <w:p w14:paraId="05F5C29C" w14:textId="26988C8D" w:rsidR="006560EB" w:rsidRPr="00D15332" w:rsidRDefault="00B356B7" w:rsidP="00D15332">
            <w:pPr>
              <w:pStyle w:val="BodyText1"/>
              <w:spacing w:before="60" w:after="60"/>
              <w:jc w:val="center"/>
              <w:rPr>
                <w:sz w:val="22"/>
                <w:szCs w:val="22"/>
                <w:lang w:val="en-GB"/>
              </w:rPr>
            </w:pPr>
            <w:r>
              <w:rPr>
                <w:sz w:val="22"/>
                <w:szCs w:val="22"/>
                <w:lang w:val="en-GB"/>
              </w:rPr>
              <w:t>371</w:t>
            </w:r>
            <w:r w:rsidR="006560EB" w:rsidRPr="00D15332">
              <w:rPr>
                <w:sz w:val="22"/>
                <w:szCs w:val="22"/>
                <w:lang w:val="en-GB"/>
              </w:rPr>
              <w:t> (</w:t>
            </w:r>
            <w:r>
              <w:rPr>
                <w:sz w:val="22"/>
                <w:szCs w:val="22"/>
                <w:lang w:val="en-GB"/>
              </w:rPr>
              <w:t>459</w:t>
            </w:r>
            <w:r w:rsidR="006560EB" w:rsidRPr="00D15332">
              <w:rPr>
                <w:sz w:val="22"/>
                <w:szCs w:val="22"/>
                <w:lang w:val="en-GB"/>
              </w:rPr>
              <w:t>)</w:t>
            </w:r>
          </w:p>
        </w:tc>
      </w:tr>
      <w:tr w:rsidR="006560EB" w:rsidRPr="00D15332" w14:paraId="6BE433B6" w14:textId="77777777" w:rsidTr="009D51CD">
        <w:tc>
          <w:tcPr>
            <w:tcW w:w="1803" w:type="pct"/>
          </w:tcPr>
          <w:p w14:paraId="2E85F748" w14:textId="32841EEF" w:rsidR="006560EB" w:rsidRPr="00D15332" w:rsidRDefault="006560EB" w:rsidP="00D15332">
            <w:pPr>
              <w:pStyle w:val="BodyText1"/>
              <w:spacing w:before="60" w:after="60"/>
              <w:rPr>
                <w:sz w:val="22"/>
                <w:szCs w:val="22"/>
                <w:lang w:val="en-GB"/>
              </w:rPr>
            </w:pPr>
            <w:r w:rsidRPr="00D15332">
              <w:rPr>
                <w:sz w:val="22"/>
                <w:szCs w:val="22"/>
                <w:lang w:val="en-GB"/>
              </w:rPr>
              <w:t>Change from baseline (</w:t>
            </w:r>
            <w:proofErr w:type="spellStart"/>
            <w:r w:rsidR="009D51CD" w:rsidRPr="00D15332">
              <w:rPr>
                <w:sz w:val="22"/>
                <w:szCs w:val="22"/>
                <w:lang w:val="en-GB"/>
              </w:rPr>
              <w:t>micromol</w:t>
            </w:r>
            <w:proofErr w:type="spellEnd"/>
            <w:r w:rsidR="009D51CD" w:rsidRPr="00D15332">
              <w:rPr>
                <w:sz w:val="22"/>
                <w:szCs w:val="22"/>
                <w:lang w:val="en-GB"/>
              </w:rPr>
              <w:t>/L</w:t>
            </w:r>
            <w:r w:rsidRPr="00D15332">
              <w:rPr>
                <w:sz w:val="22"/>
                <w:szCs w:val="22"/>
                <w:lang w:val="en-GB"/>
              </w:rPr>
              <w:t>)</w:t>
            </w:r>
          </w:p>
          <w:p w14:paraId="646C3ED9" w14:textId="77777777" w:rsidR="006560EB" w:rsidRPr="00D15332" w:rsidRDefault="006560EB" w:rsidP="00D15332">
            <w:pPr>
              <w:pStyle w:val="BodyText1"/>
              <w:spacing w:before="60" w:after="60"/>
              <w:rPr>
                <w:sz w:val="22"/>
                <w:szCs w:val="22"/>
                <w:lang w:val="en-GB"/>
              </w:rPr>
            </w:pPr>
            <w:r w:rsidRPr="00D15332">
              <w:rPr>
                <w:sz w:val="22"/>
                <w:szCs w:val="22"/>
                <w:lang w:val="en-GB"/>
              </w:rPr>
              <w:t>Mean (SD)</w:t>
            </w:r>
          </w:p>
          <w:p w14:paraId="27B405CB" w14:textId="77777777" w:rsidR="006560EB" w:rsidRPr="00D15332" w:rsidRDefault="006560EB" w:rsidP="00D15332">
            <w:pPr>
              <w:pStyle w:val="BodyText1"/>
              <w:spacing w:before="60" w:after="60"/>
              <w:rPr>
                <w:sz w:val="22"/>
                <w:szCs w:val="22"/>
                <w:lang w:val="en-GB"/>
              </w:rPr>
            </w:pPr>
            <w:r w:rsidRPr="00D15332">
              <w:rPr>
                <w:sz w:val="22"/>
                <w:szCs w:val="22"/>
                <w:lang w:val="en-GB"/>
              </w:rPr>
              <w:t>Median</w:t>
            </w:r>
          </w:p>
        </w:tc>
        <w:tc>
          <w:tcPr>
            <w:tcW w:w="640" w:type="pct"/>
          </w:tcPr>
          <w:p w14:paraId="404EF2FF" w14:textId="77777777" w:rsidR="006560EB" w:rsidRPr="00D15332" w:rsidRDefault="006560EB" w:rsidP="00D15332">
            <w:pPr>
              <w:pStyle w:val="BodyText1"/>
              <w:spacing w:before="60" w:after="60"/>
              <w:jc w:val="center"/>
              <w:rPr>
                <w:sz w:val="22"/>
                <w:szCs w:val="22"/>
                <w:lang w:val="en-GB"/>
              </w:rPr>
            </w:pPr>
          </w:p>
          <w:p w14:paraId="2FCCE798"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w:t>
            </w:r>
          </w:p>
        </w:tc>
        <w:tc>
          <w:tcPr>
            <w:tcW w:w="639" w:type="pct"/>
          </w:tcPr>
          <w:p w14:paraId="62DD8C95" w14:textId="77777777" w:rsidR="006560EB" w:rsidRPr="00D15332" w:rsidRDefault="006560EB" w:rsidP="00D15332">
            <w:pPr>
              <w:pStyle w:val="BodyText1"/>
              <w:spacing w:before="60" w:after="60"/>
              <w:jc w:val="center"/>
              <w:rPr>
                <w:sz w:val="22"/>
                <w:szCs w:val="22"/>
                <w:lang w:val="en-GB"/>
              </w:rPr>
            </w:pPr>
          </w:p>
          <w:p w14:paraId="68670C37"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-662 (588)</w:t>
            </w:r>
          </w:p>
          <w:p w14:paraId="544C7CE3"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-634</w:t>
            </w:r>
          </w:p>
        </w:tc>
        <w:tc>
          <w:tcPr>
            <w:tcW w:w="640" w:type="pct"/>
          </w:tcPr>
          <w:p w14:paraId="155FE151" w14:textId="77777777" w:rsidR="006560EB" w:rsidRPr="00D15332" w:rsidRDefault="006560EB" w:rsidP="00D15332">
            <w:pPr>
              <w:pStyle w:val="BodyText1"/>
              <w:spacing w:before="60" w:after="60"/>
              <w:jc w:val="center"/>
              <w:rPr>
                <w:sz w:val="22"/>
                <w:szCs w:val="22"/>
                <w:lang w:val="en-GB"/>
              </w:rPr>
            </w:pPr>
          </w:p>
          <w:p w14:paraId="1A539388"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-883 (565)</w:t>
            </w:r>
          </w:p>
          <w:p w14:paraId="134F773D"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-920</w:t>
            </w:r>
          </w:p>
        </w:tc>
        <w:tc>
          <w:tcPr>
            <w:tcW w:w="639" w:type="pct"/>
            <w:tcMar>
              <w:top w:w="0" w:type="dxa"/>
              <w:left w:w="108" w:type="dxa"/>
              <w:bottom w:w="0" w:type="dxa"/>
              <w:right w:w="108" w:type="dxa"/>
            </w:tcMar>
          </w:tcPr>
          <w:p w14:paraId="6A9E26CA" w14:textId="77777777" w:rsidR="006560EB" w:rsidRPr="00D15332" w:rsidRDefault="006560EB" w:rsidP="00D15332">
            <w:pPr>
              <w:pStyle w:val="BodyText1"/>
              <w:spacing w:before="60" w:after="60"/>
              <w:jc w:val="center"/>
              <w:rPr>
                <w:sz w:val="22"/>
                <w:szCs w:val="22"/>
                <w:lang w:val="en-GB"/>
              </w:rPr>
            </w:pPr>
          </w:p>
          <w:p w14:paraId="50430619" w14:textId="10438429" w:rsidR="006560EB" w:rsidRPr="00D15332" w:rsidRDefault="006560EB" w:rsidP="00D15332">
            <w:pPr>
              <w:pStyle w:val="BodyText1"/>
              <w:spacing w:before="60" w:after="60"/>
              <w:jc w:val="center"/>
              <w:rPr>
                <w:sz w:val="22"/>
                <w:szCs w:val="22"/>
                <w:lang w:val="en-GB"/>
              </w:rPr>
            </w:pPr>
            <w:r w:rsidRPr="00D15332">
              <w:rPr>
                <w:sz w:val="22"/>
                <w:szCs w:val="22"/>
                <w:lang w:val="en-GB"/>
              </w:rPr>
              <w:t>-</w:t>
            </w:r>
            <w:r w:rsidR="00B356B7">
              <w:rPr>
                <w:sz w:val="22"/>
                <w:szCs w:val="22"/>
                <w:lang w:val="en-GB"/>
              </w:rPr>
              <w:t>882</w:t>
            </w:r>
            <w:r w:rsidRPr="00D15332">
              <w:rPr>
                <w:sz w:val="22"/>
                <w:szCs w:val="22"/>
                <w:lang w:val="en-GB"/>
              </w:rPr>
              <w:t> (</w:t>
            </w:r>
            <w:r w:rsidR="00B356B7">
              <w:rPr>
                <w:sz w:val="22"/>
                <w:szCs w:val="22"/>
                <w:lang w:val="en-GB"/>
              </w:rPr>
              <w:t>563</w:t>
            </w:r>
            <w:r w:rsidRPr="00D15332">
              <w:rPr>
                <w:sz w:val="22"/>
                <w:szCs w:val="22"/>
                <w:lang w:val="en-GB"/>
              </w:rPr>
              <w:t>)</w:t>
            </w:r>
          </w:p>
          <w:p w14:paraId="364DCA72" w14:textId="585D1475" w:rsidR="006560EB" w:rsidRPr="00D15332" w:rsidRDefault="006560EB" w:rsidP="00D15332">
            <w:pPr>
              <w:pStyle w:val="BodyText1"/>
              <w:spacing w:before="60" w:after="60"/>
              <w:jc w:val="center"/>
              <w:rPr>
                <w:sz w:val="22"/>
                <w:szCs w:val="22"/>
                <w:lang w:val="en-GB"/>
              </w:rPr>
            </w:pPr>
            <w:r w:rsidRPr="00D15332">
              <w:rPr>
                <w:sz w:val="22"/>
                <w:szCs w:val="22"/>
                <w:lang w:val="en-GB"/>
              </w:rPr>
              <w:t>-</w:t>
            </w:r>
            <w:r w:rsidR="00B356B7">
              <w:rPr>
                <w:sz w:val="22"/>
                <w:szCs w:val="22"/>
                <w:lang w:val="en-GB"/>
              </w:rPr>
              <w:t>968</w:t>
            </w:r>
          </w:p>
        </w:tc>
        <w:tc>
          <w:tcPr>
            <w:tcW w:w="639" w:type="pct"/>
            <w:tcMar>
              <w:top w:w="0" w:type="dxa"/>
              <w:left w:w="108" w:type="dxa"/>
              <w:bottom w:w="0" w:type="dxa"/>
              <w:right w:w="108" w:type="dxa"/>
            </w:tcMar>
          </w:tcPr>
          <w:p w14:paraId="615C3754" w14:textId="77777777" w:rsidR="006560EB" w:rsidRPr="00D15332" w:rsidRDefault="006560EB" w:rsidP="00D15332">
            <w:pPr>
              <w:pStyle w:val="BodyText1"/>
              <w:spacing w:before="60" w:after="60"/>
              <w:jc w:val="center"/>
              <w:rPr>
                <w:sz w:val="22"/>
                <w:szCs w:val="22"/>
                <w:lang w:val="en-GB"/>
              </w:rPr>
            </w:pPr>
          </w:p>
          <w:p w14:paraId="29C36909" w14:textId="7D39D54F" w:rsidR="006560EB" w:rsidRPr="00D15332" w:rsidRDefault="006560EB" w:rsidP="00D15332">
            <w:pPr>
              <w:pStyle w:val="BodyText1"/>
              <w:spacing w:before="60" w:after="60"/>
              <w:jc w:val="center"/>
              <w:rPr>
                <w:sz w:val="22"/>
                <w:szCs w:val="22"/>
                <w:lang w:val="en-GB"/>
              </w:rPr>
            </w:pPr>
            <w:r w:rsidRPr="00D15332">
              <w:rPr>
                <w:sz w:val="22"/>
                <w:szCs w:val="22"/>
                <w:lang w:val="en-GB"/>
              </w:rPr>
              <w:t>-</w:t>
            </w:r>
            <w:r w:rsidR="00B356B7">
              <w:rPr>
                <w:sz w:val="22"/>
                <w:szCs w:val="22"/>
                <w:lang w:val="en-GB"/>
              </w:rPr>
              <w:t>911</w:t>
            </w:r>
            <w:r w:rsidRPr="00D15332">
              <w:rPr>
                <w:sz w:val="22"/>
                <w:szCs w:val="22"/>
                <w:lang w:val="en-GB"/>
              </w:rPr>
              <w:t> (</w:t>
            </w:r>
            <w:r w:rsidR="00B356B7">
              <w:rPr>
                <w:sz w:val="22"/>
                <w:szCs w:val="22"/>
                <w:lang w:val="en-GB"/>
              </w:rPr>
              <w:t>563</w:t>
            </w:r>
            <w:r w:rsidRPr="00D15332">
              <w:rPr>
                <w:sz w:val="22"/>
                <w:szCs w:val="22"/>
                <w:lang w:val="en-GB"/>
              </w:rPr>
              <w:t>)</w:t>
            </w:r>
          </w:p>
          <w:p w14:paraId="48A137BD" w14:textId="2EB92758" w:rsidR="006560EB" w:rsidRPr="00D15332" w:rsidRDefault="006560EB" w:rsidP="00D15332">
            <w:pPr>
              <w:pStyle w:val="BodyText1"/>
              <w:spacing w:before="60" w:after="60"/>
              <w:jc w:val="center"/>
              <w:rPr>
                <w:sz w:val="22"/>
                <w:szCs w:val="22"/>
                <w:lang w:val="en-GB"/>
              </w:rPr>
            </w:pPr>
            <w:r w:rsidRPr="00D15332">
              <w:rPr>
                <w:sz w:val="22"/>
                <w:szCs w:val="22"/>
                <w:lang w:val="en-GB"/>
              </w:rPr>
              <w:t>-</w:t>
            </w:r>
            <w:r w:rsidR="00B356B7">
              <w:rPr>
                <w:sz w:val="22"/>
                <w:szCs w:val="22"/>
                <w:lang w:val="en-GB"/>
              </w:rPr>
              <w:t>895</w:t>
            </w:r>
          </w:p>
        </w:tc>
      </w:tr>
      <w:tr w:rsidR="006560EB" w:rsidRPr="00D15332" w14:paraId="2C767CA1" w14:textId="77777777" w:rsidTr="009D51CD">
        <w:tc>
          <w:tcPr>
            <w:tcW w:w="5000" w:type="pct"/>
            <w:gridSpan w:val="6"/>
            <w:tcMar>
              <w:top w:w="0" w:type="dxa"/>
              <w:left w:w="108" w:type="dxa"/>
              <w:bottom w:w="0" w:type="dxa"/>
              <w:right w:w="108" w:type="dxa"/>
            </w:tcMar>
          </w:tcPr>
          <w:p w14:paraId="2CA0B618" w14:textId="77777777" w:rsidR="006560EB" w:rsidRPr="00D15332" w:rsidRDefault="006560EB" w:rsidP="00D15332">
            <w:pPr>
              <w:pStyle w:val="BodyText1"/>
              <w:spacing w:before="60" w:after="60"/>
              <w:rPr>
                <w:sz w:val="22"/>
                <w:szCs w:val="22"/>
                <w:lang w:val="en-GB"/>
              </w:rPr>
            </w:pPr>
            <w:r w:rsidRPr="00D15332">
              <w:rPr>
                <w:b/>
                <w:bCs/>
                <w:sz w:val="22"/>
                <w:szCs w:val="22"/>
                <w:lang w:val="en-GB"/>
              </w:rPr>
              <w:t>ADHD inattention</w:t>
            </w:r>
            <w:r w:rsidRPr="00D15332">
              <w:rPr>
                <w:b/>
                <w:bCs/>
                <w:sz w:val="22"/>
                <w:szCs w:val="22"/>
                <w:vertAlign w:val="superscript"/>
                <w:lang w:val="en-GB"/>
              </w:rPr>
              <w:t>3</w:t>
            </w:r>
            <w:r w:rsidRPr="00D15332">
              <w:rPr>
                <w:b/>
                <w:bCs/>
                <w:sz w:val="22"/>
                <w:szCs w:val="22"/>
                <w:lang w:val="en-GB"/>
              </w:rPr>
              <w:t xml:space="preserve"> subscale (investigator</w:t>
            </w:r>
            <w:r w:rsidRPr="00D15332">
              <w:rPr>
                <w:b/>
                <w:bCs/>
                <w:sz w:val="22"/>
                <w:szCs w:val="22"/>
                <w:lang w:val="en-GB"/>
              </w:rPr>
              <w:noBreakHyphen/>
              <w:t>rated)</w:t>
            </w:r>
          </w:p>
        </w:tc>
      </w:tr>
      <w:tr w:rsidR="006560EB" w:rsidRPr="00D15332" w14:paraId="467C7CAA" w14:textId="77777777" w:rsidTr="009D51CD">
        <w:trPr>
          <w:trHeight w:val="242"/>
        </w:trPr>
        <w:tc>
          <w:tcPr>
            <w:tcW w:w="1803" w:type="pct"/>
          </w:tcPr>
          <w:p w14:paraId="5897F205" w14:textId="77777777" w:rsidR="006560EB" w:rsidRPr="00D15332" w:rsidRDefault="006560EB" w:rsidP="00D15332">
            <w:pPr>
              <w:pStyle w:val="BodyText1"/>
              <w:spacing w:before="60" w:after="60"/>
              <w:rPr>
                <w:sz w:val="22"/>
                <w:szCs w:val="22"/>
                <w:lang w:val="en-GB"/>
              </w:rPr>
            </w:pPr>
            <w:r w:rsidRPr="00D15332">
              <w:rPr>
                <w:sz w:val="22"/>
                <w:szCs w:val="22"/>
                <w:lang w:val="en-GB"/>
              </w:rPr>
              <w:t>N</w:t>
            </w:r>
          </w:p>
        </w:tc>
        <w:tc>
          <w:tcPr>
            <w:tcW w:w="640" w:type="pct"/>
          </w:tcPr>
          <w:p w14:paraId="582C993C"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253</w:t>
            </w:r>
          </w:p>
        </w:tc>
        <w:tc>
          <w:tcPr>
            <w:tcW w:w="639" w:type="pct"/>
          </w:tcPr>
          <w:p w14:paraId="41FF7075"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178</w:t>
            </w:r>
          </w:p>
        </w:tc>
        <w:tc>
          <w:tcPr>
            <w:tcW w:w="640" w:type="pct"/>
          </w:tcPr>
          <w:p w14:paraId="7F8A144A"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175</w:t>
            </w:r>
          </w:p>
        </w:tc>
        <w:tc>
          <w:tcPr>
            <w:tcW w:w="639" w:type="pct"/>
            <w:tcMar>
              <w:top w:w="0" w:type="dxa"/>
              <w:left w:w="108" w:type="dxa"/>
              <w:bottom w:w="0" w:type="dxa"/>
              <w:right w:w="108" w:type="dxa"/>
            </w:tcMar>
          </w:tcPr>
          <w:p w14:paraId="6F394847" w14:textId="491C5226" w:rsidR="006560EB" w:rsidRPr="00D15332" w:rsidRDefault="00B356B7" w:rsidP="00D15332">
            <w:pPr>
              <w:pStyle w:val="BodyText1"/>
              <w:spacing w:before="60" w:after="60"/>
              <w:jc w:val="center"/>
              <w:rPr>
                <w:sz w:val="22"/>
                <w:szCs w:val="22"/>
                <w:lang w:val="en-GB"/>
              </w:rPr>
            </w:pPr>
            <w:r>
              <w:rPr>
                <w:sz w:val="22"/>
                <w:szCs w:val="22"/>
                <w:lang w:val="en-GB"/>
              </w:rPr>
              <w:t>166</w:t>
            </w:r>
          </w:p>
        </w:tc>
        <w:tc>
          <w:tcPr>
            <w:tcW w:w="639" w:type="pct"/>
            <w:tcMar>
              <w:top w:w="0" w:type="dxa"/>
              <w:left w:w="108" w:type="dxa"/>
              <w:bottom w:w="0" w:type="dxa"/>
              <w:right w:w="108" w:type="dxa"/>
            </w:tcMar>
          </w:tcPr>
          <w:p w14:paraId="0396AD21" w14:textId="5E886215" w:rsidR="006560EB" w:rsidRPr="00D15332" w:rsidRDefault="00B356B7" w:rsidP="00D15332">
            <w:pPr>
              <w:pStyle w:val="BodyText1"/>
              <w:spacing w:before="60" w:after="60"/>
              <w:jc w:val="center"/>
              <w:rPr>
                <w:sz w:val="22"/>
                <w:szCs w:val="22"/>
                <w:lang w:val="en-GB"/>
              </w:rPr>
            </w:pPr>
            <w:r>
              <w:rPr>
                <w:sz w:val="22"/>
                <w:szCs w:val="22"/>
                <w:lang w:val="en-GB"/>
              </w:rPr>
              <w:t>147</w:t>
            </w:r>
          </w:p>
        </w:tc>
      </w:tr>
      <w:tr w:rsidR="006560EB" w:rsidRPr="00D15332" w14:paraId="3C7B7A0E" w14:textId="77777777" w:rsidTr="009D51CD">
        <w:trPr>
          <w:trHeight w:val="242"/>
        </w:trPr>
        <w:tc>
          <w:tcPr>
            <w:tcW w:w="1803" w:type="pct"/>
          </w:tcPr>
          <w:p w14:paraId="30C77002" w14:textId="77777777" w:rsidR="006560EB" w:rsidRPr="00D15332" w:rsidRDefault="006560EB" w:rsidP="00D15332">
            <w:pPr>
              <w:pStyle w:val="BodyText1"/>
              <w:spacing w:before="60" w:after="60"/>
              <w:rPr>
                <w:sz w:val="22"/>
                <w:szCs w:val="22"/>
                <w:lang w:val="en-GB"/>
              </w:rPr>
            </w:pPr>
            <w:r w:rsidRPr="00D15332">
              <w:rPr>
                <w:sz w:val="22"/>
                <w:szCs w:val="22"/>
                <w:lang w:val="en-GB"/>
              </w:rPr>
              <w:t xml:space="preserve">Mean (SD) inattention score </w:t>
            </w:r>
          </w:p>
        </w:tc>
        <w:tc>
          <w:tcPr>
            <w:tcW w:w="640" w:type="pct"/>
          </w:tcPr>
          <w:p w14:paraId="6E20C5EE"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9.8 (6.1)</w:t>
            </w:r>
          </w:p>
        </w:tc>
        <w:tc>
          <w:tcPr>
            <w:tcW w:w="639" w:type="pct"/>
          </w:tcPr>
          <w:p w14:paraId="7A56270E"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5 (4.9)</w:t>
            </w:r>
          </w:p>
        </w:tc>
        <w:tc>
          <w:tcPr>
            <w:tcW w:w="640" w:type="pct"/>
          </w:tcPr>
          <w:p w14:paraId="56253DFE"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4.6 (4.7)</w:t>
            </w:r>
          </w:p>
        </w:tc>
        <w:tc>
          <w:tcPr>
            <w:tcW w:w="639" w:type="pct"/>
            <w:tcMar>
              <w:top w:w="0" w:type="dxa"/>
              <w:left w:w="108" w:type="dxa"/>
              <w:bottom w:w="0" w:type="dxa"/>
              <w:right w:w="108" w:type="dxa"/>
            </w:tcMar>
          </w:tcPr>
          <w:p w14:paraId="6DC8277E" w14:textId="56DE4646" w:rsidR="006560EB" w:rsidRPr="00D15332" w:rsidRDefault="00B356B7" w:rsidP="00D15332">
            <w:pPr>
              <w:pStyle w:val="BodyText1"/>
              <w:spacing w:before="60" w:after="60"/>
              <w:jc w:val="center"/>
              <w:rPr>
                <w:sz w:val="22"/>
                <w:szCs w:val="22"/>
                <w:lang w:val="en-GB"/>
              </w:rPr>
            </w:pPr>
            <w:r>
              <w:rPr>
                <w:sz w:val="22"/>
                <w:szCs w:val="22"/>
                <w:lang w:val="en-GB"/>
              </w:rPr>
              <w:t>4.3</w:t>
            </w:r>
            <w:r w:rsidR="006560EB" w:rsidRPr="00D15332">
              <w:rPr>
                <w:sz w:val="22"/>
                <w:szCs w:val="22"/>
                <w:lang w:val="en-GB"/>
              </w:rPr>
              <w:t> (4.6)</w:t>
            </w:r>
          </w:p>
        </w:tc>
        <w:tc>
          <w:tcPr>
            <w:tcW w:w="639" w:type="pct"/>
            <w:tcMar>
              <w:top w:w="0" w:type="dxa"/>
              <w:left w:w="108" w:type="dxa"/>
              <w:bottom w:w="0" w:type="dxa"/>
              <w:right w:w="108" w:type="dxa"/>
            </w:tcMar>
          </w:tcPr>
          <w:p w14:paraId="329FEE08" w14:textId="738344A8" w:rsidR="006560EB" w:rsidRPr="00D15332" w:rsidRDefault="00B356B7" w:rsidP="00D15332">
            <w:pPr>
              <w:pStyle w:val="BodyText1"/>
              <w:spacing w:before="60" w:after="60"/>
              <w:jc w:val="center"/>
              <w:rPr>
                <w:sz w:val="22"/>
                <w:szCs w:val="22"/>
                <w:lang w:val="en-GB"/>
              </w:rPr>
            </w:pPr>
            <w:r>
              <w:rPr>
                <w:sz w:val="22"/>
                <w:szCs w:val="22"/>
                <w:lang w:val="en-GB"/>
              </w:rPr>
              <w:t>3.4</w:t>
            </w:r>
            <w:r w:rsidR="006560EB" w:rsidRPr="00D15332">
              <w:rPr>
                <w:sz w:val="22"/>
                <w:szCs w:val="22"/>
                <w:lang w:val="en-GB"/>
              </w:rPr>
              <w:t> (</w:t>
            </w:r>
            <w:r>
              <w:rPr>
                <w:sz w:val="22"/>
                <w:szCs w:val="22"/>
                <w:lang w:val="en-GB"/>
              </w:rPr>
              <w:t>4.</w:t>
            </w:r>
            <w:r w:rsidR="006560EB" w:rsidRPr="00D15332">
              <w:rPr>
                <w:sz w:val="22"/>
                <w:szCs w:val="22"/>
                <w:lang w:val="en-GB"/>
              </w:rPr>
              <w:t>5)</w:t>
            </w:r>
          </w:p>
        </w:tc>
      </w:tr>
      <w:tr w:rsidR="006560EB" w:rsidRPr="00D15332" w14:paraId="200E56B6" w14:textId="77777777" w:rsidTr="009D51CD">
        <w:trPr>
          <w:trHeight w:val="242"/>
        </w:trPr>
        <w:tc>
          <w:tcPr>
            <w:tcW w:w="1803" w:type="pct"/>
          </w:tcPr>
          <w:p w14:paraId="68063A0F" w14:textId="77777777" w:rsidR="006560EB" w:rsidRPr="00D15332" w:rsidRDefault="006560EB" w:rsidP="00D15332">
            <w:pPr>
              <w:pStyle w:val="BodyText1"/>
              <w:spacing w:before="60" w:after="60"/>
              <w:rPr>
                <w:sz w:val="22"/>
                <w:szCs w:val="22"/>
                <w:lang w:val="en-GB"/>
              </w:rPr>
            </w:pPr>
            <w:r w:rsidRPr="00D15332">
              <w:rPr>
                <w:sz w:val="22"/>
                <w:szCs w:val="22"/>
                <w:lang w:val="en-GB"/>
              </w:rPr>
              <w:t>Change from baseline inattention score (n)</w:t>
            </w:r>
            <w:r w:rsidRPr="00D15332">
              <w:rPr>
                <w:sz w:val="22"/>
                <w:szCs w:val="22"/>
                <w:vertAlign w:val="superscript"/>
                <w:lang w:val="en-GB"/>
              </w:rPr>
              <w:t>4</w:t>
            </w:r>
          </w:p>
          <w:p w14:paraId="51EE3C85" w14:textId="77777777" w:rsidR="006560EB" w:rsidRPr="00D15332" w:rsidRDefault="006560EB" w:rsidP="00D15332">
            <w:pPr>
              <w:pStyle w:val="BodyText1"/>
              <w:spacing w:before="60" w:after="60"/>
              <w:rPr>
                <w:sz w:val="22"/>
                <w:szCs w:val="22"/>
                <w:lang w:val="en-GB"/>
              </w:rPr>
            </w:pPr>
            <w:r w:rsidRPr="00D15332">
              <w:rPr>
                <w:sz w:val="22"/>
                <w:szCs w:val="22"/>
                <w:lang w:val="en-GB"/>
              </w:rPr>
              <w:t>Mean (SD)</w:t>
            </w:r>
          </w:p>
          <w:p w14:paraId="3B94A9CF" w14:textId="77777777" w:rsidR="006560EB" w:rsidRPr="00D15332" w:rsidRDefault="006560EB" w:rsidP="00D15332">
            <w:pPr>
              <w:pStyle w:val="BodyText1"/>
              <w:spacing w:before="60" w:after="60"/>
              <w:rPr>
                <w:sz w:val="22"/>
                <w:szCs w:val="22"/>
                <w:lang w:val="en-GB"/>
              </w:rPr>
            </w:pPr>
            <w:r w:rsidRPr="00D15332">
              <w:rPr>
                <w:sz w:val="22"/>
                <w:szCs w:val="22"/>
                <w:lang w:val="en-GB"/>
              </w:rPr>
              <w:t>Median</w:t>
            </w:r>
          </w:p>
        </w:tc>
        <w:tc>
          <w:tcPr>
            <w:tcW w:w="640" w:type="pct"/>
          </w:tcPr>
          <w:p w14:paraId="51434ED4" w14:textId="77777777" w:rsidR="006560EB" w:rsidRPr="00D15332" w:rsidRDefault="006560EB" w:rsidP="00D15332">
            <w:pPr>
              <w:pStyle w:val="BodyText1"/>
              <w:spacing w:before="60" w:after="60"/>
              <w:jc w:val="center"/>
              <w:rPr>
                <w:sz w:val="22"/>
                <w:szCs w:val="22"/>
                <w:lang w:val="en-GB"/>
              </w:rPr>
            </w:pPr>
          </w:p>
          <w:p w14:paraId="1E33F2AF"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w:t>
            </w:r>
          </w:p>
        </w:tc>
        <w:tc>
          <w:tcPr>
            <w:tcW w:w="639" w:type="pct"/>
          </w:tcPr>
          <w:p w14:paraId="49F1EAFB" w14:textId="77777777" w:rsidR="006560EB" w:rsidRPr="00D15332" w:rsidRDefault="006560EB" w:rsidP="00D15332">
            <w:pPr>
              <w:pStyle w:val="BodyText1"/>
              <w:spacing w:before="60" w:after="60"/>
              <w:jc w:val="center"/>
              <w:rPr>
                <w:sz w:val="22"/>
                <w:szCs w:val="22"/>
                <w:lang w:val="en-GB"/>
              </w:rPr>
            </w:pPr>
          </w:p>
          <w:p w14:paraId="60D07CFE"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n=172</w:t>
            </w:r>
          </w:p>
          <w:p w14:paraId="395805FF"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-4.7 (5.6)</w:t>
            </w:r>
          </w:p>
          <w:p w14:paraId="00EAECCB"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-4</w:t>
            </w:r>
          </w:p>
        </w:tc>
        <w:tc>
          <w:tcPr>
            <w:tcW w:w="640" w:type="pct"/>
          </w:tcPr>
          <w:p w14:paraId="4F8AE377" w14:textId="77777777" w:rsidR="006560EB" w:rsidRPr="00D15332" w:rsidRDefault="006560EB" w:rsidP="00D15332">
            <w:pPr>
              <w:pStyle w:val="BodyText1"/>
              <w:spacing w:before="60" w:after="60"/>
              <w:jc w:val="center"/>
              <w:rPr>
                <w:sz w:val="22"/>
                <w:szCs w:val="22"/>
                <w:lang w:val="en-GB"/>
              </w:rPr>
            </w:pPr>
          </w:p>
          <w:p w14:paraId="1E451D28"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n=168</w:t>
            </w:r>
          </w:p>
          <w:p w14:paraId="5C7C4D10"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-5.3 (5.9)</w:t>
            </w:r>
          </w:p>
          <w:p w14:paraId="27A54E3C"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-5</w:t>
            </w:r>
          </w:p>
        </w:tc>
        <w:tc>
          <w:tcPr>
            <w:tcW w:w="639" w:type="pct"/>
            <w:tcMar>
              <w:top w:w="0" w:type="dxa"/>
              <w:left w:w="108" w:type="dxa"/>
              <w:bottom w:w="0" w:type="dxa"/>
              <w:right w:w="108" w:type="dxa"/>
            </w:tcMar>
          </w:tcPr>
          <w:p w14:paraId="0BB70B19" w14:textId="77777777" w:rsidR="006560EB" w:rsidRPr="00D15332" w:rsidRDefault="006560EB" w:rsidP="00D15332">
            <w:pPr>
              <w:pStyle w:val="BodyText1"/>
              <w:spacing w:before="60" w:after="60"/>
              <w:jc w:val="center"/>
              <w:rPr>
                <w:sz w:val="22"/>
                <w:szCs w:val="22"/>
                <w:lang w:val="en-GB"/>
              </w:rPr>
            </w:pPr>
          </w:p>
          <w:p w14:paraId="08317382" w14:textId="76E70EFF" w:rsidR="006560EB" w:rsidRPr="00D15332" w:rsidRDefault="006560EB" w:rsidP="00D15332">
            <w:pPr>
              <w:pStyle w:val="BodyText1"/>
              <w:spacing w:before="60" w:after="60"/>
              <w:jc w:val="center"/>
              <w:rPr>
                <w:sz w:val="22"/>
                <w:szCs w:val="22"/>
                <w:lang w:val="en-GB"/>
              </w:rPr>
            </w:pPr>
            <w:r w:rsidRPr="00D15332">
              <w:rPr>
                <w:sz w:val="22"/>
                <w:szCs w:val="22"/>
                <w:lang w:val="en-GB"/>
              </w:rPr>
              <w:t>n=</w:t>
            </w:r>
            <w:r w:rsidR="00B356B7">
              <w:rPr>
                <w:sz w:val="22"/>
                <w:szCs w:val="22"/>
                <w:lang w:val="en-GB"/>
              </w:rPr>
              <w:t>159</w:t>
            </w:r>
          </w:p>
          <w:p w14:paraId="6C290942"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-5.9 (6.1)</w:t>
            </w:r>
          </w:p>
          <w:p w14:paraId="7D550A4E"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-5</w:t>
            </w:r>
          </w:p>
        </w:tc>
        <w:tc>
          <w:tcPr>
            <w:tcW w:w="639" w:type="pct"/>
            <w:tcMar>
              <w:top w:w="0" w:type="dxa"/>
              <w:left w:w="108" w:type="dxa"/>
              <w:bottom w:w="0" w:type="dxa"/>
              <w:right w:w="108" w:type="dxa"/>
            </w:tcMar>
          </w:tcPr>
          <w:p w14:paraId="427950BD" w14:textId="77777777" w:rsidR="006560EB" w:rsidRPr="00D15332" w:rsidRDefault="006560EB" w:rsidP="00D15332">
            <w:pPr>
              <w:pStyle w:val="BodyText1"/>
              <w:spacing w:before="60" w:after="60"/>
              <w:jc w:val="center"/>
              <w:rPr>
                <w:sz w:val="22"/>
                <w:szCs w:val="22"/>
                <w:lang w:val="en-GB"/>
              </w:rPr>
            </w:pPr>
          </w:p>
          <w:p w14:paraId="431B4CFC" w14:textId="77A5DBC8" w:rsidR="006560EB" w:rsidRPr="00D15332" w:rsidRDefault="006560EB" w:rsidP="00D15332">
            <w:pPr>
              <w:pStyle w:val="BodyText1"/>
              <w:spacing w:before="60" w:after="60"/>
              <w:jc w:val="center"/>
              <w:rPr>
                <w:sz w:val="22"/>
                <w:szCs w:val="22"/>
                <w:lang w:val="en-GB"/>
              </w:rPr>
            </w:pPr>
            <w:r w:rsidRPr="00D15332">
              <w:rPr>
                <w:sz w:val="22"/>
                <w:szCs w:val="22"/>
                <w:lang w:val="en-GB"/>
              </w:rPr>
              <w:t>n=</w:t>
            </w:r>
            <w:r w:rsidR="00B356B7">
              <w:rPr>
                <w:sz w:val="22"/>
                <w:szCs w:val="22"/>
                <w:lang w:val="en-GB"/>
              </w:rPr>
              <w:t>142</w:t>
            </w:r>
          </w:p>
          <w:p w14:paraId="09652FB9" w14:textId="416A5361" w:rsidR="006560EB" w:rsidRPr="00D15332" w:rsidRDefault="006560EB" w:rsidP="00D15332">
            <w:pPr>
              <w:pStyle w:val="BodyText1"/>
              <w:spacing w:before="60" w:after="60"/>
              <w:jc w:val="center"/>
              <w:rPr>
                <w:sz w:val="22"/>
                <w:szCs w:val="22"/>
                <w:lang w:val="en-GB"/>
              </w:rPr>
            </w:pPr>
            <w:r w:rsidRPr="009C248B">
              <w:rPr>
                <w:sz w:val="22"/>
                <w:szCs w:val="22"/>
                <w:lang w:val="en-GB"/>
              </w:rPr>
              <w:t>-</w:t>
            </w:r>
            <w:r w:rsidR="005C225F" w:rsidRPr="009C248B">
              <w:rPr>
                <w:sz w:val="22"/>
                <w:szCs w:val="22"/>
                <w:lang w:val="en-GB"/>
              </w:rPr>
              <w:t>6.</w:t>
            </w:r>
            <w:r w:rsidR="001C66A0" w:rsidRPr="009C248B">
              <w:rPr>
                <w:sz w:val="22"/>
                <w:szCs w:val="22"/>
                <w:lang w:val="en-GB"/>
              </w:rPr>
              <w:t>6</w:t>
            </w:r>
            <w:r w:rsidRPr="00D15332">
              <w:rPr>
                <w:sz w:val="22"/>
                <w:szCs w:val="22"/>
                <w:lang w:val="en-GB"/>
              </w:rPr>
              <w:t> (</w:t>
            </w:r>
            <w:r w:rsidR="005C225F">
              <w:rPr>
                <w:sz w:val="22"/>
                <w:szCs w:val="22"/>
                <w:lang w:val="en-GB"/>
              </w:rPr>
              <w:t>6.1</w:t>
            </w:r>
            <w:r w:rsidRPr="00D15332">
              <w:rPr>
                <w:sz w:val="22"/>
                <w:szCs w:val="22"/>
                <w:lang w:val="en-GB"/>
              </w:rPr>
              <w:t>)</w:t>
            </w:r>
          </w:p>
          <w:p w14:paraId="09E48D53" w14:textId="270D855C" w:rsidR="006560EB" w:rsidRPr="00D15332" w:rsidRDefault="006560EB" w:rsidP="00D15332">
            <w:pPr>
              <w:pStyle w:val="BodyText1"/>
              <w:spacing w:before="60" w:after="60"/>
              <w:jc w:val="center"/>
              <w:rPr>
                <w:sz w:val="22"/>
                <w:szCs w:val="22"/>
                <w:lang w:val="en-GB"/>
              </w:rPr>
            </w:pPr>
            <w:r w:rsidRPr="00D15332">
              <w:rPr>
                <w:sz w:val="22"/>
                <w:szCs w:val="22"/>
                <w:lang w:val="en-GB"/>
              </w:rPr>
              <w:t>-5</w:t>
            </w:r>
          </w:p>
        </w:tc>
      </w:tr>
      <w:tr w:rsidR="006560EB" w:rsidRPr="00D15332" w14:paraId="54E276EC" w14:textId="77777777" w:rsidTr="009D51CD">
        <w:trPr>
          <w:trHeight w:val="242"/>
        </w:trPr>
        <w:tc>
          <w:tcPr>
            <w:tcW w:w="5000" w:type="pct"/>
            <w:gridSpan w:val="6"/>
            <w:tcMar>
              <w:top w:w="0" w:type="dxa"/>
              <w:left w:w="108" w:type="dxa"/>
              <w:bottom w:w="0" w:type="dxa"/>
              <w:right w:w="108" w:type="dxa"/>
            </w:tcMar>
          </w:tcPr>
          <w:p w14:paraId="61214860" w14:textId="77777777" w:rsidR="006560EB" w:rsidRPr="00D15332" w:rsidRDefault="006560EB" w:rsidP="00D15332">
            <w:pPr>
              <w:pStyle w:val="BodyText1"/>
              <w:spacing w:before="60" w:after="60"/>
              <w:rPr>
                <w:sz w:val="22"/>
                <w:szCs w:val="22"/>
                <w:lang w:val="en-GB"/>
              </w:rPr>
            </w:pPr>
            <w:r w:rsidRPr="00D15332">
              <w:rPr>
                <w:b/>
                <w:bCs/>
                <w:sz w:val="22"/>
                <w:szCs w:val="22"/>
                <w:lang w:val="en-GB"/>
              </w:rPr>
              <w:t>ADHD inattention</w:t>
            </w:r>
            <w:r w:rsidRPr="00D15332">
              <w:rPr>
                <w:b/>
                <w:bCs/>
                <w:sz w:val="22"/>
                <w:szCs w:val="22"/>
                <w:vertAlign w:val="superscript"/>
                <w:lang w:val="en-GB"/>
              </w:rPr>
              <w:t>3</w:t>
            </w:r>
            <w:r w:rsidRPr="00D15332">
              <w:rPr>
                <w:b/>
                <w:bCs/>
                <w:sz w:val="22"/>
                <w:szCs w:val="22"/>
                <w:lang w:val="en-GB"/>
              </w:rPr>
              <w:t xml:space="preserve"> subscale (investigator</w:t>
            </w:r>
            <w:r w:rsidRPr="00D15332">
              <w:rPr>
                <w:b/>
                <w:bCs/>
                <w:sz w:val="22"/>
                <w:szCs w:val="22"/>
                <w:lang w:val="en-GB"/>
              </w:rPr>
              <w:noBreakHyphen/>
              <w:t>rated) with baseline score &gt; 9</w:t>
            </w:r>
          </w:p>
        </w:tc>
      </w:tr>
      <w:tr w:rsidR="006560EB" w:rsidRPr="00D15332" w14:paraId="17F80DBC" w14:textId="77777777" w:rsidTr="009D51CD">
        <w:trPr>
          <w:trHeight w:val="242"/>
        </w:trPr>
        <w:tc>
          <w:tcPr>
            <w:tcW w:w="1803" w:type="pct"/>
          </w:tcPr>
          <w:p w14:paraId="0EF912BB" w14:textId="77777777" w:rsidR="006560EB" w:rsidRPr="00D15332" w:rsidRDefault="006560EB" w:rsidP="00D15332">
            <w:pPr>
              <w:pStyle w:val="BodyText1"/>
              <w:spacing w:before="60" w:after="60"/>
              <w:rPr>
                <w:sz w:val="22"/>
                <w:szCs w:val="22"/>
                <w:lang w:val="en-GB"/>
              </w:rPr>
            </w:pPr>
            <w:r w:rsidRPr="00D15332">
              <w:rPr>
                <w:sz w:val="22"/>
                <w:szCs w:val="22"/>
                <w:lang w:val="en-GB"/>
              </w:rPr>
              <w:t>N</w:t>
            </w:r>
          </w:p>
        </w:tc>
        <w:tc>
          <w:tcPr>
            <w:tcW w:w="640" w:type="pct"/>
          </w:tcPr>
          <w:p w14:paraId="04503EFE"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116</w:t>
            </w:r>
          </w:p>
        </w:tc>
        <w:tc>
          <w:tcPr>
            <w:tcW w:w="639" w:type="pct"/>
          </w:tcPr>
          <w:p w14:paraId="158D4C73"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80</w:t>
            </w:r>
          </w:p>
        </w:tc>
        <w:tc>
          <w:tcPr>
            <w:tcW w:w="640" w:type="pct"/>
          </w:tcPr>
          <w:p w14:paraId="68BA97C4"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78</w:t>
            </w:r>
          </w:p>
        </w:tc>
        <w:tc>
          <w:tcPr>
            <w:tcW w:w="639" w:type="pct"/>
            <w:tcMar>
              <w:top w:w="0" w:type="dxa"/>
              <w:left w:w="108" w:type="dxa"/>
              <w:bottom w:w="0" w:type="dxa"/>
              <w:right w:w="108" w:type="dxa"/>
            </w:tcMar>
          </w:tcPr>
          <w:p w14:paraId="595D18B0"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76</w:t>
            </w:r>
          </w:p>
        </w:tc>
        <w:tc>
          <w:tcPr>
            <w:tcW w:w="639" w:type="pct"/>
            <w:tcMar>
              <w:top w:w="0" w:type="dxa"/>
              <w:left w:w="108" w:type="dxa"/>
              <w:bottom w:w="0" w:type="dxa"/>
              <w:right w:w="108" w:type="dxa"/>
            </w:tcMar>
          </w:tcPr>
          <w:p w14:paraId="6388F3A6" w14:textId="4CC1DB16" w:rsidR="006560EB" w:rsidRPr="00D15332" w:rsidRDefault="005C225F" w:rsidP="00D15332">
            <w:pPr>
              <w:pStyle w:val="BodyText1"/>
              <w:spacing w:before="60" w:after="60"/>
              <w:jc w:val="center"/>
              <w:rPr>
                <w:sz w:val="22"/>
                <w:szCs w:val="22"/>
                <w:lang w:val="en-GB"/>
              </w:rPr>
            </w:pPr>
            <w:r>
              <w:rPr>
                <w:sz w:val="22"/>
                <w:szCs w:val="22"/>
                <w:lang w:val="en-GB"/>
              </w:rPr>
              <w:t>66</w:t>
            </w:r>
          </w:p>
        </w:tc>
      </w:tr>
      <w:tr w:rsidR="006560EB" w:rsidRPr="00D15332" w14:paraId="1B6C4287" w14:textId="77777777" w:rsidTr="009D51CD">
        <w:trPr>
          <w:trHeight w:val="242"/>
        </w:trPr>
        <w:tc>
          <w:tcPr>
            <w:tcW w:w="1803" w:type="pct"/>
          </w:tcPr>
          <w:p w14:paraId="2233A463" w14:textId="77777777" w:rsidR="006560EB" w:rsidRPr="00D15332" w:rsidRDefault="006560EB" w:rsidP="00D15332">
            <w:pPr>
              <w:pStyle w:val="BodyText1"/>
              <w:spacing w:before="60" w:after="60"/>
              <w:rPr>
                <w:sz w:val="22"/>
                <w:szCs w:val="22"/>
                <w:lang w:val="en-GB"/>
              </w:rPr>
            </w:pPr>
            <w:r w:rsidRPr="00D15332">
              <w:rPr>
                <w:sz w:val="22"/>
                <w:szCs w:val="22"/>
                <w:lang w:val="en-GB"/>
              </w:rPr>
              <w:t xml:space="preserve">Mean (SD) inattention score </w:t>
            </w:r>
          </w:p>
        </w:tc>
        <w:tc>
          <w:tcPr>
            <w:tcW w:w="640" w:type="pct"/>
          </w:tcPr>
          <w:p w14:paraId="3236418F"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15.3 (4.1)</w:t>
            </w:r>
          </w:p>
        </w:tc>
        <w:tc>
          <w:tcPr>
            <w:tcW w:w="639" w:type="pct"/>
          </w:tcPr>
          <w:p w14:paraId="667DCB63"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7.6 (4.9)</w:t>
            </w:r>
          </w:p>
        </w:tc>
        <w:tc>
          <w:tcPr>
            <w:tcW w:w="640" w:type="pct"/>
          </w:tcPr>
          <w:p w14:paraId="02F076E6"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6.6 (5)</w:t>
            </w:r>
          </w:p>
        </w:tc>
        <w:tc>
          <w:tcPr>
            <w:tcW w:w="639" w:type="pct"/>
            <w:tcMar>
              <w:top w:w="0" w:type="dxa"/>
              <w:left w:w="108" w:type="dxa"/>
              <w:bottom w:w="0" w:type="dxa"/>
              <w:right w:w="108" w:type="dxa"/>
            </w:tcMar>
          </w:tcPr>
          <w:p w14:paraId="5E0E188A"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5.9 (4.9)</w:t>
            </w:r>
          </w:p>
        </w:tc>
        <w:tc>
          <w:tcPr>
            <w:tcW w:w="639" w:type="pct"/>
            <w:tcMar>
              <w:top w:w="0" w:type="dxa"/>
              <w:left w:w="108" w:type="dxa"/>
              <w:bottom w:w="0" w:type="dxa"/>
              <w:right w:w="108" w:type="dxa"/>
            </w:tcMar>
          </w:tcPr>
          <w:p w14:paraId="5DD04ECF" w14:textId="7FDB14C7" w:rsidR="006560EB" w:rsidRPr="00D15332" w:rsidRDefault="005C225F" w:rsidP="00D15332">
            <w:pPr>
              <w:pStyle w:val="BodyText1"/>
              <w:spacing w:before="60" w:after="60"/>
              <w:jc w:val="center"/>
              <w:rPr>
                <w:sz w:val="22"/>
                <w:szCs w:val="22"/>
                <w:lang w:val="en-GB"/>
              </w:rPr>
            </w:pPr>
            <w:r>
              <w:rPr>
                <w:sz w:val="22"/>
                <w:szCs w:val="22"/>
                <w:lang w:val="en-GB"/>
              </w:rPr>
              <w:t>4.9</w:t>
            </w:r>
            <w:r w:rsidR="006560EB" w:rsidRPr="00D15332">
              <w:rPr>
                <w:sz w:val="22"/>
                <w:szCs w:val="22"/>
                <w:lang w:val="en-GB"/>
              </w:rPr>
              <w:t xml:space="preserve"> (</w:t>
            </w:r>
            <w:r>
              <w:rPr>
                <w:sz w:val="22"/>
                <w:szCs w:val="22"/>
                <w:lang w:val="en-GB"/>
              </w:rPr>
              <w:t>5.3</w:t>
            </w:r>
            <w:r w:rsidR="006560EB" w:rsidRPr="00D15332">
              <w:rPr>
                <w:sz w:val="22"/>
                <w:szCs w:val="22"/>
                <w:lang w:val="en-GB"/>
              </w:rPr>
              <w:t>)</w:t>
            </w:r>
          </w:p>
        </w:tc>
      </w:tr>
      <w:tr w:rsidR="006560EB" w:rsidRPr="00D15332" w14:paraId="728D78FA" w14:textId="77777777" w:rsidTr="009D51CD">
        <w:trPr>
          <w:trHeight w:val="242"/>
        </w:trPr>
        <w:tc>
          <w:tcPr>
            <w:tcW w:w="1803" w:type="pct"/>
          </w:tcPr>
          <w:p w14:paraId="2340FB07" w14:textId="77777777" w:rsidR="006560EB" w:rsidRPr="00D15332" w:rsidRDefault="006560EB" w:rsidP="00D15332">
            <w:pPr>
              <w:pStyle w:val="BodyText1"/>
              <w:spacing w:before="60" w:after="60"/>
              <w:rPr>
                <w:sz w:val="22"/>
                <w:szCs w:val="22"/>
                <w:lang w:val="en-GB"/>
              </w:rPr>
            </w:pPr>
            <w:r w:rsidRPr="00D15332">
              <w:rPr>
                <w:sz w:val="22"/>
                <w:szCs w:val="22"/>
                <w:lang w:val="en-GB"/>
              </w:rPr>
              <w:t>Change from baseline inattention score (n)</w:t>
            </w:r>
            <w:r w:rsidRPr="00D15332">
              <w:rPr>
                <w:sz w:val="22"/>
                <w:szCs w:val="22"/>
                <w:vertAlign w:val="superscript"/>
                <w:lang w:val="en-GB"/>
              </w:rPr>
              <w:t>4</w:t>
            </w:r>
          </w:p>
          <w:p w14:paraId="0EEB080C" w14:textId="77777777" w:rsidR="006560EB" w:rsidRPr="00D15332" w:rsidRDefault="006560EB" w:rsidP="00D15332">
            <w:pPr>
              <w:pStyle w:val="BodyText1"/>
              <w:spacing w:before="60" w:after="60"/>
              <w:rPr>
                <w:sz w:val="22"/>
                <w:szCs w:val="22"/>
                <w:lang w:val="en-GB"/>
              </w:rPr>
            </w:pPr>
            <w:r w:rsidRPr="00D15332">
              <w:rPr>
                <w:sz w:val="22"/>
                <w:szCs w:val="22"/>
                <w:lang w:val="en-GB"/>
              </w:rPr>
              <w:t>Mean (SD)</w:t>
            </w:r>
          </w:p>
          <w:p w14:paraId="69A0794B" w14:textId="77777777" w:rsidR="006560EB" w:rsidRPr="00D15332" w:rsidRDefault="006560EB" w:rsidP="00D15332">
            <w:pPr>
              <w:pStyle w:val="BodyText1"/>
              <w:spacing w:before="60" w:after="60"/>
              <w:rPr>
                <w:sz w:val="22"/>
                <w:szCs w:val="22"/>
                <w:lang w:val="en-GB"/>
              </w:rPr>
            </w:pPr>
            <w:r w:rsidRPr="00D15332">
              <w:rPr>
                <w:sz w:val="22"/>
                <w:szCs w:val="22"/>
                <w:lang w:val="en-GB"/>
              </w:rPr>
              <w:t>Median</w:t>
            </w:r>
          </w:p>
        </w:tc>
        <w:tc>
          <w:tcPr>
            <w:tcW w:w="640" w:type="pct"/>
          </w:tcPr>
          <w:p w14:paraId="4C5A1048" w14:textId="77777777" w:rsidR="006560EB" w:rsidRPr="00D15332" w:rsidRDefault="006560EB" w:rsidP="00D15332">
            <w:pPr>
              <w:pStyle w:val="BodyText1"/>
              <w:spacing w:before="60" w:after="60"/>
              <w:jc w:val="center"/>
              <w:rPr>
                <w:sz w:val="22"/>
                <w:szCs w:val="22"/>
                <w:lang w:val="en-GB"/>
              </w:rPr>
            </w:pPr>
          </w:p>
          <w:p w14:paraId="362F726C"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w:t>
            </w:r>
          </w:p>
        </w:tc>
        <w:tc>
          <w:tcPr>
            <w:tcW w:w="639" w:type="pct"/>
          </w:tcPr>
          <w:p w14:paraId="55457206" w14:textId="77777777" w:rsidR="006560EB" w:rsidRPr="00D15332" w:rsidRDefault="006560EB" w:rsidP="00D15332">
            <w:pPr>
              <w:pStyle w:val="BodyText1"/>
              <w:spacing w:before="60" w:after="60"/>
              <w:jc w:val="center"/>
              <w:rPr>
                <w:sz w:val="22"/>
                <w:szCs w:val="22"/>
                <w:lang w:val="en-GB"/>
              </w:rPr>
            </w:pPr>
          </w:p>
          <w:p w14:paraId="64343362"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n=80</w:t>
            </w:r>
          </w:p>
          <w:p w14:paraId="41A42353"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-7.8 (5.5)</w:t>
            </w:r>
          </w:p>
          <w:p w14:paraId="50EBF022"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-7</w:t>
            </w:r>
          </w:p>
        </w:tc>
        <w:tc>
          <w:tcPr>
            <w:tcW w:w="640" w:type="pct"/>
          </w:tcPr>
          <w:p w14:paraId="06681F0C" w14:textId="77777777" w:rsidR="006560EB" w:rsidRPr="00D15332" w:rsidRDefault="006560EB" w:rsidP="00D15332">
            <w:pPr>
              <w:pStyle w:val="BodyText1"/>
              <w:spacing w:before="60" w:after="60"/>
              <w:jc w:val="center"/>
              <w:rPr>
                <w:sz w:val="22"/>
                <w:szCs w:val="22"/>
                <w:lang w:val="en-GB"/>
              </w:rPr>
            </w:pPr>
          </w:p>
          <w:p w14:paraId="637BC8E7"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n=78</w:t>
            </w:r>
          </w:p>
          <w:p w14:paraId="1ED732F1"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-8.9 (5.8)</w:t>
            </w:r>
          </w:p>
          <w:p w14:paraId="40CA060B"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-9</w:t>
            </w:r>
          </w:p>
        </w:tc>
        <w:tc>
          <w:tcPr>
            <w:tcW w:w="639" w:type="pct"/>
            <w:tcMar>
              <w:top w:w="0" w:type="dxa"/>
              <w:left w:w="108" w:type="dxa"/>
              <w:bottom w:w="0" w:type="dxa"/>
              <w:right w:w="108" w:type="dxa"/>
            </w:tcMar>
          </w:tcPr>
          <w:p w14:paraId="21569A35" w14:textId="77777777" w:rsidR="006560EB" w:rsidRPr="00D15332" w:rsidRDefault="006560EB" w:rsidP="00D15332">
            <w:pPr>
              <w:pStyle w:val="BodyText1"/>
              <w:spacing w:before="60" w:after="60"/>
              <w:jc w:val="center"/>
              <w:rPr>
                <w:sz w:val="22"/>
                <w:szCs w:val="22"/>
                <w:lang w:val="en-GB"/>
              </w:rPr>
            </w:pPr>
          </w:p>
          <w:p w14:paraId="12669E4D"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n=76</w:t>
            </w:r>
          </w:p>
          <w:p w14:paraId="05D3A88C"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-9.6 (5.9)</w:t>
            </w:r>
          </w:p>
          <w:p w14:paraId="23F5BBA8"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-10</w:t>
            </w:r>
          </w:p>
        </w:tc>
        <w:tc>
          <w:tcPr>
            <w:tcW w:w="639" w:type="pct"/>
            <w:tcMar>
              <w:top w:w="0" w:type="dxa"/>
              <w:left w:w="108" w:type="dxa"/>
              <w:bottom w:w="0" w:type="dxa"/>
              <w:right w:w="108" w:type="dxa"/>
            </w:tcMar>
          </w:tcPr>
          <w:p w14:paraId="252CE9BC" w14:textId="77777777" w:rsidR="006560EB" w:rsidRPr="00D15332" w:rsidRDefault="006560EB" w:rsidP="00D15332">
            <w:pPr>
              <w:pStyle w:val="BodyText1"/>
              <w:spacing w:before="60" w:after="60"/>
              <w:jc w:val="center"/>
              <w:rPr>
                <w:sz w:val="22"/>
                <w:szCs w:val="22"/>
                <w:lang w:val="en-GB"/>
              </w:rPr>
            </w:pPr>
          </w:p>
          <w:p w14:paraId="470F92A2" w14:textId="12B9026B" w:rsidR="006560EB" w:rsidRPr="00D15332" w:rsidRDefault="006560EB" w:rsidP="00D15332">
            <w:pPr>
              <w:pStyle w:val="BodyText1"/>
              <w:spacing w:before="60" w:after="60"/>
              <w:jc w:val="center"/>
              <w:rPr>
                <w:sz w:val="22"/>
                <w:szCs w:val="22"/>
                <w:lang w:val="en-GB"/>
              </w:rPr>
            </w:pPr>
            <w:r w:rsidRPr="00D15332">
              <w:rPr>
                <w:sz w:val="22"/>
                <w:szCs w:val="22"/>
                <w:lang w:val="en-GB"/>
              </w:rPr>
              <w:t>n=</w:t>
            </w:r>
            <w:r w:rsidR="005C225F">
              <w:rPr>
                <w:sz w:val="22"/>
                <w:szCs w:val="22"/>
                <w:lang w:val="en-GB"/>
              </w:rPr>
              <w:t>66</w:t>
            </w:r>
          </w:p>
          <w:p w14:paraId="3B7939AD" w14:textId="6BC79EB1" w:rsidR="006560EB" w:rsidRPr="00D15332" w:rsidRDefault="006560EB" w:rsidP="00D15332">
            <w:pPr>
              <w:pStyle w:val="BodyText1"/>
              <w:spacing w:before="60" w:after="60"/>
              <w:jc w:val="center"/>
              <w:rPr>
                <w:sz w:val="22"/>
                <w:szCs w:val="22"/>
                <w:lang w:val="en-GB"/>
              </w:rPr>
            </w:pPr>
            <w:r w:rsidRPr="00D15332">
              <w:rPr>
                <w:sz w:val="22"/>
                <w:szCs w:val="22"/>
                <w:lang w:val="en-GB"/>
              </w:rPr>
              <w:t>-</w:t>
            </w:r>
            <w:r w:rsidR="005C225F">
              <w:rPr>
                <w:sz w:val="22"/>
                <w:szCs w:val="22"/>
                <w:lang w:val="en-GB"/>
              </w:rPr>
              <w:t>10.7</w:t>
            </w:r>
            <w:r w:rsidRPr="00D15332">
              <w:rPr>
                <w:sz w:val="22"/>
                <w:szCs w:val="22"/>
                <w:lang w:val="en-GB"/>
              </w:rPr>
              <w:t xml:space="preserve"> (</w:t>
            </w:r>
            <w:r w:rsidR="005C225F">
              <w:rPr>
                <w:sz w:val="22"/>
                <w:szCs w:val="22"/>
                <w:lang w:val="en-GB"/>
              </w:rPr>
              <w:t>6.0</w:t>
            </w:r>
            <w:r w:rsidRPr="00D15332">
              <w:rPr>
                <w:sz w:val="22"/>
                <w:szCs w:val="22"/>
                <w:lang w:val="en-GB"/>
              </w:rPr>
              <w:t>)</w:t>
            </w:r>
          </w:p>
          <w:p w14:paraId="34A6801C"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-12</w:t>
            </w:r>
          </w:p>
        </w:tc>
      </w:tr>
      <w:tr w:rsidR="006560EB" w:rsidRPr="00D15332" w14:paraId="62B5A200" w14:textId="77777777" w:rsidTr="009D51CD">
        <w:tc>
          <w:tcPr>
            <w:tcW w:w="5000" w:type="pct"/>
            <w:gridSpan w:val="6"/>
            <w:tcMar>
              <w:top w:w="0" w:type="dxa"/>
              <w:left w:w="108" w:type="dxa"/>
              <w:bottom w:w="0" w:type="dxa"/>
              <w:right w:w="108" w:type="dxa"/>
            </w:tcMar>
          </w:tcPr>
          <w:p w14:paraId="3867019C" w14:textId="77777777" w:rsidR="006560EB" w:rsidRPr="00D15332" w:rsidRDefault="006560EB" w:rsidP="00D15332">
            <w:pPr>
              <w:pStyle w:val="BodyText1"/>
              <w:spacing w:before="60" w:after="60"/>
              <w:rPr>
                <w:sz w:val="22"/>
                <w:szCs w:val="22"/>
                <w:lang w:val="en-GB"/>
              </w:rPr>
            </w:pPr>
            <w:r w:rsidRPr="00D15332">
              <w:rPr>
                <w:b/>
                <w:bCs/>
                <w:sz w:val="22"/>
                <w:szCs w:val="22"/>
                <w:lang w:val="en-GB"/>
              </w:rPr>
              <w:t>PKU-POMS confusion</w:t>
            </w:r>
            <w:r w:rsidRPr="00D15332">
              <w:rPr>
                <w:b/>
                <w:bCs/>
                <w:sz w:val="22"/>
                <w:szCs w:val="22"/>
                <w:vertAlign w:val="superscript"/>
                <w:lang w:val="en-GB"/>
              </w:rPr>
              <w:t>3</w:t>
            </w:r>
            <w:r w:rsidRPr="00D15332">
              <w:rPr>
                <w:b/>
                <w:bCs/>
                <w:sz w:val="22"/>
                <w:szCs w:val="22"/>
                <w:lang w:val="en-GB"/>
              </w:rPr>
              <w:t xml:space="preserve"> subscale (self</w:t>
            </w:r>
            <w:r w:rsidRPr="00D15332">
              <w:rPr>
                <w:b/>
                <w:bCs/>
                <w:sz w:val="22"/>
                <w:szCs w:val="22"/>
                <w:lang w:val="en-GB"/>
              </w:rPr>
              <w:noBreakHyphen/>
              <w:t>rated)</w:t>
            </w:r>
          </w:p>
        </w:tc>
      </w:tr>
      <w:tr w:rsidR="006560EB" w:rsidRPr="00D15332" w14:paraId="4C4A70C1" w14:textId="77777777" w:rsidTr="009D51CD">
        <w:tc>
          <w:tcPr>
            <w:tcW w:w="1803" w:type="pct"/>
          </w:tcPr>
          <w:p w14:paraId="6D14BC27" w14:textId="77777777" w:rsidR="006560EB" w:rsidRPr="00D15332" w:rsidRDefault="006560EB" w:rsidP="00D15332">
            <w:pPr>
              <w:pStyle w:val="BodyText1"/>
              <w:spacing w:before="60" w:after="60"/>
              <w:rPr>
                <w:sz w:val="22"/>
                <w:szCs w:val="22"/>
                <w:lang w:val="en-GB"/>
              </w:rPr>
            </w:pPr>
            <w:r w:rsidRPr="00D15332">
              <w:rPr>
                <w:sz w:val="22"/>
                <w:szCs w:val="22"/>
                <w:lang w:val="en-GB"/>
              </w:rPr>
              <w:t>N</w:t>
            </w:r>
          </w:p>
        </w:tc>
        <w:tc>
          <w:tcPr>
            <w:tcW w:w="640" w:type="pct"/>
          </w:tcPr>
          <w:p w14:paraId="4F83226C"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170</w:t>
            </w:r>
          </w:p>
        </w:tc>
        <w:tc>
          <w:tcPr>
            <w:tcW w:w="639" w:type="pct"/>
          </w:tcPr>
          <w:p w14:paraId="74CC659E"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181</w:t>
            </w:r>
          </w:p>
        </w:tc>
        <w:tc>
          <w:tcPr>
            <w:tcW w:w="640" w:type="pct"/>
          </w:tcPr>
          <w:p w14:paraId="60635D2D"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178</w:t>
            </w:r>
          </w:p>
        </w:tc>
        <w:tc>
          <w:tcPr>
            <w:tcW w:w="639" w:type="pct"/>
            <w:tcMar>
              <w:top w:w="0" w:type="dxa"/>
              <w:left w:w="108" w:type="dxa"/>
              <w:bottom w:w="0" w:type="dxa"/>
              <w:right w:w="108" w:type="dxa"/>
            </w:tcMar>
          </w:tcPr>
          <w:p w14:paraId="5EFA6E13" w14:textId="368D5060" w:rsidR="006560EB" w:rsidRPr="00D15332" w:rsidRDefault="005C225F" w:rsidP="00D15332">
            <w:pPr>
              <w:pStyle w:val="BodyText1"/>
              <w:spacing w:before="60" w:after="60"/>
              <w:jc w:val="center"/>
              <w:rPr>
                <w:sz w:val="22"/>
                <w:szCs w:val="22"/>
                <w:lang w:val="en-GB"/>
              </w:rPr>
            </w:pPr>
            <w:r>
              <w:rPr>
                <w:sz w:val="22"/>
                <w:szCs w:val="22"/>
                <w:lang w:val="en-GB"/>
              </w:rPr>
              <w:t>168</w:t>
            </w:r>
          </w:p>
        </w:tc>
        <w:tc>
          <w:tcPr>
            <w:tcW w:w="639" w:type="pct"/>
            <w:tcMar>
              <w:top w:w="0" w:type="dxa"/>
              <w:left w:w="108" w:type="dxa"/>
              <w:bottom w:w="0" w:type="dxa"/>
              <w:right w:w="108" w:type="dxa"/>
            </w:tcMar>
          </w:tcPr>
          <w:p w14:paraId="485DA9DD" w14:textId="54FF1C6C" w:rsidR="006560EB" w:rsidRPr="00D15332" w:rsidRDefault="005C225F" w:rsidP="00D15332">
            <w:pPr>
              <w:pStyle w:val="BodyText1"/>
              <w:spacing w:before="60" w:after="60"/>
              <w:jc w:val="center"/>
              <w:rPr>
                <w:sz w:val="22"/>
                <w:szCs w:val="22"/>
                <w:lang w:val="en-GB"/>
              </w:rPr>
            </w:pPr>
            <w:r>
              <w:rPr>
                <w:sz w:val="22"/>
                <w:szCs w:val="22"/>
                <w:lang w:val="en-GB"/>
              </w:rPr>
              <w:t>152</w:t>
            </w:r>
          </w:p>
        </w:tc>
      </w:tr>
      <w:tr w:rsidR="006560EB" w:rsidRPr="00D15332" w14:paraId="10D1AAE3" w14:textId="77777777" w:rsidTr="009D51CD">
        <w:tc>
          <w:tcPr>
            <w:tcW w:w="1803" w:type="pct"/>
          </w:tcPr>
          <w:p w14:paraId="5ED48469" w14:textId="77777777" w:rsidR="006560EB" w:rsidRPr="00D15332" w:rsidRDefault="006560EB" w:rsidP="00D15332">
            <w:pPr>
              <w:pStyle w:val="BodyText1"/>
              <w:spacing w:before="60" w:after="60"/>
              <w:rPr>
                <w:sz w:val="22"/>
                <w:szCs w:val="22"/>
                <w:lang w:val="en-GB"/>
              </w:rPr>
            </w:pPr>
            <w:r w:rsidRPr="00D15332">
              <w:rPr>
                <w:sz w:val="22"/>
                <w:szCs w:val="22"/>
                <w:lang w:val="en-GB"/>
              </w:rPr>
              <w:t xml:space="preserve">Mean (SD) confusion score </w:t>
            </w:r>
          </w:p>
        </w:tc>
        <w:tc>
          <w:tcPr>
            <w:tcW w:w="640" w:type="pct"/>
          </w:tcPr>
          <w:p w14:paraId="19E8AA5B"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4 (2.7)</w:t>
            </w:r>
          </w:p>
        </w:tc>
        <w:tc>
          <w:tcPr>
            <w:tcW w:w="639" w:type="pct"/>
          </w:tcPr>
          <w:p w14:paraId="0DDC225A"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2.4 (2.1)</w:t>
            </w:r>
          </w:p>
        </w:tc>
        <w:tc>
          <w:tcPr>
            <w:tcW w:w="640" w:type="pct"/>
          </w:tcPr>
          <w:p w14:paraId="511EA080"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2.1 (2.2)</w:t>
            </w:r>
          </w:p>
        </w:tc>
        <w:tc>
          <w:tcPr>
            <w:tcW w:w="639" w:type="pct"/>
            <w:tcMar>
              <w:top w:w="0" w:type="dxa"/>
              <w:left w:w="108" w:type="dxa"/>
              <w:bottom w:w="0" w:type="dxa"/>
              <w:right w:w="108" w:type="dxa"/>
            </w:tcMar>
          </w:tcPr>
          <w:p w14:paraId="1F00251F"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2 (2.1)</w:t>
            </w:r>
          </w:p>
        </w:tc>
        <w:tc>
          <w:tcPr>
            <w:tcW w:w="639" w:type="pct"/>
            <w:tcMar>
              <w:top w:w="0" w:type="dxa"/>
              <w:left w:w="108" w:type="dxa"/>
              <w:bottom w:w="0" w:type="dxa"/>
              <w:right w:w="108" w:type="dxa"/>
            </w:tcMar>
          </w:tcPr>
          <w:p w14:paraId="639CC8D6" w14:textId="59F24688" w:rsidR="006560EB" w:rsidRPr="00D15332" w:rsidRDefault="006560EB" w:rsidP="00D15332">
            <w:pPr>
              <w:pStyle w:val="BodyText1"/>
              <w:spacing w:before="60" w:after="60"/>
              <w:jc w:val="center"/>
              <w:rPr>
                <w:sz w:val="22"/>
                <w:szCs w:val="22"/>
                <w:lang w:val="en-GB"/>
              </w:rPr>
            </w:pPr>
            <w:r w:rsidRPr="00316B9E">
              <w:rPr>
                <w:sz w:val="22"/>
                <w:szCs w:val="22"/>
                <w:lang w:val="en-GB"/>
              </w:rPr>
              <w:t>1.</w:t>
            </w:r>
            <w:r w:rsidR="00836008" w:rsidRPr="00316B9E">
              <w:rPr>
                <w:sz w:val="22"/>
                <w:szCs w:val="22"/>
                <w:lang w:val="en-GB"/>
              </w:rPr>
              <w:t>9</w:t>
            </w:r>
            <w:r w:rsidRPr="00316B9E">
              <w:rPr>
                <w:sz w:val="22"/>
                <w:szCs w:val="22"/>
                <w:lang w:val="en-GB"/>
              </w:rPr>
              <w:t> (2.1</w:t>
            </w:r>
            <w:r w:rsidRPr="00D15332">
              <w:rPr>
                <w:sz w:val="22"/>
                <w:szCs w:val="22"/>
                <w:lang w:val="en-GB"/>
              </w:rPr>
              <w:t>)</w:t>
            </w:r>
          </w:p>
        </w:tc>
      </w:tr>
      <w:tr w:rsidR="006560EB" w:rsidRPr="00D15332" w14:paraId="0F5EDF0D" w14:textId="77777777" w:rsidTr="009D51CD">
        <w:tc>
          <w:tcPr>
            <w:tcW w:w="1803" w:type="pct"/>
          </w:tcPr>
          <w:p w14:paraId="56958494" w14:textId="77777777" w:rsidR="006560EB" w:rsidRPr="00D15332" w:rsidRDefault="006560EB" w:rsidP="00D15332">
            <w:pPr>
              <w:pStyle w:val="BodyText1"/>
              <w:spacing w:before="60" w:after="60"/>
              <w:rPr>
                <w:sz w:val="22"/>
                <w:szCs w:val="22"/>
                <w:lang w:val="en-GB"/>
              </w:rPr>
            </w:pPr>
            <w:r w:rsidRPr="00D15332">
              <w:rPr>
                <w:sz w:val="22"/>
                <w:szCs w:val="22"/>
                <w:lang w:val="en-GB"/>
              </w:rPr>
              <w:t>Change from baseline confusion score (n)</w:t>
            </w:r>
            <w:r w:rsidRPr="00D15332">
              <w:rPr>
                <w:sz w:val="22"/>
                <w:szCs w:val="22"/>
                <w:vertAlign w:val="superscript"/>
                <w:lang w:val="en-GB"/>
              </w:rPr>
              <w:t>4</w:t>
            </w:r>
          </w:p>
          <w:p w14:paraId="410C11DC" w14:textId="77777777" w:rsidR="006560EB" w:rsidRPr="00D15332" w:rsidRDefault="006560EB" w:rsidP="00D15332">
            <w:pPr>
              <w:pStyle w:val="BodyText1"/>
              <w:spacing w:before="60" w:after="60"/>
              <w:rPr>
                <w:sz w:val="22"/>
                <w:szCs w:val="22"/>
                <w:lang w:val="en-GB"/>
              </w:rPr>
            </w:pPr>
            <w:r w:rsidRPr="00D15332">
              <w:rPr>
                <w:sz w:val="22"/>
                <w:szCs w:val="22"/>
                <w:lang w:val="en-GB"/>
              </w:rPr>
              <w:t>Mean (SD)</w:t>
            </w:r>
          </w:p>
          <w:p w14:paraId="0715F493" w14:textId="77777777" w:rsidR="006560EB" w:rsidRPr="00D15332" w:rsidRDefault="006560EB" w:rsidP="00D15332">
            <w:pPr>
              <w:pStyle w:val="BodyText1"/>
              <w:spacing w:before="60" w:after="60"/>
              <w:rPr>
                <w:sz w:val="22"/>
                <w:szCs w:val="22"/>
                <w:lang w:val="en-GB"/>
              </w:rPr>
            </w:pPr>
            <w:r w:rsidRPr="00D15332">
              <w:rPr>
                <w:sz w:val="22"/>
                <w:szCs w:val="22"/>
                <w:lang w:val="en-GB"/>
              </w:rPr>
              <w:t>Median</w:t>
            </w:r>
          </w:p>
        </w:tc>
        <w:tc>
          <w:tcPr>
            <w:tcW w:w="640" w:type="pct"/>
          </w:tcPr>
          <w:p w14:paraId="70546219" w14:textId="77777777" w:rsidR="006560EB" w:rsidRPr="00D15332" w:rsidRDefault="006560EB" w:rsidP="00D15332">
            <w:pPr>
              <w:pStyle w:val="BodyText1"/>
              <w:spacing w:before="60" w:after="60"/>
              <w:jc w:val="center"/>
              <w:rPr>
                <w:sz w:val="22"/>
                <w:szCs w:val="22"/>
                <w:lang w:val="en-GB"/>
              </w:rPr>
            </w:pPr>
          </w:p>
          <w:p w14:paraId="704449D9"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w:t>
            </w:r>
          </w:p>
        </w:tc>
        <w:tc>
          <w:tcPr>
            <w:tcW w:w="639" w:type="pct"/>
          </w:tcPr>
          <w:p w14:paraId="06D1F1E9" w14:textId="77777777" w:rsidR="006560EB" w:rsidRPr="00D15332" w:rsidRDefault="006560EB" w:rsidP="00D15332">
            <w:pPr>
              <w:pStyle w:val="BodyText1"/>
              <w:spacing w:before="60" w:after="60"/>
              <w:jc w:val="center"/>
              <w:rPr>
                <w:sz w:val="22"/>
                <w:szCs w:val="22"/>
                <w:lang w:val="en-GB"/>
              </w:rPr>
            </w:pPr>
          </w:p>
          <w:p w14:paraId="3F3A36A9"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n=130</w:t>
            </w:r>
          </w:p>
          <w:p w14:paraId="374FC205"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-1.6 (2.5)</w:t>
            </w:r>
          </w:p>
          <w:p w14:paraId="09D2FE61"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w:t>
            </w:r>
          </w:p>
        </w:tc>
        <w:tc>
          <w:tcPr>
            <w:tcW w:w="640" w:type="pct"/>
          </w:tcPr>
          <w:p w14:paraId="7E758A6E" w14:textId="77777777" w:rsidR="006560EB" w:rsidRPr="00D15332" w:rsidRDefault="006560EB" w:rsidP="00D15332">
            <w:pPr>
              <w:pStyle w:val="BodyText1"/>
              <w:spacing w:before="60" w:after="60"/>
              <w:jc w:val="center"/>
              <w:rPr>
                <w:sz w:val="22"/>
                <w:szCs w:val="22"/>
                <w:lang w:val="en-GB"/>
              </w:rPr>
            </w:pPr>
          </w:p>
          <w:p w14:paraId="7E4C8AD4"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n=123</w:t>
            </w:r>
          </w:p>
          <w:p w14:paraId="5976E45F"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-2 (2.8)</w:t>
            </w:r>
          </w:p>
          <w:p w14:paraId="4123E601"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-2</w:t>
            </w:r>
          </w:p>
        </w:tc>
        <w:tc>
          <w:tcPr>
            <w:tcW w:w="639" w:type="pct"/>
            <w:tcMar>
              <w:top w:w="0" w:type="dxa"/>
              <w:left w:w="108" w:type="dxa"/>
              <w:bottom w:w="0" w:type="dxa"/>
              <w:right w:w="108" w:type="dxa"/>
            </w:tcMar>
          </w:tcPr>
          <w:p w14:paraId="193B97DF" w14:textId="77777777" w:rsidR="006560EB" w:rsidRPr="00D15332" w:rsidRDefault="006560EB" w:rsidP="00D15332">
            <w:pPr>
              <w:pStyle w:val="BodyText1"/>
              <w:spacing w:before="60" w:after="60"/>
              <w:jc w:val="center"/>
              <w:rPr>
                <w:sz w:val="22"/>
                <w:szCs w:val="22"/>
                <w:lang w:val="en-GB"/>
              </w:rPr>
            </w:pPr>
          </w:p>
          <w:p w14:paraId="1E3E01E2" w14:textId="1C72A052" w:rsidR="006560EB" w:rsidRPr="00D15332" w:rsidRDefault="006560EB" w:rsidP="00D15332">
            <w:pPr>
              <w:pStyle w:val="BodyText1"/>
              <w:spacing w:before="60" w:after="60"/>
              <w:jc w:val="center"/>
              <w:rPr>
                <w:sz w:val="22"/>
                <w:szCs w:val="22"/>
                <w:lang w:val="en-GB"/>
              </w:rPr>
            </w:pPr>
            <w:r w:rsidRPr="00D15332">
              <w:rPr>
                <w:sz w:val="22"/>
                <w:szCs w:val="22"/>
                <w:lang w:val="en-GB"/>
              </w:rPr>
              <w:t>n=</w:t>
            </w:r>
            <w:r w:rsidR="005C225F">
              <w:rPr>
                <w:sz w:val="22"/>
                <w:szCs w:val="22"/>
                <w:lang w:val="en-GB"/>
              </w:rPr>
              <w:t>116</w:t>
            </w:r>
          </w:p>
          <w:p w14:paraId="4BDAF399"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-2.2 (2.7)</w:t>
            </w:r>
          </w:p>
          <w:p w14:paraId="29C00CC6"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-2</w:t>
            </w:r>
          </w:p>
        </w:tc>
        <w:tc>
          <w:tcPr>
            <w:tcW w:w="639" w:type="pct"/>
            <w:tcMar>
              <w:top w:w="0" w:type="dxa"/>
              <w:left w:w="108" w:type="dxa"/>
              <w:bottom w:w="0" w:type="dxa"/>
              <w:right w:w="108" w:type="dxa"/>
            </w:tcMar>
          </w:tcPr>
          <w:p w14:paraId="47B6D9C0" w14:textId="77777777" w:rsidR="006560EB" w:rsidRPr="00D15332" w:rsidRDefault="006560EB" w:rsidP="00D15332">
            <w:pPr>
              <w:pStyle w:val="BodyText1"/>
              <w:spacing w:before="60" w:after="60"/>
              <w:jc w:val="center"/>
              <w:rPr>
                <w:sz w:val="22"/>
                <w:szCs w:val="22"/>
                <w:lang w:val="en-GB"/>
              </w:rPr>
            </w:pPr>
          </w:p>
          <w:p w14:paraId="4CCC8213" w14:textId="747D1C37" w:rsidR="006560EB" w:rsidRPr="00D15332" w:rsidRDefault="006560EB" w:rsidP="00D15332">
            <w:pPr>
              <w:pStyle w:val="BodyText1"/>
              <w:spacing w:before="60" w:after="60"/>
              <w:jc w:val="center"/>
              <w:rPr>
                <w:sz w:val="22"/>
                <w:szCs w:val="22"/>
                <w:lang w:val="en-GB"/>
              </w:rPr>
            </w:pPr>
            <w:r w:rsidRPr="00D15332">
              <w:rPr>
                <w:sz w:val="22"/>
                <w:szCs w:val="22"/>
                <w:lang w:val="en-GB"/>
              </w:rPr>
              <w:t>n=</w:t>
            </w:r>
            <w:r w:rsidR="005C225F">
              <w:rPr>
                <w:sz w:val="22"/>
                <w:szCs w:val="22"/>
                <w:lang w:val="en-GB"/>
              </w:rPr>
              <w:t>103</w:t>
            </w:r>
          </w:p>
          <w:p w14:paraId="5CA6FF3F" w14:textId="4C8DF0CB" w:rsidR="006560EB" w:rsidRPr="00D15332" w:rsidRDefault="006560EB" w:rsidP="00D15332">
            <w:pPr>
              <w:pStyle w:val="BodyText1"/>
              <w:spacing w:before="60" w:after="60"/>
              <w:jc w:val="center"/>
              <w:rPr>
                <w:sz w:val="22"/>
                <w:szCs w:val="22"/>
                <w:lang w:val="en-GB"/>
              </w:rPr>
            </w:pPr>
            <w:r w:rsidRPr="00D15332">
              <w:rPr>
                <w:sz w:val="22"/>
                <w:szCs w:val="22"/>
                <w:lang w:val="en-GB"/>
              </w:rPr>
              <w:t>-2.2 (</w:t>
            </w:r>
            <w:r w:rsidR="005C225F">
              <w:rPr>
                <w:sz w:val="22"/>
                <w:szCs w:val="22"/>
                <w:lang w:val="en-GB"/>
              </w:rPr>
              <w:t>3.0</w:t>
            </w:r>
            <w:r w:rsidRPr="00D15332">
              <w:rPr>
                <w:sz w:val="22"/>
                <w:szCs w:val="22"/>
                <w:lang w:val="en-GB"/>
              </w:rPr>
              <w:t>)</w:t>
            </w:r>
          </w:p>
          <w:p w14:paraId="0D9B06C1"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-2</w:t>
            </w:r>
          </w:p>
        </w:tc>
      </w:tr>
      <w:tr w:rsidR="006560EB" w:rsidRPr="00D15332" w14:paraId="19CBD3F6" w14:textId="77777777" w:rsidTr="009D51CD">
        <w:tc>
          <w:tcPr>
            <w:tcW w:w="5000" w:type="pct"/>
            <w:gridSpan w:val="6"/>
          </w:tcPr>
          <w:p w14:paraId="459FAD65" w14:textId="77777777" w:rsidR="006560EB" w:rsidRPr="00D15332" w:rsidRDefault="006560EB" w:rsidP="00D15332">
            <w:pPr>
              <w:pStyle w:val="BodyText1"/>
              <w:spacing w:before="60" w:after="60"/>
              <w:rPr>
                <w:b/>
                <w:sz w:val="22"/>
                <w:szCs w:val="22"/>
                <w:lang w:val="en-GB"/>
              </w:rPr>
            </w:pPr>
            <w:r w:rsidRPr="00D15332">
              <w:rPr>
                <w:b/>
                <w:sz w:val="22"/>
                <w:szCs w:val="22"/>
                <w:lang w:val="en-GB"/>
              </w:rPr>
              <w:t>Protein intake from intact food (g)</w:t>
            </w:r>
          </w:p>
        </w:tc>
      </w:tr>
      <w:tr w:rsidR="006560EB" w:rsidRPr="00D15332" w14:paraId="7713E52E" w14:textId="77777777" w:rsidTr="009D51CD">
        <w:tc>
          <w:tcPr>
            <w:tcW w:w="1803" w:type="pct"/>
          </w:tcPr>
          <w:p w14:paraId="3B8F36CB" w14:textId="77777777" w:rsidR="006560EB" w:rsidRPr="00D15332" w:rsidRDefault="006560EB" w:rsidP="00D15332">
            <w:pPr>
              <w:pStyle w:val="BodyText1"/>
              <w:spacing w:before="60" w:after="60"/>
              <w:rPr>
                <w:sz w:val="22"/>
                <w:szCs w:val="22"/>
                <w:lang w:val="en-GB"/>
              </w:rPr>
            </w:pPr>
            <w:r w:rsidRPr="00D15332">
              <w:rPr>
                <w:sz w:val="22"/>
                <w:szCs w:val="22"/>
                <w:lang w:val="en-GB"/>
              </w:rPr>
              <w:t>N</w:t>
            </w:r>
          </w:p>
        </w:tc>
        <w:tc>
          <w:tcPr>
            <w:tcW w:w="640" w:type="pct"/>
          </w:tcPr>
          <w:p w14:paraId="0035ECF5"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250</w:t>
            </w:r>
          </w:p>
        </w:tc>
        <w:tc>
          <w:tcPr>
            <w:tcW w:w="639" w:type="pct"/>
          </w:tcPr>
          <w:p w14:paraId="2FD01300"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160</w:t>
            </w:r>
          </w:p>
        </w:tc>
        <w:tc>
          <w:tcPr>
            <w:tcW w:w="640" w:type="pct"/>
          </w:tcPr>
          <w:p w14:paraId="5C75AFFB"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111</w:t>
            </w:r>
          </w:p>
        </w:tc>
        <w:tc>
          <w:tcPr>
            <w:tcW w:w="639" w:type="pct"/>
            <w:tcMar>
              <w:top w:w="0" w:type="dxa"/>
              <w:left w:w="108" w:type="dxa"/>
              <w:bottom w:w="0" w:type="dxa"/>
              <w:right w:w="108" w:type="dxa"/>
            </w:tcMar>
          </w:tcPr>
          <w:p w14:paraId="29ED1543" w14:textId="5EF6A7EB" w:rsidR="006560EB" w:rsidRPr="00D15332" w:rsidRDefault="005C225F" w:rsidP="00D15332">
            <w:pPr>
              <w:pStyle w:val="BodyText1"/>
              <w:spacing w:before="60" w:after="60"/>
              <w:jc w:val="center"/>
              <w:rPr>
                <w:sz w:val="22"/>
                <w:szCs w:val="22"/>
                <w:lang w:val="en-GB"/>
              </w:rPr>
            </w:pPr>
            <w:r>
              <w:rPr>
                <w:sz w:val="22"/>
                <w:szCs w:val="22"/>
                <w:lang w:val="en-GB"/>
              </w:rPr>
              <w:t>83</w:t>
            </w:r>
          </w:p>
        </w:tc>
        <w:tc>
          <w:tcPr>
            <w:tcW w:w="639" w:type="pct"/>
            <w:tcMar>
              <w:top w:w="0" w:type="dxa"/>
              <w:left w:w="108" w:type="dxa"/>
              <w:bottom w:w="0" w:type="dxa"/>
              <w:right w:w="108" w:type="dxa"/>
            </w:tcMar>
          </w:tcPr>
          <w:p w14:paraId="07558675" w14:textId="3794BE4F" w:rsidR="006560EB" w:rsidRPr="00D15332" w:rsidRDefault="005C225F" w:rsidP="00D15332">
            <w:pPr>
              <w:pStyle w:val="BodyText1"/>
              <w:spacing w:before="60" w:after="60"/>
              <w:jc w:val="center"/>
              <w:rPr>
                <w:sz w:val="22"/>
                <w:szCs w:val="22"/>
                <w:lang w:val="en-GB"/>
              </w:rPr>
            </w:pPr>
            <w:r>
              <w:rPr>
                <w:sz w:val="22"/>
                <w:szCs w:val="22"/>
                <w:lang w:val="en-GB"/>
              </w:rPr>
              <w:t>80</w:t>
            </w:r>
          </w:p>
        </w:tc>
      </w:tr>
      <w:tr w:rsidR="006560EB" w:rsidRPr="00D15332" w14:paraId="4B33376F" w14:textId="77777777" w:rsidTr="009D51CD">
        <w:tc>
          <w:tcPr>
            <w:tcW w:w="1803" w:type="pct"/>
          </w:tcPr>
          <w:p w14:paraId="514C1C22" w14:textId="77777777" w:rsidR="006560EB" w:rsidRPr="00D15332" w:rsidRDefault="006560EB" w:rsidP="00D15332">
            <w:pPr>
              <w:pStyle w:val="BodyText1"/>
              <w:spacing w:before="60" w:after="60"/>
              <w:rPr>
                <w:sz w:val="22"/>
                <w:szCs w:val="22"/>
                <w:lang w:val="en-GB"/>
              </w:rPr>
            </w:pPr>
            <w:r w:rsidRPr="00D15332">
              <w:rPr>
                <w:sz w:val="22"/>
                <w:szCs w:val="22"/>
                <w:lang w:val="en-GB"/>
              </w:rPr>
              <w:t xml:space="preserve">Mean (SD) </w:t>
            </w:r>
          </w:p>
        </w:tc>
        <w:tc>
          <w:tcPr>
            <w:tcW w:w="640" w:type="pct"/>
          </w:tcPr>
          <w:p w14:paraId="6FE01918"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39 (28)</w:t>
            </w:r>
          </w:p>
        </w:tc>
        <w:tc>
          <w:tcPr>
            <w:tcW w:w="639" w:type="pct"/>
          </w:tcPr>
          <w:p w14:paraId="032F9845"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47 (29)</w:t>
            </w:r>
          </w:p>
        </w:tc>
        <w:tc>
          <w:tcPr>
            <w:tcW w:w="640" w:type="pct"/>
          </w:tcPr>
          <w:p w14:paraId="53F14DEE"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50 (27)</w:t>
            </w:r>
          </w:p>
        </w:tc>
        <w:tc>
          <w:tcPr>
            <w:tcW w:w="639" w:type="pct"/>
            <w:tcMar>
              <w:top w:w="0" w:type="dxa"/>
              <w:left w:w="108" w:type="dxa"/>
              <w:bottom w:w="0" w:type="dxa"/>
              <w:right w:w="108" w:type="dxa"/>
            </w:tcMar>
          </w:tcPr>
          <w:p w14:paraId="6B478C83" w14:textId="528DC636" w:rsidR="006560EB" w:rsidRPr="00D15332" w:rsidRDefault="005C225F" w:rsidP="00D15332">
            <w:pPr>
              <w:pStyle w:val="BodyText1"/>
              <w:spacing w:before="60" w:after="60"/>
              <w:jc w:val="center"/>
              <w:rPr>
                <w:sz w:val="22"/>
                <w:szCs w:val="22"/>
                <w:lang w:val="en-GB"/>
              </w:rPr>
            </w:pPr>
            <w:r>
              <w:rPr>
                <w:sz w:val="22"/>
                <w:szCs w:val="22"/>
                <w:lang w:val="en-GB"/>
              </w:rPr>
              <w:t>55</w:t>
            </w:r>
            <w:r w:rsidR="006560EB" w:rsidRPr="00D15332">
              <w:rPr>
                <w:sz w:val="22"/>
                <w:szCs w:val="22"/>
                <w:lang w:val="en-GB"/>
              </w:rPr>
              <w:t> (27)</w:t>
            </w:r>
          </w:p>
        </w:tc>
        <w:tc>
          <w:tcPr>
            <w:tcW w:w="639" w:type="pct"/>
            <w:tcMar>
              <w:top w:w="0" w:type="dxa"/>
              <w:left w:w="108" w:type="dxa"/>
              <w:bottom w:w="0" w:type="dxa"/>
              <w:right w:w="108" w:type="dxa"/>
            </w:tcMar>
          </w:tcPr>
          <w:p w14:paraId="32E66165" w14:textId="23F9DE56" w:rsidR="006560EB" w:rsidRPr="00D15332" w:rsidRDefault="005C225F" w:rsidP="00D15332">
            <w:pPr>
              <w:pStyle w:val="BodyText1"/>
              <w:spacing w:before="60" w:after="60"/>
              <w:jc w:val="center"/>
              <w:rPr>
                <w:sz w:val="22"/>
                <w:szCs w:val="22"/>
                <w:lang w:val="en-GB"/>
              </w:rPr>
            </w:pPr>
            <w:r>
              <w:rPr>
                <w:sz w:val="22"/>
                <w:szCs w:val="22"/>
                <w:lang w:val="en-GB"/>
              </w:rPr>
              <w:t>66</w:t>
            </w:r>
            <w:r w:rsidR="006560EB" w:rsidRPr="00D15332">
              <w:rPr>
                <w:sz w:val="22"/>
                <w:szCs w:val="22"/>
                <w:lang w:val="en-GB"/>
              </w:rPr>
              <w:t> (27)</w:t>
            </w:r>
          </w:p>
        </w:tc>
      </w:tr>
      <w:tr w:rsidR="006560EB" w:rsidRPr="00D15332" w14:paraId="7309ABD7" w14:textId="77777777" w:rsidTr="009D51CD">
        <w:tc>
          <w:tcPr>
            <w:tcW w:w="1803" w:type="pct"/>
          </w:tcPr>
          <w:p w14:paraId="06E26BB4" w14:textId="77777777" w:rsidR="006560EB" w:rsidRPr="00D15332" w:rsidRDefault="006560EB" w:rsidP="00D15332">
            <w:pPr>
              <w:pStyle w:val="BodyText1"/>
              <w:spacing w:before="60" w:after="60"/>
              <w:rPr>
                <w:sz w:val="22"/>
                <w:szCs w:val="22"/>
                <w:lang w:val="en-GB"/>
              </w:rPr>
            </w:pPr>
            <w:r w:rsidRPr="00D15332">
              <w:rPr>
                <w:sz w:val="22"/>
                <w:szCs w:val="22"/>
                <w:lang w:val="en-GB"/>
              </w:rPr>
              <w:t>Change from baseline protein intake (n)</w:t>
            </w:r>
            <w:r w:rsidRPr="00D15332">
              <w:rPr>
                <w:sz w:val="22"/>
                <w:szCs w:val="22"/>
                <w:vertAlign w:val="superscript"/>
                <w:lang w:val="en-GB"/>
              </w:rPr>
              <w:t>4</w:t>
            </w:r>
          </w:p>
          <w:p w14:paraId="374A8BB8" w14:textId="77777777" w:rsidR="006560EB" w:rsidRPr="00D15332" w:rsidRDefault="006560EB" w:rsidP="00D15332">
            <w:pPr>
              <w:pStyle w:val="BodyText1"/>
              <w:spacing w:before="60" w:after="60"/>
              <w:rPr>
                <w:sz w:val="22"/>
                <w:szCs w:val="22"/>
                <w:lang w:val="en-GB"/>
              </w:rPr>
            </w:pPr>
            <w:r w:rsidRPr="00D15332">
              <w:rPr>
                <w:sz w:val="22"/>
                <w:szCs w:val="22"/>
                <w:lang w:val="en-GB"/>
              </w:rPr>
              <w:t>Mean (SD)</w:t>
            </w:r>
          </w:p>
          <w:p w14:paraId="41DED594" w14:textId="77777777" w:rsidR="006560EB" w:rsidRPr="00D15332" w:rsidRDefault="006560EB" w:rsidP="00D15332">
            <w:pPr>
              <w:pStyle w:val="BodyText1"/>
              <w:spacing w:before="60" w:after="60"/>
              <w:rPr>
                <w:sz w:val="22"/>
                <w:szCs w:val="22"/>
                <w:lang w:val="en-GB"/>
              </w:rPr>
            </w:pPr>
            <w:r w:rsidRPr="00D15332">
              <w:rPr>
                <w:sz w:val="22"/>
                <w:szCs w:val="22"/>
                <w:lang w:val="en-GB"/>
              </w:rPr>
              <w:t>Median</w:t>
            </w:r>
          </w:p>
        </w:tc>
        <w:tc>
          <w:tcPr>
            <w:tcW w:w="640" w:type="pct"/>
          </w:tcPr>
          <w:p w14:paraId="1CB47066" w14:textId="77777777" w:rsidR="006560EB" w:rsidRPr="00D15332" w:rsidRDefault="006560EB" w:rsidP="00D15332">
            <w:pPr>
              <w:pStyle w:val="BodyText1"/>
              <w:spacing w:before="60" w:after="60"/>
              <w:jc w:val="center"/>
              <w:rPr>
                <w:sz w:val="22"/>
                <w:szCs w:val="22"/>
                <w:lang w:val="en-GB"/>
              </w:rPr>
            </w:pPr>
          </w:p>
          <w:p w14:paraId="5148C688"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w:t>
            </w:r>
          </w:p>
        </w:tc>
        <w:tc>
          <w:tcPr>
            <w:tcW w:w="639" w:type="pct"/>
          </w:tcPr>
          <w:p w14:paraId="6FF52233" w14:textId="77777777" w:rsidR="006560EB" w:rsidRPr="00D15332" w:rsidRDefault="006560EB" w:rsidP="00D15332">
            <w:pPr>
              <w:pStyle w:val="BodyText1"/>
              <w:spacing w:before="60" w:after="60"/>
              <w:jc w:val="center"/>
              <w:rPr>
                <w:sz w:val="22"/>
                <w:szCs w:val="22"/>
                <w:lang w:val="en-GB"/>
              </w:rPr>
            </w:pPr>
          </w:p>
          <w:p w14:paraId="2A2DF3B8"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n=154</w:t>
            </w:r>
          </w:p>
          <w:p w14:paraId="3FEB909E"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9 (25)</w:t>
            </w:r>
          </w:p>
          <w:p w14:paraId="4B17CEC5"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4</w:t>
            </w:r>
          </w:p>
        </w:tc>
        <w:tc>
          <w:tcPr>
            <w:tcW w:w="640" w:type="pct"/>
          </w:tcPr>
          <w:p w14:paraId="6B643F72" w14:textId="77777777" w:rsidR="006560EB" w:rsidRPr="00D15332" w:rsidRDefault="006560EB" w:rsidP="00D15332">
            <w:pPr>
              <w:pStyle w:val="BodyText1"/>
              <w:spacing w:before="60" w:after="60"/>
              <w:jc w:val="center"/>
              <w:rPr>
                <w:sz w:val="22"/>
                <w:szCs w:val="22"/>
                <w:lang w:val="en-GB"/>
              </w:rPr>
            </w:pPr>
          </w:p>
          <w:p w14:paraId="7FE2D71F"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n=106</w:t>
            </w:r>
          </w:p>
          <w:p w14:paraId="3C63B0E1"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12 (25)</w:t>
            </w:r>
          </w:p>
          <w:p w14:paraId="578581E0"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9</w:t>
            </w:r>
          </w:p>
        </w:tc>
        <w:tc>
          <w:tcPr>
            <w:tcW w:w="639" w:type="pct"/>
            <w:tcMar>
              <w:top w:w="0" w:type="dxa"/>
              <w:left w:w="108" w:type="dxa"/>
              <w:bottom w:w="0" w:type="dxa"/>
              <w:right w:w="108" w:type="dxa"/>
            </w:tcMar>
          </w:tcPr>
          <w:p w14:paraId="37D45BEC" w14:textId="77777777" w:rsidR="006560EB" w:rsidRPr="00D15332" w:rsidRDefault="006560EB" w:rsidP="00D15332">
            <w:pPr>
              <w:pStyle w:val="BodyText1"/>
              <w:spacing w:before="60" w:after="60"/>
              <w:jc w:val="center"/>
              <w:rPr>
                <w:sz w:val="22"/>
                <w:szCs w:val="22"/>
                <w:lang w:val="en-GB"/>
              </w:rPr>
            </w:pPr>
          </w:p>
          <w:p w14:paraId="68D735A3" w14:textId="1A292C61" w:rsidR="006560EB" w:rsidRPr="00D15332" w:rsidRDefault="006560EB" w:rsidP="00D15332">
            <w:pPr>
              <w:pStyle w:val="BodyText1"/>
              <w:spacing w:before="60" w:after="60"/>
              <w:jc w:val="center"/>
              <w:rPr>
                <w:sz w:val="22"/>
                <w:szCs w:val="22"/>
                <w:lang w:val="en-GB"/>
              </w:rPr>
            </w:pPr>
            <w:r w:rsidRPr="00D15332">
              <w:rPr>
                <w:sz w:val="22"/>
                <w:szCs w:val="22"/>
                <w:lang w:val="en-GB"/>
              </w:rPr>
              <w:t>n=</w:t>
            </w:r>
            <w:r w:rsidR="005C225F">
              <w:rPr>
                <w:sz w:val="22"/>
                <w:szCs w:val="22"/>
                <w:lang w:val="en-GB"/>
              </w:rPr>
              <w:t>80</w:t>
            </w:r>
          </w:p>
          <w:p w14:paraId="2331A44E" w14:textId="45EF31AF" w:rsidR="006560EB" w:rsidRPr="00D15332" w:rsidRDefault="006560EB" w:rsidP="00D15332">
            <w:pPr>
              <w:pStyle w:val="BodyText1"/>
              <w:spacing w:before="60" w:after="60"/>
              <w:jc w:val="center"/>
              <w:rPr>
                <w:sz w:val="22"/>
                <w:szCs w:val="22"/>
                <w:lang w:val="en-GB"/>
              </w:rPr>
            </w:pPr>
            <w:r w:rsidRPr="00D15332">
              <w:rPr>
                <w:sz w:val="22"/>
                <w:szCs w:val="22"/>
                <w:lang w:val="en-GB"/>
              </w:rPr>
              <w:t>16 (</w:t>
            </w:r>
            <w:r w:rsidR="005C225F">
              <w:rPr>
                <w:sz w:val="22"/>
                <w:szCs w:val="22"/>
                <w:lang w:val="en-GB"/>
              </w:rPr>
              <w:t>27</w:t>
            </w:r>
            <w:r w:rsidRPr="00D15332">
              <w:rPr>
                <w:sz w:val="22"/>
                <w:szCs w:val="22"/>
                <w:lang w:val="en-GB"/>
              </w:rPr>
              <w:t>)</w:t>
            </w:r>
          </w:p>
          <w:p w14:paraId="42790201" w14:textId="77777777" w:rsidR="006560EB" w:rsidRPr="00D15332" w:rsidRDefault="006560EB" w:rsidP="00D15332">
            <w:pPr>
              <w:pStyle w:val="BodyText1"/>
              <w:spacing w:before="60" w:after="60"/>
              <w:jc w:val="center"/>
              <w:rPr>
                <w:sz w:val="22"/>
                <w:szCs w:val="22"/>
                <w:lang w:val="en-GB"/>
              </w:rPr>
            </w:pPr>
            <w:r w:rsidRPr="00D15332">
              <w:rPr>
                <w:sz w:val="22"/>
                <w:szCs w:val="22"/>
                <w:lang w:val="en-GB"/>
              </w:rPr>
              <w:t>14</w:t>
            </w:r>
          </w:p>
        </w:tc>
        <w:tc>
          <w:tcPr>
            <w:tcW w:w="639" w:type="pct"/>
            <w:tcMar>
              <w:top w:w="0" w:type="dxa"/>
              <w:left w:w="108" w:type="dxa"/>
              <w:bottom w:w="0" w:type="dxa"/>
              <w:right w:w="108" w:type="dxa"/>
            </w:tcMar>
          </w:tcPr>
          <w:p w14:paraId="374EA6A6" w14:textId="77777777" w:rsidR="006560EB" w:rsidRPr="00D15332" w:rsidRDefault="006560EB" w:rsidP="00D15332">
            <w:pPr>
              <w:pStyle w:val="BodyText1"/>
              <w:spacing w:before="60" w:after="60"/>
              <w:jc w:val="center"/>
              <w:rPr>
                <w:sz w:val="22"/>
                <w:szCs w:val="22"/>
                <w:lang w:val="en-GB"/>
              </w:rPr>
            </w:pPr>
          </w:p>
          <w:p w14:paraId="5F5BF051" w14:textId="0451D4BA" w:rsidR="006560EB" w:rsidRPr="00D15332" w:rsidRDefault="006560EB" w:rsidP="00D15332">
            <w:pPr>
              <w:pStyle w:val="BodyText1"/>
              <w:spacing w:before="60" w:after="60"/>
              <w:jc w:val="center"/>
              <w:rPr>
                <w:sz w:val="22"/>
                <w:szCs w:val="22"/>
                <w:lang w:val="en-GB"/>
              </w:rPr>
            </w:pPr>
            <w:r w:rsidRPr="00D15332">
              <w:rPr>
                <w:sz w:val="22"/>
                <w:szCs w:val="22"/>
                <w:lang w:val="en-GB"/>
              </w:rPr>
              <w:t>n=</w:t>
            </w:r>
            <w:r w:rsidR="005C225F">
              <w:rPr>
                <w:sz w:val="22"/>
                <w:szCs w:val="22"/>
                <w:lang w:val="en-GB"/>
              </w:rPr>
              <w:t>78</w:t>
            </w:r>
          </w:p>
          <w:p w14:paraId="651F2E3D" w14:textId="40B3EDAD" w:rsidR="006560EB" w:rsidRPr="00D15332" w:rsidRDefault="005C225F" w:rsidP="00D15332">
            <w:pPr>
              <w:pStyle w:val="BodyText1"/>
              <w:spacing w:before="60" w:after="60"/>
              <w:jc w:val="center"/>
              <w:rPr>
                <w:sz w:val="22"/>
                <w:szCs w:val="22"/>
                <w:lang w:val="en-GB"/>
              </w:rPr>
            </w:pPr>
            <w:r>
              <w:rPr>
                <w:sz w:val="22"/>
                <w:szCs w:val="22"/>
                <w:lang w:val="en-GB"/>
              </w:rPr>
              <w:t>24</w:t>
            </w:r>
            <w:r w:rsidR="006560EB" w:rsidRPr="00D15332">
              <w:rPr>
                <w:sz w:val="22"/>
                <w:szCs w:val="22"/>
                <w:lang w:val="en-GB"/>
              </w:rPr>
              <w:t> (</w:t>
            </w:r>
            <w:r>
              <w:rPr>
                <w:sz w:val="22"/>
                <w:szCs w:val="22"/>
                <w:lang w:val="en-GB"/>
              </w:rPr>
              <w:t>31</w:t>
            </w:r>
            <w:r w:rsidR="006560EB" w:rsidRPr="00D15332">
              <w:rPr>
                <w:sz w:val="22"/>
                <w:szCs w:val="22"/>
                <w:lang w:val="en-GB"/>
              </w:rPr>
              <w:t>)</w:t>
            </w:r>
          </w:p>
          <w:p w14:paraId="783DB9B1" w14:textId="2C94FA81" w:rsidR="006560EB" w:rsidRPr="00D15332" w:rsidRDefault="005C225F" w:rsidP="00D15332">
            <w:pPr>
              <w:pStyle w:val="BodyText1"/>
              <w:spacing w:before="60" w:after="60"/>
              <w:jc w:val="center"/>
              <w:rPr>
                <w:sz w:val="22"/>
                <w:szCs w:val="22"/>
                <w:lang w:val="en-GB"/>
              </w:rPr>
            </w:pPr>
            <w:r>
              <w:rPr>
                <w:sz w:val="22"/>
                <w:szCs w:val="22"/>
                <w:lang w:val="en-GB"/>
              </w:rPr>
              <w:t>20</w:t>
            </w:r>
          </w:p>
        </w:tc>
      </w:tr>
    </w:tbl>
    <w:p w14:paraId="551250B7" w14:textId="77777777" w:rsidR="006560EB" w:rsidRPr="00845752" w:rsidRDefault="006560EB" w:rsidP="00844D32">
      <w:pPr>
        <w:pStyle w:val="BodyText1"/>
        <w:spacing w:after="60"/>
        <w:rPr>
          <w:sz w:val="20"/>
          <w:lang w:val="en-GB"/>
        </w:rPr>
      </w:pPr>
      <w:r w:rsidRPr="00845752">
        <w:rPr>
          <w:sz w:val="20"/>
          <w:vertAlign w:val="superscript"/>
          <w:lang w:val="en-GB"/>
        </w:rPr>
        <w:t>1</w:t>
      </w:r>
      <w:r w:rsidRPr="00845752">
        <w:rPr>
          <w:sz w:val="20"/>
          <w:lang w:val="en-GB"/>
        </w:rPr>
        <w:t> Post</w:t>
      </w:r>
      <w:r w:rsidRPr="00845752">
        <w:rPr>
          <w:sz w:val="20"/>
          <w:lang w:val="en-GB"/>
        </w:rPr>
        <w:noBreakHyphen/>
        <w:t>baseline phenylalanine values were mapped to the closest monthly visit (i.e. within a 1</w:t>
      </w:r>
      <w:r w:rsidRPr="00845752">
        <w:rPr>
          <w:sz w:val="20"/>
          <w:lang w:val="en-GB"/>
        </w:rPr>
        <w:noBreakHyphen/>
        <w:t>month window).</w:t>
      </w:r>
    </w:p>
    <w:p w14:paraId="3AAF4ED4" w14:textId="77777777" w:rsidR="006560EB" w:rsidRPr="00845752" w:rsidRDefault="006560EB" w:rsidP="00844D32">
      <w:pPr>
        <w:pStyle w:val="BodyText1"/>
        <w:spacing w:after="60"/>
        <w:rPr>
          <w:sz w:val="20"/>
          <w:lang w:val="en-GB"/>
        </w:rPr>
      </w:pPr>
      <w:r w:rsidRPr="00845752">
        <w:rPr>
          <w:sz w:val="20"/>
          <w:vertAlign w:val="superscript"/>
          <w:lang w:val="en-GB"/>
        </w:rPr>
        <w:t>2</w:t>
      </w:r>
      <w:r w:rsidRPr="00845752">
        <w:rPr>
          <w:sz w:val="20"/>
          <w:lang w:val="en-GB"/>
        </w:rPr>
        <w:t> Reflects number of patients who reached time point (Month 12/Month 18/Month 24/Month 36) of treatment at the time of the data cut</w:t>
      </w:r>
      <w:r w:rsidRPr="00845752">
        <w:rPr>
          <w:sz w:val="20"/>
          <w:lang w:val="en-GB"/>
        </w:rPr>
        <w:noBreakHyphen/>
        <w:t>off and had a scheduled phenylalanine assessment for that time point.</w:t>
      </w:r>
    </w:p>
    <w:p w14:paraId="726FE664" w14:textId="77777777" w:rsidR="006560EB" w:rsidRPr="00845752" w:rsidRDefault="006560EB" w:rsidP="00844D32">
      <w:pPr>
        <w:pStyle w:val="BodyText1"/>
        <w:spacing w:after="60"/>
        <w:rPr>
          <w:sz w:val="20"/>
          <w:lang w:val="en-GB"/>
        </w:rPr>
      </w:pPr>
      <w:r w:rsidRPr="00845752">
        <w:rPr>
          <w:sz w:val="20"/>
          <w:vertAlign w:val="superscript"/>
          <w:lang w:val="en-GB"/>
        </w:rPr>
        <w:t>3</w:t>
      </w:r>
      <w:r w:rsidRPr="00845752">
        <w:rPr>
          <w:sz w:val="20"/>
          <w:lang w:val="en-GB"/>
        </w:rPr>
        <w:t> Post</w:t>
      </w:r>
      <w:r w:rsidRPr="00845752">
        <w:rPr>
          <w:sz w:val="20"/>
          <w:lang w:val="en-GB"/>
        </w:rPr>
        <w:noBreakHyphen/>
        <w:t>baseline ADHD</w:t>
      </w:r>
      <w:r w:rsidRPr="00845752">
        <w:rPr>
          <w:sz w:val="20"/>
          <w:lang w:val="en-GB"/>
        </w:rPr>
        <w:noBreakHyphen/>
        <w:t>inattention/PKU</w:t>
      </w:r>
      <w:r w:rsidRPr="00845752">
        <w:rPr>
          <w:sz w:val="20"/>
          <w:lang w:val="en-GB"/>
        </w:rPr>
        <w:noBreakHyphen/>
        <w:t>POMS confusion values were mapped to the closest 3</w:t>
      </w:r>
      <w:r w:rsidRPr="00845752">
        <w:rPr>
          <w:sz w:val="20"/>
          <w:lang w:val="en-GB"/>
        </w:rPr>
        <w:noBreakHyphen/>
        <w:t>month visit (i.e. within a 3</w:t>
      </w:r>
      <w:r w:rsidRPr="00845752">
        <w:rPr>
          <w:sz w:val="20"/>
          <w:lang w:val="en-GB"/>
        </w:rPr>
        <w:noBreakHyphen/>
        <w:t>month window).</w:t>
      </w:r>
    </w:p>
    <w:p w14:paraId="49E68031" w14:textId="77777777" w:rsidR="006560EB" w:rsidRPr="00845752" w:rsidRDefault="006560EB" w:rsidP="00844D32">
      <w:pPr>
        <w:pStyle w:val="BodyText1"/>
        <w:spacing w:after="60"/>
        <w:rPr>
          <w:sz w:val="20"/>
          <w:lang w:val="en-GB"/>
        </w:rPr>
      </w:pPr>
      <w:r w:rsidRPr="00845752">
        <w:rPr>
          <w:sz w:val="20"/>
          <w:vertAlign w:val="superscript"/>
          <w:lang w:val="en-GB"/>
        </w:rPr>
        <w:t>4</w:t>
      </w:r>
      <w:r w:rsidRPr="00845752">
        <w:rPr>
          <w:sz w:val="20"/>
          <w:lang w:val="en-GB"/>
        </w:rPr>
        <w:t> Change from baseline was based on subjects with available measurements at both time points. Not all subjects had a baseline ADHD inattention score and POMS confusion score taken at the start of the study.</w:t>
      </w:r>
    </w:p>
    <w:p w14:paraId="2AD0A700" w14:textId="77777777" w:rsidR="006560EB" w:rsidRPr="006560EB" w:rsidRDefault="006560EB" w:rsidP="006560EB">
      <w:pPr>
        <w:pStyle w:val="BodyText1"/>
        <w:rPr>
          <w:bCs/>
          <w:lang w:val="en-GB"/>
        </w:rPr>
      </w:pPr>
    </w:p>
    <w:p w14:paraId="7BC3BD31" w14:textId="6950B1AD" w:rsidR="006560EB" w:rsidRPr="0049779A" w:rsidRDefault="006560EB" w:rsidP="006560EB">
      <w:pPr>
        <w:pStyle w:val="BodyText1"/>
        <w:rPr>
          <w:i/>
          <w:u w:val="single"/>
          <w:lang w:val="en-GB"/>
        </w:rPr>
      </w:pPr>
      <w:r w:rsidRPr="0049779A">
        <w:rPr>
          <w:i/>
          <w:u w:val="single"/>
          <w:lang w:val="en-GB"/>
        </w:rPr>
        <w:t xml:space="preserve">Impact </w:t>
      </w:r>
      <w:r w:rsidR="00AC3A8F">
        <w:rPr>
          <w:i/>
          <w:u w:val="single"/>
          <w:lang w:val="en-GB"/>
        </w:rPr>
        <w:t xml:space="preserve">of </w:t>
      </w:r>
      <w:r w:rsidRPr="0049779A">
        <w:rPr>
          <w:i/>
          <w:u w:val="single"/>
          <w:lang w:val="en-GB"/>
        </w:rPr>
        <w:t>blood phenylalanine reduction on ADHD inattention and PKU</w:t>
      </w:r>
      <w:r w:rsidRPr="0049779A">
        <w:rPr>
          <w:i/>
          <w:u w:val="single"/>
          <w:lang w:val="en-GB"/>
        </w:rPr>
        <w:noBreakHyphen/>
        <w:t>POMS confusion</w:t>
      </w:r>
    </w:p>
    <w:p w14:paraId="2574DAAC" w14:textId="69A42FDA" w:rsidR="006560EB" w:rsidRPr="006560EB" w:rsidRDefault="006560EB" w:rsidP="006560EB">
      <w:pPr>
        <w:pStyle w:val="BodyText1"/>
        <w:rPr>
          <w:bCs/>
          <w:lang w:val="en-GB"/>
        </w:rPr>
      </w:pPr>
      <w:r w:rsidRPr="006560EB">
        <w:rPr>
          <w:lang w:val="en-GB"/>
        </w:rPr>
        <w:t>An analysis of ADHD inattention and PKU</w:t>
      </w:r>
      <w:r w:rsidRPr="006560EB">
        <w:rPr>
          <w:lang w:val="en-GB"/>
        </w:rPr>
        <w:noBreakHyphen/>
        <w:t xml:space="preserve">POMS confusion subscales by change in blood phenylalanine from baseline quartiles showed that </w:t>
      </w:r>
      <w:bookmarkStart w:id="22" w:name="_Hlk1297057"/>
      <w:r w:rsidRPr="006560EB">
        <w:rPr>
          <w:lang w:val="en-GB"/>
        </w:rPr>
        <w:t>patients with the largest phenylalanine reductions experienced the greatest improvements in ADHD inattention and PKU</w:t>
      </w:r>
      <w:r w:rsidRPr="006560EB">
        <w:rPr>
          <w:lang w:val="en-GB"/>
        </w:rPr>
        <w:noBreakHyphen/>
        <w:t>POMS confusion subscales</w:t>
      </w:r>
      <w:bookmarkEnd w:id="22"/>
      <w:r w:rsidRPr="006560EB">
        <w:rPr>
          <w:lang w:val="en-GB"/>
        </w:rPr>
        <w:t>.</w:t>
      </w:r>
      <w:r w:rsidRPr="006560EB">
        <w:rPr>
          <w:bCs/>
          <w:lang w:val="en-GB"/>
        </w:rPr>
        <w:t xml:space="preserve"> </w:t>
      </w:r>
    </w:p>
    <w:p w14:paraId="033FDD9E" w14:textId="280D7E36" w:rsidR="006560EB" w:rsidRPr="006560EB" w:rsidRDefault="006560EB" w:rsidP="006560EB">
      <w:pPr>
        <w:pStyle w:val="BodyText1"/>
        <w:rPr>
          <w:bCs/>
          <w:lang w:val="en-GB"/>
        </w:rPr>
      </w:pPr>
      <w:r w:rsidRPr="006560EB">
        <w:rPr>
          <w:bCs/>
          <w:iCs/>
          <w:u w:val="single"/>
          <w:lang w:val="en-GB"/>
        </w:rPr>
        <w:t>Paediatric population</w:t>
      </w:r>
    </w:p>
    <w:p w14:paraId="75EF9128" w14:textId="7328FFD0" w:rsidR="006560EB" w:rsidRPr="006560EB" w:rsidRDefault="006560EB" w:rsidP="006560EB">
      <w:pPr>
        <w:pStyle w:val="BodyText1"/>
        <w:rPr>
          <w:bCs/>
          <w:lang w:val="en-GB"/>
        </w:rPr>
      </w:pPr>
      <w:r w:rsidRPr="006560EB">
        <w:rPr>
          <w:bCs/>
          <w:lang w:val="en-GB"/>
        </w:rPr>
        <w:t xml:space="preserve">No data are available in paediatric patients less than 16 years of age. </w:t>
      </w:r>
    </w:p>
    <w:p w14:paraId="47A93042" w14:textId="4C86F39F" w:rsidR="00D621B2" w:rsidRPr="004359A6" w:rsidRDefault="006560EB" w:rsidP="006560EB">
      <w:pPr>
        <w:pStyle w:val="BodyText1"/>
        <w:rPr>
          <w:bCs/>
          <w:lang w:val="en-GB"/>
        </w:rPr>
      </w:pPr>
      <w:r w:rsidRPr="006560EB">
        <w:rPr>
          <w:bCs/>
          <w:lang w:val="en-GB"/>
        </w:rPr>
        <w:t>Of the 261 patients in Study 301, 11 patients were aged between 16 and 18 years at enrolment. All 11 patients had inadequate blood phenylalanine control (blood phenylalanine levels above 600 </w:t>
      </w:r>
      <w:proofErr w:type="spellStart"/>
      <w:r w:rsidR="009D51CD">
        <w:rPr>
          <w:bCs/>
          <w:lang w:val="en-GB"/>
        </w:rPr>
        <w:t>micromol</w:t>
      </w:r>
      <w:proofErr w:type="spellEnd"/>
      <w:r w:rsidR="009D51CD">
        <w:rPr>
          <w:bCs/>
          <w:lang w:val="en-GB"/>
        </w:rPr>
        <w:t>/L</w:t>
      </w:r>
      <w:r w:rsidRPr="006560EB">
        <w:rPr>
          <w:bCs/>
          <w:lang w:val="en-GB"/>
        </w:rPr>
        <w:t>) at baseline. These patients received the same induction/titration/maintenance regimen as patients aged 18 years and older in this study. Mean (SD) change from baseline was 20 (323) </w:t>
      </w:r>
      <w:proofErr w:type="spellStart"/>
      <w:r w:rsidR="009D51CD">
        <w:rPr>
          <w:bCs/>
          <w:lang w:val="en-GB"/>
        </w:rPr>
        <w:t>micromol</w:t>
      </w:r>
      <w:proofErr w:type="spellEnd"/>
      <w:r w:rsidR="009D51CD">
        <w:rPr>
          <w:bCs/>
          <w:lang w:val="en-GB"/>
        </w:rPr>
        <w:t>/L</w:t>
      </w:r>
      <w:r w:rsidRPr="006560EB">
        <w:rPr>
          <w:bCs/>
          <w:lang w:val="en-GB"/>
        </w:rPr>
        <w:t xml:space="preserve"> at Month 12 (n=9), </w:t>
      </w:r>
      <w:r w:rsidRPr="006560EB">
        <w:rPr>
          <w:bCs/>
          <w:lang w:val="en-GB"/>
        </w:rPr>
        <w:noBreakHyphen/>
        <w:t>460 (685) </w:t>
      </w:r>
      <w:proofErr w:type="spellStart"/>
      <w:r w:rsidR="009D51CD">
        <w:rPr>
          <w:bCs/>
          <w:lang w:val="en-GB"/>
        </w:rPr>
        <w:t>micromol</w:t>
      </w:r>
      <w:proofErr w:type="spellEnd"/>
      <w:r w:rsidR="009D51CD">
        <w:rPr>
          <w:bCs/>
          <w:lang w:val="en-GB"/>
        </w:rPr>
        <w:t>/L</w:t>
      </w:r>
      <w:r w:rsidRPr="006560EB">
        <w:rPr>
          <w:bCs/>
          <w:lang w:val="en-GB"/>
        </w:rPr>
        <w:t xml:space="preserve"> at Month 24 (n=5), and </w:t>
      </w:r>
      <w:r w:rsidRPr="006560EB">
        <w:rPr>
          <w:bCs/>
          <w:lang w:val="en-GB"/>
        </w:rPr>
        <w:noBreakHyphen/>
        <w:t>783 (406) </w:t>
      </w:r>
      <w:proofErr w:type="spellStart"/>
      <w:r w:rsidR="009D51CD">
        <w:rPr>
          <w:bCs/>
          <w:lang w:val="en-GB"/>
        </w:rPr>
        <w:t>micromol</w:t>
      </w:r>
      <w:proofErr w:type="spellEnd"/>
      <w:r w:rsidR="009D51CD">
        <w:rPr>
          <w:bCs/>
          <w:lang w:val="en-GB"/>
        </w:rPr>
        <w:t>/L</w:t>
      </w:r>
      <w:r w:rsidRPr="006560EB">
        <w:rPr>
          <w:bCs/>
          <w:lang w:val="en-GB"/>
        </w:rPr>
        <w:t xml:space="preserve"> at Month 36 (n=5). Of the 11 patients initially enrolled in Study 301, 3 patients reached blood phenylalanine levels ≤ 600 </w:t>
      </w:r>
      <w:proofErr w:type="spellStart"/>
      <w:r w:rsidR="009D51CD">
        <w:rPr>
          <w:bCs/>
          <w:lang w:val="en-GB"/>
        </w:rPr>
        <w:t>micromol</w:t>
      </w:r>
      <w:proofErr w:type="spellEnd"/>
      <w:r w:rsidR="009D51CD">
        <w:rPr>
          <w:bCs/>
          <w:lang w:val="en-GB"/>
        </w:rPr>
        <w:t>/L</w:t>
      </w:r>
      <w:r w:rsidRPr="006560EB">
        <w:rPr>
          <w:bCs/>
          <w:lang w:val="en-GB"/>
        </w:rPr>
        <w:t xml:space="preserve"> by 12 months, 7 patients reached this threshold by 24 months, and 8 patients reached this threshold by 36 months.</w:t>
      </w:r>
    </w:p>
    <w:p w14:paraId="6215C061" w14:textId="228CEF88" w:rsidR="00581150" w:rsidRDefault="008450DE" w:rsidP="000C680A">
      <w:pPr>
        <w:pStyle w:val="Heading2"/>
        <w:tabs>
          <w:tab w:val="center" w:pos="4513"/>
          <w:tab w:val="left" w:pos="4908"/>
        </w:tabs>
      </w:pPr>
      <w:r>
        <w:t xml:space="preserve">5.2 </w:t>
      </w:r>
      <w:r w:rsidR="00581150">
        <w:t>Pharmacokinetic propertie</w:t>
      </w:r>
      <w:r w:rsidR="00AA477E">
        <w:t>s</w:t>
      </w:r>
    </w:p>
    <w:p w14:paraId="590A9189" w14:textId="6F553BDD" w:rsidR="00D60166" w:rsidRPr="00D60166" w:rsidRDefault="00D60166" w:rsidP="00D60166">
      <w:pPr>
        <w:pStyle w:val="BodyText1"/>
      </w:pPr>
      <w:r w:rsidRPr="00D60166">
        <w:t>Pegvaliase is a PEGylated recombinant phenylalanine ammonia lyase (</w:t>
      </w:r>
      <w:proofErr w:type="spellStart"/>
      <w:r w:rsidRPr="00D60166">
        <w:t>rAvPAL</w:t>
      </w:r>
      <w:proofErr w:type="spellEnd"/>
      <w:r w:rsidRPr="00D60166">
        <w:t xml:space="preserve">), derived from the cyanobacterium </w:t>
      </w:r>
      <w:r w:rsidRPr="00D60166">
        <w:rPr>
          <w:i/>
        </w:rPr>
        <w:t>Anabaena variabilis</w:t>
      </w:r>
      <w:r w:rsidRPr="00D60166">
        <w:t xml:space="preserve"> expressed in </w:t>
      </w:r>
      <w:r w:rsidRPr="00D60166">
        <w:rPr>
          <w:bCs/>
          <w:i/>
        </w:rPr>
        <w:t>Escherichia</w:t>
      </w:r>
      <w:r w:rsidRPr="00D60166">
        <w:rPr>
          <w:bCs/>
          <w:i/>
          <w:iCs/>
        </w:rPr>
        <w:t xml:space="preserve"> </w:t>
      </w:r>
      <w:r w:rsidRPr="00D60166">
        <w:rPr>
          <w:i/>
        </w:rPr>
        <w:t>coli</w:t>
      </w:r>
      <w:r w:rsidRPr="00D60166">
        <w:t xml:space="preserve">. The purpose of the PEGylation of </w:t>
      </w:r>
      <w:proofErr w:type="spellStart"/>
      <w:r w:rsidRPr="00D60166">
        <w:t>rAvPAL</w:t>
      </w:r>
      <w:proofErr w:type="spellEnd"/>
      <w:r w:rsidRPr="00D60166">
        <w:t xml:space="preserve"> is to reduce immune recognition of the </w:t>
      </w:r>
      <w:proofErr w:type="spellStart"/>
      <w:r w:rsidRPr="00D60166">
        <w:t>rAvPAL</w:t>
      </w:r>
      <w:proofErr w:type="spellEnd"/>
      <w:r w:rsidRPr="00D60166">
        <w:t xml:space="preserve"> bacterial protein and increase the half</w:t>
      </w:r>
      <w:r w:rsidRPr="00D60166">
        <w:noBreakHyphen/>
        <w:t>life.</w:t>
      </w:r>
    </w:p>
    <w:p w14:paraId="13CDF5AC" w14:textId="057E0818" w:rsidR="00AA477E" w:rsidRPr="00FD3FD6" w:rsidRDefault="00D60166" w:rsidP="00D60166">
      <w:pPr>
        <w:pStyle w:val="BodyText1"/>
      </w:pPr>
      <w:r w:rsidRPr="00D60166">
        <w:t>The pharmacokinetics of pegvaliase exhibit high inter</w:t>
      </w:r>
      <w:r w:rsidRPr="00D60166">
        <w:noBreakHyphen/>
        <w:t>patient and intra</w:t>
      </w:r>
      <w:r w:rsidRPr="00D60166">
        <w:noBreakHyphen/>
        <w:t>patient variability due to the heterogen</w:t>
      </w:r>
      <w:r w:rsidRPr="00FD3FD6">
        <w:t>eity of the immune response in adult patients with PKU. Immune response affects clearance and time to reach steady state. The immune response stabilises over 6 to 9 months of total treatment.</w:t>
      </w:r>
    </w:p>
    <w:p w14:paraId="0954FCF2" w14:textId="28F93D48" w:rsidR="00581150" w:rsidRPr="00FD3FD6" w:rsidRDefault="00C908A8" w:rsidP="006E3D38">
      <w:pPr>
        <w:pStyle w:val="Heading3"/>
      </w:pPr>
      <w:r w:rsidRPr="00FD3FD6">
        <w:t>Absorption</w:t>
      </w:r>
    </w:p>
    <w:p w14:paraId="1C788065" w14:textId="6659196E" w:rsidR="00581150" w:rsidRPr="00FD3FD6" w:rsidRDefault="00B663F3" w:rsidP="00581150">
      <w:pPr>
        <w:pStyle w:val="BodyText1"/>
      </w:pPr>
      <w:r w:rsidRPr="00FD3FD6">
        <w:rPr>
          <w:lang w:val="en-GB"/>
        </w:rPr>
        <w:t xml:space="preserve">Following a single subcutaneous dose (0.01, 0.03 or 0.1 mg/kg), pegvaliase is absorbed slowly with a median </w:t>
      </w:r>
      <w:proofErr w:type="spellStart"/>
      <w:r w:rsidRPr="00FD3FD6">
        <w:rPr>
          <w:lang w:val="en-GB"/>
        </w:rPr>
        <w:t>t</w:t>
      </w:r>
      <w:r w:rsidRPr="00FD3FD6">
        <w:rPr>
          <w:vertAlign w:val="subscript"/>
          <w:lang w:val="en-GB"/>
        </w:rPr>
        <w:t>max</w:t>
      </w:r>
      <w:proofErr w:type="spellEnd"/>
      <w:r w:rsidRPr="00FD3FD6">
        <w:rPr>
          <w:lang w:val="en-GB"/>
        </w:rPr>
        <w:t xml:space="preserve"> of 3.5 to 4 days (individual range of 2.5 to 7 days). The bioavailability is not affected by the different injection sites on the body (see section 4.2</w:t>
      </w:r>
      <w:r w:rsidR="0088645F">
        <w:rPr>
          <w:lang w:val="en-GB"/>
        </w:rPr>
        <w:t xml:space="preserve"> Dose and method of administration</w:t>
      </w:r>
      <w:r w:rsidRPr="00FD3FD6">
        <w:rPr>
          <w:lang w:val="en-GB"/>
        </w:rPr>
        <w:t>). The absolute bioavailability in humans is unknown.</w:t>
      </w:r>
    </w:p>
    <w:p w14:paraId="55E26A2C" w14:textId="3F5EB572" w:rsidR="00581150" w:rsidRPr="00FD3FD6" w:rsidRDefault="00C908A8" w:rsidP="006E3D38">
      <w:pPr>
        <w:pStyle w:val="Heading3"/>
      </w:pPr>
      <w:r w:rsidRPr="00FD3FD6">
        <w:t>Distribution</w:t>
      </w:r>
    </w:p>
    <w:p w14:paraId="6A0FFEC3" w14:textId="6EA7187D" w:rsidR="00581150" w:rsidRPr="00FD3FD6" w:rsidRDefault="00F4287E" w:rsidP="00581150">
      <w:pPr>
        <w:pStyle w:val="BodyText1"/>
      </w:pPr>
      <w:r w:rsidRPr="00FD3FD6">
        <w:rPr>
          <w:szCs w:val="22"/>
        </w:rPr>
        <w:t xml:space="preserve">Mean (SD) for apparent volume of distribution </w:t>
      </w:r>
      <w:r w:rsidRPr="00FD3FD6">
        <w:rPr>
          <w:bCs/>
          <w:szCs w:val="22"/>
        </w:rPr>
        <w:t>(</w:t>
      </w:r>
      <w:proofErr w:type="spellStart"/>
      <w:r w:rsidRPr="00FD3FD6">
        <w:rPr>
          <w:bCs/>
          <w:szCs w:val="22"/>
        </w:rPr>
        <w:t>Vz</w:t>
      </w:r>
      <w:proofErr w:type="spellEnd"/>
      <w:r w:rsidRPr="00FD3FD6">
        <w:rPr>
          <w:bCs/>
          <w:szCs w:val="22"/>
        </w:rPr>
        <w:t>/F)</w:t>
      </w:r>
      <w:r w:rsidRPr="00FD3FD6">
        <w:rPr>
          <w:szCs w:val="22"/>
        </w:rPr>
        <w:t xml:space="preserve"> at steady state following 20 mg and 40 mg doses was 26.4 L (64.8 L) and 22.2 L (19.7 L) respectively.</w:t>
      </w:r>
    </w:p>
    <w:p w14:paraId="02AD6472" w14:textId="7DE065F6" w:rsidR="00581150" w:rsidRPr="00FD3FD6" w:rsidRDefault="00D86907" w:rsidP="006E3D38">
      <w:pPr>
        <w:pStyle w:val="Heading3"/>
      </w:pPr>
      <w:r w:rsidRPr="00FD3FD6">
        <w:t>Metabolism</w:t>
      </w:r>
    </w:p>
    <w:p w14:paraId="50F32894" w14:textId="4363B6FD" w:rsidR="00581150" w:rsidRPr="00FD3FD6" w:rsidRDefault="00007E4B" w:rsidP="00007E4B">
      <w:pPr>
        <w:pStyle w:val="BodyText1"/>
        <w:tabs>
          <w:tab w:val="left" w:pos="1356"/>
        </w:tabs>
      </w:pPr>
      <w:r w:rsidRPr="00FD3FD6">
        <w:rPr>
          <w:color w:val="000000"/>
          <w:szCs w:val="22"/>
        </w:rPr>
        <w:t xml:space="preserve">Following cellular uptake, the metabolism of </w:t>
      </w:r>
      <w:r w:rsidRPr="00FD3FD6">
        <w:rPr>
          <w:bCs/>
          <w:szCs w:val="22"/>
        </w:rPr>
        <w:t xml:space="preserve">phenylalanine </w:t>
      </w:r>
      <w:r w:rsidRPr="00FD3FD6">
        <w:rPr>
          <w:color w:val="000000"/>
          <w:szCs w:val="22"/>
        </w:rPr>
        <w:t>ammonia lyase (PAL) is expected to occur via catabolic pathways and be degraded into small peptides and amino acids; the PEG molecule is metabolically stable and expected to be separated from PAL protein and primarily eliminated by renal filtration.</w:t>
      </w:r>
    </w:p>
    <w:p w14:paraId="1B689454" w14:textId="681076D3" w:rsidR="00581150" w:rsidRPr="00FD3FD6" w:rsidRDefault="00D86907" w:rsidP="006E3D38">
      <w:pPr>
        <w:pStyle w:val="Heading3"/>
      </w:pPr>
      <w:r w:rsidRPr="00FD3FD6">
        <w:t>Excretion</w:t>
      </w:r>
    </w:p>
    <w:p w14:paraId="160F2DD7" w14:textId="71EF2850" w:rsidR="00581150" w:rsidRDefault="007A4EF8" w:rsidP="00581150">
      <w:pPr>
        <w:pStyle w:val="BodyText1"/>
        <w:rPr>
          <w:bCs/>
          <w:color w:val="000000"/>
          <w:szCs w:val="22"/>
        </w:rPr>
      </w:pPr>
      <w:r w:rsidRPr="00E738B7">
        <w:rPr>
          <w:bCs/>
          <w:color w:val="000000"/>
          <w:szCs w:val="22"/>
        </w:rPr>
        <w:t>Pegvaliase is primarily cleared by immune</w:t>
      </w:r>
      <w:r w:rsidRPr="00E738B7">
        <w:rPr>
          <w:bCs/>
          <w:color w:val="000000"/>
          <w:szCs w:val="22"/>
        </w:rPr>
        <w:noBreakHyphen/>
        <w:t>mediated mechanisms following repeat dosing. In clinical studies, anti</w:t>
      </w:r>
      <w:r w:rsidRPr="00E738B7">
        <w:rPr>
          <w:bCs/>
          <w:color w:val="000000"/>
          <w:szCs w:val="22"/>
        </w:rPr>
        <w:noBreakHyphen/>
        <w:t>PAL, anti</w:t>
      </w:r>
      <w:r w:rsidRPr="00E738B7">
        <w:rPr>
          <w:bCs/>
          <w:color w:val="000000"/>
          <w:szCs w:val="22"/>
        </w:rPr>
        <w:noBreakHyphen/>
        <w:t>PEG and anti</w:t>
      </w:r>
      <w:r w:rsidRPr="00E738B7">
        <w:rPr>
          <w:bCs/>
          <w:color w:val="000000"/>
          <w:szCs w:val="22"/>
        </w:rPr>
        <w:noBreakHyphen/>
        <w:t xml:space="preserve">pegvaliase have been identified as IgG and IgM mainly. Relatively low titres of </w:t>
      </w:r>
      <w:proofErr w:type="spellStart"/>
      <w:r w:rsidRPr="00E738B7">
        <w:rPr>
          <w:bCs/>
          <w:color w:val="000000"/>
          <w:szCs w:val="22"/>
        </w:rPr>
        <w:t>IgE</w:t>
      </w:r>
      <w:proofErr w:type="spellEnd"/>
      <w:r w:rsidRPr="00E738B7">
        <w:rPr>
          <w:bCs/>
          <w:color w:val="000000"/>
          <w:szCs w:val="22"/>
        </w:rPr>
        <w:t xml:space="preserve"> has also been observed.</w:t>
      </w:r>
      <w:r w:rsidRPr="00E738B7">
        <w:rPr>
          <w:bCs/>
          <w:i/>
          <w:color w:val="000000"/>
          <w:szCs w:val="22"/>
        </w:rPr>
        <w:t xml:space="preserve"> </w:t>
      </w:r>
      <w:r w:rsidRPr="00E738B7">
        <w:rPr>
          <w:bCs/>
          <w:color w:val="000000"/>
          <w:szCs w:val="22"/>
        </w:rPr>
        <w:t>In maintenance phase of the treatment, steady state is expected 4 to 24 weeks after maintenance dose started. A mean (SD) half</w:t>
      </w:r>
      <w:r w:rsidRPr="00E738B7">
        <w:rPr>
          <w:bCs/>
          <w:color w:val="000000"/>
          <w:szCs w:val="22"/>
        </w:rPr>
        <w:noBreakHyphen/>
        <w:t>life at 20 mg and 40 mg were 47.3 hours (41.6 hours) and 60.2 hours (44.6 hours), respectively. Individual values for half</w:t>
      </w:r>
      <w:r w:rsidRPr="00E738B7">
        <w:rPr>
          <w:bCs/>
          <w:color w:val="000000"/>
          <w:szCs w:val="22"/>
        </w:rPr>
        <w:noBreakHyphen/>
        <w:t>life range from 14 to 132 hours. The PEG molecule is expected to be primarily eliminated by renal filtration.</w:t>
      </w:r>
    </w:p>
    <w:p w14:paraId="0383706C" w14:textId="77777777" w:rsidR="006148C7" w:rsidRPr="00E738B7" w:rsidRDefault="006148C7" w:rsidP="00A41225">
      <w:pPr>
        <w:pStyle w:val="Heading3"/>
        <w:keepNext/>
      </w:pPr>
      <w:r w:rsidRPr="00E738B7">
        <w:lastRenderedPageBreak/>
        <w:t>Linearity/nonlinearity</w:t>
      </w:r>
    </w:p>
    <w:p w14:paraId="68BFBEA6" w14:textId="45B8DC6E" w:rsidR="006148C7" w:rsidRPr="00E738B7" w:rsidRDefault="006148C7" w:rsidP="00DA2569">
      <w:pPr>
        <w:pStyle w:val="BodyText1"/>
        <w:rPr>
          <w:szCs w:val="22"/>
        </w:rPr>
      </w:pPr>
      <w:r w:rsidRPr="00E738B7">
        <w:t xml:space="preserve">During dose escalation from 20 mg/day to 40 mg/day and 40 mg/day to 60 mg/day, a greater dose proportional increase in exposure was observed. </w:t>
      </w:r>
    </w:p>
    <w:p w14:paraId="1F01E17D" w14:textId="77777777" w:rsidR="006148C7" w:rsidRPr="00E738B7" w:rsidRDefault="006148C7" w:rsidP="006148C7">
      <w:pPr>
        <w:pStyle w:val="Heading3"/>
      </w:pPr>
      <w:r w:rsidRPr="00E738B7">
        <w:t>Specific populations</w:t>
      </w:r>
    </w:p>
    <w:p w14:paraId="3E10CC45" w14:textId="77777777" w:rsidR="006148C7" w:rsidRPr="00E738B7" w:rsidRDefault="006148C7" w:rsidP="00DA2569">
      <w:pPr>
        <w:pStyle w:val="BodyText1"/>
      </w:pPr>
      <w:r w:rsidRPr="00E738B7">
        <w:t>Analysis of pegvaliase concentration data from clinical trials indicated that body weight, gender and age did not have a notable effect on pegvaliase pharmacokinetics. No clinical studies have been conducted to evaluate the effect of renal or hepatic impairment on the pharmacokinetics of pegvaliase.</w:t>
      </w:r>
    </w:p>
    <w:p w14:paraId="39C76F1C" w14:textId="05617F80" w:rsidR="006148C7" w:rsidRPr="00E738B7" w:rsidRDefault="006148C7" w:rsidP="006148C7">
      <w:pPr>
        <w:pStyle w:val="Heading3"/>
      </w:pPr>
      <w:r w:rsidRPr="00E738B7">
        <w:t>Exposure</w:t>
      </w:r>
      <w:r w:rsidR="005B54B8">
        <w:t xml:space="preserve"> </w:t>
      </w:r>
      <w:r w:rsidRPr="00E738B7">
        <w:t xml:space="preserve">effect </w:t>
      </w:r>
    </w:p>
    <w:p w14:paraId="14D5E7CE" w14:textId="0071029A" w:rsidR="007A4EF8" w:rsidRDefault="006148C7" w:rsidP="00581150">
      <w:pPr>
        <w:pStyle w:val="BodyText1"/>
      </w:pPr>
      <w:r w:rsidRPr="00E738B7">
        <w:t xml:space="preserve">A PK/PD analysis using the </w:t>
      </w:r>
      <w:r w:rsidRPr="006148C7">
        <w:t>Phase</w:t>
      </w:r>
      <w:r w:rsidRPr="00E738B7">
        <w:t> III data demonstrated an inverse pegvaliase exposure</w:t>
      </w:r>
      <w:r w:rsidRPr="00E738B7">
        <w:noBreakHyphen/>
        <w:t>phenylalanine response relationship, which could be influenced by dietary phenylalanine intake. At lower</w:t>
      </w:r>
      <w:r w:rsidRPr="00E738B7">
        <w:rPr>
          <w:bCs/>
        </w:rPr>
        <w:t xml:space="preserve"> </w:t>
      </w:r>
      <w:r w:rsidRPr="00E738B7">
        <w:t xml:space="preserve">plasma </w:t>
      </w:r>
      <w:proofErr w:type="spellStart"/>
      <w:r w:rsidRPr="00E738B7">
        <w:t>pegvaliase</w:t>
      </w:r>
      <w:proofErr w:type="spellEnd"/>
      <w:r w:rsidRPr="00E738B7">
        <w:t xml:space="preserve"> </w:t>
      </w:r>
      <w:proofErr w:type="spellStart"/>
      <w:r w:rsidRPr="00E738B7">
        <w:t>Ctrough</w:t>
      </w:r>
      <w:proofErr w:type="spellEnd"/>
      <w:r w:rsidRPr="00E738B7">
        <w:t xml:space="preserve"> concentrations &lt; 10</w:t>
      </w:r>
      <w:r w:rsidRPr="00E738B7">
        <w:rPr>
          <w:bCs/>
        </w:rPr>
        <w:t>,</w:t>
      </w:r>
      <w:r w:rsidRPr="00E738B7">
        <w:t>000</w:t>
      </w:r>
      <w:r w:rsidRPr="00E738B7">
        <w:rPr>
          <w:bCs/>
        </w:rPr>
        <w:t> </w:t>
      </w:r>
      <w:r w:rsidRPr="00E738B7">
        <w:t xml:space="preserve">ng/ml, </w:t>
      </w:r>
      <w:r w:rsidRPr="00E738B7">
        <w:rPr>
          <w:bCs/>
        </w:rPr>
        <w:t xml:space="preserve">patients with higher dietary phenylalanine intake tend to have higher blood phenylalanine levels compared to patients with the same </w:t>
      </w:r>
      <w:proofErr w:type="spellStart"/>
      <w:r w:rsidRPr="00E738B7">
        <w:rPr>
          <w:bCs/>
        </w:rPr>
        <w:t>Ctrough</w:t>
      </w:r>
      <w:proofErr w:type="spellEnd"/>
      <w:r w:rsidRPr="00E738B7">
        <w:rPr>
          <w:bCs/>
        </w:rPr>
        <w:t xml:space="preserve"> concentration and lower dietary phenylalanine intake, suggesting saturation of the enzyme (i.e. </w:t>
      </w:r>
      <w:proofErr w:type="spellStart"/>
      <w:r w:rsidRPr="00E738B7">
        <w:rPr>
          <w:bCs/>
        </w:rPr>
        <w:t>rAvPAL</w:t>
      </w:r>
      <w:proofErr w:type="spellEnd"/>
      <w:r w:rsidRPr="00E738B7">
        <w:rPr>
          <w:bCs/>
        </w:rPr>
        <w:t xml:space="preserve">). At high </w:t>
      </w:r>
      <w:proofErr w:type="spellStart"/>
      <w:r w:rsidRPr="00E738B7">
        <w:rPr>
          <w:bCs/>
        </w:rPr>
        <w:t>pegvaliase</w:t>
      </w:r>
      <w:proofErr w:type="spellEnd"/>
      <w:r w:rsidRPr="00E738B7">
        <w:rPr>
          <w:bCs/>
        </w:rPr>
        <w:t xml:space="preserve"> </w:t>
      </w:r>
      <w:proofErr w:type="spellStart"/>
      <w:r w:rsidRPr="00E738B7">
        <w:rPr>
          <w:bCs/>
        </w:rPr>
        <w:t>Ctrough</w:t>
      </w:r>
      <w:proofErr w:type="spellEnd"/>
      <w:r w:rsidRPr="00E738B7">
        <w:rPr>
          <w:bCs/>
        </w:rPr>
        <w:t xml:space="preserve"> concentrations ≥ 10,000 ng/ml, </w:t>
      </w:r>
      <w:proofErr w:type="gramStart"/>
      <w:r w:rsidRPr="00E738B7">
        <w:rPr>
          <w:bCs/>
        </w:rPr>
        <w:t>the majority of</w:t>
      </w:r>
      <w:proofErr w:type="gramEnd"/>
      <w:r w:rsidRPr="00E738B7">
        <w:rPr>
          <w:bCs/>
        </w:rPr>
        <w:t xml:space="preserve"> the blood phenylalanine levels (97%) are ≤ 30 </w:t>
      </w:r>
      <w:proofErr w:type="spellStart"/>
      <w:r w:rsidRPr="00E738B7">
        <w:rPr>
          <w:bCs/>
        </w:rPr>
        <w:t>micromol</w:t>
      </w:r>
      <w:proofErr w:type="spellEnd"/>
      <w:r w:rsidRPr="00E738B7">
        <w:rPr>
          <w:bCs/>
        </w:rPr>
        <w:t>/l, even when dietary phenylalanine intake is high. Therefore, a reduction in pegvaliase dose should be considered in</w:t>
      </w:r>
      <w:r w:rsidRPr="00E738B7">
        <w:t xml:space="preserve"> patients experiencing </w:t>
      </w:r>
      <w:proofErr w:type="spellStart"/>
      <w:r w:rsidRPr="00E738B7">
        <w:t>hypophenylalaninaemia</w:t>
      </w:r>
      <w:proofErr w:type="spellEnd"/>
      <w:r w:rsidRPr="00E738B7">
        <w:t xml:space="preserve"> despite appropriate levels of protein intake (see section 4.2</w:t>
      </w:r>
      <w:r w:rsidR="00502BFE">
        <w:t xml:space="preserve"> Dose and method of administration</w:t>
      </w:r>
      <w:r w:rsidRPr="00E738B7">
        <w:t>).</w:t>
      </w:r>
    </w:p>
    <w:p w14:paraId="02816A53" w14:textId="55458E41" w:rsidR="00581150" w:rsidRDefault="008450DE" w:rsidP="005C682D">
      <w:pPr>
        <w:pStyle w:val="Heading2"/>
      </w:pPr>
      <w:r>
        <w:t xml:space="preserve">5.3 </w:t>
      </w:r>
      <w:r w:rsidR="00C908A8">
        <w:t>Preclinical safety data</w:t>
      </w:r>
    </w:p>
    <w:p w14:paraId="7E1F0A59" w14:textId="77777777" w:rsidR="00B959F0" w:rsidRDefault="00B959F0" w:rsidP="00B959F0">
      <w:pPr>
        <w:pStyle w:val="Heading3"/>
        <w:keepNext/>
        <w:keepLines/>
      </w:pPr>
      <w:r>
        <w:t>Genotoxicity</w:t>
      </w:r>
    </w:p>
    <w:p w14:paraId="00D19D3A" w14:textId="278F4043" w:rsidR="00CF1445" w:rsidRPr="00CF1445" w:rsidRDefault="002F4467" w:rsidP="00CF1445">
      <w:pPr>
        <w:pStyle w:val="BodyText1"/>
      </w:pPr>
      <w:r>
        <w:rPr>
          <w:szCs w:val="22"/>
        </w:rPr>
        <w:t xml:space="preserve">No </w:t>
      </w:r>
      <w:r w:rsidR="00BE707D">
        <w:rPr>
          <w:szCs w:val="22"/>
        </w:rPr>
        <w:t>genotoxic</w:t>
      </w:r>
      <w:r>
        <w:rPr>
          <w:szCs w:val="22"/>
        </w:rPr>
        <w:t>ity</w:t>
      </w:r>
      <w:r w:rsidR="00BE707D">
        <w:rPr>
          <w:szCs w:val="22"/>
        </w:rPr>
        <w:t xml:space="preserve"> </w:t>
      </w:r>
      <w:r>
        <w:rPr>
          <w:szCs w:val="22"/>
        </w:rPr>
        <w:t>studies</w:t>
      </w:r>
      <w:r w:rsidR="004A3C03" w:rsidRPr="00E738B7">
        <w:rPr>
          <w:szCs w:val="22"/>
        </w:rPr>
        <w:t xml:space="preserve"> have been performed with pegvaliase.</w:t>
      </w:r>
    </w:p>
    <w:p w14:paraId="7635AD77" w14:textId="6E20F12F" w:rsidR="00C908A8" w:rsidRDefault="00C908A8" w:rsidP="006E3D38">
      <w:pPr>
        <w:pStyle w:val="Heading3"/>
      </w:pPr>
      <w:r>
        <w:t>Carcinogenicity</w:t>
      </w:r>
    </w:p>
    <w:p w14:paraId="3368C612" w14:textId="65467A69" w:rsidR="00CF1445" w:rsidRPr="00CF1445" w:rsidRDefault="002F4467" w:rsidP="00CF1445">
      <w:pPr>
        <w:pStyle w:val="BodyText1"/>
        <w:rPr>
          <w:highlight w:val="yellow"/>
        </w:rPr>
      </w:pPr>
      <w:r>
        <w:rPr>
          <w:szCs w:val="22"/>
        </w:rPr>
        <w:t>No l</w:t>
      </w:r>
      <w:r w:rsidR="00521181" w:rsidRPr="00E738B7">
        <w:rPr>
          <w:szCs w:val="22"/>
        </w:rPr>
        <w:t>ong</w:t>
      </w:r>
      <w:r w:rsidR="00521181" w:rsidRPr="00E738B7">
        <w:rPr>
          <w:szCs w:val="22"/>
        </w:rPr>
        <w:noBreakHyphen/>
        <w:t>term studies in animals to evaluate carcinogenic potential have been performed with pegvaliase.</w:t>
      </w:r>
    </w:p>
    <w:p w14:paraId="2AFA1C6E" w14:textId="56E1E706" w:rsidR="00242B21" w:rsidRDefault="008450DE" w:rsidP="00F17012">
      <w:pPr>
        <w:pStyle w:val="Heading1"/>
        <w:keepNext/>
      </w:pPr>
      <w:r>
        <w:t xml:space="preserve">6. </w:t>
      </w:r>
      <w:r w:rsidR="00242B21">
        <w:t>Pharmaceutical Particulars</w:t>
      </w:r>
    </w:p>
    <w:p w14:paraId="79FC049E" w14:textId="6A98DCCA" w:rsidR="00B922A1" w:rsidRDefault="008450DE" w:rsidP="00F17012">
      <w:pPr>
        <w:pStyle w:val="Heading2"/>
        <w:keepNext/>
      </w:pPr>
      <w:bookmarkStart w:id="23" w:name="_Ref471294890"/>
      <w:r>
        <w:t xml:space="preserve">6.1 </w:t>
      </w:r>
      <w:r w:rsidR="00B922A1">
        <w:t>List of excipients</w:t>
      </w:r>
      <w:bookmarkEnd w:id="23"/>
    </w:p>
    <w:p w14:paraId="3EB2C7DA" w14:textId="391C0CD3" w:rsidR="00CA2C60" w:rsidRPr="00CA2C60" w:rsidRDefault="00CA2C60" w:rsidP="00621E9E">
      <w:pPr>
        <w:pStyle w:val="BodyText1"/>
        <w:spacing w:after="60"/>
      </w:pPr>
      <w:r w:rsidRPr="00CA2C60">
        <w:t>Trometamol</w:t>
      </w:r>
    </w:p>
    <w:p w14:paraId="6BA9BDAD" w14:textId="77777777" w:rsidR="00CA2C60" w:rsidRPr="00CA2C60" w:rsidRDefault="00CA2C60" w:rsidP="00621E9E">
      <w:pPr>
        <w:pStyle w:val="BodyText1"/>
        <w:spacing w:after="60"/>
      </w:pPr>
      <w:r w:rsidRPr="00CA2C60">
        <w:t>Trometamol hydrochloride</w:t>
      </w:r>
    </w:p>
    <w:p w14:paraId="69DE7AA0" w14:textId="77777777" w:rsidR="00CA2C60" w:rsidRPr="00CA2C60" w:rsidRDefault="00CA2C60" w:rsidP="00621E9E">
      <w:pPr>
        <w:pStyle w:val="BodyText1"/>
        <w:spacing w:after="60"/>
      </w:pPr>
      <w:r w:rsidRPr="00CA2C60">
        <w:t>Sodium chloride</w:t>
      </w:r>
    </w:p>
    <w:p w14:paraId="171331CE" w14:textId="131C2550" w:rsidR="00CA2C60" w:rsidRPr="00CA2C60" w:rsidRDefault="003C5AD6" w:rsidP="00621E9E">
      <w:pPr>
        <w:pStyle w:val="BodyText1"/>
        <w:spacing w:after="60"/>
      </w:pPr>
      <w:r>
        <w:t>C</w:t>
      </w:r>
      <w:r w:rsidR="00CA2C60" w:rsidRPr="00CA2C60">
        <w:t>innamic acid</w:t>
      </w:r>
    </w:p>
    <w:p w14:paraId="0F4A7DCD" w14:textId="566A71F8" w:rsidR="008941AB" w:rsidRDefault="00CA2C60" w:rsidP="00CA2C60">
      <w:pPr>
        <w:pStyle w:val="BodyText1"/>
      </w:pPr>
      <w:r w:rsidRPr="00CA2C60">
        <w:t>Water for injections</w:t>
      </w:r>
    </w:p>
    <w:p w14:paraId="5A8EC95B" w14:textId="2E1DCFFA" w:rsidR="00B922A1" w:rsidRDefault="008450DE" w:rsidP="005C682D">
      <w:pPr>
        <w:pStyle w:val="Heading2"/>
      </w:pPr>
      <w:r>
        <w:t xml:space="preserve">6.2 </w:t>
      </w:r>
      <w:r w:rsidR="00B922A1">
        <w:t>Incompatibilities</w:t>
      </w:r>
    </w:p>
    <w:p w14:paraId="11FAB059" w14:textId="27D3B523" w:rsidR="004139C8" w:rsidRDefault="00BC096F" w:rsidP="00932263">
      <w:pPr>
        <w:pStyle w:val="BodyText1"/>
      </w:pPr>
      <w:r w:rsidRPr="00E738B7">
        <w:rPr>
          <w:szCs w:val="22"/>
        </w:rPr>
        <w:t>In the absence of compatibility studies, this medicinal product must not be mixed with other medicinal products.</w:t>
      </w:r>
    </w:p>
    <w:p w14:paraId="6E3DF974" w14:textId="38232D7A" w:rsidR="00B922A1" w:rsidRDefault="008450DE" w:rsidP="005C682D">
      <w:pPr>
        <w:pStyle w:val="Heading2"/>
      </w:pPr>
      <w:bookmarkStart w:id="24" w:name="_Ref471299094"/>
      <w:r>
        <w:t xml:space="preserve">6.3 </w:t>
      </w:r>
      <w:r w:rsidR="00D124B9">
        <w:t>Shelf Life</w:t>
      </w:r>
      <w:bookmarkEnd w:id="24"/>
    </w:p>
    <w:p w14:paraId="44C7671D" w14:textId="1A3547CE" w:rsidR="005C682D" w:rsidRPr="004139C8" w:rsidRDefault="00787599" w:rsidP="00D124B9">
      <w:pPr>
        <w:pStyle w:val="BodyText1"/>
      </w:pPr>
      <w:r>
        <w:t>2 years.</w:t>
      </w:r>
    </w:p>
    <w:p w14:paraId="0906DF4A" w14:textId="1449819A" w:rsidR="00D124B9" w:rsidRDefault="008450DE" w:rsidP="005C682D">
      <w:pPr>
        <w:pStyle w:val="Heading2"/>
      </w:pPr>
      <w:r>
        <w:t xml:space="preserve">6.4 </w:t>
      </w:r>
      <w:r w:rsidR="00D124B9">
        <w:t>Special precautions for storage</w:t>
      </w:r>
    </w:p>
    <w:p w14:paraId="7033C230" w14:textId="23462E2D" w:rsidR="00D124B9" w:rsidRDefault="006B1EC7" w:rsidP="00D124B9">
      <w:pPr>
        <w:pStyle w:val="BodyText1"/>
        <w:rPr>
          <w:bCs/>
          <w:lang w:val="en-GB"/>
        </w:rPr>
      </w:pPr>
      <w:r w:rsidRPr="006B1EC7">
        <w:rPr>
          <w:bCs/>
        </w:rPr>
        <w:t>Store at 2</w:t>
      </w:r>
      <w:r w:rsidR="00466165">
        <w:rPr>
          <w:bCs/>
        </w:rPr>
        <w:t>°</w:t>
      </w:r>
      <w:r w:rsidRPr="006B1EC7">
        <w:rPr>
          <w:bCs/>
        </w:rPr>
        <w:t>C to 8</w:t>
      </w:r>
      <w:r w:rsidR="00466165">
        <w:rPr>
          <w:bCs/>
        </w:rPr>
        <w:t>°</w:t>
      </w:r>
      <w:r w:rsidRPr="006B1EC7">
        <w:rPr>
          <w:bCs/>
        </w:rPr>
        <w:t>C (Refrigerate. Do not freeze)</w:t>
      </w:r>
      <w:r w:rsidR="006F4B16" w:rsidRPr="006F4B16">
        <w:rPr>
          <w:bCs/>
          <w:lang w:val="en-GB"/>
        </w:rPr>
        <w:t>.</w:t>
      </w:r>
    </w:p>
    <w:p w14:paraId="4A737038" w14:textId="6A1A1B85" w:rsidR="008D711E" w:rsidRDefault="008706E4" w:rsidP="00D124B9">
      <w:pPr>
        <w:pStyle w:val="BodyText1"/>
      </w:pPr>
      <w:r>
        <w:rPr>
          <w:bCs/>
          <w:szCs w:val="22"/>
        </w:rPr>
        <w:lastRenderedPageBreak/>
        <w:t>PALYNZIQ</w:t>
      </w:r>
      <w:r w:rsidR="008D711E" w:rsidRPr="00E738B7">
        <w:rPr>
          <w:bCs/>
          <w:szCs w:val="22"/>
        </w:rPr>
        <w:t xml:space="preserve"> may be stored in its sealed tray outside the refrigerator (below 25°C) for a single period up to 30 days with protection from sources of heat. After removal from the refrigerator, the product must not be returned to the refrigerator.</w:t>
      </w:r>
    </w:p>
    <w:p w14:paraId="02EA0A5F" w14:textId="01823150" w:rsidR="002C465B" w:rsidRDefault="008450DE" w:rsidP="005C682D">
      <w:pPr>
        <w:pStyle w:val="Heading2"/>
      </w:pPr>
      <w:r>
        <w:t xml:space="preserve">6.5 </w:t>
      </w:r>
      <w:r w:rsidR="002C465B">
        <w:t>Nature and contents of container</w:t>
      </w:r>
    </w:p>
    <w:p w14:paraId="2FB57BE8" w14:textId="466954CA" w:rsidR="009A4288" w:rsidRPr="009A4288" w:rsidRDefault="009A4288" w:rsidP="009A4288">
      <w:pPr>
        <w:pStyle w:val="BodyText1"/>
        <w:spacing w:before="20" w:after="80"/>
        <w:rPr>
          <w:bCs/>
          <w:lang w:val="en-GB"/>
        </w:rPr>
      </w:pPr>
      <w:r w:rsidRPr="009A4288">
        <w:rPr>
          <w:bCs/>
          <w:lang w:val="en-GB"/>
        </w:rPr>
        <w:t>1 ml pre</w:t>
      </w:r>
      <w:r w:rsidRPr="009A4288">
        <w:rPr>
          <w:bCs/>
          <w:lang w:val="en-GB"/>
        </w:rPr>
        <w:noBreakHyphen/>
        <w:t xml:space="preserve">filled syringe made of Type I borosilicate glass, equipped with a stainless steel </w:t>
      </w:r>
      <w:proofErr w:type="gramStart"/>
      <w:r w:rsidRPr="009A4288">
        <w:rPr>
          <w:bCs/>
          <w:lang w:val="en-GB"/>
        </w:rPr>
        <w:t>26 gauge</w:t>
      </w:r>
      <w:proofErr w:type="gramEnd"/>
      <w:r w:rsidRPr="009A4288">
        <w:rPr>
          <w:bCs/>
          <w:lang w:val="en-GB"/>
        </w:rPr>
        <w:t xml:space="preserve"> needle, needle safety device, polypropylene plunger rod, and </w:t>
      </w:r>
      <w:proofErr w:type="spellStart"/>
      <w:r w:rsidRPr="009A4288">
        <w:rPr>
          <w:bCs/>
          <w:lang w:val="en-GB"/>
        </w:rPr>
        <w:t>chlorobutyl</w:t>
      </w:r>
      <w:proofErr w:type="spellEnd"/>
      <w:r w:rsidRPr="009A4288">
        <w:rPr>
          <w:bCs/>
          <w:lang w:val="en-GB"/>
        </w:rPr>
        <w:t xml:space="preserve"> rubber syringe stopper with fluoropolymer coating. The automatic needle guard is composed of a polycarbonate transparent needle guard and a </w:t>
      </w:r>
      <w:proofErr w:type="gramStart"/>
      <w:r w:rsidRPr="009A4288">
        <w:rPr>
          <w:bCs/>
          <w:lang w:val="en-GB"/>
        </w:rPr>
        <w:t>stainless steel</w:t>
      </w:r>
      <w:proofErr w:type="gramEnd"/>
      <w:r w:rsidRPr="009A4288">
        <w:rPr>
          <w:bCs/>
          <w:lang w:val="en-GB"/>
        </w:rPr>
        <w:t xml:space="preserve"> spring inside the needle guard.</w:t>
      </w:r>
    </w:p>
    <w:p w14:paraId="3FABF7A3" w14:textId="77777777" w:rsidR="009A4288" w:rsidRPr="009A4288" w:rsidRDefault="009A4288" w:rsidP="009A4288">
      <w:pPr>
        <w:pStyle w:val="BodyText1"/>
        <w:spacing w:before="20" w:after="80"/>
        <w:rPr>
          <w:u w:val="single"/>
          <w:lang w:val="en-GB"/>
        </w:rPr>
      </w:pPr>
      <w:r w:rsidRPr="009A4288">
        <w:rPr>
          <w:u w:val="single"/>
          <w:lang w:val="en-GB"/>
        </w:rPr>
        <w:t>Pre</w:t>
      </w:r>
      <w:r w:rsidRPr="009A4288">
        <w:rPr>
          <w:u w:val="single"/>
          <w:lang w:val="en-GB"/>
        </w:rPr>
        <w:noBreakHyphen/>
        <w:t>filled syringe 2.5 mg (white plunger):</w:t>
      </w:r>
    </w:p>
    <w:p w14:paraId="434800C8" w14:textId="77777777" w:rsidR="009A4288" w:rsidRPr="009A4288" w:rsidRDefault="009A4288" w:rsidP="009A4288">
      <w:pPr>
        <w:pStyle w:val="BodyText1"/>
        <w:spacing w:before="20" w:after="80"/>
        <w:rPr>
          <w:lang w:val="en-GB"/>
        </w:rPr>
      </w:pPr>
      <w:r w:rsidRPr="009A4288">
        <w:rPr>
          <w:bCs/>
          <w:lang w:val="en-GB"/>
        </w:rPr>
        <w:t>Each carton contains 1 pre</w:t>
      </w:r>
      <w:r w:rsidRPr="009A4288">
        <w:rPr>
          <w:bCs/>
          <w:lang w:val="en-GB"/>
        </w:rPr>
        <w:noBreakHyphen/>
        <w:t>filled syringe.</w:t>
      </w:r>
    </w:p>
    <w:p w14:paraId="4EA777B9" w14:textId="77777777" w:rsidR="009A4288" w:rsidRPr="009A4288" w:rsidRDefault="009A4288" w:rsidP="009A4288">
      <w:pPr>
        <w:pStyle w:val="BodyText1"/>
        <w:spacing w:before="20" w:after="80"/>
        <w:rPr>
          <w:u w:val="single"/>
          <w:lang w:val="en-GB"/>
        </w:rPr>
      </w:pPr>
      <w:r w:rsidRPr="009A4288">
        <w:rPr>
          <w:u w:val="single"/>
          <w:lang w:val="en-GB"/>
        </w:rPr>
        <w:t>Pre</w:t>
      </w:r>
      <w:r w:rsidRPr="009A4288">
        <w:rPr>
          <w:u w:val="single"/>
          <w:lang w:val="en-GB"/>
        </w:rPr>
        <w:noBreakHyphen/>
        <w:t>filled syringe 10 mg (green plunger):</w:t>
      </w:r>
    </w:p>
    <w:p w14:paraId="09A8E26E" w14:textId="77777777" w:rsidR="009A4288" w:rsidRPr="009A4288" w:rsidRDefault="009A4288" w:rsidP="009A4288">
      <w:pPr>
        <w:pStyle w:val="BodyText1"/>
        <w:spacing w:before="20" w:after="80"/>
        <w:rPr>
          <w:lang w:val="en-GB"/>
        </w:rPr>
      </w:pPr>
      <w:r w:rsidRPr="009A4288">
        <w:rPr>
          <w:bCs/>
          <w:lang w:val="en-GB"/>
        </w:rPr>
        <w:t>Each carton contains 1 pre</w:t>
      </w:r>
      <w:r w:rsidRPr="009A4288">
        <w:rPr>
          <w:bCs/>
          <w:lang w:val="en-GB"/>
        </w:rPr>
        <w:noBreakHyphen/>
        <w:t>filled syringe.</w:t>
      </w:r>
    </w:p>
    <w:p w14:paraId="2D41B28F" w14:textId="77777777" w:rsidR="009A4288" w:rsidRPr="009A4288" w:rsidRDefault="009A4288" w:rsidP="009A4288">
      <w:pPr>
        <w:pStyle w:val="BodyText1"/>
        <w:spacing w:before="20" w:after="80"/>
        <w:rPr>
          <w:u w:val="single"/>
          <w:lang w:val="en-GB"/>
        </w:rPr>
      </w:pPr>
      <w:r w:rsidRPr="009A4288">
        <w:rPr>
          <w:u w:val="single"/>
          <w:lang w:val="en-GB"/>
        </w:rPr>
        <w:t>Pre</w:t>
      </w:r>
      <w:r w:rsidRPr="009A4288">
        <w:rPr>
          <w:u w:val="single"/>
          <w:lang w:val="en-GB"/>
        </w:rPr>
        <w:noBreakHyphen/>
        <w:t>filled syringe 20 mg (blue plunger):</w:t>
      </w:r>
    </w:p>
    <w:p w14:paraId="4C6BD8FD" w14:textId="77777777" w:rsidR="009A4288" w:rsidRPr="009A4288" w:rsidRDefault="009A4288" w:rsidP="009A4288">
      <w:pPr>
        <w:pStyle w:val="BodyText1"/>
        <w:spacing w:before="20" w:after="80"/>
        <w:rPr>
          <w:bCs/>
          <w:lang w:val="en-GB"/>
        </w:rPr>
      </w:pPr>
      <w:r w:rsidRPr="009A4288">
        <w:rPr>
          <w:bCs/>
          <w:lang w:val="en-GB"/>
        </w:rPr>
        <w:t>Each carton contains 1 or 10 pre</w:t>
      </w:r>
      <w:r w:rsidRPr="009A4288">
        <w:rPr>
          <w:bCs/>
          <w:lang w:val="en-GB"/>
        </w:rPr>
        <w:noBreakHyphen/>
        <w:t xml:space="preserve">filled syringes. </w:t>
      </w:r>
    </w:p>
    <w:p w14:paraId="7F117C16" w14:textId="594B562A" w:rsidR="002C465B" w:rsidRDefault="009A4288" w:rsidP="002C465B">
      <w:pPr>
        <w:pStyle w:val="BodyText1"/>
      </w:pPr>
      <w:r w:rsidRPr="009A4288">
        <w:rPr>
          <w:bCs/>
          <w:lang w:val="en-GB"/>
        </w:rPr>
        <w:t>Not all pack sizes may be marketed.</w:t>
      </w:r>
    </w:p>
    <w:p w14:paraId="64F0E108" w14:textId="1817615A" w:rsidR="00E74795" w:rsidRDefault="008450DE" w:rsidP="005C682D">
      <w:pPr>
        <w:pStyle w:val="Heading2"/>
      </w:pPr>
      <w:bookmarkStart w:id="25" w:name="_Ref471299056"/>
      <w:r>
        <w:t xml:space="preserve">6.6 </w:t>
      </w:r>
      <w:r w:rsidR="00E74795">
        <w:t xml:space="preserve">Special precautions for disposal </w:t>
      </w:r>
      <w:bookmarkEnd w:id="25"/>
    </w:p>
    <w:p w14:paraId="79BDD88C" w14:textId="36E934D5" w:rsidR="00DC0D60" w:rsidRPr="00DC0D60" w:rsidRDefault="00DC0D60" w:rsidP="00AC5069">
      <w:pPr>
        <w:pStyle w:val="BodyText1"/>
        <w:rPr>
          <w:lang w:val="en-GB"/>
        </w:rPr>
      </w:pPr>
      <w:r w:rsidRPr="00DC0D60">
        <w:rPr>
          <w:lang w:val="en-GB"/>
        </w:rPr>
        <w:t xml:space="preserve">Any unused medicinal product or waste material should be disposed of in accordance with local requirements. After injection, the needle </w:t>
      </w:r>
      <w:r w:rsidRPr="00DC0D60">
        <w:t>automatically</w:t>
      </w:r>
      <w:r w:rsidRPr="00DC0D60">
        <w:rPr>
          <w:lang w:val="en-GB"/>
        </w:rPr>
        <w:t xml:space="preserve"> retracts into the needle guard safely covering the needle.</w:t>
      </w:r>
    </w:p>
    <w:p w14:paraId="3A6E6712" w14:textId="104A067A" w:rsidR="000B07BE" w:rsidRPr="000B07BE" w:rsidRDefault="00DC0D60" w:rsidP="00AC5069">
      <w:pPr>
        <w:pStyle w:val="BodyText1"/>
        <w:rPr>
          <w:highlight w:val="yellow"/>
        </w:rPr>
      </w:pPr>
      <w:r w:rsidRPr="00DC0D60">
        <w:rPr>
          <w:lang w:val="en-GB"/>
        </w:rPr>
        <w:t xml:space="preserve">Instructions for the preparation and administration of </w:t>
      </w:r>
      <w:r w:rsidR="008706E4" w:rsidRPr="00AC5069">
        <w:t>PALYNZIQ</w:t>
      </w:r>
      <w:r w:rsidRPr="00DC0D60">
        <w:rPr>
          <w:lang w:val="en-GB"/>
        </w:rPr>
        <w:t xml:space="preserve"> are given in the package leaflet.</w:t>
      </w:r>
    </w:p>
    <w:p w14:paraId="38E535A8" w14:textId="10B6A217" w:rsidR="00D86907" w:rsidRDefault="00D86907" w:rsidP="006B0066">
      <w:pPr>
        <w:pStyle w:val="Heading2"/>
        <w:tabs>
          <w:tab w:val="center" w:pos="4513"/>
        </w:tabs>
      </w:pPr>
      <w:r>
        <w:t>6.7 Physicochemical properties</w:t>
      </w:r>
      <w:r w:rsidR="006B0066">
        <w:tab/>
      </w:r>
    </w:p>
    <w:p w14:paraId="4974F989" w14:textId="5C213398" w:rsidR="006B0066" w:rsidRPr="006B0066" w:rsidRDefault="006B0066" w:rsidP="006B0066">
      <w:proofErr w:type="spellStart"/>
      <w:r w:rsidRPr="006B0066">
        <w:rPr>
          <w:bCs/>
          <w:lang w:val="en-GB"/>
        </w:rPr>
        <w:t>Pegvaliase</w:t>
      </w:r>
      <w:proofErr w:type="spellEnd"/>
      <w:r w:rsidRPr="006B0066">
        <w:rPr>
          <w:bCs/>
          <w:lang w:val="en-GB"/>
        </w:rPr>
        <w:t xml:space="preserve"> is </w:t>
      </w:r>
      <w:proofErr w:type="spellStart"/>
      <w:r w:rsidRPr="006B0066">
        <w:rPr>
          <w:bCs/>
          <w:lang w:val="en-GB"/>
        </w:rPr>
        <w:t>rAvPAL</w:t>
      </w:r>
      <w:proofErr w:type="spellEnd"/>
      <w:r w:rsidRPr="006B0066">
        <w:rPr>
          <w:bCs/>
          <w:lang w:val="en-GB"/>
        </w:rPr>
        <w:t xml:space="preserve"> conjugated with linear 20 </w:t>
      </w:r>
      <w:proofErr w:type="spellStart"/>
      <w:r w:rsidRPr="006B0066">
        <w:rPr>
          <w:bCs/>
          <w:lang w:val="en-GB"/>
        </w:rPr>
        <w:t>kDa</w:t>
      </w:r>
      <w:proofErr w:type="spellEnd"/>
      <w:r w:rsidRPr="006B0066">
        <w:rPr>
          <w:bCs/>
          <w:lang w:val="en-GB"/>
        </w:rPr>
        <w:t xml:space="preserve"> NHS</w:t>
      </w:r>
      <w:r w:rsidRPr="006B0066">
        <w:rPr>
          <w:lang w:val="en-GB"/>
        </w:rPr>
        <w:noBreakHyphen/>
      </w:r>
      <w:r w:rsidRPr="006B0066">
        <w:rPr>
          <w:bCs/>
          <w:lang w:val="en-GB"/>
        </w:rPr>
        <w:t>PEG at a degree of substitution of 28 to 44 moles of polymer/mole of protein. The average molecular mass is approximately 1,000 </w:t>
      </w:r>
      <w:proofErr w:type="spellStart"/>
      <w:r w:rsidRPr="006B0066">
        <w:rPr>
          <w:bCs/>
          <w:lang w:val="en-GB"/>
        </w:rPr>
        <w:t>kDa</w:t>
      </w:r>
      <w:proofErr w:type="spellEnd"/>
      <w:r w:rsidRPr="006B0066">
        <w:rPr>
          <w:bCs/>
          <w:lang w:val="en-GB"/>
        </w:rPr>
        <w:t xml:space="preserve"> of which the protein moiety constitutes approximately 248 </w:t>
      </w:r>
      <w:proofErr w:type="spellStart"/>
      <w:r w:rsidRPr="006B0066">
        <w:rPr>
          <w:bCs/>
          <w:lang w:val="en-GB"/>
        </w:rPr>
        <w:t>kDa</w:t>
      </w:r>
      <w:proofErr w:type="spellEnd"/>
      <w:r w:rsidRPr="006B0066">
        <w:rPr>
          <w:bCs/>
          <w:lang w:val="en-GB"/>
        </w:rPr>
        <w:t>.</w:t>
      </w:r>
    </w:p>
    <w:p w14:paraId="63DD6047" w14:textId="02C9B496" w:rsidR="000B07BE" w:rsidRDefault="00D86907" w:rsidP="000B07BE">
      <w:pPr>
        <w:pStyle w:val="Heading3"/>
      </w:pPr>
      <w:r w:rsidRPr="001A3390">
        <w:t>Chemical structure</w:t>
      </w:r>
      <w:r>
        <w:t>:</w:t>
      </w:r>
      <w:r w:rsidRPr="001A3390">
        <w:t xml:space="preserve"> </w:t>
      </w:r>
      <w:r>
        <w:tab/>
      </w:r>
    </w:p>
    <w:p w14:paraId="213700C5" w14:textId="77777777" w:rsidR="000258D5" w:rsidRPr="000258D5" w:rsidRDefault="000258D5" w:rsidP="004D4DCD">
      <w:pPr>
        <w:ind w:firstLine="720"/>
        <w:rPr>
          <w:u w:val="single"/>
        </w:rPr>
      </w:pPr>
      <w:proofErr w:type="spellStart"/>
      <w:r w:rsidRPr="000258D5">
        <w:rPr>
          <w:u w:val="single"/>
        </w:rPr>
        <w:t>rAvPAL</w:t>
      </w:r>
      <w:proofErr w:type="spellEnd"/>
      <w:r w:rsidRPr="000258D5">
        <w:rPr>
          <w:u w:val="single"/>
        </w:rPr>
        <w:t xml:space="preserve"> Primary Amino Acid Sequence</w:t>
      </w:r>
    </w:p>
    <w:p w14:paraId="56254674" w14:textId="48A7C9C9" w:rsidR="000258D5" w:rsidRPr="000258D5" w:rsidRDefault="000258D5" w:rsidP="003372FB">
      <w:pPr>
        <w:spacing w:after="60"/>
      </w:pPr>
      <w:r w:rsidRPr="000258D5">
        <w:t>1</w:t>
      </w:r>
      <w:r w:rsidR="003372FB">
        <w:tab/>
      </w:r>
      <w:r w:rsidRPr="000258D5">
        <w:t>MKTLSQAQSK TSSQQFSFTG NSSANVIIGN QKLTINDVAR VARNGTLVSL</w:t>
      </w:r>
    </w:p>
    <w:p w14:paraId="6F0CB584" w14:textId="3E53E03B" w:rsidR="000258D5" w:rsidRPr="000258D5" w:rsidRDefault="000258D5" w:rsidP="003372FB">
      <w:pPr>
        <w:spacing w:after="60"/>
      </w:pPr>
      <w:r w:rsidRPr="000258D5">
        <w:t>51</w:t>
      </w:r>
      <w:r w:rsidR="003372FB">
        <w:tab/>
      </w:r>
      <w:r w:rsidRPr="000258D5">
        <w:t>TNNTDILQGI QASCDYINNA VESGEPIYGV TSGFGGMANV AISREQASEL</w:t>
      </w:r>
    </w:p>
    <w:p w14:paraId="559C7FF0" w14:textId="24F28DB1" w:rsidR="000258D5" w:rsidRPr="000258D5" w:rsidRDefault="000258D5" w:rsidP="003372FB">
      <w:pPr>
        <w:spacing w:after="60"/>
      </w:pPr>
      <w:r w:rsidRPr="000258D5">
        <w:t>101</w:t>
      </w:r>
      <w:r w:rsidR="003372FB">
        <w:tab/>
      </w:r>
      <w:r w:rsidRPr="000258D5">
        <w:t>QTNLVWFLKT GAGNKLPLAD VRAAMLLRAN SHMRGASGIR LELIKRMEIF</w:t>
      </w:r>
    </w:p>
    <w:p w14:paraId="6FE5051C" w14:textId="15D9A665" w:rsidR="000258D5" w:rsidRPr="000258D5" w:rsidRDefault="000258D5" w:rsidP="003372FB">
      <w:pPr>
        <w:spacing w:after="60"/>
      </w:pPr>
      <w:r w:rsidRPr="000258D5">
        <w:t>151</w:t>
      </w:r>
      <w:r w:rsidR="003372FB">
        <w:tab/>
      </w:r>
      <w:r w:rsidRPr="000258D5">
        <w:t>LNAGVTPYVY EFGSIGASGD LVPLSYITGS LIGLDPSFKV DFNGKEMDAP</w:t>
      </w:r>
    </w:p>
    <w:p w14:paraId="4001E4BB" w14:textId="4811CF89" w:rsidR="000258D5" w:rsidRPr="000258D5" w:rsidRDefault="000258D5" w:rsidP="003372FB">
      <w:pPr>
        <w:spacing w:after="60"/>
      </w:pPr>
      <w:r w:rsidRPr="000258D5">
        <w:t>201</w:t>
      </w:r>
      <w:r w:rsidR="003372FB">
        <w:tab/>
      </w:r>
      <w:r w:rsidRPr="000258D5">
        <w:t>TALRQLNLSP LTLLPKEGLA MMNGTSVMTG IAANCVYDTQ ILTAIAMGVH</w:t>
      </w:r>
    </w:p>
    <w:p w14:paraId="23B0A098" w14:textId="14D8549C" w:rsidR="000258D5" w:rsidRPr="000258D5" w:rsidRDefault="000258D5" w:rsidP="003372FB">
      <w:pPr>
        <w:spacing w:after="60"/>
      </w:pPr>
      <w:r w:rsidRPr="000258D5">
        <w:t>251</w:t>
      </w:r>
      <w:r w:rsidR="003372FB">
        <w:tab/>
      </w:r>
      <w:r w:rsidRPr="000258D5">
        <w:t>ALDIQALNGT NQSFHPFIHN SKPHPGQLWA ADQMISLLAN SQLVRDELDG</w:t>
      </w:r>
    </w:p>
    <w:p w14:paraId="4A0DA5B5" w14:textId="12BBB334" w:rsidR="000258D5" w:rsidRPr="000258D5" w:rsidRDefault="000258D5" w:rsidP="003372FB">
      <w:pPr>
        <w:spacing w:after="60"/>
      </w:pPr>
      <w:r w:rsidRPr="000258D5">
        <w:t>301</w:t>
      </w:r>
      <w:r w:rsidR="003372FB">
        <w:tab/>
      </w:r>
      <w:r w:rsidRPr="000258D5">
        <w:t>KHDYRDHELI QDRYSLRCLP QYLGPIVDGI SQIAKQIEIE INSVTDNPLI</w:t>
      </w:r>
    </w:p>
    <w:p w14:paraId="089AFD54" w14:textId="526DF152" w:rsidR="000258D5" w:rsidRPr="000258D5" w:rsidRDefault="000258D5" w:rsidP="003372FB">
      <w:pPr>
        <w:spacing w:after="60"/>
      </w:pPr>
      <w:r w:rsidRPr="000258D5">
        <w:t>351</w:t>
      </w:r>
      <w:r w:rsidR="003372FB">
        <w:tab/>
      </w:r>
      <w:r w:rsidRPr="000258D5">
        <w:t>DVDNQASYHG GNFLGQYVGM GMDHLRYYIG LLAKHLDVQI ALLASPEFSN</w:t>
      </w:r>
    </w:p>
    <w:p w14:paraId="3CF53A8F" w14:textId="5F537232" w:rsidR="000258D5" w:rsidRPr="000258D5" w:rsidRDefault="000258D5" w:rsidP="003372FB">
      <w:pPr>
        <w:spacing w:after="60"/>
      </w:pPr>
      <w:r w:rsidRPr="000258D5">
        <w:t>401</w:t>
      </w:r>
      <w:r w:rsidR="003372FB">
        <w:tab/>
      </w:r>
      <w:r w:rsidRPr="000258D5">
        <w:t>GLPPSLLGNR ERKVNMGLKG LQICGNSIMP LLTFYGNSIA DRFPTHAEQF</w:t>
      </w:r>
    </w:p>
    <w:p w14:paraId="26D45EE3" w14:textId="79F59D99" w:rsidR="000258D5" w:rsidRPr="000258D5" w:rsidRDefault="000258D5" w:rsidP="003372FB">
      <w:pPr>
        <w:spacing w:after="60"/>
      </w:pPr>
      <w:r w:rsidRPr="000258D5">
        <w:t>451</w:t>
      </w:r>
      <w:r w:rsidR="003372FB">
        <w:tab/>
      </w:r>
      <w:r w:rsidRPr="000258D5">
        <w:t>NQNINSQGYT SATLARRSVD IFQNYVAIAL MFGVQAVDLR TYKKTGHYDA</w:t>
      </w:r>
    </w:p>
    <w:p w14:paraId="3C48E343" w14:textId="063E4DBC" w:rsidR="000258D5" w:rsidRPr="000258D5" w:rsidRDefault="000258D5" w:rsidP="003372FB">
      <w:pPr>
        <w:spacing w:after="60"/>
      </w:pPr>
      <w:r w:rsidRPr="000258D5">
        <w:t>501</w:t>
      </w:r>
      <w:r w:rsidR="003372FB">
        <w:tab/>
      </w:r>
      <w:r w:rsidRPr="000258D5">
        <w:t>RASLSPATER LYSAVRHVVG QKPTSDRPYI WNDNEQGLDE HIARISADIA</w:t>
      </w:r>
    </w:p>
    <w:p w14:paraId="0F2185E8" w14:textId="64AA0109" w:rsidR="0086070C" w:rsidRPr="0046085F" w:rsidRDefault="000258D5" w:rsidP="003372FB">
      <w:pPr>
        <w:spacing w:after="60"/>
      </w:pPr>
      <w:r w:rsidRPr="0046085F">
        <w:t>551</w:t>
      </w:r>
      <w:r w:rsidR="003372FB">
        <w:tab/>
      </w:r>
      <w:r w:rsidRPr="0046085F">
        <w:t>AGGVIVQAVQ DILPSLH</w:t>
      </w:r>
    </w:p>
    <w:p w14:paraId="67A430C0" w14:textId="56F33510" w:rsidR="00D86907" w:rsidRPr="001A3390" w:rsidRDefault="00D86907" w:rsidP="00992112">
      <w:pPr>
        <w:pStyle w:val="BodyText1"/>
        <w:tabs>
          <w:tab w:val="left" w:pos="2268"/>
        </w:tabs>
        <w:jc w:val="center"/>
      </w:pPr>
    </w:p>
    <w:p w14:paraId="681F9F32" w14:textId="1E7E257C" w:rsidR="000B07BE" w:rsidRDefault="00D86907" w:rsidP="00A41225">
      <w:pPr>
        <w:pStyle w:val="Heading3"/>
        <w:keepNext/>
      </w:pPr>
      <w:smartTag w:uri="urn:schemas-microsoft-com:office:smarttags" w:element="stockticker">
        <w:r w:rsidRPr="001A3390">
          <w:lastRenderedPageBreak/>
          <w:t>CAS</w:t>
        </w:r>
      </w:smartTag>
      <w:r w:rsidR="004139C8">
        <w:t xml:space="preserve"> number</w:t>
      </w:r>
      <w:r>
        <w:t>:</w:t>
      </w:r>
      <w:r w:rsidRPr="001A3390">
        <w:t xml:space="preserve"> </w:t>
      </w:r>
      <w:r>
        <w:tab/>
      </w:r>
    </w:p>
    <w:p w14:paraId="20EF2D43" w14:textId="6F466FB9" w:rsidR="00D86907" w:rsidRPr="001A3390" w:rsidRDefault="00FB0140" w:rsidP="00D86907">
      <w:pPr>
        <w:pStyle w:val="BodyText1"/>
        <w:tabs>
          <w:tab w:val="left" w:pos="2268"/>
        </w:tabs>
      </w:pPr>
      <w:r>
        <w:t>1585</w:t>
      </w:r>
      <w:r w:rsidR="00EE47EE">
        <w:t>984-95-7</w:t>
      </w:r>
    </w:p>
    <w:p w14:paraId="58217C41" w14:textId="2AA9021B" w:rsidR="00242B21" w:rsidRDefault="008450DE" w:rsidP="008450DE">
      <w:pPr>
        <w:pStyle w:val="Heading1"/>
      </w:pPr>
      <w:r>
        <w:t xml:space="preserve">7. </w:t>
      </w:r>
      <w:r w:rsidR="00242B21">
        <w:t>Medicine Schedule</w:t>
      </w:r>
      <w:r w:rsidR="00D86907">
        <w:t xml:space="preserve"> (</w:t>
      </w:r>
      <w:r w:rsidR="009718E1">
        <w:t>Poison standard</w:t>
      </w:r>
      <w:r w:rsidR="00D86907">
        <w:t>)</w:t>
      </w:r>
    </w:p>
    <w:p w14:paraId="10D5F751" w14:textId="6A102F87" w:rsidR="00E74795" w:rsidRDefault="004139C8" w:rsidP="00E74795">
      <w:pPr>
        <w:pStyle w:val="BodyText1"/>
      </w:pPr>
      <w:r w:rsidRPr="00EE47EE">
        <w:t>S4 – Prescription Only Medicin</w:t>
      </w:r>
      <w:r w:rsidR="00EE47EE" w:rsidRPr="00EE47EE">
        <w:t>e</w:t>
      </w:r>
    </w:p>
    <w:p w14:paraId="17A8B0B8" w14:textId="49CB7896" w:rsidR="00242B21" w:rsidRDefault="008450DE" w:rsidP="008450DE">
      <w:pPr>
        <w:pStyle w:val="Heading1"/>
      </w:pPr>
      <w:r>
        <w:t xml:space="preserve">8. </w:t>
      </w:r>
      <w:r w:rsidR="00242B21">
        <w:t>Sponsor</w:t>
      </w:r>
    </w:p>
    <w:p w14:paraId="6C36126C" w14:textId="77777777" w:rsidR="00CD0033" w:rsidRPr="00CD0033" w:rsidRDefault="00CD0033" w:rsidP="00E634A2">
      <w:pPr>
        <w:pStyle w:val="BodyText1"/>
        <w:spacing w:before="20" w:after="20"/>
        <w:rPr>
          <w:lang w:val="en-GB"/>
        </w:rPr>
      </w:pPr>
      <w:r w:rsidRPr="00CD0033">
        <w:rPr>
          <w:lang w:val="en-GB"/>
        </w:rPr>
        <w:t>BioMarin Pharmaceutical Australia Pty Ltd</w:t>
      </w:r>
    </w:p>
    <w:p w14:paraId="716DAEF2" w14:textId="77777777" w:rsidR="00CD0033" w:rsidRPr="00CD0033" w:rsidRDefault="00CD0033" w:rsidP="00E634A2">
      <w:pPr>
        <w:pStyle w:val="BodyText1"/>
        <w:spacing w:before="20" w:after="20"/>
        <w:rPr>
          <w:lang w:val="en-GB"/>
        </w:rPr>
      </w:pPr>
      <w:r w:rsidRPr="00CD0033">
        <w:rPr>
          <w:lang w:val="en-GB"/>
        </w:rPr>
        <w:t>119 Willoughby Road</w:t>
      </w:r>
    </w:p>
    <w:p w14:paraId="550AF4F3" w14:textId="77777777" w:rsidR="00CD0033" w:rsidRDefault="00CD0033" w:rsidP="00CD0033">
      <w:pPr>
        <w:pStyle w:val="BodyText1"/>
        <w:rPr>
          <w:lang w:val="en-GB"/>
        </w:rPr>
      </w:pPr>
      <w:proofErr w:type="spellStart"/>
      <w:r w:rsidRPr="00CD0033">
        <w:rPr>
          <w:lang w:val="en-GB"/>
        </w:rPr>
        <w:t>Crows</w:t>
      </w:r>
      <w:proofErr w:type="spellEnd"/>
      <w:r w:rsidRPr="00CD0033">
        <w:rPr>
          <w:lang w:val="en-GB"/>
        </w:rPr>
        <w:t xml:space="preserve"> Nest, NSW 2065 </w:t>
      </w:r>
    </w:p>
    <w:p w14:paraId="1C9DBBE8" w14:textId="77777777" w:rsidR="00FD23FE" w:rsidRDefault="00FD23FE" w:rsidP="00445294">
      <w:pPr>
        <w:pStyle w:val="BodyText1"/>
        <w:rPr>
          <w:lang w:val="en-GB"/>
        </w:rPr>
      </w:pPr>
    </w:p>
    <w:p w14:paraId="603F726F" w14:textId="37644451" w:rsidR="00CD0033" w:rsidRPr="00CD0033" w:rsidRDefault="00CD0033" w:rsidP="00445294">
      <w:pPr>
        <w:pStyle w:val="BodyText1"/>
        <w:rPr>
          <w:lang w:val="en-GB"/>
        </w:rPr>
      </w:pPr>
      <w:r w:rsidRPr="00CD0033">
        <w:rPr>
          <w:lang w:val="en-GB"/>
        </w:rPr>
        <w:t xml:space="preserve">For enquiries about </w:t>
      </w:r>
      <w:r>
        <w:rPr>
          <w:lang w:val="en-GB"/>
        </w:rPr>
        <w:t>PALYNZIQ</w:t>
      </w:r>
      <w:r w:rsidRPr="00CD0033">
        <w:rPr>
          <w:lang w:val="en-GB"/>
        </w:rPr>
        <w:t xml:space="preserve">, contact </w:t>
      </w:r>
      <w:hyperlink r:id="rId15">
        <w:r w:rsidRPr="00CD0033">
          <w:rPr>
            <w:rStyle w:val="Hyperlink"/>
            <w:sz w:val="24"/>
            <w:lang w:val="en-GB"/>
          </w:rPr>
          <w:t>medinfoasia@bmrn.com</w:t>
        </w:r>
      </w:hyperlink>
      <w:r w:rsidRPr="00CD0033">
        <w:rPr>
          <w:lang w:val="en-GB"/>
        </w:rPr>
        <w:t xml:space="preserve"> or call BioMarin Australia on 1800 387 876.</w:t>
      </w:r>
    </w:p>
    <w:p w14:paraId="22CD9151" w14:textId="7D1608B4" w:rsidR="004139C8" w:rsidRDefault="00CD0033" w:rsidP="00CD0033">
      <w:pPr>
        <w:pStyle w:val="BodyText1"/>
      </w:pPr>
      <w:r w:rsidRPr="00CD0033">
        <w:rPr>
          <w:lang w:val="en-GB"/>
        </w:rPr>
        <w:t xml:space="preserve">To report adverse events, contact </w:t>
      </w:r>
      <w:hyperlink r:id="rId16">
        <w:r w:rsidRPr="00CD0033">
          <w:rPr>
            <w:rStyle w:val="Hyperlink"/>
            <w:sz w:val="24"/>
            <w:lang w:val="en-GB"/>
          </w:rPr>
          <w:t>drugsafety@bmrn.com</w:t>
        </w:r>
      </w:hyperlink>
      <w:r w:rsidRPr="00CD0033">
        <w:rPr>
          <w:lang w:val="en-GB"/>
        </w:rPr>
        <w:t xml:space="preserve"> or call BioMarin Australia on 1800 387 876.</w:t>
      </w:r>
    </w:p>
    <w:p w14:paraId="3D9033EC" w14:textId="23AD48B8" w:rsidR="00242B21" w:rsidRDefault="00E4110B" w:rsidP="008450DE">
      <w:pPr>
        <w:pStyle w:val="Heading1"/>
      </w:pPr>
      <w:r>
        <w:t>9</w:t>
      </w:r>
      <w:r w:rsidR="008450DE">
        <w:t xml:space="preserve">. </w:t>
      </w:r>
      <w:r w:rsidR="00242B21">
        <w:t xml:space="preserve">Date of </w:t>
      </w:r>
      <w:r w:rsidR="009718E1">
        <w:t>F</w:t>
      </w:r>
      <w:r w:rsidR="00242B21">
        <w:t xml:space="preserve">irst </w:t>
      </w:r>
      <w:r w:rsidR="009718E1">
        <w:t>A</w:t>
      </w:r>
      <w:r w:rsidR="00242B21">
        <w:t>pproval</w:t>
      </w:r>
      <w:r w:rsidR="00D86907">
        <w:t xml:space="preserve"> </w:t>
      </w:r>
    </w:p>
    <w:p w14:paraId="3544D64F" w14:textId="04894701" w:rsidR="00162216" w:rsidRPr="003B7AE6" w:rsidRDefault="003678AC" w:rsidP="00162216">
      <w:pPr>
        <w:pStyle w:val="BodyText1"/>
      </w:pPr>
      <w:r>
        <w:t>14 July 2021</w:t>
      </w:r>
    </w:p>
    <w:p w14:paraId="6024BD99" w14:textId="0C7E3A4B" w:rsidR="00242B21" w:rsidRDefault="008450DE" w:rsidP="008450DE">
      <w:pPr>
        <w:pStyle w:val="Heading1"/>
      </w:pPr>
      <w:r>
        <w:t>1</w:t>
      </w:r>
      <w:r w:rsidR="00E4110B">
        <w:t>0</w:t>
      </w:r>
      <w:r>
        <w:t xml:space="preserve">. </w:t>
      </w:r>
      <w:r w:rsidR="00242B21">
        <w:t xml:space="preserve">Date of </w:t>
      </w:r>
      <w:r w:rsidR="001A79CF">
        <w:t>Revision</w:t>
      </w:r>
    </w:p>
    <w:p w14:paraId="3F0AA3C9" w14:textId="5FB9B264" w:rsidR="004139C8" w:rsidRDefault="003B7AE6" w:rsidP="00162216">
      <w:pPr>
        <w:pStyle w:val="BodyText1"/>
      </w:pPr>
      <w:r>
        <w:t>N/A</w:t>
      </w:r>
    </w:p>
    <w:p w14:paraId="43DFF024" w14:textId="4C85D18B" w:rsidR="00162216" w:rsidRPr="00AB6D75" w:rsidRDefault="00162216" w:rsidP="00AB6D75">
      <w:pPr>
        <w:pStyle w:val="BodyText1"/>
      </w:pPr>
    </w:p>
    <w:p w14:paraId="44C49EA2" w14:textId="5162566B" w:rsidR="00162216" w:rsidRPr="009718E1" w:rsidRDefault="00162216" w:rsidP="009718E1">
      <w:pPr>
        <w:pStyle w:val="Heading3"/>
      </w:pPr>
      <w:r w:rsidRPr="009718E1">
        <w:t>Summary table of changes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4"/>
        <w:gridCol w:w="7582"/>
      </w:tblGrid>
      <w:tr w:rsidR="000B07BE" w14:paraId="3422391B" w14:textId="77777777" w:rsidTr="000B07BE">
        <w:tc>
          <w:tcPr>
            <w:tcW w:w="1414" w:type="dxa"/>
            <w:tcBorders>
              <w:top w:val="single" w:sz="12" w:space="0" w:color="auto"/>
              <w:bottom w:val="double" w:sz="4" w:space="0" w:color="auto"/>
            </w:tcBorders>
            <w:tcMar>
              <w:top w:w="28" w:type="dxa"/>
              <w:left w:w="57" w:type="dxa"/>
              <w:bottom w:w="28" w:type="dxa"/>
              <w:right w:w="57" w:type="dxa"/>
            </w:tcMar>
          </w:tcPr>
          <w:p w14:paraId="56307751" w14:textId="74AEB7FC" w:rsidR="000B07BE" w:rsidRDefault="000B07BE" w:rsidP="00162216">
            <w:pPr>
              <w:pStyle w:val="Table-Heading1"/>
            </w:pPr>
            <w:r>
              <w:t>Section changed</w:t>
            </w:r>
          </w:p>
        </w:tc>
        <w:tc>
          <w:tcPr>
            <w:tcW w:w="7582" w:type="dxa"/>
            <w:tcBorders>
              <w:top w:val="single" w:sz="12" w:space="0" w:color="auto"/>
              <w:bottom w:val="double" w:sz="4" w:space="0" w:color="auto"/>
            </w:tcBorders>
            <w:tcMar>
              <w:left w:w="57" w:type="dxa"/>
              <w:right w:w="57" w:type="dxa"/>
            </w:tcMar>
          </w:tcPr>
          <w:p w14:paraId="24F3B2E1" w14:textId="0EB230F7" w:rsidR="000B07BE" w:rsidRDefault="000B07BE" w:rsidP="00162216">
            <w:pPr>
              <w:pStyle w:val="Table-Heading1"/>
            </w:pPr>
            <w:r>
              <w:t>Summary of new information</w:t>
            </w:r>
          </w:p>
        </w:tc>
      </w:tr>
      <w:tr w:rsidR="004139C8" w14:paraId="4F428C24" w14:textId="77777777" w:rsidTr="000B07BE">
        <w:tc>
          <w:tcPr>
            <w:tcW w:w="1414" w:type="dxa"/>
            <w:tcBorders>
              <w:top w:val="single" w:sz="4" w:space="0" w:color="auto"/>
            </w:tcBorders>
            <w:tcMar>
              <w:top w:w="28" w:type="dxa"/>
              <w:left w:w="57" w:type="dxa"/>
              <w:bottom w:w="28" w:type="dxa"/>
              <w:right w:w="57" w:type="dxa"/>
            </w:tcMar>
          </w:tcPr>
          <w:p w14:paraId="0E235A87" w14:textId="42ECA9B6" w:rsidR="004139C8" w:rsidRDefault="001F4D9F" w:rsidP="001F4D9F">
            <w:pPr>
              <w:pStyle w:val="Table-text"/>
              <w:ind w:left="22"/>
            </w:pPr>
            <w:r>
              <w:t>N/A</w:t>
            </w:r>
          </w:p>
        </w:tc>
        <w:tc>
          <w:tcPr>
            <w:tcW w:w="7582" w:type="dxa"/>
            <w:tcBorders>
              <w:top w:val="single" w:sz="4" w:space="0" w:color="auto"/>
            </w:tcBorders>
            <w:tcMar>
              <w:left w:w="57" w:type="dxa"/>
              <w:right w:w="57" w:type="dxa"/>
            </w:tcMar>
          </w:tcPr>
          <w:p w14:paraId="319C2BA1" w14:textId="7FE44475" w:rsidR="004139C8" w:rsidRDefault="001F4D9F" w:rsidP="001F4D9F">
            <w:pPr>
              <w:pStyle w:val="Table-text"/>
              <w:ind w:left="31"/>
            </w:pPr>
            <w:r>
              <w:t>N/A</w:t>
            </w:r>
          </w:p>
        </w:tc>
      </w:tr>
    </w:tbl>
    <w:p w14:paraId="28D88D74" w14:textId="0A02031F" w:rsidR="00162216" w:rsidRPr="004637A9" w:rsidRDefault="00162216" w:rsidP="00162216">
      <w:pPr>
        <w:pStyle w:val="BodyText1"/>
        <w:rPr>
          <w:sz w:val="2"/>
          <w:szCs w:val="2"/>
        </w:rPr>
      </w:pPr>
    </w:p>
    <w:sectPr w:rsidR="00162216" w:rsidRPr="004637A9" w:rsidSect="00D8690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134"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51F62" w14:textId="77777777" w:rsidR="002B7ABA" w:rsidRDefault="002B7ABA" w:rsidP="004A6F6E">
      <w:r>
        <w:separator/>
      </w:r>
    </w:p>
    <w:p w14:paraId="6D41A6C0" w14:textId="77777777" w:rsidR="002B7ABA" w:rsidRDefault="002B7ABA"/>
  </w:endnote>
  <w:endnote w:type="continuationSeparator" w:id="0">
    <w:p w14:paraId="43626FAB" w14:textId="77777777" w:rsidR="002B7ABA" w:rsidRDefault="002B7ABA" w:rsidP="004A6F6E">
      <w:r>
        <w:continuationSeparator/>
      </w:r>
    </w:p>
    <w:p w14:paraId="3262CBB0" w14:textId="77777777" w:rsidR="002B7ABA" w:rsidRDefault="002B7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720D" w14:textId="77777777" w:rsidR="004A3D54" w:rsidRDefault="004A3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CFCCC" w14:textId="103F3548" w:rsidR="002B7ABA" w:rsidRPr="00D86907" w:rsidRDefault="002B7ABA" w:rsidP="00662CCF">
    <w:pPr>
      <w:pStyle w:val="Footer"/>
      <w:rPr>
        <w:sz w:val="18"/>
      </w:rPr>
    </w:pPr>
    <w:r w:rsidRPr="00D86907">
      <w:rPr>
        <w:sz w:val="18"/>
      </w:rPr>
      <w:tab/>
    </w:r>
    <w:r w:rsidRPr="00D86907">
      <w:rPr>
        <w:sz w:val="18"/>
      </w:rPr>
      <w:tab/>
      <w:t xml:space="preserve">Page </w:t>
    </w:r>
    <w:r w:rsidRPr="00D86907">
      <w:rPr>
        <w:sz w:val="18"/>
      </w:rPr>
      <w:fldChar w:fldCharType="begin"/>
    </w:r>
    <w:r w:rsidRPr="00D86907">
      <w:rPr>
        <w:sz w:val="18"/>
      </w:rPr>
      <w:instrText xml:space="preserve"> PAGE </w:instrText>
    </w:r>
    <w:r w:rsidRPr="00D86907">
      <w:rPr>
        <w:sz w:val="18"/>
      </w:rPr>
      <w:fldChar w:fldCharType="separate"/>
    </w:r>
    <w:r>
      <w:rPr>
        <w:noProof/>
        <w:sz w:val="18"/>
      </w:rPr>
      <w:t>6</w:t>
    </w:r>
    <w:r w:rsidRPr="00D86907">
      <w:rPr>
        <w:sz w:val="18"/>
      </w:rPr>
      <w:fldChar w:fldCharType="end"/>
    </w:r>
    <w:r w:rsidRPr="00D86907">
      <w:rPr>
        <w:sz w:val="18"/>
      </w:rPr>
      <w:t xml:space="preserve"> of </w:t>
    </w:r>
    <w:r w:rsidRPr="00D86907">
      <w:rPr>
        <w:sz w:val="18"/>
      </w:rPr>
      <w:fldChar w:fldCharType="begin"/>
    </w:r>
    <w:r w:rsidRPr="00D86907">
      <w:rPr>
        <w:sz w:val="18"/>
      </w:rPr>
      <w:instrText xml:space="preserve"> NUMPAGES  </w:instrText>
    </w:r>
    <w:r w:rsidRPr="00D86907">
      <w:rPr>
        <w:sz w:val="18"/>
      </w:rPr>
      <w:fldChar w:fldCharType="separate"/>
    </w:r>
    <w:r>
      <w:rPr>
        <w:noProof/>
        <w:sz w:val="18"/>
      </w:rPr>
      <w:t>6</w:t>
    </w:r>
    <w:r w:rsidRPr="00D86907">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C145E" w14:textId="2259371A" w:rsidR="002B7ABA" w:rsidRPr="00D86907" w:rsidRDefault="002B7ABA">
    <w:pPr>
      <w:pStyle w:val="Footer"/>
      <w:rPr>
        <w:rFonts w:cs="Arial"/>
        <w:sz w:val="18"/>
      </w:rPr>
    </w:pPr>
    <w:r w:rsidRPr="00D86907">
      <w:rPr>
        <w:rFonts w:cs="Arial"/>
        <w:sz w:val="18"/>
      </w:rPr>
      <w:tab/>
    </w:r>
    <w:r w:rsidRPr="00D86907">
      <w:rPr>
        <w:rFonts w:cs="Arial"/>
        <w:sz w:val="18"/>
      </w:rPr>
      <w:tab/>
      <w:t xml:space="preserve">Page </w:t>
    </w:r>
    <w:r w:rsidRPr="00D86907">
      <w:rPr>
        <w:rFonts w:cs="Arial"/>
        <w:sz w:val="18"/>
      </w:rPr>
      <w:fldChar w:fldCharType="begin"/>
    </w:r>
    <w:r w:rsidRPr="00D86907">
      <w:rPr>
        <w:rFonts w:cs="Arial"/>
        <w:sz w:val="18"/>
      </w:rPr>
      <w:instrText xml:space="preserve"> PAGE </w:instrText>
    </w:r>
    <w:r w:rsidRPr="00D86907">
      <w:rPr>
        <w:rFonts w:cs="Arial"/>
        <w:sz w:val="18"/>
      </w:rPr>
      <w:fldChar w:fldCharType="separate"/>
    </w:r>
    <w:r>
      <w:rPr>
        <w:rFonts w:cs="Arial"/>
        <w:noProof/>
        <w:sz w:val="18"/>
      </w:rPr>
      <w:t>1</w:t>
    </w:r>
    <w:r w:rsidRPr="00D86907">
      <w:rPr>
        <w:rFonts w:cs="Arial"/>
        <w:sz w:val="18"/>
      </w:rPr>
      <w:fldChar w:fldCharType="end"/>
    </w:r>
    <w:r w:rsidRPr="00D86907">
      <w:rPr>
        <w:rFonts w:cs="Arial"/>
        <w:sz w:val="18"/>
      </w:rPr>
      <w:t xml:space="preserve"> of </w:t>
    </w:r>
    <w:r w:rsidRPr="00D86907">
      <w:rPr>
        <w:rFonts w:cs="Arial"/>
        <w:sz w:val="18"/>
      </w:rPr>
      <w:fldChar w:fldCharType="begin"/>
    </w:r>
    <w:r w:rsidRPr="00D86907">
      <w:rPr>
        <w:rFonts w:cs="Arial"/>
        <w:sz w:val="18"/>
      </w:rPr>
      <w:instrText xml:space="preserve"> NUMPAGES  </w:instrText>
    </w:r>
    <w:r w:rsidRPr="00D86907">
      <w:rPr>
        <w:rFonts w:cs="Arial"/>
        <w:sz w:val="18"/>
      </w:rPr>
      <w:fldChar w:fldCharType="separate"/>
    </w:r>
    <w:r>
      <w:rPr>
        <w:rFonts w:cs="Arial"/>
        <w:noProof/>
        <w:sz w:val="18"/>
      </w:rPr>
      <w:t>6</w:t>
    </w:r>
    <w:r w:rsidRPr="00D86907">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C0258" w14:textId="77777777" w:rsidR="002B7ABA" w:rsidRDefault="002B7ABA" w:rsidP="004A6F6E">
      <w:r>
        <w:separator/>
      </w:r>
    </w:p>
    <w:p w14:paraId="5E82CB39" w14:textId="77777777" w:rsidR="002B7ABA" w:rsidRDefault="002B7ABA"/>
  </w:footnote>
  <w:footnote w:type="continuationSeparator" w:id="0">
    <w:p w14:paraId="5CBC1093" w14:textId="77777777" w:rsidR="002B7ABA" w:rsidRDefault="002B7ABA" w:rsidP="004A6F6E">
      <w:r>
        <w:continuationSeparator/>
      </w:r>
    </w:p>
    <w:p w14:paraId="35D4CAB8" w14:textId="77777777" w:rsidR="002B7ABA" w:rsidRDefault="002B7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23883" w14:textId="77777777" w:rsidR="004A3D54" w:rsidRDefault="004A3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362D3" w14:textId="358BD05D" w:rsidR="002B7ABA" w:rsidRPr="00D86907" w:rsidRDefault="002B7ABA" w:rsidP="00D86907">
    <w:pPr>
      <w:pStyle w:val="Header"/>
      <w:rPr>
        <w:rFonts w:cs="Arial"/>
        <w:sz w:val="18"/>
      </w:rPr>
    </w:pPr>
    <w:r w:rsidRPr="00D86907">
      <w:rPr>
        <w:rFonts w:cs="Arial"/>
        <w:sz w:val="18"/>
      </w:rPr>
      <w:t>Product Information - Australia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642"/>
    </w:tblGrid>
    <w:tr w:rsidR="002B7ABA" w:rsidRPr="000B2145" w14:paraId="37571D7C" w14:textId="77777777" w:rsidTr="002B7ABA">
      <w:trPr>
        <w:trHeight w:val="1012"/>
      </w:trPr>
      <w:tc>
        <w:tcPr>
          <w:tcW w:w="8642" w:type="dxa"/>
          <w:shd w:val="clear" w:color="auto" w:fill="E4F2E0"/>
        </w:tcPr>
        <w:p w14:paraId="61ACA587" w14:textId="6430B4CE" w:rsidR="002B7ABA" w:rsidRPr="002B7ABA" w:rsidRDefault="004A3D54" w:rsidP="004A3D54">
          <w:pPr>
            <w:pStyle w:val="Footer"/>
            <w:pBdr>
              <w:top w:val="none" w:sz="0" w:space="0" w:color="auto"/>
            </w:pBdr>
            <w:rPr>
              <w:rFonts w:ascii="Times New Roman" w:hAnsi="Times New Roman"/>
              <w:b/>
              <w:sz w:val="18"/>
              <w:szCs w:val="18"/>
            </w:rPr>
          </w:pPr>
          <w:bookmarkStart w:id="26" w:name="_Hlk80611440"/>
          <w:r w:rsidRPr="002B7ABA">
            <w:rPr>
              <w:rFonts w:ascii="Times New Roman" w:hAnsi="Times New Roman"/>
              <w:b/>
              <w:sz w:val="18"/>
              <w:szCs w:val="18"/>
            </w:rPr>
            <w:t xml:space="preserve">Attachment 1 </w:t>
          </w:r>
          <w:proofErr w:type="spellStart"/>
          <w:r w:rsidRPr="002B7ABA">
            <w:rPr>
              <w:rFonts w:ascii="Times New Roman" w:hAnsi="Times New Roman"/>
              <w:b/>
              <w:sz w:val="18"/>
              <w:szCs w:val="18"/>
            </w:rPr>
            <w:t>AusPAR</w:t>
          </w:r>
          <w:proofErr w:type="spellEnd"/>
          <w:r w:rsidRPr="002B7ABA">
            <w:rPr>
              <w:rFonts w:ascii="Times New Roman" w:hAnsi="Times New Roman"/>
              <w:b/>
              <w:sz w:val="18"/>
              <w:szCs w:val="18"/>
            </w:rPr>
            <w:t xml:space="preserve"> - Palynziq - </w:t>
          </w:r>
          <w:proofErr w:type="spellStart"/>
          <w:r w:rsidRPr="002B7ABA">
            <w:rPr>
              <w:rFonts w:ascii="Times New Roman" w:hAnsi="Times New Roman"/>
              <w:b/>
              <w:sz w:val="18"/>
              <w:szCs w:val="18"/>
            </w:rPr>
            <w:t>pegvaliase</w:t>
          </w:r>
          <w:proofErr w:type="spellEnd"/>
          <w:r w:rsidRPr="002B7ABA">
            <w:rPr>
              <w:rFonts w:ascii="Times New Roman" w:hAnsi="Times New Roman"/>
              <w:b/>
              <w:sz w:val="18"/>
              <w:szCs w:val="18"/>
            </w:rPr>
            <w:t xml:space="preserve"> - BioMarin Pharmaceutical Australia Pty Ltd - PM-2020-04119-1-3</w:t>
          </w:r>
          <w:r>
            <w:rPr>
              <w:rFonts w:ascii="Times New Roman" w:hAnsi="Times New Roman"/>
              <w:b/>
              <w:sz w:val="18"/>
              <w:szCs w:val="18"/>
            </w:rPr>
            <w:t xml:space="preserve"> </w:t>
          </w:r>
          <w:r w:rsidRPr="002B7ABA">
            <w:rPr>
              <w:rFonts w:ascii="Times New Roman" w:hAnsi="Times New Roman"/>
              <w:b/>
              <w:sz w:val="18"/>
              <w:szCs w:val="18"/>
            </w:rPr>
            <w:t xml:space="preserve">Final 26 November 2021. This is the Product Information that was approved with the submission described in this </w:t>
          </w:r>
          <w:proofErr w:type="spellStart"/>
          <w:r w:rsidRPr="002B7ABA">
            <w:rPr>
              <w:rFonts w:ascii="Times New Roman" w:hAnsi="Times New Roman"/>
              <w:b/>
              <w:sz w:val="18"/>
              <w:szCs w:val="18"/>
            </w:rPr>
            <w:t>AusPAR</w:t>
          </w:r>
          <w:proofErr w:type="spellEnd"/>
          <w:r w:rsidRPr="002B7ABA">
            <w:rPr>
              <w:rFonts w:ascii="Times New Roman" w:hAnsi="Times New Roman"/>
              <w:b/>
              <w:sz w:val="18"/>
              <w:szCs w:val="18"/>
            </w:rPr>
            <w:t xml:space="preserve">. It may have been superseded. For the most recent PI, please refer to the TGA website at </w:t>
          </w:r>
          <w:r w:rsidRPr="002B7ABA">
            <w:rPr>
              <w:rFonts w:ascii="Times New Roman" w:eastAsia="Calibri" w:hAnsi="Times New Roman"/>
              <w:b/>
              <w:sz w:val="18"/>
              <w:szCs w:val="18"/>
            </w:rPr>
            <w:t>&lt;</w:t>
          </w:r>
          <w:hyperlink r:id="rId1" w:history="1">
            <w:r w:rsidRPr="002B7ABA">
              <w:rPr>
                <w:rFonts w:ascii="Times New Roman" w:eastAsia="Calibri" w:hAnsi="Times New Roman"/>
                <w:b/>
                <w:color w:val="0000FF"/>
                <w:sz w:val="18"/>
                <w:szCs w:val="18"/>
              </w:rPr>
              <w:t>https://www.tga.gov.au/product-information-pi</w:t>
            </w:r>
          </w:hyperlink>
          <w:r w:rsidRPr="002B7ABA">
            <w:rPr>
              <w:rFonts w:ascii="Times New Roman" w:eastAsia="Calibri" w:hAnsi="Times New Roman"/>
              <w:b/>
              <w:color w:val="0000FF"/>
              <w:sz w:val="18"/>
              <w:szCs w:val="18"/>
            </w:rPr>
            <w:t>&gt;.</w:t>
          </w:r>
        </w:p>
      </w:tc>
    </w:tr>
    <w:bookmarkEnd w:id="26"/>
  </w:tbl>
  <w:p w14:paraId="0F7919E1" w14:textId="2D55286B" w:rsidR="002B7ABA" w:rsidRPr="00D86907" w:rsidRDefault="002B7ABA" w:rsidP="004970E9">
    <w:pPr>
      <w:pStyle w:val="Header"/>
      <w:pBdr>
        <w:bottom w:val="none" w:sz="0" w:space="0" w:color="auto"/>
      </w:pBdr>
      <w:jc w:val="left"/>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045345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4.25pt;height:13.8pt;visibility:visible;mso-wrap-style:square" o:bullet="t">
        <v:imagedata r:id="rId1" o:title=""/>
      </v:shape>
    </w:pict>
  </w:numPicBullet>
  <w:abstractNum w:abstractNumId="0" w15:restartNumberingAfterBreak="0">
    <w:nsid w:val="FFFFFF7C"/>
    <w:multiLevelType w:val="singleLevel"/>
    <w:tmpl w:val="29EA6D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B437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FA98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1E239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E9456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7A22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9E42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C034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6E09CC"/>
    <w:lvl w:ilvl="0">
      <w:start w:val="1"/>
      <w:numFmt w:val="decimal"/>
      <w:pStyle w:val="ListNumber"/>
      <w:lvlText w:val="%1."/>
      <w:lvlJc w:val="left"/>
      <w:pPr>
        <w:tabs>
          <w:tab w:val="num" w:pos="360"/>
        </w:tabs>
        <w:ind w:left="360" w:hanging="360"/>
      </w:pPr>
    </w:lvl>
  </w:abstractNum>
  <w:abstractNum w:abstractNumId="9" w15:restartNumberingAfterBreak="0">
    <w:nsid w:val="0B8B7BEB"/>
    <w:multiLevelType w:val="hybridMultilevel"/>
    <w:tmpl w:val="79C2A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0054FAC"/>
    <w:multiLevelType w:val="hybridMultilevel"/>
    <w:tmpl w:val="C316AA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EE398F"/>
    <w:multiLevelType w:val="hybridMultilevel"/>
    <w:tmpl w:val="AC722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78341C"/>
    <w:multiLevelType w:val="hybridMultilevel"/>
    <w:tmpl w:val="BAD8749E"/>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3" w15:restartNumberingAfterBreak="0">
    <w:nsid w:val="22F12E37"/>
    <w:multiLevelType w:val="hybridMultilevel"/>
    <w:tmpl w:val="4B487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A53841"/>
    <w:multiLevelType w:val="hybridMultilevel"/>
    <w:tmpl w:val="B4F82034"/>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5" w15:restartNumberingAfterBreak="0">
    <w:nsid w:val="493B1589"/>
    <w:multiLevelType w:val="hybridMultilevel"/>
    <w:tmpl w:val="9D66BD7E"/>
    <w:lvl w:ilvl="0" w:tplc="C2AE04BA">
      <w:start w:val="1"/>
      <w:numFmt w:val="lowerLetter"/>
      <w:pStyle w:val="ListAlpha"/>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65D115D"/>
    <w:multiLevelType w:val="hybridMultilevel"/>
    <w:tmpl w:val="449096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6"/>
  </w:num>
  <w:num w:numId="11">
    <w:abstractNumId w:val="13"/>
  </w:num>
  <w:num w:numId="12">
    <w:abstractNumId w:val="15"/>
  </w:num>
  <w:num w:numId="13">
    <w:abstractNumId w:val="9"/>
  </w:num>
  <w:num w:numId="14">
    <w:abstractNumId w:val="10"/>
  </w:num>
  <w:num w:numId="15">
    <w:abstractNumId w:val="14"/>
  </w:num>
  <w:num w:numId="16">
    <w:abstractNumId w:val="12"/>
  </w:num>
  <w:num w:numId="1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D9D"/>
    <w:rsid w:val="0000290E"/>
    <w:rsid w:val="00007085"/>
    <w:rsid w:val="00007E4B"/>
    <w:rsid w:val="00010915"/>
    <w:rsid w:val="000130BA"/>
    <w:rsid w:val="00015121"/>
    <w:rsid w:val="000154E8"/>
    <w:rsid w:val="000173A7"/>
    <w:rsid w:val="00017AB2"/>
    <w:rsid w:val="00025763"/>
    <w:rsid w:val="000258D5"/>
    <w:rsid w:val="0002661B"/>
    <w:rsid w:val="00035B45"/>
    <w:rsid w:val="000479CB"/>
    <w:rsid w:val="000600FF"/>
    <w:rsid w:val="00061BD9"/>
    <w:rsid w:val="00062429"/>
    <w:rsid w:val="00063563"/>
    <w:rsid w:val="000649AA"/>
    <w:rsid w:val="00067178"/>
    <w:rsid w:val="00067F0D"/>
    <w:rsid w:val="000754EA"/>
    <w:rsid w:val="000766BF"/>
    <w:rsid w:val="00081E17"/>
    <w:rsid w:val="00084329"/>
    <w:rsid w:val="00084564"/>
    <w:rsid w:val="00084BEE"/>
    <w:rsid w:val="0009068F"/>
    <w:rsid w:val="00093F77"/>
    <w:rsid w:val="00094930"/>
    <w:rsid w:val="00094E02"/>
    <w:rsid w:val="00095E7D"/>
    <w:rsid w:val="000A11F4"/>
    <w:rsid w:val="000B01D4"/>
    <w:rsid w:val="000B07BE"/>
    <w:rsid w:val="000B7F05"/>
    <w:rsid w:val="000C0D5D"/>
    <w:rsid w:val="000C22BB"/>
    <w:rsid w:val="000C2377"/>
    <w:rsid w:val="000C680A"/>
    <w:rsid w:val="000D23FA"/>
    <w:rsid w:val="000D48D8"/>
    <w:rsid w:val="000D7D75"/>
    <w:rsid w:val="000E062E"/>
    <w:rsid w:val="000E18DB"/>
    <w:rsid w:val="001003C1"/>
    <w:rsid w:val="00103B9E"/>
    <w:rsid w:val="00107897"/>
    <w:rsid w:val="001128D1"/>
    <w:rsid w:val="00112B2A"/>
    <w:rsid w:val="001144F7"/>
    <w:rsid w:val="00116FD9"/>
    <w:rsid w:val="00126740"/>
    <w:rsid w:val="00127FA4"/>
    <w:rsid w:val="0013363A"/>
    <w:rsid w:val="00144C8A"/>
    <w:rsid w:val="00147924"/>
    <w:rsid w:val="00156233"/>
    <w:rsid w:val="0016048B"/>
    <w:rsid w:val="00162216"/>
    <w:rsid w:val="00162DEB"/>
    <w:rsid w:val="00165878"/>
    <w:rsid w:val="001710E6"/>
    <w:rsid w:val="00171696"/>
    <w:rsid w:val="00177EB7"/>
    <w:rsid w:val="00185A54"/>
    <w:rsid w:val="001A7029"/>
    <w:rsid w:val="001A79CF"/>
    <w:rsid w:val="001C4998"/>
    <w:rsid w:val="001C66A0"/>
    <w:rsid w:val="001E1110"/>
    <w:rsid w:val="001F1F7E"/>
    <w:rsid w:val="001F4D9F"/>
    <w:rsid w:val="002062A3"/>
    <w:rsid w:val="00210754"/>
    <w:rsid w:val="00220A70"/>
    <w:rsid w:val="00220DB3"/>
    <w:rsid w:val="0022776A"/>
    <w:rsid w:val="00232990"/>
    <w:rsid w:val="00236810"/>
    <w:rsid w:val="00241975"/>
    <w:rsid w:val="00242B21"/>
    <w:rsid w:val="00246EB7"/>
    <w:rsid w:val="00255818"/>
    <w:rsid w:val="00260F70"/>
    <w:rsid w:val="0026206E"/>
    <w:rsid w:val="00262CEC"/>
    <w:rsid w:val="00272013"/>
    <w:rsid w:val="00277C40"/>
    <w:rsid w:val="00280469"/>
    <w:rsid w:val="002816C4"/>
    <w:rsid w:val="00283A89"/>
    <w:rsid w:val="00286042"/>
    <w:rsid w:val="00287AFF"/>
    <w:rsid w:val="0029154B"/>
    <w:rsid w:val="0029499E"/>
    <w:rsid w:val="00295ABE"/>
    <w:rsid w:val="002A1BB3"/>
    <w:rsid w:val="002A2283"/>
    <w:rsid w:val="002A5790"/>
    <w:rsid w:val="002B1B66"/>
    <w:rsid w:val="002B7ABA"/>
    <w:rsid w:val="002C465B"/>
    <w:rsid w:val="002C71B4"/>
    <w:rsid w:val="002D45B4"/>
    <w:rsid w:val="002E43DC"/>
    <w:rsid w:val="002E49BC"/>
    <w:rsid w:val="002E6B11"/>
    <w:rsid w:val="002F0881"/>
    <w:rsid w:val="002F4467"/>
    <w:rsid w:val="002F570D"/>
    <w:rsid w:val="00300235"/>
    <w:rsid w:val="0030085C"/>
    <w:rsid w:val="00307071"/>
    <w:rsid w:val="00311E37"/>
    <w:rsid w:val="0031204D"/>
    <w:rsid w:val="003155CC"/>
    <w:rsid w:val="00316B9E"/>
    <w:rsid w:val="00320C44"/>
    <w:rsid w:val="00324CF6"/>
    <w:rsid w:val="00332C7A"/>
    <w:rsid w:val="00336375"/>
    <w:rsid w:val="003372FB"/>
    <w:rsid w:val="0034037C"/>
    <w:rsid w:val="003452E2"/>
    <w:rsid w:val="003520A5"/>
    <w:rsid w:val="00357100"/>
    <w:rsid w:val="00357841"/>
    <w:rsid w:val="00361478"/>
    <w:rsid w:val="00361578"/>
    <w:rsid w:val="003622EE"/>
    <w:rsid w:val="003678AC"/>
    <w:rsid w:val="00372ED1"/>
    <w:rsid w:val="00377D1B"/>
    <w:rsid w:val="00383798"/>
    <w:rsid w:val="00383AE5"/>
    <w:rsid w:val="00397590"/>
    <w:rsid w:val="003A3442"/>
    <w:rsid w:val="003A3487"/>
    <w:rsid w:val="003A51F8"/>
    <w:rsid w:val="003B1A72"/>
    <w:rsid w:val="003B55AB"/>
    <w:rsid w:val="003B6115"/>
    <w:rsid w:val="003B7AE6"/>
    <w:rsid w:val="003C5AD6"/>
    <w:rsid w:val="003C7CC3"/>
    <w:rsid w:val="003D25A7"/>
    <w:rsid w:val="003D67C3"/>
    <w:rsid w:val="003E002C"/>
    <w:rsid w:val="003E0649"/>
    <w:rsid w:val="003E5AE9"/>
    <w:rsid w:val="003E63AB"/>
    <w:rsid w:val="003E6E96"/>
    <w:rsid w:val="003E7F03"/>
    <w:rsid w:val="003F2738"/>
    <w:rsid w:val="003F5088"/>
    <w:rsid w:val="003F7894"/>
    <w:rsid w:val="00401D84"/>
    <w:rsid w:val="00412529"/>
    <w:rsid w:val="00412CFA"/>
    <w:rsid w:val="00413411"/>
    <w:rsid w:val="004139C8"/>
    <w:rsid w:val="00415C64"/>
    <w:rsid w:val="004168E5"/>
    <w:rsid w:val="00423418"/>
    <w:rsid w:val="004257FB"/>
    <w:rsid w:val="00430863"/>
    <w:rsid w:val="004358A1"/>
    <w:rsid w:val="004359A6"/>
    <w:rsid w:val="00441730"/>
    <w:rsid w:val="00445090"/>
    <w:rsid w:val="00445294"/>
    <w:rsid w:val="0044558B"/>
    <w:rsid w:val="004542FF"/>
    <w:rsid w:val="0046085F"/>
    <w:rsid w:val="004637A9"/>
    <w:rsid w:val="00466165"/>
    <w:rsid w:val="0047120C"/>
    <w:rsid w:val="004756E8"/>
    <w:rsid w:val="0047611B"/>
    <w:rsid w:val="00476910"/>
    <w:rsid w:val="00477AA7"/>
    <w:rsid w:val="00482275"/>
    <w:rsid w:val="004824FD"/>
    <w:rsid w:val="004853BF"/>
    <w:rsid w:val="0049129C"/>
    <w:rsid w:val="00491D9D"/>
    <w:rsid w:val="004970E9"/>
    <w:rsid w:val="0049779A"/>
    <w:rsid w:val="004A3C03"/>
    <w:rsid w:val="004A3D54"/>
    <w:rsid w:val="004A4A6E"/>
    <w:rsid w:val="004A6F6E"/>
    <w:rsid w:val="004B41FB"/>
    <w:rsid w:val="004C532E"/>
    <w:rsid w:val="004D28AE"/>
    <w:rsid w:val="004D2B84"/>
    <w:rsid w:val="004D4DCD"/>
    <w:rsid w:val="004D72FF"/>
    <w:rsid w:val="004E067C"/>
    <w:rsid w:val="004E0B69"/>
    <w:rsid w:val="004E1F8C"/>
    <w:rsid w:val="004F2A9D"/>
    <w:rsid w:val="004F5316"/>
    <w:rsid w:val="00502BFE"/>
    <w:rsid w:val="0050639E"/>
    <w:rsid w:val="00507C95"/>
    <w:rsid w:val="00516E29"/>
    <w:rsid w:val="00520D4C"/>
    <w:rsid w:val="00520F30"/>
    <w:rsid w:val="00521181"/>
    <w:rsid w:val="00541751"/>
    <w:rsid w:val="005425D3"/>
    <w:rsid w:val="0054649D"/>
    <w:rsid w:val="00552C22"/>
    <w:rsid w:val="00566527"/>
    <w:rsid w:val="00566FC5"/>
    <w:rsid w:val="00574383"/>
    <w:rsid w:val="0057750D"/>
    <w:rsid w:val="00581150"/>
    <w:rsid w:val="005851A3"/>
    <w:rsid w:val="005A0CE1"/>
    <w:rsid w:val="005A21D3"/>
    <w:rsid w:val="005B08A9"/>
    <w:rsid w:val="005B54B8"/>
    <w:rsid w:val="005C225F"/>
    <w:rsid w:val="005C410E"/>
    <w:rsid w:val="005C62FE"/>
    <w:rsid w:val="005C682D"/>
    <w:rsid w:val="005C6944"/>
    <w:rsid w:val="005D24BA"/>
    <w:rsid w:val="005D51A4"/>
    <w:rsid w:val="005D6559"/>
    <w:rsid w:val="005D68B3"/>
    <w:rsid w:val="005E574D"/>
    <w:rsid w:val="005F0DC7"/>
    <w:rsid w:val="005F6816"/>
    <w:rsid w:val="005F750B"/>
    <w:rsid w:val="00600DE1"/>
    <w:rsid w:val="0060172E"/>
    <w:rsid w:val="00603C1D"/>
    <w:rsid w:val="00607BF3"/>
    <w:rsid w:val="006148C7"/>
    <w:rsid w:val="00621E9E"/>
    <w:rsid w:val="00624378"/>
    <w:rsid w:val="006260E0"/>
    <w:rsid w:val="00634781"/>
    <w:rsid w:val="006360D0"/>
    <w:rsid w:val="00637FC6"/>
    <w:rsid w:val="006414CA"/>
    <w:rsid w:val="00647EAF"/>
    <w:rsid w:val="00650ED4"/>
    <w:rsid w:val="006510A3"/>
    <w:rsid w:val="006518B2"/>
    <w:rsid w:val="00652537"/>
    <w:rsid w:val="006525B1"/>
    <w:rsid w:val="00653928"/>
    <w:rsid w:val="006560EB"/>
    <w:rsid w:val="0066115B"/>
    <w:rsid w:val="00662CCF"/>
    <w:rsid w:val="00681F02"/>
    <w:rsid w:val="00696916"/>
    <w:rsid w:val="00696D9D"/>
    <w:rsid w:val="006A355C"/>
    <w:rsid w:val="006A6877"/>
    <w:rsid w:val="006A7D55"/>
    <w:rsid w:val="006B0066"/>
    <w:rsid w:val="006B1159"/>
    <w:rsid w:val="006B1EC7"/>
    <w:rsid w:val="006B45EB"/>
    <w:rsid w:val="006C1C9B"/>
    <w:rsid w:val="006C3C63"/>
    <w:rsid w:val="006D527C"/>
    <w:rsid w:val="006E37A9"/>
    <w:rsid w:val="006E3D38"/>
    <w:rsid w:val="006F2A1C"/>
    <w:rsid w:val="006F4B16"/>
    <w:rsid w:val="00701689"/>
    <w:rsid w:val="00704946"/>
    <w:rsid w:val="007062B1"/>
    <w:rsid w:val="00710964"/>
    <w:rsid w:val="0071166D"/>
    <w:rsid w:val="00715895"/>
    <w:rsid w:val="0072514A"/>
    <w:rsid w:val="00732FAD"/>
    <w:rsid w:val="00741236"/>
    <w:rsid w:val="00744EFF"/>
    <w:rsid w:val="00745171"/>
    <w:rsid w:val="00746D0B"/>
    <w:rsid w:val="007575D6"/>
    <w:rsid w:val="007578BB"/>
    <w:rsid w:val="007615B5"/>
    <w:rsid w:val="00762A26"/>
    <w:rsid w:val="00763A9A"/>
    <w:rsid w:val="00780C3B"/>
    <w:rsid w:val="00780F87"/>
    <w:rsid w:val="00782BE3"/>
    <w:rsid w:val="00782F49"/>
    <w:rsid w:val="00783CD7"/>
    <w:rsid w:val="00785850"/>
    <w:rsid w:val="00787599"/>
    <w:rsid w:val="007A33CA"/>
    <w:rsid w:val="007A4EF8"/>
    <w:rsid w:val="007B2D8A"/>
    <w:rsid w:val="007B367B"/>
    <w:rsid w:val="007B4E9B"/>
    <w:rsid w:val="007C0FE8"/>
    <w:rsid w:val="007C2C46"/>
    <w:rsid w:val="007C35B7"/>
    <w:rsid w:val="007C7707"/>
    <w:rsid w:val="007D01A3"/>
    <w:rsid w:val="007D0F82"/>
    <w:rsid w:val="007E4BE7"/>
    <w:rsid w:val="007E6FA9"/>
    <w:rsid w:val="007F2A08"/>
    <w:rsid w:val="007F6823"/>
    <w:rsid w:val="00802169"/>
    <w:rsid w:val="00802652"/>
    <w:rsid w:val="00804DC3"/>
    <w:rsid w:val="00824ABD"/>
    <w:rsid w:val="0082659E"/>
    <w:rsid w:val="008270DC"/>
    <w:rsid w:val="0082773B"/>
    <w:rsid w:val="00830A33"/>
    <w:rsid w:val="00831DC7"/>
    <w:rsid w:val="00836008"/>
    <w:rsid w:val="00841B2D"/>
    <w:rsid w:val="00844D32"/>
    <w:rsid w:val="008450DE"/>
    <w:rsid w:val="00845752"/>
    <w:rsid w:val="00846DB1"/>
    <w:rsid w:val="0085095E"/>
    <w:rsid w:val="00851A12"/>
    <w:rsid w:val="00851A85"/>
    <w:rsid w:val="0086070C"/>
    <w:rsid w:val="00861786"/>
    <w:rsid w:val="008642F3"/>
    <w:rsid w:val="00865E53"/>
    <w:rsid w:val="00866410"/>
    <w:rsid w:val="008706E4"/>
    <w:rsid w:val="008713C8"/>
    <w:rsid w:val="00871ACD"/>
    <w:rsid w:val="0087208E"/>
    <w:rsid w:val="00877791"/>
    <w:rsid w:val="00877EB3"/>
    <w:rsid w:val="0088645F"/>
    <w:rsid w:val="008922E8"/>
    <w:rsid w:val="00893EF4"/>
    <w:rsid w:val="008940DA"/>
    <w:rsid w:val="008941AB"/>
    <w:rsid w:val="008A2A8C"/>
    <w:rsid w:val="008A794A"/>
    <w:rsid w:val="008B344D"/>
    <w:rsid w:val="008B6C38"/>
    <w:rsid w:val="008C3577"/>
    <w:rsid w:val="008C3E31"/>
    <w:rsid w:val="008D711E"/>
    <w:rsid w:val="008E17DD"/>
    <w:rsid w:val="008E19C8"/>
    <w:rsid w:val="008E340F"/>
    <w:rsid w:val="008E4097"/>
    <w:rsid w:val="0090223A"/>
    <w:rsid w:val="00907E7D"/>
    <w:rsid w:val="00912AE8"/>
    <w:rsid w:val="00922CD2"/>
    <w:rsid w:val="00932263"/>
    <w:rsid w:val="00933DC0"/>
    <w:rsid w:val="00934AD3"/>
    <w:rsid w:val="00945D43"/>
    <w:rsid w:val="00947B19"/>
    <w:rsid w:val="009505EF"/>
    <w:rsid w:val="00951990"/>
    <w:rsid w:val="00952366"/>
    <w:rsid w:val="00954056"/>
    <w:rsid w:val="009718E1"/>
    <w:rsid w:val="00977539"/>
    <w:rsid w:val="0098018C"/>
    <w:rsid w:val="00982A97"/>
    <w:rsid w:val="00992112"/>
    <w:rsid w:val="00993AEC"/>
    <w:rsid w:val="00994A73"/>
    <w:rsid w:val="00994C1D"/>
    <w:rsid w:val="00995975"/>
    <w:rsid w:val="009A2189"/>
    <w:rsid w:val="009A4288"/>
    <w:rsid w:val="009B2675"/>
    <w:rsid w:val="009C248B"/>
    <w:rsid w:val="009C4BA7"/>
    <w:rsid w:val="009C71B9"/>
    <w:rsid w:val="009D11C6"/>
    <w:rsid w:val="009D3AEB"/>
    <w:rsid w:val="009D51CD"/>
    <w:rsid w:val="009E0BF2"/>
    <w:rsid w:val="009E1CBE"/>
    <w:rsid w:val="009E54E0"/>
    <w:rsid w:val="009E589C"/>
    <w:rsid w:val="009E5BAE"/>
    <w:rsid w:val="009E647C"/>
    <w:rsid w:val="009E7689"/>
    <w:rsid w:val="009F0747"/>
    <w:rsid w:val="009F29A1"/>
    <w:rsid w:val="009F5EBB"/>
    <w:rsid w:val="00A02CA2"/>
    <w:rsid w:val="00A12140"/>
    <w:rsid w:val="00A15668"/>
    <w:rsid w:val="00A23981"/>
    <w:rsid w:val="00A278B7"/>
    <w:rsid w:val="00A324CF"/>
    <w:rsid w:val="00A359A1"/>
    <w:rsid w:val="00A36B17"/>
    <w:rsid w:val="00A41225"/>
    <w:rsid w:val="00A45307"/>
    <w:rsid w:val="00A47D08"/>
    <w:rsid w:val="00A47E73"/>
    <w:rsid w:val="00A64267"/>
    <w:rsid w:val="00A71CFD"/>
    <w:rsid w:val="00A735B2"/>
    <w:rsid w:val="00A74E71"/>
    <w:rsid w:val="00A77008"/>
    <w:rsid w:val="00A81E9B"/>
    <w:rsid w:val="00A83E3D"/>
    <w:rsid w:val="00A85D82"/>
    <w:rsid w:val="00A86B42"/>
    <w:rsid w:val="00A87208"/>
    <w:rsid w:val="00A8778F"/>
    <w:rsid w:val="00A935A0"/>
    <w:rsid w:val="00A9684D"/>
    <w:rsid w:val="00A9781B"/>
    <w:rsid w:val="00AA0B5D"/>
    <w:rsid w:val="00AA442C"/>
    <w:rsid w:val="00AA4497"/>
    <w:rsid w:val="00AA477E"/>
    <w:rsid w:val="00AA6A56"/>
    <w:rsid w:val="00AB3FFF"/>
    <w:rsid w:val="00AB6D75"/>
    <w:rsid w:val="00AC220C"/>
    <w:rsid w:val="00AC3A8F"/>
    <w:rsid w:val="00AC5069"/>
    <w:rsid w:val="00AD18AF"/>
    <w:rsid w:val="00AD2C8B"/>
    <w:rsid w:val="00AD373E"/>
    <w:rsid w:val="00AD4B6E"/>
    <w:rsid w:val="00AD782A"/>
    <w:rsid w:val="00AE147F"/>
    <w:rsid w:val="00AE5D2D"/>
    <w:rsid w:val="00AE7CD1"/>
    <w:rsid w:val="00AF11EA"/>
    <w:rsid w:val="00AF3BFB"/>
    <w:rsid w:val="00AF745B"/>
    <w:rsid w:val="00B16055"/>
    <w:rsid w:val="00B2322B"/>
    <w:rsid w:val="00B252E4"/>
    <w:rsid w:val="00B30174"/>
    <w:rsid w:val="00B356B7"/>
    <w:rsid w:val="00B37389"/>
    <w:rsid w:val="00B504AA"/>
    <w:rsid w:val="00B515A3"/>
    <w:rsid w:val="00B521D9"/>
    <w:rsid w:val="00B53EC3"/>
    <w:rsid w:val="00B663F3"/>
    <w:rsid w:val="00B6682D"/>
    <w:rsid w:val="00B71946"/>
    <w:rsid w:val="00B8142E"/>
    <w:rsid w:val="00B81465"/>
    <w:rsid w:val="00B922A1"/>
    <w:rsid w:val="00B959F0"/>
    <w:rsid w:val="00B95A26"/>
    <w:rsid w:val="00BA0B09"/>
    <w:rsid w:val="00BA36EE"/>
    <w:rsid w:val="00BB2271"/>
    <w:rsid w:val="00BB3257"/>
    <w:rsid w:val="00BB3272"/>
    <w:rsid w:val="00BB6CA7"/>
    <w:rsid w:val="00BB7E7B"/>
    <w:rsid w:val="00BC096F"/>
    <w:rsid w:val="00BC44B1"/>
    <w:rsid w:val="00BC463A"/>
    <w:rsid w:val="00BC6AAE"/>
    <w:rsid w:val="00BD1288"/>
    <w:rsid w:val="00BD1E2B"/>
    <w:rsid w:val="00BE09DC"/>
    <w:rsid w:val="00BE2ACF"/>
    <w:rsid w:val="00BE2FB6"/>
    <w:rsid w:val="00BE417E"/>
    <w:rsid w:val="00BE69F2"/>
    <w:rsid w:val="00BE707D"/>
    <w:rsid w:val="00BF21F4"/>
    <w:rsid w:val="00BF4D2B"/>
    <w:rsid w:val="00BF738D"/>
    <w:rsid w:val="00BF7DFB"/>
    <w:rsid w:val="00C0067B"/>
    <w:rsid w:val="00C03460"/>
    <w:rsid w:val="00C13CEB"/>
    <w:rsid w:val="00C23FFE"/>
    <w:rsid w:val="00C32744"/>
    <w:rsid w:val="00C32B8E"/>
    <w:rsid w:val="00C3328C"/>
    <w:rsid w:val="00C335AF"/>
    <w:rsid w:val="00C36F05"/>
    <w:rsid w:val="00C372C1"/>
    <w:rsid w:val="00C40587"/>
    <w:rsid w:val="00C40C7D"/>
    <w:rsid w:val="00C451F1"/>
    <w:rsid w:val="00C67E98"/>
    <w:rsid w:val="00C70FA3"/>
    <w:rsid w:val="00C71372"/>
    <w:rsid w:val="00C81C72"/>
    <w:rsid w:val="00C86745"/>
    <w:rsid w:val="00C908A8"/>
    <w:rsid w:val="00C94F11"/>
    <w:rsid w:val="00CA2640"/>
    <w:rsid w:val="00CA2C60"/>
    <w:rsid w:val="00CA53C5"/>
    <w:rsid w:val="00CA7EC4"/>
    <w:rsid w:val="00CB5BAB"/>
    <w:rsid w:val="00CB79D3"/>
    <w:rsid w:val="00CC4D92"/>
    <w:rsid w:val="00CC592F"/>
    <w:rsid w:val="00CC5BB4"/>
    <w:rsid w:val="00CC676C"/>
    <w:rsid w:val="00CC7540"/>
    <w:rsid w:val="00CD0033"/>
    <w:rsid w:val="00CD7A29"/>
    <w:rsid w:val="00CE15FE"/>
    <w:rsid w:val="00CE3183"/>
    <w:rsid w:val="00CF1445"/>
    <w:rsid w:val="00D001E4"/>
    <w:rsid w:val="00D02612"/>
    <w:rsid w:val="00D038A9"/>
    <w:rsid w:val="00D05F31"/>
    <w:rsid w:val="00D066DD"/>
    <w:rsid w:val="00D124B9"/>
    <w:rsid w:val="00D15332"/>
    <w:rsid w:val="00D16638"/>
    <w:rsid w:val="00D2336B"/>
    <w:rsid w:val="00D42D1F"/>
    <w:rsid w:val="00D43A44"/>
    <w:rsid w:val="00D45A27"/>
    <w:rsid w:val="00D5359C"/>
    <w:rsid w:val="00D60166"/>
    <w:rsid w:val="00D621B2"/>
    <w:rsid w:val="00D64D17"/>
    <w:rsid w:val="00D66E2F"/>
    <w:rsid w:val="00D674AC"/>
    <w:rsid w:val="00D72499"/>
    <w:rsid w:val="00D7263B"/>
    <w:rsid w:val="00D86907"/>
    <w:rsid w:val="00D87FDE"/>
    <w:rsid w:val="00D9432A"/>
    <w:rsid w:val="00D95E17"/>
    <w:rsid w:val="00DA2569"/>
    <w:rsid w:val="00DA6B08"/>
    <w:rsid w:val="00DA7109"/>
    <w:rsid w:val="00DA7594"/>
    <w:rsid w:val="00DC0D60"/>
    <w:rsid w:val="00DC17E6"/>
    <w:rsid w:val="00DC4C2E"/>
    <w:rsid w:val="00DC6E58"/>
    <w:rsid w:val="00DC7B85"/>
    <w:rsid w:val="00DD6FB1"/>
    <w:rsid w:val="00DE1E0D"/>
    <w:rsid w:val="00DE49D9"/>
    <w:rsid w:val="00DF0F90"/>
    <w:rsid w:val="00DF2997"/>
    <w:rsid w:val="00DF38FF"/>
    <w:rsid w:val="00DF3D6B"/>
    <w:rsid w:val="00DF70AE"/>
    <w:rsid w:val="00DF7C33"/>
    <w:rsid w:val="00E00061"/>
    <w:rsid w:val="00E01C57"/>
    <w:rsid w:val="00E057BB"/>
    <w:rsid w:val="00E1332D"/>
    <w:rsid w:val="00E226C9"/>
    <w:rsid w:val="00E23E73"/>
    <w:rsid w:val="00E24B38"/>
    <w:rsid w:val="00E2530E"/>
    <w:rsid w:val="00E330CC"/>
    <w:rsid w:val="00E3736B"/>
    <w:rsid w:val="00E4110B"/>
    <w:rsid w:val="00E46B4B"/>
    <w:rsid w:val="00E5015E"/>
    <w:rsid w:val="00E551DF"/>
    <w:rsid w:val="00E56E85"/>
    <w:rsid w:val="00E634A2"/>
    <w:rsid w:val="00E720C7"/>
    <w:rsid w:val="00E74795"/>
    <w:rsid w:val="00E80448"/>
    <w:rsid w:val="00E836A4"/>
    <w:rsid w:val="00E857B0"/>
    <w:rsid w:val="00E91363"/>
    <w:rsid w:val="00E95809"/>
    <w:rsid w:val="00E97DFE"/>
    <w:rsid w:val="00EA0D05"/>
    <w:rsid w:val="00EA10D4"/>
    <w:rsid w:val="00EA6B16"/>
    <w:rsid w:val="00EB29A3"/>
    <w:rsid w:val="00EB5C91"/>
    <w:rsid w:val="00EE0564"/>
    <w:rsid w:val="00EE08A7"/>
    <w:rsid w:val="00EE2899"/>
    <w:rsid w:val="00EE47EE"/>
    <w:rsid w:val="00EE5503"/>
    <w:rsid w:val="00EE5D55"/>
    <w:rsid w:val="00EE79B0"/>
    <w:rsid w:val="00EF0489"/>
    <w:rsid w:val="00EF1AC2"/>
    <w:rsid w:val="00EF3180"/>
    <w:rsid w:val="00EF3571"/>
    <w:rsid w:val="00EF7641"/>
    <w:rsid w:val="00F072F8"/>
    <w:rsid w:val="00F10A0D"/>
    <w:rsid w:val="00F17012"/>
    <w:rsid w:val="00F22FD0"/>
    <w:rsid w:val="00F32E33"/>
    <w:rsid w:val="00F4287E"/>
    <w:rsid w:val="00F4368C"/>
    <w:rsid w:val="00F45885"/>
    <w:rsid w:val="00F4705A"/>
    <w:rsid w:val="00F52D88"/>
    <w:rsid w:val="00F5337F"/>
    <w:rsid w:val="00F67EC5"/>
    <w:rsid w:val="00F82AA2"/>
    <w:rsid w:val="00F836BD"/>
    <w:rsid w:val="00F912C5"/>
    <w:rsid w:val="00FA28A3"/>
    <w:rsid w:val="00FB0140"/>
    <w:rsid w:val="00FB03D0"/>
    <w:rsid w:val="00FB21C2"/>
    <w:rsid w:val="00FB2D04"/>
    <w:rsid w:val="00FD23FE"/>
    <w:rsid w:val="00FD3FD6"/>
    <w:rsid w:val="00FE025D"/>
    <w:rsid w:val="00FF295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F3346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BE"/>
    <w:pPr>
      <w:spacing w:after="240"/>
    </w:pPr>
    <w:rPr>
      <w:rFonts w:ascii="Arial Narrow" w:hAnsi="Arial Narrow"/>
      <w:sz w:val="24"/>
    </w:rPr>
  </w:style>
  <w:style w:type="paragraph" w:styleId="Heading1">
    <w:name w:val="heading 1"/>
    <w:basedOn w:val="Normal"/>
    <w:next w:val="Normal"/>
    <w:link w:val="Heading1Char"/>
    <w:qFormat/>
    <w:rsid w:val="00E1332D"/>
    <w:pPr>
      <w:spacing w:before="360" w:after="120"/>
      <w:ind w:left="567" w:hanging="567"/>
      <w:contextualSpacing/>
      <w:outlineLvl w:val="0"/>
    </w:pPr>
    <w:rPr>
      <w:b/>
      <w:caps/>
      <w:sz w:val="26"/>
    </w:rPr>
  </w:style>
  <w:style w:type="paragraph" w:styleId="Heading2">
    <w:name w:val="heading 2"/>
    <w:basedOn w:val="Normal"/>
    <w:next w:val="Normal"/>
    <w:link w:val="Heading2Char"/>
    <w:uiPriority w:val="99"/>
    <w:unhideWhenUsed/>
    <w:qFormat/>
    <w:rsid w:val="00EE08A7"/>
    <w:pPr>
      <w:spacing w:before="200" w:after="120"/>
      <w:contextualSpacing/>
      <w:outlineLvl w:val="1"/>
    </w:pPr>
    <w:rPr>
      <w:b/>
      <w:caps/>
      <w:sz w:val="26"/>
    </w:rPr>
  </w:style>
  <w:style w:type="paragraph" w:styleId="Heading3">
    <w:name w:val="heading 3"/>
    <w:basedOn w:val="Normal"/>
    <w:next w:val="Normal"/>
    <w:link w:val="Heading3Char"/>
    <w:qFormat/>
    <w:rsid w:val="00E2530E"/>
    <w:pPr>
      <w:spacing w:before="200" w:after="80"/>
      <w:contextualSpacing/>
      <w:outlineLvl w:val="2"/>
    </w:pPr>
    <w:rPr>
      <w:b/>
    </w:rPr>
  </w:style>
  <w:style w:type="paragraph" w:styleId="Heading4">
    <w:name w:val="heading 4"/>
    <w:basedOn w:val="BodyText1"/>
    <w:next w:val="Normal"/>
    <w:link w:val="Heading4Char"/>
    <w:uiPriority w:val="9"/>
    <w:unhideWhenUsed/>
    <w:qFormat/>
    <w:rsid w:val="001F1F7E"/>
    <w:pPr>
      <w:outlineLvl w:val="3"/>
    </w:pPr>
    <w:rPr>
      <w:b/>
      <w:bCs/>
      <w:i/>
      <w:lang w:val="en-GB"/>
    </w:rPr>
  </w:style>
  <w:style w:type="paragraph" w:styleId="Heading5">
    <w:name w:val="heading 5"/>
    <w:basedOn w:val="Heading4"/>
    <w:next w:val="Normal"/>
    <w:link w:val="Heading5Char"/>
    <w:uiPriority w:val="9"/>
    <w:unhideWhenUsed/>
    <w:qFormat/>
    <w:rsid w:val="009718E1"/>
    <w:pPr>
      <w:outlineLvl w:val="4"/>
    </w:pPr>
    <w:rPr>
      <w:i w:val="0"/>
    </w:rPr>
  </w:style>
  <w:style w:type="paragraph" w:styleId="Heading6">
    <w:name w:val="heading 6"/>
    <w:basedOn w:val="Normal"/>
    <w:next w:val="Normal"/>
    <w:link w:val="Heading6Char"/>
    <w:uiPriority w:val="9"/>
    <w:semiHidden/>
    <w:unhideWhenUsed/>
    <w:qFormat/>
    <w:rsid w:val="00877EB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77EB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77EB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7E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4E9B"/>
    <w:pPr>
      <w:pBdr>
        <w:bottom w:val="single" w:sz="4" w:space="1" w:color="auto"/>
      </w:pBdr>
      <w:tabs>
        <w:tab w:val="center" w:pos="4513"/>
        <w:tab w:val="right" w:pos="9026"/>
      </w:tabs>
      <w:jc w:val="right"/>
    </w:pPr>
  </w:style>
  <w:style w:type="character" w:customStyle="1" w:styleId="HeaderChar">
    <w:name w:val="Header Char"/>
    <w:basedOn w:val="DefaultParagraphFont"/>
    <w:link w:val="Header"/>
    <w:rsid w:val="007B4E9B"/>
  </w:style>
  <w:style w:type="paragraph" w:styleId="Footer">
    <w:name w:val="footer"/>
    <w:basedOn w:val="Normal"/>
    <w:link w:val="FooterChar"/>
    <w:unhideWhenUsed/>
    <w:rsid w:val="007B4E9B"/>
    <w:pPr>
      <w:pBdr>
        <w:top w:val="single" w:sz="4" w:space="1" w:color="auto"/>
      </w:pBdr>
      <w:tabs>
        <w:tab w:val="left" w:pos="0"/>
        <w:tab w:val="center" w:pos="4536"/>
        <w:tab w:val="right" w:pos="9072"/>
      </w:tabs>
    </w:pPr>
  </w:style>
  <w:style w:type="character" w:customStyle="1" w:styleId="FooterChar">
    <w:name w:val="Footer Char"/>
    <w:basedOn w:val="DefaultParagraphFont"/>
    <w:link w:val="Footer"/>
    <w:rsid w:val="007B4E9B"/>
  </w:style>
  <w:style w:type="paragraph" w:customStyle="1" w:styleId="0MainTitle">
    <w:name w:val="0.Main Title"/>
    <w:basedOn w:val="Normal"/>
    <w:rsid w:val="00E2530E"/>
    <w:pPr>
      <w:spacing w:before="120" w:after="120"/>
    </w:pPr>
    <w:rPr>
      <w:rFonts w:eastAsia="Times New Roman"/>
      <w:b/>
      <w:caps/>
      <w:sz w:val="40"/>
    </w:rPr>
  </w:style>
  <w:style w:type="paragraph" w:styleId="ListParagraph">
    <w:name w:val="List Paragraph"/>
    <w:aliases w:val="Heading3"/>
    <w:basedOn w:val="Normal"/>
    <w:uiPriority w:val="1"/>
    <w:qFormat/>
    <w:rsid w:val="004A6F6E"/>
    <w:pPr>
      <w:ind w:left="720"/>
      <w:contextualSpacing/>
    </w:pPr>
  </w:style>
  <w:style w:type="paragraph" w:customStyle="1" w:styleId="BodyText1">
    <w:name w:val="Body Text1"/>
    <w:basedOn w:val="Normal"/>
    <w:qFormat/>
    <w:rsid w:val="00D72499"/>
    <w:pPr>
      <w:spacing w:after="120"/>
      <w:jc w:val="both"/>
    </w:pPr>
  </w:style>
  <w:style w:type="character" w:styleId="CommentReference">
    <w:name w:val="annotation reference"/>
    <w:basedOn w:val="DefaultParagraphFont"/>
    <w:uiPriority w:val="99"/>
    <w:unhideWhenUsed/>
    <w:rsid w:val="006A7D55"/>
    <w:rPr>
      <w:sz w:val="16"/>
      <w:szCs w:val="16"/>
    </w:rPr>
  </w:style>
  <w:style w:type="paragraph" w:styleId="CommentText">
    <w:name w:val="annotation text"/>
    <w:basedOn w:val="Normal"/>
    <w:link w:val="CommentTextChar"/>
    <w:uiPriority w:val="99"/>
    <w:unhideWhenUsed/>
    <w:rsid w:val="006A7D55"/>
  </w:style>
  <w:style w:type="character" w:customStyle="1" w:styleId="CommentTextChar">
    <w:name w:val="Comment Text Char"/>
    <w:basedOn w:val="DefaultParagraphFont"/>
    <w:link w:val="CommentText"/>
    <w:uiPriority w:val="99"/>
    <w:rsid w:val="006A7D55"/>
  </w:style>
  <w:style w:type="paragraph" w:styleId="CommentSubject">
    <w:name w:val="annotation subject"/>
    <w:basedOn w:val="CommentText"/>
    <w:next w:val="CommentText"/>
    <w:link w:val="CommentSubjectChar"/>
    <w:unhideWhenUsed/>
    <w:rsid w:val="006A7D55"/>
    <w:rPr>
      <w:b/>
      <w:bCs/>
    </w:rPr>
  </w:style>
  <w:style w:type="character" w:customStyle="1" w:styleId="CommentSubjectChar">
    <w:name w:val="Comment Subject Char"/>
    <w:basedOn w:val="CommentTextChar"/>
    <w:link w:val="CommentSubject"/>
    <w:rsid w:val="006A7D55"/>
    <w:rPr>
      <w:b/>
      <w:bCs/>
    </w:rPr>
  </w:style>
  <w:style w:type="paragraph" w:styleId="BalloonText">
    <w:name w:val="Balloon Text"/>
    <w:basedOn w:val="Normal"/>
    <w:link w:val="BalloonTextChar"/>
    <w:semiHidden/>
    <w:unhideWhenUsed/>
    <w:rsid w:val="006A7D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D55"/>
    <w:rPr>
      <w:rFonts w:ascii="Segoe UI" w:hAnsi="Segoe UI" w:cs="Segoe UI"/>
      <w:sz w:val="18"/>
      <w:szCs w:val="18"/>
    </w:rPr>
  </w:style>
  <w:style w:type="character" w:customStyle="1" w:styleId="Heading3Char">
    <w:name w:val="Heading 3 Char"/>
    <w:basedOn w:val="DefaultParagraphFont"/>
    <w:link w:val="Heading3"/>
    <w:rsid w:val="00851A85"/>
    <w:rPr>
      <w:rFonts w:ascii="Arial" w:hAnsi="Arial"/>
      <w:b/>
      <w:sz w:val="24"/>
    </w:rPr>
  </w:style>
  <w:style w:type="paragraph" w:customStyle="1" w:styleId="TableText">
    <w:name w:val="TableText"/>
    <w:rsid w:val="00994C1D"/>
    <w:pPr>
      <w:keepNext/>
    </w:pPr>
    <w:rPr>
      <w:rFonts w:eastAsia="Times New Roman"/>
      <w:lang w:val="en-US"/>
    </w:rPr>
  </w:style>
  <w:style w:type="paragraph" w:styleId="Caption">
    <w:name w:val="caption"/>
    <w:basedOn w:val="Normal"/>
    <w:next w:val="Normal"/>
    <w:link w:val="CaptionChar"/>
    <w:unhideWhenUsed/>
    <w:qFormat/>
    <w:rsid w:val="00994C1D"/>
    <w:pPr>
      <w:spacing w:after="200"/>
    </w:pPr>
    <w:rPr>
      <w:i/>
      <w:iCs/>
      <w:color w:val="44546A" w:themeColor="text2"/>
      <w:sz w:val="18"/>
      <w:szCs w:val="18"/>
    </w:rPr>
  </w:style>
  <w:style w:type="paragraph" w:customStyle="1" w:styleId="Table-MainTitle">
    <w:name w:val="Table - Main Title"/>
    <w:basedOn w:val="Normal"/>
    <w:next w:val="TableofAuthorities"/>
    <w:autoRedefine/>
    <w:qFormat/>
    <w:rsid w:val="00994C1D"/>
    <w:pPr>
      <w:tabs>
        <w:tab w:val="left" w:pos="885"/>
      </w:tabs>
      <w:spacing w:before="60" w:after="60"/>
      <w:ind w:left="885" w:hanging="885"/>
    </w:pPr>
    <w:rPr>
      <w:b/>
    </w:rPr>
  </w:style>
  <w:style w:type="paragraph" w:customStyle="1" w:styleId="Table-Heading1">
    <w:name w:val="Table - Heading 1"/>
    <w:basedOn w:val="Normal"/>
    <w:qFormat/>
    <w:rsid w:val="00D86907"/>
    <w:pPr>
      <w:spacing w:before="60"/>
    </w:pPr>
    <w:rPr>
      <w:rFonts w:cs="Arial"/>
      <w:b/>
      <w:szCs w:val="22"/>
    </w:rPr>
  </w:style>
  <w:style w:type="paragraph" w:customStyle="1" w:styleId="Table-text">
    <w:name w:val="Table - text"/>
    <w:basedOn w:val="Normal"/>
    <w:qFormat/>
    <w:rsid w:val="00C3328C"/>
    <w:rPr>
      <w:rFonts w:cs="Arial"/>
      <w:szCs w:val="22"/>
    </w:rPr>
  </w:style>
  <w:style w:type="paragraph" w:customStyle="1" w:styleId="Table-heading3">
    <w:name w:val="Table - heading 3"/>
    <w:basedOn w:val="Table-Heading1"/>
    <w:qFormat/>
    <w:rsid w:val="005E574D"/>
    <w:pPr>
      <w:spacing w:before="0"/>
    </w:pPr>
    <w:rPr>
      <w:b w:val="0"/>
      <w:i/>
    </w:rPr>
  </w:style>
  <w:style w:type="table" w:styleId="TableGrid">
    <w:name w:val="Table Grid"/>
    <w:basedOn w:val="TableNormal"/>
    <w:uiPriority w:val="59"/>
    <w:rsid w:val="00162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332D"/>
    <w:rPr>
      <w:rFonts w:ascii="Arial Narrow" w:hAnsi="Arial Narrow"/>
      <w:b/>
      <w:caps/>
      <w:sz w:val="26"/>
    </w:rPr>
  </w:style>
  <w:style w:type="character" w:customStyle="1" w:styleId="Heading2Char">
    <w:name w:val="Heading 2 Char"/>
    <w:basedOn w:val="DefaultParagraphFont"/>
    <w:link w:val="Heading2"/>
    <w:uiPriority w:val="99"/>
    <w:rsid w:val="00EE08A7"/>
    <w:rPr>
      <w:rFonts w:ascii="Arial Narrow" w:hAnsi="Arial Narrow"/>
      <w:b/>
      <w:caps/>
      <w:sz w:val="26"/>
    </w:rPr>
  </w:style>
  <w:style w:type="character" w:customStyle="1" w:styleId="Heading4Char">
    <w:name w:val="Heading 4 Char"/>
    <w:basedOn w:val="DefaultParagraphFont"/>
    <w:link w:val="Heading4"/>
    <w:uiPriority w:val="9"/>
    <w:rsid w:val="001F1F7E"/>
    <w:rPr>
      <w:rFonts w:ascii="Arial Narrow" w:hAnsi="Arial Narrow"/>
      <w:b/>
      <w:bCs/>
      <w:i/>
      <w:sz w:val="24"/>
      <w:lang w:val="en-GB"/>
    </w:rPr>
  </w:style>
  <w:style w:type="paragraph" w:styleId="Title">
    <w:name w:val="Title"/>
    <w:basedOn w:val="0MainTitle"/>
    <w:next w:val="Normal"/>
    <w:link w:val="TitleChar"/>
    <w:uiPriority w:val="10"/>
    <w:qFormat/>
    <w:rsid w:val="00520F30"/>
    <w:pPr>
      <w:widowControl w:val="0"/>
      <w:pBdr>
        <w:bottom w:val="single" w:sz="8" w:space="1" w:color="auto"/>
      </w:pBdr>
      <w:tabs>
        <w:tab w:val="left" w:pos="-720"/>
      </w:tabs>
      <w:suppressAutoHyphens/>
      <w:spacing w:before="60" w:after="240"/>
    </w:pPr>
    <w:rPr>
      <w:spacing w:val="-2"/>
      <w:sz w:val="36"/>
      <w:lang w:val="en-US"/>
    </w:rPr>
  </w:style>
  <w:style w:type="character" w:customStyle="1" w:styleId="TitleChar">
    <w:name w:val="Title Char"/>
    <w:basedOn w:val="DefaultParagraphFont"/>
    <w:link w:val="Title"/>
    <w:uiPriority w:val="10"/>
    <w:rsid w:val="00520F30"/>
    <w:rPr>
      <w:rFonts w:eastAsia="Times New Roman"/>
      <w:b/>
      <w:spacing w:val="-2"/>
      <w:sz w:val="36"/>
      <w:lang w:val="en-US"/>
    </w:rPr>
  </w:style>
  <w:style w:type="paragraph" w:styleId="TableofFigures">
    <w:name w:val="table of figures"/>
    <w:basedOn w:val="Normal"/>
    <w:next w:val="Normal"/>
    <w:uiPriority w:val="99"/>
    <w:unhideWhenUsed/>
    <w:rsid w:val="00A36B17"/>
  </w:style>
  <w:style w:type="paragraph" w:styleId="TableofAuthorities">
    <w:name w:val="table of authorities"/>
    <w:basedOn w:val="Normal"/>
    <w:next w:val="Normal"/>
    <w:uiPriority w:val="99"/>
    <w:semiHidden/>
    <w:unhideWhenUsed/>
    <w:rsid w:val="006E3D38"/>
    <w:pPr>
      <w:ind w:left="200" w:hanging="200"/>
    </w:pPr>
  </w:style>
  <w:style w:type="character" w:styleId="Hyperlink">
    <w:name w:val="Hyperlink"/>
    <w:basedOn w:val="DefaultParagraphFont"/>
    <w:unhideWhenUsed/>
    <w:rsid w:val="00866410"/>
    <w:rPr>
      <w:rFonts w:ascii="Arial Narrow" w:hAnsi="Arial Narrow"/>
      <w:b w:val="0"/>
      <w:i/>
      <w:color w:val="auto"/>
      <w:sz w:val="22"/>
      <w:u w:val="none"/>
    </w:rPr>
  </w:style>
  <w:style w:type="paragraph" w:customStyle="1" w:styleId="Table-Footertext">
    <w:name w:val="Table - Footer text"/>
    <w:basedOn w:val="BodyText1"/>
    <w:qFormat/>
    <w:rsid w:val="00C03460"/>
    <w:pPr>
      <w:spacing w:before="40" w:after="40"/>
    </w:pPr>
    <w:rPr>
      <w:sz w:val="20"/>
    </w:rPr>
  </w:style>
  <w:style w:type="paragraph" w:customStyle="1" w:styleId="Default">
    <w:name w:val="Default"/>
    <w:rsid w:val="00BC6AAE"/>
    <w:pPr>
      <w:autoSpaceDE w:val="0"/>
      <w:autoSpaceDN w:val="0"/>
      <w:adjustRightInd w:val="0"/>
    </w:pPr>
    <w:rPr>
      <w:rFonts w:ascii="Arial" w:eastAsia="Times New Roman" w:hAnsi="Arial" w:cs="Arial"/>
      <w:color w:val="000000"/>
      <w:sz w:val="24"/>
      <w:szCs w:val="24"/>
      <w:lang w:eastAsia="en-AU"/>
    </w:rPr>
  </w:style>
  <w:style w:type="paragraph" w:styleId="Subtitle">
    <w:name w:val="Subtitle"/>
    <w:basedOn w:val="Normal"/>
    <w:link w:val="SubtitleChar"/>
    <w:uiPriority w:val="11"/>
    <w:qFormat/>
    <w:rsid w:val="003D67C3"/>
    <w:pPr>
      <w:widowControl w:val="0"/>
      <w:ind w:left="567" w:hanging="567"/>
      <w:contextualSpacing/>
      <w:jc w:val="center"/>
    </w:pPr>
    <w:rPr>
      <w:rFonts w:eastAsia="Calibri"/>
      <w:b/>
      <w:caps/>
      <w:sz w:val="40"/>
    </w:rPr>
  </w:style>
  <w:style w:type="character" w:customStyle="1" w:styleId="SubtitleChar">
    <w:name w:val="Subtitle Char"/>
    <w:basedOn w:val="DefaultParagraphFont"/>
    <w:link w:val="Subtitle"/>
    <w:uiPriority w:val="11"/>
    <w:rsid w:val="003D67C3"/>
    <w:rPr>
      <w:rFonts w:ascii="Arial" w:eastAsia="Calibri" w:hAnsi="Arial"/>
      <w:b/>
      <w:caps/>
      <w:sz w:val="40"/>
    </w:rPr>
  </w:style>
  <w:style w:type="paragraph" w:styleId="ListBullet">
    <w:name w:val="List Bullet"/>
    <w:basedOn w:val="Normal"/>
    <w:autoRedefine/>
    <w:rsid w:val="00423418"/>
    <w:pPr>
      <w:tabs>
        <w:tab w:val="num" w:pos="360"/>
      </w:tabs>
      <w:ind w:left="360" w:hanging="360"/>
    </w:pPr>
    <w:rPr>
      <w:rFonts w:ascii="Times" w:eastAsia="Times New Roman" w:hAnsi="Times"/>
      <w:noProof/>
    </w:rPr>
  </w:style>
  <w:style w:type="paragraph" w:customStyle="1" w:styleId="Table-AEfrequency">
    <w:name w:val="Table - AE frequency"/>
    <w:basedOn w:val="BodyText1"/>
    <w:qFormat/>
    <w:rsid w:val="00D86907"/>
    <w:pPr>
      <w:spacing w:after="0"/>
      <w:ind w:left="720"/>
    </w:pPr>
  </w:style>
  <w:style w:type="paragraph" w:customStyle="1" w:styleId="Subtitle-activeingredient">
    <w:name w:val="Subtitle- active ingredient"/>
    <w:basedOn w:val="Normal"/>
    <w:qFormat/>
    <w:rsid w:val="008E4097"/>
    <w:pPr>
      <w:keepLines/>
      <w:widowControl w:val="0"/>
      <w:tabs>
        <w:tab w:val="left" w:pos="-720"/>
      </w:tabs>
      <w:suppressAutoHyphens/>
      <w:spacing w:before="60"/>
    </w:pPr>
    <w:rPr>
      <w:rFonts w:eastAsia="Times New Roman"/>
      <w:b/>
      <w:spacing w:val="-2"/>
      <w:sz w:val="36"/>
      <w:lang w:val="en-US"/>
    </w:rPr>
  </w:style>
  <w:style w:type="character" w:customStyle="1" w:styleId="Heading5Char">
    <w:name w:val="Heading 5 Char"/>
    <w:basedOn w:val="DefaultParagraphFont"/>
    <w:link w:val="Heading5"/>
    <w:uiPriority w:val="9"/>
    <w:rsid w:val="009718E1"/>
    <w:rPr>
      <w:rFonts w:ascii="Arial" w:hAnsi="Arial"/>
      <w:b/>
      <w:sz w:val="22"/>
    </w:rPr>
  </w:style>
  <w:style w:type="paragraph" w:styleId="Bibliography">
    <w:name w:val="Bibliography"/>
    <w:basedOn w:val="Normal"/>
    <w:next w:val="Normal"/>
    <w:uiPriority w:val="37"/>
    <w:semiHidden/>
    <w:unhideWhenUsed/>
    <w:rsid w:val="00877EB3"/>
  </w:style>
  <w:style w:type="paragraph" w:styleId="BlockText">
    <w:name w:val="Block Text"/>
    <w:basedOn w:val="Normal"/>
    <w:uiPriority w:val="99"/>
    <w:semiHidden/>
    <w:unhideWhenUsed/>
    <w:rsid w:val="00877EB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877EB3"/>
    <w:pPr>
      <w:spacing w:after="120"/>
    </w:pPr>
  </w:style>
  <w:style w:type="character" w:customStyle="1" w:styleId="BodyTextChar">
    <w:name w:val="Body Text Char"/>
    <w:basedOn w:val="DefaultParagraphFont"/>
    <w:link w:val="BodyText"/>
    <w:rsid w:val="00877EB3"/>
    <w:rPr>
      <w:rFonts w:ascii="Arial" w:hAnsi="Arial"/>
    </w:rPr>
  </w:style>
  <w:style w:type="paragraph" w:styleId="BodyText2">
    <w:name w:val="Body Text 2"/>
    <w:basedOn w:val="Normal"/>
    <w:link w:val="BodyText2Char"/>
    <w:uiPriority w:val="99"/>
    <w:semiHidden/>
    <w:unhideWhenUsed/>
    <w:rsid w:val="00877EB3"/>
    <w:pPr>
      <w:spacing w:after="120" w:line="480" w:lineRule="auto"/>
    </w:pPr>
  </w:style>
  <w:style w:type="character" w:customStyle="1" w:styleId="BodyText2Char">
    <w:name w:val="Body Text 2 Char"/>
    <w:basedOn w:val="DefaultParagraphFont"/>
    <w:link w:val="BodyText2"/>
    <w:uiPriority w:val="99"/>
    <w:semiHidden/>
    <w:rsid w:val="00877EB3"/>
    <w:rPr>
      <w:rFonts w:ascii="Arial" w:hAnsi="Arial"/>
    </w:rPr>
  </w:style>
  <w:style w:type="paragraph" w:styleId="BodyText3">
    <w:name w:val="Body Text 3"/>
    <w:basedOn w:val="Normal"/>
    <w:link w:val="BodyText3Char"/>
    <w:uiPriority w:val="99"/>
    <w:semiHidden/>
    <w:unhideWhenUsed/>
    <w:rsid w:val="00877EB3"/>
    <w:pPr>
      <w:spacing w:after="120"/>
    </w:pPr>
    <w:rPr>
      <w:sz w:val="16"/>
      <w:szCs w:val="16"/>
    </w:rPr>
  </w:style>
  <w:style w:type="character" w:customStyle="1" w:styleId="BodyText3Char">
    <w:name w:val="Body Text 3 Char"/>
    <w:basedOn w:val="DefaultParagraphFont"/>
    <w:link w:val="BodyText3"/>
    <w:uiPriority w:val="99"/>
    <w:semiHidden/>
    <w:rsid w:val="00877EB3"/>
    <w:rPr>
      <w:rFonts w:ascii="Arial" w:hAnsi="Arial"/>
      <w:sz w:val="16"/>
      <w:szCs w:val="16"/>
    </w:rPr>
  </w:style>
  <w:style w:type="paragraph" w:styleId="BodyTextFirstIndent">
    <w:name w:val="Body Text First Indent"/>
    <w:basedOn w:val="BodyText"/>
    <w:link w:val="BodyTextFirstIndentChar"/>
    <w:uiPriority w:val="99"/>
    <w:semiHidden/>
    <w:unhideWhenUsed/>
    <w:rsid w:val="00877EB3"/>
    <w:pPr>
      <w:spacing w:after="0"/>
      <w:ind w:firstLine="360"/>
    </w:pPr>
  </w:style>
  <w:style w:type="character" w:customStyle="1" w:styleId="BodyTextFirstIndentChar">
    <w:name w:val="Body Text First Indent Char"/>
    <w:basedOn w:val="BodyTextChar"/>
    <w:link w:val="BodyTextFirstIndent"/>
    <w:uiPriority w:val="99"/>
    <w:semiHidden/>
    <w:rsid w:val="00877EB3"/>
    <w:rPr>
      <w:rFonts w:ascii="Arial" w:hAnsi="Arial"/>
    </w:rPr>
  </w:style>
  <w:style w:type="paragraph" w:styleId="BodyTextIndent">
    <w:name w:val="Body Text Indent"/>
    <w:basedOn w:val="Normal"/>
    <w:link w:val="BodyTextIndentChar"/>
    <w:uiPriority w:val="99"/>
    <w:semiHidden/>
    <w:unhideWhenUsed/>
    <w:rsid w:val="00877EB3"/>
    <w:pPr>
      <w:spacing w:after="120"/>
      <w:ind w:left="283"/>
    </w:pPr>
  </w:style>
  <w:style w:type="character" w:customStyle="1" w:styleId="BodyTextIndentChar">
    <w:name w:val="Body Text Indent Char"/>
    <w:basedOn w:val="DefaultParagraphFont"/>
    <w:link w:val="BodyTextIndent"/>
    <w:uiPriority w:val="99"/>
    <w:semiHidden/>
    <w:rsid w:val="00877EB3"/>
    <w:rPr>
      <w:rFonts w:ascii="Arial" w:hAnsi="Arial"/>
    </w:rPr>
  </w:style>
  <w:style w:type="paragraph" w:styleId="BodyTextFirstIndent2">
    <w:name w:val="Body Text First Indent 2"/>
    <w:basedOn w:val="BodyTextIndent"/>
    <w:link w:val="BodyTextFirstIndent2Char"/>
    <w:uiPriority w:val="99"/>
    <w:semiHidden/>
    <w:unhideWhenUsed/>
    <w:rsid w:val="00877EB3"/>
    <w:pPr>
      <w:spacing w:after="0"/>
      <w:ind w:left="360" w:firstLine="360"/>
    </w:pPr>
  </w:style>
  <w:style w:type="character" w:customStyle="1" w:styleId="BodyTextFirstIndent2Char">
    <w:name w:val="Body Text First Indent 2 Char"/>
    <w:basedOn w:val="BodyTextIndentChar"/>
    <w:link w:val="BodyTextFirstIndent2"/>
    <w:uiPriority w:val="99"/>
    <w:semiHidden/>
    <w:rsid w:val="00877EB3"/>
    <w:rPr>
      <w:rFonts w:ascii="Arial" w:hAnsi="Arial"/>
    </w:rPr>
  </w:style>
  <w:style w:type="paragraph" w:styleId="BodyTextIndent2">
    <w:name w:val="Body Text Indent 2"/>
    <w:basedOn w:val="Normal"/>
    <w:link w:val="BodyTextIndent2Char"/>
    <w:uiPriority w:val="99"/>
    <w:semiHidden/>
    <w:unhideWhenUsed/>
    <w:rsid w:val="00877EB3"/>
    <w:pPr>
      <w:spacing w:after="120" w:line="480" w:lineRule="auto"/>
      <w:ind w:left="283"/>
    </w:pPr>
  </w:style>
  <w:style w:type="character" w:customStyle="1" w:styleId="BodyTextIndent2Char">
    <w:name w:val="Body Text Indent 2 Char"/>
    <w:basedOn w:val="DefaultParagraphFont"/>
    <w:link w:val="BodyTextIndent2"/>
    <w:uiPriority w:val="99"/>
    <w:semiHidden/>
    <w:rsid w:val="00877EB3"/>
    <w:rPr>
      <w:rFonts w:ascii="Arial" w:hAnsi="Arial"/>
    </w:rPr>
  </w:style>
  <w:style w:type="paragraph" w:styleId="BodyTextIndent3">
    <w:name w:val="Body Text Indent 3"/>
    <w:basedOn w:val="Normal"/>
    <w:link w:val="BodyTextIndent3Char"/>
    <w:uiPriority w:val="99"/>
    <w:semiHidden/>
    <w:unhideWhenUsed/>
    <w:rsid w:val="00877EB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7EB3"/>
    <w:rPr>
      <w:rFonts w:ascii="Arial" w:hAnsi="Arial"/>
      <w:sz w:val="16"/>
      <w:szCs w:val="16"/>
    </w:rPr>
  </w:style>
  <w:style w:type="paragraph" w:styleId="Closing">
    <w:name w:val="Closing"/>
    <w:basedOn w:val="Normal"/>
    <w:link w:val="ClosingChar"/>
    <w:uiPriority w:val="99"/>
    <w:semiHidden/>
    <w:unhideWhenUsed/>
    <w:rsid w:val="00877EB3"/>
    <w:pPr>
      <w:ind w:left="4252"/>
    </w:pPr>
  </w:style>
  <w:style w:type="character" w:customStyle="1" w:styleId="ClosingChar">
    <w:name w:val="Closing Char"/>
    <w:basedOn w:val="DefaultParagraphFont"/>
    <w:link w:val="Closing"/>
    <w:uiPriority w:val="99"/>
    <w:semiHidden/>
    <w:rsid w:val="00877EB3"/>
    <w:rPr>
      <w:rFonts w:ascii="Arial" w:hAnsi="Arial"/>
    </w:rPr>
  </w:style>
  <w:style w:type="paragraph" w:styleId="Date">
    <w:name w:val="Date"/>
    <w:basedOn w:val="Normal"/>
    <w:next w:val="Normal"/>
    <w:link w:val="DateChar"/>
    <w:uiPriority w:val="99"/>
    <w:semiHidden/>
    <w:unhideWhenUsed/>
    <w:rsid w:val="00877EB3"/>
  </w:style>
  <w:style w:type="character" w:customStyle="1" w:styleId="DateChar">
    <w:name w:val="Date Char"/>
    <w:basedOn w:val="DefaultParagraphFont"/>
    <w:link w:val="Date"/>
    <w:uiPriority w:val="99"/>
    <w:semiHidden/>
    <w:rsid w:val="00877EB3"/>
    <w:rPr>
      <w:rFonts w:ascii="Arial" w:hAnsi="Arial"/>
    </w:rPr>
  </w:style>
  <w:style w:type="paragraph" w:styleId="DocumentMap">
    <w:name w:val="Document Map"/>
    <w:basedOn w:val="Normal"/>
    <w:link w:val="DocumentMapChar"/>
    <w:uiPriority w:val="99"/>
    <w:semiHidden/>
    <w:unhideWhenUsed/>
    <w:rsid w:val="00877EB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7EB3"/>
    <w:rPr>
      <w:rFonts w:ascii="Segoe UI" w:hAnsi="Segoe UI" w:cs="Segoe UI"/>
      <w:sz w:val="16"/>
      <w:szCs w:val="16"/>
    </w:rPr>
  </w:style>
  <w:style w:type="paragraph" w:styleId="E-mailSignature">
    <w:name w:val="E-mail Signature"/>
    <w:basedOn w:val="Normal"/>
    <w:link w:val="E-mailSignatureChar"/>
    <w:uiPriority w:val="99"/>
    <w:semiHidden/>
    <w:unhideWhenUsed/>
    <w:rsid w:val="00877EB3"/>
  </w:style>
  <w:style w:type="character" w:customStyle="1" w:styleId="E-mailSignatureChar">
    <w:name w:val="E-mail Signature Char"/>
    <w:basedOn w:val="DefaultParagraphFont"/>
    <w:link w:val="E-mailSignature"/>
    <w:uiPriority w:val="99"/>
    <w:semiHidden/>
    <w:rsid w:val="00877EB3"/>
    <w:rPr>
      <w:rFonts w:ascii="Arial" w:hAnsi="Arial"/>
    </w:rPr>
  </w:style>
  <w:style w:type="paragraph" w:styleId="EndnoteText">
    <w:name w:val="endnote text"/>
    <w:basedOn w:val="Normal"/>
    <w:link w:val="EndnoteTextChar"/>
    <w:uiPriority w:val="99"/>
    <w:semiHidden/>
    <w:unhideWhenUsed/>
    <w:rsid w:val="00877EB3"/>
  </w:style>
  <w:style w:type="character" w:customStyle="1" w:styleId="EndnoteTextChar">
    <w:name w:val="Endnote Text Char"/>
    <w:basedOn w:val="DefaultParagraphFont"/>
    <w:link w:val="EndnoteText"/>
    <w:uiPriority w:val="99"/>
    <w:semiHidden/>
    <w:rsid w:val="00877EB3"/>
    <w:rPr>
      <w:rFonts w:ascii="Arial" w:hAnsi="Arial"/>
    </w:rPr>
  </w:style>
  <w:style w:type="paragraph" w:styleId="EnvelopeAddress">
    <w:name w:val="envelope address"/>
    <w:basedOn w:val="Normal"/>
    <w:uiPriority w:val="99"/>
    <w:semiHidden/>
    <w:unhideWhenUsed/>
    <w:rsid w:val="00877EB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77EB3"/>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877EB3"/>
  </w:style>
  <w:style w:type="character" w:customStyle="1" w:styleId="FootnoteTextChar">
    <w:name w:val="Footnote Text Char"/>
    <w:basedOn w:val="DefaultParagraphFont"/>
    <w:link w:val="FootnoteText"/>
    <w:uiPriority w:val="99"/>
    <w:semiHidden/>
    <w:rsid w:val="00877EB3"/>
    <w:rPr>
      <w:rFonts w:ascii="Arial" w:hAnsi="Arial"/>
    </w:rPr>
  </w:style>
  <w:style w:type="character" w:customStyle="1" w:styleId="Heading6Char">
    <w:name w:val="Heading 6 Char"/>
    <w:basedOn w:val="DefaultParagraphFont"/>
    <w:link w:val="Heading6"/>
    <w:uiPriority w:val="9"/>
    <w:semiHidden/>
    <w:rsid w:val="00877EB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77EB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77E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7EB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77EB3"/>
    <w:rPr>
      <w:i/>
      <w:iCs/>
    </w:rPr>
  </w:style>
  <w:style w:type="character" w:customStyle="1" w:styleId="HTMLAddressChar">
    <w:name w:val="HTML Address Char"/>
    <w:basedOn w:val="DefaultParagraphFont"/>
    <w:link w:val="HTMLAddress"/>
    <w:uiPriority w:val="99"/>
    <w:semiHidden/>
    <w:rsid w:val="00877EB3"/>
    <w:rPr>
      <w:rFonts w:ascii="Arial" w:hAnsi="Arial"/>
      <w:i/>
      <w:iCs/>
    </w:rPr>
  </w:style>
  <w:style w:type="paragraph" w:styleId="HTMLPreformatted">
    <w:name w:val="HTML Preformatted"/>
    <w:basedOn w:val="Normal"/>
    <w:link w:val="HTMLPreformattedChar"/>
    <w:uiPriority w:val="99"/>
    <w:semiHidden/>
    <w:unhideWhenUsed/>
    <w:rsid w:val="00877EB3"/>
    <w:rPr>
      <w:rFonts w:ascii="Consolas" w:hAnsi="Consolas" w:cs="Consolas"/>
    </w:rPr>
  </w:style>
  <w:style w:type="character" w:customStyle="1" w:styleId="HTMLPreformattedChar">
    <w:name w:val="HTML Preformatted Char"/>
    <w:basedOn w:val="DefaultParagraphFont"/>
    <w:link w:val="HTMLPreformatted"/>
    <w:uiPriority w:val="99"/>
    <w:semiHidden/>
    <w:rsid w:val="00877EB3"/>
    <w:rPr>
      <w:rFonts w:ascii="Consolas" w:hAnsi="Consolas" w:cs="Consolas"/>
    </w:rPr>
  </w:style>
  <w:style w:type="paragraph" w:styleId="Index1">
    <w:name w:val="index 1"/>
    <w:basedOn w:val="Normal"/>
    <w:next w:val="Normal"/>
    <w:autoRedefine/>
    <w:uiPriority w:val="99"/>
    <w:semiHidden/>
    <w:unhideWhenUsed/>
    <w:rsid w:val="00877EB3"/>
    <w:pPr>
      <w:ind w:left="200" w:hanging="200"/>
    </w:pPr>
  </w:style>
  <w:style w:type="paragraph" w:styleId="Index2">
    <w:name w:val="index 2"/>
    <w:basedOn w:val="Normal"/>
    <w:next w:val="Normal"/>
    <w:autoRedefine/>
    <w:uiPriority w:val="99"/>
    <w:semiHidden/>
    <w:unhideWhenUsed/>
    <w:rsid w:val="00877EB3"/>
    <w:pPr>
      <w:ind w:left="400" w:hanging="200"/>
    </w:pPr>
  </w:style>
  <w:style w:type="paragraph" w:styleId="Index3">
    <w:name w:val="index 3"/>
    <w:basedOn w:val="Normal"/>
    <w:next w:val="Normal"/>
    <w:autoRedefine/>
    <w:uiPriority w:val="99"/>
    <w:semiHidden/>
    <w:unhideWhenUsed/>
    <w:rsid w:val="00877EB3"/>
    <w:pPr>
      <w:ind w:left="600" w:hanging="200"/>
    </w:pPr>
  </w:style>
  <w:style w:type="paragraph" w:styleId="Index4">
    <w:name w:val="index 4"/>
    <w:basedOn w:val="Normal"/>
    <w:next w:val="Normal"/>
    <w:autoRedefine/>
    <w:uiPriority w:val="99"/>
    <w:semiHidden/>
    <w:unhideWhenUsed/>
    <w:rsid w:val="00877EB3"/>
    <w:pPr>
      <w:ind w:left="800" w:hanging="200"/>
    </w:pPr>
  </w:style>
  <w:style w:type="paragraph" w:styleId="Index5">
    <w:name w:val="index 5"/>
    <w:basedOn w:val="Normal"/>
    <w:next w:val="Normal"/>
    <w:autoRedefine/>
    <w:uiPriority w:val="99"/>
    <w:semiHidden/>
    <w:unhideWhenUsed/>
    <w:rsid w:val="00877EB3"/>
    <w:pPr>
      <w:ind w:left="1000" w:hanging="200"/>
    </w:pPr>
  </w:style>
  <w:style w:type="paragraph" w:styleId="Index6">
    <w:name w:val="index 6"/>
    <w:basedOn w:val="Normal"/>
    <w:next w:val="Normal"/>
    <w:autoRedefine/>
    <w:uiPriority w:val="99"/>
    <w:semiHidden/>
    <w:unhideWhenUsed/>
    <w:rsid w:val="00877EB3"/>
    <w:pPr>
      <w:ind w:left="1200" w:hanging="200"/>
    </w:pPr>
  </w:style>
  <w:style w:type="paragraph" w:styleId="Index7">
    <w:name w:val="index 7"/>
    <w:basedOn w:val="Normal"/>
    <w:next w:val="Normal"/>
    <w:autoRedefine/>
    <w:uiPriority w:val="99"/>
    <w:semiHidden/>
    <w:unhideWhenUsed/>
    <w:rsid w:val="00877EB3"/>
    <w:pPr>
      <w:ind w:left="1400" w:hanging="200"/>
    </w:pPr>
  </w:style>
  <w:style w:type="paragraph" w:styleId="Index8">
    <w:name w:val="index 8"/>
    <w:basedOn w:val="Normal"/>
    <w:next w:val="Normal"/>
    <w:autoRedefine/>
    <w:uiPriority w:val="99"/>
    <w:semiHidden/>
    <w:unhideWhenUsed/>
    <w:rsid w:val="00877EB3"/>
    <w:pPr>
      <w:ind w:left="1600" w:hanging="200"/>
    </w:pPr>
  </w:style>
  <w:style w:type="paragraph" w:styleId="Index9">
    <w:name w:val="index 9"/>
    <w:basedOn w:val="Normal"/>
    <w:next w:val="Normal"/>
    <w:autoRedefine/>
    <w:uiPriority w:val="99"/>
    <w:semiHidden/>
    <w:unhideWhenUsed/>
    <w:rsid w:val="00877EB3"/>
    <w:pPr>
      <w:ind w:left="1800" w:hanging="200"/>
    </w:pPr>
  </w:style>
  <w:style w:type="paragraph" w:styleId="IndexHeading">
    <w:name w:val="index heading"/>
    <w:basedOn w:val="Normal"/>
    <w:next w:val="Index1"/>
    <w:uiPriority w:val="99"/>
    <w:semiHidden/>
    <w:unhideWhenUsed/>
    <w:rsid w:val="00877EB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7EB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77EB3"/>
    <w:rPr>
      <w:rFonts w:ascii="Arial" w:hAnsi="Arial"/>
      <w:i/>
      <w:iCs/>
      <w:color w:val="4472C4" w:themeColor="accent1"/>
    </w:rPr>
  </w:style>
  <w:style w:type="paragraph" w:styleId="List">
    <w:name w:val="List"/>
    <w:basedOn w:val="Normal"/>
    <w:uiPriority w:val="99"/>
    <w:semiHidden/>
    <w:unhideWhenUsed/>
    <w:rsid w:val="00877EB3"/>
    <w:pPr>
      <w:ind w:left="283" w:hanging="283"/>
      <w:contextualSpacing/>
    </w:pPr>
  </w:style>
  <w:style w:type="paragraph" w:styleId="List2">
    <w:name w:val="List 2"/>
    <w:basedOn w:val="Normal"/>
    <w:uiPriority w:val="99"/>
    <w:semiHidden/>
    <w:unhideWhenUsed/>
    <w:rsid w:val="00877EB3"/>
    <w:pPr>
      <w:ind w:left="566" w:hanging="283"/>
      <w:contextualSpacing/>
    </w:pPr>
  </w:style>
  <w:style w:type="paragraph" w:styleId="List3">
    <w:name w:val="List 3"/>
    <w:basedOn w:val="Normal"/>
    <w:uiPriority w:val="99"/>
    <w:semiHidden/>
    <w:unhideWhenUsed/>
    <w:rsid w:val="00877EB3"/>
    <w:pPr>
      <w:ind w:left="849" w:hanging="283"/>
      <w:contextualSpacing/>
    </w:pPr>
  </w:style>
  <w:style w:type="paragraph" w:styleId="List4">
    <w:name w:val="List 4"/>
    <w:basedOn w:val="Normal"/>
    <w:uiPriority w:val="99"/>
    <w:semiHidden/>
    <w:unhideWhenUsed/>
    <w:rsid w:val="00877EB3"/>
    <w:pPr>
      <w:ind w:left="1132" w:hanging="283"/>
      <w:contextualSpacing/>
    </w:pPr>
  </w:style>
  <w:style w:type="paragraph" w:styleId="List5">
    <w:name w:val="List 5"/>
    <w:basedOn w:val="Normal"/>
    <w:uiPriority w:val="99"/>
    <w:semiHidden/>
    <w:unhideWhenUsed/>
    <w:rsid w:val="00877EB3"/>
    <w:pPr>
      <w:ind w:left="1415" w:hanging="283"/>
      <w:contextualSpacing/>
    </w:pPr>
  </w:style>
  <w:style w:type="paragraph" w:styleId="ListBullet2">
    <w:name w:val="List Bullet 2"/>
    <w:basedOn w:val="Normal"/>
    <w:uiPriority w:val="99"/>
    <w:semiHidden/>
    <w:unhideWhenUsed/>
    <w:rsid w:val="00877EB3"/>
    <w:pPr>
      <w:numPr>
        <w:numId w:val="1"/>
      </w:numPr>
      <w:contextualSpacing/>
    </w:pPr>
  </w:style>
  <w:style w:type="paragraph" w:styleId="ListBullet3">
    <w:name w:val="List Bullet 3"/>
    <w:basedOn w:val="Normal"/>
    <w:uiPriority w:val="99"/>
    <w:semiHidden/>
    <w:unhideWhenUsed/>
    <w:rsid w:val="00877EB3"/>
    <w:pPr>
      <w:numPr>
        <w:numId w:val="2"/>
      </w:numPr>
      <w:contextualSpacing/>
    </w:pPr>
  </w:style>
  <w:style w:type="paragraph" w:styleId="ListBullet4">
    <w:name w:val="List Bullet 4"/>
    <w:basedOn w:val="Normal"/>
    <w:uiPriority w:val="99"/>
    <w:semiHidden/>
    <w:unhideWhenUsed/>
    <w:rsid w:val="00877EB3"/>
    <w:pPr>
      <w:numPr>
        <w:numId w:val="3"/>
      </w:numPr>
      <w:contextualSpacing/>
    </w:pPr>
  </w:style>
  <w:style w:type="paragraph" w:styleId="ListBullet5">
    <w:name w:val="List Bullet 5"/>
    <w:basedOn w:val="Normal"/>
    <w:uiPriority w:val="99"/>
    <w:semiHidden/>
    <w:unhideWhenUsed/>
    <w:rsid w:val="00877EB3"/>
    <w:pPr>
      <w:numPr>
        <w:numId w:val="4"/>
      </w:numPr>
      <w:contextualSpacing/>
    </w:pPr>
  </w:style>
  <w:style w:type="paragraph" w:styleId="ListContinue">
    <w:name w:val="List Continue"/>
    <w:basedOn w:val="Normal"/>
    <w:uiPriority w:val="99"/>
    <w:semiHidden/>
    <w:unhideWhenUsed/>
    <w:rsid w:val="00877EB3"/>
    <w:pPr>
      <w:spacing w:after="120"/>
      <w:ind w:left="283"/>
      <w:contextualSpacing/>
    </w:pPr>
  </w:style>
  <w:style w:type="paragraph" w:styleId="ListContinue2">
    <w:name w:val="List Continue 2"/>
    <w:basedOn w:val="Normal"/>
    <w:uiPriority w:val="99"/>
    <w:semiHidden/>
    <w:unhideWhenUsed/>
    <w:rsid w:val="00877EB3"/>
    <w:pPr>
      <w:spacing w:after="120"/>
      <w:ind w:left="566"/>
      <w:contextualSpacing/>
    </w:pPr>
  </w:style>
  <w:style w:type="paragraph" w:styleId="ListContinue3">
    <w:name w:val="List Continue 3"/>
    <w:basedOn w:val="Normal"/>
    <w:uiPriority w:val="99"/>
    <w:semiHidden/>
    <w:unhideWhenUsed/>
    <w:rsid w:val="00877EB3"/>
    <w:pPr>
      <w:spacing w:after="120"/>
      <w:ind w:left="849"/>
      <w:contextualSpacing/>
    </w:pPr>
  </w:style>
  <w:style w:type="paragraph" w:styleId="ListContinue4">
    <w:name w:val="List Continue 4"/>
    <w:basedOn w:val="Normal"/>
    <w:uiPriority w:val="99"/>
    <w:semiHidden/>
    <w:unhideWhenUsed/>
    <w:rsid w:val="00877EB3"/>
    <w:pPr>
      <w:spacing w:after="120"/>
      <w:ind w:left="1132"/>
      <w:contextualSpacing/>
    </w:pPr>
  </w:style>
  <w:style w:type="paragraph" w:styleId="ListContinue5">
    <w:name w:val="List Continue 5"/>
    <w:basedOn w:val="Normal"/>
    <w:uiPriority w:val="99"/>
    <w:semiHidden/>
    <w:unhideWhenUsed/>
    <w:rsid w:val="00877EB3"/>
    <w:pPr>
      <w:spacing w:after="120"/>
      <w:ind w:left="1415"/>
      <w:contextualSpacing/>
    </w:pPr>
  </w:style>
  <w:style w:type="paragraph" w:styleId="ListNumber">
    <w:name w:val="List Number"/>
    <w:basedOn w:val="Normal"/>
    <w:uiPriority w:val="99"/>
    <w:semiHidden/>
    <w:unhideWhenUsed/>
    <w:rsid w:val="00877EB3"/>
    <w:pPr>
      <w:numPr>
        <w:numId w:val="5"/>
      </w:numPr>
      <w:contextualSpacing/>
    </w:pPr>
  </w:style>
  <w:style w:type="paragraph" w:styleId="ListNumber2">
    <w:name w:val="List Number 2"/>
    <w:basedOn w:val="Normal"/>
    <w:uiPriority w:val="99"/>
    <w:semiHidden/>
    <w:unhideWhenUsed/>
    <w:rsid w:val="00877EB3"/>
    <w:pPr>
      <w:numPr>
        <w:numId w:val="6"/>
      </w:numPr>
      <w:contextualSpacing/>
    </w:pPr>
  </w:style>
  <w:style w:type="paragraph" w:styleId="ListNumber3">
    <w:name w:val="List Number 3"/>
    <w:basedOn w:val="Normal"/>
    <w:uiPriority w:val="99"/>
    <w:semiHidden/>
    <w:unhideWhenUsed/>
    <w:rsid w:val="00877EB3"/>
    <w:pPr>
      <w:numPr>
        <w:numId w:val="7"/>
      </w:numPr>
      <w:contextualSpacing/>
    </w:pPr>
  </w:style>
  <w:style w:type="paragraph" w:styleId="ListNumber4">
    <w:name w:val="List Number 4"/>
    <w:basedOn w:val="Normal"/>
    <w:uiPriority w:val="99"/>
    <w:semiHidden/>
    <w:unhideWhenUsed/>
    <w:rsid w:val="00877EB3"/>
    <w:pPr>
      <w:numPr>
        <w:numId w:val="8"/>
      </w:numPr>
      <w:contextualSpacing/>
    </w:pPr>
  </w:style>
  <w:style w:type="paragraph" w:styleId="ListNumber5">
    <w:name w:val="List Number 5"/>
    <w:basedOn w:val="Normal"/>
    <w:uiPriority w:val="99"/>
    <w:semiHidden/>
    <w:unhideWhenUsed/>
    <w:rsid w:val="00877EB3"/>
    <w:pPr>
      <w:numPr>
        <w:numId w:val="9"/>
      </w:numPr>
      <w:contextualSpacing/>
    </w:pPr>
  </w:style>
  <w:style w:type="paragraph" w:styleId="MacroText">
    <w:name w:val="macro"/>
    <w:link w:val="MacroTextChar"/>
    <w:uiPriority w:val="99"/>
    <w:semiHidden/>
    <w:unhideWhenUsed/>
    <w:rsid w:val="00877EB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877EB3"/>
    <w:rPr>
      <w:rFonts w:ascii="Consolas" w:hAnsi="Consolas" w:cs="Consolas"/>
    </w:rPr>
  </w:style>
  <w:style w:type="paragraph" w:styleId="MessageHeader">
    <w:name w:val="Message Header"/>
    <w:basedOn w:val="Normal"/>
    <w:link w:val="MessageHeaderChar"/>
    <w:uiPriority w:val="99"/>
    <w:semiHidden/>
    <w:unhideWhenUsed/>
    <w:rsid w:val="00877EB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77EB3"/>
    <w:rPr>
      <w:rFonts w:asciiTheme="majorHAnsi" w:eastAsiaTheme="majorEastAsia" w:hAnsiTheme="majorHAnsi" w:cstheme="majorBidi"/>
      <w:sz w:val="24"/>
      <w:szCs w:val="24"/>
      <w:shd w:val="pct20" w:color="auto" w:fill="auto"/>
    </w:rPr>
  </w:style>
  <w:style w:type="paragraph" w:styleId="NoSpacing">
    <w:name w:val="No Spacing"/>
    <w:uiPriority w:val="1"/>
    <w:qFormat/>
    <w:rsid w:val="00877EB3"/>
    <w:rPr>
      <w:rFonts w:ascii="Arial" w:hAnsi="Arial"/>
    </w:rPr>
  </w:style>
  <w:style w:type="paragraph" w:styleId="NormalWeb">
    <w:name w:val="Normal (Web)"/>
    <w:basedOn w:val="Normal"/>
    <w:uiPriority w:val="99"/>
    <w:unhideWhenUsed/>
    <w:rsid w:val="00877EB3"/>
    <w:rPr>
      <w:rFonts w:ascii="Times New Roman" w:hAnsi="Times New Roman"/>
      <w:szCs w:val="24"/>
    </w:rPr>
  </w:style>
  <w:style w:type="paragraph" w:styleId="NormalIndent">
    <w:name w:val="Normal Indent"/>
    <w:basedOn w:val="Normal"/>
    <w:uiPriority w:val="99"/>
    <w:semiHidden/>
    <w:unhideWhenUsed/>
    <w:rsid w:val="00877EB3"/>
    <w:pPr>
      <w:ind w:left="720"/>
    </w:pPr>
  </w:style>
  <w:style w:type="paragraph" w:styleId="NoteHeading">
    <w:name w:val="Note Heading"/>
    <w:basedOn w:val="Normal"/>
    <w:next w:val="Normal"/>
    <w:link w:val="NoteHeadingChar"/>
    <w:uiPriority w:val="99"/>
    <w:semiHidden/>
    <w:unhideWhenUsed/>
    <w:rsid w:val="00877EB3"/>
  </w:style>
  <w:style w:type="character" w:customStyle="1" w:styleId="NoteHeadingChar">
    <w:name w:val="Note Heading Char"/>
    <w:basedOn w:val="DefaultParagraphFont"/>
    <w:link w:val="NoteHeading"/>
    <w:uiPriority w:val="99"/>
    <w:semiHidden/>
    <w:rsid w:val="00877EB3"/>
    <w:rPr>
      <w:rFonts w:ascii="Arial" w:hAnsi="Arial"/>
    </w:rPr>
  </w:style>
  <w:style w:type="paragraph" w:styleId="PlainText">
    <w:name w:val="Plain Text"/>
    <w:basedOn w:val="Normal"/>
    <w:link w:val="PlainTextChar"/>
    <w:uiPriority w:val="99"/>
    <w:semiHidden/>
    <w:unhideWhenUsed/>
    <w:rsid w:val="00877EB3"/>
    <w:rPr>
      <w:rFonts w:ascii="Consolas" w:hAnsi="Consolas" w:cs="Consolas"/>
      <w:sz w:val="21"/>
      <w:szCs w:val="21"/>
    </w:rPr>
  </w:style>
  <w:style w:type="character" w:customStyle="1" w:styleId="PlainTextChar">
    <w:name w:val="Plain Text Char"/>
    <w:basedOn w:val="DefaultParagraphFont"/>
    <w:link w:val="PlainText"/>
    <w:uiPriority w:val="99"/>
    <w:semiHidden/>
    <w:rsid w:val="00877EB3"/>
    <w:rPr>
      <w:rFonts w:ascii="Consolas" w:hAnsi="Consolas" w:cs="Consolas"/>
      <w:sz w:val="21"/>
      <w:szCs w:val="21"/>
    </w:rPr>
  </w:style>
  <w:style w:type="paragraph" w:styleId="Quote">
    <w:name w:val="Quote"/>
    <w:basedOn w:val="Normal"/>
    <w:next w:val="Normal"/>
    <w:link w:val="QuoteChar"/>
    <w:uiPriority w:val="29"/>
    <w:qFormat/>
    <w:rsid w:val="00877E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7EB3"/>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877EB3"/>
  </w:style>
  <w:style w:type="character" w:customStyle="1" w:styleId="SalutationChar">
    <w:name w:val="Salutation Char"/>
    <w:basedOn w:val="DefaultParagraphFont"/>
    <w:link w:val="Salutation"/>
    <w:uiPriority w:val="99"/>
    <w:semiHidden/>
    <w:rsid w:val="00877EB3"/>
    <w:rPr>
      <w:rFonts w:ascii="Arial" w:hAnsi="Arial"/>
    </w:rPr>
  </w:style>
  <w:style w:type="paragraph" w:styleId="Signature">
    <w:name w:val="Signature"/>
    <w:basedOn w:val="Normal"/>
    <w:link w:val="SignatureChar"/>
    <w:uiPriority w:val="99"/>
    <w:semiHidden/>
    <w:unhideWhenUsed/>
    <w:rsid w:val="00877EB3"/>
    <w:pPr>
      <w:ind w:left="4252"/>
    </w:pPr>
  </w:style>
  <w:style w:type="character" w:customStyle="1" w:styleId="SignatureChar">
    <w:name w:val="Signature Char"/>
    <w:basedOn w:val="DefaultParagraphFont"/>
    <w:link w:val="Signature"/>
    <w:uiPriority w:val="99"/>
    <w:semiHidden/>
    <w:rsid w:val="00877EB3"/>
    <w:rPr>
      <w:rFonts w:ascii="Arial" w:hAnsi="Arial"/>
    </w:rPr>
  </w:style>
  <w:style w:type="paragraph" w:styleId="TOAHeading">
    <w:name w:val="toa heading"/>
    <w:basedOn w:val="Normal"/>
    <w:next w:val="Normal"/>
    <w:uiPriority w:val="99"/>
    <w:semiHidden/>
    <w:unhideWhenUsed/>
    <w:rsid w:val="00877EB3"/>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877EB3"/>
    <w:pPr>
      <w:spacing w:after="100"/>
    </w:pPr>
  </w:style>
  <w:style w:type="paragraph" w:styleId="TOC2">
    <w:name w:val="toc 2"/>
    <w:basedOn w:val="Normal"/>
    <w:next w:val="Normal"/>
    <w:autoRedefine/>
    <w:uiPriority w:val="39"/>
    <w:semiHidden/>
    <w:unhideWhenUsed/>
    <w:rsid w:val="00877EB3"/>
    <w:pPr>
      <w:spacing w:after="100"/>
      <w:ind w:left="200"/>
    </w:pPr>
  </w:style>
  <w:style w:type="paragraph" w:styleId="TOC3">
    <w:name w:val="toc 3"/>
    <w:basedOn w:val="Normal"/>
    <w:next w:val="Normal"/>
    <w:autoRedefine/>
    <w:uiPriority w:val="39"/>
    <w:semiHidden/>
    <w:unhideWhenUsed/>
    <w:rsid w:val="00877EB3"/>
    <w:pPr>
      <w:spacing w:after="100"/>
      <w:ind w:left="400"/>
    </w:pPr>
  </w:style>
  <w:style w:type="paragraph" w:styleId="TOC4">
    <w:name w:val="toc 4"/>
    <w:basedOn w:val="Normal"/>
    <w:next w:val="Normal"/>
    <w:autoRedefine/>
    <w:uiPriority w:val="39"/>
    <w:semiHidden/>
    <w:unhideWhenUsed/>
    <w:rsid w:val="00877EB3"/>
    <w:pPr>
      <w:spacing w:after="100"/>
      <w:ind w:left="600"/>
    </w:pPr>
  </w:style>
  <w:style w:type="paragraph" w:styleId="TOC5">
    <w:name w:val="toc 5"/>
    <w:basedOn w:val="Normal"/>
    <w:next w:val="Normal"/>
    <w:autoRedefine/>
    <w:uiPriority w:val="39"/>
    <w:semiHidden/>
    <w:unhideWhenUsed/>
    <w:rsid w:val="00877EB3"/>
    <w:pPr>
      <w:spacing w:after="100"/>
      <w:ind w:left="800"/>
    </w:pPr>
  </w:style>
  <w:style w:type="paragraph" w:styleId="TOC6">
    <w:name w:val="toc 6"/>
    <w:basedOn w:val="Normal"/>
    <w:next w:val="Normal"/>
    <w:autoRedefine/>
    <w:uiPriority w:val="39"/>
    <w:semiHidden/>
    <w:unhideWhenUsed/>
    <w:rsid w:val="00877EB3"/>
    <w:pPr>
      <w:spacing w:after="100"/>
      <w:ind w:left="1000"/>
    </w:pPr>
  </w:style>
  <w:style w:type="paragraph" w:styleId="TOC7">
    <w:name w:val="toc 7"/>
    <w:basedOn w:val="Normal"/>
    <w:next w:val="Normal"/>
    <w:autoRedefine/>
    <w:uiPriority w:val="39"/>
    <w:semiHidden/>
    <w:unhideWhenUsed/>
    <w:rsid w:val="00877EB3"/>
    <w:pPr>
      <w:spacing w:after="100"/>
      <w:ind w:left="1200"/>
    </w:pPr>
  </w:style>
  <w:style w:type="paragraph" w:styleId="TOC8">
    <w:name w:val="toc 8"/>
    <w:basedOn w:val="Normal"/>
    <w:next w:val="Normal"/>
    <w:autoRedefine/>
    <w:uiPriority w:val="39"/>
    <w:semiHidden/>
    <w:unhideWhenUsed/>
    <w:rsid w:val="00877EB3"/>
    <w:pPr>
      <w:spacing w:after="100"/>
      <w:ind w:left="1400"/>
    </w:pPr>
  </w:style>
  <w:style w:type="paragraph" w:styleId="TOC9">
    <w:name w:val="toc 9"/>
    <w:basedOn w:val="Normal"/>
    <w:next w:val="Normal"/>
    <w:autoRedefine/>
    <w:uiPriority w:val="39"/>
    <w:semiHidden/>
    <w:unhideWhenUsed/>
    <w:rsid w:val="00877EB3"/>
    <w:pPr>
      <w:spacing w:after="100"/>
      <w:ind w:left="1600"/>
    </w:pPr>
  </w:style>
  <w:style w:type="paragraph" w:styleId="TOCHeading">
    <w:name w:val="TOC Heading"/>
    <w:basedOn w:val="Heading1"/>
    <w:next w:val="Normal"/>
    <w:uiPriority w:val="39"/>
    <w:semiHidden/>
    <w:unhideWhenUsed/>
    <w:qFormat/>
    <w:rsid w:val="00877EB3"/>
    <w:pPr>
      <w:keepNext/>
      <w:keepLines/>
      <w:spacing w:after="0"/>
      <w:ind w:left="0" w:firstLine="0"/>
      <w:contextualSpacing w:val="0"/>
      <w:outlineLvl w:val="9"/>
    </w:pPr>
    <w:rPr>
      <w:rFonts w:asciiTheme="majorHAnsi" w:eastAsiaTheme="majorEastAsia" w:hAnsiTheme="majorHAnsi" w:cstheme="majorBidi"/>
      <w:b w:val="0"/>
      <w:caps w:val="0"/>
      <w:color w:val="2F5496" w:themeColor="accent1" w:themeShade="BF"/>
      <w:sz w:val="32"/>
      <w:szCs w:val="32"/>
    </w:rPr>
  </w:style>
  <w:style w:type="paragraph" w:customStyle="1" w:styleId="BlackTriangle">
    <w:name w:val="Black Triangle"/>
    <w:basedOn w:val="Normal"/>
    <w:qFormat/>
    <w:rsid w:val="003E7F03"/>
    <w:rPr>
      <w:rFonts w:ascii="SimSun" w:eastAsia="SimSun" w:hAnsi="SimSun" w:cs="Arial"/>
      <w:sz w:val="40"/>
    </w:rPr>
  </w:style>
  <w:style w:type="paragraph" w:customStyle="1" w:styleId="BlackTriangletext">
    <w:name w:val="Black Triangle text"/>
    <w:basedOn w:val="Normal"/>
    <w:qFormat/>
    <w:rsid w:val="003E7F03"/>
    <w:pPr>
      <w:tabs>
        <w:tab w:val="left" w:pos="284"/>
      </w:tabs>
      <w:spacing w:after="600"/>
    </w:pPr>
    <w:rPr>
      <w:rFonts w:cs="Arial"/>
      <w:szCs w:val="24"/>
    </w:rPr>
  </w:style>
  <w:style w:type="paragraph" w:customStyle="1" w:styleId="Table-space">
    <w:name w:val="Table - space"/>
    <w:basedOn w:val="Normal"/>
    <w:qFormat/>
    <w:rsid w:val="00C3328C"/>
    <w:pPr>
      <w:keepNext/>
      <w:keepLines/>
    </w:pPr>
    <w:rPr>
      <w:sz w:val="2"/>
      <w:szCs w:val="2"/>
    </w:rPr>
  </w:style>
  <w:style w:type="character" w:styleId="UnresolvedMention">
    <w:name w:val="Unresolved Mention"/>
    <w:basedOn w:val="DefaultParagraphFont"/>
    <w:uiPriority w:val="99"/>
    <w:semiHidden/>
    <w:unhideWhenUsed/>
    <w:rsid w:val="00804DC3"/>
    <w:rPr>
      <w:color w:val="605E5C"/>
      <w:shd w:val="clear" w:color="auto" w:fill="E1DFDD"/>
    </w:rPr>
  </w:style>
  <w:style w:type="paragraph" w:customStyle="1" w:styleId="MemoHeaderStyle">
    <w:name w:val="MemoHeaderStyle"/>
    <w:basedOn w:val="Normal"/>
    <w:next w:val="Normal"/>
    <w:rsid w:val="00945D43"/>
    <w:pPr>
      <w:tabs>
        <w:tab w:val="left" w:pos="567"/>
      </w:tabs>
      <w:spacing w:after="0" w:line="120" w:lineRule="atLeast"/>
      <w:ind w:left="1418"/>
      <w:jc w:val="both"/>
    </w:pPr>
    <w:rPr>
      <w:rFonts w:ascii="Arial" w:eastAsia="Times New Roman" w:hAnsi="Arial"/>
      <w:b/>
      <w:smallCaps/>
      <w:sz w:val="22"/>
      <w:lang w:val="en-GB"/>
    </w:rPr>
  </w:style>
  <w:style w:type="character" w:styleId="PageNumber">
    <w:name w:val="page number"/>
    <w:basedOn w:val="DefaultParagraphFont"/>
    <w:rsid w:val="00945D43"/>
  </w:style>
  <w:style w:type="paragraph" w:customStyle="1" w:styleId="EMEAEnBodyText">
    <w:name w:val="EMEA En Body Text"/>
    <w:basedOn w:val="Normal"/>
    <w:rsid w:val="00945D43"/>
    <w:pPr>
      <w:spacing w:before="120" w:after="120"/>
      <w:jc w:val="both"/>
    </w:pPr>
    <w:rPr>
      <w:rFonts w:ascii="Times New Roman" w:eastAsia="Times New Roman" w:hAnsi="Times New Roman"/>
      <w:sz w:val="22"/>
      <w:lang w:val="en-US"/>
    </w:rPr>
  </w:style>
  <w:style w:type="paragraph" w:customStyle="1" w:styleId="BodytextAgency">
    <w:name w:val="Body text (Agency)"/>
    <w:basedOn w:val="Normal"/>
    <w:link w:val="BodytextAgencyChar"/>
    <w:qFormat/>
    <w:rsid w:val="00945D43"/>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945D43"/>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945D43"/>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945D43"/>
    <w:rPr>
      <w:rFonts w:ascii="Courier New" w:eastAsia="Verdana" w:hAnsi="Courier New"/>
      <w:i/>
      <w:color w:val="339966"/>
      <w:sz w:val="22"/>
      <w:szCs w:val="18"/>
      <w:lang w:val="en-GB" w:eastAsia="en-GB"/>
    </w:rPr>
  </w:style>
  <w:style w:type="paragraph" w:customStyle="1" w:styleId="NormalAgency">
    <w:name w:val="Normal (Agency)"/>
    <w:link w:val="NormalAgencyChar"/>
    <w:rsid w:val="00945D43"/>
    <w:rPr>
      <w:rFonts w:ascii="Verdana" w:eastAsia="Verdana" w:hAnsi="Verdana" w:cs="Verdana"/>
      <w:sz w:val="18"/>
      <w:szCs w:val="18"/>
      <w:lang w:val="en-GB" w:eastAsia="en-GB"/>
    </w:rPr>
  </w:style>
  <w:style w:type="table" w:customStyle="1" w:styleId="TablegridAgencyblack">
    <w:name w:val="Table grid (Agency) black"/>
    <w:basedOn w:val="TableNormal"/>
    <w:semiHidden/>
    <w:rsid w:val="00945D43"/>
    <w:rPr>
      <w:rFonts w:ascii="Verdana" w:eastAsia="SimSun" w:hAnsi="Verdana"/>
      <w:sz w:val="18"/>
      <w:lang w:eastAsia="en-A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945D43"/>
    <w:pPr>
      <w:keepNext/>
    </w:pPr>
    <w:rPr>
      <w:rFonts w:eastAsia="Times New Roman"/>
      <w:b/>
    </w:rPr>
  </w:style>
  <w:style w:type="paragraph" w:customStyle="1" w:styleId="TabletextrowsAgency">
    <w:name w:val="Table text rows (Agency)"/>
    <w:basedOn w:val="Normal"/>
    <w:rsid w:val="00945D43"/>
    <w:pPr>
      <w:spacing w:after="0" w:line="280" w:lineRule="exact"/>
    </w:pPr>
    <w:rPr>
      <w:rFonts w:ascii="Verdana" w:eastAsia="Times New Roman" w:hAnsi="Verdana" w:cs="Verdana"/>
      <w:sz w:val="18"/>
      <w:szCs w:val="18"/>
      <w:lang w:val="en-GB" w:eastAsia="zh-CN"/>
    </w:rPr>
  </w:style>
  <w:style w:type="character" w:customStyle="1" w:styleId="NormalAgencyChar">
    <w:name w:val="Normal (Agency) Char"/>
    <w:link w:val="NormalAgency"/>
    <w:rsid w:val="00945D43"/>
    <w:rPr>
      <w:rFonts w:ascii="Verdana" w:eastAsia="Verdana" w:hAnsi="Verdana" w:cs="Verdana"/>
      <w:sz w:val="18"/>
      <w:szCs w:val="18"/>
      <w:lang w:val="en-GB" w:eastAsia="en-GB"/>
    </w:rPr>
  </w:style>
  <w:style w:type="paragraph" w:styleId="Revision">
    <w:name w:val="Revision"/>
    <w:hidden/>
    <w:uiPriority w:val="99"/>
    <w:semiHidden/>
    <w:rsid w:val="00945D43"/>
    <w:rPr>
      <w:rFonts w:eastAsia="Times New Roman"/>
      <w:sz w:val="22"/>
      <w:lang w:val="en-GB"/>
    </w:rPr>
  </w:style>
  <w:style w:type="character" w:styleId="Strong">
    <w:name w:val="Strong"/>
    <w:uiPriority w:val="22"/>
    <w:qFormat/>
    <w:rsid w:val="00945D43"/>
    <w:rPr>
      <w:b/>
      <w:bCs/>
    </w:rPr>
  </w:style>
  <w:style w:type="paragraph" w:customStyle="1" w:styleId="TableCellCenter">
    <w:name w:val="Table Cell Center"/>
    <w:basedOn w:val="BodyText"/>
    <w:link w:val="TableCellCenterChar"/>
    <w:qFormat/>
    <w:rsid w:val="00945D43"/>
    <w:pPr>
      <w:spacing w:before="40" w:after="40"/>
      <w:jc w:val="center"/>
    </w:pPr>
    <w:rPr>
      <w:rFonts w:ascii="Times New Roman" w:eastAsia="Times New Roman" w:hAnsi="Times New Roman"/>
      <w:szCs w:val="24"/>
      <w:lang w:val="en-US"/>
    </w:rPr>
  </w:style>
  <w:style w:type="character" w:customStyle="1" w:styleId="TableCellCenterChar">
    <w:name w:val="Table Cell Center Char"/>
    <w:link w:val="TableCellCenter"/>
    <w:locked/>
    <w:rsid w:val="00945D43"/>
    <w:rPr>
      <w:rFonts w:eastAsia="Times New Roman"/>
      <w:sz w:val="24"/>
      <w:szCs w:val="24"/>
      <w:lang w:val="en-US"/>
    </w:rPr>
  </w:style>
  <w:style w:type="character" w:customStyle="1" w:styleId="tgc">
    <w:name w:val="_tgc"/>
    <w:rsid w:val="00945D43"/>
  </w:style>
  <w:style w:type="paragraph" w:customStyle="1" w:styleId="TableTitle">
    <w:name w:val="Table Title"/>
    <w:basedOn w:val="Normal"/>
    <w:rsid w:val="00945D43"/>
    <w:pPr>
      <w:spacing w:before="80" w:after="0"/>
      <w:jc w:val="center"/>
    </w:pPr>
    <w:rPr>
      <w:rFonts w:ascii="Times New Roman" w:eastAsia="Calibri" w:hAnsi="Times New Roman"/>
      <w:b/>
      <w:bCs/>
      <w:sz w:val="20"/>
      <w:lang w:val="en-US"/>
    </w:rPr>
  </w:style>
  <w:style w:type="character" w:styleId="FollowedHyperlink">
    <w:name w:val="FollowedHyperlink"/>
    <w:rsid w:val="00945D43"/>
    <w:rPr>
      <w:color w:val="954F72"/>
      <w:u w:val="single"/>
    </w:rPr>
  </w:style>
  <w:style w:type="paragraph" w:customStyle="1" w:styleId="ListAlpha">
    <w:name w:val="List Alpha"/>
    <w:basedOn w:val="BodyText"/>
    <w:rsid w:val="00945D43"/>
    <w:pPr>
      <w:keepLines/>
      <w:numPr>
        <w:numId w:val="12"/>
      </w:numPr>
    </w:pPr>
    <w:rPr>
      <w:rFonts w:ascii="Times New Roman" w:eastAsia="Times New Roman" w:hAnsi="Times New Roman"/>
      <w:szCs w:val="24"/>
      <w:lang w:val="en-US"/>
    </w:rPr>
  </w:style>
  <w:style w:type="paragraph" w:customStyle="1" w:styleId="PleaseReviewReport">
    <w:name w:val="PleaseReview_Report"/>
    <w:rsid w:val="00945D43"/>
    <w:pPr>
      <w:spacing w:before="5" w:after="5"/>
    </w:pPr>
    <w:rPr>
      <w:rFonts w:ascii="Verdana" w:eastAsia="Times New Roman" w:hAnsi="Verdana" w:cs="Verdana"/>
      <w:sz w:val="16"/>
      <w:szCs w:val="16"/>
      <w:lang w:val="en-US"/>
    </w:rPr>
  </w:style>
  <w:style w:type="paragraph" w:customStyle="1" w:styleId="1">
    <w:name w:val="1"/>
    <w:basedOn w:val="Normal"/>
    <w:next w:val="CommentText"/>
    <w:link w:val="TekstopmerkingChar"/>
    <w:uiPriority w:val="99"/>
    <w:rsid w:val="00945D43"/>
    <w:pPr>
      <w:tabs>
        <w:tab w:val="left" w:pos="567"/>
      </w:tabs>
      <w:spacing w:after="0" w:line="260" w:lineRule="exact"/>
    </w:pPr>
    <w:rPr>
      <w:rFonts w:ascii="Times New Roman" w:eastAsia="Times New Roman" w:hAnsi="Times New Roman"/>
      <w:sz w:val="20"/>
      <w:lang w:val="en-GB"/>
    </w:rPr>
  </w:style>
  <w:style w:type="character" w:customStyle="1" w:styleId="TekstopmerkingChar">
    <w:name w:val="Tekst opmerking Char"/>
    <w:link w:val="1"/>
    <w:uiPriority w:val="99"/>
    <w:rsid w:val="00945D43"/>
    <w:rPr>
      <w:rFonts w:eastAsia="Times New Roman"/>
      <w:lang w:val="en-GB"/>
    </w:rPr>
  </w:style>
  <w:style w:type="character" w:customStyle="1" w:styleId="ilfuvd">
    <w:name w:val="ilfuvd"/>
    <w:rsid w:val="00945D43"/>
  </w:style>
  <w:style w:type="paragraph" w:customStyle="1" w:styleId="body">
    <w:name w:val="body"/>
    <w:basedOn w:val="Normal"/>
    <w:rsid w:val="00945D43"/>
    <w:pPr>
      <w:spacing w:before="300" w:after="300" w:line="390" w:lineRule="atLeast"/>
    </w:pPr>
    <w:rPr>
      <w:rFonts w:ascii="Times New Roman" w:eastAsia="Times New Roman" w:hAnsi="Times New Roman"/>
      <w:sz w:val="26"/>
      <w:szCs w:val="26"/>
      <w:lang w:val="en-US"/>
    </w:rPr>
  </w:style>
  <w:style w:type="character" w:customStyle="1" w:styleId="hilighti1">
    <w:name w:val="hilighti1"/>
    <w:rsid w:val="00945D43"/>
    <w:rPr>
      <w:b/>
      <w:bCs/>
      <w:color w:val="FF0000"/>
      <w:u w:val="single"/>
    </w:rPr>
  </w:style>
  <w:style w:type="character" w:customStyle="1" w:styleId="hilightd1">
    <w:name w:val="hilightd1"/>
    <w:rsid w:val="00945D43"/>
    <w:rPr>
      <w:strike/>
      <w:color w:val="FF0000"/>
    </w:rPr>
  </w:style>
  <w:style w:type="character" w:customStyle="1" w:styleId="CaptionChar">
    <w:name w:val="Caption Char"/>
    <w:link w:val="Caption"/>
    <w:locked/>
    <w:rsid w:val="00945D43"/>
    <w:rPr>
      <w:rFonts w:ascii="Arial Narrow" w:hAnsi="Arial Narrow"/>
      <w:i/>
      <w:iCs/>
      <w:color w:val="44546A" w:themeColor="text2"/>
      <w:sz w:val="18"/>
      <w:szCs w:val="18"/>
    </w:rPr>
  </w:style>
  <w:style w:type="paragraph" w:customStyle="1" w:styleId="6">
    <w:name w:val="6"/>
    <w:basedOn w:val="Normal"/>
    <w:next w:val="BodyText"/>
    <w:link w:val="PlattetekstChar"/>
    <w:qFormat/>
    <w:rsid w:val="00945D43"/>
    <w:pPr>
      <w:spacing w:after="0"/>
    </w:pPr>
    <w:rPr>
      <w:rFonts w:ascii="Times New Roman" w:eastAsia="Times New Roman" w:hAnsi="Times New Roman"/>
      <w:i/>
      <w:color w:val="008000"/>
      <w:sz w:val="22"/>
      <w:lang w:val="en-GB"/>
    </w:rPr>
  </w:style>
  <w:style w:type="character" w:customStyle="1" w:styleId="TekstopmerkingChar1">
    <w:name w:val="Tekst opmerking Char1"/>
    <w:link w:val="5"/>
    <w:uiPriority w:val="99"/>
    <w:rsid w:val="00945D43"/>
    <w:rPr>
      <w:rFonts w:eastAsia="Times New Roman"/>
    </w:rPr>
  </w:style>
  <w:style w:type="character" w:customStyle="1" w:styleId="PlattetekstChar">
    <w:name w:val="Platte tekst Char"/>
    <w:link w:val="6"/>
    <w:rsid w:val="00945D43"/>
    <w:rPr>
      <w:rFonts w:eastAsia="Times New Roman"/>
      <w:i/>
      <w:color w:val="008000"/>
      <w:sz w:val="22"/>
      <w:lang w:val="en-GB"/>
    </w:rPr>
  </w:style>
  <w:style w:type="paragraph" w:customStyle="1" w:styleId="5">
    <w:name w:val="5"/>
    <w:link w:val="TekstopmerkingChar1"/>
    <w:uiPriority w:val="99"/>
    <w:rsid w:val="00945D43"/>
    <w:pPr>
      <w:tabs>
        <w:tab w:val="left" w:pos="567"/>
      </w:tabs>
      <w:spacing w:line="260" w:lineRule="exact"/>
    </w:pPr>
    <w:rPr>
      <w:rFonts w:eastAsia="Times New Roman"/>
    </w:rPr>
  </w:style>
  <w:style w:type="paragraph" w:customStyle="1" w:styleId="4">
    <w:name w:val="4"/>
    <w:uiPriority w:val="99"/>
    <w:rsid w:val="00945D43"/>
    <w:pPr>
      <w:tabs>
        <w:tab w:val="left" w:pos="567"/>
      </w:tabs>
      <w:spacing w:line="260" w:lineRule="exact"/>
    </w:pPr>
    <w:rPr>
      <w:rFonts w:eastAsia="Times New Roman"/>
      <w:lang w:val="en-GB"/>
    </w:rPr>
  </w:style>
  <w:style w:type="paragraph" w:customStyle="1" w:styleId="3">
    <w:name w:val="3"/>
    <w:uiPriority w:val="99"/>
    <w:rsid w:val="00945D43"/>
    <w:pPr>
      <w:tabs>
        <w:tab w:val="left" w:pos="567"/>
      </w:tabs>
      <w:spacing w:line="260" w:lineRule="exact"/>
    </w:pPr>
    <w:rPr>
      <w:rFonts w:eastAsia="Times New Roman"/>
      <w:lang w:val="en-GB"/>
    </w:rPr>
  </w:style>
  <w:style w:type="paragraph" w:customStyle="1" w:styleId="2">
    <w:name w:val="2"/>
    <w:uiPriority w:val="99"/>
    <w:rsid w:val="00945D43"/>
    <w:pPr>
      <w:tabs>
        <w:tab w:val="left" w:pos="567"/>
      </w:tabs>
      <w:spacing w:line="260" w:lineRule="exact"/>
    </w:pPr>
    <w:rPr>
      <w:rFonts w:eastAsia="Times New Roman"/>
      <w:lang w:val="en-GB"/>
    </w:rPr>
  </w:style>
  <w:style w:type="character" w:customStyle="1" w:styleId="normal-h">
    <w:name w:val="normal-h"/>
    <w:rsid w:val="00945D43"/>
  </w:style>
  <w:style w:type="table" w:customStyle="1" w:styleId="TableGrid1">
    <w:name w:val="Table Grid1"/>
    <w:basedOn w:val="TableNormal"/>
    <w:next w:val="TableGrid"/>
    <w:uiPriority w:val="39"/>
    <w:rsid w:val="00945D43"/>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EMA">
    <w:name w:val="Body text (EMA)"/>
    <w:basedOn w:val="Normal"/>
    <w:rsid w:val="00945D43"/>
    <w:pPr>
      <w:spacing w:after="140" w:line="280" w:lineRule="atLeast"/>
    </w:pPr>
    <w:rPr>
      <w:rFonts w:ascii="Verdana" w:eastAsia="Verdana" w:hAnsi="Verdana" w:cs="Verdana"/>
      <w:sz w:val="18"/>
      <w:szCs w:val="18"/>
      <w:lang w:val="en-GB" w:eastAsia="en-GB"/>
    </w:rPr>
  </w:style>
  <w:style w:type="paragraph" w:customStyle="1" w:styleId="TitleB">
    <w:name w:val="Title B"/>
    <w:basedOn w:val="Normal"/>
    <w:rsid w:val="00945D43"/>
    <w:pPr>
      <w:spacing w:after="0"/>
      <w:ind w:left="567" w:hanging="567"/>
    </w:pPr>
    <w:rPr>
      <w:rFonts w:ascii="Times New Roman" w:eastAsia="Malgun Gothic" w:hAnsi="Times New Roman"/>
      <w:b/>
      <w:noProof/>
      <w:sz w:val="22"/>
      <w:lang w:val="sl-SI"/>
    </w:rPr>
  </w:style>
  <w:style w:type="paragraph" w:customStyle="1" w:styleId="TitleA">
    <w:name w:val="Title A"/>
    <w:basedOn w:val="Normal"/>
    <w:rsid w:val="00945D43"/>
    <w:pPr>
      <w:tabs>
        <w:tab w:val="left" w:pos="567"/>
      </w:tabs>
      <w:spacing w:after="0"/>
      <w:jc w:val="center"/>
      <w:outlineLvl w:val="0"/>
    </w:pPr>
    <w:rPr>
      <w:rFonts w:ascii="Times New Roman" w:eastAsia="SimSun" w:hAnsi="Times New Roman"/>
      <w:b/>
      <w:bCs/>
      <w:sz w:val="22"/>
      <w:szCs w:val="22"/>
      <w:lang w:val="de-DE" w:eastAsia="de-DE" w:bidi="de-DE"/>
    </w:rPr>
  </w:style>
  <w:style w:type="character" w:styleId="BookTitle">
    <w:name w:val="Book Title"/>
    <w:uiPriority w:val="33"/>
    <w:qFormat/>
    <w:rsid w:val="00945D43"/>
    <w:rPr>
      <w:b/>
      <w:bCs/>
      <w:i/>
      <w:iCs/>
      <w:spacing w:val="5"/>
    </w:rPr>
  </w:style>
  <w:style w:type="paragraph" w:customStyle="1" w:styleId="Level1">
    <w:name w:val="Level 1"/>
    <w:basedOn w:val="Normal"/>
    <w:rsid w:val="00AF3BFB"/>
    <w:pPr>
      <w:widowControl w:val="0"/>
      <w:spacing w:after="120"/>
    </w:pPr>
    <w:rPr>
      <w:rFonts w:ascii="Calibri" w:eastAsia="Times New Roman" w:hAnsi="Calibri"/>
      <w:lang w:val="en-GB"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30213">
      <w:bodyDiv w:val="1"/>
      <w:marLeft w:val="0"/>
      <w:marRight w:val="0"/>
      <w:marTop w:val="0"/>
      <w:marBottom w:val="0"/>
      <w:divBdr>
        <w:top w:val="none" w:sz="0" w:space="0" w:color="auto"/>
        <w:left w:val="none" w:sz="0" w:space="0" w:color="auto"/>
        <w:bottom w:val="none" w:sz="0" w:space="0" w:color="auto"/>
        <w:right w:val="none" w:sz="0" w:space="0" w:color="auto"/>
      </w:divBdr>
    </w:div>
    <w:div w:id="475071945">
      <w:bodyDiv w:val="1"/>
      <w:marLeft w:val="0"/>
      <w:marRight w:val="0"/>
      <w:marTop w:val="0"/>
      <w:marBottom w:val="0"/>
      <w:divBdr>
        <w:top w:val="none" w:sz="0" w:space="0" w:color="auto"/>
        <w:left w:val="none" w:sz="0" w:space="0" w:color="auto"/>
        <w:bottom w:val="none" w:sz="0" w:space="0" w:color="auto"/>
        <w:right w:val="none" w:sz="0" w:space="0" w:color="auto"/>
      </w:divBdr>
    </w:div>
    <w:div w:id="494423729">
      <w:bodyDiv w:val="1"/>
      <w:marLeft w:val="0"/>
      <w:marRight w:val="0"/>
      <w:marTop w:val="0"/>
      <w:marBottom w:val="0"/>
      <w:divBdr>
        <w:top w:val="none" w:sz="0" w:space="0" w:color="auto"/>
        <w:left w:val="none" w:sz="0" w:space="0" w:color="auto"/>
        <w:bottom w:val="none" w:sz="0" w:space="0" w:color="auto"/>
        <w:right w:val="none" w:sz="0" w:space="0" w:color="auto"/>
      </w:divBdr>
    </w:div>
    <w:div w:id="590506722">
      <w:bodyDiv w:val="1"/>
      <w:marLeft w:val="0"/>
      <w:marRight w:val="0"/>
      <w:marTop w:val="0"/>
      <w:marBottom w:val="0"/>
      <w:divBdr>
        <w:top w:val="none" w:sz="0" w:space="0" w:color="auto"/>
        <w:left w:val="none" w:sz="0" w:space="0" w:color="auto"/>
        <w:bottom w:val="none" w:sz="0" w:space="0" w:color="auto"/>
        <w:right w:val="none" w:sz="0" w:space="0" w:color="auto"/>
      </w:divBdr>
    </w:div>
    <w:div w:id="863252572">
      <w:bodyDiv w:val="1"/>
      <w:marLeft w:val="0"/>
      <w:marRight w:val="0"/>
      <w:marTop w:val="0"/>
      <w:marBottom w:val="0"/>
      <w:divBdr>
        <w:top w:val="none" w:sz="0" w:space="0" w:color="auto"/>
        <w:left w:val="none" w:sz="0" w:space="0" w:color="auto"/>
        <w:bottom w:val="none" w:sz="0" w:space="0" w:color="auto"/>
        <w:right w:val="none" w:sz="0" w:space="0" w:color="auto"/>
      </w:divBdr>
    </w:div>
    <w:div w:id="1593049279">
      <w:bodyDiv w:val="1"/>
      <w:marLeft w:val="0"/>
      <w:marRight w:val="0"/>
      <w:marTop w:val="0"/>
      <w:marBottom w:val="0"/>
      <w:divBdr>
        <w:top w:val="none" w:sz="0" w:space="0" w:color="auto"/>
        <w:left w:val="none" w:sz="0" w:space="0" w:color="auto"/>
        <w:bottom w:val="none" w:sz="0" w:space="0" w:color="auto"/>
        <w:right w:val="none" w:sz="0" w:space="0" w:color="auto"/>
      </w:divBdr>
      <w:divsChild>
        <w:div w:id="1320303562">
          <w:marLeft w:val="240"/>
          <w:marRight w:val="0"/>
          <w:marTop w:val="0"/>
          <w:marBottom w:val="0"/>
          <w:divBdr>
            <w:top w:val="none" w:sz="0" w:space="0" w:color="auto"/>
            <w:left w:val="none" w:sz="0" w:space="0" w:color="auto"/>
            <w:bottom w:val="none" w:sz="0" w:space="0" w:color="auto"/>
            <w:right w:val="none" w:sz="0" w:space="0" w:color="auto"/>
          </w:divBdr>
        </w:div>
      </w:divsChild>
    </w:div>
    <w:div w:id="1733459453">
      <w:bodyDiv w:val="1"/>
      <w:marLeft w:val="0"/>
      <w:marRight w:val="0"/>
      <w:marTop w:val="0"/>
      <w:marBottom w:val="0"/>
      <w:divBdr>
        <w:top w:val="none" w:sz="0" w:space="0" w:color="auto"/>
        <w:left w:val="none" w:sz="0" w:space="0" w:color="auto"/>
        <w:bottom w:val="none" w:sz="0" w:space="0" w:color="auto"/>
        <w:right w:val="none" w:sz="0" w:space="0" w:color="auto"/>
      </w:divBdr>
    </w:div>
    <w:div w:id="1811551591">
      <w:bodyDiv w:val="1"/>
      <w:marLeft w:val="0"/>
      <w:marRight w:val="0"/>
      <w:marTop w:val="0"/>
      <w:marBottom w:val="0"/>
      <w:divBdr>
        <w:top w:val="none" w:sz="0" w:space="0" w:color="auto"/>
        <w:left w:val="none" w:sz="0" w:space="0" w:color="auto"/>
        <w:bottom w:val="none" w:sz="0" w:space="0" w:color="auto"/>
        <w:right w:val="none" w:sz="0" w:space="0" w:color="auto"/>
      </w:divBdr>
    </w:div>
    <w:div w:id="1887132748">
      <w:bodyDiv w:val="1"/>
      <w:marLeft w:val="0"/>
      <w:marRight w:val="0"/>
      <w:marTop w:val="0"/>
      <w:marBottom w:val="0"/>
      <w:divBdr>
        <w:top w:val="none" w:sz="0" w:space="0" w:color="auto"/>
        <w:left w:val="none" w:sz="0" w:space="0" w:color="auto"/>
        <w:bottom w:val="none" w:sz="0" w:space="0" w:color="auto"/>
        <w:right w:val="none" w:sz="0" w:space="0" w:color="auto"/>
      </w:divBdr>
      <w:divsChild>
        <w:div w:id="1268662987">
          <w:marLeft w:val="240"/>
          <w:marRight w:val="0"/>
          <w:marTop w:val="0"/>
          <w:marBottom w:val="0"/>
          <w:divBdr>
            <w:top w:val="none" w:sz="0" w:space="0" w:color="auto"/>
            <w:left w:val="none" w:sz="0" w:space="0" w:color="auto"/>
            <w:bottom w:val="none" w:sz="0" w:space="0" w:color="auto"/>
            <w:right w:val="none" w:sz="0" w:space="0" w:color="auto"/>
          </w:divBdr>
        </w:div>
      </w:divsChild>
    </w:div>
    <w:div w:id="1922254043">
      <w:bodyDiv w:val="1"/>
      <w:marLeft w:val="0"/>
      <w:marRight w:val="0"/>
      <w:marTop w:val="0"/>
      <w:marBottom w:val="0"/>
      <w:divBdr>
        <w:top w:val="none" w:sz="0" w:space="0" w:color="auto"/>
        <w:left w:val="none" w:sz="0" w:space="0" w:color="auto"/>
        <w:bottom w:val="none" w:sz="0" w:space="0" w:color="auto"/>
        <w:right w:val="none" w:sz="0" w:space="0" w:color="auto"/>
      </w:divBdr>
    </w:div>
    <w:div w:id="208976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ga.gov.au/reporting-proble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rugsafety@bmrn.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edinfoasia@bmrn.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585c0a-e838-452f-92de-9b715ec395a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F16C52568E3A46A61916D910E9CE9B" ma:contentTypeVersion="44" ma:contentTypeDescription="Create a new document." ma:contentTypeScope="" ma:versionID="86c014b8c667793ebdea81636d99abed">
  <xsd:schema xmlns:xsd="http://www.w3.org/2001/XMLSchema" xmlns:xs="http://www.w3.org/2001/XMLSchema" xmlns:p="http://schemas.microsoft.com/office/2006/metadata/properties" xmlns:ns2="1741c4b9-69f4-4730-97a3-6d1739910d43" xmlns:ns3="6d585c0a-e838-452f-92de-9b715ec395a2" targetNamespace="http://schemas.microsoft.com/office/2006/metadata/properties" ma:root="true" ma:fieldsID="c94312b0d4c71996d2b5d3f361e43ef8" ns2:_="" ns3:_="">
    <xsd:import namespace="1741c4b9-69f4-4730-97a3-6d1739910d43"/>
    <xsd:import namespace="6d585c0a-e838-452f-92de-9b715ec395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1c4b9-69f4-4730-97a3-6d1739910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85c0a-e838-452f-92de-9b715ec395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38F98-0B23-453A-BF9D-CDD294BED1AF}">
  <ds:schemaRefs>
    <ds:schemaRef ds:uri="http://schemas.microsoft.com/office/2006/metadata/properties"/>
    <ds:schemaRef ds:uri="http://schemas.microsoft.com/office/infopath/2007/PartnerControls"/>
    <ds:schemaRef ds:uri="6d585c0a-e838-452f-92de-9b715ec395a2"/>
  </ds:schemaRefs>
</ds:datastoreItem>
</file>

<file path=customXml/itemProps2.xml><?xml version="1.0" encoding="utf-8"?>
<ds:datastoreItem xmlns:ds="http://schemas.openxmlformats.org/officeDocument/2006/customXml" ds:itemID="{BF98CF3D-7717-4660-A17A-50BA58076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1c4b9-69f4-4730-97a3-6d1739910d43"/>
    <ds:schemaRef ds:uri="6d585c0a-e838-452f-92de-9b715ec39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628764-9B92-4EFF-80BB-6AF377D83B96}">
  <ds:schemaRefs>
    <ds:schemaRef ds:uri="http://schemas.openxmlformats.org/officeDocument/2006/bibliography"/>
  </ds:schemaRefs>
</ds:datastoreItem>
</file>

<file path=customXml/itemProps4.xml><?xml version="1.0" encoding="utf-8"?>
<ds:datastoreItem xmlns:ds="http://schemas.openxmlformats.org/officeDocument/2006/customXml" ds:itemID="{4C3ECFC5-60E5-4C2E-A4EA-91809206D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7908</Words>
  <Characters>46896</Characters>
  <Application>Microsoft Office Word</Application>
  <DocSecurity>0</DocSecurity>
  <Lines>1172</Lines>
  <Paragraphs>771</Paragraphs>
  <ScaleCrop>false</ScaleCrop>
  <HeadingPairs>
    <vt:vector size="2" baseType="variant">
      <vt:variant>
        <vt:lpstr>Title</vt:lpstr>
      </vt:variant>
      <vt:variant>
        <vt:i4>1</vt:i4>
      </vt:variant>
    </vt:vector>
  </HeadingPairs>
  <TitlesOfParts>
    <vt:vector size="1" baseType="lpstr">
      <vt:lpstr>AusPAR Attachment 1: Product Information for PALYNZIQ (pegvaliase)</vt:lpstr>
    </vt:vector>
  </TitlesOfParts>
  <Manager/>
  <Company/>
  <LinksUpToDate>false</LinksUpToDate>
  <CharactersWithSpaces>54033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PALYNZIQ (pegvaliase)</dc:title>
  <dc:subject>BioMarin Pharmaceutical Australia Pty Ltd</dc:subject>
  <dc:creator/>
  <cp:keywords>AusPARs</cp:keywords>
  <dc:description/>
  <cp:lastModifiedBy/>
  <cp:revision>1</cp:revision>
  <dcterms:created xsi:type="dcterms:W3CDTF">2021-03-11T00:35:00Z</dcterms:created>
  <dcterms:modified xsi:type="dcterms:W3CDTF">2021-12-08T02:06:00Z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0x01010014F16C52568E3A46A61916D910E9CE9B</vt:lpwstr>
  </property>
  <property fmtid="{D5CDD505-2E9C-101B-9397-08002B2CF9AE}" pid="3" name="GUID">
    <vt:lpwstr>ad30460d-8cf3-4718-a4f2-c8139b898bc5</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